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6958B"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p>
    <w:p w14:paraId="47E3E943"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t>CONTRATO ESTATAL</w:t>
      </w:r>
      <w:r w:rsidRPr="00B73955">
        <w:rPr>
          <w:rFonts w:ascii="Verdana" w:eastAsia="Calibri" w:hAnsi="Verdana" w:cs="Arial"/>
          <w:b/>
          <w:bCs/>
          <w:lang w:val="es-ES_tradnl" w:eastAsia="es-ES"/>
        </w:rPr>
        <w:t xml:space="preserve"> – </w:t>
      </w:r>
      <w:r>
        <w:rPr>
          <w:rFonts w:ascii="Verdana" w:eastAsia="Calibri" w:hAnsi="Verdana" w:cs="Arial"/>
          <w:b/>
          <w:bCs/>
          <w:lang w:val="es-ES_tradnl" w:eastAsia="es-ES"/>
        </w:rPr>
        <w:t>Régimen mixto –</w:t>
      </w:r>
      <w:r w:rsidRPr="00B73955">
        <w:rPr>
          <w:rFonts w:ascii="Verdana" w:eastAsia="Calibri" w:hAnsi="Verdana" w:cs="Arial"/>
          <w:b/>
          <w:bCs/>
          <w:lang w:val="es-ES_tradnl" w:eastAsia="es-ES"/>
        </w:rPr>
        <w:t xml:space="preserve"> </w:t>
      </w:r>
      <w:r>
        <w:rPr>
          <w:rFonts w:ascii="Verdana" w:eastAsia="Calibri" w:hAnsi="Verdana" w:cs="Arial"/>
          <w:b/>
          <w:bCs/>
          <w:lang w:val="es-ES_tradnl" w:eastAsia="es-ES"/>
        </w:rPr>
        <w:t>Derecho público – Derecho privado</w:t>
      </w:r>
      <w:r w:rsidRPr="00B73955">
        <w:rPr>
          <w:rFonts w:ascii="Verdana" w:eastAsia="Calibri" w:hAnsi="Verdana" w:cs="Arial"/>
          <w:b/>
          <w:bCs/>
          <w:lang w:val="es-ES_tradnl" w:eastAsia="es-ES"/>
        </w:rPr>
        <w:t xml:space="preserve"> </w:t>
      </w:r>
    </w:p>
    <w:p w14:paraId="0D787B3F" w14:textId="77777777" w:rsidR="0036639E" w:rsidRDefault="0036639E" w:rsidP="0036639E">
      <w:pPr>
        <w:spacing w:after="0" w:line="240" w:lineRule="auto"/>
        <w:jc w:val="both"/>
        <w:rPr>
          <w:rFonts w:ascii="Verdana" w:eastAsia="Calibri" w:hAnsi="Verdana" w:cs="Arial"/>
          <w:sz w:val="20"/>
          <w:szCs w:val="20"/>
          <w:lang w:val="es-ES_tradnl" w:eastAsia="es-ES"/>
        </w:rPr>
      </w:pPr>
    </w:p>
    <w:p w14:paraId="621CD370" w14:textId="77777777" w:rsidR="0036639E" w:rsidRDefault="0036639E" w:rsidP="0036639E">
      <w:pPr>
        <w:spacing w:after="0" w:line="240" w:lineRule="auto"/>
        <w:jc w:val="both"/>
        <w:rPr>
          <w:rFonts w:ascii="Verdana" w:eastAsia="Calibri" w:hAnsi="Verdana" w:cs="Arial"/>
          <w:sz w:val="20"/>
          <w:szCs w:val="20"/>
          <w:lang w:val="es-ES_tradnl" w:eastAsia="es-ES"/>
        </w:rPr>
      </w:pPr>
      <w:r w:rsidRPr="009C7241">
        <w:rPr>
          <w:rFonts w:ascii="Verdana" w:eastAsia="Calibri" w:hAnsi="Verdana" w:cs="Arial"/>
          <w:sz w:val="20"/>
          <w:szCs w:val="20"/>
          <w:lang w:val="es-ES_tradnl" w:eastAsia="es-ES"/>
        </w:rPr>
        <w:t xml:space="preserve">Tratándose de las entidades sometidas a la Ley 80 de 1993,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06E84855" w14:textId="77777777" w:rsidR="0036639E" w:rsidRPr="009C7241" w:rsidRDefault="0036639E" w:rsidP="0036639E">
      <w:pPr>
        <w:spacing w:after="0" w:line="240" w:lineRule="auto"/>
        <w:jc w:val="both"/>
        <w:rPr>
          <w:rFonts w:ascii="Verdana" w:eastAsia="Calibri" w:hAnsi="Verdana" w:cs="Arial"/>
          <w:sz w:val="20"/>
          <w:szCs w:val="20"/>
          <w:lang w:val="es-ES_tradnl" w:eastAsia="es-ES"/>
        </w:rPr>
      </w:pPr>
    </w:p>
    <w:p w14:paraId="182B93C9"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r w:rsidRPr="009C7241">
        <w:rPr>
          <w:rFonts w:ascii="Verdana" w:eastAsia="Calibri" w:hAnsi="Verdana" w:cs="Arial"/>
          <w:sz w:val="20"/>
          <w:szCs w:val="20"/>
          <w:lang w:val="es-ES_tradnl" w:eastAsia="es-ES"/>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AD1549E" w14:textId="77777777" w:rsidR="0036639E" w:rsidRPr="007C66D4" w:rsidRDefault="0036639E" w:rsidP="0036639E">
      <w:pPr>
        <w:spacing w:after="0" w:line="240" w:lineRule="auto"/>
        <w:jc w:val="both"/>
        <w:rPr>
          <w:rFonts w:ascii="Verdana" w:hAnsi="Verdana" w:cs="Arial"/>
          <w:color w:val="000000" w:themeColor="text1"/>
          <w:sz w:val="20"/>
          <w:szCs w:val="20"/>
        </w:rPr>
      </w:pPr>
    </w:p>
    <w:p w14:paraId="2BA81FFF" w14:textId="77777777" w:rsidR="0036639E" w:rsidRPr="00BB3BE4" w:rsidRDefault="0036639E" w:rsidP="0036639E">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 xml:space="preserve">CONTRATOS INTERADMINISTRATIVOS – Definición – Criterio orgánico </w:t>
      </w:r>
    </w:p>
    <w:p w14:paraId="6BE03102" w14:textId="77777777" w:rsidR="0036639E" w:rsidRPr="00BB3BE4" w:rsidRDefault="0036639E" w:rsidP="0036639E">
      <w:pPr>
        <w:tabs>
          <w:tab w:val="left" w:pos="709"/>
        </w:tabs>
        <w:spacing w:after="0" w:line="240" w:lineRule="auto"/>
        <w:jc w:val="both"/>
        <w:rPr>
          <w:rFonts w:ascii="Verdana" w:eastAsia="Calibri" w:hAnsi="Verdana" w:cs="Arial"/>
          <w:bCs/>
          <w:sz w:val="20"/>
          <w:szCs w:val="20"/>
          <w:lang w:val="es-ES_tradnl" w:eastAsia="es-ES_tradnl"/>
        </w:rPr>
      </w:pPr>
    </w:p>
    <w:p w14:paraId="12C4FC7C" w14:textId="77777777" w:rsidR="0036639E" w:rsidRPr="00BB3BE4" w:rsidRDefault="0036639E" w:rsidP="0036639E">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lang w:val="es-ES"/>
        </w:rPr>
        <w:t>E</w:t>
      </w:r>
      <w:r w:rsidRPr="00E27FE1">
        <w:rPr>
          <w:rFonts w:ascii="Verdana" w:hAnsi="Verdana" w:cs="Arial"/>
          <w:color w:val="000000" w:themeColor="text1"/>
          <w:sz w:val="20"/>
          <w:szCs w:val="20"/>
          <w:lang w:val="es-ES"/>
        </w:rPr>
        <w:t>l Decreto 1082 de 2015 califica a los contratos interadministrativos como aquella contratación entre entidades estatales. De acuerdo con lo anterior, es el acuerdo donde concurre la voluntad de dos o más personas jurídicas de derecho público con la finalidad de cumplir, en el marco de sus objetivos misionales y sus competencias, con los fines del Estado. Es decir, están determinados por un criterio orgánico, pues es necesario que los extremos de la relación contractual sean entidades estatales. Por ello, los mismos pueden contener obligaciones de diversas tipologías contractuales o de una la combinación entre las mismas, como en contratos atípicos mixtos. Lo anterior en la medida que son las partes, no el objeto de las obligaciones, lo que define la existencia de este tipo de negocios</w:t>
      </w:r>
      <w:r w:rsidRPr="00BB3BE4">
        <w:rPr>
          <w:rFonts w:ascii="Verdana" w:hAnsi="Verdana" w:cs="Arial"/>
          <w:color w:val="000000" w:themeColor="text1"/>
          <w:sz w:val="20"/>
          <w:szCs w:val="20"/>
        </w:rPr>
        <w:t xml:space="preserve">.  </w:t>
      </w:r>
    </w:p>
    <w:p w14:paraId="2A16E3F6" w14:textId="77777777" w:rsidR="0036639E" w:rsidRPr="00665E7F" w:rsidRDefault="0036639E" w:rsidP="0036639E">
      <w:pPr>
        <w:spacing w:after="0" w:line="240" w:lineRule="auto"/>
        <w:jc w:val="both"/>
        <w:rPr>
          <w:rFonts w:ascii="Verdana" w:eastAsia="Calibri" w:hAnsi="Verdana" w:cs="Arial"/>
          <w:b/>
          <w:bCs/>
          <w:lang w:eastAsia="es-ES"/>
        </w:rPr>
      </w:pPr>
    </w:p>
    <w:p w14:paraId="4B340FB6" w14:textId="77777777" w:rsidR="0036639E" w:rsidRPr="00123DAA" w:rsidRDefault="0036639E" w:rsidP="0036639E">
      <w:pPr>
        <w:spacing w:after="0" w:line="240" w:lineRule="auto"/>
        <w:jc w:val="both"/>
        <w:rPr>
          <w:rFonts w:ascii="Verdana" w:eastAsia="Calibri" w:hAnsi="Verdana" w:cs="Arial"/>
          <w:b/>
          <w:bCs/>
          <w:lang w:val="es-ES_tradnl" w:eastAsia="es-ES"/>
        </w:rPr>
      </w:pPr>
      <w:r w:rsidRPr="00123DAA">
        <w:rPr>
          <w:rFonts w:ascii="Verdana" w:eastAsia="Calibri" w:hAnsi="Verdana" w:cs="Arial"/>
          <w:b/>
          <w:bCs/>
          <w:lang w:val="es-ES_tradnl" w:eastAsia="es-ES"/>
        </w:rPr>
        <w:t>CONTRATO DE OBRA PÚBLICA – Concepto – Sentido restringido</w:t>
      </w:r>
    </w:p>
    <w:p w14:paraId="274B8D90"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p>
    <w:p w14:paraId="18829BFD"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r w:rsidRPr="00123DAA">
        <w:rPr>
          <w:rFonts w:ascii="Verdana" w:eastAsia="Calibri" w:hAnsi="Verdana" w:cs="Arial"/>
          <w:sz w:val="20"/>
          <w:szCs w:val="20"/>
          <w:lang w:val="es-ES_tradnl" w:eastAsia="es-ES"/>
        </w:rPr>
        <w:t xml:space="preserve">En </w:t>
      </w:r>
      <w:r w:rsidRPr="00123DAA">
        <w:rPr>
          <w:rFonts w:ascii="Verdana" w:eastAsia="Calibri" w:hAnsi="Verdana" w:cs="Arial"/>
          <w:i/>
          <w:iCs/>
          <w:sz w:val="20"/>
          <w:szCs w:val="20"/>
          <w:lang w:val="es-ES_tradnl" w:eastAsia="es-ES"/>
        </w:rPr>
        <w:t>sentido amplio</w:t>
      </w:r>
      <w:r w:rsidRPr="00123DAA">
        <w:rPr>
          <w:rFonts w:ascii="Verdana" w:eastAsia="Calibri" w:hAnsi="Verdana" w:cs="Arial"/>
          <w:sz w:val="20"/>
          <w:szCs w:val="20"/>
          <w:lang w:val="es-ES_tradnl" w:eastAsia="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123DAA">
        <w:rPr>
          <w:rFonts w:ascii="Verdana" w:eastAsia="Calibri" w:hAnsi="Verdana" w:cs="Arial"/>
          <w:i/>
          <w:iCs/>
          <w:sz w:val="20"/>
          <w:szCs w:val="20"/>
          <w:lang w:val="es-ES_tradnl" w:eastAsia="es-ES"/>
        </w:rPr>
        <w:t>sentido restringido</w:t>
      </w:r>
      <w:r w:rsidRPr="00123DAA">
        <w:rPr>
          <w:rFonts w:ascii="Verdana" w:eastAsia="Calibri" w:hAnsi="Verdana" w:cs="Arial"/>
          <w:sz w:val="20"/>
          <w:szCs w:val="20"/>
          <w:lang w:val="es-ES_tradnl" w:eastAsia="es-ES"/>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65A7081B" w14:textId="77777777" w:rsidR="0036639E" w:rsidRPr="00123DAA" w:rsidRDefault="0036639E" w:rsidP="0036639E">
      <w:pPr>
        <w:spacing w:after="0" w:line="240" w:lineRule="auto"/>
        <w:jc w:val="both"/>
        <w:rPr>
          <w:rFonts w:ascii="Verdana" w:eastAsia="Calibri" w:hAnsi="Verdana" w:cs="Arial"/>
          <w:sz w:val="20"/>
          <w:szCs w:val="20"/>
          <w:lang w:val="es-ES_tradnl" w:eastAsia="es-ES"/>
        </w:rPr>
      </w:pPr>
    </w:p>
    <w:p w14:paraId="53EEF3C9" w14:textId="77777777" w:rsidR="0036639E" w:rsidRDefault="0036639E" w:rsidP="0036639E">
      <w:pPr>
        <w:spacing w:after="0" w:line="240" w:lineRule="auto"/>
        <w:jc w:val="both"/>
        <w:rPr>
          <w:rFonts w:ascii="Verdana" w:eastAsia="Calibri" w:hAnsi="Verdana" w:cs="Arial"/>
          <w:sz w:val="20"/>
          <w:szCs w:val="20"/>
          <w:lang w:val="es-ES_tradnl" w:eastAsia="es-ES"/>
        </w:rPr>
      </w:pPr>
      <w:r w:rsidRPr="009C7241">
        <w:rPr>
          <w:rFonts w:ascii="Verdana" w:eastAsia="Calibri" w:hAnsi="Verdana" w:cs="Arial"/>
          <w:b/>
          <w:bCs/>
          <w:lang w:val="es-ES_tradnl" w:eastAsia="es-ES"/>
        </w:rPr>
        <w:lastRenderedPageBreak/>
        <w:t>ADMINISTRACIÓN DELEGADA – Noción – Definición – Mandato – Administración y pago</w:t>
      </w:r>
    </w:p>
    <w:p w14:paraId="110B4927" w14:textId="77777777" w:rsidR="0036639E" w:rsidRDefault="0036639E" w:rsidP="0036639E">
      <w:pPr>
        <w:spacing w:after="0" w:line="240" w:lineRule="auto"/>
        <w:jc w:val="both"/>
        <w:rPr>
          <w:rFonts w:ascii="Verdana" w:eastAsia="Calibri" w:hAnsi="Verdana" w:cs="Arial"/>
          <w:sz w:val="20"/>
          <w:szCs w:val="20"/>
          <w:lang w:val="es-ES_tradnl" w:eastAsia="es-ES"/>
        </w:rPr>
      </w:pPr>
    </w:p>
    <w:p w14:paraId="79021C8E" w14:textId="77777777" w:rsidR="0036639E" w:rsidRDefault="0036639E" w:rsidP="0036639E">
      <w:pPr>
        <w:spacing w:after="0" w:line="240" w:lineRule="auto"/>
        <w:jc w:val="both"/>
        <w:rPr>
          <w:rFonts w:ascii="Verdana" w:eastAsia="Calibri" w:hAnsi="Verdana" w:cs="Arial"/>
          <w:sz w:val="20"/>
          <w:szCs w:val="20"/>
          <w:lang w:val="es-ES_tradnl" w:eastAsia="es-ES"/>
        </w:rPr>
      </w:pPr>
      <w:r>
        <w:rPr>
          <w:rFonts w:ascii="Verdana" w:eastAsia="Calibri" w:hAnsi="Verdana" w:cs="Arial"/>
          <w:sz w:val="20"/>
          <w:szCs w:val="20"/>
          <w:lang w:val="es-ES_tradnl" w:eastAsia="es-ES"/>
        </w:rPr>
        <w:t>L</w:t>
      </w:r>
      <w:r w:rsidRPr="009C7241">
        <w:rPr>
          <w:rFonts w:ascii="Verdana" w:eastAsia="Calibri" w:hAnsi="Verdana" w:cs="Arial"/>
          <w:sz w:val="20"/>
          <w:szCs w:val="20"/>
          <w:lang w:val="es-ES_tradnl" w:eastAsia="es-ES"/>
        </w:rPr>
        <w:t xml:space="preserve">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9C7241">
        <w:rPr>
          <w:rFonts w:ascii="Verdana" w:eastAsia="Calibri" w:hAnsi="Verdana" w:cs="Arial"/>
          <w:sz w:val="20"/>
          <w:szCs w:val="20"/>
          <w:lang w:val="es-ES_tradnl" w:eastAsia="es-ES"/>
        </w:rPr>
        <w:t>ii</w:t>
      </w:r>
      <w:proofErr w:type="spellEnd"/>
      <w:r w:rsidRPr="009C7241">
        <w:rPr>
          <w:rFonts w:ascii="Verdana" w:eastAsia="Calibri" w:hAnsi="Verdana" w:cs="Arial"/>
          <w:sz w:val="20"/>
          <w:szCs w:val="20"/>
          <w:lang w:val="es-ES_tradnl" w:eastAsia="es-ES"/>
        </w:rPr>
        <w:t>) como una modalidad de administración y pago, no necesariamente asociada al mandato. De acuerdo con la jurisprudencia del Consejo de Estado, “Bajo este sistema la administración paga el costo real de la obra, más determinado porcentaje como retribución al contratista por concepto de honorarios de administración (en los que se incluyen costos de personal, oficinas, vehículos, desplazamientos etc.) y la utilidad”.</w:t>
      </w:r>
    </w:p>
    <w:p w14:paraId="610E670C" w14:textId="77777777" w:rsidR="0036639E" w:rsidRDefault="0036639E" w:rsidP="0036639E">
      <w:pPr>
        <w:spacing w:after="0" w:line="240" w:lineRule="auto"/>
        <w:jc w:val="both"/>
        <w:rPr>
          <w:rFonts w:ascii="Verdana" w:eastAsia="Calibri" w:hAnsi="Verdana" w:cs="Arial"/>
          <w:sz w:val="20"/>
          <w:szCs w:val="20"/>
          <w:lang w:val="es-ES_tradnl" w:eastAsia="es-ES"/>
        </w:rPr>
      </w:pPr>
      <w:r w:rsidRPr="00683DFF">
        <w:rPr>
          <w:rFonts w:ascii="Verdana" w:eastAsia="Calibri" w:hAnsi="Verdana" w:cs="Arial"/>
          <w:sz w:val="20"/>
          <w:szCs w:val="20"/>
          <w:lang w:val="es-ES_tradnl" w:eastAsia="es-ES"/>
        </w:rPr>
        <w:t xml:space="preserve"> </w:t>
      </w:r>
    </w:p>
    <w:p w14:paraId="0094341F" w14:textId="77777777" w:rsidR="0036639E" w:rsidRDefault="0036639E" w:rsidP="0036639E">
      <w:pPr>
        <w:spacing w:after="0" w:line="240" w:lineRule="auto"/>
        <w:jc w:val="both"/>
        <w:rPr>
          <w:rFonts w:ascii="Verdana" w:eastAsia="Geomanist Light" w:hAnsi="Verdana" w:cs="Arial"/>
          <w:color w:val="000000" w:themeColor="text1"/>
          <w:lang w:val="es-MX"/>
        </w:rPr>
      </w:pPr>
    </w:p>
    <w:p w14:paraId="50A026EF" w14:textId="77777777" w:rsidR="0036639E" w:rsidRDefault="0036639E" w:rsidP="0036639E">
      <w:pPr>
        <w:spacing w:after="0" w:line="240" w:lineRule="auto"/>
        <w:jc w:val="both"/>
        <w:rPr>
          <w:rFonts w:ascii="Verdana" w:eastAsia="Geomanist Light" w:hAnsi="Verdana" w:cs="Arial"/>
          <w:color w:val="000000" w:themeColor="text1"/>
          <w:lang w:val="es-MX"/>
        </w:rPr>
      </w:pPr>
    </w:p>
    <w:p w14:paraId="2B0275F8" w14:textId="77777777" w:rsidR="0036639E" w:rsidRDefault="0036639E" w:rsidP="0036639E">
      <w:pPr>
        <w:spacing w:after="0" w:line="240" w:lineRule="auto"/>
        <w:jc w:val="both"/>
        <w:rPr>
          <w:rFonts w:ascii="Verdana" w:eastAsia="Geomanist Light" w:hAnsi="Verdana" w:cs="Arial"/>
          <w:color w:val="000000" w:themeColor="text1"/>
          <w:lang w:val="es-MX"/>
        </w:rPr>
      </w:pPr>
    </w:p>
    <w:p w14:paraId="1874738D" w14:textId="77777777" w:rsidR="0036639E" w:rsidRDefault="0036639E" w:rsidP="0036639E">
      <w:pPr>
        <w:spacing w:after="0" w:line="240" w:lineRule="auto"/>
        <w:jc w:val="both"/>
        <w:rPr>
          <w:rFonts w:ascii="Verdana" w:eastAsia="Geomanist Light" w:hAnsi="Verdana" w:cs="Arial"/>
          <w:color w:val="000000" w:themeColor="text1"/>
          <w:lang w:val="es-MX"/>
        </w:rPr>
      </w:pPr>
    </w:p>
    <w:p w14:paraId="4681B480" w14:textId="77777777" w:rsidR="0036639E" w:rsidRDefault="0036639E" w:rsidP="0036639E">
      <w:pPr>
        <w:spacing w:after="0" w:line="240" w:lineRule="auto"/>
        <w:jc w:val="both"/>
        <w:rPr>
          <w:rFonts w:ascii="Verdana" w:eastAsia="Geomanist Light" w:hAnsi="Verdana" w:cs="Arial"/>
          <w:color w:val="000000" w:themeColor="text1"/>
          <w:lang w:val="es-MX"/>
        </w:rPr>
      </w:pPr>
    </w:p>
    <w:p w14:paraId="78F668E4" w14:textId="77777777" w:rsidR="0036639E" w:rsidRDefault="0036639E" w:rsidP="0036639E">
      <w:pPr>
        <w:spacing w:after="0" w:line="240" w:lineRule="auto"/>
        <w:jc w:val="both"/>
        <w:rPr>
          <w:rFonts w:ascii="Verdana" w:eastAsia="Geomanist Light" w:hAnsi="Verdana" w:cs="Arial"/>
          <w:color w:val="000000" w:themeColor="text1"/>
          <w:lang w:val="es-MX"/>
        </w:rPr>
      </w:pPr>
    </w:p>
    <w:p w14:paraId="2022DD3B" w14:textId="77777777" w:rsidR="0036639E" w:rsidRDefault="0036639E" w:rsidP="0036639E">
      <w:pPr>
        <w:spacing w:after="0" w:line="240" w:lineRule="auto"/>
        <w:jc w:val="both"/>
        <w:rPr>
          <w:rFonts w:ascii="Verdana" w:eastAsia="Geomanist Light" w:hAnsi="Verdana" w:cs="Arial"/>
          <w:color w:val="000000" w:themeColor="text1"/>
          <w:lang w:val="es-MX"/>
        </w:rPr>
      </w:pPr>
    </w:p>
    <w:p w14:paraId="748DD136" w14:textId="77777777" w:rsidR="0036639E" w:rsidRDefault="0036639E" w:rsidP="0036639E">
      <w:pPr>
        <w:spacing w:after="0" w:line="240" w:lineRule="auto"/>
        <w:jc w:val="both"/>
        <w:rPr>
          <w:rFonts w:ascii="Verdana" w:eastAsia="Geomanist Light" w:hAnsi="Verdana" w:cs="Arial"/>
          <w:color w:val="000000" w:themeColor="text1"/>
          <w:lang w:val="es-MX"/>
        </w:rPr>
      </w:pPr>
    </w:p>
    <w:p w14:paraId="7F9FE7F8" w14:textId="77777777" w:rsidR="0036639E" w:rsidRDefault="0036639E" w:rsidP="0036639E">
      <w:pPr>
        <w:spacing w:after="0" w:line="240" w:lineRule="auto"/>
        <w:jc w:val="both"/>
        <w:rPr>
          <w:rFonts w:ascii="Verdana" w:eastAsia="Geomanist Light" w:hAnsi="Verdana" w:cs="Arial"/>
          <w:color w:val="000000" w:themeColor="text1"/>
          <w:lang w:val="es-MX"/>
        </w:rPr>
      </w:pPr>
    </w:p>
    <w:p w14:paraId="34930FC1" w14:textId="77777777" w:rsidR="0036639E" w:rsidRDefault="0036639E" w:rsidP="0036639E">
      <w:pPr>
        <w:spacing w:after="0" w:line="240" w:lineRule="auto"/>
        <w:jc w:val="both"/>
        <w:rPr>
          <w:rFonts w:ascii="Verdana" w:eastAsia="Geomanist Light" w:hAnsi="Verdana" w:cs="Arial"/>
          <w:color w:val="000000" w:themeColor="text1"/>
          <w:lang w:val="es-MX"/>
        </w:rPr>
      </w:pPr>
    </w:p>
    <w:p w14:paraId="08D01FEE" w14:textId="77777777" w:rsidR="0036639E" w:rsidRDefault="0036639E" w:rsidP="0036639E">
      <w:pPr>
        <w:spacing w:after="0" w:line="240" w:lineRule="auto"/>
        <w:jc w:val="both"/>
        <w:rPr>
          <w:rFonts w:ascii="Verdana" w:eastAsia="Geomanist Light" w:hAnsi="Verdana" w:cs="Arial"/>
          <w:color w:val="000000" w:themeColor="text1"/>
          <w:lang w:val="es-MX"/>
        </w:rPr>
      </w:pPr>
    </w:p>
    <w:p w14:paraId="3365A582" w14:textId="77777777" w:rsidR="0036639E" w:rsidRDefault="0036639E" w:rsidP="0036639E">
      <w:pPr>
        <w:spacing w:after="0" w:line="240" w:lineRule="auto"/>
        <w:jc w:val="both"/>
        <w:rPr>
          <w:rFonts w:ascii="Verdana" w:eastAsia="Geomanist Light" w:hAnsi="Verdana" w:cs="Arial"/>
          <w:color w:val="000000" w:themeColor="text1"/>
          <w:lang w:val="es-MX"/>
        </w:rPr>
      </w:pPr>
    </w:p>
    <w:p w14:paraId="5D8B40F8" w14:textId="77777777" w:rsidR="0036639E" w:rsidRDefault="0036639E" w:rsidP="0036639E">
      <w:pPr>
        <w:spacing w:after="0" w:line="240" w:lineRule="auto"/>
        <w:jc w:val="both"/>
        <w:rPr>
          <w:rFonts w:ascii="Verdana" w:eastAsia="Geomanist Light" w:hAnsi="Verdana" w:cs="Arial"/>
          <w:color w:val="000000" w:themeColor="text1"/>
          <w:lang w:val="es-MX"/>
        </w:rPr>
      </w:pPr>
    </w:p>
    <w:p w14:paraId="424854A4" w14:textId="77777777" w:rsidR="0036639E" w:rsidRDefault="0036639E" w:rsidP="0036639E">
      <w:pPr>
        <w:spacing w:after="0" w:line="240" w:lineRule="auto"/>
        <w:jc w:val="both"/>
        <w:rPr>
          <w:rFonts w:ascii="Verdana" w:eastAsia="Geomanist Light" w:hAnsi="Verdana" w:cs="Arial"/>
          <w:color w:val="000000" w:themeColor="text1"/>
          <w:lang w:val="es-MX"/>
        </w:rPr>
      </w:pPr>
    </w:p>
    <w:p w14:paraId="6BE3FCA7" w14:textId="77777777" w:rsidR="0036639E" w:rsidRDefault="0036639E" w:rsidP="0036639E">
      <w:pPr>
        <w:spacing w:after="0" w:line="240" w:lineRule="auto"/>
        <w:jc w:val="both"/>
        <w:rPr>
          <w:rFonts w:ascii="Verdana" w:eastAsia="Geomanist Light" w:hAnsi="Verdana" w:cs="Arial"/>
          <w:color w:val="000000" w:themeColor="text1"/>
          <w:lang w:val="es-MX"/>
        </w:rPr>
      </w:pPr>
    </w:p>
    <w:p w14:paraId="24609425" w14:textId="77777777" w:rsidR="0036639E" w:rsidRDefault="0036639E" w:rsidP="0036639E">
      <w:pPr>
        <w:spacing w:after="0" w:line="240" w:lineRule="auto"/>
        <w:jc w:val="both"/>
        <w:rPr>
          <w:rFonts w:ascii="Verdana" w:eastAsia="Geomanist Light" w:hAnsi="Verdana" w:cs="Arial"/>
          <w:color w:val="000000" w:themeColor="text1"/>
          <w:lang w:val="es-MX"/>
        </w:rPr>
      </w:pPr>
    </w:p>
    <w:p w14:paraId="2820247D" w14:textId="77777777" w:rsidR="0036639E" w:rsidRDefault="0036639E" w:rsidP="0036639E">
      <w:pPr>
        <w:spacing w:after="0" w:line="240" w:lineRule="auto"/>
        <w:jc w:val="both"/>
        <w:rPr>
          <w:rFonts w:ascii="Verdana" w:eastAsia="Geomanist Light" w:hAnsi="Verdana" w:cs="Arial"/>
          <w:color w:val="000000" w:themeColor="text1"/>
          <w:lang w:val="es-MX"/>
        </w:rPr>
      </w:pPr>
    </w:p>
    <w:p w14:paraId="7424891A" w14:textId="77777777" w:rsidR="0036639E" w:rsidRDefault="0036639E" w:rsidP="0036639E">
      <w:pPr>
        <w:spacing w:after="0" w:line="240" w:lineRule="auto"/>
        <w:jc w:val="both"/>
        <w:rPr>
          <w:rFonts w:ascii="Verdana" w:eastAsia="Geomanist Light" w:hAnsi="Verdana" w:cs="Arial"/>
          <w:color w:val="000000" w:themeColor="text1"/>
          <w:lang w:val="es-MX"/>
        </w:rPr>
      </w:pPr>
    </w:p>
    <w:p w14:paraId="38ACA567" w14:textId="77777777" w:rsidR="0036639E" w:rsidRDefault="0036639E" w:rsidP="0036639E">
      <w:pPr>
        <w:spacing w:after="0" w:line="240" w:lineRule="auto"/>
        <w:jc w:val="both"/>
        <w:rPr>
          <w:rFonts w:ascii="Verdana" w:eastAsia="Geomanist Light" w:hAnsi="Verdana" w:cs="Arial"/>
          <w:color w:val="000000" w:themeColor="text1"/>
          <w:lang w:val="es-MX"/>
        </w:rPr>
      </w:pPr>
    </w:p>
    <w:p w14:paraId="52523D1A" w14:textId="77777777" w:rsidR="0036639E" w:rsidRDefault="0036639E" w:rsidP="0036639E">
      <w:pPr>
        <w:spacing w:after="0" w:line="240" w:lineRule="auto"/>
        <w:jc w:val="both"/>
        <w:rPr>
          <w:rFonts w:ascii="Verdana" w:eastAsia="Geomanist Light" w:hAnsi="Verdana" w:cs="Arial"/>
          <w:color w:val="000000" w:themeColor="text1"/>
          <w:lang w:val="es-MX"/>
        </w:rPr>
      </w:pPr>
    </w:p>
    <w:p w14:paraId="37FF02BC" w14:textId="77777777" w:rsidR="0036639E" w:rsidRDefault="0036639E" w:rsidP="0036639E">
      <w:pPr>
        <w:spacing w:after="0" w:line="240" w:lineRule="auto"/>
        <w:jc w:val="both"/>
        <w:rPr>
          <w:rFonts w:ascii="Verdana" w:eastAsia="Geomanist Light" w:hAnsi="Verdana" w:cs="Arial"/>
          <w:color w:val="000000" w:themeColor="text1"/>
          <w:lang w:val="es-MX"/>
        </w:rPr>
      </w:pPr>
    </w:p>
    <w:p w14:paraId="4D18BC8A" w14:textId="77777777" w:rsidR="0036639E" w:rsidRDefault="0036639E" w:rsidP="0036639E">
      <w:pPr>
        <w:spacing w:after="0" w:line="240" w:lineRule="auto"/>
        <w:jc w:val="both"/>
        <w:rPr>
          <w:rFonts w:ascii="Verdana" w:eastAsia="Geomanist Light" w:hAnsi="Verdana" w:cs="Arial"/>
          <w:color w:val="000000" w:themeColor="text1"/>
          <w:lang w:val="es-MX"/>
        </w:rPr>
      </w:pPr>
    </w:p>
    <w:p w14:paraId="4905D698" w14:textId="77777777" w:rsidR="0036639E" w:rsidRDefault="0036639E" w:rsidP="0036639E">
      <w:pPr>
        <w:spacing w:after="0" w:line="240" w:lineRule="auto"/>
        <w:jc w:val="both"/>
        <w:rPr>
          <w:rFonts w:ascii="Verdana" w:eastAsia="Geomanist Light" w:hAnsi="Verdana" w:cs="Arial"/>
          <w:color w:val="000000" w:themeColor="text1"/>
          <w:lang w:val="es-MX"/>
        </w:rPr>
      </w:pPr>
    </w:p>
    <w:p w14:paraId="0006649B" w14:textId="77777777" w:rsidR="0036639E" w:rsidRDefault="0036639E" w:rsidP="0036639E">
      <w:pPr>
        <w:spacing w:after="0" w:line="240" w:lineRule="auto"/>
        <w:jc w:val="both"/>
        <w:rPr>
          <w:rFonts w:ascii="Verdana" w:eastAsia="Geomanist Light" w:hAnsi="Verdana" w:cs="Arial"/>
          <w:color w:val="000000" w:themeColor="text1"/>
          <w:lang w:val="es-MX"/>
        </w:rPr>
      </w:pPr>
    </w:p>
    <w:p w14:paraId="104E4A8E" w14:textId="77777777" w:rsidR="0036639E" w:rsidRDefault="0036639E" w:rsidP="0036639E">
      <w:pPr>
        <w:spacing w:after="0" w:line="240" w:lineRule="auto"/>
        <w:jc w:val="both"/>
        <w:rPr>
          <w:rFonts w:ascii="Verdana" w:eastAsia="Geomanist Light" w:hAnsi="Verdana" w:cs="Arial"/>
          <w:color w:val="000000" w:themeColor="text1"/>
          <w:lang w:val="es-MX"/>
        </w:rPr>
      </w:pPr>
    </w:p>
    <w:p w14:paraId="268EDE90" w14:textId="77777777" w:rsidR="0036639E" w:rsidRDefault="0036639E" w:rsidP="0036639E">
      <w:pPr>
        <w:spacing w:after="0" w:line="240" w:lineRule="auto"/>
        <w:jc w:val="both"/>
        <w:rPr>
          <w:rFonts w:ascii="Verdana" w:eastAsia="Geomanist Light" w:hAnsi="Verdana" w:cs="Arial"/>
          <w:color w:val="000000" w:themeColor="text1"/>
          <w:lang w:val="es-MX"/>
        </w:rPr>
      </w:pPr>
    </w:p>
    <w:p w14:paraId="51FD0B8D" w14:textId="77777777" w:rsidR="0036639E" w:rsidRDefault="0036639E" w:rsidP="0036639E">
      <w:pPr>
        <w:spacing w:after="0" w:line="240" w:lineRule="auto"/>
        <w:jc w:val="both"/>
        <w:rPr>
          <w:rFonts w:ascii="Verdana" w:eastAsia="Geomanist Light" w:hAnsi="Verdana" w:cs="Arial"/>
          <w:color w:val="000000" w:themeColor="text1"/>
          <w:lang w:val="es-MX"/>
        </w:rPr>
      </w:pPr>
    </w:p>
    <w:p w14:paraId="73B114B2" w14:textId="77777777" w:rsidR="0036639E" w:rsidRDefault="0036639E" w:rsidP="0036639E">
      <w:pPr>
        <w:spacing w:after="0" w:line="240" w:lineRule="auto"/>
        <w:jc w:val="both"/>
        <w:rPr>
          <w:rFonts w:ascii="Verdana" w:eastAsia="Geomanist Light" w:hAnsi="Verdana" w:cs="Arial"/>
          <w:color w:val="000000" w:themeColor="text1"/>
          <w:lang w:val="es-MX"/>
        </w:rPr>
      </w:pPr>
    </w:p>
    <w:p w14:paraId="3B11597E" w14:textId="77777777" w:rsidR="0036639E" w:rsidRDefault="0036639E" w:rsidP="00381A5E">
      <w:pPr>
        <w:spacing w:after="0" w:line="240" w:lineRule="auto"/>
        <w:jc w:val="both"/>
        <w:rPr>
          <w:rFonts w:ascii="Verdana" w:eastAsia="Geomanist Light" w:hAnsi="Verdana" w:cs="Arial"/>
          <w:color w:val="000000" w:themeColor="text1"/>
          <w:lang w:val="es-MX"/>
        </w:rPr>
      </w:pPr>
    </w:p>
    <w:p w14:paraId="4298BF02" w14:textId="77777777" w:rsidR="0036639E" w:rsidRDefault="0036639E" w:rsidP="00381A5E">
      <w:pPr>
        <w:spacing w:after="0" w:line="240" w:lineRule="auto"/>
        <w:jc w:val="both"/>
        <w:rPr>
          <w:rFonts w:ascii="Verdana" w:eastAsia="Geomanist Light" w:hAnsi="Verdana" w:cs="Arial"/>
          <w:color w:val="000000" w:themeColor="text1"/>
          <w:lang w:val="es-MX"/>
        </w:rPr>
      </w:pPr>
    </w:p>
    <w:p w14:paraId="68AAFB91" w14:textId="23A3163C" w:rsidR="00381A5E" w:rsidRPr="009C7241" w:rsidRDefault="00381A5E" w:rsidP="00381A5E">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421BB0">
        <w:rPr>
          <w:rFonts w:ascii="Verdana" w:eastAsia="Geomanist Light" w:hAnsi="Verdana" w:cs="Arial"/>
          <w:color w:val="000000" w:themeColor="text1"/>
          <w:lang w:val="es-MX"/>
        </w:rPr>
        <w:t>2</w:t>
      </w:r>
      <w:r w:rsidR="00664FB1">
        <w:rPr>
          <w:rFonts w:ascii="Verdana" w:eastAsia="Geomanist Light" w:hAnsi="Verdana" w:cs="Arial"/>
          <w:color w:val="000000" w:themeColor="text1"/>
          <w:lang w:val="es-MX"/>
        </w:rPr>
        <w:t>7</w:t>
      </w:r>
      <w:r w:rsidR="00421BB0">
        <w:rPr>
          <w:rFonts w:ascii="Verdana" w:eastAsia="Geomanist Light" w:hAnsi="Verdana" w:cs="Arial"/>
          <w:color w:val="000000" w:themeColor="text1"/>
          <w:lang w:val="es-MX"/>
        </w:rPr>
        <w:t xml:space="preserve"> de Octubre de 2025</w:t>
      </w:r>
    </w:p>
    <w:p w14:paraId="0281CAB6" w14:textId="77777777" w:rsidR="00381A5E" w:rsidRDefault="00381A5E" w:rsidP="00381A5E">
      <w:pPr>
        <w:spacing w:after="0" w:line="240" w:lineRule="auto"/>
        <w:jc w:val="both"/>
        <w:rPr>
          <w:rFonts w:ascii="Verdana" w:eastAsia="Calibri" w:hAnsi="Verdana" w:cs="Arial"/>
          <w:color w:val="000000"/>
          <w:lang w:val="es-ES"/>
        </w:rPr>
      </w:pPr>
    </w:p>
    <w:p w14:paraId="4352CC1E" w14:textId="71EE4CC1" w:rsidR="00CE6AA6" w:rsidRDefault="00CE6AA6" w:rsidP="00CE6AA6">
      <w:pPr>
        <w:spacing w:after="0" w:line="240" w:lineRule="auto"/>
        <w:jc w:val="right"/>
        <w:rPr>
          <w:rFonts w:ascii="Verdana" w:eastAsia="Calibri" w:hAnsi="Verdana" w:cs="Arial"/>
          <w:color w:val="000000"/>
          <w:lang w:val="es-ES"/>
        </w:rPr>
      </w:pPr>
      <w:r w:rsidRPr="00CE6AA6">
        <w:rPr>
          <w:rFonts w:ascii="Verdana" w:eastAsia="Calibri" w:hAnsi="Verdana" w:cs="Arial"/>
          <w:noProof/>
          <w:color w:val="000000"/>
          <w:lang w:val="es-ES"/>
        </w:rPr>
        <w:drawing>
          <wp:inline distT="0" distB="0" distL="0" distR="0" wp14:anchorId="5E038BE9" wp14:editId="491B56F7">
            <wp:extent cx="2400300" cy="622300"/>
            <wp:effectExtent l="0" t="0" r="0" b="0"/>
            <wp:docPr id="19743292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329232" name=""/>
                    <pic:cNvPicPr/>
                  </pic:nvPicPr>
                  <pic:blipFill>
                    <a:blip r:embed="rId10"/>
                    <a:stretch>
                      <a:fillRect/>
                    </a:stretch>
                  </pic:blipFill>
                  <pic:spPr>
                    <a:xfrm>
                      <a:off x="0" y="0"/>
                      <a:ext cx="2400300" cy="622300"/>
                    </a:xfrm>
                    <a:prstGeom prst="rect">
                      <a:avLst/>
                    </a:prstGeom>
                  </pic:spPr>
                </pic:pic>
              </a:graphicData>
            </a:graphic>
          </wp:inline>
        </w:drawing>
      </w:r>
    </w:p>
    <w:p w14:paraId="484A6436" w14:textId="77777777" w:rsidR="00381A5E" w:rsidRPr="00593A5F" w:rsidRDefault="00381A5E" w:rsidP="00381A5E">
      <w:pPr>
        <w:spacing w:after="0" w:line="240" w:lineRule="auto"/>
        <w:jc w:val="both"/>
        <w:rPr>
          <w:rFonts w:ascii="Verdana" w:eastAsia="Calibri" w:hAnsi="Verdana" w:cs="Arial"/>
          <w:color w:val="000000"/>
          <w:lang w:val="es-ES"/>
        </w:rPr>
      </w:pPr>
    </w:p>
    <w:p w14:paraId="68F33905" w14:textId="77777777" w:rsidR="00381A5E" w:rsidRPr="000C555D" w:rsidRDefault="00381A5E" w:rsidP="00381A5E">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5DF57A5" w14:textId="77777777" w:rsidR="00381A5E" w:rsidRDefault="00381A5E" w:rsidP="00381A5E">
      <w:pPr>
        <w:spacing w:after="0" w:line="240" w:lineRule="auto"/>
        <w:rPr>
          <w:rFonts w:ascii="Verdana" w:eastAsia="Calibri" w:hAnsi="Verdana" w:cs="Arial"/>
          <w:b/>
          <w:lang w:val="es-ES" w:eastAsia="es-ES"/>
        </w:rPr>
      </w:pPr>
      <w:r w:rsidRPr="00D10E3B">
        <w:rPr>
          <w:rFonts w:ascii="Verdana" w:eastAsia="Calibri" w:hAnsi="Verdana" w:cs="Arial"/>
          <w:b/>
          <w:lang w:val="es-ES" w:eastAsia="es-ES"/>
        </w:rPr>
        <w:t>Yelitza Oliveros Ramírez</w:t>
      </w:r>
    </w:p>
    <w:p w14:paraId="7432452E" w14:textId="77777777" w:rsidR="00381A5E" w:rsidRPr="00D10E3B" w:rsidRDefault="00381A5E" w:rsidP="00381A5E">
      <w:pPr>
        <w:spacing w:after="0" w:line="240" w:lineRule="auto"/>
        <w:rPr>
          <w:rFonts w:ascii="Verdana" w:eastAsia="Calibri" w:hAnsi="Verdana" w:cs="Arial"/>
          <w:lang w:val="es-ES" w:eastAsia="es-ES"/>
        </w:rPr>
      </w:pPr>
      <w:hyperlink r:id="rId11" w:history="1">
        <w:r w:rsidRPr="00782400">
          <w:rPr>
            <w:rStyle w:val="Hipervnculo"/>
            <w:rFonts w:ascii="Verdana" w:eastAsia="Calibri" w:hAnsi="Verdana" w:cs="Arial"/>
            <w:bCs/>
            <w:lang w:val="es-ES" w:eastAsia="es-ES"/>
          </w:rPr>
          <w:t>yelitzaoliveros@hotmail.com</w:t>
        </w:r>
      </w:hyperlink>
      <w:r>
        <w:rPr>
          <w:rFonts w:ascii="Verdana" w:eastAsia="Calibri" w:hAnsi="Verdana" w:cs="Arial"/>
          <w:lang w:val="es-ES" w:eastAsia="es-ES"/>
        </w:rPr>
        <w:t xml:space="preserve"> </w:t>
      </w:r>
      <w:r w:rsidRPr="00D10E3B">
        <w:rPr>
          <w:rFonts w:ascii="Verdana" w:eastAsia="Calibri" w:hAnsi="Verdana" w:cs="Arial"/>
          <w:lang w:val="es-ES" w:eastAsia="es-ES"/>
        </w:rPr>
        <w:t xml:space="preserve"> </w:t>
      </w:r>
    </w:p>
    <w:p w14:paraId="4794F9A9" w14:textId="77777777" w:rsidR="00381A5E" w:rsidRDefault="00381A5E" w:rsidP="00381A5E">
      <w:pPr>
        <w:spacing w:after="0" w:line="240" w:lineRule="auto"/>
        <w:rPr>
          <w:rFonts w:ascii="Verdana" w:eastAsia="Calibri" w:hAnsi="Verdana" w:cs="Arial"/>
          <w:lang w:val="es-ES" w:eastAsia="es-ES"/>
        </w:rPr>
      </w:pPr>
      <w:r>
        <w:rPr>
          <w:rFonts w:ascii="Verdana" w:eastAsia="Calibri" w:hAnsi="Verdana" w:cs="Arial"/>
          <w:lang w:val="es-ES" w:eastAsia="es-ES"/>
        </w:rPr>
        <w:t xml:space="preserve">Bucaramanga, Santander </w:t>
      </w:r>
    </w:p>
    <w:p w14:paraId="393A9D4A" w14:textId="77777777" w:rsidR="00381A5E" w:rsidRPr="00593A5F" w:rsidRDefault="00381A5E" w:rsidP="00381A5E">
      <w:pPr>
        <w:spacing w:after="0" w:line="240" w:lineRule="auto"/>
        <w:rPr>
          <w:rFonts w:ascii="Verdana" w:eastAsia="Calibri" w:hAnsi="Verdana" w:cs="Arial"/>
          <w:b/>
          <w:bCs/>
          <w:color w:val="000000"/>
          <w:lang w:val="es-ES_tradnl" w:eastAsia="es-ES_tradnl"/>
        </w:rPr>
      </w:pPr>
    </w:p>
    <w:p w14:paraId="18B0F202" w14:textId="77777777" w:rsidR="00381A5E" w:rsidRPr="00593A5F" w:rsidRDefault="00381A5E" w:rsidP="00381A5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81A5E" w:rsidRPr="00593A5F" w14:paraId="40815F54" w14:textId="77777777" w:rsidTr="00DE40D4">
        <w:trPr>
          <w:trHeight w:val="884"/>
        </w:trPr>
        <w:tc>
          <w:tcPr>
            <w:tcW w:w="2689" w:type="dxa"/>
          </w:tcPr>
          <w:p w14:paraId="5740ED33" w14:textId="77777777" w:rsidR="00381A5E" w:rsidRPr="00C00976" w:rsidRDefault="00381A5E" w:rsidP="00DE40D4">
            <w:pPr>
              <w:jc w:val="both"/>
              <w:rPr>
                <w:rFonts w:ascii="Verdana" w:eastAsia="Calibri" w:hAnsi="Verdana" w:cs="Arial"/>
                <w:b/>
                <w:bCs/>
                <w:color w:val="7030A0"/>
                <w:lang w:val="es-ES_tradnl" w:eastAsia="es-ES_tradnl"/>
              </w:rPr>
            </w:pPr>
          </w:p>
        </w:tc>
        <w:tc>
          <w:tcPr>
            <w:tcW w:w="6100" w:type="dxa"/>
          </w:tcPr>
          <w:p w14:paraId="70D89963" w14:textId="27021553" w:rsidR="00381A5E" w:rsidRPr="00C00976" w:rsidRDefault="00381A5E" w:rsidP="00DE40D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A82637">
              <w:rPr>
                <w:rFonts w:ascii="Verdana" w:eastAsia="Calibri" w:hAnsi="Verdana" w:cs="Arial"/>
                <w:b/>
                <w:bCs/>
                <w:lang w:val="es-ES" w:eastAsia="es-ES"/>
              </w:rPr>
              <w:t>1505</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381A5E" w:rsidRPr="00593A5F" w14:paraId="4B027DB4" w14:textId="77777777" w:rsidTr="00DE40D4">
        <w:trPr>
          <w:trHeight w:val="884"/>
        </w:trPr>
        <w:tc>
          <w:tcPr>
            <w:tcW w:w="2689" w:type="dxa"/>
          </w:tcPr>
          <w:p w14:paraId="3E32F6CD" w14:textId="77777777" w:rsidR="00381A5E" w:rsidRPr="00593A5F" w:rsidRDefault="00381A5E" w:rsidP="00DE40D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432F5C8" w14:textId="77777777" w:rsidR="00381A5E" w:rsidRPr="00A11406" w:rsidRDefault="00381A5E" w:rsidP="00DE40D4">
            <w:pPr>
              <w:spacing w:line="276" w:lineRule="auto"/>
              <w:jc w:val="both"/>
              <w:rPr>
                <w:rFonts w:ascii="Verdana" w:eastAsia="Calibri" w:hAnsi="Verdana" w:cs="Arial"/>
                <w:lang w:val="es-ES" w:eastAsia="es-ES"/>
              </w:rPr>
            </w:pPr>
            <w:r w:rsidRPr="009C7241">
              <w:rPr>
                <w:rFonts w:ascii="Verdana" w:eastAsia="Calibri" w:hAnsi="Verdana" w:cs="Arial"/>
                <w:lang w:val="es-ES" w:eastAsia="es-ES"/>
              </w:rPr>
              <w:t>CONTRATO ESTATAL – Régimen mixto – Derecho público – Derecho privado</w:t>
            </w:r>
            <w:r>
              <w:rPr>
                <w:rFonts w:ascii="Verdana" w:eastAsia="Calibri" w:hAnsi="Verdana" w:cs="Arial"/>
                <w:lang w:val="es-ES" w:eastAsia="es-ES"/>
              </w:rPr>
              <w:t xml:space="preserve"> / </w:t>
            </w:r>
            <w:r w:rsidRPr="009C7241">
              <w:rPr>
                <w:rFonts w:ascii="Verdana" w:eastAsia="Calibri" w:hAnsi="Verdana" w:cs="Arial"/>
                <w:lang w:val="es-ES" w:eastAsia="es-ES"/>
              </w:rPr>
              <w:t>CONTRATO DE OBRA PÚBLICA – Concepto – Sentido restringido</w:t>
            </w:r>
            <w:r>
              <w:rPr>
                <w:rFonts w:ascii="Verdana" w:eastAsia="Calibri" w:hAnsi="Verdana" w:cs="Arial"/>
                <w:lang w:val="es-ES" w:eastAsia="es-ES"/>
              </w:rPr>
              <w:t xml:space="preserve"> / </w:t>
            </w:r>
            <w:r w:rsidRPr="009C7241">
              <w:rPr>
                <w:rFonts w:ascii="Verdana" w:eastAsia="Calibri" w:hAnsi="Verdana" w:cs="Arial"/>
                <w:lang w:val="es-ES" w:eastAsia="es-ES"/>
              </w:rPr>
              <w:t>ADMINISTRACIÓN DELEGADA – Noción – Definición – Mandato – Administración y pago</w:t>
            </w:r>
            <w:r w:rsidRPr="00683DFF">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20BD54A" w14:textId="77777777" w:rsidR="00381A5E" w:rsidRPr="00593A5F" w:rsidRDefault="00381A5E" w:rsidP="00DE40D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81A5E" w:rsidRPr="008E6AD9" w14:paraId="3488433D" w14:textId="77777777" w:rsidTr="00DE40D4">
        <w:tc>
          <w:tcPr>
            <w:tcW w:w="2689" w:type="dxa"/>
          </w:tcPr>
          <w:p w14:paraId="399D4BF7" w14:textId="77777777" w:rsidR="00381A5E" w:rsidRPr="008E6AD9" w:rsidRDefault="00381A5E" w:rsidP="00DE40D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27819F2" w14:textId="77777777" w:rsidR="00381A5E" w:rsidRPr="00B92340" w:rsidRDefault="00381A5E" w:rsidP="00DE40D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D10E3B">
              <w:rPr>
                <w:rFonts w:ascii="Verdana" w:eastAsia="Calibri" w:hAnsi="Verdana" w:cs="Arial"/>
                <w:lang w:val="es-ES_tradnl" w:eastAsia="es-ES_tradnl"/>
              </w:rPr>
              <w:t>1_2025_10_16_011570</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A884B55" w14:textId="77777777" w:rsidR="00381A5E" w:rsidRPr="00593A5F" w:rsidRDefault="00381A5E" w:rsidP="00381A5E">
      <w:pPr>
        <w:spacing w:after="0" w:line="240" w:lineRule="auto"/>
        <w:jc w:val="both"/>
        <w:rPr>
          <w:rFonts w:ascii="Verdana" w:eastAsia="Calibri" w:hAnsi="Verdana" w:cs="Arial"/>
          <w:color w:val="000000"/>
          <w:lang w:val="es-ES_tradnl" w:eastAsia="es-ES_tradnl"/>
        </w:rPr>
      </w:pPr>
    </w:p>
    <w:p w14:paraId="09BEE35C" w14:textId="77777777" w:rsidR="00381A5E" w:rsidRPr="00593A5F" w:rsidRDefault="00381A5E" w:rsidP="00381A5E">
      <w:pPr>
        <w:spacing w:after="0" w:line="240" w:lineRule="auto"/>
        <w:jc w:val="both"/>
        <w:rPr>
          <w:rFonts w:ascii="Verdana" w:eastAsia="Calibri" w:hAnsi="Verdana" w:cs="Arial"/>
          <w:color w:val="000000"/>
          <w:lang w:val="es-ES_tradnl" w:eastAsia="es-ES_tradnl"/>
        </w:rPr>
      </w:pPr>
    </w:p>
    <w:p w14:paraId="7B24EDFA" w14:textId="77777777" w:rsidR="00381A5E" w:rsidRPr="008E6AD9" w:rsidRDefault="00381A5E" w:rsidP="00381A5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D10E3B">
        <w:rPr>
          <w:rFonts w:ascii="Verdana" w:eastAsia="Calibri" w:hAnsi="Verdana" w:cs="Arial"/>
          <w:lang w:val="es-ES" w:eastAsia="es-ES"/>
        </w:rPr>
        <w:t>Oliveros Ramírez</w:t>
      </w:r>
      <w:r w:rsidRPr="008E6AD9">
        <w:rPr>
          <w:rFonts w:ascii="Verdana" w:eastAsia="Calibri" w:hAnsi="Verdana" w:cs="Arial"/>
          <w:lang w:val="es-ES" w:eastAsia="es-ES"/>
        </w:rPr>
        <w:t xml:space="preserve">: </w:t>
      </w:r>
    </w:p>
    <w:p w14:paraId="52CA7A71" w14:textId="77777777" w:rsidR="00381A5E" w:rsidRDefault="00381A5E" w:rsidP="00381A5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CC82D2C" w14:textId="77777777" w:rsidR="00381A5E" w:rsidRPr="00593A5F" w:rsidRDefault="00381A5E" w:rsidP="00381A5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16 de octubre de 2025, pregunta lo siguiente:</w:t>
      </w:r>
      <w:r w:rsidRPr="008E6AD9">
        <w:rPr>
          <w:rFonts w:ascii="Verdana" w:eastAsia="Calibri" w:hAnsi="Verdana" w:cs="Arial"/>
          <w:lang w:val="es-ES" w:eastAsia="es-ES"/>
        </w:rPr>
        <w:t xml:space="preserve"> </w:t>
      </w:r>
    </w:p>
    <w:p w14:paraId="6679CEF1" w14:textId="77777777" w:rsidR="00381A5E" w:rsidRPr="00272A7B" w:rsidRDefault="00381A5E" w:rsidP="00381A5E">
      <w:pPr>
        <w:pStyle w:val="Prrafodelista"/>
        <w:tabs>
          <w:tab w:val="left" w:pos="142"/>
          <w:tab w:val="left" w:pos="284"/>
        </w:tabs>
        <w:spacing w:after="0" w:line="276" w:lineRule="auto"/>
        <w:ind w:left="0"/>
        <w:jc w:val="both"/>
        <w:rPr>
          <w:rFonts w:ascii="Verdana" w:eastAsia="Century Gothic" w:hAnsi="Verdana" w:cs="Century Gothic"/>
          <w:b/>
          <w:bCs/>
        </w:rPr>
      </w:pPr>
    </w:p>
    <w:p w14:paraId="6A04EB36" w14:textId="77777777" w:rsidR="00381A5E" w:rsidRPr="00D10E3B" w:rsidRDefault="00381A5E" w:rsidP="00381A5E">
      <w:pPr>
        <w:spacing w:after="0" w:line="240" w:lineRule="auto"/>
        <w:ind w:left="709" w:right="709"/>
        <w:jc w:val="both"/>
        <w:rPr>
          <w:rFonts w:ascii="Verdana" w:eastAsia="Century Gothic" w:hAnsi="Verdana" w:cs="Century Gothic"/>
          <w:sz w:val="20"/>
          <w:szCs w:val="20"/>
        </w:rPr>
      </w:pPr>
      <w:bookmarkStart w:id="0" w:name="_Hlk95313578"/>
      <w:r w:rsidRPr="00D10E3B">
        <w:rPr>
          <w:rFonts w:ascii="Verdana" w:eastAsia="Century Gothic" w:hAnsi="Verdana" w:cs="Century Gothic"/>
          <w:sz w:val="20"/>
          <w:szCs w:val="20"/>
          <w:lang w:val="es-ES"/>
        </w:rPr>
        <w:t>“</w:t>
      </w:r>
      <w:bookmarkEnd w:id="0"/>
      <w:r w:rsidRPr="00D10E3B">
        <w:rPr>
          <w:rFonts w:ascii="Verdana" w:eastAsia="Century Gothic" w:hAnsi="Verdana" w:cs="Century Gothic"/>
          <w:sz w:val="20"/>
          <w:szCs w:val="20"/>
          <w:lang w:val="es-ES"/>
        </w:rPr>
        <w:t>Los convenios de transferencia de recursos para el desarrollo de proyectos con intereses de infraestructura entre dos entidades territoriales que fundamentación jurídica logran, dado que no hay desarrollo reglamentario pero tampoco están prohibidos, cuál es su naturaleza jurídica y que normas les son aplicables</w:t>
      </w:r>
      <w:r w:rsidRPr="00D10E3B">
        <w:rPr>
          <w:rFonts w:ascii="Verdana" w:eastAsia="Century Gothic" w:hAnsi="Verdana" w:cs="Century Gothic"/>
          <w:sz w:val="20"/>
          <w:szCs w:val="20"/>
        </w:rPr>
        <w:t>”.</w:t>
      </w:r>
    </w:p>
    <w:p w14:paraId="59C05387" w14:textId="77777777" w:rsidR="00381A5E" w:rsidRPr="008E6AD9" w:rsidRDefault="00381A5E" w:rsidP="00381A5E">
      <w:pPr>
        <w:pStyle w:val="Prrafodelista"/>
        <w:tabs>
          <w:tab w:val="left" w:pos="142"/>
          <w:tab w:val="left" w:pos="284"/>
        </w:tabs>
        <w:spacing w:after="0" w:line="276" w:lineRule="auto"/>
        <w:ind w:left="0"/>
        <w:jc w:val="both"/>
        <w:rPr>
          <w:rFonts w:ascii="Verdana" w:eastAsia="Century Gothic" w:hAnsi="Verdana" w:cs="Century Gothic"/>
          <w:b/>
          <w:bCs/>
        </w:rPr>
      </w:pPr>
    </w:p>
    <w:p w14:paraId="425144E0" w14:textId="77777777" w:rsidR="00381A5E" w:rsidRPr="00A652FF" w:rsidRDefault="00381A5E" w:rsidP="00381A5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2CC0F41" w14:textId="77777777" w:rsidR="00381A5E" w:rsidRPr="00423BE7" w:rsidRDefault="00381A5E" w:rsidP="00381A5E">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9720E33" w14:textId="77777777" w:rsidR="00381A5E" w:rsidRPr="00593A5F" w:rsidRDefault="00381A5E" w:rsidP="00381A5E">
      <w:pPr>
        <w:spacing w:after="0" w:line="276" w:lineRule="auto"/>
        <w:ind w:firstLine="709"/>
        <w:jc w:val="both"/>
        <w:rPr>
          <w:rFonts w:ascii="Verdana" w:eastAsia="Calibri" w:hAnsi="Verdana" w:cs="Arial"/>
          <w:color w:val="000000"/>
          <w:lang w:val="es-ES" w:eastAsia="es-ES"/>
        </w:rPr>
      </w:pPr>
    </w:p>
    <w:p w14:paraId="17978F59" w14:textId="77777777" w:rsidR="00381A5E" w:rsidRPr="00593A5F" w:rsidRDefault="00381A5E" w:rsidP="00381A5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2C63147D" w14:textId="77777777" w:rsidR="00381A5E" w:rsidRPr="00593A5F" w:rsidRDefault="00381A5E" w:rsidP="00381A5E">
      <w:pPr>
        <w:tabs>
          <w:tab w:val="left" w:pos="426"/>
        </w:tabs>
        <w:spacing w:after="0" w:line="276" w:lineRule="auto"/>
        <w:jc w:val="both"/>
        <w:rPr>
          <w:rFonts w:ascii="Verdana" w:eastAsia="Century Gothic" w:hAnsi="Verdana" w:cs="Century Gothic"/>
          <w:lang w:val="es-ES"/>
        </w:rPr>
      </w:pPr>
    </w:p>
    <w:p w14:paraId="7015BA00" w14:textId="77777777" w:rsidR="00381A5E" w:rsidRPr="00593A5F" w:rsidRDefault="00381A5E" w:rsidP="00381A5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906BE9">
        <w:rPr>
          <w:rFonts w:ascii="Verdana" w:eastAsia="Century Gothic" w:hAnsi="Verdana" w:cs="Century Gothic"/>
        </w:rPr>
        <w:t>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¿los </w:t>
      </w:r>
      <w:r w:rsidRPr="00EE4307">
        <w:rPr>
          <w:rFonts w:ascii="Verdana" w:eastAsia="Century Gothic" w:hAnsi="Verdana" w:cs="Century Gothic"/>
        </w:rPr>
        <w:t>“convenios de transferencia de recursos para el desarrollo de proyectos con intereses de infraestructura entre dos entidades territoriales”</w:t>
      </w:r>
      <w:r w:rsidRPr="00906BE9">
        <w:rPr>
          <w:rFonts w:ascii="Verdana" w:eastAsia="Century Gothic" w:hAnsi="Verdana" w:cs="Century Gothic"/>
        </w:rPr>
        <w:t xml:space="preserve"> </w:t>
      </w:r>
      <w:r>
        <w:rPr>
          <w:rFonts w:ascii="Verdana" w:eastAsia="Century Gothic" w:hAnsi="Verdana" w:cs="Century Gothic"/>
        </w:rPr>
        <w:t xml:space="preserve">corresponden figuras atípicas dentro de la Ley 80 de 1993? y </w:t>
      </w:r>
      <w:proofErr w:type="spellStart"/>
      <w:r>
        <w:rPr>
          <w:rFonts w:ascii="Verdana" w:eastAsia="Century Gothic" w:hAnsi="Verdana" w:cs="Century Gothic"/>
        </w:rPr>
        <w:t>ii</w:t>
      </w:r>
      <w:proofErr w:type="spellEnd"/>
      <w:r>
        <w:rPr>
          <w:rFonts w:ascii="Verdana" w:eastAsia="Century Gothic" w:hAnsi="Verdana" w:cs="Century Gothic"/>
        </w:rPr>
        <w:t>) ¿cuál es el régimen normativo aplicable bajo el principio de primacía de la realidad sobre las formas?</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C8D93DB" w14:textId="77777777" w:rsidR="00381A5E" w:rsidRPr="004B140F" w:rsidRDefault="00381A5E" w:rsidP="00381A5E">
      <w:pPr>
        <w:spacing w:after="0" w:line="276" w:lineRule="auto"/>
        <w:jc w:val="both"/>
        <w:rPr>
          <w:rFonts w:ascii="Verdana" w:eastAsia="Calibri" w:hAnsi="Verdana" w:cs="Arial"/>
          <w:color w:val="7030A0"/>
        </w:rPr>
      </w:pPr>
    </w:p>
    <w:p w14:paraId="2E6DE3CB" w14:textId="77777777" w:rsidR="00381A5E" w:rsidRPr="00593A5F" w:rsidRDefault="00381A5E" w:rsidP="00381A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48C8B52B" w14:textId="77777777" w:rsidR="00381A5E" w:rsidRPr="00593A5F" w:rsidRDefault="00381A5E" w:rsidP="00381A5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81A5E" w:rsidRPr="00593A5F" w14:paraId="498F039A" w14:textId="77777777" w:rsidTr="4E41D266">
        <w:trPr>
          <w:jc w:val="center"/>
        </w:trPr>
        <w:tc>
          <w:tcPr>
            <w:tcW w:w="8828" w:type="dxa"/>
          </w:tcPr>
          <w:p w14:paraId="56DB04F7" w14:textId="77777777" w:rsidR="00381A5E" w:rsidRPr="006B6252" w:rsidRDefault="00381A5E" w:rsidP="00DE40D4">
            <w:pPr>
              <w:pStyle w:val="Textoindependiente"/>
              <w:spacing w:after="120" w:line="276" w:lineRule="auto"/>
              <w:jc w:val="both"/>
              <w:rPr>
                <w:rFonts w:eastAsia="Arial" w:cs="Arial"/>
              </w:rPr>
            </w:pPr>
            <w:bookmarkStart w:id="1" w:name="_Hlk171694685"/>
            <w:r>
              <w:rPr>
                <w:rFonts w:eastAsia="Arial" w:cs="Arial"/>
                <w:color w:val="000000" w:themeColor="text1"/>
              </w:rPr>
              <w:t>Conforme a la interpretación general de las normas del sistema de compras públicas, en los términos del inciso primero del artículo 32 de la Ley 80 de 1993, “</w:t>
            </w:r>
            <w:r w:rsidRPr="003A3EFC">
              <w:rPr>
                <w:rFonts w:eastAsia="Arial" w:cs="Arial"/>
                <w:color w:val="000000" w:themeColor="text1"/>
              </w:rPr>
              <w:t>Son 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eastAsia="Arial" w:cs="Arial"/>
                <w:color w:val="000000" w:themeColor="text1"/>
              </w:rPr>
              <w:t xml:space="preserve"> […]”. Por tanto, bajo el Estatuto General de Contratación de la Administración Pública es posible celebrar </w:t>
            </w:r>
            <w:proofErr w:type="gramStart"/>
            <w:r>
              <w:rPr>
                <w:rFonts w:eastAsia="Arial" w:cs="Arial"/>
                <w:color w:val="000000" w:themeColor="text1"/>
              </w:rPr>
              <w:t xml:space="preserve">tanto </w:t>
            </w:r>
            <w:r>
              <w:rPr>
                <w:rFonts w:eastAsia="Arial" w:cs="Arial"/>
                <w:color w:val="000000" w:themeColor="text1"/>
              </w:rPr>
              <w:lastRenderedPageBreak/>
              <w:t>contratos nominados</w:t>
            </w:r>
            <w:proofErr w:type="gramEnd"/>
            <w:r>
              <w:rPr>
                <w:rFonts w:eastAsia="Arial" w:cs="Arial"/>
                <w:color w:val="000000" w:themeColor="text1"/>
              </w:rPr>
              <w:t xml:space="preserve"> como innominados. </w:t>
            </w:r>
          </w:p>
          <w:p w14:paraId="2B5A6979" w14:textId="77777777" w:rsidR="00381A5E" w:rsidRDefault="00381A5E" w:rsidP="00DE40D4">
            <w:pPr>
              <w:spacing w:after="120" w:line="276" w:lineRule="auto"/>
              <w:ind w:firstLine="709"/>
              <w:jc w:val="both"/>
              <w:rPr>
                <w:rFonts w:ascii="Verdana" w:eastAsia="Calibri" w:hAnsi="Verdana"/>
                <w:color w:val="000000" w:themeColor="text1"/>
                <w:lang w:val="es-ES_tradnl"/>
              </w:rPr>
            </w:pPr>
            <w:r>
              <w:rPr>
                <w:rFonts w:ascii="Verdana" w:eastAsia="Calibri" w:hAnsi="Verdana"/>
                <w:color w:val="000000" w:themeColor="text1"/>
                <w:lang w:val="es-ES_tradnl"/>
              </w:rPr>
              <w:t>Aunque no existe mención expresa sobre los “</w:t>
            </w:r>
            <w:r w:rsidRPr="00DC1837">
              <w:rPr>
                <w:rFonts w:ascii="Verdana" w:eastAsia="Calibri" w:hAnsi="Verdana"/>
                <w:color w:val="000000" w:themeColor="text1"/>
                <w:lang w:val="es-ES_tradnl"/>
              </w:rPr>
              <w:t>convenios de transferencia de recursos para el desarrollo de proyectos con intereses de infraestructura entre dos entidades territoriales</w:t>
            </w:r>
            <w:r>
              <w:rPr>
                <w:rFonts w:ascii="Verdana" w:eastAsia="Calibri" w:hAnsi="Verdana"/>
                <w:color w:val="000000" w:themeColor="text1"/>
                <w:lang w:val="es-ES_tradnl"/>
              </w:rPr>
              <w:t>”, ello no hace atípica la figura mencionada. En la calificación de los contratos rige el principio de primacía de la realidad sobre las formas: como dispone el artículo 1618 del Código Civil por remisión de los artículos 13, 32 y 40 de la Ley 80 de 1993, “</w:t>
            </w:r>
            <w:r w:rsidRPr="000E26F7">
              <w:rPr>
                <w:rFonts w:ascii="Verdana" w:eastAsia="Calibri" w:hAnsi="Verdana"/>
                <w:color w:val="000000" w:themeColor="text1"/>
                <w:lang w:val="es-ES_tradnl"/>
              </w:rPr>
              <w:t>Conocida claramente la intención de los contratantes, debe estarse a ella más que a lo literal de las palabras</w:t>
            </w:r>
            <w:r>
              <w:rPr>
                <w:rFonts w:ascii="Verdana" w:eastAsia="Calibri" w:hAnsi="Verdana"/>
                <w:color w:val="000000" w:themeColor="text1"/>
                <w:lang w:val="es-ES_tradnl"/>
              </w:rPr>
              <w:t>”. De esta manera, para la Agencia la figura típica relacionada con el negocio objeto de la consulta corresponde a la suscripción de contratos interadministrativos para la ejecución de obras públicas por el sistema de administración delegada.</w:t>
            </w:r>
          </w:p>
          <w:p w14:paraId="468D1675" w14:textId="77777777" w:rsidR="00381A5E" w:rsidRDefault="00381A5E" w:rsidP="00DE40D4">
            <w:pPr>
              <w:spacing w:after="120" w:line="276" w:lineRule="auto"/>
              <w:ind w:firstLine="709"/>
              <w:jc w:val="both"/>
              <w:rPr>
                <w:rFonts w:ascii="Verdana" w:eastAsia="Calibri" w:hAnsi="Verdana" w:cs="Arial"/>
                <w:color w:val="000000"/>
                <w:lang w:val="es-ES_tradnl" w:eastAsia="es-ES" w:bidi="es-ES"/>
              </w:rPr>
            </w:pPr>
            <w:r w:rsidRPr="00C1695A">
              <w:rPr>
                <w:rFonts w:ascii="Verdana" w:eastAsia="Calibri" w:hAnsi="Verdana"/>
                <w:i/>
                <w:iCs/>
                <w:color w:val="000000" w:themeColor="text1"/>
                <w:lang w:val="es-ES_tradnl"/>
              </w:rPr>
              <w:t>Por un lado</w:t>
            </w:r>
            <w:r>
              <w:rPr>
                <w:rFonts w:ascii="Verdana" w:eastAsia="Calibri" w:hAnsi="Verdana"/>
                <w:color w:val="000000" w:themeColor="text1"/>
                <w:lang w:val="es-ES_tradnl"/>
              </w:rPr>
              <w:t xml:space="preserve">, en atención al criterio orgánico, </w:t>
            </w:r>
            <w:r w:rsidRPr="009E105D">
              <w:rPr>
                <w:rFonts w:ascii="Verdana" w:eastAsia="Arial" w:hAnsi="Verdana" w:cs="Arial"/>
                <w:lang w:val="es-ES" w:eastAsia="es-ES" w:bidi="es-ES"/>
              </w:rPr>
              <w:t xml:space="preserve">el </w:t>
            </w:r>
            <w:r>
              <w:rPr>
                <w:rFonts w:ascii="Verdana" w:eastAsia="Arial" w:hAnsi="Verdana" w:cs="Arial"/>
                <w:lang w:val="es-ES" w:eastAsia="es-ES" w:bidi="es-ES"/>
              </w:rPr>
              <w:t xml:space="preserve">artículo </w:t>
            </w:r>
            <w:r w:rsidRPr="00C1695A">
              <w:rPr>
                <w:rFonts w:ascii="Verdana" w:eastAsia="Arial" w:hAnsi="Verdana" w:cs="Arial"/>
                <w:lang w:val="es-ES" w:eastAsia="es-ES" w:bidi="es-ES"/>
              </w:rPr>
              <w:t>2.2.1.2.1.4.4</w:t>
            </w:r>
            <w:r>
              <w:rPr>
                <w:rFonts w:ascii="Verdana" w:eastAsia="Arial" w:hAnsi="Verdana" w:cs="Arial"/>
                <w:lang w:val="es-ES" w:eastAsia="es-ES" w:bidi="es-ES"/>
              </w:rPr>
              <w:t xml:space="preserve"> del </w:t>
            </w:r>
            <w:r w:rsidRPr="009E105D">
              <w:rPr>
                <w:rFonts w:ascii="Verdana" w:eastAsia="Arial" w:hAnsi="Verdana" w:cs="Arial"/>
                <w:lang w:val="es-ES" w:eastAsia="es-ES" w:bidi="es-ES"/>
              </w:rPr>
              <w:t>Decreto 1082 de 2015 califica a los</w:t>
            </w:r>
            <w:r>
              <w:rPr>
                <w:rFonts w:ascii="Verdana" w:eastAsia="Arial" w:hAnsi="Verdana" w:cs="Arial"/>
                <w:lang w:val="es-ES" w:eastAsia="es-ES" w:bidi="es-ES"/>
              </w:rPr>
              <w:t xml:space="preserve"> </w:t>
            </w:r>
            <w:r w:rsidRPr="009E105D">
              <w:rPr>
                <w:rFonts w:ascii="Verdana" w:eastAsia="Arial" w:hAnsi="Verdana" w:cs="Arial"/>
                <w:lang w:val="es-ES" w:eastAsia="es-ES" w:bidi="es-ES"/>
              </w:rPr>
              <w:t>contratos interadministrativos como aquella contratación entre entidades estatales</w:t>
            </w:r>
            <w:r>
              <w:rPr>
                <w:rFonts w:ascii="Verdana" w:eastAsia="Arial" w:hAnsi="Verdana" w:cs="Arial"/>
                <w:lang w:val="es-ES" w:eastAsia="es-ES" w:bidi="es-ES"/>
              </w:rPr>
              <w:t xml:space="preserve">. </w:t>
            </w:r>
            <w:r w:rsidRPr="00C1695A">
              <w:rPr>
                <w:rFonts w:ascii="Verdana" w:eastAsia="Arial" w:hAnsi="Verdana" w:cs="Arial"/>
                <w:i/>
                <w:iCs/>
                <w:lang w:val="es-ES" w:eastAsia="es-ES" w:bidi="es-ES"/>
              </w:rPr>
              <w:t>Por otra parte</w:t>
            </w:r>
            <w:r>
              <w:rPr>
                <w:rFonts w:ascii="Verdana" w:eastAsia="Arial" w:hAnsi="Verdana" w:cs="Arial"/>
                <w:lang w:val="es-ES" w:eastAsia="es-ES" w:bidi="es-ES"/>
              </w:rPr>
              <w:t xml:space="preserve">, </w:t>
            </w:r>
            <w:r w:rsidRPr="00EC5368">
              <w:rPr>
                <w:rFonts w:ascii="Verdana" w:eastAsia="Calibri" w:hAnsi="Verdana" w:cs="Arial"/>
                <w:color w:val="000000"/>
                <w:lang w:val="es-ES_tradnl" w:eastAsia="es-ES" w:bidi="es-ES"/>
              </w:rPr>
              <w:t xml:space="preserve">el numeral 1 del artículo 32 de la Ley 80 de 1993 </w:t>
            </w:r>
            <w:r>
              <w:rPr>
                <w:rFonts w:ascii="Verdana" w:eastAsia="Calibri" w:hAnsi="Verdana" w:cs="Arial"/>
                <w:color w:val="000000"/>
                <w:lang w:val="es-ES_tradnl" w:eastAsia="es-ES" w:bidi="es-ES"/>
              </w:rPr>
              <w:t>dispone lo siguiente:</w:t>
            </w:r>
            <w:r w:rsidRPr="00EC5368">
              <w:rPr>
                <w:rFonts w:ascii="Verdana" w:eastAsia="Calibri" w:hAnsi="Verdana" w:cs="Arial"/>
                <w:color w:val="000000"/>
                <w:lang w:val="es-ES_tradnl" w:eastAsia="es-ES" w:bidi="es-ES"/>
              </w:rPr>
              <w:t xml:space="preserve"> “Son contratos de obra los que celebren las entidades estatales para la construcción, mantenimiento, instalación y, en general, para la realización de cualquier otro trabajo material sobre bienes inmuebles, cualquiera que sea la modalidad de ejecución y pago”</w:t>
            </w:r>
            <w:r>
              <w:rPr>
                <w:rFonts w:ascii="Verdana" w:eastAsia="Calibri" w:hAnsi="Verdana" w:cs="Arial"/>
                <w:color w:val="000000"/>
                <w:lang w:val="es-ES_tradnl" w:eastAsia="es-ES" w:bidi="es-ES"/>
              </w:rPr>
              <w:t xml:space="preserve">. </w:t>
            </w:r>
          </w:p>
          <w:p w14:paraId="2DA355A1" w14:textId="77777777" w:rsidR="00381A5E" w:rsidRPr="00C1695A" w:rsidRDefault="00381A5E" w:rsidP="00DE40D4">
            <w:pPr>
              <w:spacing w:after="120" w:line="276" w:lineRule="auto"/>
              <w:ind w:firstLine="709"/>
              <w:jc w:val="both"/>
              <w:rPr>
                <w:rFonts w:ascii="Verdana" w:eastAsia="Calibri" w:hAnsi="Verdana"/>
                <w:color w:val="000000" w:themeColor="text1"/>
                <w:lang w:val="es-ES"/>
              </w:rPr>
            </w:pPr>
            <w:r w:rsidRPr="4E41D266">
              <w:rPr>
                <w:rFonts w:ascii="Verdana" w:eastAsia="Calibri" w:hAnsi="Verdana" w:cs="Arial"/>
                <w:i/>
                <w:color w:val="000000" w:themeColor="text1"/>
                <w:lang w:val="es-ES" w:eastAsia="es-ES" w:bidi="es-ES"/>
              </w:rPr>
              <w:t>Finalmente</w:t>
            </w:r>
            <w:r w:rsidRPr="4E41D266">
              <w:rPr>
                <w:rFonts w:ascii="Verdana" w:eastAsia="Calibri" w:hAnsi="Verdana" w:cs="Arial"/>
                <w:color w:val="000000" w:themeColor="text1"/>
                <w:lang w:val="es-ES" w:eastAsia="es-ES" w:bidi="es-ES"/>
              </w:rPr>
              <w:t xml:space="preserve">, la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4E41D266">
              <w:rPr>
                <w:rFonts w:ascii="Verdana" w:eastAsia="Calibri" w:hAnsi="Verdana" w:cs="Arial"/>
                <w:color w:val="000000" w:themeColor="text1"/>
                <w:lang w:val="es-ES" w:eastAsia="es-ES" w:bidi="es-ES"/>
              </w:rPr>
              <w:t>ii</w:t>
            </w:r>
            <w:proofErr w:type="spellEnd"/>
            <w:r w:rsidRPr="4E41D266">
              <w:rPr>
                <w:rFonts w:ascii="Verdana" w:eastAsia="Calibri" w:hAnsi="Verdana" w:cs="Arial"/>
                <w:color w:val="000000" w:themeColor="text1"/>
                <w:lang w:val="es-ES" w:eastAsia="es-ES" w:bidi="es-ES"/>
              </w:rPr>
              <w:t>) como una modalidad de administración y pago, no necesariamente asociada al mandato. De acuerdo con la jurisprudencia del Consejo de Estado, “Bajo este sistema la administración paga el costo real de la obra, más determinado porcentaje como retribución al contratista por concepto de honorarios de administración (en los que se incluyen costos de personal, oficinas, vehículos, desplazamientos etc.) y la utilidad”.</w:t>
            </w:r>
          </w:p>
          <w:p w14:paraId="6E18D422" w14:textId="77777777" w:rsidR="00381A5E" w:rsidRPr="001941FD" w:rsidRDefault="00381A5E" w:rsidP="00DE40D4">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w:t>
            </w:r>
            <w:r w:rsidRPr="00D10E3B">
              <w:rPr>
                <w:rStyle w:val="s15"/>
                <w:rFonts w:ascii="Verdana" w:hAnsi="Verdana"/>
                <w:color w:val="000000"/>
              </w:rPr>
              <w:lastRenderedPageBreak/>
              <w:t>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E8A1054" w14:textId="77777777" w:rsidR="00381A5E" w:rsidRPr="00593A5F" w:rsidRDefault="00381A5E" w:rsidP="00381A5E">
      <w:pPr>
        <w:tabs>
          <w:tab w:val="left" w:pos="142"/>
          <w:tab w:val="left" w:pos="284"/>
        </w:tabs>
        <w:spacing w:after="0" w:line="276" w:lineRule="auto"/>
        <w:jc w:val="both"/>
        <w:rPr>
          <w:rFonts w:ascii="Verdana" w:eastAsia="Century Gothic" w:hAnsi="Verdana" w:cs="Century Gothic"/>
          <w:b/>
          <w:bCs/>
          <w:lang w:val="es-ES"/>
        </w:rPr>
      </w:pPr>
    </w:p>
    <w:bookmarkEnd w:id="1"/>
    <w:p w14:paraId="61A110C6" w14:textId="77777777" w:rsidR="00381A5E" w:rsidRPr="00593A5F" w:rsidRDefault="00381A5E" w:rsidP="00381A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7B0D66D9" w14:textId="77777777" w:rsidR="00381A5E" w:rsidRPr="00593A5F" w:rsidRDefault="00381A5E" w:rsidP="00381A5E">
      <w:pPr>
        <w:spacing w:after="0" w:line="276" w:lineRule="auto"/>
        <w:jc w:val="both"/>
        <w:rPr>
          <w:rFonts w:ascii="Verdana" w:eastAsia="Calibri" w:hAnsi="Verdana" w:cs="Arial"/>
          <w:color w:val="7030A0"/>
          <w:lang w:val="es-ES"/>
        </w:rPr>
      </w:pPr>
    </w:p>
    <w:p w14:paraId="4C2F9AC0" w14:textId="77777777" w:rsidR="00381A5E" w:rsidRDefault="00381A5E" w:rsidP="00381A5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950A49F" w14:textId="77777777" w:rsidR="00381A5E" w:rsidRDefault="00381A5E" w:rsidP="00381A5E">
      <w:pPr>
        <w:spacing w:after="0" w:line="276" w:lineRule="auto"/>
        <w:jc w:val="both"/>
        <w:rPr>
          <w:rFonts w:ascii="Verdana" w:eastAsia="Calibri" w:hAnsi="Verdana" w:cs="Arial"/>
          <w:lang w:val="es-ES"/>
        </w:rPr>
      </w:pPr>
    </w:p>
    <w:p w14:paraId="05C83EAF" w14:textId="77777777" w:rsidR="00381A5E" w:rsidRPr="00CB68C5" w:rsidRDefault="00381A5E" w:rsidP="00381A5E">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6E1967A9" w14:textId="77777777" w:rsidR="00381A5E" w:rsidRPr="00CB68C5" w:rsidRDefault="00381A5E" w:rsidP="00381A5E">
      <w:pPr>
        <w:spacing w:after="120" w:line="276" w:lineRule="auto"/>
        <w:ind w:firstLine="709"/>
        <w:jc w:val="both"/>
        <w:rPr>
          <w:rFonts w:ascii="Verdana" w:hAnsi="Verdana" w:cs="Arial"/>
        </w:rPr>
      </w:pPr>
      <w:r w:rsidRPr="00CB68C5">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FAA9F0D" w14:textId="77777777" w:rsidR="00381A5E" w:rsidRPr="00CB68C5" w:rsidRDefault="00381A5E" w:rsidP="00381A5E">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2"/>
      </w:r>
      <w:r w:rsidRPr="00CB68C5">
        <w:rPr>
          <w:rFonts w:ascii="Verdana" w:hAnsi="Verdana" w:cs="Arial"/>
        </w:rPr>
        <w:t>. Para la doctrina, la mixtura del régimen contractual:</w:t>
      </w:r>
    </w:p>
    <w:p w14:paraId="2FA49BB4" w14:textId="77777777" w:rsidR="00381A5E" w:rsidRPr="00CB68C5" w:rsidRDefault="00381A5E" w:rsidP="00381A5E">
      <w:pPr>
        <w:spacing w:after="0" w:line="276" w:lineRule="auto"/>
        <w:ind w:firstLine="709"/>
        <w:jc w:val="both"/>
        <w:rPr>
          <w:rFonts w:ascii="Verdana" w:hAnsi="Verdana" w:cs="Arial"/>
        </w:rPr>
      </w:pPr>
    </w:p>
    <w:p w14:paraId="58F60408" w14:textId="77777777" w:rsidR="00381A5E" w:rsidRPr="00326974" w:rsidRDefault="00381A5E" w:rsidP="00381A5E">
      <w:pPr>
        <w:spacing w:after="0" w:line="240" w:lineRule="auto"/>
        <w:ind w:left="709" w:right="709"/>
        <w:jc w:val="both"/>
        <w:rPr>
          <w:rFonts w:ascii="Verdana" w:hAnsi="Verdana" w:cs="Arial"/>
          <w:sz w:val="20"/>
          <w:szCs w:val="20"/>
        </w:rPr>
      </w:pPr>
      <w:r w:rsidRPr="00326974">
        <w:rPr>
          <w:rFonts w:ascii="Verdana" w:hAnsi="Verdana" w:cs="Arial"/>
          <w:sz w:val="20"/>
          <w:szCs w:val="20"/>
        </w:rPr>
        <w:lastRenderedPageBreak/>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71059739" w14:textId="77777777" w:rsidR="00381A5E" w:rsidRPr="00326974" w:rsidRDefault="00381A5E" w:rsidP="00381A5E">
      <w:pPr>
        <w:spacing w:after="0" w:line="240" w:lineRule="auto"/>
        <w:ind w:right="709"/>
        <w:jc w:val="both"/>
        <w:rPr>
          <w:rFonts w:ascii="Verdana" w:hAnsi="Verdana" w:cs="Arial"/>
          <w:sz w:val="12"/>
          <w:szCs w:val="12"/>
        </w:rPr>
      </w:pPr>
      <w:r w:rsidRPr="00326974">
        <w:rPr>
          <w:rFonts w:ascii="Verdana" w:hAnsi="Verdana" w:cs="Arial"/>
          <w:sz w:val="20"/>
          <w:szCs w:val="20"/>
        </w:rPr>
        <w:tab/>
      </w:r>
    </w:p>
    <w:p w14:paraId="7E874A42" w14:textId="77777777" w:rsidR="00381A5E" w:rsidRPr="00326974" w:rsidRDefault="00381A5E" w:rsidP="00381A5E">
      <w:pPr>
        <w:spacing w:after="0" w:line="240" w:lineRule="auto"/>
        <w:ind w:left="709" w:right="709"/>
        <w:jc w:val="both"/>
        <w:rPr>
          <w:rFonts w:ascii="Verdana" w:hAnsi="Verdana" w:cs="Arial"/>
          <w:sz w:val="20"/>
          <w:szCs w:val="20"/>
        </w:rPr>
      </w:pPr>
      <w:r w:rsidRPr="00326974">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326974">
        <w:rPr>
          <w:rStyle w:val="Refdenotaalpie"/>
          <w:rFonts w:ascii="Verdana" w:hAnsi="Verdana" w:cs="Arial"/>
          <w:sz w:val="20"/>
          <w:szCs w:val="20"/>
        </w:rPr>
        <w:footnoteReference w:id="3"/>
      </w:r>
      <w:r w:rsidRPr="00326974">
        <w:rPr>
          <w:rFonts w:ascii="Verdana" w:hAnsi="Verdana" w:cs="Arial"/>
          <w:sz w:val="20"/>
          <w:szCs w:val="20"/>
        </w:rPr>
        <w:t xml:space="preserve">. </w:t>
      </w:r>
    </w:p>
    <w:p w14:paraId="2738BD0A" w14:textId="77777777" w:rsidR="00381A5E" w:rsidRPr="00CB68C5" w:rsidRDefault="00381A5E" w:rsidP="00381A5E">
      <w:pPr>
        <w:spacing w:after="0" w:line="276" w:lineRule="auto"/>
        <w:ind w:left="709" w:right="709"/>
        <w:jc w:val="both"/>
        <w:rPr>
          <w:rFonts w:ascii="Verdana" w:hAnsi="Verdana" w:cs="Arial"/>
        </w:rPr>
      </w:pPr>
      <w:r w:rsidRPr="00CB68C5">
        <w:rPr>
          <w:rFonts w:ascii="Verdana" w:hAnsi="Verdana" w:cs="Arial"/>
        </w:rPr>
        <w:t xml:space="preserve"> </w:t>
      </w:r>
    </w:p>
    <w:p w14:paraId="46B8F43C" w14:textId="77777777" w:rsidR="00381A5E" w:rsidRDefault="00381A5E" w:rsidP="00381A5E">
      <w:pPr>
        <w:spacing w:after="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407E8633" w14:textId="77777777" w:rsidR="00381A5E" w:rsidRDefault="00381A5E" w:rsidP="00381A5E">
      <w:pPr>
        <w:spacing w:after="0" w:line="276" w:lineRule="auto"/>
        <w:jc w:val="both"/>
        <w:rPr>
          <w:rFonts w:ascii="Verdana" w:hAnsi="Verdana" w:cs="Arial"/>
        </w:rPr>
      </w:pPr>
    </w:p>
    <w:p w14:paraId="50EF3BA7" w14:textId="77777777" w:rsidR="00381A5E" w:rsidRDefault="00381A5E" w:rsidP="00381A5E">
      <w:pPr>
        <w:spacing w:after="0" w:line="276" w:lineRule="auto"/>
        <w:jc w:val="both"/>
        <w:rPr>
          <w:rFonts w:ascii="Verdana" w:hAnsi="Verdana" w:cs="Arial"/>
        </w:rPr>
      </w:pPr>
      <w:proofErr w:type="spellStart"/>
      <w:r>
        <w:rPr>
          <w:rFonts w:ascii="Verdana" w:hAnsi="Verdana" w:cs="Arial"/>
        </w:rPr>
        <w:t>ii</w:t>
      </w:r>
      <w:proofErr w:type="spellEnd"/>
      <w:r>
        <w:rPr>
          <w:rFonts w:ascii="Verdana" w:hAnsi="Verdana" w:cs="Arial"/>
        </w:rPr>
        <w:t xml:space="preserve">. </w:t>
      </w: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allí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ello no obsta para la existencia de </w:t>
      </w:r>
      <w:r w:rsidRPr="009D4B09">
        <w:rPr>
          <w:rFonts w:ascii="Verdana" w:hAnsi="Verdana" w:cs="Arial"/>
          <w:i/>
          <w:iCs/>
        </w:rPr>
        <w:t>contratos atípicos</w:t>
      </w:r>
      <w:r>
        <w:rPr>
          <w:rFonts w:ascii="Verdana" w:hAnsi="Verdana" w:cs="Arial"/>
        </w:rPr>
        <w:t>, pues –aunque no corresponden a un molde legal predefinido– en ellos obra con mayor alcance la libertad contractual. Como explica la doctrina:</w:t>
      </w:r>
    </w:p>
    <w:p w14:paraId="04D04971" w14:textId="77777777" w:rsidR="00381A5E" w:rsidRDefault="00381A5E" w:rsidP="00381A5E">
      <w:pPr>
        <w:spacing w:after="0" w:line="276" w:lineRule="auto"/>
        <w:jc w:val="both"/>
        <w:rPr>
          <w:rFonts w:ascii="Verdana" w:hAnsi="Verdana" w:cs="Arial"/>
        </w:rPr>
      </w:pPr>
    </w:p>
    <w:p w14:paraId="459E2A60" w14:textId="77777777" w:rsidR="00381A5E" w:rsidRPr="00326974" w:rsidRDefault="00381A5E" w:rsidP="00381A5E">
      <w:pPr>
        <w:spacing w:after="0" w:line="240" w:lineRule="auto"/>
        <w:ind w:left="709" w:right="709"/>
        <w:jc w:val="both"/>
        <w:rPr>
          <w:rFonts w:ascii="Verdana" w:hAnsi="Verdana" w:cs="Arial"/>
          <w:sz w:val="20"/>
          <w:szCs w:val="20"/>
        </w:rPr>
      </w:pPr>
      <w:r w:rsidRPr="00326974">
        <w:rPr>
          <w:rFonts w:ascii="Verdana" w:hAnsi="Verdana" w:cs="Arial"/>
          <w:sz w:val="20"/>
          <w:szCs w:val="20"/>
        </w:rPr>
        <w:t xml:space="preserve">“En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w:t>
      </w:r>
      <w:r w:rsidRPr="00326974">
        <w:rPr>
          <w:rFonts w:ascii="Verdana" w:hAnsi="Verdana" w:cs="Arial"/>
          <w:sz w:val="20"/>
          <w:szCs w:val="20"/>
        </w:rPr>
        <w:lastRenderedPageBreak/>
        <w:t>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326974">
        <w:rPr>
          <w:rStyle w:val="Refdenotaalpie"/>
          <w:rFonts w:ascii="Verdana" w:hAnsi="Verdana" w:cs="Arial"/>
          <w:sz w:val="20"/>
          <w:szCs w:val="20"/>
        </w:rPr>
        <w:footnoteReference w:id="4"/>
      </w:r>
      <w:r w:rsidRPr="00326974">
        <w:rPr>
          <w:rFonts w:ascii="Verdana" w:hAnsi="Verdana" w:cs="Arial"/>
          <w:sz w:val="20"/>
          <w:szCs w:val="20"/>
        </w:rPr>
        <w:t>.</w:t>
      </w:r>
    </w:p>
    <w:p w14:paraId="5FCC72CC" w14:textId="77777777" w:rsidR="00381A5E" w:rsidRDefault="00381A5E" w:rsidP="00381A5E">
      <w:pPr>
        <w:spacing w:after="0" w:line="276" w:lineRule="auto"/>
        <w:jc w:val="both"/>
        <w:rPr>
          <w:rFonts w:ascii="Verdana" w:hAnsi="Verdana" w:cs="Arial"/>
        </w:rPr>
      </w:pPr>
    </w:p>
    <w:p w14:paraId="415CF8B7" w14:textId="77777777" w:rsidR="00381A5E" w:rsidRDefault="00381A5E" w:rsidP="00381A5E">
      <w:pPr>
        <w:spacing w:after="120" w:line="276" w:lineRule="auto"/>
        <w:ind w:firstLine="709"/>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por lo que las partes están facultadas para suscribir</w:t>
      </w:r>
      <w:r>
        <w:rPr>
          <w:rFonts w:ascii="Verdana" w:eastAsia="Calibri" w:hAnsi="Verdana"/>
          <w:color w:val="000000" w:themeColor="text1"/>
          <w:lang w:val="es-ES_tradnl"/>
        </w:rPr>
        <w:t xml:space="preserve"> </w:t>
      </w:r>
      <w:r w:rsidRPr="001C073E">
        <w:rPr>
          <w:rFonts w:ascii="Verdana" w:eastAsia="Calibri" w:hAnsi="Verdana"/>
          <w:i/>
          <w:iCs/>
          <w:color w:val="000000" w:themeColor="text1"/>
          <w:lang w:val="es-ES_tradnl"/>
        </w:rPr>
        <w:t>contratos atípicos</w:t>
      </w:r>
      <w:r>
        <w:rPr>
          <w:rFonts w:ascii="Verdana" w:eastAsia="Calibri" w:hAnsi="Verdana"/>
          <w:color w:val="000000" w:themeColor="text1"/>
          <w:lang w:val="es-ES_tradnl"/>
        </w:rPr>
        <w:t xml:space="preserve">.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 xml:space="preserve">según el caso; 4°) </w:t>
      </w:r>
      <w:r w:rsidRPr="00665E7F">
        <w:rPr>
          <w:rFonts w:ascii="Verdana" w:eastAsia="Calibri" w:hAnsi="Verdana"/>
          <w:color w:val="000000" w:themeColor="text1"/>
          <w:lang w:val="es-ES_tradnl"/>
        </w:rPr>
        <w:t>las reglas propias del contrato típico más próximo o semejante</w:t>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5"/>
      </w:r>
      <w:r>
        <w:rPr>
          <w:rFonts w:ascii="Verdana" w:eastAsia="Calibri" w:hAnsi="Verdana"/>
          <w:color w:val="000000" w:themeColor="text1"/>
          <w:lang w:val="es-ES_tradnl"/>
        </w:rPr>
        <w:t>.</w:t>
      </w:r>
    </w:p>
    <w:p w14:paraId="26BE60F2" w14:textId="77777777" w:rsidR="00381A5E" w:rsidRDefault="00381A5E" w:rsidP="00381A5E">
      <w:pPr>
        <w:spacing w:after="0" w:line="276" w:lineRule="auto"/>
        <w:ind w:firstLine="708"/>
        <w:jc w:val="both"/>
        <w:rPr>
          <w:rFonts w:ascii="Verdana" w:eastAsia="Calibri" w:hAnsi="Verdana"/>
          <w:color w:val="000000" w:themeColor="text1"/>
          <w:lang w:val="es-ES_tradnl"/>
        </w:rPr>
      </w:pPr>
      <w:r>
        <w:rPr>
          <w:rFonts w:ascii="Verdana" w:eastAsia="Calibri" w:hAnsi="Verdana"/>
          <w:color w:val="000000" w:themeColor="text1"/>
          <w:lang w:val="es-ES_tradnl"/>
        </w:rPr>
        <w:t>En el EGCAP no existe mención expresa sobre los “</w:t>
      </w:r>
      <w:r w:rsidRPr="00DC1837">
        <w:rPr>
          <w:rFonts w:ascii="Verdana" w:eastAsia="Calibri" w:hAnsi="Verdana"/>
          <w:color w:val="000000" w:themeColor="text1"/>
          <w:lang w:val="es-ES_tradnl"/>
        </w:rPr>
        <w:t>convenios de transferencia de recursos para el desarrollo de proyectos con intereses de infraestructura entre dos entidades territoriales</w:t>
      </w:r>
      <w:r>
        <w:rPr>
          <w:rFonts w:ascii="Verdana" w:eastAsia="Calibri" w:hAnsi="Verdana"/>
          <w:color w:val="000000" w:themeColor="text1"/>
          <w:lang w:val="es-ES_tradnl"/>
        </w:rPr>
        <w:t>”. No obstante, ello no hace atípica la figura mencionada, pues en la calificación de los contratos rige el principio de primacía de la realidad sobre las formas: como dispone el artículo 1618 del Código Civil, “</w:t>
      </w:r>
      <w:r w:rsidRPr="000E26F7">
        <w:rPr>
          <w:rFonts w:ascii="Verdana" w:eastAsia="Calibri" w:hAnsi="Verdana"/>
          <w:color w:val="000000" w:themeColor="text1"/>
          <w:lang w:val="es-ES_tradnl"/>
        </w:rPr>
        <w:t>Conocida claramente la intención de los contratantes, debe estarse a ella más que a lo literal de las palabras</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6"/>
      </w:r>
      <w:r>
        <w:rPr>
          <w:rFonts w:ascii="Verdana" w:eastAsia="Calibri" w:hAnsi="Verdana"/>
          <w:color w:val="000000" w:themeColor="text1"/>
          <w:lang w:val="es-ES_tradnl"/>
        </w:rPr>
        <w:t xml:space="preserve">. De esta manera, como se analiza a continuación, para la Agencia la figura típica relacionada con el </w:t>
      </w:r>
      <w:r>
        <w:rPr>
          <w:rFonts w:ascii="Verdana" w:eastAsia="Calibri" w:hAnsi="Verdana"/>
          <w:color w:val="000000" w:themeColor="text1"/>
          <w:lang w:val="es-ES_tradnl"/>
        </w:rPr>
        <w:lastRenderedPageBreak/>
        <w:t>negocio objeto de la consulta corresponde a la suscripción de contratos interadministrativos para la ejecución de obras públicas por el sistema de administración delegada.</w:t>
      </w:r>
    </w:p>
    <w:p w14:paraId="7099DCEF" w14:textId="77777777" w:rsidR="00381A5E" w:rsidRDefault="00381A5E" w:rsidP="00381A5E">
      <w:pPr>
        <w:spacing w:after="0" w:line="276" w:lineRule="auto"/>
        <w:ind w:firstLine="708"/>
        <w:jc w:val="both"/>
        <w:rPr>
          <w:rFonts w:ascii="Verdana" w:eastAsia="Calibri" w:hAnsi="Verdana"/>
          <w:color w:val="000000" w:themeColor="text1"/>
          <w:lang w:val="es-ES_tradnl"/>
        </w:rPr>
      </w:pPr>
    </w:p>
    <w:p w14:paraId="59BD9F6E" w14:textId="77777777" w:rsidR="00381A5E" w:rsidRPr="009E105D" w:rsidRDefault="00381A5E" w:rsidP="00381A5E">
      <w:pPr>
        <w:widowControl w:val="0"/>
        <w:autoSpaceDE w:val="0"/>
        <w:autoSpaceDN w:val="0"/>
        <w:spacing w:after="120" w:line="276" w:lineRule="auto"/>
        <w:jc w:val="both"/>
        <w:rPr>
          <w:rFonts w:ascii="Verdana" w:eastAsia="Arial" w:hAnsi="Verdana" w:cs="Arial"/>
          <w:lang w:val="es-ES" w:eastAsia="es-ES" w:bidi="es-ES"/>
        </w:rPr>
      </w:pPr>
      <w:proofErr w:type="spellStart"/>
      <w:r>
        <w:rPr>
          <w:rFonts w:ascii="Verdana" w:hAnsi="Verdana" w:cs="Arial"/>
          <w:lang w:val="es-ES_tradnl"/>
        </w:rPr>
        <w:t>iii</w:t>
      </w:r>
      <w:proofErr w:type="spellEnd"/>
      <w:r>
        <w:rPr>
          <w:rFonts w:ascii="Verdana" w:hAnsi="Verdana" w:cs="Arial"/>
          <w:lang w:val="es-ES_tradnl"/>
        </w:rPr>
        <w:t xml:space="preserve">. </w:t>
      </w:r>
      <w:r w:rsidRPr="009E105D">
        <w:rPr>
          <w:rFonts w:ascii="Verdana" w:eastAsia="Arial" w:hAnsi="Verdana" w:cs="Arial"/>
          <w:lang w:val="es-ES" w:eastAsia="es-ES" w:bidi="es-ES"/>
        </w:rPr>
        <w:t>Aunque la ley no la definió ni desarrolló, el Decreto 1082 de 2015 califica a los</w:t>
      </w:r>
      <w:r>
        <w:rPr>
          <w:rFonts w:ascii="Verdana" w:eastAsia="Arial" w:hAnsi="Verdana" w:cs="Arial"/>
          <w:lang w:val="es-ES" w:eastAsia="es-ES" w:bidi="es-ES"/>
        </w:rPr>
        <w:t xml:space="preserve"> </w:t>
      </w:r>
      <w:r w:rsidRPr="009E105D">
        <w:rPr>
          <w:rFonts w:ascii="Verdana" w:eastAsia="Arial" w:hAnsi="Verdana" w:cs="Arial"/>
          <w:lang w:val="es-ES" w:eastAsia="es-ES" w:bidi="es-ES"/>
        </w:rPr>
        <w:t>contratos interadministrativos como aquella contratación entre entidades estatales</w:t>
      </w:r>
      <w:r w:rsidRPr="009E105D">
        <w:rPr>
          <w:rFonts w:ascii="Verdana" w:eastAsia="Arial" w:hAnsi="Verdana" w:cs="Arial"/>
          <w:vertAlign w:val="superscript"/>
          <w:lang w:val="es-ES" w:eastAsia="es-ES" w:bidi="es-ES"/>
        </w:rPr>
        <w:footnoteReference w:id="7"/>
      </w:r>
      <w:r w:rsidRPr="009E105D">
        <w:rPr>
          <w:rFonts w:ascii="Verdana" w:eastAsia="Arial" w:hAnsi="Verdana" w:cs="Arial"/>
          <w:lang w:val="es-ES" w:eastAsia="es-ES" w:bidi="es-ES"/>
        </w:rPr>
        <w:t>. De acuerdo con lo anterior, es el acuerdo donde concurre la voluntad de dos o más personas jurídicas de derecho público con la finalidad de cumplir, en el marco de sus objetivos misionales y sus competencias, con los fines del Estado. Es decir, están determinados por un criterio orgánico, pues es necesario que los extremos de la relación contractual sean entidades</w:t>
      </w:r>
      <w:r w:rsidRPr="009E105D">
        <w:rPr>
          <w:rFonts w:ascii="Verdana" w:eastAsia="Arial" w:hAnsi="Verdana" w:cs="Arial"/>
          <w:spacing w:val="-6"/>
          <w:lang w:val="es-ES" w:eastAsia="es-ES" w:bidi="es-ES"/>
        </w:rPr>
        <w:t xml:space="preserve"> </w:t>
      </w:r>
      <w:r w:rsidRPr="009E105D">
        <w:rPr>
          <w:rFonts w:ascii="Verdana" w:eastAsia="Arial" w:hAnsi="Verdana" w:cs="Arial"/>
          <w:lang w:val="es-ES" w:eastAsia="es-ES" w:bidi="es-ES"/>
        </w:rPr>
        <w:t>estatales.</w:t>
      </w:r>
      <w:r>
        <w:rPr>
          <w:rFonts w:ascii="Verdana" w:eastAsia="Arial" w:hAnsi="Verdana" w:cs="Arial"/>
          <w:lang w:val="es-ES" w:eastAsia="es-ES" w:bidi="es-ES"/>
        </w:rPr>
        <w:t xml:space="preserve"> Por ello, los mismos pueden contener obligaciones de diversas tipologías contractuales. Lo anterior en la medida que son las partes, no el objeto de las obligaciones, lo que define la existencia de este tipo de negocios. </w:t>
      </w:r>
    </w:p>
    <w:p w14:paraId="5A9A1A4C" w14:textId="77777777" w:rsidR="00381A5E" w:rsidRPr="009E105D" w:rsidRDefault="00381A5E" w:rsidP="00381A5E">
      <w:pPr>
        <w:widowControl w:val="0"/>
        <w:autoSpaceDE w:val="0"/>
        <w:autoSpaceDN w:val="0"/>
        <w:spacing w:before="117" w:after="120" w:line="276" w:lineRule="auto"/>
        <w:ind w:firstLine="707"/>
        <w:jc w:val="both"/>
        <w:rPr>
          <w:rFonts w:ascii="Verdana" w:eastAsia="Calibri" w:hAnsi="Verdana" w:cs="Arial"/>
          <w:lang w:val="es-ES"/>
        </w:rPr>
      </w:pPr>
      <w:bookmarkStart w:id="2" w:name="_Hlk78820654"/>
      <w:r w:rsidRPr="009E105D">
        <w:rPr>
          <w:rFonts w:ascii="Verdana" w:eastAsia="Arial" w:hAnsi="Verdana" w:cs="Arial"/>
          <w:lang w:val="es-ES" w:eastAsia="es-ES" w:bidi="es-ES"/>
        </w:rPr>
        <w:t xml:space="preserve">Si bien están previstos en la Ley 80 de 1993, en la Ley 1150 de 2007 y en el Decreto en el 1082 de 2015, no quiere decir que solo puedan celebrarse entre entidades estatales que apliquen el régimen de contratación allí </w:t>
      </w:r>
      <w:r>
        <w:rPr>
          <w:rFonts w:ascii="Verdana" w:eastAsia="Arial" w:hAnsi="Verdana" w:cs="Arial"/>
          <w:lang w:val="es-ES" w:eastAsia="es-ES" w:bidi="es-ES"/>
        </w:rPr>
        <w:t>regulado</w:t>
      </w:r>
      <w:r w:rsidRPr="009E105D">
        <w:rPr>
          <w:rFonts w:ascii="Verdana" w:eastAsia="Arial" w:hAnsi="Verdana" w:cs="Arial"/>
          <w:lang w:val="es-ES" w:eastAsia="es-ES" w:bidi="es-ES"/>
        </w:rPr>
        <w:t xml:space="preserve">, pues bien puede una entidad estatal sometida a la Ley 80 de 1993 celebrar esta clase de </w:t>
      </w:r>
      <w:r>
        <w:rPr>
          <w:rFonts w:ascii="Verdana" w:eastAsia="Arial" w:hAnsi="Verdana" w:cs="Arial"/>
          <w:lang w:val="es-ES" w:eastAsia="es-ES" w:bidi="es-ES"/>
        </w:rPr>
        <w:t>negocios</w:t>
      </w:r>
      <w:r w:rsidRPr="009E105D">
        <w:rPr>
          <w:rFonts w:ascii="Verdana" w:eastAsia="Arial" w:hAnsi="Verdana" w:cs="Arial"/>
          <w:lang w:val="es-ES" w:eastAsia="es-ES" w:bidi="es-ES"/>
        </w:rPr>
        <w:t xml:space="preserve"> con una entidad estatal de régimen especial y no por ello dejará de ser </w:t>
      </w:r>
      <w:r>
        <w:rPr>
          <w:rFonts w:ascii="Verdana" w:eastAsia="Arial" w:hAnsi="Verdana" w:cs="Arial"/>
          <w:lang w:val="es-ES" w:eastAsia="es-ES" w:bidi="es-ES"/>
        </w:rPr>
        <w:t>tal</w:t>
      </w:r>
      <w:r w:rsidRPr="009E105D">
        <w:rPr>
          <w:rFonts w:ascii="Verdana" w:eastAsia="Arial" w:hAnsi="Verdana" w:cs="Arial"/>
          <w:lang w:val="es-ES" w:eastAsia="es-ES" w:bidi="es-ES"/>
        </w:rPr>
        <w:t>. De esta manera, sin perjuicio de lo dispuesto en el artículo 56 de la Ley 2195 de 2022, el literal c) del artículo 2.4 de la Ley 1150 de 2007 dispone que “</w:t>
      </w:r>
      <w:r w:rsidRPr="009E105D">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64EFBF8E" w14:textId="77777777" w:rsidR="00381A5E" w:rsidRPr="009E105D" w:rsidRDefault="00381A5E" w:rsidP="00381A5E">
      <w:pPr>
        <w:widowControl w:val="0"/>
        <w:autoSpaceDE w:val="0"/>
        <w:autoSpaceDN w:val="0"/>
        <w:spacing w:before="119" w:after="120" w:line="276" w:lineRule="auto"/>
        <w:ind w:firstLine="707"/>
        <w:jc w:val="both"/>
        <w:rPr>
          <w:rFonts w:ascii="Verdana" w:eastAsia="Arial" w:hAnsi="Verdana" w:cs="Arial"/>
          <w:lang w:val="es-ES" w:eastAsia="es-ES" w:bidi="es-ES"/>
        </w:rPr>
      </w:pPr>
      <w:bookmarkStart w:id="3" w:name="_Hlk99578261"/>
      <w:bookmarkEnd w:id="2"/>
      <w:r w:rsidRPr="009E105D">
        <w:rPr>
          <w:rFonts w:ascii="Verdana" w:eastAsia="Arial" w:hAnsi="Verdana" w:cs="Arial"/>
          <w:lang w:val="es-ES" w:eastAsia="es-ES" w:bidi="es-ES"/>
        </w:rPr>
        <w:t xml:space="preserve">Un contrato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w:t>
      </w:r>
      <w:r w:rsidRPr="009E105D">
        <w:rPr>
          <w:rFonts w:ascii="Verdana" w:eastAsia="Arial" w:hAnsi="Verdana" w:cs="Arial"/>
          <w:lang w:val="es-ES" w:eastAsia="es-ES" w:bidi="es-ES"/>
        </w:rPr>
        <w:lastRenderedPageBreak/>
        <w:t>ley, deba adelantarse un procedimiento con pluralidad de oferentes</w:t>
      </w:r>
      <w:r w:rsidRPr="009E105D">
        <w:rPr>
          <w:rFonts w:ascii="Verdana" w:eastAsia="Arial" w:hAnsi="Verdana" w:cs="Arial"/>
          <w:vertAlign w:val="superscript"/>
          <w:lang w:val="es-ES" w:eastAsia="es-ES" w:bidi="es-ES"/>
        </w:rPr>
        <w:footnoteReference w:id="8"/>
      </w:r>
      <w:r w:rsidRPr="009E105D">
        <w:rPr>
          <w:rFonts w:ascii="Verdana" w:eastAsia="Arial" w:hAnsi="Verdana" w:cs="Arial"/>
          <w:lang w:val="es-ES" w:eastAsia="es-ES" w:bidi="es-ES"/>
        </w:rPr>
        <w:t>. Nótese que, en este caso, lo que cambia es la modalidad de selección y no la naturaleza de contrato</w:t>
      </w:r>
      <w:r w:rsidRPr="009E105D">
        <w:rPr>
          <w:rFonts w:ascii="Verdana" w:eastAsia="Arial" w:hAnsi="Verdana" w:cs="Arial"/>
          <w:spacing w:val="-18"/>
          <w:lang w:val="es-ES" w:eastAsia="es-ES" w:bidi="es-ES"/>
        </w:rPr>
        <w:t xml:space="preserve"> </w:t>
      </w:r>
      <w:r w:rsidRPr="009E105D">
        <w:rPr>
          <w:rFonts w:ascii="Verdana" w:eastAsia="Arial" w:hAnsi="Verdana" w:cs="Arial"/>
          <w:lang w:val="es-ES" w:eastAsia="es-ES" w:bidi="es-ES"/>
        </w:rPr>
        <w:t>interadministrativo.</w:t>
      </w:r>
      <w:r>
        <w:rPr>
          <w:rFonts w:ascii="Verdana" w:eastAsia="Arial" w:hAnsi="Verdana" w:cs="Arial"/>
          <w:lang w:val="es-ES" w:eastAsia="es-ES" w:bidi="es-ES"/>
        </w:rPr>
        <w:t xml:space="preserve"> </w:t>
      </w:r>
    </w:p>
    <w:bookmarkEnd w:id="3"/>
    <w:p w14:paraId="5C94A4A5" w14:textId="77777777" w:rsidR="00381A5E" w:rsidRPr="009E105D" w:rsidRDefault="00381A5E" w:rsidP="00381A5E">
      <w:pPr>
        <w:widowControl w:val="0"/>
        <w:autoSpaceDE w:val="0"/>
        <w:autoSpaceDN w:val="0"/>
        <w:spacing w:before="114" w:after="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considera lo siguiente:</w:t>
      </w:r>
    </w:p>
    <w:p w14:paraId="4D7D23A9" w14:textId="77777777" w:rsidR="00381A5E" w:rsidRPr="009E105D" w:rsidRDefault="00381A5E" w:rsidP="00381A5E">
      <w:pPr>
        <w:widowControl w:val="0"/>
        <w:autoSpaceDE w:val="0"/>
        <w:autoSpaceDN w:val="0"/>
        <w:spacing w:after="0" w:line="276" w:lineRule="auto"/>
        <w:contextualSpacing/>
        <w:jc w:val="both"/>
        <w:rPr>
          <w:rFonts w:ascii="Verdana" w:eastAsia="Arial" w:hAnsi="Verdana" w:cs="Arial"/>
          <w:lang w:val="es-ES" w:eastAsia="es-ES" w:bidi="es-ES"/>
        </w:rPr>
      </w:pPr>
    </w:p>
    <w:p w14:paraId="54CDDC71" w14:textId="77777777" w:rsidR="00381A5E" w:rsidRPr="001C3D5F" w:rsidRDefault="00381A5E" w:rsidP="00381A5E">
      <w:pPr>
        <w:spacing w:after="0" w:line="240" w:lineRule="auto"/>
        <w:ind w:left="709" w:right="709"/>
        <w:contextualSpacing/>
        <w:jc w:val="both"/>
        <w:rPr>
          <w:rFonts w:ascii="Verdana" w:eastAsia="Calibri" w:hAnsi="Verdana" w:cs="Arial"/>
          <w:sz w:val="20"/>
          <w:szCs w:val="20"/>
          <w:lang w:val="es-MX"/>
        </w:rPr>
      </w:pPr>
      <w:r w:rsidRPr="001C3D5F">
        <w:rPr>
          <w:rFonts w:ascii="Verdana" w:eastAsia="Calibri" w:hAnsi="Verdana" w:cs="Arial"/>
          <w:sz w:val="20"/>
          <w:szCs w:val="20"/>
          <w:lang w:val="es-MX"/>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1C3D5F">
        <w:rPr>
          <w:rFonts w:ascii="Verdana" w:eastAsia="Calibri" w:hAnsi="Verdana" w:cs="Arial"/>
          <w:sz w:val="20"/>
          <w:szCs w:val="20"/>
          <w:vertAlign w:val="superscript"/>
          <w:lang w:val="es-MX"/>
        </w:rPr>
        <w:footnoteReference w:id="9"/>
      </w:r>
      <w:r w:rsidRPr="001C3D5F">
        <w:rPr>
          <w:rFonts w:ascii="Verdana" w:eastAsia="Calibri" w:hAnsi="Verdana" w:cs="Arial"/>
          <w:sz w:val="20"/>
          <w:szCs w:val="20"/>
          <w:lang w:val="es-MX"/>
        </w:rPr>
        <w:t>.</w:t>
      </w:r>
    </w:p>
    <w:p w14:paraId="788EB0EA" w14:textId="77777777" w:rsidR="00381A5E" w:rsidRPr="009E105D" w:rsidRDefault="00381A5E" w:rsidP="00381A5E">
      <w:pPr>
        <w:spacing w:after="0" w:line="276" w:lineRule="auto"/>
        <w:ind w:left="709" w:right="709"/>
        <w:contextualSpacing/>
        <w:jc w:val="both"/>
        <w:rPr>
          <w:rFonts w:ascii="Verdana" w:eastAsia="Calibri" w:hAnsi="Verdana" w:cs="Arial"/>
          <w:lang w:val="es-MX"/>
        </w:rPr>
      </w:pPr>
    </w:p>
    <w:p w14:paraId="1526075B" w14:textId="77777777" w:rsidR="00381A5E" w:rsidRPr="009E105D" w:rsidRDefault="00381A5E" w:rsidP="00381A5E">
      <w:pPr>
        <w:widowControl w:val="0"/>
        <w:autoSpaceDE w:val="0"/>
        <w:autoSpaceDN w:val="0"/>
        <w:spacing w:after="12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 xml:space="preserve">En ese sentido, los contratos interadministrativos se caracterizan por los sujetos que intervienen y por la modalidad de selección que la ley permite aplicar </w:t>
      </w:r>
      <w:r w:rsidRPr="009E105D">
        <w:rPr>
          <w:rFonts w:ascii="Verdana" w:eastAsia="Arial" w:hAnsi="Verdana" w:cs="Arial"/>
          <w:lang w:val="es-ES" w:eastAsia="es-ES" w:bidi="es-ES"/>
        </w:rPr>
        <w:lastRenderedPageBreak/>
        <w:t>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6EF4FBC2" w14:textId="77777777" w:rsidR="00381A5E" w:rsidRDefault="00381A5E" w:rsidP="00381A5E">
      <w:pPr>
        <w:widowControl w:val="0"/>
        <w:autoSpaceDE w:val="0"/>
        <w:autoSpaceDN w:val="0"/>
        <w:spacing w:after="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w:t>
      </w:r>
      <w:r>
        <w:rPr>
          <w:rFonts w:ascii="Verdana" w:eastAsia="Arial" w:hAnsi="Verdana" w:cs="Arial"/>
          <w:lang w:val="es-ES" w:eastAsia="es-ES" w:bidi="es-ES"/>
        </w:rPr>
        <w:t>,</w:t>
      </w:r>
      <w:r w:rsidRPr="009E105D">
        <w:rPr>
          <w:rFonts w:ascii="Verdana" w:eastAsia="Arial" w:hAnsi="Verdana" w:cs="Arial"/>
          <w:lang w:val="es-ES" w:eastAsia="es-ES" w:bidi="es-ES"/>
        </w:rPr>
        <w:t xml:space="preserve"> sino</w:t>
      </w:r>
      <w:r>
        <w:rPr>
          <w:rFonts w:ascii="Verdana" w:eastAsia="Arial" w:hAnsi="Verdana" w:cs="Arial"/>
          <w:lang w:val="es-ES" w:eastAsia="es-ES" w:bidi="es-ES"/>
        </w:rPr>
        <w:t xml:space="preserve"> por</w:t>
      </w:r>
      <w:r w:rsidRPr="009E105D">
        <w:rPr>
          <w:rFonts w:ascii="Verdana" w:eastAsia="Arial" w:hAnsi="Verdana" w:cs="Arial"/>
          <w:lang w:val="es-ES" w:eastAsia="es-ES" w:bidi="es-ES"/>
        </w:rPr>
        <w:t xml:space="preserve"> la calidad de las partes que lo suscriben, es decir, debe tratarse de entidades</w:t>
      </w:r>
      <w:r w:rsidRPr="009E105D">
        <w:rPr>
          <w:rFonts w:ascii="Verdana" w:eastAsia="Arial" w:hAnsi="Verdana" w:cs="Arial"/>
          <w:spacing w:val="-3"/>
          <w:lang w:val="es-ES" w:eastAsia="es-ES" w:bidi="es-ES"/>
        </w:rPr>
        <w:t xml:space="preserve"> </w:t>
      </w:r>
      <w:r w:rsidRPr="009E105D">
        <w:rPr>
          <w:rFonts w:ascii="Verdana" w:eastAsia="Arial" w:hAnsi="Verdana" w:cs="Arial"/>
          <w:lang w:val="es-ES" w:eastAsia="es-ES" w:bidi="es-ES"/>
        </w:rPr>
        <w:t>estatales.</w:t>
      </w:r>
    </w:p>
    <w:p w14:paraId="476B292D" w14:textId="77777777" w:rsidR="00381A5E" w:rsidRDefault="00381A5E" w:rsidP="00381A5E">
      <w:pPr>
        <w:widowControl w:val="0"/>
        <w:autoSpaceDE w:val="0"/>
        <w:autoSpaceDN w:val="0"/>
        <w:spacing w:after="0" w:line="276" w:lineRule="auto"/>
        <w:jc w:val="both"/>
        <w:rPr>
          <w:rFonts w:ascii="Verdana" w:eastAsia="Arial" w:hAnsi="Verdana" w:cs="Arial"/>
          <w:lang w:val="es-ES" w:eastAsia="es-ES" w:bidi="es-ES"/>
        </w:rPr>
      </w:pPr>
    </w:p>
    <w:p w14:paraId="75178C2B" w14:textId="77777777" w:rsidR="00381A5E" w:rsidRPr="00EC5368" w:rsidRDefault="00381A5E" w:rsidP="00381A5E">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Pr>
          <w:rFonts w:ascii="Verdana" w:eastAsia="Calibri" w:hAnsi="Verdana" w:cs="Arial"/>
          <w:lang w:val="es-MX"/>
        </w:rPr>
        <w:t>Por su parte, l</w:t>
      </w:r>
      <w:r w:rsidRPr="00EC5368">
        <w:rPr>
          <w:rFonts w:ascii="Verdana" w:eastAsia="Calibri" w:hAnsi="Verdana" w:cs="Arial"/>
          <w:lang w:val="es-MX"/>
        </w:rPr>
        <w:t>a</w:t>
      </w:r>
      <w:r w:rsidRPr="00EC5368">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2369523F" w14:textId="77777777" w:rsidR="00381A5E" w:rsidRPr="00EC5368" w:rsidRDefault="00381A5E" w:rsidP="00381A5E">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4"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w:t>
      </w:r>
      <w:r w:rsidRPr="418CF8A0">
        <w:rPr>
          <w:rFonts w:ascii="Verdana" w:eastAsia="Calibri" w:hAnsi="Verdana" w:cs="Arial"/>
          <w:color w:val="000000" w:themeColor="text1"/>
          <w:lang w:val="es-ES" w:eastAsia="es-ES" w:bidi="es-ES"/>
        </w:rPr>
        <w:lastRenderedPageBreak/>
        <w:t xml:space="preserve">2060 y 2061 del Código disponen reglas especiales para los contratos de construcción y de arquitectura, es claro que la realización de trabajos materiales recae tanto sobre bienes muebles como inmuebles. </w:t>
      </w:r>
      <w:bookmarkEnd w:id="4"/>
      <w:r w:rsidRPr="418CF8A0">
        <w:rPr>
          <w:rFonts w:ascii="Verdana" w:eastAsia="Calibri" w:hAnsi="Verdana" w:cs="Arial"/>
          <w:color w:val="000000" w:themeColor="text1"/>
          <w:lang w:val="es-ES" w:eastAsia="es-ES" w:bidi="es-ES"/>
        </w:rPr>
        <w:t>Así, la doctrina considera que:</w:t>
      </w:r>
    </w:p>
    <w:p w14:paraId="1A8501B2" w14:textId="77777777" w:rsidR="00381A5E" w:rsidRPr="00EC5368" w:rsidRDefault="00381A5E" w:rsidP="00381A5E">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7B9ED616" w14:textId="77777777" w:rsidR="00381A5E" w:rsidRPr="009033FA" w:rsidRDefault="00381A5E" w:rsidP="00381A5E">
      <w:pPr>
        <w:widowControl w:val="0"/>
        <w:autoSpaceDE w:val="0"/>
        <w:autoSpaceDN w:val="0"/>
        <w:spacing w:after="120" w:line="240" w:lineRule="auto"/>
        <w:ind w:left="709" w:right="709"/>
        <w:jc w:val="both"/>
        <w:rPr>
          <w:rFonts w:ascii="Verdana" w:eastAsia="Calibri" w:hAnsi="Verdana" w:cs="Arial"/>
          <w:color w:val="000000"/>
          <w:sz w:val="20"/>
          <w:szCs w:val="20"/>
          <w:lang w:val="es-ES_tradnl" w:eastAsia="es-ES" w:bidi="es-ES"/>
        </w:rPr>
      </w:pPr>
      <w:r w:rsidRPr="009033FA">
        <w:rPr>
          <w:rFonts w:ascii="Verdana" w:eastAsia="Calibri" w:hAnsi="Verdana" w:cs="Arial"/>
          <w:color w:val="000000"/>
          <w:sz w:val="20"/>
          <w:szCs w:val="20"/>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178814B0" w14:textId="77777777" w:rsidR="00381A5E" w:rsidRPr="00EC5368" w:rsidRDefault="00381A5E" w:rsidP="00381A5E">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9033FA">
        <w:rPr>
          <w:rFonts w:ascii="Verdana" w:eastAsia="Calibri" w:hAnsi="Verdana" w:cs="Arial"/>
          <w:color w:val="000000"/>
          <w:sz w:val="20"/>
          <w:szCs w:val="20"/>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9033FA">
        <w:rPr>
          <w:rFonts w:ascii="Verdana" w:eastAsia="Calibri" w:hAnsi="Verdana" w:cs="Arial"/>
          <w:color w:val="000000"/>
          <w:sz w:val="20"/>
          <w:szCs w:val="20"/>
          <w:vertAlign w:val="superscript"/>
          <w:lang w:val="es-ES_tradnl" w:eastAsia="es-ES" w:bidi="es-ES"/>
        </w:rPr>
        <w:footnoteReference w:id="10"/>
      </w:r>
      <w:r w:rsidRPr="009033FA">
        <w:rPr>
          <w:rFonts w:ascii="Verdana" w:eastAsia="Calibri" w:hAnsi="Verdana" w:cs="Arial"/>
          <w:color w:val="000000"/>
          <w:sz w:val="20"/>
          <w:szCs w:val="20"/>
          <w:lang w:val="es-ES_tradnl" w:eastAsia="es-ES" w:bidi="es-ES"/>
        </w:rPr>
        <w:t>.</w:t>
      </w:r>
      <w:r w:rsidRPr="00EC5368">
        <w:rPr>
          <w:rFonts w:ascii="Verdana" w:eastAsia="Calibri" w:hAnsi="Verdana" w:cs="Arial"/>
          <w:color w:val="000000"/>
          <w:sz w:val="21"/>
          <w:szCs w:val="21"/>
          <w:lang w:val="es-ES_tradnl" w:eastAsia="es-ES" w:bidi="es-ES"/>
        </w:rPr>
        <w:t xml:space="preserve">  </w:t>
      </w:r>
    </w:p>
    <w:p w14:paraId="5A8E5FCE" w14:textId="77777777" w:rsidR="00381A5E" w:rsidRPr="006E15C6" w:rsidRDefault="00381A5E" w:rsidP="00381A5E">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22FE40B2" w14:textId="77777777" w:rsidR="00381A5E" w:rsidRDefault="00381A5E" w:rsidP="00381A5E">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5"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6"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7" w:name="_Hlk171668266"/>
      <w:r w:rsidRPr="00EC5368">
        <w:rPr>
          <w:rFonts w:ascii="Verdana" w:eastAsia="Calibri" w:hAnsi="Verdana" w:cs="Arial"/>
          <w:color w:val="000000"/>
          <w:lang w:val="es-ES_tradnl" w:eastAsia="es-ES" w:bidi="es-ES"/>
        </w:rPr>
        <w:t>construcción, mantenimiento, instalación</w:t>
      </w:r>
      <w:bookmarkEnd w:id="7"/>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8" w:name="_Hlk171667437"/>
      <w:r w:rsidRPr="00EC5368">
        <w:rPr>
          <w:rFonts w:ascii="Verdana" w:eastAsia="Calibri" w:hAnsi="Verdana" w:cs="Arial"/>
          <w:color w:val="000000"/>
          <w:lang w:val="es-ES_tradnl" w:eastAsia="es-ES" w:bidi="es-ES"/>
        </w:rPr>
        <w:t>cualquiera que sea la modalidad de ejecución y pago</w:t>
      </w:r>
      <w:bookmarkEnd w:id="8"/>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EC5368">
        <w:rPr>
          <w:rStyle w:val="Refdenotaalpie"/>
          <w:rFonts w:ascii="Verdana" w:eastAsia="Calibri" w:hAnsi="Verdana" w:cs="Arial"/>
          <w:color w:val="000000"/>
          <w:lang w:val="es-ES_tradnl" w:eastAsia="es-ES" w:bidi="es-ES"/>
        </w:rPr>
        <w:footnoteReference w:id="11"/>
      </w:r>
      <w:r w:rsidRPr="00EC5368">
        <w:rPr>
          <w:rFonts w:ascii="Verdana" w:eastAsia="Calibri" w:hAnsi="Verdana" w:cs="Arial"/>
          <w:color w:val="000000"/>
          <w:lang w:val="es-ES_tradnl" w:eastAsia="es-ES" w:bidi="es-ES"/>
        </w:rPr>
        <w:t xml:space="preserve">. </w:t>
      </w:r>
    </w:p>
    <w:p w14:paraId="0F04C4DC" w14:textId="77777777" w:rsidR="00381A5E" w:rsidRPr="00EC5368" w:rsidRDefault="00381A5E" w:rsidP="00381A5E">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lastRenderedPageBreak/>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5"/>
      <w:bookmarkEnd w:id="6"/>
      <w:r w:rsidRPr="00EC5368">
        <w:rPr>
          <w:rFonts w:ascii="Verdana" w:eastAsia="Calibri" w:hAnsi="Verdana" w:cs="Arial"/>
          <w:color w:val="000000"/>
          <w:vertAlign w:val="superscript"/>
          <w:lang w:val="es-ES_tradnl" w:eastAsia="es-ES" w:bidi="es-ES"/>
        </w:rPr>
        <w:footnoteReference w:id="12"/>
      </w:r>
      <w:r w:rsidRPr="00EC5368">
        <w:rPr>
          <w:rFonts w:ascii="Verdana" w:eastAsia="Calibri" w:hAnsi="Verdana" w:cs="Arial"/>
          <w:color w:val="000000"/>
          <w:lang w:val="es-ES_tradnl" w:eastAsia="es-ES" w:bidi="es-ES"/>
        </w:rPr>
        <w:t>. De esta manera:</w:t>
      </w:r>
    </w:p>
    <w:p w14:paraId="4500D761" w14:textId="77777777" w:rsidR="00381A5E" w:rsidRPr="00EC5368" w:rsidRDefault="00381A5E" w:rsidP="00381A5E">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4C538B90" w14:textId="77777777" w:rsidR="00381A5E" w:rsidRPr="009033FA" w:rsidRDefault="00381A5E" w:rsidP="00381A5E">
      <w:pPr>
        <w:widowControl w:val="0"/>
        <w:autoSpaceDE w:val="0"/>
        <w:autoSpaceDN w:val="0"/>
        <w:spacing w:line="240" w:lineRule="auto"/>
        <w:ind w:left="709" w:right="709"/>
        <w:jc w:val="both"/>
        <w:rPr>
          <w:rFonts w:ascii="Verdana" w:eastAsia="Calibri" w:hAnsi="Verdana" w:cs="Arial"/>
          <w:color w:val="000000"/>
          <w:sz w:val="20"/>
          <w:szCs w:val="20"/>
          <w:lang w:val="es-ES_tradnl" w:eastAsia="es-ES" w:bidi="es-ES"/>
        </w:rPr>
      </w:pPr>
      <w:r w:rsidRPr="009033FA">
        <w:rPr>
          <w:rFonts w:ascii="Verdana" w:eastAsia="Calibri" w:hAnsi="Verdana" w:cs="Arial"/>
          <w:color w:val="000000"/>
          <w:sz w:val="20"/>
          <w:szCs w:val="20"/>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3C1DFFA9" w14:textId="77777777" w:rsidR="00381A5E" w:rsidRPr="00EC5368" w:rsidRDefault="00381A5E" w:rsidP="00381A5E">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9033FA">
        <w:rPr>
          <w:rFonts w:ascii="Verdana" w:eastAsia="Calibri" w:hAnsi="Verdana" w:cs="Arial"/>
          <w:color w:val="000000"/>
          <w:sz w:val="20"/>
          <w:szCs w:val="20"/>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9033FA">
        <w:rPr>
          <w:rFonts w:ascii="Verdana" w:eastAsia="Calibri" w:hAnsi="Verdana" w:cs="Arial"/>
          <w:color w:val="000000"/>
          <w:sz w:val="20"/>
          <w:szCs w:val="20"/>
          <w:vertAlign w:val="superscript"/>
          <w:lang w:val="es-ES_tradnl" w:eastAsia="es-ES" w:bidi="es-ES"/>
        </w:rPr>
        <w:footnoteReference w:id="13"/>
      </w:r>
      <w:r w:rsidRPr="009033FA">
        <w:rPr>
          <w:rFonts w:ascii="Verdana" w:eastAsia="Calibri" w:hAnsi="Verdana" w:cs="Arial"/>
          <w:color w:val="000000"/>
          <w:sz w:val="20"/>
          <w:szCs w:val="20"/>
          <w:lang w:val="es-ES_tradnl" w:eastAsia="es-ES" w:bidi="es-ES"/>
        </w:rPr>
        <w:t>.</w:t>
      </w:r>
    </w:p>
    <w:p w14:paraId="65E5C2E5" w14:textId="77777777" w:rsidR="00381A5E" w:rsidRPr="00EC5368" w:rsidRDefault="00381A5E" w:rsidP="00381A5E">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3A72B67D" w14:textId="77777777" w:rsidR="00381A5E" w:rsidRDefault="00381A5E" w:rsidP="00381A5E">
      <w:pPr>
        <w:widowControl w:val="0"/>
        <w:autoSpaceDE w:val="0"/>
        <w:autoSpaceDN w:val="0"/>
        <w:spacing w:after="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5DCFB772" w14:textId="77777777" w:rsidR="00381A5E" w:rsidRPr="009033FA" w:rsidRDefault="00381A5E" w:rsidP="00381A5E">
      <w:pPr>
        <w:widowControl w:val="0"/>
        <w:autoSpaceDE w:val="0"/>
        <w:autoSpaceDN w:val="0"/>
        <w:spacing w:after="0" w:line="276" w:lineRule="auto"/>
        <w:jc w:val="both"/>
        <w:rPr>
          <w:rFonts w:ascii="Verdana" w:eastAsia="Arial" w:hAnsi="Verdana" w:cs="Arial"/>
          <w:lang w:val="es-ES_tradnl" w:eastAsia="es-ES" w:bidi="es-ES"/>
        </w:rPr>
      </w:pPr>
    </w:p>
    <w:p w14:paraId="04BD68AF" w14:textId="77777777" w:rsidR="00381A5E" w:rsidRDefault="00381A5E" w:rsidP="00381A5E">
      <w:pPr>
        <w:spacing w:after="0" w:line="276" w:lineRule="auto"/>
        <w:jc w:val="both"/>
        <w:rPr>
          <w:rFonts w:ascii="Verdana" w:eastAsia="Calibri" w:hAnsi="Verdana" w:cs="Arial"/>
          <w:color w:val="000000" w:themeColor="text1"/>
          <w:lang w:val="es-ES"/>
        </w:rPr>
      </w:pPr>
      <w:r w:rsidRPr="4A2B3978">
        <w:rPr>
          <w:rFonts w:ascii="Verdana" w:hAnsi="Verdana" w:cs="Arial"/>
          <w:lang w:val="es-ES"/>
        </w:rPr>
        <w:t>v. Finalmente</w:t>
      </w:r>
      <w:r w:rsidRPr="4A2B3978">
        <w:rPr>
          <w:rFonts w:ascii="Verdana" w:eastAsia="Calibri" w:hAnsi="Verdana" w:cs="Arial"/>
          <w:color w:val="000000" w:themeColor="text1"/>
          <w:lang w:val="es-ES"/>
        </w:rPr>
        <w:t xml:space="preserve">, de acuerdo con la jurisprudencia del Consejo de Estado, la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w:t>
      </w:r>
      <w:r w:rsidRPr="4A2B3978">
        <w:rPr>
          <w:rFonts w:ascii="Verdana" w:eastAsia="Calibri" w:hAnsi="Verdana" w:cs="Arial"/>
          <w:color w:val="000000" w:themeColor="text1"/>
          <w:lang w:val="es-ES"/>
        </w:rPr>
        <w:lastRenderedPageBreak/>
        <w:t xml:space="preserve">utilidad del contratista; o </w:t>
      </w:r>
      <w:proofErr w:type="spellStart"/>
      <w:r w:rsidRPr="4A2B3978">
        <w:rPr>
          <w:rFonts w:ascii="Verdana" w:eastAsia="Calibri" w:hAnsi="Verdana" w:cs="Arial"/>
          <w:color w:val="000000" w:themeColor="text1"/>
          <w:lang w:val="es-ES"/>
        </w:rPr>
        <w:t>ii</w:t>
      </w:r>
      <w:proofErr w:type="spellEnd"/>
      <w:r w:rsidRPr="4A2B3978">
        <w:rPr>
          <w:rFonts w:ascii="Verdana" w:eastAsia="Calibri" w:hAnsi="Verdana" w:cs="Arial"/>
          <w:color w:val="000000" w:themeColor="text1"/>
          <w:lang w:val="es-ES"/>
        </w:rPr>
        <w:t>) como una modalidad de administración y pago, no necesariamente asociada al mandato. En un primer momento el Consejo de Estado, se refirió a la administración delegada como modalidad de pago en los contratos de obra pública, indicando que:</w:t>
      </w:r>
    </w:p>
    <w:p w14:paraId="7165B400" w14:textId="77777777" w:rsidR="00381A5E" w:rsidRPr="00E8735C" w:rsidRDefault="00381A5E" w:rsidP="00381A5E">
      <w:pPr>
        <w:spacing w:after="0" w:line="276" w:lineRule="auto"/>
        <w:jc w:val="both"/>
        <w:rPr>
          <w:rFonts w:ascii="Verdana" w:eastAsia="Calibri" w:hAnsi="Verdana" w:cs="Arial"/>
          <w:color w:val="000000" w:themeColor="text1"/>
          <w:lang w:val="es-ES_tradnl"/>
        </w:rPr>
      </w:pPr>
    </w:p>
    <w:p w14:paraId="65B74734" w14:textId="77777777" w:rsidR="00381A5E" w:rsidRPr="009033FA" w:rsidRDefault="00381A5E" w:rsidP="00381A5E">
      <w:pPr>
        <w:spacing w:after="120" w:line="240" w:lineRule="auto"/>
        <w:ind w:left="709" w:right="709"/>
        <w:jc w:val="both"/>
        <w:rPr>
          <w:rFonts w:ascii="Verdana" w:hAnsi="Verdana" w:cs="Arial"/>
          <w:color w:val="000000" w:themeColor="text1"/>
          <w:sz w:val="20"/>
          <w:szCs w:val="20"/>
          <w:lang w:val="es-ES_tradnl"/>
        </w:rPr>
      </w:pPr>
      <w:r>
        <w:rPr>
          <w:rFonts w:ascii="Verdana" w:eastAsia="Calibri" w:hAnsi="Verdana" w:cs="Arial"/>
          <w:bCs/>
          <w:sz w:val="21"/>
          <w:szCs w:val="21"/>
        </w:rPr>
        <w:t>“</w:t>
      </w:r>
      <w:r w:rsidRPr="009033FA">
        <w:rPr>
          <w:rFonts w:ascii="Verdana" w:hAnsi="Verdana" w:cs="Arial"/>
          <w:color w:val="000000" w:themeColor="text1"/>
          <w:sz w:val="20"/>
          <w:szCs w:val="20"/>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4333829D" w14:textId="77777777" w:rsidR="00381A5E" w:rsidRPr="00AC178D" w:rsidRDefault="00381A5E" w:rsidP="00381A5E">
      <w:pPr>
        <w:spacing w:after="0" w:line="240" w:lineRule="auto"/>
        <w:ind w:left="709" w:right="709"/>
        <w:jc w:val="both"/>
        <w:rPr>
          <w:rFonts w:ascii="Verdana" w:hAnsi="Verdana" w:cs="Arial"/>
          <w:color w:val="000000" w:themeColor="text1"/>
          <w:sz w:val="21"/>
          <w:szCs w:val="21"/>
          <w:lang w:val="es-ES_tradnl"/>
        </w:rPr>
      </w:pPr>
      <w:r w:rsidRPr="009033FA">
        <w:rPr>
          <w:rFonts w:ascii="Verdana" w:hAnsi="Verdana" w:cs="Arial"/>
          <w:color w:val="000000" w:themeColor="text1"/>
          <w:sz w:val="20"/>
          <w:szCs w:val="20"/>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9033FA">
        <w:rPr>
          <w:rFonts w:ascii="Verdana" w:eastAsia="Calibri" w:hAnsi="Verdana" w:cs="Arial"/>
          <w:bCs/>
          <w:iCs/>
          <w:sz w:val="20"/>
          <w:szCs w:val="20"/>
        </w:rPr>
        <w:t>”</w:t>
      </w:r>
      <w:r w:rsidRPr="009033FA">
        <w:rPr>
          <w:rStyle w:val="Refdenotaalpie"/>
          <w:rFonts w:ascii="Verdana" w:hAnsi="Verdana" w:cs="Arial"/>
          <w:color w:val="000000" w:themeColor="text1"/>
          <w:sz w:val="20"/>
          <w:szCs w:val="20"/>
          <w:lang w:val="es-ES_tradnl"/>
        </w:rPr>
        <w:footnoteReference w:id="14"/>
      </w:r>
      <w:r w:rsidRPr="009033FA">
        <w:rPr>
          <w:rFonts w:ascii="Verdana" w:eastAsia="Calibri" w:hAnsi="Verdana" w:cs="Arial"/>
          <w:bCs/>
          <w:iCs/>
          <w:sz w:val="20"/>
          <w:szCs w:val="20"/>
        </w:rPr>
        <w:t>.</w:t>
      </w:r>
      <w:r w:rsidRPr="00AC178D">
        <w:rPr>
          <w:rFonts w:ascii="Verdana" w:hAnsi="Verdana" w:cs="Arial"/>
          <w:color w:val="000000" w:themeColor="text1"/>
          <w:sz w:val="21"/>
          <w:szCs w:val="21"/>
          <w:lang w:val="es-ES_tradnl"/>
        </w:rPr>
        <w:t xml:space="preserve"> </w:t>
      </w:r>
    </w:p>
    <w:p w14:paraId="2A268A04" w14:textId="77777777" w:rsidR="00381A5E" w:rsidRDefault="00381A5E" w:rsidP="00381A5E">
      <w:pPr>
        <w:spacing w:after="0" w:line="276" w:lineRule="auto"/>
        <w:ind w:firstLine="708"/>
        <w:jc w:val="both"/>
        <w:rPr>
          <w:rFonts w:ascii="Verdana" w:eastAsia="Calibri" w:hAnsi="Verdana" w:cs="Arial"/>
          <w:color w:val="000000" w:themeColor="text1"/>
          <w:lang w:val="es-ES_tradnl"/>
        </w:rPr>
      </w:pPr>
    </w:p>
    <w:p w14:paraId="23899226" w14:textId="77777777" w:rsidR="00381A5E" w:rsidRDefault="00381A5E" w:rsidP="00381A5E">
      <w:pPr>
        <w:spacing w:after="0" w:line="276" w:lineRule="auto"/>
        <w:ind w:firstLine="708"/>
        <w:jc w:val="both"/>
        <w:rPr>
          <w:rFonts w:ascii="Verdana" w:hAnsi="Verdana" w:cs="Arial"/>
        </w:rPr>
      </w:pPr>
      <w:r w:rsidRPr="00AC178D">
        <w:rPr>
          <w:rFonts w:ascii="Verdana" w:eastAsia="Calibri" w:hAnsi="Verdana" w:cs="Arial"/>
          <w:color w:val="000000" w:themeColor="text1"/>
          <w:lang w:val="es-ES_tradnl"/>
        </w:rPr>
        <w:t xml:space="preserve">Posteriormente, la Sección Cuarta del Consejo de Estado reiteró que la </w:t>
      </w:r>
      <w:r w:rsidRPr="00AC178D">
        <w:rPr>
          <w:rFonts w:ascii="Verdana" w:hAnsi="Verdana" w:cs="Arial"/>
        </w:rPr>
        <w:t xml:space="preserve">referencia conceptual más descriptiva de los contratos de administración delegada es la que contenían los Estatutos de Contratación Pública contenida en los Decretos 1518 de 1965, 150 de 1976 y 222 de 1983, este último derogado por el artículo 81 de la Ley 80 de 1993, en el que la obra es ejecutada por cuenta y riesgo de la entidad contratante, pero a través de un contratista que sólo es delegado o representante de aquélla, a cambio de unos honorarios previamente pactados, señalando que: </w:t>
      </w:r>
    </w:p>
    <w:p w14:paraId="6FB87559" w14:textId="77777777" w:rsidR="00381A5E" w:rsidRPr="00AC178D" w:rsidRDefault="00381A5E" w:rsidP="00381A5E">
      <w:pPr>
        <w:spacing w:after="0" w:line="276" w:lineRule="auto"/>
        <w:ind w:firstLine="708"/>
        <w:jc w:val="both"/>
        <w:rPr>
          <w:rFonts w:ascii="Verdana" w:hAnsi="Verdana" w:cs="Arial"/>
        </w:rPr>
      </w:pPr>
    </w:p>
    <w:p w14:paraId="127AC45B" w14:textId="77777777" w:rsidR="00381A5E" w:rsidRPr="009033FA" w:rsidRDefault="00381A5E" w:rsidP="00381A5E">
      <w:pPr>
        <w:spacing w:after="0" w:line="240" w:lineRule="auto"/>
        <w:ind w:left="709" w:right="709"/>
        <w:jc w:val="both"/>
        <w:rPr>
          <w:rFonts w:ascii="Verdana" w:hAnsi="Verdana" w:cs="Arial"/>
          <w:sz w:val="20"/>
          <w:szCs w:val="20"/>
        </w:rPr>
      </w:pPr>
      <w:r w:rsidRPr="009033FA">
        <w:rPr>
          <w:rFonts w:ascii="Verdana" w:eastAsia="Calibri" w:hAnsi="Verdana" w:cs="Arial"/>
          <w:bCs/>
          <w:sz w:val="20"/>
          <w:szCs w:val="20"/>
        </w:rPr>
        <w:t>“</w:t>
      </w:r>
      <w:r w:rsidRPr="009033FA">
        <w:rPr>
          <w:rFonts w:ascii="Verdana" w:hAnsi="Verdana" w:cs="Arial"/>
          <w:sz w:val="20"/>
          <w:szCs w:val="20"/>
        </w:rPr>
        <w:t xml:space="preserve">Como tal, el contrato abarca dos grupos de obligaciones principales, las  propias del contrato de ‘arrendamiento para la confección de una obra material’, regulado por los artículos 2053 a 2062 del Código Civil, cuyo objeto principal es la ejecución de la obra contratada dentro de las especificaciones y los plazos convenidos; y las que atañen a las relaciones establecidas entre el propietario y el constructor en lo que concierne a la administración de los fondos que deben invertirse para la ejecución de dicha obra, regidos por las normas del Código Civil que regulan el contrato de mandato (arts. 2142 a 2199), en cuanto no pugnen con las </w:t>
      </w:r>
      <w:r w:rsidRPr="009033FA">
        <w:rPr>
          <w:rFonts w:ascii="Verdana" w:hAnsi="Verdana" w:cs="Arial"/>
          <w:sz w:val="20"/>
          <w:szCs w:val="20"/>
        </w:rPr>
        <w:lastRenderedPageBreak/>
        <w:t>estipulaciones hechas por los contratantes y con las características especiales del contrato</w:t>
      </w:r>
      <w:r w:rsidRPr="009033FA">
        <w:rPr>
          <w:rFonts w:ascii="Verdana" w:eastAsia="Calibri" w:hAnsi="Verdana" w:cs="Arial"/>
          <w:bCs/>
          <w:iCs/>
          <w:sz w:val="20"/>
          <w:szCs w:val="20"/>
        </w:rPr>
        <w:t>”</w:t>
      </w:r>
      <w:r w:rsidRPr="009033FA">
        <w:rPr>
          <w:rStyle w:val="Refdenotaalpie"/>
          <w:rFonts w:ascii="Verdana" w:eastAsia="Calibri" w:hAnsi="Verdana" w:cs="Arial"/>
          <w:color w:val="000000" w:themeColor="text1"/>
          <w:sz w:val="20"/>
          <w:szCs w:val="20"/>
          <w:lang w:val="es-ES_tradnl"/>
        </w:rPr>
        <w:footnoteReference w:id="15"/>
      </w:r>
      <w:r w:rsidRPr="009033FA">
        <w:rPr>
          <w:rFonts w:ascii="Verdana" w:eastAsia="Calibri" w:hAnsi="Verdana" w:cs="Arial"/>
          <w:bCs/>
          <w:iCs/>
          <w:sz w:val="20"/>
          <w:szCs w:val="20"/>
        </w:rPr>
        <w:t>.</w:t>
      </w:r>
    </w:p>
    <w:p w14:paraId="0ACB95A1" w14:textId="77777777" w:rsidR="00381A5E" w:rsidRDefault="00381A5E" w:rsidP="00381A5E">
      <w:pPr>
        <w:spacing w:after="0" w:line="276" w:lineRule="auto"/>
        <w:ind w:firstLine="708"/>
        <w:jc w:val="both"/>
        <w:rPr>
          <w:rFonts w:ascii="Verdana" w:hAnsi="Verdana" w:cs="Arial"/>
        </w:rPr>
      </w:pPr>
    </w:p>
    <w:p w14:paraId="3F37E84D" w14:textId="77777777" w:rsidR="00381A5E" w:rsidRPr="00AC178D" w:rsidRDefault="00381A5E" w:rsidP="00381A5E">
      <w:pPr>
        <w:spacing w:after="120" w:line="276" w:lineRule="auto"/>
        <w:ind w:firstLine="708"/>
        <w:jc w:val="both"/>
        <w:rPr>
          <w:rFonts w:ascii="Verdana" w:hAnsi="Verdana" w:cs="Arial"/>
          <w:color w:val="000000" w:themeColor="text1"/>
          <w:lang w:val="es-ES_tradnl"/>
        </w:rPr>
      </w:pPr>
      <w:r w:rsidRPr="00AC178D">
        <w:rPr>
          <w:rFonts w:ascii="Verdana" w:hAnsi="Verdana" w:cs="Arial"/>
        </w:rPr>
        <w:t xml:space="preserve">En este punto, es importante resaltar que, </w:t>
      </w:r>
      <w:r w:rsidRPr="00AC178D">
        <w:rPr>
          <w:rFonts w:ascii="Verdana" w:eastAsia="Arial" w:hAnsi="Verdana" w:cs="Arial"/>
          <w:lang w:val="es-ES"/>
        </w:rPr>
        <w:t xml:space="preserve">la forma de pactar la metodología de ejecución y el precio de las obras públicas en el marco de los contratos estatales, las partes pueden emplear distintos sistemas, como, por ejemplo, i) el </w:t>
      </w:r>
      <w:r>
        <w:rPr>
          <w:rFonts w:ascii="Verdana" w:eastAsia="Arial" w:hAnsi="Verdana" w:cs="Arial"/>
          <w:lang w:val="es-ES"/>
        </w:rPr>
        <w:t>“</w:t>
      </w:r>
      <w:r w:rsidRPr="00AC178D">
        <w:rPr>
          <w:rFonts w:ascii="Verdana" w:eastAsia="Arial" w:hAnsi="Verdana" w:cs="Arial"/>
          <w:lang w:val="es-ES"/>
        </w:rPr>
        <w:t>precio global</w:t>
      </w:r>
      <w:r>
        <w:rPr>
          <w:rFonts w:ascii="Verdana" w:eastAsia="Arial" w:hAnsi="Verdana" w:cs="Arial"/>
          <w:lang w:val="es-ES"/>
        </w:rPr>
        <w:t>”</w:t>
      </w:r>
      <w:r w:rsidRPr="00AC178D">
        <w:rPr>
          <w:rFonts w:ascii="Verdana" w:eastAsia="Arial" w:hAnsi="Verdana" w:cs="Arial"/>
          <w:lang w:val="es-ES"/>
        </w:rPr>
        <w:t xml:space="preserve"> –en el que se paga </w:t>
      </w:r>
      <w:r>
        <w:rPr>
          <w:rFonts w:ascii="Verdana" w:eastAsia="Arial" w:hAnsi="Verdana" w:cs="Arial"/>
          <w:lang w:val="es-ES"/>
        </w:rPr>
        <w:t>“</w:t>
      </w:r>
      <w:r w:rsidRPr="00AC178D">
        <w:rPr>
          <w:rFonts w:ascii="Verdana" w:eastAsia="Arial" w:hAnsi="Verdana" w:cs="Arial"/>
          <w:lang w:val="es-ES"/>
        </w:rPr>
        <w:t>a mano alzada</w:t>
      </w:r>
      <w:r>
        <w:rPr>
          <w:rFonts w:ascii="Verdana" w:eastAsia="Arial" w:hAnsi="Verdana" w:cs="Arial"/>
          <w:lang w:val="es-ES"/>
        </w:rPr>
        <w:t>”</w:t>
      </w:r>
      <w:r w:rsidRPr="00AC178D">
        <w:rPr>
          <w:rFonts w:ascii="Verdana" w:eastAsia="Arial" w:hAnsi="Verdana" w:cs="Arial"/>
          <w:lang w:val="es-ES"/>
        </w:rPr>
        <w:t xml:space="preserve"> el objeto del contrato–; </w:t>
      </w:r>
      <w:proofErr w:type="spellStart"/>
      <w:r w:rsidRPr="00AC178D">
        <w:rPr>
          <w:rFonts w:ascii="Verdana" w:eastAsia="Arial" w:hAnsi="Verdana" w:cs="Arial"/>
          <w:lang w:val="es-ES"/>
        </w:rPr>
        <w:t>ii</w:t>
      </w:r>
      <w:proofErr w:type="spellEnd"/>
      <w:r w:rsidRPr="00AC178D">
        <w:rPr>
          <w:rFonts w:ascii="Verdana" w:eastAsia="Arial" w:hAnsi="Verdana" w:cs="Arial"/>
          <w:lang w:val="es-ES"/>
        </w:rPr>
        <w:t xml:space="preserve">) los </w:t>
      </w:r>
      <w:r>
        <w:rPr>
          <w:rFonts w:ascii="Verdana" w:eastAsia="Arial" w:hAnsi="Verdana" w:cs="Arial"/>
          <w:lang w:val="es-ES"/>
        </w:rPr>
        <w:t>“</w:t>
      </w:r>
      <w:r w:rsidRPr="00AC178D">
        <w:rPr>
          <w:rFonts w:ascii="Verdana" w:eastAsia="Arial" w:hAnsi="Verdana" w:cs="Arial"/>
          <w:lang w:val="es-ES"/>
        </w:rPr>
        <w:t>precios unitarios</w:t>
      </w:r>
      <w:r>
        <w:rPr>
          <w:rFonts w:ascii="Verdana" w:eastAsia="Arial" w:hAnsi="Verdana" w:cs="Arial"/>
          <w:lang w:val="es-ES"/>
        </w:rPr>
        <w:t>”</w:t>
      </w:r>
      <w:r w:rsidRPr="00AC178D">
        <w:rPr>
          <w:rFonts w:ascii="Verdana" w:eastAsia="Arial" w:hAnsi="Verdana" w:cs="Arial"/>
          <w:lang w:val="es-ES"/>
        </w:rPr>
        <w:t xml:space="preserve"> –en los cuales se suelen detallar los costos directos, diferenciándolos de los costos indirectos de administración (A), imprevistos (I) y utilidades (U)–, o </w:t>
      </w:r>
      <w:proofErr w:type="spellStart"/>
      <w:r w:rsidRPr="00AC178D">
        <w:rPr>
          <w:rFonts w:ascii="Verdana" w:eastAsia="Arial" w:hAnsi="Verdana" w:cs="Arial"/>
          <w:lang w:val="es-ES"/>
        </w:rPr>
        <w:t>iii</w:t>
      </w:r>
      <w:proofErr w:type="spellEnd"/>
      <w:r w:rsidRPr="00AC178D">
        <w:rPr>
          <w:rFonts w:ascii="Verdana" w:eastAsia="Arial" w:hAnsi="Verdana" w:cs="Arial"/>
          <w:lang w:val="es-ES"/>
        </w:rPr>
        <w:t xml:space="preserve">) la </w:t>
      </w:r>
      <w:r>
        <w:rPr>
          <w:rFonts w:ascii="Verdana" w:eastAsia="Arial" w:hAnsi="Verdana" w:cs="Arial"/>
          <w:lang w:val="es-ES"/>
        </w:rPr>
        <w:t>“</w:t>
      </w:r>
      <w:r w:rsidRPr="00AC178D">
        <w:rPr>
          <w:rFonts w:ascii="Verdana" w:eastAsia="Arial" w:hAnsi="Verdana" w:cs="Arial"/>
          <w:lang w:val="es-ES"/>
        </w:rPr>
        <w:t>administración delegada</w:t>
      </w:r>
      <w:r>
        <w:rPr>
          <w:rFonts w:ascii="Verdana" w:eastAsia="Arial" w:hAnsi="Verdana" w:cs="Arial"/>
          <w:lang w:val="es-ES"/>
        </w:rPr>
        <w:t>”</w:t>
      </w:r>
      <w:r w:rsidRPr="00AC178D">
        <w:rPr>
          <w:rFonts w:ascii="Verdana" w:eastAsia="Arial" w:hAnsi="Verdana" w:cs="Arial"/>
          <w:lang w:val="es-ES"/>
        </w:rPr>
        <w:t>,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 que</w:t>
      </w:r>
      <w:r w:rsidRPr="00AC178D">
        <w:rPr>
          <w:rFonts w:ascii="Verdana" w:hAnsi="Verdana" w:cs="Arial"/>
          <w:color w:val="000000" w:themeColor="text1"/>
          <w:lang w:val="es-ES_tradnl"/>
        </w:rPr>
        <w:t xml:space="preserve"> se realiza por </w:t>
      </w:r>
      <w:r w:rsidRPr="00D11A6A">
        <w:rPr>
          <w:rFonts w:ascii="Verdana" w:eastAsia="Calibri" w:hAnsi="Verdana" w:cs="Arial"/>
          <w:bCs/>
        </w:rPr>
        <w:t>“</w:t>
      </w:r>
      <w:r w:rsidRPr="00D11A6A">
        <w:rPr>
          <w:rFonts w:ascii="Verdana" w:hAnsi="Verdana" w:cs="Arial"/>
          <w:color w:val="000000" w:themeColor="text1"/>
          <w:lang w:val="es-ES_tradnl"/>
        </w:rPr>
        <w:t>cuenta y riesgo del contratante</w:t>
      </w:r>
      <w:r w:rsidRPr="00D11A6A">
        <w:rPr>
          <w:rFonts w:ascii="Verdana" w:eastAsia="Calibri" w:hAnsi="Verdana" w:cs="Arial"/>
          <w:bCs/>
        </w:rPr>
        <w:t>”</w:t>
      </w:r>
      <w:r w:rsidRPr="00AC178D">
        <w:rPr>
          <w:rFonts w:ascii="Verdana" w:hAnsi="Verdana" w:cs="Arial"/>
          <w:i/>
          <w:iCs/>
          <w:color w:val="000000" w:themeColor="text1"/>
          <w:lang w:val="es-ES_tradnl"/>
        </w:rPr>
        <w:t>,</w:t>
      </w:r>
      <w:r w:rsidRPr="00AC178D">
        <w:rPr>
          <w:rFonts w:ascii="Verdana" w:hAnsi="Verdana" w:cs="Arial"/>
          <w:color w:val="000000" w:themeColor="text1"/>
          <w:lang w:val="es-ES_tradnl"/>
        </w:rPr>
        <w:t xml:space="preserve"> por lo cual coloca al contratista en la posición de un representante que no necesariamente contrae obligaciones a nombre propio sino del contratante.</w:t>
      </w:r>
    </w:p>
    <w:p w14:paraId="5ED7AF42" w14:textId="77777777" w:rsidR="00381A5E" w:rsidRPr="00AC178D" w:rsidRDefault="00381A5E" w:rsidP="00381A5E">
      <w:pPr>
        <w:spacing w:after="120" w:line="276" w:lineRule="auto"/>
        <w:jc w:val="both"/>
        <w:rPr>
          <w:rFonts w:ascii="Verdana" w:eastAsia="Calibri" w:hAnsi="Verdana" w:cs="Arial"/>
          <w:color w:val="000000" w:themeColor="text1"/>
          <w:lang w:val="es-ES_tradnl"/>
        </w:rPr>
      </w:pPr>
      <w:r w:rsidRPr="00AC178D">
        <w:rPr>
          <w:rFonts w:ascii="Verdana" w:eastAsia="Arial" w:hAnsi="Verdana" w:cs="Arial"/>
          <w:lang w:val="es-ES_tradnl"/>
        </w:rPr>
        <w:tab/>
        <w:t xml:space="preserve">No obstante, en la misma providencia de la </w:t>
      </w:r>
      <w:r w:rsidRPr="00AC178D">
        <w:rPr>
          <w:rFonts w:ascii="Verdana" w:eastAsia="Calibri" w:hAnsi="Verdana" w:cs="Arial"/>
          <w:color w:val="000000" w:themeColor="text1"/>
          <w:lang w:val="es-ES_tradnl"/>
        </w:rPr>
        <w:t xml:space="preserve">Sección Cuarta de la Sala de lo Contencioso Administrativo del Consejo de Estado, previamente citada, se indicó también que la </w:t>
      </w:r>
      <w:r>
        <w:rPr>
          <w:rFonts w:ascii="Verdana" w:eastAsia="Calibri" w:hAnsi="Verdana" w:cs="Arial"/>
          <w:color w:val="000000" w:themeColor="text1"/>
          <w:lang w:val="es-ES_tradnl"/>
        </w:rPr>
        <w:t>“</w:t>
      </w:r>
      <w:r w:rsidRPr="00AC178D">
        <w:rPr>
          <w:rFonts w:ascii="Verdana" w:eastAsia="Calibri" w:hAnsi="Verdana" w:cs="Arial"/>
          <w:color w:val="000000" w:themeColor="text1"/>
          <w:lang w:val="es-ES_tradnl"/>
        </w:rPr>
        <w:t>administración delegada</w:t>
      </w:r>
      <w:r>
        <w:rPr>
          <w:rFonts w:ascii="Verdana" w:eastAsia="Calibri" w:hAnsi="Verdana" w:cs="Arial"/>
          <w:color w:val="000000" w:themeColor="text1"/>
          <w:lang w:val="es-ES_tradnl"/>
        </w:rPr>
        <w:t>”</w:t>
      </w:r>
      <w:r w:rsidRPr="00AC178D">
        <w:rPr>
          <w:rFonts w:ascii="Verdana" w:eastAsia="Arial" w:hAnsi="Verdana" w:cs="Arial"/>
          <w:lang w:val="es-ES"/>
        </w:rPr>
        <w:t xml:space="preserve"> comparte la misma esencia de la relación contractual propia del mandato, en el entendido de que el contratista representa, administra y gestiona el contrato.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w:t>
      </w:r>
    </w:p>
    <w:p w14:paraId="136B564A" w14:textId="77777777" w:rsidR="00381A5E" w:rsidRPr="00AC178D" w:rsidRDefault="00381A5E" w:rsidP="00381A5E">
      <w:pPr>
        <w:spacing w:after="120" w:line="276" w:lineRule="auto"/>
        <w:ind w:firstLine="708"/>
        <w:jc w:val="both"/>
        <w:rPr>
          <w:rFonts w:ascii="Verdana" w:eastAsia="Times New Roman" w:hAnsi="Verdana" w:cs="Arial"/>
          <w:lang w:eastAsia="es-ES"/>
        </w:rPr>
      </w:pPr>
      <w:r w:rsidRPr="00AC178D">
        <w:rPr>
          <w:rFonts w:ascii="Verdana" w:eastAsia="Calibri" w:hAnsi="Verdana" w:cs="Arial"/>
          <w:lang w:val="es-ES_tradnl"/>
        </w:rPr>
        <w:t xml:space="preserve">Posteriormente, </w:t>
      </w:r>
      <w:r>
        <w:rPr>
          <w:rFonts w:ascii="Verdana" w:eastAsia="Calibri" w:hAnsi="Verdana" w:cs="Arial"/>
          <w:lang w:val="es-ES_tradnl"/>
        </w:rPr>
        <w:t>la</w:t>
      </w:r>
      <w:r w:rsidRPr="00AC178D">
        <w:rPr>
          <w:rFonts w:ascii="Verdana" w:eastAsia="Calibri" w:hAnsi="Verdana" w:cs="Arial"/>
          <w:lang w:val="es-ES_tradnl"/>
        </w:rPr>
        <w:t xml:space="preserve"> Sala de </w:t>
      </w:r>
      <w:r>
        <w:rPr>
          <w:rFonts w:ascii="Verdana" w:eastAsia="Calibri" w:hAnsi="Verdana" w:cs="Arial"/>
          <w:lang w:val="es-ES_tradnl"/>
        </w:rPr>
        <w:t>C</w:t>
      </w:r>
      <w:r w:rsidRPr="00AC178D">
        <w:rPr>
          <w:rFonts w:ascii="Verdana" w:eastAsia="Calibri" w:hAnsi="Verdana" w:cs="Arial"/>
          <w:lang w:val="es-ES_tradnl"/>
        </w:rPr>
        <w:t xml:space="preserve">onsulta y </w:t>
      </w:r>
      <w:r>
        <w:rPr>
          <w:rFonts w:ascii="Verdana" w:eastAsia="Calibri" w:hAnsi="Verdana" w:cs="Arial"/>
          <w:lang w:val="es-ES_tradnl"/>
        </w:rPr>
        <w:t>S</w:t>
      </w:r>
      <w:r w:rsidRPr="00AC178D">
        <w:rPr>
          <w:rFonts w:ascii="Verdana" w:eastAsia="Calibri" w:hAnsi="Verdana" w:cs="Arial"/>
          <w:lang w:val="es-ES_tradnl"/>
        </w:rPr>
        <w:t xml:space="preserve">ervicio </w:t>
      </w:r>
      <w:r>
        <w:rPr>
          <w:rFonts w:ascii="Verdana" w:eastAsia="Calibri" w:hAnsi="Verdana" w:cs="Arial"/>
          <w:lang w:val="es-ES_tradnl"/>
        </w:rPr>
        <w:t>C</w:t>
      </w:r>
      <w:r w:rsidRPr="00AC178D">
        <w:rPr>
          <w:rFonts w:ascii="Verdana" w:eastAsia="Calibri" w:hAnsi="Verdana" w:cs="Arial"/>
          <w:lang w:val="es-ES_tradnl"/>
        </w:rPr>
        <w:t>ivil</w:t>
      </w:r>
      <w:r>
        <w:rPr>
          <w:rFonts w:ascii="Verdana" w:eastAsia="Calibri" w:hAnsi="Verdana" w:cs="Arial"/>
          <w:lang w:val="es-ES_tradnl"/>
        </w:rPr>
        <w:t xml:space="preserve"> del Consejo de Estado</w:t>
      </w:r>
      <w:r w:rsidRPr="00AC178D">
        <w:rPr>
          <w:rFonts w:ascii="Verdana" w:eastAsia="Calibri" w:hAnsi="Verdana" w:cs="Arial"/>
          <w:lang w:val="es-ES_tradnl"/>
        </w:rPr>
        <w:t xml:space="preserve"> indicó que </w:t>
      </w:r>
      <w:r w:rsidRPr="00AC178D">
        <w:rPr>
          <w:rFonts w:ascii="Verdana" w:eastAsia="Times New Roman" w:hAnsi="Verdana" w:cs="Arial"/>
          <w:lang w:eastAsia="es-ES"/>
        </w:rPr>
        <w:t xml:space="preserve">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w:t>
      </w:r>
      <w:r w:rsidRPr="00AC178D">
        <w:rPr>
          <w:rFonts w:ascii="Verdana" w:eastAsia="Times New Roman" w:hAnsi="Verdana" w:cs="Arial"/>
          <w:lang w:eastAsia="es-ES"/>
        </w:rPr>
        <w:lastRenderedPageBreak/>
        <w:t>que cuando se entrega a título de pago, se desplaza al patrimonio del contratista sin ningún condicionamiento</w:t>
      </w:r>
      <w:r w:rsidRPr="00AC178D">
        <w:rPr>
          <w:rStyle w:val="Refdenotaalpie"/>
          <w:rFonts w:ascii="Verdana" w:eastAsia="Calibri" w:hAnsi="Verdana" w:cs="Arial"/>
          <w:lang w:val="es-ES_tradnl"/>
        </w:rPr>
        <w:footnoteReference w:id="16"/>
      </w:r>
      <w:r w:rsidRPr="00AC178D">
        <w:rPr>
          <w:rFonts w:ascii="Verdana" w:eastAsia="Times New Roman" w:hAnsi="Verdana" w:cs="Arial"/>
          <w:lang w:eastAsia="es-ES"/>
        </w:rPr>
        <w:t xml:space="preserve">. </w:t>
      </w:r>
    </w:p>
    <w:p w14:paraId="17DA0A29" w14:textId="77777777" w:rsidR="00381A5E" w:rsidRPr="00AC178D" w:rsidRDefault="00381A5E" w:rsidP="00381A5E">
      <w:pPr>
        <w:pStyle w:val="Textoindependiente"/>
        <w:tabs>
          <w:tab w:val="left" w:pos="0"/>
        </w:tabs>
        <w:spacing w:after="120" w:line="276" w:lineRule="auto"/>
        <w:jc w:val="both"/>
        <w:rPr>
          <w:rFonts w:cs="Arial"/>
          <w:bCs/>
        </w:rPr>
      </w:pPr>
      <w:r w:rsidRPr="00AC178D">
        <w:rPr>
          <w:rFonts w:cs="Arial"/>
          <w:bCs/>
          <w:color w:val="4472C4" w:themeColor="accent1"/>
        </w:rPr>
        <w:tab/>
      </w:r>
      <w:r w:rsidRPr="00AC178D">
        <w:rPr>
          <w:rFonts w:cs="Arial"/>
          <w:bCs/>
        </w:rPr>
        <w:t xml:space="preserve">Teniendo en cuenta que converge una nueva postura del Consejo de Estado sobre la noción de la </w:t>
      </w:r>
      <w:r>
        <w:rPr>
          <w:rFonts w:eastAsia="Calibri" w:cs="Arial"/>
          <w:lang w:val="es-ES_tradnl"/>
        </w:rPr>
        <w:t>“</w:t>
      </w:r>
      <w:r w:rsidRPr="00AC178D">
        <w:rPr>
          <w:rFonts w:eastAsia="Calibri" w:cs="Arial"/>
          <w:lang w:val="es-ES_tradnl"/>
        </w:rPr>
        <w:t>administración delegada</w:t>
      </w:r>
      <w:r>
        <w:rPr>
          <w:rFonts w:eastAsia="Calibri" w:cs="Arial"/>
          <w:lang w:val="es-ES_tradnl"/>
        </w:rPr>
        <w:t>”</w:t>
      </w:r>
      <w:r w:rsidRPr="00AC178D">
        <w:rPr>
          <w:rFonts w:cs="Arial"/>
          <w:bCs/>
        </w:rPr>
        <w:t>, es preciso citar la sentencia del 20 de noviembre de 2020, que reiteró que si bien las normas del mandato se integren al contenido del contrato de obra por administración delegada no quiere decir que el contratista obre en nombre y representación del contratante frente a terceros</w:t>
      </w:r>
      <w:r w:rsidRPr="00AC178D">
        <w:rPr>
          <w:rStyle w:val="Refdenotaalpie"/>
          <w:rFonts w:cs="Arial"/>
          <w:bCs/>
        </w:rPr>
        <w:footnoteReference w:id="17"/>
      </w:r>
      <w:r w:rsidRPr="00AC178D">
        <w:rPr>
          <w:rFonts w:cs="Arial"/>
          <w:bCs/>
        </w:rPr>
        <w:t xml:space="preserve">. Sobre el tema, la providencia reiteró que la representación no es un elemento de la esencia de este negocio jurídico, como se deduce del artículo 2177 del Código Civil, que prescribe que el </w:t>
      </w:r>
      <w:r>
        <w:rPr>
          <w:rFonts w:eastAsia="Calibri" w:cs="Arial"/>
          <w:lang w:val="es-ES_tradnl"/>
        </w:rPr>
        <w:t>“</w:t>
      </w:r>
      <w:r w:rsidRPr="00AC178D">
        <w:rPr>
          <w:rFonts w:cs="Arial"/>
          <w:bCs/>
        </w:rPr>
        <w:t>mandatario puede, en el ejercicio de su cargo, contratar a su propio nombre, caso en el cual no obliga respecto de terceros al mandante</w:t>
      </w:r>
      <w:r>
        <w:rPr>
          <w:rFonts w:eastAsia="Calibri" w:cs="Arial"/>
          <w:lang w:val="es-ES_tradnl"/>
        </w:rPr>
        <w:t>”</w:t>
      </w:r>
      <w:r w:rsidRPr="00AC178D">
        <w:rPr>
          <w:rFonts w:cs="Arial"/>
          <w:bCs/>
        </w:rPr>
        <w:t xml:space="preserve">.  De igual forma, el inciso segundo del artículo 1262 del Código de Comercio también contempla que </w:t>
      </w:r>
      <w:r>
        <w:rPr>
          <w:rFonts w:eastAsia="Calibri" w:cs="Arial"/>
          <w:lang w:val="es-ES_tradnl"/>
        </w:rPr>
        <w:t>“</w:t>
      </w:r>
      <w:r w:rsidRPr="00E8735C">
        <w:rPr>
          <w:rFonts w:cs="Arial"/>
          <w:bCs/>
        </w:rPr>
        <w:t>el mandato puede conllevar o no la representación del mandante</w:t>
      </w:r>
      <w:r>
        <w:rPr>
          <w:rFonts w:eastAsia="Calibri" w:cs="Arial"/>
          <w:lang w:val="es-ES_tradnl"/>
        </w:rPr>
        <w:t>”</w:t>
      </w:r>
      <w:r w:rsidRPr="00AC178D">
        <w:rPr>
          <w:rFonts w:cs="Arial"/>
          <w:bCs/>
        </w:rPr>
        <w:t xml:space="preserve">. </w:t>
      </w:r>
    </w:p>
    <w:p w14:paraId="22C47FFE" w14:textId="77777777" w:rsidR="00381A5E" w:rsidRPr="00AC178D" w:rsidRDefault="00381A5E" w:rsidP="00381A5E">
      <w:pPr>
        <w:spacing w:after="120" w:line="276" w:lineRule="auto"/>
        <w:ind w:firstLine="708"/>
        <w:jc w:val="both"/>
        <w:rPr>
          <w:rFonts w:ascii="Verdana" w:eastAsia="Times New Roman" w:hAnsi="Verdana" w:cs="Arial"/>
          <w:bCs/>
          <w:lang w:val="es-ES" w:eastAsia="es-ES"/>
        </w:rPr>
      </w:pPr>
      <w:r w:rsidRPr="00AC178D">
        <w:rPr>
          <w:rFonts w:ascii="Verdana" w:eastAsia="Times New Roman" w:hAnsi="Verdana" w:cs="Arial"/>
          <w:bCs/>
          <w:lang w:val="es-ES" w:eastAsia="es-ES"/>
        </w:rPr>
        <w:t>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encargo, como se deduce de los artículos 2186 del Código Civil y 1266 del Código de Comercio</w:t>
      </w:r>
      <w:r w:rsidRPr="00AC178D">
        <w:rPr>
          <w:rStyle w:val="Refdenotaalpie"/>
          <w:rFonts w:ascii="Verdana" w:eastAsia="Times New Roman" w:hAnsi="Verdana" w:cs="Arial"/>
          <w:bCs/>
          <w:lang w:val="es-ES" w:eastAsia="es-ES"/>
        </w:rPr>
        <w:footnoteReference w:id="18"/>
      </w:r>
      <w:r w:rsidRPr="00AC178D">
        <w:rPr>
          <w:rFonts w:ascii="Verdana" w:eastAsia="Times New Roman" w:hAnsi="Verdana" w:cs="Arial"/>
          <w:bCs/>
          <w:lang w:val="es-ES" w:eastAsia="es-ES"/>
        </w:rPr>
        <w:t xml:space="preserve">. </w:t>
      </w:r>
    </w:p>
    <w:p w14:paraId="676EF67B" w14:textId="77777777" w:rsidR="00381A5E" w:rsidRPr="00E8735C" w:rsidRDefault="00381A5E" w:rsidP="00381A5E">
      <w:pPr>
        <w:spacing w:after="120" w:line="276" w:lineRule="auto"/>
        <w:ind w:firstLine="708"/>
        <w:jc w:val="both"/>
        <w:rPr>
          <w:rFonts w:ascii="Verdana" w:eastAsia="Times New Roman" w:hAnsi="Verdana" w:cs="Arial"/>
          <w:bCs/>
          <w:lang w:val="es-ES" w:eastAsia="es-ES"/>
        </w:rPr>
      </w:pPr>
      <w:r w:rsidRPr="00AC178D">
        <w:rPr>
          <w:rFonts w:ascii="Verdana" w:eastAsia="Times New Roman" w:hAnsi="Verdana" w:cs="Arial"/>
          <w:bCs/>
          <w:lang w:val="es-ES" w:eastAsia="es-ES"/>
        </w:rPr>
        <w:t>Al respecto, la Corte Suprema de Justicia ha dicho que el mandato puede constituir representación o no, y que cuando las partes optan que se ejerza sin representación conlleva que</w:t>
      </w:r>
      <w:r>
        <w:rPr>
          <w:rFonts w:ascii="Verdana" w:eastAsia="Times New Roman" w:hAnsi="Verdana" w:cs="Arial"/>
          <w:bCs/>
          <w:lang w:val="es-ES" w:eastAsia="es-ES"/>
        </w:rPr>
        <w:t xml:space="preserve"> </w:t>
      </w:r>
      <w:r w:rsidRPr="00E8735C">
        <w:rPr>
          <w:rFonts w:ascii="Verdana" w:eastAsia="Times New Roman" w:hAnsi="Verdana" w:cs="Arial"/>
          <w:bCs/>
          <w:lang w:val="es-ES" w:eastAsia="es-ES"/>
        </w:rPr>
        <w:t xml:space="preserve">“entre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w:t>
      </w:r>
      <w:r>
        <w:rPr>
          <w:rFonts w:ascii="Verdana" w:eastAsia="Times New Roman" w:hAnsi="Verdana" w:cs="Arial"/>
          <w:bCs/>
          <w:lang w:val="es-ES" w:eastAsia="es-ES"/>
        </w:rPr>
        <w:t>[</w:t>
      </w:r>
      <w:r w:rsidRPr="00E8735C">
        <w:rPr>
          <w:rFonts w:ascii="Verdana" w:eastAsia="Times New Roman" w:hAnsi="Verdana" w:cs="Arial"/>
          <w:bCs/>
          <w:lang w:val="es-ES" w:eastAsia="es-ES"/>
        </w:rPr>
        <w:t>…</w:t>
      </w:r>
      <w:r>
        <w:rPr>
          <w:rFonts w:ascii="Verdana" w:eastAsia="Times New Roman" w:hAnsi="Verdana" w:cs="Arial"/>
          <w:bCs/>
          <w:lang w:val="es-ES" w:eastAsia="es-ES"/>
        </w:rPr>
        <w:t>]</w:t>
      </w:r>
      <w:r w:rsidRPr="00E8735C">
        <w:rPr>
          <w:rFonts w:ascii="Verdana" w:eastAsia="Times New Roman" w:hAnsi="Verdana" w:cs="Arial"/>
          <w:bCs/>
          <w:lang w:val="es-ES" w:eastAsia="es-ES"/>
        </w:rPr>
        <w:t xml:space="preserve"> aunque obra frente a terceros en nombre propio, sigue haciéndolo por cuenta ajena, la del mandante, y a riesgo de éste, cual lo define </w:t>
      </w:r>
      <w:r w:rsidRPr="00E8735C">
        <w:rPr>
          <w:rFonts w:ascii="Verdana" w:eastAsia="Times New Roman" w:hAnsi="Verdana" w:cs="Arial"/>
          <w:bCs/>
          <w:lang w:val="es-ES" w:eastAsia="es-ES"/>
        </w:rPr>
        <w:lastRenderedPageBreak/>
        <w:t>el reseñado artículo 1262 del Código de Comercio, de modo que sobre su patrimonio habrán de recaer, en últimas, los resultados del acto”</w:t>
      </w:r>
      <w:r w:rsidRPr="00E8735C">
        <w:rPr>
          <w:rStyle w:val="Refdenotaalpie"/>
          <w:rFonts w:ascii="Verdana" w:eastAsia="Times New Roman" w:hAnsi="Verdana" w:cs="Arial"/>
          <w:bCs/>
          <w:lang w:val="es-ES" w:eastAsia="es-ES"/>
        </w:rPr>
        <w:footnoteReference w:id="19"/>
      </w:r>
      <w:r w:rsidRPr="00E8735C">
        <w:rPr>
          <w:rFonts w:ascii="Verdana" w:eastAsia="Times New Roman" w:hAnsi="Verdana" w:cs="Arial"/>
          <w:bCs/>
          <w:lang w:val="es-ES" w:eastAsia="es-ES"/>
        </w:rPr>
        <w:t xml:space="preserve">. </w:t>
      </w:r>
    </w:p>
    <w:p w14:paraId="26F2CA44" w14:textId="77777777" w:rsidR="00381A5E" w:rsidRPr="00AC178D" w:rsidRDefault="00381A5E" w:rsidP="00381A5E">
      <w:pPr>
        <w:spacing w:after="120" w:line="276" w:lineRule="auto"/>
        <w:ind w:firstLine="708"/>
        <w:jc w:val="both"/>
        <w:rPr>
          <w:rFonts w:ascii="Verdana" w:hAnsi="Verdana" w:cs="Arial"/>
          <w:lang w:val="es-ES"/>
        </w:rPr>
      </w:pPr>
      <w:r w:rsidRPr="00AC178D">
        <w:rPr>
          <w:rFonts w:ascii="Verdana" w:eastAsia="Arial" w:hAnsi="Verdana" w:cs="Arial"/>
          <w:lang w:val="es-ES"/>
        </w:rPr>
        <w:t xml:space="preserve">Finalmente, </w:t>
      </w:r>
      <w:r w:rsidRPr="00AC178D">
        <w:rPr>
          <w:rFonts w:ascii="Verdana" w:eastAsia="Times New Roman" w:hAnsi="Verdana" w:cs="Arial"/>
          <w:lang w:val="es-ES" w:eastAsia="es-CO"/>
        </w:rPr>
        <w:t>el Consejo de Estado en sentencia del 15 de octubre de 2021</w:t>
      </w:r>
      <w:r w:rsidRPr="00AC178D">
        <w:rPr>
          <w:rStyle w:val="Refdenotaalpie"/>
          <w:rFonts w:ascii="Verdana" w:eastAsia="Times New Roman" w:hAnsi="Verdana" w:cs="Arial"/>
          <w:lang w:val="es-ES" w:eastAsia="es-CO"/>
        </w:rPr>
        <w:footnoteReference w:id="20"/>
      </w:r>
      <w:r w:rsidRPr="00AC178D">
        <w:rPr>
          <w:rFonts w:ascii="Verdana" w:eastAsia="Times New Roman" w:hAnsi="Verdana" w:cs="Arial"/>
          <w:lang w:val="es-ES" w:eastAsia="es-CO"/>
        </w:rPr>
        <w:t xml:space="preserve">, precisó que la  </w:t>
      </w:r>
      <w:r>
        <w:rPr>
          <w:rFonts w:ascii="Verdana" w:eastAsia="Calibri" w:hAnsi="Verdana" w:cs="Arial"/>
          <w:lang w:val="es-ES_tradnl"/>
        </w:rPr>
        <w:t>“</w:t>
      </w:r>
      <w:r w:rsidRPr="00AC178D">
        <w:rPr>
          <w:rFonts w:ascii="Verdana" w:eastAsia="Calibri" w:hAnsi="Verdana" w:cs="Arial"/>
          <w:lang w:val="es-ES_tradnl"/>
        </w:rPr>
        <w:t>administración delegada</w:t>
      </w:r>
      <w:r>
        <w:rPr>
          <w:rFonts w:ascii="Verdana" w:eastAsia="Calibri" w:hAnsi="Verdana" w:cs="Arial"/>
          <w:lang w:val="es-ES_tradnl"/>
        </w:rPr>
        <w:t>”</w:t>
      </w:r>
      <w:r w:rsidRPr="00AC178D">
        <w:rPr>
          <w:rFonts w:ascii="Verdana" w:eastAsia="Calibri" w:hAnsi="Verdana" w:cs="Arial"/>
          <w:lang w:val="es-ES_tradnl"/>
        </w:rPr>
        <w:t xml:space="preserve"> </w:t>
      </w:r>
      <w:r w:rsidRPr="00AC178D">
        <w:rPr>
          <w:rFonts w:ascii="Verdana" w:eastAsia="Times New Roman" w:hAnsi="Verdana" w:cs="Arial"/>
          <w:lang w:val="es-ES" w:eastAsia="es-CO"/>
        </w:rPr>
        <w:t xml:space="preserve">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 </w:t>
      </w:r>
    </w:p>
    <w:p w14:paraId="4B4656AA" w14:textId="77777777" w:rsidR="00381A5E" w:rsidRDefault="00381A5E" w:rsidP="00381A5E">
      <w:pPr>
        <w:spacing w:after="0" w:line="276" w:lineRule="auto"/>
        <w:ind w:firstLine="709"/>
        <w:jc w:val="both"/>
        <w:rPr>
          <w:rFonts w:ascii="Verdana" w:eastAsia="Arial" w:hAnsi="Verdana" w:cs="Arial"/>
          <w:lang w:val="es-ES"/>
        </w:rPr>
      </w:pPr>
      <w:r w:rsidRPr="00AC178D">
        <w:rPr>
          <w:rFonts w:ascii="Verdana" w:eastAsia="Calibri" w:hAnsi="Verdana" w:cs="Arial"/>
          <w:color w:val="000000" w:themeColor="text1"/>
          <w:lang w:val="es-ES_tradnl"/>
        </w:rPr>
        <w:t>En ese contexto,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r>
        <w:rPr>
          <w:rFonts w:ascii="Verdana" w:eastAsia="Calibri" w:hAnsi="Verdana" w:cs="Arial"/>
          <w:color w:val="000000" w:themeColor="text1"/>
        </w:rPr>
        <w:t xml:space="preserve"> </w:t>
      </w:r>
      <w:r w:rsidRPr="00AC178D">
        <w:rPr>
          <w:rFonts w:ascii="Verdana" w:eastAsia="Arial" w:hAnsi="Verdana" w:cs="Arial"/>
          <w:lang w:val="es-ES"/>
        </w:rPr>
        <w:t>En consecuencia, 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como forma de administración o modalidad de pago, incluso con o sin representación.</w:t>
      </w:r>
      <w:r>
        <w:rPr>
          <w:rFonts w:ascii="Verdana" w:eastAsia="Arial" w:hAnsi="Verdana" w:cs="Arial"/>
          <w:lang w:val="es-ES"/>
        </w:rPr>
        <w:t xml:space="preserve"> </w:t>
      </w:r>
    </w:p>
    <w:p w14:paraId="647787EE" w14:textId="77777777" w:rsidR="00381A5E" w:rsidRPr="000A1B8E" w:rsidRDefault="00381A5E" w:rsidP="00381A5E">
      <w:pPr>
        <w:spacing w:after="0" w:line="276" w:lineRule="auto"/>
        <w:jc w:val="both"/>
        <w:rPr>
          <w:rFonts w:ascii="Verdana" w:eastAsia="Calibri" w:hAnsi="Verdana" w:cs="Arial"/>
        </w:rPr>
      </w:pPr>
    </w:p>
    <w:p w14:paraId="58A69CF0" w14:textId="77777777" w:rsidR="00381A5E" w:rsidRDefault="00381A5E" w:rsidP="00381A5E">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ADF771C" w14:textId="77777777" w:rsidR="00381A5E" w:rsidRDefault="00381A5E" w:rsidP="00381A5E">
      <w:pPr>
        <w:spacing w:after="0" w:line="276" w:lineRule="auto"/>
        <w:ind w:firstLine="708"/>
        <w:jc w:val="both"/>
        <w:rPr>
          <w:rFonts w:ascii="Verdana" w:hAnsi="Verdana" w:cs="Arial"/>
          <w:color w:val="000000" w:themeColor="text1"/>
        </w:rPr>
      </w:pPr>
      <w:r w:rsidRPr="00E853DE">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9E9316F" w14:textId="77777777" w:rsidR="00381A5E" w:rsidRPr="001D5F35" w:rsidRDefault="00381A5E" w:rsidP="00381A5E">
      <w:pPr>
        <w:spacing w:after="0" w:line="276" w:lineRule="auto"/>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 </w:t>
      </w:r>
    </w:p>
    <w:p w14:paraId="421A3502" w14:textId="77777777" w:rsidR="00381A5E" w:rsidRPr="00593A5F" w:rsidRDefault="00381A5E" w:rsidP="00381A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27064B9" w14:textId="77777777" w:rsidR="00381A5E" w:rsidRPr="00593A5F" w:rsidRDefault="00381A5E" w:rsidP="00381A5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1A5E" w:rsidRPr="002407CE" w14:paraId="107956B6" w14:textId="77777777" w:rsidTr="00DE40D4">
        <w:trPr>
          <w:trHeight w:val="870"/>
          <w:jc w:val="center"/>
        </w:trPr>
        <w:tc>
          <w:tcPr>
            <w:tcW w:w="8647" w:type="dxa"/>
          </w:tcPr>
          <w:p w14:paraId="2CD4BC43" w14:textId="77777777" w:rsidR="00381A5E" w:rsidRDefault="00381A5E"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32 y 40.</w:t>
            </w:r>
          </w:p>
          <w:p w14:paraId="784732E0" w14:textId="77777777" w:rsidR="00381A5E" w:rsidRDefault="00381A5E"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5E77B8BA" w14:textId="77777777" w:rsidR="00381A5E" w:rsidRPr="00DB0A5B" w:rsidRDefault="00381A5E"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31F6B36E" w14:textId="77777777" w:rsidR="00381A5E" w:rsidRDefault="00381A5E"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artículos 1602, 1618, 2053, 2060, 2061, 2177 y 2186.</w:t>
            </w:r>
          </w:p>
          <w:p w14:paraId="604E401A" w14:textId="77777777" w:rsidR="00381A5E" w:rsidRDefault="00381A5E" w:rsidP="00DE40D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716F2">
              <w:rPr>
                <w:rFonts w:ascii="Verdana" w:hAnsi="Verdana" w:cs="Arial"/>
              </w:rPr>
              <w:t>Código de Comercio, artículos 1262 y 1266.</w:t>
            </w:r>
          </w:p>
          <w:p w14:paraId="34FE07AD" w14:textId="77777777" w:rsidR="00381A5E" w:rsidRPr="004221F1" w:rsidRDefault="00381A5E" w:rsidP="00DE40D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BD3202">
              <w:rPr>
                <w:rFonts w:ascii="Verdana" w:hAnsi="Verdana" w:cs="Arial"/>
              </w:rPr>
              <w:t>Decreto 1082 de 2015</w:t>
            </w:r>
            <w:r>
              <w:rPr>
                <w:rFonts w:ascii="Verdana" w:hAnsi="Verdana" w:cs="Arial"/>
              </w:rPr>
              <w:t xml:space="preserve">, artículos </w:t>
            </w:r>
            <w:r w:rsidRPr="00BD3202">
              <w:rPr>
                <w:rFonts w:ascii="Verdana" w:hAnsi="Verdana" w:cs="Arial"/>
              </w:rPr>
              <w:t>2.2.1.2.1.4.4</w:t>
            </w:r>
            <w:r>
              <w:rPr>
                <w:rFonts w:ascii="Verdana" w:hAnsi="Verdana" w:cs="Arial"/>
              </w:rPr>
              <w:t>.</w:t>
            </w:r>
          </w:p>
        </w:tc>
      </w:tr>
    </w:tbl>
    <w:p w14:paraId="1A0035F2" w14:textId="77777777" w:rsidR="00381A5E" w:rsidRPr="002407CE" w:rsidRDefault="00381A5E" w:rsidP="00381A5E">
      <w:pPr>
        <w:widowControl w:val="0"/>
        <w:autoSpaceDE w:val="0"/>
        <w:autoSpaceDN w:val="0"/>
        <w:spacing w:after="0" w:line="276" w:lineRule="auto"/>
        <w:jc w:val="both"/>
        <w:rPr>
          <w:rFonts w:ascii="Verdana" w:hAnsi="Verdana" w:cs="Arial"/>
        </w:rPr>
      </w:pPr>
    </w:p>
    <w:p w14:paraId="152256BD" w14:textId="77777777" w:rsidR="00381A5E" w:rsidRPr="00593A5F" w:rsidRDefault="00381A5E" w:rsidP="00381A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66519F" w14:textId="77777777" w:rsidR="00381A5E" w:rsidRPr="00593A5F" w:rsidRDefault="00381A5E" w:rsidP="00381A5E">
      <w:pPr>
        <w:widowControl w:val="0"/>
        <w:autoSpaceDE w:val="0"/>
        <w:autoSpaceDN w:val="0"/>
        <w:spacing w:after="0" w:line="276" w:lineRule="auto"/>
        <w:jc w:val="both"/>
        <w:rPr>
          <w:rFonts w:ascii="Verdana" w:hAnsi="Verdana" w:cs="Arial"/>
        </w:rPr>
      </w:pPr>
    </w:p>
    <w:p w14:paraId="2D562D1C" w14:textId="77777777" w:rsidR="00381A5E" w:rsidRPr="00ED0098" w:rsidRDefault="00381A5E" w:rsidP="00381A5E">
      <w:pPr>
        <w:widowControl w:val="0"/>
        <w:autoSpaceDE w:val="0"/>
        <w:autoSpaceDN w:val="0"/>
        <w:spacing w:after="0" w:line="276" w:lineRule="auto"/>
        <w:jc w:val="both"/>
        <w:rPr>
          <w:rStyle w:val="normaltextrun"/>
          <w:rFonts w:ascii="Verdana" w:hAnsi="Verdana" w:cs="Arial"/>
          <w:shd w:val="clear" w:color="auto" w:fill="FFFFFF"/>
        </w:rPr>
      </w:pPr>
      <w:r w:rsidRPr="00326117">
        <w:rPr>
          <w:rFonts w:ascii="Verdana" w:hAnsi="Verdana" w:cs="Arial"/>
          <w:shd w:val="clear" w:color="auto" w:fill="FFFFFF"/>
        </w:rPr>
        <w:t xml:space="preserve">Esta Subdirección se ha pronunciado sobre el objeto y las características del contrato de obra pública en los </w:t>
      </w:r>
      <w:r>
        <w:rPr>
          <w:rFonts w:ascii="Verdana" w:hAnsi="Verdana" w:cs="Arial"/>
          <w:shd w:val="clear" w:color="auto" w:fill="FFFFFF"/>
        </w:rPr>
        <w:t>C</w:t>
      </w:r>
      <w:r w:rsidRPr="00326117">
        <w:rPr>
          <w:rFonts w:ascii="Verdana" w:hAnsi="Verdana" w:cs="Arial"/>
          <w:shd w:val="clear" w:color="auto" w:fill="FFFFFF"/>
        </w:rPr>
        <w:t xml:space="preserve">onceptos 4201913000008014 del 24 de diciembre del año 2019, C-530 del 13 de agosto de 2020 y C-038 del 5 de abril de 2021. Por otra parte, </w:t>
      </w:r>
      <w:r>
        <w:rPr>
          <w:rFonts w:ascii="Verdana" w:hAnsi="Verdana" w:cs="Arial"/>
          <w:shd w:val="clear" w:color="auto" w:fill="FFFFFF"/>
        </w:rPr>
        <w:t>c</w:t>
      </w:r>
      <w:r w:rsidRPr="00053A97">
        <w:rPr>
          <w:rFonts w:ascii="Verdana" w:hAnsi="Verdana" w:cs="Arial"/>
          <w:shd w:val="clear" w:color="auto" w:fill="FFFFFF"/>
        </w:rPr>
        <w:t>on respecto a contratos cuyo objeto se contempla la administración delegada de recursos</w:t>
      </w:r>
      <w:r>
        <w:rPr>
          <w:rFonts w:ascii="Verdana" w:hAnsi="Verdana" w:cs="Arial"/>
          <w:shd w:val="clear" w:color="auto" w:fill="FFFFFF"/>
        </w:rPr>
        <w:t>,</w:t>
      </w:r>
      <w:r w:rsidRPr="00053A97">
        <w:rPr>
          <w:rFonts w:ascii="Verdana" w:hAnsi="Verdana" w:cs="Arial"/>
          <w:shd w:val="clear" w:color="auto" w:fill="FFFFFF"/>
        </w:rPr>
        <w:t xml:space="preserve"> esta entidad se ha pronunciado en los </w:t>
      </w:r>
      <w:r>
        <w:rPr>
          <w:rFonts w:ascii="Verdana" w:hAnsi="Verdana" w:cs="Arial"/>
          <w:shd w:val="clear" w:color="auto" w:fill="FFFFFF"/>
        </w:rPr>
        <w:t>C</w:t>
      </w:r>
      <w:r w:rsidRPr="00053A97">
        <w:rPr>
          <w:rFonts w:ascii="Verdana" w:hAnsi="Verdana" w:cs="Arial"/>
          <w:shd w:val="clear" w:color="auto" w:fill="FFFFFF"/>
        </w:rPr>
        <w:t>onceptos C-593 de del 9 de octubre de 2020, C-691 del 27 de noviembre de 2020, C-173 del 23 de abril de 2021, C-021 de 24 de febrero de 2023, C-160 de 2023, C-911 del 31 de diciembre de 2024, C-134 del 24 de febrero de 2025 y C-228 del 27 de marzo de 2025, C-259 del 7 de abril de 2025, 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E0D57AC" w14:textId="77777777" w:rsidR="00381A5E" w:rsidRPr="00096788" w:rsidRDefault="00381A5E" w:rsidP="00381A5E">
      <w:pPr>
        <w:widowControl w:val="0"/>
        <w:autoSpaceDE w:val="0"/>
        <w:autoSpaceDN w:val="0"/>
        <w:spacing w:after="0" w:line="276" w:lineRule="auto"/>
        <w:jc w:val="both"/>
        <w:rPr>
          <w:rFonts w:ascii="Verdana" w:hAnsi="Verdana" w:cs="Arial"/>
          <w:color w:val="000000" w:themeColor="text1"/>
          <w:shd w:val="clear" w:color="auto" w:fill="FFFFFF"/>
        </w:rPr>
      </w:pPr>
    </w:p>
    <w:p w14:paraId="40E94CC8" w14:textId="77777777" w:rsidR="00381A5E" w:rsidRPr="001205D1" w:rsidRDefault="00381A5E" w:rsidP="00381A5E">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513372B1" w14:textId="77777777" w:rsidR="00381A5E" w:rsidRPr="009C4035" w:rsidRDefault="00381A5E" w:rsidP="00381A5E">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DC3C891" w14:textId="77777777" w:rsidR="00381A5E" w:rsidRPr="00593A5F" w:rsidRDefault="00381A5E" w:rsidP="00381A5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1AF23B78" w14:textId="77777777" w:rsidR="00381A5E" w:rsidRPr="00593A5F" w:rsidRDefault="00381A5E" w:rsidP="00381A5E">
      <w:pPr>
        <w:widowControl w:val="0"/>
        <w:autoSpaceDE w:val="0"/>
        <w:autoSpaceDN w:val="0"/>
        <w:spacing w:after="0" w:line="276" w:lineRule="auto"/>
        <w:jc w:val="both"/>
        <w:rPr>
          <w:rFonts w:ascii="Verdana" w:hAnsi="Verdana" w:cs="Arial"/>
        </w:rPr>
      </w:pPr>
    </w:p>
    <w:p w14:paraId="59E0276F" w14:textId="77777777" w:rsidR="00381A5E" w:rsidRPr="00593A5F" w:rsidRDefault="00381A5E" w:rsidP="00381A5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755BA0D" w14:textId="5268F76B" w:rsidR="00381A5E" w:rsidRPr="00593A5F" w:rsidRDefault="0011702F" w:rsidP="00381A5E">
      <w:pPr>
        <w:spacing w:line="276" w:lineRule="auto"/>
        <w:jc w:val="center"/>
        <w:rPr>
          <w:rFonts w:ascii="Verdana" w:hAnsi="Verdana" w:cs="Arial"/>
          <w:color w:val="000000"/>
          <w:lang w:val="es-ES_tradnl" w:eastAsia="es-CO"/>
        </w:rPr>
      </w:pPr>
      <w:r>
        <w:rPr>
          <w:noProof/>
        </w:rPr>
        <w:drawing>
          <wp:inline distT="0" distB="0" distL="0" distR="0" wp14:anchorId="1FE8B05F" wp14:editId="3CC2E09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81A5E" w:rsidRPr="00593A5F" w14:paraId="041A8EEC" w14:textId="77777777" w:rsidTr="00DE40D4">
        <w:trPr>
          <w:trHeight w:val="315"/>
        </w:trPr>
        <w:tc>
          <w:tcPr>
            <w:tcW w:w="893" w:type="dxa"/>
            <w:vAlign w:val="center"/>
            <w:hideMark/>
          </w:tcPr>
          <w:p w14:paraId="7ECF2756" w14:textId="77777777" w:rsidR="00381A5E" w:rsidRPr="003751C7" w:rsidRDefault="00381A5E"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250B4C" w14:textId="77777777" w:rsidR="00381A5E" w:rsidRPr="00254A7A" w:rsidRDefault="00381A5E" w:rsidP="00DE40D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42F4297" w14:textId="77777777" w:rsidR="00381A5E" w:rsidRPr="00254A7A" w:rsidRDefault="00381A5E" w:rsidP="00DE40D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81A5E" w:rsidRPr="00593A5F" w14:paraId="4E07A52B" w14:textId="77777777" w:rsidTr="00DE40D4">
        <w:trPr>
          <w:trHeight w:val="330"/>
        </w:trPr>
        <w:tc>
          <w:tcPr>
            <w:tcW w:w="893" w:type="dxa"/>
            <w:vAlign w:val="center"/>
            <w:hideMark/>
          </w:tcPr>
          <w:p w14:paraId="09E9B513" w14:textId="77777777" w:rsidR="00381A5E" w:rsidRPr="003751C7" w:rsidRDefault="00381A5E"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D45C5D" w14:textId="77777777" w:rsidR="00381A5E" w:rsidRPr="001B6B73" w:rsidRDefault="00381A5E" w:rsidP="00DE40D4">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EE83A0C" w14:textId="77777777" w:rsidR="00381A5E" w:rsidRPr="00254A7A" w:rsidRDefault="00381A5E" w:rsidP="00DE40D4">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381A5E" w:rsidRPr="00593A5F" w14:paraId="4408859C" w14:textId="77777777" w:rsidTr="00DE40D4">
        <w:trPr>
          <w:trHeight w:val="300"/>
        </w:trPr>
        <w:tc>
          <w:tcPr>
            <w:tcW w:w="893" w:type="dxa"/>
            <w:vAlign w:val="center"/>
          </w:tcPr>
          <w:p w14:paraId="16582F0D" w14:textId="77777777" w:rsidR="00381A5E" w:rsidRPr="003751C7" w:rsidRDefault="00381A5E" w:rsidP="00DE40D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011C3B0" w14:textId="77777777" w:rsidR="00381A5E" w:rsidRPr="003751C7" w:rsidRDefault="00381A5E" w:rsidP="00DE40D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548D1918" w14:textId="77777777" w:rsidR="00381A5E" w:rsidRPr="003751C7" w:rsidRDefault="00381A5E" w:rsidP="00DE40D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5FA8DFD" w14:textId="77777777" w:rsidR="00381A5E" w:rsidRPr="00543BFE" w:rsidRDefault="00381A5E" w:rsidP="00381A5E"/>
    <w:p w14:paraId="4825CDFE" w14:textId="77777777" w:rsidR="00381A5E" w:rsidRPr="00B36323" w:rsidRDefault="00381A5E" w:rsidP="00381A5E"/>
    <w:p w14:paraId="0F293BF4" w14:textId="69A06CAF" w:rsidR="00127233" w:rsidRPr="007B432C" w:rsidRDefault="00127233" w:rsidP="007B432C"/>
    <w:sectPr w:rsidR="00127233" w:rsidRPr="007B432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5EB69" w14:textId="77777777" w:rsidR="008E18EE" w:rsidRDefault="008E18EE" w:rsidP="004A1847">
      <w:pPr>
        <w:spacing w:after="0" w:line="240" w:lineRule="auto"/>
      </w:pPr>
      <w:r>
        <w:separator/>
      </w:r>
    </w:p>
  </w:endnote>
  <w:endnote w:type="continuationSeparator" w:id="0">
    <w:p w14:paraId="3E7ECF85" w14:textId="77777777" w:rsidR="008E18EE" w:rsidRDefault="008E18EE" w:rsidP="004A1847">
      <w:pPr>
        <w:spacing w:after="0" w:line="240" w:lineRule="auto"/>
      </w:pPr>
      <w:r>
        <w:continuationSeparator/>
      </w:r>
    </w:p>
  </w:endnote>
  <w:endnote w:type="continuationNotice" w:id="1">
    <w:p w14:paraId="74AA63BA" w14:textId="77777777" w:rsidR="008E18EE" w:rsidRDefault="008E18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2DB32" w14:textId="77777777" w:rsidR="008E18EE" w:rsidRDefault="008E18EE" w:rsidP="004A1847">
      <w:pPr>
        <w:spacing w:after="0" w:line="240" w:lineRule="auto"/>
      </w:pPr>
      <w:r>
        <w:separator/>
      </w:r>
    </w:p>
  </w:footnote>
  <w:footnote w:type="continuationSeparator" w:id="0">
    <w:p w14:paraId="479C232E" w14:textId="77777777" w:rsidR="008E18EE" w:rsidRDefault="008E18EE" w:rsidP="004A1847">
      <w:pPr>
        <w:spacing w:after="0" w:line="240" w:lineRule="auto"/>
      </w:pPr>
      <w:r>
        <w:continuationSeparator/>
      </w:r>
    </w:p>
  </w:footnote>
  <w:footnote w:type="continuationNotice" w:id="1">
    <w:p w14:paraId="7D7D220B" w14:textId="77777777" w:rsidR="008E18EE" w:rsidRDefault="008E18EE">
      <w:pPr>
        <w:spacing w:after="0" w:line="240" w:lineRule="auto"/>
      </w:pPr>
    </w:p>
  </w:footnote>
  <w:footnote w:id="2">
    <w:p w14:paraId="349DACE6" w14:textId="77777777" w:rsidR="00381A5E" w:rsidRPr="009033FA" w:rsidRDefault="00381A5E" w:rsidP="00381A5E">
      <w:pPr>
        <w:pStyle w:val="Textonotapie"/>
        <w:ind w:firstLine="708"/>
        <w:jc w:val="both"/>
        <w:rPr>
          <w:rFonts w:ascii="Verdana" w:hAnsi="Verdana" w:cs="Arial"/>
          <w:sz w:val="16"/>
          <w:szCs w:val="16"/>
          <w:lang w:val="es-ES"/>
        </w:rPr>
      </w:pPr>
      <w:r w:rsidRPr="009033FA">
        <w:rPr>
          <w:rStyle w:val="Refdenotaalpie"/>
          <w:rFonts w:ascii="Verdana" w:hAnsi="Verdana" w:cs="Arial"/>
          <w:sz w:val="16"/>
          <w:szCs w:val="16"/>
        </w:rPr>
        <w:footnoteRef/>
      </w:r>
      <w:r w:rsidRPr="009033FA">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1FFED111" w14:textId="77777777" w:rsidR="00381A5E" w:rsidRPr="009033FA" w:rsidRDefault="00381A5E" w:rsidP="00381A5E">
      <w:pPr>
        <w:pStyle w:val="Textonotapie"/>
        <w:ind w:firstLine="708"/>
        <w:jc w:val="both"/>
        <w:rPr>
          <w:rFonts w:ascii="Verdana" w:hAnsi="Verdana" w:cs="Arial"/>
          <w:sz w:val="16"/>
          <w:szCs w:val="16"/>
          <w:lang w:val="es-ES"/>
        </w:rPr>
      </w:pPr>
      <w:r w:rsidRPr="009033FA">
        <w:rPr>
          <w:rStyle w:val="Refdenotaalpie"/>
          <w:rFonts w:ascii="Verdana" w:hAnsi="Verdana" w:cs="Arial"/>
          <w:sz w:val="16"/>
          <w:szCs w:val="16"/>
        </w:rPr>
        <w:footnoteRef/>
      </w:r>
      <w:r w:rsidRPr="009033FA">
        <w:rPr>
          <w:rFonts w:ascii="Verdana" w:hAnsi="Verdana" w:cs="Arial"/>
          <w:sz w:val="16"/>
          <w:szCs w:val="16"/>
        </w:rPr>
        <w:t xml:space="preserve"> BETANCUR JARAMILLO, Carlos. Derecho procesal administrativo. Octava edición. Medellín: Señal Editora, 2013. p. 627. </w:t>
      </w:r>
    </w:p>
  </w:footnote>
  <w:footnote w:id="4">
    <w:p w14:paraId="0DA74708" w14:textId="77777777" w:rsidR="00381A5E" w:rsidRPr="009033FA" w:rsidRDefault="00381A5E" w:rsidP="00381A5E">
      <w:pPr>
        <w:pStyle w:val="Textonotapie"/>
        <w:ind w:firstLine="708"/>
        <w:jc w:val="both"/>
        <w:rPr>
          <w:rFonts w:ascii="Verdana" w:hAnsi="Verdana"/>
          <w:sz w:val="16"/>
          <w:szCs w:val="16"/>
          <w:lang w:val="es-CO"/>
        </w:rPr>
      </w:pPr>
      <w:r w:rsidRPr="009033FA">
        <w:rPr>
          <w:rStyle w:val="Refdenotaalpie"/>
          <w:rFonts w:ascii="Verdana" w:hAnsi="Verdana"/>
          <w:sz w:val="16"/>
          <w:szCs w:val="16"/>
        </w:rPr>
        <w:footnoteRef/>
      </w:r>
      <w:r w:rsidRPr="009033FA">
        <w:rPr>
          <w:rFonts w:ascii="Verdana" w:hAnsi="Verdana"/>
          <w:sz w:val="16"/>
          <w:szCs w:val="16"/>
        </w:rPr>
        <w:t xml:space="preserve"> OSPINA FERNÁNDEZ, Guillermo &amp; OSPINA ACOSTA, Eduardo. Teoría General del Contrato y del Negocio Jurídico. Séptima edición. Bogotá: Temis, 2021. p. 50.</w:t>
      </w:r>
    </w:p>
  </w:footnote>
  <w:footnote w:id="5">
    <w:p w14:paraId="655CA6D1" w14:textId="77777777" w:rsidR="00381A5E" w:rsidRPr="009033FA" w:rsidRDefault="00381A5E" w:rsidP="00381A5E">
      <w:pPr>
        <w:pStyle w:val="Textonotapie"/>
        <w:ind w:firstLine="708"/>
        <w:jc w:val="both"/>
        <w:rPr>
          <w:rFonts w:ascii="Verdana" w:hAnsi="Verdana"/>
          <w:sz w:val="16"/>
          <w:szCs w:val="16"/>
          <w:lang w:val="es-CO"/>
        </w:rPr>
      </w:pPr>
      <w:r w:rsidRPr="009033FA">
        <w:rPr>
          <w:rStyle w:val="Refdenotaalpie"/>
          <w:rFonts w:ascii="Verdana" w:hAnsi="Verdana"/>
          <w:sz w:val="16"/>
          <w:szCs w:val="16"/>
        </w:rPr>
        <w:footnoteRef/>
      </w:r>
      <w:r w:rsidRPr="009033FA">
        <w:rPr>
          <w:rFonts w:ascii="Verdana" w:hAnsi="Verdana"/>
          <w:sz w:val="16"/>
          <w:szCs w:val="16"/>
        </w:rPr>
        <w:t xml:space="preserve"> OSPINA FERNÁNDEZ &amp; OSPINA ACOSTA, Op. cit., p. 51.</w:t>
      </w:r>
    </w:p>
  </w:footnote>
  <w:footnote w:id="6">
    <w:p w14:paraId="2E788082" w14:textId="77777777" w:rsidR="00381A5E" w:rsidRPr="00F34E58" w:rsidRDefault="00381A5E" w:rsidP="00381A5E">
      <w:pPr>
        <w:pStyle w:val="Textonotapie"/>
        <w:ind w:firstLine="708"/>
        <w:jc w:val="both"/>
        <w:rPr>
          <w:rFonts w:ascii="Verdana" w:hAnsi="Verdana"/>
          <w:sz w:val="16"/>
          <w:szCs w:val="16"/>
        </w:rPr>
      </w:pPr>
      <w:r w:rsidRPr="00F34E58">
        <w:rPr>
          <w:rStyle w:val="Refdenotaalpie"/>
          <w:rFonts w:ascii="Verdana" w:hAnsi="Verdana"/>
          <w:sz w:val="16"/>
          <w:szCs w:val="16"/>
        </w:rPr>
        <w:footnoteRef/>
      </w:r>
      <w:r w:rsidRPr="00F34E58">
        <w:rPr>
          <w:rFonts w:ascii="Verdana" w:hAnsi="Verdana"/>
          <w:sz w:val="16"/>
          <w:szCs w:val="16"/>
        </w:rPr>
        <w:t xml:space="preserve"> </w:t>
      </w:r>
      <w:r>
        <w:rPr>
          <w:rFonts w:ascii="Verdana" w:hAnsi="Verdana"/>
          <w:sz w:val="16"/>
          <w:szCs w:val="16"/>
        </w:rPr>
        <w:t>Como explica la doctrina, “</w:t>
      </w:r>
      <w:r w:rsidRPr="00F34E58">
        <w:rPr>
          <w:rFonts w:ascii="Verdana" w:hAnsi="Verdana"/>
          <w:sz w:val="16"/>
          <w:szCs w:val="16"/>
        </w:rPr>
        <w:t xml:space="preserve">Por eso es que el </w:t>
      </w:r>
      <w:r w:rsidRPr="003A3EFC">
        <w:rPr>
          <w:rFonts w:ascii="Verdana" w:hAnsi="Verdana"/>
          <w:i/>
          <w:iCs/>
          <w:sz w:val="16"/>
          <w:szCs w:val="16"/>
        </w:rPr>
        <w:t>nomen iuris</w:t>
      </w:r>
      <w:r w:rsidRPr="00F34E58">
        <w:rPr>
          <w:rFonts w:ascii="Verdana" w:hAnsi="Verdana"/>
          <w:sz w:val="16"/>
          <w:szCs w:val="16"/>
        </w:rPr>
        <w:t xml:space="preserve"> que </w:t>
      </w:r>
      <w:r>
        <w:rPr>
          <w:rFonts w:ascii="Verdana" w:hAnsi="Verdana"/>
          <w:sz w:val="16"/>
          <w:szCs w:val="16"/>
        </w:rPr>
        <w:t>[los contratantes]</w:t>
      </w:r>
      <w:r w:rsidRPr="00F34E58">
        <w:rPr>
          <w:rFonts w:ascii="Verdana" w:hAnsi="Verdana"/>
          <w:sz w:val="16"/>
          <w:szCs w:val="16"/>
        </w:rPr>
        <w:t xml:space="preserve"> le asignen a su acuerdo</w:t>
      </w:r>
      <w:r>
        <w:rPr>
          <w:rFonts w:ascii="Verdana" w:hAnsi="Verdana"/>
          <w:sz w:val="16"/>
          <w:szCs w:val="16"/>
        </w:rPr>
        <w:t xml:space="preserve"> </w:t>
      </w:r>
      <w:r w:rsidRPr="00F34E58">
        <w:rPr>
          <w:rFonts w:ascii="Verdana" w:hAnsi="Verdana"/>
          <w:sz w:val="16"/>
          <w:szCs w:val="16"/>
        </w:rPr>
        <w:t xml:space="preserve">no es intangible, por cuanto es el intérprete autorizado, </w:t>
      </w:r>
      <w:r w:rsidRPr="003A3EFC">
        <w:rPr>
          <w:rFonts w:ascii="Verdana" w:hAnsi="Verdana"/>
          <w:i/>
          <w:iCs/>
          <w:sz w:val="16"/>
          <w:szCs w:val="16"/>
        </w:rPr>
        <w:t>ad exemplum</w:t>
      </w:r>
      <w:r w:rsidRPr="00F34E58">
        <w:rPr>
          <w:rFonts w:ascii="Verdana" w:hAnsi="Verdana"/>
          <w:sz w:val="16"/>
          <w:szCs w:val="16"/>
        </w:rPr>
        <w:t xml:space="preserve"> el juez, el llamado a definir este punto, como quiera</w:t>
      </w:r>
      <w:r>
        <w:rPr>
          <w:rFonts w:ascii="Verdana" w:hAnsi="Verdana"/>
          <w:sz w:val="16"/>
          <w:szCs w:val="16"/>
        </w:rPr>
        <w:t xml:space="preserve"> </w:t>
      </w:r>
      <w:r w:rsidRPr="00F34E58">
        <w:rPr>
          <w:rFonts w:ascii="Verdana" w:hAnsi="Verdana"/>
          <w:sz w:val="16"/>
          <w:szCs w:val="16"/>
        </w:rPr>
        <w:t>que lo definido convencionalmente no lo liga, pudiendo</w:t>
      </w:r>
      <w:r>
        <w:rPr>
          <w:rFonts w:ascii="Verdana" w:hAnsi="Verdana"/>
          <w:sz w:val="16"/>
          <w:szCs w:val="16"/>
        </w:rPr>
        <w:t xml:space="preserve"> </w:t>
      </w:r>
      <w:r w:rsidRPr="00F34E58">
        <w:rPr>
          <w:rFonts w:ascii="Verdana" w:hAnsi="Verdana"/>
          <w:sz w:val="16"/>
          <w:szCs w:val="16"/>
        </w:rPr>
        <w:t>entonces ajustarlo al que cabalmente corresponda a la luz</w:t>
      </w:r>
      <w:r>
        <w:rPr>
          <w:rFonts w:ascii="Verdana" w:hAnsi="Verdana"/>
          <w:sz w:val="16"/>
          <w:szCs w:val="16"/>
        </w:rPr>
        <w:t xml:space="preserve"> </w:t>
      </w:r>
      <w:r w:rsidRPr="00F34E58">
        <w:rPr>
          <w:rFonts w:ascii="Verdana" w:hAnsi="Verdana"/>
          <w:sz w:val="16"/>
          <w:szCs w:val="16"/>
        </w:rPr>
        <w:t>de los hechos y del Derecho, binomio imprescindible en este</w:t>
      </w:r>
      <w:r>
        <w:rPr>
          <w:rFonts w:ascii="Verdana" w:hAnsi="Verdana"/>
          <w:sz w:val="16"/>
          <w:szCs w:val="16"/>
        </w:rPr>
        <w:t xml:space="preserve"> </w:t>
      </w:r>
      <w:r w:rsidRPr="00F34E58">
        <w:rPr>
          <w:rFonts w:ascii="Verdana" w:hAnsi="Verdana"/>
          <w:sz w:val="16"/>
          <w:szCs w:val="16"/>
        </w:rPr>
        <w:t>quehacer, así obviamente la misión encomendada al calificador</w:t>
      </w:r>
      <w:r>
        <w:rPr>
          <w:rFonts w:ascii="Verdana" w:hAnsi="Verdana"/>
          <w:sz w:val="16"/>
          <w:szCs w:val="16"/>
        </w:rPr>
        <w:t xml:space="preserve"> </w:t>
      </w:r>
      <w:r w:rsidRPr="00F34E58">
        <w:rPr>
          <w:rFonts w:ascii="Verdana" w:hAnsi="Verdana"/>
          <w:sz w:val="16"/>
          <w:szCs w:val="16"/>
        </w:rPr>
        <w:t>sea esencialmente jurídica, lo que no empece que de algún</w:t>
      </w:r>
      <w:r>
        <w:rPr>
          <w:rFonts w:ascii="Verdana" w:hAnsi="Verdana"/>
          <w:sz w:val="16"/>
          <w:szCs w:val="16"/>
        </w:rPr>
        <w:t xml:space="preserve"> </w:t>
      </w:r>
      <w:r w:rsidRPr="00F34E58">
        <w:rPr>
          <w:rFonts w:ascii="Verdana" w:hAnsi="Verdana"/>
          <w:sz w:val="16"/>
          <w:szCs w:val="16"/>
        </w:rPr>
        <w:t>modo se parta de lo fáctico, en función de lo jurídico entre</w:t>
      </w:r>
      <w:r>
        <w:rPr>
          <w:rFonts w:ascii="Verdana" w:hAnsi="Verdana"/>
          <w:sz w:val="16"/>
          <w:szCs w:val="16"/>
        </w:rPr>
        <w:t xml:space="preserve"> </w:t>
      </w:r>
      <w:r w:rsidRPr="00F34E58">
        <w:rPr>
          <w:rFonts w:ascii="Verdana" w:hAnsi="Verdana"/>
          <w:sz w:val="16"/>
          <w:szCs w:val="16"/>
        </w:rPr>
        <w:t>otras razones por cuanto la calificación no es un divertimento,</w:t>
      </w:r>
      <w:r>
        <w:rPr>
          <w:rFonts w:ascii="Verdana" w:hAnsi="Verdana"/>
          <w:sz w:val="16"/>
          <w:szCs w:val="16"/>
        </w:rPr>
        <w:t xml:space="preserve"> </w:t>
      </w:r>
      <w:r w:rsidRPr="00F34E58">
        <w:rPr>
          <w:rFonts w:ascii="Verdana" w:hAnsi="Verdana"/>
          <w:sz w:val="16"/>
          <w:szCs w:val="16"/>
        </w:rPr>
        <w:t>o un ejercicio académico, amén que teórico, sino que está</w:t>
      </w:r>
      <w:r>
        <w:rPr>
          <w:rFonts w:ascii="Verdana" w:hAnsi="Verdana"/>
          <w:sz w:val="16"/>
          <w:szCs w:val="16"/>
        </w:rPr>
        <w:t xml:space="preserve"> </w:t>
      </w:r>
      <w:r w:rsidRPr="00F34E58">
        <w:rPr>
          <w:rFonts w:ascii="Verdana" w:hAnsi="Verdana"/>
          <w:sz w:val="16"/>
          <w:szCs w:val="16"/>
        </w:rPr>
        <w:t>anclada en la realidad: lo pretendido por los celebrantes del</w:t>
      </w:r>
      <w:r>
        <w:rPr>
          <w:rFonts w:ascii="Verdana" w:hAnsi="Verdana"/>
          <w:sz w:val="16"/>
          <w:szCs w:val="16"/>
        </w:rPr>
        <w:t xml:space="preserve"> </w:t>
      </w:r>
      <w:r w:rsidRPr="00F34E58">
        <w:rPr>
          <w:rFonts w:ascii="Verdana" w:hAnsi="Verdana"/>
          <w:sz w:val="16"/>
          <w:szCs w:val="16"/>
        </w:rPr>
        <w:t>contrato (</w:t>
      </w:r>
      <w:r w:rsidRPr="003A3EFC">
        <w:rPr>
          <w:rFonts w:ascii="Verdana" w:hAnsi="Verdana"/>
          <w:i/>
          <w:iCs/>
          <w:sz w:val="16"/>
          <w:szCs w:val="16"/>
        </w:rPr>
        <w:t>datum</w:t>
      </w:r>
      <w:r w:rsidRPr="00F34E58">
        <w:rPr>
          <w:rFonts w:ascii="Verdana" w:hAnsi="Verdana"/>
          <w:sz w:val="16"/>
          <w:szCs w:val="16"/>
        </w:rPr>
        <w:t>),</w:t>
      </w:r>
      <w:r>
        <w:rPr>
          <w:rFonts w:ascii="Verdana" w:hAnsi="Verdana"/>
          <w:sz w:val="16"/>
          <w:szCs w:val="16"/>
        </w:rPr>
        <w:t xml:space="preserve"> </w:t>
      </w:r>
      <w:r w:rsidRPr="00F34E58">
        <w:rPr>
          <w:rFonts w:ascii="Verdana" w:hAnsi="Verdana"/>
          <w:sz w:val="16"/>
          <w:szCs w:val="16"/>
        </w:rPr>
        <w:t>con innegables repercusiones en la práctica,</w:t>
      </w:r>
      <w:r>
        <w:rPr>
          <w:rFonts w:ascii="Verdana" w:hAnsi="Verdana"/>
          <w:sz w:val="16"/>
          <w:szCs w:val="16"/>
        </w:rPr>
        <w:t xml:space="preserve"> </w:t>
      </w:r>
      <w:r w:rsidRPr="00F34E58">
        <w:rPr>
          <w:rFonts w:ascii="Verdana" w:hAnsi="Verdana"/>
          <w:sz w:val="16"/>
          <w:szCs w:val="16"/>
        </w:rPr>
        <w:t>naturalmente en conexión con lo reglado imperativamente por</w:t>
      </w:r>
      <w:r>
        <w:rPr>
          <w:rFonts w:ascii="Verdana" w:hAnsi="Verdana"/>
          <w:sz w:val="16"/>
          <w:szCs w:val="16"/>
        </w:rPr>
        <w:t xml:space="preserve"> </w:t>
      </w:r>
      <w:r w:rsidRPr="00F34E58">
        <w:rPr>
          <w:rFonts w:ascii="Verdana" w:hAnsi="Verdana"/>
          <w:sz w:val="16"/>
          <w:szCs w:val="16"/>
        </w:rPr>
        <w:t>el ordenamiento jurídico, el que las partes no pueden desafiar,</w:t>
      </w:r>
      <w:r>
        <w:rPr>
          <w:rFonts w:ascii="Verdana" w:hAnsi="Verdana"/>
          <w:sz w:val="16"/>
          <w:szCs w:val="16"/>
        </w:rPr>
        <w:t xml:space="preserve"> </w:t>
      </w:r>
      <w:r w:rsidRPr="00F34E58">
        <w:rPr>
          <w:rFonts w:ascii="Verdana" w:hAnsi="Verdana"/>
          <w:sz w:val="16"/>
          <w:szCs w:val="16"/>
        </w:rPr>
        <w:t>así lo deseen.</w:t>
      </w:r>
    </w:p>
    <w:p w14:paraId="5FE6DA3C" w14:textId="77777777" w:rsidR="00381A5E" w:rsidRPr="00F34E58" w:rsidRDefault="00381A5E" w:rsidP="00381A5E">
      <w:pPr>
        <w:pStyle w:val="Textonotapie"/>
        <w:ind w:firstLine="708"/>
        <w:jc w:val="both"/>
        <w:rPr>
          <w:rFonts w:ascii="Verdana" w:hAnsi="Verdana"/>
          <w:sz w:val="16"/>
          <w:szCs w:val="16"/>
        </w:rPr>
      </w:pPr>
      <w:r w:rsidRPr="00F34E58">
        <w:rPr>
          <w:rFonts w:ascii="Verdana" w:hAnsi="Verdana"/>
          <w:sz w:val="16"/>
          <w:szCs w:val="16"/>
        </w:rPr>
        <w:t>Es lo que en ocasiones sucede cuando los contratantes, para</w:t>
      </w:r>
      <w:r>
        <w:rPr>
          <w:rFonts w:ascii="Verdana" w:hAnsi="Verdana"/>
          <w:sz w:val="16"/>
          <w:szCs w:val="16"/>
        </w:rPr>
        <w:t xml:space="preserve"> </w:t>
      </w:r>
      <w:r w:rsidRPr="00F34E58">
        <w:rPr>
          <w:rFonts w:ascii="Verdana" w:hAnsi="Verdana"/>
          <w:sz w:val="16"/>
          <w:szCs w:val="16"/>
        </w:rPr>
        <w:t>obviar el reconocimiento de prestaciones especiales, o tributos</w:t>
      </w:r>
      <w:r>
        <w:rPr>
          <w:rFonts w:ascii="Verdana" w:hAnsi="Verdana"/>
          <w:sz w:val="16"/>
          <w:szCs w:val="16"/>
        </w:rPr>
        <w:t xml:space="preserve"> </w:t>
      </w:r>
      <w:r w:rsidRPr="00F34E58">
        <w:rPr>
          <w:rFonts w:ascii="Verdana" w:hAnsi="Verdana"/>
          <w:sz w:val="16"/>
          <w:szCs w:val="16"/>
        </w:rPr>
        <w:t>singulares, acuden a la una supuesta arquitectura jurídica, a fin</w:t>
      </w:r>
      <w:r>
        <w:rPr>
          <w:rFonts w:ascii="Verdana" w:hAnsi="Verdana"/>
          <w:sz w:val="16"/>
          <w:szCs w:val="16"/>
        </w:rPr>
        <w:t xml:space="preserve"> </w:t>
      </w:r>
      <w:r w:rsidRPr="00F34E58">
        <w:rPr>
          <w:rFonts w:ascii="Verdana" w:hAnsi="Verdana"/>
          <w:sz w:val="16"/>
          <w:szCs w:val="16"/>
        </w:rPr>
        <w:t>de obviar, o mejor de escapar de la aplicación de determinado</w:t>
      </w:r>
      <w:r>
        <w:rPr>
          <w:rFonts w:ascii="Verdana" w:hAnsi="Verdana"/>
          <w:sz w:val="16"/>
          <w:szCs w:val="16"/>
        </w:rPr>
        <w:t xml:space="preserve"> </w:t>
      </w:r>
      <w:r w:rsidRPr="00F34E58">
        <w:rPr>
          <w:rFonts w:ascii="Verdana" w:hAnsi="Verdana"/>
          <w:sz w:val="16"/>
          <w:szCs w:val="16"/>
        </w:rPr>
        <w:t>tipo contractual, a través de enmascarar la realidad, en cuyo</w:t>
      </w:r>
      <w:r>
        <w:rPr>
          <w:rFonts w:ascii="Verdana" w:hAnsi="Verdana"/>
          <w:sz w:val="16"/>
          <w:szCs w:val="16"/>
        </w:rPr>
        <w:t xml:space="preserve"> </w:t>
      </w:r>
      <w:r w:rsidRPr="00F34E58">
        <w:rPr>
          <w:rFonts w:ascii="Verdana" w:hAnsi="Verdana"/>
          <w:sz w:val="16"/>
          <w:szCs w:val="16"/>
        </w:rPr>
        <w:t>caso le corresponderá al juez calificar cabalmente el contrato,</w:t>
      </w:r>
      <w:r>
        <w:rPr>
          <w:rFonts w:ascii="Verdana" w:hAnsi="Verdana"/>
          <w:sz w:val="16"/>
          <w:szCs w:val="16"/>
        </w:rPr>
        <w:t xml:space="preserve"> </w:t>
      </w:r>
      <w:r w:rsidRPr="00F34E58">
        <w:rPr>
          <w:rFonts w:ascii="Verdana" w:hAnsi="Verdana"/>
          <w:sz w:val="16"/>
          <w:szCs w:val="16"/>
        </w:rPr>
        <w:t>haciéndole producir los efectos que en derecho correspondan</w:t>
      </w:r>
      <w:r>
        <w:rPr>
          <w:rFonts w:ascii="Verdana" w:hAnsi="Verdana"/>
          <w:sz w:val="16"/>
          <w:szCs w:val="16"/>
        </w:rPr>
        <w:t>” (JARAMILLO, Carlos Ignacio. I</w:t>
      </w:r>
      <w:r w:rsidRPr="003A3EFC">
        <w:rPr>
          <w:rFonts w:ascii="Verdana" w:hAnsi="Verdana"/>
          <w:sz w:val="16"/>
          <w:szCs w:val="16"/>
        </w:rPr>
        <w:t xml:space="preserve">nterpretación, </w:t>
      </w:r>
      <w:r>
        <w:rPr>
          <w:rFonts w:ascii="Verdana" w:hAnsi="Verdana"/>
          <w:sz w:val="16"/>
          <w:szCs w:val="16"/>
        </w:rPr>
        <w:t>c</w:t>
      </w:r>
      <w:r w:rsidRPr="003A3EFC">
        <w:rPr>
          <w:rFonts w:ascii="Verdana" w:hAnsi="Verdana"/>
          <w:sz w:val="16"/>
          <w:szCs w:val="16"/>
        </w:rPr>
        <w:t>alificación e</w:t>
      </w:r>
      <w:r>
        <w:rPr>
          <w:rFonts w:ascii="Verdana" w:hAnsi="Verdana"/>
          <w:sz w:val="16"/>
          <w:szCs w:val="16"/>
        </w:rPr>
        <w:t xml:space="preserve"> i</w:t>
      </w:r>
      <w:r w:rsidRPr="003A3EFC">
        <w:rPr>
          <w:rFonts w:ascii="Verdana" w:hAnsi="Verdana"/>
          <w:sz w:val="16"/>
          <w:szCs w:val="16"/>
        </w:rPr>
        <w:t xml:space="preserve">ntegración del </w:t>
      </w:r>
      <w:r>
        <w:rPr>
          <w:rFonts w:ascii="Verdana" w:hAnsi="Verdana"/>
          <w:sz w:val="16"/>
          <w:szCs w:val="16"/>
        </w:rPr>
        <w:t>c</w:t>
      </w:r>
      <w:r w:rsidRPr="003A3EFC">
        <w:rPr>
          <w:rFonts w:ascii="Verdana" w:hAnsi="Verdana"/>
          <w:sz w:val="16"/>
          <w:szCs w:val="16"/>
        </w:rPr>
        <w:t>ontrato</w:t>
      </w:r>
      <w:r>
        <w:rPr>
          <w:rFonts w:ascii="Verdana" w:hAnsi="Verdana"/>
          <w:sz w:val="16"/>
          <w:szCs w:val="16"/>
        </w:rPr>
        <w:t xml:space="preserve">: </w:t>
      </w:r>
      <w:r w:rsidRPr="003A3EFC">
        <w:rPr>
          <w:rFonts w:ascii="Verdana" w:hAnsi="Verdana"/>
          <w:sz w:val="16"/>
          <w:szCs w:val="16"/>
        </w:rPr>
        <w:t xml:space="preserve">aproximación tridimensional al </w:t>
      </w:r>
      <w:r>
        <w:rPr>
          <w:rFonts w:ascii="Verdana" w:hAnsi="Verdana"/>
          <w:sz w:val="16"/>
          <w:szCs w:val="16"/>
        </w:rPr>
        <w:t>“</w:t>
      </w:r>
      <w:r w:rsidRPr="003A3EFC">
        <w:rPr>
          <w:rFonts w:ascii="Verdana" w:hAnsi="Verdana"/>
          <w:sz w:val="16"/>
          <w:szCs w:val="16"/>
        </w:rPr>
        <w:t>proceso</w:t>
      </w:r>
      <w:r>
        <w:rPr>
          <w:rFonts w:ascii="Verdana" w:hAnsi="Verdana"/>
          <w:sz w:val="16"/>
          <w:szCs w:val="16"/>
        </w:rPr>
        <w:t xml:space="preserve"> </w:t>
      </w:r>
      <w:r w:rsidRPr="003A3EFC">
        <w:rPr>
          <w:rFonts w:ascii="Verdana" w:hAnsi="Verdana"/>
          <w:sz w:val="16"/>
          <w:szCs w:val="16"/>
        </w:rPr>
        <w:t>interpretativo</w:t>
      </w:r>
      <w:r>
        <w:rPr>
          <w:rFonts w:ascii="Verdana" w:hAnsi="Verdana"/>
          <w:sz w:val="16"/>
          <w:szCs w:val="16"/>
        </w:rPr>
        <w:t>”</w:t>
      </w:r>
      <w:r w:rsidRPr="003A3EFC">
        <w:rPr>
          <w:rFonts w:ascii="Verdana" w:hAnsi="Verdana"/>
          <w:sz w:val="16"/>
          <w:szCs w:val="16"/>
        </w:rPr>
        <w:t xml:space="preserve"> en el derecho privado</w:t>
      </w:r>
      <w:r>
        <w:rPr>
          <w:rFonts w:ascii="Verdana" w:hAnsi="Verdana"/>
          <w:sz w:val="16"/>
          <w:szCs w:val="16"/>
        </w:rPr>
        <w:t xml:space="preserve"> </w:t>
      </w:r>
      <w:r w:rsidRPr="003A3EFC">
        <w:rPr>
          <w:rFonts w:ascii="Verdana" w:hAnsi="Verdana"/>
          <w:sz w:val="16"/>
          <w:szCs w:val="16"/>
        </w:rPr>
        <w:t>contemporáneo</w:t>
      </w:r>
      <w:r>
        <w:rPr>
          <w:rFonts w:ascii="Verdana" w:hAnsi="Verdana"/>
          <w:sz w:val="16"/>
          <w:szCs w:val="16"/>
        </w:rPr>
        <w:t>. Santiago: Ediciones Olejnik, 2018. pp. 165-166. Corchetes fuera de texto).</w:t>
      </w:r>
    </w:p>
  </w:footnote>
  <w:footnote w:id="7">
    <w:p w14:paraId="364F15ED" w14:textId="77777777" w:rsidR="00381A5E" w:rsidRPr="009033FA" w:rsidRDefault="00381A5E" w:rsidP="00381A5E">
      <w:pPr>
        <w:spacing w:after="0" w:line="240" w:lineRule="auto"/>
        <w:ind w:firstLine="709"/>
        <w:contextualSpacing/>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308EEAE" w14:textId="77777777" w:rsidR="00381A5E" w:rsidRPr="009033FA" w:rsidRDefault="00381A5E" w:rsidP="00381A5E">
      <w:pPr>
        <w:spacing w:after="0" w:line="240" w:lineRule="auto"/>
        <w:ind w:firstLine="709"/>
        <w:contextualSpacing/>
        <w:jc w:val="both"/>
        <w:rPr>
          <w:rFonts w:ascii="Verdana" w:hAnsi="Verdana" w:cs="Arial"/>
          <w:sz w:val="16"/>
          <w:szCs w:val="16"/>
        </w:rPr>
      </w:pPr>
      <w:r w:rsidRPr="009033FA">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9033FA">
        <w:rPr>
          <w:rFonts w:ascii="Verdana" w:hAnsi="Verdana" w:cs="Arial"/>
          <w:spacing w:val="-1"/>
          <w:sz w:val="16"/>
          <w:szCs w:val="16"/>
        </w:rPr>
        <w:t xml:space="preserve"> </w:t>
      </w:r>
      <w:r w:rsidRPr="009033FA">
        <w:rPr>
          <w:rFonts w:ascii="Verdana" w:hAnsi="Verdana" w:cs="Arial"/>
          <w:sz w:val="16"/>
          <w:szCs w:val="16"/>
        </w:rPr>
        <w:t>Estatales”.</w:t>
      </w:r>
    </w:p>
  </w:footnote>
  <w:footnote w:id="8">
    <w:p w14:paraId="58B94AEC" w14:textId="77777777" w:rsidR="00381A5E" w:rsidRPr="009033FA" w:rsidRDefault="00381A5E" w:rsidP="00381A5E">
      <w:pPr>
        <w:spacing w:after="0" w:line="240" w:lineRule="auto"/>
        <w:ind w:firstLine="709"/>
        <w:contextualSpacing/>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9033FA">
        <w:rPr>
          <w:rFonts w:ascii="Verdana" w:hAnsi="Verdana" w:cs="Arial"/>
          <w:spacing w:val="-6"/>
          <w:sz w:val="16"/>
          <w:szCs w:val="16"/>
        </w:rPr>
        <w:t xml:space="preserve"> </w:t>
      </w:r>
      <w:r w:rsidRPr="009033FA">
        <w:rPr>
          <w:rFonts w:ascii="Verdana" w:hAnsi="Verdana" w:cs="Arial"/>
          <w:sz w:val="16"/>
          <w:szCs w:val="16"/>
        </w:rPr>
        <w:t>artículo”.</w:t>
      </w:r>
    </w:p>
  </w:footnote>
  <w:footnote w:id="9">
    <w:p w14:paraId="577C2509" w14:textId="77777777" w:rsidR="00381A5E" w:rsidRPr="009033FA" w:rsidRDefault="00381A5E" w:rsidP="00381A5E">
      <w:pPr>
        <w:spacing w:after="0" w:line="240" w:lineRule="auto"/>
        <w:ind w:firstLine="709"/>
        <w:contextualSpacing/>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position w:val="7"/>
          <w:sz w:val="16"/>
          <w:szCs w:val="16"/>
        </w:rPr>
        <w:t xml:space="preserve"> </w:t>
      </w:r>
      <w:r w:rsidRPr="009033FA">
        <w:rPr>
          <w:rFonts w:ascii="Verdana" w:hAnsi="Verdana" w:cs="Arial"/>
          <w:sz w:val="16"/>
          <w:szCs w:val="16"/>
        </w:rPr>
        <w:t>Consejo de Estado. Sección Tercera. Sentencia del 23 de junio de 2010. Radicación No. 66001-23-31-000-1998-00261-01(17.860). Consejero Ponente: Mauricio Fajardo Gómez.</w:t>
      </w:r>
    </w:p>
  </w:footnote>
  <w:footnote w:id="10">
    <w:p w14:paraId="50A5BA49" w14:textId="77777777" w:rsidR="00381A5E" w:rsidRPr="009033FA" w:rsidRDefault="00381A5E" w:rsidP="00381A5E">
      <w:pPr>
        <w:pStyle w:val="Textonotapie"/>
        <w:ind w:firstLine="709"/>
        <w:jc w:val="both"/>
        <w:rPr>
          <w:rFonts w:ascii="Verdana" w:hAnsi="Verdana" w:cs="Arial"/>
          <w:color w:val="000000"/>
          <w:sz w:val="16"/>
          <w:szCs w:val="16"/>
        </w:rPr>
      </w:pPr>
      <w:r w:rsidRPr="009033FA">
        <w:rPr>
          <w:rStyle w:val="Refdenotaalpie"/>
          <w:rFonts w:ascii="Verdana" w:hAnsi="Verdana" w:cs="Arial"/>
          <w:color w:val="000000"/>
          <w:sz w:val="16"/>
          <w:szCs w:val="16"/>
        </w:rPr>
        <w:footnoteRef/>
      </w:r>
      <w:r w:rsidRPr="009033FA">
        <w:rPr>
          <w:rFonts w:ascii="Verdana" w:hAnsi="Verdana" w:cs="Arial"/>
          <w:color w:val="000000"/>
          <w:sz w:val="16"/>
          <w:szCs w:val="16"/>
        </w:rPr>
        <w:t xml:space="preserve"> ALESSANDRI RODRÍGUEZ, Arturo. De los contratos. Santiago de Chile: Editorial Jurídica EDIAR-CONOCSUR LTDA, 1988. p. 182. Particularmente, tomando como referencia las reglas del artículo 2060 del Código Civil, la doctrina define el contrato de construcción como “[…] aquel en que el propietario o mandante encarga al constructor o contratista la ejecución de una obra conforme a un proyecto determinado, la que debe ser ejecutada en el plazo y precio convenido. El objeto del contrato consistirá en la ejecución de la obra, la que estará sujeta a un proyecto, entendiéndose por tal el conjunto de planos, especificaciones técnicas, memorias de cálculo y demás antecedentes que permitan establecer o precisar aquello que se debe ejecutar, dentro de un determinado plazo y a un precio convenido, el que incluye los costos directos, los gastos generales y la utilidad a que tiene derecho el contratista” (MOLINA ZALDÍVAR, Carlos y RÍOS SALAS, Víctor. Derecho de la construcción. Santiago de Chile: O 'Print Impresores S.A, 2016. p. 22).  </w:t>
      </w:r>
    </w:p>
  </w:footnote>
  <w:footnote w:id="11">
    <w:p w14:paraId="00E87191" w14:textId="77777777" w:rsidR="00381A5E" w:rsidRPr="009033FA" w:rsidRDefault="00381A5E" w:rsidP="00381A5E">
      <w:pPr>
        <w:pStyle w:val="Textonotapie"/>
        <w:ind w:firstLine="708"/>
        <w:jc w:val="both"/>
        <w:rPr>
          <w:rFonts w:ascii="Verdana" w:hAnsi="Verdana" w:cs="Arial"/>
          <w:sz w:val="16"/>
          <w:szCs w:val="16"/>
          <w:lang w:val="es-ES_tradnl"/>
        </w:rPr>
      </w:pPr>
      <w:r w:rsidRPr="009033FA">
        <w:rPr>
          <w:rStyle w:val="Refdenotaalpie"/>
          <w:rFonts w:ascii="Verdana" w:hAnsi="Verdana" w:cs="Arial"/>
          <w:sz w:val="16"/>
          <w:szCs w:val="16"/>
        </w:rPr>
        <w:footnoteRef/>
      </w:r>
      <w:r w:rsidRPr="009033FA">
        <w:rPr>
          <w:rFonts w:ascii="Verdana" w:hAnsi="Verdana" w:cs="Arial"/>
          <w:sz w:val="16"/>
          <w:szCs w:val="16"/>
        </w:rPr>
        <w:t xml:space="preserve"> </w:t>
      </w:r>
      <w:r w:rsidRPr="009033FA">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12">
    <w:p w14:paraId="7059827E" w14:textId="77777777" w:rsidR="00381A5E" w:rsidRPr="009033FA" w:rsidRDefault="00381A5E" w:rsidP="00381A5E">
      <w:pPr>
        <w:pStyle w:val="Textonotapie"/>
        <w:ind w:firstLine="709"/>
        <w:jc w:val="both"/>
        <w:rPr>
          <w:rFonts w:ascii="Verdana" w:hAnsi="Verdana" w:cs="Arial"/>
          <w:color w:val="000000"/>
          <w:sz w:val="16"/>
          <w:szCs w:val="16"/>
        </w:rPr>
      </w:pPr>
      <w:r w:rsidRPr="009033FA">
        <w:rPr>
          <w:rStyle w:val="Refdenotaalpie"/>
          <w:rFonts w:ascii="Verdana" w:hAnsi="Verdana" w:cs="Arial"/>
          <w:color w:val="000000"/>
          <w:sz w:val="16"/>
          <w:szCs w:val="16"/>
        </w:rPr>
        <w:footnoteRef/>
      </w:r>
      <w:r w:rsidRPr="009033FA">
        <w:rPr>
          <w:rFonts w:ascii="Verdana" w:hAnsi="Verdana" w:cs="Arial"/>
          <w:color w:val="000000"/>
          <w:sz w:val="16"/>
          <w:szCs w:val="16"/>
        </w:rPr>
        <w:t xml:space="preserve"> OSPINA MENA, Jesús Marino. Régimen de la Contratación Estatal. Un salto a la contratación liquida. Bogotá: Dike, 2020. p. 168.</w:t>
      </w:r>
    </w:p>
  </w:footnote>
  <w:footnote w:id="13">
    <w:p w14:paraId="34F00C2B" w14:textId="77777777" w:rsidR="00381A5E" w:rsidRPr="009033FA" w:rsidRDefault="00381A5E" w:rsidP="00381A5E">
      <w:pPr>
        <w:pStyle w:val="Textonotapie"/>
        <w:ind w:firstLine="709"/>
        <w:jc w:val="both"/>
        <w:rPr>
          <w:rFonts w:ascii="Verdana" w:hAnsi="Verdana" w:cs="Arial"/>
          <w:color w:val="000000"/>
          <w:sz w:val="16"/>
          <w:szCs w:val="16"/>
        </w:rPr>
      </w:pPr>
      <w:r w:rsidRPr="009033FA">
        <w:rPr>
          <w:rStyle w:val="Refdenotaalpie"/>
          <w:rFonts w:ascii="Verdana" w:hAnsi="Verdana" w:cs="Arial"/>
          <w:color w:val="000000"/>
          <w:sz w:val="16"/>
          <w:szCs w:val="16"/>
        </w:rPr>
        <w:footnoteRef/>
      </w:r>
      <w:r w:rsidRPr="009033FA">
        <w:rPr>
          <w:rFonts w:ascii="Verdana" w:hAnsi="Verdana" w:cs="Arial"/>
          <w:color w:val="000000"/>
          <w:sz w:val="16"/>
          <w:szCs w:val="16"/>
        </w:rPr>
        <w:t xml:space="preserve"> CONSEJO DE ESTADO. Sala de Consulta y Servicio Civil. Concepto del 5 de septiembre de 2018. Rad. 2.386. C.P. Edgar González López.</w:t>
      </w:r>
    </w:p>
  </w:footnote>
  <w:footnote w:id="14">
    <w:p w14:paraId="780F9E51" w14:textId="77777777" w:rsidR="00381A5E" w:rsidRPr="009033FA" w:rsidRDefault="00381A5E" w:rsidP="00381A5E">
      <w:pPr>
        <w:pStyle w:val="Textonotapie"/>
        <w:ind w:firstLine="709"/>
        <w:jc w:val="both"/>
        <w:rPr>
          <w:rFonts w:ascii="Verdana" w:hAnsi="Verdana" w:cs="Arial"/>
          <w:sz w:val="16"/>
          <w:szCs w:val="16"/>
          <w:lang w:val="es-CO"/>
        </w:rPr>
      </w:pPr>
      <w:r w:rsidRPr="009033FA">
        <w:rPr>
          <w:rStyle w:val="Refdenotaalpie"/>
          <w:rFonts w:ascii="Verdana" w:hAnsi="Verdana" w:cs="Arial"/>
          <w:sz w:val="16"/>
          <w:szCs w:val="16"/>
        </w:rPr>
        <w:footnoteRef/>
      </w:r>
      <w:r w:rsidRPr="009033FA">
        <w:rPr>
          <w:rFonts w:ascii="Verdana" w:hAnsi="Verdana" w:cs="Arial"/>
          <w:sz w:val="16"/>
          <w:szCs w:val="16"/>
        </w:rPr>
        <w:t xml:space="preserve"> Consejo de Estado. Sección Tercera. Sentencia del 06 de junio de 2007. Exp. 17.253. C.P. Ruth Stella Correa Palacio. Ver también Concepto de la Sala de Consulta de Servicio Civil del Consejo de Estado del 7 febrero de 1997. Consejero Ponente. Javier Henao Hidrón Exp. 934.</w:t>
      </w:r>
    </w:p>
  </w:footnote>
  <w:footnote w:id="15">
    <w:p w14:paraId="0A397B52" w14:textId="77777777" w:rsidR="00381A5E" w:rsidRPr="009033FA" w:rsidRDefault="00381A5E" w:rsidP="00381A5E">
      <w:pPr>
        <w:pStyle w:val="Textonotapie"/>
        <w:ind w:firstLine="709"/>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Consejo de Estado. Sección Cuarta. Sentencia del 16 de septiembre de 2010. Exp. 16605. C.P. Carmen Teresa Ortiz. </w:t>
      </w:r>
    </w:p>
  </w:footnote>
  <w:footnote w:id="16">
    <w:p w14:paraId="5A3CAFDC" w14:textId="77777777" w:rsidR="00381A5E" w:rsidRPr="009033FA" w:rsidRDefault="00381A5E" w:rsidP="00381A5E">
      <w:pPr>
        <w:pStyle w:val="Textonotapie"/>
        <w:ind w:firstLine="709"/>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Consejo de Estado. Sala de Consulta y Servicio Civil. Concepto del 8 de marzo de 2017. Rad. 2298. C.P. Edgar González López.</w:t>
      </w:r>
    </w:p>
  </w:footnote>
  <w:footnote w:id="17">
    <w:p w14:paraId="6533782A" w14:textId="77777777" w:rsidR="00381A5E" w:rsidRPr="009033FA" w:rsidRDefault="00381A5E" w:rsidP="00381A5E">
      <w:pPr>
        <w:pStyle w:val="Textonotapie"/>
        <w:ind w:firstLine="708"/>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Consejo de Estado. Sección Tercera. Subsección A. Sentencia del 20 de noviembre de 2020. Exp. 47201. C.P. José Roberto Sáchica Méndez..</w:t>
      </w:r>
    </w:p>
  </w:footnote>
  <w:footnote w:id="18">
    <w:p w14:paraId="0295DD05" w14:textId="77777777" w:rsidR="00381A5E" w:rsidRPr="009033FA" w:rsidRDefault="00381A5E" w:rsidP="00381A5E">
      <w:pPr>
        <w:spacing w:after="0" w:line="240" w:lineRule="auto"/>
        <w:ind w:firstLine="708"/>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En este sentido, la jurisprudencia de la Subsección ha destacado que “Dos de los elementos descriptores que tanto la legislación civil como la mercantil comparten en torno al mandato aluden a i) que la gestión confiada se hace por cuenta y riesgo del mandante y ii) los actos ejercidos por el mandatario no obligan al mandante si han excedido los límites del encargo”. Consejo de Estado. Sección Tercera. Subsección A. Sentencia del 1 de octubre de 2018. Exp. 57.897. C.P. Marta Nubia Velásquez Rico. </w:t>
      </w:r>
    </w:p>
  </w:footnote>
  <w:footnote w:id="19">
    <w:p w14:paraId="4A4CC2A9" w14:textId="77777777" w:rsidR="00381A5E" w:rsidRPr="009033FA" w:rsidRDefault="00381A5E" w:rsidP="00381A5E">
      <w:pPr>
        <w:pStyle w:val="Textonotapie"/>
        <w:ind w:firstLine="708"/>
        <w:jc w:val="both"/>
        <w:rPr>
          <w:rFonts w:ascii="Verdana" w:hAnsi="Verdana" w:cs="Arial"/>
          <w:sz w:val="16"/>
          <w:szCs w:val="16"/>
        </w:rPr>
      </w:pPr>
      <w:r w:rsidRPr="009033FA">
        <w:rPr>
          <w:rStyle w:val="Refdenotaalpie"/>
          <w:rFonts w:ascii="Verdana" w:hAnsi="Verdana" w:cs="Arial"/>
          <w:sz w:val="16"/>
          <w:szCs w:val="16"/>
        </w:rPr>
        <w:footnoteRef/>
      </w:r>
      <w:r w:rsidRPr="009033FA">
        <w:rPr>
          <w:rFonts w:ascii="Verdana" w:hAnsi="Verdana" w:cs="Arial"/>
          <w:sz w:val="16"/>
          <w:szCs w:val="16"/>
        </w:rPr>
        <w:t xml:space="preserve"> Corte Suprema de Justicia. Sala de Casación Civil. Sentencia del 17 de abril de 2007. Exp. 00645. M.P. Pedro Octavio Munar Cadena.  </w:t>
      </w:r>
    </w:p>
  </w:footnote>
  <w:footnote w:id="20">
    <w:p w14:paraId="7DD4AFED" w14:textId="77777777" w:rsidR="00381A5E" w:rsidRPr="009033FA" w:rsidRDefault="00381A5E" w:rsidP="00381A5E">
      <w:pPr>
        <w:spacing w:after="0"/>
        <w:ind w:firstLine="708"/>
        <w:jc w:val="both"/>
        <w:rPr>
          <w:rFonts w:ascii="Verdana" w:hAnsi="Verdana" w:cs="Arial"/>
          <w:sz w:val="16"/>
          <w:szCs w:val="16"/>
          <w:lang w:val="es-ES"/>
        </w:rPr>
      </w:pPr>
      <w:r w:rsidRPr="009033FA">
        <w:rPr>
          <w:rStyle w:val="Refdenotaalpie"/>
          <w:rFonts w:ascii="Verdana" w:hAnsi="Verdana" w:cs="Arial"/>
          <w:sz w:val="16"/>
          <w:szCs w:val="16"/>
        </w:rPr>
        <w:footnoteRef/>
      </w:r>
      <w:r w:rsidRPr="009033FA">
        <w:rPr>
          <w:rFonts w:ascii="Verdana" w:hAnsi="Verdana" w:cs="Arial"/>
          <w:sz w:val="16"/>
          <w:szCs w:val="16"/>
        </w:rPr>
        <w:t xml:space="preserve">  </w:t>
      </w:r>
      <w:r w:rsidRPr="009033FA">
        <w:rPr>
          <w:rFonts w:ascii="Verdana" w:hAnsi="Verdana" w:cs="Arial"/>
          <w:sz w:val="16"/>
          <w:szCs w:val="16"/>
          <w:lang w:val="es-ES"/>
        </w:rPr>
        <w:t>Consejo de Estado. Sección Cuarta. Sentencia del 15 de octubre de 2021. Exp. 24376. C.P. Myriam Stella Gutiérrez Argüello.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F4E"/>
    <w:rsid w:val="00046945"/>
    <w:rsid w:val="00061B2A"/>
    <w:rsid w:val="00082362"/>
    <w:rsid w:val="000A683E"/>
    <w:rsid w:val="000B19B9"/>
    <w:rsid w:val="000D0334"/>
    <w:rsid w:val="000F6486"/>
    <w:rsid w:val="0011702F"/>
    <w:rsid w:val="00125105"/>
    <w:rsid w:val="00127233"/>
    <w:rsid w:val="001337B8"/>
    <w:rsid w:val="00150596"/>
    <w:rsid w:val="0018081A"/>
    <w:rsid w:val="001A2282"/>
    <w:rsid w:val="001E4177"/>
    <w:rsid w:val="001F7DC6"/>
    <w:rsid w:val="00216BAB"/>
    <w:rsid w:val="002421BB"/>
    <w:rsid w:val="0025796E"/>
    <w:rsid w:val="002707A2"/>
    <w:rsid w:val="002951A0"/>
    <w:rsid w:val="002962BC"/>
    <w:rsid w:val="002A093D"/>
    <w:rsid w:val="002A0DD0"/>
    <w:rsid w:val="002A49AC"/>
    <w:rsid w:val="002A64FD"/>
    <w:rsid w:val="002C7A84"/>
    <w:rsid w:val="002E4FD9"/>
    <w:rsid w:val="002F25CA"/>
    <w:rsid w:val="00322A85"/>
    <w:rsid w:val="00324168"/>
    <w:rsid w:val="003448F4"/>
    <w:rsid w:val="0036639E"/>
    <w:rsid w:val="003701DD"/>
    <w:rsid w:val="00374F5E"/>
    <w:rsid w:val="00377E3E"/>
    <w:rsid w:val="00381A5E"/>
    <w:rsid w:val="003A779E"/>
    <w:rsid w:val="003C546F"/>
    <w:rsid w:val="003D0F4D"/>
    <w:rsid w:val="003D5B0D"/>
    <w:rsid w:val="003E0499"/>
    <w:rsid w:val="003F3941"/>
    <w:rsid w:val="00406575"/>
    <w:rsid w:val="00414C74"/>
    <w:rsid w:val="00420279"/>
    <w:rsid w:val="00421BB0"/>
    <w:rsid w:val="0042722E"/>
    <w:rsid w:val="00434244"/>
    <w:rsid w:val="00443BD2"/>
    <w:rsid w:val="0044528D"/>
    <w:rsid w:val="004960F8"/>
    <w:rsid w:val="004A1847"/>
    <w:rsid w:val="004A305D"/>
    <w:rsid w:val="004A7E9B"/>
    <w:rsid w:val="004E2341"/>
    <w:rsid w:val="004F21C4"/>
    <w:rsid w:val="004F685F"/>
    <w:rsid w:val="00536A02"/>
    <w:rsid w:val="0055216A"/>
    <w:rsid w:val="005566E8"/>
    <w:rsid w:val="00574867"/>
    <w:rsid w:val="00574BF8"/>
    <w:rsid w:val="00591460"/>
    <w:rsid w:val="005B1F39"/>
    <w:rsid w:val="005C1629"/>
    <w:rsid w:val="005C3777"/>
    <w:rsid w:val="005C5CDC"/>
    <w:rsid w:val="005C6047"/>
    <w:rsid w:val="005D476C"/>
    <w:rsid w:val="00620D01"/>
    <w:rsid w:val="006219F8"/>
    <w:rsid w:val="006302F7"/>
    <w:rsid w:val="0065265A"/>
    <w:rsid w:val="00664FB1"/>
    <w:rsid w:val="00665D70"/>
    <w:rsid w:val="00684F8F"/>
    <w:rsid w:val="006900D9"/>
    <w:rsid w:val="006A760C"/>
    <w:rsid w:val="00706C16"/>
    <w:rsid w:val="00756841"/>
    <w:rsid w:val="007649AB"/>
    <w:rsid w:val="00771D0C"/>
    <w:rsid w:val="007833AC"/>
    <w:rsid w:val="007B268C"/>
    <w:rsid w:val="007B432C"/>
    <w:rsid w:val="007B7171"/>
    <w:rsid w:val="007C0C0F"/>
    <w:rsid w:val="007C3DC2"/>
    <w:rsid w:val="007C6A1E"/>
    <w:rsid w:val="007E5497"/>
    <w:rsid w:val="00806F5F"/>
    <w:rsid w:val="00820278"/>
    <w:rsid w:val="00867F95"/>
    <w:rsid w:val="008843B6"/>
    <w:rsid w:val="00891928"/>
    <w:rsid w:val="00891A05"/>
    <w:rsid w:val="00897A3A"/>
    <w:rsid w:val="008A446D"/>
    <w:rsid w:val="008D180B"/>
    <w:rsid w:val="008E18EE"/>
    <w:rsid w:val="008F0EA7"/>
    <w:rsid w:val="00903C79"/>
    <w:rsid w:val="00923EEF"/>
    <w:rsid w:val="009419F9"/>
    <w:rsid w:val="0095685E"/>
    <w:rsid w:val="00961B09"/>
    <w:rsid w:val="009629BA"/>
    <w:rsid w:val="00965334"/>
    <w:rsid w:val="0097093E"/>
    <w:rsid w:val="00973DBA"/>
    <w:rsid w:val="00980B30"/>
    <w:rsid w:val="009A0DFA"/>
    <w:rsid w:val="009B25A8"/>
    <w:rsid w:val="009B2D26"/>
    <w:rsid w:val="009C71FA"/>
    <w:rsid w:val="009C72E7"/>
    <w:rsid w:val="009D3058"/>
    <w:rsid w:val="009F3A13"/>
    <w:rsid w:val="00A122D3"/>
    <w:rsid w:val="00A17F13"/>
    <w:rsid w:val="00A20739"/>
    <w:rsid w:val="00A33C78"/>
    <w:rsid w:val="00A82637"/>
    <w:rsid w:val="00A83352"/>
    <w:rsid w:val="00AA4A12"/>
    <w:rsid w:val="00AB0ADB"/>
    <w:rsid w:val="00B00C0E"/>
    <w:rsid w:val="00B01B1A"/>
    <w:rsid w:val="00B44A47"/>
    <w:rsid w:val="00B72CD3"/>
    <w:rsid w:val="00B72FFF"/>
    <w:rsid w:val="00BC3D36"/>
    <w:rsid w:val="00BD7F72"/>
    <w:rsid w:val="00C04FB3"/>
    <w:rsid w:val="00C330EB"/>
    <w:rsid w:val="00C754BE"/>
    <w:rsid w:val="00C76B1C"/>
    <w:rsid w:val="00CB6357"/>
    <w:rsid w:val="00CC1B26"/>
    <w:rsid w:val="00CE6AA6"/>
    <w:rsid w:val="00D027D2"/>
    <w:rsid w:val="00D2028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371C"/>
    <w:rsid w:val="00E9623C"/>
    <w:rsid w:val="00EA0E3D"/>
    <w:rsid w:val="00EC38A7"/>
    <w:rsid w:val="00ED37A0"/>
    <w:rsid w:val="00EE1AA8"/>
    <w:rsid w:val="00F20DA4"/>
    <w:rsid w:val="00F31EDC"/>
    <w:rsid w:val="00F462B3"/>
    <w:rsid w:val="00F5664F"/>
    <w:rsid w:val="00F666C4"/>
    <w:rsid w:val="00F76AFC"/>
    <w:rsid w:val="00FA47C0"/>
    <w:rsid w:val="00FB5DD1"/>
    <w:rsid w:val="00FC2B5D"/>
    <w:rsid w:val="00FF1449"/>
    <w:rsid w:val="4A2B3978"/>
    <w:rsid w:val="4E41D26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81A5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81A5E"/>
    <w:rPr>
      <w:rFonts w:ascii="Geomanist Light" w:hAnsi="Geomanist Light"/>
      <w:lang w:val="es-ES"/>
    </w:rPr>
  </w:style>
  <w:style w:type="character" w:customStyle="1" w:styleId="s15">
    <w:name w:val="s15"/>
    <w:basedOn w:val="Fuentedeprrafopredeter"/>
    <w:rsid w:val="00381A5E"/>
  </w:style>
  <w:style w:type="paragraph" w:styleId="Textoindependiente">
    <w:name w:val="Body Text"/>
    <w:basedOn w:val="Normal"/>
    <w:link w:val="TextoindependienteCar"/>
    <w:uiPriority w:val="1"/>
    <w:qFormat/>
    <w:rsid w:val="00381A5E"/>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381A5E"/>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litzaoliveros@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1E89707D-FFD5-4B5C-BE24-D9B4B451421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19</Pages>
  <Words>6254</Words>
  <Characters>34398</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40571</CharactersWithSpaces>
  <SharedDoc>false</SharedDoc>
  <HLinks>
    <vt:vector size="18"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6684762</vt:i4>
      </vt:variant>
      <vt:variant>
        <vt:i4>0</vt:i4>
      </vt:variant>
      <vt:variant>
        <vt:i4>0</vt:i4>
      </vt:variant>
      <vt:variant>
        <vt:i4>5</vt:i4>
      </vt:variant>
      <vt:variant>
        <vt:lpwstr>mailto:yelitzaoliveros@hotmail.com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2025-10-24T14:21:00Z</dcterms:created>
  <dcterms:modified xsi:type="dcterms:W3CDTF">2025-10-27T16:08:00Z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