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1E4AFE" w14:textId="77777777" w:rsidR="005D4A0D" w:rsidRPr="00647611" w:rsidRDefault="005D4A0D" w:rsidP="005D4A0D">
      <w:pPr>
        <w:spacing w:after="0" w:line="240" w:lineRule="auto"/>
        <w:jc w:val="both"/>
        <w:rPr>
          <w:rFonts w:ascii="Verdana" w:eastAsia="Calibri" w:hAnsi="Verdana" w:cs="Arial"/>
          <w:sz w:val="20"/>
          <w:szCs w:val="20"/>
          <w:lang w:val="es-ES_tradnl" w:eastAsia="es-ES"/>
        </w:rPr>
      </w:pPr>
    </w:p>
    <w:p w14:paraId="6D2FE3CA" w14:textId="77777777" w:rsidR="005D4A0D" w:rsidRPr="00647611" w:rsidRDefault="005D4A0D" w:rsidP="005D4A0D">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w:t>
      </w:r>
      <w:r w:rsidRPr="00647611">
        <w:rPr>
          <w:rFonts w:ascii="Verdana" w:hAnsi="Verdana" w:cs="Arial"/>
          <w:b/>
          <w:bCs/>
          <w:lang w:val="es-MX" w:eastAsia="es-ES_tradnl"/>
        </w:rPr>
        <w:t>‒</w:t>
      </w:r>
      <w:r w:rsidRPr="00647611">
        <w:rPr>
          <w:rFonts w:ascii="Verdana" w:hAnsi="Verdana" w:cs="Arial"/>
          <w:b/>
          <w:lang w:val="es-MX" w:eastAsia="es-ES_tradnl"/>
        </w:rPr>
        <w:t xml:space="preserve"> Finalidad </w:t>
      </w:r>
    </w:p>
    <w:p w14:paraId="61429D57" w14:textId="77777777" w:rsidR="005D4A0D" w:rsidRPr="00647611" w:rsidRDefault="005D4A0D" w:rsidP="005D4A0D">
      <w:pPr>
        <w:spacing w:after="0" w:line="240" w:lineRule="auto"/>
        <w:jc w:val="both"/>
        <w:rPr>
          <w:rFonts w:ascii="Verdana" w:hAnsi="Verdana" w:cs="Arial"/>
          <w:b/>
          <w:sz w:val="20"/>
          <w:szCs w:val="20"/>
          <w:lang w:val="es-MX" w:eastAsia="es-ES_tradnl"/>
        </w:rPr>
      </w:pPr>
    </w:p>
    <w:p w14:paraId="539AEE18" w14:textId="77777777" w:rsidR="005D4A0D" w:rsidRPr="00647611" w:rsidRDefault="005D4A0D" w:rsidP="005D4A0D">
      <w:pPr>
        <w:spacing w:after="0" w:line="240" w:lineRule="auto"/>
        <w:jc w:val="both"/>
        <w:rPr>
          <w:rFonts w:ascii="Verdana" w:eastAsia="Times New Roman" w:hAnsi="Verdana" w:cs="Arial"/>
          <w:sz w:val="20"/>
          <w:szCs w:val="20"/>
          <w:lang w:val="es-MX" w:eastAsia="es-CO"/>
        </w:rPr>
      </w:pPr>
      <w:r w:rsidRPr="00647611">
        <w:rPr>
          <w:rFonts w:ascii="Verdana" w:eastAsia="Times New Roman" w:hAnsi="Verdana" w:cs="Arial"/>
          <w:sz w:val="20"/>
          <w:szCs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79ACE03D" w14:textId="77777777" w:rsidR="005D4A0D" w:rsidRPr="00647611" w:rsidRDefault="005D4A0D" w:rsidP="005D4A0D">
      <w:pPr>
        <w:spacing w:after="0" w:line="240" w:lineRule="auto"/>
        <w:jc w:val="both"/>
        <w:rPr>
          <w:rFonts w:ascii="Verdana" w:hAnsi="Verdana" w:cs="Arial"/>
          <w:b/>
          <w:sz w:val="20"/>
          <w:szCs w:val="20"/>
          <w:lang w:val="es-MX" w:eastAsia="es-ES_tradnl"/>
        </w:rPr>
      </w:pPr>
    </w:p>
    <w:p w14:paraId="782375F9" w14:textId="77777777" w:rsidR="005D4A0D" w:rsidRPr="00647611" w:rsidRDefault="005D4A0D" w:rsidP="005D4A0D">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w:t>
      </w:r>
      <w:r w:rsidRPr="00647611">
        <w:rPr>
          <w:rFonts w:ascii="Verdana" w:hAnsi="Verdana" w:cs="Arial"/>
          <w:b/>
          <w:bCs/>
          <w:lang w:val="es-MX" w:eastAsia="es-ES_tradnl"/>
        </w:rPr>
        <w:t>‒</w:t>
      </w:r>
      <w:r w:rsidRPr="00647611">
        <w:rPr>
          <w:rFonts w:ascii="Verdana" w:hAnsi="Verdana" w:cs="Arial"/>
          <w:b/>
          <w:lang w:val="es-MX" w:eastAsia="es-ES_tradnl"/>
        </w:rPr>
        <w:t xml:space="preserve"> Tipos de restricciones </w:t>
      </w:r>
      <w:r w:rsidRPr="00647611">
        <w:rPr>
          <w:rFonts w:ascii="Verdana" w:hAnsi="Verdana" w:cs="Arial"/>
          <w:b/>
          <w:bCs/>
          <w:lang w:val="es-MX" w:eastAsia="es-ES_tradnl"/>
        </w:rPr>
        <w:t>‒</w:t>
      </w:r>
      <w:r w:rsidRPr="00647611">
        <w:rPr>
          <w:rFonts w:ascii="Verdana" w:hAnsi="Verdana" w:cs="Arial"/>
          <w:b/>
          <w:lang w:val="es-MX" w:eastAsia="es-ES_tradnl"/>
        </w:rPr>
        <w:t xml:space="preserve"> Ámbito temporal – celebración- límite</w:t>
      </w:r>
    </w:p>
    <w:p w14:paraId="0371CE5E" w14:textId="77777777" w:rsidR="005D4A0D" w:rsidRPr="00647611" w:rsidRDefault="005D4A0D" w:rsidP="005D4A0D">
      <w:pPr>
        <w:spacing w:after="0" w:line="240" w:lineRule="auto"/>
        <w:jc w:val="both"/>
        <w:rPr>
          <w:rFonts w:ascii="Verdana" w:hAnsi="Verdana" w:cs="Arial"/>
          <w:b/>
          <w:sz w:val="20"/>
          <w:szCs w:val="20"/>
          <w:lang w:val="es-MX" w:eastAsia="es-ES_tradnl"/>
        </w:rPr>
      </w:pPr>
    </w:p>
    <w:p w14:paraId="400697D5" w14:textId="77777777" w:rsidR="005D4A0D" w:rsidRPr="00647611" w:rsidRDefault="005D4A0D" w:rsidP="005D4A0D">
      <w:pPr>
        <w:spacing w:after="0" w:line="240" w:lineRule="auto"/>
        <w:jc w:val="both"/>
        <w:rPr>
          <w:rFonts w:ascii="Verdana" w:eastAsia="Calibri" w:hAnsi="Verdana" w:cs="Arial"/>
          <w:sz w:val="20"/>
          <w:szCs w:val="20"/>
        </w:rPr>
      </w:pPr>
      <w:r w:rsidRPr="00647611">
        <w:rPr>
          <w:rFonts w:ascii="Verdana" w:eastAsia="Calibri" w:hAnsi="Verdana" w:cs="Arial"/>
          <w:sz w:val="20"/>
          <w:szCs w:val="20"/>
        </w:rPr>
        <w:t xml:space="preserve">Por un lado, el </w:t>
      </w:r>
      <w:r w:rsidRPr="00647611">
        <w:rPr>
          <w:rFonts w:ascii="Verdana" w:eastAsia="Calibri" w:hAnsi="Verdana" w:cs="Arial"/>
          <w:i/>
          <w:iCs/>
          <w:sz w:val="20"/>
          <w:szCs w:val="20"/>
        </w:rPr>
        <w:t>artículo 33 de la Ley 996 de 2005</w:t>
      </w:r>
      <w:r w:rsidRPr="00647611">
        <w:rPr>
          <w:rFonts w:ascii="Verdana" w:eastAsia="Calibri" w:hAnsi="Verdana" w:cs="Arial"/>
          <w:sz w:val="20"/>
          <w:szCs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57FB9C3F" w14:textId="77777777" w:rsidR="005D4A0D" w:rsidRPr="00647611" w:rsidRDefault="005D4A0D" w:rsidP="005D4A0D">
      <w:pPr>
        <w:spacing w:after="0" w:line="240" w:lineRule="auto"/>
        <w:jc w:val="both"/>
        <w:rPr>
          <w:rFonts w:ascii="Verdana" w:eastAsia="Calibri" w:hAnsi="Verdana" w:cs="Arial"/>
          <w:sz w:val="20"/>
          <w:szCs w:val="20"/>
        </w:rPr>
      </w:pPr>
    </w:p>
    <w:p w14:paraId="6AA5FCDE" w14:textId="77777777" w:rsidR="005D4A0D" w:rsidRPr="00647611" w:rsidRDefault="005D4A0D" w:rsidP="005D4A0D">
      <w:pPr>
        <w:widowControl w:val="0"/>
        <w:autoSpaceDE w:val="0"/>
        <w:autoSpaceDN w:val="0"/>
        <w:spacing w:after="0" w:line="240" w:lineRule="auto"/>
        <w:ind w:right="113"/>
        <w:jc w:val="both"/>
        <w:rPr>
          <w:rFonts w:ascii="Verdana" w:eastAsia="Arial" w:hAnsi="Verdana" w:cs="Arial"/>
          <w:sz w:val="20"/>
          <w:szCs w:val="20"/>
          <w:lang w:val="es-ES" w:eastAsia="es-ES" w:bidi="es-ES"/>
        </w:rPr>
      </w:pPr>
      <w:r w:rsidRPr="00647611">
        <w:rPr>
          <w:rFonts w:ascii="Verdana" w:eastAsia="Calibri" w:hAnsi="Verdana" w:cs="Arial"/>
          <w:sz w:val="20"/>
          <w:szCs w:val="20"/>
        </w:rPr>
        <w:t xml:space="preserve">Por otro lado, </w:t>
      </w:r>
      <w:r w:rsidRPr="00647611">
        <w:rPr>
          <w:rFonts w:ascii="Verdana" w:eastAsia="Calibri" w:hAnsi="Verdana" w:cs="Arial"/>
          <w:i/>
          <w:iCs/>
          <w:sz w:val="20"/>
          <w:szCs w:val="20"/>
        </w:rPr>
        <w:t>el parágrafo del artículo 38 de la Ley 996 de 2005</w:t>
      </w:r>
      <w:r w:rsidRPr="00647611">
        <w:rPr>
          <w:rFonts w:ascii="Verdana" w:eastAsia="Calibri" w:hAnsi="Verdana" w:cs="Arial"/>
          <w:sz w:val="20"/>
          <w:szCs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647611">
        <w:rPr>
          <w:rFonts w:ascii="Verdana" w:eastAsia="Calibri" w:hAnsi="Verdana" w:cs="Arial"/>
          <w:sz w:val="20"/>
          <w:szCs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647611">
        <w:rPr>
          <w:rFonts w:ascii="Verdana" w:eastAsia="Calibri" w:hAnsi="Verdana" w:cs="Arial"/>
          <w:sz w:val="20"/>
          <w:szCs w:val="20"/>
        </w:rPr>
        <w:t>”</w:t>
      </w:r>
      <w:r w:rsidRPr="00647611">
        <w:rPr>
          <w:rFonts w:ascii="Verdana" w:eastAsia="Calibri" w:hAnsi="Verdana" w:cs="Arial"/>
          <w:sz w:val="20"/>
          <w:szCs w:val="20"/>
          <w:lang w:val="es-MX"/>
        </w:rPr>
        <w:t>.</w:t>
      </w:r>
      <w:r w:rsidRPr="00647611">
        <w:rPr>
          <w:rFonts w:ascii="Verdana" w:eastAsia="Arial" w:hAnsi="Verdana" w:cs="Arial"/>
          <w:sz w:val="20"/>
          <w:szCs w:val="20"/>
          <w:lang w:val="es-ES" w:eastAsia="es-ES" w:bidi="es-ES"/>
        </w:rPr>
        <w:t xml:space="preserve"> </w:t>
      </w:r>
    </w:p>
    <w:p w14:paraId="7CE2C4A2" w14:textId="77777777" w:rsidR="005D4A0D" w:rsidRPr="00647611" w:rsidRDefault="005D4A0D" w:rsidP="005D4A0D">
      <w:pPr>
        <w:widowControl w:val="0"/>
        <w:autoSpaceDE w:val="0"/>
        <w:autoSpaceDN w:val="0"/>
        <w:spacing w:after="0" w:line="240" w:lineRule="auto"/>
        <w:ind w:right="113"/>
        <w:jc w:val="both"/>
        <w:rPr>
          <w:rFonts w:ascii="Verdana" w:eastAsia="Arial" w:hAnsi="Verdana" w:cs="Arial"/>
          <w:sz w:val="20"/>
          <w:szCs w:val="20"/>
          <w:lang w:val="es-ES" w:eastAsia="es-ES" w:bidi="es-ES"/>
        </w:rPr>
      </w:pPr>
    </w:p>
    <w:p w14:paraId="229E81F3" w14:textId="77777777" w:rsidR="005D4A0D" w:rsidRPr="00647611" w:rsidRDefault="005D4A0D" w:rsidP="005D4A0D">
      <w:pPr>
        <w:spacing w:after="0" w:line="240" w:lineRule="auto"/>
        <w:jc w:val="both"/>
        <w:rPr>
          <w:rFonts w:ascii="Verdana" w:eastAsia="Times New Roman" w:hAnsi="Verdana" w:cs="Arial"/>
          <w:bCs/>
          <w:sz w:val="20"/>
          <w:szCs w:val="20"/>
          <w:lang w:val="es-ES" w:eastAsia="es-CO"/>
        </w:rPr>
      </w:pPr>
      <w:r w:rsidRPr="00647611">
        <w:rPr>
          <w:rFonts w:ascii="Verdana" w:eastAsia="Times New Roman" w:hAnsi="Verdana" w:cs="Arial"/>
          <w:bCs/>
          <w:sz w:val="20"/>
          <w:szCs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647611">
        <w:rPr>
          <w:rFonts w:ascii="Verdana" w:eastAsia="Times New Roman" w:hAnsi="Verdana" w:cs="Arial"/>
          <w:bCs/>
          <w:sz w:val="20"/>
          <w:szCs w:val="20"/>
          <w:lang w:val="es-ES" w:eastAsia="es-CO"/>
        </w:rPr>
        <w:t xml:space="preserve">la existencia de los contratos estatales, es decir, la producción de efectos jurídicos en los términos del artículo 1501 </w:t>
      </w:r>
      <w:proofErr w:type="spellStart"/>
      <w:r w:rsidRPr="00647611">
        <w:rPr>
          <w:rFonts w:ascii="Verdana" w:eastAsia="Times New Roman" w:hAnsi="Verdana" w:cs="Arial"/>
          <w:bCs/>
          <w:i/>
          <w:sz w:val="20"/>
          <w:szCs w:val="20"/>
          <w:lang w:val="es-ES" w:eastAsia="es-CO"/>
        </w:rPr>
        <w:t>ibídem</w:t>
      </w:r>
      <w:proofErr w:type="spellEnd"/>
      <w:r w:rsidRPr="00647611">
        <w:rPr>
          <w:rFonts w:ascii="Verdana" w:eastAsia="Times New Roman" w:hAnsi="Verdana" w:cs="Arial"/>
          <w:bCs/>
          <w:sz w:val="20"/>
          <w:szCs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35EC0DF0" w14:textId="77777777" w:rsidR="005D4A0D" w:rsidRPr="00647611" w:rsidRDefault="005D4A0D" w:rsidP="005D4A0D">
      <w:pPr>
        <w:spacing w:after="0" w:line="240" w:lineRule="auto"/>
        <w:jc w:val="both"/>
        <w:rPr>
          <w:rFonts w:ascii="Verdana" w:hAnsi="Verdana" w:cs="Arial"/>
          <w:b/>
          <w:sz w:val="20"/>
          <w:szCs w:val="20"/>
          <w:lang w:val="es-MX" w:eastAsia="es-ES_tradnl"/>
        </w:rPr>
      </w:pPr>
    </w:p>
    <w:p w14:paraId="3BDF6EAE" w14:textId="77777777" w:rsidR="005D4A0D" w:rsidRPr="00647611" w:rsidRDefault="005D4A0D" w:rsidP="005D4A0D">
      <w:pPr>
        <w:spacing w:after="0" w:line="240" w:lineRule="auto"/>
        <w:jc w:val="both"/>
        <w:rPr>
          <w:rFonts w:ascii="Verdana" w:hAnsi="Verdana" w:cs="Arial"/>
          <w:b/>
          <w:lang w:val="es-MX" w:eastAsia="es-ES_tradnl"/>
        </w:rPr>
      </w:pPr>
      <w:r w:rsidRPr="00647611">
        <w:rPr>
          <w:rFonts w:ascii="Verdana" w:hAnsi="Verdana" w:cs="Arial"/>
          <w:b/>
          <w:lang w:val="es-MX" w:eastAsia="es-ES_tradnl"/>
        </w:rPr>
        <w:lastRenderedPageBreak/>
        <w:t xml:space="preserve">LEY DE GARANTÍAS ELECTORALES – Prohibición artículo 33 – Contratación directa – Alcance </w:t>
      </w:r>
    </w:p>
    <w:p w14:paraId="05A5CF6C" w14:textId="77777777" w:rsidR="005D4A0D" w:rsidRPr="00647611" w:rsidRDefault="005D4A0D" w:rsidP="005D4A0D">
      <w:pPr>
        <w:spacing w:after="0" w:line="240" w:lineRule="auto"/>
        <w:jc w:val="both"/>
        <w:rPr>
          <w:rFonts w:ascii="Verdana" w:hAnsi="Verdana" w:cs="Arial"/>
          <w:b/>
          <w:sz w:val="20"/>
          <w:szCs w:val="20"/>
          <w:lang w:val="es-MX" w:eastAsia="es-ES_tradnl"/>
        </w:rPr>
      </w:pPr>
    </w:p>
    <w:p w14:paraId="45131D47" w14:textId="77777777" w:rsidR="005D4A0D" w:rsidRPr="00647611" w:rsidRDefault="005D4A0D" w:rsidP="005D4A0D">
      <w:pPr>
        <w:spacing w:after="0" w:line="240" w:lineRule="auto"/>
        <w:jc w:val="both"/>
        <w:rPr>
          <w:rFonts w:ascii="Verdana" w:eastAsia="Times New Roman" w:hAnsi="Verdana" w:cs="Arial"/>
          <w:bCs/>
          <w:sz w:val="20"/>
          <w:szCs w:val="20"/>
          <w:lang w:eastAsia="x-none"/>
        </w:rPr>
      </w:pPr>
      <w:r w:rsidRPr="00647611">
        <w:rPr>
          <w:rFonts w:ascii="Verdana" w:eastAsia="Times New Roman" w:hAnsi="Verdana" w:cs="Arial"/>
          <w:sz w:val="20"/>
          <w:szCs w:val="20"/>
          <w:lang w:eastAsia="x-none"/>
        </w:rPr>
        <w:t xml:space="preserve">De acuerdo con el citado concepto, la prohibición del artículo 33 de la Ley de Garantías Electorales se refiere a </w:t>
      </w:r>
      <w:r w:rsidRPr="00647611">
        <w:rPr>
          <w:rFonts w:ascii="Verdana" w:eastAsia="Times New Roman" w:hAnsi="Verdana" w:cs="Arial"/>
          <w:sz w:val="20"/>
          <w:szCs w:val="20"/>
          <w:lang w:eastAsia="en-GB"/>
        </w:rPr>
        <w:t>“</w:t>
      </w:r>
      <w:r w:rsidRPr="00647611">
        <w:rPr>
          <w:rFonts w:ascii="Verdana" w:eastAsia="Times New Roman" w:hAnsi="Verdana" w:cs="Arial"/>
          <w:sz w:val="20"/>
          <w:szCs w:val="20"/>
          <w:lang w:eastAsia="x-none"/>
        </w:rPr>
        <w:t>cualquier sistema que no implique convocatoria pública y posibilidad de pluralidad de oferentes</w:t>
      </w:r>
      <w:r w:rsidRPr="00647611">
        <w:rPr>
          <w:rFonts w:ascii="Verdana" w:eastAsia="Times New Roman" w:hAnsi="Verdana" w:cs="Arial"/>
          <w:sz w:val="20"/>
          <w:szCs w:val="20"/>
          <w:lang w:eastAsia="en-GB"/>
        </w:rPr>
        <w:t>”</w:t>
      </w:r>
      <w:r w:rsidRPr="00647611">
        <w:rPr>
          <w:rFonts w:ascii="Verdana" w:eastAsia="Times New Roman" w:hAnsi="Verdana" w:cs="Arial"/>
          <w:sz w:val="20"/>
          <w:szCs w:val="20"/>
          <w:lang w:eastAsia="x-none"/>
        </w:rPr>
        <w:t xml:space="preserve">, por lo que excluye las demás modalidades de contratación previstas en la Ley 1150 de 2007, es decir, la licitación pública, la selección abreviada, el concurso de méritos </w:t>
      </w:r>
      <w:r w:rsidRPr="00647611">
        <w:rPr>
          <w:rFonts w:ascii="Verdana" w:eastAsia="Times New Roman" w:hAnsi="Verdana" w:cs="Arial"/>
          <w:sz w:val="20"/>
          <w:szCs w:val="20"/>
          <w:lang w:val="es-ES_tradnl" w:eastAsia="x-none"/>
        </w:rPr>
        <w:t>y la mínima cuantía</w:t>
      </w:r>
      <w:r w:rsidRPr="00647611" w:rsidDel="00A85D9F">
        <w:rPr>
          <w:rFonts w:ascii="Verdana" w:eastAsia="Times New Roman" w:hAnsi="Verdana" w:cs="Arial"/>
          <w:sz w:val="20"/>
          <w:szCs w:val="20"/>
          <w:lang w:eastAsia="x-none"/>
        </w:rPr>
        <w:t xml:space="preserve"> </w:t>
      </w:r>
      <w:r w:rsidRPr="00647611">
        <w:rPr>
          <w:rFonts w:ascii="Verdana" w:eastAsia="Times New Roman" w:hAnsi="Verdana" w:cs="Arial"/>
          <w:sz w:val="20"/>
          <w:szCs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647611">
        <w:rPr>
          <w:rFonts w:ascii="Verdana" w:eastAsia="Calibri" w:hAnsi="Verdana" w:cs="Arial"/>
          <w:sz w:val="20"/>
          <w:szCs w:val="20"/>
          <w:lang w:eastAsia="x-none"/>
        </w:rPr>
        <w:t>además lo es con la posterior creación de la modalidad de mínima cuantía establecida actualmente en el numeral 5 del artículo 2 de la Ley 1150 de 2007, de acuerdo con las modificaciones realizadas por leyes posteriores.</w:t>
      </w:r>
    </w:p>
    <w:p w14:paraId="09570BBB" w14:textId="77777777" w:rsidR="005D4A0D" w:rsidRPr="00647611" w:rsidRDefault="005D4A0D" w:rsidP="005D4A0D">
      <w:pPr>
        <w:spacing w:after="0" w:line="240" w:lineRule="auto"/>
        <w:jc w:val="both"/>
        <w:rPr>
          <w:rFonts w:ascii="Verdana" w:hAnsi="Verdana" w:cs="Arial"/>
          <w:b/>
          <w:sz w:val="20"/>
          <w:szCs w:val="20"/>
          <w:lang w:eastAsia="es-ES_tradnl"/>
        </w:rPr>
      </w:pPr>
    </w:p>
    <w:p w14:paraId="6B69BDBA" w14:textId="77777777" w:rsidR="005D4A0D" w:rsidRPr="00647611" w:rsidRDefault="005D4A0D" w:rsidP="005D4A0D">
      <w:pPr>
        <w:spacing w:after="0" w:line="240" w:lineRule="auto"/>
        <w:jc w:val="both"/>
        <w:rPr>
          <w:rFonts w:ascii="Verdana" w:hAnsi="Verdana" w:cs="Arial"/>
          <w:b/>
          <w:lang w:val="es-MX" w:eastAsia="es-ES_tradnl"/>
        </w:rPr>
      </w:pPr>
      <w:r w:rsidRPr="00647611">
        <w:rPr>
          <w:rFonts w:ascii="Verdana" w:hAnsi="Verdana" w:cs="Arial"/>
          <w:b/>
          <w:lang w:val="es-MX" w:eastAsia="es-ES_tradnl"/>
        </w:rPr>
        <w:t>LEY DE GARANTÍAS ELECTORALES – Excepciones</w:t>
      </w:r>
    </w:p>
    <w:p w14:paraId="52A07CA2" w14:textId="77777777" w:rsidR="005D4A0D" w:rsidRPr="00647611" w:rsidRDefault="005D4A0D" w:rsidP="005D4A0D">
      <w:pPr>
        <w:spacing w:after="0" w:line="240" w:lineRule="auto"/>
        <w:jc w:val="both"/>
        <w:rPr>
          <w:rFonts w:ascii="Verdana" w:hAnsi="Verdana" w:cs="Arial"/>
          <w:b/>
          <w:sz w:val="20"/>
          <w:szCs w:val="20"/>
          <w:lang w:val="es-MX" w:eastAsia="es-ES_tradnl"/>
        </w:rPr>
      </w:pPr>
    </w:p>
    <w:p w14:paraId="71DA3AA0" w14:textId="77777777" w:rsidR="005D4A0D" w:rsidRPr="00647611" w:rsidRDefault="005D4A0D" w:rsidP="005D4A0D">
      <w:pPr>
        <w:spacing w:after="0" w:line="240" w:lineRule="auto"/>
        <w:jc w:val="both"/>
        <w:rPr>
          <w:rFonts w:ascii="Verdana" w:eastAsia="Times New Roman" w:hAnsi="Verdana" w:cs="Arial"/>
          <w:bCs/>
          <w:sz w:val="20"/>
          <w:szCs w:val="20"/>
          <w:lang w:val="es-MX" w:eastAsia="es-CO"/>
        </w:rPr>
      </w:pPr>
      <w:r w:rsidRPr="00647611">
        <w:rPr>
          <w:rFonts w:ascii="Verdana" w:eastAsia="Times New Roman" w:hAnsi="Verdana" w:cs="Arial"/>
          <w:bCs/>
          <w:sz w:val="20"/>
          <w:szCs w:val="20"/>
          <w:lang w:val="es-MX"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47611">
        <w:rPr>
          <w:rFonts w:ascii="Verdana" w:eastAsia="Times New Roman" w:hAnsi="Verdana" w:cs="Arial"/>
          <w:bCs/>
          <w:sz w:val="20"/>
          <w:szCs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5C07FBEB" w14:textId="77777777" w:rsidR="005D4A0D" w:rsidRPr="00647611" w:rsidRDefault="005D4A0D" w:rsidP="005D4A0D">
      <w:pPr>
        <w:spacing w:after="0" w:line="240" w:lineRule="auto"/>
        <w:jc w:val="both"/>
        <w:rPr>
          <w:rFonts w:ascii="Verdana" w:hAnsi="Verdana" w:cs="Arial"/>
          <w:b/>
          <w:sz w:val="20"/>
          <w:szCs w:val="20"/>
          <w:lang w:val="es-MX" w:eastAsia="es-ES_tradnl"/>
        </w:rPr>
      </w:pPr>
    </w:p>
    <w:p w14:paraId="39584083" w14:textId="77777777" w:rsidR="005D4A0D" w:rsidRPr="00647611" w:rsidRDefault="005D4A0D" w:rsidP="005D4A0D">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 Prohibición del artículo 33 – Destinatarios </w:t>
      </w:r>
    </w:p>
    <w:p w14:paraId="09AFA8C6" w14:textId="77777777" w:rsidR="005D4A0D" w:rsidRPr="00647611" w:rsidRDefault="005D4A0D" w:rsidP="005D4A0D">
      <w:pPr>
        <w:spacing w:after="0" w:line="240" w:lineRule="auto"/>
        <w:rPr>
          <w:rFonts w:ascii="Verdana" w:hAnsi="Verdana" w:cs="Arial"/>
          <w:sz w:val="20"/>
          <w:szCs w:val="20"/>
          <w:lang w:val="es-MX" w:eastAsia="es-ES_tradnl"/>
        </w:rPr>
      </w:pPr>
    </w:p>
    <w:p w14:paraId="32EA7CD6" w14:textId="77777777" w:rsidR="005D4A0D" w:rsidRPr="00647611" w:rsidRDefault="005D4A0D" w:rsidP="005D4A0D">
      <w:pPr>
        <w:spacing w:after="0" w:line="240" w:lineRule="auto"/>
        <w:jc w:val="both"/>
        <w:rPr>
          <w:rFonts w:ascii="Verdana" w:hAnsi="Verdana" w:cs="Arial"/>
          <w:sz w:val="20"/>
          <w:szCs w:val="20"/>
          <w:lang w:val="es-MX" w:eastAsia="es-ES_tradnl"/>
        </w:rPr>
      </w:pPr>
      <w:r w:rsidRPr="00647611">
        <w:rPr>
          <w:rFonts w:ascii="Verdana" w:eastAsia="Calibri" w:hAnsi="Verdana" w:cs="Arial"/>
          <w:sz w:val="20"/>
          <w:szCs w:val="20"/>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647611">
        <w:rPr>
          <w:rFonts w:ascii="Verdana" w:eastAsia="Times New Roman" w:hAnsi="Verdana" w:cs="Arial"/>
          <w:bCs/>
          <w:sz w:val="20"/>
          <w:szCs w:val="20"/>
          <w:lang w:val="es-MX" w:eastAsia="x-none"/>
        </w:rPr>
        <w:t>establecimientos de crédito, las sociedades de servicios financieros y las entidades aseguradoras</w:t>
      </w:r>
      <w:r w:rsidRPr="00647611">
        <w:rPr>
          <w:rFonts w:ascii="Verdana" w:eastAsia="Calibri" w:hAnsi="Verdana" w:cs="Arial"/>
          <w:sz w:val="20"/>
          <w:szCs w:val="20"/>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w:t>
      </w:r>
      <w:r w:rsidRPr="00647611">
        <w:rPr>
          <w:rFonts w:ascii="Verdana" w:eastAsia="Calibri" w:hAnsi="Verdana" w:cs="Arial"/>
          <w:sz w:val="20"/>
          <w:szCs w:val="20"/>
          <w:lang w:val="es-MX"/>
        </w:rPr>
        <w:lastRenderedPageBreak/>
        <w:t>pues significaría la parálisis de una actividad propia de la administración, que incluso podría desconocer los derechos fundamentales”</w:t>
      </w:r>
    </w:p>
    <w:p w14:paraId="68C3ED77" w14:textId="77777777" w:rsidR="005D4A0D" w:rsidRPr="00647611" w:rsidRDefault="005D4A0D" w:rsidP="005D4A0D">
      <w:pPr>
        <w:spacing w:after="0" w:line="240" w:lineRule="auto"/>
        <w:rPr>
          <w:rFonts w:ascii="Verdana" w:hAnsi="Verdana"/>
          <w:sz w:val="20"/>
          <w:szCs w:val="20"/>
        </w:rPr>
      </w:pPr>
    </w:p>
    <w:p w14:paraId="3F79D243" w14:textId="77777777" w:rsidR="005D4A0D" w:rsidRPr="00647611" w:rsidRDefault="005D4A0D" w:rsidP="005D4A0D">
      <w:pPr>
        <w:spacing w:after="0" w:line="240" w:lineRule="auto"/>
        <w:jc w:val="both"/>
        <w:rPr>
          <w:rFonts w:ascii="Verdana" w:hAnsi="Verdana"/>
          <w:b/>
        </w:rPr>
      </w:pPr>
      <w:r w:rsidRPr="00647611">
        <w:rPr>
          <w:rFonts w:ascii="Verdana" w:hAnsi="Verdana" w:cs="Arial"/>
          <w:b/>
          <w:lang w:val="es-MX" w:eastAsia="es-ES_tradnl"/>
        </w:rPr>
        <w:t>LEY DE GARANTÍAS ELECTORALES – Condiciones de igualdad – Contratación directa</w:t>
      </w:r>
    </w:p>
    <w:p w14:paraId="3F841A9F" w14:textId="77777777" w:rsidR="005D4A0D" w:rsidRPr="00647611" w:rsidRDefault="005D4A0D" w:rsidP="005D4A0D">
      <w:pPr>
        <w:spacing w:after="0" w:line="240" w:lineRule="auto"/>
        <w:rPr>
          <w:rFonts w:ascii="Verdana" w:hAnsi="Verdana"/>
          <w:sz w:val="20"/>
          <w:szCs w:val="20"/>
        </w:rPr>
      </w:pPr>
    </w:p>
    <w:p w14:paraId="49FE2E23" w14:textId="77777777" w:rsidR="005D4A0D" w:rsidRPr="00647611" w:rsidRDefault="005D4A0D" w:rsidP="005D4A0D">
      <w:pPr>
        <w:spacing w:after="0" w:line="240" w:lineRule="auto"/>
        <w:jc w:val="both"/>
        <w:rPr>
          <w:rFonts w:ascii="Verdana" w:eastAsia="Times New Roman" w:hAnsi="Verdana" w:cs="Arial"/>
          <w:bCs/>
          <w:sz w:val="20"/>
          <w:szCs w:val="20"/>
          <w:lang w:eastAsia="x-none"/>
        </w:rPr>
      </w:pPr>
      <w:r w:rsidRPr="00647611">
        <w:rPr>
          <w:rFonts w:ascii="Verdana" w:eastAsia="Times New Roman" w:hAnsi="Verdana" w:cs="Arial"/>
          <w:bCs/>
          <w:sz w:val="20"/>
          <w:szCs w:val="20"/>
          <w:lang w:val="es-MX" w:eastAsia="x-none"/>
        </w:rPr>
        <w:t xml:space="preserve">Además, se reitera que la restricción aplica frente a la contratación directa, entendida como cualquier sistema de selección o procedimiento de contratación utilizada por las entidades estatales que no incluya la convocatoria pública en alguna de sus etapas, ni permita la participación de una pluralidad de oferentes; por lo que las entidades que se rigen por el derecho privado podrán celebrar contratos de acuerdo con los procedimientos contractuales desarrollados en sus manuales de contratación, bajo el entendido que estos permitan la participación de una pluralidad de oferentes. </w:t>
      </w:r>
    </w:p>
    <w:p w14:paraId="373CCF87" w14:textId="77777777" w:rsidR="005D4A0D" w:rsidRPr="00647611" w:rsidRDefault="005D4A0D" w:rsidP="005D4A0D">
      <w:pPr>
        <w:spacing w:after="0" w:line="240" w:lineRule="auto"/>
        <w:jc w:val="both"/>
        <w:rPr>
          <w:rFonts w:ascii="Verdana" w:hAnsi="Verdana"/>
          <w:b/>
          <w:sz w:val="20"/>
          <w:szCs w:val="20"/>
        </w:rPr>
      </w:pPr>
    </w:p>
    <w:p w14:paraId="32F24D94" w14:textId="77777777" w:rsidR="005D4A0D" w:rsidRPr="00647611" w:rsidRDefault="005D4A0D" w:rsidP="005D4A0D">
      <w:pPr>
        <w:spacing w:after="0" w:line="240" w:lineRule="auto"/>
        <w:jc w:val="both"/>
        <w:rPr>
          <w:rFonts w:ascii="Verdana" w:hAnsi="Verdana"/>
          <w:b/>
          <w:lang w:val="es-MX"/>
        </w:rPr>
      </w:pPr>
      <w:r w:rsidRPr="00647611">
        <w:rPr>
          <w:rFonts w:ascii="Verdana" w:hAnsi="Verdana"/>
          <w:b/>
          <w:lang w:val="es-ES"/>
        </w:rPr>
        <w:t xml:space="preserve">ENAJENACIÓN VOLUNTARIA </w:t>
      </w:r>
      <w:r w:rsidRPr="00647611">
        <w:rPr>
          <w:rFonts w:ascii="Verdana" w:hAnsi="Verdana"/>
          <w:b/>
          <w:lang w:val="es-MX"/>
        </w:rPr>
        <w:t>– Objeto – Aplicación – Ley de Garantías Electorales – Restricción</w:t>
      </w:r>
      <w:r>
        <w:rPr>
          <w:rFonts w:ascii="Verdana" w:hAnsi="Verdana"/>
          <w:b/>
          <w:lang w:val="es-MX"/>
        </w:rPr>
        <w:t xml:space="preserve"> –</w:t>
      </w:r>
      <w:r w:rsidRPr="00647611">
        <w:rPr>
          <w:rFonts w:ascii="Verdana" w:hAnsi="Verdana"/>
          <w:b/>
          <w:lang w:val="es-MX"/>
        </w:rPr>
        <w:t xml:space="preserve"> Contratación Directa</w:t>
      </w:r>
    </w:p>
    <w:p w14:paraId="1496F0F3" w14:textId="77777777" w:rsidR="005D4A0D" w:rsidRPr="00647611" w:rsidRDefault="005D4A0D" w:rsidP="005D4A0D">
      <w:pPr>
        <w:spacing w:after="0" w:line="240" w:lineRule="auto"/>
        <w:rPr>
          <w:rFonts w:ascii="Verdana" w:hAnsi="Verdana"/>
          <w:sz w:val="20"/>
          <w:szCs w:val="20"/>
          <w:lang w:val="es-MX"/>
        </w:rPr>
      </w:pPr>
    </w:p>
    <w:p w14:paraId="7DA64702" w14:textId="77777777" w:rsidR="005D4A0D" w:rsidRPr="00647611" w:rsidRDefault="005D4A0D" w:rsidP="005D4A0D">
      <w:pPr>
        <w:spacing w:after="0" w:line="240" w:lineRule="auto"/>
        <w:jc w:val="both"/>
        <w:rPr>
          <w:rFonts w:ascii="Verdana" w:hAnsi="Verdana"/>
          <w:sz w:val="20"/>
          <w:szCs w:val="20"/>
          <w:lang w:val="es-ES"/>
        </w:rPr>
      </w:pPr>
      <w:r w:rsidRPr="00647611">
        <w:rPr>
          <w:rFonts w:ascii="Verdana" w:hAnsi="Verdana"/>
          <w:sz w:val="20"/>
          <w:szCs w:val="20"/>
          <w:lang w:val="es-ES"/>
        </w:rPr>
        <w:t>Sin embargo, no debe pasarse por alto que, al margen de su especialidad, el procedimiento administrativo para la adquisición de inmuebles por utilidad pública e interés social mediante enajenación voluntaria, implica el ejercicio de funciones administrativas, lo que, por ende, implica la aplicación de los principios de igualdad, moralidad, eficacia, economía, celeridad, imparcialidad y publicidad contenidos en el artículo 209 de la Constitución, varios de los cuales encuentran manifestaciones prácticas y concretas dentro de la regulación de las leyes 9 de 1989, 388 de 1997 y 1682 de 2013. Toda vez que a través de la adquisición de bienes inmuebles mediante enajenación directa se comprometen dineros provenientes del erario, resultan también aplicables los principios propios del Estado Social de Derecho y de la Administración pública como los principios de transparencia, publicidad entre otros.</w:t>
      </w:r>
    </w:p>
    <w:p w14:paraId="6EFF026C" w14:textId="77777777" w:rsidR="005D4A0D" w:rsidRPr="00647611" w:rsidRDefault="005D4A0D" w:rsidP="005D4A0D">
      <w:pPr>
        <w:spacing w:after="0" w:line="240" w:lineRule="auto"/>
        <w:jc w:val="both"/>
        <w:rPr>
          <w:rFonts w:ascii="Verdana" w:hAnsi="Verdana"/>
          <w:sz w:val="20"/>
          <w:szCs w:val="20"/>
          <w:lang w:val="es-ES"/>
        </w:rPr>
      </w:pPr>
    </w:p>
    <w:p w14:paraId="480CDC40" w14:textId="77777777" w:rsidR="005D4A0D" w:rsidRPr="00647611" w:rsidRDefault="005D4A0D" w:rsidP="005D4A0D">
      <w:pPr>
        <w:spacing w:after="0" w:line="240" w:lineRule="auto"/>
        <w:jc w:val="both"/>
        <w:rPr>
          <w:rFonts w:ascii="Verdana" w:hAnsi="Verdana"/>
          <w:lang w:val="es-ES"/>
        </w:rPr>
      </w:pPr>
      <w:r w:rsidRPr="00647611">
        <w:rPr>
          <w:rFonts w:ascii="Verdana" w:hAnsi="Verdana"/>
          <w:sz w:val="20"/>
          <w:szCs w:val="20"/>
          <w:lang w:val="es-ES"/>
        </w:rPr>
        <w:t>En virtud de lo expuesto, la adquisición de los predios que se realice por enajenación voluntaria está sometida a un régimen especial de contratación. Sin embargo, como se explicó antes, esta culmina con la suscripción de un contrato de promesa de compraventa o de compraventa entre la entidad y la persona, con lo cual se trata de un procedimiento de contratación estatal no competitivo que está restringido por la prohibición establecida en el artículo 33 de la Ley 996 de 2005. En contraste, cuando la adquisición ocurra por el procedimiento expropiatorio no se materializa en la celebración de un contrato.</w:t>
      </w:r>
      <w:r w:rsidRPr="00647611">
        <w:rPr>
          <w:rFonts w:ascii="Verdana" w:hAnsi="Verdana"/>
          <w:lang w:val="es-ES"/>
        </w:rPr>
        <w:t xml:space="preserve"> </w:t>
      </w:r>
    </w:p>
    <w:p w14:paraId="306A5632" w14:textId="77777777" w:rsidR="005D4A0D" w:rsidRPr="00177E85" w:rsidRDefault="005D4A0D" w:rsidP="005D4A0D">
      <w:pPr>
        <w:spacing w:after="0" w:line="240" w:lineRule="auto"/>
        <w:jc w:val="both"/>
        <w:rPr>
          <w:rFonts w:ascii="Verdana" w:eastAsia="Calibri" w:hAnsi="Verdana" w:cs="Arial"/>
          <w:sz w:val="20"/>
          <w:szCs w:val="20"/>
          <w:lang w:val="es-ES" w:eastAsia="es-ES"/>
        </w:rPr>
      </w:pPr>
    </w:p>
    <w:p w14:paraId="7A7998EC" w14:textId="77777777" w:rsidR="005D4A0D" w:rsidRDefault="005D4A0D" w:rsidP="005D4A0D">
      <w:pPr>
        <w:spacing w:after="0" w:line="240" w:lineRule="auto"/>
        <w:jc w:val="both"/>
        <w:rPr>
          <w:rFonts w:ascii="Verdana" w:eastAsia="Calibri" w:hAnsi="Verdana" w:cs="Arial"/>
          <w:sz w:val="20"/>
          <w:szCs w:val="20"/>
          <w:lang w:val="es-ES_tradnl" w:eastAsia="es-ES"/>
        </w:rPr>
      </w:pPr>
      <w:r w:rsidRPr="00683DFF">
        <w:rPr>
          <w:rFonts w:ascii="Verdana" w:eastAsia="Calibri" w:hAnsi="Verdana" w:cs="Arial"/>
          <w:sz w:val="20"/>
          <w:szCs w:val="20"/>
          <w:lang w:val="es-ES_tradnl" w:eastAsia="es-ES"/>
        </w:rPr>
        <w:t xml:space="preserve"> </w:t>
      </w:r>
    </w:p>
    <w:p w14:paraId="25EC90FE" w14:textId="77777777" w:rsidR="005D4A0D" w:rsidRDefault="005D4A0D" w:rsidP="005D4A0D">
      <w:pPr>
        <w:spacing w:after="0" w:line="240" w:lineRule="auto"/>
        <w:jc w:val="both"/>
        <w:rPr>
          <w:rFonts w:ascii="Verdana" w:eastAsia="Geomanist Light" w:hAnsi="Verdana" w:cs="Arial"/>
          <w:color w:val="000000" w:themeColor="text1"/>
          <w:lang w:val="es-MX"/>
        </w:rPr>
      </w:pPr>
    </w:p>
    <w:p w14:paraId="7F833277" w14:textId="77777777" w:rsidR="005D4A0D" w:rsidRDefault="005D4A0D" w:rsidP="005D4A0D">
      <w:pPr>
        <w:spacing w:after="0" w:line="240" w:lineRule="auto"/>
        <w:jc w:val="both"/>
        <w:rPr>
          <w:rFonts w:ascii="Verdana" w:eastAsia="Geomanist Light" w:hAnsi="Verdana" w:cs="Arial"/>
          <w:color w:val="000000" w:themeColor="text1"/>
          <w:lang w:val="es-MX"/>
        </w:rPr>
      </w:pPr>
    </w:p>
    <w:p w14:paraId="67340965" w14:textId="77777777" w:rsidR="005D4A0D" w:rsidRDefault="005D4A0D" w:rsidP="005D4A0D">
      <w:pPr>
        <w:spacing w:after="0" w:line="240" w:lineRule="auto"/>
        <w:jc w:val="both"/>
        <w:rPr>
          <w:rFonts w:ascii="Verdana" w:eastAsia="Geomanist Light" w:hAnsi="Verdana" w:cs="Arial"/>
          <w:color w:val="000000" w:themeColor="text1"/>
          <w:lang w:val="es-MX"/>
        </w:rPr>
      </w:pPr>
    </w:p>
    <w:p w14:paraId="525965CC" w14:textId="77777777" w:rsidR="005D4A0D" w:rsidRDefault="005D4A0D" w:rsidP="005D4A0D">
      <w:pPr>
        <w:spacing w:after="0" w:line="240" w:lineRule="auto"/>
        <w:jc w:val="both"/>
        <w:rPr>
          <w:rFonts w:ascii="Verdana" w:eastAsia="Geomanist Light" w:hAnsi="Verdana" w:cs="Arial"/>
          <w:color w:val="000000" w:themeColor="text1"/>
          <w:lang w:val="es-MX"/>
        </w:rPr>
      </w:pPr>
    </w:p>
    <w:p w14:paraId="4AA3117C" w14:textId="77777777" w:rsidR="005D4A0D" w:rsidRDefault="005D4A0D" w:rsidP="005D4A0D">
      <w:pPr>
        <w:spacing w:after="0" w:line="240" w:lineRule="auto"/>
        <w:jc w:val="both"/>
        <w:rPr>
          <w:rFonts w:ascii="Verdana" w:eastAsia="Geomanist Light" w:hAnsi="Verdana" w:cs="Arial"/>
          <w:color w:val="000000" w:themeColor="text1"/>
          <w:lang w:val="es-MX"/>
        </w:rPr>
      </w:pPr>
    </w:p>
    <w:p w14:paraId="6CE29BBC" w14:textId="77777777" w:rsidR="005D4A0D" w:rsidRDefault="005D4A0D" w:rsidP="005D4A0D">
      <w:pPr>
        <w:spacing w:after="0" w:line="240" w:lineRule="auto"/>
        <w:jc w:val="both"/>
        <w:rPr>
          <w:rFonts w:ascii="Verdana" w:eastAsia="Geomanist Light" w:hAnsi="Verdana" w:cs="Arial"/>
          <w:color w:val="000000" w:themeColor="text1"/>
          <w:lang w:val="es-MX"/>
        </w:rPr>
      </w:pPr>
    </w:p>
    <w:p w14:paraId="0C791404" w14:textId="77777777" w:rsidR="005D4A0D" w:rsidRDefault="005D4A0D" w:rsidP="008D78B9">
      <w:pPr>
        <w:spacing w:after="0" w:line="240" w:lineRule="auto"/>
        <w:jc w:val="both"/>
        <w:rPr>
          <w:rFonts w:ascii="Verdana" w:eastAsia="Geomanist Light" w:hAnsi="Verdana" w:cs="Arial"/>
          <w:color w:val="000000" w:themeColor="text1"/>
          <w:lang w:val="es-MX"/>
        </w:rPr>
      </w:pPr>
    </w:p>
    <w:p w14:paraId="01D026ED" w14:textId="47546A26" w:rsidR="008D78B9" w:rsidRDefault="008D78B9" w:rsidP="008D78B9">
      <w:pPr>
        <w:spacing w:after="0" w:line="240" w:lineRule="auto"/>
        <w:jc w:val="both"/>
        <w:rPr>
          <w:rFonts w:ascii="Verdana" w:eastAsia="Calibri" w:hAnsi="Verdana" w:cs="Arial"/>
          <w:sz w:val="20"/>
          <w:szCs w:val="20"/>
          <w:lang w:val="es-ES_tradnl" w:eastAsia="es-ES"/>
        </w:rPr>
      </w:pPr>
      <w:r>
        <w:rPr>
          <w:rFonts w:ascii="Verdana" w:eastAsia="Geomanist Light" w:hAnsi="Verdana" w:cs="Arial"/>
          <w:color w:val="000000" w:themeColor="text1"/>
          <w:lang w:val="es-MX"/>
        </w:rPr>
        <w:lastRenderedPageBreak/>
        <w:t>Bogotá D.C., </w:t>
      </w:r>
      <w:r w:rsidR="00D81FC9" w:rsidRPr="00D81FC9">
        <w:rPr>
          <w:rFonts w:ascii="Verdana" w:eastAsia="Geomanist Light" w:hAnsi="Verdana" w:cs="Arial"/>
          <w:color w:val="000000" w:themeColor="text1"/>
          <w:lang w:val="es-MX"/>
        </w:rPr>
        <w:t>27 de Octubre de 2025</w:t>
      </w:r>
    </w:p>
    <w:p w14:paraId="297215C2" w14:textId="77777777" w:rsidR="008D78B9" w:rsidRDefault="008D78B9" w:rsidP="008D78B9">
      <w:pPr>
        <w:spacing w:after="0" w:line="240" w:lineRule="auto"/>
        <w:jc w:val="both"/>
        <w:rPr>
          <w:rFonts w:ascii="Verdana" w:eastAsia="Calibri" w:hAnsi="Verdana" w:cs="Arial"/>
          <w:color w:val="000000"/>
          <w:lang w:val="es-ES"/>
        </w:rPr>
      </w:pPr>
    </w:p>
    <w:p w14:paraId="607965F0" w14:textId="5C4C3CAD" w:rsidR="0038135F" w:rsidRDefault="0038135F" w:rsidP="0038135F">
      <w:pPr>
        <w:spacing w:after="0" w:line="240" w:lineRule="auto"/>
        <w:jc w:val="right"/>
        <w:rPr>
          <w:rFonts w:ascii="Verdana" w:eastAsia="Calibri" w:hAnsi="Verdana" w:cs="Arial"/>
          <w:color w:val="000000"/>
          <w:lang w:val="es-ES"/>
        </w:rPr>
      </w:pPr>
      <w:r w:rsidRPr="0038135F">
        <w:rPr>
          <w:rFonts w:ascii="Verdana" w:eastAsia="Calibri" w:hAnsi="Verdana" w:cs="Arial"/>
          <w:noProof/>
          <w:color w:val="000000"/>
          <w:lang w:val="es-ES"/>
        </w:rPr>
        <w:drawing>
          <wp:inline distT="0" distB="0" distL="0" distR="0" wp14:anchorId="73C09994" wp14:editId="3ED0AFB6">
            <wp:extent cx="2400300" cy="622300"/>
            <wp:effectExtent l="0" t="0" r="0" b="0"/>
            <wp:docPr id="69105343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053435" name=""/>
                    <pic:cNvPicPr/>
                  </pic:nvPicPr>
                  <pic:blipFill>
                    <a:blip r:embed="rId10"/>
                    <a:stretch>
                      <a:fillRect/>
                    </a:stretch>
                  </pic:blipFill>
                  <pic:spPr>
                    <a:xfrm>
                      <a:off x="0" y="0"/>
                      <a:ext cx="2400300" cy="622300"/>
                    </a:xfrm>
                    <a:prstGeom prst="rect">
                      <a:avLst/>
                    </a:prstGeom>
                  </pic:spPr>
                </pic:pic>
              </a:graphicData>
            </a:graphic>
          </wp:inline>
        </w:drawing>
      </w:r>
    </w:p>
    <w:p w14:paraId="18B98E25" w14:textId="77777777" w:rsidR="008D78B9" w:rsidRDefault="008D78B9" w:rsidP="008D78B9">
      <w:pPr>
        <w:spacing w:after="0" w:line="240" w:lineRule="auto"/>
        <w:jc w:val="both"/>
        <w:rPr>
          <w:rFonts w:ascii="Verdana" w:eastAsia="Calibri" w:hAnsi="Verdana" w:cs="Arial"/>
          <w:color w:val="000000"/>
          <w:lang w:val="es-ES"/>
        </w:rPr>
      </w:pPr>
    </w:p>
    <w:p w14:paraId="218EE3AE" w14:textId="77777777" w:rsidR="008D78B9" w:rsidRDefault="008D78B9" w:rsidP="008D78B9">
      <w:pPr>
        <w:spacing w:after="0" w:line="240" w:lineRule="auto"/>
        <w:jc w:val="both"/>
        <w:rPr>
          <w:rFonts w:ascii="Verdana" w:eastAsia="Calibri" w:hAnsi="Verdana" w:cs="Arial"/>
          <w:lang w:val="es-ES" w:eastAsia="es-ES"/>
        </w:rPr>
      </w:pPr>
      <w:r>
        <w:rPr>
          <w:rFonts w:ascii="Verdana" w:eastAsia="Calibri" w:hAnsi="Verdana" w:cs="Arial"/>
          <w:lang w:val="es-ES" w:eastAsia="es-ES"/>
        </w:rPr>
        <w:t>Señora</w:t>
      </w:r>
    </w:p>
    <w:p w14:paraId="01C15392" w14:textId="77777777" w:rsidR="008D78B9" w:rsidRDefault="008D78B9" w:rsidP="008D78B9">
      <w:pPr>
        <w:spacing w:after="0" w:line="240" w:lineRule="auto"/>
        <w:rPr>
          <w:rFonts w:ascii="Verdana" w:eastAsia="Calibri" w:hAnsi="Verdana" w:cs="Arial"/>
          <w:b/>
          <w:lang w:val="es-ES" w:eastAsia="es-ES"/>
        </w:rPr>
      </w:pPr>
      <w:r>
        <w:rPr>
          <w:rFonts w:ascii="Verdana" w:eastAsia="Calibri" w:hAnsi="Verdana" w:cs="Arial"/>
          <w:b/>
          <w:lang w:val="es-ES" w:eastAsia="es-ES"/>
        </w:rPr>
        <w:t>Diana Marcela Bedoya Garzón</w:t>
      </w:r>
    </w:p>
    <w:p w14:paraId="70AFB4D8" w14:textId="77777777" w:rsidR="008D78B9" w:rsidRDefault="008D78B9" w:rsidP="008D78B9">
      <w:pPr>
        <w:spacing w:after="0" w:line="240" w:lineRule="auto"/>
        <w:rPr>
          <w:rFonts w:ascii="Verdana" w:eastAsia="Calibri" w:hAnsi="Verdana" w:cs="Arial"/>
          <w:lang w:val="es-ES" w:eastAsia="es-ES"/>
        </w:rPr>
      </w:pPr>
      <w:hyperlink r:id="rId11" w:history="1">
        <w:r>
          <w:rPr>
            <w:rStyle w:val="Hipervnculo"/>
            <w:rFonts w:ascii="Verdana" w:hAnsi="Verdana"/>
          </w:rPr>
          <w:t>dianamarcela.bedoya@antioquia.gov.co</w:t>
        </w:r>
      </w:hyperlink>
      <w:r>
        <w:rPr>
          <w:rFonts w:ascii="Verdana" w:hAnsi="Verdana"/>
        </w:rPr>
        <w:t xml:space="preserve"> </w:t>
      </w:r>
      <w:r>
        <w:rPr>
          <w:rFonts w:ascii="Verdana" w:eastAsia="Calibri" w:hAnsi="Verdana" w:cs="Arial"/>
          <w:lang w:val="es-ES" w:eastAsia="es-ES"/>
        </w:rPr>
        <w:t xml:space="preserve">  </w:t>
      </w:r>
    </w:p>
    <w:p w14:paraId="1FB9B424" w14:textId="77777777" w:rsidR="008D78B9" w:rsidRDefault="008D78B9" w:rsidP="008D78B9">
      <w:pPr>
        <w:spacing w:after="0" w:line="240" w:lineRule="auto"/>
        <w:rPr>
          <w:rFonts w:ascii="Verdana" w:eastAsia="Calibri" w:hAnsi="Verdana" w:cs="Arial"/>
          <w:lang w:val="es-ES" w:eastAsia="es-ES"/>
        </w:rPr>
      </w:pPr>
      <w:r>
        <w:rPr>
          <w:rFonts w:ascii="Verdana" w:eastAsia="Calibri" w:hAnsi="Verdana" w:cs="Arial"/>
          <w:lang w:val="es-ES" w:eastAsia="es-ES"/>
        </w:rPr>
        <w:t xml:space="preserve">Medellín, Antioquia </w:t>
      </w:r>
    </w:p>
    <w:p w14:paraId="32408240" w14:textId="77777777" w:rsidR="008D78B9" w:rsidRDefault="008D78B9" w:rsidP="008D78B9">
      <w:pPr>
        <w:spacing w:after="0" w:line="240" w:lineRule="auto"/>
        <w:rPr>
          <w:rFonts w:ascii="Verdana" w:eastAsia="Calibri" w:hAnsi="Verdana" w:cs="Arial"/>
          <w:b/>
          <w:bCs/>
          <w:color w:val="000000"/>
          <w:lang w:val="es-ES_tradnl" w:eastAsia="es-ES_tradnl"/>
        </w:rPr>
      </w:pPr>
    </w:p>
    <w:p w14:paraId="6FD19B6D" w14:textId="77777777" w:rsidR="008D78B9" w:rsidRDefault="008D78B9" w:rsidP="008D78B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D78B9" w14:paraId="3999F08B" w14:textId="77777777" w:rsidTr="008D78B9">
        <w:trPr>
          <w:trHeight w:val="884"/>
        </w:trPr>
        <w:tc>
          <w:tcPr>
            <w:tcW w:w="2689" w:type="dxa"/>
          </w:tcPr>
          <w:p w14:paraId="57449E0E" w14:textId="77777777" w:rsidR="008D78B9" w:rsidRDefault="008D78B9">
            <w:pPr>
              <w:jc w:val="both"/>
              <w:rPr>
                <w:rFonts w:ascii="Verdana" w:eastAsia="Calibri" w:hAnsi="Verdana" w:cs="Arial"/>
                <w:b/>
                <w:bCs/>
                <w:color w:val="7030A0"/>
                <w:lang w:val="es-ES_tradnl" w:eastAsia="es-ES_tradnl"/>
              </w:rPr>
            </w:pPr>
          </w:p>
        </w:tc>
        <w:tc>
          <w:tcPr>
            <w:tcW w:w="6100" w:type="dxa"/>
            <w:hideMark/>
          </w:tcPr>
          <w:p w14:paraId="7E7069DB" w14:textId="59CE1D17" w:rsidR="008D78B9" w:rsidRDefault="008D78B9">
            <w:pPr>
              <w:jc w:val="both"/>
              <w:rPr>
                <w:rFonts w:ascii="Verdana" w:eastAsia="Calibri" w:hAnsi="Verdana" w:cs="Arial"/>
                <w:b/>
                <w:bCs/>
                <w:color w:val="7030A0"/>
                <w:lang w:val="es-ES" w:eastAsia="es-ES"/>
              </w:rPr>
            </w:pPr>
            <w:r>
              <w:rPr>
                <w:rFonts w:ascii="Verdana" w:eastAsia="Calibri" w:hAnsi="Verdana" w:cs="Arial"/>
                <w:b/>
                <w:bCs/>
                <w:lang w:val="es-ES" w:eastAsia="es-ES"/>
              </w:rPr>
              <w:t>Concepto C – 1512 de 2025</w:t>
            </w:r>
          </w:p>
        </w:tc>
      </w:tr>
      <w:tr w:rsidR="008D78B9" w14:paraId="75096544" w14:textId="77777777" w:rsidTr="008D78B9">
        <w:trPr>
          <w:trHeight w:val="884"/>
        </w:trPr>
        <w:tc>
          <w:tcPr>
            <w:tcW w:w="2689" w:type="dxa"/>
            <w:hideMark/>
          </w:tcPr>
          <w:p w14:paraId="61ADD33E" w14:textId="77777777" w:rsidR="008D78B9" w:rsidRDefault="008D78B9">
            <w:pPr>
              <w:jc w:val="both"/>
              <w:rPr>
                <w:rFonts w:ascii="Verdana" w:eastAsia="Calibri" w:hAnsi="Verdana" w:cs="Arial"/>
                <w:color w:val="000000"/>
                <w:lang w:val="es-ES_tradnl" w:eastAsia="es-ES_tradnl"/>
              </w:rPr>
            </w:pPr>
            <w:r>
              <w:rPr>
                <w:rFonts w:ascii="Verdana" w:eastAsia="Calibri" w:hAnsi="Verdana" w:cs="Arial"/>
                <w:b/>
                <w:color w:val="000000"/>
                <w:lang w:val="es-ES_tradnl" w:eastAsia="es-ES_tradnl"/>
              </w:rPr>
              <w:t>Temas:</w:t>
            </w:r>
            <w:r>
              <w:rPr>
                <w:rFonts w:ascii="Verdana" w:eastAsia="Calibri" w:hAnsi="Verdana" w:cs="Arial"/>
                <w:color w:val="000000"/>
                <w:lang w:val="es-ES_tradnl" w:eastAsia="es-ES_tradnl"/>
              </w:rPr>
              <w:t xml:space="preserve">                   </w:t>
            </w:r>
          </w:p>
        </w:tc>
        <w:tc>
          <w:tcPr>
            <w:tcW w:w="6100" w:type="dxa"/>
            <w:hideMark/>
          </w:tcPr>
          <w:p w14:paraId="648DEE0D" w14:textId="731314A6" w:rsidR="008D78B9" w:rsidRDefault="008D78B9">
            <w:pPr>
              <w:spacing w:line="276" w:lineRule="auto"/>
              <w:jc w:val="both"/>
              <w:rPr>
                <w:rFonts w:ascii="Verdana" w:eastAsia="Calibri" w:hAnsi="Verdana" w:cs="Arial"/>
                <w:lang w:val="es-ES" w:eastAsia="es-ES"/>
              </w:rPr>
            </w:pPr>
            <w:r>
              <w:rPr>
                <w:rFonts w:ascii="Verdana" w:eastAsia="Calibri" w:hAnsi="Verdana" w:cs="Arial"/>
                <w:lang w:val="es-ES" w:eastAsia="es-ES"/>
              </w:rPr>
              <w:t xml:space="preserve">LEY DE GARANTÍAS ELECTORALES ‒ Finalidad / LEY DE GARANTÍAS ELECTORALES ‒ Tipos de restricciones ‒ Ámbito temporal – </w:t>
            </w:r>
            <w:r w:rsidR="005D1ABF">
              <w:rPr>
                <w:rFonts w:ascii="Verdana" w:eastAsia="Calibri" w:hAnsi="Verdana" w:cs="Arial"/>
                <w:lang w:val="es-ES" w:eastAsia="es-ES"/>
              </w:rPr>
              <w:t>C</w:t>
            </w:r>
            <w:r>
              <w:rPr>
                <w:rFonts w:ascii="Verdana" w:eastAsia="Calibri" w:hAnsi="Verdana" w:cs="Arial"/>
                <w:lang w:val="es-ES" w:eastAsia="es-ES"/>
              </w:rPr>
              <w:t xml:space="preserve">elebración- </w:t>
            </w:r>
            <w:r w:rsidR="005D1ABF">
              <w:rPr>
                <w:rFonts w:ascii="Verdana" w:eastAsia="Calibri" w:hAnsi="Verdana" w:cs="Arial"/>
                <w:lang w:val="es-ES" w:eastAsia="es-ES"/>
              </w:rPr>
              <w:t>L</w:t>
            </w:r>
            <w:r>
              <w:rPr>
                <w:rFonts w:ascii="Verdana" w:eastAsia="Calibri" w:hAnsi="Verdana" w:cs="Arial"/>
                <w:lang w:val="es-ES" w:eastAsia="es-ES"/>
              </w:rPr>
              <w:t xml:space="preserve">ímite / LEY DE GARANTÍAS ELECTORALES – Prohibición artículo 33 – Contratación directa – Alcance / LEY DE GARANTÍAS ELECTORALES – Excepciones / LEY DE GARANTÍAS ELECTORALES – Prohibición del artículo 33 – Destinatarios / LEY DE GARANTÍAS ELECTORALES – Condiciones de igualdad – Contratación directa / ENAJENACIÓN VOLUNTARIA – Objeto – Aplicación – Ley de Garantías Electorales – Restricción- Contratación Directa                     </w:t>
            </w:r>
          </w:p>
          <w:p w14:paraId="33F26495" w14:textId="77777777" w:rsidR="008D78B9" w:rsidRDefault="008D78B9">
            <w:pPr>
              <w:spacing w:line="276" w:lineRule="auto"/>
              <w:jc w:val="both"/>
              <w:rPr>
                <w:rFonts w:ascii="Verdana" w:eastAsia="Calibri" w:hAnsi="Verdana" w:cs="Arial"/>
                <w:lang w:val="es-ES" w:eastAsia="es-ES"/>
              </w:rPr>
            </w:pPr>
            <w:r>
              <w:rPr>
                <w:rFonts w:ascii="Verdana" w:eastAsia="Calibri" w:hAnsi="Verdana" w:cs="Arial"/>
                <w:lang w:val="es-ES" w:eastAsia="es-ES"/>
              </w:rPr>
              <w:t xml:space="preserve">  </w:t>
            </w:r>
          </w:p>
        </w:tc>
      </w:tr>
      <w:tr w:rsidR="008D78B9" w14:paraId="5D2567A7" w14:textId="77777777" w:rsidTr="008D78B9">
        <w:tc>
          <w:tcPr>
            <w:tcW w:w="2689" w:type="dxa"/>
            <w:hideMark/>
          </w:tcPr>
          <w:p w14:paraId="047EEA4D" w14:textId="77777777" w:rsidR="008D78B9" w:rsidRDefault="008D78B9">
            <w:pPr>
              <w:jc w:val="both"/>
              <w:rPr>
                <w:rFonts w:ascii="Verdana" w:eastAsia="Calibri" w:hAnsi="Verdana" w:cs="Arial"/>
                <w:b/>
                <w:lang w:val="es-ES_tradnl" w:eastAsia="es-ES_tradnl"/>
              </w:rPr>
            </w:pPr>
            <w:r>
              <w:rPr>
                <w:rFonts w:ascii="Verdana" w:eastAsia="Calibri" w:hAnsi="Verdana" w:cs="Arial"/>
                <w:b/>
                <w:lang w:val="es-ES_tradnl" w:eastAsia="es-ES_tradnl"/>
              </w:rPr>
              <w:t>Radicación:</w:t>
            </w:r>
            <w:r>
              <w:rPr>
                <w:rFonts w:ascii="Verdana" w:eastAsia="Calibri" w:hAnsi="Verdana" w:cs="Arial"/>
                <w:lang w:val="es-ES_tradnl" w:eastAsia="es-ES_tradnl"/>
              </w:rPr>
              <w:t xml:space="preserve">               </w:t>
            </w:r>
          </w:p>
        </w:tc>
        <w:tc>
          <w:tcPr>
            <w:tcW w:w="6100" w:type="dxa"/>
            <w:hideMark/>
          </w:tcPr>
          <w:p w14:paraId="13EF448C" w14:textId="77777777" w:rsidR="008D78B9" w:rsidRDefault="008D78B9">
            <w:pPr>
              <w:spacing w:line="276" w:lineRule="auto"/>
              <w:jc w:val="both"/>
              <w:rPr>
                <w:rFonts w:ascii="Verdana" w:eastAsia="Calibri" w:hAnsi="Verdana" w:cs="Arial"/>
                <w:lang w:val="es-ES_tradnl" w:eastAsia="es-ES_tradnl"/>
              </w:rPr>
            </w:pPr>
            <w:r>
              <w:rPr>
                <w:rFonts w:ascii="Verdana" w:eastAsia="Calibri" w:hAnsi="Verdana" w:cs="Arial"/>
                <w:lang w:val="es-ES_tradnl" w:eastAsia="es-ES_tradnl"/>
              </w:rPr>
              <w:t xml:space="preserve">Respuesta a las consultas con radicados No. 1_2025_10_21_011792 y 1_2025_10_21_011793       –Acumulados–                                    </w:t>
            </w:r>
          </w:p>
        </w:tc>
      </w:tr>
    </w:tbl>
    <w:p w14:paraId="7F0665BA" w14:textId="77777777" w:rsidR="008D78B9" w:rsidRDefault="008D78B9" w:rsidP="008D78B9">
      <w:pPr>
        <w:spacing w:after="0" w:line="240" w:lineRule="auto"/>
        <w:jc w:val="both"/>
        <w:rPr>
          <w:rFonts w:ascii="Verdana" w:eastAsia="Calibri" w:hAnsi="Verdana" w:cs="Arial"/>
          <w:color w:val="000000"/>
          <w:lang w:val="es-ES_tradnl" w:eastAsia="es-ES_tradnl"/>
        </w:rPr>
      </w:pPr>
    </w:p>
    <w:p w14:paraId="33799EA3" w14:textId="77777777" w:rsidR="008D78B9" w:rsidRDefault="008D78B9" w:rsidP="008D78B9">
      <w:pPr>
        <w:spacing w:after="0" w:line="240" w:lineRule="auto"/>
        <w:jc w:val="both"/>
        <w:rPr>
          <w:rFonts w:ascii="Verdana" w:eastAsia="Calibri" w:hAnsi="Verdana" w:cs="Arial"/>
          <w:color w:val="000000"/>
          <w:lang w:val="es-ES_tradnl" w:eastAsia="es-ES_tradnl"/>
        </w:rPr>
      </w:pPr>
    </w:p>
    <w:p w14:paraId="5BC795AD" w14:textId="77777777" w:rsidR="008D78B9" w:rsidRDefault="008D78B9" w:rsidP="008D78B9">
      <w:pPr>
        <w:spacing w:after="0" w:line="276" w:lineRule="auto"/>
        <w:jc w:val="both"/>
        <w:rPr>
          <w:rFonts w:ascii="Verdana" w:eastAsia="Calibri" w:hAnsi="Verdana" w:cs="Arial"/>
          <w:lang w:val="es-ES" w:eastAsia="es-ES"/>
        </w:rPr>
      </w:pPr>
      <w:r>
        <w:rPr>
          <w:rFonts w:ascii="Verdana" w:eastAsia="Calibri" w:hAnsi="Verdana" w:cs="Arial"/>
          <w:lang w:val="es-ES" w:eastAsia="es-ES"/>
        </w:rPr>
        <w:t xml:space="preserve">Estimada señora Bedoya Garzón: </w:t>
      </w:r>
    </w:p>
    <w:p w14:paraId="12C5EC1C" w14:textId="77777777" w:rsidR="008D78B9" w:rsidRDefault="008D78B9" w:rsidP="008D78B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DFFB4FB" w14:textId="77777777" w:rsidR="008D78B9" w:rsidRDefault="008D78B9" w:rsidP="008D78B9">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color w:val="000000" w:themeColor="text1"/>
          <w:lang w:val="es-ES" w:eastAsia="es-ES"/>
        </w:rPr>
        <w:t xml:space="preserve">la Agencia Nacional de Contratación Pública – Colombia Compra Eficiente responde su solicitud de </w:t>
      </w:r>
      <w:r>
        <w:rPr>
          <w:rFonts w:ascii="Verdana" w:eastAsia="Calibri" w:hAnsi="Verdana" w:cs="Arial"/>
          <w:color w:val="000000" w:themeColor="text1"/>
          <w:lang w:val="es-ES" w:eastAsia="es-ES"/>
        </w:rPr>
        <w:lastRenderedPageBreak/>
        <w:t xml:space="preserve">consulta de </w:t>
      </w:r>
      <w:r>
        <w:rPr>
          <w:rFonts w:ascii="Verdana" w:eastAsia="Calibri" w:hAnsi="Verdana" w:cs="Arial"/>
          <w:lang w:val="es-ES" w:eastAsia="es-ES"/>
        </w:rPr>
        <w:t xml:space="preserve">fecha 15 de octubre de 2025 realizada a la Procuraduría General de la Nación, remitida por competencia a esta entidad –conforme al artículo 21 de la Ley 1437 de 2011– mediante correo electrónico del 21 de octubre de la misma anualidad, en la cual manifiesta lo siguiente: </w:t>
      </w:r>
    </w:p>
    <w:p w14:paraId="65CECD9C" w14:textId="77777777" w:rsidR="008D78B9" w:rsidRDefault="008D78B9" w:rsidP="008D78B9">
      <w:pPr>
        <w:pStyle w:val="Prrafodelista"/>
        <w:tabs>
          <w:tab w:val="left" w:pos="142"/>
          <w:tab w:val="left" w:pos="284"/>
        </w:tabs>
        <w:spacing w:after="0" w:line="276" w:lineRule="auto"/>
        <w:ind w:left="0"/>
        <w:jc w:val="both"/>
        <w:rPr>
          <w:rFonts w:ascii="Verdana" w:eastAsia="Century Gothic" w:hAnsi="Verdana" w:cs="Century Gothic"/>
          <w:b/>
          <w:bCs/>
        </w:rPr>
      </w:pPr>
    </w:p>
    <w:p w14:paraId="49B2BE00" w14:textId="77777777" w:rsidR="008D78B9" w:rsidRDefault="008D78B9" w:rsidP="008D78B9">
      <w:pPr>
        <w:spacing w:after="0" w:line="240" w:lineRule="auto"/>
        <w:ind w:left="709" w:right="709"/>
        <w:jc w:val="both"/>
        <w:rPr>
          <w:rFonts w:ascii="Verdana" w:eastAsia="Century Gothic" w:hAnsi="Verdana" w:cs="Century Gothic"/>
          <w:sz w:val="20"/>
          <w:szCs w:val="20"/>
          <w:lang w:val="es-ES"/>
        </w:rPr>
      </w:pPr>
      <w:bookmarkStart w:id="0" w:name="_Hlk95313578"/>
      <w:r>
        <w:rPr>
          <w:rFonts w:ascii="Verdana" w:eastAsia="Century Gothic" w:hAnsi="Verdana" w:cs="Century Gothic"/>
          <w:sz w:val="20"/>
          <w:szCs w:val="20"/>
          <w:lang w:val="es-ES"/>
        </w:rPr>
        <w:t>“</w:t>
      </w:r>
      <w:bookmarkEnd w:id="0"/>
      <w:r>
        <w:rPr>
          <w:rFonts w:ascii="Verdana" w:eastAsia="Century Gothic" w:hAnsi="Verdana" w:cs="Century Gothic"/>
          <w:sz w:val="20"/>
          <w:szCs w:val="20"/>
          <w:lang w:val="es-ES"/>
        </w:rPr>
        <w:t>[…] para efectos de la prevención del daño antijurídico, en virtud de los proyectos de infraestructura que han sido declarados de utilidad pública, que han sido incluidos en los planes de desarrollo, y cuentan con presupuesto, se requiere el apoyo del Ministerio Público para emitir un concepto jurídico con el objeto de analizar si la Ley 996 de 2005, particularmente lo dispuesto en su artículo 33, resulta aplicable a la celebración de contratos de compraventa de predios que han sido declarados de utilidad pública, dentro del marco de ejecución de proyectos de infraestructura vial u otros proyectos de interés público</w:t>
      </w:r>
      <w:r>
        <w:rPr>
          <w:rFonts w:ascii="Verdana" w:eastAsia="Century Gothic" w:hAnsi="Verdana" w:cs="Century Gothic"/>
          <w:sz w:val="20"/>
          <w:szCs w:val="20"/>
        </w:rPr>
        <w:t>”.</w:t>
      </w:r>
    </w:p>
    <w:p w14:paraId="692FE827" w14:textId="77777777" w:rsidR="008D78B9" w:rsidRDefault="008D78B9" w:rsidP="008D78B9">
      <w:pPr>
        <w:pStyle w:val="Prrafodelista"/>
        <w:tabs>
          <w:tab w:val="left" w:pos="142"/>
          <w:tab w:val="left" w:pos="284"/>
        </w:tabs>
        <w:spacing w:after="0" w:line="276" w:lineRule="auto"/>
        <w:ind w:left="0"/>
        <w:jc w:val="both"/>
        <w:rPr>
          <w:rFonts w:ascii="Verdana" w:eastAsia="Century Gothic" w:hAnsi="Verdana" w:cs="Century Gothic"/>
          <w:b/>
          <w:bCs/>
        </w:rPr>
      </w:pPr>
    </w:p>
    <w:p w14:paraId="6DEA1E6B" w14:textId="77777777" w:rsidR="008D78B9" w:rsidRDefault="008D78B9" w:rsidP="008D78B9">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499DF18C" w14:textId="77777777" w:rsidR="008D78B9" w:rsidRDefault="008D78B9" w:rsidP="008D78B9">
      <w:pPr>
        <w:spacing w:after="0" w:line="276" w:lineRule="auto"/>
        <w:ind w:firstLine="708"/>
        <w:jc w:val="both"/>
        <w:rPr>
          <w:rFonts w:ascii="Verdana" w:eastAsia="Calibri" w:hAnsi="Verdana" w:cs="Arial"/>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específicas que la hayan motivado, pero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de su consulta.</w:t>
      </w:r>
      <w:r>
        <w:rPr>
          <w:rFonts w:ascii="Verdana" w:eastAsia="Calibri" w:hAnsi="Verdana" w:cs="Arial"/>
          <w:lang w:val="es-ES" w:eastAsia="es-ES"/>
        </w:rPr>
        <w:t xml:space="preserve"> </w:t>
      </w:r>
      <w:r>
        <w:rPr>
          <w:rFonts w:ascii="Verdana" w:eastAsia="Calibri" w:hAnsi="Verdana" w:cs="Arial"/>
          <w:color w:val="000000"/>
          <w:lang w:val="es-ES" w:eastAsia="es-ES"/>
        </w:rPr>
        <w:t xml:space="preserve">  </w:t>
      </w:r>
    </w:p>
    <w:p w14:paraId="4B48594E" w14:textId="77777777" w:rsidR="008D78B9" w:rsidRDefault="008D78B9" w:rsidP="008D78B9">
      <w:pPr>
        <w:spacing w:after="0" w:line="276" w:lineRule="auto"/>
        <w:ind w:firstLine="709"/>
        <w:jc w:val="both"/>
        <w:rPr>
          <w:rFonts w:ascii="Verdana" w:eastAsia="Calibri" w:hAnsi="Verdana" w:cs="Arial"/>
          <w:color w:val="000000"/>
          <w:lang w:val="es-ES" w:eastAsia="es-ES"/>
        </w:rPr>
      </w:pPr>
    </w:p>
    <w:p w14:paraId="3196F02F" w14:textId="77777777" w:rsidR="008D78B9" w:rsidRDefault="008D78B9" w:rsidP="008D78B9">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Problema planteado:</w:t>
      </w:r>
    </w:p>
    <w:p w14:paraId="068915AB" w14:textId="77777777" w:rsidR="008D78B9" w:rsidRDefault="008D78B9" w:rsidP="008D78B9">
      <w:pPr>
        <w:tabs>
          <w:tab w:val="left" w:pos="426"/>
        </w:tabs>
        <w:spacing w:after="0" w:line="276" w:lineRule="auto"/>
        <w:jc w:val="both"/>
        <w:rPr>
          <w:rFonts w:ascii="Verdana" w:eastAsia="Century Gothic" w:hAnsi="Verdana" w:cs="Century Gothic"/>
          <w:lang w:val="es-ES"/>
        </w:rPr>
      </w:pPr>
    </w:p>
    <w:p w14:paraId="5410E563" w14:textId="77777777" w:rsidR="008D78B9" w:rsidRDefault="008D78B9" w:rsidP="008D78B9">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su solicitud, esta Agencia resolverá los siguientes problemas jurídicos: ¿los procesos de enajenación voluntaria </w:t>
      </w:r>
      <w:r>
        <w:rPr>
          <w:rFonts w:ascii="Verdana" w:eastAsia="Calibri" w:hAnsi="Verdana" w:cs="Times New Roman"/>
          <w:iCs/>
          <w:lang w:val="es-ES"/>
        </w:rPr>
        <w:t xml:space="preserve">por parte de entidades estatales para adquirir predios se considera que se adelante por </w:t>
      </w:r>
      <w:r>
        <w:rPr>
          <w:rFonts w:ascii="Verdana" w:eastAsia="Calibri" w:hAnsi="Verdana" w:cs="Times New Roman"/>
          <w:iCs/>
          <w:lang w:val="es-ES"/>
        </w:rPr>
        <w:lastRenderedPageBreak/>
        <w:t>contratación directa y, por tanto, está restringida durante la Ley de Garantías Electorales?</w:t>
      </w:r>
      <w:r>
        <w:rPr>
          <w:rFonts w:ascii="Verdana" w:eastAsia="Century Gothic" w:hAnsi="Verdana" w:cs="Century Gothic"/>
        </w:rPr>
        <w:t xml:space="preserve">             </w:t>
      </w:r>
      <w:r>
        <w:rPr>
          <w:rFonts w:ascii="Verdana" w:eastAsia="Century Gothic" w:hAnsi="Verdana" w:cs="Century Gothic"/>
          <w:color w:val="7030A0"/>
        </w:rPr>
        <w:t xml:space="preserve"> </w:t>
      </w:r>
    </w:p>
    <w:p w14:paraId="273CDD82" w14:textId="77777777" w:rsidR="008D78B9" w:rsidRDefault="008D78B9" w:rsidP="008D78B9">
      <w:pPr>
        <w:spacing w:after="0" w:line="276" w:lineRule="auto"/>
        <w:jc w:val="both"/>
        <w:rPr>
          <w:rFonts w:ascii="Verdana" w:eastAsia="Calibri" w:hAnsi="Verdana" w:cs="Arial"/>
          <w:color w:val="7030A0"/>
        </w:rPr>
      </w:pPr>
    </w:p>
    <w:p w14:paraId="650A9632" w14:textId="77777777" w:rsidR="008D78B9" w:rsidRDefault="008D78B9" w:rsidP="008D78B9">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Respuesta:</w:t>
      </w:r>
    </w:p>
    <w:p w14:paraId="6230F16D" w14:textId="77777777" w:rsidR="008D78B9" w:rsidRDefault="008D78B9" w:rsidP="008D78B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D78B9" w14:paraId="42E15591" w14:textId="77777777" w:rsidTr="008D78B9">
        <w:trPr>
          <w:jc w:val="center"/>
        </w:trPr>
        <w:tc>
          <w:tcPr>
            <w:tcW w:w="8828" w:type="dxa"/>
            <w:tcBorders>
              <w:top w:val="dotted" w:sz="4" w:space="0" w:color="auto"/>
              <w:left w:val="dotted" w:sz="4" w:space="0" w:color="auto"/>
              <w:bottom w:val="dotted" w:sz="4" w:space="0" w:color="auto"/>
              <w:right w:val="dotted" w:sz="4" w:space="0" w:color="auto"/>
            </w:tcBorders>
            <w:hideMark/>
          </w:tcPr>
          <w:p w14:paraId="0AAAC6B5" w14:textId="77777777" w:rsidR="008D78B9" w:rsidRDefault="008D78B9">
            <w:pPr>
              <w:spacing w:after="120" w:line="276" w:lineRule="auto"/>
              <w:jc w:val="both"/>
              <w:rPr>
                <w:rFonts w:ascii="Verdana" w:eastAsia="Times New Roman" w:hAnsi="Verdana" w:cs="Arial"/>
                <w:bCs/>
                <w:lang w:val="es-MX" w:eastAsia="x-none"/>
              </w:rPr>
            </w:pPr>
            <w:bookmarkStart w:id="1" w:name="_Hlk171694685"/>
            <w:r>
              <w:rPr>
                <w:rFonts w:ascii="Verdana" w:eastAsia="Calibri" w:hAnsi="Verdana" w:cs="Arial"/>
                <w:lang w:val="es-MX"/>
              </w:rPr>
              <w:t xml:space="preserve">Conforme a la interpretación general de las normas del sistema de compras públicas, la restricción prevista en el artículo 33 de la Ley 996 de 2005 </w:t>
            </w:r>
            <w:r>
              <w:rPr>
                <w:rFonts w:ascii="Verdana" w:eastAsia="Times New Roman" w:hAnsi="Verdana" w:cs="Arial"/>
                <w:bCs/>
                <w:lang w:val="es-MX" w:eastAsia="x-none"/>
              </w:rPr>
              <w:t xml:space="preserve">cobija a cualquier entidad pública independiente del régimen jurídico, que pueda mediante la contratación directa romper el equilibrio entre los candidatos en desarrollo de las elecciones presidenciales. </w:t>
            </w:r>
            <w:r>
              <w:rPr>
                <w:rFonts w:ascii="Verdana" w:eastAsia="Times New Roman" w:hAnsi="Verdana" w:cs="Arial"/>
                <w:lang w:val="es-ES" w:eastAsia="es-ES_tradnl"/>
              </w:rPr>
              <w:t xml:space="preserve">En virtud de esta restricción, se precisa que la adquisición de los predios que se realice por enajenación voluntaria está sometida a un régimen especial de contratación. Sin embargo, como se explicó en las razones de la respuesta, esta culmina con la suscripción de un contrato de promesa de compraventa o de compraventa entre la entidad y la persona, con lo cual se trata de un procedimiento de contratación estatal no competitivo que se encuentra restringido por la prohibición establecida en el artículo 33 de la Ley 996 de 2005. En contraste, cuando la adquisición ocurra por el procedimiento expropiatorio no se materializa en la celebración de un contrato. </w:t>
            </w:r>
          </w:p>
          <w:p w14:paraId="5495B4A4" w14:textId="77777777" w:rsidR="008D78B9" w:rsidRDefault="008D78B9">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 xml:space="preserve">En tal sentido, se reitera que la restricción del artículo 33 de la Ley 996 de 2005 aplica frente a la contratación directa, entendida como cualquier sistema de selección o procedimiento de contratación utilizada por las entidades estatales que no incluya la convocatoria pública en alguna de sus etapas, ni permita la participación de una pluralidad de oferentes, ya sea en aplicación de normas del Estatuto General de Contratación de la Administración Pública, así como de regímenes especiales. Esto, sin perjuicio de las excepciones a la prohibición establecidas en el inciso segundo del mismo artículo 33, como son: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w:t>
            </w:r>
            <w:r>
              <w:rPr>
                <w:rFonts w:ascii="Verdana" w:eastAsia="Times New Roman" w:hAnsi="Verdana" w:cs="Arial"/>
                <w:bCs/>
                <w:lang w:val="es-MX" w:eastAsia="x-none"/>
              </w:rPr>
              <w:lastRenderedPageBreak/>
              <w:t>excepciones, de manera que se le permita realizar la contratación que necesite en forma directa.</w:t>
            </w:r>
          </w:p>
          <w:p w14:paraId="0E3FDBD6" w14:textId="77777777" w:rsidR="008D78B9" w:rsidRDefault="008D78B9">
            <w:pPr>
              <w:spacing w:line="276" w:lineRule="auto"/>
              <w:ind w:right="51" w:firstLine="737"/>
              <w:jc w:val="both"/>
              <w:rPr>
                <w:rFonts w:ascii="Verdana" w:eastAsia="Calibri" w:hAnsi="Verdana" w:cs="Arial"/>
                <w:bCs/>
                <w:color w:val="000000" w:themeColor="text1"/>
              </w:rPr>
            </w:pPr>
            <w:r>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599C77B0" w14:textId="77777777" w:rsidR="008D78B9" w:rsidRDefault="008D78B9" w:rsidP="008D78B9">
      <w:pPr>
        <w:tabs>
          <w:tab w:val="left" w:pos="142"/>
          <w:tab w:val="left" w:pos="284"/>
        </w:tabs>
        <w:spacing w:after="0" w:line="276" w:lineRule="auto"/>
        <w:jc w:val="both"/>
        <w:rPr>
          <w:rFonts w:ascii="Verdana" w:eastAsia="Century Gothic" w:hAnsi="Verdana" w:cs="Century Gothic"/>
          <w:b/>
          <w:bCs/>
          <w:lang w:val="es-ES"/>
        </w:rPr>
      </w:pPr>
    </w:p>
    <w:bookmarkEnd w:id="1"/>
    <w:p w14:paraId="62A876DF" w14:textId="77777777" w:rsidR="008D78B9" w:rsidRDefault="008D78B9" w:rsidP="008D78B9">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Razones de la respuesta:</w:t>
      </w:r>
    </w:p>
    <w:p w14:paraId="73E54457" w14:textId="77777777" w:rsidR="008D78B9" w:rsidRDefault="008D78B9" w:rsidP="008D78B9">
      <w:pPr>
        <w:spacing w:after="0" w:line="276" w:lineRule="auto"/>
        <w:jc w:val="both"/>
        <w:rPr>
          <w:rFonts w:ascii="Verdana" w:eastAsia="Calibri" w:hAnsi="Verdana" w:cs="Arial"/>
          <w:color w:val="7030A0"/>
          <w:lang w:val="es-ES"/>
        </w:rPr>
      </w:pPr>
    </w:p>
    <w:p w14:paraId="3D7BBD0F" w14:textId="77777777" w:rsidR="008D78B9" w:rsidRDefault="008D78B9" w:rsidP="008D78B9">
      <w:pPr>
        <w:spacing w:after="0" w:line="276" w:lineRule="auto"/>
        <w:jc w:val="both"/>
        <w:rPr>
          <w:rFonts w:ascii="Verdana" w:eastAsia="Calibri" w:hAnsi="Verdana" w:cs="Arial"/>
          <w:lang w:val="es-ES"/>
        </w:rPr>
      </w:pPr>
      <w:r>
        <w:rPr>
          <w:rFonts w:ascii="Verdana" w:eastAsia="Calibri" w:hAnsi="Verdana" w:cs="Arial"/>
          <w:lang w:val="es-ES"/>
        </w:rPr>
        <w:t>Lo anterior se sustenta en las siguientes consideraciones:</w:t>
      </w:r>
    </w:p>
    <w:p w14:paraId="4F10C13D" w14:textId="77777777" w:rsidR="008D78B9" w:rsidRDefault="008D78B9" w:rsidP="008D78B9">
      <w:pPr>
        <w:spacing w:after="0" w:line="276" w:lineRule="auto"/>
        <w:jc w:val="both"/>
        <w:rPr>
          <w:rFonts w:ascii="Verdana" w:eastAsia="Calibri" w:hAnsi="Verdana" w:cs="Arial"/>
          <w:lang w:val="es-ES"/>
        </w:rPr>
      </w:pPr>
    </w:p>
    <w:p w14:paraId="50D2245D" w14:textId="77777777" w:rsidR="008D78B9" w:rsidRDefault="008D78B9" w:rsidP="008D78B9">
      <w:pPr>
        <w:tabs>
          <w:tab w:val="left" w:pos="426"/>
        </w:tabs>
        <w:spacing w:after="120" w:line="276" w:lineRule="auto"/>
        <w:jc w:val="both"/>
        <w:rPr>
          <w:rFonts w:ascii="Verdana" w:eastAsia="Times New Roman" w:hAnsi="Verdana" w:cs="Arial"/>
          <w:lang w:eastAsia="es-CO"/>
        </w:rPr>
      </w:pPr>
      <w:r>
        <w:rPr>
          <w:rFonts w:ascii="Verdana" w:eastAsia="Calibri" w:hAnsi="Verdana" w:cs="Arial"/>
        </w:rPr>
        <w:t>i. El ordenamiento jurídico colombiano contempla previsiones claras para evitar la obtención de beneficios personales en asuntos propios de la administración pública</w:t>
      </w:r>
      <w:r>
        <w:rPr>
          <w:rFonts w:ascii="Verdana" w:eastAsia="Calibri" w:hAnsi="Verdana" w:cs="Arial"/>
          <w:i/>
        </w:rPr>
        <w:t xml:space="preserve">. </w:t>
      </w:r>
      <w:r>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Pr>
          <w:rFonts w:ascii="Verdana" w:hAnsi="Verdana"/>
          <w:vertAlign w:val="superscript"/>
        </w:rPr>
        <w:footnoteReference w:id="1"/>
      </w:r>
      <w:r>
        <w:rPr>
          <w:rFonts w:ascii="Verdana" w:eastAsia="Calibri" w:hAnsi="Verdana" w:cs="Arial"/>
        </w:rPr>
        <w:t xml:space="preserve">. </w:t>
      </w:r>
    </w:p>
    <w:p w14:paraId="28C9F082" w14:textId="77777777" w:rsidR="008D78B9" w:rsidRDefault="008D78B9" w:rsidP="008D78B9">
      <w:pPr>
        <w:tabs>
          <w:tab w:val="left" w:pos="426"/>
        </w:tabs>
        <w:spacing w:after="0" w:line="276" w:lineRule="auto"/>
        <w:ind w:firstLine="709"/>
        <w:jc w:val="both"/>
        <w:rPr>
          <w:rFonts w:ascii="Verdana" w:eastAsia="Calibri" w:hAnsi="Verdana" w:cs="Arial"/>
          <w:lang w:val="es-ES_tradnl"/>
        </w:rPr>
      </w:pPr>
      <w:r>
        <w:rPr>
          <w:rFonts w:ascii="Verdana" w:eastAsia="Times New Roman" w:hAnsi="Verdana" w:cs="Arial"/>
          <w:lang w:eastAsia="es-CO"/>
        </w:rPr>
        <w:t>En el mismo sentido</w:t>
      </w:r>
      <w:r>
        <w:rPr>
          <w:rFonts w:ascii="Verdana" w:eastAsia="Times New Roman" w:hAnsi="Verdana" w:cs="Arial"/>
          <w:lang w:val="es-MX" w:eastAsia="es-CO"/>
        </w:rPr>
        <w:t xml:space="preserve">, </w:t>
      </w:r>
      <w:bookmarkStart w:id="2" w:name="_Hlk99576829"/>
      <w:r>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Pr>
          <w:rFonts w:ascii="Verdana" w:eastAsia="Times New Roman" w:hAnsi="Verdana" w:cs="Arial"/>
          <w:vertAlign w:val="superscript"/>
          <w:lang w:val="es-MX" w:eastAsia="es-CO"/>
        </w:rPr>
        <w:footnoteReference w:id="2"/>
      </w:r>
      <w:r>
        <w:rPr>
          <w:rFonts w:ascii="Verdana" w:eastAsia="Times New Roman" w:hAnsi="Verdana" w:cs="Arial"/>
          <w:lang w:val="es-MX" w:eastAsia="es-CO"/>
        </w:rPr>
        <w:t xml:space="preserve">. En </w:t>
      </w:r>
      <w:r>
        <w:rPr>
          <w:rFonts w:ascii="Verdana" w:eastAsia="Times New Roman" w:hAnsi="Verdana" w:cs="Arial"/>
          <w:lang w:val="es-MX" w:eastAsia="es-CO"/>
        </w:rPr>
        <w:lastRenderedPageBreak/>
        <w:t>esta medida, introduce limitaciones para realizar nombramientos, postulaciones, contrataciones o cualquier otro tipo de actividad que implique destinación de recursos públicos bajo el devenir propio de las Entidades Estatales.</w:t>
      </w:r>
      <w:r>
        <w:rPr>
          <w:rFonts w:ascii="Verdana" w:eastAsia="Calibri" w:hAnsi="Verdana" w:cs="Arial"/>
          <w:lang w:val="es-ES_tradnl"/>
        </w:rPr>
        <w:t xml:space="preserve"> </w:t>
      </w:r>
      <w:bookmarkEnd w:id="2"/>
      <w:r>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661C7434" w14:textId="77777777" w:rsidR="008D78B9" w:rsidRDefault="008D78B9" w:rsidP="008D78B9">
      <w:pPr>
        <w:spacing w:after="0" w:line="276" w:lineRule="auto"/>
        <w:ind w:right="709"/>
        <w:contextualSpacing/>
        <w:jc w:val="both"/>
        <w:rPr>
          <w:rFonts w:ascii="Verdana" w:eastAsia="Times New Roman" w:hAnsi="Verdana" w:cs="Arial"/>
          <w:lang w:val="es-ES" w:eastAsia="es-CO"/>
        </w:rPr>
      </w:pPr>
    </w:p>
    <w:p w14:paraId="6CA2EBF2" w14:textId="77777777" w:rsidR="008D78B9" w:rsidRDefault="008D78B9" w:rsidP="008D78B9">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ES" w:eastAsia="es-CO"/>
        </w:rPr>
        <w:t xml:space="preserve">“[…] </w:t>
      </w:r>
      <w:r>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414282D3" w14:textId="77777777" w:rsidR="008D78B9" w:rsidRDefault="008D78B9" w:rsidP="008D78B9">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2FA19F50" w14:textId="77777777" w:rsidR="008D78B9" w:rsidRDefault="008D78B9" w:rsidP="008D78B9">
      <w:pPr>
        <w:spacing w:after="0" w:line="240" w:lineRule="auto"/>
        <w:ind w:left="709" w:right="709"/>
        <w:contextualSpacing/>
        <w:jc w:val="both"/>
        <w:rPr>
          <w:rFonts w:ascii="Verdana" w:eastAsia="Times New Roman" w:hAnsi="Verdana" w:cs="Arial"/>
          <w:sz w:val="12"/>
          <w:szCs w:val="12"/>
          <w:lang w:val="es-MX" w:eastAsia="es-CO"/>
        </w:rPr>
      </w:pPr>
    </w:p>
    <w:p w14:paraId="66697E8D" w14:textId="77777777" w:rsidR="008D78B9" w:rsidRDefault="008D78B9" w:rsidP="008D78B9">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Fonts w:ascii="Verdana" w:eastAsia="Calibri" w:hAnsi="Verdana" w:cs="Arial"/>
          <w:sz w:val="20"/>
          <w:szCs w:val="20"/>
          <w:vertAlign w:val="superscript"/>
          <w:lang w:val="es-MX"/>
        </w:rPr>
        <w:footnoteReference w:id="3"/>
      </w:r>
    </w:p>
    <w:p w14:paraId="7828D3CA" w14:textId="77777777" w:rsidR="008D78B9" w:rsidRDefault="008D78B9" w:rsidP="008D78B9">
      <w:pPr>
        <w:spacing w:after="0" w:line="276" w:lineRule="auto"/>
        <w:ind w:firstLine="709"/>
        <w:jc w:val="both"/>
        <w:rPr>
          <w:rFonts w:ascii="Verdana" w:eastAsia="Times New Roman" w:hAnsi="Verdana" w:cs="Arial"/>
          <w:lang w:val="es-MX" w:eastAsia="es-CO"/>
        </w:rPr>
      </w:pPr>
      <w:bookmarkStart w:id="3" w:name="_Hlk78818186"/>
    </w:p>
    <w:p w14:paraId="5151F427" w14:textId="77777777" w:rsidR="008D78B9" w:rsidRDefault="008D78B9" w:rsidP="008D78B9">
      <w:pPr>
        <w:spacing w:after="0" w:line="276" w:lineRule="auto"/>
        <w:ind w:firstLine="709"/>
        <w:jc w:val="both"/>
        <w:rPr>
          <w:rFonts w:ascii="Verdana" w:eastAsia="Times New Roman" w:hAnsi="Verdana" w:cs="Arial"/>
          <w:lang w:val="es-MX" w:eastAsia="es-CO"/>
        </w:rPr>
      </w:pPr>
      <w:r>
        <w:rPr>
          <w:rFonts w:ascii="Verdana" w:eastAsia="Times New Roman" w:hAnsi="Verdana" w:cs="Arial"/>
          <w:lang w:val="es-MX" w:eastAsia="es-CO"/>
        </w:rPr>
        <w:t xml:space="preserve">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w:t>
      </w:r>
      <w:bookmarkEnd w:id="3"/>
      <w:r>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w:t>
      </w:r>
    </w:p>
    <w:p w14:paraId="50105B1A" w14:textId="77777777" w:rsidR="008D78B9" w:rsidRDefault="008D78B9" w:rsidP="008D78B9">
      <w:pPr>
        <w:spacing w:after="0" w:line="276" w:lineRule="auto"/>
        <w:ind w:firstLine="709"/>
        <w:jc w:val="both"/>
        <w:rPr>
          <w:rFonts w:ascii="Verdana" w:eastAsia="Times New Roman" w:hAnsi="Verdana" w:cs="Arial"/>
          <w:lang w:val="es-MX" w:eastAsia="es-CO"/>
        </w:rPr>
      </w:pPr>
    </w:p>
    <w:p w14:paraId="1E83D39B" w14:textId="77777777" w:rsidR="008D78B9" w:rsidRDefault="008D78B9" w:rsidP="008D78B9">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4259AF02" w14:textId="77777777" w:rsidR="008D78B9" w:rsidRDefault="008D78B9" w:rsidP="008D78B9">
      <w:pPr>
        <w:spacing w:after="0" w:line="240" w:lineRule="auto"/>
        <w:ind w:right="709"/>
        <w:contextualSpacing/>
        <w:jc w:val="both"/>
        <w:rPr>
          <w:rFonts w:ascii="Verdana" w:eastAsia="Times New Roman" w:hAnsi="Verdana" w:cs="Arial"/>
          <w:sz w:val="12"/>
          <w:szCs w:val="12"/>
          <w:lang w:val="es-MX" w:eastAsia="es-CO"/>
        </w:rPr>
      </w:pPr>
    </w:p>
    <w:p w14:paraId="059BC76E" w14:textId="77777777" w:rsidR="008D78B9" w:rsidRDefault="008D78B9" w:rsidP="008D78B9">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La jurisprudencia de la Corte Constitucional</w:t>
      </w:r>
      <w:r>
        <w:rPr>
          <w:rFonts w:ascii="Verdana" w:eastAsia="Times New Roman" w:hAnsi="Verdana" w:cs="Arial"/>
          <w:sz w:val="20"/>
          <w:szCs w:val="20"/>
          <w:vertAlign w:val="superscript"/>
          <w:lang w:val="es-MX" w:eastAsia="es-CO"/>
        </w:rPr>
        <w:footnoteReference w:id="4"/>
      </w:r>
      <w:r>
        <w:rPr>
          <w:rFonts w:ascii="Verdana" w:eastAsia="Times New Roman" w:hAnsi="Verdana" w:cs="Arial"/>
          <w:sz w:val="20"/>
          <w:szCs w:val="20"/>
          <w:lang w:val="es-MX" w:eastAsia="es-CO"/>
        </w:rPr>
        <w:t> y del Consejo de Estado</w:t>
      </w:r>
      <w:r>
        <w:rPr>
          <w:rFonts w:ascii="Verdana" w:eastAsia="Times New Roman" w:hAnsi="Verdana" w:cs="Arial"/>
          <w:sz w:val="20"/>
          <w:szCs w:val="20"/>
          <w:vertAlign w:val="superscript"/>
          <w:lang w:val="es-MX" w:eastAsia="es-CO"/>
        </w:rPr>
        <w:footnoteReference w:id="5"/>
      </w:r>
      <w:r>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eastAsia="Times New Roman" w:hAnsi="Verdana" w:cs="Arial"/>
          <w:sz w:val="20"/>
          <w:szCs w:val="20"/>
          <w:vertAlign w:val="superscript"/>
          <w:lang w:val="es-MX" w:eastAsia="es-CO"/>
        </w:rPr>
        <w:footnoteReference w:id="6"/>
      </w:r>
      <w:r>
        <w:rPr>
          <w:rFonts w:ascii="Verdana" w:eastAsia="Times New Roman" w:hAnsi="Verdana" w:cs="Arial"/>
          <w:sz w:val="20"/>
          <w:szCs w:val="20"/>
          <w:lang w:val="es-MX" w:eastAsia="es-CO"/>
        </w:rPr>
        <w:t>.</w:t>
      </w:r>
    </w:p>
    <w:p w14:paraId="443E896C" w14:textId="77777777" w:rsidR="008D78B9" w:rsidRDefault="008D78B9" w:rsidP="008D78B9">
      <w:pPr>
        <w:spacing w:after="0" w:line="276" w:lineRule="auto"/>
        <w:jc w:val="both"/>
        <w:rPr>
          <w:rFonts w:ascii="Verdana" w:eastAsia="Calibri" w:hAnsi="Verdana" w:cs="Arial"/>
          <w:bCs/>
          <w:lang w:val="es-ES_tradnl"/>
        </w:rPr>
      </w:pPr>
    </w:p>
    <w:p w14:paraId="2E2AD27F" w14:textId="77777777" w:rsidR="008D78B9" w:rsidRDefault="008D78B9" w:rsidP="008D78B9">
      <w:pPr>
        <w:spacing w:after="0" w:line="276" w:lineRule="auto"/>
        <w:ind w:firstLine="709"/>
        <w:jc w:val="both"/>
        <w:rPr>
          <w:rFonts w:ascii="Verdana" w:eastAsia="Arial" w:hAnsi="Verdana" w:cs="Arial"/>
          <w:lang w:val="es-ES" w:eastAsia="es-ES" w:bidi="es-ES"/>
        </w:rPr>
      </w:pPr>
      <w:r>
        <w:rPr>
          <w:rFonts w:ascii="Verdana" w:eastAsia="Times New Roman" w:hAnsi="Verdana" w:cs="Arial"/>
          <w:lang w:val="es-MX" w:eastAsia="es-CO"/>
        </w:rPr>
        <w:t>De</w:t>
      </w:r>
      <w:r>
        <w:rPr>
          <w:rFonts w:ascii="Verdana" w:eastAsia="Arial" w:hAnsi="Verdana" w:cs="Arial"/>
          <w:lang w:val="es-ES" w:eastAsia="es-ES" w:bidi="es-ES"/>
        </w:rPr>
        <w:t xml:space="preserve"> conformidad con lo anterior, </w:t>
      </w:r>
      <w:bookmarkStart w:id="4" w:name="_Hlk77236098"/>
      <w:bookmarkStart w:id="5" w:name="_Hlk100679383"/>
      <w:r>
        <w:rPr>
          <w:rFonts w:ascii="Verdana" w:eastAsia="Arial" w:hAnsi="Verdana" w:cs="Arial"/>
          <w:lang w:val="es-ES" w:eastAsia="es-ES" w:bidi="es-ES"/>
        </w:rPr>
        <w:t xml:space="preserve">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3BDA18F2" w14:textId="77777777" w:rsidR="008D78B9" w:rsidRDefault="008D78B9" w:rsidP="008D78B9">
      <w:pPr>
        <w:spacing w:after="0" w:line="276" w:lineRule="auto"/>
        <w:ind w:firstLine="709"/>
        <w:jc w:val="both"/>
        <w:rPr>
          <w:rFonts w:ascii="Verdana" w:eastAsia="Arial" w:hAnsi="Verdana" w:cs="Arial"/>
          <w:lang w:val="es-ES" w:eastAsia="es-ES" w:bidi="es-ES"/>
        </w:rPr>
      </w:pPr>
    </w:p>
    <w:p w14:paraId="38FBC857" w14:textId="77777777" w:rsidR="008D78B9" w:rsidRDefault="008D78B9" w:rsidP="008D78B9">
      <w:pPr>
        <w:spacing w:after="120" w:line="276" w:lineRule="auto"/>
        <w:jc w:val="both"/>
        <w:rPr>
          <w:rFonts w:ascii="Verdana" w:eastAsia="Arial" w:hAnsi="Verdana" w:cs="Arial"/>
          <w:lang w:val="es-ES" w:eastAsia="es-ES" w:bidi="es-ES"/>
        </w:rPr>
      </w:pPr>
      <w:proofErr w:type="spellStart"/>
      <w:r>
        <w:rPr>
          <w:rFonts w:ascii="Verdana" w:eastAsia="Arial" w:hAnsi="Verdana" w:cs="Arial"/>
          <w:lang w:val="es-ES" w:eastAsia="es-ES" w:bidi="es-ES"/>
        </w:rPr>
        <w:t>ii</w:t>
      </w:r>
      <w:proofErr w:type="spellEnd"/>
      <w:r>
        <w:rPr>
          <w:rFonts w:ascii="Verdana" w:eastAsia="Arial" w:hAnsi="Verdana" w:cs="Arial"/>
          <w:lang w:val="es-ES" w:eastAsia="es-ES" w:bidi="es-ES"/>
        </w:rPr>
        <w:t>. 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4"/>
    </w:p>
    <w:p w14:paraId="2E4195F0" w14:textId="77777777" w:rsidR="008D78B9" w:rsidRDefault="008D78B9" w:rsidP="008D78B9">
      <w:pPr>
        <w:spacing w:after="120" w:line="276" w:lineRule="auto"/>
        <w:ind w:firstLine="708"/>
        <w:jc w:val="both"/>
        <w:rPr>
          <w:rFonts w:ascii="Verdana" w:eastAsia="Calibri" w:hAnsi="Verdana" w:cs="Arial"/>
        </w:rPr>
      </w:pPr>
      <w:r>
        <w:rPr>
          <w:rFonts w:ascii="Verdana" w:eastAsia="Calibri" w:hAnsi="Verdana" w:cs="Arial"/>
        </w:rPr>
        <w:t xml:space="preserve">Por un lado, el </w:t>
      </w:r>
      <w:r>
        <w:rPr>
          <w:rFonts w:ascii="Verdana" w:eastAsia="Calibri" w:hAnsi="Verdana" w:cs="Arial"/>
          <w:i/>
          <w:iCs/>
        </w:rPr>
        <w:t>artículo 33 de la Ley 996 de 2005</w:t>
      </w:r>
      <w:r>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w:t>
      </w:r>
      <w:r>
        <w:rPr>
          <w:rFonts w:ascii="Verdana" w:eastAsia="Calibri" w:hAnsi="Verdana" w:cs="Arial"/>
        </w:rPr>
        <w:lastRenderedPageBreak/>
        <w:t>acciones terroristas, desastres naturales o casos de fuerza mayor, y los que deban realizar las entidades sanitarias y hospitalarias”</w:t>
      </w:r>
      <w:r>
        <w:rPr>
          <w:vertAlign w:val="superscript"/>
        </w:rPr>
        <w:footnoteReference w:id="7"/>
      </w:r>
      <w:r>
        <w:rPr>
          <w:rFonts w:ascii="Verdana" w:eastAsia="Calibri" w:hAnsi="Verdana" w:cs="Arial"/>
        </w:rPr>
        <w:t>.</w:t>
      </w:r>
    </w:p>
    <w:p w14:paraId="2521D3FB" w14:textId="77777777" w:rsidR="008D78B9" w:rsidRDefault="008D78B9" w:rsidP="008D78B9">
      <w:pPr>
        <w:widowControl w:val="0"/>
        <w:autoSpaceDE w:val="0"/>
        <w:autoSpaceDN w:val="0"/>
        <w:spacing w:after="120" w:line="276" w:lineRule="auto"/>
        <w:ind w:right="113" w:firstLine="709"/>
        <w:jc w:val="both"/>
        <w:rPr>
          <w:rFonts w:ascii="Verdana" w:eastAsia="Arial" w:hAnsi="Verdana" w:cs="Arial"/>
          <w:lang w:val="es-ES" w:eastAsia="es-ES" w:bidi="es-ES"/>
        </w:rPr>
      </w:pPr>
      <w:r>
        <w:rPr>
          <w:rFonts w:ascii="Verdana" w:eastAsia="Calibri" w:hAnsi="Verdana" w:cs="Arial"/>
        </w:rPr>
        <w:t xml:space="preserve">Por otro lado, </w:t>
      </w:r>
      <w:r>
        <w:rPr>
          <w:rFonts w:ascii="Verdana" w:eastAsia="Calibri" w:hAnsi="Verdana" w:cs="Arial"/>
          <w:i/>
          <w:iCs/>
        </w:rPr>
        <w:t>el parágrafo del artículo 38 de la Ley 996 de 2005</w:t>
      </w:r>
      <w:r>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rPr>
        <w:t>”</w:t>
      </w:r>
      <w:bookmarkEnd w:id="5"/>
      <w:r>
        <w:rPr>
          <w:rFonts w:ascii="Verdana" w:eastAsia="Calibri" w:hAnsi="Verdana" w:cs="Arial"/>
          <w:vertAlign w:val="superscript"/>
        </w:rPr>
        <w:footnoteReference w:id="8"/>
      </w:r>
      <w:r>
        <w:rPr>
          <w:rFonts w:ascii="Verdana" w:eastAsia="Calibri" w:hAnsi="Verdana" w:cs="Arial"/>
          <w:lang w:val="es-MX"/>
        </w:rPr>
        <w:t>.</w:t>
      </w:r>
      <w:r>
        <w:rPr>
          <w:rFonts w:ascii="Verdana" w:eastAsia="Arial" w:hAnsi="Verdana" w:cs="Arial"/>
          <w:lang w:val="es-ES" w:eastAsia="es-ES" w:bidi="es-ES"/>
        </w:rPr>
        <w:t xml:space="preserve"> </w:t>
      </w:r>
    </w:p>
    <w:p w14:paraId="1DCE1C14" w14:textId="77777777" w:rsidR="008D78B9" w:rsidRDefault="008D78B9" w:rsidP="008D78B9">
      <w:pPr>
        <w:spacing w:after="120" w:line="276" w:lineRule="auto"/>
        <w:ind w:firstLine="708"/>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 “</w:t>
      </w:r>
      <w:r>
        <w:rPr>
          <w:rFonts w:ascii="Verdana" w:eastAsia="Times New Roman" w:hAnsi="Verdana" w:cs="Arial"/>
          <w:bCs/>
          <w:lang w:eastAsia="es-CO"/>
        </w:rPr>
        <w:t>1. </w:t>
      </w:r>
      <w:r>
        <w:rPr>
          <w:rFonts w:ascii="Verdana" w:eastAsia="Times New Roman" w:hAnsi="Verdana" w:cs="Arial"/>
          <w:bCs/>
          <w:i/>
          <w:iCs/>
          <w:lang w:eastAsia="es-CO"/>
        </w:rPr>
        <w:t>Gral.</w:t>
      </w:r>
      <w:r>
        <w:rPr>
          <w:rFonts w:ascii="Verdana" w:eastAsia="Times New Roman" w:hAnsi="Verdana" w:cs="Arial"/>
          <w:bCs/>
          <w:lang w:eastAsia="es-CO"/>
        </w:rPr>
        <w:t xml:space="preserve"> Otorgar o firmar un contrato. 2. </w:t>
      </w:r>
      <w:proofErr w:type="spellStart"/>
      <w:r>
        <w:rPr>
          <w:rFonts w:ascii="Verdana" w:eastAsia="Times New Roman" w:hAnsi="Verdana" w:cs="Arial"/>
          <w:bCs/>
          <w:i/>
          <w:iCs/>
          <w:lang w:eastAsia="es-CO"/>
        </w:rPr>
        <w:t>Proc</w:t>
      </w:r>
      <w:proofErr w:type="spellEnd"/>
      <w:r>
        <w:rPr>
          <w:rFonts w:ascii="Verdana" w:eastAsia="Times New Roman" w:hAnsi="Verdana" w:cs="Arial"/>
          <w:bCs/>
          <w:i/>
          <w:iCs/>
          <w:lang w:eastAsia="es-CO"/>
        </w:rPr>
        <w:t>.</w:t>
      </w:r>
      <w:r>
        <w:rPr>
          <w:rFonts w:ascii="Verdana" w:eastAsia="Times New Roman" w:hAnsi="Verdana" w:cs="Arial"/>
          <w:bCs/>
          <w:lang w:eastAsia="es-CO"/>
        </w:rPr>
        <w:t xml:space="preserve"> Realizar los actos procesales propios de un juicio o vista”. Dentro de las dos definiciones, la que se acerca a la expresión “celebrar” en el contexto de la Ley de Garantías Electorales es la primera, esto es, al perfeccionamiento del contrato. </w:t>
      </w:r>
    </w:p>
    <w:p w14:paraId="0717E138" w14:textId="77777777" w:rsidR="008D78B9" w:rsidRDefault="008D78B9" w:rsidP="008D78B9">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Pr>
          <w:rFonts w:ascii="Verdana" w:eastAsia="Times New Roman" w:hAnsi="Verdana" w:cs="Arial"/>
          <w:bCs/>
          <w:lang w:val="es-ES" w:eastAsia="es-CO"/>
        </w:rPr>
        <w:t xml:space="preserve">la existencia de los contratos estatales, es decir, la producción de efectos jurídicos en los términos del artículo 1501 </w:t>
      </w:r>
      <w:proofErr w:type="spellStart"/>
      <w:r>
        <w:rPr>
          <w:rFonts w:ascii="Verdana" w:eastAsia="Times New Roman" w:hAnsi="Verdana" w:cs="Arial"/>
          <w:bCs/>
          <w:i/>
          <w:lang w:val="es-ES" w:eastAsia="es-CO"/>
        </w:rPr>
        <w:t>ibídem</w:t>
      </w:r>
      <w:proofErr w:type="spellEnd"/>
      <w:r>
        <w:rPr>
          <w:rFonts w:ascii="Verdana" w:eastAsia="Times New Roman" w:hAnsi="Verdana" w:cs="Arial"/>
          <w:bCs/>
          <w:lang w:val="es-ES" w:eastAsia="es-CO"/>
        </w:rPr>
        <w:t xml:space="preserve">, depende de la regulación del inciso primero de los artículos 39 y 41 de la Ley 80 de 1993. Por un lado, “Los contratos que celebren las entidades estatales constarán por escrito y no requerirán ser </w:t>
      </w:r>
      <w:r>
        <w:rPr>
          <w:rFonts w:ascii="Verdana" w:eastAsia="Times New Roman" w:hAnsi="Verdana" w:cs="Arial"/>
          <w:bCs/>
          <w:lang w:val="es-ES" w:eastAsia="es-CO"/>
        </w:rPr>
        <w:lastRenderedPageBreak/>
        <w:t xml:space="preserve">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3A27CC6E" w14:textId="77777777" w:rsidR="008D78B9" w:rsidRDefault="008D78B9" w:rsidP="008D78B9">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23DA5C73" w14:textId="77777777" w:rsidR="008D78B9" w:rsidRDefault="008D78B9" w:rsidP="008D78B9">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Así mismo, </w:t>
      </w:r>
      <w:r>
        <w:rPr>
          <w:rFonts w:ascii="Verdana" w:eastAsia="Times New Roman" w:hAnsi="Verdana" w:cs="Arial"/>
          <w:bCs/>
          <w:lang w:val="es-MX" w:eastAsia="es-CO"/>
        </w:rPr>
        <w:t xml:space="preserve">como en otras oportunidades lo ha manifestado esta Agencia, las prórrogas, modificaciones o adiciones de los contratos suscritos antes de la </w:t>
      </w:r>
      <w:proofErr w:type="gramStart"/>
      <w:r>
        <w:rPr>
          <w:rFonts w:ascii="Verdana" w:eastAsia="Times New Roman" w:hAnsi="Verdana" w:cs="Arial"/>
          <w:bCs/>
          <w:lang w:val="es-MX" w:eastAsia="es-CO"/>
        </w:rPr>
        <w:t>entrada en vigencia</w:t>
      </w:r>
      <w:proofErr w:type="gramEnd"/>
      <w:r>
        <w:rPr>
          <w:rFonts w:ascii="Verdana" w:eastAsia="Times New Roman" w:hAnsi="Verdana" w:cs="Arial"/>
          <w:bCs/>
          <w:lang w:val="es-MX" w:eastAsia="es-CO"/>
        </w:rPr>
        <w:t xml:space="preserve"> de las prohibiciones anotadas, así como la cesión de </w:t>
      </w:r>
      <w:proofErr w:type="gramStart"/>
      <w:r>
        <w:rPr>
          <w:rFonts w:ascii="Verdana" w:eastAsia="Times New Roman" w:hAnsi="Verdana" w:cs="Arial"/>
          <w:bCs/>
          <w:lang w:val="es-MX" w:eastAsia="es-CO"/>
        </w:rPr>
        <w:t>los mismos</w:t>
      </w:r>
      <w:proofErr w:type="gramEnd"/>
      <w:r>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Pr>
          <w:rFonts w:ascii="Verdana" w:eastAsia="Times New Roman" w:hAnsi="Verdana" w:cs="Arial"/>
          <w:bCs/>
          <w:vertAlign w:val="superscript"/>
          <w:lang w:val="es-MX" w:eastAsia="es-CO"/>
        </w:rPr>
        <w:footnoteReference w:id="9"/>
      </w:r>
      <w:r>
        <w:rPr>
          <w:rFonts w:ascii="Verdana" w:eastAsia="Times New Roman" w:hAnsi="Verdana" w:cs="Arial"/>
          <w:bCs/>
          <w:lang w:val="es-MX" w:eastAsia="es-CO"/>
        </w:rPr>
        <w:t xml:space="preserve">. </w:t>
      </w:r>
    </w:p>
    <w:p w14:paraId="0B195C02" w14:textId="77777777" w:rsidR="008D78B9" w:rsidRDefault="008D78B9" w:rsidP="008D78B9">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66EB5CFD" w14:textId="77777777" w:rsidR="008D78B9" w:rsidRDefault="008D78B9" w:rsidP="008D78B9">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6E5B52D0" w14:textId="77777777" w:rsidR="008D78B9" w:rsidRDefault="008D78B9" w:rsidP="008D78B9">
      <w:pPr>
        <w:widowControl w:val="0"/>
        <w:autoSpaceDE w:val="0"/>
        <w:autoSpaceDN w:val="0"/>
        <w:spacing w:after="0" w:line="240" w:lineRule="auto"/>
        <w:ind w:left="709" w:right="709"/>
        <w:jc w:val="both"/>
        <w:rPr>
          <w:rFonts w:ascii="Verdana" w:eastAsia="Arial" w:hAnsi="Verdana" w:cs="Arial"/>
          <w:sz w:val="20"/>
          <w:szCs w:val="20"/>
          <w:lang w:eastAsia="es-ES" w:bidi="es-ES"/>
        </w:rPr>
      </w:pPr>
      <w:r>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8" w:name="_Hlk76109421"/>
      <w:r>
        <w:rPr>
          <w:rFonts w:ascii="Verdana" w:eastAsia="Arial" w:hAnsi="Verdana" w:cs="Arial"/>
          <w:sz w:val="20"/>
          <w:szCs w:val="20"/>
          <w:lang w:eastAsia="es-ES" w:bidi="es-ES"/>
        </w:rPr>
        <w:t>se integran parcialmente</w:t>
      </w:r>
      <w:bookmarkEnd w:id="8"/>
      <w:r>
        <w:rPr>
          <w:rFonts w:ascii="Verdana" w:eastAsia="Arial" w:hAnsi="Verdana" w:cs="Arial"/>
          <w:sz w:val="20"/>
          <w:szCs w:val="20"/>
          <w:lang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w:t>
      </w:r>
      <w:r>
        <w:rPr>
          <w:rFonts w:ascii="Verdana" w:eastAsia="Arial" w:hAnsi="Verdana" w:cs="Arial"/>
          <w:sz w:val="20"/>
          <w:szCs w:val="20"/>
          <w:lang w:eastAsia="es-ES" w:bidi="es-ES"/>
        </w:rPr>
        <w:lastRenderedPageBreak/>
        <w:t>contenidas en el parágrafo del artículo 38”.</w:t>
      </w:r>
      <w:r>
        <w:rPr>
          <w:rFonts w:ascii="Verdana" w:eastAsia="Arial" w:hAnsi="Verdana" w:cs="Arial"/>
          <w:sz w:val="20"/>
          <w:szCs w:val="20"/>
          <w:vertAlign w:val="superscript"/>
          <w:lang w:eastAsia="es-ES" w:bidi="es-ES"/>
        </w:rPr>
        <w:footnoteReference w:id="10"/>
      </w:r>
    </w:p>
    <w:p w14:paraId="4084EDE6" w14:textId="77777777" w:rsidR="008D78B9" w:rsidRDefault="008D78B9" w:rsidP="008D78B9">
      <w:pPr>
        <w:widowControl w:val="0"/>
        <w:autoSpaceDE w:val="0"/>
        <w:autoSpaceDN w:val="0"/>
        <w:spacing w:line="276" w:lineRule="auto"/>
        <w:contextualSpacing/>
        <w:rPr>
          <w:rFonts w:ascii="Verdana" w:eastAsia="Arial" w:hAnsi="Verdana" w:cs="Arial"/>
          <w:lang w:val="es-ES" w:eastAsia="es-ES" w:bidi="es-ES"/>
        </w:rPr>
      </w:pPr>
    </w:p>
    <w:p w14:paraId="46A75F74" w14:textId="77777777" w:rsidR="008D78B9" w:rsidRDefault="008D78B9" w:rsidP="008D78B9">
      <w:pPr>
        <w:spacing w:after="120" w:line="276" w:lineRule="auto"/>
        <w:ind w:firstLine="709"/>
        <w:jc w:val="both"/>
        <w:rPr>
          <w:rFonts w:ascii="Verdana" w:eastAsia="Arial" w:hAnsi="Verdana" w:cs="Arial"/>
          <w:lang w:val="es-ES" w:eastAsia="es-ES" w:bidi="es-ES"/>
        </w:rPr>
      </w:pPr>
      <w:r>
        <w:rPr>
          <w:rFonts w:ascii="Verdana" w:eastAsia="Arial" w:hAnsi="Verdana" w:cs="Arial"/>
          <w:lang w:val="es-ES" w:eastAsia="es-ES" w:bidi="es-ES"/>
        </w:rPr>
        <w:t xml:space="preserve">De conformidad con lo anterior, </w:t>
      </w:r>
      <w:bookmarkStart w:id="9" w:name="_Hlk77236420"/>
      <w:bookmarkStart w:id="10" w:name="_Hlk78818435"/>
      <w:bookmarkStart w:id="11" w:name="_Hlk75780333"/>
      <w:r>
        <w:rPr>
          <w:rFonts w:ascii="Verdana" w:eastAsia="Arial" w:hAnsi="Verdana" w:cs="Arial"/>
          <w:lang w:val="es-ES" w:eastAsia="es-ES" w:bidi="es-ES"/>
        </w:rPr>
        <w:t xml:space="preserve">la Ley 996 de 2005 establece dos (2) tipos de restricciones en materia de contratación, las cuales coinciden parcialmente. </w:t>
      </w:r>
      <w:r>
        <w:rPr>
          <w:rFonts w:ascii="Verdana" w:eastAsia="Arial" w:hAnsi="Verdana" w:cs="Arial"/>
          <w:i/>
          <w:lang w:val="es-ES" w:eastAsia="es-ES" w:bidi="es-ES"/>
        </w:rPr>
        <w:t>En primer lugar</w:t>
      </w:r>
      <w:r>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Pr>
          <w:rFonts w:ascii="Verdana" w:eastAsia="Arial" w:hAnsi="Verdana" w:cs="Arial"/>
          <w:i/>
          <w:lang w:val="es-ES" w:eastAsia="es-ES" w:bidi="es-ES"/>
        </w:rPr>
        <w:t>En segundo lugar</w:t>
      </w:r>
      <w:r>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9"/>
    </w:p>
    <w:bookmarkEnd w:id="10"/>
    <w:p w14:paraId="1E05C93F" w14:textId="77777777" w:rsidR="008D78B9" w:rsidRDefault="008D78B9" w:rsidP="008D78B9">
      <w:pPr>
        <w:spacing w:after="120" w:line="276" w:lineRule="auto"/>
        <w:ind w:firstLine="709"/>
        <w:jc w:val="both"/>
        <w:rPr>
          <w:rFonts w:ascii="Verdana" w:eastAsia="Arial" w:hAnsi="Verdana" w:cs="Arial"/>
          <w:lang w:val="es-ES" w:eastAsia="es-ES" w:bidi="es-ES"/>
        </w:rPr>
      </w:pPr>
      <w:r>
        <w:rPr>
          <w:rFonts w:ascii="Verdana" w:eastAsia="Arial" w:hAnsi="Verdana" w:cs="Arial"/>
          <w:lang w:val="es-ES" w:eastAsia="es-ES" w:bidi="es-ES"/>
        </w:rPr>
        <w:t xml:space="preserve">Ambas restricciones no son excluyentes, lo que permite concluir que, en el período preelectoral para elección de </w:t>
      </w:r>
      <w:proofErr w:type="gramStart"/>
      <w:r>
        <w:rPr>
          <w:rFonts w:ascii="Verdana" w:eastAsia="Arial" w:hAnsi="Verdana" w:cs="Arial"/>
          <w:lang w:val="es-ES" w:eastAsia="es-ES" w:bidi="es-ES"/>
        </w:rPr>
        <w:t>Presidente</w:t>
      </w:r>
      <w:proofErr w:type="gramEnd"/>
      <w:r>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Pr>
          <w:rFonts w:ascii="Verdana" w:eastAsia="Arial" w:hAnsi="Verdana" w:cs="Arial"/>
          <w:lang w:val="es-ES" w:eastAsia="es-ES" w:bidi="es-ES"/>
        </w:rPr>
        <w:t>Presidente</w:t>
      </w:r>
      <w:proofErr w:type="gramEnd"/>
      <w:r>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1"/>
    <w:p w14:paraId="5F064323" w14:textId="77777777" w:rsidR="008D78B9" w:rsidRDefault="008D78B9" w:rsidP="008D78B9">
      <w:pPr>
        <w:spacing w:after="0" w:line="276" w:lineRule="auto"/>
        <w:ind w:firstLine="709"/>
        <w:jc w:val="both"/>
        <w:rPr>
          <w:rFonts w:ascii="Verdana" w:eastAsia="Arial" w:hAnsi="Verdana" w:cs="Arial"/>
          <w:lang w:val="es-ES" w:eastAsia="es-ES" w:bidi="es-ES"/>
        </w:rPr>
      </w:pPr>
      <w:r>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Pr>
          <w:rFonts w:ascii="Verdana" w:eastAsia="Arial" w:hAnsi="Verdana" w:cs="Arial"/>
          <w:lang w:val="es-ES" w:eastAsia="es-ES" w:bidi="es-ES"/>
        </w:rPr>
        <w:t>Presidente</w:t>
      </w:r>
      <w:proofErr w:type="gramEnd"/>
      <w:r>
        <w:rPr>
          <w:rFonts w:ascii="Verdana" w:eastAsia="Arial" w:hAnsi="Verdana" w:cs="Arial"/>
          <w:lang w:val="es-ES" w:eastAsia="es-ES" w:bidi="es-ES"/>
        </w:rPr>
        <w:t xml:space="preserve"> o el </w:t>
      </w:r>
      <w:proofErr w:type="gramStart"/>
      <w:r>
        <w:rPr>
          <w:rFonts w:ascii="Verdana" w:eastAsia="Arial" w:hAnsi="Verdana" w:cs="Arial"/>
          <w:lang w:val="es-ES" w:eastAsia="es-ES" w:bidi="es-ES"/>
        </w:rPr>
        <w:t>Vicepresidente</w:t>
      </w:r>
      <w:proofErr w:type="gramEnd"/>
      <w:r>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Pr>
          <w:rFonts w:ascii="Verdana" w:eastAsia="Arial" w:hAnsi="Verdana" w:cs="Arial"/>
          <w:lang w:val="es-ES" w:eastAsia="es-ES" w:bidi="es-ES"/>
        </w:rPr>
        <w:t>Presidente</w:t>
      </w:r>
      <w:proofErr w:type="gramEnd"/>
      <w:r>
        <w:rPr>
          <w:rFonts w:ascii="Verdana" w:eastAsia="Arial" w:hAnsi="Verdana" w:cs="Arial"/>
          <w:lang w:val="es-ES" w:eastAsia="es-ES" w:bidi="es-ES"/>
        </w:rPr>
        <w:t xml:space="preserve"> y el </w:t>
      </w:r>
      <w:proofErr w:type="gramStart"/>
      <w:r>
        <w:rPr>
          <w:rFonts w:ascii="Verdana" w:eastAsia="Arial" w:hAnsi="Verdana" w:cs="Arial"/>
          <w:lang w:val="es-ES" w:eastAsia="es-ES" w:bidi="es-ES"/>
        </w:rPr>
        <w:t>Vicepresidente</w:t>
      </w:r>
      <w:proofErr w:type="gramEnd"/>
      <w:r>
        <w:rPr>
          <w:rFonts w:ascii="Verdana" w:eastAsia="Arial" w:hAnsi="Verdana" w:cs="Arial"/>
          <w:lang w:val="es-ES" w:eastAsia="es-ES" w:bidi="es-ES"/>
        </w:rPr>
        <w:t xml:space="preserve"> de la República, ha perdido vigencia ante la prohibición de la </w:t>
      </w:r>
      <w:r>
        <w:rPr>
          <w:rFonts w:ascii="Verdana" w:eastAsia="Arial" w:hAnsi="Verdana" w:cs="Arial"/>
          <w:lang w:val="es-ES" w:eastAsia="es-ES" w:bidi="es-ES"/>
        </w:rPr>
        <w:lastRenderedPageBreak/>
        <w:t xml:space="preserve">reelección presidencial, restablecida por el Acto Legislativo 2 de 2015. Esto excepto para el </w:t>
      </w:r>
      <w:proofErr w:type="gramStart"/>
      <w:r>
        <w:rPr>
          <w:rFonts w:ascii="Verdana" w:eastAsia="Arial" w:hAnsi="Verdana" w:cs="Arial"/>
          <w:lang w:val="es-ES" w:eastAsia="es-ES" w:bidi="es-ES"/>
        </w:rPr>
        <w:t>Vicepresidente</w:t>
      </w:r>
      <w:proofErr w:type="gramEnd"/>
      <w:r>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0E4A79F9" w14:textId="77777777" w:rsidR="008D78B9" w:rsidRDefault="008D78B9" w:rsidP="008D78B9">
      <w:pPr>
        <w:spacing w:after="0" w:line="276" w:lineRule="auto"/>
        <w:ind w:firstLine="708"/>
        <w:jc w:val="both"/>
        <w:rPr>
          <w:rFonts w:ascii="Verdana" w:eastAsia="Arial" w:hAnsi="Verdana" w:cs="Arial"/>
          <w:lang w:val="es-ES" w:eastAsia="es-ES" w:bidi="es-ES"/>
        </w:rPr>
      </w:pPr>
      <w:r>
        <w:rPr>
          <w:rFonts w:ascii="Verdana" w:eastAsia="Arial" w:hAnsi="Verdana" w:cs="Arial"/>
          <w:lang w:val="es-ES" w:eastAsia="es-ES" w:bidi="es-ES"/>
        </w:rPr>
        <w:t xml:space="preserve"> </w:t>
      </w:r>
      <w:bookmarkStart w:id="12" w:name="_Hlk78820161"/>
    </w:p>
    <w:p w14:paraId="5A35FA48" w14:textId="77777777" w:rsidR="008D78B9" w:rsidRDefault="008D78B9" w:rsidP="008D78B9">
      <w:pPr>
        <w:spacing w:after="0" w:line="276" w:lineRule="auto"/>
        <w:jc w:val="both"/>
        <w:rPr>
          <w:rFonts w:ascii="Verdana" w:eastAsia="Times New Roman" w:hAnsi="Verdana" w:cs="Arial"/>
          <w:bCs/>
          <w:lang w:val="es-MX" w:eastAsia="es-CO"/>
        </w:rPr>
      </w:pPr>
      <w:proofErr w:type="spellStart"/>
      <w:r>
        <w:rPr>
          <w:rFonts w:ascii="Verdana" w:eastAsia="Arial" w:hAnsi="Verdana" w:cs="Arial"/>
          <w:lang w:val="es-ES" w:eastAsia="es-ES" w:bidi="es-ES"/>
        </w:rPr>
        <w:t>iii</w:t>
      </w:r>
      <w:proofErr w:type="spellEnd"/>
      <w:r>
        <w:rPr>
          <w:rFonts w:ascii="Verdana" w:eastAsia="Arial" w:hAnsi="Verdana" w:cs="Arial"/>
          <w:lang w:val="es-ES" w:eastAsia="es-ES" w:bidi="es-ES"/>
        </w:rPr>
        <w:t xml:space="preserve">. </w:t>
      </w:r>
      <w:r>
        <w:rPr>
          <w:rFonts w:ascii="Verdana" w:eastAsia="Times New Roman" w:hAnsi="Verdana" w:cs="Arial"/>
          <w:bCs/>
          <w:lang w:val="es-MX" w:eastAsia="x-none"/>
        </w:rPr>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Pr>
          <w:rFonts w:ascii="Verdana" w:eastAsia="Times New Roman" w:hAnsi="Verdana" w:cs="Arial"/>
          <w:bCs/>
          <w:lang w:val="es-MX" w:eastAsia="x-none"/>
        </w:rPr>
        <w:t>queda prohibida la contratación directa</w:t>
      </w:r>
      <w:r>
        <w:rPr>
          <w:rFonts w:ascii="Verdana" w:eastAsia="Calibri" w:hAnsi="Verdana" w:cs="Arial"/>
          <w:sz w:val="20"/>
          <w:szCs w:val="20"/>
          <w:lang w:val="es-MX"/>
        </w:rPr>
        <w:t>”</w:t>
      </w:r>
      <w:r>
        <w:rPr>
          <w:rFonts w:ascii="Verdana" w:eastAsia="Times New Roman" w:hAnsi="Verdana" w:cs="Arial"/>
          <w:bCs/>
          <w:lang w:val="es-MX" w:eastAsia="x-none"/>
        </w:rPr>
        <w:t xml:space="preserve">. </w:t>
      </w:r>
      <w:r>
        <w:rPr>
          <w:rFonts w:ascii="Verdana" w:eastAsia="Times New Roman" w:hAnsi="Verdana" w:cs="Arial"/>
          <w:lang w:val="es-MX" w:eastAsia="es-CO"/>
        </w:rPr>
        <w:t xml:space="preserve"> A propósito de </w:t>
      </w:r>
      <w:r>
        <w:rPr>
          <w:rFonts w:ascii="Verdana" w:eastAsia="Times New Roman" w:hAnsi="Verdana" w:cs="Arial"/>
          <w:lang w:eastAsia="es-CO"/>
        </w:rPr>
        <w:t>esta restricción de la Ley de Garantías Electorales, la Sala de Consulta y Servicio Civil del Consejo de Estado ha considerado que:</w:t>
      </w:r>
    </w:p>
    <w:p w14:paraId="63CF782B" w14:textId="77777777" w:rsidR="008D78B9" w:rsidRDefault="008D78B9" w:rsidP="008D78B9">
      <w:pPr>
        <w:spacing w:after="0" w:line="276" w:lineRule="auto"/>
        <w:ind w:left="708" w:right="709"/>
        <w:jc w:val="both"/>
        <w:rPr>
          <w:rFonts w:ascii="Verdana" w:eastAsia="Calibri" w:hAnsi="Verdana" w:cs="Arial"/>
          <w:lang w:val="es-MX"/>
        </w:rPr>
      </w:pPr>
    </w:p>
    <w:p w14:paraId="2941E58F" w14:textId="77777777" w:rsidR="008D78B9" w:rsidRDefault="008D78B9" w:rsidP="008D78B9">
      <w:pPr>
        <w:spacing w:after="120" w:line="240" w:lineRule="auto"/>
        <w:ind w:left="709" w:right="709"/>
        <w:jc w:val="both"/>
        <w:rPr>
          <w:rFonts w:ascii="Verdana" w:eastAsia="Calibri" w:hAnsi="Verdana" w:cs="Arial"/>
          <w:sz w:val="20"/>
          <w:szCs w:val="20"/>
          <w:lang w:val="es-MX"/>
        </w:rPr>
      </w:pPr>
      <w:r>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Pr>
          <w:rFonts w:ascii="Verdana" w:eastAsia="Times New Roman" w:hAnsi="Verdana" w:cs="Arial"/>
          <w:sz w:val="20"/>
          <w:szCs w:val="20"/>
          <w:vertAlign w:val="superscript"/>
          <w:lang w:eastAsia="es-CO"/>
        </w:rPr>
        <w:footnoteReference w:id="11"/>
      </w:r>
      <w:r>
        <w:rPr>
          <w:rFonts w:ascii="Verdana" w:eastAsia="Calibri" w:hAnsi="Verdana" w:cs="Arial"/>
          <w:sz w:val="20"/>
          <w:szCs w:val="20"/>
          <w:lang w:val="es-MX"/>
        </w:rPr>
        <w:t>.</w:t>
      </w:r>
    </w:p>
    <w:p w14:paraId="601073EB" w14:textId="77777777" w:rsidR="008D78B9" w:rsidRDefault="008D78B9" w:rsidP="008D78B9">
      <w:pPr>
        <w:spacing w:after="0" w:line="240" w:lineRule="auto"/>
        <w:ind w:left="708" w:right="709"/>
        <w:jc w:val="both"/>
        <w:rPr>
          <w:rFonts w:ascii="Verdana" w:eastAsia="Calibri" w:hAnsi="Verdana" w:cs="Arial"/>
          <w:sz w:val="20"/>
          <w:szCs w:val="20"/>
          <w:lang w:val="es-MX"/>
        </w:rPr>
      </w:pPr>
      <w:r>
        <w:rPr>
          <w:rFonts w:ascii="Verdana" w:eastAsia="Calibri" w:hAnsi="Verdana" w:cs="Arial"/>
          <w:sz w:val="20"/>
          <w:szCs w:val="20"/>
          <w:lang w:val="es-MX"/>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Pr>
          <w:rFonts w:ascii="Verdana" w:eastAsia="Times New Roman" w:hAnsi="Verdana" w:cs="Arial"/>
          <w:sz w:val="20"/>
          <w:szCs w:val="20"/>
          <w:vertAlign w:val="superscript"/>
          <w:lang w:val="es-MX"/>
        </w:rPr>
        <w:footnoteReference w:id="12"/>
      </w:r>
      <w:r>
        <w:rPr>
          <w:rFonts w:ascii="Verdana" w:eastAsia="Times New Roman" w:hAnsi="Verdana" w:cs="Arial"/>
          <w:sz w:val="20"/>
          <w:szCs w:val="20"/>
          <w:vertAlign w:val="superscript"/>
          <w:lang w:val="es-MX"/>
        </w:rPr>
        <w:t>.</w:t>
      </w:r>
      <w:r>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eastAsia="Times New Roman" w:hAnsi="Verdana" w:cs="Arial"/>
          <w:sz w:val="20"/>
          <w:szCs w:val="20"/>
          <w:vertAlign w:val="superscript"/>
          <w:lang w:eastAsia="es-CO"/>
        </w:rPr>
        <w:footnoteReference w:id="13"/>
      </w:r>
      <w:r>
        <w:rPr>
          <w:rFonts w:ascii="Verdana" w:eastAsia="Calibri" w:hAnsi="Verdana" w:cs="Arial"/>
          <w:sz w:val="20"/>
          <w:szCs w:val="20"/>
          <w:lang w:val="es-MX"/>
        </w:rPr>
        <w:t>.</w:t>
      </w:r>
    </w:p>
    <w:p w14:paraId="723BD775" w14:textId="77777777" w:rsidR="008D78B9" w:rsidRDefault="008D78B9" w:rsidP="008D78B9">
      <w:pPr>
        <w:shd w:val="clear" w:color="auto" w:fill="FFFFFF"/>
        <w:spacing w:after="0" w:line="276" w:lineRule="auto"/>
        <w:ind w:firstLine="709"/>
        <w:jc w:val="both"/>
        <w:rPr>
          <w:rFonts w:ascii="Verdana" w:eastAsia="Times New Roman" w:hAnsi="Verdana" w:cs="Arial"/>
          <w:lang w:eastAsia="x-none"/>
        </w:rPr>
      </w:pPr>
    </w:p>
    <w:p w14:paraId="7CC5A294" w14:textId="77777777" w:rsidR="008D78B9" w:rsidRDefault="008D78B9" w:rsidP="008D78B9">
      <w:pPr>
        <w:spacing w:after="120" w:line="276" w:lineRule="auto"/>
        <w:ind w:firstLine="708"/>
        <w:jc w:val="both"/>
        <w:rPr>
          <w:rFonts w:ascii="Verdana" w:eastAsia="Times New Roman" w:hAnsi="Verdana" w:cs="Arial"/>
          <w:bCs/>
          <w:lang w:eastAsia="x-none"/>
        </w:rPr>
      </w:pPr>
      <w:r>
        <w:rPr>
          <w:rFonts w:ascii="Verdana" w:eastAsia="Times New Roman" w:hAnsi="Verdana" w:cs="Arial"/>
          <w:lang w:eastAsia="x-none"/>
        </w:rPr>
        <w:t xml:space="preserve">De acuerdo con el citado concepto, la prohibición del artículo 33 de la Ley de Garantías Electorales se refiere a </w:t>
      </w:r>
      <w:r>
        <w:rPr>
          <w:rFonts w:ascii="Verdana" w:eastAsia="Times New Roman" w:hAnsi="Verdana" w:cs="Arial"/>
          <w:sz w:val="19"/>
          <w:szCs w:val="19"/>
          <w:lang w:eastAsia="en-GB"/>
        </w:rPr>
        <w:t>“</w:t>
      </w:r>
      <w:r>
        <w:rPr>
          <w:rFonts w:ascii="Verdana" w:eastAsia="Times New Roman" w:hAnsi="Verdana" w:cs="Arial"/>
          <w:lang w:eastAsia="x-none"/>
        </w:rPr>
        <w:t>cualquier sistema que no implique convocatoria pública y posibilidad de pluralidad de oferentes</w:t>
      </w:r>
      <w:r>
        <w:rPr>
          <w:rFonts w:ascii="Verdana" w:eastAsia="Times New Roman" w:hAnsi="Verdana" w:cs="Arial"/>
          <w:lang w:eastAsia="en-GB"/>
        </w:rPr>
        <w:t>”</w:t>
      </w:r>
      <w:r>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Pr>
          <w:rFonts w:ascii="Verdana" w:eastAsia="Times New Roman" w:hAnsi="Verdana" w:cs="Arial"/>
          <w:lang w:val="es-ES_tradnl" w:eastAsia="x-none"/>
        </w:rPr>
        <w:t xml:space="preserve">y la mínima cuantía </w:t>
      </w:r>
      <w:r>
        <w:rPr>
          <w:rFonts w:ascii="Verdana" w:eastAsia="Times New Roman" w:hAnsi="Verdana" w:cs="Arial"/>
          <w:lang w:eastAsia="x-none"/>
        </w:rPr>
        <w:t xml:space="preserve">u otros previstos en normas especiales. Esta posición es </w:t>
      </w:r>
      <w:r>
        <w:rPr>
          <w:rFonts w:ascii="Verdana" w:eastAsia="Times New Roman" w:hAnsi="Verdana" w:cs="Arial"/>
          <w:lang w:eastAsia="x-none"/>
        </w:rPr>
        <w:lastRenderedPageBreak/>
        <w:t>congruente con la expedición de la Ley 1150 de 2007 que, entre otras reformas, introdujo la selección abreviada, rediseñó el concurso de méritos</w:t>
      </w:r>
      <w:r>
        <w:rPr>
          <w:rFonts w:ascii="Verdana" w:eastAsia="Times New Roman" w:hAnsi="Verdana" w:cs="Arial"/>
          <w:vertAlign w:val="superscript"/>
          <w:lang w:val="en-GB" w:eastAsia="x-none"/>
        </w:rPr>
        <w:footnoteReference w:id="14"/>
      </w:r>
      <w:r>
        <w:rPr>
          <w:rFonts w:ascii="Verdana" w:eastAsia="Times New Roman" w:hAnsi="Verdana" w:cs="Arial"/>
          <w:lang w:eastAsia="x-none"/>
        </w:rPr>
        <w:t xml:space="preserve"> y sistematizó las causales de contratación directa</w:t>
      </w:r>
      <w:r>
        <w:rPr>
          <w:rFonts w:ascii="Verdana" w:eastAsia="Times New Roman" w:hAnsi="Verdana" w:cs="Arial"/>
          <w:vertAlign w:val="superscript"/>
          <w:lang w:val="en-GB" w:eastAsia="x-none"/>
        </w:rPr>
        <w:footnoteReference w:id="15"/>
      </w:r>
      <w:r>
        <w:rPr>
          <w:rFonts w:ascii="Verdana" w:eastAsia="Times New Roman" w:hAnsi="Verdana" w:cs="Arial"/>
          <w:lang w:eastAsia="x-none"/>
        </w:rPr>
        <w:t xml:space="preserve">, </w:t>
      </w:r>
      <w:r>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44FB0A5E" w14:textId="77777777" w:rsidR="008D78B9" w:rsidRDefault="008D78B9" w:rsidP="008D78B9">
      <w:pPr>
        <w:spacing w:after="120" w:line="276" w:lineRule="auto"/>
        <w:ind w:firstLine="708"/>
        <w:jc w:val="both"/>
        <w:rPr>
          <w:rFonts w:ascii="Verdana" w:eastAsia="Times New Roman" w:hAnsi="Verdana" w:cs="Arial"/>
          <w:lang w:val="es-MX" w:eastAsia="x-none"/>
        </w:rPr>
      </w:pPr>
      <w:r>
        <w:rPr>
          <w:rFonts w:ascii="Verdana" w:eastAsia="Times New Roman" w:hAnsi="Verdana" w:cs="Arial"/>
          <w:lang w:eastAsia="x-none"/>
        </w:rPr>
        <w:t xml:space="preserve">De esta forma, con fundamento en la evolución de la normativa sobre la contratación pública, se ha depurado la noción de </w:t>
      </w:r>
      <w:r>
        <w:rPr>
          <w:rFonts w:ascii="Verdana" w:eastAsia="Times New Roman" w:hAnsi="Verdana" w:cs="Arial"/>
          <w:sz w:val="19"/>
          <w:szCs w:val="19"/>
          <w:lang w:eastAsia="en-GB"/>
        </w:rPr>
        <w:t>“</w:t>
      </w:r>
      <w:r>
        <w:rPr>
          <w:rFonts w:ascii="Verdana" w:eastAsia="Times New Roman" w:hAnsi="Verdana" w:cs="Arial"/>
          <w:lang w:eastAsia="x-none"/>
        </w:rPr>
        <w:t>contratación directa</w:t>
      </w:r>
      <w:r>
        <w:rPr>
          <w:rFonts w:ascii="Verdana" w:eastAsia="Times New Roman" w:hAnsi="Verdana" w:cs="Arial"/>
          <w:lang w:eastAsia="en-GB"/>
        </w:rPr>
        <w:t>”</w:t>
      </w:r>
      <w:r>
        <w:rPr>
          <w:rFonts w:ascii="Verdana" w:eastAsia="Times New Roman"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Pr>
          <w:rFonts w:ascii="Verdana" w:eastAsia="Times New Roman" w:hAnsi="Verdana" w:cs="Arial"/>
          <w:vertAlign w:val="superscript"/>
          <w:lang w:val="en-GB" w:eastAsia="x-none"/>
        </w:rPr>
        <w:footnoteReference w:id="16"/>
      </w:r>
      <w:r>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Pr>
          <w:rFonts w:ascii="Verdana" w:eastAsia="Times New Roman" w:hAnsi="Verdana" w:cs="Arial"/>
          <w:lang w:eastAsia="x-none"/>
        </w:rPr>
        <w:t xml:space="preserve">. </w:t>
      </w:r>
    </w:p>
    <w:p w14:paraId="6DC982B3" w14:textId="77777777" w:rsidR="008D78B9" w:rsidRDefault="008D78B9" w:rsidP="008D78B9">
      <w:pPr>
        <w:spacing w:after="120" w:line="276" w:lineRule="auto"/>
        <w:ind w:firstLine="708"/>
        <w:jc w:val="both"/>
        <w:rPr>
          <w:rFonts w:ascii="Verdana" w:eastAsia="Times New Roman" w:hAnsi="Verdana" w:cs="Arial"/>
          <w:bCs/>
          <w:lang w:val="es-MX" w:eastAsia="es-CO"/>
        </w:rPr>
      </w:pPr>
      <w:r>
        <w:rPr>
          <w:rFonts w:ascii="Verdana" w:eastAsia="Times New Roman" w:hAnsi="Verdana" w:cs="Arial"/>
          <w:bCs/>
          <w:lang w:val="es-MX" w:eastAsia="x-none"/>
        </w:rPr>
        <w:t>E</w:t>
      </w:r>
      <w:r>
        <w:rPr>
          <w:rFonts w:ascii="Verdana" w:eastAsia="Times New Roman"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Pr>
          <w:vertAlign w:val="superscript"/>
        </w:rPr>
        <w:footnoteReference w:id="17"/>
      </w:r>
      <w:r>
        <w:rPr>
          <w:rFonts w:ascii="Verdana" w:eastAsia="Times New Roman" w:hAnsi="Verdana" w:cs="Arial"/>
          <w:lang w:eastAsia="x-none"/>
        </w:rPr>
        <w:t xml:space="preserve">. </w:t>
      </w:r>
    </w:p>
    <w:p w14:paraId="66A802F6" w14:textId="77777777" w:rsidR="008D78B9" w:rsidRDefault="008D78B9" w:rsidP="008D78B9">
      <w:pPr>
        <w:spacing w:after="120" w:line="276" w:lineRule="auto"/>
        <w:ind w:firstLine="708"/>
        <w:jc w:val="both"/>
        <w:rPr>
          <w:rFonts w:ascii="Verdana" w:eastAsia="Times New Roman" w:hAnsi="Verdana" w:cs="Arial"/>
          <w:bCs/>
          <w:lang w:val="es-MX" w:eastAsia="es-CO"/>
        </w:rPr>
      </w:pPr>
      <w:r>
        <w:rPr>
          <w:rFonts w:ascii="Verdana" w:eastAsia="Times New Roman" w:hAnsi="Verdana" w:cs="Arial"/>
          <w:bCs/>
          <w:lang w:val="es-MX"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w:t>
      </w:r>
      <w:r>
        <w:rPr>
          <w:rFonts w:ascii="Verdana" w:eastAsia="Times New Roman" w:hAnsi="Verdana" w:cs="Arial"/>
          <w:bCs/>
          <w:lang w:val="es-MX" w:eastAsia="es-CO"/>
        </w:rPr>
        <w:lastRenderedPageBreak/>
        <w:t>régimen especial de contratación. No obstante, también se observa que luego de la expedición de Ley 1150 de 2007, el Consejo de Estado comenzó a delimitar con mayor precisión el término de “contratación directa”.</w:t>
      </w:r>
    </w:p>
    <w:p w14:paraId="568693D2" w14:textId="77777777" w:rsidR="008D78B9" w:rsidRDefault="008D78B9" w:rsidP="008D78B9">
      <w:pPr>
        <w:spacing w:after="120" w:line="276" w:lineRule="auto"/>
        <w:ind w:firstLine="708"/>
        <w:jc w:val="both"/>
        <w:rPr>
          <w:rFonts w:ascii="Verdana" w:eastAsia="Times New Roman" w:hAnsi="Verdana" w:cs="Arial"/>
          <w:bCs/>
          <w:lang w:val="es-MX" w:eastAsia="x-none"/>
        </w:rPr>
      </w:pPr>
      <w:r>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Pr>
          <w:rFonts w:ascii="Verdana" w:eastAsia="Times New Roman" w:hAnsi="Verdana" w:cs="Arial"/>
          <w:vertAlign w:val="superscript"/>
          <w:lang w:eastAsia="x-none"/>
        </w:rPr>
        <w:footnoteReference w:id="18"/>
      </w:r>
      <w:r>
        <w:rPr>
          <w:rFonts w:ascii="Verdana" w:eastAsia="Times New Roman" w:hAnsi="Verdana" w:cs="Arial"/>
          <w:bCs/>
          <w:lang w:val="es-MX" w:eastAsia="x-none"/>
        </w:rPr>
        <w:t>.</w:t>
      </w:r>
      <w:r>
        <w:rPr>
          <w:rFonts w:ascii="Verdana" w:eastAsia="Times New Roman" w:hAnsi="Verdana" w:cs="Arial"/>
          <w:vertAlign w:val="superscript"/>
          <w:lang w:val="es-MX" w:eastAsia="x-none"/>
        </w:rPr>
        <w:t xml:space="preserve"> </w:t>
      </w:r>
    </w:p>
    <w:p w14:paraId="03E1D42E" w14:textId="77777777" w:rsidR="008D78B9" w:rsidRDefault="008D78B9" w:rsidP="008D78B9">
      <w:pPr>
        <w:spacing w:after="120" w:line="276" w:lineRule="auto"/>
        <w:ind w:firstLine="708"/>
        <w:jc w:val="both"/>
        <w:rPr>
          <w:rFonts w:ascii="Verdana" w:eastAsia="Times New Roman" w:hAnsi="Verdana" w:cs="Arial"/>
          <w:lang w:eastAsia="x-none"/>
        </w:rPr>
      </w:pPr>
      <w:r>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0995A9FA" w14:textId="77777777" w:rsidR="008D78B9" w:rsidRDefault="008D78B9" w:rsidP="008D78B9">
      <w:pPr>
        <w:spacing w:after="120" w:line="276" w:lineRule="auto"/>
        <w:ind w:firstLine="708"/>
        <w:jc w:val="both"/>
        <w:rPr>
          <w:rFonts w:ascii="Verdana" w:eastAsia="Times New Roman" w:hAnsi="Verdana" w:cs="Arial"/>
          <w:bCs/>
          <w:lang w:val="es-MX" w:eastAsia="es-CO"/>
        </w:rPr>
      </w:pPr>
      <w:r>
        <w:rPr>
          <w:rFonts w:ascii="Verdana" w:eastAsia="Times New Roman" w:hAnsi="Verdana" w:cs="Arial"/>
          <w:bCs/>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Pr>
          <w:vertAlign w:val="superscript"/>
        </w:rPr>
        <w:footnoteReference w:id="19"/>
      </w:r>
      <w:r>
        <w:rPr>
          <w:rFonts w:ascii="Verdana" w:eastAsia="Times New Roman" w:hAnsi="Verdana" w:cs="Arial"/>
          <w:bCs/>
          <w:lang w:val="es-MX" w:eastAsia="es-CO"/>
        </w:rPr>
        <w:t xml:space="preserve">. Además, también es posible que contratos celebrados previamente se continúen ejecutando con normalidad. </w:t>
      </w:r>
    </w:p>
    <w:p w14:paraId="4DA69750" w14:textId="77777777" w:rsidR="008D78B9" w:rsidRDefault="008D78B9" w:rsidP="008D78B9">
      <w:pPr>
        <w:spacing w:after="120" w:line="276" w:lineRule="auto"/>
        <w:ind w:firstLine="708"/>
        <w:jc w:val="both"/>
        <w:rPr>
          <w:rFonts w:ascii="Verdana" w:eastAsia="Times New Roman" w:hAnsi="Verdana" w:cs="Arial"/>
          <w:bCs/>
          <w:lang w:val="es-MX" w:eastAsia="es-CO"/>
        </w:rPr>
      </w:pPr>
      <w:r>
        <w:rPr>
          <w:rFonts w:ascii="Verdana" w:eastAsia="Times New Roman" w:hAnsi="Verdana" w:cs="Arial"/>
          <w:bCs/>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w:t>
      </w:r>
      <w:r>
        <w:rPr>
          <w:rFonts w:ascii="Verdana" w:eastAsia="Times New Roman" w:hAnsi="Verdana" w:cs="Arial"/>
          <w:bCs/>
          <w:lang w:val="es-MX" w:eastAsia="x-none"/>
        </w:rPr>
        <w:lastRenderedPageBreak/>
        <w:t>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Pr>
          <w:rFonts w:ascii="Verdana" w:eastAsia="Times New Roman"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0B07BA72" w14:textId="77777777" w:rsidR="008D78B9" w:rsidRDefault="008D78B9" w:rsidP="008D78B9">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Pr>
          <w:rFonts w:ascii="Verdana" w:eastAsia="Calibri" w:hAnsi="Verdana" w:cs="Arial"/>
          <w:vertAlign w:val="superscript"/>
          <w:lang w:val="es-MX"/>
        </w:rPr>
        <w:footnoteReference w:id="20"/>
      </w:r>
      <w:r>
        <w:rPr>
          <w:rFonts w:ascii="Verdana" w:eastAsia="Times New Roman"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42886DD9" w14:textId="77777777" w:rsidR="008D78B9" w:rsidRDefault="008D78B9" w:rsidP="008D78B9">
      <w:pPr>
        <w:spacing w:after="0" w:line="276" w:lineRule="auto"/>
        <w:ind w:firstLine="708"/>
        <w:jc w:val="both"/>
        <w:rPr>
          <w:rFonts w:ascii="Verdana" w:eastAsia="Times New Roman" w:hAnsi="Verdana" w:cs="Arial"/>
          <w:bCs/>
          <w:lang w:val="es-MX" w:eastAsia="x-none"/>
        </w:rPr>
      </w:pPr>
      <w:r>
        <w:rPr>
          <w:rFonts w:ascii="Verdana" w:eastAsia="Times New Roman" w:hAnsi="Verdana" w:cs="Arial"/>
          <w:bCs/>
          <w:lang w:val="es-MX" w:eastAsia="x-none"/>
        </w:rPr>
        <w:t>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w:t>
      </w:r>
      <w:r>
        <w:rPr>
          <w:rFonts w:ascii="Verdana" w:eastAsia="Calibri" w:hAnsi="Verdana" w:cs="Arial"/>
          <w:sz w:val="24"/>
          <w:lang w:val="es-MX"/>
        </w:rPr>
        <w:t xml:space="preserve"> </w:t>
      </w:r>
      <w:r>
        <w:rPr>
          <w:rFonts w:ascii="Verdana" w:eastAsia="Times New Roman" w:hAnsi="Verdana" w:cs="Arial"/>
          <w:bCs/>
          <w:lang w:val="es-MX" w:eastAsia="x-none"/>
        </w:rPr>
        <w:t>En efecto, tal como lo ha sostenido el Consejo de Estado, el vocablo “todos” utilizado por el legislador comprende</w:t>
      </w:r>
      <w:r>
        <w:rPr>
          <w:rFonts w:ascii="Verdana" w:eastAsia="Calibri" w:hAnsi="Verdana" w:cs="Arial"/>
          <w:sz w:val="24"/>
          <w:lang w:val="es-MX"/>
        </w:rPr>
        <w:t xml:space="preserve"> </w:t>
      </w:r>
      <w:r>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Pr>
          <w:rFonts w:ascii="Verdana" w:eastAsia="Times New Roman" w:hAnsi="Verdana" w:cs="Arial"/>
          <w:bCs/>
          <w:lang w:val="es-ES_tradnl" w:eastAsia="x-none"/>
        </w:rPr>
        <w:t xml:space="preserve">La Sala de Consulta y Servicio Civil del Consejo de Estado, en Concepto 1727 de fecha 20 de febrero de 2006, consideró que: </w:t>
      </w:r>
    </w:p>
    <w:p w14:paraId="06EAEDC9" w14:textId="77777777" w:rsidR="008D78B9" w:rsidRDefault="008D78B9" w:rsidP="008D78B9">
      <w:pPr>
        <w:spacing w:after="0" w:line="276" w:lineRule="auto"/>
        <w:jc w:val="both"/>
        <w:rPr>
          <w:rFonts w:ascii="Verdana" w:eastAsia="Times New Roman" w:hAnsi="Verdana" w:cs="Arial"/>
          <w:bCs/>
          <w:lang w:val="es-MX" w:eastAsia="x-none"/>
        </w:rPr>
      </w:pPr>
    </w:p>
    <w:p w14:paraId="7DB0E439" w14:textId="77777777" w:rsidR="008D78B9" w:rsidRDefault="008D78B9" w:rsidP="008D78B9">
      <w:pPr>
        <w:spacing w:after="0" w:line="240" w:lineRule="auto"/>
        <w:ind w:left="708" w:right="709"/>
        <w:jc w:val="both"/>
        <w:rPr>
          <w:rFonts w:ascii="Verdana" w:eastAsia="Times New Roman" w:hAnsi="Verdana" w:cs="Arial"/>
          <w:bCs/>
          <w:sz w:val="20"/>
          <w:szCs w:val="20"/>
          <w:lang w:val="es-MX" w:eastAsia="es-CO"/>
        </w:rPr>
      </w:pPr>
      <w:r>
        <w:rPr>
          <w:rFonts w:ascii="Verdana" w:eastAsia="Times New Roman" w:hAnsi="Verdana" w:cs="Arial"/>
          <w:bCs/>
          <w:sz w:val="20"/>
          <w:szCs w:val="20"/>
          <w:lang w:val="es-MX"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Pr>
          <w:vertAlign w:val="superscript"/>
        </w:rPr>
        <w:footnoteReference w:id="21"/>
      </w:r>
      <w:r>
        <w:rPr>
          <w:rFonts w:ascii="Verdana" w:eastAsia="Times New Roman" w:hAnsi="Verdana" w:cs="Arial"/>
          <w:bCs/>
          <w:sz w:val="20"/>
          <w:szCs w:val="20"/>
          <w:lang w:val="es-MX" w:eastAsia="x-none"/>
        </w:rPr>
        <w:t>.</w:t>
      </w:r>
      <w:r>
        <w:rPr>
          <w:rFonts w:ascii="Verdana" w:eastAsia="Times New Roman" w:hAnsi="Verdana" w:cs="Arial"/>
          <w:bCs/>
          <w:sz w:val="20"/>
          <w:szCs w:val="20"/>
          <w:lang w:val="es-MX" w:eastAsia="es-CO"/>
        </w:rPr>
        <w:t xml:space="preserve"> </w:t>
      </w:r>
    </w:p>
    <w:p w14:paraId="0630655B" w14:textId="77777777" w:rsidR="008D78B9" w:rsidRDefault="008D78B9" w:rsidP="008D78B9">
      <w:pPr>
        <w:spacing w:after="0" w:line="276" w:lineRule="auto"/>
        <w:ind w:firstLine="708"/>
        <w:jc w:val="both"/>
        <w:rPr>
          <w:rFonts w:ascii="Verdana" w:eastAsia="Times New Roman" w:hAnsi="Verdana" w:cs="Arial"/>
          <w:bCs/>
          <w:lang w:val="es-MX" w:eastAsia="es-CO"/>
        </w:rPr>
      </w:pPr>
    </w:p>
    <w:p w14:paraId="09AD1746" w14:textId="77777777" w:rsidR="008D78B9" w:rsidRDefault="008D78B9" w:rsidP="008D78B9">
      <w:pPr>
        <w:spacing w:after="0" w:line="276" w:lineRule="auto"/>
        <w:ind w:firstLine="708"/>
        <w:jc w:val="both"/>
        <w:rPr>
          <w:rFonts w:ascii="Verdana" w:eastAsia="Calibri" w:hAnsi="Verdana" w:cs="Arial"/>
          <w:lang w:val="es-MX"/>
        </w:rPr>
      </w:pPr>
      <w:r>
        <w:rPr>
          <w:rFonts w:ascii="Verdana" w:eastAsia="Times New Roman" w:hAnsi="Verdana" w:cs="Arial"/>
          <w:bCs/>
          <w:lang w:val="es-MX" w:eastAsia="x-none"/>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Pr>
          <w:rFonts w:ascii="Verdana" w:eastAsia="Calibri" w:hAnsi="Verdana" w:cs="Arial"/>
          <w:sz w:val="24"/>
          <w:vertAlign w:val="superscript"/>
          <w:lang w:val="es-MX"/>
        </w:rPr>
        <w:footnoteReference w:id="22"/>
      </w:r>
      <w:r>
        <w:rPr>
          <w:rFonts w:ascii="Verdana" w:eastAsia="Times New Roman" w:hAnsi="Verdana" w:cs="Arial"/>
          <w:bCs/>
          <w:lang w:val="es-MX" w:eastAsia="x-none"/>
        </w:rPr>
        <w:t>.</w:t>
      </w:r>
      <w:r>
        <w:rPr>
          <w:rFonts w:ascii="Verdana" w:eastAsia="Calibri" w:hAnsi="Verdana" w:cs="Arial"/>
          <w:lang w:val="es-MX"/>
        </w:rPr>
        <w:t xml:space="preserve"> Además, la Sala de Consulta y Servicio Civil del Consejo de Estado realizó la siguiente distinción, retomando el pronunciamiento de la misma sala del 20 de febrero de 2006, citado anteriormente:</w:t>
      </w:r>
    </w:p>
    <w:p w14:paraId="50628948" w14:textId="77777777" w:rsidR="008D78B9" w:rsidRDefault="008D78B9" w:rsidP="008D78B9">
      <w:pPr>
        <w:spacing w:after="0" w:line="276" w:lineRule="auto"/>
        <w:jc w:val="both"/>
        <w:rPr>
          <w:rFonts w:ascii="Verdana" w:eastAsia="Calibri" w:hAnsi="Verdana" w:cs="Arial"/>
          <w:lang w:val="es-MX"/>
        </w:rPr>
      </w:pPr>
    </w:p>
    <w:p w14:paraId="6F39797A" w14:textId="77777777" w:rsidR="008D78B9" w:rsidRDefault="008D78B9" w:rsidP="008D78B9">
      <w:pPr>
        <w:spacing w:after="0" w:line="240" w:lineRule="auto"/>
        <w:ind w:left="708" w:right="709"/>
        <w:jc w:val="both"/>
        <w:rPr>
          <w:rFonts w:ascii="Verdana" w:eastAsia="Calibri" w:hAnsi="Verdana" w:cs="Arial"/>
          <w:sz w:val="20"/>
          <w:szCs w:val="20"/>
          <w:lang w:val="es-MX"/>
        </w:rPr>
      </w:pPr>
      <w:r>
        <w:rPr>
          <w:rFonts w:ascii="Verdana" w:eastAsia="Calibri" w:hAnsi="Verdana" w:cs="Arial"/>
          <w:sz w:val="20"/>
          <w:szCs w:val="20"/>
          <w:lang w:val="es-MX"/>
        </w:rPr>
        <w:t xml:space="preserve">“En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w:t>
      </w:r>
      <w:r>
        <w:rPr>
          <w:rFonts w:ascii="Verdana" w:eastAsia="Calibri" w:hAnsi="Verdana" w:cs="Arial"/>
          <w:sz w:val="20"/>
          <w:szCs w:val="20"/>
          <w:lang w:val="es-MX"/>
        </w:rPr>
        <w:lastRenderedPageBreak/>
        <w:t>públicos a su cargo a nuevas personas, ni dejar de renovar los contratos existentes, pues significaría la parálisis de una actividad propia de la administración, que incluso podría desconocer los derechos fundamentales.</w:t>
      </w:r>
    </w:p>
    <w:p w14:paraId="0AF633DC" w14:textId="77777777" w:rsidR="008D78B9" w:rsidRDefault="008D78B9" w:rsidP="008D78B9">
      <w:pPr>
        <w:spacing w:after="0" w:line="240" w:lineRule="auto"/>
        <w:ind w:right="709"/>
        <w:jc w:val="both"/>
        <w:rPr>
          <w:rFonts w:ascii="Verdana" w:eastAsia="Calibri" w:hAnsi="Verdana" w:cs="Arial"/>
          <w:sz w:val="12"/>
          <w:szCs w:val="12"/>
          <w:lang w:val="es-MX"/>
        </w:rPr>
      </w:pPr>
      <w:r>
        <w:rPr>
          <w:rFonts w:ascii="Verdana" w:eastAsia="Calibri" w:hAnsi="Verdana" w:cs="Arial"/>
          <w:sz w:val="20"/>
          <w:szCs w:val="20"/>
          <w:lang w:val="es-MX"/>
        </w:rPr>
        <w:tab/>
      </w:r>
    </w:p>
    <w:p w14:paraId="22304009" w14:textId="77777777" w:rsidR="008D78B9" w:rsidRDefault="008D78B9" w:rsidP="008D78B9">
      <w:pPr>
        <w:spacing w:after="0" w:line="240" w:lineRule="auto"/>
        <w:ind w:left="708" w:right="709"/>
        <w:jc w:val="both"/>
        <w:rPr>
          <w:rFonts w:ascii="Verdana" w:eastAsia="Calibri" w:hAnsi="Verdana" w:cs="Arial"/>
          <w:sz w:val="20"/>
          <w:szCs w:val="20"/>
          <w:lang w:val="es-MX"/>
        </w:rPr>
      </w:pPr>
      <w:r>
        <w:rPr>
          <w:rFonts w:ascii="Verdana" w:eastAsia="Times New Roman" w:hAnsi="Verdana" w:cs="Arial"/>
          <w:bCs/>
          <w:sz w:val="20"/>
          <w:szCs w:val="20"/>
          <w:lang w:val="es-MX" w:eastAsia="x-none"/>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Pr>
          <w:rFonts w:ascii="Verdana" w:eastAsia="Calibri" w:hAnsi="Verdana" w:cs="Arial"/>
          <w:sz w:val="20"/>
          <w:szCs w:val="20"/>
          <w:vertAlign w:val="superscript"/>
          <w:lang w:val="es-MX"/>
        </w:rPr>
        <w:footnoteReference w:id="23"/>
      </w:r>
      <w:r>
        <w:rPr>
          <w:rFonts w:ascii="Verdana" w:eastAsia="Times New Roman" w:hAnsi="Verdana" w:cs="Arial"/>
          <w:bCs/>
          <w:sz w:val="20"/>
          <w:szCs w:val="20"/>
          <w:lang w:val="es-MX" w:eastAsia="x-none"/>
        </w:rPr>
        <w:t>.</w:t>
      </w:r>
    </w:p>
    <w:p w14:paraId="30156D31" w14:textId="77777777" w:rsidR="008D78B9" w:rsidRDefault="008D78B9" w:rsidP="008D78B9">
      <w:pPr>
        <w:spacing w:after="0" w:line="276" w:lineRule="auto"/>
        <w:jc w:val="both"/>
        <w:rPr>
          <w:rFonts w:ascii="Verdana" w:eastAsia="Calibri" w:hAnsi="Verdana" w:cs="Arial"/>
          <w:lang w:val="es-MX"/>
        </w:rPr>
      </w:pPr>
    </w:p>
    <w:p w14:paraId="410AB510" w14:textId="77777777" w:rsidR="008D78B9" w:rsidRDefault="008D78B9" w:rsidP="008D78B9">
      <w:pPr>
        <w:spacing w:after="120" w:line="276" w:lineRule="auto"/>
        <w:ind w:firstLine="709"/>
        <w:jc w:val="both"/>
        <w:rPr>
          <w:rFonts w:ascii="Verdana" w:eastAsia="Times New Roman" w:hAnsi="Verdana" w:cs="Arial"/>
          <w:lang w:eastAsia="es-CO"/>
        </w:rPr>
      </w:pPr>
      <w:r>
        <w:rPr>
          <w:rFonts w:ascii="Verdana" w:eastAsia="Calibri" w:hAnsi="Verdana" w:cs="Arial"/>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Pr>
          <w:rFonts w:ascii="Verdana" w:eastAsia="Times New Roman" w:hAnsi="Verdana" w:cs="Arial"/>
          <w:bCs/>
          <w:lang w:val="es-MX" w:eastAsia="x-none"/>
        </w:rPr>
        <w:t>establecimientos de crédito, las sociedades de servicios financieros y las entidades aseguradoras</w:t>
      </w:r>
      <w:r>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Pr>
          <w:vertAlign w:val="superscript"/>
        </w:rPr>
        <w:footnoteReference w:id="24"/>
      </w:r>
      <w:r>
        <w:rPr>
          <w:rFonts w:ascii="Verdana" w:eastAsia="Calibri" w:hAnsi="Verdana" w:cs="Arial"/>
          <w:lang w:val="es-MX"/>
        </w:rPr>
        <w:t>.</w:t>
      </w:r>
      <w:r>
        <w:rPr>
          <w:rFonts w:ascii="Verdana" w:eastAsia="Times New Roman" w:hAnsi="Verdana" w:cs="Arial"/>
          <w:lang w:val="es-MX" w:eastAsia="es-CO"/>
        </w:rPr>
        <w:t xml:space="preserve"> </w:t>
      </w:r>
    </w:p>
    <w:p w14:paraId="52D0EC7F" w14:textId="77777777" w:rsidR="008D78B9" w:rsidRDefault="008D78B9" w:rsidP="008D78B9">
      <w:pPr>
        <w:spacing w:after="120" w:line="276" w:lineRule="auto"/>
        <w:ind w:firstLine="709"/>
        <w:jc w:val="both"/>
        <w:rPr>
          <w:rFonts w:ascii="Verdana" w:eastAsia="Times New Roman" w:hAnsi="Verdana" w:cs="Arial"/>
          <w:bCs/>
          <w:lang w:val="es-MX" w:eastAsia="x-none"/>
        </w:rPr>
      </w:pPr>
      <w:r>
        <w:rPr>
          <w:rFonts w:ascii="Verdana" w:eastAsia="Times New Roman" w:hAnsi="Verdana" w:cs="Arial"/>
          <w:lang w:eastAsia="es-CO"/>
        </w:rPr>
        <w:t>Sin perjuicio de estos pronunciamientos de la Sala de Consulta y Servicio Civil</w:t>
      </w:r>
      <w:r>
        <w:rPr>
          <w:rFonts w:ascii="Verdana" w:eastAsia="Calibri" w:hAnsi="Verdana" w:cs="Arial"/>
          <w:lang w:val="es-MX"/>
        </w:rPr>
        <w:t xml:space="preserve">, como la ha señalado esa misma Corporación, la restricción prevista en la Ley 996 de 2005 </w:t>
      </w:r>
      <w:r>
        <w:rPr>
          <w:rFonts w:ascii="Verdana" w:eastAsia="Times New Roman" w:hAnsi="Verdana" w:cs="Arial"/>
          <w:bCs/>
          <w:lang w:val="es-MX" w:eastAsia="x-none"/>
        </w:rPr>
        <w:t xml:space="preserve">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 o por la ejecución de un cierto tipo de recursos en sus </w:t>
      </w:r>
      <w:r>
        <w:rPr>
          <w:rFonts w:ascii="Verdana" w:eastAsia="Times New Roman" w:hAnsi="Verdana" w:cs="Arial"/>
          <w:bCs/>
          <w:lang w:val="es-MX" w:eastAsia="x-none"/>
        </w:rPr>
        <w:lastRenderedPageBreak/>
        <w:t>contrataciones, pues, la posibilidad de que los entes del Estado usen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340D9B21" w14:textId="77777777" w:rsidR="008D78B9" w:rsidRDefault="008D78B9" w:rsidP="008D78B9">
      <w:pPr>
        <w:spacing w:after="120" w:line="276" w:lineRule="auto"/>
        <w:ind w:firstLine="709"/>
        <w:jc w:val="both"/>
        <w:rPr>
          <w:rFonts w:ascii="Verdana" w:eastAsia="Times New Roman" w:hAnsi="Verdana" w:cs="Arial"/>
          <w:bCs/>
          <w:lang w:eastAsia="x-none"/>
        </w:rPr>
      </w:pPr>
      <w:r>
        <w:rPr>
          <w:rFonts w:ascii="Verdana" w:eastAsia="Times New Roman" w:hAnsi="Verdana" w:cs="Arial"/>
          <w:bCs/>
          <w:lang w:val="es-MX" w:eastAsia="x-none"/>
        </w:rPr>
        <w:t>Esto, sin perjuicio de las excepciones a la prohibición establecidas en el inciso segundo del mismo artículo 33, como son: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09051669" w14:textId="77777777" w:rsidR="008D78B9" w:rsidRDefault="008D78B9" w:rsidP="008D78B9">
      <w:pPr>
        <w:spacing w:after="120" w:line="276" w:lineRule="auto"/>
        <w:ind w:firstLine="709"/>
        <w:jc w:val="both"/>
        <w:rPr>
          <w:rFonts w:ascii="Verdana" w:eastAsia="Times New Roman" w:hAnsi="Verdana" w:cs="Arial"/>
          <w:bCs/>
          <w:lang w:eastAsia="x-none"/>
        </w:rPr>
      </w:pPr>
      <w:r>
        <w:rPr>
          <w:rFonts w:ascii="Verdana" w:eastAsia="Times New Roman" w:hAnsi="Verdana" w:cs="Arial"/>
          <w:bCs/>
          <w:lang w:val="es-MX" w:eastAsia="x-none"/>
        </w:rPr>
        <w:t xml:space="preserve">Además, se reitera que la restricción aplica frente a la contratación directa, entendida como cualquier sistema de selección o procedimiento de contratación utilizada por las entidades estatales que no incluya la convocatoria pública en alguna de sus etapas, ni permita la participación de una pluralidad de oferentes, ya sea en aplicación de normas del Estatuto General de Contratación de la Administración Pública, así como de regímenes especiales. Por tanto, las entidades que se rigen por el derecho privado podrán celebrar contratos de acuerdo con los procedimientos contractuales desarrollados en sus manuales de contratación, bajo el entendido que estos permitan la participación de una pluralidad de oferentes. </w:t>
      </w:r>
    </w:p>
    <w:p w14:paraId="23397052" w14:textId="77777777" w:rsidR="008D78B9" w:rsidRDefault="008D78B9" w:rsidP="008D78B9">
      <w:pPr>
        <w:spacing w:after="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Finalmente, se reitera, c</w:t>
      </w:r>
      <w:r>
        <w:rPr>
          <w:rFonts w:ascii="Verdana" w:eastAsia="Times New Roman" w:hAnsi="Verdana" w:cs="Arial"/>
          <w:bCs/>
          <w:lang w:val="es-MX" w:eastAsia="es-CO"/>
        </w:rPr>
        <w:t xml:space="preserve">omo en otras oportunidades lo ha manifestado esta Agencia, que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w:t>
      </w:r>
      <w:r>
        <w:rPr>
          <w:rFonts w:ascii="Verdana" w:eastAsia="Times New Roman" w:hAnsi="Verdana" w:cs="Arial"/>
          <w:bCs/>
          <w:lang w:val="es-MX" w:eastAsia="es-CO"/>
        </w:rPr>
        <w:lastRenderedPageBreak/>
        <w:t>responsabilidad</w:t>
      </w:r>
      <w:r>
        <w:rPr>
          <w:vertAlign w:val="superscript"/>
        </w:rPr>
        <w:footnoteReference w:id="25"/>
      </w:r>
      <w:r>
        <w:rPr>
          <w:rFonts w:ascii="Verdana" w:eastAsia="Times New Roman" w:hAnsi="Verdana" w:cs="Arial"/>
          <w:bCs/>
          <w:lang w:val="es-MX" w:eastAsia="es-CO"/>
        </w:rPr>
        <w:t>. Además, también es posible que contratos celebrados previamente se continúen ejecutando con normalidad.</w:t>
      </w:r>
    </w:p>
    <w:p w14:paraId="6D96B9C6" w14:textId="77777777" w:rsidR="008D78B9" w:rsidRDefault="008D78B9" w:rsidP="008D78B9">
      <w:pPr>
        <w:spacing w:after="0" w:line="276" w:lineRule="auto"/>
        <w:ind w:firstLine="709"/>
        <w:jc w:val="both"/>
        <w:rPr>
          <w:rFonts w:ascii="Verdana" w:eastAsia="Times New Roman" w:hAnsi="Verdana" w:cs="Arial"/>
          <w:bCs/>
          <w:lang w:val="es-MX" w:eastAsia="x-none"/>
        </w:rPr>
      </w:pPr>
    </w:p>
    <w:p w14:paraId="4A61E5C7" w14:textId="77777777" w:rsidR="008D78B9" w:rsidRDefault="008D78B9" w:rsidP="008D78B9">
      <w:pPr>
        <w:pStyle w:val="paragraph"/>
        <w:shd w:val="clear" w:color="auto" w:fill="FFFFFF"/>
        <w:spacing w:before="0" w:beforeAutospacing="0" w:after="120" w:afterAutospacing="0" w:line="276" w:lineRule="auto"/>
        <w:jc w:val="both"/>
        <w:textAlignment w:val="baseline"/>
        <w:rPr>
          <w:rFonts w:ascii="Verdana" w:eastAsia="Verdana" w:hAnsi="Verdana" w:cs="Verdana"/>
          <w:sz w:val="22"/>
          <w:szCs w:val="22"/>
          <w:lang w:val="es-ES"/>
        </w:rPr>
      </w:pPr>
      <w:proofErr w:type="spellStart"/>
      <w:r>
        <w:rPr>
          <w:rFonts w:ascii="Verdana" w:eastAsia="Calibri" w:hAnsi="Verdana" w:cs="Arial"/>
          <w:sz w:val="22"/>
          <w:szCs w:val="22"/>
          <w:lang w:val="es-ES"/>
        </w:rPr>
        <w:t>iv</w:t>
      </w:r>
      <w:proofErr w:type="spellEnd"/>
      <w:r>
        <w:rPr>
          <w:rFonts w:ascii="Verdana" w:eastAsia="Calibri" w:hAnsi="Verdana" w:cs="Arial"/>
          <w:sz w:val="22"/>
          <w:szCs w:val="22"/>
          <w:lang w:val="es-ES"/>
        </w:rPr>
        <w:t xml:space="preserve">. </w:t>
      </w:r>
      <w:bookmarkStart w:id="13" w:name="_Hlk79760203"/>
      <w:r>
        <w:rPr>
          <w:rFonts w:ascii="Verdana" w:hAnsi="Verdana"/>
          <w:sz w:val="22"/>
          <w:szCs w:val="22"/>
          <w:lang w:val="es-ES"/>
        </w:rPr>
        <w:t>La expropiación es un procedimiento administrativo por medio del cual el Estado, por razones de utilidad pública o interés social, priva coactivamente de la titularidad de un bien a un particular, de acuerdo con un procedimiento específico, con intervención de la autoridad judicial –expropiación por vía judicial– o mediante la utilización de los poderes públicos propios del régimen administrativo –expropiación por vía administrativa–, y previo pago de una indemnización</w:t>
      </w:r>
      <w:r>
        <w:rPr>
          <w:rStyle w:val="Refdenotaalpie"/>
          <w:rFonts w:ascii="Verdana" w:hAnsi="Verdana"/>
          <w:sz w:val="22"/>
          <w:szCs w:val="22"/>
          <w:lang w:val="es-ES"/>
        </w:rPr>
        <w:footnoteReference w:id="26"/>
      </w:r>
      <w:r>
        <w:rPr>
          <w:rFonts w:ascii="Verdana" w:hAnsi="Verdana"/>
          <w:sz w:val="22"/>
          <w:szCs w:val="22"/>
          <w:lang w:val="es-ES"/>
        </w:rPr>
        <w:t>.</w:t>
      </w:r>
    </w:p>
    <w:p w14:paraId="28B8DF15" w14:textId="77777777" w:rsidR="008D78B9" w:rsidRDefault="008D78B9" w:rsidP="008D78B9">
      <w:pPr>
        <w:spacing w:after="120" w:line="276" w:lineRule="auto"/>
        <w:ind w:firstLine="708"/>
        <w:jc w:val="both"/>
        <w:rPr>
          <w:rFonts w:ascii="Verdana" w:eastAsia="Times New Roman" w:hAnsi="Verdana" w:cs="Arial"/>
          <w:lang w:val="es-ES" w:eastAsia="es-ES_tradnl"/>
        </w:rPr>
      </w:pPr>
      <w:r>
        <w:rPr>
          <w:rFonts w:ascii="Verdana" w:eastAsia="Times New Roman" w:hAnsi="Verdana" w:cs="Arial"/>
          <w:lang w:val="es-ES" w:eastAsia="es-ES_tradnl"/>
        </w:rPr>
        <w:t>El Legislador, por medio de la Ley 9 de 1989 reguló, entre otros aspectos, lo concerniente al procedimiento para la enajenación voluntaria y expropiación de bienes inmuebles con el fin de desarrollar las actividades que la misma ley –artículo 10– declaró como de utilidad pública</w:t>
      </w:r>
      <w:r>
        <w:rPr>
          <w:rStyle w:val="Refdenotaalpie"/>
          <w:rFonts w:ascii="Verdana" w:eastAsia="Times New Roman" w:hAnsi="Verdana" w:cs="Arial"/>
          <w:lang w:val="es-ES" w:eastAsia="es-ES_tradnl"/>
        </w:rPr>
        <w:footnoteReference w:id="27"/>
      </w:r>
      <w:r>
        <w:rPr>
          <w:rFonts w:ascii="Verdana" w:eastAsia="Times New Roman" w:hAnsi="Verdana" w:cs="Arial"/>
          <w:lang w:val="es-ES" w:eastAsia="es-ES_tradnl"/>
        </w:rPr>
        <w:t>. Dicha ley fue modificada por la Ley 388 de 1997</w:t>
      </w:r>
      <w:r>
        <w:rPr>
          <w:rStyle w:val="Refdenotaalpie"/>
          <w:rFonts w:ascii="Verdana" w:eastAsia="Times New Roman" w:hAnsi="Verdana" w:cs="Arial"/>
          <w:lang w:val="es-ES" w:eastAsia="es-ES_tradnl"/>
        </w:rPr>
        <w:footnoteReference w:id="28"/>
      </w:r>
      <w:r>
        <w:rPr>
          <w:rFonts w:ascii="Verdana" w:eastAsia="Times New Roman" w:hAnsi="Verdana" w:cs="Arial"/>
          <w:lang w:val="es-ES" w:eastAsia="es-ES_tradnl"/>
        </w:rPr>
        <w:t xml:space="preserve"> que tuvo entre sus objetivos armonizar la legislación con las nuevas normas de la Constitución Política de 1991</w:t>
      </w:r>
      <w:r>
        <w:rPr>
          <w:rStyle w:val="Refdenotaalpie"/>
          <w:rFonts w:ascii="Verdana" w:eastAsia="Times New Roman" w:hAnsi="Verdana" w:cs="Arial"/>
          <w:lang w:val="es-ES" w:eastAsia="es-ES_tradnl"/>
        </w:rPr>
        <w:footnoteReference w:id="29"/>
      </w:r>
      <w:r>
        <w:rPr>
          <w:rFonts w:ascii="Verdana" w:eastAsia="Times New Roman" w:hAnsi="Verdana" w:cs="Arial"/>
          <w:lang w:val="es-ES" w:eastAsia="es-ES_tradnl"/>
        </w:rPr>
        <w:t xml:space="preserve">, y en sus artículos 58 y siguientes desarrolló lo relativo a la “adquisición de inmuebles por enajenación voluntaria y expropiación judicial”. Estas normas constituyen, principalmente, el régimen general de la expropiación por vía judicial y por vía administrativa, y regulan también aspectos de la enajenación voluntaria y de la negociación directa, de manera que “contienen las directrices que deben seguir las </w:t>
      </w:r>
      <w:r>
        <w:rPr>
          <w:rFonts w:ascii="Verdana" w:eastAsia="Times New Roman" w:hAnsi="Verdana" w:cs="Arial"/>
          <w:lang w:val="es-ES" w:eastAsia="es-ES_tradnl"/>
        </w:rPr>
        <w:lastRenderedPageBreak/>
        <w:t>administraciones locales y los ciudadanos para cumplir con los fines sociales y de utilidad pública del ordenamiento urbano”</w:t>
      </w:r>
      <w:r>
        <w:rPr>
          <w:rStyle w:val="Refdenotaalpie"/>
          <w:rFonts w:ascii="Verdana" w:eastAsia="Times New Roman" w:hAnsi="Verdana" w:cs="Arial"/>
          <w:lang w:val="es-ES" w:eastAsia="es-ES_tradnl"/>
        </w:rPr>
        <w:footnoteReference w:id="30"/>
      </w:r>
      <w:r>
        <w:rPr>
          <w:rFonts w:ascii="Verdana" w:eastAsia="Times New Roman" w:hAnsi="Verdana" w:cs="Arial"/>
          <w:lang w:val="es-ES" w:eastAsia="es-ES_tradnl"/>
        </w:rPr>
        <w:t>.</w:t>
      </w:r>
    </w:p>
    <w:bookmarkEnd w:id="13"/>
    <w:p w14:paraId="5752EFA9" w14:textId="77777777" w:rsidR="008D78B9" w:rsidRDefault="008D78B9" w:rsidP="008D78B9">
      <w:pPr>
        <w:spacing w:after="120" w:line="276" w:lineRule="auto"/>
        <w:ind w:firstLine="708"/>
        <w:jc w:val="both"/>
        <w:rPr>
          <w:rFonts w:ascii="Verdana" w:hAnsi="Verdana" w:cs="Arial"/>
          <w:lang w:val="es-ES"/>
        </w:rPr>
      </w:pPr>
      <w:r>
        <w:rPr>
          <w:rFonts w:ascii="Verdana" w:hAnsi="Verdana" w:cs="Arial"/>
          <w:lang w:val="es-ES"/>
        </w:rPr>
        <w:t>El trámite de expropiación, como se dijo, puede realizarse por vía</w:t>
      </w:r>
      <w:bookmarkStart w:id="14" w:name="_Hlk78998965"/>
      <w:r>
        <w:rPr>
          <w:rFonts w:ascii="Verdana" w:hAnsi="Verdana" w:cs="Arial"/>
          <w:lang w:val="es-ES"/>
        </w:rPr>
        <w:t xml:space="preserve"> judicial o por vía administrativa. La jurisprudencia constitucional ha hecho énfasis</w:t>
      </w:r>
      <w:r>
        <w:rPr>
          <w:rFonts w:ascii="Verdana" w:hAnsi="Verdana" w:cs="Arial"/>
          <w:spacing w:val="19"/>
          <w:lang w:val="es-ES"/>
        </w:rPr>
        <w:t xml:space="preserve"> </w:t>
      </w:r>
      <w:r>
        <w:rPr>
          <w:rFonts w:ascii="Verdana" w:hAnsi="Verdana" w:cs="Arial"/>
          <w:lang w:val="es-ES"/>
        </w:rPr>
        <w:t>en que, sin importar la vía por la que se adelante la expropiación, este proceso debe ser garantista y respetar el debido proceso</w:t>
      </w:r>
      <w:r>
        <w:rPr>
          <w:rStyle w:val="Refdenotaalpie"/>
          <w:rFonts w:ascii="Verdana" w:hAnsi="Verdana" w:cs="Arial"/>
          <w:lang w:val="es-ES"/>
        </w:rPr>
        <w:footnoteReference w:id="31"/>
      </w:r>
      <w:r>
        <w:rPr>
          <w:rFonts w:ascii="Verdana" w:hAnsi="Verdana" w:cs="Arial"/>
          <w:lang w:val="es-ES"/>
        </w:rPr>
        <w:t xml:space="preserve">. De esta manera, la garantía del debido proceso en el marco de un proceso de expropiación implica el cumplimiento de una serie de etapas previas definidas por las leyes antes mencionadas, tales como: i) la oferta de compra, </w:t>
      </w:r>
      <w:proofErr w:type="spellStart"/>
      <w:r>
        <w:rPr>
          <w:rFonts w:ascii="Verdana" w:hAnsi="Verdana" w:cs="Arial"/>
          <w:lang w:val="es-ES"/>
        </w:rPr>
        <w:t>ii</w:t>
      </w:r>
      <w:proofErr w:type="spellEnd"/>
      <w:r>
        <w:rPr>
          <w:rFonts w:ascii="Verdana" w:hAnsi="Verdana" w:cs="Arial"/>
          <w:lang w:val="es-ES"/>
        </w:rPr>
        <w:t xml:space="preserve">) la negociación directa y </w:t>
      </w:r>
      <w:proofErr w:type="spellStart"/>
      <w:r>
        <w:rPr>
          <w:rFonts w:ascii="Verdana" w:hAnsi="Verdana" w:cs="Arial"/>
          <w:lang w:val="es-ES"/>
        </w:rPr>
        <w:t>iii</w:t>
      </w:r>
      <w:proofErr w:type="spellEnd"/>
      <w:r>
        <w:rPr>
          <w:rFonts w:ascii="Verdana" w:hAnsi="Verdana" w:cs="Arial"/>
          <w:lang w:val="es-ES"/>
        </w:rPr>
        <w:t>) el proceso expropiatorio.</w:t>
      </w:r>
    </w:p>
    <w:p w14:paraId="23C107BA" w14:textId="77777777" w:rsidR="008D78B9" w:rsidRDefault="008D78B9" w:rsidP="008D78B9">
      <w:pPr>
        <w:spacing w:after="120" w:line="276" w:lineRule="auto"/>
        <w:ind w:firstLine="708"/>
        <w:jc w:val="both"/>
        <w:rPr>
          <w:rFonts w:ascii="Verdana" w:hAnsi="Verdana" w:cs="Arial"/>
          <w:lang w:val="es-ES"/>
        </w:rPr>
      </w:pPr>
      <w:r>
        <w:rPr>
          <w:rFonts w:ascii="Verdana" w:hAnsi="Verdana" w:cs="Arial"/>
          <w:lang w:val="es-ES"/>
        </w:rPr>
        <w:t>La primera etapa, relativa a la oferta de compra, que aplica tanto en los procesos de expropiación judicial como administrativa, hace referencia a la oferta de compra que hace la autoridad al propietario del bien. La segunda etapa de negociación o de enajenación voluntaria es aquella en virtud de la cual el particular y la entidad llegan a un acuerdo a través de la celebración de un contrato de compraventa o de promesa de compraventa, pero si en esta etapa no se logra un acuerdo entre el propietario del bien y la Administración debe adelantarse el procedimiento expropiatorio. La tercera y última etapa es la expropiación, ya sea administrativa o judicial.</w:t>
      </w:r>
    </w:p>
    <w:bookmarkEnd w:id="14"/>
    <w:p w14:paraId="3F524289" w14:textId="77777777" w:rsidR="008D78B9" w:rsidRDefault="008D78B9" w:rsidP="008D78B9">
      <w:pPr>
        <w:spacing w:after="120" w:line="276" w:lineRule="auto"/>
        <w:ind w:firstLine="708"/>
        <w:jc w:val="both"/>
        <w:rPr>
          <w:rFonts w:ascii="Verdana" w:eastAsia="Times New Roman" w:hAnsi="Verdana" w:cs="Arial"/>
          <w:lang w:val="es-ES" w:eastAsia="es-ES_tradnl"/>
        </w:rPr>
      </w:pPr>
      <w:r>
        <w:rPr>
          <w:rFonts w:ascii="Verdana" w:eastAsia="Times New Roman" w:hAnsi="Verdana" w:cs="Arial"/>
          <w:lang w:val="es-ES" w:eastAsia="es-ES_tradnl"/>
        </w:rPr>
        <w:t>Por consiguiente, el procedimiento para la adquisición de bienes inmuebles destinados a actividades de utilidad pública e interés social contempla que la entidad pública adquirente efectúe previamente el trámite de adquisición a través de la enajenación voluntaria y negociada con el propietario del inmueble, antes de acudir a los procedimientos especiales para la expropiación judicial o administrativa.</w:t>
      </w:r>
      <w:r>
        <w:rPr>
          <w:rFonts w:ascii="Verdana" w:hAnsi="Verdana"/>
          <w:lang w:val="es-ES"/>
        </w:rPr>
        <w:t xml:space="preserve"> </w:t>
      </w:r>
      <w:r>
        <w:rPr>
          <w:rFonts w:ascii="Verdana" w:eastAsia="Times New Roman" w:hAnsi="Verdana" w:cs="Arial"/>
          <w:lang w:val="es-ES" w:eastAsia="es-ES_tradnl"/>
        </w:rPr>
        <w:t>Así, en los casos de enajenación voluntaria y negociación directa, la adquisición se realiza como resultado de un negocio jurídico autónomo, en el que la obligación de pago se determinará de común acuerdo entre el Estado y el vendedor, pues, en tales eventos no se trata de una expropiación</w:t>
      </w:r>
      <w:r>
        <w:rPr>
          <w:rStyle w:val="Refdenotaalpie"/>
          <w:rFonts w:ascii="Verdana" w:eastAsia="Times New Roman" w:hAnsi="Verdana" w:cs="Arial"/>
          <w:lang w:val="es-ES" w:eastAsia="es-ES_tradnl"/>
        </w:rPr>
        <w:footnoteReference w:id="32"/>
      </w:r>
      <w:r>
        <w:rPr>
          <w:rFonts w:ascii="Verdana" w:eastAsia="Times New Roman" w:hAnsi="Verdana" w:cs="Arial"/>
          <w:lang w:val="es-ES" w:eastAsia="es-ES_tradnl"/>
        </w:rPr>
        <w:t>.</w:t>
      </w:r>
    </w:p>
    <w:p w14:paraId="51CF650C" w14:textId="77777777" w:rsidR="008D78B9" w:rsidRDefault="008D78B9" w:rsidP="008D78B9">
      <w:pPr>
        <w:spacing w:after="0" w:line="276" w:lineRule="auto"/>
        <w:ind w:firstLine="708"/>
        <w:jc w:val="both"/>
        <w:rPr>
          <w:rFonts w:ascii="Verdana" w:eastAsia="Times New Roman" w:hAnsi="Verdana" w:cs="Arial"/>
          <w:lang w:val="es-ES" w:eastAsia="es-ES_tradnl"/>
        </w:rPr>
      </w:pPr>
      <w:r>
        <w:rPr>
          <w:rFonts w:ascii="Verdana" w:eastAsia="Times New Roman" w:hAnsi="Verdana" w:cs="Arial"/>
          <w:lang w:val="es-ES" w:eastAsia="es-ES_tradnl"/>
        </w:rPr>
        <w:lastRenderedPageBreak/>
        <w:t xml:space="preserve">Una vez se ha efectuado la notificación del acto de oferta empieza a correr el término durante el cual se llevará a cabo la negociación con el propietario del inmueble. Si en este plazo se logra el acuerdo se celebrará un </w:t>
      </w:r>
      <w:r>
        <w:rPr>
          <w:rFonts w:ascii="Verdana" w:eastAsia="Times New Roman" w:hAnsi="Verdana" w:cs="Arial"/>
          <w:i/>
          <w:iCs/>
          <w:lang w:val="es-ES" w:eastAsia="es-ES_tradnl"/>
        </w:rPr>
        <w:t>contrato de compraventa</w:t>
      </w:r>
      <w:r>
        <w:rPr>
          <w:rFonts w:ascii="Verdana" w:eastAsia="Times New Roman" w:hAnsi="Verdana" w:cs="Arial"/>
          <w:lang w:val="es-ES" w:eastAsia="es-ES_tradnl"/>
        </w:rPr>
        <w:t xml:space="preserve"> o de promesa de compraventa</w:t>
      </w:r>
      <w:r>
        <w:rPr>
          <w:rStyle w:val="Refdenotaalpie"/>
          <w:rFonts w:ascii="Verdana" w:eastAsia="Times New Roman" w:hAnsi="Verdana" w:cs="Arial"/>
          <w:lang w:val="es-ES" w:eastAsia="es-ES_tradnl"/>
        </w:rPr>
        <w:footnoteReference w:id="33"/>
      </w:r>
      <w:r>
        <w:rPr>
          <w:rFonts w:ascii="Verdana" w:eastAsia="Times New Roman" w:hAnsi="Verdana" w:cs="Arial"/>
          <w:lang w:val="es-ES" w:eastAsia="es-ES_tradnl"/>
        </w:rPr>
        <w:t xml:space="preserve">. En caso contrario se deberá dar inicio al proceso de expropiación. Finalmente, en caso de acuerdo, realizada la entrega material del inmueble a favor de la entidad adquirente, el pago del precio se efectuará de conformidad con lo convenido dentro del respectivo contrato de compraventa. </w:t>
      </w:r>
    </w:p>
    <w:p w14:paraId="1C64710D" w14:textId="77777777" w:rsidR="008D78B9" w:rsidRDefault="008D78B9" w:rsidP="008D78B9">
      <w:pPr>
        <w:spacing w:before="120" w:after="0" w:line="276" w:lineRule="auto"/>
        <w:ind w:firstLine="708"/>
        <w:jc w:val="both"/>
        <w:rPr>
          <w:rFonts w:ascii="Verdana" w:eastAsia="Times New Roman" w:hAnsi="Verdana" w:cs="Arial"/>
          <w:lang w:val="es-ES" w:eastAsia="es-ES_tradnl"/>
        </w:rPr>
      </w:pPr>
      <w:r>
        <w:rPr>
          <w:rFonts w:ascii="Verdana" w:eastAsia="Times New Roman" w:hAnsi="Verdana" w:cs="Arial"/>
          <w:lang w:val="es-ES" w:eastAsia="es-ES_tradnl"/>
        </w:rPr>
        <w:t>En efecto, en los procesos de expropiación judicial o expropiación administrativa existe una etapa previa de negociación, en la cual la administración intenta adquirir voluntariamente el bien, de suerte que se evite iniciar el proceso forzoso expropiatorio. Esta etapa comienza con una oferta de la entidad al particular para adquirir el bien por el precio base fijado con fundamento en un avalúo. Posteriormente, pasa a una etapa de negociación directa con el particular. En caso de que el proceso de negociación directa se concrete, culmina con la etapa de transferencia del bien y de pago del precio acordado. Pero, si el proceso de negociación se frustra, inicia la etapa expropiatoria, mediante los procesos judicial o administrativo, según el caso, hasta obtener el título traslaticio de dominio al Estado, la tradición del bien y realizar el pago de la indemnización al particular expropiado.</w:t>
      </w:r>
    </w:p>
    <w:p w14:paraId="5451C495" w14:textId="77777777" w:rsidR="008D78B9" w:rsidRDefault="008D78B9" w:rsidP="008D78B9">
      <w:pPr>
        <w:tabs>
          <w:tab w:val="left" w:pos="709"/>
        </w:tabs>
        <w:spacing w:before="120" w:after="120" w:line="276" w:lineRule="auto"/>
        <w:ind w:firstLine="708"/>
        <w:jc w:val="both"/>
        <w:rPr>
          <w:rFonts w:ascii="Verdana" w:eastAsia="Times New Roman" w:hAnsi="Verdana" w:cs="Arial"/>
          <w:lang w:val="es-ES" w:eastAsia="es-ES_tradnl"/>
        </w:rPr>
      </w:pPr>
      <w:bookmarkStart w:id="15" w:name="_Hlk79760762"/>
      <w:r>
        <w:rPr>
          <w:rFonts w:ascii="Verdana" w:eastAsia="Times New Roman" w:hAnsi="Verdana" w:cs="Arial"/>
          <w:lang w:val="es-ES" w:eastAsia="es-ES_tradnl"/>
        </w:rPr>
        <w:t xml:space="preserve">Dado que el procedimiento establecido podría culminar con la celebración de </w:t>
      </w:r>
      <w:bookmarkStart w:id="16" w:name="_Hlk79003065"/>
      <w:r>
        <w:rPr>
          <w:rFonts w:ascii="Verdana" w:eastAsia="Times New Roman" w:hAnsi="Verdana" w:cs="Arial"/>
          <w:lang w:val="es-ES" w:eastAsia="es-ES_tradnl"/>
        </w:rPr>
        <w:t xml:space="preserve">una promesa de compraventa o en un contrato de compraventa, </w:t>
      </w:r>
      <w:bookmarkEnd w:id="16"/>
      <w:r>
        <w:rPr>
          <w:rFonts w:ascii="Verdana" w:eastAsia="Times New Roman" w:hAnsi="Verdana" w:cs="Arial"/>
          <w:lang w:val="es-ES" w:eastAsia="es-ES_tradnl"/>
        </w:rPr>
        <w:t xml:space="preserve">en el que participan entidades estatales y se invierten recursos de naturaleza pública, bien puede afirmarse que estos actos jurídicos negociales son auténticos contratos estatales, según el criterio orgánico establecido en el artículo 32 de la Ley 80 de 1993, en concordancia el artículo 2 </w:t>
      </w:r>
      <w:r>
        <w:rPr>
          <w:rFonts w:ascii="Verdana" w:eastAsia="Times New Roman" w:hAnsi="Verdana" w:cs="Arial"/>
          <w:i/>
          <w:iCs/>
          <w:lang w:val="es-ES" w:eastAsia="es-ES_tradnl"/>
        </w:rPr>
        <w:t>ibidem</w:t>
      </w:r>
      <w:r>
        <w:rPr>
          <w:rFonts w:ascii="Verdana" w:eastAsia="Times New Roman" w:hAnsi="Verdana" w:cs="Arial"/>
          <w:lang w:val="es-ES" w:eastAsia="es-ES_tradnl"/>
        </w:rPr>
        <w:t xml:space="preserve"> y en armonía con lo dispuesto por el artículo 1 de la Ley 1150 de 2007.</w:t>
      </w:r>
    </w:p>
    <w:p w14:paraId="5FEF5F32" w14:textId="77777777" w:rsidR="008D78B9" w:rsidRDefault="008D78B9" w:rsidP="008D78B9">
      <w:pPr>
        <w:pStyle w:val="paragraph"/>
        <w:shd w:val="clear" w:color="auto" w:fill="FFFFFF"/>
        <w:spacing w:before="0" w:beforeAutospacing="0" w:after="0" w:afterAutospacing="0" w:line="276" w:lineRule="auto"/>
        <w:ind w:firstLine="703"/>
        <w:jc w:val="both"/>
        <w:textAlignment w:val="baseline"/>
        <w:rPr>
          <w:rFonts w:ascii="Verdana" w:hAnsi="Verdana" w:cs="Arial"/>
          <w:sz w:val="22"/>
          <w:szCs w:val="22"/>
          <w:lang w:val="es-ES" w:eastAsia="es-ES_tradnl"/>
        </w:rPr>
      </w:pPr>
      <w:r>
        <w:rPr>
          <w:rFonts w:ascii="Verdana" w:hAnsi="Verdana" w:cs="Arial"/>
          <w:sz w:val="22"/>
          <w:szCs w:val="22"/>
          <w:lang w:val="es-ES" w:eastAsia="es-ES_tradnl"/>
        </w:rPr>
        <w:t xml:space="preserve">Sin embargo, el procedimiento de adquisición de bienes inmuebles establecido en el Estatuto General de Contratación de la Administración Pública no resulta aplicable. Tal y como ha sido aclarado por esta Agencia, el procedimiento para la adquisición de bienes inmuebles con fines de utilidad </w:t>
      </w:r>
      <w:r>
        <w:rPr>
          <w:rFonts w:ascii="Verdana" w:hAnsi="Verdana" w:cs="Arial"/>
          <w:sz w:val="22"/>
          <w:szCs w:val="22"/>
          <w:lang w:val="es-ES" w:eastAsia="es-ES_tradnl"/>
        </w:rPr>
        <w:lastRenderedPageBreak/>
        <w:t>pública e interés social se encuentra excluido de la aplicación de tal estatuto, por cuanto es un procedimiento regulado en un régimen especial y exceptuado.</w:t>
      </w:r>
      <w:bookmarkEnd w:id="15"/>
      <w:r>
        <w:rPr>
          <w:rFonts w:ascii="Verdana" w:hAnsi="Verdana" w:cs="Arial"/>
          <w:sz w:val="22"/>
          <w:szCs w:val="22"/>
          <w:lang w:val="es-ES" w:eastAsia="es-ES_tradnl"/>
        </w:rPr>
        <w:t xml:space="preserve"> Al respecto, se reitera lo señalado por esta Agencia mediante Concepto C-159 de 2020, en los siguientes términos:</w:t>
      </w:r>
    </w:p>
    <w:p w14:paraId="7D23DD8C" w14:textId="77777777" w:rsidR="008D78B9" w:rsidRDefault="008D78B9" w:rsidP="008D78B9">
      <w:pPr>
        <w:pStyle w:val="paragraph"/>
        <w:shd w:val="clear" w:color="auto" w:fill="FFFFFF"/>
        <w:spacing w:before="0" w:beforeAutospacing="0" w:after="0" w:afterAutospacing="0" w:line="276" w:lineRule="auto"/>
        <w:ind w:firstLine="703"/>
        <w:jc w:val="both"/>
        <w:textAlignment w:val="baseline"/>
        <w:rPr>
          <w:rFonts w:ascii="Verdana" w:hAnsi="Verdana" w:cs="Arial"/>
          <w:sz w:val="22"/>
          <w:szCs w:val="22"/>
          <w:lang w:val="es-ES" w:eastAsia="es-ES_tradnl"/>
        </w:rPr>
      </w:pPr>
    </w:p>
    <w:p w14:paraId="63F742A3" w14:textId="77777777" w:rsidR="008D78B9" w:rsidRDefault="008D78B9" w:rsidP="008D78B9">
      <w:pPr>
        <w:spacing w:after="0" w:line="240" w:lineRule="auto"/>
        <w:ind w:left="708" w:right="709"/>
        <w:jc w:val="both"/>
        <w:rPr>
          <w:rFonts w:ascii="Verdana" w:eastAsia="Times New Roman" w:hAnsi="Verdana" w:cs="Arial"/>
          <w:sz w:val="20"/>
          <w:szCs w:val="20"/>
          <w:lang w:val="es-ES" w:eastAsia="es-ES_tradnl"/>
        </w:rPr>
      </w:pPr>
      <w:r>
        <w:rPr>
          <w:rFonts w:ascii="Verdana" w:eastAsia="Calibri" w:hAnsi="Verdana" w:cs="Arial"/>
          <w:color w:val="000000" w:themeColor="text1"/>
          <w:sz w:val="20"/>
          <w:szCs w:val="20"/>
          <w:lang w:val="es-ES"/>
        </w:rPr>
        <w:t>“Al observar lo anterior y contrastarlo con la normativa de contratación pública, esta entidad concluyó que, a pesar de que la Ley 80 de 1993 regula los contratos de las entidades, la excepción a esta regla debe tener origen constitucional o legal, y por ello, en virtud de la especialidad del procedimiento, el trámite de enajenación voluntaria directa, al que se refiere la Ley 9 de 1989, modificada por la Ley 388 de 1997, no hace parte de la normativa de contratación pública, toda vez que si bien dicho trámite implica la celebración de un contrato de compraventa, ese contrato tiene origen o razón de ser en la declaración previa de los bienes de “utilidad pública o interés social” en los términos del artículo 58 de la Ley 388 de 1997”</w:t>
      </w:r>
      <w:r>
        <w:rPr>
          <w:rStyle w:val="Refdenotaalpie"/>
          <w:rFonts w:ascii="Verdana" w:eastAsia="Calibri" w:hAnsi="Verdana" w:cs="Arial"/>
          <w:color w:val="000000" w:themeColor="text1"/>
          <w:sz w:val="20"/>
          <w:szCs w:val="20"/>
          <w:lang w:val="es-ES"/>
        </w:rPr>
        <w:footnoteReference w:id="34"/>
      </w:r>
      <w:r>
        <w:rPr>
          <w:rFonts w:ascii="Verdana" w:eastAsia="Calibri" w:hAnsi="Verdana" w:cs="Arial"/>
          <w:color w:val="000000" w:themeColor="text1"/>
          <w:sz w:val="20"/>
          <w:szCs w:val="20"/>
          <w:lang w:val="es-ES"/>
        </w:rPr>
        <w:t>.</w:t>
      </w:r>
    </w:p>
    <w:p w14:paraId="1FC44DF2" w14:textId="77777777" w:rsidR="008D78B9" w:rsidRDefault="008D78B9" w:rsidP="008D78B9">
      <w:pPr>
        <w:spacing w:after="0" w:line="276" w:lineRule="auto"/>
        <w:jc w:val="both"/>
        <w:rPr>
          <w:rFonts w:ascii="Verdana" w:eastAsia="Times New Roman" w:hAnsi="Verdana" w:cs="Arial"/>
          <w:lang w:val="es-ES" w:eastAsia="es-ES_tradnl"/>
        </w:rPr>
      </w:pPr>
    </w:p>
    <w:p w14:paraId="48EEF183" w14:textId="77777777" w:rsidR="008D78B9" w:rsidRDefault="008D78B9" w:rsidP="008D78B9">
      <w:pPr>
        <w:spacing w:after="120" w:line="276" w:lineRule="auto"/>
        <w:ind w:firstLine="708"/>
        <w:jc w:val="both"/>
        <w:rPr>
          <w:rFonts w:ascii="Verdana" w:eastAsia="Times New Roman" w:hAnsi="Verdana" w:cs="Arial"/>
          <w:lang w:val="es-ES" w:eastAsia="es-ES_tradnl"/>
        </w:rPr>
      </w:pPr>
      <w:r>
        <w:rPr>
          <w:rFonts w:ascii="Verdana" w:eastAsia="Times New Roman" w:hAnsi="Verdana" w:cs="Arial"/>
          <w:lang w:val="es-ES" w:eastAsia="es-ES_tradnl"/>
        </w:rPr>
        <w:t xml:space="preserve">En efecto, pese a que existe un régimen normativo aplicable de manera general a la contratación del Estado, el legislador ha establecido regímenes especiales para algunas entidades estatales en consideración a su actividad o para algunos contratos estatales </w:t>
      </w:r>
      <w:proofErr w:type="gramStart"/>
      <w:r>
        <w:rPr>
          <w:rFonts w:ascii="Verdana" w:eastAsia="Times New Roman" w:hAnsi="Verdana" w:cs="Arial"/>
          <w:lang w:val="es-ES" w:eastAsia="es-ES_tradnl"/>
        </w:rPr>
        <w:t>en razón de</w:t>
      </w:r>
      <w:proofErr w:type="gramEnd"/>
      <w:r>
        <w:rPr>
          <w:rFonts w:ascii="Verdana" w:eastAsia="Times New Roman" w:hAnsi="Verdana" w:cs="Arial"/>
          <w:lang w:val="es-ES" w:eastAsia="es-ES_tradnl"/>
        </w:rPr>
        <w:t xml:space="preserve"> su objeto, que contienen una serie de normas distintas o específicas que se aplican a la actividad contractual de tales entidades o en la celebración de dichos contratos, o simplemente remiten al Derecho privado. Por ende, no resultan aplicables aquellas materias reguladas por el citado Estatuto y las normas que lo modifiquen o adicionen, como, por ejemplo, los mecanismos de selección, las cláusulas excepcionales, la liquidación del contrato, entre otros, salvo que el régimen especial así lo autorice. </w:t>
      </w:r>
    </w:p>
    <w:p w14:paraId="11B41C10" w14:textId="77777777" w:rsidR="008D78B9" w:rsidRDefault="008D78B9" w:rsidP="008D78B9">
      <w:pPr>
        <w:spacing w:after="120" w:line="276" w:lineRule="auto"/>
        <w:ind w:firstLine="708"/>
        <w:jc w:val="both"/>
        <w:rPr>
          <w:rFonts w:ascii="Verdana" w:eastAsia="Times New Roman" w:hAnsi="Verdana" w:cs="Arial"/>
          <w:lang w:val="es-ES" w:eastAsia="es-ES_tradnl"/>
        </w:rPr>
      </w:pPr>
      <w:r>
        <w:rPr>
          <w:rFonts w:ascii="Verdana" w:eastAsia="Times New Roman" w:hAnsi="Verdana" w:cs="Arial"/>
          <w:lang w:val="es-ES" w:eastAsia="es-ES_tradnl"/>
        </w:rPr>
        <w:t xml:space="preserve">Sin embargo, no debe pasarse por alto que, al margen de su especialidad, el procedimiento administrativo </w:t>
      </w:r>
      <w:bookmarkStart w:id="17" w:name="_Hlk79133236"/>
      <w:r>
        <w:rPr>
          <w:rFonts w:ascii="Verdana" w:eastAsia="Times New Roman" w:hAnsi="Verdana" w:cs="Arial"/>
          <w:lang w:val="es-ES" w:eastAsia="es-ES_tradnl"/>
        </w:rPr>
        <w:t xml:space="preserve">para la adquisición de inmuebles por utilidad pública e interés social mediante enajenación voluntaria, </w:t>
      </w:r>
      <w:bookmarkEnd w:id="17"/>
      <w:r>
        <w:rPr>
          <w:rFonts w:ascii="Verdana" w:eastAsia="Times New Roman" w:hAnsi="Verdana" w:cs="Arial"/>
          <w:lang w:val="es-ES" w:eastAsia="es-ES_tradnl"/>
        </w:rPr>
        <w:t>implica el ejercicio de funciones administrativas, lo que, por ende, implica la aplicación de los principios de igualdad, moralidad, eficacia, economía, celeridad, imparcialidad y publicidad contenidos en el artículo 209 de la Constitución, varios de los cuales encuentran manifestaciones prácticas y concretas dentro de la regulación de las leyes 9 de 1989, 388 de 1997 y 1682 de 2013.</w:t>
      </w:r>
      <w:bookmarkStart w:id="18" w:name="_Hlk79760844"/>
      <w:r>
        <w:rPr>
          <w:rFonts w:ascii="Verdana" w:eastAsia="Times New Roman" w:hAnsi="Verdana" w:cs="Arial"/>
          <w:lang w:val="es-ES" w:eastAsia="es-ES_tradnl"/>
        </w:rPr>
        <w:t xml:space="preserve"> Toda vez que a través de la adquisición de bienes inmuebles mediante enajenación directa se comprometen dineros </w:t>
      </w:r>
      <w:r>
        <w:rPr>
          <w:rFonts w:ascii="Verdana" w:eastAsia="Times New Roman" w:hAnsi="Verdana" w:cs="Arial"/>
          <w:lang w:val="es-ES" w:eastAsia="es-ES_tradnl"/>
        </w:rPr>
        <w:lastRenderedPageBreak/>
        <w:t>provenientes del erario, resultan también aplicables los principios propios del Estado Social de Derecho y de la Administración pública como los principios de transparencia, publicidad entre otros.</w:t>
      </w:r>
    </w:p>
    <w:p w14:paraId="45A553C0" w14:textId="77777777" w:rsidR="008D78B9" w:rsidRDefault="008D78B9" w:rsidP="008D78B9">
      <w:pPr>
        <w:tabs>
          <w:tab w:val="left" w:pos="426"/>
        </w:tabs>
        <w:spacing w:after="120" w:line="276" w:lineRule="auto"/>
        <w:jc w:val="both"/>
        <w:rPr>
          <w:rFonts w:ascii="Verdana" w:eastAsia="Times New Roman" w:hAnsi="Verdana" w:cs="Arial"/>
          <w:lang w:val="es-ES" w:eastAsia="es-ES_tradnl"/>
        </w:rPr>
      </w:pPr>
      <w:r>
        <w:rPr>
          <w:rFonts w:ascii="Verdana" w:eastAsia="Times New Roman" w:hAnsi="Verdana" w:cs="Arial"/>
          <w:lang w:val="es-ES" w:eastAsia="es-ES_tradnl"/>
        </w:rPr>
        <w:tab/>
      </w:r>
      <w:r>
        <w:rPr>
          <w:rFonts w:ascii="Verdana" w:eastAsia="Times New Roman" w:hAnsi="Verdana" w:cs="Arial"/>
          <w:lang w:val="es-ES" w:eastAsia="es-ES_tradnl"/>
        </w:rPr>
        <w:tab/>
        <w:t>En virtud de lo expuesto, la adquisición de los predios que se realice por enajenación voluntaria está sometida a un régimen especial de contratación. Sin embargo, como se explicó antes, esta culmina con la suscripción de un contrato de promesa de compraventa o de compraventa entre la entidad y la persona, con lo cual se trata de un procedimiento de contratación estatal no competitivo que está restringido por la prohibición establecida en el artículo 33 de la Ley 996 de 2005</w:t>
      </w:r>
      <w:bookmarkEnd w:id="18"/>
      <w:r>
        <w:rPr>
          <w:rFonts w:ascii="Verdana" w:eastAsia="Times New Roman" w:hAnsi="Verdana" w:cs="Arial"/>
          <w:lang w:val="es-ES" w:eastAsia="es-ES_tradnl"/>
        </w:rPr>
        <w:t xml:space="preserve">. En contraste, cuando la adquisición ocurra por el procedimiento expropiatorio no se materializa en la celebración de un contrato. </w:t>
      </w:r>
    </w:p>
    <w:bookmarkEnd w:id="12"/>
    <w:p w14:paraId="728AC098" w14:textId="77777777" w:rsidR="008D78B9" w:rsidRDefault="008D78B9" w:rsidP="008D78B9">
      <w:pPr>
        <w:spacing w:after="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En tal sentido, se reitera que la restricción del artículo 33 de la Ley 996 de 2005 aplica frente a la contratación directa, entendida como cualquier sistema de selección o procedimiento de contratación utilizada por las entidades estatales que no incluya la convocatoria pública en alguna de sus etapas, ni permita la participación de una pluralidad de oferentes, ya sea en aplicación de normas del Estatuto General de Contratación de la Administración Pública, así como de regímenes especiales. Esto, sin perjuicio de las excepciones a la prohibición establecidas en el inciso segundo del mismo artículo 33, como son: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500B6ADF" w14:textId="77777777" w:rsidR="008D78B9" w:rsidRDefault="008D78B9" w:rsidP="008D78B9">
      <w:pPr>
        <w:spacing w:after="0" w:line="276" w:lineRule="auto"/>
        <w:jc w:val="both"/>
        <w:rPr>
          <w:rFonts w:ascii="Verdana" w:eastAsia="Calibri" w:hAnsi="Verdana" w:cs="Arial"/>
          <w:lang w:val="es-ES"/>
        </w:rPr>
      </w:pPr>
    </w:p>
    <w:p w14:paraId="610FDD2D" w14:textId="77777777" w:rsidR="008D78B9" w:rsidRDefault="008D78B9" w:rsidP="008D78B9">
      <w:pPr>
        <w:spacing w:after="120" w:line="276" w:lineRule="auto"/>
        <w:jc w:val="both"/>
        <w:rPr>
          <w:rFonts w:ascii="Verdana" w:eastAsia="Calibri" w:hAnsi="Verdana" w:cs="Arial"/>
          <w:bCs/>
          <w:color w:val="000000" w:themeColor="text1"/>
        </w:rPr>
      </w:pPr>
      <w:r>
        <w:rPr>
          <w:rFonts w:ascii="Verdana" w:eastAsia="Calibri" w:hAnsi="Verdana" w:cs="Arial"/>
          <w:bCs/>
          <w:color w:val="000000" w:themeColor="text1"/>
        </w:rPr>
        <w:t xml:space="preserve">v. 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w:t>
      </w:r>
      <w:r>
        <w:rPr>
          <w:rFonts w:ascii="Verdana" w:eastAsia="Calibri" w:hAnsi="Verdana" w:cs="Arial"/>
          <w:bCs/>
          <w:color w:val="000000" w:themeColor="text1"/>
        </w:rPr>
        <w:lastRenderedPageBreak/>
        <w:t>motivan la consulta. Por lo anterior, previo concepto de sus asesores, la solución de situaciones particulares corresponde a los interesados adoptar la decisión correspondiente y, en caso de conflicto, a las autoridades judiciales, fiscales y disciplinarias.</w:t>
      </w:r>
    </w:p>
    <w:p w14:paraId="38A50454" w14:textId="77777777" w:rsidR="008D78B9" w:rsidRDefault="008D78B9" w:rsidP="008D78B9">
      <w:pPr>
        <w:spacing w:after="0" w:line="276" w:lineRule="auto"/>
        <w:ind w:firstLine="708"/>
        <w:jc w:val="both"/>
        <w:rPr>
          <w:rFonts w:ascii="Verdana" w:hAnsi="Verdana" w:cs="Arial"/>
          <w:color w:val="000000" w:themeColor="text1"/>
        </w:rPr>
      </w:pPr>
      <w:r>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2DA3E375" w14:textId="77777777" w:rsidR="008D78B9" w:rsidRDefault="008D78B9" w:rsidP="008D78B9">
      <w:pPr>
        <w:spacing w:after="0" w:line="276" w:lineRule="auto"/>
        <w:jc w:val="both"/>
        <w:rPr>
          <w:rFonts w:ascii="Verdana" w:eastAsia="Calibri" w:hAnsi="Verdana" w:cs="Arial"/>
          <w:bCs/>
          <w:color w:val="000000" w:themeColor="text1"/>
        </w:rPr>
      </w:pPr>
      <w:r>
        <w:rPr>
          <w:rFonts w:ascii="Verdana" w:eastAsia="Calibri" w:hAnsi="Verdana" w:cs="Arial"/>
          <w:bCs/>
          <w:color w:val="000000" w:themeColor="text1"/>
        </w:rPr>
        <w:t xml:space="preserve"> </w:t>
      </w:r>
    </w:p>
    <w:p w14:paraId="0359CA49" w14:textId="77777777" w:rsidR="008D78B9" w:rsidRDefault="008D78B9" w:rsidP="008D78B9">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Referencias normativas:</w:t>
      </w:r>
    </w:p>
    <w:p w14:paraId="26B210A3" w14:textId="77777777" w:rsidR="008D78B9" w:rsidRDefault="008D78B9" w:rsidP="008D78B9">
      <w:pPr>
        <w:widowControl w:val="0"/>
        <w:autoSpaceDE w:val="0"/>
        <w:autoSpaceDN w:val="0"/>
        <w:spacing w:after="0" w:line="276" w:lineRule="auto"/>
        <w:jc w:val="both"/>
        <w:rPr>
          <w:rFonts w:ascii="Verdana" w:hAnsi="Verdana" w:cs="Arial"/>
        </w:rPr>
      </w:pPr>
    </w:p>
    <w:tbl>
      <w:tblPr>
        <w:tblStyle w:val="Tablaconcuadrcula"/>
        <w:tblW w:w="8640"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8D78B9" w14:paraId="6F964767" w14:textId="77777777" w:rsidTr="008D78B9">
        <w:trPr>
          <w:trHeight w:val="870"/>
          <w:jc w:val="center"/>
        </w:trPr>
        <w:tc>
          <w:tcPr>
            <w:tcW w:w="8647" w:type="dxa"/>
            <w:tcBorders>
              <w:top w:val="dotted" w:sz="4" w:space="0" w:color="auto"/>
              <w:left w:val="dotted" w:sz="4" w:space="0" w:color="auto"/>
              <w:bottom w:val="dotted" w:sz="4" w:space="0" w:color="auto"/>
              <w:right w:val="dotted" w:sz="4" w:space="0" w:color="auto"/>
            </w:tcBorders>
            <w:hideMark/>
          </w:tcPr>
          <w:p w14:paraId="183506F2" w14:textId="77777777" w:rsidR="008D78B9" w:rsidRDefault="008D78B9" w:rsidP="008D78B9">
            <w:pPr>
              <w:pStyle w:val="Prrafodelista"/>
              <w:widowControl w:val="0"/>
              <w:numPr>
                <w:ilvl w:val="0"/>
                <w:numId w:val="17"/>
              </w:numPr>
              <w:autoSpaceDE w:val="0"/>
              <w:autoSpaceDN w:val="0"/>
              <w:spacing w:after="120" w:line="276" w:lineRule="auto"/>
              <w:ind w:left="714" w:hanging="357"/>
              <w:jc w:val="both"/>
              <w:rPr>
                <w:rFonts w:ascii="Verdana" w:hAnsi="Verdana" w:cs="Arial"/>
              </w:rPr>
            </w:pPr>
            <w:r>
              <w:rPr>
                <w:rFonts w:ascii="Verdana" w:hAnsi="Verdana" w:cs="Arial"/>
              </w:rPr>
              <w:t>Constitución Política de 1991, artículos 127, 197 y 209.</w:t>
            </w:r>
          </w:p>
          <w:p w14:paraId="45584190" w14:textId="77777777" w:rsidR="008D78B9" w:rsidRDefault="008D78B9" w:rsidP="008D78B9">
            <w:pPr>
              <w:pStyle w:val="Prrafodelista"/>
              <w:widowControl w:val="0"/>
              <w:numPr>
                <w:ilvl w:val="0"/>
                <w:numId w:val="17"/>
              </w:numPr>
              <w:autoSpaceDE w:val="0"/>
              <w:autoSpaceDN w:val="0"/>
              <w:spacing w:after="120" w:line="276" w:lineRule="auto"/>
              <w:ind w:left="714" w:hanging="357"/>
              <w:jc w:val="both"/>
              <w:rPr>
                <w:rFonts w:ascii="Verdana" w:hAnsi="Verdana" w:cs="Arial"/>
              </w:rPr>
            </w:pPr>
            <w:r>
              <w:rPr>
                <w:rFonts w:ascii="Verdana" w:hAnsi="Verdana" w:cs="Arial"/>
              </w:rPr>
              <w:t>Ley 80 de 1993, artículos 2, 32, 39 y 41.</w:t>
            </w:r>
          </w:p>
          <w:p w14:paraId="65D80E5F" w14:textId="77777777" w:rsidR="008D78B9" w:rsidRDefault="008D78B9" w:rsidP="008D78B9">
            <w:pPr>
              <w:pStyle w:val="Prrafodelista"/>
              <w:widowControl w:val="0"/>
              <w:numPr>
                <w:ilvl w:val="0"/>
                <w:numId w:val="17"/>
              </w:numPr>
              <w:autoSpaceDE w:val="0"/>
              <w:autoSpaceDN w:val="0"/>
              <w:spacing w:after="120" w:line="276" w:lineRule="auto"/>
              <w:ind w:left="714" w:hanging="357"/>
              <w:jc w:val="both"/>
              <w:rPr>
                <w:rFonts w:ascii="Verdana" w:hAnsi="Verdana" w:cs="Arial"/>
              </w:rPr>
            </w:pPr>
            <w:r>
              <w:rPr>
                <w:rFonts w:ascii="Verdana" w:hAnsi="Verdana" w:cs="Arial"/>
              </w:rPr>
              <w:t>Ley 338 de 1997, artículos 58 y ss.</w:t>
            </w:r>
          </w:p>
          <w:p w14:paraId="2CAC4348" w14:textId="77777777" w:rsidR="008D78B9" w:rsidRDefault="008D78B9" w:rsidP="008D78B9">
            <w:pPr>
              <w:pStyle w:val="Prrafodelista"/>
              <w:widowControl w:val="0"/>
              <w:numPr>
                <w:ilvl w:val="0"/>
                <w:numId w:val="17"/>
              </w:numPr>
              <w:autoSpaceDE w:val="0"/>
              <w:autoSpaceDN w:val="0"/>
              <w:spacing w:after="120" w:line="276" w:lineRule="auto"/>
              <w:ind w:left="714" w:hanging="357"/>
              <w:jc w:val="both"/>
              <w:rPr>
                <w:rFonts w:ascii="Verdana" w:hAnsi="Verdana" w:cs="Arial"/>
              </w:rPr>
            </w:pPr>
            <w:r>
              <w:rPr>
                <w:rFonts w:ascii="Verdana" w:hAnsi="Verdana" w:cs="Arial"/>
              </w:rPr>
              <w:t>Ley 996 de 2005, artículos 33 y 38.</w:t>
            </w:r>
          </w:p>
          <w:p w14:paraId="679DE2CB" w14:textId="77777777" w:rsidR="008D78B9" w:rsidRDefault="008D78B9" w:rsidP="008D78B9">
            <w:pPr>
              <w:pStyle w:val="Prrafodelista"/>
              <w:widowControl w:val="0"/>
              <w:numPr>
                <w:ilvl w:val="0"/>
                <w:numId w:val="17"/>
              </w:numPr>
              <w:autoSpaceDE w:val="0"/>
              <w:autoSpaceDN w:val="0"/>
              <w:spacing w:after="120" w:line="276" w:lineRule="auto"/>
              <w:ind w:left="714" w:hanging="357"/>
              <w:jc w:val="both"/>
              <w:rPr>
                <w:rFonts w:ascii="Verdana" w:hAnsi="Verdana" w:cs="Arial"/>
              </w:rPr>
            </w:pPr>
            <w:r>
              <w:rPr>
                <w:rFonts w:ascii="Verdana" w:hAnsi="Verdana" w:cs="Arial"/>
              </w:rPr>
              <w:t>Ley 1150 de 2007, artículos 1 y 2.</w:t>
            </w:r>
          </w:p>
          <w:p w14:paraId="2F126415" w14:textId="77777777" w:rsidR="008D78B9" w:rsidRDefault="008D78B9" w:rsidP="008D78B9">
            <w:pPr>
              <w:pStyle w:val="Prrafodelista"/>
              <w:widowControl w:val="0"/>
              <w:numPr>
                <w:ilvl w:val="0"/>
                <w:numId w:val="17"/>
              </w:numPr>
              <w:autoSpaceDE w:val="0"/>
              <w:autoSpaceDN w:val="0"/>
              <w:spacing w:line="276" w:lineRule="auto"/>
              <w:ind w:left="714" w:hanging="357"/>
              <w:jc w:val="both"/>
              <w:rPr>
                <w:rFonts w:ascii="Verdana" w:hAnsi="Verdana" w:cs="Arial"/>
              </w:rPr>
            </w:pPr>
            <w:r>
              <w:rPr>
                <w:rFonts w:ascii="Verdana" w:hAnsi="Verdana" w:cs="Arial"/>
              </w:rPr>
              <w:t>Código Civil, artículo 1501.</w:t>
            </w:r>
          </w:p>
        </w:tc>
      </w:tr>
    </w:tbl>
    <w:p w14:paraId="733E2916" w14:textId="77777777" w:rsidR="008D78B9" w:rsidRDefault="008D78B9" w:rsidP="008D78B9">
      <w:pPr>
        <w:widowControl w:val="0"/>
        <w:autoSpaceDE w:val="0"/>
        <w:autoSpaceDN w:val="0"/>
        <w:spacing w:after="0" w:line="276" w:lineRule="auto"/>
        <w:jc w:val="both"/>
        <w:rPr>
          <w:rFonts w:ascii="Verdana" w:hAnsi="Verdana" w:cs="Arial"/>
        </w:rPr>
      </w:pPr>
    </w:p>
    <w:p w14:paraId="32BB15C6" w14:textId="77777777" w:rsidR="008D78B9" w:rsidRDefault="008D78B9" w:rsidP="008D78B9">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4E3F0C3E" w14:textId="77777777" w:rsidR="008D78B9" w:rsidRDefault="008D78B9" w:rsidP="008D78B9">
      <w:pPr>
        <w:widowControl w:val="0"/>
        <w:autoSpaceDE w:val="0"/>
        <w:autoSpaceDN w:val="0"/>
        <w:spacing w:after="0" w:line="276" w:lineRule="auto"/>
        <w:jc w:val="both"/>
        <w:rPr>
          <w:rFonts w:ascii="Verdana" w:hAnsi="Verdana" w:cs="Arial"/>
        </w:rPr>
      </w:pPr>
    </w:p>
    <w:p w14:paraId="63C59305" w14:textId="77777777" w:rsidR="008D78B9" w:rsidRDefault="008D78B9" w:rsidP="008D78B9">
      <w:pPr>
        <w:widowControl w:val="0"/>
        <w:autoSpaceDE w:val="0"/>
        <w:autoSpaceDN w:val="0"/>
        <w:spacing w:after="0" w:line="276" w:lineRule="auto"/>
        <w:jc w:val="both"/>
        <w:rPr>
          <w:rStyle w:val="normaltextrun"/>
          <w:shd w:val="clear" w:color="auto" w:fill="FFFFFF"/>
        </w:rPr>
      </w:pPr>
      <w:r>
        <w:rPr>
          <w:rFonts w:ascii="Verdana" w:hAnsi="Verdana" w:cs="Arial"/>
          <w:shd w:val="clear" w:color="auto" w:fill="FFFFFF"/>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w:t>
      </w:r>
      <w:r>
        <w:rPr>
          <w:rFonts w:ascii="Verdana" w:hAnsi="Verdana" w:cs="Arial"/>
          <w:shd w:val="clear" w:color="auto" w:fill="FFFFFF"/>
        </w:rPr>
        <w:lastRenderedPageBreak/>
        <w:t>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C-1343 del 20 de octubre de 2025, entre otros</w:t>
      </w:r>
      <w:r>
        <w:rPr>
          <w:rFonts w:ascii="Verdana" w:hAnsi="Verdana"/>
        </w:rPr>
        <w:t>.</w:t>
      </w:r>
      <w:r>
        <w:rPr>
          <w:rFonts w:ascii="Verdana" w:hAnsi="Verdana" w:cs="Arial"/>
          <w:shd w:val="clear" w:color="auto" w:fill="FFFFFF"/>
        </w:rPr>
        <w:t xml:space="preserve"> Estos y otros </w:t>
      </w:r>
      <w:r>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2DA60142" w14:textId="77777777" w:rsidR="008D78B9" w:rsidRDefault="008D78B9" w:rsidP="008D78B9">
      <w:pPr>
        <w:widowControl w:val="0"/>
        <w:autoSpaceDE w:val="0"/>
        <w:autoSpaceDN w:val="0"/>
        <w:spacing w:after="0" w:line="276" w:lineRule="auto"/>
        <w:jc w:val="both"/>
        <w:rPr>
          <w:color w:val="000000" w:themeColor="text1"/>
        </w:rPr>
      </w:pPr>
    </w:p>
    <w:p w14:paraId="548AFDAB" w14:textId="77777777" w:rsidR="008D78B9" w:rsidRDefault="008D78B9" w:rsidP="008D78B9">
      <w:pPr>
        <w:shd w:val="clear" w:color="auto" w:fill="FFFFFF"/>
        <w:spacing w:after="0" w:line="276" w:lineRule="auto"/>
        <w:jc w:val="both"/>
        <w:rPr>
          <w:rFonts w:ascii="Verdana" w:hAnsi="Verdana"/>
          <w:color w:val="467886"/>
          <w:u w:val="single"/>
        </w:rPr>
      </w:pPr>
      <w:r>
        <w:rPr>
          <w:rFonts w:ascii="Verdana" w:hAnsi="Verdana"/>
          <w:color w:val="000000"/>
        </w:rPr>
        <w:t>Te informamos que ya se encuentra disponible la </w:t>
      </w:r>
      <w:r>
        <w:rPr>
          <w:rFonts w:ascii="Verdana" w:hAnsi="Verdana"/>
          <w:b/>
          <w:bCs/>
          <w:color w:val="000000"/>
        </w:rPr>
        <w:t>Guía de lineamientos de transparencia y selección objetiva para el departamento de La Guajira – Objetivo sexto constitucional de la Sentencia T-302 del 2017. </w:t>
      </w:r>
      <w:r>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Pr>
          <w:rFonts w:ascii="Verdana" w:hAnsi="Verdana"/>
          <w:color w:val="000000"/>
        </w:rPr>
        <w:t>Wayúu</w:t>
      </w:r>
      <w:proofErr w:type="spellEnd"/>
      <w:r>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733267E7" w14:textId="77777777" w:rsidR="008D78B9" w:rsidRDefault="008D78B9" w:rsidP="008D78B9">
      <w:pPr>
        <w:shd w:val="clear" w:color="auto" w:fill="FFFFFF"/>
        <w:spacing w:after="0" w:line="276" w:lineRule="auto"/>
        <w:jc w:val="both"/>
        <w:rPr>
          <w:rFonts w:ascii="Verdana" w:hAnsi="Verdana" w:cs="Arial"/>
          <w:color w:val="FF0000"/>
          <w:shd w:val="clear" w:color="auto" w:fill="FFFFFF"/>
          <w:lang w:val="es-ES_tradnl"/>
        </w:rPr>
      </w:pPr>
      <w:r>
        <w:rPr>
          <w:rFonts w:ascii="Verdana" w:hAnsi="Verdana" w:cs="Arial"/>
          <w:color w:val="000000" w:themeColor="text1"/>
          <w:shd w:val="clear" w:color="auto" w:fill="FFFFFF"/>
          <w:lang w:val="es-ES_tradnl"/>
        </w:rPr>
        <w:t xml:space="preserve"> </w:t>
      </w:r>
      <w:r>
        <w:rPr>
          <w:rStyle w:val="normaltextrun"/>
          <w:rFonts w:ascii="Verdana" w:hAnsi="Verdana" w:cs="Arial"/>
          <w:color w:val="FF0000"/>
          <w:shd w:val="clear" w:color="auto" w:fill="FFFFFF"/>
          <w:lang w:val="es-ES_tradnl"/>
        </w:rPr>
        <w:t xml:space="preserve">        </w:t>
      </w:r>
    </w:p>
    <w:p w14:paraId="6FC90080" w14:textId="77777777" w:rsidR="008D78B9" w:rsidRDefault="008D78B9" w:rsidP="008D78B9">
      <w:pPr>
        <w:widowControl w:val="0"/>
        <w:autoSpaceDE w:val="0"/>
        <w:autoSpaceDN w:val="0"/>
        <w:spacing w:after="0" w:line="276" w:lineRule="auto"/>
        <w:jc w:val="both"/>
        <w:rPr>
          <w:rFonts w:ascii="Verdana" w:hAnsi="Verdana" w:cs="Arial"/>
          <w:lang w:val="es-ES_tradnl"/>
        </w:rPr>
      </w:pPr>
      <w:r>
        <w:rPr>
          <w:rFonts w:ascii="Verdana" w:hAnsi="Verdana" w:cs="Arial"/>
        </w:rPr>
        <w:t xml:space="preserve">Este concepto tiene el alcance previsto en el artículo 28 del Código de Procedimiento Administrativo y de lo Contencioso Administrativo </w:t>
      </w:r>
      <w:r>
        <w:rPr>
          <w:rFonts w:ascii="Verdana" w:hAnsi="Verdana" w:cs="Arial"/>
          <w:lang w:val="es-ES_tradnl"/>
        </w:rPr>
        <w:t xml:space="preserve">y las expresiones aquí utilizadas con mayúscula inicial deben ser entendidas con el significado que les otorga el artículo 2.2.1.1.1.3.1. del Decreto 1082 de 2015. </w:t>
      </w:r>
    </w:p>
    <w:p w14:paraId="0D252ACF" w14:textId="77777777" w:rsidR="008D78B9" w:rsidRDefault="008D78B9" w:rsidP="008D78B9">
      <w:pPr>
        <w:widowControl w:val="0"/>
        <w:autoSpaceDE w:val="0"/>
        <w:autoSpaceDN w:val="0"/>
        <w:spacing w:after="0" w:line="276" w:lineRule="auto"/>
        <w:jc w:val="both"/>
        <w:rPr>
          <w:rFonts w:ascii="Verdana" w:hAnsi="Verdana" w:cs="Arial"/>
        </w:rPr>
      </w:pPr>
    </w:p>
    <w:p w14:paraId="65E807DC" w14:textId="77777777" w:rsidR="008D78B9" w:rsidRDefault="008D78B9" w:rsidP="008D78B9">
      <w:pPr>
        <w:spacing w:after="0" w:line="240" w:lineRule="auto"/>
        <w:rPr>
          <w:rFonts w:ascii="Verdana" w:hAnsi="Verdana" w:cs="Arial"/>
          <w:lang w:eastAsia="es-CO"/>
        </w:rPr>
      </w:pPr>
      <w:r>
        <w:rPr>
          <w:rFonts w:ascii="Verdana" w:eastAsia="Times New Roman" w:hAnsi="Verdana" w:cs="Arial"/>
          <w:lang w:eastAsia="es-CO"/>
        </w:rPr>
        <w:t>Atentamente,</w:t>
      </w:r>
      <w:r>
        <w:rPr>
          <w:rFonts w:ascii="Verdana" w:hAnsi="Verdana" w:cs="Arial"/>
          <w:lang w:eastAsia="es-CO"/>
        </w:rPr>
        <w:t xml:space="preserve"> </w:t>
      </w:r>
    </w:p>
    <w:p w14:paraId="53EB326D" w14:textId="43F2BE39" w:rsidR="002961BE" w:rsidRDefault="00325F67" w:rsidP="002961BE">
      <w:pPr>
        <w:spacing w:line="276" w:lineRule="auto"/>
        <w:jc w:val="center"/>
        <w:rPr>
          <w:rFonts w:ascii="Verdana" w:hAnsi="Verdana" w:cs="Arial"/>
          <w:color w:val="000000"/>
          <w:lang w:val="es-ES_tradnl" w:eastAsia="es-CO"/>
        </w:rPr>
      </w:pPr>
      <w:r>
        <w:rPr>
          <w:noProof/>
        </w:rPr>
        <w:drawing>
          <wp:inline distT="0" distB="0" distL="0" distR="0" wp14:anchorId="7654F088" wp14:editId="339C8360">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p w14:paraId="619731D8" w14:textId="77777777" w:rsidR="002961BE" w:rsidRDefault="002961BE" w:rsidP="008D78B9">
      <w:pPr>
        <w:spacing w:line="276" w:lineRule="auto"/>
        <w:jc w:val="center"/>
        <w:rPr>
          <w:rFonts w:ascii="Verdana" w:hAnsi="Verdana" w:cs="Arial"/>
          <w:color w:val="000000"/>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D78B9" w14:paraId="261A12B3" w14:textId="77777777" w:rsidTr="008D78B9">
        <w:trPr>
          <w:trHeight w:val="315"/>
        </w:trPr>
        <w:tc>
          <w:tcPr>
            <w:tcW w:w="893" w:type="dxa"/>
            <w:vAlign w:val="center"/>
            <w:hideMark/>
          </w:tcPr>
          <w:p w14:paraId="5585E476" w14:textId="77777777" w:rsidR="008D78B9" w:rsidRDefault="008D78B9">
            <w:pPr>
              <w:spacing w:after="255"/>
              <w:contextualSpacing/>
              <w:rPr>
                <w:rFonts w:ascii="Verdana" w:hAnsi="Verdana" w:cs="Arial"/>
                <w:sz w:val="16"/>
                <w:szCs w:val="16"/>
                <w:lang w:val="es-ES" w:eastAsia="es-ES"/>
              </w:rPr>
            </w:pPr>
            <w:r>
              <w:rPr>
                <w:rFonts w:ascii="Verdana" w:hAnsi="Verdana" w:cs="Arial"/>
                <w:sz w:val="16"/>
                <w:szCs w:val="16"/>
                <w:lang w:val="es-ES"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0C9A6CAB" w14:textId="77777777" w:rsidR="008D78B9" w:rsidRDefault="008D78B9">
            <w:pPr>
              <w:spacing w:after="255"/>
              <w:contextualSpacing/>
              <w:rPr>
                <w:rStyle w:val="normaltextrun"/>
              </w:rPr>
            </w:pPr>
            <w:r>
              <w:rPr>
                <w:rStyle w:val="normaltextrun"/>
                <w:rFonts w:ascii="Verdana" w:hAnsi="Verdana"/>
                <w:sz w:val="16"/>
                <w:szCs w:val="16"/>
              </w:rPr>
              <w:t>Juan David Montoya Penagos</w:t>
            </w:r>
          </w:p>
          <w:p w14:paraId="1B47A1E2" w14:textId="77777777" w:rsidR="008D78B9" w:rsidRDefault="008D78B9">
            <w:pPr>
              <w:spacing w:after="255"/>
              <w:contextualSpacing/>
              <w:rPr>
                <w:rFonts w:eastAsia="Arial" w:cs="Arial"/>
              </w:rPr>
            </w:pPr>
            <w:r>
              <w:rPr>
                <w:rStyle w:val="normaltextrun"/>
                <w:rFonts w:ascii="Verdana" w:hAnsi="Verdana"/>
                <w:sz w:val="16"/>
                <w:szCs w:val="16"/>
              </w:rPr>
              <w:t>Contratista de la Subdirección de Gestión Contractual</w:t>
            </w:r>
          </w:p>
        </w:tc>
      </w:tr>
      <w:tr w:rsidR="008D78B9" w14:paraId="208606E6" w14:textId="77777777" w:rsidTr="008D78B9">
        <w:trPr>
          <w:trHeight w:val="330"/>
        </w:trPr>
        <w:tc>
          <w:tcPr>
            <w:tcW w:w="893" w:type="dxa"/>
            <w:vAlign w:val="center"/>
            <w:hideMark/>
          </w:tcPr>
          <w:p w14:paraId="514C2E53" w14:textId="77777777" w:rsidR="008D78B9" w:rsidRDefault="008D78B9">
            <w:pPr>
              <w:spacing w:after="255"/>
              <w:contextualSpacing/>
              <w:rPr>
                <w:rFonts w:ascii="Verdana" w:hAnsi="Verdana" w:cs="Arial"/>
                <w:sz w:val="16"/>
                <w:szCs w:val="16"/>
                <w:lang w:val="es-ES" w:eastAsia="es-ES"/>
              </w:rPr>
            </w:pPr>
            <w:r>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29A0310" w14:textId="77777777" w:rsidR="008D78B9" w:rsidRDefault="008D78B9" w:rsidP="002961BE">
            <w:pPr>
              <w:pStyle w:val="paragraph"/>
              <w:spacing w:after="0" w:afterAutospacing="0"/>
              <w:textAlignment w:val="baseline"/>
              <w:rPr>
                <w:rStyle w:val="normaltextrun"/>
                <w:lang w:val="es-ES_tradnl"/>
              </w:rPr>
            </w:pPr>
            <w:r>
              <w:rPr>
                <w:rStyle w:val="normaltextrun"/>
                <w:rFonts w:ascii="Verdana" w:hAnsi="Verdana" w:cs="Arial"/>
                <w:sz w:val="16"/>
                <w:szCs w:val="16"/>
                <w:lang w:val="es-ES_tradnl"/>
              </w:rPr>
              <w:t>Alejandro Sarmiento Cantillo</w:t>
            </w:r>
          </w:p>
          <w:p w14:paraId="19745FA5" w14:textId="77777777" w:rsidR="008D78B9" w:rsidRDefault="008D78B9">
            <w:pPr>
              <w:pStyle w:val="paragraph"/>
              <w:spacing w:before="0" w:beforeAutospacing="0" w:after="0" w:afterAutospacing="0"/>
              <w:contextualSpacing/>
              <w:textAlignment w:val="baseline"/>
              <w:rPr>
                <w:rFonts w:cs="Segoe UI"/>
              </w:rPr>
            </w:pPr>
            <w:r>
              <w:rPr>
                <w:rStyle w:val="normaltextrun"/>
                <w:rFonts w:ascii="Verdana" w:hAnsi="Verdana" w:cs="Arial"/>
                <w:sz w:val="16"/>
                <w:szCs w:val="16"/>
                <w:lang w:val="es-ES_tradnl"/>
              </w:rPr>
              <w:t>Gestor T1 ‒ 15 de la Subdirección de Gestión Contractual</w:t>
            </w:r>
          </w:p>
        </w:tc>
      </w:tr>
      <w:tr w:rsidR="008D78B9" w14:paraId="20C505C1" w14:textId="77777777" w:rsidTr="008D78B9">
        <w:trPr>
          <w:trHeight w:val="300"/>
        </w:trPr>
        <w:tc>
          <w:tcPr>
            <w:tcW w:w="893" w:type="dxa"/>
            <w:vAlign w:val="center"/>
            <w:hideMark/>
          </w:tcPr>
          <w:p w14:paraId="50C363BF" w14:textId="77777777" w:rsidR="008D78B9" w:rsidRDefault="008D78B9">
            <w:pPr>
              <w:spacing w:after="255"/>
              <w:contextualSpacing/>
              <w:rPr>
                <w:rFonts w:ascii="Verdana" w:hAnsi="Verdana" w:cs="Arial"/>
                <w:sz w:val="16"/>
                <w:szCs w:val="16"/>
                <w:lang w:val="es-ES" w:eastAsia="es-ES"/>
              </w:rPr>
            </w:pPr>
            <w:r>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2D66715" w14:textId="77777777" w:rsidR="008D78B9" w:rsidRDefault="008D78B9">
            <w:pPr>
              <w:spacing w:after="255"/>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Carolina Quintero </w:t>
            </w:r>
            <w:proofErr w:type="spellStart"/>
            <w:r>
              <w:rPr>
                <w:rFonts w:ascii="Verdana" w:eastAsia="Calibri" w:hAnsi="Verdana" w:cs="Arial"/>
                <w:sz w:val="16"/>
                <w:szCs w:val="16"/>
                <w:lang w:val="pt-BR" w:eastAsia="es-ES"/>
              </w:rPr>
              <w:t>Gacharná</w:t>
            </w:r>
            <w:proofErr w:type="spellEnd"/>
          </w:p>
          <w:p w14:paraId="263D8286" w14:textId="77777777" w:rsidR="008D78B9" w:rsidRDefault="008D78B9">
            <w:pPr>
              <w:spacing w:after="255"/>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Gestión </w:t>
            </w:r>
            <w:proofErr w:type="spellStart"/>
            <w:r>
              <w:rPr>
                <w:rFonts w:ascii="Verdana" w:eastAsia="Calibri" w:hAnsi="Verdana" w:cs="Arial"/>
                <w:sz w:val="16"/>
                <w:szCs w:val="16"/>
                <w:lang w:val="pt-BR" w:eastAsia="es-ES"/>
              </w:rPr>
              <w:t>Contractual</w:t>
            </w:r>
            <w:proofErr w:type="spellEnd"/>
            <w:r>
              <w:rPr>
                <w:rFonts w:ascii="Verdana" w:eastAsia="Calibri" w:hAnsi="Verdana" w:cs="Arial"/>
                <w:sz w:val="16"/>
                <w:szCs w:val="16"/>
                <w:lang w:val="pt-BR" w:eastAsia="es-ES"/>
              </w:rPr>
              <w:t xml:space="preserve"> ANCP – CCE</w:t>
            </w:r>
          </w:p>
        </w:tc>
      </w:tr>
    </w:tbl>
    <w:p w14:paraId="417A83FF" w14:textId="77777777" w:rsidR="008D78B9" w:rsidRDefault="008D78B9" w:rsidP="008D78B9"/>
    <w:p w14:paraId="1426A109" w14:textId="77777777" w:rsidR="008D78B9" w:rsidRDefault="008D78B9" w:rsidP="008D78B9"/>
    <w:p w14:paraId="0F293BF4" w14:textId="7884B575" w:rsidR="00127233" w:rsidRPr="008D78B9" w:rsidRDefault="00127233" w:rsidP="008D78B9"/>
    <w:sectPr w:rsidR="00127233" w:rsidRPr="008D78B9"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C47E56" w14:textId="77777777" w:rsidR="00CA0862" w:rsidRDefault="00CA0862" w:rsidP="004A1847">
      <w:pPr>
        <w:spacing w:after="0" w:line="240" w:lineRule="auto"/>
      </w:pPr>
      <w:r>
        <w:separator/>
      </w:r>
    </w:p>
  </w:endnote>
  <w:endnote w:type="continuationSeparator" w:id="0">
    <w:p w14:paraId="2EB09AB8" w14:textId="77777777" w:rsidR="00CA0862" w:rsidRDefault="00CA086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alibri"/>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B6BD48" w14:textId="77777777" w:rsidR="00CA0862" w:rsidRDefault="00CA0862" w:rsidP="004A1847">
      <w:pPr>
        <w:spacing w:after="0" w:line="240" w:lineRule="auto"/>
      </w:pPr>
      <w:r>
        <w:separator/>
      </w:r>
    </w:p>
  </w:footnote>
  <w:footnote w:type="continuationSeparator" w:id="0">
    <w:p w14:paraId="09EF8307" w14:textId="77777777" w:rsidR="00CA0862" w:rsidRDefault="00CA0862" w:rsidP="004A1847">
      <w:pPr>
        <w:spacing w:after="0" w:line="240" w:lineRule="auto"/>
      </w:pPr>
      <w:r>
        <w:continuationSeparator/>
      </w:r>
    </w:p>
  </w:footnote>
  <w:footnote w:id="1">
    <w:p w14:paraId="28FC901E" w14:textId="77777777" w:rsidR="008D78B9" w:rsidRDefault="008D78B9" w:rsidP="008D78B9">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7C318B10" w14:textId="77777777" w:rsidR="008D78B9" w:rsidRDefault="008D78B9" w:rsidP="008D78B9">
      <w:pPr>
        <w:pStyle w:val="Textonotapie"/>
        <w:ind w:firstLine="709"/>
        <w:jc w:val="both"/>
        <w:rPr>
          <w:rFonts w:ascii="Verdana" w:hAnsi="Verdana" w:cs="Arial"/>
          <w:sz w:val="16"/>
          <w:szCs w:val="16"/>
        </w:rPr>
      </w:pPr>
      <w:r>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13B0DF8C" w14:textId="77777777" w:rsidR="008D78B9" w:rsidRDefault="008D78B9" w:rsidP="008D78B9">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Gaceta del Congreso de la República No. 71 del 2005.</w:t>
      </w:r>
    </w:p>
  </w:footnote>
  <w:footnote w:id="3">
    <w:p w14:paraId="037CC592" w14:textId="77777777" w:rsidR="008D78B9" w:rsidRDefault="008D78B9" w:rsidP="008D78B9">
      <w:pPr>
        <w:pStyle w:val="Textonotapie"/>
        <w:ind w:firstLine="709"/>
        <w:jc w:val="both"/>
        <w:rPr>
          <w:rFonts w:ascii="Verdana" w:hAnsi="Verdana" w:cs="Arial"/>
          <w:sz w:val="16"/>
          <w:szCs w:val="16"/>
          <w:lang w:val="pt-BR"/>
        </w:rPr>
      </w:pPr>
      <w:r>
        <w:rPr>
          <w:rStyle w:val="Refdenotaalpie"/>
          <w:rFonts w:ascii="Verdana" w:hAnsi="Verdana" w:cs="Arial"/>
          <w:sz w:val="16"/>
          <w:szCs w:val="16"/>
        </w:rPr>
        <w:footnoteRef/>
      </w:r>
      <w:r>
        <w:rPr>
          <w:rFonts w:ascii="Verdana" w:hAnsi="Verdana" w:cs="Arial"/>
          <w:sz w:val="16"/>
          <w:szCs w:val="16"/>
          <w:lang w:val="pt-BR"/>
        </w:rPr>
        <w:t xml:space="preserve"> Corte Constitucional, Sentencia C- 1153 de 2005, M.P. Marco Gerardo Monroy Cabra.</w:t>
      </w:r>
    </w:p>
  </w:footnote>
  <w:footnote w:id="4">
    <w:p w14:paraId="64B41EFE" w14:textId="77777777" w:rsidR="008D78B9" w:rsidRDefault="008D78B9" w:rsidP="008D78B9">
      <w:pPr>
        <w:pStyle w:val="Textonotapie"/>
        <w:ind w:firstLine="709"/>
        <w:jc w:val="both"/>
        <w:rPr>
          <w:rFonts w:ascii="Verdana" w:hAnsi="Verdana" w:cs="Arial"/>
          <w:sz w:val="16"/>
          <w:szCs w:val="16"/>
          <w:lang w:val="pt-BR"/>
        </w:rPr>
      </w:pPr>
      <w:r>
        <w:rPr>
          <w:rStyle w:val="Refdenotaalpie"/>
          <w:rFonts w:ascii="Verdana" w:hAnsi="Verdana" w:cs="Arial"/>
          <w:sz w:val="16"/>
          <w:szCs w:val="16"/>
        </w:rPr>
        <w:footnoteRef/>
      </w:r>
      <w:r>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6D15F5E0" w14:textId="77777777" w:rsidR="008D78B9" w:rsidRDefault="008D78B9" w:rsidP="008D78B9">
      <w:pPr>
        <w:pStyle w:val="Textonotapie"/>
        <w:ind w:firstLine="709"/>
        <w:jc w:val="both"/>
        <w:rPr>
          <w:rFonts w:ascii="Verdana" w:hAnsi="Verdana" w:cs="Arial"/>
          <w:sz w:val="16"/>
          <w:szCs w:val="16"/>
          <w:lang w:val="es-CO"/>
        </w:rPr>
      </w:pPr>
      <w:r>
        <w:rPr>
          <w:rStyle w:val="Refdenotaalpie"/>
          <w:rFonts w:ascii="Verdana" w:hAnsi="Verdana" w:cs="Arial"/>
          <w:sz w:val="16"/>
          <w:szCs w:val="16"/>
        </w:rPr>
        <w:footnoteRef/>
      </w:r>
      <w:r>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7E867906" w14:textId="77777777" w:rsidR="008D78B9" w:rsidRDefault="008D78B9" w:rsidP="008D78B9">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de fecha 24 de julio de 2013, radicado 2166, C. P. Álvaro Namén Vargas.  </w:t>
      </w:r>
    </w:p>
  </w:footnote>
  <w:footnote w:id="7">
    <w:p w14:paraId="07DDD58B" w14:textId="77777777" w:rsidR="008D78B9" w:rsidRDefault="008D78B9" w:rsidP="008D78B9">
      <w:pPr>
        <w:spacing w:after="0" w:line="240" w:lineRule="auto"/>
        <w:ind w:firstLine="709"/>
        <w:jc w:val="both"/>
        <w:rPr>
          <w:rFonts w:ascii="Verdana" w:eastAsia="Times New Roman"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eastAsia="Calibri" w:hAnsi="Verdana" w:cs="Arial"/>
          <w:color w:val="000000"/>
          <w:sz w:val="16"/>
          <w:szCs w:val="16"/>
        </w:rPr>
        <w:t>“</w:t>
      </w:r>
      <w:bookmarkStart w:id="6" w:name="33"/>
      <w:r>
        <w:rPr>
          <w:rFonts w:ascii="Verdana" w:eastAsia="Times New Roman" w:hAnsi="Verdana" w:cs="Arial"/>
          <w:sz w:val="16"/>
          <w:szCs w:val="16"/>
        </w:rPr>
        <w:t>Artículo 33. Restricciones a la contratación pública.</w:t>
      </w:r>
      <w:bookmarkEnd w:id="6"/>
      <w:r>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6455DA6F" w14:textId="77777777" w:rsidR="008D78B9" w:rsidRDefault="008D78B9" w:rsidP="008D78B9">
      <w:pPr>
        <w:spacing w:after="0" w:line="240" w:lineRule="auto"/>
        <w:ind w:firstLine="709"/>
        <w:jc w:val="both"/>
        <w:rPr>
          <w:rFonts w:ascii="Verdana" w:eastAsia="Times New Roman" w:hAnsi="Verdana" w:cs="Arial"/>
          <w:sz w:val="16"/>
          <w:szCs w:val="16"/>
        </w:rPr>
      </w:pPr>
      <w:r>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color w:val="000000"/>
          <w:sz w:val="16"/>
          <w:szCs w:val="16"/>
        </w:rPr>
        <w:t>”</w:t>
      </w:r>
      <w:r>
        <w:rPr>
          <w:rFonts w:ascii="Verdana" w:eastAsia="Times New Roman" w:hAnsi="Verdana" w:cs="Arial"/>
          <w:sz w:val="16"/>
          <w:szCs w:val="16"/>
        </w:rPr>
        <w:t>.</w:t>
      </w:r>
    </w:p>
  </w:footnote>
  <w:footnote w:id="8">
    <w:p w14:paraId="4CA9C338" w14:textId="77777777" w:rsidR="008D78B9" w:rsidRDefault="008D78B9" w:rsidP="008D78B9">
      <w:pPr>
        <w:pStyle w:val="NormalWeb"/>
        <w:spacing w:before="0" w:beforeAutospacing="0" w:after="0" w:afterAutospacing="0"/>
        <w:ind w:firstLine="709"/>
        <w:jc w:val="both"/>
        <w:rPr>
          <w:rFonts w:ascii="Verdana" w:hAnsi="Verdana" w:cs="Arial"/>
          <w:sz w:val="16"/>
          <w:szCs w:val="16"/>
          <w:lang w:val="es-MX"/>
        </w:rPr>
      </w:pPr>
      <w:r>
        <w:rPr>
          <w:rStyle w:val="Refdenotaalpie"/>
          <w:rFonts w:ascii="Verdana" w:hAnsi="Verdana" w:cs="Arial"/>
          <w:sz w:val="16"/>
          <w:szCs w:val="16"/>
        </w:rPr>
        <w:footnoteRef/>
      </w:r>
      <w:r>
        <w:rPr>
          <w:rFonts w:ascii="Verdana" w:hAnsi="Verdana" w:cs="Arial"/>
          <w:sz w:val="16"/>
          <w:szCs w:val="16"/>
        </w:rPr>
        <w:t xml:space="preserve"> </w:t>
      </w:r>
      <w:r>
        <w:rPr>
          <w:rFonts w:ascii="Verdana" w:eastAsia="Calibri" w:hAnsi="Verdana" w:cs="Arial"/>
          <w:color w:val="000000"/>
          <w:sz w:val="16"/>
          <w:szCs w:val="16"/>
        </w:rPr>
        <w:t>“</w:t>
      </w:r>
      <w:bookmarkStart w:id="7" w:name="38"/>
      <w:r>
        <w:rPr>
          <w:rFonts w:ascii="Verdana" w:hAnsi="Verdana" w:cs="Arial"/>
          <w:sz w:val="16"/>
          <w:szCs w:val="16"/>
          <w:lang w:val="es-MX"/>
        </w:rPr>
        <w:t>Artículo 38. Prohibiciones para los servidores públicos. A los empleados del Estado les está prohibido:</w:t>
      </w:r>
      <w:bookmarkEnd w:id="7"/>
      <w:r>
        <w:rPr>
          <w:rFonts w:ascii="Verdana" w:hAnsi="Verdana" w:cs="Arial"/>
          <w:sz w:val="16"/>
          <w:szCs w:val="16"/>
          <w:lang w:val="es-MX"/>
        </w:rPr>
        <w:t xml:space="preserve"> […]</w:t>
      </w:r>
    </w:p>
    <w:p w14:paraId="27B30E97" w14:textId="77777777" w:rsidR="008D78B9" w:rsidRDefault="008D78B9" w:rsidP="008D78B9">
      <w:pPr>
        <w:pStyle w:val="NormalWeb"/>
        <w:spacing w:before="0" w:beforeAutospacing="0" w:after="0" w:afterAutospacing="0"/>
        <w:ind w:firstLine="709"/>
        <w:jc w:val="both"/>
        <w:rPr>
          <w:rFonts w:ascii="Verdana" w:hAnsi="Verdana" w:cs="Arial"/>
          <w:sz w:val="16"/>
          <w:szCs w:val="16"/>
          <w:lang w:val="es-MX"/>
        </w:rPr>
      </w:pPr>
      <w:r>
        <w:rPr>
          <w:rStyle w:val="baj"/>
          <w:rFonts w:ascii="Verdana" w:hAnsi="Verdana" w:cs="Arial"/>
          <w:sz w:val="16"/>
          <w:szCs w:val="16"/>
          <w:lang w:val="es-MX"/>
        </w:rPr>
        <w:t>Parágrafo.</w:t>
      </w:r>
      <w:r>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color w:val="000000"/>
          <w:sz w:val="16"/>
          <w:szCs w:val="16"/>
        </w:rPr>
        <w:t>”</w:t>
      </w:r>
      <w:r>
        <w:rPr>
          <w:rFonts w:ascii="Verdana" w:hAnsi="Verdana" w:cs="Arial"/>
          <w:sz w:val="16"/>
          <w:szCs w:val="16"/>
          <w:lang w:val="es-MX"/>
        </w:rPr>
        <w:t>.</w:t>
      </w:r>
    </w:p>
  </w:footnote>
  <w:footnote w:id="9">
    <w:p w14:paraId="1B438921" w14:textId="77777777" w:rsidR="008D78B9" w:rsidRDefault="008D78B9" w:rsidP="008D78B9">
      <w:pPr>
        <w:pStyle w:val="Textonotapie"/>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Colombia Compra Eficiente. Circular Externa Única. Numeral 16.5. </w:t>
      </w:r>
    </w:p>
  </w:footnote>
  <w:footnote w:id="10">
    <w:p w14:paraId="08F07B67" w14:textId="77777777" w:rsidR="008D78B9" w:rsidRDefault="008D78B9" w:rsidP="008D78B9">
      <w:pPr>
        <w:spacing w:after="0" w:line="240" w:lineRule="auto"/>
        <w:ind w:left="100" w:right="244" w:firstLine="608"/>
        <w:jc w:val="both"/>
        <w:rPr>
          <w:rFonts w:ascii="Verdana"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1">
    <w:p w14:paraId="0CBACBAE" w14:textId="77777777" w:rsidR="008D78B9" w:rsidRDefault="008D78B9" w:rsidP="008D78B9">
      <w:pPr>
        <w:pStyle w:val="Textonotapie"/>
        <w:ind w:right="51"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ES"/>
        </w:rPr>
        <w:t xml:space="preserve">[25] </w:t>
      </w:r>
      <w:r>
        <w:rPr>
          <w:rFonts w:ascii="Verdana" w:hAnsi="Verdana" w:cs="Arial"/>
          <w:sz w:val="16"/>
          <w:szCs w:val="16"/>
        </w:rPr>
        <w:t>Cfr. Consejo de Estado. Sección Tercera. Sentencia de 3 de diciembre de 2007. Radicados: 24.715, 25.206, 25.409, 24.524, 27.834, 25.410, 26.105, 28.244, 31.447 -acumulados-“.</w:t>
      </w:r>
    </w:p>
  </w:footnote>
  <w:footnote w:id="12">
    <w:p w14:paraId="75247A98" w14:textId="77777777" w:rsidR="008D78B9" w:rsidRDefault="008D78B9" w:rsidP="008D78B9">
      <w:pPr>
        <w:pStyle w:val="Textonotapie"/>
        <w:ind w:right="51"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ES"/>
        </w:rPr>
        <w:t xml:space="preserve">[26] </w:t>
      </w:r>
      <w:r>
        <w:rPr>
          <w:rFonts w:ascii="Verdana" w:hAnsi="Verdana" w:cs="Arial"/>
          <w:sz w:val="16"/>
          <w:szCs w:val="16"/>
        </w:rPr>
        <w:t>Al respecto ver el concepto 1712 de 2 de febrero de 2006. Consejo de Estado Sala de Consulta y Servicio Civil”.</w:t>
      </w:r>
    </w:p>
  </w:footnote>
  <w:footnote w:id="13">
    <w:p w14:paraId="138015C1" w14:textId="77777777" w:rsidR="008D78B9" w:rsidRDefault="008D78B9" w:rsidP="008D78B9">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4">
    <w:p w14:paraId="33CF3C3F" w14:textId="77777777" w:rsidR="008D78B9" w:rsidRDefault="008D78B9" w:rsidP="008D78B9">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ES"/>
        </w:rPr>
        <w:t xml:space="preserve">Artículo 2. </w:t>
      </w:r>
    </w:p>
  </w:footnote>
  <w:footnote w:id="15">
    <w:p w14:paraId="3046FA08" w14:textId="77777777" w:rsidR="008D78B9" w:rsidRDefault="008D78B9" w:rsidP="008D78B9">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i/>
          <w:sz w:val="16"/>
          <w:szCs w:val="16"/>
          <w:lang w:val="es-ES"/>
        </w:rPr>
        <w:t>Ídem</w:t>
      </w:r>
      <w:r>
        <w:rPr>
          <w:rFonts w:ascii="Verdana" w:hAnsi="Verdana" w:cs="Arial"/>
          <w:sz w:val="16"/>
          <w:szCs w:val="16"/>
          <w:lang w:val="es-ES"/>
        </w:rPr>
        <w:t>.</w:t>
      </w:r>
    </w:p>
  </w:footnote>
  <w:footnote w:id="16">
    <w:p w14:paraId="2DF2C0C6" w14:textId="77777777" w:rsidR="008D78B9" w:rsidRDefault="008D78B9" w:rsidP="008D78B9">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Style w:val="Refdenotaalpie"/>
          <w:rFonts w:ascii="Verdana" w:hAnsi="Verdana" w:cs="Arial"/>
          <w:sz w:val="16"/>
          <w:szCs w:val="16"/>
        </w:rPr>
        <w:t xml:space="preserve"> </w:t>
      </w:r>
      <w:r>
        <w:rPr>
          <w:rFonts w:ascii="Verdana" w:hAnsi="Verdana" w:cs="Arial"/>
          <w:sz w:val="16"/>
          <w:szCs w:val="16"/>
          <w:lang w:val="es-ES"/>
        </w:rPr>
        <w:t xml:space="preserve">“[…] A este respecto, cabe recordar que el artículo 860 del Código de Comercio regula la licitación en el derecho privado”. </w:t>
      </w:r>
    </w:p>
  </w:footnote>
  <w:footnote w:id="17">
    <w:p w14:paraId="54DA4ACA" w14:textId="77777777" w:rsidR="008D78B9" w:rsidRDefault="008D78B9" w:rsidP="008D78B9">
      <w:pPr>
        <w:shd w:val="clear" w:color="auto" w:fill="FFFFFF"/>
        <w:spacing w:after="0" w:line="240" w:lineRule="auto"/>
        <w:ind w:firstLine="709"/>
        <w:jc w:val="both"/>
        <w:rPr>
          <w:rFonts w:ascii="Verdana" w:hAnsi="Verdana" w:cs="Arial"/>
          <w:sz w:val="16"/>
          <w:szCs w:val="16"/>
          <w:lang w:val="es-ES"/>
        </w:rPr>
      </w:pPr>
      <w:r>
        <w:rPr>
          <w:rStyle w:val="Refdenotaalpie"/>
          <w:rFonts w:ascii="Verdana" w:hAnsi="Verdana" w:cs="Arial"/>
          <w:sz w:val="16"/>
          <w:szCs w:val="16"/>
        </w:rPr>
        <w:footnoteRef/>
      </w:r>
      <w:r>
        <w:rPr>
          <w:rStyle w:val="Refdenotaalpie"/>
          <w:rFonts w:ascii="Verdana" w:hAnsi="Verdana" w:cs="Arial"/>
          <w:sz w:val="16"/>
          <w:szCs w:val="16"/>
        </w:rPr>
        <w:t xml:space="preserve"> </w:t>
      </w:r>
      <w:r>
        <w:rPr>
          <w:rFonts w:ascii="Verdana" w:hAnsi="Verdana" w:cs="Arial"/>
          <w:sz w:val="16"/>
          <w:szCs w:val="16"/>
          <w:lang w:val="es-ES"/>
        </w:rPr>
        <w:t>Consejo de Estado. Sala de Consulta y Servicio Civil, Concepto de 8 de mayo de 2018. Radicación Número: 11001-03-06-000-2018-00095-00(2382). C.P. Álvaro Namén Vargas.</w:t>
      </w:r>
    </w:p>
  </w:footnote>
  <w:footnote w:id="18">
    <w:p w14:paraId="5573FF93" w14:textId="77777777" w:rsidR="008D78B9" w:rsidRDefault="008D78B9" w:rsidP="008D78B9">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del 08 de mayo de 2018. Exp. 2.382. C.P. Álvaro Namén Vargas.</w:t>
      </w:r>
    </w:p>
  </w:footnote>
  <w:footnote w:id="19">
    <w:p w14:paraId="5E207C39" w14:textId="77777777" w:rsidR="008D78B9" w:rsidRDefault="008D78B9" w:rsidP="008D78B9">
      <w:pPr>
        <w:pStyle w:val="Textonotapie"/>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footnote>
  <w:footnote w:id="20">
    <w:p w14:paraId="1F4A7E09" w14:textId="77777777" w:rsidR="008D78B9" w:rsidRDefault="008D78B9" w:rsidP="008D78B9">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1">
    <w:p w14:paraId="07D1E542" w14:textId="77777777" w:rsidR="008D78B9" w:rsidRDefault="008D78B9" w:rsidP="008D78B9">
      <w:pPr>
        <w:spacing w:after="0" w:line="240" w:lineRule="auto"/>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2">
    <w:p w14:paraId="1A54BB1E" w14:textId="77777777" w:rsidR="008D78B9" w:rsidRDefault="008D78B9" w:rsidP="008D78B9">
      <w:pPr>
        <w:pStyle w:val="Textonotapie"/>
        <w:ind w:right="51" w:firstLine="709"/>
        <w:jc w:val="both"/>
        <w:rPr>
          <w:rFonts w:ascii="Verdana" w:eastAsia="Times New Roman" w:hAnsi="Verdana" w:cs="Arial"/>
          <w:bCs/>
          <w:sz w:val="16"/>
          <w:szCs w:val="16"/>
          <w:lang w:eastAsia="x-none"/>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 6 de abril de 2006. Radicación Número: 11001-03-06-000-2006-00038-00 (1738). C.P. Enrique José Arboleda Perdomo:</w:t>
      </w:r>
      <w:r>
        <w:rPr>
          <w:rFonts w:ascii="Verdana" w:eastAsia="Times New Roman" w:hAnsi="Verdana" w:cs="Arial"/>
          <w:bCs/>
          <w:sz w:val="16"/>
          <w:szCs w:val="16"/>
          <w:lang w:eastAsia="x-none"/>
        </w:rPr>
        <w:t xml:space="preserve"> “</w:t>
      </w:r>
      <w:r>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Pr>
          <w:rFonts w:ascii="Verdana" w:eastAsia="Times New Roman" w:hAnsi="Verdana" w:cs="Arial"/>
          <w:bCs/>
          <w:sz w:val="16"/>
          <w:szCs w:val="16"/>
          <w:lang w:eastAsia="x-none"/>
        </w:rPr>
        <w:t>”.</w:t>
      </w:r>
    </w:p>
  </w:footnote>
  <w:footnote w:id="23">
    <w:p w14:paraId="3F9B32D5" w14:textId="77777777" w:rsidR="008D78B9" w:rsidRDefault="008D78B9" w:rsidP="008D78B9">
      <w:pPr>
        <w:spacing w:after="0" w:line="240" w:lineRule="auto"/>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 6 de abril de 2006. Radicación Número: 11001-03-06-000-2006-00038-00(1738). Consejero Ponente: Enrique José Arboleda Perdomo. </w:t>
      </w:r>
    </w:p>
  </w:footnote>
  <w:footnote w:id="24">
    <w:p w14:paraId="3FF9F36A" w14:textId="77777777" w:rsidR="008D78B9" w:rsidRDefault="008D78B9" w:rsidP="008D78B9">
      <w:pPr>
        <w:pStyle w:val="Textonotapie"/>
        <w:ind w:right="51"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ídem.</w:t>
      </w:r>
    </w:p>
  </w:footnote>
  <w:footnote w:id="25">
    <w:p w14:paraId="72FC01C5" w14:textId="77777777" w:rsidR="008D78B9" w:rsidRDefault="008D78B9" w:rsidP="008D78B9">
      <w:pPr>
        <w:pStyle w:val="Textonotapie"/>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Colombia Compra Eficiente. Circular Externa Única. Numeral 15.5.</w:t>
      </w:r>
    </w:p>
  </w:footnote>
  <w:footnote w:id="26">
    <w:p w14:paraId="48DCE1B8" w14:textId="77777777" w:rsidR="008D78B9" w:rsidRDefault="008D78B9" w:rsidP="008D78B9">
      <w:pPr>
        <w:snapToGrid w:val="0"/>
        <w:spacing w:line="240" w:lineRule="auto"/>
        <w:ind w:firstLine="709"/>
        <w:contextualSpacing/>
        <w:jc w:val="both"/>
        <w:rPr>
          <w:rFonts w:ascii="Verdana" w:hAnsi="Verdana" w:cs="Arial"/>
          <w:color w:val="000000" w:themeColor="text1"/>
          <w:sz w:val="16"/>
          <w:szCs w:val="16"/>
        </w:rPr>
      </w:pPr>
      <w:r>
        <w:rPr>
          <w:rStyle w:val="Refdenotaalpie"/>
          <w:rFonts w:ascii="Verdana" w:hAnsi="Verdana" w:cs="Arial"/>
          <w:color w:val="000000" w:themeColor="text1"/>
          <w:sz w:val="16"/>
          <w:szCs w:val="16"/>
        </w:rPr>
        <w:footnoteRef/>
      </w:r>
      <w:r>
        <w:rPr>
          <w:rFonts w:ascii="Verdana" w:hAnsi="Verdana" w:cs="Arial"/>
          <w:color w:val="000000" w:themeColor="text1"/>
          <w:sz w:val="16"/>
          <w:szCs w:val="16"/>
        </w:rPr>
        <w:t xml:space="preserve"> Corte Constitucional. Sentencia C- 474 de 2005, M.P. Humberto Antonio Sierra Porto. Sentencia C - 428 de 1994. M.P. Antonio Barrera Carbonell.</w:t>
      </w:r>
    </w:p>
  </w:footnote>
  <w:footnote w:id="27">
    <w:p w14:paraId="5CCC331F" w14:textId="77777777" w:rsidR="008D78B9" w:rsidRDefault="008D78B9" w:rsidP="008D78B9">
      <w:pPr>
        <w:snapToGrid w:val="0"/>
        <w:spacing w:line="240" w:lineRule="auto"/>
        <w:ind w:firstLine="709"/>
        <w:contextualSpacing/>
        <w:jc w:val="both"/>
        <w:rPr>
          <w:rFonts w:ascii="Verdana" w:eastAsia="Times New Roman" w:hAnsi="Verdana" w:cs="Arial"/>
          <w:color w:val="000000" w:themeColor="text1"/>
          <w:sz w:val="16"/>
          <w:szCs w:val="16"/>
          <w:shd w:val="clear" w:color="auto" w:fill="FFFFFF"/>
          <w:lang w:eastAsia="es-ES_tradnl"/>
        </w:rPr>
      </w:pPr>
      <w:r>
        <w:rPr>
          <w:rStyle w:val="Refdenotaalpie"/>
          <w:rFonts w:ascii="Verdana" w:hAnsi="Verdana" w:cs="Arial"/>
          <w:color w:val="000000" w:themeColor="text1"/>
          <w:sz w:val="16"/>
          <w:szCs w:val="16"/>
        </w:rPr>
        <w:footnoteRef/>
      </w:r>
      <w:r>
        <w:rPr>
          <w:rFonts w:ascii="Verdana" w:hAnsi="Verdana" w:cs="Arial"/>
          <w:color w:val="000000" w:themeColor="text1"/>
          <w:sz w:val="16"/>
          <w:szCs w:val="16"/>
        </w:rPr>
        <w:t xml:space="preserve"> “</w:t>
      </w:r>
      <w:r>
        <w:rPr>
          <w:rFonts w:ascii="Verdana" w:eastAsia="Times New Roman" w:hAnsi="Verdana" w:cs="Arial"/>
          <w:color w:val="000000" w:themeColor="text1"/>
          <w:sz w:val="16"/>
          <w:szCs w:val="16"/>
          <w:shd w:val="clear" w:color="auto" w:fill="FFFFFF"/>
          <w:lang w:eastAsia="es-ES_tradnl"/>
        </w:rPr>
        <w:t>Por la cual se dictan normas sobre planes de desarrollo municipal, compraventa y expropiación de bienes y se dictan otras disposiciones”. En el Capítulo III se reguló específicamente la adquisición de bienes por enajenación voluntaria y por expropiación.</w:t>
      </w:r>
    </w:p>
    <w:p w14:paraId="20D21FF4" w14:textId="77777777" w:rsidR="008D78B9" w:rsidRDefault="008D78B9" w:rsidP="008D78B9">
      <w:pPr>
        <w:snapToGrid w:val="0"/>
        <w:spacing w:line="240" w:lineRule="auto"/>
        <w:ind w:firstLine="709"/>
        <w:contextualSpacing/>
        <w:jc w:val="both"/>
        <w:rPr>
          <w:rFonts w:ascii="Verdana" w:eastAsia="Times New Roman" w:hAnsi="Verdana" w:cs="Arial"/>
          <w:color w:val="000000" w:themeColor="text1"/>
          <w:sz w:val="16"/>
          <w:szCs w:val="16"/>
          <w:lang w:eastAsia="es-ES_tradnl"/>
        </w:rPr>
      </w:pPr>
      <w:r>
        <w:rPr>
          <w:rFonts w:ascii="Verdana" w:eastAsia="Times New Roman" w:hAnsi="Verdana" w:cs="Arial"/>
          <w:color w:val="000000" w:themeColor="text1"/>
          <w:sz w:val="16"/>
          <w:szCs w:val="16"/>
          <w:lang w:eastAsia="es-ES_tradnl"/>
        </w:rPr>
        <w:t>Esta normativa se expidió con fundamento el acto legislativo 1 de 1936, que había modificado el artículo 30 de la Constitución Política de 1886, a cuyo tenor: “Artículo 30. Se garantizan la propiedad privada y los demás derechos adquiridos con justo título, con arreglo a las leyes civiles, por personas naturales o jurídicas, los cuales no pueden ser desconocidos ni vulnerados por leyes posteriores. Cuando de la aplicación de una ley expedida por motivos de utilidad pública o interés social, resultaren en conflicto los derechos de particulares con la necesidad reconocida por la misma ley, el interés privado deberá ceder ante el interés público o social. // La propiedad es una función social que implica obligaciones. // Por motivos de utilidad pública o de interés social definidos por el legislador, podrá haber expropiación, mediante sentencia judicial e indemnización previa. // Con todo, el legislador, por razones de equidad, podrá determinar los casos en que no haya lugar a indemnización, mediante el voto favorable de la mayoría absoluta de los miembros de una y otra Cámara”.</w:t>
      </w:r>
    </w:p>
  </w:footnote>
  <w:footnote w:id="28">
    <w:p w14:paraId="38209880" w14:textId="77777777" w:rsidR="008D78B9" w:rsidRDefault="008D78B9" w:rsidP="008D78B9">
      <w:pPr>
        <w:snapToGrid w:val="0"/>
        <w:spacing w:line="240" w:lineRule="auto"/>
        <w:ind w:firstLine="709"/>
        <w:contextualSpacing/>
        <w:jc w:val="both"/>
        <w:rPr>
          <w:rFonts w:ascii="Verdana" w:eastAsia="Times New Roman" w:hAnsi="Verdana" w:cs="Arial"/>
          <w:color w:val="000000" w:themeColor="text1"/>
          <w:sz w:val="16"/>
          <w:szCs w:val="16"/>
          <w:lang w:eastAsia="es-ES_tradnl"/>
        </w:rPr>
      </w:pPr>
      <w:r>
        <w:rPr>
          <w:rStyle w:val="Refdenotaalpie"/>
          <w:rFonts w:ascii="Verdana" w:hAnsi="Verdana" w:cs="Arial"/>
          <w:color w:val="000000" w:themeColor="text1"/>
          <w:sz w:val="16"/>
          <w:szCs w:val="16"/>
        </w:rPr>
        <w:footnoteRef/>
      </w:r>
      <w:r>
        <w:rPr>
          <w:rFonts w:ascii="Verdana" w:hAnsi="Verdana" w:cs="Arial"/>
          <w:color w:val="000000" w:themeColor="text1"/>
          <w:sz w:val="16"/>
          <w:szCs w:val="16"/>
        </w:rPr>
        <w:t xml:space="preserve"> </w:t>
      </w:r>
      <w:r>
        <w:rPr>
          <w:rFonts w:ascii="Verdana" w:eastAsia="Times New Roman" w:hAnsi="Verdana" w:cs="Arial"/>
          <w:color w:val="000000" w:themeColor="text1"/>
          <w:sz w:val="16"/>
          <w:szCs w:val="16"/>
          <w:lang w:eastAsia="es-ES_tradnl"/>
        </w:rPr>
        <w:t>Por la cual se modifica la Ley 9 de 1989, y la Ley 2 de 1991 y se dictan otras disposiciones.</w:t>
      </w:r>
    </w:p>
  </w:footnote>
  <w:footnote w:id="29">
    <w:p w14:paraId="55873D91" w14:textId="77777777" w:rsidR="008D78B9" w:rsidRDefault="008D78B9" w:rsidP="008D78B9">
      <w:pPr>
        <w:snapToGrid w:val="0"/>
        <w:spacing w:line="240" w:lineRule="auto"/>
        <w:ind w:firstLine="709"/>
        <w:contextualSpacing/>
        <w:jc w:val="both"/>
        <w:rPr>
          <w:rFonts w:ascii="Verdana" w:eastAsia="Times New Roman" w:hAnsi="Verdana" w:cs="Arial"/>
          <w:b/>
          <w:bCs/>
          <w:color w:val="000000" w:themeColor="text1"/>
          <w:sz w:val="16"/>
          <w:szCs w:val="16"/>
          <w:shd w:val="clear" w:color="auto" w:fill="FFFFFF"/>
          <w:lang w:eastAsia="es-ES_tradnl"/>
        </w:rPr>
      </w:pPr>
      <w:r>
        <w:rPr>
          <w:rStyle w:val="Refdenotaalpie"/>
          <w:rFonts w:ascii="Verdana" w:hAnsi="Verdana" w:cs="Arial"/>
          <w:color w:val="000000" w:themeColor="text1"/>
          <w:sz w:val="16"/>
          <w:szCs w:val="16"/>
        </w:rPr>
        <w:footnoteRef/>
      </w:r>
      <w:r>
        <w:rPr>
          <w:rFonts w:ascii="Verdana" w:hAnsi="Verdana" w:cs="Arial"/>
          <w:color w:val="000000" w:themeColor="text1"/>
          <w:sz w:val="16"/>
          <w:szCs w:val="16"/>
        </w:rPr>
        <w:t xml:space="preserve"> </w:t>
      </w:r>
      <w:r>
        <w:rPr>
          <w:rFonts w:ascii="Verdana" w:hAnsi="Verdana" w:cs="Arial"/>
          <w:color w:val="000000" w:themeColor="text1"/>
          <w:sz w:val="16"/>
          <w:szCs w:val="16"/>
          <w:lang w:val="es-ES"/>
        </w:rPr>
        <w:t xml:space="preserve">Consejo de Estado. Sala de Consulta y Servicio Civil. Concepto del 10 de abril de 2008. Rad. </w:t>
      </w:r>
      <w:r>
        <w:rPr>
          <w:rFonts w:ascii="Verdana" w:eastAsia="Times New Roman" w:hAnsi="Verdana" w:cs="Arial"/>
          <w:color w:val="000000" w:themeColor="text1"/>
          <w:sz w:val="16"/>
          <w:szCs w:val="16"/>
          <w:shd w:val="clear" w:color="auto" w:fill="FFFFFF"/>
          <w:lang w:eastAsia="es-ES_tradnl"/>
        </w:rPr>
        <w:t>11001-03-06-000-2008-00017-00. C.P. Gustavo Aponte Santos.</w:t>
      </w:r>
      <w:r>
        <w:rPr>
          <w:rFonts w:ascii="Verdana" w:eastAsia="Times New Roman" w:hAnsi="Verdana" w:cs="Arial"/>
          <w:b/>
          <w:bCs/>
          <w:color w:val="000000" w:themeColor="text1"/>
          <w:sz w:val="16"/>
          <w:szCs w:val="16"/>
          <w:shd w:val="clear" w:color="auto" w:fill="FFFFFF"/>
          <w:lang w:eastAsia="es-ES_tradnl"/>
        </w:rPr>
        <w:t xml:space="preserve"> </w:t>
      </w:r>
    </w:p>
  </w:footnote>
  <w:footnote w:id="30">
    <w:p w14:paraId="4051C010" w14:textId="77777777" w:rsidR="008D78B9" w:rsidRDefault="008D78B9" w:rsidP="008D78B9">
      <w:pPr>
        <w:pStyle w:val="Textonotapie"/>
        <w:snapToGrid w:val="0"/>
        <w:ind w:firstLine="709"/>
        <w:jc w:val="both"/>
        <w:rPr>
          <w:rFonts w:ascii="Verdana" w:hAnsi="Verdana" w:cs="Arial"/>
          <w:color w:val="000000" w:themeColor="text1"/>
          <w:sz w:val="16"/>
          <w:szCs w:val="16"/>
          <w:lang w:val="es-CO"/>
        </w:rPr>
      </w:pPr>
      <w:r>
        <w:rPr>
          <w:rStyle w:val="Refdenotaalpie"/>
          <w:rFonts w:ascii="Verdana" w:hAnsi="Verdana" w:cs="Arial"/>
          <w:color w:val="000000" w:themeColor="text1"/>
          <w:sz w:val="16"/>
          <w:szCs w:val="16"/>
        </w:rPr>
        <w:footnoteRef/>
      </w:r>
      <w:r>
        <w:rPr>
          <w:rFonts w:ascii="Verdana" w:hAnsi="Verdana" w:cs="Arial"/>
          <w:color w:val="000000" w:themeColor="text1"/>
          <w:sz w:val="16"/>
          <w:szCs w:val="16"/>
        </w:rPr>
        <w:t xml:space="preserve"> </w:t>
      </w:r>
      <w:r>
        <w:rPr>
          <w:rFonts w:ascii="Verdana" w:hAnsi="Verdana" w:cs="Arial"/>
          <w:color w:val="000000" w:themeColor="text1"/>
          <w:sz w:val="16"/>
          <w:szCs w:val="16"/>
          <w:lang w:val="es-CO"/>
        </w:rPr>
        <w:t>Corte Constitucional. Sentencia C - 1074 de 4 de diciembre de 2002. M.P. Manuel José Cepeda Espinoza.</w:t>
      </w:r>
    </w:p>
  </w:footnote>
  <w:footnote w:id="31">
    <w:p w14:paraId="1B41FE3B" w14:textId="77777777" w:rsidR="008D78B9" w:rsidRDefault="008D78B9" w:rsidP="008D78B9">
      <w:pPr>
        <w:snapToGrid w:val="0"/>
        <w:spacing w:line="240" w:lineRule="auto"/>
        <w:ind w:firstLine="708"/>
        <w:contextualSpacing/>
        <w:jc w:val="both"/>
        <w:rPr>
          <w:rFonts w:ascii="Verdana" w:hAnsi="Verdana" w:cs="Arial"/>
          <w:color w:val="000000" w:themeColor="text1"/>
          <w:sz w:val="16"/>
          <w:szCs w:val="16"/>
        </w:rPr>
      </w:pPr>
      <w:r>
        <w:rPr>
          <w:rStyle w:val="Refdenotaalpie"/>
          <w:rFonts w:ascii="Verdana" w:hAnsi="Verdana" w:cs="Arial"/>
          <w:color w:val="000000" w:themeColor="text1"/>
          <w:sz w:val="16"/>
          <w:szCs w:val="16"/>
        </w:rPr>
        <w:footnoteRef/>
      </w:r>
      <w:r>
        <w:rPr>
          <w:rFonts w:ascii="Verdana" w:hAnsi="Verdana" w:cs="Arial"/>
          <w:color w:val="000000" w:themeColor="text1"/>
          <w:sz w:val="16"/>
          <w:szCs w:val="16"/>
        </w:rPr>
        <w:t xml:space="preserve"> Corte Constitucional. Sentencia C - 669 de 28 de octubre de 2015. M.P. Luis Ernesto Vargas Silva.</w:t>
      </w:r>
    </w:p>
  </w:footnote>
  <w:footnote w:id="32">
    <w:p w14:paraId="4DC2DDCC" w14:textId="77777777" w:rsidR="008D78B9" w:rsidRDefault="008D78B9" w:rsidP="008D78B9">
      <w:pPr>
        <w:pStyle w:val="Textonotapie"/>
        <w:snapToGrid w:val="0"/>
        <w:ind w:firstLine="709"/>
        <w:jc w:val="both"/>
        <w:rPr>
          <w:rFonts w:ascii="Verdana" w:hAnsi="Verdana" w:cs="Arial"/>
          <w:color w:val="000000" w:themeColor="text1"/>
          <w:sz w:val="16"/>
          <w:szCs w:val="16"/>
        </w:rPr>
      </w:pPr>
      <w:r>
        <w:rPr>
          <w:rStyle w:val="Refdenotaalpie"/>
          <w:rFonts w:ascii="Verdana" w:hAnsi="Verdana" w:cs="Arial"/>
          <w:color w:val="000000" w:themeColor="text1"/>
          <w:sz w:val="16"/>
          <w:szCs w:val="16"/>
        </w:rPr>
        <w:footnoteRef/>
      </w:r>
      <w:r>
        <w:rPr>
          <w:rFonts w:ascii="Verdana" w:hAnsi="Verdana" w:cs="Arial"/>
          <w:color w:val="000000" w:themeColor="text1"/>
          <w:sz w:val="16"/>
          <w:szCs w:val="16"/>
        </w:rPr>
        <w:t xml:space="preserve"> “La expropiación no es un contrato, no es una venta, ni siquiera forzada, como la que se verifica en subasta pública en determinados casos; es una figura esencialmente distinta, de derecho público, enderezada al bien de la comunidad y en virtud de la cual, por motivos superiores, la Administración toma la propiedad particular, y como esta medida genera un daño, y no un precio, se satisface mediante una indemnización. Se indemniza el perjuicio en diferentes órdenes de la responsabilidad contractual y extracontractual, y se indemniza al expropiado el daño que para él implica esta forma de expropiación –que opera contra su voluntad- pero en provecho público”. (Corte Constitucional. Sentencia C - 153 de 1994. M.P. Alejandro Martínez Caballero).</w:t>
      </w:r>
    </w:p>
  </w:footnote>
  <w:footnote w:id="33">
    <w:p w14:paraId="47C3B612" w14:textId="77777777" w:rsidR="008D78B9" w:rsidRDefault="008D78B9" w:rsidP="008D78B9">
      <w:pPr>
        <w:snapToGrid w:val="0"/>
        <w:spacing w:line="240" w:lineRule="auto"/>
        <w:ind w:firstLine="709"/>
        <w:contextualSpacing/>
        <w:jc w:val="both"/>
        <w:rPr>
          <w:rFonts w:ascii="Verdana" w:eastAsia="Times New Roman" w:hAnsi="Verdana" w:cs="Arial"/>
          <w:color w:val="000000" w:themeColor="text1"/>
          <w:sz w:val="16"/>
          <w:szCs w:val="16"/>
          <w:lang w:eastAsia="es-ES_tradnl"/>
        </w:rPr>
      </w:pPr>
      <w:r>
        <w:rPr>
          <w:rStyle w:val="Refdenotaalpie"/>
          <w:rFonts w:ascii="Verdana" w:hAnsi="Verdana" w:cs="Arial"/>
          <w:color w:val="000000" w:themeColor="text1"/>
          <w:sz w:val="16"/>
          <w:szCs w:val="16"/>
        </w:rPr>
        <w:footnoteRef/>
      </w:r>
      <w:r>
        <w:rPr>
          <w:rFonts w:ascii="Verdana" w:hAnsi="Verdana" w:cs="Arial"/>
          <w:color w:val="000000" w:themeColor="text1"/>
          <w:sz w:val="16"/>
          <w:szCs w:val="16"/>
        </w:rPr>
        <w:t xml:space="preserve"> Una vez otorgada la correspondiente escritura pública de compraventa, esta deberá ser inscrita en la Oficina de Instrumentos Públicos respectiva, conforme a lo previsto en el artículo 14 de la Ley 9 de 1989, modificado por el artículo 34 de la Ley 3 de 1991</w:t>
      </w:r>
      <w:r>
        <w:rPr>
          <w:rFonts w:ascii="Verdana" w:eastAsia="Times New Roman" w:hAnsi="Verdana" w:cs="Arial"/>
          <w:color w:val="000000" w:themeColor="text1"/>
          <w:sz w:val="16"/>
          <w:szCs w:val="16"/>
          <w:lang w:eastAsia="es-ES_tradnl"/>
        </w:rPr>
        <w:t>.</w:t>
      </w:r>
    </w:p>
  </w:footnote>
  <w:footnote w:id="34">
    <w:p w14:paraId="3A2CBE03" w14:textId="77777777" w:rsidR="008D78B9" w:rsidRDefault="008D78B9" w:rsidP="008D78B9">
      <w:pPr>
        <w:pStyle w:val="Textonotapie"/>
        <w:snapToGrid w:val="0"/>
        <w:ind w:firstLine="708"/>
        <w:jc w:val="both"/>
        <w:rPr>
          <w:rFonts w:ascii="Verdana" w:hAnsi="Verdana" w:cs="Arial"/>
          <w:color w:val="000000" w:themeColor="text1"/>
          <w:sz w:val="16"/>
          <w:szCs w:val="16"/>
          <w:lang w:val="es-CO"/>
        </w:rPr>
      </w:pPr>
      <w:r>
        <w:rPr>
          <w:rStyle w:val="Refdenotaalpie"/>
          <w:rFonts w:ascii="Verdana" w:hAnsi="Verdana" w:cs="Arial"/>
          <w:color w:val="000000" w:themeColor="text1"/>
          <w:sz w:val="16"/>
          <w:szCs w:val="16"/>
        </w:rPr>
        <w:footnoteRef/>
      </w:r>
      <w:r>
        <w:rPr>
          <w:rFonts w:ascii="Verdana" w:hAnsi="Verdana" w:cs="Arial"/>
          <w:color w:val="000000" w:themeColor="text1"/>
          <w:sz w:val="16"/>
          <w:szCs w:val="16"/>
        </w:rPr>
        <w:t xml:space="preserve"> Postura que también fue desarrollada con mayor detalle en el concepto con radicado de salida No. 2201913000008597 del 19 de noviembre de 2019 –rad. De entrada 2201913000008597–, proferido por esta Agencia. (Disponible en: </w:t>
      </w:r>
      <w:hyperlink r:id="rId1" w:history="1">
        <w:r>
          <w:rPr>
            <w:rStyle w:val="Hipervnculo"/>
            <w:rFonts w:ascii="Verdana" w:hAnsi="Verdana" w:cs="Arial"/>
            <w:color w:val="000000" w:themeColor="text1"/>
            <w:sz w:val="16"/>
            <w:szCs w:val="16"/>
          </w:rPr>
          <w:t>https://relatoria.colombiacompra.gov.co/ficha/4201912000005718</w:t>
        </w:r>
      </w:hyperlink>
      <w:r>
        <w:rPr>
          <w:rFonts w:ascii="Verdana" w:hAnsi="Verdana" w:cs="Arial"/>
          <w:color w:val="000000" w:themeColor="text1"/>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style="width:10.95pt;height:10.9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805397034">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386104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4E6B"/>
    <w:rsid w:val="00016F78"/>
    <w:rsid w:val="00031056"/>
    <w:rsid w:val="00046945"/>
    <w:rsid w:val="00061B2A"/>
    <w:rsid w:val="00082362"/>
    <w:rsid w:val="000A683E"/>
    <w:rsid w:val="000B19B9"/>
    <w:rsid w:val="000B36DF"/>
    <w:rsid w:val="000D0334"/>
    <w:rsid w:val="000E5735"/>
    <w:rsid w:val="000F6486"/>
    <w:rsid w:val="00125105"/>
    <w:rsid w:val="00127233"/>
    <w:rsid w:val="001337B8"/>
    <w:rsid w:val="001E4177"/>
    <w:rsid w:val="001F7DC6"/>
    <w:rsid w:val="002421BB"/>
    <w:rsid w:val="0025796E"/>
    <w:rsid w:val="002707A2"/>
    <w:rsid w:val="002951A0"/>
    <w:rsid w:val="002961BE"/>
    <w:rsid w:val="002962BC"/>
    <w:rsid w:val="002A093D"/>
    <w:rsid w:val="002A0DD0"/>
    <w:rsid w:val="002A49AC"/>
    <w:rsid w:val="002A64FD"/>
    <w:rsid w:val="002C7A84"/>
    <w:rsid w:val="002E4FD9"/>
    <w:rsid w:val="00322A85"/>
    <w:rsid w:val="00324168"/>
    <w:rsid w:val="00325F67"/>
    <w:rsid w:val="003448F4"/>
    <w:rsid w:val="00374F5E"/>
    <w:rsid w:val="00377E3E"/>
    <w:rsid w:val="0038135F"/>
    <w:rsid w:val="003A779E"/>
    <w:rsid w:val="003D0F4D"/>
    <w:rsid w:val="003D5B0D"/>
    <w:rsid w:val="003E0499"/>
    <w:rsid w:val="003F3941"/>
    <w:rsid w:val="00406575"/>
    <w:rsid w:val="00414C74"/>
    <w:rsid w:val="0042722E"/>
    <w:rsid w:val="0044528D"/>
    <w:rsid w:val="004A1847"/>
    <w:rsid w:val="004A305D"/>
    <w:rsid w:val="004F21C4"/>
    <w:rsid w:val="004F685F"/>
    <w:rsid w:val="005566E8"/>
    <w:rsid w:val="00566B83"/>
    <w:rsid w:val="00574867"/>
    <w:rsid w:val="00591460"/>
    <w:rsid w:val="005C3777"/>
    <w:rsid w:val="005C5CDC"/>
    <w:rsid w:val="005D1ABF"/>
    <w:rsid w:val="005D476C"/>
    <w:rsid w:val="005D4A0D"/>
    <w:rsid w:val="006219F8"/>
    <w:rsid w:val="006302F7"/>
    <w:rsid w:val="00632816"/>
    <w:rsid w:val="00665D70"/>
    <w:rsid w:val="006900D9"/>
    <w:rsid w:val="006A760C"/>
    <w:rsid w:val="00706C16"/>
    <w:rsid w:val="00756841"/>
    <w:rsid w:val="007649AB"/>
    <w:rsid w:val="00771D0C"/>
    <w:rsid w:val="007833AC"/>
    <w:rsid w:val="007B268C"/>
    <w:rsid w:val="007B7171"/>
    <w:rsid w:val="007C0C0F"/>
    <w:rsid w:val="007C3DC2"/>
    <w:rsid w:val="007E5497"/>
    <w:rsid w:val="00806F5F"/>
    <w:rsid w:val="00820278"/>
    <w:rsid w:val="00867F95"/>
    <w:rsid w:val="008843B6"/>
    <w:rsid w:val="00891928"/>
    <w:rsid w:val="00897A3A"/>
    <w:rsid w:val="008A446D"/>
    <w:rsid w:val="008D180B"/>
    <w:rsid w:val="008D78B9"/>
    <w:rsid w:val="008F0EA7"/>
    <w:rsid w:val="00923EEF"/>
    <w:rsid w:val="009419F9"/>
    <w:rsid w:val="0095685E"/>
    <w:rsid w:val="00961B09"/>
    <w:rsid w:val="00965334"/>
    <w:rsid w:val="0097093E"/>
    <w:rsid w:val="009A0DFA"/>
    <w:rsid w:val="009B25A8"/>
    <w:rsid w:val="009B2D26"/>
    <w:rsid w:val="009C71FA"/>
    <w:rsid w:val="009C72E7"/>
    <w:rsid w:val="009D3058"/>
    <w:rsid w:val="009F250F"/>
    <w:rsid w:val="009F3A13"/>
    <w:rsid w:val="00A122D3"/>
    <w:rsid w:val="00A17F13"/>
    <w:rsid w:val="00A20739"/>
    <w:rsid w:val="00A33C78"/>
    <w:rsid w:val="00A3458D"/>
    <w:rsid w:val="00AA5206"/>
    <w:rsid w:val="00AB0ADB"/>
    <w:rsid w:val="00B00C0E"/>
    <w:rsid w:val="00B01B1A"/>
    <w:rsid w:val="00B44A47"/>
    <w:rsid w:val="00B504A0"/>
    <w:rsid w:val="00B72CD3"/>
    <w:rsid w:val="00B72FFF"/>
    <w:rsid w:val="00BC3D36"/>
    <w:rsid w:val="00BD7F72"/>
    <w:rsid w:val="00C04FB3"/>
    <w:rsid w:val="00C330EB"/>
    <w:rsid w:val="00C754BE"/>
    <w:rsid w:val="00C76B1C"/>
    <w:rsid w:val="00CA0862"/>
    <w:rsid w:val="00CB6357"/>
    <w:rsid w:val="00CC1B26"/>
    <w:rsid w:val="00D027D2"/>
    <w:rsid w:val="00D22704"/>
    <w:rsid w:val="00D423A2"/>
    <w:rsid w:val="00D520D8"/>
    <w:rsid w:val="00D63AC2"/>
    <w:rsid w:val="00D7383B"/>
    <w:rsid w:val="00D81FC9"/>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157D3"/>
    <w:rsid w:val="00F31EDC"/>
    <w:rsid w:val="00F462B3"/>
    <w:rsid w:val="00F5664F"/>
    <w:rsid w:val="00F666C4"/>
    <w:rsid w:val="00F76AFC"/>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uiPriority w:val="99"/>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NormalWebCar">
    <w:name w:val="Normal (Web) Car"/>
    <w:link w:val="NormalWeb"/>
    <w:uiPriority w:val="99"/>
    <w:semiHidden/>
    <w:locked/>
    <w:rsid w:val="008D78B9"/>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8D78B9"/>
    <w:rPr>
      <w:rFonts w:ascii="Geomanist Light" w:hAnsi="Geomanist Light"/>
      <w:lang w:val="es-ES"/>
    </w:rPr>
  </w:style>
  <w:style w:type="paragraph" w:customStyle="1" w:styleId="Appelnotedebasde">
    <w:name w:val="Appel note de bas de..."/>
    <w:basedOn w:val="Normal"/>
    <w:link w:val="Refdenotaalpie"/>
    <w:uiPriority w:val="99"/>
    <w:rsid w:val="008D78B9"/>
    <w:pPr>
      <w:spacing w:line="240" w:lineRule="exact"/>
    </w:pPr>
    <w:rPr>
      <w:vertAlign w:val="superscript"/>
    </w:rPr>
  </w:style>
  <w:style w:type="character" w:customStyle="1" w:styleId="s15">
    <w:name w:val="s15"/>
    <w:basedOn w:val="Fuentedeprrafopredeter"/>
    <w:rsid w:val="008D78B9"/>
  </w:style>
  <w:style w:type="character" w:customStyle="1" w:styleId="baj">
    <w:name w:val="b_aj"/>
    <w:basedOn w:val="Fuentedeprrafopredeter"/>
    <w:rsid w:val="008D78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8149359">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ianamarcela.bedoya@antioquia.gov.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ficha/420191200000571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8256DAA9-4B43-4FF0-944F-69A2D28AF0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16</TotalTime>
  <Pages>27</Pages>
  <Words>9622</Words>
  <Characters>50713</Characters>
  <Application>Microsoft Office Word</Application>
  <DocSecurity>0</DocSecurity>
  <Lines>994</Lines>
  <Paragraphs>172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8</cp:revision>
  <cp:lastPrinted>2023-01-10T21:18:00Z</cp:lastPrinted>
  <dcterms:created xsi:type="dcterms:W3CDTF">2025-10-27T15:28:00Z</dcterms:created>
  <dcterms:modified xsi:type="dcterms:W3CDTF">2025-10-27T18:06:00Z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