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C2345F" w14:textId="77777777" w:rsidR="00B334F5" w:rsidRPr="00B334F5" w:rsidRDefault="00B334F5" w:rsidP="00B334F5">
      <w:pPr>
        <w:spacing w:after="0"/>
        <w:jc w:val="both"/>
        <w:rPr>
          <w:rFonts w:ascii="Verdana" w:hAnsi="Verdana"/>
          <w:b/>
          <w:lang w:val="es-ES"/>
        </w:rPr>
      </w:pPr>
      <w:bookmarkStart w:id="0" w:name="_Hlk143780582"/>
      <w:r w:rsidRPr="00B334F5">
        <w:rPr>
          <w:rFonts w:ascii="Verdana" w:hAnsi="Verdana"/>
          <w:b/>
          <w:lang w:val="es-ES"/>
        </w:rPr>
        <w:t xml:space="preserve">CONSORCIOS Y UNIONES TEMPORALES – Capacidad para contratar – Participación en varios procesos </w:t>
      </w:r>
    </w:p>
    <w:p w14:paraId="0D8DBAF5" w14:textId="0A677921" w:rsidR="00B334F5" w:rsidRDefault="00B334F5" w:rsidP="00B334F5">
      <w:pPr>
        <w:spacing w:after="0"/>
        <w:jc w:val="both"/>
        <w:rPr>
          <w:rFonts w:ascii="Verdana" w:hAnsi="Verdana"/>
          <w:b/>
          <w:lang w:val="es-ES"/>
        </w:rPr>
      </w:pPr>
    </w:p>
    <w:p w14:paraId="761F96CF" w14:textId="77777777" w:rsidR="00B334F5" w:rsidRPr="00B334F5" w:rsidRDefault="00B334F5" w:rsidP="00B334F5">
      <w:pPr>
        <w:spacing w:after="0" w:line="240" w:lineRule="auto"/>
        <w:jc w:val="both"/>
        <w:rPr>
          <w:rFonts w:ascii="Verdana" w:hAnsi="Verdana"/>
          <w:sz w:val="20"/>
        </w:rPr>
      </w:pPr>
      <w:r w:rsidRPr="00B334F5">
        <w:rPr>
          <w:rFonts w:ascii="Verdana" w:hAnsi="Verdana"/>
          <w:sz w:val="20"/>
        </w:rPr>
        <w:t xml:space="preserve">los consorcios o uniones temporales son convenios de asociación provenientes de la colaboración empresarial, mediante los cuales sus integrantes se unen y se organizan mancomunadamente para lograr con mayor eficacia un fin común de contenido patrimonial y lucrativo, como lo es la obtención del derecho a ser adjudicatarios de un contrato estatal, compartiendo recursos, de toda índole, para su ejecución, así como las utilidades y los riesgos. La diferencia radica en la responsabilidad frente a las eventuales sanciones por el incumplimiento de las obligaciones, toda vez que tratándose de una unión temporal, estas se individualizan según la participación de sus miembros, mientras que en el consorcio los miembros responden solidariamente, con independencia de este aspecto.   </w:t>
      </w:r>
    </w:p>
    <w:p w14:paraId="627A8A06" w14:textId="5BDE1DC7" w:rsidR="00B334F5" w:rsidRDefault="00B334F5" w:rsidP="00B334F5">
      <w:pPr>
        <w:spacing w:after="0" w:line="240" w:lineRule="auto"/>
        <w:jc w:val="both"/>
        <w:rPr>
          <w:rFonts w:ascii="Verdana" w:hAnsi="Verdana"/>
          <w:sz w:val="20"/>
        </w:rPr>
      </w:pPr>
      <w:r>
        <w:rPr>
          <w:rFonts w:ascii="Verdana" w:hAnsi="Verdana"/>
          <w:sz w:val="20"/>
        </w:rPr>
        <w:t>[…]</w:t>
      </w:r>
    </w:p>
    <w:p w14:paraId="5DECEABE" w14:textId="3106871F" w:rsidR="00B334F5" w:rsidRPr="00B334F5" w:rsidRDefault="00B334F5" w:rsidP="00B334F5">
      <w:pPr>
        <w:spacing w:after="0" w:line="240" w:lineRule="auto"/>
        <w:jc w:val="both"/>
        <w:rPr>
          <w:rFonts w:ascii="Verdana" w:hAnsi="Verdana"/>
          <w:sz w:val="20"/>
        </w:rPr>
      </w:pPr>
      <w:r w:rsidRPr="00B334F5">
        <w:rPr>
          <w:rFonts w:ascii="Verdana" w:hAnsi="Verdana"/>
          <w:sz w:val="20"/>
        </w:rPr>
        <w:t xml:space="preserve">En este contexto, conforme se explica en el CU-636 del 2 de julio de 2025, esta Subdirección considera que la interpretación más adecuada se alinea con la posición expuesta en los conceptos C-727 del 28 de octubre de 2024, C-016 del 11 de febrero de 2025, C-046 del 30 de enero de 2025, C-226 del 26 de marzo de 2025 y C-295 del 15 de abril de 2025, en el sentido de indicar que es jurídicamente viable que los proponentes plurales presenten propuestas para la adjudicación, celebración y ejecución de contratos estatales con </w:t>
      </w:r>
      <w:r w:rsidRPr="00B334F5">
        <w:rPr>
          <w:rFonts w:ascii="Verdana" w:hAnsi="Verdana"/>
          <w:i/>
          <w:iCs/>
          <w:sz w:val="20"/>
        </w:rPr>
        <w:t>una o varias</w:t>
      </w:r>
      <w:r w:rsidRPr="00B334F5">
        <w:rPr>
          <w:rFonts w:ascii="Verdana" w:hAnsi="Verdana"/>
          <w:sz w:val="20"/>
        </w:rPr>
        <w:t xml:space="preserve"> entidades, lo anterior, en concordancia con el cumplimiento de los supuestos previamente descritos. En ese orden, las ofertas serán analizadas de acuerdo con los criterios habilitantes y factores de evaluación del pliego de condiciones o documento equivalente, en el marco de las reglas previstas en el Estatuto General de Contratación, sus normas complementarias y los reglamentos respectivos. </w:t>
      </w:r>
    </w:p>
    <w:p w14:paraId="0B65F907" w14:textId="7BA5F4E9" w:rsidR="00B334F5" w:rsidRPr="00B334F5" w:rsidRDefault="00B334F5" w:rsidP="00B334F5">
      <w:pPr>
        <w:spacing w:after="0"/>
        <w:jc w:val="both"/>
        <w:rPr>
          <w:rFonts w:ascii="Verdana" w:hAnsi="Verdana"/>
          <w:b/>
          <w:lang w:val="es-ES"/>
        </w:rPr>
      </w:pPr>
    </w:p>
    <w:p w14:paraId="755FBE98" w14:textId="77777777" w:rsidR="00B334F5" w:rsidRPr="00B334F5" w:rsidRDefault="00B334F5" w:rsidP="00B334F5">
      <w:pPr>
        <w:spacing w:after="0"/>
        <w:jc w:val="both"/>
        <w:rPr>
          <w:rFonts w:ascii="Verdana" w:hAnsi="Verdana"/>
          <w:b/>
          <w:lang w:val="es-ES"/>
        </w:rPr>
      </w:pPr>
      <w:r w:rsidRPr="00B334F5">
        <w:rPr>
          <w:rFonts w:ascii="Verdana" w:hAnsi="Verdana"/>
          <w:b/>
          <w:lang w:val="es-ES"/>
        </w:rPr>
        <w:t xml:space="preserve">PROMESAS DE SOCIEDAD FUTURO – Regulación </w:t>
      </w:r>
    </w:p>
    <w:p w14:paraId="10509E65" w14:textId="77777777" w:rsidR="00B334F5" w:rsidRPr="00B334F5" w:rsidRDefault="00B334F5" w:rsidP="00B334F5">
      <w:pPr>
        <w:spacing w:after="0" w:line="240" w:lineRule="auto"/>
        <w:jc w:val="both"/>
        <w:rPr>
          <w:rFonts w:ascii="Verdana" w:hAnsi="Verdana"/>
          <w:sz w:val="20"/>
          <w:lang w:val="es-ES"/>
        </w:rPr>
      </w:pPr>
    </w:p>
    <w:p w14:paraId="0A271BFE" w14:textId="2D40AAB6" w:rsidR="00B334F5" w:rsidRPr="00B334F5" w:rsidRDefault="00B334F5" w:rsidP="00B334F5">
      <w:pPr>
        <w:spacing w:after="0" w:line="240" w:lineRule="auto"/>
        <w:jc w:val="both"/>
        <w:rPr>
          <w:rFonts w:ascii="Verdana" w:hAnsi="Verdana"/>
          <w:sz w:val="20"/>
        </w:rPr>
      </w:pPr>
      <w:r w:rsidRPr="00B334F5">
        <w:rPr>
          <w:rFonts w:ascii="Verdana" w:hAnsi="Verdana"/>
          <w:sz w:val="20"/>
          <w:lang w:val="es-ES"/>
        </w:rPr>
        <w:t xml:space="preserve">Aunque la normativa vigente no prevé la posibilidad de que los proponentes se presenten a los procesos de contratación con el Estado como promesa de sociedad futura, la Agencia Nacional de Contratación Pública- Colombia Compra Eficiente puso a disposición de los interesados del Sistema de Compra Pública, la Guía de Asuntos Corporativos en los Procesos de Contratación, donde señaló que los proponentes, además de constituir figuras asociativas como los consorcios o uniones temporales, pueden presentarse como otras sociedades constituidas con el único objeto de presentar una propuesta, celebrar y ejecutar un contrato. Al respecto, la Guía de Asuntos Corporativos se expresa: “[…] </w:t>
      </w:r>
      <w:r w:rsidRPr="00B334F5">
        <w:rPr>
          <w:rFonts w:ascii="Verdana" w:hAnsi="Verdana"/>
          <w:sz w:val="20"/>
        </w:rPr>
        <w:t>si llegara a ocurrir que un proponente se presenta bajo la constitución de esta figura asociativa, la Entidad Estatal en todo caso no podrá rechazar la oferta presentada y deberá entender que su participación será la de un consorcio, siempre que reúna los requisitos previstos en el artículo 7 de la Ley 80 de 1993”.</w:t>
      </w:r>
    </w:p>
    <w:p w14:paraId="5F94D113" w14:textId="77777777" w:rsidR="00B334F5" w:rsidRDefault="00B334F5" w:rsidP="00B334F5">
      <w:pPr>
        <w:spacing w:after="0" w:line="240" w:lineRule="auto"/>
        <w:jc w:val="both"/>
        <w:rPr>
          <w:rFonts w:ascii="Verdana" w:hAnsi="Verdana"/>
          <w:sz w:val="20"/>
        </w:rPr>
      </w:pPr>
    </w:p>
    <w:p w14:paraId="1969918E" w14:textId="7CAF3361" w:rsidR="00B334F5" w:rsidRPr="00B334F5" w:rsidRDefault="00B334F5" w:rsidP="00B334F5">
      <w:pPr>
        <w:spacing w:after="0" w:line="240" w:lineRule="auto"/>
        <w:jc w:val="both"/>
        <w:rPr>
          <w:rFonts w:ascii="Verdana" w:hAnsi="Verdana"/>
          <w:sz w:val="20"/>
        </w:rPr>
      </w:pPr>
      <w:r w:rsidRPr="00B334F5">
        <w:rPr>
          <w:rFonts w:ascii="Verdana" w:hAnsi="Verdana"/>
          <w:sz w:val="20"/>
        </w:rPr>
        <w:t xml:space="preserve">Este tipo de instituciones conocida como “promesa de sociedad” o “promesa de sociedad futura” es una modalidad del contrato de promesa, cuya validez y eficacia está regulada en el artículo 861 del Código de Comercio. El artículo 119 del citado código prescribe que la promesa de contrato de sociedad debe hacerse por escrito con las cláusulas que </w:t>
      </w:r>
      <w:r w:rsidRPr="00B334F5">
        <w:rPr>
          <w:rFonts w:ascii="Verdana" w:hAnsi="Verdana"/>
          <w:sz w:val="20"/>
        </w:rPr>
        <w:lastRenderedPageBreak/>
        <w:t xml:space="preserve">deban expresarse en el negocio jurídico, conforme al artículo 110 del Código de Comercio y la indicación del plazo o condición que fije la fecha en que se constituirá la sociedad. Por otro lado, los promitentes de la sociedad futura responden solidaria e ilimitadamente de las operaciones que celebren o ejecuten en el marco de los negocios de esta, antes de su constitución, cualquiera que sea la forma legal que se pacte. </w:t>
      </w:r>
    </w:p>
    <w:p w14:paraId="20842040" w14:textId="77777777" w:rsidR="00B334F5" w:rsidRPr="00B334F5" w:rsidRDefault="00B334F5" w:rsidP="00B334F5">
      <w:pPr>
        <w:spacing w:after="0"/>
        <w:jc w:val="both"/>
        <w:rPr>
          <w:rFonts w:ascii="Verdana" w:hAnsi="Verdana"/>
          <w:b/>
        </w:rPr>
      </w:pPr>
    </w:p>
    <w:p w14:paraId="17F4256A" w14:textId="48FCACF5" w:rsidR="00B334F5" w:rsidRPr="00B334F5" w:rsidRDefault="00B334F5" w:rsidP="00B334F5">
      <w:pPr>
        <w:spacing w:after="0"/>
        <w:jc w:val="both"/>
        <w:rPr>
          <w:rFonts w:ascii="Verdana" w:hAnsi="Verdana"/>
          <w:b/>
          <w:bCs/>
          <w:lang w:val="es-ES"/>
        </w:rPr>
      </w:pPr>
      <w:r w:rsidRPr="00B334F5">
        <w:rPr>
          <w:rFonts w:ascii="Verdana" w:hAnsi="Verdana"/>
          <w:b/>
          <w:lang w:val="es-ES"/>
        </w:rPr>
        <w:t xml:space="preserve">PROMESA DE SOCIEDAD – Efectos jurídicos – Responsabilidad – Consorcios. </w:t>
      </w:r>
      <w:r w:rsidRPr="00B334F5">
        <w:rPr>
          <w:rFonts w:ascii="Verdana" w:hAnsi="Verdana"/>
          <w:b/>
          <w:bCs/>
          <w:lang w:val="es-ES"/>
        </w:rPr>
        <w:t xml:space="preserve"> </w:t>
      </w:r>
    </w:p>
    <w:p w14:paraId="17EAF138" w14:textId="77777777" w:rsidR="00B334F5" w:rsidRPr="00EE5444" w:rsidRDefault="00B334F5" w:rsidP="00EE5444">
      <w:pPr>
        <w:spacing w:after="0" w:line="240" w:lineRule="auto"/>
        <w:jc w:val="both"/>
        <w:rPr>
          <w:rFonts w:ascii="Verdana" w:hAnsi="Verdana"/>
          <w:sz w:val="20"/>
          <w:lang w:val="es-ES"/>
        </w:rPr>
      </w:pPr>
    </w:p>
    <w:p w14:paraId="2C3FAFE9" w14:textId="77243C11" w:rsidR="00EE5444" w:rsidRPr="00EE5444" w:rsidRDefault="00EE5444" w:rsidP="00EE5444">
      <w:pPr>
        <w:spacing w:after="0" w:line="240" w:lineRule="auto"/>
        <w:jc w:val="both"/>
        <w:rPr>
          <w:rFonts w:ascii="Verdana" w:hAnsi="Verdana"/>
          <w:sz w:val="20"/>
        </w:rPr>
      </w:pPr>
      <w:r w:rsidRPr="00EE5444">
        <w:rPr>
          <w:rFonts w:ascii="Verdana" w:hAnsi="Verdana"/>
          <w:sz w:val="20"/>
        </w:rPr>
        <w:t xml:space="preserve">Para entender la procedibilidad de aplicar la promesa de sociedad futura es necesario acudir al parágrafo 2° del artículo 7° de la Ley 80 de 1993, cuyo tenor literal dispone: “En </w:t>
      </w:r>
      <w:r w:rsidRPr="00EE5444">
        <w:rPr>
          <w:rFonts w:ascii="Verdana" w:hAnsi="Verdana"/>
          <w:i/>
          <w:sz w:val="20"/>
        </w:rPr>
        <w:t>los casos en que se conformen sociedades bajo cualquiera de las modalidades previstas en la ley con el único objeto de presentar una propuesta, celebrar y ejecutar un contrato estatal,</w:t>
      </w:r>
      <w:r w:rsidRPr="00EE5444">
        <w:rPr>
          <w:rFonts w:ascii="Verdana" w:hAnsi="Verdana"/>
          <w:sz w:val="20"/>
        </w:rPr>
        <w:t xml:space="preserve"> la responsabilidad y sus efectos se regirá por las disposiciones previstas en esta ley para los consorcios” (énfasis fuera de texto). En tal sentido, modalidades, como “la promesa de sociedad futura” se sujetan a las responsabilidades y efectos para los consorcios, lo cual implica que responden solidariamente en todas y cada una de las obligaciones que se derivan de la propuesta y del contrato. Por tanto, las actuaciones, hechos u omisiones que se generen en el marco de la propuesta y del contrato, afectan a todos los miembros que la conforman. </w:t>
      </w:r>
    </w:p>
    <w:p w14:paraId="4E2B971E" w14:textId="2CE1F35F" w:rsidR="00EE5444" w:rsidRPr="00EE5444" w:rsidRDefault="00EE5444" w:rsidP="00EE5444">
      <w:pPr>
        <w:spacing w:after="0" w:line="240" w:lineRule="auto"/>
        <w:jc w:val="both"/>
        <w:rPr>
          <w:rFonts w:ascii="Verdana" w:hAnsi="Verdana"/>
          <w:sz w:val="20"/>
        </w:rPr>
      </w:pPr>
    </w:p>
    <w:p w14:paraId="79512E90" w14:textId="54ADBDB4" w:rsidR="00EE5444" w:rsidRPr="00EE5444" w:rsidRDefault="00EE5444" w:rsidP="00EE5444">
      <w:pPr>
        <w:spacing w:after="0" w:line="240" w:lineRule="auto"/>
        <w:jc w:val="both"/>
        <w:rPr>
          <w:rFonts w:ascii="Verdana" w:hAnsi="Verdana"/>
          <w:sz w:val="20"/>
        </w:rPr>
      </w:pPr>
      <w:r w:rsidRPr="00EE5444">
        <w:rPr>
          <w:rFonts w:ascii="Verdana" w:hAnsi="Verdana"/>
          <w:sz w:val="20"/>
        </w:rPr>
        <w:t xml:space="preserve">Teniendo en cuenta lo expuesto, y a partir del marco normativo que rige el Sistema de Compras Públicas, así como las demás normas vigentes del ordenamiento jurídico, es posible que los diferentes proponentes se asocien mediante instituciones como la promesa de sociedad futura en los procesos de contratación, sin que exista una restricción o prohibición para ello. Por tanto, en procesos de contratación estatal, independiente del objeto, se posibilita que proponentes se asocien bajo esta institución, precisando que la responsabilidad y los efectos jurídicos de esta, serán las de los consorcios. </w:t>
      </w:r>
    </w:p>
    <w:p w14:paraId="023E2940" w14:textId="77777777" w:rsidR="00B334F5" w:rsidRDefault="00B334F5" w:rsidP="00592F2E">
      <w:pPr>
        <w:spacing w:after="0"/>
        <w:rPr>
          <w:rFonts w:ascii="Verdana" w:hAnsi="Verdana"/>
        </w:rPr>
      </w:pPr>
    </w:p>
    <w:p w14:paraId="4FD71FEF" w14:textId="77777777" w:rsidR="00B334F5" w:rsidRDefault="00B334F5" w:rsidP="00592F2E">
      <w:pPr>
        <w:spacing w:after="0"/>
        <w:rPr>
          <w:rFonts w:ascii="Verdana" w:hAnsi="Verdana"/>
        </w:rPr>
      </w:pPr>
    </w:p>
    <w:p w14:paraId="704402C4" w14:textId="25FECAFE" w:rsidR="00B334F5" w:rsidRDefault="00B334F5" w:rsidP="00592F2E">
      <w:pPr>
        <w:spacing w:after="0"/>
        <w:rPr>
          <w:rFonts w:ascii="Verdana" w:hAnsi="Verdana"/>
        </w:rPr>
      </w:pPr>
    </w:p>
    <w:p w14:paraId="3ABE45AB" w14:textId="25EB6919" w:rsidR="00EE5444" w:rsidRDefault="00EE5444" w:rsidP="00592F2E">
      <w:pPr>
        <w:spacing w:after="0"/>
        <w:rPr>
          <w:rFonts w:ascii="Verdana" w:hAnsi="Verdana"/>
        </w:rPr>
      </w:pPr>
    </w:p>
    <w:p w14:paraId="532B9AEE" w14:textId="7E149F45" w:rsidR="00EE5444" w:rsidRDefault="00EE5444" w:rsidP="00592F2E">
      <w:pPr>
        <w:spacing w:after="0"/>
        <w:rPr>
          <w:rFonts w:ascii="Verdana" w:hAnsi="Verdana"/>
        </w:rPr>
      </w:pPr>
    </w:p>
    <w:p w14:paraId="782F0A3B" w14:textId="085DE62E" w:rsidR="00EE5444" w:rsidRDefault="00EE5444" w:rsidP="00592F2E">
      <w:pPr>
        <w:spacing w:after="0"/>
        <w:rPr>
          <w:rFonts w:ascii="Verdana" w:hAnsi="Verdana"/>
        </w:rPr>
      </w:pPr>
    </w:p>
    <w:p w14:paraId="15541F39" w14:textId="4A090A09" w:rsidR="00EE5444" w:rsidRDefault="00EE5444" w:rsidP="00592F2E">
      <w:pPr>
        <w:spacing w:after="0"/>
        <w:rPr>
          <w:rFonts w:ascii="Verdana" w:hAnsi="Verdana"/>
        </w:rPr>
      </w:pPr>
    </w:p>
    <w:p w14:paraId="57D2C4B3" w14:textId="3794155E" w:rsidR="00EE5444" w:rsidRDefault="00EE5444" w:rsidP="00592F2E">
      <w:pPr>
        <w:spacing w:after="0"/>
        <w:rPr>
          <w:rFonts w:ascii="Verdana" w:hAnsi="Verdana"/>
        </w:rPr>
      </w:pPr>
    </w:p>
    <w:p w14:paraId="47049363" w14:textId="43E23F08" w:rsidR="00EE5444" w:rsidRDefault="00EE5444" w:rsidP="00592F2E">
      <w:pPr>
        <w:spacing w:after="0"/>
        <w:rPr>
          <w:rFonts w:ascii="Verdana" w:hAnsi="Verdana"/>
        </w:rPr>
      </w:pPr>
    </w:p>
    <w:p w14:paraId="5998DE70" w14:textId="04444B1F" w:rsidR="00EE5444" w:rsidRDefault="00EE5444" w:rsidP="00592F2E">
      <w:pPr>
        <w:spacing w:after="0"/>
        <w:rPr>
          <w:rFonts w:ascii="Verdana" w:hAnsi="Verdana"/>
        </w:rPr>
      </w:pPr>
    </w:p>
    <w:p w14:paraId="4B029CC2" w14:textId="22E027D1" w:rsidR="00EE5444" w:rsidRDefault="00EE5444" w:rsidP="00592F2E">
      <w:pPr>
        <w:spacing w:after="0"/>
        <w:rPr>
          <w:rFonts w:ascii="Verdana" w:hAnsi="Verdana"/>
        </w:rPr>
      </w:pPr>
    </w:p>
    <w:p w14:paraId="0C6439C5" w14:textId="6B93C639" w:rsidR="00EE5444" w:rsidRDefault="00EE5444" w:rsidP="00592F2E">
      <w:pPr>
        <w:spacing w:after="0"/>
        <w:rPr>
          <w:rFonts w:ascii="Verdana" w:hAnsi="Verdana"/>
        </w:rPr>
      </w:pPr>
    </w:p>
    <w:p w14:paraId="1F285EFD" w14:textId="77777777" w:rsidR="00EE5444" w:rsidRDefault="00EE5444" w:rsidP="00592F2E">
      <w:pPr>
        <w:spacing w:after="0"/>
        <w:rPr>
          <w:rFonts w:ascii="Verdana" w:hAnsi="Verdana"/>
        </w:rPr>
      </w:pPr>
    </w:p>
    <w:p w14:paraId="57593DCD" w14:textId="77777777" w:rsidR="00B334F5" w:rsidRDefault="00B334F5" w:rsidP="00592F2E">
      <w:pPr>
        <w:spacing w:after="0"/>
        <w:rPr>
          <w:rFonts w:ascii="Verdana" w:hAnsi="Verdana"/>
        </w:rPr>
      </w:pPr>
    </w:p>
    <w:p w14:paraId="51948FCA" w14:textId="2115AB4C" w:rsidR="00592F2E" w:rsidRPr="00592F2E" w:rsidRDefault="00592F2E" w:rsidP="00592F2E">
      <w:pPr>
        <w:spacing w:after="0"/>
        <w:rPr>
          <w:rFonts w:ascii="Verdana" w:hAnsi="Verdana"/>
        </w:rPr>
      </w:pPr>
      <w:r w:rsidRPr="00592F2E">
        <w:rPr>
          <w:rFonts w:ascii="Verdana" w:hAnsi="Verdana"/>
        </w:rPr>
        <w:lastRenderedPageBreak/>
        <w:t>Bogotá D.C.,</w:t>
      </w:r>
      <w:r w:rsidR="00B334F5">
        <w:rPr>
          <w:rFonts w:ascii="Verdana" w:hAnsi="Verdana"/>
        </w:rPr>
        <w:t xml:space="preserve"> 7 de octubre de 2025</w:t>
      </w:r>
      <w:r w:rsidRPr="00592F2E">
        <w:rPr>
          <w:rFonts w:ascii="Verdana" w:hAnsi="Verdana"/>
        </w:rPr>
        <w:tab/>
      </w:r>
    </w:p>
    <w:p w14:paraId="4B5D07E2" w14:textId="28A4598E" w:rsidR="00592F2E" w:rsidRPr="00592F2E" w:rsidRDefault="00B334F5" w:rsidP="00592F2E">
      <w:pPr>
        <w:spacing w:after="0" w:line="240" w:lineRule="auto"/>
        <w:jc w:val="both"/>
        <w:rPr>
          <w:rFonts w:ascii="Verdana" w:eastAsia="Calibri" w:hAnsi="Verdana" w:cs="Arial"/>
          <w:color w:val="000000"/>
        </w:rPr>
      </w:pPr>
      <w:bookmarkStart w:id="1" w:name="_Hlk186494164"/>
      <w:r w:rsidRPr="00B334F5">
        <w:rPr>
          <w:rFonts w:ascii="Verdana" w:eastAsia="Calibri" w:hAnsi="Verdana" w:cs="Arial"/>
          <w:noProof/>
          <w:lang w:val="en-US"/>
        </w:rPr>
        <w:drawing>
          <wp:anchor distT="0" distB="0" distL="114300" distR="114300" simplePos="0" relativeHeight="251658240" behindDoc="0" locked="0" layoutInCell="1" allowOverlap="1" wp14:anchorId="4A7412C8" wp14:editId="7556C6D4">
            <wp:simplePos x="0" y="0"/>
            <wp:positionH relativeFrom="margin">
              <wp:align>right</wp:align>
            </wp:positionH>
            <wp:positionV relativeFrom="paragraph">
              <wp:posOffset>40640</wp:posOffset>
            </wp:positionV>
            <wp:extent cx="2670175" cy="734060"/>
            <wp:effectExtent l="0" t="0" r="0" b="889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670175" cy="7340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B04383A" w14:textId="29367146" w:rsidR="00592F2E" w:rsidRPr="00592F2E" w:rsidRDefault="00592F2E" w:rsidP="00592F2E">
      <w:pPr>
        <w:spacing w:after="0" w:line="240" w:lineRule="auto"/>
        <w:jc w:val="right"/>
        <w:rPr>
          <w:rFonts w:ascii="Verdana" w:eastAsia="Calibri" w:hAnsi="Verdana" w:cs="Arial"/>
          <w:color w:val="000000"/>
        </w:rPr>
      </w:pPr>
    </w:p>
    <w:p w14:paraId="7BEDDBB6" w14:textId="4ABBAEF4" w:rsidR="00592F2E" w:rsidRPr="00592F2E" w:rsidRDefault="00592F2E" w:rsidP="00592F2E">
      <w:pPr>
        <w:spacing w:after="0" w:line="240" w:lineRule="auto"/>
        <w:jc w:val="both"/>
        <w:rPr>
          <w:rFonts w:ascii="Verdana" w:eastAsia="Calibri" w:hAnsi="Verdana" w:cs="Arial"/>
          <w:lang w:eastAsia="es-ES"/>
        </w:rPr>
      </w:pPr>
      <w:r w:rsidRPr="00592F2E">
        <w:rPr>
          <w:rFonts w:ascii="Verdana" w:eastAsia="Calibri" w:hAnsi="Verdana" w:cs="Arial"/>
          <w:lang w:eastAsia="es-ES"/>
        </w:rPr>
        <w:t>Señor</w:t>
      </w:r>
    </w:p>
    <w:p w14:paraId="6F12E2BB" w14:textId="77777777" w:rsidR="00592F2E" w:rsidRPr="00592F2E" w:rsidRDefault="00592F2E" w:rsidP="00592F2E">
      <w:pPr>
        <w:spacing w:after="0" w:line="240" w:lineRule="auto"/>
        <w:jc w:val="both"/>
        <w:rPr>
          <w:rFonts w:ascii="Verdana" w:eastAsia="Calibri" w:hAnsi="Verdana" w:cs="Arial"/>
          <w:b/>
          <w:bCs/>
          <w:lang w:eastAsia="es-ES"/>
        </w:rPr>
      </w:pPr>
      <w:r w:rsidRPr="00592F2E">
        <w:rPr>
          <w:rFonts w:ascii="Verdana" w:eastAsia="Calibri" w:hAnsi="Verdana" w:cs="Arial"/>
          <w:b/>
          <w:bCs/>
          <w:lang w:eastAsia="es-ES"/>
        </w:rPr>
        <w:t>César Mauricio Martínez Delgado</w:t>
      </w:r>
    </w:p>
    <w:p w14:paraId="42910576" w14:textId="77777777" w:rsidR="00592F2E" w:rsidRPr="00592F2E" w:rsidRDefault="00592F2E" w:rsidP="00592F2E">
      <w:pPr>
        <w:spacing w:after="0" w:line="240" w:lineRule="auto"/>
        <w:rPr>
          <w:rFonts w:ascii="Verdana" w:hAnsi="Verdana"/>
        </w:rPr>
      </w:pPr>
      <w:hyperlink r:id="rId12" w:history="1">
        <w:r w:rsidRPr="00592F2E">
          <w:rPr>
            <w:rFonts w:ascii="Verdana" w:hAnsi="Verdana"/>
            <w:color w:val="0563C1" w:themeColor="hyperlink"/>
            <w:u w:val="single"/>
          </w:rPr>
          <w:t>mork_gan@hotmail.com</w:t>
        </w:r>
      </w:hyperlink>
      <w:r w:rsidRPr="00592F2E">
        <w:rPr>
          <w:rFonts w:ascii="Verdana" w:hAnsi="Verdana"/>
        </w:rPr>
        <w:t xml:space="preserve"> </w:t>
      </w:r>
    </w:p>
    <w:p w14:paraId="508B5E80" w14:textId="77777777" w:rsidR="00592F2E" w:rsidRPr="00592F2E" w:rsidRDefault="00592F2E" w:rsidP="00592F2E">
      <w:pPr>
        <w:spacing w:after="0" w:line="240" w:lineRule="auto"/>
        <w:rPr>
          <w:rFonts w:ascii="Verdana" w:hAnsi="Verdana"/>
        </w:rPr>
      </w:pPr>
      <w:r w:rsidRPr="00592F2E">
        <w:rPr>
          <w:rFonts w:ascii="Verdana" w:hAnsi="Verdana"/>
        </w:rPr>
        <w:t>Bogotá D.C.</w:t>
      </w:r>
    </w:p>
    <w:p w14:paraId="0DB53E27" w14:textId="77777777" w:rsidR="00592F2E" w:rsidRPr="00592F2E" w:rsidRDefault="00592F2E" w:rsidP="00592F2E">
      <w:pPr>
        <w:spacing w:after="0" w:line="240" w:lineRule="auto"/>
        <w:rPr>
          <w:rFonts w:ascii="Verdana" w:eastAsia="Calibri" w:hAnsi="Verdana" w:cs="Arial"/>
          <w:b/>
          <w:bCs/>
          <w:color w:val="000000"/>
          <w:lang w:eastAsia="es-ES_tradnl"/>
        </w:rPr>
      </w:pPr>
    </w:p>
    <w:p w14:paraId="7D1E15FC" w14:textId="77777777" w:rsidR="00592F2E" w:rsidRPr="00592F2E" w:rsidRDefault="00592F2E" w:rsidP="00592F2E">
      <w:pPr>
        <w:spacing w:after="0" w:line="240" w:lineRule="auto"/>
        <w:rPr>
          <w:rFonts w:ascii="Verdana" w:eastAsia="Calibri" w:hAnsi="Verdana" w:cs="Arial"/>
          <w:b/>
          <w:bCs/>
          <w:color w:val="000000"/>
          <w:lang w:eastAsia="es-ES_tradnl"/>
        </w:rPr>
      </w:pPr>
    </w:p>
    <w:p w14:paraId="063E711E" w14:textId="77777777" w:rsidR="00592F2E" w:rsidRPr="00592F2E" w:rsidRDefault="00592F2E" w:rsidP="00592F2E">
      <w:pPr>
        <w:jc w:val="center"/>
        <w:rPr>
          <w:rFonts w:ascii="Verdana" w:eastAsia="Calibri" w:hAnsi="Verdana" w:cs="Arial"/>
          <w:b/>
          <w:bCs/>
          <w:lang w:eastAsia="es-ES"/>
        </w:rPr>
      </w:pPr>
      <w:r w:rsidRPr="00592F2E">
        <w:rPr>
          <w:rFonts w:ascii="Verdana" w:eastAsia="Calibri" w:hAnsi="Verdana" w:cs="Arial"/>
          <w:b/>
          <w:bCs/>
          <w:lang w:eastAsia="es-ES"/>
        </w:rPr>
        <w:t>Concepto C– 971 de 2025</w:t>
      </w:r>
    </w:p>
    <w:p w14:paraId="24863616" w14:textId="77777777" w:rsidR="00592F2E" w:rsidRPr="00592F2E" w:rsidRDefault="00592F2E" w:rsidP="00592F2E">
      <w:pPr>
        <w:spacing w:after="0" w:line="240" w:lineRule="auto"/>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92F2E" w:rsidRPr="00592F2E" w14:paraId="5B855A51" w14:textId="77777777" w:rsidTr="006F39F8">
        <w:trPr>
          <w:trHeight w:val="884"/>
        </w:trPr>
        <w:tc>
          <w:tcPr>
            <w:tcW w:w="2689" w:type="dxa"/>
          </w:tcPr>
          <w:p w14:paraId="4BD5A795" w14:textId="77777777" w:rsidR="00592F2E" w:rsidRPr="00592F2E" w:rsidRDefault="00592F2E" w:rsidP="00592F2E">
            <w:pPr>
              <w:jc w:val="both"/>
              <w:rPr>
                <w:rFonts w:ascii="Verdana" w:eastAsia="Calibri" w:hAnsi="Verdana" w:cs="Arial"/>
                <w:color w:val="000000"/>
                <w:lang w:eastAsia="es-ES_tradnl"/>
              </w:rPr>
            </w:pPr>
            <w:r w:rsidRPr="00592F2E">
              <w:rPr>
                <w:rFonts w:ascii="Verdana" w:eastAsia="Calibri" w:hAnsi="Verdana" w:cs="Arial"/>
                <w:b/>
                <w:color w:val="000000"/>
                <w:lang w:eastAsia="es-ES_tradnl"/>
              </w:rPr>
              <w:t>Temas:</w:t>
            </w:r>
            <w:r w:rsidRPr="00592F2E">
              <w:rPr>
                <w:rFonts w:ascii="Verdana" w:eastAsia="Calibri" w:hAnsi="Verdana" w:cs="Arial"/>
                <w:color w:val="000000"/>
                <w:lang w:eastAsia="es-ES_tradnl"/>
              </w:rPr>
              <w:t xml:space="preserve">                   </w:t>
            </w:r>
          </w:p>
        </w:tc>
        <w:tc>
          <w:tcPr>
            <w:tcW w:w="6100" w:type="dxa"/>
          </w:tcPr>
          <w:p w14:paraId="5E8AE4CE" w14:textId="77777777" w:rsidR="00592F2E" w:rsidRPr="00592F2E" w:rsidRDefault="00592F2E" w:rsidP="00592F2E">
            <w:pPr>
              <w:spacing w:line="276" w:lineRule="auto"/>
              <w:jc w:val="both"/>
              <w:rPr>
                <w:rFonts w:ascii="Verdana" w:eastAsia="Geomanist Light" w:hAnsi="Verdana" w:cs="Arial"/>
                <w:bCs/>
                <w:lang w:val="es-ES"/>
              </w:rPr>
            </w:pPr>
            <w:r w:rsidRPr="00592F2E">
              <w:rPr>
                <w:rFonts w:ascii="Verdana" w:eastAsia="Calibri" w:hAnsi="Verdana" w:cs="Arial"/>
                <w:lang w:val="es-ES" w:eastAsia="es-ES"/>
              </w:rPr>
              <w:t xml:space="preserve">CONSORCIOS Y UNIONES TEMPORALES – Capacidad para contratar – Participación en varios procesos / PROMESAS DE SOCIEDAD FUTURO – Regulación / PROMESA DE SOCIEDAD – Efectos jurídicos – Responsabilidad – Consorcios. </w:t>
            </w:r>
            <w:r w:rsidRPr="00592F2E">
              <w:rPr>
                <w:rFonts w:ascii="Verdana" w:eastAsia="Geomanist Light" w:hAnsi="Verdana" w:cs="Arial"/>
                <w:bCs/>
                <w:lang w:val="es-ES"/>
              </w:rPr>
              <w:t xml:space="preserve"> </w:t>
            </w:r>
          </w:p>
          <w:p w14:paraId="11789F56" w14:textId="77777777" w:rsidR="00592F2E" w:rsidRPr="00592F2E" w:rsidRDefault="00592F2E" w:rsidP="00592F2E">
            <w:pPr>
              <w:spacing w:line="276" w:lineRule="auto"/>
              <w:jc w:val="both"/>
              <w:rPr>
                <w:rFonts w:ascii="Verdana" w:eastAsia="Calibri" w:hAnsi="Verdana" w:cs="Arial"/>
                <w:lang w:val="es-ES" w:eastAsia="es-ES"/>
              </w:rPr>
            </w:pPr>
          </w:p>
        </w:tc>
      </w:tr>
      <w:tr w:rsidR="00592F2E" w:rsidRPr="00592F2E" w14:paraId="7AEA3DD0" w14:textId="77777777" w:rsidTr="006F39F8">
        <w:tc>
          <w:tcPr>
            <w:tcW w:w="2689" w:type="dxa"/>
          </w:tcPr>
          <w:p w14:paraId="25E6B87C" w14:textId="77777777" w:rsidR="00592F2E" w:rsidRPr="00592F2E" w:rsidRDefault="00592F2E" w:rsidP="00592F2E">
            <w:pPr>
              <w:jc w:val="both"/>
              <w:rPr>
                <w:rFonts w:ascii="Verdana" w:eastAsia="Calibri" w:hAnsi="Verdana" w:cs="Arial"/>
                <w:b/>
                <w:lang w:eastAsia="es-ES_tradnl"/>
              </w:rPr>
            </w:pPr>
            <w:r w:rsidRPr="00592F2E">
              <w:rPr>
                <w:rFonts w:ascii="Verdana" w:eastAsia="Calibri" w:hAnsi="Verdana" w:cs="Arial"/>
                <w:b/>
                <w:lang w:eastAsia="es-ES_tradnl"/>
              </w:rPr>
              <w:t xml:space="preserve"> Radicación:</w:t>
            </w:r>
            <w:r w:rsidRPr="00592F2E">
              <w:rPr>
                <w:rFonts w:ascii="Verdana" w:eastAsia="Calibri" w:hAnsi="Verdana" w:cs="Arial"/>
                <w:lang w:eastAsia="es-ES_tradnl"/>
              </w:rPr>
              <w:t xml:space="preserve">               </w:t>
            </w:r>
          </w:p>
        </w:tc>
        <w:tc>
          <w:tcPr>
            <w:tcW w:w="6100" w:type="dxa"/>
          </w:tcPr>
          <w:p w14:paraId="1F402578" w14:textId="77777777" w:rsidR="00592F2E" w:rsidRPr="00592F2E" w:rsidRDefault="00592F2E" w:rsidP="00592F2E">
            <w:pPr>
              <w:jc w:val="both"/>
              <w:rPr>
                <w:rFonts w:ascii="Verdana" w:eastAsia="Calibri" w:hAnsi="Verdana" w:cs="Arial"/>
                <w:lang w:eastAsia="es-ES_tradnl"/>
              </w:rPr>
            </w:pPr>
            <w:r w:rsidRPr="00592F2E">
              <w:rPr>
                <w:rFonts w:ascii="Verdana" w:eastAsia="Calibri" w:hAnsi="Verdana" w:cs="Arial"/>
                <w:lang w:eastAsia="es-ES_tradnl"/>
              </w:rPr>
              <w:t>Respuesta a la consulta con radicado No. 1_2025_08_29_009326</w:t>
            </w:r>
          </w:p>
        </w:tc>
      </w:tr>
    </w:tbl>
    <w:p w14:paraId="075250DF" w14:textId="77777777" w:rsidR="00592F2E" w:rsidRPr="00592F2E" w:rsidRDefault="00592F2E" w:rsidP="00592F2E">
      <w:pPr>
        <w:spacing w:after="0" w:line="240" w:lineRule="auto"/>
        <w:jc w:val="both"/>
        <w:rPr>
          <w:rFonts w:ascii="Verdana" w:eastAsia="Calibri" w:hAnsi="Verdana" w:cs="Arial"/>
          <w:color w:val="000000"/>
          <w:lang w:eastAsia="es-ES_tradnl"/>
        </w:rPr>
      </w:pPr>
    </w:p>
    <w:p w14:paraId="7BF53BAC" w14:textId="77777777" w:rsidR="00592F2E" w:rsidRPr="00592F2E" w:rsidRDefault="00592F2E" w:rsidP="00592F2E">
      <w:pPr>
        <w:spacing w:after="0" w:line="240" w:lineRule="auto"/>
        <w:jc w:val="both"/>
        <w:rPr>
          <w:rFonts w:ascii="Verdana" w:eastAsia="Calibri" w:hAnsi="Verdana" w:cs="Arial"/>
          <w:color w:val="000000"/>
          <w:lang w:eastAsia="es-ES_tradnl"/>
        </w:rPr>
      </w:pPr>
    </w:p>
    <w:p w14:paraId="09FF2C53" w14:textId="77777777" w:rsidR="00592F2E" w:rsidRPr="00592F2E" w:rsidRDefault="00592F2E" w:rsidP="00592F2E">
      <w:pPr>
        <w:spacing w:after="0" w:line="276" w:lineRule="auto"/>
        <w:jc w:val="both"/>
        <w:rPr>
          <w:rFonts w:ascii="Verdana" w:eastAsia="Calibri" w:hAnsi="Verdana" w:cs="Arial"/>
          <w:lang w:eastAsia="es-ES"/>
        </w:rPr>
      </w:pPr>
      <w:r w:rsidRPr="00592F2E">
        <w:rPr>
          <w:rFonts w:ascii="Verdana" w:eastAsia="Calibri" w:hAnsi="Verdana" w:cs="Arial"/>
          <w:lang w:eastAsia="es-ES"/>
        </w:rPr>
        <w:t xml:space="preserve">Estimado Señor Martínez Delgado: </w:t>
      </w:r>
    </w:p>
    <w:p w14:paraId="1D5422ED" w14:textId="77777777" w:rsidR="00592F2E" w:rsidRPr="00592F2E" w:rsidRDefault="00592F2E" w:rsidP="00592F2E">
      <w:pPr>
        <w:tabs>
          <w:tab w:val="left" w:pos="3768"/>
        </w:tabs>
        <w:spacing w:after="0" w:line="276" w:lineRule="auto"/>
        <w:jc w:val="both"/>
        <w:rPr>
          <w:rFonts w:ascii="Verdana" w:eastAsia="Calibri" w:hAnsi="Verdana" w:cs="Arial"/>
          <w:color w:val="000000" w:themeColor="text1"/>
          <w:lang w:eastAsia="es-ES"/>
        </w:rPr>
      </w:pPr>
      <w:r w:rsidRPr="00592F2E">
        <w:rPr>
          <w:rFonts w:ascii="Verdana" w:eastAsia="Calibri" w:hAnsi="Verdana" w:cs="Arial"/>
          <w:color w:val="000000" w:themeColor="text1"/>
          <w:lang w:eastAsia="es-ES"/>
        </w:rPr>
        <w:tab/>
      </w:r>
    </w:p>
    <w:p w14:paraId="3FCCAF78" w14:textId="77777777" w:rsidR="00592F2E" w:rsidRPr="00592F2E" w:rsidRDefault="00592F2E" w:rsidP="00592F2E">
      <w:pPr>
        <w:spacing w:after="120" w:line="276" w:lineRule="auto"/>
        <w:jc w:val="both"/>
        <w:rPr>
          <w:rFonts w:ascii="Verdana" w:eastAsia="Calibri" w:hAnsi="Verdana" w:cs="Arial"/>
          <w:i/>
          <w:iCs/>
          <w:lang w:eastAsia="es-ES"/>
        </w:rPr>
      </w:pPr>
      <w:r w:rsidRPr="00592F2E">
        <w:rPr>
          <w:rFonts w:ascii="Verdana" w:eastAsia="Calibri" w:hAnsi="Verdana" w:cs="Arial"/>
          <w:color w:val="000000" w:themeColor="text1"/>
          <w:lang w:eastAsia="es-ES"/>
        </w:rPr>
        <w:t>En ejercicio de la competencia otorgada por los artículos 3, numeral 5º, y 11, numeral 8º, del Decreto Ley 4170 de 2011,</w:t>
      </w:r>
      <w:r w:rsidRPr="00592F2E">
        <w:rPr>
          <w:rFonts w:ascii="Verdana" w:eastAsia="Arial MT" w:hAnsi="Verdana" w:cs="Arial MT"/>
          <w:lang w:eastAsia="es-ES"/>
        </w:rPr>
        <w:t xml:space="preserve"> </w:t>
      </w:r>
      <w:r w:rsidRPr="00592F2E">
        <w:rPr>
          <w:rFonts w:ascii="Verdana" w:hAnsi="Verdana" w:cs="Arial"/>
        </w:rPr>
        <w:t xml:space="preserve">así como lo establecido en la Resolución 469 de 2025 expedida por esta Entidad, </w:t>
      </w:r>
      <w:r w:rsidRPr="00592F2E">
        <w:rPr>
          <w:rFonts w:ascii="Verdana" w:eastAsia="Calibri" w:hAnsi="Verdana" w:cs="Arial"/>
          <w:color w:val="000000" w:themeColor="text1"/>
          <w:lang w:eastAsia="es-ES"/>
        </w:rPr>
        <w:t>la Agencia Nacional de Contratación Pública – Colombia Compra Eficiente responde su solicitud de concepto del 29</w:t>
      </w:r>
      <w:r w:rsidRPr="00592F2E">
        <w:rPr>
          <w:rFonts w:ascii="Verdana" w:eastAsia="Calibri" w:hAnsi="Verdana" w:cs="Arial"/>
          <w:lang w:eastAsia="es-ES"/>
        </w:rPr>
        <w:t xml:space="preserve"> de agosto de 2025, en la cual manifiesta:</w:t>
      </w:r>
      <w:r w:rsidRPr="00592F2E">
        <w:rPr>
          <w:rFonts w:ascii="Verdana" w:eastAsia="Calibri" w:hAnsi="Verdana" w:cs="Arial"/>
          <w:i/>
          <w:iCs/>
          <w:lang w:eastAsia="es-ES"/>
        </w:rPr>
        <w:t xml:space="preserve"> </w:t>
      </w:r>
      <w:bookmarkStart w:id="2" w:name="_Hlk95313578"/>
      <w:r w:rsidRPr="00592F2E">
        <w:rPr>
          <w:rFonts w:ascii="Verdana" w:eastAsia="Calibri" w:hAnsi="Verdana" w:cs="Arial"/>
          <w:i/>
          <w:iCs/>
          <w:lang w:eastAsia="es-ES"/>
        </w:rPr>
        <w:t>“Pueden dos o mas aseguradoras presentarse como proponentes en un proceso de seleción de contratacion estatal, bajo la modalidad de ‘promesa de sociedad futura’; o se trata de una práctica insegura y no conveniente en la contratacién estatal de seguros (sic)”.</w:t>
      </w:r>
    </w:p>
    <w:bookmarkEnd w:id="2"/>
    <w:p w14:paraId="2A74727A" w14:textId="77777777" w:rsidR="00592F2E" w:rsidRPr="00592F2E" w:rsidRDefault="00592F2E" w:rsidP="00592F2E">
      <w:pPr>
        <w:spacing w:after="120" w:line="276" w:lineRule="auto"/>
        <w:ind w:firstLine="709"/>
        <w:jc w:val="both"/>
        <w:rPr>
          <w:rFonts w:ascii="Verdana" w:eastAsia="Calibri" w:hAnsi="Verdana" w:cs="Arial"/>
          <w:color w:val="000000"/>
          <w:lang w:eastAsia="es-ES"/>
        </w:rPr>
      </w:pPr>
      <w:r w:rsidRPr="00592F2E">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w:t>
      </w:r>
      <w:r w:rsidRPr="00592F2E">
        <w:rPr>
          <w:rFonts w:ascii="Verdana" w:eastAsia="Calibri" w:hAnsi="Verdana" w:cs="Arial"/>
          <w:color w:val="000000"/>
          <w:lang w:eastAsia="es-ES"/>
        </w:rPr>
        <w:lastRenderedPageBreak/>
        <w:t xml:space="preserve">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2F2E">
        <w:rPr>
          <w:rFonts w:ascii="Verdana" w:eastAsia="Calibri" w:hAnsi="Verdana" w:cs="Arial"/>
          <w:color w:val="000000"/>
          <w:szCs w:val="24"/>
          <w:lang w:eastAsia="es-ES_tradnl"/>
        </w:rPr>
        <w:tab/>
      </w:r>
    </w:p>
    <w:p w14:paraId="50586AAA" w14:textId="77777777" w:rsidR="00592F2E" w:rsidRPr="00592F2E" w:rsidRDefault="00592F2E" w:rsidP="00592F2E">
      <w:pPr>
        <w:spacing w:after="120" w:line="276" w:lineRule="auto"/>
        <w:ind w:firstLine="709"/>
        <w:jc w:val="both"/>
        <w:rPr>
          <w:rFonts w:ascii="Verdana" w:eastAsia="Calibri" w:hAnsi="Verdana" w:cs="Arial"/>
          <w:color w:val="000000"/>
          <w:lang w:eastAsia="es-ES"/>
        </w:rPr>
      </w:pPr>
      <w:r w:rsidRPr="00592F2E">
        <w:rPr>
          <w:rFonts w:ascii="Verdana" w:eastAsia="Calibri" w:hAnsi="Verdana" w:cs="Arial"/>
          <w:color w:val="000000"/>
          <w:lang w:eastAsia="es-ES"/>
        </w:rPr>
        <w:t xml:space="preserve">Conforme lo expuesto, en aras de satisfacer el derecho fundamental de petición se resolverá su consulta dentro de los límites de la referida competencia consultiva, esto es, haciendo unas consideraciones sobre las normas generales relacionadas con el problema jurídico de su consulta. </w:t>
      </w:r>
    </w:p>
    <w:p w14:paraId="6B00EC5F" w14:textId="77777777" w:rsidR="00592F2E" w:rsidRPr="00592F2E" w:rsidRDefault="00592F2E" w:rsidP="00592F2E">
      <w:pPr>
        <w:spacing w:after="0" w:line="276" w:lineRule="auto"/>
        <w:jc w:val="both"/>
        <w:rPr>
          <w:rFonts w:ascii="Verdana" w:eastAsia="Calibri" w:hAnsi="Verdana" w:cs="Arial"/>
          <w:color w:val="000000"/>
          <w:lang w:eastAsia="es-ES"/>
        </w:rPr>
      </w:pPr>
    </w:p>
    <w:p w14:paraId="1D78F8F1" w14:textId="77777777" w:rsidR="00592F2E" w:rsidRPr="00592F2E" w:rsidRDefault="00592F2E" w:rsidP="00592F2E">
      <w:pPr>
        <w:numPr>
          <w:ilvl w:val="0"/>
          <w:numId w:val="1"/>
        </w:numPr>
        <w:tabs>
          <w:tab w:val="left" w:pos="142"/>
          <w:tab w:val="left" w:pos="284"/>
        </w:tabs>
        <w:spacing w:after="0" w:line="276" w:lineRule="auto"/>
        <w:jc w:val="both"/>
        <w:rPr>
          <w:rFonts w:ascii="Verdana" w:eastAsia="Century Gothic" w:hAnsi="Verdana" w:cs="Century Gothic"/>
          <w:b/>
          <w:bCs/>
        </w:rPr>
      </w:pPr>
      <w:r w:rsidRPr="00592F2E">
        <w:rPr>
          <w:rFonts w:ascii="Verdana" w:eastAsia="Century Gothic" w:hAnsi="Verdana" w:cs="Century Gothic"/>
          <w:b/>
          <w:bCs/>
        </w:rPr>
        <w:t>Problemas planteados:</w:t>
      </w:r>
    </w:p>
    <w:p w14:paraId="44F2F5EA" w14:textId="77777777" w:rsidR="00592F2E" w:rsidRPr="00592F2E" w:rsidRDefault="00592F2E" w:rsidP="00592F2E">
      <w:pPr>
        <w:tabs>
          <w:tab w:val="left" w:pos="426"/>
        </w:tabs>
        <w:spacing w:after="0" w:line="276" w:lineRule="auto"/>
        <w:jc w:val="both"/>
        <w:rPr>
          <w:rFonts w:ascii="Verdana" w:eastAsia="Century Gothic" w:hAnsi="Verdana" w:cs="Century Gothic"/>
        </w:rPr>
      </w:pPr>
    </w:p>
    <w:p w14:paraId="37D0ECF9" w14:textId="77777777" w:rsidR="00592F2E" w:rsidRPr="00592F2E" w:rsidRDefault="00592F2E" w:rsidP="00592F2E">
      <w:pPr>
        <w:spacing w:after="0" w:line="276" w:lineRule="auto"/>
        <w:ind w:right="49"/>
        <w:jc w:val="both"/>
        <w:rPr>
          <w:rFonts w:ascii="Verdana" w:eastAsia="Century Gothic" w:hAnsi="Verdana" w:cs="Century Gothic"/>
          <w:color w:val="000000" w:themeColor="text1"/>
        </w:rPr>
      </w:pPr>
      <w:r w:rsidRPr="00592F2E">
        <w:rPr>
          <w:rFonts w:ascii="Verdana" w:eastAsia="Century Gothic" w:hAnsi="Verdana" w:cs="Century Gothic"/>
        </w:rPr>
        <w:t>De acuerdo con el contenido de su solicitud, esta Agencia resolverá el siguiente problema jurídico: ¿Es procedente que dos o más personas naturales o jurídicas se asocien bajo la modalidad de promesa de sociedad futura para presentarse como proponentes plurales en un proceso de contratación?</w:t>
      </w:r>
    </w:p>
    <w:p w14:paraId="651FD390" w14:textId="77777777" w:rsidR="00592F2E" w:rsidRPr="00592F2E" w:rsidRDefault="00592F2E" w:rsidP="00592F2E">
      <w:pPr>
        <w:spacing w:after="0" w:line="276" w:lineRule="auto"/>
        <w:jc w:val="both"/>
        <w:rPr>
          <w:rFonts w:ascii="Verdana" w:eastAsia="Calibri" w:hAnsi="Verdana" w:cs="Arial"/>
          <w:color w:val="7030A0"/>
        </w:rPr>
      </w:pPr>
    </w:p>
    <w:p w14:paraId="1104239E" w14:textId="77777777" w:rsidR="00592F2E" w:rsidRPr="00592F2E" w:rsidRDefault="00592F2E" w:rsidP="00592F2E">
      <w:pPr>
        <w:numPr>
          <w:ilvl w:val="0"/>
          <w:numId w:val="1"/>
        </w:numPr>
        <w:tabs>
          <w:tab w:val="left" w:pos="142"/>
          <w:tab w:val="left" w:pos="284"/>
        </w:tabs>
        <w:spacing w:after="0" w:line="276" w:lineRule="auto"/>
        <w:jc w:val="both"/>
        <w:rPr>
          <w:rFonts w:ascii="Verdana" w:eastAsia="Century Gothic" w:hAnsi="Verdana" w:cs="Century Gothic"/>
          <w:b/>
          <w:bCs/>
        </w:rPr>
      </w:pPr>
      <w:r w:rsidRPr="00592F2E">
        <w:rPr>
          <w:rFonts w:ascii="Verdana" w:eastAsia="Century Gothic" w:hAnsi="Verdana" w:cs="Century Gothic"/>
          <w:b/>
          <w:bCs/>
        </w:rPr>
        <w:t>Respuestas:</w:t>
      </w:r>
    </w:p>
    <w:p w14:paraId="66D711E1" w14:textId="77777777" w:rsidR="00592F2E" w:rsidRPr="00592F2E" w:rsidRDefault="00592F2E" w:rsidP="00592F2E">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92F2E" w:rsidRPr="00592F2E" w14:paraId="7A469F0D" w14:textId="77777777" w:rsidTr="006F39F8">
        <w:trPr>
          <w:jc w:val="center"/>
        </w:trPr>
        <w:tc>
          <w:tcPr>
            <w:tcW w:w="8828" w:type="dxa"/>
          </w:tcPr>
          <w:p w14:paraId="63D5C864" w14:textId="77777777" w:rsidR="00592F2E" w:rsidRPr="00592F2E" w:rsidRDefault="00592F2E" w:rsidP="00592F2E">
            <w:pPr>
              <w:spacing w:before="120" w:after="120" w:line="276" w:lineRule="auto"/>
              <w:jc w:val="both"/>
              <w:rPr>
                <w:rFonts w:ascii="Verdana" w:eastAsia="Calibri" w:hAnsi="Verdana" w:cs="Arial"/>
              </w:rPr>
            </w:pPr>
            <w:bookmarkStart w:id="3" w:name="_Hlk171694685"/>
            <w:r w:rsidRPr="00592F2E">
              <w:rPr>
                <w:rFonts w:ascii="Verdana" w:eastAsia="Calibri" w:hAnsi="Verdana" w:cs="Arial"/>
                <w:lang w:val="es-ES"/>
              </w:rPr>
              <w:t>i. De acuerdo al problema jurídico, objeto de consulta, frente a las promesas de sociedad futura es posible desarrollarla, con sustento a</w:t>
            </w:r>
            <w:r w:rsidRPr="00592F2E">
              <w:rPr>
                <w:rFonts w:ascii="Verdana" w:eastAsia="Calibri" w:hAnsi="Verdana" w:cs="Arial"/>
              </w:rPr>
              <w:t xml:space="preserve">l parágrafo 2° del artículo 7° de la Ley 80 de 1993, cuyo tenor literal dispone: “En </w:t>
            </w:r>
            <w:r w:rsidRPr="00592F2E">
              <w:rPr>
                <w:rFonts w:ascii="Verdana" w:eastAsia="Calibri" w:hAnsi="Verdana" w:cs="Arial"/>
                <w:i/>
              </w:rPr>
              <w:t>los casos en que se conformen sociedades bajo cualquiera de las modalidades previstas en la ley con el único objeto de presentar una propuesta, celebrar y ejecutar un contrato estatal,</w:t>
            </w:r>
            <w:r w:rsidRPr="00592F2E">
              <w:rPr>
                <w:rFonts w:ascii="Verdana" w:eastAsia="Calibri" w:hAnsi="Verdana" w:cs="Arial"/>
              </w:rPr>
              <w:t xml:space="preserve"> la responsabilidad y sus efectos se regirá por las disposiciones previstas en esta ley para los consorcios” (énfasis fuera de texto). En tal sentido, modalidades como “la promesa de sociedad futura” se sujetan a las responsabilidades y efectos para los consorcios, lo cual implica que responden solidariamente en todas y cada una de las obligaciones que se derivan de la propuesta y del contrato. Por tanto, las actuaciones, hechos u omisiones que se generen en el marco de la propuesta y del contrato, afectan a todos los miembros que la conforman. De igual modo, </w:t>
            </w:r>
            <w:r w:rsidRPr="00592F2E">
              <w:rPr>
                <w:rFonts w:ascii="Verdana" w:eastAsia="Calibri" w:hAnsi="Verdana" w:cs="Arial"/>
                <w:lang w:val="es-ES"/>
              </w:rPr>
              <w:t xml:space="preserve">la Guía de Asuntos Corporativos de la Agencia se expresa: “[…] </w:t>
            </w:r>
            <w:r w:rsidRPr="00592F2E">
              <w:rPr>
                <w:rFonts w:ascii="Verdana" w:eastAsia="Calibri" w:hAnsi="Verdana" w:cs="Arial"/>
              </w:rPr>
              <w:t xml:space="preserve">si llegara a ocurrir que un proponente se </w:t>
            </w:r>
            <w:r w:rsidRPr="00592F2E">
              <w:rPr>
                <w:rFonts w:ascii="Verdana" w:eastAsia="Calibri" w:hAnsi="Verdana" w:cs="Arial"/>
              </w:rPr>
              <w:lastRenderedPageBreak/>
              <w:t>presenta bajo la constitución de esta figura asociativa, la Entidad Estatal en todo caso no podrá rechazar la oferta presentada y deberá entender que su participación será la de un consorcio, siempre que reúna los requisitos previstos en el artículo 7 de la Ley 80 de 1993”. De igual modo, el Consejo de Estado ha expresado que no solo aplica para sociedades de objeto único ya constituidas al momento de presentar la oferta, sino también para las asociaciones de oferentes que acudan al proceso de selección bajo la modalidad de un contrato de promesa de sociedad.</w:t>
            </w:r>
          </w:p>
          <w:p w14:paraId="1B759480" w14:textId="77777777" w:rsidR="00592F2E" w:rsidRPr="00592F2E" w:rsidRDefault="00592F2E" w:rsidP="00592F2E">
            <w:pPr>
              <w:spacing w:before="120" w:after="120" w:line="276" w:lineRule="auto"/>
              <w:jc w:val="both"/>
              <w:rPr>
                <w:rFonts w:ascii="Verdana" w:eastAsia="Calibri" w:hAnsi="Verdana" w:cs="Arial"/>
              </w:rPr>
            </w:pPr>
            <w:r w:rsidRPr="00592F2E">
              <w:rPr>
                <w:rFonts w:ascii="Verdana" w:eastAsia="Calibri" w:hAnsi="Verdana" w:cs="Arial"/>
              </w:rPr>
              <w:tab/>
              <w:t>A partir del marco normativo que rige el Sistema de Compras Públicas, así como las demás normas vigentes del ordenamiento jurídico, es posible que los diferentes proponentes se asocien mediante instituciones como la promesa de sociedad futura en los procesos de contratación, sin que exista una restricción o prohibición para ello. Por tanto, en procesos de contratación estatal, independiente del objeto, se posibilita que proponentes se asocien bajo esta institución, precisando que la responsabilidad y los efectos jurídicos de esta, serán las de los consorcios.</w:t>
            </w:r>
          </w:p>
          <w:p w14:paraId="08CEA2C2" w14:textId="77777777" w:rsidR="00592F2E" w:rsidRPr="00592F2E" w:rsidRDefault="00592F2E" w:rsidP="00592F2E">
            <w:pPr>
              <w:spacing w:before="120" w:after="120" w:line="276" w:lineRule="auto"/>
              <w:ind w:firstLine="708"/>
              <w:jc w:val="both"/>
              <w:rPr>
                <w:rFonts w:ascii="Verdana" w:eastAsia="Calibri" w:hAnsi="Verdana" w:cs="Arial"/>
                <w:bCs/>
                <w:color w:val="000000" w:themeColor="text1"/>
              </w:rPr>
            </w:pPr>
            <w:r w:rsidRPr="00592F2E">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tc>
      </w:tr>
    </w:tbl>
    <w:p w14:paraId="0250A6DE" w14:textId="77777777" w:rsidR="00592F2E" w:rsidRPr="00592F2E" w:rsidRDefault="00592F2E" w:rsidP="00592F2E">
      <w:pPr>
        <w:tabs>
          <w:tab w:val="left" w:pos="142"/>
          <w:tab w:val="left" w:pos="284"/>
        </w:tabs>
        <w:spacing w:after="0" w:line="276" w:lineRule="auto"/>
        <w:jc w:val="both"/>
        <w:rPr>
          <w:rFonts w:ascii="Verdana" w:eastAsia="Century Gothic" w:hAnsi="Verdana" w:cs="Century Gothic"/>
          <w:b/>
          <w:bCs/>
        </w:rPr>
      </w:pPr>
    </w:p>
    <w:bookmarkEnd w:id="3"/>
    <w:p w14:paraId="6B1E50E9" w14:textId="77777777" w:rsidR="00592F2E" w:rsidRPr="00592F2E" w:rsidRDefault="00592F2E" w:rsidP="00592F2E">
      <w:pPr>
        <w:numPr>
          <w:ilvl w:val="0"/>
          <w:numId w:val="1"/>
        </w:numPr>
        <w:tabs>
          <w:tab w:val="left" w:pos="142"/>
          <w:tab w:val="left" w:pos="284"/>
        </w:tabs>
        <w:spacing w:after="0" w:line="276" w:lineRule="auto"/>
        <w:jc w:val="both"/>
        <w:rPr>
          <w:rFonts w:ascii="Verdana" w:eastAsia="Century Gothic" w:hAnsi="Verdana" w:cs="Century Gothic"/>
          <w:b/>
          <w:bCs/>
        </w:rPr>
      </w:pPr>
      <w:r w:rsidRPr="00592F2E">
        <w:rPr>
          <w:rFonts w:ascii="Verdana" w:eastAsia="Century Gothic" w:hAnsi="Verdana" w:cs="Century Gothic"/>
          <w:b/>
          <w:bCs/>
        </w:rPr>
        <w:t>Razones de las respuestas:</w:t>
      </w:r>
    </w:p>
    <w:p w14:paraId="0512F8AE" w14:textId="77777777" w:rsidR="00592F2E" w:rsidRPr="00592F2E" w:rsidRDefault="00592F2E" w:rsidP="00592F2E">
      <w:pPr>
        <w:spacing w:after="0" w:line="276" w:lineRule="auto"/>
        <w:jc w:val="both"/>
        <w:rPr>
          <w:rFonts w:ascii="Verdana" w:eastAsia="Calibri" w:hAnsi="Verdana" w:cs="Arial"/>
          <w:color w:val="7030A0"/>
        </w:rPr>
      </w:pPr>
    </w:p>
    <w:p w14:paraId="43DAE355" w14:textId="77777777" w:rsidR="00592F2E" w:rsidRPr="00592F2E" w:rsidRDefault="00592F2E" w:rsidP="00592F2E">
      <w:pPr>
        <w:spacing w:after="0" w:line="276" w:lineRule="auto"/>
        <w:jc w:val="both"/>
        <w:rPr>
          <w:rFonts w:ascii="Verdana" w:eastAsia="Calibri" w:hAnsi="Verdana" w:cs="Arial"/>
        </w:rPr>
      </w:pPr>
      <w:r w:rsidRPr="00592F2E">
        <w:rPr>
          <w:rFonts w:ascii="Verdana" w:eastAsia="Calibri" w:hAnsi="Verdana" w:cs="Arial"/>
        </w:rPr>
        <w:t>Lo anterior se sustenta en las siguientes consideraciones:</w:t>
      </w:r>
    </w:p>
    <w:p w14:paraId="3F500F97" w14:textId="77777777" w:rsidR="00592F2E" w:rsidRPr="00592F2E" w:rsidRDefault="00592F2E" w:rsidP="00592F2E">
      <w:pPr>
        <w:spacing w:after="0" w:line="276" w:lineRule="auto"/>
        <w:jc w:val="both"/>
        <w:rPr>
          <w:rFonts w:ascii="Verdana" w:eastAsia="Calibri" w:hAnsi="Verdana" w:cs="Arial"/>
        </w:rPr>
      </w:pPr>
    </w:p>
    <w:p w14:paraId="7D72FA47" w14:textId="77777777" w:rsidR="00592F2E" w:rsidRPr="00592F2E" w:rsidRDefault="00592F2E" w:rsidP="00592F2E">
      <w:pPr>
        <w:spacing w:before="120" w:after="120" w:line="276" w:lineRule="auto"/>
        <w:jc w:val="both"/>
        <w:rPr>
          <w:rFonts w:ascii="Verdana" w:eastAsia="Calibri" w:hAnsi="Verdana" w:cs="Arial"/>
        </w:rPr>
      </w:pPr>
      <w:r w:rsidRPr="00592F2E">
        <w:rPr>
          <w:rFonts w:ascii="Verdana" w:eastAsia="Calibri" w:hAnsi="Verdana" w:cs="Arial"/>
          <w:color w:val="000000" w:themeColor="text1"/>
        </w:rPr>
        <w:t xml:space="preserve"> </w:t>
      </w:r>
      <w:r w:rsidRPr="00592F2E">
        <w:rPr>
          <w:rFonts w:ascii="Verdana" w:eastAsia="Calibri" w:hAnsi="Verdana" w:cs="Arial"/>
          <w:shd w:val="clear" w:color="auto" w:fill="FFFFFF"/>
        </w:rPr>
        <w:t xml:space="preserve">i. </w:t>
      </w:r>
      <w:r w:rsidRPr="00592F2E">
        <w:rPr>
          <w:rFonts w:ascii="Verdana" w:eastAsia="Calibri" w:hAnsi="Verdana" w:cs="Arial"/>
        </w:rPr>
        <w:t xml:space="preserve">El artículo 6 de la Ley 80 de 1993 señala que pueden celebrar contratos con las Entidades Estatales las personas naturales, las personas jurídicas que tengan dentro de su objeto social actividades relacionadas con el objeto a contratar y, por virtud de la ley, los consorcios y uniones temporales. </w:t>
      </w:r>
    </w:p>
    <w:p w14:paraId="3EF8819C" w14:textId="77777777" w:rsidR="00592F2E" w:rsidRPr="00592F2E" w:rsidRDefault="00592F2E" w:rsidP="00592F2E">
      <w:pPr>
        <w:spacing w:before="120" w:after="120" w:line="276" w:lineRule="auto"/>
        <w:ind w:firstLine="708"/>
        <w:jc w:val="both"/>
        <w:rPr>
          <w:rFonts w:ascii="Verdana" w:eastAsia="Calibri" w:hAnsi="Verdana" w:cs="Arial"/>
          <w:lang w:val="es-MX"/>
        </w:rPr>
      </w:pPr>
      <w:r w:rsidRPr="00592F2E">
        <w:rPr>
          <w:rFonts w:ascii="Verdana" w:eastAsia="Calibri" w:hAnsi="Verdana" w:cs="Arial"/>
          <w:lang w:val="es-MX"/>
        </w:rPr>
        <w:lastRenderedPageBreak/>
        <w:t>La capacidad para contratar y de realizar actos jurídicamente vinculantes, como la presentación de una oferta en un procedimiento de selección de contratistas, se consideró por mucho tiempo uno de los atributos de la personalidad reservada a las personas jurídicas y naturales. No obstante, el progreso en las formas negociales y asociativas hizo necesario reconocer nuevas estructuras plurales y otorgarles atributos que tradicionalmente habían estado reservados a las personas jurídicas. En este sentido, la Corte Constitucional ha sostenido sobre la capacidad para contratar otorgada a los consorcios y uniones temporales:</w:t>
      </w:r>
    </w:p>
    <w:p w14:paraId="5E911569" w14:textId="77777777" w:rsidR="00592F2E" w:rsidRPr="00592F2E" w:rsidRDefault="00592F2E" w:rsidP="00592F2E">
      <w:pPr>
        <w:spacing w:after="0" w:line="276" w:lineRule="auto"/>
        <w:ind w:firstLine="709"/>
        <w:jc w:val="both"/>
        <w:rPr>
          <w:rFonts w:ascii="Verdana" w:eastAsia="Calibri" w:hAnsi="Verdana" w:cs="Arial"/>
          <w:lang w:val="es-MX"/>
        </w:rPr>
      </w:pPr>
    </w:p>
    <w:p w14:paraId="7EEF51E1" w14:textId="77777777" w:rsidR="00592F2E" w:rsidRPr="00592F2E" w:rsidRDefault="00592F2E" w:rsidP="00592F2E">
      <w:pPr>
        <w:spacing w:after="0" w:line="240" w:lineRule="auto"/>
        <w:ind w:left="709" w:right="709"/>
        <w:jc w:val="both"/>
        <w:rPr>
          <w:rFonts w:ascii="Verdana" w:eastAsia="Calibri" w:hAnsi="Verdana" w:cs="Arial"/>
          <w:sz w:val="20"/>
          <w:szCs w:val="20"/>
        </w:rPr>
      </w:pPr>
      <w:r w:rsidRPr="00592F2E">
        <w:rPr>
          <w:rFonts w:ascii="Verdana" w:eastAsia="Calibri" w:hAnsi="Verdana" w:cs="Arial"/>
          <w:sz w:val="20"/>
          <w:szCs w:val="20"/>
        </w:rPr>
        <w:t>“Respecto de la capacidad legal para contratar y la personalidad jurídica señala, que la Ley 80 de 1993 al crear las figuras de los consorcios y uniones temporales, y construirlas como sujetos de la contratación administrativa, reconoce una realidad del mundo negocial: la necesidad de los contratos de colaboración económica para la efectiva realización de proyectos de contratación pública, altamente especializados e intensivos en capital y, así mismo, indispensables para que el Estado Social de Derecho, cumpla los cometidos para los cuales fue instituido- Preámbulo, artículos 1 y 2 de la Carta Política.</w:t>
      </w:r>
    </w:p>
    <w:p w14:paraId="3E2524CB" w14:textId="77777777" w:rsidR="00592F2E" w:rsidRPr="00592F2E" w:rsidRDefault="00592F2E" w:rsidP="00592F2E">
      <w:pPr>
        <w:spacing w:after="0" w:line="240" w:lineRule="auto"/>
        <w:ind w:left="709" w:right="709"/>
        <w:jc w:val="both"/>
        <w:rPr>
          <w:rFonts w:ascii="Verdana" w:eastAsia="Calibri" w:hAnsi="Verdana" w:cs="Arial"/>
          <w:sz w:val="20"/>
          <w:szCs w:val="20"/>
        </w:rPr>
      </w:pPr>
      <w:r w:rsidRPr="00592F2E">
        <w:rPr>
          <w:rFonts w:ascii="Verdana" w:eastAsia="Calibri" w:hAnsi="Verdana" w:cs="Arial"/>
          <w:sz w:val="20"/>
          <w:szCs w:val="20"/>
        </w:rPr>
        <w:t>[…]</w:t>
      </w:r>
    </w:p>
    <w:p w14:paraId="3201438F" w14:textId="77777777" w:rsidR="00592F2E" w:rsidRPr="00592F2E" w:rsidRDefault="00592F2E" w:rsidP="00592F2E">
      <w:pPr>
        <w:spacing w:after="0" w:line="240" w:lineRule="auto"/>
        <w:ind w:left="709" w:right="709"/>
        <w:jc w:val="both"/>
        <w:rPr>
          <w:rFonts w:ascii="Verdana" w:eastAsia="Calibri" w:hAnsi="Verdana" w:cs="Arial"/>
          <w:sz w:val="20"/>
          <w:szCs w:val="20"/>
        </w:rPr>
      </w:pPr>
    </w:p>
    <w:p w14:paraId="7589872F" w14:textId="77777777" w:rsidR="00592F2E" w:rsidRPr="00592F2E" w:rsidRDefault="00592F2E" w:rsidP="00592F2E">
      <w:pPr>
        <w:spacing w:after="0" w:line="240" w:lineRule="auto"/>
        <w:ind w:left="709" w:right="709"/>
        <w:jc w:val="both"/>
        <w:rPr>
          <w:rFonts w:ascii="Verdana" w:eastAsia="Calibri" w:hAnsi="Verdana" w:cs="Arial"/>
          <w:sz w:val="20"/>
          <w:szCs w:val="20"/>
        </w:rPr>
      </w:pPr>
      <w:r w:rsidRPr="00592F2E">
        <w:rPr>
          <w:rFonts w:ascii="Verdana" w:eastAsia="Calibri" w:hAnsi="Verdana" w:cs="Arial"/>
          <w:sz w:val="20"/>
          <w:szCs w:val="20"/>
        </w:rPr>
        <w:t>En torno a la capacidad contractual de los consorcios y uniones temporales la jurisprudencia constitucional ha expresado que el Estatuto de contratación les reconoce este atributo sin exigirles como condición de su ejercicio la de ser personas morales. También ha dicho que el consorcio es un convenio de asociación, o mejor, un sistema de mediación que permite a sus miembros organizarse mancomunadamente para la celebración y ejecución de un contrato con el Estado, sin que por ello pierdan su individualidad jurídica, pero asumiendo un grado de responsabilidad solidaria en el cumplimiento de las obligaciones contractuales”</w:t>
      </w:r>
      <w:r w:rsidRPr="00592F2E">
        <w:rPr>
          <w:rFonts w:ascii="Verdana" w:eastAsia="Calibri" w:hAnsi="Verdana" w:cs="Arial"/>
          <w:sz w:val="20"/>
          <w:szCs w:val="20"/>
          <w:vertAlign w:val="superscript"/>
        </w:rPr>
        <w:footnoteReference w:id="2"/>
      </w:r>
      <w:r w:rsidRPr="00592F2E">
        <w:rPr>
          <w:rFonts w:ascii="Verdana" w:eastAsia="Calibri" w:hAnsi="Verdana" w:cs="Arial"/>
          <w:sz w:val="20"/>
          <w:szCs w:val="20"/>
        </w:rPr>
        <w:t>.</w:t>
      </w:r>
    </w:p>
    <w:p w14:paraId="381405CB" w14:textId="77777777" w:rsidR="00592F2E" w:rsidRPr="00592F2E" w:rsidRDefault="00592F2E" w:rsidP="00592F2E">
      <w:pPr>
        <w:spacing w:after="0" w:line="240" w:lineRule="auto"/>
        <w:ind w:left="709" w:right="709"/>
        <w:jc w:val="both"/>
        <w:rPr>
          <w:rFonts w:ascii="Verdana" w:eastAsia="Calibri" w:hAnsi="Verdana" w:cs="Arial"/>
          <w:sz w:val="20"/>
          <w:szCs w:val="20"/>
        </w:rPr>
      </w:pPr>
    </w:p>
    <w:p w14:paraId="732F0FFD" w14:textId="77777777" w:rsidR="00592F2E" w:rsidRPr="00592F2E" w:rsidRDefault="00592F2E" w:rsidP="00592F2E">
      <w:pPr>
        <w:spacing w:before="120" w:after="120" w:line="276" w:lineRule="auto"/>
        <w:ind w:firstLine="708"/>
        <w:jc w:val="both"/>
        <w:rPr>
          <w:rFonts w:ascii="Verdana" w:eastAsia="Calibri" w:hAnsi="Verdana"/>
        </w:rPr>
      </w:pPr>
      <w:r w:rsidRPr="00592F2E">
        <w:rPr>
          <w:rFonts w:ascii="Verdana" w:eastAsia="Calibri" w:hAnsi="Verdana"/>
        </w:rPr>
        <w:t xml:space="preserve">De un lado, la Corte Constitucional destaca que las estructuras plurales son el reconocimiento de una realidad negocial en materia de contratación estatal, de otro, resalta que esta colaboración económica entre sujetos de derecho permite la materialización de los fines del estado, al facilitar la efectiva ejecución de los contratos. Adicionalmente, puntualiza que la capacidad </w:t>
      </w:r>
      <w:r w:rsidRPr="00592F2E">
        <w:rPr>
          <w:rFonts w:ascii="Verdana" w:eastAsia="Calibri" w:hAnsi="Verdana"/>
        </w:rPr>
        <w:lastRenderedPageBreak/>
        <w:t>contractual de los consorcios y uniones temporales se reconoce sin necesidad de exigirles como condición de su ejercicio que sean personas morales.</w:t>
      </w:r>
    </w:p>
    <w:p w14:paraId="6F85558B" w14:textId="77777777" w:rsidR="00592F2E" w:rsidRPr="00592F2E" w:rsidRDefault="00592F2E" w:rsidP="00592F2E">
      <w:pPr>
        <w:spacing w:before="120" w:after="120" w:line="276" w:lineRule="auto"/>
        <w:ind w:firstLine="708"/>
        <w:jc w:val="both"/>
        <w:rPr>
          <w:rFonts w:ascii="Verdana" w:eastAsia="Calibri" w:hAnsi="Verdana" w:cs="Arial"/>
        </w:rPr>
      </w:pPr>
      <w:r w:rsidRPr="00592F2E">
        <w:rPr>
          <w:rFonts w:ascii="Verdana" w:eastAsia="Calibri" w:hAnsi="Verdana" w:cs="Arial"/>
        </w:rPr>
        <w:t>En línea con lo anterior, los consorcios y las uniones temporales no son personas jurídicas, pero su creación depende de un acuerdo en el que concurre la voluntad de sus integrantes para determinar su objeto, la participación de los miembros, las obligaciones frente al proyecto, su responsabilidad, la forma en que regirán sus relaciones internas y el relacionamiento con la entidad contratante, mediante la designación de un representante. Al respecto, el parágrafo 1 del artículo 7 de la Ley 80 de 1993 dispone que:</w:t>
      </w:r>
    </w:p>
    <w:p w14:paraId="692FA06B" w14:textId="77777777" w:rsidR="00592F2E" w:rsidRPr="00592F2E" w:rsidRDefault="00592F2E" w:rsidP="00592F2E">
      <w:pPr>
        <w:spacing w:after="0" w:line="276" w:lineRule="auto"/>
        <w:ind w:firstLine="709"/>
        <w:jc w:val="both"/>
        <w:rPr>
          <w:rFonts w:ascii="Verdana" w:eastAsia="Calibri" w:hAnsi="Verdana" w:cs="Arial"/>
        </w:rPr>
      </w:pPr>
    </w:p>
    <w:p w14:paraId="632A0A80" w14:textId="77777777" w:rsidR="00592F2E" w:rsidRPr="00592F2E" w:rsidRDefault="00592F2E" w:rsidP="00592F2E">
      <w:pPr>
        <w:spacing w:after="0" w:line="240" w:lineRule="auto"/>
        <w:ind w:left="709" w:right="616"/>
        <w:contextualSpacing/>
        <w:jc w:val="both"/>
        <w:rPr>
          <w:rFonts w:ascii="Verdana" w:eastAsia="Calibri" w:hAnsi="Verdana" w:cs="Arial"/>
          <w:sz w:val="20"/>
          <w:szCs w:val="20"/>
          <w:lang w:val="es-MX"/>
        </w:rPr>
      </w:pPr>
      <w:r w:rsidRPr="00592F2E">
        <w:rPr>
          <w:rFonts w:ascii="Verdana" w:eastAsia="Calibri" w:hAnsi="Verdana" w:cs="Arial"/>
          <w:bCs/>
          <w:color w:val="000000" w:themeColor="text1"/>
          <w:sz w:val="20"/>
          <w:szCs w:val="20"/>
          <w:lang w:val="es-MX"/>
        </w:rPr>
        <w:t>“</w:t>
      </w:r>
      <w:r w:rsidRPr="00592F2E">
        <w:rPr>
          <w:rFonts w:ascii="Verdana" w:eastAsia="Calibri" w:hAnsi="Verdana" w:cs="Arial"/>
          <w:sz w:val="20"/>
          <w:szCs w:val="20"/>
          <w:lang w:val="es-MX"/>
        </w:rPr>
        <w:t xml:space="preserve">Para los efectos de esta Ley se entiende </w:t>
      </w:r>
      <w:proofErr w:type="gramStart"/>
      <w:r w:rsidRPr="00592F2E">
        <w:rPr>
          <w:rFonts w:ascii="Verdana" w:eastAsia="Calibri" w:hAnsi="Verdana" w:cs="Arial"/>
          <w:sz w:val="20"/>
          <w:szCs w:val="20"/>
          <w:lang w:val="es-MX"/>
        </w:rPr>
        <w:t>por:[</w:t>
      </w:r>
      <w:proofErr w:type="gramEnd"/>
      <w:r w:rsidRPr="00592F2E">
        <w:rPr>
          <w:rFonts w:ascii="Verdana" w:eastAsia="Calibri" w:hAnsi="Verdana" w:cs="Arial"/>
          <w:sz w:val="20"/>
          <w:szCs w:val="20"/>
          <w:lang w:val="es-MX"/>
        </w:rPr>
        <w:t>…]</w:t>
      </w:r>
    </w:p>
    <w:p w14:paraId="5EE1C456" w14:textId="77777777" w:rsidR="00592F2E" w:rsidRPr="00592F2E" w:rsidRDefault="00592F2E" w:rsidP="00592F2E">
      <w:pPr>
        <w:spacing w:after="0" w:line="240" w:lineRule="auto"/>
        <w:ind w:left="709" w:right="616"/>
        <w:contextualSpacing/>
        <w:jc w:val="both"/>
        <w:rPr>
          <w:rFonts w:ascii="Verdana" w:eastAsia="Calibri" w:hAnsi="Verdana" w:cs="Arial"/>
          <w:sz w:val="20"/>
          <w:szCs w:val="20"/>
          <w:lang w:val="es-MX"/>
        </w:rPr>
      </w:pPr>
    </w:p>
    <w:p w14:paraId="16361067" w14:textId="77777777" w:rsidR="00592F2E" w:rsidRPr="00592F2E" w:rsidRDefault="00592F2E" w:rsidP="00592F2E">
      <w:pPr>
        <w:spacing w:after="120" w:line="240" w:lineRule="auto"/>
        <w:ind w:left="709" w:right="616"/>
        <w:contextualSpacing/>
        <w:jc w:val="both"/>
        <w:rPr>
          <w:rFonts w:ascii="Verdana" w:eastAsia="Calibri" w:hAnsi="Verdana" w:cs="Arial"/>
          <w:sz w:val="20"/>
          <w:szCs w:val="20"/>
          <w:lang w:val="es-MX"/>
        </w:rPr>
      </w:pPr>
      <w:r w:rsidRPr="00592F2E">
        <w:rPr>
          <w:rFonts w:ascii="Verdana" w:eastAsia="Calibri" w:hAnsi="Verdana" w:cs="Arial"/>
          <w:sz w:val="20"/>
          <w:szCs w:val="20"/>
          <w:lang w:val="es-MX"/>
        </w:rPr>
        <w:t>6. Consorcio: Cuando dos o más personas en forma conjunta presentan una misma propuesta para la adjudicación, celebración y ejecución de un contrato, respondiendo solidariamente de todas y cada una de las obligaciones derivadas de la propuesta y del contrato. En consecuencia, las actuaciones, hechos y omisiones que se presenten en desarrollo de la propuesta y del contrato, afectarán a todos los miembros que lo conforman.</w:t>
      </w:r>
    </w:p>
    <w:p w14:paraId="33200E3E" w14:textId="77777777" w:rsidR="00592F2E" w:rsidRPr="00592F2E" w:rsidRDefault="00592F2E" w:rsidP="00592F2E">
      <w:pPr>
        <w:spacing w:after="120" w:line="240" w:lineRule="auto"/>
        <w:ind w:left="709" w:right="616"/>
        <w:contextualSpacing/>
        <w:jc w:val="both"/>
        <w:rPr>
          <w:rFonts w:ascii="Verdana" w:eastAsia="Calibri" w:hAnsi="Verdana" w:cs="Arial"/>
          <w:sz w:val="20"/>
          <w:szCs w:val="20"/>
          <w:lang w:val="es-MX"/>
        </w:rPr>
      </w:pPr>
    </w:p>
    <w:p w14:paraId="6FCF3DA8" w14:textId="77777777" w:rsidR="00592F2E" w:rsidRPr="00592F2E" w:rsidRDefault="00592F2E" w:rsidP="00592F2E">
      <w:pPr>
        <w:spacing w:after="0" w:line="240" w:lineRule="auto"/>
        <w:ind w:left="709" w:right="616"/>
        <w:contextualSpacing/>
        <w:jc w:val="both"/>
        <w:rPr>
          <w:rFonts w:ascii="Verdana" w:eastAsia="Calibri" w:hAnsi="Verdana" w:cs="Arial"/>
          <w:sz w:val="20"/>
          <w:szCs w:val="20"/>
          <w:lang w:val="es-MX"/>
        </w:rPr>
      </w:pPr>
      <w:r w:rsidRPr="00592F2E">
        <w:rPr>
          <w:rFonts w:ascii="Verdana" w:eastAsia="Calibri" w:hAnsi="Verdana" w:cs="Arial"/>
          <w:sz w:val="20"/>
          <w:szCs w:val="20"/>
          <w:lang w:val="es-MX"/>
        </w:rPr>
        <w:t>7. Unión Temporal: Cuando dos o más personas en forma conjunta presentan una misma propuesta para la adjudicación, celebración y ejecución de un contrato, respondiendo solidariamente por el cumplimiento total de la propuesta y del objeto contratado, pero las sanciones por el incumplimiento de las obligaciones derivadas de la propuesta y del contrato se impondrán de acuerdo con la participación en la ejecución de cada uno de los miembros de la unión temporal. </w:t>
      </w:r>
    </w:p>
    <w:p w14:paraId="7C7D4DC3" w14:textId="77777777" w:rsidR="00592F2E" w:rsidRPr="00592F2E" w:rsidRDefault="00592F2E" w:rsidP="00592F2E">
      <w:pPr>
        <w:spacing w:after="0" w:line="240" w:lineRule="auto"/>
        <w:ind w:left="709" w:right="616"/>
        <w:contextualSpacing/>
        <w:jc w:val="both"/>
        <w:rPr>
          <w:rFonts w:ascii="Verdana" w:eastAsia="Calibri" w:hAnsi="Verdana" w:cs="Arial"/>
          <w:bCs/>
          <w:color w:val="000000" w:themeColor="text1"/>
          <w:sz w:val="20"/>
          <w:szCs w:val="20"/>
          <w:lang w:val="es-MX"/>
        </w:rPr>
      </w:pPr>
      <w:r w:rsidRPr="00592F2E">
        <w:rPr>
          <w:rFonts w:ascii="Verdana" w:eastAsia="Calibri" w:hAnsi="Verdana" w:cs="Arial"/>
          <w:bCs/>
          <w:color w:val="000000" w:themeColor="text1"/>
          <w:sz w:val="20"/>
          <w:szCs w:val="20"/>
          <w:lang w:val="es-MX"/>
        </w:rPr>
        <w:t>[…]</w:t>
      </w:r>
    </w:p>
    <w:p w14:paraId="6E1D3C3B" w14:textId="77777777" w:rsidR="00592F2E" w:rsidRPr="00592F2E" w:rsidRDefault="00592F2E" w:rsidP="00592F2E">
      <w:pPr>
        <w:spacing w:after="0" w:line="240" w:lineRule="auto"/>
        <w:ind w:left="709" w:right="616"/>
        <w:contextualSpacing/>
        <w:jc w:val="both"/>
        <w:rPr>
          <w:rFonts w:ascii="Verdana" w:eastAsia="Calibri" w:hAnsi="Verdana" w:cs="Arial"/>
          <w:bCs/>
          <w:color w:val="000000" w:themeColor="text1"/>
          <w:sz w:val="20"/>
          <w:szCs w:val="20"/>
          <w:lang w:val="es-MX"/>
        </w:rPr>
      </w:pPr>
    </w:p>
    <w:p w14:paraId="729C9027" w14:textId="77777777" w:rsidR="00592F2E" w:rsidRPr="00592F2E" w:rsidRDefault="00592F2E" w:rsidP="00592F2E">
      <w:pPr>
        <w:spacing w:after="0" w:line="240" w:lineRule="auto"/>
        <w:ind w:left="709" w:right="616"/>
        <w:contextualSpacing/>
        <w:jc w:val="both"/>
        <w:rPr>
          <w:rFonts w:ascii="Verdana" w:eastAsia="Calibri" w:hAnsi="Verdana" w:cs="Arial"/>
          <w:bCs/>
          <w:color w:val="000000" w:themeColor="text1"/>
          <w:sz w:val="20"/>
          <w:szCs w:val="20"/>
          <w:lang w:val="es-MX"/>
        </w:rPr>
      </w:pPr>
      <w:r w:rsidRPr="00592F2E">
        <w:rPr>
          <w:rFonts w:ascii="Verdana" w:eastAsia="Calibri" w:hAnsi="Verdana" w:cs="Arial"/>
          <w:bCs/>
          <w:color w:val="000000" w:themeColor="text1"/>
          <w:sz w:val="20"/>
          <w:szCs w:val="20"/>
          <w:lang w:val="es-MX"/>
        </w:rPr>
        <w:t>Parágrafo 1º.- Los proponentes indicarán si su participación es a título de consorcio o unión temporal y, en este último caso, señalarán los términos y extensión de la participación en la propuesta y en su ejecución, los cuales no podrán ser modificados sin el consentimiento previo de la entidad estatal contratante.</w:t>
      </w:r>
    </w:p>
    <w:p w14:paraId="7B531795" w14:textId="77777777" w:rsidR="00592F2E" w:rsidRPr="00592F2E" w:rsidRDefault="00592F2E" w:rsidP="00592F2E">
      <w:pPr>
        <w:spacing w:after="0" w:line="240" w:lineRule="auto"/>
        <w:ind w:left="709" w:right="616"/>
        <w:contextualSpacing/>
        <w:jc w:val="both"/>
        <w:rPr>
          <w:rFonts w:ascii="Verdana" w:eastAsia="Calibri" w:hAnsi="Verdana" w:cs="Arial"/>
          <w:bCs/>
          <w:color w:val="000000" w:themeColor="text1"/>
          <w:sz w:val="20"/>
          <w:szCs w:val="20"/>
          <w:lang w:val="es-MX"/>
        </w:rPr>
      </w:pPr>
    </w:p>
    <w:p w14:paraId="3DBCB33A" w14:textId="77777777" w:rsidR="00592F2E" w:rsidRPr="00592F2E" w:rsidRDefault="00592F2E" w:rsidP="00592F2E">
      <w:pPr>
        <w:spacing w:after="0" w:line="240" w:lineRule="auto"/>
        <w:ind w:left="709" w:right="616"/>
        <w:contextualSpacing/>
        <w:jc w:val="both"/>
        <w:rPr>
          <w:rFonts w:ascii="Verdana" w:eastAsia="Calibri" w:hAnsi="Verdana" w:cs="Arial"/>
          <w:bCs/>
          <w:color w:val="000000" w:themeColor="text1"/>
          <w:sz w:val="20"/>
          <w:szCs w:val="20"/>
          <w:lang w:val="es-MX"/>
        </w:rPr>
      </w:pPr>
      <w:r w:rsidRPr="00592F2E">
        <w:rPr>
          <w:rFonts w:ascii="Verdana" w:eastAsia="Calibri" w:hAnsi="Verdana" w:cs="Arial"/>
          <w:bCs/>
          <w:color w:val="000000" w:themeColor="text1"/>
          <w:sz w:val="20"/>
          <w:szCs w:val="20"/>
          <w:lang w:val="es-MX"/>
        </w:rPr>
        <w:t>Los miembros del consorcio y de la unión temporal deberán designar la persona que, para todos los efectos, representará al consorcio o unión temporal y señalarán las reglas básicas que regulen las relaciones entre ellos y su responsabilidad.</w:t>
      </w:r>
    </w:p>
    <w:p w14:paraId="0B349AE7" w14:textId="77777777" w:rsidR="00592F2E" w:rsidRPr="00592F2E" w:rsidRDefault="00592F2E" w:rsidP="00592F2E">
      <w:pPr>
        <w:spacing w:after="0" w:line="240" w:lineRule="auto"/>
        <w:ind w:left="709" w:right="616"/>
        <w:contextualSpacing/>
        <w:jc w:val="both"/>
        <w:rPr>
          <w:rFonts w:ascii="Verdana" w:eastAsia="Calibri" w:hAnsi="Verdana" w:cs="Arial"/>
          <w:sz w:val="20"/>
          <w:szCs w:val="20"/>
          <w:lang w:val="es-MX"/>
        </w:rPr>
      </w:pPr>
      <w:r w:rsidRPr="00592F2E">
        <w:rPr>
          <w:rFonts w:ascii="Verdana" w:eastAsia="Calibri" w:hAnsi="Verdana" w:cs="Arial"/>
          <w:bCs/>
          <w:color w:val="000000" w:themeColor="text1"/>
          <w:sz w:val="20"/>
          <w:szCs w:val="20"/>
          <w:lang w:val="es-MX"/>
        </w:rPr>
        <w:t>[…]”.</w:t>
      </w:r>
    </w:p>
    <w:p w14:paraId="7C2759CB" w14:textId="77777777" w:rsidR="00592F2E" w:rsidRPr="00592F2E" w:rsidRDefault="00592F2E" w:rsidP="00592F2E">
      <w:pPr>
        <w:spacing w:after="0" w:line="276" w:lineRule="auto"/>
        <w:ind w:firstLine="709"/>
        <w:jc w:val="both"/>
        <w:rPr>
          <w:rFonts w:ascii="Verdana" w:eastAsia="Calibri" w:hAnsi="Verdana" w:cs="Arial"/>
          <w:sz w:val="20"/>
          <w:szCs w:val="20"/>
        </w:rPr>
      </w:pPr>
    </w:p>
    <w:p w14:paraId="0CACC4B3" w14:textId="77777777" w:rsidR="00592F2E" w:rsidRPr="00592F2E" w:rsidRDefault="00592F2E" w:rsidP="00592F2E">
      <w:pPr>
        <w:spacing w:after="120" w:line="276" w:lineRule="auto"/>
        <w:ind w:firstLine="708"/>
        <w:jc w:val="both"/>
        <w:rPr>
          <w:rFonts w:ascii="Verdana" w:hAnsi="Verdana" w:cs="Arial"/>
          <w:color w:val="000000" w:themeColor="text1"/>
        </w:rPr>
      </w:pPr>
      <w:r w:rsidRPr="00592F2E">
        <w:rPr>
          <w:rFonts w:ascii="Verdana" w:hAnsi="Verdana" w:cs="Arial"/>
          <w:color w:val="000000" w:themeColor="text1"/>
        </w:rPr>
        <w:t xml:space="preserve">Como se observa, el artículo citado señala que el consorcio o la unión temporal se da “Cuando dos o más personas en forma conjunta presentan una </w:t>
      </w:r>
      <w:r w:rsidRPr="00592F2E">
        <w:rPr>
          <w:rFonts w:ascii="Verdana" w:hAnsi="Verdana" w:cs="Arial"/>
          <w:color w:val="000000" w:themeColor="text1"/>
        </w:rPr>
        <w:lastRenderedPageBreak/>
        <w:t xml:space="preserve">misma propuesta para la adjudicación, celebración y ejecución de un contrato […]”. Desde esta perspectiva, su capacidad para participar en la adjudicación, celebración y ejecución de los contratos estatales depende de que los integrantes de la estructura plural adopten la decisión conjunta de presentar una misma propuesta al proceso de selección. Como existe una relación de medio – fin, sin la entrega de la oferta no surge la habilitación legal para todo lo demás. </w:t>
      </w:r>
    </w:p>
    <w:p w14:paraId="5B02B58E" w14:textId="77777777" w:rsidR="00592F2E" w:rsidRPr="00592F2E" w:rsidRDefault="00592F2E" w:rsidP="00592F2E">
      <w:pPr>
        <w:spacing w:after="120" w:line="276" w:lineRule="auto"/>
        <w:ind w:firstLine="708"/>
        <w:jc w:val="both"/>
        <w:rPr>
          <w:rFonts w:ascii="Verdana" w:hAnsi="Verdana" w:cs="Arial"/>
          <w:color w:val="000000" w:themeColor="text1"/>
        </w:rPr>
      </w:pPr>
      <w:r w:rsidRPr="00592F2E">
        <w:rPr>
          <w:rFonts w:ascii="Verdana" w:hAnsi="Verdana" w:cs="Arial"/>
          <w:color w:val="000000" w:themeColor="text1"/>
        </w:rPr>
        <w:t xml:space="preserve">De esta manera, los consorcios o uniones temporales son convenios de asociación provenientes de la colaboración empresarial, mediante los cuales sus integrantes se unen y se organizan mancomunadamente para lograr con mayor eficacia un fin común de contenido patrimonial y lucrativo, como lo es la obtención del derecho a ser adjudicatarios de un contrato estatal, compartiendo recursos, de toda índole, para su ejecución, así como las utilidades y los riesgos. La diferencia radica en la responsabilidad frente a las eventuales sanciones por el incumplimiento de las obligaciones, toda vez que tratándose de una unión temporal, estas se individualizan según la participación de sus miembros, mientras que en el consorcio los miembros responden solidariamente, con independencia de este aspecto.   </w:t>
      </w:r>
    </w:p>
    <w:p w14:paraId="11FC0113" w14:textId="77777777" w:rsidR="00592F2E" w:rsidRPr="00592F2E" w:rsidRDefault="00592F2E" w:rsidP="00592F2E">
      <w:pPr>
        <w:spacing w:after="120" w:line="276" w:lineRule="auto"/>
        <w:ind w:firstLine="708"/>
        <w:jc w:val="both"/>
        <w:rPr>
          <w:rFonts w:ascii="Verdana" w:hAnsi="Verdana" w:cs="Arial"/>
          <w:color w:val="000000" w:themeColor="text1"/>
        </w:rPr>
      </w:pPr>
      <w:r w:rsidRPr="00592F2E">
        <w:rPr>
          <w:rFonts w:ascii="Verdana" w:hAnsi="Verdana" w:cs="Arial"/>
          <w:color w:val="000000" w:themeColor="text1"/>
        </w:rPr>
        <w:t xml:space="preserve">Ahora bien, es importante señalar que mediante concepto unificado CU-636 del 2 de julio de 2025 se alineó el criterio de esta Subdirección en torno a la posibilidad de que los proponentes plurales puedan </w:t>
      </w:r>
      <w:r w:rsidRPr="00592F2E">
        <w:rPr>
          <w:rFonts w:ascii="Verdana" w:eastAsia="Century Gothic" w:hAnsi="Verdana" w:cs="Century Gothic"/>
        </w:rPr>
        <w:t>participar en varios procesos de contratación pública</w:t>
      </w:r>
      <w:r w:rsidRPr="00592F2E">
        <w:rPr>
          <w:rFonts w:ascii="Verdana" w:hAnsi="Verdana" w:cs="Arial"/>
          <w:color w:val="000000" w:themeColor="text1"/>
        </w:rPr>
        <w:t>, para lo cual se expusieron las distintas posturas sobre este tema. Así, se hizo referencia al concepto C-627 del 7 de octubre de 2024, en el cual según la tesis de esta Subdirección no era posible que estos proponentes participaran en varios procesos debido a que “</w:t>
      </w:r>
      <w:r w:rsidRPr="00592F2E">
        <w:rPr>
          <w:rFonts w:ascii="Verdana" w:eastAsia="Calibri" w:hAnsi="Verdana" w:cs="Arial"/>
        </w:rPr>
        <w:t xml:space="preserve">la definición de estos convenios hace especial precisión en que la creación de estos tiene un fin claro y es la facultad de ser adjudicatarios de un contrato estatal”. </w:t>
      </w:r>
    </w:p>
    <w:p w14:paraId="0BC1EC61" w14:textId="77777777" w:rsidR="00592F2E" w:rsidRPr="00592F2E" w:rsidRDefault="00592F2E" w:rsidP="00592F2E">
      <w:pPr>
        <w:spacing w:after="120" w:line="276" w:lineRule="auto"/>
        <w:ind w:firstLine="708"/>
        <w:jc w:val="both"/>
        <w:rPr>
          <w:rFonts w:ascii="Verdana" w:eastAsia="Calibri" w:hAnsi="Verdana" w:cs="Arial"/>
        </w:rPr>
      </w:pPr>
      <w:r w:rsidRPr="00592F2E">
        <w:rPr>
          <w:rFonts w:ascii="Verdana" w:hAnsi="Verdana" w:cs="Arial"/>
          <w:color w:val="000000" w:themeColor="text1"/>
        </w:rPr>
        <w:t>De igual forma, se explicó la postura incluida en el concepto C-727 del 28 de octubre de 2024, reiterada en los conceptos C-805 del 25 de noviembre de 2024, C-016 del 11 de febrero de 2025, C-046 del 30 de enero de 2025, C-226 del 26 de marzo de 2025 y C-295 del 15 de abril de 2025, en la que se cambió la postura del concepto C-627 del 7 de octubre de 2024, al determinar la viabilidad jurídica para que</w:t>
      </w:r>
      <w:r w:rsidRPr="00592F2E">
        <w:rPr>
          <w:rFonts w:ascii="Verdana" w:eastAsia="Calibri" w:hAnsi="Verdana" w:cs="Arial"/>
          <w:lang w:val="es-ES" w:eastAsia="es-ES"/>
        </w:rPr>
        <w:t xml:space="preserve"> los</w:t>
      </w:r>
      <w:r w:rsidRPr="00592F2E">
        <w:rPr>
          <w:rFonts w:ascii="Verdana" w:hAnsi="Verdana" w:cs="Arial"/>
          <w:color w:val="000000" w:themeColor="text1"/>
        </w:rPr>
        <w:t xml:space="preserve"> proponentes plurales presenten propuestas para la adjudicación, celebración y ejecución de contratos estatales con una o varias entidades. El argumento que apoya esta tesis se sustenta en que, de acuerdo con lo señalado en </w:t>
      </w:r>
      <w:bookmarkStart w:id="4" w:name="_Hlk202125829"/>
      <w:r w:rsidRPr="00592F2E">
        <w:rPr>
          <w:rFonts w:ascii="Verdana" w:hAnsi="Verdana" w:cs="Arial"/>
          <w:color w:val="000000" w:themeColor="text1"/>
        </w:rPr>
        <w:t>los numerales 6 y 7 del artículo 7 de la Ley 80 de 1993</w:t>
      </w:r>
      <w:bookmarkEnd w:id="4"/>
      <w:r w:rsidRPr="00592F2E">
        <w:rPr>
          <w:rFonts w:ascii="Verdana" w:hAnsi="Verdana" w:cs="Arial"/>
          <w:color w:val="000000" w:themeColor="text1"/>
        </w:rPr>
        <w:t xml:space="preserve">, la </w:t>
      </w:r>
      <w:r w:rsidRPr="00592F2E">
        <w:rPr>
          <w:rFonts w:ascii="Verdana" w:hAnsi="Verdana" w:cs="Arial"/>
          <w:color w:val="000000" w:themeColor="text1"/>
        </w:rPr>
        <w:lastRenderedPageBreak/>
        <w:t xml:space="preserve">capacidad de los consorcios y uniones temporales para participar en la adjudicación, celebración y ejecución de </w:t>
      </w:r>
      <w:r w:rsidRPr="00592F2E">
        <w:rPr>
          <w:rFonts w:ascii="Verdana" w:hAnsi="Verdana" w:cs="Arial"/>
          <w:i/>
          <w:iCs/>
          <w:color w:val="000000" w:themeColor="text1"/>
        </w:rPr>
        <w:t xml:space="preserve">uno o varios </w:t>
      </w:r>
      <w:r w:rsidRPr="00592F2E">
        <w:rPr>
          <w:rFonts w:ascii="Verdana" w:hAnsi="Verdana" w:cs="Arial"/>
          <w:color w:val="000000" w:themeColor="text1"/>
        </w:rPr>
        <w:t xml:space="preserve">contratos estatales dependerá de dos aspectos: “i) que los integrantes de la estructural plural adopten la decisión conjunta de presentar una misma propuesta al proceso de selección; y ii) que el objeto del consorcio o unión temporal se encuentre alineado con las actividades a desarrollar en un determinado proceso”. Así, </w:t>
      </w:r>
      <w:r w:rsidRPr="00592F2E">
        <w:rPr>
          <w:rFonts w:ascii="Verdana" w:eastAsia="Calibri" w:hAnsi="Verdana" w:cs="Arial"/>
        </w:rPr>
        <w:t>no existe impedimento o prohibición alguna que limite la actividad de los consorcios o uniones temporales a un solo contrato.</w:t>
      </w:r>
    </w:p>
    <w:p w14:paraId="2995FABD" w14:textId="77777777" w:rsidR="00592F2E" w:rsidRPr="00592F2E" w:rsidRDefault="00592F2E" w:rsidP="00592F2E">
      <w:pPr>
        <w:spacing w:after="120" w:line="276" w:lineRule="auto"/>
        <w:ind w:firstLine="709"/>
        <w:jc w:val="both"/>
        <w:rPr>
          <w:rFonts w:ascii="Verdana" w:hAnsi="Verdana" w:cs="Arial"/>
          <w:color w:val="000000" w:themeColor="text1"/>
        </w:rPr>
      </w:pPr>
      <w:r w:rsidRPr="00592F2E">
        <w:rPr>
          <w:rFonts w:ascii="Verdana" w:hAnsi="Verdana" w:cs="Arial"/>
          <w:color w:val="000000" w:themeColor="text1"/>
        </w:rPr>
        <w:t xml:space="preserve">En este contexto, conforme se explica en el CU-636 del 2 de julio de 2025, </w:t>
      </w:r>
      <w:r w:rsidRPr="00592F2E">
        <w:rPr>
          <w:rFonts w:ascii="Verdana" w:hAnsi="Verdana" w:cs="Arial"/>
          <w:szCs w:val="24"/>
          <w:lang w:eastAsia="es-ES_tradnl"/>
        </w:rPr>
        <w:t xml:space="preserve">esta Subdirección considera que la interpretación más adecuada se alinea con la posición expuesta en los conceptos </w:t>
      </w:r>
      <w:r w:rsidRPr="00592F2E">
        <w:rPr>
          <w:rFonts w:ascii="Verdana" w:hAnsi="Verdana" w:cs="Arial"/>
          <w:color w:val="000000" w:themeColor="text1"/>
        </w:rPr>
        <w:t xml:space="preserve">C-727 del 28 de octubre de 2024, C-016 del 11 de febrero de 2025, C-046 del 30 de enero de 2025, C-226 del 26 de marzo de 2025 y C-295 del 15 de abril de 2025, en el sentido de indicar que </w:t>
      </w:r>
      <w:r w:rsidRPr="00592F2E">
        <w:rPr>
          <w:rFonts w:ascii="Verdana" w:hAnsi="Verdana" w:cs="Arial"/>
          <w:szCs w:val="24"/>
          <w:lang w:eastAsia="es-ES_tradnl"/>
        </w:rPr>
        <w:t xml:space="preserve">es </w:t>
      </w:r>
      <w:r w:rsidRPr="00592F2E">
        <w:rPr>
          <w:rFonts w:ascii="Verdana" w:hAnsi="Verdana" w:cs="Arial"/>
          <w:color w:val="000000" w:themeColor="text1"/>
        </w:rPr>
        <w:t xml:space="preserve">jurídicamente viable que los proponentes plurales presenten propuestas para la adjudicación, celebración y ejecución de contratos estatales con </w:t>
      </w:r>
      <w:r w:rsidRPr="00592F2E">
        <w:rPr>
          <w:rFonts w:ascii="Verdana" w:hAnsi="Verdana" w:cs="Arial"/>
          <w:i/>
          <w:iCs/>
          <w:color w:val="000000" w:themeColor="text1"/>
        </w:rPr>
        <w:t>una o varias</w:t>
      </w:r>
      <w:r w:rsidRPr="00592F2E">
        <w:rPr>
          <w:rFonts w:ascii="Verdana" w:hAnsi="Verdana" w:cs="Arial"/>
          <w:color w:val="000000" w:themeColor="text1"/>
        </w:rPr>
        <w:t xml:space="preserve"> entidades, lo anterior, en concordancia con el cumplimiento de los supuestos previamente descritos. En ese orden, las ofertas serán analizadas de acuerdo con los criterios habilitantes y factores de evaluación del pliego de condiciones o documento equivalente, en el marco de las reglas previstas en el Estatuto General de Contratación, sus normas complementarias y los reglamentos respectivos. </w:t>
      </w:r>
    </w:p>
    <w:p w14:paraId="79C0F2A8" w14:textId="77777777" w:rsidR="00592F2E" w:rsidRPr="00592F2E" w:rsidRDefault="00592F2E" w:rsidP="00592F2E">
      <w:pPr>
        <w:spacing w:after="120" w:line="276" w:lineRule="auto"/>
        <w:ind w:firstLine="708"/>
        <w:jc w:val="both"/>
        <w:rPr>
          <w:rFonts w:ascii="Verdana" w:eastAsia="Calibri" w:hAnsi="Verdana" w:cs="Arial"/>
        </w:rPr>
      </w:pPr>
      <w:r w:rsidRPr="00592F2E">
        <w:rPr>
          <w:rFonts w:ascii="Verdana" w:eastAsia="Calibri" w:hAnsi="Verdana" w:cs="Arial"/>
        </w:rPr>
        <w:t xml:space="preserve">En efecto, esta interpretación es la que más se ajusta al contenido de </w:t>
      </w:r>
      <w:r w:rsidRPr="00592F2E">
        <w:rPr>
          <w:rFonts w:ascii="Verdana" w:hAnsi="Verdana" w:cs="Arial"/>
          <w:color w:val="000000" w:themeColor="text1"/>
        </w:rPr>
        <w:t>los numerales 6 y 7 del artículo 7 de la Ley 80 de 1993</w:t>
      </w:r>
      <w:r w:rsidRPr="00592F2E">
        <w:rPr>
          <w:rFonts w:ascii="Verdana" w:eastAsia="Calibri" w:hAnsi="Verdana" w:cs="Arial"/>
        </w:rPr>
        <w:t>, en la medida en que en estos no se establece ninguna limitación respecto al número de contratos en los que un consorcio o unión temporal puede participar. Lo anterior, en armonía con la libertad de asociación de los consorcios y uniones temporales que permite que estos se puedan organizar libremente y acordar participar en más de un proceso contractual, mientras cumplan los requisitos legales. Aceptar la tesis contraría, implicaría aplicar una limitación de su participación restringiendo sin sustento legal su libertad de asociación y contratación.</w:t>
      </w:r>
    </w:p>
    <w:p w14:paraId="7A2A1A9A" w14:textId="77777777" w:rsidR="00592F2E" w:rsidRPr="00592F2E" w:rsidRDefault="00592F2E" w:rsidP="00592F2E">
      <w:pPr>
        <w:spacing w:after="120" w:line="276" w:lineRule="auto"/>
        <w:jc w:val="both"/>
        <w:rPr>
          <w:rFonts w:ascii="Verdana" w:eastAsia="Calibri" w:hAnsi="Verdana" w:cs="Arial"/>
        </w:rPr>
      </w:pPr>
    </w:p>
    <w:p w14:paraId="3C4B84A6" w14:textId="77777777" w:rsidR="00592F2E" w:rsidRPr="00592F2E" w:rsidRDefault="00592F2E" w:rsidP="00592F2E">
      <w:pPr>
        <w:spacing w:after="120"/>
        <w:jc w:val="both"/>
        <w:rPr>
          <w:rFonts w:ascii="Verdana" w:eastAsia="Calibri" w:hAnsi="Verdana" w:cs="Arial"/>
        </w:rPr>
      </w:pPr>
      <w:r w:rsidRPr="00592F2E">
        <w:rPr>
          <w:rFonts w:ascii="Verdana" w:eastAsia="Calibri" w:hAnsi="Verdana" w:cs="Arial"/>
        </w:rPr>
        <w:t xml:space="preserve">ii. </w:t>
      </w:r>
      <w:r w:rsidRPr="00592F2E">
        <w:rPr>
          <w:rFonts w:ascii="Verdana" w:eastAsia="Calibri" w:hAnsi="Verdana" w:cs="Arial"/>
          <w:lang w:val="es-ES"/>
        </w:rPr>
        <w:t xml:space="preserve">Aunque la normativa vigente no prevé la posibilidad de que los proponentes se presenten a los procesos de contratación con el Estado como promesa de sociedad futura, la Agencia Nacional de Contratación Pública- Colombia Compra Eficiente puso a disposición de los interesados del Sistema de Compra Pública, </w:t>
      </w:r>
      <w:r w:rsidRPr="00592F2E">
        <w:rPr>
          <w:rFonts w:ascii="Verdana" w:eastAsia="Calibri" w:hAnsi="Verdana" w:cs="Arial"/>
          <w:lang w:val="es-ES"/>
        </w:rPr>
        <w:lastRenderedPageBreak/>
        <w:t xml:space="preserve">la Guía de Asuntos Corporativos en los Procesos de Contratación, donde señaló que los proponentes, además de constituir figuras asociativas como los consorcios o uniones temporales, pueden presentarse como otras sociedades constituidas con el único objeto de presentar una propuesta, celebrar y ejecutar un contrato. Al respecto, la Guía de Asuntos Corporativos se expresa: “[…] </w:t>
      </w:r>
      <w:r w:rsidRPr="00592F2E">
        <w:rPr>
          <w:rFonts w:ascii="Verdana" w:eastAsia="Calibri" w:hAnsi="Verdana" w:cs="Arial"/>
        </w:rPr>
        <w:t>si llegara a ocurrir que un proponente se presenta bajo la constitución de esta figura asociativa, la Entidad Estatal en todo caso no podrá rechazar la oferta presentada y deberá entender que su participación será la de un consorcio, siempre que reúna los requisitos previstos en el artículo 7 de la Ley 80 de 1993”</w:t>
      </w:r>
      <w:r w:rsidRPr="00592F2E">
        <w:rPr>
          <w:rFonts w:ascii="Verdana" w:eastAsia="Calibri" w:hAnsi="Verdana" w:cs="Arial"/>
          <w:vertAlign w:val="superscript"/>
        </w:rPr>
        <w:footnoteReference w:id="3"/>
      </w:r>
      <w:r w:rsidRPr="00592F2E">
        <w:rPr>
          <w:rFonts w:ascii="Verdana" w:eastAsia="Calibri" w:hAnsi="Verdana" w:cs="Arial"/>
        </w:rPr>
        <w:t>.</w:t>
      </w:r>
    </w:p>
    <w:p w14:paraId="382CB424" w14:textId="77777777" w:rsidR="00592F2E" w:rsidRPr="00592F2E" w:rsidRDefault="00592F2E" w:rsidP="00592F2E">
      <w:pPr>
        <w:spacing w:after="120" w:line="276" w:lineRule="auto"/>
        <w:jc w:val="both"/>
        <w:rPr>
          <w:rFonts w:ascii="Verdana" w:eastAsia="Calibri" w:hAnsi="Verdana" w:cs="Arial"/>
        </w:rPr>
      </w:pPr>
      <w:r w:rsidRPr="00592F2E">
        <w:rPr>
          <w:rFonts w:ascii="Verdana" w:eastAsia="Calibri" w:hAnsi="Verdana" w:cs="Arial"/>
        </w:rPr>
        <w:tab/>
        <w:t>Este tipo de instituciones conocida como “promesa de sociedad” o “promesa de sociedad futura” es una modalidad del contrato de promesa, cuya validez y eficacia está regulada en el artículo 861 del Código de Comercio</w:t>
      </w:r>
      <w:r w:rsidRPr="00592F2E">
        <w:rPr>
          <w:rFonts w:ascii="Verdana" w:eastAsia="Calibri" w:hAnsi="Verdana" w:cs="Arial"/>
          <w:vertAlign w:val="superscript"/>
        </w:rPr>
        <w:footnoteReference w:id="4"/>
      </w:r>
      <w:r w:rsidRPr="00592F2E">
        <w:rPr>
          <w:rFonts w:ascii="Verdana" w:eastAsia="Calibri" w:hAnsi="Verdana" w:cs="Arial"/>
        </w:rPr>
        <w:t>. El artículo 119 del citado código</w:t>
      </w:r>
      <w:r w:rsidRPr="00592F2E">
        <w:rPr>
          <w:rFonts w:ascii="Verdana" w:eastAsia="Calibri" w:hAnsi="Verdana" w:cs="Arial"/>
          <w:vertAlign w:val="superscript"/>
        </w:rPr>
        <w:footnoteReference w:id="5"/>
      </w:r>
      <w:r w:rsidRPr="00592F2E">
        <w:rPr>
          <w:rFonts w:ascii="Verdana" w:eastAsia="Calibri" w:hAnsi="Verdana" w:cs="Arial"/>
        </w:rPr>
        <w:t xml:space="preserve"> prescribe que la promesa de contrato de sociedad debe hacerse por escrito con las cláusulas que deban expresarse en el negocio jurídico, conforme al artículo 110 del Código de Comercio</w:t>
      </w:r>
      <w:r w:rsidRPr="00592F2E">
        <w:rPr>
          <w:rFonts w:ascii="Verdana" w:eastAsia="Calibri" w:hAnsi="Verdana" w:cs="Arial"/>
          <w:vertAlign w:val="superscript"/>
        </w:rPr>
        <w:footnoteReference w:id="6"/>
      </w:r>
      <w:r w:rsidRPr="00592F2E">
        <w:rPr>
          <w:rFonts w:ascii="Verdana" w:eastAsia="Calibri" w:hAnsi="Verdana" w:cs="Arial"/>
        </w:rPr>
        <w:t xml:space="preserve"> y la indicación del </w:t>
      </w:r>
      <w:r w:rsidRPr="00592F2E">
        <w:rPr>
          <w:rFonts w:ascii="Verdana" w:eastAsia="Calibri" w:hAnsi="Verdana" w:cs="Arial"/>
        </w:rPr>
        <w:lastRenderedPageBreak/>
        <w:t xml:space="preserve">plazo o condición que fije la fecha en que se constituirá la sociedad. Por otro lado, los promitentes de la sociedad futura responden solidaria e ilimitadamente de las operaciones que celebren o ejecuten en el marco de los negocios de esta, antes de su constitución, cualquiera que sea la forma legal que se pacte. </w:t>
      </w:r>
    </w:p>
    <w:p w14:paraId="260788C5" w14:textId="77777777" w:rsidR="00592F2E" w:rsidRPr="00592F2E" w:rsidRDefault="00592F2E" w:rsidP="00592F2E">
      <w:pPr>
        <w:spacing w:after="0" w:line="276" w:lineRule="auto"/>
        <w:ind w:firstLine="709"/>
        <w:jc w:val="both"/>
        <w:rPr>
          <w:rFonts w:ascii="Verdana" w:eastAsia="Calibri" w:hAnsi="Verdana" w:cs="Arial"/>
        </w:rPr>
      </w:pPr>
      <w:r w:rsidRPr="00592F2E">
        <w:rPr>
          <w:rFonts w:ascii="Verdana" w:eastAsia="Calibri" w:hAnsi="Verdana" w:cs="Arial"/>
        </w:rPr>
        <w:t xml:space="preserve">En torno a esta institución dentro del Sistema de Compras y Contratación Pública, hay que remitirse al derogado parágrafo segundo del artículo 32 de la Ley 80 de 1993, que lo regulaba para los procesos de selección que se inician a solicitud de los particulares con el objeto de construir una obra pública por concesión. Al respecto, los incisos 4 y 5 de dicho parágrafo prescribían: </w:t>
      </w:r>
    </w:p>
    <w:p w14:paraId="0A16B02E" w14:textId="77777777" w:rsidR="00592F2E" w:rsidRPr="00592F2E" w:rsidRDefault="00592F2E" w:rsidP="00592F2E">
      <w:pPr>
        <w:spacing w:after="0" w:line="276" w:lineRule="auto"/>
        <w:ind w:firstLine="709"/>
        <w:jc w:val="both"/>
        <w:rPr>
          <w:rFonts w:ascii="Verdana" w:eastAsia="Calibri" w:hAnsi="Verdana" w:cs="Arial"/>
        </w:rPr>
      </w:pPr>
    </w:p>
    <w:p w14:paraId="23719A8C" w14:textId="77777777" w:rsidR="00592F2E" w:rsidRPr="00592F2E" w:rsidRDefault="00592F2E" w:rsidP="00592F2E">
      <w:pPr>
        <w:spacing w:after="0" w:line="240" w:lineRule="auto"/>
        <w:ind w:left="709" w:right="709"/>
        <w:jc w:val="both"/>
        <w:rPr>
          <w:rFonts w:ascii="Verdana" w:eastAsia="Calibri" w:hAnsi="Verdana" w:cs="Arial"/>
        </w:rPr>
      </w:pPr>
      <w:r w:rsidRPr="00592F2E">
        <w:rPr>
          <w:rFonts w:ascii="Verdana" w:eastAsia="Calibri" w:hAnsi="Verdana" w:cs="Arial"/>
        </w:rPr>
        <w:t>Los proponentes podrán presentar diversas posibilidades de asociación con otra u otras personas naturales o jurídicas cuyo concurso consideren indispensable para la cabal ejecución del contrato de concesión en sus diferentes aspectos. Para el efecto, indicarán con precisión si pretenden organizarse como consorcio, unión temporal, sociedad o bajo cualquier otra modalidad de asociación que consideren conveniente. En estos casos deberán adjuntar a la propuesta un documento en el que los interesados expresen claramente su intención de formar parte de la asociación propuesta. Así mismo deberán presentar los documentos que acrediten los requisitos exigidos por la entidad estatal en el pliego de condiciones.</w:t>
      </w:r>
    </w:p>
    <w:p w14:paraId="5842AB6C" w14:textId="77777777" w:rsidR="00592F2E" w:rsidRPr="00592F2E" w:rsidRDefault="00592F2E" w:rsidP="00592F2E">
      <w:pPr>
        <w:spacing w:after="0" w:line="240" w:lineRule="auto"/>
        <w:ind w:left="709" w:right="709"/>
        <w:jc w:val="both"/>
        <w:rPr>
          <w:rFonts w:ascii="Verdana" w:eastAsia="Calibri" w:hAnsi="Verdana" w:cs="Arial"/>
        </w:rPr>
      </w:pPr>
    </w:p>
    <w:p w14:paraId="10B741C7" w14:textId="77777777" w:rsidR="00592F2E" w:rsidRPr="00592F2E" w:rsidRDefault="00592F2E" w:rsidP="00592F2E">
      <w:pPr>
        <w:spacing w:after="0" w:line="240" w:lineRule="auto"/>
        <w:ind w:left="709" w:right="709"/>
        <w:jc w:val="both"/>
        <w:rPr>
          <w:rFonts w:ascii="Verdana" w:eastAsia="Calibri" w:hAnsi="Verdana" w:cs="Arial"/>
        </w:rPr>
      </w:pPr>
      <w:r w:rsidRPr="00592F2E">
        <w:rPr>
          <w:rFonts w:ascii="Verdana" w:eastAsia="Calibri" w:hAnsi="Verdana" w:cs="Arial"/>
        </w:rPr>
        <w:lastRenderedPageBreak/>
        <w:t>Cuando se proponga constituir sociedades para los fines indicados en este parágrafo, el documento de intención consistirá en una promesa de contrato de sociedad cuyo perfeccionamiento se sujetará a la condición de que el contrato se le adjudique. Una vez expedida la resolución de adjudicación y constituida en legal forma la sociedad de que se trate, el contrato de concesión se celebrará con su representante legal.</w:t>
      </w:r>
    </w:p>
    <w:p w14:paraId="61632637" w14:textId="77777777" w:rsidR="00592F2E" w:rsidRPr="00592F2E" w:rsidRDefault="00592F2E" w:rsidP="00592F2E">
      <w:pPr>
        <w:spacing w:after="120" w:line="276" w:lineRule="auto"/>
        <w:jc w:val="both"/>
        <w:rPr>
          <w:rFonts w:ascii="Verdana" w:eastAsia="Calibri" w:hAnsi="Verdana" w:cs="Arial"/>
        </w:rPr>
      </w:pPr>
    </w:p>
    <w:p w14:paraId="33BDEB4A" w14:textId="77777777" w:rsidR="00592F2E" w:rsidRPr="00592F2E" w:rsidRDefault="00592F2E" w:rsidP="00592F2E">
      <w:pPr>
        <w:spacing w:after="120" w:line="276" w:lineRule="auto"/>
        <w:jc w:val="both"/>
        <w:rPr>
          <w:rFonts w:ascii="Verdana" w:eastAsia="Calibri" w:hAnsi="Verdana" w:cs="Arial"/>
        </w:rPr>
      </w:pPr>
      <w:r w:rsidRPr="00592F2E">
        <w:rPr>
          <w:rFonts w:ascii="Verdana" w:eastAsia="Calibri" w:hAnsi="Verdana" w:cs="Arial"/>
        </w:rPr>
        <w:tab/>
        <w:t xml:space="preserve">A partir del parágrafo precitado se posibilitaba que los proponentes para la celebración de un contrato de concesión de obra pública podrían presentar posibilidades de asociación, permitiendo la institución de la promesa de sociedad futura, cuya celebración se condicionaba a que el contrato fuese adjudicado, y una vez expedida la resolución de adjudicación y constituida la sociedad, dicho contrato se adelantaría con su representante legal. Dentro del Sistema de Compras Públicas se destaca que el Decreto 1082 de 2015 se refiere a la promesa de sociedad futura en el artículo 2.2.1.2.3.1.4., cuando la oferta es presentada por un proponente plural como esta, así como los consorcios y uniones temporales, en el que se exige que la garantía debe otorgarse por todos sus integrantes. En el mismo Decreto, en su artículo </w:t>
      </w:r>
      <w:r w:rsidRPr="00592F2E">
        <w:rPr>
          <w:rFonts w:ascii="Verdana" w:eastAsia="Calibri" w:hAnsi="Verdana" w:cs="Arial"/>
          <w:bCs/>
          <w:iCs/>
        </w:rPr>
        <w:t>2.2.1.2.4.2.6</w:t>
      </w:r>
      <w:r w:rsidRPr="00592F2E">
        <w:rPr>
          <w:rFonts w:ascii="Verdana" w:eastAsia="Calibri" w:hAnsi="Verdana" w:cs="Arial"/>
          <w:b/>
          <w:bCs/>
          <w:i/>
          <w:iCs/>
        </w:rPr>
        <w:t>. s</w:t>
      </w:r>
      <w:r w:rsidRPr="00592F2E">
        <w:rPr>
          <w:rFonts w:ascii="Verdana" w:eastAsia="Calibri" w:hAnsi="Verdana" w:cs="Arial"/>
          <w:bCs/>
          <w:iCs/>
        </w:rPr>
        <w:t xml:space="preserve">e refiere a que si oferta es presentada por este tipo proponentes plurales, así como los consorcios o uniones temporales, </w:t>
      </w:r>
      <w:r w:rsidRPr="00592F2E">
        <w:rPr>
          <w:rFonts w:ascii="Verdana" w:eastAsia="Calibri" w:hAnsi="Verdana" w:cs="Arial"/>
        </w:rPr>
        <w:t xml:space="preserve">se tendrá en cuenta la planta de personal del integrante del proponente plural que aporte como mínimo el cuarenta por ciento (40%) de la experiencia requerida para la respectiva contratación, para efectos del puntaje adicional para proponentes con trabajadores con discapacidad en las licitaciones públicas y concurso de méritos.  </w:t>
      </w:r>
    </w:p>
    <w:p w14:paraId="17F85186" w14:textId="77777777" w:rsidR="00592F2E" w:rsidRPr="00592F2E" w:rsidRDefault="00592F2E" w:rsidP="00592F2E">
      <w:pPr>
        <w:spacing w:after="120" w:line="276" w:lineRule="auto"/>
        <w:ind w:firstLine="708"/>
        <w:jc w:val="both"/>
        <w:rPr>
          <w:rFonts w:ascii="Verdana" w:eastAsia="Calibri" w:hAnsi="Verdana" w:cs="Arial"/>
        </w:rPr>
      </w:pPr>
      <w:r w:rsidRPr="00592F2E">
        <w:rPr>
          <w:rFonts w:ascii="Verdana" w:eastAsia="Calibri" w:hAnsi="Verdana" w:cs="Arial"/>
        </w:rPr>
        <w:t xml:space="preserve">Para entender la procedibilidad de aplicar la promesa de sociedad futura es necesario acudir al parágrafo 2° del artículo 7° de la Ley 80 de 1993, cuyo tenor literal dispone: “En </w:t>
      </w:r>
      <w:r w:rsidRPr="00592F2E">
        <w:rPr>
          <w:rFonts w:ascii="Verdana" w:eastAsia="Calibri" w:hAnsi="Verdana" w:cs="Arial"/>
          <w:i/>
        </w:rPr>
        <w:t>los casos en que se conformen sociedades bajo cualquiera de las modalidades previstas en la ley con el único objeto de presentar una propuesta, celebrar y ejecutar un contrato estatal,</w:t>
      </w:r>
      <w:r w:rsidRPr="00592F2E">
        <w:rPr>
          <w:rFonts w:ascii="Verdana" w:eastAsia="Calibri" w:hAnsi="Verdana" w:cs="Arial"/>
        </w:rPr>
        <w:t xml:space="preserve"> la responsabilidad y sus efectos se regirá por las disposiciones previstas en esta ley para los consorcios” (énfasis fuera de texto). En tal sentido, modalidades, como “la promesa de sociedad futura” se sujetan a las responsabilidades y efectos para los consorcios, lo cual implica que responden solidariamente en todas y cada una de las obligaciones que se derivan de la propuesta y del contrato. Por tanto, las actuaciones, hechos u omisiones que se generen en el marco de la propuesta y </w:t>
      </w:r>
      <w:r w:rsidRPr="00592F2E">
        <w:rPr>
          <w:rFonts w:ascii="Verdana" w:eastAsia="Calibri" w:hAnsi="Verdana" w:cs="Arial"/>
        </w:rPr>
        <w:lastRenderedPageBreak/>
        <w:t xml:space="preserve">del contrato, afectan a todos los miembros que la conforman. Al respecto, el Consejo de Estado expresa: </w:t>
      </w:r>
    </w:p>
    <w:p w14:paraId="2C5C3AC7" w14:textId="77777777" w:rsidR="00592F2E" w:rsidRPr="00592F2E" w:rsidRDefault="00592F2E" w:rsidP="00592F2E">
      <w:pPr>
        <w:spacing w:after="120" w:line="276" w:lineRule="auto"/>
        <w:jc w:val="both"/>
        <w:rPr>
          <w:rFonts w:ascii="Verdana" w:eastAsia="Calibri" w:hAnsi="Verdana" w:cs="Arial"/>
          <w:b/>
          <w:bCs/>
        </w:rPr>
      </w:pPr>
    </w:p>
    <w:p w14:paraId="6947A780" w14:textId="77777777" w:rsidR="00592F2E" w:rsidRPr="00592F2E" w:rsidRDefault="00592F2E" w:rsidP="00592F2E">
      <w:pPr>
        <w:spacing w:after="0" w:line="240" w:lineRule="auto"/>
        <w:ind w:left="709" w:right="709"/>
        <w:jc w:val="both"/>
        <w:rPr>
          <w:rFonts w:ascii="Verdana" w:eastAsia="Calibri" w:hAnsi="Verdana" w:cs="Arial"/>
          <w:sz w:val="21"/>
          <w:szCs w:val="21"/>
        </w:rPr>
      </w:pPr>
      <w:r w:rsidRPr="00592F2E">
        <w:rPr>
          <w:rFonts w:ascii="Verdana" w:eastAsia="Calibri" w:hAnsi="Verdana" w:cs="Arial"/>
          <w:sz w:val="21"/>
          <w:szCs w:val="21"/>
        </w:rPr>
        <w:t>[…] esta responsabilidad solidaria prevista en el artículo 7, numeral 1 de la Ley 80 de 1993 y, aplicable a otras sociedades en virtud del parágrafo 3 de la misma norma, opera no solo para las sociedades de objeto único ya constituidas al momento de presentar la oferta, sino también para las asociaciones de oferentes que acudan al proceso de selección bajo un contrato de promesa de sociedad</w:t>
      </w:r>
      <w:r w:rsidRPr="00592F2E">
        <w:rPr>
          <w:rFonts w:ascii="Verdana" w:eastAsia="Calibri" w:hAnsi="Verdana" w:cs="Arial"/>
          <w:sz w:val="21"/>
          <w:szCs w:val="21"/>
          <w:vertAlign w:val="superscript"/>
        </w:rPr>
        <w:footnoteReference w:id="7"/>
      </w:r>
      <w:r w:rsidRPr="00592F2E">
        <w:rPr>
          <w:rFonts w:ascii="Verdana" w:eastAsia="Calibri" w:hAnsi="Verdana" w:cs="Arial"/>
          <w:sz w:val="21"/>
          <w:szCs w:val="21"/>
        </w:rPr>
        <w:t xml:space="preserve">. Lo anterior tiene sustento en que esta solidaridad se presenta como una garantía a favor de la entidad y, en uno y otro caso, el riesgo previsto y cubierto por el legislador es el mismo, esto es, que por tener objeto único y duración limitada el patrimonio de la sociedad no llegue a resultar suficiente para cubrir las multas, indemnizaciones o sanciones que puedan presentarse por el incumplimiento de la propuesta o la inejecución del contrato, riesgo que no desaparece por el hecho de que la sociedad se constituya con posterioridad a la presentación de la oferta. </w:t>
      </w:r>
    </w:p>
    <w:p w14:paraId="7CF1D714" w14:textId="77777777" w:rsidR="00592F2E" w:rsidRPr="00592F2E" w:rsidRDefault="00592F2E" w:rsidP="00592F2E">
      <w:pPr>
        <w:spacing w:after="0" w:line="240" w:lineRule="auto"/>
        <w:ind w:left="709" w:right="709"/>
        <w:jc w:val="both"/>
        <w:rPr>
          <w:rFonts w:ascii="Verdana" w:eastAsia="Calibri" w:hAnsi="Verdana" w:cs="Arial"/>
          <w:sz w:val="21"/>
          <w:szCs w:val="21"/>
        </w:rPr>
      </w:pPr>
    </w:p>
    <w:p w14:paraId="64D50496" w14:textId="77777777" w:rsidR="00592F2E" w:rsidRPr="00592F2E" w:rsidRDefault="00592F2E" w:rsidP="00592F2E">
      <w:pPr>
        <w:spacing w:after="0" w:line="240" w:lineRule="auto"/>
        <w:ind w:left="709" w:right="709"/>
        <w:jc w:val="both"/>
        <w:rPr>
          <w:rFonts w:ascii="Verdana" w:eastAsia="Calibri" w:hAnsi="Verdana" w:cs="Arial"/>
          <w:sz w:val="21"/>
          <w:szCs w:val="21"/>
        </w:rPr>
      </w:pPr>
      <w:r w:rsidRPr="00592F2E">
        <w:rPr>
          <w:rFonts w:ascii="Verdana" w:eastAsia="Calibri" w:hAnsi="Verdana" w:cs="Arial"/>
          <w:b/>
          <w:bCs/>
          <w:sz w:val="21"/>
          <w:szCs w:val="21"/>
        </w:rPr>
        <w:t xml:space="preserve">38. </w:t>
      </w:r>
      <w:r w:rsidRPr="00592F2E">
        <w:rPr>
          <w:rFonts w:ascii="Verdana" w:eastAsia="Calibri" w:hAnsi="Verdana" w:cs="Arial"/>
          <w:bCs/>
          <w:sz w:val="21"/>
          <w:szCs w:val="21"/>
        </w:rPr>
        <w:t>Las obligaciones solidarias son aquellas en que por virtud del</w:t>
      </w:r>
      <w:r w:rsidRPr="00592F2E">
        <w:rPr>
          <w:rFonts w:ascii="Verdana" w:eastAsia="Calibri" w:hAnsi="Verdana" w:cs="Arial"/>
          <w:sz w:val="21"/>
          <w:szCs w:val="21"/>
        </w:rPr>
        <w:t xml:space="preserve"> testamento o de la ley puede exigirse a cada uno de los deudores, o por cada uno de los acreedores, el total de la deuda61. Por tanto, como en un negocio jurídico la deuda o débito es lo que cada parte se obliga a dar, hacer o no hacer62, la responsabilidad solidaria en este caso determina, en principio, que cada uno de los socios de la sociedad constituida a partir de la promesa allegada en el proceso de selección estaría llamado a cumplir las obligaciones derivadas del contrato. Y se aclara que esto es en principio, o una posibilidad, porque puede ocurrir que a pesar de ser exigible el cumplimiento de la obligación a cada uno de los socios con ocasión de esa solidaridad, dispuesta por la ley como una garantía a favor de la entidad pública para la consecución de los fines previstos con la contratación, esta última decida no acudir a ella, por ejemplo, por no resultar necesario al ser suficiente el patrimonio de la sociedad contratista y parte en el negocio jurídico. </w:t>
      </w:r>
    </w:p>
    <w:p w14:paraId="5B1DE51A" w14:textId="77777777" w:rsidR="00592F2E" w:rsidRPr="00592F2E" w:rsidRDefault="00592F2E" w:rsidP="00592F2E">
      <w:pPr>
        <w:spacing w:after="0" w:line="240" w:lineRule="auto"/>
        <w:ind w:left="709" w:right="709"/>
        <w:jc w:val="both"/>
        <w:rPr>
          <w:rFonts w:ascii="Verdana" w:eastAsia="Calibri" w:hAnsi="Verdana" w:cs="Arial"/>
          <w:sz w:val="21"/>
          <w:szCs w:val="21"/>
        </w:rPr>
      </w:pPr>
    </w:p>
    <w:p w14:paraId="24EB04E4" w14:textId="77777777" w:rsidR="00592F2E" w:rsidRPr="00592F2E" w:rsidRDefault="00592F2E" w:rsidP="00592F2E">
      <w:pPr>
        <w:spacing w:after="0" w:line="240" w:lineRule="auto"/>
        <w:ind w:left="709" w:right="709"/>
        <w:jc w:val="both"/>
        <w:rPr>
          <w:rFonts w:ascii="Verdana" w:eastAsia="Calibri" w:hAnsi="Verdana" w:cs="Arial"/>
          <w:sz w:val="21"/>
          <w:szCs w:val="21"/>
        </w:rPr>
      </w:pPr>
      <w:r w:rsidRPr="00592F2E">
        <w:rPr>
          <w:rFonts w:ascii="Verdana" w:eastAsia="Calibri" w:hAnsi="Verdana" w:cs="Arial"/>
          <w:b/>
          <w:bCs/>
          <w:sz w:val="21"/>
          <w:szCs w:val="21"/>
        </w:rPr>
        <w:t xml:space="preserve">39. </w:t>
      </w:r>
      <w:r w:rsidRPr="00592F2E">
        <w:rPr>
          <w:rFonts w:ascii="Verdana" w:eastAsia="Calibri" w:hAnsi="Verdana" w:cs="Arial"/>
          <w:sz w:val="21"/>
          <w:szCs w:val="21"/>
        </w:rPr>
        <w:t xml:space="preserve">La solidaridad por pasiva que se predica de los accionistas de la sociedad prometida legalmente constituida, contratista y parte en el </w:t>
      </w:r>
      <w:r w:rsidRPr="00592F2E">
        <w:rPr>
          <w:rFonts w:ascii="Verdana" w:eastAsia="Calibri" w:hAnsi="Verdana" w:cs="Arial"/>
          <w:sz w:val="21"/>
          <w:szCs w:val="21"/>
        </w:rPr>
        <w:lastRenderedPageBreak/>
        <w:t xml:space="preserve">contrato estatal, es garantía para asegurar su cumplimiento y no se contrapone a los atributos de la personalidad y los principios de autonomía y separación patrimonial que la ley reconoce a la persona jurídica legalmente constituida, menos aún, los desvirtúa, extingue o anula </w:t>
      </w:r>
      <w:r w:rsidRPr="00592F2E">
        <w:rPr>
          <w:rFonts w:ascii="Verdana" w:eastAsia="Calibri" w:hAnsi="Verdana" w:cs="Arial"/>
          <w:i/>
          <w:iCs/>
          <w:sz w:val="21"/>
          <w:szCs w:val="21"/>
        </w:rPr>
        <w:t>per se</w:t>
      </w:r>
      <w:r w:rsidRPr="00592F2E">
        <w:rPr>
          <w:rFonts w:ascii="Verdana" w:eastAsia="Calibri" w:hAnsi="Verdana" w:cs="Arial"/>
          <w:sz w:val="21"/>
          <w:szCs w:val="21"/>
        </w:rPr>
        <w:t>, por lo que los actos de la entidad contratante pueden estar dirigidos directa y únicamente al ente moral contratista y por ende, conforme a los atributos y principios enunciados, contra una persona distinta de los socios, con patrimonio propio y capacidad para defender sus intereses</w:t>
      </w:r>
      <w:r w:rsidRPr="00592F2E">
        <w:rPr>
          <w:rFonts w:ascii="Verdana" w:eastAsia="Calibri" w:hAnsi="Verdana" w:cs="Arial"/>
          <w:sz w:val="21"/>
          <w:szCs w:val="21"/>
          <w:vertAlign w:val="superscript"/>
        </w:rPr>
        <w:footnoteReference w:id="8"/>
      </w:r>
      <w:r w:rsidRPr="00592F2E">
        <w:rPr>
          <w:rFonts w:ascii="Verdana" w:eastAsia="Calibri" w:hAnsi="Verdana" w:cs="Arial"/>
          <w:sz w:val="21"/>
          <w:szCs w:val="21"/>
        </w:rPr>
        <w:t xml:space="preserve">. </w:t>
      </w:r>
    </w:p>
    <w:p w14:paraId="67276EA0" w14:textId="77777777" w:rsidR="00592F2E" w:rsidRPr="00592F2E" w:rsidRDefault="00592F2E" w:rsidP="00592F2E">
      <w:pPr>
        <w:spacing w:after="120" w:line="276" w:lineRule="auto"/>
        <w:jc w:val="both"/>
        <w:rPr>
          <w:rFonts w:ascii="Verdana" w:eastAsia="Calibri" w:hAnsi="Verdana" w:cs="Arial"/>
        </w:rPr>
      </w:pPr>
    </w:p>
    <w:p w14:paraId="6ECBDB1F" w14:textId="77777777" w:rsidR="00592F2E" w:rsidRPr="00592F2E" w:rsidRDefault="00592F2E" w:rsidP="00592F2E">
      <w:pPr>
        <w:spacing w:after="120" w:line="276" w:lineRule="auto"/>
        <w:jc w:val="both"/>
        <w:rPr>
          <w:rFonts w:ascii="Verdana" w:eastAsia="Calibri" w:hAnsi="Verdana" w:cs="Arial"/>
        </w:rPr>
      </w:pPr>
      <w:r w:rsidRPr="00592F2E">
        <w:rPr>
          <w:rFonts w:ascii="Verdana" w:eastAsia="Calibri" w:hAnsi="Verdana" w:cs="Arial"/>
        </w:rPr>
        <w:tab/>
        <w:t xml:space="preserve">Teniendo en cuenta lo expuesto, y a partir del marco normativo que rige el Sistema de Compras Públicas, así como las demás normas vigentes del ordenamiento jurídico, es posible que los diferentes proponentes se asocien mediante instituciones como la promesa de sociedad futura en los procesos de contratación, sin que exista una restricción o prohibición para ello. Por tanto, en procesos de contratación estatal, independiente del objeto, se posibilita que proponentes se asocien bajo esta institución, precisando que la responsabilidad y los efectos jurídicos de esta, serán las de los consorcios. </w:t>
      </w:r>
    </w:p>
    <w:p w14:paraId="1DA21CCA" w14:textId="77777777" w:rsidR="00592F2E" w:rsidRPr="00592F2E" w:rsidRDefault="00592F2E" w:rsidP="00592F2E">
      <w:pPr>
        <w:spacing w:after="120" w:line="276" w:lineRule="auto"/>
        <w:jc w:val="both"/>
        <w:rPr>
          <w:rFonts w:ascii="Verdana" w:eastAsia="Calibri" w:hAnsi="Verdana" w:cs="Arial"/>
        </w:rPr>
      </w:pPr>
    </w:p>
    <w:p w14:paraId="6F3733D7" w14:textId="77777777" w:rsidR="00592F2E" w:rsidRPr="00592F2E" w:rsidRDefault="00592F2E" w:rsidP="00592F2E">
      <w:pPr>
        <w:spacing w:after="120" w:line="276" w:lineRule="auto"/>
        <w:jc w:val="both"/>
        <w:rPr>
          <w:rFonts w:ascii="Verdana" w:hAnsi="Verdana"/>
        </w:rPr>
      </w:pPr>
      <w:r w:rsidRPr="00592F2E">
        <w:rPr>
          <w:rFonts w:ascii="Verdana" w:eastAsia="Calibri" w:hAnsi="Verdana" w:cs="Arial"/>
          <w:bCs/>
          <w:iCs/>
          <w:lang w:val="es-ES" w:eastAsia="es-ES_tradnl"/>
        </w:rPr>
        <w:t xml:space="preserve">iii. </w:t>
      </w:r>
      <w:r w:rsidRPr="00592F2E">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3CCC3BB" w14:textId="77777777" w:rsidR="00592F2E" w:rsidRPr="00592F2E" w:rsidRDefault="00592F2E" w:rsidP="00592F2E">
      <w:pPr>
        <w:spacing w:after="0" w:line="276" w:lineRule="auto"/>
        <w:ind w:firstLine="708"/>
        <w:jc w:val="both"/>
        <w:rPr>
          <w:rFonts w:ascii="Verdana" w:eastAsia="Calibri" w:hAnsi="Verdana" w:cs="Arial"/>
          <w:bCs/>
          <w:color w:val="000000" w:themeColor="text1"/>
        </w:rPr>
      </w:pPr>
      <w:r w:rsidRPr="00592F2E">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w:t>
      </w:r>
      <w:r w:rsidRPr="00592F2E">
        <w:rPr>
          <w:rFonts w:ascii="Verdana" w:eastAsia="Calibri" w:hAnsi="Verdana" w:cs="Arial"/>
          <w:bCs/>
          <w:color w:val="000000" w:themeColor="text1"/>
        </w:rPr>
        <w:lastRenderedPageBreak/>
        <w:t xml:space="preserve">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517DA3E4" w14:textId="77777777" w:rsidR="00592F2E" w:rsidRPr="00592F2E" w:rsidRDefault="00592F2E" w:rsidP="00592F2E">
      <w:pPr>
        <w:spacing w:after="0" w:line="276" w:lineRule="auto"/>
        <w:jc w:val="both"/>
        <w:rPr>
          <w:rFonts w:ascii="Verdana" w:eastAsia="Calibri" w:hAnsi="Verdana" w:cs="Arial"/>
        </w:rPr>
      </w:pPr>
    </w:p>
    <w:p w14:paraId="5C053C31" w14:textId="77777777" w:rsidR="00592F2E" w:rsidRPr="00592F2E" w:rsidRDefault="00592F2E" w:rsidP="00592F2E">
      <w:pPr>
        <w:numPr>
          <w:ilvl w:val="0"/>
          <w:numId w:val="1"/>
        </w:numPr>
        <w:tabs>
          <w:tab w:val="left" w:pos="142"/>
          <w:tab w:val="left" w:pos="284"/>
        </w:tabs>
        <w:spacing w:after="0" w:line="276" w:lineRule="auto"/>
        <w:jc w:val="both"/>
        <w:rPr>
          <w:rFonts w:ascii="Verdana" w:eastAsia="Century Gothic" w:hAnsi="Verdana" w:cs="Century Gothic"/>
          <w:b/>
          <w:bCs/>
        </w:rPr>
      </w:pPr>
      <w:r w:rsidRPr="00592F2E">
        <w:rPr>
          <w:rFonts w:ascii="Verdana" w:eastAsia="Century Gothic" w:hAnsi="Verdana" w:cs="Century Gothic"/>
          <w:b/>
          <w:bCs/>
        </w:rPr>
        <w:t>Referencias normativas y jurisprudenciales y otras fuentes:</w:t>
      </w:r>
    </w:p>
    <w:p w14:paraId="4FE2FFE3" w14:textId="77777777" w:rsidR="00592F2E" w:rsidRPr="00592F2E" w:rsidRDefault="00592F2E" w:rsidP="00592F2E">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92F2E" w:rsidRPr="00592F2E" w14:paraId="141BD7FD" w14:textId="77777777" w:rsidTr="006F39F8">
        <w:trPr>
          <w:trHeight w:val="566"/>
          <w:jc w:val="center"/>
        </w:trPr>
        <w:tc>
          <w:tcPr>
            <w:tcW w:w="8647" w:type="dxa"/>
          </w:tcPr>
          <w:p w14:paraId="527F8A5F" w14:textId="77777777" w:rsidR="00592F2E" w:rsidRPr="00592F2E" w:rsidRDefault="00592F2E" w:rsidP="00592F2E">
            <w:pPr>
              <w:widowControl w:val="0"/>
              <w:numPr>
                <w:ilvl w:val="0"/>
                <w:numId w:val="3"/>
              </w:numPr>
              <w:autoSpaceDE w:val="0"/>
              <w:autoSpaceDN w:val="0"/>
              <w:spacing w:before="120" w:after="120" w:line="276" w:lineRule="auto"/>
              <w:ind w:left="318" w:hanging="284"/>
              <w:jc w:val="both"/>
              <w:rPr>
                <w:rFonts w:ascii="Verdana" w:hAnsi="Verdana" w:cs="Arial"/>
                <w:lang w:val="es-MX"/>
              </w:rPr>
            </w:pPr>
            <w:r w:rsidRPr="00592F2E">
              <w:rPr>
                <w:rFonts w:ascii="Verdana" w:hAnsi="Verdana" w:cs="Arial"/>
                <w:lang w:val="es-MX"/>
              </w:rPr>
              <w:t xml:space="preserve">Código de Comercio, artículos 110, 119 y 861. </w:t>
            </w:r>
          </w:p>
          <w:p w14:paraId="01EC2F5D" w14:textId="77777777" w:rsidR="00592F2E" w:rsidRPr="00592F2E" w:rsidRDefault="00592F2E" w:rsidP="00592F2E">
            <w:pPr>
              <w:widowControl w:val="0"/>
              <w:numPr>
                <w:ilvl w:val="0"/>
                <w:numId w:val="3"/>
              </w:numPr>
              <w:autoSpaceDE w:val="0"/>
              <w:autoSpaceDN w:val="0"/>
              <w:spacing w:before="120" w:after="120" w:line="276" w:lineRule="auto"/>
              <w:ind w:left="318" w:hanging="284"/>
              <w:jc w:val="both"/>
              <w:rPr>
                <w:rFonts w:ascii="Verdana" w:hAnsi="Verdana" w:cs="Arial"/>
                <w:lang w:val="es-MX"/>
              </w:rPr>
            </w:pPr>
            <w:r w:rsidRPr="00592F2E">
              <w:rPr>
                <w:rFonts w:ascii="Verdana" w:hAnsi="Verdana" w:cs="Arial"/>
                <w:lang w:val="es-MX"/>
              </w:rPr>
              <w:t>Ley 80 de 1993, artículos 6 y 7.</w:t>
            </w:r>
          </w:p>
          <w:p w14:paraId="5CE1B5E3" w14:textId="77777777" w:rsidR="00592F2E" w:rsidRPr="00592F2E" w:rsidRDefault="00592F2E" w:rsidP="00592F2E">
            <w:pPr>
              <w:widowControl w:val="0"/>
              <w:numPr>
                <w:ilvl w:val="0"/>
                <w:numId w:val="3"/>
              </w:numPr>
              <w:autoSpaceDE w:val="0"/>
              <w:autoSpaceDN w:val="0"/>
              <w:spacing w:before="120" w:after="120" w:line="276" w:lineRule="auto"/>
              <w:ind w:left="318" w:hanging="284"/>
              <w:jc w:val="both"/>
              <w:rPr>
                <w:rFonts w:ascii="Verdana" w:hAnsi="Verdana" w:cs="Arial"/>
                <w:sz w:val="24"/>
                <w:lang w:val="es-MX"/>
              </w:rPr>
            </w:pPr>
            <w:r w:rsidRPr="00592F2E">
              <w:rPr>
                <w:rFonts w:ascii="Verdana" w:eastAsia="Calibri" w:hAnsi="Verdana" w:cs="Arial"/>
                <w:lang w:val="es-ES"/>
              </w:rPr>
              <w:t>Decreto 1082 de 2015, artículos</w:t>
            </w:r>
            <w:r w:rsidRPr="00592F2E">
              <w:rPr>
                <w:rFonts w:ascii="Verdana" w:eastAsia="Calibri" w:hAnsi="Verdana" w:cs="Arial"/>
              </w:rPr>
              <w:t xml:space="preserve"> 2.2.1.2.3.1.4. y </w:t>
            </w:r>
            <w:r w:rsidRPr="00592F2E">
              <w:rPr>
                <w:rFonts w:ascii="Verdana" w:eastAsia="Calibri" w:hAnsi="Verdana" w:cs="Arial"/>
                <w:bCs/>
                <w:iCs/>
              </w:rPr>
              <w:t>2.2.1.2.4.2.6.</w:t>
            </w:r>
          </w:p>
          <w:p w14:paraId="5A0B9AA9" w14:textId="77777777" w:rsidR="00592F2E" w:rsidRPr="00592F2E" w:rsidRDefault="00592F2E" w:rsidP="00592F2E">
            <w:pPr>
              <w:widowControl w:val="0"/>
              <w:numPr>
                <w:ilvl w:val="0"/>
                <w:numId w:val="3"/>
              </w:numPr>
              <w:autoSpaceDE w:val="0"/>
              <w:autoSpaceDN w:val="0"/>
              <w:spacing w:before="120" w:after="120" w:line="276" w:lineRule="auto"/>
              <w:ind w:left="318" w:hanging="284"/>
              <w:jc w:val="both"/>
              <w:rPr>
                <w:rFonts w:ascii="Verdana" w:hAnsi="Verdana" w:cs="Arial"/>
                <w:lang w:val="es-MX"/>
              </w:rPr>
            </w:pPr>
            <w:r w:rsidRPr="00592F2E">
              <w:rPr>
                <w:rFonts w:ascii="Verdana" w:hAnsi="Verdana"/>
              </w:rPr>
              <w:t xml:space="preserve">Corte Constitucional. Sentencia C-949 del 5 de septiembre de 2001. M.P. Clara Inés Vargas Hernández.  </w:t>
            </w:r>
          </w:p>
          <w:p w14:paraId="0A392408" w14:textId="77777777" w:rsidR="00592F2E" w:rsidRPr="00592F2E" w:rsidRDefault="00592F2E" w:rsidP="00592F2E">
            <w:pPr>
              <w:widowControl w:val="0"/>
              <w:numPr>
                <w:ilvl w:val="0"/>
                <w:numId w:val="3"/>
              </w:numPr>
              <w:autoSpaceDE w:val="0"/>
              <w:autoSpaceDN w:val="0"/>
              <w:spacing w:before="120" w:after="120" w:line="276" w:lineRule="auto"/>
              <w:ind w:left="318" w:hanging="284"/>
              <w:jc w:val="both"/>
              <w:rPr>
                <w:rFonts w:ascii="Verdana" w:hAnsi="Verdana" w:cs="Arial"/>
                <w:lang w:val="es-MX"/>
              </w:rPr>
            </w:pPr>
            <w:r w:rsidRPr="00592F2E">
              <w:rPr>
                <w:rFonts w:ascii="Verdana" w:hAnsi="Verdana" w:cs="Arial"/>
                <w:lang w:val="es-MX"/>
              </w:rPr>
              <w:t xml:space="preserve">Consejo de Estado. Sección Tercera, Subsección B. Sentencia del 19 de junio de 2009. C.P. Ruth Stella Correa Palacios. </w:t>
            </w:r>
            <w:r w:rsidRPr="00592F2E">
              <w:rPr>
                <w:rFonts w:ascii="Verdana" w:hAnsi="Verdana" w:cs="Arial"/>
              </w:rPr>
              <w:t>Exp. 19001-23-31-000-2005-00005-01 AP.</w:t>
            </w:r>
          </w:p>
          <w:p w14:paraId="4D280A31" w14:textId="77777777" w:rsidR="00592F2E" w:rsidRPr="00592F2E" w:rsidRDefault="00592F2E" w:rsidP="00592F2E">
            <w:pPr>
              <w:widowControl w:val="0"/>
              <w:numPr>
                <w:ilvl w:val="0"/>
                <w:numId w:val="3"/>
              </w:numPr>
              <w:autoSpaceDE w:val="0"/>
              <w:autoSpaceDN w:val="0"/>
              <w:spacing w:before="120" w:after="120" w:line="276" w:lineRule="auto"/>
              <w:ind w:left="318" w:hanging="284"/>
              <w:jc w:val="both"/>
              <w:rPr>
                <w:rFonts w:ascii="Verdana" w:hAnsi="Verdana" w:cs="Arial"/>
                <w:lang w:val="es-MX"/>
              </w:rPr>
            </w:pPr>
            <w:r w:rsidRPr="00592F2E">
              <w:rPr>
                <w:rFonts w:ascii="Verdana" w:hAnsi="Verdana" w:cs="Arial"/>
              </w:rPr>
              <w:t>Consejo de Estado. Sección Tercera, Subsección A. Sentencia del 13 de septiembre de 2024. C.P. José Roberto Sáchica Méndez. Exp. 68.632.</w:t>
            </w:r>
          </w:p>
        </w:tc>
      </w:tr>
    </w:tbl>
    <w:p w14:paraId="0B39C4C1" w14:textId="77777777" w:rsidR="00592F2E" w:rsidRPr="00592F2E" w:rsidRDefault="00592F2E" w:rsidP="00592F2E">
      <w:pPr>
        <w:widowControl w:val="0"/>
        <w:autoSpaceDE w:val="0"/>
        <w:autoSpaceDN w:val="0"/>
        <w:spacing w:after="0" w:line="276" w:lineRule="auto"/>
        <w:jc w:val="both"/>
        <w:rPr>
          <w:rFonts w:ascii="Verdana" w:hAnsi="Verdana" w:cs="Arial"/>
        </w:rPr>
      </w:pPr>
    </w:p>
    <w:p w14:paraId="423DCA4C" w14:textId="77777777" w:rsidR="00592F2E" w:rsidRPr="00592F2E" w:rsidRDefault="00592F2E" w:rsidP="00592F2E">
      <w:pPr>
        <w:numPr>
          <w:ilvl w:val="0"/>
          <w:numId w:val="1"/>
        </w:numPr>
        <w:tabs>
          <w:tab w:val="left" w:pos="142"/>
          <w:tab w:val="left" w:pos="284"/>
        </w:tabs>
        <w:spacing w:after="0" w:line="276" w:lineRule="auto"/>
        <w:jc w:val="both"/>
        <w:rPr>
          <w:rFonts w:ascii="Verdana" w:eastAsia="Century Gothic" w:hAnsi="Verdana" w:cs="Century Gothic"/>
          <w:b/>
          <w:bCs/>
        </w:rPr>
      </w:pPr>
      <w:r w:rsidRPr="00592F2E">
        <w:rPr>
          <w:rFonts w:ascii="Verdana" w:eastAsia="Century Gothic" w:hAnsi="Verdana" w:cs="Century Gothic"/>
          <w:b/>
          <w:bCs/>
        </w:rPr>
        <w:t>Doctrina de la Agencia Nacional de Contratación Pública:</w:t>
      </w:r>
    </w:p>
    <w:p w14:paraId="5786A990" w14:textId="77777777" w:rsidR="00592F2E" w:rsidRPr="00592F2E" w:rsidRDefault="00592F2E" w:rsidP="00592F2E">
      <w:pPr>
        <w:widowControl w:val="0"/>
        <w:autoSpaceDE w:val="0"/>
        <w:autoSpaceDN w:val="0"/>
        <w:spacing w:after="0" w:line="276" w:lineRule="auto"/>
        <w:jc w:val="both"/>
        <w:rPr>
          <w:rFonts w:ascii="Verdana" w:hAnsi="Verdana" w:cs="Arial"/>
        </w:rPr>
      </w:pPr>
    </w:p>
    <w:p w14:paraId="6423DEFD" w14:textId="77777777" w:rsidR="00592F2E" w:rsidRPr="00592F2E" w:rsidRDefault="00592F2E" w:rsidP="00592F2E">
      <w:pPr>
        <w:widowControl w:val="0"/>
        <w:autoSpaceDE w:val="0"/>
        <w:autoSpaceDN w:val="0"/>
        <w:spacing w:after="0" w:line="276" w:lineRule="auto"/>
        <w:jc w:val="both"/>
        <w:rPr>
          <w:rFonts w:ascii="Verdana" w:hAnsi="Verdana" w:cs="Arial"/>
          <w:bCs/>
          <w:shd w:val="clear" w:color="auto" w:fill="FFFFFF"/>
        </w:rPr>
      </w:pPr>
      <w:r w:rsidRPr="00592F2E">
        <w:rPr>
          <w:rFonts w:ascii="Verdana" w:hAnsi="Verdana" w:cs="Arial"/>
          <w:shd w:val="clear" w:color="auto" w:fill="FFFFFF"/>
          <w:lang w:val="es-ES"/>
        </w:rPr>
        <w:t xml:space="preserve">Sobre la </w:t>
      </w:r>
      <w:r w:rsidRPr="00592F2E">
        <w:rPr>
          <w:rFonts w:ascii="Verdana" w:hAnsi="Verdana" w:cs="Arial"/>
          <w:color w:val="000000" w:themeColor="text1"/>
        </w:rPr>
        <w:t xml:space="preserve">la posibilidad de que los proponentes plurales puedan </w:t>
      </w:r>
      <w:r w:rsidRPr="00592F2E">
        <w:rPr>
          <w:rFonts w:ascii="Verdana" w:eastAsia="Century Gothic" w:hAnsi="Verdana" w:cs="Century Gothic"/>
        </w:rPr>
        <w:t>participar en varios procesos de contratación pública</w:t>
      </w:r>
      <w:r w:rsidRPr="00592F2E">
        <w:rPr>
          <w:rFonts w:ascii="Verdana" w:hAnsi="Verdana" w:cs="Arial"/>
          <w:shd w:val="clear" w:color="auto" w:fill="FFFFFF"/>
          <w:lang w:val="es-ES"/>
        </w:rPr>
        <w:t xml:space="preserve"> esta Subdirección se ha pronunciado</w:t>
      </w:r>
      <w:r w:rsidRPr="00592F2E">
        <w:rPr>
          <w:rFonts w:ascii="Verdana" w:hAnsi="Verdana" w:cs="Arial"/>
          <w:szCs w:val="24"/>
          <w:lang w:eastAsia="es-ES_tradnl"/>
        </w:rPr>
        <w:t xml:space="preserve"> en los conceptos </w:t>
      </w:r>
      <w:r w:rsidRPr="00592F2E">
        <w:rPr>
          <w:rFonts w:ascii="Verdana" w:hAnsi="Verdana" w:cs="Arial"/>
          <w:color w:val="000000" w:themeColor="text1"/>
        </w:rPr>
        <w:t xml:space="preserve">C-727 del 28 de octubre de 2024, C-016 del 11 de febrero de 2025, C-046 del 30 de enero de 2025, C-226 del 26 de marzo de 2025 y C-295 del 15 de abril de 2025, CU-636 del 2 de julio de 2025 y C-938 del 23 de agosto de 2025. En torno a “Promesas de Sociedad Futura” se expide </w:t>
      </w:r>
      <w:r w:rsidRPr="00592F2E">
        <w:rPr>
          <w:rFonts w:ascii="Verdana" w:hAnsi="Verdana" w:cs="Arial"/>
          <w:color w:val="000000" w:themeColor="text1"/>
          <w:lang w:val="es-ES"/>
        </w:rPr>
        <w:t xml:space="preserve">este concepto que expone las características y análisis de la “Promesas de Sociedad Futura” en los procesos de contratación pública. </w:t>
      </w:r>
      <w:r w:rsidRPr="00592F2E">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4F2E7C68" w14:textId="77777777" w:rsidR="00592F2E" w:rsidRPr="00592F2E" w:rsidRDefault="00592F2E" w:rsidP="00592F2E">
      <w:pPr>
        <w:spacing w:after="0" w:line="256" w:lineRule="auto"/>
        <w:jc w:val="both"/>
        <w:rPr>
          <w:rFonts w:ascii="Verdana" w:eastAsia="Calibri" w:hAnsi="Verdana" w:cs="Times New Roman"/>
        </w:rPr>
      </w:pPr>
      <w:hyperlink r:id="rId13" w:history="1">
        <w:r w:rsidRPr="00592F2E">
          <w:rPr>
            <w:rFonts w:ascii="Verdana" w:hAnsi="Verdana"/>
            <w:color w:val="0000FF"/>
            <w:u w:val="single"/>
          </w:rPr>
          <w:t>https://www.colombiacompra.gov.co/normativa-y-relatoria/conoce-la-relatoria</w:t>
        </w:r>
      </w:hyperlink>
      <w:r w:rsidRPr="00592F2E">
        <w:rPr>
          <w:rFonts w:ascii="Verdana" w:hAnsi="Verdana"/>
        </w:rPr>
        <w:t xml:space="preserve"> </w:t>
      </w:r>
    </w:p>
    <w:p w14:paraId="45677C38" w14:textId="77777777" w:rsidR="00592F2E" w:rsidRPr="00592F2E" w:rsidRDefault="00592F2E" w:rsidP="00592F2E">
      <w:pPr>
        <w:spacing w:after="0" w:line="256" w:lineRule="auto"/>
        <w:jc w:val="both"/>
        <w:rPr>
          <w:rFonts w:ascii="Verdana" w:eastAsia="Calibri" w:hAnsi="Verdana" w:cs="Times New Roman"/>
        </w:rPr>
      </w:pPr>
      <w:r w:rsidRPr="00592F2E">
        <w:rPr>
          <w:rFonts w:ascii="Verdana" w:eastAsia="Calibri" w:hAnsi="Verdana" w:cs="Times New Roman"/>
        </w:rPr>
        <w:lastRenderedPageBreak/>
        <w:br/>
        <w:t xml:space="preserve">Te informamos que ya se encuentra disponible la </w:t>
      </w:r>
      <w:r w:rsidRPr="00592F2E">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592F2E">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Guía de lineamientos de transparencia y selección objetiva para el departamento de La Guajira – Objetivo sexto constitucional de la Sentencia T-302 del 2017". </w:t>
      </w:r>
    </w:p>
    <w:p w14:paraId="2E155366" w14:textId="77777777" w:rsidR="00592F2E" w:rsidRPr="00592F2E" w:rsidRDefault="00592F2E" w:rsidP="00592F2E">
      <w:pPr>
        <w:spacing w:after="0" w:line="240" w:lineRule="auto"/>
        <w:jc w:val="both"/>
        <w:rPr>
          <w:rFonts w:ascii="Verdana" w:hAnsi="Verdana"/>
        </w:rPr>
      </w:pPr>
    </w:p>
    <w:p w14:paraId="032D4ED8" w14:textId="77777777" w:rsidR="00592F2E" w:rsidRPr="00592F2E" w:rsidRDefault="00592F2E" w:rsidP="00592F2E">
      <w:pPr>
        <w:spacing w:after="0" w:line="256" w:lineRule="auto"/>
        <w:jc w:val="both"/>
        <w:rPr>
          <w:rFonts w:ascii="Verdana" w:eastAsia="Calibri" w:hAnsi="Verdana" w:cs="Times New Roman"/>
          <w:bCs/>
          <w:lang w:val="es-ES_tradnl"/>
        </w:rPr>
      </w:pPr>
      <w:r w:rsidRPr="00592F2E">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C365F53" w14:textId="77777777" w:rsidR="00592F2E" w:rsidRPr="00592F2E" w:rsidRDefault="00592F2E" w:rsidP="00592F2E">
      <w:pPr>
        <w:widowControl w:val="0"/>
        <w:autoSpaceDE w:val="0"/>
        <w:autoSpaceDN w:val="0"/>
        <w:spacing w:after="0" w:line="276" w:lineRule="auto"/>
        <w:jc w:val="both"/>
        <w:rPr>
          <w:rFonts w:ascii="Verdana" w:hAnsi="Verdana" w:cs="Arial"/>
        </w:rPr>
      </w:pPr>
    </w:p>
    <w:p w14:paraId="4CF3EF76" w14:textId="77777777" w:rsidR="00592F2E" w:rsidRPr="00592F2E" w:rsidRDefault="00592F2E" w:rsidP="00592F2E">
      <w:pPr>
        <w:spacing w:after="0" w:line="276" w:lineRule="auto"/>
        <w:rPr>
          <w:rFonts w:ascii="Verdana" w:hAnsi="Verdana" w:cs="Arial"/>
          <w:lang w:eastAsia="es-CO"/>
        </w:rPr>
      </w:pPr>
      <w:r w:rsidRPr="00592F2E">
        <w:rPr>
          <w:rFonts w:ascii="Verdana" w:eastAsia="Times New Roman" w:hAnsi="Verdana" w:cs="Arial"/>
          <w:lang w:eastAsia="es-CO"/>
        </w:rPr>
        <w:t>Atentamente,</w:t>
      </w:r>
      <w:r w:rsidRPr="00592F2E">
        <w:rPr>
          <w:rFonts w:ascii="Verdana" w:hAnsi="Verdana" w:cs="Arial"/>
          <w:lang w:eastAsia="es-CO"/>
        </w:rPr>
        <w:t xml:space="preserve"> </w:t>
      </w:r>
    </w:p>
    <w:p w14:paraId="45365975" w14:textId="77777777" w:rsidR="00592F2E" w:rsidRPr="00592F2E" w:rsidRDefault="00592F2E" w:rsidP="00592F2E">
      <w:pPr>
        <w:spacing w:after="0" w:line="240" w:lineRule="auto"/>
        <w:rPr>
          <w:rFonts w:ascii="Verdana" w:eastAsia="Geomanist Light" w:hAnsi="Verdana" w:cs="Arial"/>
          <w:color w:val="000000" w:themeColor="text1"/>
        </w:rPr>
      </w:pPr>
    </w:p>
    <w:p w14:paraId="5112C44E" w14:textId="2046E940" w:rsidR="00592F2E" w:rsidRPr="00592F2E" w:rsidRDefault="00EE5444" w:rsidP="00592F2E">
      <w:pPr>
        <w:spacing w:after="0" w:line="256" w:lineRule="auto"/>
        <w:jc w:val="center"/>
        <w:rPr>
          <w:rFonts w:ascii="Century Gothic" w:hAnsi="Century Gothic"/>
          <w:noProof/>
          <w:lang w:val="en-US"/>
        </w:rPr>
      </w:pPr>
      <w:r w:rsidRPr="002C3AD6">
        <w:rPr>
          <w:rFonts w:ascii="Century Gothic" w:hAnsi="Century Gothic"/>
          <w:noProof/>
          <w:lang w:val="en-US"/>
        </w:rPr>
        <w:drawing>
          <wp:inline distT="0" distB="0" distL="0" distR="0" wp14:anchorId="5B6EFDBC" wp14:editId="4C090C0F">
            <wp:extent cx="3279697" cy="1217463"/>
            <wp:effectExtent l="0" t="0" r="0" b="1905"/>
            <wp:docPr id="4"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312722" cy="1229722"/>
                    </a:xfrm>
                    <a:prstGeom prst="rect">
                      <a:avLst/>
                    </a:prstGeom>
                  </pic:spPr>
                </pic:pic>
              </a:graphicData>
            </a:graphic>
          </wp:inline>
        </w:drawing>
      </w:r>
    </w:p>
    <w:p w14:paraId="5801C644" w14:textId="77777777" w:rsidR="00592F2E" w:rsidRPr="00592F2E" w:rsidRDefault="00592F2E" w:rsidP="00592F2E">
      <w:pPr>
        <w:spacing w:after="0" w:line="256" w:lineRule="auto"/>
        <w:jc w:val="center"/>
        <w:rPr>
          <w:rFonts w:ascii="Century Gothic" w:hAnsi="Century Gothic"/>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592F2E" w:rsidRPr="00592F2E" w14:paraId="0D3F884B" w14:textId="77777777" w:rsidTr="006F39F8">
        <w:trPr>
          <w:trHeight w:val="409"/>
        </w:trPr>
        <w:tc>
          <w:tcPr>
            <w:tcW w:w="817" w:type="dxa"/>
            <w:tcBorders>
              <w:top w:val="nil"/>
              <w:left w:val="nil"/>
              <w:bottom w:val="nil"/>
              <w:right w:val="nil"/>
            </w:tcBorders>
            <w:vAlign w:val="center"/>
            <w:hideMark/>
          </w:tcPr>
          <w:p w14:paraId="5720080D" w14:textId="77777777" w:rsidR="00592F2E" w:rsidRPr="00592F2E" w:rsidRDefault="00592F2E" w:rsidP="00592F2E">
            <w:pPr>
              <w:spacing w:after="0" w:line="256" w:lineRule="auto"/>
              <w:rPr>
                <w:rFonts w:ascii="Verdana" w:eastAsia="Calibri" w:hAnsi="Verdana" w:cs="Times New Roman"/>
                <w:sz w:val="16"/>
                <w:szCs w:val="16"/>
              </w:rPr>
            </w:pPr>
            <w:r w:rsidRPr="00592F2E">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02E1C367" w14:textId="77777777" w:rsidR="00592F2E" w:rsidRPr="00592F2E" w:rsidRDefault="00592F2E" w:rsidP="00592F2E">
            <w:pPr>
              <w:spacing w:after="0" w:line="256" w:lineRule="auto"/>
              <w:rPr>
                <w:rFonts w:ascii="Verdana" w:eastAsia="Calibri" w:hAnsi="Verdana" w:cs="Times New Roman"/>
                <w:sz w:val="16"/>
                <w:szCs w:val="16"/>
              </w:rPr>
            </w:pPr>
            <w:r w:rsidRPr="00592F2E">
              <w:rPr>
                <w:rFonts w:ascii="Verdana" w:eastAsia="Calibri" w:hAnsi="Verdana" w:cs="Times New Roman"/>
                <w:sz w:val="16"/>
                <w:szCs w:val="16"/>
              </w:rPr>
              <w:t>José Luis Sánchez Cardona</w:t>
            </w:r>
          </w:p>
          <w:p w14:paraId="2A11F061" w14:textId="77777777" w:rsidR="00592F2E" w:rsidRPr="00592F2E" w:rsidRDefault="00592F2E" w:rsidP="00592F2E">
            <w:pPr>
              <w:spacing w:after="0" w:line="256" w:lineRule="auto"/>
              <w:rPr>
                <w:rFonts w:ascii="Verdana" w:eastAsia="Calibri" w:hAnsi="Verdana" w:cs="Times New Roman"/>
                <w:sz w:val="16"/>
                <w:szCs w:val="16"/>
              </w:rPr>
            </w:pPr>
            <w:r w:rsidRPr="00592F2E">
              <w:rPr>
                <w:rFonts w:ascii="Verdana" w:eastAsia="Calibri" w:hAnsi="Verdana" w:cs="Times New Roman"/>
                <w:sz w:val="16"/>
                <w:szCs w:val="16"/>
              </w:rPr>
              <w:t>Contratista de la Subdirección de Gestión Contractual</w:t>
            </w:r>
          </w:p>
        </w:tc>
      </w:tr>
      <w:tr w:rsidR="00592F2E" w:rsidRPr="00592F2E" w14:paraId="0BF37725" w14:textId="77777777" w:rsidTr="006F39F8">
        <w:trPr>
          <w:trHeight w:val="409"/>
        </w:trPr>
        <w:tc>
          <w:tcPr>
            <w:tcW w:w="817" w:type="dxa"/>
            <w:tcBorders>
              <w:top w:val="nil"/>
              <w:left w:val="nil"/>
              <w:bottom w:val="nil"/>
              <w:right w:val="nil"/>
            </w:tcBorders>
            <w:vAlign w:val="center"/>
            <w:hideMark/>
          </w:tcPr>
          <w:p w14:paraId="595C6190" w14:textId="77777777" w:rsidR="00592F2E" w:rsidRPr="00592F2E" w:rsidRDefault="00592F2E" w:rsidP="00592F2E">
            <w:pPr>
              <w:spacing w:after="0" w:line="256" w:lineRule="auto"/>
              <w:rPr>
                <w:rFonts w:ascii="Verdana" w:eastAsia="Calibri" w:hAnsi="Verdana" w:cs="Times New Roman"/>
                <w:sz w:val="16"/>
                <w:szCs w:val="16"/>
              </w:rPr>
            </w:pPr>
            <w:r w:rsidRPr="00592F2E">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4817B39E" w14:textId="77777777" w:rsidR="00592F2E" w:rsidRPr="00592F2E" w:rsidRDefault="00592F2E" w:rsidP="00592F2E">
            <w:pPr>
              <w:spacing w:after="0" w:line="256" w:lineRule="auto"/>
              <w:rPr>
                <w:rFonts w:ascii="Verdana" w:eastAsia="Calibri" w:hAnsi="Verdana" w:cs="Times New Roman"/>
                <w:sz w:val="16"/>
                <w:szCs w:val="16"/>
              </w:rPr>
            </w:pPr>
            <w:r w:rsidRPr="00592F2E">
              <w:rPr>
                <w:rFonts w:ascii="Verdana" w:eastAsia="Calibri" w:hAnsi="Verdana" w:cs="Times New Roman"/>
                <w:sz w:val="16"/>
                <w:szCs w:val="16"/>
              </w:rPr>
              <w:t>Alejandro Sarmiento Cantillo</w:t>
            </w:r>
          </w:p>
          <w:p w14:paraId="50529A3A" w14:textId="77777777" w:rsidR="00592F2E" w:rsidRPr="00592F2E" w:rsidRDefault="00592F2E" w:rsidP="00592F2E">
            <w:pPr>
              <w:spacing w:after="0" w:line="256" w:lineRule="auto"/>
              <w:rPr>
                <w:rFonts w:ascii="Verdana" w:eastAsia="Calibri" w:hAnsi="Verdana" w:cs="Times New Roman"/>
                <w:sz w:val="16"/>
                <w:szCs w:val="16"/>
              </w:rPr>
            </w:pPr>
            <w:r w:rsidRPr="00592F2E">
              <w:rPr>
                <w:rFonts w:ascii="Verdana" w:eastAsia="Calibri" w:hAnsi="Verdana" w:cs="Times New Roman"/>
                <w:sz w:val="16"/>
                <w:szCs w:val="16"/>
              </w:rPr>
              <w:t>Gestor T1-15 de la Subdirección de Gestión Contractual </w:t>
            </w:r>
          </w:p>
        </w:tc>
      </w:tr>
      <w:tr w:rsidR="00592F2E" w:rsidRPr="00592F2E" w14:paraId="449E4082" w14:textId="77777777" w:rsidTr="006F39F8">
        <w:trPr>
          <w:trHeight w:val="389"/>
        </w:trPr>
        <w:tc>
          <w:tcPr>
            <w:tcW w:w="817" w:type="dxa"/>
            <w:tcBorders>
              <w:top w:val="nil"/>
              <w:left w:val="nil"/>
              <w:bottom w:val="nil"/>
              <w:right w:val="nil"/>
            </w:tcBorders>
            <w:vAlign w:val="center"/>
            <w:hideMark/>
          </w:tcPr>
          <w:p w14:paraId="162E7247" w14:textId="77777777" w:rsidR="00592F2E" w:rsidRPr="00592F2E" w:rsidRDefault="00592F2E" w:rsidP="00592F2E">
            <w:pPr>
              <w:spacing w:after="0" w:line="256" w:lineRule="auto"/>
              <w:rPr>
                <w:rFonts w:ascii="Verdana" w:eastAsia="Calibri" w:hAnsi="Verdana" w:cs="Times New Roman"/>
                <w:sz w:val="16"/>
                <w:szCs w:val="16"/>
              </w:rPr>
            </w:pPr>
            <w:r w:rsidRPr="00592F2E">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0EE2CB3D" w14:textId="77777777" w:rsidR="00592F2E" w:rsidRPr="00592F2E" w:rsidRDefault="00592F2E" w:rsidP="00592F2E">
            <w:pPr>
              <w:spacing w:after="0" w:line="256" w:lineRule="auto"/>
              <w:rPr>
                <w:rFonts w:ascii="Verdana" w:eastAsia="Calibri" w:hAnsi="Verdana" w:cs="Times New Roman"/>
                <w:sz w:val="16"/>
                <w:szCs w:val="16"/>
              </w:rPr>
            </w:pPr>
            <w:r w:rsidRPr="00592F2E">
              <w:rPr>
                <w:rFonts w:ascii="Verdana" w:eastAsia="Calibri" w:hAnsi="Verdana" w:cs="Times New Roman"/>
                <w:sz w:val="16"/>
                <w:szCs w:val="16"/>
              </w:rPr>
              <w:t>Carolina Quintero Gacharná</w:t>
            </w:r>
          </w:p>
          <w:p w14:paraId="2D9B948A" w14:textId="77777777" w:rsidR="00592F2E" w:rsidRPr="00592F2E" w:rsidRDefault="00592F2E" w:rsidP="00592F2E">
            <w:pPr>
              <w:spacing w:after="0" w:line="256" w:lineRule="auto"/>
              <w:rPr>
                <w:rFonts w:ascii="Verdana" w:eastAsia="Calibri" w:hAnsi="Verdana" w:cs="Times New Roman"/>
                <w:sz w:val="16"/>
                <w:szCs w:val="16"/>
              </w:rPr>
            </w:pPr>
            <w:r w:rsidRPr="00592F2E">
              <w:rPr>
                <w:rFonts w:ascii="Verdana" w:eastAsia="Calibri" w:hAnsi="Verdana" w:cs="Times New Roman"/>
                <w:sz w:val="16"/>
                <w:szCs w:val="16"/>
              </w:rPr>
              <w:t>Subdirectora de Gestión Contractual ANCP – CCE</w:t>
            </w:r>
          </w:p>
        </w:tc>
      </w:tr>
      <w:bookmarkEnd w:id="0"/>
      <w:bookmarkEnd w:id="1"/>
    </w:tbl>
    <w:p w14:paraId="061D94EB" w14:textId="77777777" w:rsidR="00592F2E" w:rsidRPr="00592F2E" w:rsidRDefault="00592F2E" w:rsidP="00592F2E">
      <w:pPr>
        <w:spacing w:after="0"/>
        <w:rPr>
          <w:rFonts w:ascii="Verdana" w:hAnsi="Verdana"/>
        </w:rPr>
      </w:pPr>
    </w:p>
    <w:p w14:paraId="3518126D" w14:textId="77777777" w:rsidR="004E5C1D" w:rsidRPr="00592F2E" w:rsidRDefault="004E5C1D" w:rsidP="00592F2E"/>
    <w:sectPr w:rsidR="004E5C1D" w:rsidRPr="00592F2E" w:rsidSect="00C44B4C">
      <w:headerReference w:type="default" r:id="rId15"/>
      <w:footerReference w:type="default" r:id="rId16"/>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71F570" w14:textId="77777777" w:rsidR="00273BA7" w:rsidRPr="009B7987" w:rsidRDefault="00273BA7" w:rsidP="00B30448">
      <w:pPr>
        <w:spacing w:after="0" w:line="240" w:lineRule="auto"/>
      </w:pPr>
      <w:r w:rsidRPr="009B7987">
        <w:separator/>
      </w:r>
    </w:p>
  </w:endnote>
  <w:endnote w:type="continuationSeparator" w:id="0">
    <w:p w14:paraId="085A511D" w14:textId="77777777" w:rsidR="00273BA7" w:rsidRPr="009B7987" w:rsidRDefault="00273BA7" w:rsidP="00B30448">
      <w:pPr>
        <w:spacing w:after="0" w:line="240" w:lineRule="auto"/>
      </w:pPr>
      <w:r w:rsidRPr="009B7987">
        <w:continuationSeparator/>
      </w:r>
    </w:p>
  </w:endnote>
  <w:endnote w:type="continuationNotice" w:id="1">
    <w:p w14:paraId="21F9EE11" w14:textId="77777777" w:rsidR="00273BA7" w:rsidRPr="009B7987" w:rsidRDefault="00273BA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9C0E4" w14:textId="6CDEABD2" w:rsidR="00A81E50" w:rsidRPr="009B7987" w:rsidRDefault="00A81E50" w:rsidP="00A81E50">
    <w:pPr>
      <w:pBdr>
        <w:top w:val="single" w:sz="4" w:space="1" w:color="auto"/>
      </w:pBdr>
      <w:spacing w:after="0"/>
      <w:rPr>
        <w:rFonts w:ascii="Verdana" w:hAnsi="Verdana"/>
        <w:b/>
        <w:bCs/>
        <w:sz w:val="20"/>
        <w:szCs w:val="20"/>
      </w:rPr>
    </w:pPr>
    <w:r w:rsidRPr="009B7987">
      <w:rPr>
        <w:rFonts w:ascii="Verdana" w:hAnsi="Verdana"/>
        <w:b/>
        <w:bCs/>
        <w:sz w:val="20"/>
        <w:szCs w:val="20"/>
      </w:rPr>
      <w:t xml:space="preserve">Agencia Nacional de Contratación Pública                                              </w:t>
    </w:r>
    <w:r w:rsidRPr="009B7987">
      <w:rPr>
        <w:rFonts w:ascii="Verdana" w:eastAsiaTheme="majorEastAsia" w:hAnsi="Verdana" w:cstheme="majorBidi"/>
        <w:b/>
        <w:bCs/>
        <w:sz w:val="16"/>
        <w:szCs w:val="16"/>
      </w:rPr>
      <w:t xml:space="preserve">pág. </w:t>
    </w:r>
    <w:r w:rsidRPr="009B7987">
      <w:rPr>
        <w:rFonts w:ascii="Verdana" w:eastAsiaTheme="minorEastAsia" w:hAnsi="Verdana"/>
        <w:b/>
        <w:bCs/>
        <w:sz w:val="16"/>
        <w:szCs w:val="16"/>
      </w:rPr>
      <w:fldChar w:fldCharType="begin"/>
    </w:r>
    <w:r w:rsidRPr="009B7987">
      <w:rPr>
        <w:rFonts w:ascii="Verdana" w:hAnsi="Verdana"/>
        <w:b/>
        <w:bCs/>
        <w:sz w:val="16"/>
        <w:szCs w:val="16"/>
      </w:rPr>
      <w:instrText>PAGE    \* MERGEFORMAT</w:instrText>
    </w:r>
    <w:r w:rsidRPr="009B7987">
      <w:rPr>
        <w:rFonts w:ascii="Verdana" w:eastAsiaTheme="minorEastAsia" w:hAnsi="Verdana"/>
        <w:b/>
        <w:bCs/>
        <w:sz w:val="16"/>
        <w:szCs w:val="16"/>
      </w:rPr>
      <w:fldChar w:fldCharType="separate"/>
    </w:r>
    <w:r w:rsidR="00EE5444" w:rsidRPr="00EE5444">
      <w:rPr>
        <w:rFonts w:ascii="Verdana" w:eastAsiaTheme="minorEastAsia" w:hAnsi="Verdana"/>
        <w:b/>
        <w:bCs/>
        <w:noProof/>
        <w:sz w:val="16"/>
        <w:szCs w:val="16"/>
      </w:rPr>
      <w:t>15</w:t>
    </w:r>
    <w:r w:rsidRPr="009B7987">
      <w:rPr>
        <w:rFonts w:ascii="Verdana" w:eastAsiaTheme="majorEastAsia" w:hAnsi="Verdana" w:cstheme="majorBidi"/>
        <w:b/>
        <w:bCs/>
        <w:sz w:val="16"/>
        <w:szCs w:val="16"/>
      </w:rPr>
      <w:fldChar w:fldCharType="end"/>
    </w:r>
    <w:r w:rsidRPr="009B7987">
      <w:rPr>
        <w:rFonts w:ascii="Verdana" w:hAnsi="Verdana"/>
        <w:b/>
        <w:bCs/>
        <w:sz w:val="20"/>
        <w:szCs w:val="20"/>
      </w:rPr>
      <w:t xml:space="preserve">              Colombia Compra Eficiente                                                            </w:t>
    </w:r>
  </w:p>
  <w:p w14:paraId="4FC9CAA9"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Dirección: Carrera 7 # 26 – 20 - Bogotá, Colombia</w:t>
    </w:r>
  </w:p>
  <w:p w14:paraId="0B709B73"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Mesa de servicio: (+57) 601 7456788</w:t>
    </w:r>
  </w:p>
  <w:p w14:paraId="224AB27F" w14:textId="77777777" w:rsidR="00DD7A2C" w:rsidRPr="009B7987" w:rsidRDefault="00A81E50" w:rsidP="00C00976">
    <w:pPr>
      <w:pBdr>
        <w:top w:val="nil"/>
        <w:left w:val="nil"/>
        <w:bottom w:val="nil"/>
        <w:right w:val="nil"/>
        <w:between w:val="nil"/>
      </w:pBdr>
      <w:tabs>
        <w:tab w:val="center" w:pos="4419"/>
        <w:tab w:val="right" w:pos="8838"/>
        <w:tab w:val="center" w:pos="5400"/>
      </w:tabs>
      <w:spacing w:after="0"/>
      <w:rPr>
        <w:rFonts w:ascii="Verdana" w:hAnsi="Verdana"/>
        <w:sz w:val="20"/>
        <w:szCs w:val="20"/>
      </w:rPr>
    </w:pPr>
    <w:r w:rsidRPr="009B7987">
      <w:rPr>
        <w:rFonts w:ascii="Verdana" w:hAnsi="Verdana"/>
        <w:sz w:val="18"/>
        <w:szCs w:val="18"/>
      </w:rPr>
      <w:t>Atención al ciudadano: (+57) 601 7956600</w:t>
    </w:r>
    <w:r w:rsidRPr="009B7987">
      <w:rPr>
        <w:rFonts w:ascii="Verdana" w:hAnsi="Verdana"/>
        <w:sz w:val="20"/>
        <w:szCs w:val="20"/>
      </w:rPr>
      <w:t xml:space="preserve">         </w:t>
    </w:r>
  </w:p>
  <w:p w14:paraId="2B8DBB2A" w14:textId="26AE77D2" w:rsidR="00A81E50" w:rsidRPr="009B7987" w:rsidRDefault="00A81E50" w:rsidP="00DD7A2C">
    <w:pPr>
      <w:pBdr>
        <w:top w:val="nil"/>
        <w:left w:val="nil"/>
        <w:bottom w:val="nil"/>
        <w:right w:val="nil"/>
        <w:between w:val="nil"/>
      </w:pBdr>
      <w:tabs>
        <w:tab w:val="center" w:pos="4419"/>
        <w:tab w:val="right" w:pos="8838"/>
        <w:tab w:val="center" w:pos="5400"/>
      </w:tabs>
      <w:spacing w:after="0"/>
      <w:jc w:val="right"/>
    </w:pPr>
    <w:r w:rsidRPr="009B7987">
      <w:rPr>
        <w:rFonts w:ascii="Verdana" w:hAnsi="Verdana"/>
        <w:sz w:val="20"/>
        <w:szCs w:val="20"/>
      </w:rPr>
      <w:t xml:space="preserve"> </w:t>
    </w:r>
    <w:r w:rsidRPr="009B7987">
      <w:rPr>
        <w:rFonts w:ascii="Verdana" w:eastAsia="Geo" w:hAnsi="Verdana" w:cs="Geo"/>
        <w:bCs/>
        <w:color w:val="000000"/>
        <w:sz w:val="16"/>
        <w:szCs w:val="16"/>
        <w:lang w:eastAsia="es-CO"/>
      </w:rPr>
      <w:t>Código: CCE-REC-FM-13 Versión</w:t>
    </w:r>
    <w:r w:rsidRPr="009B7987">
      <w:rPr>
        <w:rFonts w:ascii="Verdana" w:eastAsia="Arial Nova" w:hAnsi="Verdana" w:cs="Arial Nova"/>
        <w:bCs/>
        <w:color w:val="000000"/>
        <w:sz w:val="16"/>
        <w:szCs w:val="16"/>
        <w:lang w:eastAsia="es-CO"/>
      </w:rPr>
      <w:t>:</w:t>
    </w:r>
    <w:r w:rsidRPr="009B7987">
      <w:rPr>
        <w:rFonts w:ascii="Verdana" w:eastAsia="Arial Nova" w:hAnsi="Verdana" w:cs="Arial Nova"/>
        <w:b/>
        <w:color w:val="000000"/>
        <w:sz w:val="16"/>
        <w:szCs w:val="16"/>
        <w:lang w:eastAsia="es-CO"/>
      </w:rPr>
      <w:t xml:space="preserve"> </w:t>
    </w:r>
    <w:r w:rsidRPr="009B7987">
      <w:rPr>
        <w:rFonts w:ascii="Verdana" w:eastAsia="Geo" w:hAnsi="Verdana" w:cs="Geo"/>
        <w:sz w:val="16"/>
        <w:szCs w:val="16"/>
        <w:lang w:eastAsia="es-CO"/>
      </w:rPr>
      <w:t>01 Fecha:15-06-2023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23CC33" w14:textId="77777777" w:rsidR="00273BA7" w:rsidRPr="009B7987" w:rsidRDefault="00273BA7" w:rsidP="00B30448">
      <w:pPr>
        <w:spacing w:after="0" w:line="240" w:lineRule="auto"/>
      </w:pPr>
      <w:r w:rsidRPr="009B7987">
        <w:separator/>
      </w:r>
    </w:p>
  </w:footnote>
  <w:footnote w:type="continuationSeparator" w:id="0">
    <w:p w14:paraId="4051A3DA" w14:textId="77777777" w:rsidR="00273BA7" w:rsidRPr="009B7987" w:rsidRDefault="00273BA7" w:rsidP="00B30448">
      <w:pPr>
        <w:spacing w:after="0" w:line="240" w:lineRule="auto"/>
      </w:pPr>
      <w:r w:rsidRPr="009B7987">
        <w:continuationSeparator/>
      </w:r>
    </w:p>
  </w:footnote>
  <w:footnote w:type="continuationNotice" w:id="1">
    <w:p w14:paraId="1E32DD8A" w14:textId="77777777" w:rsidR="00273BA7" w:rsidRPr="009B7987" w:rsidRDefault="00273BA7">
      <w:pPr>
        <w:spacing w:after="0" w:line="240" w:lineRule="auto"/>
      </w:pPr>
    </w:p>
  </w:footnote>
  <w:footnote w:id="2">
    <w:p w14:paraId="33A0CC87" w14:textId="77777777" w:rsidR="00592F2E" w:rsidRPr="001E453D" w:rsidRDefault="00592F2E" w:rsidP="00592F2E">
      <w:pPr>
        <w:pStyle w:val="Textonotapie"/>
        <w:ind w:firstLine="708"/>
        <w:jc w:val="both"/>
        <w:rPr>
          <w:rFonts w:ascii="Verdana" w:hAnsi="Verdana"/>
          <w:sz w:val="16"/>
          <w:szCs w:val="16"/>
          <w:lang w:val="es-ES"/>
        </w:rPr>
      </w:pPr>
      <w:r w:rsidRPr="001E453D">
        <w:rPr>
          <w:rStyle w:val="Refdenotaalpie"/>
          <w:rFonts w:ascii="Verdana" w:hAnsi="Verdana"/>
          <w:sz w:val="16"/>
          <w:szCs w:val="16"/>
        </w:rPr>
        <w:footnoteRef/>
      </w:r>
      <w:r w:rsidRPr="001E453D">
        <w:rPr>
          <w:rFonts w:ascii="Verdana" w:hAnsi="Verdana"/>
          <w:sz w:val="16"/>
          <w:szCs w:val="16"/>
        </w:rPr>
        <w:t xml:space="preserve"> CORTE CONSTITUCIONAL. Sentencia C-949 del 5 de septiembre de 2001. M.P. Clara Inés Vargas Hernández.  </w:t>
      </w:r>
    </w:p>
  </w:footnote>
  <w:footnote w:id="3">
    <w:p w14:paraId="3AD329D7" w14:textId="77777777" w:rsidR="00592F2E" w:rsidRPr="00CB5F7F" w:rsidRDefault="00592F2E" w:rsidP="00592F2E">
      <w:pPr>
        <w:pStyle w:val="Textonotapie"/>
        <w:ind w:firstLine="708"/>
        <w:jc w:val="both"/>
        <w:rPr>
          <w:rFonts w:ascii="Verdana" w:hAnsi="Verdana"/>
          <w:sz w:val="16"/>
          <w:szCs w:val="16"/>
        </w:rPr>
      </w:pPr>
      <w:r w:rsidRPr="00657A31">
        <w:rPr>
          <w:rStyle w:val="Refdenotaalpie"/>
          <w:rFonts w:ascii="Verdana" w:hAnsi="Verdana"/>
          <w:sz w:val="16"/>
          <w:szCs w:val="16"/>
        </w:rPr>
        <w:footnoteRef/>
      </w:r>
      <w:r w:rsidRPr="00657A31">
        <w:rPr>
          <w:rFonts w:ascii="Verdana" w:hAnsi="Verdana"/>
          <w:sz w:val="16"/>
          <w:szCs w:val="16"/>
        </w:rPr>
        <w:t xml:space="preserve"> Agencia Nacional de Contratación Pública –Colombia Compra Eficiente. Guía de asuntos corporativos. Disponible en línea: </w:t>
      </w:r>
      <w:hyperlink r:id="rId1" w:history="1">
        <w:r w:rsidRPr="00657A31">
          <w:rPr>
            <w:rStyle w:val="Hipervnculo"/>
            <w:rFonts w:ascii="Verdana" w:hAnsi="Verdana"/>
            <w:sz w:val="16"/>
            <w:szCs w:val="16"/>
          </w:rPr>
          <w:t>https://operaciones.colombiacompra.gov.co/manuales-guias-y-pliegos-tipo/manuales-y-guias/guia-de-asuntos-corporativos-en-procesos-de</w:t>
        </w:r>
      </w:hyperlink>
      <w:r w:rsidRPr="00657A31">
        <w:rPr>
          <w:rFonts w:ascii="Verdana" w:hAnsi="Verdana"/>
          <w:sz w:val="16"/>
          <w:szCs w:val="16"/>
        </w:rPr>
        <w:t xml:space="preserve">. 2018. pp. 9-10. </w:t>
      </w:r>
    </w:p>
  </w:footnote>
  <w:footnote w:id="4">
    <w:p w14:paraId="51F8EBEE" w14:textId="77777777" w:rsidR="00592F2E" w:rsidRPr="00CB5F7F" w:rsidRDefault="00592F2E" w:rsidP="00592F2E">
      <w:pPr>
        <w:pStyle w:val="Textonotapie"/>
        <w:ind w:firstLine="708"/>
        <w:jc w:val="both"/>
        <w:rPr>
          <w:rFonts w:ascii="Verdana" w:hAnsi="Verdana"/>
          <w:sz w:val="16"/>
          <w:szCs w:val="16"/>
          <w:lang w:val="es-CO"/>
        </w:rPr>
      </w:pPr>
      <w:r w:rsidRPr="00657A31">
        <w:rPr>
          <w:rStyle w:val="Refdenotaalpie"/>
          <w:rFonts w:ascii="Verdana" w:hAnsi="Verdana"/>
          <w:sz w:val="16"/>
          <w:szCs w:val="16"/>
        </w:rPr>
        <w:footnoteRef/>
      </w:r>
      <w:bookmarkStart w:id="5" w:name="861"/>
      <w:r w:rsidRPr="00657A31">
        <w:rPr>
          <w:rFonts w:ascii="Verdana" w:hAnsi="Verdana"/>
          <w:b/>
          <w:bCs/>
          <w:sz w:val="16"/>
          <w:szCs w:val="16"/>
          <w:lang w:val="es-CO"/>
        </w:rPr>
        <w:t xml:space="preserve"> </w:t>
      </w:r>
      <w:r w:rsidRPr="00657A31">
        <w:rPr>
          <w:rFonts w:ascii="Verdana" w:hAnsi="Verdana"/>
          <w:bCs/>
          <w:sz w:val="16"/>
          <w:szCs w:val="16"/>
          <w:lang w:val="es-CO"/>
        </w:rPr>
        <w:t>Artículo 861. &lt;Promesa de Celebrar Contrato&gt;.</w:t>
      </w:r>
      <w:bookmarkEnd w:id="5"/>
      <w:r w:rsidRPr="00657A31">
        <w:rPr>
          <w:rFonts w:ascii="Verdana" w:hAnsi="Verdana"/>
          <w:sz w:val="16"/>
          <w:szCs w:val="16"/>
          <w:lang w:val="es-CO"/>
        </w:rPr>
        <w:t> La promesa de celebrar un negocio producirá obligación de hacer. La celebración del contrato prometido se someterá a las reglas y formalidades del caso.</w:t>
      </w:r>
    </w:p>
  </w:footnote>
  <w:footnote w:id="5">
    <w:p w14:paraId="557FE699" w14:textId="77777777" w:rsidR="00592F2E" w:rsidRPr="00657A31" w:rsidRDefault="00592F2E" w:rsidP="00592F2E">
      <w:pPr>
        <w:pStyle w:val="Textonotapie"/>
        <w:ind w:firstLine="708"/>
        <w:jc w:val="both"/>
        <w:rPr>
          <w:rFonts w:ascii="Verdana" w:hAnsi="Verdana"/>
          <w:sz w:val="16"/>
          <w:szCs w:val="16"/>
          <w:lang w:val="es-CO"/>
        </w:rPr>
      </w:pPr>
      <w:r w:rsidRPr="00657A31">
        <w:rPr>
          <w:rStyle w:val="Refdenotaalpie"/>
          <w:rFonts w:ascii="Verdana" w:hAnsi="Verdana"/>
          <w:sz w:val="16"/>
          <w:szCs w:val="16"/>
        </w:rPr>
        <w:footnoteRef/>
      </w:r>
      <w:r w:rsidRPr="00657A31">
        <w:rPr>
          <w:rFonts w:ascii="Verdana" w:hAnsi="Verdana"/>
          <w:sz w:val="16"/>
          <w:szCs w:val="16"/>
        </w:rPr>
        <w:t xml:space="preserve"> </w:t>
      </w:r>
      <w:bookmarkStart w:id="6" w:name="119"/>
      <w:r w:rsidRPr="00657A31">
        <w:rPr>
          <w:rFonts w:ascii="Verdana" w:hAnsi="Verdana"/>
          <w:sz w:val="16"/>
          <w:szCs w:val="16"/>
        </w:rPr>
        <w:t>“</w:t>
      </w:r>
      <w:r w:rsidRPr="00657A31">
        <w:rPr>
          <w:rFonts w:ascii="Verdana" w:hAnsi="Verdana"/>
          <w:bCs/>
          <w:sz w:val="16"/>
          <w:szCs w:val="16"/>
          <w:lang w:val="es-CO"/>
        </w:rPr>
        <w:t>Artículo 119. &lt;Requisitos de la Promesa de Contrato de Sociedad</w:t>
      </w:r>
      <w:r w:rsidRPr="00657A31">
        <w:rPr>
          <w:rFonts w:ascii="Verdana" w:hAnsi="Verdana"/>
          <w:b/>
          <w:bCs/>
          <w:sz w:val="16"/>
          <w:szCs w:val="16"/>
          <w:lang w:val="es-CO"/>
        </w:rPr>
        <w:t>&gt;.</w:t>
      </w:r>
      <w:bookmarkEnd w:id="6"/>
      <w:r w:rsidRPr="00657A31">
        <w:rPr>
          <w:rFonts w:ascii="Verdana" w:hAnsi="Verdana"/>
          <w:sz w:val="16"/>
          <w:szCs w:val="16"/>
          <w:lang w:val="es-CO"/>
        </w:rPr>
        <w:t> La promesa de contrato de sociedad deberá hacerse por escrito, con las cláusulas que deban expresarse en el contrato, según lo previsto en el artículo </w:t>
      </w:r>
      <w:hyperlink r:id="rId2" w:anchor="110" w:history="1">
        <w:r w:rsidRPr="00657A31">
          <w:rPr>
            <w:rStyle w:val="Hipervnculo"/>
            <w:rFonts w:ascii="Verdana" w:hAnsi="Verdana"/>
            <w:sz w:val="16"/>
            <w:szCs w:val="16"/>
            <w:lang w:val="es-CO"/>
          </w:rPr>
          <w:t>110</w:t>
        </w:r>
      </w:hyperlink>
      <w:r w:rsidRPr="00657A31">
        <w:rPr>
          <w:rFonts w:ascii="Verdana" w:hAnsi="Verdana"/>
          <w:sz w:val="16"/>
          <w:szCs w:val="16"/>
          <w:lang w:val="es-CO"/>
        </w:rPr>
        <w:t>, y con indicación del término o condición que fije la fecha en que ha de constituirse la sociedad. La condición se tendrá por fallida si tardare más de dos años en cumplirse.</w:t>
      </w:r>
    </w:p>
    <w:p w14:paraId="26BE4CF5" w14:textId="77777777" w:rsidR="00592F2E" w:rsidRPr="00657A31" w:rsidRDefault="00592F2E" w:rsidP="00592F2E">
      <w:pPr>
        <w:pStyle w:val="Textonotapie"/>
        <w:ind w:firstLine="708"/>
        <w:jc w:val="both"/>
        <w:rPr>
          <w:rFonts w:ascii="Verdana" w:hAnsi="Verdana"/>
          <w:sz w:val="16"/>
          <w:szCs w:val="16"/>
          <w:lang w:val="es-CO"/>
        </w:rPr>
      </w:pPr>
      <w:r w:rsidRPr="00657A31">
        <w:rPr>
          <w:rFonts w:ascii="Verdana" w:hAnsi="Verdana"/>
          <w:sz w:val="16"/>
          <w:szCs w:val="16"/>
          <w:lang w:val="es-CO"/>
        </w:rPr>
        <w:t>Los promitentes responderán solidaria e ilimitadamente de las operaciones que celebren o ejecuten en desarrollo de los negocios de la sociedad prometida, antes de su constitución, cualquiera que sea la forma legal que se pacte para ella”.</w:t>
      </w:r>
    </w:p>
  </w:footnote>
  <w:footnote w:id="6">
    <w:p w14:paraId="6D9B1085" w14:textId="77777777" w:rsidR="00592F2E" w:rsidRPr="00657A31" w:rsidRDefault="00592F2E" w:rsidP="00592F2E">
      <w:pPr>
        <w:pStyle w:val="Textonotapie"/>
        <w:ind w:firstLine="708"/>
        <w:jc w:val="both"/>
        <w:rPr>
          <w:rFonts w:ascii="Verdana" w:hAnsi="Verdana"/>
          <w:sz w:val="16"/>
          <w:szCs w:val="16"/>
          <w:lang w:val="es-CO"/>
        </w:rPr>
      </w:pPr>
      <w:r w:rsidRPr="00657A31">
        <w:rPr>
          <w:rStyle w:val="Refdenotaalpie"/>
          <w:rFonts w:ascii="Verdana" w:hAnsi="Verdana"/>
          <w:sz w:val="16"/>
          <w:szCs w:val="16"/>
        </w:rPr>
        <w:footnoteRef/>
      </w:r>
      <w:r w:rsidRPr="00657A31">
        <w:rPr>
          <w:rStyle w:val="Refdenotaalpie"/>
          <w:rFonts w:ascii="Verdana" w:hAnsi="Verdana"/>
          <w:sz w:val="16"/>
          <w:szCs w:val="16"/>
        </w:rPr>
        <w:footnoteRef/>
      </w:r>
      <w:r w:rsidRPr="00657A31">
        <w:rPr>
          <w:rFonts w:ascii="Verdana" w:hAnsi="Verdana"/>
          <w:sz w:val="16"/>
          <w:szCs w:val="16"/>
        </w:rPr>
        <w:t xml:space="preserve"> </w:t>
      </w:r>
      <w:bookmarkStart w:id="7" w:name="110"/>
      <w:r w:rsidRPr="00657A31">
        <w:rPr>
          <w:rFonts w:ascii="Verdana" w:hAnsi="Verdana"/>
          <w:sz w:val="16"/>
          <w:szCs w:val="16"/>
        </w:rPr>
        <w:t>“</w:t>
      </w:r>
      <w:r w:rsidRPr="00657A31">
        <w:rPr>
          <w:rFonts w:ascii="Verdana" w:hAnsi="Verdana"/>
          <w:bCs/>
          <w:sz w:val="16"/>
          <w:szCs w:val="16"/>
          <w:lang w:val="es-CO"/>
        </w:rPr>
        <w:t>Artículo 110. &lt;Requisitos para la Constitución de una Sociedad&gt;.</w:t>
      </w:r>
      <w:bookmarkEnd w:id="7"/>
      <w:r w:rsidRPr="00657A31">
        <w:rPr>
          <w:rFonts w:ascii="Verdana" w:hAnsi="Verdana"/>
          <w:sz w:val="16"/>
          <w:szCs w:val="16"/>
          <w:lang w:val="es-CO"/>
        </w:rPr>
        <w:t> La sociedad comercial se constituirá por escritura pública en la cual se expresará:</w:t>
      </w:r>
    </w:p>
    <w:p w14:paraId="70D59D06" w14:textId="77777777" w:rsidR="00592F2E" w:rsidRPr="00657A31" w:rsidRDefault="00592F2E" w:rsidP="00592F2E">
      <w:pPr>
        <w:pStyle w:val="Textonotapie"/>
        <w:ind w:firstLine="708"/>
        <w:jc w:val="both"/>
        <w:rPr>
          <w:rFonts w:ascii="Verdana" w:hAnsi="Verdana"/>
          <w:sz w:val="16"/>
          <w:szCs w:val="16"/>
          <w:lang w:val="es-CO"/>
        </w:rPr>
      </w:pPr>
      <w:r w:rsidRPr="00657A31">
        <w:rPr>
          <w:rFonts w:ascii="Verdana" w:hAnsi="Verdana"/>
          <w:sz w:val="16"/>
          <w:szCs w:val="16"/>
          <w:lang w:val="es-CO"/>
        </w:rPr>
        <w:t>1) El nombre y domicilio de las personas que intervengan como otorgantes. Con el nombre de las personas naturales deberá indicarse su nacionalidad y documento de identificación legal; con el nombre de las personas jurídicas, la ley, decreto o escritura de que se deriva su existencia;</w:t>
      </w:r>
    </w:p>
    <w:p w14:paraId="4DF5DFCC" w14:textId="77777777" w:rsidR="00592F2E" w:rsidRPr="00657A31" w:rsidRDefault="00592F2E" w:rsidP="00592F2E">
      <w:pPr>
        <w:pStyle w:val="Textonotapie"/>
        <w:ind w:firstLine="708"/>
        <w:jc w:val="both"/>
        <w:rPr>
          <w:rFonts w:ascii="Verdana" w:hAnsi="Verdana"/>
          <w:sz w:val="16"/>
          <w:szCs w:val="16"/>
          <w:lang w:val="es-CO"/>
        </w:rPr>
      </w:pPr>
      <w:r w:rsidRPr="00657A31">
        <w:rPr>
          <w:rFonts w:ascii="Verdana" w:hAnsi="Verdana"/>
          <w:sz w:val="16"/>
          <w:szCs w:val="16"/>
          <w:lang w:val="es-CO"/>
        </w:rPr>
        <w:t xml:space="preserve">2) La clase o tipo de sociedad que se constituye y el nombre de </w:t>
      </w:r>
      <w:proofErr w:type="gramStart"/>
      <w:r w:rsidRPr="00657A31">
        <w:rPr>
          <w:rFonts w:ascii="Verdana" w:hAnsi="Verdana"/>
          <w:sz w:val="16"/>
          <w:szCs w:val="16"/>
          <w:lang w:val="es-CO"/>
        </w:rPr>
        <w:t>la misma</w:t>
      </w:r>
      <w:proofErr w:type="gramEnd"/>
      <w:r w:rsidRPr="00657A31">
        <w:rPr>
          <w:rFonts w:ascii="Verdana" w:hAnsi="Verdana"/>
          <w:sz w:val="16"/>
          <w:szCs w:val="16"/>
          <w:lang w:val="es-CO"/>
        </w:rPr>
        <w:t>, formado como se dispone en relación con cada uno de los tipos de sociedad que regula este Código;</w:t>
      </w:r>
    </w:p>
    <w:p w14:paraId="6C976F3F" w14:textId="77777777" w:rsidR="00592F2E" w:rsidRPr="00657A31" w:rsidRDefault="00592F2E" w:rsidP="00592F2E">
      <w:pPr>
        <w:pStyle w:val="Textonotapie"/>
        <w:ind w:firstLine="708"/>
        <w:jc w:val="both"/>
        <w:rPr>
          <w:rFonts w:ascii="Verdana" w:hAnsi="Verdana"/>
          <w:sz w:val="16"/>
          <w:szCs w:val="16"/>
          <w:lang w:val="es-CO"/>
        </w:rPr>
      </w:pPr>
      <w:r w:rsidRPr="00657A31">
        <w:rPr>
          <w:rFonts w:ascii="Verdana" w:hAnsi="Verdana"/>
          <w:sz w:val="16"/>
          <w:szCs w:val="16"/>
          <w:lang w:val="es-CO"/>
        </w:rPr>
        <w:t>3) El domicilio de la sociedad y el de las distintas sucursales que se establezcan en el mismo acto de constitución;</w:t>
      </w:r>
    </w:p>
    <w:p w14:paraId="0893B170" w14:textId="77777777" w:rsidR="00592F2E" w:rsidRPr="00657A31" w:rsidRDefault="00592F2E" w:rsidP="00592F2E">
      <w:pPr>
        <w:pStyle w:val="Textonotapie"/>
        <w:ind w:firstLine="708"/>
        <w:jc w:val="both"/>
        <w:rPr>
          <w:rFonts w:ascii="Verdana" w:hAnsi="Verdana"/>
          <w:sz w:val="16"/>
          <w:szCs w:val="16"/>
          <w:lang w:val="es-CO"/>
        </w:rPr>
      </w:pPr>
      <w:r w:rsidRPr="00657A31">
        <w:rPr>
          <w:rFonts w:ascii="Verdana" w:hAnsi="Verdana"/>
          <w:sz w:val="16"/>
          <w:szCs w:val="16"/>
          <w:lang w:val="es-CO"/>
        </w:rPr>
        <w:t>4) El objeto social, esto es, la empresa o negocio de la sociedad, haciendo una enunciación clara y completa de las actividades principales. Será ineficaz la estipulación en virtud de la cual el objeto social se extienda a actividades enunciadas en forma indeterminada o que no tengan una relación directa con aquél;</w:t>
      </w:r>
    </w:p>
    <w:p w14:paraId="250AB862" w14:textId="77777777" w:rsidR="00592F2E" w:rsidRPr="00657A31" w:rsidRDefault="00592F2E" w:rsidP="00592F2E">
      <w:pPr>
        <w:pStyle w:val="Textonotapie"/>
        <w:ind w:firstLine="708"/>
        <w:jc w:val="both"/>
        <w:rPr>
          <w:rFonts w:ascii="Verdana" w:hAnsi="Verdana"/>
          <w:sz w:val="16"/>
          <w:szCs w:val="16"/>
          <w:lang w:val="es-CO"/>
        </w:rPr>
      </w:pPr>
      <w:r w:rsidRPr="00657A31">
        <w:rPr>
          <w:rFonts w:ascii="Verdana" w:hAnsi="Verdana"/>
          <w:sz w:val="16"/>
          <w:szCs w:val="16"/>
          <w:lang w:val="es-CO"/>
        </w:rPr>
        <w:t xml:space="preserve">5) El capital social, la parte </w:t>
      </w:r>
      <w:proofErr w:type="gramStart"/>
      <w:r w:rsidRPr="00657A31">
        <w:rPr>
          <w:rFonts w:ascii="Verdana" w:hAnsi="Verdana"/>
          <w:sz w:val="16"/>
          <w:szCs w:val="16"/>
          <w:lang w:val="es-CO"/>
        </w:rPr>
        <w:t>del mismo</w:t>
      </w:r>
      <w:proofErr w:type="gramEnd"/>
      <w:r w:rsidRPr="00657A31">
        <w:rPr>
          <w:rFonts w:ascii="Verdana" w:hAnsi="Verdana"/>
          <w:sz w:val="16"/>
          <w:szCs w:val="16"/>
          <w:lang w:val="es-CO"/>
        </w:rPr>
        <w:t xml:space="preserve"> que se suscribe y la que se paga por cada asociado en el acto de la constitución. En las sociedades por acciones deberá expresarse, además, el capital suscrito y el pagado, la clase y valor nominal de las acciones representativas del capital, la forma y términos en que deberán cancelarse las cuotas debidas, cuyo plazo no podrá exceder de un año;</w:t>
      </w:r>
    </w:p>
    <w:p w14:paraId="27503EE7" w14:textId="77777777" w:rsidR="00592F2E" w:rsidRPr="00657A31" w:rsidRDefault="00592F2E" w:rsidP="00592F2E">
      <w:pPr>
        <w:pStyle w:val="Textonotapie"/>
        <w:ind w:firstLine="708"/>
        <w:jc w:val="both"/>
        <w:rPr>
          <w:rFonts w:ascii="Verdana" w:hAnsi="Verdana"/>
          <w:sz w:val="16"/>
          <w:szCs w:val="16"/>
          <w:lang w:val="es-CO"/>
        </w:rPr>
      </w:pPr>
      <w:r w:rsidRPr="00657A31">
        <w:rPr>
          <w:rFonts w:ascii="Verdana" w:hAnsi="Verdana"/>
          <w:sz w:val="16"/>
          <w:szCs w:val="16"/>
          <w:lang w:val="es-CO"/>
        </w:rPr>
        <w:t>6) La forma de administrar los negocios sociales, con indicación de las atribuciones y facultades de los administradores, y de las que se reserven los asociados, las asambleas y las juntas de socios, conforme a la regulación legal de cada tipo de sociedad;</w:t>
      </w:r>
    </w:p>
    <w:p w14:paraId="4C89D957" w14:textId="77777777" w:rsidR="00592F2E" w:rsidRPr="00657A31" w:rsidRDefault="00592F2E" w:rsidP="00592F2E">
      <w:pPr>
        <w:pStyle w:val="Textonotapie"/>
        <w:ind w:firstLine="708"/>
        <w:jc w:val="both"/>
        <w:rPr>
          <w:rFonts w:ascii="Verdana" w:hAnsi="Verdana"/>
          <w:sz w:val="16"/>
          <w:szCs w:val="16"/>
          <w:lang w:val="es-CO"/>
        </w:rPr>
      </w:pPr>
      <w:r w:rsidRPr="00657A31">
        <w:rPr>
          <w:rFonts w:ascii="Verdana" w:hAnsi="Verdana"/>
          <w:sz w:val="16"/>
          <w:szCs w:val="16"/>
          <w:lang w:val="es-CO"/>
        </w:rPr>
        <w:t>7) La época y la forma de convocar y constituir la asamblea o la junta de socios en sesiones ordinarias o extraordinarias, y la manera de deliberar y tomar los acuerdos en los asuntos de su competencia;</w:t>
      </w:r>
    </w:p>
    <w:p w14:paraId="5F63CC00" w14:textId="77777777" w:rsidR="00592F2E" w:rsidRPr="00657A31" w:rsidRDefault="00592F2E" w:rsidP="00592F2E">
      <w:pPr>
        <w:pStyle w:val="Textonotapie"/>
        <w:ind w:firstLine="708"/>
        <w:jc w:val="both"/>
        <w:rPr>
          <w:rFonts w:ascii="Verdana" w:hAnsi="Verdana"/>
          <w:sz w:val="16"/>
          <w:szCs w:val="16"/>
          <w:lang w:val="es-CO"/>
        </w:rPr>
      </w:pPr>
      <w:r w:rsidRPr="00657A31">
        <w:rPr>
          <w:rFonts w:ascii="Verdana" w:hAnsi="Verdana"/>
          <w:sz w:val="16"/>
          <w:szCs w:val="16"/>
          <w:lang w:val="es-CO"/>
        </w:rPr>
        <w:t>8) Las fechas en que deben hacerse inventarios y balances generales, y la forma en que han de distribuirse los beneficios o utilidades de cada ejercicio social, con indicación de las reservas que deban hacerse;</w:t>
      </w:r>
    </w:p>
    <w:p w14:paraId="1295FD56" w14:textId="77777777" w:rsidR="00592F2E" w:rsidRPr="00657A31" w:rsidRDefault="00592F2E" w:rsidP="00592F2E">
      <w:pPr>
        <w:pStyle w:val="Textonotapie"/>
        <w:ind w:firstLine="708"/>
        <w:jc w:val="both"/>
        <w:rPr>
          <w:rFonts w:ascii="Verdana" w:hAnsi="Verdana"/>
          <w:sz w:val="16"/>
          <w:szCs w:val="16"/>
          <w:lang w:val="es-CO"/>
        </w:rPr>
      </w:pPr>
      <w:r w:rsidRPr="00657A31">
        <w:rPr>
          <w:rFonts w:ascii="Verdana" w:hAnsi="Verdana"/>
          <w:sz w:val="16"/>
          <w:szCs w:val="16"/>
          <w:lang w:val="es-CO"/>
        </w:rPr>
        <w:t>9) La duración precisa de la sociedad y las causales de disolución anticipada de la misma;</w:t>
      </w:r>
    </w:p>
    <w:p w14:paraId="1F247DD9" w14:textId="77777777" w:rsidR="00592F2E" w:rsidRPr="00657A31" w:rsidRDefault="00592F2E" w:rsidP="00592F2E">
      <w:pPr>
        <w:pStyle w:val="Textonotapie"/>
        <w:ind w:firstLine="708"/>
        <w:jc w:val="both"/>
        <w:rPr>
          <w:rFonts w:ascii="Verdana" w:hAnsi="Verdana"/>
          <w:sz w:val="16"/>
          <w:szCs w:val="16"/>
          <w:lang w:val="es-CO"/>
        </w:rPr>
      </w:pPr>
      <w:r w:rsidRPr="00657A31">
        <w:rPr>
          <w:rFonts w:ascii="Verdana" w:hAnsi="Verdana"/>
          <w:sz w:val="16"/>
          <w:szCs w:val="16"/>
          <w:lang w:val="es-CO"/>
        </w:rPr>
        <w:t>10) La forma de hacer la liquidación, una vez disuelta la sociedad, con indicación de los bienes que hayan de ser restituidos o distribuidos en especie, o de las condiciones en que, a falta de dicha indicación, puedan hacerse distribuciones en especie;</w:t>
      </w:r>
    </w:p>
    <w:p w14:paraId="55FCAABF" w14:textId="77777777" w:rsidR="00592F2E" w:rsidRPr="00657A31" w:rsidRDefault="00592F2E" w:rsidP="00592F2E">
      <w:pPr>
        <w:pStyle w:val="Textonotapie"/>
        <w:ind w:firstLine="708"/>
        <w:jc w:val="both"/>
        <w:rPr>
          <w:rFonts w:ascii="Verdana" w:hAnsi="Verdana"/>
          <w:sz w:val="16"/>
          <w:szCs w:val="16"/>
          <w:lang w:val="es-CO"/>
        </w:rPr>
      </w:pPr>
      <w:r w:rsidRPr="00657A31">
        <w:rPr>
          <w:rFonts w:ascii="Verdana" w:hAnsi="Verdana"/>
          <w:sz w:val="16"/>
          <w:szCs w:val="16"/>
          <w:lang w:val="es-CO"/>
        </w:rPr>
        <w:t>11) Si las diferencias que ocurran a los asociados entre sí o con la sociedad, con motivo del contrato social, han de someterse a decisión arbitral o de amigables componedores y, en caso afirmativo, la forma de hacer la designación de los árbitros o amigables componedores;</w:t>
      </w:r>
    </w:p>
    <w:p w14:paraId="592F5513" w14:textId="77777777" w:rsidR="00592F2E" w:rsidRPr="00657A31" w:rsidRDefault="00592F2E" w:rsidP="00592F2E">
      <w:pPr>
        <w:pStyle w:val="Textonotapie"/>
        <w:ind w:firstLine="708"/>
        <w:jc w:val="both"/>
        <w:rPr>
          <w:rFonts w:ascii="Verdana" w:hAnsi="Verdana"/>
          <w:sz w:val="16"/>
          <w:szCs w:val="16"/>
          <w:lang w:val="es-CO"/>
        </w:rPr>
      </w:pPr>
      <w:r w:rsidRPr="00657A31">
        <w:rPr>
          <w:rFonts w:ascii="Verdana" w:hAnsi="Verdana"/>
          <w:sz w:val="16"/>
          <w:szCs w:val="16"/>
          <w:lang w:val="es-CO"/>
        </w:rPr>
        <w:t>12) El nombre y domicilio de la persona o personas que han de representar legalmente a la sociedad, precisando sus facultades y obligaciones, cuando esta función no corresponda, por la ley o por el contrato, a todos o a algunos de los asociados;</w:t>
      </w:r>
    </w:p>
    <w:p w14:paraId="07DFA521" w14:textId="77777777" w:rsidR="00592F2E" w:rsidRPr="00657A31" w:rsidRDefault="00592F2E" w:rsidP="00592F2E">
      <w:pPr>
        <w:pStyle w:val="Textonotapie"/>
        <w:ind w:firstLine="708"/>
        <w:jc w:val="both"/>
        <w:rPr>
          <w:rFonts w:ascii="Verdana" w:hAnsi="Verdana"/>
          <w:sz w:val="16"/>
          <w:szCs w:val="16"/>
          <w:lang w:val="es-CO"/>
        </w:rPr>
      </w:pPr>
      <w:r w:rsidRPr="00657A31">
        <w:rPr>
          <w:rFonts w:ascii="Verdana" w:hAnsi="Verdana"/>
          <w:sz w:val="16"/>
          <w:szCs w:val="16"/>
          <w:lang w:val="es-CO"/>
        </w:rPr>
        <w:t>13) Las facultades y obligaciones del revisor fiscal, cuando el cargo esté previsto en la ley o en los estatutos, y</w:t>
      </w:r>
    </w:p>
    <w:p w14:paraId="29CE93B1" w14:textId="77777777" w:rsidR="00592F2E" w:rsidRPr="00657A31" w:rsidRDefault="00592F2E" w:rsidP="00592F2E">
      <w:pPr>
        <w:pStyle w:val="Textonotapie"/>
        <w:ind w:firstLine="708"/>
        <w:jc w:val="both"/>
        <w:rPr>
          <w:rFonts w:ascii="Verdana" w:hAnsi="Verdana"/>
          <w:sz w:val="16"/>
          <w:szCs w:val="16"/>
          <w:lang w:val="es-CO"/>
        </w:rPr>
      </w:pPr>
      <w:r w:rsidRPr="00657A31">
        <w:rPr>
          <w:rFonts w:ascii="Verdana" w:hAnsi="Verdana"/>
          <w:sz w:val="16"/>
          <w:szCs w:val="16"/>
          <w:lang w:val="es-CO"/>
        </w:rPr>
        <w:t>14) Los demás pactos que, siendo compatibles con la índole de cada tipo de sociedad, estipulen los asociados para regular las relaciones a que da origen el contrato”.</w:t>
      </w:r>
    </w:p>
    <w:p w14:paraId="7504C9AF" w14:textId="77777777" w:rsidR="00592F2E" w:rsidRPr="00657A31" w:rsidRDefault="00592F2E" w:rsidP="00592F2E">
      <w:pPr>
        <w:pStyle w:val="Textonotapie"/>
        <w:ind w:firstLine="708"/>
        <w:jc w:val="both"/>
        <w:rPr>
          <w:rFonts w:ascii="Verdana" w:hAnsi="Verdana"/>
          <w:sz w:val="16"/>
          <w:szCs w:val="16"/>
          <w:lang w:val="es-CO"/>
        </w:rPr>
      </w:pPr>
    </w:p>
  </w:footnote>
  <w:footnote w:id="7">
    <w:p w14:paraId="53BA3D5A" w14:textId="77777777" w:rsidR="00592F2E" w:rsidRPr="00657A31" w:rsidRDefault="00592F2E" w:rsidP="00592F2E">
      <w:pPr>
        <w:pStyle w:val="Textonotapie"/>
        <w:ind w:firstLine="708"/>
        <w:jc w:val="both"/>
        <w:rPr>
          <w:rFonts w:ascii="Verdana" w:hAnsi="Verdana"/>
          <w:sz w:val="16"/>
          <w:szCs w:val="16"/>
          <w:lang w:val="es-CO"/>
        </w:rPr>
      </w:pPr>
      <w:r w:rsidRPr="00657A31">
        <w:rPr>
          <w:rStyle w:val="Refdenotaalpie"/>
          <w:rFonts w:ascii="Verdana" w:hAnsi="Verdana"/>
          <w:sz w:val="16"/>
          <w:szCs w:val="16"/>
        </w:rPr>
        <w:footnoteRef/>
      </w:r>
      <w:r w:rsidRPr="00657A31">
        <w:rPr>
          <w:rFonts w:ascii="Verdana" w:hAnsi="Verdana"/>
          <w:sz w:val="16"/>
          <w:szCs w:val="16"/>
        </w:rPr>
        <w:t xml:space="preserve"> </w:t>
      </w:r>
      <w:r w:rsidRPr="00657A31">
        <w:rPr>
          <w:rFonts w:ascii="Verdana" w:hAnsi="Verdana"/>
          <w:sz w:val="16"/>
          <w:szCs w:val="16"/>
          <w:lang w:val="es-CO"/>
        </w:rPr>
        <w:t>Al respecto ver: Consejo de Estado, Sala de Consulta y Servicio Civil, conceptos 1172 del 3 de marzo de 1999 y 1283 del 4 de septiembre de 2000; En sentencia del 19 de junio de 2009, Exp. 19001-23-31-000-2005-00005-01 AP. C.P. Ruth Stella Correa Palacio, la Sección Tercera indicó que: “</w:t>
      </w:r>
      <w:r w:rsidRPr="00657A31">
        <w:rPr>
          <w:rFonts w:ascii="Verdana" w:hAnsi="Verdana"/>
          <w:i/>
          <w:iCs/>
          <w:sz w:val="16"/>
          <w:szCs w:val="16"/>
          <w:lang w:val="es-CO"/>
        </w:rPr>
        <w:t>En el caso de la promesa de sociedad y durante su participación en el proceso de selección, es clara la existencia de la responsabilidad solidaria de quienes se presenten bajo esta modalidad en el proceso de selección frente al incumplimiento de obligaciones emanadas de la propuesta y los actos de incumplim</w:t>
      </w:r>
      <w:r>
        <w:rPr>
          <w:rFonts w:ascii="Verdana" w:hAnsi="Verdana"/>
          <w:i/>
          <w:iCs/>
          <w:sz w:val="16"/>
          <w:szCs w:val="16"/>
          <w:lang w:val="es-CO"/>
        </w:rPr>
        <w:t>iento de la promesa de sociedad […]</w:t>
      </w:r>
      <w:r w:rsidRPr="00657A31">
        <w:rPr>
          <w:rFonts w:ascii="Verdana" w:hAnsi="Verdana"/>
          <w:sz w:val="16"/>
          <w:szCs w:val="16"/>
          <w:lang w:val="es-CO"/>
        </w:rPr>
        <w:t xml:space="preserve">”  </w:t>
      </w:r>
    </w:p>
  </w:footnote>
  <w:footnote w:id="8">
    <w:p w14:paraId="2AD08C6C" w14:textId="77777777" w:rsidR="00592F2E" w:rsidRPr="00A73471" w:rsidRDefault="00592F2E" w:rsidP="00592F2E">
      <w:pPr>
        <w:pStyle w:val="Textonotapie"/>
        <w:ind w:firstLine="708"/>
        <w:rPr>
          <w:lang w:val="es-ES"/>
        </w:rPr>
      </w:pPr>
      <w:r w:rsidRPr="00657A31">
        <w:rPr>
          <w:rStyle w:val="Refdenotaalpie"/>
          <w:rFonts w:ascii="Verdana" w:hAnsi="Verdana"/>
          <w:sz w:val="16"/>
          <w:szCs w:val="16"/>
        </w:rPr>
        <w:footnoteRef/>
      </w:r>
      <w:r w:rsidRPr="00657A31">
        <w:rPr>
          <w:rFonts w:ascii="Verdana" w:hAnsi="Verdana"/>
          <w:sz w:val="16"/>
          <w:szCs w:val="16"/>
        </w:rPr>
        <w:t xml:space="preserve"> Consejo de Estado. Sección Tercera, Subsección A. Sentencia del 13 de septiembre de 2024. C.P. José Roberto Sáchica Méndez. Exp. 68.632.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49BFF" w14:textId="77777777" w:rsidR="00006F59" w:rsidRPr="009B7987" w:rsidRDefault="00006F59" w:rsidP="00006F59">
    <w:pPr>
      <w:pStyle w:val="Encabezado"/>
    </w:pPr>
    <w:r w:rsidRPr="009B7987">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4812B632" wp14:editId="2E35C64A">
          <wp:simplePos x="0" y="0"/>
          <wp:positionH relativeFrom="margin">
            <wp:align>center</wp:align>
          </wp:positionH>
          <wp:positionV relativeFrom="paragraph">
            <wp:posOffset>-250190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Pr="009B7987">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292DC36A" wp14:editId="6004C65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4B171C2" w14:textId="77777777" w:rsidR="00006F59" w:rsidRPr="009B7987" w:rsidRDefault="00006F59" w:rsidP="00006F59">
    <w:pPr>
      <w:pStyle w:val="Encabezado"/>
      <w:jc w:val="center"/>
    </w:pPr>
  </w:p>
  <w:p w14:paraId="1665FD71" w14:textId="77777777" w:rsidR="00006F59" w:rsidRPr="009B7987" w:rsidRDefault="00006F59" w:rsidP="00006F59">
    <w:pPr>
      <w:pStyle w:val="Encabezado"/>
    </w:pPr>
  </w:p>
  <w:p w14:paraId="61B882FC" w14:textId="77777777" w:rsidR="00006F59" w:rsidRPr="009B7987" w:rsidRDefault="00006F59" w:rsidP="00006F59">
    <w:pPr>
      <w:spacing w:after="0"/>
      <w:rPr>
        <w:rFonts w:ascii="Verdana" w:hAnsi="Verdana"/>
        <w:b/>
        <w:bCs/>
        <w:sz w:val="24"/>
        <w:szCs w:val="24"/>
      </w:rPr>
    </w:pPr>
  </w:p>
  <w:p w14:paraId="701A9D55" w14:textId="29EB49FC" w:rsidR="00006F59" w:rsidRPr="009B7987" w:rsidRDefault="00006F59" w:rsidP="001918F1">
    <w:pPr>
      <w:tabs>
        <w:tab w:val="left" w:pos="6217"/>
      </w:tabs>
      <w:spacing w:after="0"/>
      <w:rPr>
        <w:rFonts w:ascii="Verdana" w:hAnsi="Verdana"/>
        <w:b/>
        <w:bCs/>
        <w:sz w:val="24"/>
        <w:szCs w:val="24"/>
      </w:rPr>
    </w:pPr>
    <w:r w:rsidRPr="009B7987">
      <w:rPr>
        <w:rFonts w:ascii="Verdana" w:hAnsi="Verdana"/>
        <w:b/>
        <w:bCs/>
        <w:sz w:val="24"/>
        <w:szCs w:val="24"/>
      </w:rPr>
      <w:t>FORMATO PQRSD</w:t>
    </w:r>
  </w:p>
  <w:p w14:paraId="68E0C024" w14:textId="62811F13" w:rsidR="00B30448" w:rsidRPr="009B7987" w:rsidRDefault="00B30448" w:rsidP="00006F5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5E83FFA"/>
    <w:multiLevelType w:val="hybridMultilevel"/>
    <w:tmpl w:val="8EF612C4"/>
    <w:lvl w:ilvl="0" w:tplc="DCA0A69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2" w15:restartNumberingAfterBreak="0">
    <w:nsid w:val="10EA08ED"/>
    <w:multiLevelType w:val="multilevel"/>
    <w:tmpl w:val="4A46E8C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1287756A"/>
    <w:multiLevelType w:val="multilevel"/>
    <w:tmpl w:val="8D2C41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2F33A59"/>
    <w:multiLevelType w:val="multilevel"/>
    <w:tmpl w:val="5664C1C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15F34FE4"/>
    <w:multiLevelType w:val="multilevel"/>
    <w:tmpl w:val="679438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6416AAB"/>
    <w:multiLevelType w:val="multilevel"/>
    <w:tmpl w:val="BDB6870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15:restartNumberingAfterBreak="0">
    <w:nsid w:val="17F83FA5"/>
    <w:multiLevelType w:val="hybridMultilevel"/>
    <w:tmpl w:val="C40A605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8" w15:restartNumberingAfterBreak="0">
    <w:nsid w:val="223E681F"/>
    <w:multiLevelType w:val="multilevel"/>
    <w:tmpl w:val="531E051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22677ADB"/>
    <w:multiLevelType w:val="multilevel"/>
    <w:tmpl w:val="FA008E7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239D63F5"/>
    <w:multiLevelType w:val="hybridMultilevel"/>
    <w:tmpl w:val="F538EEB4"/>
    <w:lvl w:ilvl="0" w:tplc="DB68C6FA">
      <w:numFmt w:val="bullet"/>
      <w:lvlText w:val="-"/>
      <w:lvlJc w:val="left"/>
      <w:pPr>
        <w:ind w:left="1069" w:hanging="360"/>
      </w:pPr>
      <w:rPr>
        <w:rFonts w:ascii="Verdana" w:eastAsia="Calibri" w:hAnsi="Verdana"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11" w15:restartNumberingAfterBreak="0">
    <w:nsid w:val="2F2143A1"/>
    <w:multiLevelType w:val="hybridMultilevel"/>
    <w:tmpl w:val="4EB84EEC"/>
    <w:lvl w:ilvl="0" w:tplc="5E185100">
      <w:start w:val="1"/>
      <w:numFmt w:val="lowerRoman"/>
      <w:lvlText w:val="%1)"/>
      <w:lvlJc w:val="left"/>
      <w:pPr>
        <w:ind w:left="2136" w:hanging="720"/>
      </w:pPr>
      <w:rPr>
        <w:rFonts w:hint="default"/>
      </w:r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12" w15:restartNumberingAfterBreak="0">
    <w:nsid w:val="2F2F4AAF"/>
    <w:multiLevelType w:val="hybridMultilevel"/>
    <w:tmpl w:val="8780C6F4"/>
    <w:lvl w:ilvl="0" w:tplc="5594678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3" w15:restartNumberingAfterBreak="0">
    <w:nsid w:val="2FD956BC"/>
    <w:multiLevelType w:val="multilevel"/>
    <w:tmpl w:val="7D42BAB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2FDB2676"/>
    <w:multiLevelType w:val="multilevel"/>
    <w:tmpl w:val="6B32E22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6" w15:restartNumberingAfterBreak="0">
    <w:nsid w:val="364F404B"/>
    <w:multiLevelType w:val="multilevel"/>
    <w:tmpl w:val="7862D8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88E5AE1"/>
    <w:multiLevelType w:val="hybridMultilevel"/>
    <w:tmpl w:val="1B62FAF4"/>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9CD3660"/>
    <w:multiLevelType w:val="hybridMultilevel"/>
    <w:tmpl w:val="DCEE24D0"/>
    <w:lvl w:ilvl="0" w:tplc="7D9E7E6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0" w15:restartNumberingAfterBreak="0">
    <w:nsid w:val="3D5D596E"/>
    <w:multiLevelType w:val="hybridMultilevel"/>
    <w:tmpl w:val="88DE2ABC"/>
    <w:lvl w:ilvl="0" w:tplc="ECF04718">
      <w:start w:val="1"/>
      <w:numFmt w:val="lowerRoman"/>
      <w:lvlText w:val="%1)"/>
      <w:lvlJc w:val="left"/>
      <w:pPr>
        <w:ind w:left="1429" w:hanging="720"/>
      </w:pPr>
      <w:rPr>
        <w:rFonts w:ascii="Verdana" w:eastAsia="Calibri" w:hAnsi="Verdana" w:cs="Arial"/>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1"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2" w15:restartNumberingAfterBreak="0">
    <w:nsid w:val="474439E1"/>
    <w:multiLevelType w:val="multilevel"/>
    <w:tmpl w:val="7960C44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75C5A77"/>
    <w:multiLevelType w:val="hybridMultilevel"/>
    <w:tmpl w:val="F5321E2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4C2578F1"/>
    <w:multiLevelType w:val="hybridMultilevel"/>
    <w:tmpl w:val="1C0C61AA"/>
    <w:lvl w:ilvl="0" w:tplc="0DAE4A5C">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15:restartNumberingAfterBreak="0">
    <w:nsid w:val="50A4622B"/>
    <w:multiLevelType w:val="hybridMultilevel"/>
    <w:tmpl w:val="E41ED338"/>
    <w:lvl w:ilvl="0" w:tplc="FBC0C1AE">
      <w:start w:val="1"/>
      <w:numFmt w:val="lowerRoman"/>
      <w:lvlText w:val="%1)"/>
      <w:lvlJc w:val="left"/>
      <w:pPr>
        <w:ind w:left="1429" w:hanging="72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26" w15:restartNumberingAfterBreak="0">
    <w:nsid w:val="51060F1F"/>
    <w:multiLevelType w:val="multilevel"/>
    <w:tmpl w:val="7C706A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22C350D"/>
    <w:multiLevelType w:val="hybridMultilevel"/>
    <w:tmpl w:val="89B6917E"/>
    <w:lvl w:ilvl="0" w:tplc="A7B2FCBE">
      <w:start w:val="1"/>
      <w:numFmt w:val="decimal"/>
      <w:lvlText w:val="%1."/>
      <w:lvlJc w:val="left"/>
      <w:pPr>
        <w:ind w:left="1494" w:hanging="360"/>
      </w:pPr>
      <w:rPr>
        <w:rFonts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28" w15:restartNumberingAfterBreak="0">
    <w:nsid w:val="540506B6"/>
    <w:multiLevelType w:val="hybridMultilevel"/>
    <w:tmpl w:val="974E0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9" w15:restartNumberingAfterBreak="0">
    <w:nsid w:val="5A676181"/>
    <w:multiLevelType w:val="multilevel"/>
    <w:tmpl w:val="D30E7A7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0" w15:restartNumberingAfterBreak="0">
    <w:nsid w:val="5D373E5A"/>
    <w:multiLevelType w:val="multilevel"/>
    <w:tmpl w:val="6D4C81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04178A9"/>
    <w:multiLevelType w:val="hybridMultilevel"/>
    <w:tmpl w:val="7486A3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2" w15:restartNumberingAfterBreak="0">
    <w:nsid w:val="620101A4"/>
    <w:multiLevelType w:val="hybridMultilevel"/>
    <w:tmpl w:val="717C38BE"/>
    <w:lvl w:ilvl="0" w:tplc="FFFFFFFF">
      <w:start w:val="1"/>
      <w:numFmt w:val="lowerRoman"/>
      <w:lvlText w:val="%1)"/>
      <w:lvlJc w:val="left"/>
      <w:pPr>
        <w:ind w:left="1429" w:hanging="720"/>
      </w:pPr>
      <w:rPr>
        <w:rFonts w:ascii="Verdana" w:eastAsia="Calibri" w:hAnsi="Verdana" w:cs="Arial"/>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33" w15:restartNumberingAfterBreak="0">
    <w:nsid w:val="6E1F5A1C"/>
    <w:multiLevelType w:val="multilevel"/>
    <w:tmpl w:val="7096C5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7681820"/>
    <w:multiLevelType w:val="hybridMultilevel"/>
    <w:tmpl w:val="978A04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7DD23916"/>
    <w:multiLevelType w:val="multilevel"/>
    <w:tmpl w:val="89F2A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71464412">
    <w:abstractNumId w:val="0"/>
  </w:num>
  <w:num w:numId="2" w16cid:durableId="219485257">
    <w:abstractNumId w:val="15"/>
  </w:num>
  <w:num w:numId="3" w16cid:durableId="519202977">
    <w:abstractNumId w:val="19"/>
  </w:num>
  <w:num w:numId="4" w16cid:durableId="984970733">
    <w:abstractNumId w:val="10"/>
  </w:num>
  <w:num w:numId="5" w16cid:durableId="2121561102">
    <w:abstractNumId w:val="35"/>
  </w:num>
  <w:num w:numId="6" w16cid:durableId="43022638">
    <w:abstractNumId w:val="23"/>
  </w:num>
  <w:num w:numId="7" w16cid:durableId="1711800602">
    <w:abstractNumId w:val="34"/>
  </w:num>
  <w:num w:numId="8" w16cid:durableId="1448622369">
    <w:abstractNumId w:val="18"/>
  </w:num>
  <w:num w:numId="9" w16cid:durableId="1720741923">
    <w:abstractNumId w:val="21"/>
  </w:num>
  <w:num w:numId="10" w16cid:durableId="1683237938">
    <w:abstractNumId w:val="31"/>
  </w:num>
  <w:num w:numId="11" w16cid:durableId="1574467393">
    <w:abstractNumId w:val="28"/>
  </w:num>
  <w:num w:numId="12" w16cid:durableId="1954360393">
    <w:abstractNumId w:val="27"/>
  </w:num>
  <w:num w:numId="13" w16cid:durableId="984432657">
    <w:abstractNumId w:val="1"/>
  </w:num>
  <w:num w:numId="14" w16cid:durableId="1455828571">
    <w:abstractNumId w:val="17"/>
  </w:num>
  <w:num w:numId="15" w16cid:durableId="29301119">
    <w:abstractNumId w:val="11"/>
  </w:num>
  <w:num w:numId="16" w16cid:durableId="789393969">
    <w:abstractNumId w:val="12"/>
  </w:num>
  <w:num w:numId="17" w16cid:durableId="987635841">
    <w:abstractNumId w:val="20"/>
  </w:num>
  <w:num w:numId="18" w16cid:durableId="1893730886">
    <w:abstractNumId w:val="32"/>
  </w:num>
  <w:num w:numId="19" w16cid:durableId="2064139498">
    <w:abstractNumId w:val="29"/>
  </w:num>
  <w:num w:numId="20" w16cid:durableId="1168591252">
    <w:abstractNumId w:val="24"/>
  </w:num>
  <w:num w:numId="21" w16cid:durableId="879243035">
    <w:abstractNumId w:val="25"/>
  </w:num>
  <w:num w:numId="22" w16cid:durableId="63919142">
    <w:abstractNumId w:val="19"/>
  </w:num>
  <w:num w:numId="23" w16cid:durableId="806051471">
    <w:abstractNumId w:val="26"/>
  </w:num>
  <w:num w:numId="24" w16cid:durableId="124225608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86716674">
    <w:abstractNumId w:val="22"/>
  </w:num>
  <w:num w:numId="26" w16cid:durableId="24827272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056318578">
    <w:abstractNumId w:val="30"/>
  </w:num>
  <w:num w:numId="28" w16cid:durableId="52529409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495463935">
    <w:abstractNumId w:val="33"/>
  </w:num>
  <w:num w:numId="30" w16cid:durableId="91004366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386027865">
    <w:abstractNumId w:val="3"/>
  </w:num>
  <w:num w:numId="32" w16cid:durableId="54637905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761020261">
    <w:abstractNumId w:val="5"/>
  </w:num>
  <w:num w:numId="34" w16cid:durableId="100443140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940183211">
    <w:abstractNumId w:val="16"/>
  </w:num>
  <w:num w:numId="36" w16cid:durableId="73081267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425109399">
    <w:abstractNumId w:val="7"/>
  </w:num>
  <w:num w:numId="38" w16cid:durableId="125050503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grammar="clean"/>
  <w:defaultTabStop w:val="708"/>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0448"/>
    <w:rsid w:val="00001B12"/>
    <w:rsid w:val="00001B99"/>
    <w:rsid w:val="00001E39"/>
    <w:rsid w:val="00002920"/>
    <w:rsid w:val="00002D55"/>
    <w:rsid w:val="0000399A"/>
    <w:rsid w:val="00004C0D"/>
    <w:rsid w:val="00005225"/>
    <w:rsid w:val="000054DB"/>
    <w:rsid w:val="00005683"/>
    <w:rsid w:val="0000587D"/>
    <w:rsid w:val="000059AE"/>
    <w:rsid w:val="00005BB0"/>
    <w:rsid w:val="0000600F"/>
    <w:rsid w:val="0000659F"/>
    <w:rsid w:val="00006F59"/>
    <w:rsid w:val="00007382"/>
    <w:rsid w:val="0001025F"/>
    <w:rsid w:val="0001155E"/>
    <w:rsid w:val="00011613"/>
    <w:rsid w:val="00011D3C"/>
    <w:rsid w:val="0001222D"/>
    <w:rsid w:val="00012679"/>
    <w:rsid w:val="00012EDA"/>
    <w:rsid w:val="00013B3F"/>
    <w:rsid w:val="00014981"/>
    <w:rsid w:val="00014B0D"/>
    <w:rsid w:val="00015500"/>
    <w:rsid w:val="00016280"/>
    <w:rsid w:val="0001672C"/>
    <w:rsid w:val="00016F04"/>
    <w:rsid w:val="00017870"/>
    <w:rsid w:val="00021068"/>
    <w:rsid w:val="0002154F"/>
    <w:rsid w:val="00021595"/>
    <w:rsid w:val="000219D1"/>
    <w:rsid w:val="00021C3A"/>
    <w:rsid w:val="0002202D"/>
    <w:rsid w:val="00022088"/>
    <w:rsid w:val="00022C23"/>
    <w:rsid w:val="00023DF7"/>
    <w:rsid w:val="0002412A"/>
    <w:rsid w:val="000265BA"/>
    <w:rsid w:val="000267DD"/>
    <w:rsid w:val="000273EA"/>
    <w:rsid w:val="00027B63"/>
    <w:rsid w:val="00027CA9"/>
    <w:rsid w:val="00030B3D"/>
    <w:rsid w:val="00030BC5"/>
    <w:rsid w:val="00030BFB"/>
    <w:rsid w:val="00031DA1"/>
    <w:rsid w:val="00031EAF"/>
    <w:rsid w:val="00033390"/>
    <w:rsid w:val="00034B01"/>
    <w:rsid w:val="00035E15"/>
    <w:rsid w:val="000361EA"/>
    <w:rsid w:val="000369C0"/>
    <w:rsid w:val="0003731A"/>
    <w:rsid w:val="00037A8B"/>
    <w:rsid w:val="00040372"/>
    <w:rsid w:val="0004066D"/>
    <w:rsid w:val="000408AD"/>
    <w:rsid w:val="00041469"/>
    <w:rsid w:val="0004180C"/>
    <w:rsid w:val="000419D7"/>
    <w:rsid w:val="00042DD7"/>
    <w:rsid w:val="00043075"/>
    <w:rsid w:val="000442CC"/>
    <w:rsid w:val="000442DE"/>
    <w:rsid w:val="00044B24"/>
    <w:rsid w:val="0004508D"/>
    <w:rsid w:val="0004709D"/>
    <w:rsid w:val="000504AA"/>
    <w:rsid w:val="0005086B"/>
    <w:rsid w:val="00050C95"/>
    <w:rsid w:val="00050CAD"/>
    <w:rsid w:val="0005142D"/>
    <w:rsid w:val="00051A3C"/>
    <w:rsid w:val="00051BE4"/>
    <w:rsid w:val="00051E96"/>
    <w:rsid w:val="000526A8"/>
    <w:rsid w:val="000529BB"/>
    <w:rsid w:val="00052EF1"/>
    <w:rsid w:val="0005420B"/>
    <w:rsid w:val="000548F8"/>
    <w:rsid w:val="000551CB"/>
    <w:rsid w:val="0005620B"/>
    <w:rsid w:val="00057392"/>
    <w:rsid w:val="000577A2"/>
    <w:rsid w:val="000577D3"/>
    <w:rsid w:val="00057963"/>
    <w:rsid w:val="000579AB"/>
    <w:rsid w:val="00060AE4"/>
    <w:rsid w:val="00060D81"/>
    <w:rsid w:val="000622B9"/>
    <w:rsid w:val="0006377C"/>
    <w:rsid w:val="00063B4B"/>
    <w:rsid w:val="00064721"/>
    <w:rsid w:val="00064D60"/>
    <w:rsid w:val="00065973"/>
    <w:rsid w:val="00065C6D"/>
    <w:rsid w:val="000663AC"/>
    <w:rsid w:val="000665D3"/>
    <w:rsid w:val="00066646"/>
    <w:rsid w:val="00066C7A"/>
    <w:rsid w:val="00066CF1"/>
    <w:rsid w:val="00070EF9"/>
    <w:rsid w:val="0007144A"/>
    <w:rsid w:val="000716AB"/>
    <w:rsid w:val="00071AB8"/>
    <w:rsid w:val="0007243A"/>
    <w:rsid w:val="000762C0"/>
    <w:rsid w:val="00076436"/>
    <w:rsid w:val="00076737"/>
    <w:rsid w:val="00076C2B"/>
    <w:rsid w:val="00076C73"/>
    <w:rsid w:val="00076F81"/>
    <w:rsid w:val="000779DE"/>
    <w:rsid w:val="000800B6"/>
    <w:rsid w:val="00080FBF"/>
    <w:rsid w:val="00081B03"/>
    <w:rsid w:val="000847A0"/>
    <w:rsid w:val="00084BFD"/>
    <w:rsid w:val="0008503D"/>
    <w:rsid w:val="00087073"/>
    <w:rsid w:val="0008739A"/>
    <w:rsid w:val="000875BD"/>
    <w:rsid w:val="000878E7"/>
    <w:rsid w:val="00087A3B"/>
    <w:rsid w:val="00087C01"/>
    <w:rsid w:val="000903E4"/>
    <w:rsid w:val="000906E3"/>
    <w:rsid w:val="00091D73"/>
    <w:rsid w:val="000933B5"/>
    <w:rsid w:val="000933BC"/>
    <w:rsid w:val="00093544"/>
    <w:rsid w:val="00093D95"/>
    <w:rsid w:val="00094663"/>
    <w:rsid w:val="00095410"/>
    <w:rsid w:val="00095E48"/>
    <w:rsid w:val="00096637"/>
    <w:rsid w:val="0009726B"/>
    <w:rsid w:val="00097285"/>
    <w:rsid w:val="000975EA"/>
    <w:rsid w:val="000A021A"/>
    <w:rsid w:val="000A1828"/>
    <w:rsid w:val="000A1D06"/>
    <w:rsid w:val="000A1F38"/>
    <w:rsid w:val="000A2030"/>
    <w:rsid w:val="000A3202"/>
    <w:rsid w:val="000A37F5"/>
    <w:rsid w:val="000A413A"/>
    <w:rsid w:val="000A4F1E"/>
    <w:rsid w:val="000A5881"/>
    <w:rsid w:val="000A66A1"/>
    <w:rsid w:val="000A69FB"/>
    <w:rsid w:val="000A7E21"/>
    <w:rsid w:val="000B1087"/>
    <w:rsid w:val="000B199A"/>
    <w:rsid w:val="000B1FF7"/>
    <w:rsid w:val="000B2529"/>
    <w:rsid w:val="000B2B7C"/>
    <w:rsid w:val="000B377E"/>
    <w:rsid w:val="000B381D"/>
    <w:rsid w:val="000B3DD4"/>
    <w:rsid w:val="000B4024"/>
    <w:rsid w:val="000B44BA"/>
    <w:rsid w:val="000B5311"/>
    <w:rsid w:val="000B5313"/>
    <w:rsid w:val="000B5C65"/>
    <w:rsid w:val="000B6BE9"/>
    <w:rsid w:val="000B7C9B"/>
    <w:rsid w:val="000C02AD"/>
    <w:rsid w:val="000C060A"/>
    <w:rsid w:val="000C07B0"/>
    <w:rsid w:val="000C09DF"/>
    <w:rsid w:val="000C0AA8"/>
    <w:rsid w:val="000C18BD"/>
    <w:rsid w:val="000C1FC8"/>
    <w:rsid w:val="000C36E1"/>
    <w:rsid w:val="000C42A9"/>
    <w:rsid w:val="000C42C6"/>
    <w:rsid w:val="000C50D6"/>
    <w:rsid w:val="000C557B"/>
    <w:rsid w:val="000C5A85"/>
    <w:rsid w:val="000C5F29"/>
    <w:rsid w:val="000C5F48"/>
    <w:rsid w:val="000C66BF"/>
    <w:rsid w:val="000C6E56"/>
    <w:rsid w:val="000D0372"/>
    <w:rsid w:val="000D0ADE"/>
    <w:rsid w:val="000D1A8F"/>
    <w:rsid w:val="000D2914"/>
    <w:rsid w:val="000D2E60"/>
    <w:rsid w:val="000D2F50"/>
    <w:rsid w:val="000D3275"/>
    <w:rsid w:val="000D3A1B"/>
    <w:rsid w:val="000D3B86"/>
    <w:rsid w:val="000D5008"/>
    <w:rsid w:val="000D52BD"/>
    <w:rsid w:val="000D570C"/>
    <w:rsid w:val="000D5A0F"/>
    <w:rsid w:val="000D5B1E"/>
    <w:rsid w:val="000D5D9B"/>
    <w:rsid w:val="000D5E3F"/>
    <w:rsid w:val="000D6532"/>
    <w:rsid w:val="000D68D4"/>
    <w:rsid w:val="000D6C2D"/>
    <w:rsid w:val="000D6DB3"/>
    <w:rsid w:val="000D6E33"/>
    <w:rsid w:val="000E0622"/>
    <w:rsid w:val="000E07AA"/>
    <w:rsid w:val="000E1D6F"/>
    <w:rsid w:val="000E2420"/>
    <w:rsid w:val="000E2D0D"/>
    <w:rsid w:val="000E3381"/>
    <w:rsid w:val="000E3744"/>
    <w:rsid w:val="000E3CD9"/>
    <w:rsid w:val="000E481D"/>
    <w:rsid w:val="000E4DBF"/>
    <w:rsid w:val="000E4DF2"/>
    <w:rsid w:val="000E58F5"/>
    <w:rsid w:val="000E77CC"/>
    <w:rsid w:val="000F0144"/>
    <w:rsid w:val="000F0807"/>
    <w:rsid w:val="000F080D"/>
    <w:rsid w:val="000F0B3C"/>
    <w:rsid w:val="000F13D5"/>
    <w:rsid w:val="000F1AD8"/>
    <w:rsid w:val="000F2F4C"/>
    <w:rsid w:val="000F38D9"/>
    <w:rsid w:val="000F3CED"/>
    <w:rsid w:val="000F414C"/>
    <w:rsid w:val="000F64FC"/>
    <w:rsid w:val="000F696E"/>
    <w:rsid w:val="000F6C10"/>
    <w:rsid w:val="000F718E"/>
    <w:rsid w:val="001001F2"/>
    <w:rsid w:val="00100207"/>
    <w:rsid w:val="001003C6"/>
    <w:rsid w:val="00100682"/>
    <w:rsid w:val="001010D3"/>
    <w:rsid w:val="0010144A"/>
    <w:rsid w:val="00101C11"/>
    <w:rsid w:val="00102F4F"/>
    <w:rsid w:val="001034DD"/>
    <w:rsid w:val="001043DA"/>
    <w:rsid w:val="00104425"/>
    <w:rsid w:val="00104B4C"/>
    <w:rsid w:val="001055A2"/>
    <w:rsid w:val="00106502"/>
    <w:rsid w:val="0010682A"/>
    <w:rsid w:val="00106C4C"/>
    <w:rsid w:val="00107DEF"/>
    <w:rsid w:val="00107F47"/>
    <w:rsid w:val="0011037E"/>
    <w:rsid w:val="00110404"/>
    <w:rsid w:val="001109E8"/>
    <w:rsid w:val="00110F73"/>
    <w:rsid w:val="00111E35"/>
    <w:rsid w:val="001128B4"/>
    <w:rsid w:val="00112EBD"/>
    <w:rsid w:val="001132C2"/>
    <w:rsid w:val="0011382D"/>
    <w:rsid w:val="00113AF2"/>
    <w:rsid w:val="00113C17"/>
    <w:rsid w:val="00114051"/>
    <w:rsid w:val="00114973"/>
    <w:rsid w:val="00114CFF"/>
    <w:rsid w:val="00114FDF"/>
    <w:rsid w:val="0011650B"/>
    <w:rsid w:val="00116616"/>
    <w:rsid w:val="00116FC5"/>
    <w:rsid w:val="00117163"/>
    <w:rsid w:val="00117BBD"/>
    <w:rsid w:val="001202DF"/>
    <w:rsid w:val="00120F1B"/>
    <w:rsid w:val="001213E7"/>
    <w:rsid w:val="001224BA"/>
    <w:rsid w:val="001238BC"/>
    <w:rsid w:val="00123AC4"/>
    <w:rsid w:val="00124518"/>
    <w:rsid w:val="001248AB"/>
    <w:rsid w:val="00124981"/>
    <w:rsid w:val="00124B2E"/>
    <w:rsid w:val="001256A1"/>
    <w:rsid w:val="00125D81"/>
    <w:rsid w:val="00126301"/>
    <w:rsid w:val="0012661F"/>
    <w:rsid w:val="001266A0"/>
    <w:rsid w:val="00126966"/>
    <w:rsid w:val="001269B0"/>
    <w:rsid w:val="00126B24"/>
    <w:rsid w:val="00127234"/>
    <w:rsid w:val="001276C4"/>
    <w:rsid w:val="00127941"/>
    <w:rsid w:val="00127C68"/>
    <w:rsid w:val="00127D5B"/>
    <w:rsid w:val="00130431"/>
    <w:rsid w:val="00131373"/>
    <w:rsid w:val="001314A0"/>
    <w:rsid w:val="00131A1F"/>
    <w:rsid w:val="00131A66"/>
    <w:rsid w:val="00131F9C"/>
    <w:rsid w:val="00132336"/>
    <w:rsid w:val="00132425"/>
    <w:rsid w:val="0013280A"/>
    <w:rsid w:val="001332B6"/>
    <w:rsid w:val="0013343F"/>
    <w:rsid w:val="001344F9"/>
    <w:rsid w:val="00134F37"/>
    <w:rsid w:val="00135F76"/>
    <w:rsid w:val="001360E9"/>
    <w:rsid w:val="001360F4"/>
    <w:rsid w:val="001363C7"/>
    <w:rsid w:val="00136E87"/>
    <w:rsid w:val="00137994"/>
    <w:rsid w:val="00140793"/>
    <w:rsid w:val="001422BD"/>
    <w:rsid w:val="0014286D"/>
    <w:rsid w:val="001435EE"/>
    <w:rsid w:val="00143B8E"/>
    <w:rsid w:val="00143C94"/>
    <w:rsid w:val="00143F21"/>
    <w:rsid w:val="0014420C"/>
    <w:rsid w:val="0014456B"/>
    <w:rsid w:val="001446C3"/>
    <w:rsid w:val="00144834"/>
    <w:rsid w:val="001461A7"/>
    <w:rsid w:val="00146946"/>
    <w:rsid w:val="00146E7C"/>
    <w:rsid w:val="00147B24"/>
    <w:rsid w:val="00150492"/>
    <w:rsid w:val="001513CE"/>
    <w:rsid w:val="00151465"/>
    <w:rsid w:val="00151AD8"/>
    <w:rsid w:val="00151D67"/>
    <w:rsid w:val="00151E77"/>
    <w:rsid w:val="00153287"/>
    <w:rsid w:val="001533E6"/>
    <w:rsid w:val="00153479"/>
    <w:rsid w:val="001538BE"/>
    <w:rsid w:val="00153C33"/>
    <w:rsid w:val="00153FD3"/>
    <w:rsid w:val="00155198"/>
    <w:rsid w:val="00155EF1"/>
    <w:rsid w:val="00156192"/>
    <w:rsid w:val="00156E57"/>
    <w:rsid w:val="0015710D"/>
    <w:rsid w:val="00157338"/>
    <w:rsid w:val="00157CE5"/>
    <w:rsid w:val="00157DEB"/>
    <w:rsid w:val="001610BC"/>
    <w:rsid w:val="00161847"/>
    <w:rsid w:val="00161A74"/>
    <w:rsid w:val="00161E13"/>
    <w:rsid w:val="001629D8"/>
    <w:rsid w:val="00162B2A"/>
    <w:rsid w:val="00162B43"/>
    <w:rsid w:val="00162B8D"/>
    <w:rsid w:val="00162F9F"/>
    <w:rsid w:val="00164803"/>
    <w:rsid w:val="00164AE0"/>
    <w:rsid w:val="00165BF5"/>
    <w:rsid w:val="0016646A"/>
    <w:rsid w:val="00166AF7"/>
    <w:rsid w:val="00167C43"/>
    <w:rsid w:val="001706C9"/>
    <w:rsid w:val="0017120C"/>
    <w:rsid w:val="0017150D"/>
    <w:rsid w:val="001727D7"/>
    <w:rsid w:val="0017298F"/>
    <w:rsid w:val="00172C96"/>
    <w:rsid w:val="00172CFD"/>
    <w:rsid w:val="00172DDC"/>
    <w:rsid w:val="00172F3A"/>
    <w:rsid w:val="00172FC3"/>
    <w:rsid w:val="00173477"/>
    <w:rsid w:val="0017414F"/>
    <w:rsid w:val="0017432C"/>
    <w:rsid w:val="00174636"/>
    <w:rsid w:val="00174735"/>
    <w:rsid w:val="0017481D"/>
    <w:rsid w:val="00174B1B"/>
    <w:rsid w:val="00174BD8"/>
    <w:rsid w:val="00174D51"/>
    <w:rsid w:val="001750BC"/>
    <w:rsid w:val="001765BB"/>
    <w:rsid w:val="0017667E"/>
    <w:rsid w:val="001766D3"/>
    <w:rsid w:val="00176AE8"/>
    <w:rsid w:val="00176E22"/>
    <w:rsid w:val="00176E76"/>
    <w:rsid w:val="00177570"/>
    <w:rsid w:val="00177E95"/>
    <w:rsid w:val="0018007F"/>
    <w:rsid w:val="001811FC"/>
    <w:rsid w:val="00182338"/>
    <w:rsid w:val="00182348"/>
    <w:rsid w:val="00183F50"/>
    <w:rsid w:val="00184BD9"/>
    <w:rsid w:val="00184ED6"/>
    <w:rsid w:val="00184F13"/>
    <w:rsid w:val="00184FD9"/>
    <w:rsid w:val="001850B3"/>
    <w:rsid w:val="00185830"/>
    <w:rsid w:val="00186037"/>
    <w:rsid w:val="00186AE4"/>
    <w:rsid w:val="00186D14"/>
    <w:rsid w:val="001876D8"/>
    <w:rsid w:val="00187B74"/>
    <w:rsid w:val="00190325"/>
    <w:rsid w:val="00190391"/>
    <w:rsid w:val="0019151E"/>
    <w:rsid w:val="00191593"/>
    <w:rsid w:val="001918F1"/>
    <w:rsid w:val="0019196E"/>
    <w:rsid w:val="00191FF5"/>
    <w:rsid w:val="001926D7"/>
    <w:rsid w:val="00192CCE"/>
    <w:rsid w:val="0019385B"/>
    <w:rsid w:val="00193F1C"/>
    <w:rsid w:val="001945D4"/>
    <w:rsid w:val="001948F5"/>
    <w:rsid w:val="00194958"/>
    <w:rsid w:val="0019600A"/>
    <w:rsid w:val="00196359"/>
    <w:rsid w:val="0019650C"/>
    <w:rsid w:val="001969B9"/>
    <w:rsid w:val="00197205"/>
    <w:rsid w:val="00197632"/>
    <w:rsid w:val="0019793F"/>
    <w:rsid w:val="00197A9D"/>
    <w:rsid w:val="001A08E7"/>
    <w:rsid w:val="001A17D7"/>
    <w:rsid w:val="001A1FDD"/>
    <w:rsid w:val="001A2D8F"/>
    <w:rsid w:val="001A3D89"/>
    <w:rsid w:val="001A5458"/>
    <w:rsid w:val="001A545B"/>
    <w:rsid w:val="001A54DA"/>
    <w:rsid w:val="001A5E69"/>
    <w:rsid w:val="001A6861"/>
    <w:rsid w:val="001A6FEC"/>
    <w:rsid w:val="001A78AA"/>
    <w:rsid w:val="001B08B5"/>
    <w:rsid w:val="001B10F5"/>
    <w:rsid w:val="001B143B"/>
    <w:rsid w:val="001B1532"/>
    <w:rsid w:val="001B1777"/>
    <w:rsid w:val="001B1860"/>
    <w:rsid w:val="001B19C5"/>
    <w:rsid w:val="001B1AFD"/>
    <w:rsid w:val="001B1B6D"/>
    <w:rsid w:val="001B1C93"/>
    <w:rsid w:val="001B21CA"/>
    <w:rsid w:val="001B28D5"/>
    <w:rsid w:val="001B28E4"/>
    <w:rsid w:val="001B2C4A"/>
    <w:rsid w:val="001B35D4"/>
    <w:rsid w:val="001B4446"/>
    <w:rsid w:val="001B4A40"/>
    <w:rsid w:val="001B5A00"/>
    <w:rsid w:val="001B5F59"/>
    <w:rsid w:val="001B616A"/>
    <w:rsid w:val="001B63A7"/>
    <w:rsid w:val="001B6810"/>
    <w:rsid w:val="001B6AAD"/>
    <w:rsid w:val="001B6E89"/>
    <w:rsid w:val="001B73E0"/>
    <w:rsid w:val="001C0125"/>
    <w:rsid w:val="001C03F7"/>
    <w:rsid w:val="001C0448"/>
    <w:rsid w:val="001C1074"/>
    <w:rsid w:val="001C21C8"/>
    <w:rsid w:val="001C25F5"/>
    <w:rsid w:val="001C34D0"/>
    <w:rsid w:val="001C4249"/>
    <w:rsid w:val="001C460E"/>
    <w:rsid w:val="001C46E3"/>
    <w:rsid w:val="001C4F27"/>
    <w:rsid w:val="001C6573"/>
    <w:rsid w:val="001C7D03"/>
    <w:rsid w:val="001D00BE"/>
    <w:rsid w:val="001D02C6"/>
    <w:rsid w:val="001D079B"/>
    <w:rsid w:val="001D0D32"/>
    <w:rsid w:val="001D17C9"/>
    <w:rsid w:val="001D1AB9"/>
    <w:rsid w:val="001D1F20"/>
    <w:rsid w:val="001D3017"/>
    <w:rsid w:val="001D3108"/>
    <w:rsid w:val="001D3323"/>
    <w:rsid w:val="001D3566"/>
    <w:rsid w:val="001D3795"/>
    <w:rsid w:val="001D4006"/>
    <w:rsid w:val="001D54BD"/>
    <w:rsid w:val="001D5C72"/>
    <w:rsid w:val="001D626E"/>
    <w:rsid w:val="001D733B"/>
    <w:rsid w:val="001D766E"/>
    <w:rsid w:val="001D7674"/>
    <w:rsid w:val="001D7736"/>
    <w:rsid w:val="001E0902"/>
    <w:rsid w:val="001E13E5"/>
    <w:rsid w:val="001E1801"/>
    <w:rsid w:val="001E1C73"/>
    <w:rsid w:val="001E1E05"/>
    <w:rsid w:val="001E22D2"/>
    <w:rsid w:val="001E2343"/>
    <w:rsid w:val="001E2463"/>
    <w:rsid w:val="001E3A17"/>
    <w:rsid w:val="001E3FCB"/>
    <w:rsid w:val="001E453D"/>
    <w:rsid w:val="001E52DF"/>
    <w:rsid w:val="001E588A"/>
    <w:rsid w:val="001E6BCB"/>
    <w:rsid w:val="001E783B"/>
    <w:rsid w:val="001E7FBC"/>
    <w:rsid w:val="001F0822"/>
    <w:rsid w:val="001F08CB"/>
    <w:rsid w:val="001F15F6"/>
    <w:rsid w:val="001F179C"/>
    <w:rsid w:val="001F198E"/>
    <w:rsid w:val="001F24B7"/>
    <w:rsid w:val="001F2649"/>
    <w:rsid w:val="001F3496"/>
    <w:rsid w:val="001F41CA"/>
    <w:rsid w:val="001F4355"/>
    <w:rsid w:val="001F4819"/>
    <w:rsid w:val="001F48BD"/>
    <w:rsid w:val="001F5034"/>
    <w:rsid w:val="001F5116"/>
    <w:rsid w:val="001F61DE"/>
    <w:rsid w:val="001F7054"/>
    <w:rsid w:val="001F7DB7"/>
    <w:rsid w:val="002000AA"/>
    <w:rsid w:val="002007DD"/>
    <w:rsid w:val="00200AD4"/>
    <w:rsid w:val="00200F10"/>
    <w:rsid w:val="00201502"/>
    <w:rsid w:val="0020302A"/>
    <w:rsid w:val="002032A0"/>
    <w:rsid w:val="00203532"/>
    <w:rsid w:val="00203AE0"/>
    <w:rsid w:val="00204106"/>
    <w:rsid w:val="00204109"/>
    <w:rsid w:val="00205041"/>
    <w:rsid w:val="0020524C"/>
    <w:rsid w:val="002059E3"/>
    <w:rsid w:val="002100FF"/>
    <w:rsid w:val="00210B9B"/>
    <w:rsid w:val="002118D1"/>
    <w:rsid w:val="00211DCE"/>
    <w:rsid w:val="00212390"/>
    <w:rsid w:val="00212897"/>
    <w:rsid w:val="00212A0C"/>
    <w:rsid w:val="0021386A"/>
    <w:rsid w:val="00213C44"/>
    <w:rsid w:val="002147EE"/>
    <w:rsid w:val="00215516"/>
    <w:rsid w:val="002159D5"/>
    <w:rsid w:val="00215B64"/>
    <w:rsid w:val="00215C05"/>
    <w:rsid w:val="002161E3"/>
    <w:rsid w:val="00216857"/>
    <w:rsid w:val="00216DF5"/>
    <w:rsid w:val="00216EFA"/>
    <w:rsid w:val="0021798E"/>
    <w:rsid w:val="00217CA1"/>
    <w:rsid w:val="00217DEE"/>
    <w:rsid w:val="002203BF"/>
    <w:rsid w:val="00220C4C"/>
    <w:rsid w:val="00220E95"/>
    <w:rsid w:val="002217FE"/>
    <w:rsid w:val="0022180C"/>
    <w:rsid w:val="00221C72"/>
    <w:rsid w:val="002223E1"/>
    <w:rsid w:val="002225AB"/>
    <w:rsid w:val="00222A58"/>
    <w:rsid w:val="00223062"/>
    <w:rsid w:val="002231B0"/>
    <w:rsid w:val="00224B30"/>
    <w:rsid w:val="002250D1"/>
    <w:rsid w:val="00225549"/>
    <w:rsid w:val="002267D2"/>
    <w:rsid w:val="00227032"/>
    <w:rsid w:val="0023022E"/>
    <w:rsid w:val="00230839"/>
    <w:rsid w:val="00230EE8"/>
    <w:rsid w:val="00231ADB"/>
    <w:rsid w:val="00232178"/>
    <w:rsid w:val="00232248"/>
    <w:rsid w:val="00232D12"/>
    <w:rsid w:val="00233616"/>
    <w:rsid w:val="00233975"/>
    <w:rsid w:val="00233B8C"/>
    <w:rsid w:val="002353E3"/>
    <w:rsid w:val="00235CC0"/>
    <w:rsid w:val="00235F30"/>
    <w:rsid w:val="00236287"/>
    <w:rsid w:val="002363FF"/>
    <w:rsid w:val="00236D10"/>
    <w:rsid w:val="002407CE"/>
    <w:rsid w:val="00240E6B"/>
    <w:rsid w:val="00242325"/>
    <w:rsid w:val="0024294C"/>
    <w:rsid w:val="00243A38"/>
    <w:rsid w:val="0024474F"/>
    <w:rsid w:val="00244761"/>
    <w:rsid w:val="002450F2"/>
    <w:rsid w:val="0024555C"/>
    <w:rsid w:val="00245B7F"/>
    <w:rsid w:val="002469C2"/>
    <w:rsid w:val="00247BDE"/>
    <w:rsid w:val="00247DE2"/>
    <w:rsid w:val="002505DE"/>
    <w:rsid w:val="00250758"/>
    <w:rsid w:val="002514FA"/>
    <w:rsid w:val="00251DAF"/>
    <w:rsid w:val="00252503"/>
    <w:rsid w:val="00252ED7"/>
    <w:rsid w:val="0025393C"/>
    <w:rsid w:val="002549E7"/>
    <w:rsid w:val="00254A7A"/>
    <w:rsid w:val="00254EA4"/>
    <w:rsid w:val="0025509C"/>
    <w:rsid w:val="002552F8"/>
    <w:rsid w:val="0025531E"/>
    <w:rsid w:val="0025575F"/>
    <w:rsid w:val="00256105"/>
    <w:rsid w:val="002563B6"/>
    <w:rsid w:val="002571E3"/>
    <w:rsid w:val="00260496"/>
    <w:rsid w:val="00260542"/>
    <w:rsid w:val="00260BAD"/>
    <w:rsid w:val="0026224C"/>
    <w:rsid w:val="0026257D"/>
    <w:rsid w:val="00263654"/>
    <w:rsid w:val="00264C7C"/>
    <w:rsid w:val="00266060"/>
    <w:rsid w:val="0026650F"/>
    <w:rsid w:val="00266C60"/>
    <w:rsid w:val="00266DC3"/>
    <w:rsid w:val="0027029D"/>
    <w:rsid w:val="00270443"/>
    <w:rsid w:val="00270EE2"/>
    <w:rsid w:val="0027138C"/>
    <w:rsid w:val="0027165A"/>
    <w:rsid w:val="00272787"/>
    <w:rsid w:val="00272826"/>
    <w:rsid w:val="00272A7B"/>
    <w:rsid w:val="00272C44"/>
    <w:rsid w:val="00272DEF"/>
    <w:rsid w:val="00272F05"/>
    <w:rsid w:val="00273527"/>
    <w:rsid w:val="00273BA7"/>
    <w:rsid w:val="00273F6B"/>
    <w:rsid w:val="002747EF"/>
    <w:rsid w:val="00274B06"/>
    <w:rsid w:val="002751D6"/>
    <w:rsid w:val="002754D3"/>
    <w:rsid w:val="00276944"/>
    <w:rsid w:val="00276964"/>
    <w:rsid w:val="002769AE"/>
    <w:rsid w:val="00276D72"/>
    <w:rsid w:val="002817A6"/>
    <w:rsid w:val="002821E8"/>
    <w:rsid w:val="00282F1D"/>
    <w:rsid w:val="00283215"/>
    <w:rsid w:val="002833F3"/>
    <w:rsid w:val="00284203"/>
    <w:rsid w:val="00285237"/>
    <w:rsid w:val="00285A8B"/>
    <w:rsid w:val="00285E3F"/>
    <w:rsid w:val="0028610D"/>
    <w:rsid w:val="002862CC"/>
    <w:rsid w:val="00286BFE"/>
    <w:rsid w:val="00286C81"/>
    <w:rsid w:val="0028703E"/>
    <w:rsid w:val="0028709F"/>
    <w:rsid w:val="0028717B"/>
    <w:rsid w:val="00287379"/>
    <w:rsid w:val="00287524"/>
    <w:rsid w:val="00290119"/>
    <w:rsid w:val="0029040D"/>
    <w:rsid w:val="002908F8"/>
    <w:rsid w:val="00290A53"/>
    <w:rsid w:val="00290B64"/>
    <w:rsid w:val="00291C35"/>
    <w:rsid w:val="00291CB7"/>
    <w:rsid w:val="00292E91"/>
    <w:rsid w:val="002930AD"/>
    <w:rsid w:val="00293254"/>
    <w:rsid w:val="0029448D"/>
    <w:rsid w:val="00295002"/>
    <w:rsid w:val="0029568E"/>
    <w:rsid w:val="00295E8C"/>
    <w:rsid w:val="002971C7"/>
    <w:rsid w:val="002971F2"/>
    <w:rsid w:val="00297785"/>
    <w:rsid w:val="00297845"/>
    <w:rsid w:val="00297E05"/>
    <w:rsid w:val="002A0444"/>
    <w:rsid w:val="002A0669"/>
    <w:rsid w:val="002A0F8D"/>
    <w:rsid w:val="002A12B7"/>
    <w:rsid w:val="002A1311"/>
    <w:rsid w:val="002A1377"/>
    <w:rsid w:val="002A211A"/>
    <w:rsid w:val="002A264B"/>
    <w:rsid w:val="002A38DF"/>
    <w:rsid w:val="002A4A82"/>
    <w:rsid w:val="002A4B33"/>
    <w:rsid w:val="002A4C00"/>
    <w:rsid w:val="002A5311"/>
    <w:rsid w:val="002A5863"/>
    <w:rsid w:val="002A6B31"/>
    <w:rsid w:val="002A6E9B"/>
    <w:rsid w:val="002A6FBB"/>
    <w:rsid w:val="002B05D1"/>
    <w:rsid w:val="002B1933"/>
    <w:rsid w:val="002B20BD"/>
    <w:rsid w:val="002B2611"/>
    <w:rsid w:val="002B27D8"/>
    <w:rsid w:val="002B38D2"/>
    <w:rsid w:val="002B3A46"/>
    <w:rsid w:val="002B3F1C"/>
    <w:rsid w:val="002B401B"/>
    <w:rsid w:val="002B4ED9"/>
    <w:rsid w:val="002B4EF4"/>
    <w:rsid w:val="002B4EFB"/>
    <w:rsid w:val="002B58C5"/>
    <w:rsid w:val="002B5BA5"/>
    <w:rsid w:val="002B6CA2"/>
    <w:rsid w:val="002B6E44"/>
    <w:rsid w:val="002B6E8A"/>
    <w:rsid w:val="002B726F"/>
    <w:rsid w:val="002B744E"/>
    <w:rsid w:val="002B7909"/>
    <w:rsid w:val="002C000B"/>
    <w:rsid w:val="002C016F"/>
    <w:rsid w:val="002C09A8"/>
    <w:rsid w:val="002C103C"/>
    <w:rsid w:val="002C1109"/>
    <w:rsid w:val="002C12C7"/>
    <w:rsid w:val="002C1B0B"/>
    <w:rsid w:val="002C1E93"/>
    <w:rsid w:val="002C29EB"/>
    <w:rsid w:val="002C30F0"/>
    <w:rsid w:val="002C401A"/>
    <w:rsid w:val="002C479B"/>
    <w:rsid w:val="002C532B"/>
    <w:rsid w:val="002C676E"/>
    <w:rsid w:val="002C6D15"/>
    <w:rsid w:val="002C72F4"/>
    <w:rsid w:val="002C7E5B"/>
    <w:rsid w:val="002D0907"/>
    <w:rsid w:val="002D0E9E"/>
    <w:rsid w:val="002D1381"/>
    <w:rsid w:val="002D2D68"/>
    <w:rsid w:val="002D2F69"/>
    <w:rsid w:val="002D3067"/>
    <w:rsid w:val="002D38D9"/>
    <w:rsid w:val="002D3CE3"/>
    <w:rsid w:val="002D4298"/>
    <w:rsid w:val="002D47E8"/>
    <w:rsid w:val="002D4FCC"/>
    <w:rsid w:val="002D5FD5"/>
    <w:rsid w:val="002D62FE"/>
    <w:rsid w:val="002D68F4"/>
    <w:rsid w:val="002D7417"/>
    <w:rsid w:val="002D782B"/>
    <w:rsid w:val="002E0D9C"/>
    <w:rsid w:val="002E1247"/>
    <w:rsid w:val="002E26E8"/>
    <w:rsid w:val="002E2D43"/>
    <w:rsid w:val="002E3DD8"/>
    <w:rsid w:val="002E3ED8"/>
    <w:rsid w:val="002E3F15"/>
    <w:rsid w:val="002E5A01"/>
    <w:rsid w:val="002E5EA3"/>
    <w:rsid w:val="002E6F8C"/>
    <w:rsid w:val="002E717C"/>
    <w:rsid w:val="002E7533"/>
    <w:rsid w:val="002E7A61"/>
    <w:rsid w:val="002F00B8"/>
    <w:rsid w:val="002F0106"/>
    <w:rsid w:val="002F03C8"/>
    <w:rsid w:val="002F182B"/>
    <w:rsid w:val="002F188D"/>
    <w:rsid w:val="002F18A5"/>
    <w:rsid w:val="002F26F3"/>
    <w:rsid w:val="002F317F"/>
    <w:rsid w:val="002F34EE"/>
    <w:rsid w:val="002F51A2"/>
    <w:rsid w:val="002F5304"/>
    <w:rsid w:val="002F5BA8"/>
    <w:rsid w:val="002F5E95"/>
    <w:rsid w:val="002F63CA"/>
    <w:rsid w:val="002F67B4"/>
    <w:rsid w:val="002F6A5D"/>
    <w:rsid w:val="002F6F1A"/>
    <w:rsid w:val="002F6F73"/>
    <w:rsid w:val="002F7AA9"/>
    <w:rsid w:val="003004E3"/>
    <w:rsid w:val="00301C0D"/>
    <w:rsid w:val="00301D7B"/>
    <w:rsid w:val="00301E19"/>
    <w:rsid w:val="003023DE"/>
    <w:rsid w:val="00303A48"/>
    <w:rsid w:val="00303DC4"/>
    <w:rsid w:val="00304676"/>
    <w:rsid w:val="00306BE7"/>
    <w:rsid w:val="003110A2"/>
    <w:rsid w:val="00311B66"/>
    <w:rsid w:val="00311F29"/>
    <w:rsid w:val="003128E7"/>
    <w:rsid w:val="00314036"/>
    <w:rsid w:val="00314347"/>
    <w:rsid w:val="00314C4F"/>
    <w:rsid w:val="00314E81"/>
    <w:rsid w:val="00314FAF"/>
    <w:rsid w:val="003162A5"/>
    <w:rsid w:val="00316591"/>
    <w:rsid w:val="0032084E"/>
    <w:rsid w:val="00320C6D"/>
    <w:rsid w:val="00320CBE"/>
    <w:rsid w:val="003213A8"/>
    <w:rsid w:val="00321FA8"/>
    <w:rsid w:val="00321FFD"/>
    <w:rsid w:val="003225AD"/>
    <w:rsid w:val="00322E18"/>
    <w:rsid w:val="00323C3D"/>
    <w:rsid w:val="00323D1D"/>
    <w:rsid w:val="00323D95"/>
    <w:rsid w:val="00323F8A"/>
    <w:rsid w:val="0032467A"/>
    <w:rsid w:val="00324D73"/>
    <w:rsid w:val="00326011"/>
    <w:rsid w:val="0032643D"/>
    <w:rsid w:val="00326619"/>
    <w:rsid w:val="00326D02"/>
    <w:rsid w:val="00327069"/>
    <w:rsid w:val="00327557"/>
    <w:rsid w:val="00327812"/>
    <w:rsid w:val="00327AFB"/>
    <w:rsid w:val="00327BAF"/>
    <w:rsid w:val="00327D10"/>
    <w:rsid w:val="00331894"/>
    <w:rsid w:val="00332CB8"/>
    <w:rsid w:val="00333428"/>
    <w:rsid w:val="00334B9B"/>
    <w:rsid w:val="003350B6"/>
    <w:rsid w:val="0033595E"/>
    <w:rsid w:val="0033601B"/>
    <w:rsid w:val="003364B6"/>
    <w:rsid w:val="0033764C"/>
    <w:rsid w:val="00337998"/>
    <w:rsid w:val="00337DF3"/>
    <w:rsid w:val="00340039"/>
    <w:rsid w:val="003400D3"/>
    <w:rsid w:val="0034024F"/>
    <w:rsid w:val="00340A77"/>
    <w:rsid w:val="00340D39"/>
    <w:rsid w:val="00340DFB"/>
    <w:rsid w:val="003411C7"/>
    <w:rsid w:val="00341941"/>
    <w:rsid w:val="0034207A"/>
    <w:rsid w:val="0034278F"/>
    <w:rsid w:val="00343B47"/>
    <w:rsid w:val="00343EFC"/>
    <w:rsid w:val="0034404F"/>
    <w:rsid w:val="00344ACC"/>
    <w:rsid w:val="0034584A"/>
    <w:rsid w:val="00345F01"/>
    <w:rsid w:val="0034654F"/>
    <w:rsid w:val="00346B28"/>
    <w:rsid w:val="00347685"/>
    <w:rsid w:val="003509A5"/>
    <w:rsid w:val="003515FD"/>
    <w:rsid w:val="003518A4"/>
    <w:rsid w:val="00351E21"/>
    <w:rsid w:val="00351E2C"/>
    <w:rsid w:val="00352327"/>
    <w:rsid w:val="00354062"/>
    <w:rsid w:val="00354405"/>
    <w:rsid w:val="00355A76"/>
    <w:rsid w:val="00355DEC"/>
    <w:rsid w:val="0035635F"/>
    <w:rsid w:val="00356E0F"/>
    <w:rsid w:val="0035700C"/>
    <w:rsid w:val="00357615"/>
    <w:rsid w:val="003600AA"/>
    <w:rsid w:val="003607EE"/>
    <w:rsid w:val="00360818"/>
    <w:rsid w:val="00360BC8"/>
    <w:rsid w:val="00360E35"/>
    <w:rsid w:val="003617AE"/>
    <w:rsid w:val="00361D61"/>
    <w:rsid w:val="0036215C"/>
    <w:rsid w:val="0036276A"/>
    <w:rsid w:val="003630F7"/>
    <w:rsid w:val="0036332B"/>
    <w:rsid w:val="00363589"/>
    <w:rsid w:val="00363636"/>
    <w:rsid w:val="00363E35"/>
    <w:rsid w:val="003651AC"/>
    <w:rsid w:val="003653AA"/>
    <w:rsid w:val="00366120"/>
    <w:rsid w:val="003661FF"/>
    <w:rsid w:val="003665A5"/>
    <w:rsid w:val="00366A0C"/>
    <w:rsid w:val="00367238"/>
    <w:rsid w:val="00367462"/>
    <w:rsid w:val="003677D5"/>
    <w:rsid w:val="0037034B"/>
    <w:rsid w:val="00370507"/>
    <w:rsid w:val="00370682"/>
    <w:rsid w:val="00370F0B"/>
    <w:rsid w:val="00371715"/>
    <w:rsid w:val="003718D8"/>
    <w:rsid w:val="00371F19"/>
    <w:rsid w:val="00372A01"/>
    <w:rsid w:val="003733DF"/>
    <w:rsid w:val="00373865"/>
    <w:rsid w:val="003739DA"/>
    <w:rsid w:val="00373CE8"/>
    <w:rsid w:val="00374DB0"/>
    <w:rsid w:val="003751C7"/>
    <w:rsid w:val="00375C84"/>
    <w:rsid w:val="00376524"/>
    <w:rsid w:val="00376E3B"/>
    <w:rsid w:val="003776FE"/>
    <w:rsid w:val="00377973"/>
    <w:rsid w:val="00380424"/>
    <w:rsid w:val="00380868"/>
    <w:rsid w:val="00380B9B"/>
    <w:rsid w:val="003818B3"/>
    <w:rsid w:val="003819F5"/>
    <w:rsid w:val="00381A52"/>
    <w:rsid w:val="00381B57"/>
    <w:rsid w:val="00381D47"/>
    <w:rsid w:val="003821CC"/>
    <w:rsid w:val="003835F0"/>
    <w:rsid w:val="00383E33"/>
    <w:rsid w:val="00384D70"/>
    <w:rsid w:val="003853B1"/>
    <w:rsid w:val="003853ED"/>
    <w:rsid w:val="00385EA0"/>
    <w:rsid w:val="0038628F"/>
    <w:rsid w:val="0038629D"/>
    <w:rsid w:val="00386421"/>
    <w:rsid w:val="0038704C"/>
    <w:rsid w:val="00387AA1"/>
    <w:rsid w:val="00387E85"/>
    <w:rsid w:val="003900EA"/>
    <w:rsid w:val="0039082A"/>
    <w:rsid w:val="0039101F"/>
    <w:rsid w:val="00392EDB"/>
    <w:rsid w:val="00392FAE"/>
    <w:rsid w:val="003931AA"/>
    <w:rsid w:val="003936E5"/>
    <w:rsid w:val="00393EEE"/>
    <w:rsid w:val="00394CCC"/>
    <w:rsid w:val="00394D45"/>
    <w:rsid w:val="00395132"/>
    <w:rsid w:val="00395D99"/>
    <w:rsid w:val="003968DF"/>
    <w:rsid w:val="003976C3"/>
    <w:rsid w:val="00397A03"/>
    <w:rsid w:val="00397A64"/>
    <w:rsid w:val="003A099A"/>
    <w:rsid w:val="003A1372"/>
    <w:rsid w:val="003A1D46"/>
    <w:rsid w:val="003A2447"/>
    <w:rsid w:val="003A2B82"/>
    <w:rsid w:val="003A3927"/>
    <w:rsid w:val="003A3D2E"/>
    <w:rsid w:val="003A3FF7"/>
    <w:rsid w:val="003A43D1"/>
    <w:rsid w:val="003A4B49"/>
    <w:rsid w:val="003A6A51"/>
    <w:rsid w:val="003A6D8A"/>
    <w:rsid w:val="003A6E29"/>
    <w:rsid w:val="003A7FEA"/>
    <w:rsid w:val="003B0BDB"/>
    <w:rsid w:val="003B0E88"/>
    <w:rsid w:val="003B106E"/>
    <w:rsid w:val="003B153F"/>
    <w:rsid w:val="003B17B0"/>
    <w:rsid w:val="003B1844"/>
    <w:rsid w:val="003B1A5C"/>
    <w:rsid w:val="003B211E"/>
    <w:rsid w:val="003B24EA"/>
    <w:rsid w:val="003B2DA7"/>
    <w:rsid w:val="003B3AB7"/>
    <w:rsid w:val="003B3ABC"/>
    <w:rsid w:val="003B3CDD"/>
    <w:rsid w:val="003B3D8E"/>
    <w:rsid w:val="003B3FED"/>
    <w:rsid w:val="003B3FF1"/>
    <w:rsid w:val="003B4217"/>
    <w:rsid w:val="003B59A1"/>
    <w:rsid w:val="003B6772"/>
    <w:rsid w:val="003B6D11"/>
    <w:rsid w:val="003B74F1"/>
    <w:rsid w:val="003B7541"/>
    <w:rsid w:val="003B7966"/>
    <w:rsid w:val="003B7F07"/>
    <w:rsid w:val="003B7FCE"/>
    <w:rsid w:val="003C0F87"/>
    <w:rsid w:val="003C141E"/>
    <w:rsid w:val="003C1B83"/>
    <w:rsid w:val="003C2084"/>
    <w:rsid w:val="003C210E"/>
    <w:rsid w:val="003C21B3"/>
    <w:rsid w:val="003C30AD"/>
    <w:rsid w:val="003C3503"/>
    <w:rsid w:val="003C40DE"/>
    <w:rsid w:val="003C4523"/>
    <w:rsid w:val="003C4851"/>
    <w:rsid w:val="003C4C96"/>
    <w:rsid w:val="003C55B7"/>
    <w:rsid w:val="003C55E0"/>
    <w:rsid w:val="003C5E39"/>
    <w:rsid w:val="003C683A"/>
    <w:rsid w:val="003C696B"/>
    <w:rsid w:val="003D0079"/>
    <w:rsid w:val="003D017D"/>
    <w:rsid w:val="003D04D6"/>
    <w:rsid w:val="003D10EC"/>
    <w:rsid w:val="003D28DE"/>
    <w:rsid w:val="003D29B9"/>
    <w:rsid w:val="003D2FAE"/>
    <w:rsid w:val="003D3500"/>
    <w:rsid w:val="003D37B6"/>
    <w:rsid w:val="003D3C68"/>
    <w:rsid w:val="003D450D"/>
    <w:rsid w:val="003D503A"/>
    <w:rsid w:val="003D571E"/>
    <w:rsid w:val="003D6505"/>
    <w:rsid w:val="003D71A6"/>
    <w:rsid w:val="003D7709"/>
    <w:rsid w:val="003E004C"/>
    <w:rsid w:val="003E0BAF"/>
    <w:rsid w:val="003E0E25"/>
    <w:rsid w:val="003E1409"/>
    <w:rsid w:val="003E16F2"/>
    <w:rsid w:val="003E2ABD"/>
    <w:rsid w:val="003E4A52"/>
    <w:rsid w:val="003E78A9"/>
    <w:rsid w:val="003E7912"/>
    <w:rsid w:val="003F04E6"/>
    <w:rsid w:val="003F2CDD"/>
    <w:rsid w:val="003F45D7"/>
    <w:rsid w:val="003F4E4F"/>
    <w:rsid w:val="003F5660"/>
    <w:rsid w:val="003F5717"/>
    <w:rsid w:val="003F5A39"/>
    <w:rsid w:val="003F5B56"/>
    <w:rsid w:val="003F5B9F"/>
    <w:rsid w:val="003F5C1A"/>
    <w:rsid w:val="003F6A6A"/>
    <w:rsid w:val="003F6AC7"/>
    <w:rsid w:val="003F738D"/>
    <w:rsid w:val="003F7554"/>
    <w:rsid w:val="003F7FA1"/>
    <w:rsid w:val="004006EA"/>
    <w:rsid w:val="004008DE"/>
    <w:rsid w:val="00400B4E"/>
    <w:rsid w:val="0040130D"/>
    <w:rsid w:val="00402E56"/>
    <w:rsid w:val="00403634"/>
    <w:rsid w:val="00404592"/>
    <w:rsid w:val="00404B58"/>
    <w:rsid w:val="00404B6C"/>
    <w:rsid w:val="00404BAE"/>
    <w:rsid w:val="0040544F"/>
    <w:rsid w:val="00405537"/>
    <w:rsid w:val="00405D87"/>
    <w:rsid w:val="0040625C"/>
    <w:rsid w:val="004069D2"/>
    <w:rsid w:val="00406C5D"/>
    <w:rsid w:val="004072F7"/>
    <w:rsid w:val="004076FF"/>
    <w:rsid w:val="00410982"/>
    <w:rsid w:val="00410E71"/>
    <w:rsid w:val="004110FE"/>
    <w:rsid w:val="00411B17"/>
    <w:rsid w:val="0041222D"/>
    <w:rsid w:val="004124F2"/>
    <w:rsid w:val="00412E6F"/>
    <w:rsid w:val="00413C5C"/>
    <w:rsid w:val="00413E22"/>
    <w:rsid w:val="0041413F"/>
    <w:rsid w:val="0041567A"/>
    <w:rsid w:val="00415BAB"/>
    <w:rsid w:val="00415BCF"/>
    <w:rsid w:val="00416297"/>
    <w:rsid w:val="004166B6"/>
    <w:rsid w:val="00417083"/>
    <w:rsid w:val="0042057C"/>
    <w:rsid w:val="00420BDF"/>
    <w:rsid w:val="00421608"/>
    <w:rsid w:val="00421C23"/>
    <w:rsid w:val="0042261E"/>
    <w:rsid w:val="00422749"/>
    <w:rsid w:val="004228F2"/>
    <w:rsid w:val="00422FCE"/>
    <w:rsid w:val="004233DC"/>
    <w:rsid w:val="00423429"/>
    <w:rsid w:val="004245B6"/>
    <w:rsid w:val="00424888"/>
    <w:rsid w:val="004255D9"/>
    <w:rsid w:val="00425763"/>
    <w:rsid w:val="00425C3C"/>
    <w:rsid w:val="00427D1B"/>
    <w:rsid w:val="00427E40"/>
    <w:rsid w:val="004306AB"/>
    <w:rsid w:val="00431278"/>
    <w:rsid w:val="0043159D"/>
    <w:rsid w:val="00431655"/>
    <w:rsid w:val="0043171D"/>
    <w:rsid w:val="00432F78"/>
    <w:rsid w:val="004333C8"/>
    <w:rsid w:val="004334A2"/>
    <w:rsid w:val="004335BC"/>
    <w:rsid w:val="004339E6"/>
    <w:rsid w:val="004345AB"/>
    <w:rsid w:val="00434723"/>
    <w:rsid w:val="00434729"/>
    <w:rsid w:val="0043617B"/>
    <w:rsid w:val="00437D17"/>
    <w:rsid w:val="00437D2F"/>
    <w:rsid w:val="0044046D"/>
    <w:rsid w:val="00440A2B"/>
    <w:rsid w:val="004410D3"/>
    <w:rsid w:val="00441A5B"/>
    <w:rsid w:val="00441DAF"/>
    <w:rsid w:val="0044270D"/>
    <w:rsid w:val="00442E8C"/>
    <w:rsid w:val="0044312A"/>
    <w:rsid w:val="00443310"/>
    <w:rsid w:val="004435D5"/>
    <w:rsid w:val="00443A34"/>
    <w:rsid w:val="00443D38"/>
    <w:rsid w:val="00444140"/>
    <w:rsid w:val="00444BF5"/>
    <w:rsid w:val="00444F43"/>
    <w:rsid w:val="00447C23"/>
    <w:rsid w:val="00450744"/>
    <w:rsid w:val="00450BE7"/>
    <w:rsid w:val="00450FE8"/>
    <w:rsid w:val="0045213A"/>
    <w:rsid w:val="0045230E"/>
    <w:rsid w:val="004528FA"/>
    <w:rsid w:val="00452D67"/>
    <w:rsid w:val="00452E53"/>
    <w:rsid w:val="004542C6"/>
    <w:rsid w:val="0045431D"/>
    <w:rsid w:val="00454EDC"/>
    <w:rsid w:val="00455B00"/>
    <w:rsid w:val="00455B97"/>
    <w:rsid w:val="00456635"/>
    <w:rsid w:val="00456BFD"/>
    <w:rsid w:val="004575D5"/>
    <w:rsid w:val="00457657"/>
    <w:rsid w:val="004577C3"/>
    <w:rsid w:val="00457D49"/>
    <w:rsid w:val="004600BF"/>
    <w:rsid w:val="004607D0"/>
    <w:rsid w:val="00460CE3"/>
    <w:rsid w:val="004612A4"/>
    <w:rsid w:val="0046153C"/>
    <w:rsid w:val="00461716"/>
    <w:rsid w:val="004624D2"/>
    <w:rsid w:val="004625C8"/>
    <w:rsid w:val="00462DCE"/>
    <w:rsid w:val="0046442A"/>
    <w:rsid w:val="00464BF1"/>
    <w:rsid w:val="00465B19"/>
    <w:rsid w:val="00466078"/>
    <w:rsid w:val="0046626B"/>
    <w:rsid w:val="004676E4"/>
    <w:rsid w:val="00467AFF"/>
    <w:rsid w:val="00467F49"/>
    <w:rsid w:val="00470183"/>
    <w:rsid w:val="00470265"/>
    <w:rsid w:val="004708C9"/>
    <w:rsid w:val="00470C48"/>
    <w:rsid w:val="0047139F"/>
    <w:rsid w:val="00471429"/>
    <w:rsid w:val="004722B1"/>
    <w:rsid w:val="004722CE"/>
    <w:rsid w:val="004727AF"/>
    <w:rsid w:val="004735B7"/>
    <w:rsid w:val="00473A47"/>
    <w:rsid w:val="00473A4F"/>
    <w:rsid w:val="00473C0A"/>
    <w:rsid w:val="00473EEF"/>
    <w:rsid w:val="00473F32"/>
    <w:rsid w:val="00474219"/>
    <w:rsid w:val="00474415"/>
    <w:rsid w:val="00474BC1"/>
    <w:rsid w:val="00474BD0"/>
    <w:rsid w:val="004771ED"/>
    <w:rsid w:val="0047722F"/>
    <w:rsid w:val="00477459"/>
    <w:rsid w:val="00477CC9"/>
    <w:rsid w:val="0048026E"/>
    <w:rsid w:val="00480303"/>
    <w:rsid w:val="004807A9"/>
    <w:rsid w:val="00480A8A"/>
    <w:rsid w:val="00480F76"/>
    <w:rsid w:val="004810A5"/>
    <w:rsid w:val="004810E0"/>
    <w:rsid w:val="00481318"/>
    <w:rsid w:val="00481363"/>
    <w:rsid w:val="004813EE"/>
    <w:rsid w:val="00481835"/>
    <w:rsid w:val="00482CDC"/>
    <w:rsid w:val="00482FB0"/>
    <w:rsid w:val="00483B03"/>
    <w:rsid w:val="0048444C"/>
    <w:rsid w:val="00485058"/>
    <w:rsid w:val="004851E3"/>
    <w:rsid w:val="00485702"/>
    <w:rsid w:val="004867EC"/>
    <w:rsid w:val="00486A37"/>
    <w:rsid w:val="00487662"/>
    <w:rsid w:val="004876C6"/>
    <w:rsid w:val="0048775B"/>
    <w:rsid w:val="00487D7B"/>
    <w:rsid w:val="00490F7A"/>
    <w:rsid w:val="00490FD5"/>
    <w:rsid w:val="00491241"/>
    <w:rsid w:val="00491813"/>
    <w:rsid w:val="00493278"/>
    <w:rsid w:val="00493855"/>
    <w:rsid w:val="004951D8"/>
    <w:rsid w:val="004952C1"/>
    <w:rsid w:val="00497575"/>
    <w:rsid w:val="004A078B"/>
    <w:rsid w:val="004A12C0"/>
    <w:rsid w:val="004A169A"/>
    <w:rsid w:val="004A18C9"/>
    <w:rsid w:val="004A191A"/>
    <w:rsid w:val="004A1A70"/>
    <w:rsid w:val="004A4027"/>
    <w:rsid w:val="004A419E"/>
    <w:rsid w:val="004A4688"/>
    <w:rsid w:val="004A4DD1"/>
    <w:rsid w:val="004A6354"/>
    <w:rsid w:val="004A6463"/>
    <w:rsid w:val="004A66CE"/>
    <w:rsid w:val="004A6B58"/>
    <w:rsid w:val="004A6DB9"/>
    <w:rsid w:val="004B0535"/>
    <w:rsid w:val="004B06C3"/>
    <w:rsid w:val="004B087F"/>
    <w:rsid w:val="004B0917"/>
    <w:rsid w:val="004B0B09"/>
    <w:rsid w:val="004B140F"/>
    <w:rsid w:val="004B14EB"/>
    <w:rsid w:val="004B21CF"/>
    <w:rsid w:val="004B2DE3"/>
    <w:rsid w:val="004B3122"/>
    <w:rsid w:val="004B390A"/>
    <w:rsid w:val="004B3FEA"/>
    <w:rsid w:val="004B53F1"/>
    <w:rsid w:val="004B5D6E"/>
    <w:rsid w:val="004B60BA"/>
    <w:rsid w:val="004B6946"/>
    <w:rsid w:val="004B6D89"/>
    <w:rsid w:val="004B6E81"/>
    <w:rsid w:val="004C0F52"/>
    <w:rsid w:val="004C0FFE"/>
    <w:rsid w:val="004C136D"/>
    <w:rsid w:val="004C1619"/>
    <w:rsid w:val="004C177F"/>
    <w:rsid w:val="004C1B59"/>
    <w:rsid w:val="004C3C25"/>
    <w:rsid w:val="004C3D54"/>
    <w:rsid w:val="004C3EEA"/>
    <w:rsid w:val="004C4EA2"/>
    <w:rsid w:val="004C596B"/>
    <w:rsid w:val="004C5E41"/>
    <w:rsid w:val="004C60E7"/>
    <w:rsid w:val="004C7BDE"/>
    <w:rsid w:val="004D0090"/>
    <w:rsid w:val="004D020F"/>
    <w:rsid w:val="004D03D1"/>
    <w:rsid w:val="004D0481"/>
    <w:rsid w:val="004D11AF"/>
    <w:rsid w:val="004D1789"/>
    <w:rsid w:val="004D20DD"/>
    <w:rsid w:val="004D2E58"/>
    <w:rsid w:val="004D37D9"/>
    <w:rsid w:val="004D41A2"/>
    <w:rsid w:val="004D502C"/>
    <w:rsid w:val="004D5587"/>
    <w:rsid w:val="004D5758"/>
    <w:rsid w:val="004D5D49"/>
    <w:rsid w:val="004D60A3"/>
    <w:rsid w:val="004D6BCE"/>
    <w:rsid w:val="004D71CA"/>
    <w:rsid w:val="004E016A"/>
    <w:rsid w:val="004E02B1"/>
    <w:rsid w:val="004E0461"/>
    <w:rsid w:val="004E06DA"/>
    <w:rsid w:val="004E0D95"/>
    <w:rsid w:val="004E197C"/>
    <w:rsid w:val="004E29B1"/>
    <w:rsid w:val="004E3F87"/>
    <w:rsid w:val="004E461B"/>
    <w:rsid w:val="004E477D"/>
    <w:rsid w:val="004E5890"/>
    <w:rsid w:val="004E5C1D"/>
    <w:rsid w:val="004E77B7"/>
    <w:rsid w:val="004E79EF"/>
    <w:rsid w:val="004E7B33"/>
    <w:rsid w:val="004E7E5C"/>
    <w:rsid w:val="004F024F"/>
    <w:rsid w:val="004F0368"/>
    <w:rsid w:val="004F0D19"/>
    <w:rsid w:val="004F121B"/>
    <w:rsid w:val="004F140F"/>
    <w:rsid w:val="004F185F"/>
    <w:rsid w:val="004F2811"/>
    <w:rsid w:val="004F2CFA"/>
    <w:rsid w:val="004F3326"/>
    <w:rsid w:val="004F56B6"/>
    <w:rsid w:val="004F586A"/>
    <w:rsid w:val="004F590E"/>
    <w:rsid w:val="004F5966"/>
    <w:rsid w:val="004F6026"/>
    <w:rsid w:val="004F60F4"/>
    <w:rsid w:val="004F62E8"/>
    <w:rsid w:val="004F67C3"/>
    <w:rsid w:val="004F6C17"/>
    <w:rsid w:val="004F7390"/>
    <w:rsid w:val="004F78F8"/>
    <w:rsid w:val="005001A5"/>
    <w:rsid w:val="00500751"/>
    <w:rsid w:val="00500CCD"/>
    <w:rsid w:val="005019AA"/>
    <w:rsid w:val="005032E9"/>
    <w:rsid w:val="00503C3B"/>
    <w:rsid w:val="00503CE7"/>
    <w:rsid w:val="005040C9"/>
    <w:rsid w:val="005042DB"/>
    <w:rsid w:val="0050458E"/>
    <w:rsid w:val="00505928"/>
    <w:rsid w:val="00505CD6"/>
    <w:rsid w:val="005069B2"/>
    <w:rsid w:val="0050741A"/>
    <w:rsid w:val="00510452"/>
    <w:rsid w:val="0051067F"/>
    <w:rsid w:val="005108EC"/>
    <w:rsid w:val="00511F8F"/>
    <w:rsid w:val="00512FA4"/>
    <w:rsid w:val="00513291"/>
    <w:rsid w:val="0051386E"/>
    <w:rsid w:val="00513EA4"/>
    <w:rsid w:val="005147DA"/>
    <w:rsid w:val="00514C20"/>
    <w:rsid w:val="00514D4B"/>
    <w:rsid w:val="00514FBF"/>
    <w:rsid w:val="005153AC"/>
    <w:rsid w:val="005153C3"/>
    <w:rsid w:val="00515745"/>
    <w:rsid w:val="00515862"/>
    <w:rsid w:val="005165FE"/>
    <w:rsid w:val="00516942"/>
    <w:rsid w:val="00516DC0"/>
    <w:rsid w:val="00516DC5"/>
    <w:rsid w:val="0052022A"/>
    <w:rsid w:val="00520A80"/>
    <w:rsid w:val="00520BBA"/>
    <w:rsid w:val="005213E9"/>
    <w:rsid w:val="005225AC"/>
    <w:rsid w:val="005226FA"/>
    <w:rsid w:val="0052312C"/>
    <w:rsid w:val="005233F3"/>
    <w:rsid w:val="0052365C"/>
    <w:rsid w:val="005245D2"/>
    <w:rsid w:val="0052488B"/>
    <w:rsid w:val="00524C98"/>
    <w:rsid w:val="00524C9C"/>
    <w:rsid w:val="00524EDD"/>
    <w:rsid w:val="00525B59"/>
    <w:rsid w:val="005269C4"/>
    <w:rsid w:val="00526A20"/>
    <w:rsid w:val="00527C12"/>
    <w:rsid w:val="00530472"/>
    <w:rsid w:val="00531966"/>
    <w:rsid w:val="005329DA"/>
    <w:rsid w:val="0053322F"/>
    <w:rsid w:val="00533BC1"/>
    <w:rsid w:val="00533DBF"/>
    <w:rsid w:val="00534940"/>
    <w:rsid w:val="00535673"/>
    <w:rsid w:val="00535784"/>
    <w:rsid w:val="00535D6B"/>
    <w:rsid w:val="00536442"/>
    <w:rsid w:val="005374FE"/>
    <w:rsid w:val="0054053D"/>
    <w:rsid w:val="0054126C"/>
    <w:rsid w:val="00541368"/>
    <w:rsid w:val="005415DD"/>
    <w:rsid w:val="005423F3"/>
    <w:rsid w:val="005426DB"/>
    <w:rsid w:val="00542A29"/>
    <w:rsid w:val="0054340B"/>
    <w:rsid w:val="005442F1"/>
    <w:rsid w:val="00544A24"/>
    <w:rsid w:val="0054583C"/>
    <w:rsid w:val="00546227"/>
    <w:rsid w:val="005468E2"/>
    <w:rsid w:val="00546D83"/>
    <w:rsid w:val="00547F1B"/>
    <w:rsid w:val="00550113"/>
    <w:rsid w:val="0055019B"/>
    <w:rsid w:val="005504BE"/>
    <w:rsid w:val="0055082B"/>
    <w:rsid w:val="0055093A"/>
    <w:rsid w:val="00550F00"/>
    <w:rsid w:val="00551BDF"/>
    <w:rsid w:val="00551ED7"/>
    <w:rsid w:val="0055211C"/>
    <w:rsid w:val="0055263A"/>
    <w:rsid w:val="005526EE"/>
    <w:rsid w:val="00552B57"/>
    <w:rsid w:val="00552E53"/>
    <w:rsid w:val="00553324"/>
    <w:rsid w:val="00553E34"/>
    <w:rsid w:val="005547B7"/>
    <w:rsid w:val="005551E9"/>
    <w:rsid w:val="0055680D"/>
    <w:rsid w:val="00556E46"/>
    <w:rsid w:val="00560094"/>
    <w:rsid w:val="00560C62"/>
    <w:rsid w:val="00562A61"/>
    <w:rsid w:val="00562E78"/>
    <w:rsid w:val="005647AF"/>
    <w:rsid w:val="00564E45"/>
    <w:rsid w:val="005652D5"/>
    <w:rsid w:val="00565859"/>
    <w:rsid w:val="00565E52"/>
    <w:rsid w:val="005662DE"/>
    <w:rsid w:val="00567227"/>
    <w:rsid w:val="00567CD0"/>
    <w:rsid w:val="00570C7B"/>
    <w:rsid w:val="00571C77"/>
    <w:rsid w:val="00571CA4"/>
    <w:rsid w:val="00572D5B"/>
    <w:rsid w:val="00573B5C"/>
    <w:rsid w:val="00574614"/>
    <w:rsid w:val="00574A70"/>
    <w:rsid w:val="00574D35"/>
    <w:rsid w:val="00575229"/>
    <w:rsid w:val="00575C75"/>
    <w:rsid w:val="00576C6D"/>
    <w:rsid w:val="005770CF"/>
    <w:rsid w:val="00577904"/>
    <w:rsid w:val="00577922"/>
    <w:rsid w:val="00577AC3"/>
    <w:rsid w:val="00577EBD"/>
    <w:rsid w:val="00580577"/>
    <w:rsid w:val="005815A8"/>
    <w:rsid w:val="00581915"/>
    <w:rsid w:val="00583431"/>
    <w:rsid w:val="005846C0"/>
    <w:rsid w:val="00584D04"/>
    <w:rsid w:val="0058567E"/>
    <w:rsid w:val="00585DE1"/>
    <w:rsid w:val="0058659E"/>
    <w:rsid w:val="005869EE"/>
    <w:rsid w:val="005872DD"/>
    <w:rsid w:val="005875FA"/>
    <w:rsid w:val="00587CF2"/>
    <w:rsid w:val="00587D3A"/>
    <w:rsid w:val="00590346"/>
    <w:rsid w:val="00590BA2"/>
    <w:rsid w:val="00590CA7"/>
    <w:rsid w:val="00590E93"/>
    <w:rsid w:val="005915E1"/>
    <w:rsid w:val="00591C75"/>
    <w:rsid w:val="005920BF"/>
    <w:rsid w:val="00592D10"/>
    <w:rsid w:val="00592F2E"/>
    <w:rsid w:val="00593879"/>
    <w:rsid w:val="0059388B"/>
    <w:rsid w:val="00593A5F"/>
    <w:rsid w:val="0059404E"/>
    <w:rsid w:val="00594269"/>
    <w:rsid w:val="00594ACC"/>
    <w:rsid w:val="00595539"/>
    <w:rsid w:val="00597108"/>
    <w:rsid w:val="005976DB"/>
    <w:rsid w:val="005A143E"/>
    <w:rsid w:val="005A1577"/>
    <w:rsid w:val="005A3689"/>
    <w:rsid w:val="005A3E82"/>
    <w:rsid w:val="005A4DB0"/>
    <w:rsid w:val="005A5597"/>
    <w:rsid w:val="005A57BF"/>
    <w:rsid w:val="005A6AC2"/>
    <w:rsid w:val="005A7A65"/>
    <w:rsid w:val="005A7B26"/>
    <w:rsid w:val="005A7B8E"/>
    <w:rsid w:val="005B012B"/>
    <w:rsid w:val="005B0C87"/>
    <w:rsid w:val="005B0FE9"/>
    <w:rsid w:val="005B19E2"/>
    <w:rsid w:val="005B2195"/>
    <w:rsid w:val="005B26C7"/>
    <w:rsid w:val="005B2D65"/>
    <w:rsid w:val="005B3877"/>
    <w:rsid w:val="005B3AC8"/>
    <w:rsid w:val="005B3CC1"/>
    <w:rsid w:val="005B4002"/>
    <w:rsid w:val="005B45AB"/>
    <w:rsid w:val="005B4919"/>
    <w:rsid w:val="005B4D8F"/>
    <w:rsid w:val="005B5B6E"/>
    <w:rsid w:val="005B6551"/>
    <w:rsid w:val="005B71A8"/>
    <w:rsid w:val="005B744B"/>
    <w:rsid w:val="005C0A6F"/>
    <w:rsid w:val="005C0FA7"/>
    <w:rsid w:val="005C155F"/>
    <w:rsid w:val="005C1C0E"/>
    <w:rsid w:val="005C2770"/>
    <w:rsid w:val="005C36E2"/>
    <w:rsid w:val="005C3E9E"/>
    <w:rsid w:val="005C400C"/>
    <w:rsid w:val="005C410C"/>
    <w:rsid w:val="005C4BF1"/>
    <w:rsid w:val="005C4BF2"/>
    <w:rsid w:val="005C52D4"/>
    <w:rsid w:val="005C5BED"/>
    <w:rsid w:val="005C5D86"/>
    <w:rsid w:val="005C6167"/>
    <w:rsid w:val="005C6ADB"/>
    <w:rsid w:val="005C6EE2"/>
    <w:rsid w:val="005C7A07"/>
    <w:rsid w:val="005C7DDC"/>
    <w:rsid w:val="005C7F7C"/>
    <w:rsid w:val="005D107D"/>
    <w:rsid w:val="005D123A"/>
    <w:rsid w:val="005D1CFC"/>
    <w:rsid w:val="005D2506"/>
    <w:rsid w:val="005D2DEC"/>
    <w:rsid w:val="005D3677"/>
    <w:rsid w:val="005D3EE1"/>
    <w:rsid w:val="005D4E4C"/>
    <w:rsid w:val="005D5B5E"/>
    <w:rsid w:val="005D5C85"/>
    <w:rsid w:val="005D5CA0"/>
    <w:rsid w:val="005D69AB"/>
    <w:rsid w:val="005D72FC"/>
    <w:rsid w:val="005D7DFC"/>
    <w:rsid w:val="005E035A"/>
    <w:rsid w:val="005E0464"/>
    <w:rsid w:val="005E051E"/>
    <w:rsid w:val="005E0681"/>
    <w:rsid w:val="005E11FE"/>
    <w:rsid w:val="005E1218"/>
    <w:rsid w:val="005E18EC"/>
    <w:rsid w:val="005E1B6B"/>
    <w:rsid w:val="005E1F61"/>
    <w:rsid w:val="005E2281"/>
    <w:rsid w:val="005E236C"/>
    <w:rsid w:val="005E351B"/>
    <w:rsid w:val="005E38A8"/>
    <w:rsid w:val="005E39F9"/>
    <w:rsid w:val="005E4828"/>
    <w:rsid w:val="005E5016"/>
    <w:rsid w:val="005E5231"/>
    <w:rsid w:val="005E55BB"/>
    <w:rsid w:val="005E5647"/>
    <w:rsid w:val="005E59FD"/>
    <w:rsid w:val="005E5D11"/>
    <w:rsid w:val="005E667C"/>
    <w:rsid w:val="005E6A1D"/>
    <w:rsid w:val="005E6F12"/>
    <w:rsid w:val="005E733E"/>
    <w:rsid w:val="005E7428"/>
    <w:rsid w:val="005E7773"/>
    <w:rsid w:val="005F0694"/>
    <w:rsid w:val="005F06E1"/>
    <w:rsid w:val="005F077C"/>
    <w:rsid w:val="005F0B88"/>
    <w:rsid w:val="005F1735"/>
    <w:rsid w:val="005F187E"/>
    <w:rsid w:val="005F252A"/>
    <w:rsid w:val="005F3562"/>
    <w:rsid w:val="005F3CE8"/>
    <w:rsid w:val="005F3EDB"/>
    <w:rsid w:val="005F4F41"/>
    <w:rsid w:val="005F566D"/>
    <w:rsid w:val="005F648F"/>
    <w:rsid w:val="005F68C3"/>
    <w:rsid w:val="005F7D87"/>
    <w:rsid w:val="00601140"/>
    <w:rsid w:val="00601794"/>
    <w:rsid w:val="00601E94"/>
    <w:rsid w:val="006021B1"/>
    <w:rsid w:val="006037C5"/>
    <w:rsid w:val="00603A13"/>
    <w:rsid w:val="006040CE"/>
    <w:rsid w:val="0060467D"/>
    <w:rsid w:val="00604D67"/>
    <w:rsid w:val="0060585E"/>
    <w:rsid w:val="00605B9D"/>
    <w:rsid w:val="00606213"/>
    <w:rsid w:val="00606B57"/>
    <w:rsid w:val="00606B85"/>
    <w:rsid w:val="00606BB4"/>
    <w:rsid w:val="00607390"/>
    <w:rsid w:val="006076D8"/>
    <w:rsid w:val="006079D8"/>
    <w:rsid w:val="00607E6D"/>
    <w:rsid w:val="00607F92"/>
    <w:rsid w:val="0061061D"/>
    <w:rsid w:val="00611816"/>
    <w:rsid w:val="00611A3B"/>
    <w:rsid w:val="006120CA"/>
    <w:rsid w:val="006121E1"/>
    <w:rsid w:val="00612389"/>
    <w:rsid w:val="00612570"/>
    <w:rsid w:val="006127BD"/>
    <w:rsid w:val="00612871"/>
    <w:rsid w:val="00612929"/>
    <w:rsid w:val="00612A44"/>
    <w:rsid w:val="00612A8E"/>
    <w:rsid w:val="00613098"/>
    <w:rsid w:val="006134D9"/>
    <w:rsid w:val="006135DA"/>
    <w:rsid w:val="00613BDC"/>
    <w:rsid w:val="0061504F"/>
    <w:rsid w:val="00615564"/>
    <w:rsid w:val="006155E2"/>
    <w:rsid w:val="00615F26"/>
    <w:rsid w:val="00616618"/>
    <w:rsid w:val="00616CCC"/>
    <w:rsid w:val="006173A3"/>
    <w:rsid w:val="00617A81"/>
    <w:rsid w:val="00617DEC"/>
    <w:rsid w:val="00620579"/>
    <w:rsid w:val="006208AA"/>
    <w:rsid w:val="0062128D"/>
    <w:rsid w:val="00622536"/>
    <w:rsid w:val="0062258F"/>
    <w:rsid w:val="00622732"/>
    <w:rsid w:val="00622E6D"/>
    <w:rsid w:val="00623BC7"/>
    <w:rsid w:val="00623E70"/>
    <w:rsid w:val="006241D0"/>
    <w:rsid w:val="00624425"/>
    <w:rsid w:val="00624665"/>
    <w:rsid w:val="00624A31"/>
    <w:rsid w:val="00625434"/>
    <w:rsid w:val="0062576B"/>
    <w:rsid w:val="00625C5F"/>
    <w:rsid w:val="00626032"/>
    <w:rsid w:val="00627643"/>
    <w:rsid w:val="00627788"/>
    <w:rsid w:val="006300CD"/>
    <w:rsid w:val="0063017E"/>
    <w:rsid w:val="00630723"/>
    <w:rsid w:val="00630EAE"/>
    <w:rsid w:val="006312D0"/>
    <w:rsid w:val="006318A4"/>
    <w:rsid w:val="00631A11"/>
    <w:rsid w:val="00631D4F"/>
    <w:rsid w:val="006321B6"/>
    <w:rsid w:val="006327C6"/>
    <w:rsid w:val="006329A2"/>
    <w:rsid w:val="00633496"/>
    <w:rsid w:val="006338D2"/>
    <w:rsid w:val="00633F92"/>
    <w:rsid w:val="0063435E"/>
    <w:rsid w:val="00634562"/>
    <w:rsid w:val="00634CB2"/>
    <w:rsid w:val="006357E2"/>
    <w:rsid w:val="00635FD8"/>
    <w:rsid w:val="00636651"/>
    <w:rsid w:val="006367A7"/>
    <w:rsid w:val="006368E4"/>
    <w:rsid w:val="00636C5C"/>
    <w:rsid w:val="00636F7B"/>
    <w:rsid w:val="0064019C"/>
    <w:rsid w:val="00640288"/>
    <w:rsid w:val="006402DD"/>
    <w:rsid w:val="006405AC"/>
    <w:rsid w:val="0064099D"/>
    <w:rsid w:val="006412CD"/>
    <w:rsid w:val="006413D8"/>
    <w:rsid w:val="00641610"/>
    <w:rsid w:val="00641B7B"/>
    <w:rsid w:val="00641C55"/>
    <w:rsid w:val="00642405"/>
    <w:rsid w:val="00642645"/>
    <w:rsid w:val="006437E8"/>
    <w:rsid w:val="006438E0"/>
    <w:rsid w:val="00644BED"/>
    <w:rsid w:val="00645405"/>
    <w:rsid w:val="006455CB"/>
    <w:rsid w:val="00645AFC"/>
    <w:rsid w:val="00646FD5"/>
    <w:rsid w:val="006472F8"/>
    <w:rsid w:val="00647680"/>
    <w:rsid w:val="00647743"/>
    <w:rsid w:val="006510C0"/>
    <w:rsid w:val="00652092"/>
    <w:rsid w:val="00652472"/>
    <w:rsid w:val="00652F31"/>
    <w:rsid w:val="0065394E"/>
    <w:rsid w:val="00653B38"/>
    <w:rsid w:val="00656385"/>
    <w:rsid w:val="00656F19"/>
    <w:rsid w:val="00657A31"/>
    <w:rsid w:val="00657BB7"/>
    <w:rsid w:val="00660009"/>
    <w:rsid w:val="006600A1"/>
    <w:rsid w:val="00660552"/>
    <w:rsid w:val="00660DBE"/>
    <w:rsid w:val="00661113"/>
    <w:rsid w:val="0066127D"/>
    <w:rsid w:val="00661AB0"/>
    <w:rsid w:val="006623A4"/>
    <w:rsid w:val="0066351C"/>
    <w:rsid w:val="006635BF"/>
    <w:rsid w:val="0066367B"/>
    <w:rsid w:val="00664498"/>
    <w:rsid w:val="00664693"/>
    <w:rsid w:val="00664DC0"/>
    <w:rsid w:val="006651CC"/>
    <w:rsid w:val="0066582B"/>
    <w:rsid w:val="006658DA"/>
    <w:rsid w:val="00665CA1"/>
    <w:rsid w:val="006665D5"/>
    <w:rsid w:val="00667421"/>
    <w:rsid w:val="0066780E"/>
    <w:rsid w:val="00667A31"/>
    <w:rsid w:val="00670702"/>
    <w:rsid w:val="006708EB"/>
    <w:rsid w:val="0067147C"/>
    <w:rsid w:val="00672A8A"/>
    <w:rsid w:val="00673BFE"/>
    <w:rsid w:val="00673F50"/>
    <w:rsid w:val="00674EEA"/>
    <w:rsid w:val="0067549D"/>
    <w:rsid w:val="006759B0"/>
    <w:rsid w:val="00676013"/>
    <w:rsid w:val="006765AC"/>
    <w:rsid w:val="00677012"/>
    <w:rsid w:val="006771EA"/>
    <w:rsid w:val="00680D0E"/>
    <w:rsid w:val="00680F00"/>
    <w:rsid w:val="006821E7"/>
    <w:rsid w:val="006825A6"/>
    <w:rsid w:val="006825B4"/>
    <w:rsid w:val="006829BA"/>
    <w:rsid w:val="00682AF2"/>
    <w:rsid w:val="00682E8A"/>
    <w:rsid w:val="00682FB7"/>
    <w:rsid w:val="00683302"/>
    <w:rsid w:val="006837DE"/>
    <w:rsid w:val="00683CE0"/>
    <w:rsid w:val="00684DA9"/>
    <w:rsid w:val="0068514F"/>
    <w:rsid w:val="0068537F"/>
    <w:rsid w:val="006855C1"/>
    <w:rsid w:val="00686104"/>
    <w:rsid w:val="00686334"/>
    <w:rsid w:val="006866E5"/>
    <w:rsid w:val="00686C3A"/>
    <w:rsid w:val="00686EEB"/>
    <w:rsid w:val="00687628"/>
    <w:rsid w:val="00687CFE"/>
    <w:rsid w:val="0069035A"/>
    <w:rsid w:val="00690EB8"/>
    <w:rsid w:val="0069109D"/>
    <w:rsid w:val="006915E5"/>
    <w:rsid w:val="00691796"/>
    <w:rsid w:val="00692401"/>
    <w:rsid w:val="00693B7A"/>
    <w:rsid w:val="006941CC"/>
    <w:rsid w:val="006942BA"/>
    <w:rsid w:val="00694537"/>
    <w:rsid w:val="006945D4"/>
    <w:rsid w:val="00694EC0"/>
    <w:rsid w:val="00695852"/>
    <w:rsid w:val="00695D10"/>
    <w:rsid w:val="00695F56"/>
    <w:rsid w:val="006966A3"/>
    <w:rsid w:val="0069682F"/>
    <w:rsid w:val="0069758B"/>
    <w:rsid w:val="00697F88"/>
    <w:rsid w:val="006A07BA"/>
    <w:rsid w:val="006A0A70"/>
    <w:rsid w:val="006A0B6C"/>
    <w:rsid w:val="006A1015"/>
    <w:rsid w:val="006A1692"/>
    <w:rsid w:val="006A16E1"/>
    <w:rsid w:val="006A188D"/>
    <w:rsid w:val="006A3293"/>
    <w:rsid w:val="006A36DF"/>
    <w:rsid w:val="006A3C8A"/>
    <w:rsid w:val="006A3DF1"/>
    <w:rsid w:val="006A3E61"/>
    <w:rsid w:val="006A5213"/>
    <w:rsid w:val="006A6003"/>
    <w:rsid w:val="006A6737"/>
    <w:rsid w:val="006B0690"/>
    <w:rsid w:val="006B0AE6"/>
    <w:rsid w:val="006B1E08"/>
    <w:rsid w:val="006B2099"/>
    <w:rsid w:val="006B26B1"/>
    <w:rsid w:val="006B2DF7"/>
    <w:rsid w:val="006B2E45"/>
    <w:rsid w:val="006B341B"/>
    <w:rsid w:val="006B3875"/>
    <w:rsid w:val="006B425B"/>
    <w:rsid w:val="006B545C"/>
    <w:rsid w:val="006B5AC8"/>
    <w:rsid w:val="006B5D32"/>
    <w:rsid w:val="006B758B"/>
    <w:rsid w:val="006B75C8"/>
    <w:rsid w:val="006B77BD"/>
    <w:rsid w:val="006B7BF8"/>
    <w:rsid w:val="006C01F6"/>
    <w:rsid w:val="006C054E"/>
    <w:rsid w:val="006C0F11"/>
    <w:rsid w:val="006C23E1"/>
    <w:rsid w:val="006C25D5"/>
    <w:rsid w:val="006C25F9"/>
    <w:rsid w:val="006C262B"/>
    <w:rsid w:val="006C31C6"/>
    <w:rsid w:val="006C3A2D"/>
    <w:rsid w:val="006C4666"/>
    <w:rsid w:val="006C49BF"/>
    <w:rsid w:val="006C5CB4"/>
    <w:rsid w:val="006C63D7"/>
    <w:rsid w:val="006C6894"/>
    <w:rsid w:val="006C69D9"/>
    <w:rsid w:val="006C7535"/>
    <w:rsid w:val="006C76A6"/>
    <w:rsid w:val="006C796D"/>
    <w:rsid w:val="006D0525"/>
    <w:rsid w:val="006D08DC"/>
    <w:rsid w:val="006D0C98"/>
    <w:rsid w:val="006D0FBD"/>
    <w:rsid w:val="006D22A9"/>
    <w:rsid w:val="006D2F09"/>
    <w:rsid w:val="006D2FD2"/>
    <w:rsid w:val="006D336E"/>
    <w:rsid w:val="006D33E6"/>
    <w:rsid w:val="006D3DC0"/>
    <w:rsid w:val="006D40C4"/>
    <w:rsid w:val="006D4162"/>
    <w:rsid w:val="006D453E"/>
    <w:rsid w:val="006D50D1"/>
    <w:rsid w:val="006D5303"/>
    <w:rsid w:val="006D5E84"/>
    <w:rsid w:val="006D7A4C"/>
    <w:rsid w:val="006D7C99"/>
    <w:rsid w:val="006E0443"/>
    <w:rsid w:val="006E0C50"/>
    <w:rsid w:val="006E0DCF"/>
    <w:rsid w:val="006E14D6"/>
    <w:rsid w:val="006E1647"/>
    <w:rsid w:val="006E2298"/>
    <w:rsid w:val="006E2F3A"/>
    <w:rsid w:val="006E2FD9"/>
    <w:rsid w:val="006E310A"/>
    <w:rsid w:val="006E3C3E"/>
    <w:rsid w:val="006E3FBD"/>
    <w:rsid w:val="006E40C7"/>
    <w:rsid w:val="006E429F"/>
    <w:rsid w:val="006E468D"/>
    <w:rsid w:val="006E47E0"/>
    <w:rsid w:val="006E50E4"/>
    <w:rsid w:val="006E6F30"/>
    <w:rsid w:val="006E6FE9"/>
    <w:rsid w:val="006E7082"/>
    <w:rsid w:val="006E709F"/>
    <w:rsid w:val="006E749C"/>
    <w:rsid w:val="006E7F73"/>
    <w:rsid w:val="006F030F"/>
    <w:rsid w:val="006F193C"/>
    <w:rsid w:val="006F1B58"/>
    <w:rsid w:val="006F27DC"/>
    <w:rsid w:val="006F2B89"/>
    <w:rsid w:val="006F36F1"/>
    <w:rsid w:val="006F3B81"/>
    <w:rsid w:val="006F4D59"/>
    <w:rsid w:val="006F4F79"/>
    <w:rsid w:val="006F4F80"/>
    <w:rsid w:val="006F5532"/>
    <w:rsid w:val="006F5ADA"/>
    <w:rsid w:val="006F62CC"/>
    <w:rsid w:val="006F644B"/>
    <w:rsid w:val="006F66C1"/>
    <w:rsid w:val="006F681D"/>
    <w:rsid w:val="006F731E"/>
    <w:rsid w:val="006F78E9"/>
    <w:rsid w:val="0070235F"/>
    <w:rsid w:val="00702BC3"/>
    <w:rsid w:val="00702FF3"/>
    <w:rsid w:val="007032AC"/>
    <w:rsid w:val="00703496"/>
    <w:rsid w:val="007036FE"/>
    <w:rsid w:val="00703AB1"/>
    <w:rsid w:val="00704614"/>
    <w:rsid w:val="00704DE5"/>
    <w:rsid w:val="00705B37"/>
    <w:rsid w:val="0070658A"/>
    <w:rsid w:val="00706A32"/>
    <w:rsid w:val="00706B65"/>
    <w:rsid w:val="007071AF"/>
    <w:rsid w:val="00707634"/>
    <w:rsid w:val="00707C1A"/>
    <w:rsid w:val="00710023"/>
    <w:rsid w:val="00710207"/>
    <w:rsid w:val="0071023D"/>
    <w:rsid w:val="007104CB"/>
    <w:rsid w:val="00710530"/>
    <w:rsid w:val="007107BD"/>
    <w:rsid w:val="0071118D"/>
    <w:rsid w:val="00711E77"/>
    <w:rsid w:val="00712912"/>
    <w:rsid w:val="00713AAC"/>
    <w:rsid w:val="007141DC"/>
    <w:rsid w:val="00714B04"/>
    <w:rsid w:val="00714F75"/>
    <w:rsid w:val="007155CE"/>
    <w:rsid w:val="007168A0"/>
    <w:rsid w:val="00716BC6"/>
    <w:rsid w:val="00716C95"/>
    <w:rsid w:val="00716D7C"/>
    <w:rsid w:val="00717014"/>
    <w:rsid w:val="00717762"/>
    <w:rsid w:val="00717F1A"/>
    <w:rsid w:val="007204DA"/>
    <w:rsid w:val="00721A63"/>
    <w:rsid w:val="00721DED"/>
    <w:rsid w:val="00721FF9"/>
    <w:rsid w:val="0072229E"/>
    <w:rsid w:val="00722F53"/>
    <w:rsid w:val="0072337E"/>
    <w:rsid w:val="00723696"/>
    <w:rsid w:val="0072442F"/>
    <w:rsid w:val="00725189"/>
    <w:rsid w:val="0072541E"/>
    <w:rsid w:val="00725735"/>
    <w:rsid w:val="0072630D"/>
    <w:rsid w:val="00726A2A"/>
    <w:rsid w:val="007271E9"/>
    <w:rsid w:val="007273BC"/>
    <w:rsid w:val="007275FD"/>
    <w:rsid w:val="007276E5"/>
    <w:rsid w:val="007278F6"/>
    <w:rsid w:val="00730943"/>
    <w:rsid w:val="007315FC"/>
    <w:rsid w:val="00731AE1"/>
    <w:rsid w:val="00731D5E"/>
    <w:rsid w:val="00732492"/>
    <w:rsid w:val="00733E5A"/>
    <w:rsid w:val="00733F25"/>
    <w:rsid w:val="0073589E"/>
    <w:rsid w:val="00736395"/>
    <w:rsid w:val="00736459"/>
    <w:rsid w:val="007364C3"/>
    <w:rsid w:val="0073685F"/>
    <w:rsid w:val="00737821"/>
    <w:rsid w:val="00740381"/>
    <w:rsid w:val="00740411"/>
    <w:rsid w:val="0074058F"/>
    <w:rsid w:val="00740E86"/>
    <w:rsid w:val="00741175"/>
    <w:rsid w:val="007419FB"/>
    <w:rsid w:val="00741F1B"/>
    <w:rsid w:val="007424AA"/>
    <w:rsid w:val="00742606"/>
    <w:rsid w:val="00743994"/>
    <w:rsid w:val="007441FF"/>
    <w:rsid w:val="00744EE8"/>
    <w:rsid w:val="00744F42"/>
    <w:rsid w:val="007459F5"/>
    <w:rsid w:val="00745A44"/>
    <w:rsid w:val="00745EFF"/>
    <w:rsid w:val="00746072"/>
    <w:rsid w:val="00746713"/>
    <w:rsid w:val="007467E4"/>
    <w:rsid w:val="00747569"/>
    <w:rsid w:val="00750238"/>
    <w:rsid w:val="0075023C"/>
    <w:rsid w:val="007518E3"/>
    <w:rsid w:val="007518E9"/>
    <w:rsid w:val="00752247"/>
    <w:rsid w:val="007523E7"/>
    <w:rsid w:val="007531CA"/>
    <w:rsid w:val="00754252"/>
    <w:rsid w:val="007546D1"/>
    <w:rsid w:val="007557F2"/>
    <w:rsid w:val="00756033"/>
    <w:rsid w:val="007577B1"/>
    <w:rsid w:val="00757CB3"/>
    <w:rsid w:val="00757D87"/>
    <w:rsid w:val="00760EED"/>
    <w:rsid w:val="0076109F"/>
    <w:rsid w:val="00761399"/>
    <w:rsid w:val="00761615"/>
    <w:rsid w:val="007616DA"/>
    <w:rsid w:val="007619CE"/>
    <w:rsid w:val="00761F4F"/>
    <w:rsid w:val="007620DC"/>
    <w:rsid w:val="00762102"/>
    <w:rsid w:val="0076255D"/>
    <w:rsid w:val="007625F6"/>
    <w:rsid w:val="00762B8B"/>
    <w:rsid w:val="0076325B"/>
    <w:rsid w:val="00764AF9"/>
    <w:rsid w:val="007650AD"/>
    <w:rsid w:val="0076549C"/>
    <w:rsid w:val="00765D18"/>
    <w:rsid w:val="0076640B"/>
    <w:rsid w:val="00770939"/>
    <w:rsid w:val="00770C54"/>
    <w:rsid w:val="00771344"/>
    <w:rsid w:val="00772613"/>
    <w:rsid w:val="00772B41"/>
    <w:rsid w:val="00772CED"/>
    <w:rsid w:val="00773B63"/>
    <w:rsid w:val="00773EA1"/>
    <w:rsid w:val="00775215"/>
    <w:rsid w:val="00775748"/>
    <w:rsid w:val="00776ACC"/>
    <w:rsid w:val="00777AE2"/>
    <w:rsid w:val="00777C71"/>
    <w:rsid w:val="00777D6B"/>
    <w:rsid w:val="00777E2B"/>
    <w:rsid w:val="00777F20"/>
    <w:rsid w:val="0078080B"/>
    <w:rsid w:val="00781148"/>
    <w:rsid w:val="0078120F"/>
    <w:rsid w:val="00781F98"/>
    <w:rsid w:val="0078265B"/>
    <w:rsid w:val="00782AFE"/>
    <w:rsid w:val="00782E10"/>
    <w:rsid w:val="00784926"/>
    <w:rsid w:val="00784DB8"/>
    <w:rsid w:val="00784FDD"/>
    <w:rsid w:val="0078508F"/>
    <w:rsid w:val="00785EB7"/>
    <w:rsid w:val="00786448"/>
    <w:rsid w:val="007864C3"/>
    <w:rsid w:val="007875D7"/>
    <w:rsid w:val="007906B2"/>
    <w:rsid w:val="0079134E"/>
    <w:rsid w:val="007925F0"/>
    <w:rsid w:val="0079278E"/>
    <w:rsid w:val="00792DCA"/>
    <w:rsid w:val="00792E3C"/>
    <w:rsid w:val="007930C1"/>
    <w:rsid w:val="0079315D"/>
    <w:rsid w:val="00793B45"/>
    <w:rsid w:val="00795706"/>
    <w:rsid w:val="007960E3"/>
    <w:rsid w:val="007964E9"/>
    <w:rsid w:val="00796F7C"/>
    <w:rsid w:val="00797131"/>
    <w:rsid w:val="00797254"/>
    <w:rsid w:val="00797430"/>
    <w:rsid w:val="00797548"/>
    <w:rsid w:val="007A0F8D"/>
    <w:rsid w:val="007A1078"/>
    <w:rsid w:val="007A1499"/>
    <w:rsid w:val="007A180A"/>
    <w:rsid w:val="007A257D"/>
    <w:rsid w:val="007A2675"/>
    <w:rsid w:val="007A2CB0"/>
    <w:rsid w:val="007A343D"/>
    <w:rsid w:val="007A38CE"/>
    <w:rsid w:val="007A3F1C"/>
    <w:rsid w:val="007A4241"/>
    <w:rsid w:val="007A48D8"/>
    <w:rsid w:val="007A5ACE"/>
    <w:rsid w:val="007A5C5C"/>
    <w:rsid w:val="007A6528"/>
    <w:rsid w:val="007A7B48"/>
    <w:rsid w:val="007B18C6"/>
    <w:rsid w:val="007B1946"/>
    <w:rsid w:val="007B19C8"/>
    <w:rsid w:val="007B20C2"/>
    <w:rsid w:val="007B25D5"/>
    <w:rsid w:val="007B27E4"/>
    <w:rsid w:val="007B2910"/>
    <w:rsid w:val="007B301D"/>
    <w:rsid w:val="007B3264"/>
    <w:rsid w:val="007B3405"/>
    <w:rsid w:val="007B35F6"/>
    <w:rsid w:val="007B373F"/>
    <w:rsid w:val="007B3F87"/>
    <w:rsid w:val="007B404F"/>
    <w:rsid w:val="007B44A6"/>
    <w:rsid w:val="007B494E"/>
    <w:rsid w:val="007B4C5E"/>
    <w:rsid w:val="007B7462"/>
    <w:rsid w:val="007B7B52"/>
    <w:rsid w:val="007C02A3"/>
    <w:rsid w:val="007C0C55"/>
    <w:rsid w:val="007C1507"/>
    <w:rsid w:val="007C1778"/>
    <w:rsid w:val="007C22F6"/>
    <w:rsid w:val="007C2F60"/>
    <w:rsid w:val="007C3E16"/>
    <w:rsid w:val="007C4354"/>
    <w:rsid w:val="007C4D8D"/>
    <w:rsid w:val="007C5144"/>
    <w:rsid w:val="007C5613"/>
    <w:rsid w:val="007C6138"/>
    <w:rsid w:val="007C6153"/>
    <w:rsid w:val="007C6849"/>
    <w:rsid w:val="007C6BC6"/>
    <w:rsid w:val="007C6C12"/>
    <w:rsid w:val="007C73B2"/>
    <w:rsid w:val="007D0435"/>
    <w:rsid w:val="007D116E"/>
    <w:rsid w:val="007D1B24"/>
    <w:rsid w:val="007D267F"/>
    <w:rsid w:val="007D3341"/>
    <w:rsid w:val="007D36E4"/>
    <w:rsid w:val="007D3A3E"/>
    <w:rsid w:val="007D400A"/>
    <w:rsid w:val="007D4B0E"/>
    <w:rsid w:val="007D4DD2"/>
    <w:rsid w:val="007D5D0F"/>
    <w:rsid w:val="007D6A04"/>
    <w:rsid w:val="007D6EA8"/>
    <w:rsid w:val="007D7B39"/>
    <w:rsid w:val="007E013C"/>
    <w:rsid w:val="007E1247"/>
    <w:rsid w:val="007E1784"/>
    <w:rsid w:val="007E1A44"/>
    <w:rsid w:val="007E2419"/>
    <w:rsid w:val="007E3FF5"/>
    <w:rsid w:val="007E4219"/>
    <w:rsid w:val="007E577E"/>
    <w:rsid w:val="007E5AA3"/>
    <w:rsid w:val="007E635E"/>
    <w:rsid w:val="007E6A9C"/>
    <w:rsid w:val="007E6C0C"/>
    <w:rsid w:val="007E7300"/>
    <w:rsid w:val="007E767B"/>
    <w:rsid w:val="007F038C"/>
    <w:rsid w:val="007F0428"/>
    <w:rsid w:val="007F0F24"/>
    <w:rsid w:val="007F151C"/>
    <w:rsid w:val="007F1755"/>
    <w:rsid w:val="007F222B"/>
    <w:rsid w:val="007F2CBC"/>
    <w:rsid w:val="007F3092"/>
    <w:rsid w:val="007F30F9"/>
    <w:rsid w:val="007F39B8"/>
    <w:rsid w:val="007F3C03"/>
    <w:rsid w:val="007F3E3F"/>
    <w:rsid w:val="007F45B4"/>
    <w:rsid w:val="007F45DF"/>
    <w:rsid w:val="007F4A6F"/>
    <w:rsid w:val="007F4FBC"/>
    <w:rsid w:val="007F5975"/>
    <w:rsid w:val="007F5AB9"/>
    <w:rsid w:val="007F6497"/>
    <w:rsid w:val="007F6836"/>
    <w:rsid w:val="007F7DF2"/>
    <w:rsid w:val="00800187"/>
    <w:rsid w:val="008005E6"/>
    <w:rsid w:val="00800A35"/>
    <w:rsid w:val="00800D91"/>
    <w:rsid w:val="00801270"/>
    <w:rsid w:val="008015F2"/>
    <w:rsid w:val="00801A0E"/>
    <w:rsid w:val="00801DF3"/>
    <w:rsid w:val="00803AF8"/>
    <w:rsid w:val="00803C65"/>
    <w:rsid w:val="008046A8"/>
    <w:rsid w:val="00804BC0"/>
    <w:rsid w:val="00804E3C"/>
    <w:rsid w:val="00804E4C"/>
    <w:rsid w:val="0080662C"/>
    <w:rsid w:val="008070B2"/>
    <w:rsid w:val="00807D79"/>
    <w:rsid w:val="00810102"/>
    <w:rsid w:val="008102BC"/>
    <w:rsid w:val="00810A05"/>
    <w:rsid w:val="008114DA"/>
    <w:rsid w:val="008116F3"/>
    <w:rsid w:val="008117C4"/>
    <w:rsid w:val="0081222E"/>
    <w:rsid w:val="00812461"/>
    <w:rsid w:val="008127E0"/>
    <w:rsid w:val="00812810"/>
    <w:rsid w:val="0081398E"/>
    <w:rsid w:val="008149D8"/>
    <w:rsid w:val="00814B1C"/>
    <w:rsid w:val="00815714"/>
    <w:rsid w:val="00815A2A"/>
    <w:rsid w:val="00815E62"/>
    <w:rsid w:val="008170A5"/>
    <w:rsid w:val="0081788A"/>
    <w:rsid w:val="00817927"/>
    <w:rsid w:val="00817CFC"/>
    <w:rsid w:val="00817E82"/>
    <w:rsid w:val="00821D81"/>
    <w:rsid w:val="00822519"/>
    <w:rsid w:val="00822A52"/>
    <w:rsid w:val="00823209"/>
    <w:rsid w:val="00823654"/>
    <w:rsid w:val="00823A90"/>
    <w:rsid w:val="00823B2E"/>
    <w:rsid w:val="00825559"/>
    <w:rsid w:val="00825C68"/>
    <w:rsid w:val="0082757E"/>
    <w:rsid w:val="0082769C"/>
    <w:rsid w:val="00827B29"/>
    <w:rsid w:val="00827B6C"/>
    <w:rsid w:val="00827D77"/>
    <w:rsid w:val="00830561"/>
    <w:rsid w:val="00831115"/>
    <w:rsid w:val="00831199"/>
    <w:rsid w:val="008316DE"/>
    <w:rsid w:val="0083249C"/>
    <w:rsid w:val="00832D42"/>
    <w:rsid w:val="008333A9"/>
    <w:rsid w:val="00833419"/>
    <w:rsid w:val="008342A5"/>
    <w:rsid w:val="00834B7C"/>
    <w:rsid w:val="00834BE2"/>
    <w:rsid w:val="00834DDD"/>
    <w:rsid w:val="00834EA4"/>
    <w:rsid w:val="00835049"/>
    <w:rsid w:val="008354B9"/>
    <w:rsid w:val="00835DCB"/>
    <w:rsid w:val="00836090"/>
    <w:rsid w:val="00836921"/>
    <w:rsid w:val="00836C36"/>
    <w:rsid w:val="00837237"/>
    <w:rsid w:val="008376C0"/>
    <w:rsid w:val="0084035D"/>
    <w:rsid w:val="00840426"/>
    <w:rsid w:val="008405F9"/>
    <w:rsid w:val="0084060B"/>
    <w:rsid w:val="0084139B"/>
    <w:rsid w:val="0084143B"/>
    <w:rsid w:val="008417D4"/>
    <w:rsid w:val="008424F2"/>
    <w:rsid w:val="00842547"/>
    <w:rsid w:val="008427D3"/>
    <w:rsid w:val="0084292F"/>
    <w:rsid w:val="00842946"/>
    <w:rsid w:val="008429CF"/>
    <w:rsid w:val="00842F82"/>
    <w:rsid w:val="0084324C"/>
    <w:rsid w:val="00844307"/>
    <w:rsid w:val="008443A3"/>
    <w:rsid w:val="008451F8"/>
    <w:rsid w:val="008457D2"/>
    <w:rsid w:val="00845AE6"/>
    <w:rsid w:val="00846212"/>
    <w:rsid w:val="008468E0"/>
    <w:rsid w:val="00846CF0"/>
    <w:rsid w:val="00847501"/>
    <w:rsid w:val="0084767E"/>
    <w:rsid w:val="0084790F"/>
    <w:rsid w:val="00847BE7"/>
    <w:rsid w:val="00850EAB"/>
    <w:rsid w:val="00851C80"/>
    <w:rsid w:val="00851D70"/>
    <w:rsid w:val="008529B3"/>
    <w:rsid w:val="00852ADD"/>
    <w:rsid w:val="00853883"/>
    <w:rsid w:val="00853EB9"/>
    <w:rsid w:val="00854CF7"/>
    <w:rsid w:val="00854DA7"/>
    <w:rsid w:val="0085538B"/>
    <w:rsid w:val="008557A0"/>
    <w:rsid w:val="008559E6"/>
    <w:rsid w:val="00856607"/>
    <w:rsid w:val="00860ADD"/>
    <w:rsid w:val="008612EE"/>
    <w:rsid w:val="008616A2"/>
    <w:rsid w:val="00861C6C"/>
    <w:rsid w:val="008635CF"/>
    <w:rsid w:val="00863862"/>
    <w:rsid w:val="00863AAD"/>
    <w:rsid w:val="00864644"/>
    <w:rsid w:val="00866296"/>
    <w:rsid w:val="008665C7"/>
    <w:rsid w:val="00867BB7"/>
    <w:rsid w:val="008707A3"/>
    <w:rsid w:val="00870A36"/>
    <w:rsid w:val="008711AE"/>
    <w:rsid w:val="00871874"/>
    <w:rsid w:val="00871A36"/>
    <w:rsid w:val="00872F21"/>
    <w:rsid w:val="00873736"/>
    <w:rsid w:val="0087378E"/>
    <w:rsid w:val="008737DF"/>
    <w:rsid w:val="008747B4"/>
    <w:rsid w:val="008755E7"/>
    <w:rsid w:val="00875E16"/>
    <w:rsid w:val="00877D03"/>
    <w:rsid w:val="00877E96"/>
    <w:rsid w:val="0088023D"/>
    <w:rsid w:val="0088036B"/>
    <w:rsid w:val="008803CE"/>
    <w:rsid w:val="00880623"/>
    <w:rsid w:val="008807FD"/>
    <w:rsid w:val="00882077"/>
    <w:rsid w:val="008820D9"/>
    <w:rsid w:val="00883299"/>
    <w:rsid w:val="00883613"/>
    <w:rsid w:val="008840EB"/>
    <w:rsid w:val="0088557F"/>
    <w:rsid w:val="00886393"/>
    <w:rsid w:val="00886579"/>
    <w:rsid w:val="00886B03"/>
    <w:rsid w:val="00886F19"/>
    <w:rsid w:val="00887289"/>
    <w:rsid w:val="00887865"/>
    <w:rsid w:val="00887B37"/>
    <w:rsid w:val="00890598"/>
    <w:rsid w:val="0089065A"/>
    <w:rsid w:val="00890DEB"/>
    <w:rsid w:val="00890EFE"/>
    <w:rsid w:val="0089177A"/>
    <w:rsid w:val="00891D7A"/>
    <w:rsid w:val="00891DFC"/>
    <w:rsid w:val="00892B98"/>
    <w:rsid w:val="00893422"/>
    <w:rsid w:val="008945D2"/>
    <w:rsid w:val="008949A3"/>
    <w:rsid w:val="008959FC"/>
    <w:rsid w:val="0089605E"/>
    <w:rsid w:val="00896668"/>
    <w:rsid w:val="00896E9A"/>
    <w:rsid w:val="008A1BCC"/>
    <w:rsid w:val="008A1D0E"/>
    <w:rsid w:val="008A25EA"/>
    <w:rsid w:val="008A276E"/>
    <w:rsid w:val="008A2F6A"/>
    <w:rsid w:val="008A31C7"/>
    <w:rsid w:val="008A3215"/>
    <w:rsid w:val="008A3630"/>
    <w:rsid w:val="008A3E8B"/>
    <w:rsid w:val="008A47BE"/>
    <w:rsid w:val="008A4AEC"/>
    <w:rsid w:val="008A4DF4"/>
    <w:rsid w:val="008A5609"/>
    <w:rsid w:val="008A5697"/>
    <w:rsid w:val="008A6DD5"/>
    <w:rsid w:val="008A6DF0"/>
    <w:rsid w:val="008A6FA0"/>
    <w:rsid w:val="008A7A2D"/>
    <w:rsid w:val="008B0DDA"/>
    <w:rsid w:val="008B0FAB"/>
    <w:rsid w:val="008B105C"/>
    <w:rsid w:val="008B15CE"/>
    <w:rsid w:val="008B1C8F"/>
    <w:rsid w:val="008B2570"/>
    <w:rsid w:val="008B2B19"/>
    <w:rsid w:val="008B2F40"/>
    <w:rsid w:val="008B2FCD"/>
    <w:rsid w:val="008B3627"/>
    <w:rsid w:val="008B3EAD"/>
    <w:rsid w:val="008B49B6"/>
    <w:rsid w:val="008B4CAA"/>
    <w:rsid w:val="008B56A0"/>
    <w:rsid w:val="008B5AA1"/>
    <w:rsid w:val="008B5E61"/>
    <w:rsid w:val="008B64CE"/>
    <w:rsid w:val="008B68B4"/>
    <w:rsid w:val="008B7545"/>
    <w:rsid w:val="008B7914"/>
    <w:rsid w:val="008C0B16"/>
    <w:rsid w:val="008C0D0C"/>
    <w:rsid w:val="008C127A"/>
    <w:rsid w:val="008C18BD"/>
    <w:rsid w:val="008C1932"/>
    <w:rsid w:val="008C2C7F"/>
    <w:rsid w:val="008C2F0D"/>
    <w:rsid w:val="008C314A"/>
    <w:rsid w:val="008C364D"/>
    <w:rsid w:val="008C4B98"/>
    <w:rsid w:val="008C500C"/>
    <w:rsid w:val="008C5D2A"/>
    <w:rsid w:val="008C6754"/>
    <w:rsid w:val="008C6C16"/>
    <w:rsid w:val="008C74B4"/>
    <w:rsid w:val="008C74FB"/>
    <w:rsid w:val="008C7AF4"/>
    <w:rsid w:val="008C7DA4"/>
    <w:rsid w:val="008C7F6E"/>
    <w:rsid w:val="008D0210"/>
    <w:rsid w:val="008D033E"/>
    <w:rsid w:val="008D0835"/>
    <w:rsid w:val="008D0851"/>
    <w:rsid w:val="008D0DEF"/>
    <w:rsid w:val="008D0E57"/>
    <w:rsid w:val="008D0F8F"/>
    <w:rsid w:val="008D0FCD"/>
    <w:rsid w:val="008D1074"/>
    <w:rsid w:val="008D1079"/>
    <w:rsid w:val="008D2643"/>
    <w:rsid w:val="008D280F"/>
    <w:rsid w:val="008D318B"/>
    <w:rsid w:val="008D3994"/>
    <w:rsid w:val="008D3C3D"/>
    <w:rsid w:val="008D478E"/>
    <w:rsid w:val="008D534E"/>
    <w:rsid w:val="008D6E81"/>
    <w:rsid w:val="008D7739"/>
    <w:rsid w:val="008D7A64"/>
    <w:rsid w:val="008D7A92"/>
    <w:rsid w:val="008E0302"/>
    <w:rsid w:val="008E1267"/>
    <w:rsid w:val="008E19FD"/>
    <w:rsid w:val="008E22F8"/>
    <w:rsid w:val="008E3078"/>
    <w:rsid w:val="008E39D8"/>
    <w:rsid w:val="008E5D73"/>
    <w:rsid w:val="008E606F"/>
    <w:rsid w:val="008E61C1"/>
    <w:rsid w:val="008E6301"/>
    <w:rsid w:val="008E6AD9"/>
    <w:rsid w:val="008F022A"/>
    <w:rsid w:val="008F06FD"/>
    <w:rsid w:val="008F1172"/>
    <w:rsid w:val="008F1A5D"/>
    <w:rsid w:val="008F27E3"/>
    <w:rsid w:val="008F3485"/>
    <w:rsid w:val="008F3AC3"/>
    <w:rsid w:val="008F3D47"/>
    <w:rsid w:val="008F42DC"/>
    <w:rsid w:val="008F51FF"/>
    <w:rsid w:val="008F52FC"/>
    <w:rsid w:val="008F5DEF"/>
    <w:rsid w:val="008F61F2"/>
    <w:rsid w:val="008F7C0A"/>
    <w:rsid w:val="00900983"/>
    <w:rsid w:val="00900E4F"/>
    <w:rsid w:val="00901DBB"/>
    <w:rsid w:val="009026CB"/>
    <w:rsid w:val="00902876"/>
    <w:rsid w:val="00903415"/>
    <w:rsid w:val="00903FB2"/>
    <w:rsid w:val="00904038"/>
    <w:rsid w:val="009041AF"/>
    <w:rsid w:val="009042AA"/>
    <w:rsid w:val="009049AB"/>
    <w:rsid w:val="009050B7"/>
    <w:rsid w:val="00905130"/>
    <w:rsid w:val="009053BD"/>
    <w:rsid w:val="00905728"/>
    <w:rsid w:val="009061B8"/>
    <w:rsid w:val="009064BF"/>
    <w:rsid w:val="009069B8"/>
    <w:rsid w:val="00907CFC"/>
    <w:rsid w:val="009130CC"/>
    <w:rsid w:val="00913AF7"/>
    <w:rsid w:val="00913B37"/>
    <w:rsid w:val="00914683"/>
    <w:rsid w:val="00914861"/>
    <w:rsid w:val="009148D8"/>
    <w:rsid w:val="00914B5F"/>
    <w:rsid w:val="00914E71"/>
    <w:rsid w:val="0091504C"/>
    <w:rsid w:val="00915897"/>
    <w:rsid w:val="00915B44"/>
    <w:rsid w:val="00915CD5"/>
    <w:rsid w:val="00916093"/>
    <w:rsid w:val="009160E3"/>
    <w:rsid w:val="0091639C"/>
    <w:rsid w:val="00916E99"/>
    <w:rsid w:val="0092002E"/>
    <w:rsid w:val="0092050A"/>
    <w:rsid w:val="00920EC6"/>
    <w:rsid w:val="0092101E"/>
    <w:rsid w:val="009227A1"/>
    <w:rsid w:val="0092383B"/>
    <w:rsid w:val="00923DCE"/>
    <w:rsid w:val="00924119"/>
    <w:rsid w:val="00924E47"/>
    <w:rsid w:val="00925120"/>
    <w:rsid w:val="009255FA"/>
    <w:rsid w:val="009262E4"/>
    <w:rsid w:val="009266D2"/>
    <w:rsid w:val="00927D4E"/>
    <w:rsid w:val="00930AC2"/>
    <w:rsid w:val="00930D2A"/>
    <w:rsid w:val="009312BF"/>
    <w:rsid w:val="00931680"/>
    <w:rsid w:val="00931B84"/>
    <w:rsid w:val="00932188"/>
    <w:rsid w:val="009322B2"/>
    <w:rsid w:val="009328DA"/>
    <w:rsid w:val="00932E7E"/>
    <w:rsid w:val="00933C87"/>
    <w:rsid w:val="0093442D"/>
    <w:rsid w:val="00934CD2"/>
    <w:rsid w:val="00935A35"/>
    <w:rsid w:val="00935F66"/>
    <w:rsid w:val="009375E5"/>
    <w:rsid w:val="00937BC5"/>
    <w:rsid w:val="00937D30"/>
    <w:rsid w:val="00941848"/>
    <w:rsid w:val="0094337A"/>
    <w:rsid w:val="009437F2"/>
    <w:rsid w:val="009442E8"/>
    <w:rsid w:val="00944668"/>
    <w:rsid w:val="00944BA7"/>
    <w:rsid w:val="00945331"/>
    <w:rsid w:val="0094636D"/>
    <w:rsid w:val="00947222"/>
    <w:rsid w:val="0094759C"/>
    <w:rsid w:val="009503FE"/>
    <w:rsid w:val="00950448"/>
    <w:rsid w:val="009507D4"/>
    <w:rsid w:val="00950ACD"/>
    <w:rsid w:val="00950E37"/>
    <w:rsid w:val="00951666"/>
    <w:rsid w:val="0095182F"/>
    <w:rsid w:val="00952524"/>
    <w:rsid w:val="0095278F"/>
    <w:rsid w:val="00953D2D"/>
    <w:rsid w:val="00953EAF"/>
    <w:rsid w:val="0095426C"/>
    <w:rsid w:val="0095570D"/>
    <w:rsid w:val="00955EE9"/>
    <w:rsid w:val="00956BF5"/>
    <w:rsid w:val="009570CF"/>
    <w:rsid w:val="009571C2"/>
    <w:rsid w:val="009575C3"/>
    <w:rsid w:val="0095770C"/>
    <w:rsid w:val="009579AF"/>
    <w:rsid w:val="00957CC8"/>
    <w:rsid w:val="00957EE7"/>
    <w:rsid w:val="0096086A"/>
    <w:rsid w:val="00961453"/>
    <w:rsid w:val="009616D4"/>
    <w:rsid w:val="00962150"/>
    <w:rsid w:val="00964166"/>
    <w:rsid w:val="009645AD"/>
    <w:rsid w:val="0096475C"/>
    <w:rsid w:val="0096546E"/>
    <w:rsid w:val="0096562A"/>
    <w:rsid w:val="00965865"/>
    <w:rsid w:val="00965D77"/>
    <w:rsid w:val="00966096"/>
    <w:rsid w:val="00966A13"/>
    <w:rsid w:val="00967473"/>
    <w:rsid w:val="00967730"/>
    <w:rsid w:val="00970D56"/>
    <w:rsid w:val="00970E50"/>
    <w:rsid w:val="00971074"/>
    <w:rsid w:val="009725B2"/>
    <w:rsid w:val="009747AA"/>
    <w:rsid w:val="00974B99"/>
    <w:rsid w:val="00974BCB"/>
    <w:rsid w:val="0097529C"/>
    <w:rsid w:val="00975361"/>
    <w:rsid w:val="009758CD"/>
    <w:rsid w:val="00975AEF"/>
    <w:rsid w:val="00975BF2"/>
    <w:rsid w:val="0097616C"/>
    <w:rsid w:val="009763E4"/>
    <w:rsid w:val="0097649D"/>
    <w:rsid w:val="0097654D"/>
    <w:rsid w:val="009766B7"/>
    <w:rsid w:val="009771A5"/>
    <w:rsid w:val="00977C23"/>
    <w:rsid w:val="00980974"/>
    <w:rsid w:val="00980A22"/>
    <w:rsid w:val="00980D85"/>
    <w:rsid w:val="009810A1"/>
    <w:rsid w:val="00981D80"/>
    <w:rsid w:val="00981E09"/>
    <w:rsid w:val="00982E49"/>
    <w:rsid w:val="00983094"/>
    <w:rsid w:val="00983599"/>
    <w:rsid w:val="00983A34"/>
    <w:rsid w:val="009843DE"/>
    <w:rsid w:val="0098544F"/>
    <w:rsid w:val="00985A06"/>
    <w:rsid w:val="00985B04"/>
    <w:rsid w:val="00986A6D"/>
    <w:rsid w:val="00986BEF"/>
    <w:rsid w:val="00987298"/>
    <w:rsid w:val="0098756B"/>
    <w:rsid w:val="00987B34"/>
    <w:rsid w:val="00987D84"/>
    <w:rsid w:val="00991DF8"/>
    <w:rsid w:val="00992499"/>
    <w:rsid w:val="00992986"/>
    <w:rsid w:val="009936E2"/>
    <w:rsid w:val="00994B55"/>
    <w:rsid w:val="009954C9"/>
    <w:rsid w:val="00995D86"/>
    <w:rsid w:val="00995FB2"/>
    <w:rsid w:val="0099781E"/>
    <w:rsid w:val="00997A68"/>
    <w:rsid w:val="009A00EA"/>
    <w:rsid w:val="009A0587"/>
    <w:rsid w:val="009A0DA2"/>
    <w:rsid w:val="009A0E84"/>
    <w:rsid w:val="009A1F6B"/>
    <w:rsid w:val="009A2C4C"/>
    <w:rsid w:val="009A2DD8"/>
    <w:rsid w:val="009A30DE"/>
    <w:rsid w:val="009A3D29"/>
    <w:rsid w:val="009A509F"/>
    <w:rsid w:val="009A5453"/>
    <w:rsid w:val="009A5489"/>
    <w:rsid w:val="009A6735"/>
    <w:rsid w:val="009A6A7B"/>
    <w:rsid w:val="009A6D2A"/>
    <w:rsid w:val="009A7532"/>
    <w:rsid w:val="009A7883"/>
    <w:rsid w:val="009B0596"/>
    <w:rsid w:val="009B0F0D"/>
    <w:rsid w:val="009B1D50"/>
    <w:rsid w:val="009B22E2"/>
    <w:rsid w:val="009B237F"/>
    <w:rsid w:val="009B2760"/>
    <w:rsid w:val="009B308D"/>
    <w:rsid w:val="009B38D5"/>
    <w:rsid w:val="009B3B62"/>
    <w:rsid w:val="009B3C8D"/>
    <w:rsid w:val="009B4FFB"/>
    <w:rsid w:val="009B53C7"/>
    <w:rsid w:val="009B6758"/>
    <w:rsid w:val="009B6A0D"/>
    <w:rsid w:val="009B6E33"/>
    <w:rsid w:val="009B7214"/>
    <w:rsid w:val="009B7274"/>
    <w:rsid w:val="009B7489"/>
    <w:rsid w:val="009B7987"/>
    <w:rsid w:val="009B7B0A"/>
    <w:rsid w:val="009C07C9"/>
    <w:rsid w:val="009C08D7"/>
    <w:rsid w:val="009C1866"/>
    <w:rsid w:val="009C1FDE"/>
    <w:rsid w:val="009C23FE"/>
    <w:rsid w:val="009C375C"/>
    <w:rsid w:val="009C4BC0"/>
    <w:rsid w:val="009C4E0D"/>
    <w:rsid w:val="009C4F1B"/>
    <w:rsid w:val="009C503B"/>
    <w:rsid w:val="009C503E"/>
    <w:rsid w:val="009C5793"/>
    <w:rsid w:val="009C5816"/>
    <w:rsid w:val="009C61EA"/>
    <w:rsid w:val="009C63EC"/>
    <w:rsid w:val="009C7777"/>
    <w:rsid w:val="009C7DAC"/>
    <w:rsid w:val="009D077D"/>
    <w:rsid w:val="009D08A6"/>
    <w:rsid w:val="009D1915"/>
    <w:rsid w:val="009D1B69"/>
    <w:rsid w:val="009D1EB3"/>
    <w:rsid w:val="009D2ABF"/>
    <w:rsid w:val="009D34F6"/>
    <w:rsid w:val="009D3793"/>
    <w:rsid w:val="009D3AD2"/>
    <w:rsid w:val="009D3E06"/>
    <w:rsid w:val="009D3EBF"/>
    <w:rsid w:val="009D5843"/>
    <w:rsid w:val="009D6154"/>
    <w:rsid w:val="009D638D"/>
    <w:rsid w:val="009D6393"/>
    <w:rsid w:val="009D6720"/>
    <w:rsid w:val="009E0885"/>
    <w:rsid w:val="009E1CC8"/>
    <w:rsid w:val="009E2827"/>
    <w:rsid w:val="009E30D2"/>
    <w:rsid w:val="009E42CE"/>
    <w:rsid w:val="009E4885"/>
    <w:rsid w:val="009E508B"/>
    <w:rsid w:val="009E6A00"/>
    <w:rsid w:val="009F0086"/>
    <w:rsid w:val="009F03AB"/>
    <w:rsid w:val="009F0619"/>
    <w:rsid w:val="009F068A"/>
    <w:rsid w:val="009F08C5"/>
    <w:rsid w:val="009F0A85"/>
    <w:rsid w:val="009F1260"/>
    <w:rsid w:val="009F15CA"/>
    <w:rsid w:val="009F17D7"/>
    <w:rsid w:val="009F1B71"/>
    <w:rsid w:val="009F220A"/>
    <w:rsid w:val="009F356A"/>
    <w:rsid w:val="009F36D6"/>
    <w:rsid w:val="009F6575"/>
    <w:rsid w:val="009F6799"/>
    <w:rsid w:val="009F7ADC"/>
    <w:rsid w:val="00A0002A"/>
    <w:rsid w:val="00A00B74"/>
    <w:rsid w:val="00A00BB0"/>
    <w:rsid w:val="00A01056"/>
    <w:rsid w:val="00A0236D"/>
    <w:rsid w:val="00A02413"/>
    <w:rsid w:val="00A02985"/>
    <w:rsid w:val="00A02B2B"/>
    <w:rsid w:val="00A02CFF"/>
    <w:rsid w:val="00A02FA8"/>
    <w:rsid w:val="00A03F1A"/>
    <w:rsid w:val="00A03F74"/>
    <w:rsid w:val="00A03F88"/>
    <w:rsid w:val="00A043EB"/>
    <w:rsid w:val="00A046BF"/>
    <w:rsid w:val="00A05820"/>
    <w:rsid w:val="00A05B25"/>
    <w:rsid w:val="00A05C04"/>
    <w:rsid w:val="00A05EC0"/>
    <w:rsid w:val="00A06254"/>
    <w:rsid w:val="00A06842"/>
    <w:rsid w:val="00A07459"/>
    <w:rsid w:val="00A07D78"/>
    <w:rsid w:val="00A07DB6"/>
    <w:rsid w:val="00A1094D"/>
    <w:rsid w:val="00A10972"/>
    <w:rsid w:val="00A11406"/>
    <w:rsid w:val="00A13205"/>
    <w:rsid w:val="00A132A1"/>
    <w:rsid w:val="00A13422"/>
    <w:rsid w:val="00A15132"/>
    <w:rsid w:val="00A1554D"/>
    <w:rsid w:val="00A15792"/>
    <w:rsid w:val="00A158E3"/>
    <w:rsid w:val="00A1591A"/>
    <w:rsid w:val="00A172E0"/>
    <w:rsid w:val="00A17527"/>
    <w:rsid w:val="00A17635"/>
    <w:rsid w:val="00A211C5"/>
    <w:rsid w:val="00A221A3"/>
    <w:rsid w:val="00A2229A"/>
    <w:rsid w:val="00A223D5"/>
    <w:rsid w:val="00A235E4"/>
    <w:rsid w:val="00A23829"/>
    <w:rsid w:val="00A23F41"/>
    <w:rsid w:val="00A24270"/>
    <w:rsid w:val="00A25169"/>
    <w:rsid w:val="00A25547"/>
    <w:rsid w:val="00A25F76"/>
    <w:rsid w:val="00A26600"/>
    <w:rsid w:val="00A3003E"/>
    <w:rsid w:val="00A31E14"/>
    <w:rsid w:val="00A3325E"/>
    <w:rsid w:val="00A334D6"/>
    <w:rsid w:val="00A34276"/>
    <w:rsid w:val="00A34524"/>
    <w:rsid w:val="00A345B6"/>
    <w:rsid w:val="00A357A4"/>
    <w:rsid w:val="00A35CDF"/>
    <w:rsid w:val="00A36453"/>
    <w:rsid w:val="00A37970"/>
    <w:rsid w:val="00A37A68"/>
    <w:rsid w:val="00A37B0C"/>
    <w:rsid w:val="00A37CE6"/>
    <w:rsid w:val="00A37D1C"/>
    <w:rsid w:val="00A37FFE"/>
    <w:rsid w:val="00A404BE"/>
    <w:rsid w:val="00A40ECF"/>
    <w:rsid w:val="00A411C9"/>
    <w:rsid w:val="00A41FEF"/>
    <w:rsid w:val="00A42476"/>
    <w:rsid w:val="00A433CA"/>
    <w:rsid w:val="00A43870"/>
    <w:rsid w:val="00A43A1A"/>
    <w:rsid w:val="00A43D48"/>
    <w:rsid w:val="00A43F3C"/>
    <w:rsid w:val="00A447A5"/>
    <w:rsid w:val="00A45B83"/>
    <w:rsid w:val="00A4646E"/>
    <w:rsid w:val="00A468FD"/>
    <w:rsid w:val="00A46921"/>
    <w:rsid w:val="00A47249"/>
    <w:rsid w:val="00A4750E"/>
    <w:rsid w:val="00A47E3B"/>
    <w:rsid w:val="00A501C7"/>
    <w:rsid w:val="00A5058A"/>
    <w:rsid w:val="00A50905"/>
    <w:rsid w:val="00A513FD"/>
    <w:rsid w:val="00A521CF"/>
    <w:rsid w:val="00A52268"/>
    <w:rsid w:val="00A5254B"/>
    <w:rsid w:val="00A52BC1"/>
    <w:rsid w:val="00A5347F"/>
    <w:rsid w:val="00A534A0"/>
    <w:rsid w:val="00A537EA"/>
    <w:rsid w:val="00A5380A"/>
    <w:rsid w:val="00A539AD"/>
    <w:rsid w:val="00A53E3E"/>
    <w:rsid w:val="00A540B2"/>
    <w:rsid w:val="00A5414D"/>
    <w:rsid w:val="00A54A3E"/>
    <w:rsid w:val="00A54C08"/>
    <w:rsid w:val="00A556B7"/>
    <w:rsid w:val="00A562B5"/>
    <w:rsid w:val="00A564A6"/>
    <w:rsid w:val="00A56819"/>
    <w:rsid w:val="00A568AC"/>
    <w:rsid w:val="00A56A78"/>
    <w:rsid w:val="00A6025F"/>
    <w:rsid w:val="00A60E9C"/>
    <w:rsid w:val="00A61196"/>
    <w:rsid w:val="00A6131E"/>
    <w:rsid w:val="00A616AF"/>
    <w:rsid w:val="00A61879"/>
    <w:rsid w:val="00A61F8B"/>
    <w:rsid w:val="00A628B4"/>
    <w:rsid w:val="00A62E6A"/>
    <w:rsid w:val="00A63E4E"/>
    <w:rsid w:val="00A6444F"/>
    <w:rsid w:val="00A652FF"/>
    <w:rsid w:val="00A65A0D"/>
    <w:rsid w:val="00A65C27"/>
    <w:rsid w:val="00A65F3C"/>
    <w:rsid w:val="00A661FD"/>
    <w:rsid w:val="00A66E75"/>
    <w:rsid w:val="00A66FB3"/>
    <w:rsid w:val="00A67832"/>
    <w:rsid w:val="00A67A2C"/>
    <w:rsid w:val="00A709A3"/>
    <w:rsid w:val="00A71216"/>
    <w:rsid w:val="00A714A3"/>
    <w:rsid w:val="00A71B8B"/>
    <w:rsid w:val="00A73471"/>
    <w:rsid w:val="00A74DE0"/>
    <w:rsid w:val="00A75089"/>
    <w:rsid w:val="00A75EDC"/>
    <w:rsid w:val="00A7785E"/>
    <w:rsid w:val="00A80404"/>
    <w:rsid w:val="00A80548"/>
    <w:rsid w:val="00A8085F"/>
    <w:rsid w:val="00A80A3D"/>
    <w:rsid w:val="00A817A8"/>
    <w:rsid w:val="00A81E50"/>
    <w:rsid w:val="00A81F1C"/>
    <w:rsid w:val="00A82602"/>
    <w:rsid w:val="00A82DA0"/>
    <w:rsid w:val="00A83E49"/>
    <w:rsid w:val="00A8401C"/>
    <w:rsid w:val="00A8415A"/>
    <w:rsid w:val="00A841A6"/>
    <w:rsid w:val="00A84221"/>
    <w:rsid w:val="00A843CA"/>
    <w:rsid w:val="00A84AAE"/>
    <w:rsid w:val="00A84B7A"/>
    <w:rsid w:val="00A85063"/>
    <w:rsid w:val="00A86359"/>
    <w:rsid w:val="00A86FBC"/>
    <w:rsid w:val="00A879C5"/>
    <w:rsid w:val="00A902AD"/>
    <w:rsid w:val="00A90302"/>
    <w:rsid w:val="00A90584"/>
    <w:rsid w:val="00A9099E"/>
    <w:rsid w:val="00A91447"/>
    <w:rsid w:val="00A916E9"/>
    <w:rsid w:val="00A91FB7"/>
    <w:rsid w:val="00A9298F"/>
    <w:rsid w:val="00A9301E"/>
    <w:rsid w:val="00A93E3A"/>
    <w:rsid w:val="00A95186"/>
    <w:rsid w:val="00A951AD"/>
    <w:rsid w:val="00A95351"/>
    <w:rsid w:val="00A961BD"/>
    <w:rsid w:val="00A973B1"/>
    <w:rsid w:val="00A97FC2"/>
    <w:rsid w:val="00AA027E"/>
    <w:rsid w:val="00AA1224"/>
    <w:rsid w:val="00AA14F2"/>
    <w:rsid w:val="00AA180B"/>
    <w:rsid w:val="00AA1BBC"/>
    <w:rsid w:val="00AA1D43"/>
    <w:rsid w:val="00AA2358"/>
    <w:rsid w:val="00AA2469"/>
    <w:rsid w:val="00AA2CD7"/>
    <w:rsid w:val="00AA2FA4"/>
    <w:rsid w:val="00AA3301"/>
    <w:rsid w:val="00AA3360"/>
    <w:rsid w:val="00AA386B"/>
    <w:rsid w:val="00AA4FFE"/>
    <w:rsid w:val="00AA6220"/>
    <w:rsid w:val="00AA6384"/>
    <w:rsid w:val="00AA6B93"/>
    <w:rsid w:val="00AA75C4"/>
    <w:rsid w:val="00AA7A06"/>
    <w:rsid w:val="00AA7A7F"/>
    <w:rsid w:val="00AB1984"/>
    <w:rsid w:val="00AB1CBB"/>
    <w:rsid w:val="00AB215B"/>
    <w:rsid w:val="00AB3146"/>
    <w:rsid w:val="00AB323C"/>
    <w:rsid w:val="00AB333E"/>
    <w:rsid w:val="00AB37DB"/>
    <w:rsid w:val="00AB3ECC"/>
    <w:rsid w:val="00AB3FC4"/>
    <w:rsid w:val="00AB4063"/>
    <w:rsid w:val="00AB4286"/>
    <w:rsid w:val="00AB54B5"/>
    <w:rsid w:val="00AB5A73"/>
    <w:rsid w:val="00AB5F48"/>
    <w:rsid w:val="00AB7156"/>
    <w:rsid w:val="00AB716D"/>
    <w:rsid w:val="00AB72BB"/>
    <w:rsid w:val="00AB7472"/>
    <w:rsid w:val="00AB7BD0"/>
    <w:rsid w:val="00AB7BF3"/>
    <w:rsid w:val="00AC09D5"/>
    <w:rsid w:val="00AC0D8E"/>
    <w:rsid w:val="00AC175B"/>
    <w:rsid w:val="00AC1AA3"/>
    <w:rsid w:val="00AC1F8E"/>
    <w:rsid w:val="00AC22C1"/>
    <w:rsid w:val="00AC2726"/>
    <w:rsid w:val="00AC2F99"/>
    <w:rsid w:val="00AC374B"/>
    <w:rsid w:val="00AC3798"/>
    <w:rsid w:val="00AC3ED5"/>
    <w:rsid w:val="00AC4CB3"/>
    <w:rsid w:val="00AC4D7C"/>
    <w:rsid w:val="00AC51BE"/>
    <w:rsid w:val="00AC53B0"/>
    <w:rsid w:val="00AC6EF2"/>
    <w:rsid w:val="00AC71A6"/>
    <w:rsid w:val="00AC742F"/>
    <w:rsid w:val="00AC7664"/>
    <w:rsid w:val="00AC774F"/>
    <w:rsid w:val="00AC780D"/>
    <w:rsid w:val="00AC787B"/>
    <w:rsid w:val="00AC78A0"/>
    <w:rsid w:val="00AC7956"/>
    <w:rsid w:val="00AC7E18"/>
    <w:rsid w:val="00AD1B79"/>
    <w:rsid w:val="00AD1C7C"/>
    <w:rsid w:val="00AD31F7"/>
    <w:rsid w:val="00AD3208"/>
    <w:rsid w:val="00AD3437"/>
    <w:rsid w:val="00AD3C00"/>
    <w:rsid w:val="00AD3E7F"/>
    <w:rsid w:val="00AD50F8"/>
    <w:rsid w:val="00AD719F"/>
    <w:rsid w:val="00AD7447"/>
    <w:rsid w:val="00AD7D36"/>
    <w:rsid w:val="00AE0A0E"/>
    <w:rsid w:val="00AE0DED"/>
    <w:rsid w:val="00AE12ED"/>
    <w:rsid w:val="00AE1D05"/>
    <w:rsid w:val="00AE2780"/>
    <w:rsid w:val="00AE284A"/>
    <w:rsid w:val="00AE2DBE"/>
    <w:rsid w:val="00AE307E"/>
    <w:rsid w:val="00AE3450"/>
    <w:rsid w:val="00AE392E"/>
    <w:rsid w:val="00AE3E11"/>
    <w:rsid w:val="00AE40B3"/>
    <w:rsid w:val="00AE4BDC"/>
    <w:rsid w:val="00AE4CFD"/>
    <w:rsid w:val="00AE4EA6"/>
    <w:rsid w:val="00AE51FF"/>
    <w:rsid w:val="00AE5507"/>
    <w:rsid w:val="00AE55AD"/>
    <w:rsid w:val="00AE5D8F"/>
    <w:rsid w:val="00AE67D5"/>
    <w:rsid w:val="00AE6AF8"/>
    <w:rsid w:val="00AE78ED"/>
    <w:rsid w:val="00AE7AC2"/>
    <w:rsid w:val="00AE7EC9"/>
    <w:rsid w:val="00AF0852"/>
    <w:rsid w:val="00AF1117"/>
    <w:rsid w:val="00AF150C"/>
    <w:rsid w:val="00AF1555"/>
    <w:rsid w:val="00AF174E"/>
    <w:rsid w:val="00AF18BA"/>
    <w:rsid w:val="00AF1CA5"/>
    <w:rsid w:val="00AF228C"/>
    <w:rsid w:val="00AF2DB9"/>
    <w:rsid w:val="00AF3928"/>
    <w:rsid w:val="00AF3B55"/>
    <w:rsid w:val="00AF3D62"/>
    <w:rsid w:val="00AF4146"/>
    <w:rsid w:val="00AF56FE"/>
    <w:rsid w:val="00AF5AE1"/>
    <w:rsid w:val="00AF6AC5"/>
    <w:rsid w:val="00AF7809"/>
    <w:rsid w:val="00AF7CA7"/>
    <w:rsid w:val="00AF7F7B"/>
    <w:rsid w:val="00B00BDE"/>
    <w:rsid w:val="00B0104B"/>
    <w:rsid w:val="00B01EC7"/>
    <w:rsid w:val="00B021E0"/>
    <w:rsid w:val="00B03A30"/>
    <w:rsid w:val="00B03A35"/>
    <w:rsid w:val="00B04F99"/>
    <w:rsid w:val="00B057B6"/>
    <w:rsid w:val="00B05A7C"/>
    <w:rsid w:val="00B06361"/>
    <w:rsid w:val="00B0651D"/>
    <w:rsid w:val="00B06955"/>
    <w:rsid w:val="00B069AA"/>
    <w:rsid w:val="00B07BEA"/>
    <w:rsid w:val="00B07F41"/>
    <w:rsid w:val="00B102F9"/>
    <w:rsid w:val="00B117F4"/>
    <w:rsid w:val="00B11C80"/>
    <w:rsid w:val="00B12152"/>
    <w:rsid w:val="00B12DCA"/>
    <w:rsid w:val="00B13ECB"/>
    <w:rsid w:val="00B1524F"/>
    <w:rsid w:val="00B1555E"/>
    <w:rsid w:val="00B15A54"/>
    <w:rsid w:val="00B15ECF"/>
    <w:rsid w:val="00B169CD"/>
    <w:rsid w:val="00B16C0A"/>
    <w:rsid w:val="00B17F60"/>
    <w:rsid w:val="00B2039A"/>
    <w:rsid w:val="00B20AC8"/>
    <w:rsid w:val="00B215D5"/>
    <w:rsid w:val="00B21D55"/>
    <w:rsid w:val="00B225CB"/>
    <w:rsid w:val="00B22870"/>
    <w:rsid w:val="00B22A22"/>
    <w:rsid w:val="00B22AA6"/>
    <w:rsid w:val="00B23D85"/>
    <w:rsid w:val="00B23F4C"/>
    <w:rsid w:val="00B24233"/>
    <w:rsid w:val="00B246DD"/>
    <w:rsid w:val="00B248D8"/>
    <w:rsid w:val="00B24BA7"/>
    <w:rsid w:val="00B25A6F"/>
    <w:rsid w:val="00B25CD9"/>
    <w:rsid w:val="00B268D0"/>
    <w:rsid w:val="00B269D3"/>
    <w:rsid w:val="00B27F44"/>
    <w:rsid w:val="00B301ED"/>
    <w:rsid w:val="00B3032D"/>
    <w:rsid w:val="00B30448"/>
    <w:rsid w:val="00B3048B"/>
    <w:rsid w:val="00B306A3"/>
    <w:rsid w:val="00B30C49"/>
    <w:rsid w:val="00B30D75"/>
    <w:rsid w:val="00B30DAD"/>
    <w:rsid w:val="00B31315"/>
    <w:rsid w:val="00B31C8A"/>
    <w:rsid w:val="00B3260E"/>
    <w:rsid w:val="00B32C4B"/>
    <w:rsid w:val="00B334F5"/>
    <w:rsid w:val="00B3407E"/>
    <w:rsid w:val="00B34C84"/>
    <w:rsid w:val="00B34D6A"/>
    <w:rsid w:val="00B35021"/>
    <w:rsid w:val="00B35160"/>
    <w:rsid w:val="00B35749"/>
    <w:rsid w:val="00B35EF5"/>
    <w:rsid w:val="00B3677F"/>
    <w:rsid w:val="00B36872"/>
    <w:rsid w:val="00B3704D"/>
    <w:rsid w:val="00B37071"/>
    <w:rsid w:val="00B40162"/>
    <w:rsid w:val="00B4054D"/>
    <w:rsid w:val="00B40C10"/>
    <w:rsid w:val="00B40FDB"/>
    <w:rsid w:val="00B41918"/>
    <w:rsid w:val="00B41C6D"/>
    <w:rsid w:val="00B420B2"/>
    <w:rsid w:val="00B42800"/>
    <w:rsid w:val="00B42832"/>
    <w:rsid w:val="00B42863"/>
    <w:rsid w:val="00B430F6"/>
    <w:rsid w:val="00B43511"/>
    <w:rsid w:val="00B43CE6"/>
    <w:rsid w:val="00B44053"/>
    <w:rsid w:val="00B45528"/>
    <w:rsid w:val="00B46B6E"/>
    <w:rsid w:val="00B478FA"/>
    <w:rsid w:val="00B50156"/>
    <w:rsid w:val="00B501E8"/>
    <w:rsid w:val="00B502A3"/>
    <w:rsid w:val="00B506D4"/>
    <w:rsid w:val="00B507AA"/>
    <w:rsid w:val="00B50953"/>
    <w:rsid w:val="00B509AE"/>
    <w:rsid w:val="00B50C39"/>
    <w:rsid w:val="00B50C93"/>
    <w:rsid w:val="00B50E13"/>
    <w:rsid w:val="00B51581"/>
    <w:rsid w:val="00B518AD"/>
    <w:rsid w:val="00B51BB6"/>
    <w:rsid w:val="00B52056"/>
    <w:rsid w:val="00B52B0E"/>
    <w:rsid w:val="00B52D81"/>
    <w:rsid w:val="00B5355B"/>
    <w:rsid w:val="00B53923"/>
    <w:rsid w:val="00B5402E"/>
    <w:rsid w:val="00B540E8"/>
    <w:rsid w:val="00B54681"/>
    <w:rsid w:val="00B54DEE"/>
    <w:rsid w:val="00B55852"/>
    <w:rsid w:val="00B560A9"/>
    <w:rsid w:val="00B56866"/>
    <w:rsid w:val="00B569B9"/>
    <w:rsid w:val="00B56CC4"/>
    <w:rsid w:val="00B57D0C"/>
    <w:rsid w:val="00B604BB"/>
    <w:rsid w:val="00B6062A"/>
    <w:rsid w:val="00B60A96"/>
    <w:rsid w:val="00B60DD7"/>
    <w:rsid w:val="00B60EB6"/>
    <w:rsid w:val="00B60EE5"/>
    <w:rsid w:val="00B616A5"/>
    <w:rsid w:val="00B628BE"/>
    <w:rsid w:val="00B6376D"/>
    <w:rsid w:val="00B637FB"/>
    <w:rsid w:val="00B6386F"/>
    <w:rsid w:val="00B654A9"/>
    <w:rsid w:val="00B65D9B"/>
    <w:rsid w:val="00B66684"/>
    <w:rsid w:val="00B66E51"/>
    <w:rsid w:val="00B67346"/>
    <w:rsid w:val="00B6793A"/>
    <w:rsid w:val="00B67AC3"/>
    <w:rsid w:val="00B70880"/>
    <w:rsid w:val="00B71422"/>
    <w:rsid w:val="00B71486"/>
    <w:rsid w:val="00B71607"/>
    <w:rsid w:val="00B71EF7"/>
    <w:rsid w:val="00B72361"/>
    <w:rsid w:val="00B73A29"/>
    <w:rsid w:val="00B74AB0"/>
    <w:rsid w:val="00B75345"/>
    <w:rsid w:val="00B761EB"/>
    <w:rsid w:val="00B76327"/>
    <w:rsid w:val="00B76400"/>
    <w:rsid w:val="00B76C94"/>
    <w:rsid w:val="00B76D4E"/>
    <w:rsid w:val="00B76D6E"/>
    <w:rsid w:val="00B771AA"/>
    <w:rsid w:val="00B772D0"/>
    <w:rsid w:val="00B804A2"/>
    <w:rsid w:val="00B80A99"/>
    <w:rsid w:val="00B80F12"/>
    <w:rsid w:val="00B80F4E"/>
    <w:rsid w:val="00B814CF"/>
    <w:rsid w:val="00B81A33"/>
    <w:rsid w:val="00B82B2D"/>
    <w:rsid w:val="00B83117"/>
    <w:rsid w:val="00B8319C"/>
    <w:rsid w:val="00B85791"/>
    <w:rsid w:val="00B864A3"/>
    <w:rsid w:val="00B90351"/>
    <w:rsid w:val="00B906F2"/>
    <w:rsid w:val="00B90D9B"/>
    <w:rsid w:val="00B91259"/>
    <w:rsid w:val="00B91B81"/>
    <w:rsid w:val="00B91FF0"/>
    <w:rsid w:val="00B926A8"/>
    <w:rsid w:val="00B92FFF"/>
    <w:rsid w:val="00B936F8"/>
    <w:rsid w:val="00B9492E"/>
    <w:rsid w:val="00B94E75"/>
    <w:rsid w:val="00B9530C"/>
    <w:rsid w:val="00B95895"/>
    <w:rsid w:val="00B96694"/>
    <w:rsid w:val="00B96799"/>
    <w:rsid w:val="00B96DE5"/>
    <w:rsid w:val="00B976E4"/>
    <w:rsid w:val="00B97A76"/>
    <w:rsid w:val="00BA0166"/>
    <w:rsid w:val="00BA0584"/>
    <w:rsid w:val="00BA0755"/>
    <w:rsid w:val="00BA1E9D"/>
    <w:rsid w:val="00BA249D"/>
    <w:rsid w:val="00BA348A"/>
    <w:rsid w:val="00BA3C66"/>
    <w:rsid w:val="00BA3C80"/>
    <w:rsid w:val="00BA4D00"/>
    <w:rsid w:val="00BA4F9B"/>
    <w:rsid w:val="00BA5665"/>
    <w:rsid w:val="00BA72D9"/>
    <w:rsid w:val="00BA73B2"/>
    <w:rsid w:val="00BB0628"/>
    <w:rsid w:val="00BB0AB5"/>
    <w:rsid w:val="00BB195B"/>
    <w:rsid w:val="00BB1BBA"/>
    <w:rsid w:val="00BB204A"/>
    <w:rsid w:val="00BB31DF"/>
    <w:rsid w:val="00BB33E9"/>
    <w:rsid w:val="00BB34B7"/>
    <w:rsid w:val="00BB3BE4"/>
    <w:rsid w:val="00BB44DB"/>
    <w:rsid w:val="00BB57D3"/>
    <w:rsid w:val="00BB58EE"/>
    <w:rsid w:val="00BB64EC"/>
    <w:rsid w:val="00BB7589"/>
    <w:rsid w:val="00BB7668"/>
    <w:rsid w:val="00BB7B26"/>
    <w:rsid w:val="00BB7DA7"/>
    <w:rsid w:val="00BB7E42"/>
    <w:rsid w:val="00BC077E"/>
    <w:rsid w:val="00BC0E57"/>
    <w:rsid w:val="00BC10BD"/>
    <w:rsid w:val="00BC12A9"/>
    <w:rsid w:val="00BC161A"/>
    <w:rsid w:val="00BC1F5F"/>
    <w:rsid w:val="00BC21BE"/>
    <w:rsid w:val="00BC2465"/>
    <w:rsid w:val="00BC3E36"/>
    <w:rsid w:val="00BC4B2D"/>
    <w:rsid w:val="00BC4CE8"/>
    <w:rsid w:val="00BC4D54"/>
    <w:rsid w:val="00BC5EBE"/>
    <w:rsid w:val="00BC6E2F"/>
    <w:rsid w:val="00BC728A"/>
    <w:rsid w:val="00BC7632"/>
    <w:rsid w:val="00BC77A4"/>
    <w:rsid w:val="00BC7C9E"/>
    <w:rsid w:val="00BD1E79"/>
    <w:rsid w:val="00BD23A5"/>
    <w:rsid w:val="00BD2937"/>
    <w:rsid w:val="00BD2AFC"/>
    <w:rsid w:val="00BD2CD4"/>
    <w:rsid w:val="00BD3143"/>
    <w:rsid w:val="00BD330C"/>
    <w:rsid w:val="00BD3368"/>
    <w:rsid w:val="00BD359B"/>
    <w:rsid w:val="00BD3663"/>
    <w:rsid w:val="00BD367F"/>
    <w:rsid w:val="00BD4871"/>
    <w:rsid w:val="00BD48A9"/>
    <w:rsid w:val="00BD4B19"/>
    <w:rsid w:val="00BD4B47"/>
    <w:rsid w:val="00BD5712"/>
    <w:rsid w:val="00BD581A"/>
    <w:rsid w:val="00BD5C02"/>
    <w:rsid w:val="00BD658C"/>
    <w:rsid w:val="00BD678A"/>
    <w:rsid w:val="00BD6819"/>
    <w:rsid w:val="00BD70B0"/>
    <w:rsid w:val="00BD79C7"/>
    <w:rsid w:val="00BD7EC6"/>
    <w:rsid w:val="00BE0126"/>
    <w:rsid w:val="00BE063A"/>
    <w:rsid w:val="00BE0897"/>
    <w:rsid w:val="00BE0FF2"/>
    <w:rsid w:val="00BE1345"/>
    <w:rsid w:val="00BE18BC"/>
    <w:rsid w:val="00BE2147"/>
    <w:rsid w:val="00BE239E"/>
    <w:rsid w:val="00BE3998"/>
    <w:rsid w:val="00BE3B83"/>
    <w:rsid w:val="00BE3C67"/>
    <w:rsid w:val="00BE3CF7"/>
    <w:rsid w:val="00BE42FC"/>
    <w:rsid w:val="00BE6085"/>
    <w:rsid w:val="00BE66FC"/>
    <w:rsid w:val="00BE73FA"/>
    <w:rsid w:val="00BE7C64"/>
    <w:rsid w:val="00BF00D1"/>
    <w:rsid w:val="00BF0353"/>
    <w:rsid w:val="00BF090A"/>
    <w:rsid w:val="00BF0918"/>
    <w:rsid w:val="00BF1CD9"/>
    <w:rsid w:val="00BF2001"/>
    <w:rsid w:val="00BF2575"/>
    <w:rsid w:val="00BF31A0"/>
    <w:rsid w:val="00BF323A"/>
    <w:rsid w:val="00BF36C0"/>
    <w:rsid w:val="00BF390A"/>
    <w:rsid w:val="00BF3F0A"/>
    <w:rsid w:val="00BF4AE5"/>
    <w:rsid w:val="00BF4E35"/>
    <w:rsid w:val="00BF5FB3"/>
    <w:rsid w:val="00BF6F82"/>
    <w:rsid w:val="00BF78FE"/>
    <w:rsid w:val="00BF7B9B"/>
    <w:rsid w:val="00BF7F80"/>
    <w:rsid w:val="00C0083F"/>
    <w:rsid w:val="00C00976"/>
    <w:rsid w:val="00C00C47"/>
    <w:rsid w:val="00C020CD"/>
    <w:rsid w:val="00C0290C"/>
    <w:rsid w:val="00C02DA8"/>
    <w:rsid w:val="00C02DDE"/>
    <w:rsid w:val="00C0362D"/>
    <w:rsid w:val="00C0367B"/>
    <w:rsid w:val="00C04E51"/>
    <w:rsid w:val="00C05074"/>
    <w:rsid w:val="00C05AF9"/>
    <w:rsid w:val="00C060A3"/>
    <w:rsid w:val="00C060B0"/>
    <w:rsid w:val="00C06D2C"/>
    <w:rsid w:val="00C072F0"/>
    <w:rsid w:val="00C07344"/>
    <w:rsid w:val="00C079A3"/>
    <w:rsid w:val="00C07C1F"/>
    <w:rsid w:val="00C07C79"/>
    <w:rsid w:val="00C11A79"/>
    <w:rsid w:val="00C11B06"/>
    <w:rsid w:val="00C1211E"/>
    <w:rsid w:val="00C13607"/>
    <w:rsid w:val="00C137B1"/>
    <w:rsid w:val="00C13B43"/>
    <w:rsid w:val="00C15E81"/>
    <w:rsid w:val="00C166BB"/>
    <w:rsid w:val="00C17034"/>
    <w:rsid w:val="00C174C9"/>
    <w:rsid w:val="00C175AC"/>
    <w:rsid w:val="00C17B6E"/>
    <w:rsid w:val="00C200BA"/>
    <w:rsid w:val="00C20748"/>
    <w:rsid w:val="00C20754"/>
    <w:rsid w:val="00C21378"/>
    <w:rsid w:val="00C220A5"/>
    <w:rsid w:val="00C22307"/>
    <w:rsid w:val="00C22BB2"/>
    <w:rsid w:val="00C22EAF"/>
    <w:rsid w:val="00C23150"/>
    <w:rsid w:val="00C24580"/>
    <w:rsid w:val="00C24908"/>
    <w:rsid w:val="00C250E8"/>
    <w:rsid w:val="00C2515F"/>
    <w:rsid w:val="00C25B30"/>
    <w:rsid w:val="00C25DCF"/>
    <w:rsid w:val="00C26AEA"/>
    <w:rsid w:val="00C26EA3"/>
    <w:rsid w:val="00C276EC"/>
    <w:rsid w:val="00C27C0A"/>
    <w:rsid w:val="00C31AD4"/>
    <w:rsid w:val="00C31C63"/>
    <w:rsid w:val="00C31CD9"/>
    <w:rsid w:val="00C32481"/>
    <w:rsid w:val="00C3394C"/>
    <w:rsid w:val="00C34581"/>
    <w:rsid w:val="00C34AD7"/>
    <w:rsid w:val="00C3516D"/>
    <w:rsid w:val="00C351E4"/>
    <w:rsid w:val="00C361A6"/>
    <w:rsid w:val="00C365C5"/>
    <w:rsid w:val="00C3670F"/>
    <w:rsid w:val="00C36E1A"/>
    <w:rsid w:val="00C371DF"/>
    <w:rsid w:val="00C37818"/>
    <w:rsid w:val="00C37EFC"/>
    <w:rsid w:val="00C37FF9"/>
    <w:rsid w:val="00C40126"/>
    <w:rsid w:val="00C41099"/>
    <w:rsid w:val="00C41425"/>
    <w:rsid w:val="00C41B4A"/>
    <w:rsid w:val="00C4213A"/>
    <w:rsid w:val="00C42739"/>
    <w:rsid w:val="00C42BDD"/>
    <w:rsid w:val="00C42C11"/>
    <w:rsid w:val="00C43ADB"/>
    <w:rsid w:val="00C44949"/>
    <w:rsid w:val="00C44B4C"/>
    <w:rsid w:val="00C450E3"/>
    <w:rsid w:val="00C45830"/>
    <w:rsid w:val="00C45C56"/>
    <w:rsid w:val="00C45CCD"/>
    <w:rsid w:val="00C46734"/>
    <w:rsid w:val="00C46EA8"/>
    <w:rsid w:val="00C47636"/>
    <w:rsid w:val="00C50112"/>
    <w:rsid w:val="00C5105D"/>
    <w:rsid w:val="00C511F0"/>
    <w:rsid w:val="00C513C7"/>
    <w:rsid w:val="00C51639"/>
    <w:rsid w:val="00C529E1"/>
    <w:rsid w:val="00C53220"/>
    <w:rsid w:val="00C533A0"/>
    <w:rsid w:val="00C537E7"/>
    <w:rsid w:val="00C53AFE"/>
    <w:rsid w:val="00C53E9D"/>
    <w:rsid w:val="00C5426B"/>
    <w:rsid w:val="00C54C18"/>
    <w:rsid w:val="00C573DA"/>
    <w:rsid w:val="00C5772E"/>
    <w:rsid w:val="00C5781B"/>
    <w:rsid w:val="00C61117"/>
    <w:rsid w:val="00C616B4"/>
    <w:rsid w:val="00C621A7"/>
    <w:rsid w:val="00C62AA0"/>
    <w:rsid w:val="00C62BF2"/>
    <w:rsid w:val="00C62D1B"/>
    <w:rsid w:val="00C638A6"/>
    <w:rsid w:val="00C63FB9"/>
    <w:rsid w:val="00C64266"/>
    <w:rsid w:val="00C647DF"/>
    <w:rsid w:val="00C64C9C"/>
    <w:rsid w:val="00C66306"/>
    <w:rsid w:val="00C66CE8"/>
    <w:rsid w:val="00C70074"/>
    <w:rsid w:val="00C70D00"/>
    <w:rsid w:val="00C70DF4"/>
    <w:rsid w:val="00C71252"/>
    <w:rsid w:val="00C7277F"/>
    <w:rsid w:val="00C730E8"/>
    <w:rsid w:val="00C73B23"/>
    <w:rsid w:val="00C73C07"/>
    <w:rsid w:val="00C74930"/>
    <w:rsid w:val="00C74B47"/>
    <w:rsid w:val="00C74D80"/>
    <w:rsid w:val="00C754BD"/>
    <w:rsid w:val="00C75D3A"/>
    <w:rsid w:val="00C769A9"/>
    <w:rsid w:val="00C7734D"/>
    <w:rsid w:val="00C774C9"/>
    <w:rsid w:val="00C77F1B"/>
    <w:rsid w:val="00C80987"/>
    <w:rsid w:val="00C80A3F"/>
    <w:rsid w:val="00C8180E"/>
    <w:rsid w:val="00C818A9"/>
    <w:rsid w:val="00C82436"/>
    <w:rsid w:val="00C827A3"/>
    <w:rsid w:val="00C82933"/>
    <w:rsid w:val="00C82BE2"/>
    <w:rsid w:val="00C83DE2"/>
    <w:rsid w:val="00C84BBF"/>
    <w:rsid w:val="00C84BE9"/>
    <w:rsid w:val="00C85DEF"/>
    <w:rsid w:val="00C85E40"/>
    <w:rsid w:val="00C86D76"/>
    <w:rsid w:val="00C9049A"/>
    <w:rsid w:val="00C910F8"/>
    <w:rsid w:val="00C91106"/>
    <w:rsid w:val="00C9117B"/>
    <w:rsid w:val="00C91D19"/>
    <w:rsid w:val="00C923F2"/>
    <w:rsid w:val="00C939B4"/>
    <w:rsid w:val="00C93B58"/>
    <w:rsid w:val="00C93C2F"/>
    <w:rsid w:val="00C9437C"/>
    <w:rsid w:val="00C946CD"/>
    <w:rsid w:val="00C946E4"/>
    <w:rsid w:val="00C946FF"/>
    <w:rsid w:val="00C94A14"/>
    <w:rsid w:val="00C94CDA"/>
    <w:rsid w:val="00C95BED"/>
    <w:rsid w:val="00C96725"/>
    <w:rsid w:val="00C97A66"/>
    <w:rsid w:val="00CA007B"/>
    <w:rsid w:val="00CA0AA4"/>
    <w:rsid w:val="00CA15B0"/>
    <w:rsid w:val="00CA1C71"/>
    <w:rsid w:val="00CA1D4C"/>
    <w:rsid w:val="00CA1D50"/>
    <w:rsid w:val="00CA1DAB"/>
    <w:rsid w:val="00CA20E0"/>
    <w:rsid w:val="00CA2598"/>
    <w:rsid w:val="00CA2858"/>
    <w:rsid w:val="00CA3347"/>
    <w:rsid w:val="00CA449E"/>
    <w:rsid w:val="00CA523D"/>
    <w:rsid w:val="00CA5EB7"/>
    <w:rsid w:val="00CA6FDA"/>
    <w:rsid w:val="00CA77CF"/>
    <w:rsid w:val="00CA7B58"/>
    <w:rsid w:val="00CB0836"/>
    <w:rsid w:val="00CB0CB9"/>
    <w:rsid w:val="00CB0DD8"/>
    <w:rsid w:val="00CB11E7"/>
    <w:rsid w:val="00CB1413"/>
    <w:rsid w:val="00CB1766"/>
    <w:rsid w:val="00CB2518"/>
    <w:rsid w:val="00CB27F4"/>
    <w:rsid w:val="00CB3920"/>
    <w:rsid w:val="00CB3938"/>
    <w:rsid w:val="00CB4C4C"/>
    <w:rsid w:val="00CB543C"/>
    <w:rsid w:val="00CB5F7F"/>
    <w:rsid w:val="00CB6413"/>
    <w:rsid w:val="00CB696F"/>
    <w:rsid w:val="00CB6A00"/>
    <w:rsid w:val="00CB7097"/>
    <w:rsid w:val="00CB77F4"/>
    <w:rsid w:val="00CC0F1C"/>
    <w:rsid w:val="00CC1374"/>
    <w:rsid w:val="00CC1F78"/>
    <w:rsid w:val="00CC2191"/>
    <w:rsid w:val="00CC299A"/>
    <w:rsid w:val="00CC3039"/>
    <w:rsid w:val="00CC32B7"/>
    <w:rsid w:val="00CC36DE"/>
    <w:rsid w:val="00CC39C4"/>
    <w:rsid w:val="00CC3A06"/>
    <w:rsid w:val="00CC3FE9"/>
    <w:rsid w:val="00CC4F99"/>
    <w:rsid w:val="00CC5CDC"/>
    <w:rsid w:val="00CC5FC3"/>
    <w:rsid w:val="00CC6369"/>
    <w:rsid w:val="00CC65D6"/>
    <w:rsid w:val="00CC73F3"/>
    <w:rsid w:val="00CC7A60"/>
    <w:rsid w:val="00CC7B85"/>
    <w:rsid w:val="00CD081C"/>
    <w:rsid w:val="00CD0900"/>
    <w:rsid w:val="00CD14DA"/>
    <w:rsid w:val="00CD1B5A"/>
    <w:rsid w:val="00CD1E9C"/>
    <w:rsid w:val="00CD27DB"/>
    <w:rsid w:val="00CD2E70"/>
    <w:rsid w:val="00CD30F6"/>
    <w:rsid w:val="00CD34F9"/>
    <w:rsid w:val="00CD386B"/>
    <w:rsid w:val="00CD3D06"/>
    <w:rsid w:val="00CD4A09"/>
    <w:rsid w:val="00CD4A38"/>
    <w:rsid w:val="00CD4C67"/>
    <w:rsid w:val="00CD4C7B"/>
    <w:rsid w:val="00CD5397"/>
    <w:rsid w:val="00CD5E93"/>
    <w:rsid w:val="00CE151F"/>
    <w:rsid w:val="00CE15AE"/>
    <w:rsid w:val="00CE1CFC"/>
    <w:rsid w:val="00CE22B1"/>
    <w:rsid w:val="00CE235A"/>
    <w:rsid w:val="00CE37A3"/>
    <w:rsid w:val="00CE3814"/>
    <w:rsid w:val="00CE56B7"/>
    <w:rsid w:val="00CE6660"/>
    <w:rsid w:val="00CE6855"/>
    <w:rsid w:val="00CE6B6F"/>
    <w:rsid w:val="00CE7033"/>
    <w:rsid w:val="00CE7075"/>
    <w:rsid w:val="00CE770A"/>
    <w:rsid w:val="00CE7C1B"/>
    <w:rsid w:val="00CF02A6"/>
    <w:rsid w:val="00CF04DB"/>
    <w:rsid w:val="00CF05A6"/>
    <w:rsid w:val="00CF06CF"/>
    <w:rsid w:val="00CF0845"/>
    <w:rsid w:val="00CF101C"/>
    <w:rsid w:val="00CF15C5"/>
    <w:rsid w:val="00CF1B9C"/>
    <w:rsid w:val="00CF28DD"/>
    <w:rsid w:val="00CF2DC1"/>
    <w:rsid w:val="00CF2EE2"/>
    <w:rsid w:val="00CF3948"/>
    <w:rsid w:val="00CF3ACF"/>
    <w:rsid w:val="00CF441D"/>
    <w:rsid w:val="00CF4FCF"/>
    <w:rsid w:val="00CF4FDC"/>
    <w:rsid w:val="00CF56AF"/>
    <w:rsid w:val="00CF5BE0"/>
    <w:rsid w:val="00CF5BF1"/>
    <w:rsid w:val="00CF61CB"/>
    <w:rsid w:val="00CF666F"/>
    <w:rsid w:val="00CF686F"/>
    <w:rsid w:val="00CF6CA7"/>
    <w:rsid w:val="00CF6E7D"/>
    <w:rsid w:val="00CF7053"/>
    <w:rsid w:val="00CF7CDD"/>
    <w:rsid w:val="00D00175"/>
    <w:rsid w:val="00D00223"/>
    <w:rsid w:val="00D008D8"/>
    <w:rsid w:val="00D00DBF"/>
    <w:rsid w:val="00D0148C"/>
    <w:rsid w:val="00D0149B"/>
    <w:rsid w:val="00D01F5D"/>
    <w:rsid w:val="00D01FA9"/>
    <w:rsid w:val="00D03DBE"/>
    <w:rsid w:val="00D03E0F"/>
    <w:rsid w:val="00D03EED"/>
    <w:rsid w:val="00D0597D"/>
    <w:rsid w:val="00D06274"/>
    <w:rsid w:val="00D066D8"/>
    <w:rsid w:val="00D07FB9"/>
    <w:rsid w:val="00D11949"/>
    <w:rsid w:val="00D11A69"/>
    <w:rsid w:val="00D12C98"/>
    <w:rsid w:val="00D12FFC"/>
    <w:rsid w:val="00D13CA3"/>
    <w:rsid w:val="00D1484F"/>
    <w:rsid w:val="00D14BA0"/>
    <w:rsid w:val="00D14D7B"/>
    <w:rsid w:val="00D1516D"/>
    <w:rsid w:val="00D158B0"/>
    <w:rsid w:val="00D1707A"/>
    <w:rsid w:val="00D178BD"/>
    <w:rsid w:val="00D17CC2"/>
    <w:rsid w:val="00D21435"/>
    <w:rsid w:val="00D2242C"/>
    <w:rsid w:val="00D224FA"/>
    <w:rsid w:val="00D23033"/>
    <w:rsid w:val="00D2402F"/>
    <w:rsid w:val="00D245C2"/>
    <w:rsid w:val="00D25660"/>
    <w:rsid w:val="00D258EB"/>
    <w:rsid w:val="00D25AEB"/>
    <w:rsid w:val="00D25CFB"/>
    <w:rsid w:val="00D271CD"/>
    <w:rsid w:val="00D3064E"/>
    <w:rsid w:val="00D315CC"/>
    <w:rsid w:val="00D32067"/>
    <w:rsid w:val="00D327A3"/>
    <w:rsid w:val="00D34806"/>
    <w:rsid w:val="00D34C50"/>
    <w:rsid w:val="00D34C82"/>
    <w:rsid w:val="00D35628"/>
    <w:rsid w:val="00D35EC6"/>
    <w:rsid w:val="00D36550"/>
    <w:rsid w:val="00D379EC"/>
    <w:rsid w:val="00D37C94"/>
    <w:rsid w:val="00D4093F"/>
    <w:rsid w:val="00D41E42"/>
    <w:rsid w:val="00D41F6B"/>
    <w:rsid w:val="00D421A2"/>
    <w:rsid w:val="00D42380"/>
    <w:rsid w:val="00D42C9B"/>
    <w:rsid w:val="00D4348D"/>
    <w:rsid w:val="00D436D7"/>
    <w:rsid w:val="00D44E42"/>
    <w:rsid w:val="00D44FC3"/>
    <w:rsid w:val="00D450E2"/>
    <w:rsid w:val="00D453D7"/>
    <w:rsid w:val="00D4552D"/>
    <w:rsid w:val="00D45A0E"/>
    <w:rsid w:val="00D462C0"/>
    <w:rsid w:val="00D462D6"/>
    <w:rsid w:val="00D46942"/>
    <w:rsid w:val="00D474AB"/>
    <w:rsid w:val="00D4754E"/>
    <w:rsid w:val="00D47B66"/>
    <w:rsid w:val="00D50961"/>
    <w:rsid w:val="00D50A02"/>
    <w:rsid w:val="00D510E5"/>
    <w:rsid w:val="00D512A1"/>
    <w:rsid w:val="00D52827"/>
    <w:rsid w:val="00D52AB4"/>
    <w:rsid w:val="00D52F26"/>
    <w:rsid w:val="00D531F5"/>
    <w:rsid w:val="00D538C1"/>
    <w:rsid w:val="00D538D5"/>
    <w:rsid w:val="00D53B3C"/>
    <w:rsid w:val="00D53B5C"/>
    <w:rsid w:val="00D544C6"/>
    <w:rsid w:val="00D54640"/>
    <w:rsid w:val="00D55455"/>
    <w:rsid w:val="00D559B5"/>
    <w:rsid w:val="00D56420"/>
    <w:rsid w:val="00D5658A"/>
    <w:rsid w:val="00D56A94"/>
    <w:rsid w:val="00D56C0C"/>
    <w:rsid w:val="00D56D4B"/>
    <w:rsid w:val="00D5798B"/>
    <w:rsid w:val="00D57A70"/>
    <w:rsid w:val="00D60736"/>
    <w:rsid w:val="00D6170E"/>
    <w:rsid w:val="00D61B58"/>
    <w:rsid w:val="00D6307D"/>
    <w:rsid w:val="00D632EE"/>
    <w:rsid w:val="00D63632"/>
    <w:rsid w:val="00D63732"/>
    <w:rsid w:val="00D6373B"/>
    <w:rsid w:val="00D6405D"/>
    <w:rsid w:val="00D6479D"/>
    <w:rsid w:val="00D64E27"/>
    <w:rsid w:val="00D64EE9"/>
    <w:rsid w:val="00D6568E"/>
    <w:rsid w:val="00D65893"/>
    <w:rsid w:val="00D658EC"/>
    <w:rsid w:val="00D6684E"/>
    <w:rsid w:val="00D6729D"/>
    <w:rsid w:val="00D6742A"/>
    <w:rsid w:val="00D67B9B"/>
    <w:rsid w:val="00D71733"/>
    <w:rsid w:val="00D718AC"/>
    <w:rsid w:val="00D719A3"/>
    <w:rsid w:val="00D71E7A"/>
    <w:rsid w:val="00D7200F"/>
    <w:rsid w:val="00D72DE7"/>
    <w:rsid w:val="00D7302F"/>
    <w:rsid w:val="00D73BB2"/>
    <w:rsid w:val="00D74A0B"/>
    <w:rsid w:val="00D74D14"/>
    <w:rsid w:val="00D74F3B"/>
    <w:rsid w:val="00D752E7"/>
    <w:rsid w:val="00D7574B"/>
    <w:rsid w:val="00D75E82"/>
    <w:rsid w:val="00D76270"/>
    <w:rsid w:val="00D769C5"/>
    <w:rsid w:val="00D76E76"/>
    <w:rsid w:val="00D80631"/>
    <w:rsid w:val="00D818EC"/>
    <w:rsid w:val="00D81A20"/>
    <w:rsid w:val="00D81F55"/>
    <w:rsid w:val="00D8321A"/>
    <w:rsid w:val="00D839E4"/>
    <w:rsid w:val="00D84A86"/>
    <w:rsid w:val="00D84D06"/>
    <w:rsid w:val="00D85152"/>
    <w:rsid w:val="00D85F2C"/>
    <w:rsid w:val="00D861BD"/>
    <w:rsid w:val="00D86D55"/>
    <w:rsid w:val="00D87796"/>
    <w:rsid w:val="00D8789C"/>
    <w:rsid w:val="00D87B3F"/>
    <w:rsid w:val="00D9003D"/>
    <w:rsid w:val="00D90558"/>
    <w:rsid w:val="00D9082F"/>
    <w:rsid w:val="00D9085D"/>
    <w:rsid w:val="00D90C79"/>
    <w:rsid w:val="00D914EB"/>
    <w:rsid w:val="00D91B36"/>
    <w:rsid w:val="00D920D5"/>
    <w:rsid w:val="00D92C1E"/>
    <w:rsid w:val="00D9305B"/>
    <w:rsid w:val="00D94085"/>
    <w:rsid w:val="00D9431D"/>
    <w:rsid w:val="00D9634D"/>
    <w:rsid w:val="00D9652D"/>
    <w:rsid w:val="00D9683D"/>
    <w:rsid w:val="00D96D4F"/>
    <w:rsid w:val="00DA0796"/>
    <w:rsid w:val="00DA1258"/>
    <w:rsid w:val="00DA1806"/>
    <w:rsid w:val="00DA1BD1"/>
    <w:rsid w:val="00DA212B"/>
    <w:rsid w:val="00DA2D30"/>
    <w:rsid w:val="00DA2E13"/>
    <w:rsid w:val="00DA3A76"/>
    <w:rsid w:val="00DA3B5B"/>
    <w:rsid w:val="00DA5DFD"/>
    <w:rsid w:val="00DA6D6D"/>
    <w:rsid w:val="00DA73C1"/>
    <w:rsid w:val="00DA7457"/>
    <w:rsid w:val="00DA770D"/>
    <w:rsid w:val="00DA7851"/>
    <w:rsid w:val="00DA7DC1"/>
    <w:rsid w:val="00DB00EE"/>
    <w:rsid w:val="00DB0132"/>
    <w:rsid w:val="00DB0B4D"/>
    <w:rsid w:val="00DB2565"/>
    <w:rsid w:val="00DB2754"/>
    <w:rsid w:val="00DB2D88"/>
    <w:rsid w:val="00DB3687"/>
    <w:rsid w:val="00DB36C5"/>
    <w:rsid w:val="00DB36CF"/>
    <w:rsid w:val="00DB38D1"/>
    <w:rsid w:val="00DB41CB"/>
    <w:rsid w:val="00DB654F"/>
    <w:rsid w:val="00DB681B"/>
    <w:rsid w:val="00DB7E24"/>
    <w:rsid w:val="00DC0445"/>
    <w:rsid w:val="00DC072F"/>
    <w:rsid w:val="00DC115F"/>
    <w:rsid w:val="00DC2082"/>
    <w:rsid w:val="00DC225F"/>
    <w:rsid w:val="00DC2883"/>
    <w:rsid w:val="00DC2C48"/>
    <w:rsid w:val="00DC3856"/>
    <w:rsid w:val="00DC46B5"/>
    <w:rsid w:val="00DC4B28"/>
    <w:rsid w:val="00DC4B5D"/>
    <w:rsid w:val="00DC525E"/>
    <w:rsid w:val="00DC535C"/>
    <w:rsid w:val="00DC5DCB"/>
    <w:rsid w:val="00DC6C0D"/>
    <w:rsid w:val="00DC7CC7"/>
    <w:rsid w:val="00DD0426"/>
    <w:rsid w:val="00DD074A"/>
    <w:rsid w:val="00DD0D70"/>
    <w:rsid w:val="00DD1941"/>
    <w:rsid w:val="00DD1EEA"/>
    <w:rsid w:val="00DD26A5"/>
    <w:rsid w:val="00DD2812"/>
    <w:rsid w:val="00DD34F2"/>
    <w:rsid w:val="00DD3C6B"/>
    <w:rsid w:val="00DD41EE"/>
    <w:rsid w:val="00DD54ED"/>
    <w:rsid w:val="00DD5D45"/>
    <w:rsid w:val="00DD697F"/>
    <w:rsid w:val="00DD699C"/>
    <w:rsid w:val="00DD739F"/>
    <w:rsid w:val="00DD7631"/>
    <w:rsid w:val="00DD7762"/>
    <w:rsid w:val="00DD781E"/>
    <w:rsid w:val="00DD7A2C"/>
    <w:rsid w:val="00DD7F63"/>
    <w:rsid w:val="00DE0A1B"/>
    <w:rsid w:val="00DE0BCB"/>
    <w:rsid w:val="00DE1238"/>
    <w:rsid w:val="00DE1FFE"/>
    <w:rsid w:val="00DE204F"/>
    <w:rsid w:val="00DE2F9E"/>
    <w:rsid w:val="00DE31B1"/>
    <w:rsid w:val="00DE32E7"/>
    <w:rsid w:val="00DE3BB8"/>
    <w:rsid w:val="00DE40EB"/>
    <w:rsid w:val="00DE42A0"/>
    <w:rsid w:val="00DE5117"/>
    <w:rsid w:val="00DE51F6"/>
    <w:rsid w:val="00DE5648"/>
    <w:rsid w:val="00DE568A"/>
    <w:rsid w:val="00DE595E"/>
    <w:rsid w:val="00DE5CD9"/>
    <w:rsid w:val="00DE6A70"/>
    <w:rsid w:val="00DE70B5"/>
    <w:rsid w:val="00DE7113"/>
    <w:rsid w:val="00DE79B7"/>
    <w:rsid w:val="00DF00F9"/>
    <w:rsid w:val="00DF0576"/>
    <w:rsid w:val="00DF1981"/>
    <w:rsid w:val="00DF1D07"/>
    <w:rsid w:val="00DF1E89"/>
    <w:rsid w:val="00DF2144"/>
    <w:rsid w:val="00DF23A8"/>
    <w:rsid w:val="00DF24D9"/>
    <w:rsid w:val="00DF2E5E"/>
    <w:rsid w:val="00DF2EA5"/>
    <w:rsid w:val="00DF310B"/>
    <w:rsid w:val="00DF3E47"/>
    <w:rsid w:val="00DF41C9"/>
    <w:rsid w:val="00DF50B7"/>
    <w:rsid w:val="00DF56E8"/>
    <w:rsid w:val="00DF6655"/>
    <w:rsid w:val="00DF6665"/>
    <w:rsid w:val="00DF6EB6"/>
    <w:rsid w:val="00DF7133"/>
    <w:rsid w:val="00DF722A"/>
    <w:rsid w:val="00DF764C"/>
    <w:rsid w:val="00DF7FBF"/>
    <w:rsid w:val="00E009BD"/>
    <w:rsid w:val="00E00BB4"/>
    <w:rsid w:val="00E00CAA"/>
    <w:rsid w:val="00E01441"/>
    <w:rsid w:val="00E01682"/>
    <w:rsid w:val="00E0188E"/>
    <w:rsid w:val="00E018B5"/>
    <w:rsid w:val="00E01D4A"/>
    <w:rsid w:val="00E02F4B"/>
    <w:rsid w:val="00E0393F"/>
    <w:rsid w:val="00E03BE8"/>
    <w:rsid w:val="00E03D04"/>
    <w:rsid w:val="00E04332"/>
    <w:rsid w:val="00E043BB"/>
    <w:rsid w:val="00E04ECF"/>
    <w:rsid w:val="00E0502A"/>
    <w:rsid w:val="00E05902"/>
    <w:rsid w:val="00E06180"/>
    <w:rsid w:val="00E06769"/>
    <w:rsid w:val="00E067C4"/>
    <w:rsid w:val="00E06A36"/>
    <w:rsid w:val="00E0771A"/>
    <w:rsid w:val="00E11129"/>
    <w:rsid w:val="00E1198B"/>
    <w:rsid w:val="00E126B2"/>
    <w:rsid w:val="00E12724"/>
    <w:rsid w:val="00E127E3"/>
    <w:rsid w:val="00E12D01"/>
    <w:rsid w:val="00E13E8F"/>
    <w:rsid w:val="00E14818"/>
    <w:rsid w:val="00E148E8"/>
    <w:rsid w:val="00E15165"/>
    <w:rsid w:val="00E1610C"/>
    <w:rsid w:val="00E162BD"/>
    <w:rsid w:val="00E16660"/>
    <w:rsid w:val="00E16C78"/>
    <w:rsid w:val="00E16D73"/>
    <w:rsid w:val="00E170C7"/>
    <w:rsid w:val="00E17296"/>
    <w:rsid w:val="00E17833"/>
    <w:rsid w:val="00E17981"/>
    <w:rsid w:val="00E17C90"/>
    <w:rsid w:val="00E17CD2"/>
    <w:rsid w:val="00E17E36"/>
    <w:rsid w:val="00E201F2"/>
    <w:rsid w:val="00E206D8"/>
    <w:rsid w:val="00E20A87"/>
    <w:rsid w:val="00E20ED9"/>
    <w:rsid w:val="00E2113A"/>
    <w:rsid w:val="00E21C65"/>
    <w:rsid w:val="00E2307E"/>
    <w:rsid w:val="00E2352B"/>
    <w:rsid w:val="00E23E84"/>
    <w:rsid w:val="00E23F9B"/>
    <w:rsid w:val="00E2439F"/>
    <w:rsid w:val="00E24D23"/>
    <w:rsid w:val="00E24D83"/>
    <w:rsid w:val="00E26285"/>
    <w:rsid w:val="00E26649"/>
    <w:rsid w:val="00E2703D"/>
    <w:rsid w:val="00E271F9"/>
    <w:rsid w:val="00E27F0A"/>
    <w:rsid w:val="00E30712"/>
    <w:rsid w:val="00E309B0"/>
    <w:rsid w:val="00E31906"/>
    <w:rsid w:val="00E32143"/>
    <w:rsid w:val="00E326E9"/>
    <w:rsid w:val="00E33106"/>
    <w:rsid w:val="00E345C2"/>
    <w:rsid w:val="00E34D99"/>
    <w:rsid w:val="00E352C3"/>
    <w:rsid w:val="00E35476"/>
    <w:rsid w:val="00E355C0"/>
    <w:rsid w:val="00E359A5"/>
    <w:rsid w:val="00E35C28"/>
    <w:rsid w:val="00E372F7"/>
    <w:rsid w:val="00E37DC0"/>
    <w:rsid w:val="00E37EC6"/>
    <w:rsid w:val="00E40432"/>
    <w:rsid w:val="00E40850"/>
    <w:rsid w:val="00E40D52"/>
    <w:rsid w:val="00E41187"/>
    <w:rsid w:val="00E411B3"/>
    <w:rsid w:val="00E41585"/>
    <w:rsid w:val="00E41E23"/>
    <w:rsid w:val="00E41F94"/>
    <w:rsid w:val="00E421ED"/>
    <w:rsid w:val="00E4220D"/>
    <w:rsid w:val="00E4231E"/>
    <w:rsid w:val="00E4279A"/>
    <w:rsid w:val="00E42BEC"/>
    <w:rsid w:val="00E44AC7"/>
    <w:rsid w:val="00E45B2D"/>
    <w:rsid w:val="00E466DC"/>
    <w:rsid w:val="00E468F2"/>
    <w:rsid w:val="00E478EF"/>
    <w:rsid w:val="00E47A20"/>
    <w:rsid w:val="00E5084C"/>
    <w:rsid w:val="00E50871"/>
    <w:rsid w:val="00E50AD9"/>
    <w:rsid w:val="00E50B4C"/>
    <w:rsid w:val="00E50BF4"/>
    <w:rsid w:val="00E51A01"/>
    <w:rsid w:val="00E52063"/>
    <w:rsid w:val="00E53533"/>
    <w:rsid w:val="00E537ED"/>
    <w:rsid w:val="00E5384D"/>
    <w:rsid w:val="00E53F2E"/>
    <w:rsid w:val="00E54004"/>
    <w:rsid w:val="00E54032"/>
    <w:rsid w:val="00E546C9"/>
    <w:rsid w:val="00E54BB9"/>
    <w:rsid w:val="00E54D3F"/>
    <w:rsid w:val="00E55F1F"/>
    <w:rsid w:val="00E56002"/>
    <w:rsid w:val="00E56414"/>
    <w:rsid w:val="00E56735"/>
    <w:rsid w:val="00E56866"/>
    <w:rsid w:val="00E56904"/>
    <w:rsid w:val="00E57DFD"/>
    <w:rsid w:val="00E60423"/>
    <w:rsid w:val="00E607E5"/>
    <w:rsid w:val="00E60A16"/>
    <w:rsid w:val="00E610CB"/>
    <w:rsid w:val="00E610D5"/>
    <w:rsid w:val="00E6125B"/>
    <w:rsid w:val="00E6170A"/>
    <w:rsid w:val="00E62ADF"/>
    <w:rsid w:val="00E62FA7"/>
    <w:rsid w:val="00E63397"/>
    <w:rsid w:val="00E637A3"/>
    <w:rsid w:val="00E64B12"/>
    <w:rsid w:val="00E659FD"/>
    <w:rsid w:val="00E65B0C"/>
    <w:rsid w:val="00E66B16"/>
    <w:rsid w:val="00E66BA2"/>
    <w:rsid w:val="00E677DB"/>
    <w:rsid w:val="00E700F8"/>
    <w:rsid w:val="00E71C2D"/>
    <w:rsid w:val="00E71CD5"/>
    <w:rsid w:val="00E7266C"/>
    <w:rsid w:val="00E72BB6"/>
    <w:rsid w:val="00E72CD0"/>
    <w:rsid w:val="00E730AC"/>
    <w:rsid w:val="00E7310C"/>
    <w:rsid w:val="00E734CE"/>
    <w:rsid w:val="00E73D33"/>
    <w:rsid w:val="00E778DC"/>
    <w:rsid w:val="00E80336"/>
    <w:rsid w:val="00E806E7"/>
    <w:rsid w:val="00E8097E"/>
    <w:rsid w:val="00E80D00"/>
    <w:rsid w:val="00E815CE"/>
    <w:rsid w:val="00E81611"/>
    <w:rsid w:val="00E81800"/>
    <w:rsid w:val="00E81863"/>
    <w:rsid w:val="00E81C42"/>
    <w:rsid w:val="00E81C5C"/>
    <w:rsid w:val="00E81FDB"/>
    <w:rsid w:val="00E82064"/>
    <w:rsid w:val="00E82B6E"/>
    <w:rsid w:val="00E82DC6"/>
    <w:rsid w:val="00E8347E"/>
    <w:rsid w:val="00E835C5"/>
    <w:rsid w:val="00E83A55"/>
    <w:rsid w:val="00E83ACD"/>
    <w:rsid w:val="00E83E15"/>
    <w:rsid w:val="00E848F0"/>
    <w:rsid w:val="00E84D1C"/>
    <w:rsid w:val="00E84D9C"/>
    <w:rsid w:val="00E85035"/>
    <w:rsid w:val="00E85AEE"/>
    <w:rsid w:val="00E8620E"/>
    <w:rsid w:val="00E8623E"/>
    <w:rsid w:val="00E8628F"/>
    <w:rsid w:val="00E86888"/>
    <w:rsid w:val="00E87155"/>
    <w:rsid w:val="00E87454"/>
    <w:rsid w:val="00E92C96"/>
    <w:rsid w:val="00E942B8"/>
    <w:rsid w:val="00E944ED"/>
    <w:rsid w:val="00E945AF"/>
    <w:rsid w:val="00E94A0B"/>
    <w:rsid w:val="00E94A2C"/>
    <w:rsid w:val="00E94E29"/>
    <w:rsid w:val="00E9544C"/>
    <w:rsid w:val="00E95799"/>
    <w:rsid w:val="00E95D93"/>
    <w:rsid w:val="00E9683D"/>
    <w:rsid w:val="00E970B7"/>
    <w:rsid w:val="00E974B3"/>
    <w:rsid w:val="00E97D42"/>
    <w:rsid w:val="00E97D95"/>
    <w:rsid w:val="00EA010D"/>
    <w:rsid w:val="00EA04C5"/>
    <w:rsid w:val="00EA0507"/>
    <w:rsid w:val="00EA0BB5"/>
    <w:rsid w:val="00EA1A8A"/>
    <w:rsid w:val="00EA21FA"/>
    <w:rsid w:val="00EA22CA"/>
    <w:rsid w:val="00EA25EB"/>
    <w:rsid w:val="00EA26D5"/>
    <w:rsid w:val="00EA2775"/>
    <w:rsid w:val="00EA2974"/>
    <w:rsid w:val="00EA305D"/>
    <w:rsid w:val="00EA3106"/>
    <w:rsid w:val="00EA3874"/>
    <w:rsid w:val="00EA5AB6"/>
    <w:rsid w:val="00EA5FB0"/>
    <w:rsid w:val="00EA612E"/>
    <w:rsid w:val="00EA761C"/>
    <w:rsid w:val="00EA7D7F"/>
    <w:rsid w:val="00EB0810"/>
    <w:rsid w:val="00EB0B5F"/>
    <w:rsid w:val="00EB1040"/>
    <w:rsid w:val="00EB1CF7"/>
    <w:rsid w:val="00EB25C2"/>
    <w:rsid w:val="00EB2B6F"/>
    <w:rsid w:val="00EB2CAD"/>
    <w:rsid w:val="00EB2FA2"/>
    <w:rsid w:val="00EB3272"/>
    <w:rsid w:val="00EB371A"/>
    <w:rsid w:val="00EB37B2"/>
    <w:rsid w:val="00EB3AB0"/>
    <w:rsid w:val="00EB3FF9"/>
    <w:rsid w:val="00EB5F05"/>
    <w:rsid w:val="00EB5F0B"/>
    <w:rsid w:val="00EB6EF5"/>
    <w:rsid w:val="00EB7352"/>
    <w:rsid w:val="00EB769A"/>
    <w:rsid w:val="00EC11E4"/>
    <w:rsid w:val="00EC14E1"/>
    <w:rsid w:val="00EC2A3F"/>
    <w:rsid w:val="00EC2E64"/>
    <w:rsid w:val="00EC3A35"/>
    <w:rsid w:val="00EC3C52"/>
    <w:rsid w:val="00EC3E69"/>
    <w:rsid w:val="00EC41A7"/>
    <w:rsid w:val="00EC4B19"/>
    <w:rsid w:val="00EC4D63"/>
    <w:rsid w:val="00EC5554"/>
    <w:rsid w:val="00EC572B"/>
    <w:rsid w:val="00EC5B8E"/>
    <w:rsid w:val="00EC7356"/>
    <w:rsid w:val="00EC75F6"/>
    <w:rsid w:val="00EC765C"/>
    <w:rsid w:val="00ED0065"/>
    <w:rsid w:val="00ED17B5"/>
    <w:rsid w:val="00ED1BA0"/>
    <w:rsid w:val="00ED1D2D"/>
    <w:rsid w:val="00ED346A"/>
    <w:rsid w:val="00ED353D"/>
    <w:rsid w:val="00ED588C"/>
    <w:rsid w:val="00ED5AFA"/>
    <w:rsid w:val="00ED6B3D"/>
    <w:rsid w:val="00ED6E7A"/>
    <w:rsid w:val="00ED6EA1"/>
    <w:rsid w:val="00ED741A"/>
    <w:rsid w:val="00ED7A7F"/>
    <w:rsid w:val="00EE060B"/>
    <w:rsid w:val="00EE07AC"/>
    <w:rsid w:val="00EE0891"/>
    <w:rsid w:val="00EE1062"/>
    <w:rsid w:val="00EE17F2"/>
    <w:rsid w:val="00EE188A"/>
    <w:rsid w:val="00EE1B01"/>
    <w:rsid w:val="00EE1DB8"/>
    <w:rsid w:val="00EE2746"/>
    <w:rsid w:val="00EE3EF1"/>
    <w:rsid w:val="00EE4759"/>
    <w:rsid w:val="00EE4C20"/>
    <w:rsid w:val="00EE4F2D"/>
    <w:rsid w:val="00EE524C"/>
    <w:rsid w:val="00EE5444"/>
    <w:rsid w:val="00EE5C28"/>
    <w:rsid w:val="00EE6755"/>
    <w:rsid w:val="00EE78D6"/>
    <w:rsid w:val="00EF03DC"/>
    <w:rsid w:val="00EF0437"/>
    <w:rsid w:val="00EF0BFE"/>
    <w:rsid w:val="00EF1DE8"/>
    <w:rsid w:val="00EF2AC7"/>
    <w:rsid w:val="00EF3397"/>
    <w:rsid w:val="00EF40BF"/>
    <w:rsid w:val="00EF4557"/>
    <w:rsid w:val="00EF493F"/>
    <w:rsid w:val="00EF5947"/>
    <w:rsid w:val="00EF5E22"/>
    <w:rsid w:val="00EF60CA"/>
    <w:rsid w:val="00EF63C1"/>
    <w:rsid w:val="00EF6476"/>
    <w:rsid w:val="00EF68ED"/>
    <w:rsid w:val="00EF69B7"/>
    <w:rsid w:val="00EF6C2B"/>
    <w:rsid w:val="00EF7824"/>
    <w:rsid w:val="00EF7F79"/>
    <w:rsid w:val="00F00059"/>
    <w:rsid w:val="00F008BD"/>
    <w:rsid w:val="00F0177B"/>
    <w:rsid w:val="00F021A9"/>
    <w:rsid w:val="00F02C54"/>
    <w:rsid w:val="00F02D03"/>
    <w:rsid w:val="00F035DB"/>
    <w:rsid w:val="00F03FEE"/>
    <w:rsid w:val="00F0448C"/>
    <w:rsid w:val="00F0553C"/>
    <w:rsid w:val="00F05AFF"/>
    <w:rsid w:val="00F0692B"/>
    <w:rsid w:val="00F06BA7"/>
    <w:rsid w:val="00F071BA"/>
    <w:rsid w:val="00F074D1"/>
    <w:rsid w:val="00F117F0"/>
    <w:rsid w:val="00F1279F"/>
    <w:rsid w:val="00F1284F"/>
    <w:rsid w:val="00F136A4"/>
    <w:rsid w:val="00F1377B"/>
    <w:rsid w:val="00F13820"/>
    <w:rsid w:val="00F13C5E"/>
    <w:rsid w:val="00F14108"/>
    <w:rsid w:val="00F148D5"/>
    <w:rsid w:val="00F1601A"/>
    <w:rsid w:val="00F160BF"/>
    <w:rsid w:val="00F16173"/>
    <w:rsid w:val="00F1675C"/>
    <w:rsid w:val="00F16A3C"/>
    <w:rsid w:val="00F173A7"/>
    <w:rsid w:val="00F17428"/>
    <w:rsid w:val="00F20046"/>
    <w:rsid w:val="00F20CC1"/>
    <w:rsid w:val="00F20D22"/>
    <w:rsid w:val="00F21A58"/>
    <w:rsid w:val="00F22956"/>
    <w:rsid w:val="00F2302A"/>
    <w:rsid w:val="00F23048"/>
    <w:rsid w:val="00F239CD"/>
    <w:rsid w:val="00F23DCC"/>
    <w:rsid w:val="00F2417A"/>
    <w:rsid w:val="00F24294"/>
    <w:rsid w:val="00F2477C"/>
    <w:rsid w:val="00F24E5D"/>
    <w:rsid w:val="00F24EBB"/>
    <w:rsid w:val="00F25A21"/>
    <w:rsid w:val="00F27F06"/>
    <w:rsid w:val="00F30318"/>
    <w:rsid w:val="00F314E8"/>
    <w:rsid w:val="00F316A2"/>
    <w:rsid w:val="00F323A2"/>
    <w:rsid w:val="00F3281D"/>
    <w:rsid w:val="00F332D4"/>
    <w:rsid w:val="00F33B57"/>
    <w:rsid w:val="00F33CA8"/>
    <w:rsid w:val="00F33D5C"/>
    <w:rsid w:val="00F356D6"/>
    <w:rsid w:val="00F36635"/>
    <w:rsid w:val="00F368CC"/>
    <w:rsid w:val="00F3785D"/>
    <w:rsid w:val="00F378BE"/>
    <w:rsid w:val="00F37D37"/>
    <w:rsid w:val="00F400E3"/>
    <w:rsid w:val="00F4021A"/>
    <w:rsid w:val="00F40876"/>
    <w:rsid w:val="00F43F7B"/>
    <w:rsid w:val="00F44621"/>
    <w:rsid w:val="00F44642"/>
    <w:rsid w:val="00F448AE"/>
    <w:rsid w:val="00F454A2"/>
    <w:rsid w:val="00F45E89"/>
    <w:rsid w:val="00F4754B"/>
    <w:rsid w:val="00F47845"/>
    <w:rsid w:val="00F47B6C"/>
    <w:rsid w:val="00F50039"/>
    <w:rsid w:val="00F50675"/>
    <w:rsid w:val="00F5071D"/>
    <w:rsid w:val="00F50BD6"/>
    <w:rsid w:val="00F50E16"/>
    <w:rsid w:val="00F5116A"/>
    <w:rsid w:val="00F513B2"/>
    <w:rsid w:val="00F51520"/>
    <w:rsid w:val="00F52140"/>
    <w:rsid w:val="00F521E4"/>
    <w:rsid w:val="00F52CCE"/>
    <w:rsid w:val="00F53151"/>
    <w:rsid w:val="00F535A9"/>
    <w:rsid w:val="00F53F92"/>
    <w:rsid w:val="00F5480F"/>
    <w:rsid w:val="00F552F7"/>
    <w:rsid w:val="00F553A7"/>
    <w:rsid w:val="00F554EB"/>
    <w:rsid w:val="00F5562D"/>
    <w:rsid w:val="00F566EA"/>
    <w:rsid w:val="00F567A4"/>
    <w:rsid w:val="00F578EB"/>
    <w:rsid w:val="00F605BE"/>
    <w:rsid w:val="00F60AF6"/>
    <w:rsid w:val="00F60DDC"/>
    <w:rsid w:val="00F60E13"/>
    <w:rsid w:val="00F610A9"/>
    <w:rsid w:val="00F617BE"/>
    <w:rsid w:val="00F61C7A"/>
    <w:rsid w:val="00F625F7"/>
    <w:rsid w:val="00F64483"/>
    <w:rsid w:val="00F64D5A"/>
    <w:rsid w:val="00F6531F"/>
    <w:rsid w:val="00F65399"/>
    <w:rsid w:val="00F65C22"/>
    <w:rsid w:val="00F65EC9"/>
    <w:rsid w:val="00F664BA"/>
    <w:rsid w:val="00F66CB1"/>
    <w:rsid w:val="00F672BD"/>
    <w:rsid w:val="00F67E15"/>
    <w:rsid w:val="00F67FCA"/>
    <w:rsid w:val="00F7073C"/>
    <w:rsid w:val="00F70815"/>
    <w:rsid w:val="00F709F4"/>
    <w:rsid w:val="00F71019"/>
    <w:rsid w:val="00F710A9"/>
    <w:rsid w:val="00F7284D"/>
    <w:rsid w:val="00F72CFE"/>
    <w:rsid w:val="00F72FB0"/>
    <w:rsid w:val="00F73423"/>
    <w:rsid w:val="00F7365E"/>
    <w:rsid w:val="00F737A4"/>
    <w:rsid w:val="00F75481"/>
    <w:rsid w:val="00F765F3"/>
    <w:rsid w:val="00F76A40"/>
    <w:rsid w:val="00F76A4C"/>
    <w:rsid w:val="00F76AB3"/>
    <w:rsid w:val="00F77539"/>
    <w:rsid w:val="00F816A4"/>
    <w:rsid w:val="00F81AE9"/>
    <w:rsid w:val="00F82C78"/>
    <w:rsid w:val="00F82E2E"/>
    <w:rsid w:val="00F83186"/>
    <w:rsid w:val="00F831B3"/>
    <w:rsid w:val="00F831EE"/>
    <w:rsid w:val="00F83601"/>
    <w:rsid w:val="00F837E6"/>
    <w:rsid w:val="00F8389A"/>
    <w:rsid w:val="00F83AE9"/>
    <w:rsid w:val="00F83EC8"/>
    <w:rsid w:val="00F843D4"/>
    <w:rsid w:val="00F84A40"/>
    <w:rsid w:val="00F84B50"/>
    <w:rsid w:val="00F84DBD"/>
    <w:rsid w:val="00F8516E"/>
    <w:rsid w:val="00F852E5"/>
    <w:rsid w:val="00F85A3A"/>
    <w:rsid w:val="00F85C0D"/>
    <w:rsid w:val="00F86741"/>
    <w:rsid w:val="00F86796"/>
    <w:rsid w:val="00F86E7C"/>
    <w:rsid w:val="00F87C3F"/>
    <w:rsid w:val="00F87C5B"/>
    <w:rsid w:val="00F87FEA"/>
    <w:rsid w:val="00F90613"/>
    <w:rsid w:val="00F906F4"/>
    <w:rsid w:val="00F915F3"/>
    <w:rsid w:val="00F91800"/>
    <w:rsid w:val="00F91853"/>
    <w:rsid w:val="00F91987"/>
    <w:rsid w:val="00F9208E"/>
    <w:rsid w:val="00F92571"/>
    <w:rsid w:val="00F93B2F"/>
    <w:rsid w:val="00F93C0A"/>
    <w:rsid w:val="00F93CAE"/>
    <w:rsid w:val="00F954E4"/>
    <w:rsid w:val="00F95CCE"/>
    <w:rsid w:val="00F9692D"/>
    <w:rsid w:val="00F96A34"/>
    <w:rsid w:val="00F978BE"/>
    <w:rsid w:val="00F97D7B"/>
    <w:rsid w:val="00FA0013"/>
    <w:rsid w:val="00FA0288"/>
    <w:rsid w:val="00FA0F71"/>
    <w:rsid w:val="00FA26BC"/>
    <w:rsid w:val="00FA37FA"/>
    <w:rsid w:val="00FA3A97"/>
    <w:rsid w:val="00FA3AEA"/>
    <w:rsid w:val="00FA4219"/>
    <w:rsid w:val="00FA48C7"/>
    <w:rsid w:val="00FA54FF"/>
    <w:rsid w:val="00FA5570"/>
    <w:rsid w:val="00FA59E0"/>
    <w:rsid w:val="00FA5C0B"/>
    <w:rsid w:val="00FA70F5"/>
    <w:rsid w:val="00FA7902"/>
    <w:rsid w:val="00FB005D"/>
    <w:rsid w:val="00FB1467"/>
    <w:rsid w:val="00FB183E"/>
    <w:rsid w:val="00FB1CD3"/>
    <w:rsid w:val="00FB1D54"/>
    <w:rsid w:val="00FB2825"/>
    <w:rsid w:val="00FB2B27"/>
    <w:rsid w:val="00FB3363"/>
    <w:rsid w:val="00FB4048"/>
    <w:rsid w:val="00FB4629"/>
    <w:rsid w:val="00FB577F"/>
    <w:rsid w:val="00FB5E5D"/>
    <w:rsid w:val="00FB5FAC"/>
    <w:rsid w:val="00FB5FC4"/>
    <w:rsid w:val="00FB6327"/>
    <w:rsid w:val="00FB6A07"/>
    <w:rsid w:val="00FB6FB1"/>
    <w:rsid w:val="00FB7460"/>
    <w:rsid w:val="00FB7A10"/>
    <w:rsid w:val="00FC0ED9"/>
    <w:rsid w:val="00FC0F81"/>
    <w:rsid w:val="00FC199B"/>
    <w:rsid w:val="00FC1C95"/>
    <w:rsid w:val="00FC24A5"/>
    <w:rsid w:val="00FC3798"/>
    <w:rsid w:val="00FC4816"/>
    <w:rsid w:val="00FC59AF"/>
    <w:rsid w:val="00FC59E0"/>
    <w:rsid w:val="00FC5C43"/>
    <w:rsid w:val="00FC5F72"/>
    <w:rsid w:val="00FC60F9"/>
    <w:rsid w:val="00FC62B5"/>
    <w:rsid w:val="00FC6D4E"/>
    <w:rsid w:val="00FC7073"/>
    <w:rsid w:val="00FC736F"/>
    <w:rsid w:val="00FC7B86"/>
    <w:rsid w:val="00FD0AE2"/>
    <w:rsid w:val="00FD0CDB"/>
    <w:rsid w:val="00FD1FA7"/>
    <w:rsid w:val="00FD2D42"/>
    <w:rsid w:val="00FD30B5"/>
    <w:rsid w:val="00FD3453"/>
    <w:rsid w:val="00FD39CF"/>
    <w:rsid w:val="00FD4B7B"/>
    <w:rsid w:val="00FD4D84"/>
    <w:rsid w:val="00FD5468"/>
    <w:rsid w:val="00FD58F5"/>
    <w:rsid w:val="00FD754C"/>
    <w:rsid w:val="00FE0DAE"/>
    <w:rsid w:val="00FE1370"/>
    <w:rsid w:val="00FE1510"/>
    <w:rsid w:val="00FE1D2F"/>
    <w:rsid w:val="00FE2121"/>
    <w:rsid w:val="00FE254A"/>
    <w:rsid w:val="00FE321B"/>
    <w:rsid w:val="00FE3D07"/>
    <w:rsid w:val="00FE4B6F"/>
    <w:rsid w:val="00FE6818"/>
    <w:rsid w:val="00FE6BFB"/>
    <w:rsid w:val="00FF0CF5"/>
    <w:rsid w:val="00FF0D6F"/>
    <w:rsid w:val="00FF0E9E"/>
    <w:rsid w:val="00FF1103"/>
    <w:rsid w:val="00FF1712"/>
    <w:rsid w:val="00FF251D"/>
    <w:rsid w:val="00FF37DC"/>
    <w:rsid w:val="00FF37F2"/>
    <w:rsid w:val="00FF43D9"/>
    <w:rsid w:val="00FF5B3C"/>
    <w:rsid w:val="00FF69C8"/>
    <w:rsid w:val="00FF6D3D"/>
    <w:rsid w:val="00FF7866"/>
    <w:rsid w:val="024D7E2C"/>
    <w:rsid w:val="0D2EB883"/>
    <w:rsid w:val="0D8163B6"/>
    <w:rsid w:val="1BB32F19"/>
    <w:rsid w:val="1F2C3AF5"/>
    <w:rsid w:val="1FF4886A"/>
    <w:rsid w:val="22D2584A"/>
    <w:rsid w:val="28751A95"/>
    <w:rsid w:val="29FA8189"/>
    <w:rsid w:val="2C00A012"/>
    <w:rsid w:val="389994B3"/>
    <w:rsid w:val="3B30A011"/>
    <w:rsid w:val="3B93C128"/>
    <w:rsid w:val="3CFBE104"/>
    <w:rsid w:val="467F9A7B"/>
    <w:rsid w:val="510454D8"/>
    <w:rsid w:val="5395A1E2"/>
    <w:rsid w:val="5D8505AD"/>
    <w:rsid w:val="6F81B597"/>
    <w:rsid w:val="71443FBB"/>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07E5"/>
  </w:style>
  <w:style w:type="paragraph" w:styleId="Ttulo1">
    <w:name w:val="heading 1"/>
    <w:basedOn w:val="Normal"/>
    <w:link w:val="Ttulo1Car"/>
    <w:uiPriority w:val="9"/>
    <w:qFormat/>
    <w:rsid w:val="00CD2E7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customStyle="1" w:styleId="Mencinsinresolver1">
    <w:name w:val="Mención sin resolver1"/>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E84D1C"/>
    <w:pPr>
      <w:spacing w:after="0" w:line="240" w:lineRule="auto"/>
      <w:ind w:left="720"/>
      <w:contextualSpacing/>
    </w:pPr>
    <w:rPr>
      <w:sz w:val="24"/>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4D1C"/>
    <w:rPr>
      <w:sz w:val="24"/>
      <w:lang w:val="es-MX"/>
    </w:rPr>
  </w:style>
  <w:style w:type="character" w:customStyle="1" w:styleId="Ttulo1Car">
    <w:name w:val="Título 1 Car"/>
    <w:basedOn w:val="Fuentedeprrafopredeter"/>
    <w:link w:val="Ttulo1"/>
    <w:uiPriority w:val="9"/>
    <w:rsid w:val="00CD2E70"/>
    <w:rPr>
      <w:rFonts w:ascii="Times New Roman" w:eastAsia="Times New Roman" w:hAnsi="Times New Roman" w:cs="Times New Roman"/>
      <w:b/>
      <w:bCs/>
      <w:kern w:val="36"/>
      <w:sz w:val="48"/>
      <w:szCs w:val="48"/>
      <w:lang w:eastAsia="es-ES_tradnl"/>
    </w:rPr>
  </w:style>
  <w:style w:type="paragraph" w:customStyle="1" w:styleId="paragraph">
    <w:name w:val="paragraph"/>
    <w:basedOn w:val="Normal"/>
    <w:rsid w:val="00CD2E70"/>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superscript">
    <w:name w:val="superscript"/>
    <w:basedOn w:val="Fuentedeprrafopredeter"/>
    <w:rsid w:val="003651AC"/>
  </w:style>
  <w:style w:type="paragraph" w:styleId="NormalWeb">
    <w:name w:val="Normal (Web)"/>
    <w:basedOn w:val="Normal"/>
    <w:uiPriority w:val="99"/>
    <w:unhideWhenUsed/>
    <w:rsid w:val="00FB5FC4"/>
    <w:rPr>
      <w:rFonts w:ascii="Times New Roman" w:hAnsi="Times New Roman" w:cs="Times New Roman"/>
      <w:sz w:val="24"/>
      <w:szCs w:val="24"/>
    </w:rPr>
  </w:style>
  <w:style w:type="character" w:customStyle="1" w:styleId="Hipervnculo1">
    <w:name w:val="Hipervínculo1"/>
    <w:basedOn w:val="Fuentedeprrafopredeter"/>
    <w:uiPriority w:val="99"/>
    <w:unhideWhenUsed/>
    <w:rsid w:val="00FB5FC4"/>
    <w:rPr>
      <w:color w:val="F2F2F2"/>
      <w:u w:val="single"/>
    </w:rPr>
  </w:style>
  <w:style w:type="character" w:styleId="Textoennegrita">
    <w:name w:val="Strong"/>
    <w:basedOn w:val="Fuentedeprrafopredeter"/>
    <w:uiPriority w:val="22"/>
    <w:qFormat/>
    <w:rsid w:val="00FB5FC4"/>
    <w:rPr>
      <w:b/>
      <w:bCs/>
    </w:rPr>
  </w:style>
  <w:style w:type="character" w:styleId="nfasis">
    <w:name w:val="Emphasis"/>
    <w:basedOn w:val="Fuentedeprrafopredeter"/>
    <w:uiPriority w:val="20"/>
    <w:qFormat/>
    <w:rsid w:val="00FB5FC4"/>
    <w:rPr>
      <w:i/>
      <w:iCs/>
    </w:rPr>
  </w:style>
  <w:style w:type="paragraph" w:customStyle="1" w:styleId="Textoindependiente21">
    <w:name w:val="Texto independiente 21"/>
    <w:basedOn w:val="Normal"/>
    <w:rsid w:val="007A6528"/>
    <w:pPr>
      <w:overflowPunct w:val="0"/>
      <w:autoSpaceDE w:val="0"/>
      <w:autoSpaceDN w:val="0"/>
      <w:adjustRightInd w:val="0"/>
      <w:spacing w:after="0" w:line="360" w:lineRule="auto"/>
      <w:ind w:firstLine="710"/>
      <w:jc w:val="both"/>
      <w:textAlignment w:val="baseline"/>
    </w:pPr>
    <w:rPr>
      <w:rFonts w:ascii="Arial" w:eastAsia="Times New Roman" w:hAnsi="Arial" w:cs="Times New Roman"/>
      <w:sz w:val="24"/>
      <w:szCs w:val="20"/>
      <w:lang w:eastAsia="es-ES"/>
    </w:rPr>
  </w:style>
  <w:style w:type="paragraph" w:styleId="Textoindependiente">
    <w:name w:val="Body Text"/>
    <w:basedOn w:val="Normal"/>
    <w:link w:val="TextoindependienteCar"/>
    <w:uiPriority w:val="99"/>
    <w:unhideWhenUsed/>
    <w:rsid w:val="00002D5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99"/>
    <w:rsid w:val="00002D55"/>
    <w:rPr>
      <w:rFonts w:ascii="Times New Roman" w:eastAsia="Times New Roman" w:hAnsi="Times New Roman" w:cs="Times New Roman"/>
      <w:sz w:val="24"/>
      <w:szCs w:val="24"/>
      <w:lang w:eastAsia="es-CO"/>
    </w:rPr>
  </w:style>
  <w:style w:type="character" w:customStyle="1" w:styleId="FontStyle23">
    <w:name w:val="Font Style23"/>
    <w:basedOn w:val="Fuentedeprrafopredeter"/>
    <w:rsid w:val="0081788A"/>
    <w:rPr>
      <w:rFonts w:ascii="Times New Roman" w:hAnsi="Times New Roman" w:cs="Times New Roman" w:hint="default"/>
      <w:sz w:val="20"/>
      <w:szCs w:val="20"/>
    </w:rPr>
  </w:style>
  <w:style w:type="character" w:customStyle="1" w:styleId="baj">
    <w:name w:val="b_aj"/>
    <w:basedOn w:val="Fuentedeprrafopredeter"/>
    <w:rsid w:val="00B43C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34882">
      <w:bodyDiv w:val="1"/>
      <w:marLeft w:val="0"/>
      <w:marRight w:val="0"/>
      <w:marTop w:val="0"/>
      <w:marBottom w:val="0"/>
      <w:divBdr>
        <w:top w:val="none" w:sz="0" w:space="0" w:color="auto"/>
        <w:left w:val="none" w:sz="0" w:space="0" w:color="auto"/>
        <w:bottom w:val="none" w:sz="0" w:space="0" w:color="auto"/>
        <w:right w:val="none" w:sz="0" w:space="0" w:color="auto"/>
      </w:divBdr>
    </w:div>
    <w:div w:id="39211859">
      <w:bodyDiv w:val="1"/>
      <w:marLeft w:val="0"/>
      <w:marRight w:val="0"/>
      <w:marTop w:val="0"/>
      <w:marBottom w:val="0"/>
      <w:divBdr>
        <w:top w:val="none" w:sz="0" w:space="0" w:color="auto"/>
        <w:left w:val="none" w:sz="0" w:space="0" w:color="auto"/>
        <w:bottom w:val="none" w:sz="0" w:space="0" w:color="auto"/>
        <w:right w:val="none" w:sz="0" w:space="0" w:color="auto"/>
      </w:divBdr>
    </w:div>
    <w:div w:id="46149373">
      <w:bodyDiv w:val="1"/>
      <w:marLeft w:val="0"/>
      <w:marRight w:val="0"/>
      <w:marTop w:val="0"/>
      <w:marBottom w:val="0"/>
      <w:divBdr>
        <w:top w:val="none" w:sz="0" w:space="0" w:color="auto"/>
        <w:left w:val="none" w:sz="0" w:space="0" w:color="auto"/>
        <w:bottom w:val="none" w:sz="0" w:space="0" w:color="auto"/>
        <w:right w:val="none" w:sz="0" w:space="0" w:color="auto"/>
      </w:divBdr>
    </w:div>
    <w:div w:id="50616494">
      <w:bodyDiv w:val="1"/>
      <w:marLeft w:val="0"/>
      <w:marRight w:val="0"/>
      <w:marTop w:val="0"/>
      <w:marBottom w:val="0"/>
      <w:divBdr>
        <w:top w:val="none" w:sz="0" w:space="0" w:color="auto"/>
        <w:left w:val="none" w:sz="0" w:space="0" w:color="auto"/>
        <w:bottom w:val="none" w:sz="0" w:space="0" w:color="auto"/>
        <w:right w:val="none" w:sz="0" w:space="0" w:color="auto"/>
      </w:divBdr>
    </w:div>
    <w:div w:id="66533733">
      <w:bodyDiv w:val="1"/>
      <w:marLeft w:val="0"/>
      <w:marRight w:val="0"/>
      <w:marTop w:val="0"/>
      <w:marBottom w:val="0"/>
      <w:divBdr>
        <w:top w:val="none" w:sz="0" w:space="0" w:color="auto"/>
        <w:left w:val="none" w:sz="0" w:space="0" w:color="auto"/>
        <w:bottom w:val="none" w:sz="0" w:space="0" w:color="auto"/>
        <w:right w:val="none" w:sz="0" w:space="0" w:color="auto"/>
      </w:divBdr>
    </w:div>
    <w:div w:id="102695084">
      <w:bodyDiv w:val="1"/>
      <w:marLeft w:val="0"/>
      <w:marRight w:val="0"/>
      <w:marTop w:val="0"/>
      <w:marBottom w:val="0"/>
      <w:divBdr>
        <w:top w:val="none" w:sz="0" w:space="0" w:color="auto"/>
        <w:left w:val="none" w:sz="0" w:space="0" w:color="auto"/>
        <w:bottom w:val="none" w:sz="0" w:space="0" w:color="auto"/>
        <w:right w:val="none" w:sz="0" w:space="0" w:color="auto"/>
      </w:divBdr>
    </w:div>
    <w:div w:id="107549441">
      <w:bodyDiv w:val="1"/>
      <w:marLeft w:val="0"/>
      <w:marRight w:val="0"/>
      <w:marTop w:val="0"/>
      <w:marBottom w:val="0"/>
      <w:divBdr>
        <w:top w:val="none" w:sz="0" w:space="0" w:color="auto"/>
        <w:left w:val="none" w:sz="0" w:space="0" w:color="auto"/>
        <w:bottom w:val="none" w:sz="0" w:space="0" w:color="auto"/>
        <w:right w:val="none" w:sz="0" w:space="0" w:color="auto"/>
      </w:divBdr>
    </w:div>
    <w:div w:id="112671991">
      <w:bodyDiv w:val="1"/>
      <w:marLeft w:val="0"/>
      <w:marRight w:val="0"/>
      <w:marTop w:val="0"/>
      <w:marBottom w:val="0"/>
      <w:divBdr>
        <w:top w:val="none" w:sz="0" w:space="0" w:color="auto"/>
        <w:left w:val="none" w:sz="0" w:space="0" w:color="auto"/>
        <w:bottom w:val="none" w:sz="0" w:space="0" w:color="auto"/>
        <w:right w:val="none" w:sz="0" w:space="0" w:color="auto"/>
      </w:divBdr>
    </w:div>
    <w:div w:id="125584597">
      <w:bodyDiv w:val="1"/>
      <w:marLeft w:val="0"/>
      <w:marRight w:val="0"/>
      <w:marTop w:val="0"/>
      <w:marBottom w:val="0"/>
      <w:divBdr>
        <w:top w:val="none" w:sz="0" w:space="0" w:color="auto"/>
        <w:left w:val="none" w:sz="0" w:space="0" w:color="auto"/>
        <w:bottom w:val="none" w:sz="0" w:space="0" w:color="auto"/>
        <w:right w:val="none" w:sz="0" w:space="0" w:color="auto"/>
      </w:divBdr>
    </w:div>
    <w:div w:id="139424028">
      <w:bodyDiv w:val="1"/>
      <w:marLeft w:val="0"/>
      <w:marRight w:val="0"/>
      <w:marTop w:val="0"/>
      <w:marBottom w:val="0"/>
      <w:divBdr>
        <w:top w:val="none" w:sz="0" w:space="0" w:color="auto"/>
        <w:left w:val="none" w:sz="0" w:space="0" w:color="auto"/>
        <w:bottom w:val="none" w:sz="0" w:space="0" w:color="auto"/>
        <w:right w:val="none" w:sz="0" w:space="0" w:color="auto"/>
      </w:divBdr>
      <w:divsChild>
        <w:div w:id="1821341347">
          <w:marLeft w:val="0"/>
          <w:marRight w:val="0"/>
          <w:marTop w:val="0"/>
          <w:marBottom w:val="0"/>
          <w:divBdr>
            <w:top w:val="none" w:sz="0" w:space="0" w:color="auto"/>
            <w:left w:val="none" w:sz="0" w:space="0" w:color="auto"/>
            <w:bottom w:val="none" w:sz="0" w:space="0" w:color="auto"/>
            <w:right w:val="none" w:sz="0" w:space="0" w:color="auto"/>
          </w:divBdr>
          <w:divsChild>
            <w:div w:id="91904659">
              <w:marLeft w:val="0"/>
              <w:marRight w:val="0"/>
              <w:marTop w:val="0"/>
              <w:marBottom w:val="0"/>
              <w:divBdr>
                <w:top w:val="none" w:sz="0" w:space="0" w:color="auto"/>
                <w:left w:val="none" w:sz="0" w:space="0" w:color="auto"/>
                <w:bottom w:val="none" w:sz="0" w:space="0" w:color="auto"/>
                <w:right w:val="none" w:sz="0" w:space="0" w:color="auto"/>
              </w:divBdr>
              <w:divsChild>
                <w:div w:id="205610424">
                  <w:marLeft w:val="0"/>
                  <w:marRight w:val="0"/>
                  <w:marTop w:val="0"/>
                  <w:marBottom w:val="0"/>
                  <w:divBdr>
                    <w:top w:val="none" w:sz="0" w:space="0" w:color="auto"/>
                    <w:left w:val="none" w:sz="0" w:space="0" w:color="auto"/>
                    <w:bottom w:val="none" w:sz="0" w:space="0" w:color="auto"/>
                    <w:right w:val="none" w:sz="0" w:space="0" w:color="auto"/>
                  </w:divBdr>
                  <w:divsChild>
                    <w:div w:id="744687126">
                      <w:marLeft w:val="0"/>
                      <w:marRight w:val="0"/>
                      <w:marTop w:val="0"/>
                      <w:marBottom w:val="0"/>
                      <w:divBdr>
                        <w:top w:val="none" w:sz="0" w:space="0" w:color="auto"/>
                        <w:left w:val="none" w:sz="0" w:space="0" w:color="auto"/>
                        <w:bottom w:val="none" w:sz="0" w:space="0" w:color="auto"/>
                        <w:right w:val="none" w:sz="0" w:space="0" w:color="auto"/>
                      </w:divBdr>
                      <w:divsChild>
                        <w:div w:id="658389621">
                          <w:marLeft w:val="0"/>
                          <w:marRight w:val="0"/>
                          <w:marTop w:val="0"/>
                          <w:marBottom w:val="0"/>
                          <w:divBdr>
                            <w:top w:val="none" w:sz="0" w:space="0" w:color="auto"/>
                            <w:left w:val="none" w:sz="0" w:space="0" w:color="auto"/>
                            <w:bottom w:val="none" w:sz="0" w:space="0" w:color="auto"/>
                            <w:right w:val="none" w:sz="0" w:space="0" w:color="auto"/>
                          </w:divBdr>
                          <w:divsChild>
                            <w:div w:id="4911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2283863">
      <w:bodyDiv w:val="1"/>
      <w:marLeft w:val="0"/>
      <w:marRight w:val="0"/>
      <w:marTop w:val="0"/>
      <w:marBottom w:val="0"/>
      <w:divBdr>
        <w:top w:val="none" w:sz="0" w:space="0" w:color="auto"/>
        <w:left w:val="none" w:sz="0" w:space="0" w:color="auto"/>
        <w:bottom w:val="none" w:sz="0" w:space="0" w:color="auto"/>
        <w:right w:val="none" w:sz="0" w:space="0" w:color="auto"/>
      </w:divBdr>
    </w:div>
    <w:div w:id="205606860">
      <w:bodyDiv w:val="1"/>
      <w:marLeft w:val="0"/>
      <w:marRight w:val="0"/>
      <w:marTop w:val="0"/>
      <w:marBottom w:val="0"/>
      <w:divBdr>
        <w:top w:val="none" w:sz="0" w:space="0" w:color="auto"/>
        <w:left w:val="none" w:sz="0" w:space="0" w:color="auto"/>
        <w:bottom w:val="none" w:sz="0" w:space="0" w:color="auto"/>
        <w:right w:val="none" w:sz="0" w:space="0" w:color="auto"/>
      </w:divBdr>
    </w:div>
    <w:div w:id="251744638">
      <w:bodyDiv w:val="1"/>
      <w:marLeft w:val="0"/>
      <w:marRight w:val="0"/>
      <w:marTop w:val="0"/>
      <w:marBottom w:val="0"/>
      <w:divBdr>
        <w:top w:val="none" w:sz="0" w:space="0" w:color="auto"/>
        <w:left w:val="none" w:sz="0" w:space="0" w:color="auto"/>
        <w:bottom w:val="none" w:sz="0" w:space="0" w:color="auto"/>
        <w:right w:val="none" w:sz="0" w:space="0" w:color="auto"/>
      </w:divBdr>
    </w:div>
    <w:div w:id="271516540">
      <w:bodyDiv w:val="1"/>
      <w:marLeft w:val="0"/>
      <w:marRight w:val="0"/>
      <w:marTop w:val="0"/>
      <w:marBottom w:val="0"/>
      <w:divBdr>
        <w:top w:val="none" w:sz="0" w:space="0" w:color="auto"/>
        <w:left w:val="none" w:sz="0" w:space="0" w:color="auto"/>
        <w:bottom w:val="none" w:sz="0" w:space="0" w:color="auto"/>
        <w:right w:val="none" w:sz="0" w:space="0" w:color="auto"/>
      </w:divBdr>
    </w:div>
    <w:div w:id="283849664">
      <w:bodyDiv w:val="1"/>
      <w:marLeft w:val="0"/>
      <w:marRight w:val="0"/>
      <w:marTop w:val="0"/>
      <w:marBottom w:val="0"/>
      <w:divBdr>
        <w:top w:val="none" w:sz="0" w:space="0" w:color="auto"/>
        <w:left w:val="none" w:sz="0" w:space="0" w:color="auto"/>
        <w:bottom w:val="none" w:sz="0" w:space="0" w:color="auto"/>
        <w:right w:val="none" w:sz="0" w:space="0" w:color="auto"/>
      </w:divBdr>
    </w:div>
    <w:div w:id="302009774">
      <w:bodyDiv w:val="1"/>
      <w:marLeft w:val="0"/>
      <w:marRight w:val="0"/>
      <w:marTop w:val="0"/>
      <w:marBottom w:val="0"/>
      <w:divBdr>
        <w:top w:val="none" w:sz="0" w:space="0" w:color="auto"/>
        <w:left w:val="none" w:sz="0" w:space="0" w:color="auto"/>
        <w:bottom w:val="none" w:sz="0" w:space="0" w:color="auto"/>
        <w:right w:val="none" w:sz="0" w:space="0" w:color="auto"/>
      </w:divBdr>
    </w:div>
    <w:div w:id="329917147">
      <w:bodyDiv w:val="1"/>
      <w:marLeft w:val="0"/>
      <w:marRight w:val="0"/>
      <w:marTop w:val="0"/>
      <w:marBottom w:val="0"/>
      <w:divBdr>
        <w:top w:val="none" w:sz="0" w:space="0" w:color="auto"/>
        <w:left w:val="none" w:sz="0" w:space="0" w:color="auto"/>
        <w:bottom w:val="none" w:sz="0" w:space="0" w:color="auto"/>
        <w:right w:val="none" w:sz="0" w:space="0" w:color="auto"/>
      </w:divBdr>
    </w:div>
    <w:div w:id="334461891">
      <w:bodyDiv w:val="1"/>
      <w:marLeft w:val="0"/>
      <w:marRight w:val="0"/>
      <w:marTop w:val="0"/>
      <w:marBottom w:val="0"/>
      <w:divBdr>
        <w:top w:val="none" w:sz="0" w:space="0" w:color="auto"/>
        <w:left w:val="none" w:sz="0" w:space="0" w:color="auto"/>
        <w:bottom w:val="none" w:sz="0" w:space="0" w:color="auto"/>
        <w:right w:val="none" w:sz="0" w:space="0" w:color="auto"/>
      </w:divBdr>
    </w:div>
    <w:div w:id="337804836">
      <w:bodyDiv w:val="1"/>
      <w:marLeft w:val="0"/>
      <w:marRight w:val="0"/>
      <w:marTop w:val="0"/>
      <w:marBottom w:val="0"/>
      <w:divBdr>
        <w:top w:val="none" w:sz="0" w:space="0" w:color="auto"/>
        <w:left w:val="none" w:sz="0" w:space="0" w:color="auto"/>
        <w:bottom w:val="none" w:sz="0" w:space="0" w:color="auto"/>
        <w:right w:val="none" w:sz="0" w:space="0" w:color="auto"/>
      </w:divBdr>
    </w:div>
    <w:div w:id="374045247">
      <w:bodyDiv w:val="1"/>
      <w:marLeft w:val="0"/>
      <w:marRight w:val="0"/>
      <w:marTop w:val="0"/>
      <w:marBottom w:val="0"/>
      <w:divBdr>
        <w:top w:val="none" w:sz="0" w:space="0" w:color="auto"/>
        <w:left w:val="none" w:sz="0" w:space="0" w:color="auto"/>
        <w:bottom w:val="none" w:sz="0" w:space="0" w:color="auto"/>
        <w:right w:val="none" w:sz="0" w:space="0" w:color="auto"/>
      </w:divBdr>
      <w:divsChild>
        <w:div w:id="506864930">
          <w:marLeft w:val="0"/>
          <w:marRight w:val="0"/>
          <w:marTop w:val="0"/>
          <w:marBottom w:val="160"/>
          <w:divBdr>
            <w:top w:val="none" w:sz="0" w:space="0" w:color="auto"/>
            <w:left w:val="none" w:sz="0" w:space="0" w:color="auto"/>
            <w:bottom w:val="none" w:sz="0" w:space="0" w:color="auto"/>
            <w:right w:val="none" w:sz="0" w:space="0" w:color="auto"/>
          </w:divBdr>
        </w:div>
        <w:div w:id="563570546">
          <w:marLeft w:val="0"/>
          <w:marRight w:val="0"/>
          <w:marTop w:val="0"/>
          <w:marBottom w:val="160"/>
          <w:divBdr>
            <w:top w:val="none" w:sz="0" w:space="0" w:color="auto"/>
            <w:left w:val="none" w:sz="0" w:space="0" w:color="auto"/>
            <w:bottom w:val="none" w:sz="0" w:space="0" w:color="auto"/>
            <w:right w:val="none" w:sz="0" w:space="0" w:color="auto"/>
          </w:divBdr>
        </w:div>
        <w:div w:id="773287731">
          <w:marLeft w:val="0"/>
          <w:marRight w:val="0"/>
          <w:marTop w:val="0"/>
          <w:marBottom w:val="160"/>
          <w:divBdr>
            <w:top w:val="none" w:sz="0" w:space="0" w:color="auto"/>
            <w:left w:val="none" w:sz="0" w:space="0" w:color="auto"/>
            <w:bottom w:val="none" w:sz="0" w:space="0" w:color="auto"/>
            <w:right w:val="none" w:sz="0" w:space="0" w:color="auto"/>
          </w:divBdr>
        </w:div>
      </w:divsChild>
    </w:div>
    <w:div w:id="411780121">
      <w:bodyDiv w:val="1"/>
      <w:marLeft w:val="0"/>
      <w:marRight w:val="0"/>
      <w:marTop w:val="0"/>
      <w:marBottom w:val="0"/>
      <w:divBdr>
        <w:top w:val="none" w:sz="0" w:space="0" w:color="auto"/>
        <w:left w:val="none" w:sz="0" w:space="0" w:color="auto"/>
        <w:bottom w:val="none" w:sz="0" w:space="0" w:color="auto"/>
        <w:right w:val="none" w:sz="0" w:space="0" w:color="auto"/>
      </w:divBdr>
    </w:div>
    <w:div w:id="432018390">
      <w:bodyDiv w:val="1"/>
      <w:marLeft w:val="0"/>
      <w:marRight w:val="0"/>
      <w:marTop w:val="0"/>
      <w:marBottom w:val="0"/>
      <w:divBdr>
        <w:top w:val="none" w:sz="0" w:space="0" w:color="auto"/>
        <w:left w:val="none" w:sz="0" w:space="0" w:color="auto"/>
        <w:bottom w:val="none" w:sz="0" w:space="0" w:color="auto"/>
        <w:right w:val="none" w:sz="0" w:space="0" w:color="auto"/>
      </w:divBdr>
    </w:div>
    <w:div w:id="438305584">
      <w:bodyDiv w:val="1"/>
      <w:marLeft w:val="0"/>
      <w:marRight w:val="0"/>
      <w:marTop w:val="0"/>
      <w:marBottom w:val="0"/>
      <w:divBdr>
        <w:top w:val="none" w:sz="0" w:space="0" w:color="auto"/>
        <w:left w:val="none" w:sz="0" w:space="0" w:color="auto"/>
        <w:bottom w:val="none" w:sz="0" w:space="0" w:color="auto"/>
        <w:right w:val="none" w:sz="0" w:space="0" w:color="auto"/>
      </w:divBdr>
    </w:div>
    <w:div w:id="497113796">
      <w:bodyDiv w:val="1"/>
      <w:marLeft w:val="0"/>
      <w:marRight w:val="0"/>
      <w:marTop w:val="0"/>
      <w:marBottom w:val="0"/>
      <w:divBdr>
        <w:top w:val="none" w:sz="0" w:space="0" w:color="auto"/>
        <w:left w:val="none" w:sz="0" w:space="0" w:color="auto"/>
        <w:bottom w:val="none" w:sz="0" w:space="0" w:color="auto"/>
        <w:right w:val="none" w:sz="0" w:space="0" w:color="auto"/>
      </w:divBdr>
      <w:divsChild>
        <w:div w:id="932205885">
          <w:marLeft w:val="0"/>
          <w:marRight w:val="0"/>
          <w:marTop w:val="0"/>
          <w:marBottom w:val="0"/>
          <w:divBdr>
            <w:top w:val="none" w:sz="0" w:space="0" w:color="auto"/>
            <w:left w:val="none" w:sz="0" w:space="0" w:color="auto"/>
            <w:bottom w:val="none" w:sz="0" w:space="0" w:color="auto"/>
            <w:right w:val="none" w:sz="0" w:space="0" w:color="auto"/>
          </w:divBdr>
          <w:divsChild>
            <w:div w:id="396978682">
              <w:marLeft w:val="0"/>
              <w:marRight w:val="0"/>
              <w:marTop w:val="0"/>
              <w:marBottom w:val="0"/>
              <w:divBdr>
                <w:top w:val="none" w:sz="0" w:space="0" w:color="auto"/>
                <w:left w:val="none" w:sz="0" w:space="0" w:color="auto"/>
                <w:bottom w:val="none" w:sz="0" w:space="0" w:color="auto"/>
                <w:right w:val="none" w:sz="0" w:space="0" w:color="auto"/>
              </w:divBdr>
              <w:divsChild>
                <w:div w:id="1886520651">
                  <w:marLeft w:val="0"/>
                  <w:marRight w:val="0"/>
                  <w:marTop w:val="0"/>
                  <w:marBottom w:val="0"/>
                  <w:divBdr>
                    <w:top w:val="none" w:sz="0" w:space="0" w:color="auto"/>
                    <w:left w:val="none" w:sz="0" w:space="0" w:color="auto"/>
                    <w:bottom w:val="none" w:sz="0" w:space="0" w:color="auto"/>
                    <w:right w:val="none" w:sz="0" w:space="0" w:color="auto"/>
                  </w:divBdr>
                  <w:divsChild>
                    <w:div w:id="1561600205">
                      <w:marLeft w:val="0"/>
                      <w:marRight w:val="0"/>
                      <w:marTop w:val="0"/>
                      <w:marBottom w:val="0"/>
                      <w:divBdr>
                        <w:top w:val="none" w:sz="0" w:space="0" w:color="auto"/>
                        <w:left w:val="none" w:sz="0" w:space="0" w:color="auto"/>
                        <w:bottom w:val="none" w:sz="0" w:space="0" w:color="auto"/>
                        <w:right w:val="none" w:sz="0" w:space="0" w:color="auto"/>
                      </w:divBdr>
                      <w:divsChild>
                        <w:div w:id="312949149">
                          <w:marLeft w:val="0"/>
                          <w:marRight w:val="0"/>
                          <w:marTop w:val="0"/>
                          <w:marBottom w:val="0"/>
                          <w:divBdr>
                            <w:top w:val="none" w:sz="0" w:space="0" w:color="auto"/>
                            <w:left w:val="none" w:sz="0" w:space="0" w:color="auto"/>
                            <w:bottom w:val="none" w:sz="0" w:space="0" w:color="auto"/>
                            <w:right w:val="none" w:sz="0" w:space="0" w:color="auto"/>
                          </w:divBdr>
                          <w:divsChild>
                            <w:div w:id="112874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2404418">
      <w:bodyDiv w:val="1"/>
      <w:marLeft w:val="0"/>
      <w:marRight w:val="0"/>
      <w:marTop w:val="0"/>
      <w:marBottom w:val="0"/>
      <w:divBdr>
        <w:top w:val="none" w:sz="0" w:space="0" w:color="auto"/>
        <w:left w:val="none" w:sz="0" w:space="0" w:color="auto"/>
        <w:bottom w:val="none" w:sz="0" w:space="0" w:color="auto"/>
        <w:right w:val="none" w:sz="0" w:space="0" w:color="auto"/>
      </w:divBdr>
    </w:div>
    <w:div w:id="569076646">
      <w:bodyDiv w:val="1"/>
      <w:marLeft w:val="0"/>
      <w:marRight w:val="0"/>
      <w:marTop w:val="0"/>
      <w:marBottom w:val="0"/>
      <w:divBdr>
        <w:top w:val="none" w:sz="0" w:space="0" w:color="auto"/>
        <w:left w:val="none" w:sz="0" w:space="0" w:color="auto"/>
        <w:bottom w:val="none" w:sz="0" w:space="0" w:color="auto"/>
        <w:right w:val="none" w:sz="0" w:space="0" w:color="auto"/>
      </w:divBdr>
    </w:div>
    <w:div w:id="588775434">
      <w:bodyDiv w:val="1"/>
      <w:marLeft w:val="0"/>
      <w:marRight w:val="0"/>
      <w:marTop w:val="0"/>
      <w:marBottom w:val="0"/>
      <w:divBdr>
        <w:top w:val="none" w:sz="0" w:space="0" w:color="auto"/>
        <w:left w:val="none" w:sz="0" w:space="0" w:color="auto"/>
        <w:bottom w:val="none" w:sz="0" w:space="0" w:color="auto"/>
        <w:right w:val="none" w:sz="0" w:space="0" w:color="auto"/>
      </w:divBdr>
      <w:divsChild>
        <w:div w:id="686953851">
          <w:marLeft w:val="0"/>
          <w:marRight w:val="0"/>
          <w:marTop w:val="0"/>
          <w:marBottom w:val="0"/>
          <w:divBdr>
            <w:top w:val="none" w:sz="0" w:space="0" w:color="auto"/>
            <w:left w:val="none" w:sz="0" w:space="0" w:color="auto"/>
            <w:bottom w:val="none" w:sz="0" w:space="0" w:color="auto"/>
            <w:right w:val="none" w:sz="0" w:space="0" w:color="auto"/>
          </w:divBdr>
          <w:divsChild>
            <w:div w:id="172259401">
              <w:marLeft w:val="0"/>
              <w:marRight w:val="0"/>
              <w:marTop w:val="0"/>
              <w:marBottom w:val="0"/>
              <w:divBdr>
                <w:top w:val="none" w:sz="0" w:space="0" w:color="auto"/>
                <w:left w:val="none" w:sz="0" w:space="0" w:color="auto"/>
                <w:bottom w:val="none" w:sz="0" w:space="0" w:color="auto"/>
                <w:right w:val="none" w:sz="0" w:space="0" w:color="auto"/>
              </w:divBdr>
              <w:divsChild>
                <w:div w:id="2105608189">
                  <w:marLeft w:val="0"/>
                  <w:marRight w:val="0"/>
                  <w:marTop w:val="0"/>
                  <w:marBottom w:val="0"/>
                  <w:divBdr>
                    <w:top w:val="none" w:sz="0" w:space="0" w:color="auto"/>
                    <w:left w:val="none" w:sz="0" w:space="0" w:color="auto"/>
                    <w:bottom w:val="none" w:sz="0" w:space="0" w:color="auto"/>
                    <w:right w:val="none" w:sz="0" w:space="0" w:color="auto"/>
                  </w:divBdr>
                  <w:divsChild>
                    <w:div w:id="1691952384">
                      <w:marLeft w:val="0"/>
                      <w:marRight w:val="0"/>
                      <w:marTop w:val="0"/>
                      <w:marBottom w:val="0"/>
                      <w:divBdr>
                        <w:top w:val="none" w:sz="0" w:space="0" w:color="auto"/>
                        <w:left w:val="none" w:sz="0" w:space="0" w:color="auto"/>
                        <w:bottom w:val="none" w:sz="0" w:space="0" w:color="auto"/>
                        <w:right w:val="none" w:sz="0" w:space="0" w:color="auto"/>
                      </w:divBdr>
                      <w:divsChild>
                        <w:div w:id="1490360998">
                          <w:marLeft w:val="0"/>
                          <w:marRight w:val="0"/>
                          <w:marTop w:val="0"/>
                          <w:marBottom w:val="0"/>
                          <w:divBdr>
                            <w:top w:val="none" w:sz="0" w:space="0" w:color="auto"/>
                            <w:left w:val="none" w:sz="0" w:space="0" w:color="auto"/>
                            <w:bottom w:val="none" w:sz="0" w:space="0" w:color="auto"/>
                            <w:right w:val="none" w:sz="0" w:space="0" w:color="auto"/>
                          </w:divBdr>
                          <w:divsChild>
                            <w:div w:id="62654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3080197">
      <w:bodyDiv w:val="1"/>
      <w:marLeft w:val="0"/>
      <w:marRight w:val="0"/>
      <w:marTop w:val="0"/>
      <w:marBottom w:val="0"/>
      <w:divBdr>
        <w:top w:val="none" w:sz="0" w:space="0" w:color="auto"/>
        <w:left w:val="none" w:sz="0" w:space="0" w:color="auto"/>
        <w:bottom w:val="none" w:sz="0" w:space="0" w:color="auto"/>
        <w:right w:val="none" w:sz="0" w:space="0" w:color="auto"/>
      </w:divBdr>
    </w:div>
    <w:div w:id="612518399">
      <w:bodyDiv w:val="1"/>
      <w:marLeft w:val="0"/>
      <w:marRight w:val="0"/>
      <w:marTop w:val="0"/>
      <w:marBottom w:val="0"/>
      <w:divBdr>
        <w:top w:val="none" w:sz="0" w:space="0" w:color="auto"/>
        <w:left w:val="none" w:sz="0" w:space="0" w:color="auto"/>
        <w:bottom w:val="none" w:sz="0" w:space="0" w:color="auto"/>
        <w:right w:val="none" w:sz="0" w:space="0" w:color="auto"/>
      </w:divBdr>
    </w:div>
    <w:div w:id="644244441">
      <w:bodyDiv w:val="1"/>
      <w:marLeft w:val="0"/>
      <w:marRight w:val="0"/>
      <w:marTop w:val="0"/>
      <w:marBottom w:val="0"/>
      <w:divBdr>
        <w:top w:val="none" w:sz="0" w:space="0" w:color="auto"/>
        <w:left w:val="none" w:sz="0" w:space="0" w:color="auto"/>
        <w:bottom w:val="none" w:sz="0" w:space="0" w:color="auto"/>
        <w:right w:val="none" w:sz="0" w:space="0" w:color="auto"/>
      </w:divBdr>
    </w:div>
    <w:div w:id="696200587">
      <w:bodyDiv w:val="1"/>
      <w:marLeft w:val="0"/>
      <w:marRight w:val="0"/>
      <w:marTop w:val="0"/>
      <w:marBottom w:val="0"/>
      <w:divBdr>
        <w:top w:val="none" w:sz="0" w:space="0" w:color="auto"/>
        <w:left w:val="none" w:sz="0" w:space="0" w:color="auto"/>
        <w:bottom w:val="none" w:sz="0" w:space="0" w:color="auto"/>
        <w:right w:val="none" w:sz="0" w:space="0" w:color="auto"/>
      </w:divBdr>
    </w:div>
    <w:div w:id="710807709">
      <w:bodyDiv w:val="1"/>
      <w:marLeft w:val="0"/>
      <w:marRight w:val="0"/>
      <w:marTop w:val="0"/>
      <w:marBottom w:val="0"/>
      <w:divBdr>
        <w:top w:val="none" w:sz="0" w:space="0" w:color="auto"/>
        <w:left w:val="none" w:sz="0" w:space="0" w:color="auto"/>
        <w:bottom w:val="none" w:sz="0" w:space="0" w:color="auto"/>
        <w:right w:val="none" w:sz="0" w:space="0" w:color="auto"/>
      </w:divBdr>
    </w:div>
    <w:div w:id="719481719">
      <w:bodyDiv w:val="1"/>
      <w:marLeft w:val="0"/>
      <w:marRight w:val="0"/>
      <w:marTop w:val="0"/>
      <w:marBottom w:val="0"/>
      <w:divBdr>
        <w:top w:val="none" w:sz="0" w:space="0" w:color="auto"/>
        <w:left w:val="none" w:sz="0" w:space="0" w:color="auto"/>
        <w:bottom w:val="none" w:sz="0" w:space="0" w:color="auto"/>
        <w:right w:val="none" w:sz="0" w:space="0" w:color="auto"/>
      </w:divBdr>
    </w:div>
    <w:div w:id="723599209">
      <w:bodyDiv w:val="1"/>
      <w:marLeft w:val="0"/>
      <w:marRight w:val="0"/>
      <w:marTop w:val="0"/>
      <w:marBottom w:val="0"/>
      <w:divBdr>
        <w:top w:val="none" w:sz="0" w:space="0" w:color="auto"/>
        <w:left w:val="none" w:sz="0" w:space="0" w:color="auto"/>
        <w:bottom w:val="none" w:sz="0" w:space="0" w:color="auto"/>
        <w:right w:val="none" w:sz="0" w:space="0" w:color="auto"/>
      </w:divBdr>
    </w:div>
    <w:div w:id="784926870">
      <w:bodyDiv w:val="1"/>
      <w:marLeft w:val="0"/>
      <w:marRight w:val="0"/>
      <w:marTop w:val="0"/>
      <w:marBottom w:val="0"/>
      <w:divBdr>
        <w:top w:val="none" w:sz="0" w:space="0" w:color="auto"/>
        <w:left w:val="none" w:sz="0" w:space="0" w:color="auto"/>
        <w:bottom w:val="none" w:sz="0" w:space="0" w:color="auto"/>
        <w:right w:val="none" w:sz="0" w:space="0" w:color="auto"/>
      </w:divBdr>
    </w:div>
    <w:div w:id="832256776">
      <w:bodyDiv w:val="1"/>
      <w:marLeft w:val="0"/>
      <w:marRight w:val="0"/>
      <w:marTop w:val="0"/>
      <w:marBottom w:val="0"/>
      <w:divBdr>
        <w:top w:val="none" w:sz="0" w:space="0" w:color="auto"/>
        <w:left w:val="none" w:sz="0" w:space="0" w:color="auto"/>
        <w:bottom w:val="none" w:sz="0" w:space="0" w:color="auto"/>
        <w:right w:val="none" w:sz="0" w:space="0" w:color="auto"/>
      </w:divBdr>
    </w:div>
    <w:div w:id="847864211">
      <w:bodyDiv w:val="1"/>
      <w:marLeft w:val="0"/>
      <w:marRight w:val="0"/>
      <w:marTop w:val="0"/>
      <w:marBottom w:val="0"/>
      <w:divBdr>
        <w:top w:val="none" w:sz="0" w:space="0" w:color="auto"/>
        <w:left w:val="none" w:sz="0" w:space="0" w:color="auto"/>
        <w:bottom w:val="none" w:sz="0" w:space="0" w:color="auto"/>
        <w:right w:val="none" w:sz="0" w:space="0" w:color="auto"/>
      </w:divBdr>
    </w:div>
    <w:div w:id="850341528">
      <w:bodyDiv w:val="1"/>
      <w:marLeft w:val="0"/>
      <w:marRight w:val="0"/>
      <w:marTop w:val="0"/>
      <w:marBottom w:val="0"/>
      <w:divBdr>
        <w:top w:val="none" w:sz="0" w:space="0" w:color="auto"/>
        <w:left w:val="none" w:sz="0" w:space="0" w:color="auto"/>
        <w:bottom w:val="none" w:sz="0" w:space="0" w:color="auto"/>
        <w:right w:val="none" w:sz="0" w:space="0" w:color="auto"/>
      </w:divBdr>
    </w:div>
    <w:div w:id="869415503">
      <w:bodyDiv w:val="1"/>
      <w:marLeft w:val="0"/>
      <w:marRight w:val="0"/>
      <w:marTop w:val="0"/>
      <w:marBottom w:val="0"/>
      <w:divBdr>
        <w:top w:val="none" w:sz="0" w:space="0" w:color="auto"/>
        <w:left w:val="none" w:sz="0" w:space="0" w:color="auto"/>
        <w:bottom w:val="none" w:sz="0" w:space="0" w:color="auto"/>
        <w:right w:val="none" w:sz="0" w:space="0" w:color="auto"/>
      </w:divBdr>
    </w:div>
    <w:div w:id="905454849">
      <w:bodyDiv w:val="1"/>
      <w:marLeft w:val="0"/>
      <w:marRight w:val="0"/>
      <w:marTop w:val="0"/>
      <w:marBottom w:val="0"/>
      <w:divBdr>
        <w:top w:val="none" w:sz="0" w:space="0" w:color="auto"/>
        <w:left w:val="none" w:sz="0" w:space="0" w:color="auto"/>
        <w:bottom w:val="none" w:sz="0" w:space="0" w:color="auto"/>
        <w:right w:val="none" w:sz="0" w:space="0" w:color="auto"/>
      </w:divBdr>
      <w:divsChild>
        <w:div w:id="591283175">
          <w:marLeft w:val="0"/>
          <w:marRight w:val="0"/>
          <w:marTop w:val="0"/>
          <w:marBottom w:val="160"/>
          <w:divBdr>
            <w:top w:val="none" w:sz="0" w:space="0" w:color="auto"/>
            <w:left w:val="none" w:sz="0" w:space="0" w:color="auto"/>
            <w:bottom w:val="none" w:sz="0" w:space="0" w:color="auto"/>
            <w:right w:val="none" w:sz="0" w:space="0" w:color="auto"/>
          </w:divBdr>
        </w:div>
        <w:div w:id="2145074026">
          <w:marLeft w:val="0"/>
          <w:marRight w:val="0"/>
          <w:marTop w:val="0"/>
          <w:marBottom w:val="160"/>
          <w:divBdr>
            <w:top w:val="none" w:sz="0" w:space="0" w:color="auto"/>
            <w:left w:val="none" w:sz="0" w:space="0" w:color="auto"/>
            <w:bottom w:val="none" w:sz="0" w:space="0" w:color="auto"/>
            <w:right w:val="none" w:sz="0" w:space="0" w:color="auto"/>
          </w:divBdr>
        </w:div>
        <w:div w:id="1578511561">
          <w:marLeft w:val="0"/>
          <w:marRight w:val="0"/>
          <w:marTop w:val="0"/>
          <w:marBottom w:val="160"/>
          <w:divBdr>
            <w:top w:val="none" w:sz="0" w:space="0" w:color="auto"/>
            <w:left w:val="none" w:sz="0" w:space="0" w:color="auto"/>
            <w:bottom w:val="none" w:sz="0" w:space="0" w:color="auto"/>
            <w:right w:val="none" w:sz="0" w:space="0" w:color="auto"/>
          </w:divBdr>
        </w:div>
      </w:divsChild>
    </w:div>
    <w:div w:id="935362018">
      <w:bodyDiv w:val="1"/>
      <w:marLeft w:val="0"/>
      <w:marRight w:val="0"/>
      <w:marTop w:val="0"/>
      <w:marBottom w:val="0"/>
      <w:divBdr>
        <w:top w:val="none" w:sz="0" w:space="0" w:color="auto"/>
        <w:left w:val="none" w:sz="0" w:space="0" w:color="auto"/>
        <w:bottom w:val="none" w:sz="0" w:space="0" w:color="auto"/>
        <w:right w:val="none" w:sz="0" w:space="0" w:color="auto"/>
      </w:divBdr>
    </w:div>
    <w:div w:id="951672208">
      <w:bodyDiv w:val="1"/>
      <w:marLeft w:val="0"/>
      <w:marRight w:val="0"/>
      <w:marTop w:val="0"/>
      <w:marBottom w:val="0"/>
      <w:divBdr>
        <w:top w:val="none" w:sz="0" w:space="0" w:color="auto"/>
        <w:left w:val="none" w:sz="0" w:space="0" w:color="auto"/>
        <w:bottom w:val="none" w:sz="0" w:space="0" w:color="auto"/>
        <w:right w:val="none" w:sz="0" w:space="0" w:color="auto"/>
      </w:divBdr>
    </w:div>
    <w:div w:id="956060098">
      <w:bodyDiv w:val="1"/>
      <w:marLeft w:val="0"/>
      <w:marRight w:val="0"/>
      <w:marTop w:val="0"/>
      <w:marBottom w:val="0"/>
      <w:divBdr>
        <w:top w:val="none" w:sz="0" w:space="0" w:color="auto"/>
        <w:left w:val="none" w:sz="0" w:space="0" w:color="auto"/>
        <w:bottom w:val="none" w:sz="0" w:space="0" w:color="auto"/>
        <w:right w:val="none" w:sz="0" w:space="0" w:color="auto"/>
      </w:divBdr>
    </w:div>
    <w:div w:id="975717024">
      <w:bodyDiv w:val="1"/>
      <w:marLeft w:val="0"/>
      <w:marRight w:val="0"/>
      <w:marTop w:val="0"/>
      <w:marBottom w:val="0"/>
      <w:divBdr>
        <w:top w:val="none" w:sz="0" w:space="0" w:color="auto"/>
        <w:left w:val="none" w:sz="0" w:space="0" w:color="auto"/>
        <w:bottom w:val="none" w:sz="0" w:space="0" w:color="auto"/>
        <w:right w:val="none" w:sz="0" w:space="0" w:color="auto"/>
      </w:divBdr>
    </w:div>
    <w:div w:id="985858265">
      <w:bodyDiv w:val="1"/>
      <w:marLeft w:val="0"/>
      <w:marRight w:val="0"/>
      <w:marTop w:val="0"/>
      <w:marBottom w:val="0"/>
      <w:divBdr>
        <w:top w:val="none" w:sz="0" w:space="0" w:color="auto"/>
        <w:left w:val="none" w:sz="0" w:space="0" w:color="auto"/>
        <w:bottom w:val="none" w:sz="0" w:space="0" w:color="auto"/>
        <w:right w:val="none" w:sz="0" w:space="0" w:color="auto"/>
      </w:divBdr>
    </w:div>
    <w:div w:id="1015158801">
      <w:bodyDiv w:val="1"/>
      <w:marLeft w:val="0"/>
      <w:marRight w:val="0"/>
      <w:marTop w:val="0"/>
      <w:marBottom w:val="0"/>
      <w:divBdr>
        <w:top w:val="none" w:sz="0" w:space="0" w:color="auto"/>
        <w:left w:val="none" w:sz="0" w:space="0" w:color="auto"/>
        <w:bottom w:val="none" w:sz="0" w:space="0" w:color="auto"/>
        <w:right w:val="none" w:sz="0" w:space="0" w:color="auto"/>
      </w:divBdr>
    </w:div>
    <w:div w:id="1067846211">
      <w:bodyDiv w:val="1"/>
      <w:marLeft w:val="0"/>
      <w:marRight w:val="0"/>
      <w:marTop w:val="0"/>
      <w:marBottom w:val="0"/>
      <w:divBdr>
        <w:top w:val="none" w:sz="0" w:space="0" w:color="auto"/>
        <w:left w:val="none" w:sz="0" w:space="0" w:color="auto"/>
        <w:bottom w:val="none" w:sz="0" w:space="0" w:color="auto"/>
        <w:right w:val="none" w:sz="0" w:space="0" w:color="auto"/>
      </w:divBdr>
    </w:div>
    <w:div w:id="1078289917">
      <w:bodyDiv w:val="1"/>
      <w:marLeft w:val="0"/>
      <w:marRight w:val="0"/>
      <w:marTop w:val="0"/>
      <w:marBottom w:val="0"/>
      <w:divBdr>
        <w:top w:val="none" w:sz="0" w:space="0" w:color="auto"/>
        <w:left w:val="none" w:sz="0" w:space="0" w:color="auto"/>
        <w:bottom w:val="none" w:sz="0" w:space="0" w:color="auto"/>
        <w:right w:val="none" w:sz="0" w:space="0" w:color="auto"/>
      </w:divBdr>
    </w:div>
    <w:div w:id="1089231679">
      <w:bodyDiv w:val="1"/>
      <w:marLeft w:val="0"/>
      <w:marRight w:val="0"/>
      <w:marTop w:val="0"/>
      <w:marBottom w:val="0"/>
      <w:divBdr>
        <w:top w:val="none" w:sz="0" w:space="0" w:color="auto"/>
        <w:left w:val="none" w:sz="0" w:space="0" w:color="auto"/>
        <w:bottom w:val="none" w:sz="0" w:space="0" w:color="auto"/>
        <w:right w:val="none" w:sz="0" w:space="0" w:color="auto"/>
      </w:divBdr>
    </w:div>
    <w:div w:id="1090585167">
      <w:bodyDiv w:val="1"/>
      <w:marLeft w:val="0"/>
      <w:marRight w:val="0"/>
      <w:marTop w:val="0"/>
      <w:marBottom w:val="0"/>
      <w:divBdr>
        <w:top w:val="none" w:sz="0" w:space="0" w:color="auto"/>
        <w:left w:val="none" w:sz="0" w:space="0" w:color="auto"/>
        <w:bottom w:val="none" w:sz="0" w:space="0" w:color="auto"/>
        <w:right w:val="none" w:sz="0" w:space="0" w:color="auto"/>
      </w:divBdr>
    </w:div>
    <w:div w:id="1107236897">
      <w:bodyDiv w:val="1"/>
      <w:marLeft w:val="0"/>
      <w:marRight w:val="0"/>
      <w:marTop w:val="0"/>
      <w:marBottom w:val="0"/>
      <w:divBdr>
        <w:top w:val="none" w:sz="0" w:space="0" w:color="auto"/>
        <w:left w:val="none" w:sz="0" w:space="0" w:color="auto"/>
        <w:bottom w:val="none" w:sz="0" w:space="0" w:color="auto"/>
        <w:right w:val="none" w:sz="0" w:space="0" w:color="auto"/>
      </w:divBdr>
      <w:divsChild>
        <w:div w:id="477647396">
          <w:marLeft w:val="0"/>
          <w:marRight w:val="0"/>
          <w:marTop w:val="0"/>
          <w:marBottom w:val="0"/>
          <w:divBdr>
            <w:top w:val="none" w:sz="0" w:space="0" w:color="auto"/>
            <w:left w:val="none" w:sz="0" w:space="0" w:color="auto"/>
            <w:bottom w:val="none" w:sz="0" w:space="0" w:color="auto"/>
            <w:right w:val="none" w:sz="0" w:space="0" w:color="auto"/>
          </w:divBdr>
          <w:divsChild>
            <w:div w:id="796800405">
              <w:marLeft w:val="0"/>
              <w:marRight w:val="0"/>
              <w:marTop w:val="0"/>
              <w:marBottom w:val="0"/>
              <w:divBdr>
                <w:top w:val="none" w:sz="0" w:space="0" w:color="auto"/>
                <w:left w:val="none" w:sz="0" w:space="0" w:color="auto"/>
                <w:bottom w:val="none" w:sz="0" w:space="0" w:color="auto"/>
                <w:right w:val="none" w:sz="0" w:space="0" w:color="auto"/>
              </w:divBdr>
              <w:divsChild>
                <w:div w:id="969165727">
                  <w:marLeft w:val="0"/>
                  <w:marRight w:val="0"/>
                  <w:marTop w:val="0"/>
                  <w:marBottom w:val="0"/>
                  <w:divBdr>
                    <w:top w:val="none" w:sz="0" w:space="0" w:color="auto"/>
                    <w:left w:val="none" w:sz="0" w:space="0" w:color="auto"/>
                    <w:bottom w:val="none" w:sz="0" w:space="0" w:color="auto"/>
                    <w:right w:val="none" w:sz="0" w:space="0" w:color="auto"/>
                  </w:divBdr>
                  <w:divsChild>
                    <w:div w:id="324626554">
                      <w:marLeft w:val="0"/>
                      <w:marRight w:val="0"/>
                      <w:marTop w:val="0"/>
                      <w:marBottom w:val="0"/>
                      <w:divBdr>
                        <w:top w:val="none" w:sz="0" w:space="0" w:color="auto"/>
                        <w:left w:val="none" w:sz="0" w:space="0" w:color="auto"/>
                        <w:bottom w:val="none" w:sz="0" w:space="0" w:color="auto"/>
                        <w:right w:val="none" w:sz="0" w:space="0" w:color="auto"/>
                      </w:divBdr>
                      <w:divsChild>
                        <w:div w:id="1435707499">
                          <w:marLeft w:val="0"/>
                          <w:marRight w:val="0"/>
                          <w:marTop w:val="0"/>
                          <w:marBottom w:val="0"/>
                          <w:divBdr>
                            <w:top w:val="none" w:sz="0" w:space="0" w:color="auto"/>
                            <w:left w:val="none" w:sz="0" w:space="0" w:color="auto"/>
                            <w:bottom w:val="none" w:sz="0" w:space="0" w:color="auto"/>
                            <w:right w:val="none" w:sz="0" w:space="0" w:color="auto"/>
                          </w:divBdr>
                          <w:divsChild>
                            <w:div w:id="33030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7263978">
      <w:bodyDiv w:val="1"/>
      <w:marLeft w:val="0"/>
      <w:marRight w:val="0"/>
      <w:marTop w:val="0"/>
      <w:marBottom w:val="0"/>
      <w:divBdr>
        <w:top w:val="none" w:sz="0" w:space="0" w:color="auto"/>
        <w:left w:val="none" w:sz="0" w:space="0" w:color="auto"/>
        <w:bottom w:val="none" w:sz="0" w:space="0" w:color="auto"/>
        <w:right w:val="none" w:sz="0" w:space="0" w:color="auto"/>
      </w:divBdr>
    </w:div>
    <w:div w:id="1153371148">
      <w:bodyDiv w:val="1"/>
      <w:marLeft w:val="0"/>
      <w:marRight w:val="0"/>
      <w:marTop w:val="0"/>
      <w:marBottom w:val="0"/>
      <w:divBdr>
        <w:top w:val="none" w:sz="0" w:space="0" w:color="auto"/>
        <w:left w:val="none" w:sz="0" w:space="0" w:color="auto"/>
        <w:bottom w:val="none" w:sz="0" w:space="0" w:color="auto"/>
        <w:right w:val="none" w:sz="0" w:space="0" w:color="auto"/>
      </w:divBdr>
      <w:divsChild>
        <w:div w:id="578834935">
          <w:marLeft w:val="0"/>
          <w:marRight w:val="0"/>
          <w:marTop w:val="0"/>
          <w:marBottom w:val="160"/>
          <w:divBdr>
            <w:top w:val="none" w:sz="0" w:space="0" w:color="auto"/>
            <w:left w:val="none" w:sz="0" w:space="0" w:color="auto"/>
            <w:bottom w:val="none" w:sz="0" w:space="0" w:color="auto"/>
            <w:right w:val="none" w:sz="0" w:space="0" w:color="auto"/>
          </w:divBdr>
        </w:div>
        <w:div w:id="86193346">
          <w:marLeft w:val="0"/>
          <w:marRight w:val="0"/>
          <w:marTop w:val="0"/>
          <w:marBottom w:val="160"/>
          <w:divBdr>
            <w:top w:val="none" w:sz="0" w:space="0" w:color="auto"/>
            <w:left w:val="none" w:sz="0" w:space="0" w:color="auto"/>
            <w:bottom w:val="none" w:sz="0" w:space="0" w:color="auto"/>
            <w:right w:val="none" w:sz="0" w:space="0" w:color="auto"/>
          </w:divBdr>
        </w:div>
        <w:div w:id="185557124">
          <w:marLeft w:val="0"/>
          <w:marRight w:val="0"/>
          <w:marTop w:val="0"/>
          <w:marBottom w:val="160"/>
          <w:divBdr>
            <w:top w:val="none" w:sz="0" w:space="0" w:color="auto"/>
            <w:left w:val="none" w:sz="0" w:space="0" w:color="auto"/>
            <w:bottom w:val="none" w:sz="0" w:space="0" w:color="auto"/>
            <w:right w:val="none" w:sz="0" w:space="0" w:color="auto"/>
          </w:divBdr>
        </w:div>
      </w:divsChild>
    </w:div>
    <w:div w:id="1158695467">
      <w:bodyDiv w:val="1"/>
      <w:marLeft w:val="0"/>
      <w:marRight w:val="0"/>
      <w:marTop w:val="0"/>
      <w:marBottom w:val="0"/>
      <w:divBdr>
        <w:top w:val="none" w:sz="0" w:space="0" w:color="auto"/>
        <w:left w:val="none" w:sz="0" w:space="0" w:color="auto"/>
        <w:bottom w:val="none" w:sz="0" w:space="0" w:color="auto"/>
        <w:right w:val="none" w:sz="0" w:space="0" w:color="auto"/>
      </w:divBdr>
    </w:div>
    <w:div w:id="1165128992">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243177627">
      <w:bodyDiv w:val="1"/>
      <w:marLeft w:val="0"/>
      <w:marRight w:val="0"/>
      <w:marTop w:val="0"/>
      <w:marBottom w:val="0"/>
      <w:divBdr>
        <w:top w:val="none" w:sz="0" w:space="0" w:color="auto"/>
        <w:left w:val="none" w:sz="0" w:space="0" w:color="auto"/>
        <w:bottom w:val="none" w:sz="0" w:space="0" w:color="auto"/>
        <w:right w:val="none" w:sz="0" w:space="0" w:color="auto"/>
      </w:divBdr>
    </w:div>
    <w:div w:id="1246694436">
      <w:bodyDiv w:val="1"/>
      <w:marLeft w:val="0"/>
      <w:marRight w:val="0"/>
      <w:marTop w:val="0"/>
      <w:marBottom w:val="0"/>
      <w:divBdr>
        <w:top w:val="none" w:sz="0" w:space="0" w:color="auto"/>
        <w:left w:val="none" w:sz="0" w:space="0" w:color="auto"/>
        <w:bottom w:val="none" w:sz="0" w:space="0" w:color="auto"/>
        <w:right w:val="none" w:sz="0" w:space="0" w:color="auto"/>
      </w:divBdr>
    </w:div>
    <w:div w:id="1270119371">
      <w:bodyDiv w:val="1"/>
      <w:marLeft w:val="0"/>
      <w:marRight w:val="0"/>
      <w:marTop w:val="0"/>
      <w:marBottom w:val="0"/>
      <w:divBdr>
        <w:top w:val="none" w:sz="0" w:space="0" w:color="auto"/>
        <w:left w:val="none" w:sz="0" w:space="0" w:color="auto"/>
        <w:bottom w:val="none" w:sz="0" w:space="0" w:color="auto"/>
        <w:right w:val="none" w:sz="0" w:space="0" w:color="auto"/>
      </w:divBdr>
    </w:div>
    <w:div w:id="1270358733">
      <w:bodyDiv w:val="1"/>
      <w:marLeft w:val="0"/>
      <w:marRight w:val="0"/>
      <w:marTop w:val="0"/>
      <w:marBottom w:val="0"/>
      <w:divBdr>
        <w:top w:val="none" w:sz="0" w:space="0" w:color="auto"/>
        <w:left w:val="none" w:sz="0" w:space="0" w:color="auto"/>
        <w:bottom w:val="none" w:sz="0" w:space="0" w:color="auto"/>
        <w:right w:val="none" w:sz="0" w:space="0" w:color="auto"/>
      </w:divBdr>
    </w:div>
    <w:div w:id="1292829531">
      <w:bodyDiv w:val="1"/>
      <w:marLeft w:val="0"/>
      <w:marRight w:val="0"/>
      <w:marTop w:val="0"/>
      <w:marBottom w:val="0"/>
      <w:divBdr>
        <w:top w:val="none" w:sz="0" w:space="0" w:color="auto"/>
        <w:left w:val="none" w:sz="0" w:space="0" w:color="auto"/>
        <w:bottom w:val="none" w:sz="0" w:space="0" w:color="auto"/>
        <w:right w:val="none" w:sz="0" w:space="0" w:color="auto"/>
      </w:divBdr>
    </w:div>
    <w:div w:id="1320504720">
      <w:bodyDiv w:val="1"/>
      <w:marLeft w:val="0"/>
      <w:marRight w:val="0"/>
      <w:marTop w:val="0"/>
      <w:marBottom w:val="0"/>
      <w:divBdr>
        <w:top w:val="none" w:sz="0" w:space="0" w:color="auto"/>
        <w:left w:val="none" w:sz="0" w:space="0" w:color="auto"/>
        <w:bottom w:val="none" w:sz="0" w:space="0" w:color="auto"/>
        <w:right w:val="none" w:sz="0" w:space="0" w:color="auto"/>
      </w:divBdr>
    </w:div>
    <w:div w:id="1343706387">
      <w:bodyDiv w:val="1"/>
      <w:marLeft w:val="0"/>
      <w:marRight w:val="0"/>
      <w:marTop w:val="0"/>
      <w:marBottom w:val="0"/>
      <w:divBdr>
        <w:top w:val="none" w:sz="0" w:space="0" w:color="auto"/>
        <w:left w:val="none" w:sz="0" w:space="0" w:color="auto"/>
        <w:bottom w:val="none" w:sz="0" w:space="0" w:color="auto"/>
        <w:right w:val="none" w:sz="0" w:space="0" w:color="auto"/>
      </w:divBdr>
    </w:div>
    <w:div w:id="1344745113">
      <w:bodyDiv w:val="1"/>
      <w:marLeft w:val="0"/>
      <w:marRight w:val="0"/>
      <w:marTop w:val="0"/>
      <w:marBottom w:val="0"/>
      <w:divBdr>
        <w:top w:val="none" w:sz="0" w:space="0" w:color="auto"/>
        <w:left w:val="none" w:sz="0" w:space="0" w:color="auto"/>
        <w:bottom w:val="none" w:sz="0" w:space="0" w:color="auto"/>
        <w:right w:val="none" w:sz="0" w:space="0" w:color="auto"/>
      </w:divBdr>
    </w:div>
    <w:div w:id="1347245505">
      <w:bodyDiv w:val="1"/>
      <w:marLeft w:val="0"/>
      <w:marRight w:val="0"/>
      <w:marTop w:val="0"/>
      <w:marBottom w:val="0"/>
      <w:divBdr>
        <w:top w:val="none" w:sz="0" w:space="0" w:color="auto"/>
        <w:left w:val="none" w:sz="0" w:space="0" w:color="auto"/>
        <w:bottom w:val="none" w:sz="0" w:space="0" w:color="auto"/>
        <w:right w:val="none" w:sz="0" w:space="0" w:color="auto"/>
      </w:divBdr>
    </w:div>
    <w:div w:id="1350988023">
      <w:bodyDiv w:val="1"/>
      <w:marLeft w:val="0"/>
      <w:marRight w:val="0"/>
      <w:marTop w:val="0"/>
      <w:marBottom w:val="0"/>
      <w:divBdr>
        <w:top w:val="none" w:sz="0" w:space="0" w:color="auto"/>
        <w:left w:val="none" w:sz="0" w:space="0" w:color="auto"/>
        <w:bottom w:val="none" w:sz="0" w:space="0" w:color="auto"/>
        <w:right w:val="none" w:sz="0" w:space="0" w:color="auto"/>
      </w:divBdr>
    </w:div>
    <w:div w:id="1391033297">
      <w:bodyDiv w:val="1"/>
      <w:marLeft w:val="0"/>
      <w:marRight w:val="0"/>
      <w:marTop w:val="0"/>
      <w:marBottom w:val="0"/>
      <w:divBdr>
        <w:top w:val="none" w:sz="0" w:space="0" w:color="auto"/>
        <w:left w:val="none" w:sz="0" w:space="0" w:color="auto"/>
        <w:bottom w:val="none" w:sz="0" w:space="0" w:color="auto"/>
        <w:right w:val="none" w:sz="0" w:space="0" w:color="auto"/>
      </w:divBdr>
      <w:divsChild>
        <w:div w:id="1302231751">
          <w:marLeft w:val="0"/>
          <w:marRight w:val="0"/>
          <w:marTop w:val="0"/>
          <w:marBottom w:val="0"/>
          <w:divBdr>
            <w:top w:val="none" w:sz="0" w:space="0" w:color="auto"/>
            <w:left w:val="none" w:sz="0" w:space="0" w:color="auto"/>
            <w:bottom w:val="none" w:sz="0" w:space="0" w:color="auto"/>
            <w:right w:val="none" w:sz="0" w:space="0" w:color="auto"/>
          </w:divBdr>
          <w:divsChild>
            <w:div w:id="1910311305">
              <w:marLeft w:val="0"/>
              <w:marRight w:val="0"/>
              <w:marTop w:val="0"/>
              <w:marBottom w:val="0"/>
              <w:divBdr>
                <w:top w:val="none" w:sz="0" w:space="0" w:color="auto"/>
                <w:left w:val="none" w:sz="0" w:space="0" w:color="auto"/>
                <w:bottom w:val="none" w:sz="0" w:space="0" w:color="auto"/>
                <w:right w:val="none" w:sz="0" w:space="0" w:color="auto"/>
              </w:divBdr>
              <w:divsChild>
                <w:div w:id="245462431">
                  <w:marLeft w:val="0"/>
                  <w:marRight w:val="0"/>
                  <w:marTop w:val="0"/>
                  <w:marBottom w:val="0"/>
                  <w:divBdr>
                    <w:top w:val="none" w:sz="0" w:space="0" w:color="auto"/>
                    <w:left w:val="none" w:sz="0" w:space="0" w:color="auto"/>
                    <w:bottom w:val="none" w:sz="0" w:space="0" w:color="auto"/>
                    <w:right w:val="none" w:sz="0" w:space="0" w:color="auto"/>
                  </w:divBdr>
                  <w:divsChild>
                    <w:div w:id="1029255869">
                      <w:marLeft w:val="0"/>
                      <w:marRight w:val="0"/>
                      <w:marTop w:val="0"/>
                      <w:marBottom w:val="0"/>
                      <w:divBdr>
                        <w:top w:val="none" w:sz="0" w:space="0" w:color="auto"/>
                        <w:left w:val="none" w:sz="0" w:space="0" w:color="auto"/>
                        <w:bottom w:val="none" w:sz="0" w:space="0" w:color="auto"/>
                        <w:right w:val="none" w:sz="0" w:space="0" w:color="auto"/>
                      </w:divBdr>
                      <w:divsChild>
                        <w:div w:id="613244225">
                          <w:marLeft w:val="0"/>
                          <w:marRight w:val="0"/>
                          <w:marTop w:val="0"/>
                          <w:marBottom w:val="0"/>
                          <w:divBdr>
                            <w:top w:val="none" w:sz="0" w:space="0" w:color="auto"/>
                            <w:left w:val="none" w:sz="0" w:space="0" w:color="auto"/>
                            <w:bottom w:val="none" w:sz="0" w:space="0" w:color="auto"/>
                            <w:right w:val="none" w:sz="0" w:space="0" w:color="auto"/>
                          </w:divBdr>
                          <w:divsChild>
                            <w:div w:id="58288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247560">
      <w:bodyDiv w:val="1"/>
      <w:marLeft w:val="0"/>
      <w:marRight w:val="0"/>
      <w:marTop w:val="0"/>
      <w:marBottom w:val="0"/>
      <w:divBdr>
        <w:top w:val="none" w:sz="0" w:space="0" w:color="auto"/>
        <w:left w:val="none" w:sz="0" w:space="0" w:color="auto"/>
        <w:bottom w:val="none" w:sz="0" w:space="0" w:color="auto"/>
        <w:right w:val="none" w:sz="0" w:space="0" w:color="auto"/>
      </w:divBdr>
    </w:div>
    <w:div w:id="1442721041">
      <w:bodyDiv w:val="1"/>
      <w:marLeft w:val="0"/>
      <w:marRight w:val="0"/>
      <w:marTop w:val="0"/>
      <w:marBottom w:val="0"/>
      <w:divBdr>
        <w:top w:val="none" w:sz="0" w:space="0" w:color="auto"/>
        <w:left w:val="none" w:sz="0" w:space="0" w:color="auto"/>
        <w:bottom w:val="none" w:sz="0" w:space="0" w:color="auto"/>
        <w:right w:val="none" w:sz="0" w:space="0" w:color="auto"/>
      </w:divBdr>
    </w:div>
    <w:div w:id="1448115632">
      <w:bodyDiv w:val="1"/>
      <w:marLeft w:val="0"/>
      <w:marRight w:val="0"/>
      <w:marTop w:val="0"/>
      <w:marBottom w:val="0"/>
      <w:divBdr>
        <w:top w:val="none" w:sz="0" w:space="0" w:color="auto"/>
        <w:left w:val="none" w:sz="0" w:space="0" w:color="auto"/>
        <w:bottom w:val="none" w:sz="0" w:space="0" w:color="auto"/>
        <w:right w:val="none" w:sz="0" w:space="0" w:color="auto"/>
      </w:divBdr>
    </w:div>
    <w:div w:id="1484617503">
      <w:bodyDiv w:val="1"/>
      <w:marLeft w:val="0"/>
      <w:marRight w:val="0"/>
      <w:marTop w:val="0"/>
      <w:marBottom w:val="0"/>
      <w:divBdr>
        <w:top w:val="none" w:sz="0" w:space="0" w:color="auto"/>
        <w:left w:val="none" w:sz="0" w:space="0" w:color="auto"/>
        <w:bottom w:val="none" w:sz="0" w:space="0" w:color="auto"/>
        <w:right w:val="none" w:sz="0" w:space="0" w:color="auto"/>
      </w:divBdr>
    </w:div>
    <w:div w:id="1498619727">
      <w:bodyDiv w:val="1"/>
      <w:marLeft w:val="0"/>
      <w:marRight w:val="0"/>
      <w:marTop w:val="0"/>
      <w:marBottom w:val="0"/>
      <w:divBdr>
        <w:top w:val="none" w:sz="0" w:space="0" w:color="auto"/>
        <w:left w:val="none" w:sz="0" w:space="0" w:color="auto"/>
        <w:bottom w:val="none" w:sz="0" w:space="0" w:color="auto"/>
        <w:right w:val="none" w:sz="0" w:space="0" w:color="auto"/>
      </w:divBdr>
      <w:divsChild>
        <w:div w:id="797839195">
          <w:marLeft w:val="0"/>
          <w:marRight w:val="0"/>
          <w:marTop w:val="0"/>
          <w:marBottom w:val="160"/>
          <w:divBdr>
            <w:top w:val="none" w:sz="0" w:space="0" w:color="auto"/>
            <w:left w:val="none" w:sz="0" w:space="0" w:color="auto"/>
            <w:bottom w:val="none" w:sz="0" w:space="0" w:color="auto"/>
            <w:right w:val="none" w:sz="0" w:space="0" w:color="auto"/>
          </w:divBdr>
        </w:div>
        <w:div w:id="560681091">
          <w:marLeft w:val="0"/>
          <w:marRight w:val="0"/>
          <w:marTop w:val="0"/>
          <w:marBottom w:val="160"/>
          <w:divBdr>
            <w:top w:val="none" w:sz="0" w:space="0" w:color="auto"/>
            <w:left w:val="none" w:sz="0" w:space="0" w:color="auto"/>
            <w:bottom w:val="none" w:sz="0" w:space="0" w:color="auto"/>
            <w:right w:val="none" w:sz="0" w:space="0" w:color="auto"/>
          </w:divBdr>
        </w:div>
        <w:div w:id="1153833297">
          <w:marLeft w:val="0"/>
          <w:marRight w:val="0"/>
          <w:marTop w:val="0"/>
          <w:marBottom w:val="160"/>
          <w:divBdr>
            <w:top w:val="none" w:sz="0" w:space="0" w:color="auto"/>
            <w:left w:val="none" w:sz="0" w:space="0" w:color="auto"/>
            <w:bottom w:val="none" w:sz="0" w:space="0" w:color="auto"/>
            <w:right w:val="none" w:sz="0" w:space="0" w:color="auto"/>
          </w:divBdr>
        </w:div>
      </w:divsChild>
    </w:div>
    <w:div w:id="1503475624">
      <w:bodyDiv w:val="1"/>
      <w:marLeft w:val="0"/>
      <w:marRight w:val="0"/>
      <w:marTop w:val="0"/>
      <w:marBottom w:val="0"/>
      <w:divBdr>
        <w:top w:val="none" w:sz="0" w:space="0" w:color="auto"/>
        <w:left w:val="none" w:sz="0" w:space="0" w:color="auto"/>
        <w:bottom w:val="none" w:sz="0" w:space="0" w:color="auto"/>
        <w:right w:val="none" w:sz="0" w:space="0" w:color="auto"/>
      </w:divBdr>
    </w:div>
    <w:div w:id="1505320125">
      <w:bodyDiv w:val="1"/>
      <w:marLeft w:val="0"/>
      <w:marRight w:val="0"/>
      <w:marTop w:val="0"/>
      <w:marBottom w:val="0"/>
      <w:divBdr>
        <w:top w:val="none" w:sz="0" w:space="0" w:color="auto"/>
        <w:left w:val="none" w:sz="0" w:space="0" w:color="auto"/>
        <w:bottom w:val="none" w:sz="0" w:space="0" w:color="auto"/>
        <w:right w:val="none" w:sz="0" w:space="0" w:color="auto"/>
      </w:divBdr>
    </w:div>
    <w:div w:id="1541283808">
      <w:bodyDiv w:val="1"/>
      <w:marLeft w:val="0"/>
      <w:marRight w:val="0"/>
      <w:marTop w:val="0"/>
      <w:marBottom w:val="0"/>
      <w:divBdr>
        <w:top w:val="none" w:sz="0" w:space="0" w:color="auto"/>
        <w:left w:val="none" w:sz="0" w:space="0" w:color="auto"/>
        <w:bottom w:val="none" w:sz="0" w:space="0" w:color="auto"/>
        <w:right w:val="none" w:sz="0" w:space="0" w:color="auto"/>
      </w:divBdr>
    </w:div>
    <w:div w:id="1562521597">
      <w:bodyDiv w:val="1"/>
      <w:marLeft w:val="0"/>
      <w:marRight w:val="0"/>
      <w:marTop w:val="0"/>
      <w:marBottom w:val="0"/>
      <w:divBdr>
        <w:top w:val="none" w:sz="0" w:space="0" w:color="auto"/>
        <w:left w:val="none" w:sz="0" w:space="0" w:color="auto"/>
        <w:bottom w:val="none" w:sz="0" w:space="0" w:color="auto"/>
        <w:right w:val="none" w:sz="0" w:space="0" w:color="auto"/>
      </w:divBdr>
    </w:div>
    <w:div w:id="1568610026">
      <w:bodyDiv w:val="1"/>
      <w:marLeft w:val="0"/>
      <w:marRight w:val="0"/>
      <w:marTop w:val="0"/>
      <w:marBottom w:val="0"/>
      <w:divBdr>
        <w:top w:val="none" w:sz="0" w:space="0" w:color="auto"/>
        <w:left w:val="none" w:sz="0" w:space="0" w:color="auto"/>
        <w:bottom w:val="none" w:sz="0" w:space="0" w:color="auto"/>
        <w:right w:val="none" w:sz="0" w:space="0" w:color="auto"/>
      </w:divBdr>
    </w:div>
    <w:div w:id="1569070866">
      <w:bodyDiv w:val="1"/>
      <w:marLeft w:val="0"/>
      <w:marRight w:val="0"/>
      <w:marTop w:val="0"/>
      <w:marBottom w:val="0"/>
      <w:divBdr>
        <w:top w:val="none" w:sz="0" w:space="0" w:color="auto"/>
        <w:left w:val="none" w:sz="0" w:space="0" w:color="auto"/>
        <w:bottom w:val="none" w:sz="0" w:space="0" w:color="auto"/>
        <w:right w:val="none" w:sz="0" w:space="0" w:color="auto"/>
      </w:divBdr>
    </w:div>
    <w:div w:id="1606376211">
      <w:bodyDiv w:val="1"/>
      <w:marLeft w:val="0"/>
      <w:marRight w:val="0"/>
      <w:marTop w:val="0"/>
      <w:marBottom w:val="0"/>
      <w:divBdr>
        <w:top w:val="none" w:sz="0" w:space="0" w:color="auto"/>
        <w:left w:val="none" w:sz="0" w:space="0" w:color="auto"/>
        <w:bottom w:val="none" w:sz="0" w:space="0" w:color="auto"/>
        <w:right w:val="none" w:sz="0" w:space="0" w:color="auto"/>
      </w:divBdr>
      <w:divsChild>
        <w:div w:id="729840230">
          <w:marLeft w:val="0"/>
          <w:marRight w:val="0"/>
          <w:marTop w:val="0"/>
          <w:marBottom w:val="160"/>
          <w:divBdr>
            <w:top w:val="none" w:sz="0" w:space="0" w:color="auto"/>
            <w:left w:val="none" w:sz="0" w:space="0" w:color="auto"/>
            <w:bottom w:val="none" w:sz="0" w:space="0" w:color="auto"/>
            <w:right w:val="none" w:sz="0" w:space="0" w:color="auto"/>
          </w:divBdr>
        </w:div>
        <w:div w:id="1459761652">
          <w:marLeft w:val="0"/>
          <w:marRight w:val="0"/>
          <w:marTop w:val="0"/>
          <w:marBottom w:val="160"/>
          <w:divBdr>
            <w:top w:val="none" w:sz="0" w:space="0" w:color="auto"/>
            <w:left w:val="none" w:sz="0" w:space="0" w:color="auto"/>
            <w:bottom w:val="none" w:sz="0" w:space="0" w:color="auto"/>
            <w:right w:val="none" w:sz="0" w:space="0" w:color="auto"/>
          </w:divBdr>
        </w:div>
        <w:div w:id="2021463511">
          <w:marLeft w:val="0"/>
          <w:marRight w:val="0"/>
          <w:marTop w:val="0"/>
          <w:marBottom w:val="160"/>
          <w:divBdr>
            <w:top w:val="none" w:sz="0" w:space="0" w:color="auto"/>
            <w:left w:val="none" w:sz="0" w:space="0" w:color="auto"/>
            <w:bottom w:val="none" w:sz="0" w:space="0" w:color="auto"/>
            <w:right w:val="none" w:sz="0" w:space="0" w:color="auto"/>
          </w:divBdr>
        </w:div>
      </w:divsChild>
    </w:div>
    <w:div w:id="1607687474">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618826783">
      <w:bodyDiv w:val="1"/>
      <w:marLeft w:val="0"/>
      <w:marRight w:val="0"/>
      <w:marTop w:val="0"/>
      <w:marBottom w:val="0"/>
      <w:divBdr>
        <w:top w:val="none" w:sz="0" w:space="0" w:color="auto"/>
        <w:left w:val="none" w:sz="0" w:space="0" w:color="auto"/>
        <w:bottom w:val="none" w:sz="0" w:space="0" w:color="auto"/>
        <w:right w:val="none" w:sz="0" w:space="0" w:color="auto"/>
      </w:divBdr>
    </w:div>
    <w:div w:id="1626696393">
      <w:bodyDiv w:val="1"/>
      <w:marLeft w:val="0"/>
      <w:marRight w:val="0"/>
      <w:marTop w:val="0"/>
      <w:marBottom w:val="0"/>
      <w:divBdr>
        <w:top w:val="none" w:sz="0" w:space="0" w:color="auto"/>
        <w:left w:val="none" w:sz="0" w:space="0" w:color="auto"/>
        <w:bottom w:val="none" w:sz="0" w:space="0" w:color="auto"/>
        <w:right w:val="none" w:sz="0" w:space="0" w:color="auto"/>
      </w:divBdr>
    </w:div>
    <w:div w:id="1630818964">
      <w:bodyDiv w:val="1"/>
      <w:marLeft w:val="0"/>
      <w:marRight w:val="0"/>
      <w:marTop w:val="0"/>
      <w:marBottom w:val="0"/>
      <w:divBdr>
        <w:top w:val="none" w:sz="0" w:space="0" w:color="auto"/>
        <w:left w:val="none" w:sz="0" w:space="0" w:color="auto"/>
        <w:bottom w:val="none" w:sz="0" w:space="0" w:color="auto"/>
        <w:right w:val="none" w:sz="0" w:space="0" w:color="auto"/>
      </w:divBdr>
    </w:div>
    <w:div w:id="1641811474">
      <w:bodyDiv w:val="1"/>
      <w:marLeft w:val="0"/>
      <w:marRight w:val="0"/>
      <w:marTop w:val="0"/>
      <w:marBottom w:val="0"/>
      <w:divBdr>
        <w:top w:val="none" w:sz="0" w:space="0" w:color="auto"/>
        <w:left w:val="none" w:sz="0" w:space="0" w:color="auto"/>
        <w:bottom w:val="none" w:sz="0" w:space="0" w:color="auto"/>
        <w:right w:val="none" w:sz="0" w:space="0" w:color="auto"/>
      </w:divBdr>
    </w:div>
    <w:div w:id="1647588101">
      <w:bodyDiv w:val="1"/>
      <w:marLeft w:val="0"/>
      <w:marRight w:val="0"/>
      <w:marTop w:val="0"/>
      <w:marBottom w:val="0"/>
      <w:divBdr>
        <w:top w:val="none" w:sz="0" w:space="0" w:color="auto"/>
        <w:left w:val="none" w:sz="0" w:space="0" w:color="auto"/>
        <w:bottom w:val="none" w:sz="0" w:space="0" w:color="auto"/>
        <w:right w:val="none" w:sz="0" w:space="0" w:color="auto"/>
      </w:divBdr>
    </w:div>
    <w:div w:id="1659648322">
      <w:bodyDiv w:val="1"/>
      <w:marLeft w:val="0"/>
      <w:marRight w:val="0"/>
      <w:marTop w:val="0"/>
      <w:marBottom w:val="0"/>
      <w:divBdr>
        <w:top w:val="none" w:sz="0" w:space="0" w:color="auto"/>
        <w:left w:val="none" w:sz="0" w:space="0" w:color="auto"/>
        <w:bottom w:val="none" w:sz="0" w:space="0" w:color="auto"/>
        <w:right w:val="none" w:sz="0" w:space="0" w:color="auto"/>
      </w:divBdr>
    </w:div>
    <w:div w:id="1669096844">
      <w:bodyDiv w:val="1"/>
      <w:marLeft w:val="0"/>
      <w:marRight w:val="0"/>
      <w:marTop w:val="0"/>
      <w:marBottom w:val="0"/>
      <w:divBdr>
        <w:top w:val="none" w:sz="0" w:space="0" w:color="auto"/>
        <w:left w:val="none" w:sz="0" w:space="0" w:color="auto"/>
        <w:bottom w:val="none" w:sz="0" w:space="0" w:color="auto"/>
        <w:right w:val="none" w:sz="0" w:space="0" w:color="auto"/>
      </w:divBdr>
      <w:divsChild>
        <w:div w:id="518936356">
          <w:marLeft w:val="0"/>
          <w:marRight w:val="0"/>
          <w:marTop w:val="0"/>
          <w:marBottom w:val="160"/>
          <w:divBdr>
            <w:top w:val="none" w:sz="0" w:space="0" w:color="auto"/>
            <w:left w:val="none" w:sz="0" w:space="0" w:color="auto"/>
            <w:bottom w:val="none" w:sz="0" w:space="0" w:color="auto"/>
            <w:right w:val="none" w:sz="0" w:space="0" w:color="auto"/>
          </w:divBdr>
        </w:div>
        <w:div w:id="528104072">
          <w:marLeft w:val="0"/>
          <w:marRight w:val="0"/>
          <w:marTop w:val="0"/>
          <w:marBottom w:val="160"/>
          <w:divBdr>
            <w:top w:val="none" w:sz="0" w:space="0" w:color="auto"/>
            <w:left w:val="none" w:sz="0" w:space="0" w:color="auto"/>
            <w:bottom w:val="none" w:sz="0" w:space="0" w:color="auto"/>
            <w:right w:val="none" w:sz="0" w:space="0" w:color="auto"/>
          </w:divBdr>
        </w:div>
        <w:div w:id="273513336">
          <w:marLeft w:val="0"/>
          <w:marRight w:val="0"/>
          <w:marTop w:val="0"/>
          <w:marBottom w:val="160"/>
          <w:divBdr>
            <w:top w:val="none" w:sz="0" w:space="0" w:color="auto"/>
            <w:left w:val="none" w:sz="0" w:space="0" w:color="auto"/>
            <w:bottom w:val="none" w:sz="0" w:space="0" w:color="auto"/>
            <w:right w:val="none" w:sz="0" w:space="0" w:color="auto"/>
          </w:divBdr>
        </w:div>
      </w:divsChild>
    </w:div>
    <w:div w:id="1681544654">
      <w:bodyDiv w:val="1"/>
      <w:marLeft w:val="0"/>
      <w:marRight w:val="0"/>
      <w:marTop w:val="0"/>
      <w:marBottom w:val="0"/>
      <w:divBdr>
        <w:top w:val="none" w:sz="0" w:space="0" w:color="auto"/>
        <w:left w:val="none" w:sz="0" w:space="0" w:color="auto"/>
        <w:bottom w:val="none" w:sz="0" w:space="0" w:color="auto"/>
        <w:right w:val="none" w:sz="0" w:space="0" w:color="auto"/>
      </w:divBdr>
    </w:div>
    <w:div w:id="1695689083">
      <w:bodyDiv w:val="1"/>
      <w:marLeft w:val="0"/>
      <w:marRight w:val="0"/>
      <w:marTop w:val="0"/>
      <w:marBottom w:val="0"/>
      <w:divBdr>
        <w:top w:val="none" w:sz="0" w:space="0" w:color="auto"/>
        <w:left w:val="none" w:sz="0" w:space="0" w:color="auto"/>
        <w:bottom w:val="none" w:sz="0" w:space="0" w:color="auto"/>
        <w:right w:val="none" w:sz="0" w:space="0" w:color="auto"/>
      </w:divBdr>
    </w:div>
    <w:div w:id="1699356438">
      <w:bodyDiv w:val="1"/>
      <w:marLeft w:val="0"/>
      <w:marRight w:val="0"/>
      <w:marTop w:val="0"/>
      <w:marBottom w:val="0"/>
      <w:divBdr>
        <w:top w:val="none" w:sz="0" w:space="0" w:color="auto"/>
        <w:left w:val="none" w:sz="0" w:space="0" w:color="auto"/>
        <w:bottom w:val="none" w:sz="0" w:space="0" w:color="auto"/>
        <w:right w:val="none" w:sz="0" w:space="0" w:color="auto"/>
      </w:divBdr>
    </w:div>
    <w:div w:id="1761637096">
      <w:bodyDiv w:val="1"/>
      <w:marLeft w:val="0"/>
      <w:marRight w:val="0"/>
      <w:marTop w:val="0"/>
      <w:marBottom w:val="0"/>
      <w:divBdr>
        <w:top w:val="none" w:sz="0" w:space="0" w:color="auto"/>
        <w:left w:val="none" w:sz="0" w:space="0" w:color="auto"/>
        <w:bottom w:val="none" w:sz="0" w:space="0" w:color="auto"/>
        <w:right w:val="none" w:sz="0" w:space="0" w:color="auto"/>
      </w:divBdr>
      <w:divsChild>
        <w:div w:id="423385161">
          <w:marLeft w:val="0"/>
          <w:marRight w:val="0"/>
          <w:marTop w:val="0"/>
          <w:marBottom w:val="160"/>
          <w:divBdr>
            <w:top w:val="none" w:sz="0" w:space="0" w:color="auto"/>
            <w:left w:val="none" w:sz="0" w:space="0" w:color="auto"/>
            <w:bottom w:val="none" w:sz="0" w:space="0" w:color="auto"/>
            <w:right w:val="none" w:sz="0" w:space="0" w:color="auto"/>
          </w:divBdr>
        </w:div>
        <w:div w:id="2126801678">
          <w:marLeft w:val="0"/>
          <w:marRight w:val="0"/>
          <w:marTop w:val="0"/>
          <w:marBottom w:val="160"/>
          <w:divBdr>
            <w:top w:val="none" w:sz="0" w:space="0" w:color="auto"/>
            <w:left w:val="none" w:sz="0" w:space="0" w:color="auto"/>
            <w:bottom w:val="none" w:sz="0" w:space="0" w:color="auto"/>
            <w:right w:val="none" w:sz="0" w:space="0" w:color="auto"/>
          </w:divBdr>
        </w:div>
        <w:div w:id="827133892">
          <w:marLeft w:val="0"/>
          <w:marRight w:val="0"/>
          <w:marTop w:val="0"/>
          <w:marBottom w:val="160"/>
          <w:divBdr>
            <w:top w:val="none" w:sz="0" w:space="0" w:color="auto"/>
            <w:left w:val="none" w:sz="0" w:space="0" w:color="auto"/>
            <w:bottom w:val="none" w:sz="0" w:space="0" w:color="auto"/>
            <w:right w:val="none" w:sz="0" w:space="0" w:color="auto"/>
          </w:divBdr>
        </w:div>
      </w:divsChild>
    </w:div>
    <w:div w:id="1774549018">
      <w:bodyDiv w:val="1"/>
      <w:marLeft w:val="0"/>
      <w:marRight w:val="0"/>
      <w:marTop w:val="0"/>
      <w:marBottom w:val="0"/>
      <w:divBdr>
        <w:top w:val="none" w:sz="0" w:space="0" w:color="auto"/>
        <w:left w:val="none" w:sz="0" w:space="0" w:color="auto"/>
        <w:bottom w:val="none" w:sz="0" w:space="0" w:color="auto"/>
        <w:right w:val="none" w:sz="0" w:space="0" w:color="auto"/>
      </w:divBdr>
    </w:div>
    <w:div w:id="1799494866">
      <w:bodyDiv w:val="1"/>
      <w:marLeft w:val="0"/>
      <w:marRight w:val="0"/>
      <w:marTop w:val="0"/>
      <w:marBottom w:val="0"/>
      <w:divBdr>
        <w:top w:val="none" w:sz="0" w:space="0" w:color="auto"/>
        <w:left w:val="none" w:sz="0" w:space="0" w:color="auto"/>
        <w:bottom w:val="none" w:sz="0" w:space="0" w:color="auto"/>
        <w:right w:val="none" w:sz="0" w:space="0" w:color="auto"/>
      </w:divBdr>
    </w:div>
    <w:div w:id="1806653743">
      <w:bodyDiv w:val="1"/>
      <w:marLeft w:val="0"/>
      <w:marRight w:val="0"/>
      <w:marTop w:val="0"/>
      <w:marBottom w:val="0"/>
      <w:divBdr>
        <w:top w:val="none" w:sz="0" w:space="0" w:color="auto"/>
        <w:left w:val="none" w:sz="0" w:space="0" w:color="auto"/>
        <w:bottom w:val="none" w:sz="0" w:space="0" w:color="auto"/>
        <w:right w:val="none" w:sz="0" w:space="0" w:color="auto"/>
      </w:divBdr>
    </w:div>
    <w:div w:id="1831869620">
      <w:bodyDiv w:val="1"/>
      <w:marLeft w:val="0"/>
      <w:marRight w:val="0"/>
      <w:marTop w:val="0"/>
      <w:marBottom w:val="0"/>
      <w:divBdr>
        <w:top w:val="none" w:sz="0" w:space="0" w:color="auto"/>
        <w:left w:val="none" w:sz="0" w:space="0" w:color="auto"/>
        <w:bottom w:val="none" w:sz="0" w:space="0" w:color="auto"/>
        <w:right w:val="none" w:sz="0" w:space="0" w:color="auto"/>
      </w:divBdr>
    </w:div>
    <w:div w:id="1838374371">
      <w:bodyDiv w:val="1"/>
      <w:marLeft w:val="0"/>
      <w:marRight w:val="0"/>
      <w:marTop w:val="0"/>
      <w:marBottom w:val="0"/>
      <w:divBdr>
        <w:top w:val="none" w:sz="0" w:space="0" w:color="auto"/>
        <w:left w:val="none" w:sz="0" w:space="0" w:color="auto"/>
        <w:bottom w:val="none" w:sz="0" w:space="0" w:color="auto"/>
        <w:right w:val="none" w:sz="0" w:space="0" w:color="auto"/>
      </w:divBdr>
    </w:div>
    <w:div w:id="1843085015">
      <w:bodyDiv w:val="1"/>
      <w:marLeft w:val="0"/>
      <w:marRight w:val="0"/>
      <w:marTop w:val="0"/>
      <w:marBottom w:val="0"/>
      <w:divBdr>
        <w:top w:val="none" w:sz="0" w:space="0" w:color="auto"/>
        <w:left w:val="none" w:sz="0" w:space="0" w:color="auto"/>
        <w:bottom w:val="none" w:sz="0" w:space="0" w:color="auto"/>
        <w:right w:val="none" w:sz="0" w:space="0" w:color="auto"/>
      </w:divBdr>
    </w:div>
    <w:div w:id="1951625272">
      <w:bodyDiv w:val="1"/>
      <w:marLeft w:val="0"/>
      <w:marRight w:val="0"/>
      <w:marTop w:val="0"/>
      <w:marBottom w:val="0"/>
      <w:divBdr>
        <w:top w:val="none" w:sz="0" w:space="0" w:color="auto"/>
        <w:left w:val="none" w:sz="0" w:space="0" w:color="auto"/>
        <w:bottom w:val="none" w:sz="0" w:space="0" w:color="auto"/>
        <w:right w:val="none" w:sz="0" w:space="0" w:color="auto"/>
      </w:divBdr>
    </w:div>
    <w:div w:id="1958440709">
      <w:bodyDiv w:val="1"/>
      <w:marLeft w:val="0"/>
      <w:marRight w:val="0"/>
      <w:marTop w:val="0"/>
      <w:marBottom w:val="0"/>
      <w:divBdr>
        <w:top w:val="none" w:sz="0" w:space="0" w:color="auto"/>
        <w:left w:val="none" w:sz="0" w:space="0" w:color="auto"/>
        <w:bottom w:val="none" w:sz="0" w:space="0" w:color="auto"/>
        <w:right w:val="none" w:sz="0" w:space="0" w:color="auto"/>
      </w:divBdr>
    </w:div>
    <w:div w:id="2002654589">
      <w:bodyDiv w:val="1"/>
      <w:marLeft w:val="0"/>
      <w:marRight w:val="0"/>
      <w:marTop w:val="0"/>
      <w:marBottom w:val="0"/>
      <w:divBdr>
        <w:top w:val="none" w:sz="0" w:space="0" w:color="auto"/>
        <w:left w:val="none" w:sz="0" w:space="0" w:color="auto"/>
        <w:bottom w:val="none" w:sz="0" w:space="0" w:color="auto"/>
        <w:right w:val="none" w:sz="0" w:space="0" w:color="auto"/>
      </w:divBdr>
    </w:div>
    <w:div w:id="2021278799">
      <w:bodyDiv w:val="1"/>
      <w:marLeft w:val="0"/>
      <w:marRight w:val="0"/>
      <w:marTop w:val="0"/>
      <w:marBottom w:val="0"/>
      <w:divBdr>
        <w:top w:val="none" w:sz="0" w:space="0" w:color="auto"/>
        <w:left w:val="none" w:sz="0" w:space="0" w:color="auto"/>
        <w:bottom w:val="none" w:sz="0" w:space="0" w:color="auto"/>
        <w:right w:val="none" w:sz="0" w:space="0" w:color="auto"/>
      </w:divBdr>
    </w:div>
    <w:div w:id="2067560641">
      <w:bodyDiv w:val="1"/>
      <w:marLeft w:val="0"/>
      <w:marRight w:val="0"/>
      <w:marTop w:val="0"/>
      <w:marBottom w:val="0"/>
      <w:divBdr>
        <w:top w:val="none" w:sz="0" w:space="0" w:color="auto"/>
        <w:left w:val="none" w:sz="0" w:space="0" w:color="auto"/>
        <w:bottom w:val="none" w:sz="0" w:space="0" w:color="auto"/>
        <w:right w:val="none" w:sz="0" w:space="0" w:color="auto"/>
      </w:divBdr>
    </w:div>
    <w:div w:id="2096515038">
      <w:bodyDiv w:val="1"/>
      <w:marLeft w:val="0"/>
      <w:marRight w:val="0"/>
      <w:marTop w:val="0"/>
      <w:marBottom w:val="0"/>
      <w:divBdr>
        <w:top w:val="none" w:sz="0" w:space="0" w:color="auto"/>
        <w:left w:val="none" w:sz="0" w:space="0" w:color="auto"/>
        <w:bottom w:val="none" w:sz="0" w:space="0" w:color="auto"/>
        <w:right w:val="none" w:sz="0" w:space="0" w:color="auto"/>
      </w:divBdr>
    </w:div>
    <w:div w:id="2104377105">
      <w:bodyDiv w:val="1"/>
      <w:marLeft w:val="0"/>
      <w:marRight w:val="0"/>
      <w:marTop w:val="0"/>
      <w:marBottom w:val="0"/>
      <w:divBdr>
        <w:top w:val="none" w:sz="0" w:space="0" w:color="auto"/>
        <w:left w:val="none" w:sz="0" w:space="0" w:color="auto"/>
        <w:bottom w:val="none" w:sz="0" w:space="0" w:color="auto"/>
        <w:right w:val="none" w:sz="0" w:space="0" w:color="auto"/>
      </w:divBdr>
    </w:div>
    <w:div w:id="2110271813">
      <w:bodyDiv w:val="1"/>
      <w:marLeft w:val="0"/>
      <w:marRight w:val="0"/>
      <w:marTop w:val="0"/>
      <w:marBottom w:val="0"/>
      <w:divBdr>
        <w:top w:val="none" w:sz="0" w:space="0" w:color="auto"/>
        <w:left w:val="none" w:sz="0" w:space="0" w:color="auto"/>
        <w:bottom w:val="none" w:sz="0" w:space="0" w:color="auto"/>
        <w:right w:val="none" w:sz="0" w:space="0" w:color="auto"/>
      </w:divBdr>
    </w:div>
    <w:div w:id="2111583405">
      <w:bodyDiv w:val="1"/>
      <w:marLeft w:val="0"/>
      <w:marRight w:val="0"/>
      <w:marTop w:val="0"/>
      <w:marBottom w:val="0"/>
      <w:divBdr>
        <w:top w:val="none" w:sz="0" w:space="0" w:color="auto"/>
        <w:left w:val="none" w:sz="0" w:space="0" w:color="auto"/>
        <w:bottom w:val="none" w:sz="0" w:space="0" w:color="auto"/>
        <w:right w:val="none" w:sz="0" w:space="0" w:color="auto"/>
      </w:divBdr>
    </w:div>
    <w:div w:id="2115590451">
      <w:bodyDiv w:val="1"/>
      <w:marLeft w:val="0"/>
      <w:marRight w:val="0"/>
      <w:marTop w:val="0"/>
      <w:marBottom w:val="0"/>
      <w:divBdr>
        <w:top w:val="none" w:sz="0" w:space="0" w:color="auto"/>
        <w:left w:val="none" w:sz="0" w:space="0" w:color="auto"/>
        <w:bottom w:val="none" w:sz="0" w:space="0" w:color="auto"/>
        <w:right w:val="none" w:sz="0" w:space="0" w:color="auto"/>
      </w:divBdr>
      <w:divsChild>
        <w:div w:id="428045146">
          <w:marLeft w:val="0"/>
          <w:marRight w:val="0"/>
          <w:marTop w:val="0"/>
          <w:marBottom w:val="0"/>
          <w:divBdr>
            <w:top w:val="none" w:sz="0" w:space="0" w:color="auto"/>
            <w:left w:val="none" w:sz="0" w:space="0" w:color="auto"/>
            <w:bottom w:val="none" w:sz="0" w:space="0" w:color="auto"/>
            <w:right w:val="none" w:sz="0" w:space="0" w:color="auto"/>
          </w:divBdr>
          <w:divsChild>
            <w:div w:id="1917788406">
              <w:marLeft w:val="0"/>
              <w:marRight w:val="0"/>
              <w:marTop w:val="0"/>
              <w:marBottom w:val="0"/>
              <w:divBdr>
                <w:top w:val="none" w:sz="0" w:space="0" w:color="auto"/>
                <w:left w:val="none" w:sz="0" w:space="0" w:color="auto"/>
                <w:bottom w:val="none" w:sz="0" w:space="0" w:color="auto"/>
                <w:right w:val="none" w:sz="0" w:space="0" w:color="auto"/>
              </w:divBdr>
              <w:divsChild>
                <w:div w:id="109321855">
                  <w:marLeft w:val="0"/>
                  <w:marRight w:val="0"/>
                  <w:marTop w:val="0"/>
                  <w:marBottom w:val="0"/>
                  <w:divBdr>
                    <w:top w:val="none" w:sz="0" w:space="0" w:color="auto"/>
                    <w:left w:val="none" w:sz="0" w:space="0" w:color="auto"/>
                    <w:bottom w:val="none" w:sz="0" w:space="0" w:color="auto"/>
                    <w:right w:val="none" w:sz="0" w:space="0" w:color="auto"/>
                  </w:divBdr>
                  <w:divsChild>
                    <w:div w:id="824205549">
                      <w:marLeft w:val="0"/>
                      <w:marRight w:val="0"/>
                      <w:marTop w:val="0"/>
                      <w:marBottom w:val="0"/>
                      <w:divBdr>
                        <w:top w:val="none" w:sz="0" w:space="0" w:color="auto"/>
                        <w:left w:val="none" w:sz="0" w:space="0" w:color="auto"/>
                        <w:bottom w:val="none" w:sz="0" w:space="0" w:color="auto"/>
                        <w:right w:val="none" w:sz="0" w:space="0" w:color="auto"/>
                      </w:divBdr>
                      <w:divsChild>
                        <w:div w:id="1492217882">
                          <w:marLeft w:val="0"/>
                          <w:marRight w:val="0"/>
                          <w:marTop w:val="0"/>
                          <w:marBottom w:val="0"/>
                          <w:divBdr>
                            <w:top w:val="none" w:sz="0" w:space="0" w:color="auto"/>
                            <w:left w:val="none" w:sz="0" w:space="0" w:color="auto"/>
                            <w:bottom w:val="none" w:sz="0" w:space="0" w:color="auto"/>
                            <w:right w:val="none" w:sz="0" w:space="0" w:color="auto"/>
                          </w:divBdr>
                          <w:divsChild>
                            <w:div w:id="167556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82362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normativa-y-relatoria/conoce-la-relatoria"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mork_gan@hotmai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s>
</file>

<file path=word/_rels/footnotes.xml.rels><?xml version="1.0" encoding="UTF-8" standalone="yes"?>
<Relationships xmlns="http://schemas.openxmlformats.org/package/2006/relationships"><Relationship Id="rId2" Type="http://schemas.openxmlformats.org/officeDocument/2006/relationships/hyperlink" Target="http://www.secretariasenado.gov.co/senado/basedoc/codigo_comercio_pr003.html" TargetMode="External"/><Relationship Id="rId1" Type="http://schemas.openxmlformats.org/officeDocument/2006/relationships/hyperlink" Target="https://operaciones.colombiacompra.gov.co/manuales-guias-y-pliegos-tipo/manuales-y-guias/guia-de-asuntos-corporativos-en-procesos-d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SharedWithUsers xmlns="a6cb9e4b-f1d1-4245-83ec-6cad768d538a">
      <UserInfo>
        <DisplayName>Alejandro Sarmiento</DisplayName>
        <AccountId>129</AccountId>
        <AccountType/>
      </UserInfo>
    </SharedWithUsers>
  </documentManagement>
</p:properties>
</file>

<file path=customXml/itemProps1.xml><?xml version="1.0" encoding="utf-8"?>
<ds:datastoreItem xmlns:ds="http://schemas.openxmlformats.org/officeDocument/2006/customXml" ds:itemID="{06F8AB61-4B8C-4292-AD00-5B9AA853CC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3.xml><?xml version="1.0" encoding="utf-8"?>
<ds:datastoreItem xmlns:ds="http://schemas.openxmlformats.org/officeDocument/2006/customXml" ds:itemID="{97058A7D-7CC1-47E2-BEC0-2CD0980CE2A6}">
  <ds:schemaRefs>
    <ds:schemaRef ds:uri="http://schemas.openxmlformats.org/officeDocument/2006/bibliography"/>
  </ds:schemaRefs>
</ds:datastoreItem>
</file>

<file path=customXml/itemProps4.xml><?xml version="1.0" encoding="utf-8"?>
<ds:datastoreItem xmlns:ds="http://schemas.openxmlformats.org/officeDocument/2006/customXml" ds:itemID="{B3B8AE37-E1F3-4B08-98E9-52F0B3FA79CF}">
  <ds:schemaRefs>
    <ds:schemaRef ds:uri="http://purl.org/dc/terms/"/>
    <ds:schemaRef ds:uri="http://schemas.openxmlformats.org/package/2006/metadata/core-properties"/>
    <ds:schemaRef ds:uri="http://purl.org/dc/elements/1.1/"/>
    <ds:schemaRef ds:uri="http://schemas.microsoft.com/office/2006/metadata/properties"/>
    <ds:schemaRef ds:uri="http://www.w3.org/XML/1998/namespace"/>
    <ds:schemaRef ds:uri="http://schemas.microsoft.com/office/2006/documentManagement/types"/>
    <ds:schemaRef ds:uri="http://purl.org/dc/dcmitype/"/>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16</Pages>
  <Words>5234</Words>
  <Characters>28787</Characters>
  <Application>Microsoft Office Word</Application>
  <DocSecurity>0</DocSecurity>
  <Lines>239</Lines>
  <Paragraphs>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33954</CharactersWithSpaces>
  <SharedDoc>false</SharedDoc>
  <HLinks>
    <vt:vector size="48" baseType="variant">
      <vt:variant>
        <vt:i4>5439494</vt:i4>
      </vt:variant>
      <vt:variant>
        <vt:i4>15</vt:i4>
      </vt:variant>
      <vt:variant>
        <vt:i4>0</vt:i4>
      </vt:variant>
      <vt:variant>
        <vt:i4>5</vt:i4>
      </vt:variant>
      <vt:variant>
        <vt:lpwstr>https://www.colombiacompra.gov.co/sala-de-prensa/boletin-digital</vt:lpwstr>
      </vt:variant>
      <vt:variant>
        <vt:lpwstr/>
      </vt:variant>
      <vt:variant>
        <vt:i4>7471218</vt:i4>
      </vt:variant>
      <vt:variant>
        <vt:i4>12</vt:i4>
      </vt:variant>
      <vt:variant>
        <vt:i4>0</vt:i4>
      </vt:variant>
      <vt:variant>
        <vt:i4>5</vt:i4>
      </vt:variant>
      <vt:variant>
        <vt:lpwstr>https://relatoria.colombiacompra.gov.co/busqueda/conceptos</vt:lpwstr>
      </vt:variant>
      <vt:variant>
        <vt:lpwstr/>
      </vt:variant>
      <vt:variant>
        <vt:i4>5111895</vt:i4>
      </vt:variant>
      <vt:variant>
        <vt:i4>9</vt:i4>
      </vt:variant>
      <vt:variant>
        <vt:i4>0</vt:i4>
      </vt:variant>
      <vt:variant>
        <vt:i4>5</vt:i4>
      </vt:variant>
      <vt:variant>
        <vt:lpwstr>https://www.colombiacompra.gov.co/manuales-guias-y-pliegos-tipo/manuales-y-guias</vt:lpwstr>
      </vt:variant>
      <vt:variant>
        <vt:lpwstr/>
      </vt:variant>
      <vt:variant>
        <vt:i4>3801145</vt:i4>
      </vt:variant>
      <vt:variant>
        <vt:i4>6</vt:i4>
      </vt:variant>
      <vt:variant>
        <vt:i4>0</vt:i4>
      </vt:variant>
      <vt:variant>
        <vt:i4>5</vt:i4>
      </vt:variant>
      <vt:variant>
        <vt:lpwstr>https://relatoria.colombiacompra.gov.co/providencias-consejo-de-estado/</vt:lpwstr>
      </vt:variant>
      <vt:variant>
        <vt:lpwstr/>
      </vt:variant>
      <vt:variant>
        <vt:i4>3145787</vt:i4>
      </vt:variant>
      <vt:variant>
        <vt:i4>3</vt:i4>
      </vt:variant>
      <vt:variant>
        <vt:i4>0</vt:i4>
      </vt:variant>
      <vt:variant>
        <vt:i4>5</vt:i4>
      </vt:variant>
      <vt:variant>
        <vt:lpwstr>https://www.colombiacompra.gov.co/content/04-documentos-tipo-de-licitacion-de-obra-publica-para-proyectos-de-infraestructura-social</vt:lpwstr>
      </vt:variant>
      <vt:variant>
        <vt:lpwstr/>
      </vt:variant>
      <vt:variant>
        <vt:i4>7208987</vt:i4>
      </vt:variant>
      <vt:variant>
        <vt:i4>0</vt:i4>
      </vt:variant>
      <vt:variant>
        <vt:i4>0</vt:i4>
      </vt:variant>
      <vt:variant>
        <vt:i4>5</vt:i4>
      </vt:variant>
      <vt:variant>
        <vt:lpwstr>https://www.colombiacompra.gov.co/sites/cce_public/files/cce_circulares/circular_externa_unica_version_3_vf49.pdf</vt:lpwstr>
      </vt:variant>
      <vt:variant>
        <vt:lpwstr/>
      </vt:variant>
      <vt:variant>
        <vt:i4>6619182</vt:i4>
      </vt:variant>
      <vt:variant>
        <vt:i4>3</vt:i4>
      </vt:variant>
      <vt:variant>
        <vt:i4>0</vt:i4>
      </vt:variant>
      <vt:variant>
        <vt:i4>5</vt:i4>
      </vt:variant>
      <vt:variant>
        <vt:lpwstr>https://www.culturarecreacionydeporte.gov.co/es/bogotanitos/bogodatos/las-plazas-de-mercado-de-bogota</vt:lpwstr>
      </vt:variant>
      <vt:variant>
        <vt:lpwstr>:~:text=Muchos%20tienen%20diferentes%20conceptos%20sobre,en%20un%20sitio%20abierto%20o</vt:lpwstr>
      </vt:variant>
      <vt:variant>
        <vt:i4>2883621</vt:i4>
      </vt:variant>
      <vt:variant>
        <vt:i4>0</vt:i4>
      </vt:variant>
      <vt:variant>
        <vt:i4>0</vt:i4>
      </vt:variant>
      <vt:variant>
        <vt:i4>5</vt:i4>
      </vt:variant>
      <vt:variant>
        <vt:lpwstr>https://www.colombiacompra.gov.co/content/03-documentos-tipo-transversales-de-licitacion-de-obra-publica-de-infraestructura-social-con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Betty Elena Díaz Fernandez</cp:lastModifiedBy>
  <cp:revision>2</cp:revision>
  <dcterms:created xsi:type="dcterms:W3CDTF">2025-10-10T16:30:00Z</dcterms:created>
  <dcterms:modified xsi:type="dcterms:W3CDTF">2025-10-10T16:30:00Z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