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BACF30" w14:textId="77777777" w:rsidR="0098308F" w:rsidRPr="000B5262" w:rsidRDefault="0098308F" w:rsidP="0098308F">
      <w:pPr>
        <w:spacing w:after="0" w:line="240" w:lineRule="auto"/>
        <w:contextualSpacing/>
        <w:jc w:val="both"/>
        <w:rPr>
          <w:rFonts w:ascii="Verdana" w:eastAsia="Calibri" w:hAnsi="Verdana" w:cs="Arial"/>
          <w:b/>
          <w:bCs/>
          <w:color w:val="000000" w:themeColor="text1"/>
          <w:lang w:val="es-ES_tradnl"/>
        </w:rPr>
      </w:pPr>
      <w:bookmarkStart w:id="0" w:name="_Hlk143780582"/>
      <w:r w:rsidRPr="000B5262">
        <w:rPr>
          <w:rFonts w:ascii="Verdana" w:eastAsia="Calibri" w:hAnsi="Verdana" w:cs="Arial"/>
          <w:b/>
          <w:bCs/>
          <w:color w:val="000000" w:themeColor="text1"/>
        </w:rPr>
        <w:t xml:space="preserve">CONTRATO DE PRESTACIÓN DE SERVICIOS – Concepto </w:t>
      </w:r>
      <w:r w:rsidRPr="000B5262">
        <w:rPr>
          <w:rFonts w:ascii="Verdana" w:eastAsia="Calibri" w:hAnsi="Verdana" w:cs="Arial"/>
          <w:b/>
          <w:bCs/>
          <w:color w:val="000000" w:themeColor="text1"/>
          <w:lang w:val="es-ES_tradnl"/>
        </w:rPr>
        <w:t xml:space="preserve"> </w:t>
      </w:r>
    </w:p>
    <w:p w14:paraId="23AB1DD6" w14:textId="77777777" w:rsidR="0098308F" w:rsidRPr="00003F4D" w:rsidRDefault="0098308F" w:rsidP="0098308F">
      <w:pPr>
        <w:spacing w:after="0" w:line="240" w:lineRule="auto"/>
        <w:contextualSpacing/>
        <w:jc w:val="both"/>
        <w:rPr>
          <w:rFonts w:ascii="Verdana" w:eastAsia="Calibri" w:hAnsi="Verdana" w:cs="Arial"/>
          <w:color w:val="000000" w:themeColor="text1"/>
          <w:sz w:val="20"/>
          <w:szCs w:val="20"/>
          <w:lang w:val="es-ES_tradnl"/>
        </w:rPr>
      </w:pPr>
    </w:p>
    <w:p w14:paraId="76A45376" w14:textId="77777777" w:rsidR="0098308F" w:rsidRPr="00003F4D" w:rsidRDefault="0098308F" w:rsidP="0098308F">
      <w:pPr>
        <w:spacing w:after="0" w:line="240" w:lineRule="auto"/>
        <w:contextualSpacing/>
        <w:jc w:val="both"/>
        <w:rPr>
          <w:rFonts w:ascii="Verdana" w:eastAsia="Calibri" w:hAnsi="Verdana" w:cs="Arial"/>
          <w:color w:val="000000" w:themeColor="text1"/>
          <w:sz w:val="20"/>
          <w:szCs w:val="20"/>
          <w:lang w:val="es-ES_tradnl"/>
        </w:rPr>
      </w:pPr>
      <w:r w:rsidRPr="00003F4D">
        <w:rPr>
          <w:rFonts w:ascii="Verdana" w:eastAsia="Calibri" w:hAnsi="Verdana" w:cs="Arial"/>
          <w:color w:val="000000"/>
          <w:sz w:val="20"/>
          <w:szCs w:val="2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r w:rsidRPr="00003F4D">
        <w:rPr>
          <w:rFonts w:ascii="Verdana" w:eastAsia="Calibri" w:hAnsi="Verdana" w:cs="Arial"/>
          <w:color w:val="000000" w:themeColor="text1"/>
          <w:sz w:val="20"/>
          <w:szCs w:val="20"/>
          <w:lang w:val="es-ES_tradnl"/>
        </w:rPr>
        <w:t xml:space="preserve"> </w:t>
      </w:r>
      <w:r w:rsidRPr="00003F4D">
        <w:rPr>
          <w:rFonts w:ascii="Verdana" w:eastAsia="Calibri" w:hAnsi="Verdana" w:cs="Arial"/>
          <w:color w:val="000000"/>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r w:rsidRPr="00003F4D">
        <w:rPr>
          <w:rFonts w:ascii="Verdana" w:eastAsia="Calibri" w:hAnsi="Verdana" w:cs="Arial"/>
          <w:color w:val="000000" w:themeColor="text1"/>
          <w:sz w:val="20"/>
          <w:szCs w:val="20"/>
          <w:lang w:val="es-ES_tradnl"/>
        </w:rPr>
        <w:t xml:space="preserve"> </w:t>
      </w:r>
      <w:r w:rsidRPr="00003F4D">
        <w:rPr>
          <w:rFonts w:ascii="Verdana" w:eastAsia="Calibri" w:hAnsi="Verdana" w:cs="Arial"/>
          <w:color w:val="000000"/>
          <w:sz w:val="20"/>
          <w:szCs w:val="20"/>
        </w:rPr>
        <w:t>En ningún caso estos contratos generan relación laboral ni prestaciones sociales y se celebrarán por el término estrictamente indispensable.</w:t>
      </w:r>
    </w:p>
    <w:p w14:paraId="1922C2F7" w14:textId="77777777" w:rsidR="0098308F" w:rsidRDefault="0098308F" w:rsidP="0098308F">
      <w:pPr>
        <w:spacing w:after="0"/>
        <w:rPr>
          <w:rFonts w:ascii="Verdana" w:hAnsi="Verdana"/>
          <w:b/>
          <w:bCs/>
          <w:lang w:val="es-ES_tradnl"/>
        </w:rPr>
      </w:pPr>
    </w:p>
    <w:p w14:paraId="659E4330" w14:textId="77777777" w:rsidR="0098308F" w:rsidRPr="000B5262" w:rsidRDefault="0098308F" w:rsidP="0098308F">
      <w:pPr>
        <w:spacing w:after="0" w:line="240" w:lineRule="auto"/>
        <w:contextualSpacing/>
        <w:jc w:val="both"/>
        <w:rPr>
          <w:rFonts w:ascii="Verdana" w:eastAsia="Calibri" w:hAnsi="Verdana" w:cs="Arial"/>
          <w:b/>
          <w:bCs/>
          <w:color w:val="000000" w:themeColor="text1"/>
          <w:lang w:val="es-ES_tradnl"/>
        </w:rPr>
      </w:pPr>
      <w:r w:rsidRPr="000B5262">
        <w:rPr>
          <w:rFonts w:ascii="Verdana" w:eastAsia="Calibri" w:hAnsi="Verdana" w:cs="Arial"/>
          <w:b/>
          <w:bCs/>
          <w:lang w:val="es-ES_tradnl"/>
        </w:rPr>
        <w:t xml:space="preserve">CONTRATO DE PRESTACIÓN DE SERVICIOS </w:t>
      </w:r>
      <w:r w:rsidRPr="000B5262">
        <w:rPr>
          <w:rFonts w:ascii="Verdana" w:eastAsia="Calibri" w:hAnsi="Verdana" w:cs="Arial"/>
          <w:b/>
          <w:bCs/>
          <w:color w:val="000000" w:themeColor="text1"/>
          <w:lang w:val="es-ES_tradnl"/>
        </w:rPr>
        <w:t>– Características</w:t>
      </w:r>
    </w:p>
    <w:p w14:paraId="038470E4" w14:textId="77777777" w:rsidR="0098308F" w:rsidRPr="00003F4D" w:rsidRDefault="0098308F" w:rsidP="0098308F">
      <w:pPr>
        <w:spacing w:after="0" w:line="240" w:lineRule="auto"/>
        <w:contextualSpacing/>
        <w:jc w:val="both"/>
        <w:rPr>
          <w:rFonts w:ascii="Verdana" w:eastAsia="Calibri" w:hAnsi="Verdana" w:cs="Arial"/>
          <w:b/>
          <w:bCs/>
          <w:color w:val="000000" w:themeColor="text1"/>
          <w:sz w:val="20"/>
          <w:szCs w:val="20"/>
          <w:lang w:val="es-ES_tradnl"/>
        </w:rPr>
      </w:pPr>
    </w:p>
    <w:p w14:paraId="0AEB9640" w14:textId="77777777" w:rsidR="0098308F" w:rsidRDefault="0098308F" w:rsidP="0098308F">
      <w:pPr>
        <w:spacing w:after="0" w:line="240" w:lineRule="auto"/>
        <w:jc w:val="both"/>
        <w:rPr>
          <w:rFonts w:ascii="Verdana" w:eastAsia="Times New Roman" w:hAnsi="Verdana" w:cs="Times New Roman"/>
          <w:color w:val="000000"/>
          <w:sz w:val="20"/>
          <w:szCs w:val="20"/>
          <w:lang w:val="es-ES_tradnl" w:eastAsia="es-ES_tradnl"/>
        </w:rPr>
      </w:pPr>
      <w:r w:rsidRPr="00003F4D">
        <w:rPr>
          <w:rFonts w:ascii="Verdana" w:eastAsia="Times New Roman" w:hAnsi="Verdana" w:cs="Times New Roman"/>
          <w:color w:val="000000"/>
          <w:sz w:val="20"/>
          <w:szCs w:val="20"/>
          <w:lang w:val="es-ES_tradnl" w:eastAsia="es-ES_tradnl"/>
        </w:rPr>
        <w:t>a) Solo puede celebrarse para realizar “actividades relacionadas con la administración o funcionamiento de la entidad”; b) Admite que se suscriba tanto con personas naturales, como con personas jurídicas; c) se diferencian del contrato de trabajo, de acuerdo con los argumentos expuesto en este concepto; d) Deben ser temporales, por lo que no puede referirse a un contrato de prestación de servicios indefinido que resulta contrario a su naturaleza; e) Como especies del género prestación de servicios, se incluyen los contratos de prestación de servicios profesionales, los contratos de prestación de servicios apoyo a la gestión y los contratos de prestación de servicios artísticos que solo pueden encomendarse a determinadas personas naturales; f) Su celebración debe realizarse a través de la modalidad de contratación directa; g) Para su celebración no se requiere la expedición del acto administrativo de justificación de la contratación directa; h) Admiten el pacto de cláusulas excepcionales; i) No es obligatoria la liquidación, sin perjuicio de que esta se pueda efectuar de manera facultativa cuando así se considere necesario; j) Para su celebración no se requiere inscripción en el Registro Único de Proponentes (RUP); k) No son necesarias las garantías.</w:t>
      </w:r>
    </w:p>
    <w:p w14:paraId="0AEFCA4E" w14:textId="77777777" w:rsidR="0098308F" w:rsidRDefault="0098308F" w:rsidP="0098308F">
      <w:pPr>
        <w:spacing w:after="0"/>
        <w:rPr>
          <w:rFonts w:ascii="Verdana" w:hAnsi="Verdana"/>
          <w:b/>
          <w:bCs/>
          <w:lang w:val="es-ES"/>
        </w:rPr>
      </w:pPr>
    </w:p>
    <w:p w14:paraId="2C30B687" w14:textId="77777777" w:rsidR="0098308F" w:rsidRDefault="0098308F" w:rsidP="0098308F">
      <w:pPr>
        <w:spacing w:after="0"/>
        <w:rPr>
          <w:rFonts w:ascii="Verdana" w:hAnsi="Verdana"/>
          <w:b/>
          <w:bCs/>
          <w:lang w:val="es-ES"/>
        </w:rPr>
      </w:pPr>
    </w:p>
    <w:p w14:paraId="63D7289D" w14:textId="77777777" w:rsidR="0098308F" w:rsidRPr="002F3362" w:rsidRDefault="0098308F" w:rsidP="0098308F">
      <w:pPr>
        <w:spacing w:after="0"/>
        <w:jc w:val="both"/>
        <w:rPr>
          <w:rFonts w:ascii="Verdana" w:hAnsi="Verdana"/>
          <w:b/>
          <w:bCs/>
          <w:lang w:val="es-ES"/>
        </w:rPr>
      </w:pPr>
      <w:r w:rsidRPr="002F3362">
        <w:rPr>
          <w:rFonts w:ascii="Verdana" w:hAnsi="Verdana"/>
          <w:b/>
          <w:bCs/>
          <w:lang w:val="es-ES"/>
        </w:rPr>
        <w:t xml:space="preserve">CONTRATO DE PRESTACIÓN DE SERVICIOS PROFESIONALES – Idoneidad </w:t>
      </w:r>
    </w:p>
    <w:p w14:paraId="503E0B7E" w14:textId="77777777" w:rsidR="0098308F" w:rsidRPr="002F3362" w:rsidRDefault="0098308F" w:rsidP="0098308F">
      <w:pPr>
        <w:spacing w:after="0"/>
        <w:jc w:val="both"/>
        <w:rPr>
          <w:rFonts w:ascii="Verdana" w:hAnsi="Verdana"/>
          <w:b/>
          <w:bCs/>
          <w:lang w:val="es-ES"/>
        </w:rPr>
      </w:pPr>
    </w:p>
    <w:p w14:paraId="774BAF4C" w14:textId="77777777" w:rsidR="0098308F" w:rsidRPr="002F3362" w:rsidRDefault="0098308F" w:rsidP="0098308F">
      <w:pPr>
        <w:spacing w:after="0"/>
        <w:jc w:val="both"/>
        <w:rPr>
          <w:rFonts w:ascii="Verdana" w:hAnsi="Verdana"/>
          <w:lang w:val="es-ES"/>
        </w:rPr>
      </w:pPr>
      <w:r w:rsidRPr="002F3362">
        <w:rPr>
          <w:rFonts w:ascii="Verdana" w:hAnsi="Verdana"/>
          <w:lang w:val="es-ES"/>
        </w:rPr>
        <w:t>El contrato de prestación de servicios profesionales es uno de los tipos contractuales consagrados en el Estatuto General de Contratación de la Administración Pública, que pueden celebrar las entidades estatales.</w:t>
      </w:r>
    </w:p>
    <w:p w14:paraId="2D90DE3D" w14:textId="77777777" w:rsidR="0098308F" w:rsidRPr="002F3362" w:rsidRDefault="0098308F" w:rsidP="0098308F">
      <w:pPr>
        <w:spacing w:after="0"/>
        <w:jc w:val="both"/>
        <w:rPr>
          <w:rFonts w:ascii="Verdana" w:hAnsi="Verdana"/>
          <w:lang w:val="es-ES"/>
        </w:rPr>
      </w:pPr>
      <w:r w:rsidRPr="002F3362">
        <w:rPr>
          <w:rFonts w:ascii="Verdana" w:hAnsi="Verdana"/>
          <w:lang w:val="es-ES"/>
        </w:rPr>
        <w:t>[…]</w:t>
      </w:r>
    </w:p>
    <w:p w14:paraId="29AA85BB" w14:textId="77777777" w:rsidR="0098308F" w:rsidRDefault="0098308F" w:rsidP="0098308F">
      <w:pPr>
        <w:spacing w:after="0"/>
        <w:jc w:val="both"/>
        <w:rPr>
          <w:rFonts w:ascii="Verdana" w:hAnsi="Verdana"/>
          <w:b/>
          <w:bCs/>
          <w:lang w:val="es-ES"/>
        </w:rPr>
      </w:pPr>
      <w:r w:rsidRPr="002F3362">
        <w:rPr>
          <w:rFonts w:ascii="Verdana" w:hAnsi="Verdana"/>
          <w:lang w:val="es-ES"/>
        </w:rPr>
        <w:t xml:space="preserve">En tal sentido, se trata de un contrato típico, ya que se encuentra definido en la ley. Sus principales características son: i) Solo puede celebrarse para realizar “actividades relacionadas con la administración o funcionamiento de la entidad”, es decir, que hagan parte de su giro ordinario o quehacer cotidiano; ii) admite que se suscriba tanto con personas naturales, como con personas jurídicas. Sin </w:t>
      </w:r>
      <w:r w:rsidRPr="002F3362">
        <w:rPr>
          <w:rFonts w:ascii="Verdana" w:hAnsi="Verdana"/>
          <w:lang w:val="es-ES"/>
        </w:rPr>
        <w:lastRenderedPageBreak/>
        <w:t>embargo, cuando pretenda celebrarse con una persona natural, la entidad estatal debe justificar en los estudios previos que las actividades que buscan encomendarse a aquella “no puedan realizarse con personal de planta o requieran conocimientos especializados”; iii) si bien se celebra para obtener la prestación personal de un servicio, se diferencian del contrato de trabajo  en que quien celebra el contrato de prestación de servicios profesionales debe mantener autonomía e independencia en la ejecución de la labor, lo que significa que no puede existir la subordinación y dependencia que es uno de los elementos constitutivos del vínculo laboral; iv) debe ser temporal; v) hacen parte del género denominado contratos de prestación de servicios, dentro del cual también se ubican, como especies, los contratos de prestación de servicios de apoyo a la gestión y los contratos de prestación de servicios artísticos; vi) su celebración debe realizarse a través de la modalidad de contratación directa; vii) para su celebración no se requiere la expedición del acto administrativo de justificación de la contratación directa; viii) admite el pacto de cláusulas excepcionales; ix) en él no es obligatoria la liquidación; x) para su celebración no se requiere inscripción en el Registro Único de Proponentes (RUP); xi) en él no son necesarias las</w:t>
      </w:r>
      <w:r w:rsidRPr="002F3362">
        <w:rPr>
          <w:rFonts w:ascii="Verdana" w:hAnsi="Verdana"/>
          <w:b/>
          <w:bCs/>
          <w:lang w:val="es-ES"/>
        </w:rPr>
        <w:t xml:space="preserve"> </w:t>
      </w:r>
      <w:r w:rsidRPr="00035C0C">
        <w:rPr>
          <w:rFonts w:ascii="Verdana" w:hAnsi="Verdana"/>
          <w:lang w:val="es-ES"/>
        </w:rPr>
        <w:t>garantías</w:t>
      </w:r>
      <w:r w:rsidRPr="002F3362">
        <w:rPr>
          <w:rFonts w:ascii="Verdana" w:hAnsi="Verdana"/>
          <w:b/>
          <w:bCs/>
          <w:lang w:val="es-ES"/>
        </w:rPr>
        <w:t>.</w:t>
      </w:r>
    </w:p>
    <w:p w14:paraId="0DD919EC" w14:textId="77777777" w:rsidR="0098308F" w:rsidRDefault="0098308F" w:rsidP="0098308F">
      <w:pPr>
        <w:spacing w:after="0"/>
        <w:jc w:val="both"/>
        <w:rPr>
          <w:rFonts w:ascii="Verdana" w:hAnsi="Verdana"/>
          <w:b/>
          <w:bCs/>
          <w:lang w:val="es-ES"/>
        </w:rPr>
      </w:pPr>
    </w:p>
    <w:p w14:paraId="5CC4350B" w14:textId="77777777" w:rsidR="0098308F" w:rsidRPr="00C770A2" w:rsidRDefault="0098308F" w:rsidP="0098308F">
      <w:pPr>
        <w:jc w:val="both"/>
        <w:rPr>
          <w:rFonts w:ascii="Verdana" w:hAnsi="Verdana"/>
          <w:b/>
        </w:rPr>
      </w:pPr>
      <w:r w:rsidRPr="00C770A2">
        <w:rPr>
          <w:rFonts w:ascii="Verdana" w:hAnsi="Verdana"/>
          <w:b/>
        </w:rPr>
        <w:t>CONTRATO DE PRESTACIÓN DE SERVICIOS ─ Régimen jurídico – Tipologías</w:t>
      </w:r>
    </w:p>
    <w:p w14:paraId="6E33DDAE" w14:textId="77777777" w:rsidR="0098308F" w:rsidRPr="00C770A2" w:rsidRDefault="0098308F" w:rsidP="0098308F">
      <w:pPr>
        <w:jc w:val="both"/>
        <w:rPr>
          <w:rFonts w:ascii="Verdana" w:hAnsi="Verdana"/>
        </w:rPr>
      </w:pPr>
      <w:r w:rsidRPr="00C770A2">
        <w:rPr>
          <w:rFonts w:ascii="Verdana" w:hAnsi="Verdana"/>
        </w:rPr>
        <w:t>El contrato de prestación de servicios es un contrato estatal típico regulado en el artículo 32.3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 de la modalidad de contratación directa. </w:t>
      </w:r>
    </w:p>
    <w:p w14:paraId="56CC519F" w14:textId="77777777" w:rsidR="0098308F" w:rsidRPr="00C770A2" w:rsidRDefault="0098308F" w:rsidP="0098308F">
      <w:pPr>
        <w:jc w:val="both"/>
        <w:rPr>
          <w:rFonts w:ascii="Verdana" w:hAnsi="Verdana"/>
        </w:rPr>
      </w:pPr>
    </w:p>
    <w:p w14:paraId="776432E0" w14:textId="77777777" w:rsidR="0098308F" w:rsidRPr="00C770A2" w:rsidRDefault="0098308F" w:rsidP="0098308F">
      <w:pPr>
        <w:jc w:val="both"/>
        <w:rPr>
          <w:rFonts w:ascii="Verdana" w:hAnsi="Verdana"/>
        </w:rPr>
      </w:pPr>
      <w:r w:rsidRPr="00C770A2">
        <w:rPr>
          <w:rFonts w:ascii="Verdana" w:hAnsi="Verdana"/>
        </w:rPr>
        <w:t xml:space="preserve">El artículo 2.2.1.2.1.4.9. del Decreto 1082 de 2015, establece que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que se trate […]”. En este sentido, establece como condición para la celebración de este particular tipo de contratos que la </w:t>
      </w:r>
      <w:r w:rsidRPr="00C770A2">
        <w:rPr>
          <w:rFonts w:ascii="Verdana" w:hAnsi="Verdana"/>
        </w:rPr>
        <w:lastRenderedPageBreak/>
        <w:t>Entidad Estatal verifique que el contratista tenga la “la idoneidad y la experiencia requerida y relacionada con el área de que se trate” el respectivo objeto contractual. De lo anterior supone que, la Entidad Estatal establezca en los estudios previos unos parámetros mínimos de idoneidad y experiencia, a partir de los cuales puedan constatar la aptitud del aspirante contratista, los cuales deberán ser adecuados y proporcionales a la naturaleza del contrato a suscribir y a su valor, de acuerdo con lo dispuesto en el numeral 1 del artículo 5 de la Ley 1150 de 2007.</w:t>
      </w:r>
    </w:p>
    <w:p w14:paraId="5A00ADB7" w14:textId="77777777" w:rsidR="0098308F" w:rsidRPr="00C770A2" w:rsidRDefault="0098308F" w:rsidP="0098308F">
      <w:pPr>
        <w:jc w:val="both"/>
        <w:rPr>
          <w:rFonts w:ascii="Verdana" w:hAnsi="Verdana"/>
        </w:rPr>
      </w:pPr>
    </w:p>
    <w:p w14:paraId="67152683" w14:textId="77777777" w:rsidR="0098308F" w:rsidRPr="002F5B53" w:rsidRDefault="0098308F" w:rsidP="0098308F">
      <w:pPr>
        <w:spacing w:after="0" w:line="240" w:lineRule="auto"/>
        <w:jc w:val="both"/>
        <w:rPr>
          <w:rFonts w:ascii="Verdana" w:eastAsia="Calibri" w:hAnsi="Verdana" w:cs="Arial"/>
          <w:b/>
          <w:bCs/>
          <w:lang w:val="es-ES" w:eastAsia="es-ES"/>
        </w:rPr>
      </w:pPr>
      <w:r w:rsidRPr="002F5B53">
        <w:rPr>
          <w:rFonts w:ascii="Verdana" w:eastAsia="Calibri" w:hAnsi="Verdana" w:cs="Arial"/>
          <w:b/>
          <w:bCs/>
          <w:lang w:val="es-ES" w:eastAsia="es-ES"/>
        </w:rPr>
        <w:t xml:space="preserve">CONTRATO DE PRESTACIÓN DE SERVICIOS – Definición – Requisitos – fundamento normativo </w:t>
      </w:r>
    </w:p>
    <w:p w14:paraId="3173520C" w14:textId="77777777" w:rsidR="0098308F" w:rsidRDefault="0098308F" w:rsidP="0098308F">
      <w:pPr>
        <w:spacing w:after="0" w:line="240" w:lineRule="auto"/>
        <w:jc w:val="both"/>
        <w:rPr>
          <w:rFonts w:ascii="Verdana" w:eastAsia="Calibri" w:hAnsi="Verdana" w:cs="Arial"/>
          <w:lang w:val="es-ES" w:eastAsia="es-ES"/>
        </w:rPr>
      </w:pPr>
    </w:p>
    <w:p w14:paraId="301F63C3" w14:textId="77777777" w:rsidR="0098308F" w:rsidRPr="00097DBE" w:rsidRDefault="0098308F" w:rsidP="0098308F">
      <w:pPr>
        <w:widowControl w:val="0"/>
        <w:autoSpaceDE w:val="0"/>
        <w:autoSpaceDN w:val="0"/>
        <w:spacing w:after="0" w:line="276" w:lineRule="auto"/>
        <w:jc w:val="both"/>
        <w:rPr>
          <w:rFonts w:ascii="Verdana" w:eastAsia="Calibri" w:hAnsi="Verdana" w:cs="Arial"/>
          <w:lang w:val="es-ES"/>
        </w:rPr>
      </w:pPr>
      <w:r>
        <w:rPr>
          <w:rFonts w:ascii="Verdana" w:eastAsia="Calibri" w:hAnsi="Verdana" w:cs="Arial"/>
          <w:lang w:val="es-ES"/>
        </w:rPr>
        <w:t>E</w:t>
      </w:r>
      <w:r w:rsidRPr="00097DBE">
        <w:rPr>
          <w:rFonts w:ascii="Verdana" w:eastAsia="Calibri" w:hAnsi="Verdana" w:cs="Arial"/>
          <w:lang w:val="es-ES"/>
        </w:rPr>
        <w:t>l contrato de prestación de servicios es un contrato estatal típico que está regulado en el numeral 3 del artículo 32 de la Ley 80 de 1993:</w:t>
      </w:r>
    </w:p>
    <w:p w14:paraId="3F42FBAB" w14:textId="77777777" w:rsidR="0098308F" w:rsidRPr="0054725F" w:rsidRDefault="0098308F" w:rsidP="0098308F">
      <w:pPr>
        <w:spacing w:before="100" w:beforeAutospacing="1" w:after="100" w:afterAutospacing="1" w:line="270" w:lineRule="atLeast"/>
        <w:ind w:left="851" w:right="758"/>
        <w:jc w:val="both"/>
        <w:rPr>
          <w:rFonts w:ascii="Verdana" w:eastAsia="Times New Roman" w:hAnsi="Verdana" w:cs="Open Sans"/>
          <w:sz w:val="20"/>
          <w:szCs w:val="20"/>
          <w:lang w:eastAsia="es-CO"/>
        </w:rPr>
      </w:pPr>
      <w:r>
        <w:rPr>
          <w:rFonts w:ascii="Verdana" w:eastAsia="Times New Roman" w:hAnsi="Verdana" w:cs="Open Sans"/>
          <w:sz w:val="20"/>
          <w:szCs w:val="20"/>
          <w:lang w:eastAsia="es-CO"/>
        </w:rPr>
        <w:t>“</w:t>
      </w:r>
      <w:r w:rsidRPr="0054725F">
        <w:rPr>
          <w:rFonts w:ascii="Verdana" w:eastAsia="Times New Roman" w:hAnsi="Verdana" w:cs="Open Sans"/>
          <w:sz w:val="20"/>
          <w:szCs w:val="20"/>
          <w:lang w:eastAsia="es-CO"/>
        </w:rPr>
        <w:t>Son contratos de prestación de servicios los que celebren las entidades estatales para desarrollar actividades relacionadas con la administración o funcionamiento de la entidad. Estos contratos sólo podrán celebrarse con personas naturales cuando dichas actividades </w:t>
      </w:r>
      <w:r w:rsidRPr="0054725F">
        <w:rPr>
          <w:rFonts w:ascii="Verdana" w:eastAsia="Times New Roman" w:hAnsi="Verdana" w:cs="Open Sans"/>
          <w:sz w:val="20"/>
          <w:szCs w:val="20"/>
          <w:u w:val="single"/>
          <w:lang w:eastAsia="es-CO"/>
        </w:rPr>
        <w:t>no puedan realizarse con personal de planta</w:t>
      </w:r>
      <w:r w:rsidRPr="0054725F">
        <w:rPr>
          <w:rFonts w:ascii="Verdana" w:eastAsia="Times New Roman" w:hAnsi="Verdana" w:cs="Open Sans"/>
          <w:sz w:val="20"/>
          <w:szCs w:val="20"/>
          <w:lang w:eastAsia="es-CO"/>
        </w:rPr>
        <w:t> o requieran conocimientos especializados.</w:t>
      </w:r>
    </w:p>
    <w:p w14:paraId="07BDA212" w14:textId="77777777" w:rsidR="0098308F" w:rsidRPr="0054725F" w:rsidRDefault="0098308F" w:rsidP="0098308F">
      <w:pPr>
        <w:spacing w:before="100" w:beforeAutospacing="1" w:after="100" w:afterAutospacing="1" w:line="270" w:lineRule="atLeast"/>
        <w:ind w:left="851" w:right="758"/>
        <w:jc w:val="both"/>
        <w:rPr>
          <w:rFonts w:ascii="Verdana" w:eastAsia="Times New Roman" w:hAnsi="Verdana" w:cs="Open Sans"/>
          <w:sz w:val="20"/>
          <w:szCs w:val="20"/>
          <w:lang w:eastAsia="es-CO"/>
        </w:rPr>
      </w:pPr>
      <w:r w:rsidRPr="0054725F">
        <w:rPr>
          <w:rFonts w:ascii="Verdana" w:eastAsia="Times New Roman" w:hAnsi="Verdana" w:cs="Open Sans"/>
          <w:sz w:val="20"/>
          <w:szCs w:val="20"/>
          <w:u w:val="single"/>
          <w:lang w:eastAsia="es-CO"/>
        </w:rPr>
        <w:t>En ningún caso</w:t>
      </w:r>
      <w:r w:rsidRPr="0054725F">
        <w:rPr>
          <w:rFonts w:ascii="Verdana" w:eastAsia="Times New Roman" w:hAnsi="Verdana" w:cs="Open Sans"/>
          <w:sz w:val="20"/>
          <w:szCs w:val="20"/>
          <w:lang w:eastAsia="es-CO"/>
        </w:rPr>
        <w:t> estos contratos</w:t>
      </w:r>
      <w:r w:rsidRPr="0054725F">
        <w:rPr>
          <w:rFonts w:ascii="Verdana" w:eastAsia="Times New Roman" w:hAnsi="Verdana" w:cs="Open Sans"/>
          <w:sz w:val="20"/>
          <w:szCs w:val="20"/>
          <w:u w:val="single"/>
          <w:lang w:eastAsia="es-CO"/>
        </w:rPr>
        <w:t> generan relación laboral ni prestaciones sociales</w:t>
      </w:r>
      <w:r w:rsidRPr="0054725F">
        <w:rPr>
          <w:rFonts w:ascii="Verdana" w:eastAsia="Times New Roman" w:hAnsi="Verdana" w:cs="Open Sans"/>
          <w:sz w:val="20"/>
          <w:szCs w:val="20"/>
          <w:lang w:eastAsia="es-CO"/>
        </w:rPr>
        <w:t> y se celebrarán por el término estrictamente indispensable.</w:t>
      </w:r>
      <w:r>
        <w:rPr>
          <w:rFonts w:ascii="Verdana" w:eastAsia="Times New Roman" w:hAnsi="Verdana" w:cs="Open Sans"/>
          <w:sz w:val="20"/>
          <w:szCs w:val="20"/>
          <w:lang w:eastAsia="es-CO"/>
        </w:rPr>
        <w:t>”</w:t>
      </w:r>
    </w:p>
    <w:p w14:paraId="10FF42F1" w14:textId="77777777" w:rsidR="0098308F" w:rsidRDefault="0098308F" w:rsidP="0098308F">
      <w:pPr>
        <w:spacing w:after="0" w:line="240" w:lineRule="auto"/>
        <w:jc w:val="both"/>
        <w:rPr>
          <w:rFonts w:ascii="Verdana" w:eastAsia="Calibri" w:hAnsi="Verdana" w:cs="Arial"/>
          <w:lang w:val="es-ES" w:eastAsia="es-ES"/>
        </w:rPr>
      </w:pPr>
      <w:r w:rsidRPr="00097DBE">
        <w:rPr>
          <w:rFonts w:ascii="Verdana" w:eastAsia="Calibri" w:hAnsi="Verdana" w:cs="Arial"/>
          <w:lang w:val="es-ES"/>
        </w:rPr>
        <w:t xml:space="preserve">Su modalidad de selección se encuentra establecida en el </w:t>
      </w:r>
      <w:r w:rsidRPr="00097DBE">
        <w:rPr>
          <w:rFonts w:ascii="Verdana" w:eastAsia="Calibri" w:hAnsi="Verdana" w:cs="Arial"/>
          <w:lang w:val="es-ES_tradnl"/>
        </w:rPr>
        <w:t xml:space="preserve">artículo 2, numeral 4º, literal h), de la Ley 1150 de 2007 como </w:t>
      </w:r>
      <w:r>
        <w:rPr>
          <w:rFonts w:ascii="Verdana" w:eastAsia="Calibri" w:hAnsi="Verdana" w:cs="Arial"/>
          <w:color w:val="000000" w:themeColor="text1"/>
          <w:lang w:val="es-ES_tradnl"/>
        </w:rPr>
        <w:t xml:space="preserve">contratación directa, y aquella es reglamentada en el </w:t>
      </w:r>
      <w:r w:rsidRPr="00C7507B">
        <w:rPr>
          <w:rFonts w:ascii="Verdana" w:eastAsia="Calibri" w:hAnsi="Verdana" w:cs="Arial"/>
        </w:rPr>
        <w:t>artículo 2.2.1.2.1.4.9 del Decreto 1082 de 2015</w:t>
      </w:r>
      <w:r>
        <w:rPr>
          <w:rFonts w:ascii="Verdana" w:eastAsia="Calibri" w:hAnsi="Verdana" w:cs="Arial"/>
        </w:rPr>
        <w:t xml:space="preserve">, del que se resalta </w:t>
      </w:r>
      <w:r w:rsidRPr="00BE021E">
        <w:rPr>
          <w:rFonts w:ascii="Verdana" w:hAnsi="Verdana" w:cs="Arial"/>
        </w:rPr>
        <w:t>la obligación de las entidades estatales de verificar la idoneidad de las personas con las que se celebrará este tipo de contratos</w:t>
      </w:r>
      <w:r>
        <w:rPr>
          <w:rFonts w:ascii="Verdana" w:hAnsi="Verdana" w:cs="Arial"/>
        </w:rPr>
        <w:t>.</w:t>
      </w:r>
    </w:p>
    <w:p w14:paraId="2BB7C615" w14:textId="77777777" w:rsidR="0098308F" w:rsidRPr="007E794D" w:rsidRDefault="0098308F" w:rsidP="0098308F">
      <w:pPr>
        <w:spacing w:after="0"/>
        <w:rPr>
          <w:rFonts w:ascii="Verdana" w:hAnsi="Verdana"/>
          <w:lang w:val="es-ES"/>
        </w:rPr>
      </w:pPr>
    </w:p>
    <w:p w14:paraId="4436E5C0" w14:textId="77777777" w:rsidR="0098308F" w:rsidRDefault="0098308F" w:rsidP="0098308F">
      <w:pPr>
        <w:spacing w:after="0"/>
        <w:rPr>
          <w:rFonts w:ascii="Verdana" w:hAnsi="Verdana"/>
        </w:rPr>
      </w:pPr>
    </w:p>
    <w:p w14:paraId="26FCF427" w14:textId="77777777" w:rsidR="00E63D3C" w:rsidRDefault="00E63D3C" w:rsidP="0098308F">
      <w:pPr>
        <w:spacing w:after="0"/>
        <w:rPr>
          <w:rFonts w:ascii="Verdana" w:hAnsi="Verdana"/>
        </w:rPr>
      </w:pPr>
    </w:p>
    <w:p w14:paraId="5B52122E" w14:textId="77777777" w:rsidR="00E63D3C" w:rsidRDefault="00E63D3C" w:rsidP="0098308F">
      <w:pPr>
        <w:spacing w:after="0"/>
        <w:rPr>
          <w:rFonts w:ascii="Verdana" w:hAnsi="Verdana"/>
        </w:rPr>
      </w:pPr>
    </w:p>
    <w:p w14:paraId="1A1385B0" w14:textId="77777777" w:rsidR="00E63D3C" w:rsidRDefault="00E63D3C" w:rsidP="0098308F">
      <w:pPr>
        <w:spacing w:after="0"/>
        <w:rPr>
          <w:rFonts w:ascii="Verdana" w:hAnsi="Verdana"/>
        </w:rPr>
      </w:pPr>
    </w:p>
    <w:p w14:paraId="64CCEF59" w14:textId="77777777" w:rsidR="00E63D3C" w:rsidRDefault="00E63D3C" w:rsidP="0098308F">
      <w:pPr>
        <w:spacing w:after="0"/>
        <w:rPr>
          <w:rFonts w:ascii="Verdana" w:hAnsi="Verdana"/>
        </w:rPr>
      </w:pPr>
    </w:p>
    <w:p w14:paraId="26F2C2FE" w14:textId="152F3495" w:rsidR="00E63D3C" w:rsidRDefault="00E63D3C" w:rsidP="0098308F">
      <w:pPr>
        <w:spacing w:after="0"/>
        <w:rPr>
          <w:rFonts w:ascii="Verdana" w:hAnsi="Verdana"/>
        </w:rPr>
      </w:pPr>
    </w:p>
    <w:p w14:paraId="5706AD9F" w14:textId="77777777" w:rsidR="0098308F" w:rsidRDefault="0098308F" w:rsidP="00E245AB">
      <w:pPr>
        <w:spacing w:after="0"/>
        <w:rPr>
          <w:rFonts w:ascii="Verdana" w:hAnsi="Verdana"/>
        </w:rPr>
      </w:pPr>
    </w:p>
    <w:p w14:paraId="3E8E8E72" w14:textId="77777777" w:rsidR="0098308F" w:rsidRDefault="0098308F" w:rsidP="00E245AB">
      <w:pPr>
        <w:spacing w:after="0"/>
        <w:rPr>
          <w:rFonts w:ascii="Verdana" w:hAnsi="Verdana"/>
        </w:rPr>
      </w:pPr>
    </w:p>
    <w:p w14:paraId="336DB4B8" w14:textId="77777777" w:rsidR="0098308F" w:rsidRDefault="0098308F" w:rsidP="00E245AB">
      <w:pPr>
        <w:spacing w:after="0"/>
        <w:rPr>
          <w:rFonts w:ascii="Verdana" w:hAnsi="Verdana"/>
        </w:rPr>
      </w:pPr>
    </w:p>
    <w:p w14:paraId="3FE2184B" w14:textId="7DFB7969" w:rsidR="00E245AB" w:rsidRPr="0044528D" w:rsidRDefault="00897A3A" w:rsidP="00E245AB">
      <w:pPr>
        <w:spacing w:after="0"/>
        <w:rPr>
          <w:rFonts w:ascii="Verdana" w:hAnsi="Verdana"/>
        </w:rPr>
      </w:pPr>
      <w:r w:rsidRPr="0044528D">
        <w:rPr>
          <w:rFonts w:ascii="Verdana" w:hAnsi="Verdana"/>
        </w:rPr>
        <w:lastRenderedPageBreak/>
        <w:t xml:space="preserve">Bogotá D.C., [Día] </w:t>
      </w:r>
      <w:r w:rsidRPr="001511A0">
        <w:rPr>
          <w:rFonts w:ascii="Verdana" w:hAnsi="Verdana"/>
        </w:rPr>
        <w:t xml:space="preserve">[Mes.NombreCapitalizado] </w:t>
      </w:r>
      <w:r w:rsidRPr="0044528D">
        <w:rPr>
          <w:rFonts w:ascii="Verdana" w:hAnsi="Verdana"/>
        </w:rPr>
        <w:t>[Año]</w:t>
      </w:r>
      <w:r w:rsidR="00891928" w:rsidRPr="0044528D">
        <w:rPr>
          <w:rFonts w:ascii="Verdana" w:hAnsi="Verdana"/>
        </w:rPr>
        <w:tab/>
      </w:r>
    </w:p>
    <w:p w14:paraId="5FCADBF9" w14:textId="77777777" w:rsidR="00E245AB" w:rsidRPr="0044528D" w:rsidRDefault="00E245AB" w:rsidP="00E245AB">
      <w:pPr>
        <w:spacing w:after="0"/>
        <w:rPr>
          <w:rFonts w:ascii="Verdana" w:hAnsi="Verdana"/>
        </w:rPr>
      </w:pPr>
    </w:p>
    <w:p w14:paraId="36036D5F" w14:textId="231DD24A" w:rsidR="003C3AD2" w:rsidRPr="00C0556F" w:rsidRDefault="003C3AD2" w:rsidP="003C3AD2">
      <w:pPr>
        <w:spacing w:after="0" w:line="240" w:lineRule="auto"/>
        <w:rPr>
          <w:rFonts w:ascii="Verdana" w:eastAsia="Calibri" w:hAnsi="Verdana" w:cs="Arial"/>
          <w:lang w:val="es-MX"/>
        </w:rPr>
      </w:pPr>
      <w:r w:rsidRPr="00C0556F">
        <w:rPr>
          <w:rFonts w:ascii="Verdana" w:eastAsia="Calibri" w:hAnsi="Verdana" w:cs="Arial"/>
          <w:lang w:val="es-MX"/>
        </w:rPr>
        <w:t>Señor</w:t>
      </w:r>
      <w:r w:rsidR="00DE077B">
        <w:rPr>
          <w:rFonts w:ascii="Verdana" w:eastAsia="Calibri" w:hAnsi="Verdana" w:cs="Arial"/>
          <w:lang w:val="es-MX"/>
        </w:rPr>
        <w:t xml:space="preserve"> </w:t>
      </w:r>
    </w:p>
    <w:p w14:paraId="3C87961A" w14:textId="77777777" w:rsidR="003C3AD2" w:rsidRPr="003E2DA1" w:rsidRDefault="003C3AD2" w:rsidP="003C3AD2">
      <w:pPr>
        <w:spacing w:after="0" w:line="240" w:lineRule="auto"/>
        <w:rPr>
          <w:rFonts w:ascii="Verdana" w:hAnsi="Verdana" w:cs="Arial"/>
          <w:b/>
          <w:bCs/>
        </w:rPr>
      </w:pPr>
      <w:r w:rsidRPr="003E2DA1">
        <w:rPr>
          <w:rFonts w:ascii="Verdana" w:hAnsi="Verdana" w:cs="Arial"/>
          <w:b/>
          <w:bCs/>
        </w:rPr>
        <w:t>Luis Alejandro Clavijo Parrado</w:t>
      </w:r>
    </w:p>
    <w:p w14:paraId="38962CF3" w14:textId="77777777" w:rsidR="003C3AD2" w:rsidRDefault="003C3AD2" w:rsidP="003C3AD2">
      <w:pPr>
        <w:spacing w:after="0" w:line="256" w:lineRule="auto"/>
        <w:rPr>
          <w:rFonts w:ascii="Verdana" w:eastAsia="Calibri" w:hAnsi="Verdana" w:cs="Arial"/>
        </w:rPr>
      </w:pPr>
      <w:hyperlink r:id="rId10" w:history="1">
        <w:r w:rsidRPr="00F072A0">
          <w:rPr>
            <w:rStyle w:val="Hipervnculo"/>
            <w:rFonts w:ascii="Verdana" w:eastAsia="Calibri" w:hAnsi="Verdana" w:cs="Arial"/>
          </w:rPr>
          <w:t>controlinterno@esedevillavicencio.gov.co</w:t>
        </w:r>
      </w:hyperlink>
    </w:p>
    <w:p w14:paraId="74474762" w14:textId="77777777" w:rsidR="003C3AD2" w:rsidRDefault="003C3AD2" w:rsidP="003C3AD2">
      <w:pPr>
        <w:spacing w:after="0" w:line="256" w:lineRule="auto"/>
        <w:rPr>
          <w:rFonts w:ascii="Verdana" w:eastAsia="Calibri" w:hAnsi="Verdana" w:cs="Times New Roman"/>
        </w:rPr>
      </w:pPr>
      <w:r>
        <w:rPr>
          <w:rFonts w:ascii="Verdana" w:eastAsia="Calibri" w:hAnsi="Verdana" w:cs="Arial"/>
        </w:rPr>
        <w:t xml:space="preserve">Villavicencio, Meta. </w:t>
      </w:r>
    </w:p>
    <w:p w14:paraId="6D8A6406" w14:textId="77777777" w:rsidR="003C3AD2" w:rsidRDefault="003C3AD2" w:rsidP="003C3AD2">
      <w:pPr>
        <w:spacing w:after="0" w:line="256" w:lineRule="auto"/>
        <w:rPr>
          <w:rFonts w:ascii="Verdana" w:eastAsia="Calibri" w:hAnsi="Verdana" w:cs="Times New Roman"/>
        </w:rPr>
      </w:pPr>
    </w:p>
    <w:p w14:paraId="73FA9CF8" w14:textId="212848AF" w:rsidR="00EE031C" w:rsidRPr="00A12CB6" w:rsidRDefault="00EE031C" w:rsidP="00EE031C">
      <w:pPr>
        <w:spacing w:after="0" w:line="256" w:lineRule="auto"/>
        <w:jc w:val="right"/>
        <w:rPr>
          <w:rFonts w:ascii="Verdana" w:eastAsia="Calibri" w:hAnsi="Verdana" w:cs="Times New Roman"/>
        </w:rPr>
      </w:pPr>
      <w:r w:rsidRPr="00EE031C">
        <w:rPr>
          <w:rFonts w:ascii="Verdana" w:eastAsia="Calibri" w:hAnsi="Verdana" w:cs="Times New Roman"/>
          <w:noProof/>
        </w:rPr>
        <w:drawing>
          <wp:inline distT="0" distB="0" distL="0" distR="0" wp14:anchorId="21792BD5" wp14:editId="40933E14">
            <wp:extent cx="2751058" cy="784928"/>
            <wp:effectExtent l="0" t="0" r="0" b="0"/>
            <wp:docPr id="8719781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978123" name=""/>
                    <pic:cNvPicPr/>
                  </pic:nvPicPr>
                  <pic:blipFill>
                    <a:blip r:embed="rId11"/>
                    <a:stretch>
                      <a:fillRect/>
                    </a:stretch>
                  </pic:blipFill>
                  <pic:spPr>
                    <a:xfrm>
                      <a:off x="0" y="0"/>
                      <a:ext cx="2751058" cy="784928"/>
                    </a:xfrm>
                    <a:prstGeom prst="rect">
                      <a:avLst/>
                    </a:prstGeom>
                  </pic:spPr>
                </pic:pic>
              </a:graphicData>
            </a:graphic>
          </wp:inline>
        </w:drawing>
      </w:r>
    </w:p>
    <w:p w14:paraId="712C29E5" w14:textId="77777777" w:rsidR="003C3AD2" w:rsidRPr="00A12CB6" w:rsidRDefault="003C3AD2" w:rsidP="003C3AD2">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C–1245 </w:t>
      </w:r>
      <w:r w:rsidRPr="00A12CB6">
        <w:rPr>
          <w:rFonts w:ascii="Verdana" w:eastAsia="Calibri" w:hAnsi="Verdana" w:cs="Times New Roman"/>
          <w:b/>
          <w:bCs/>
          <w:lang w:val="es-ES"/>
        </w:rPr>
        <w:t>de 2025</w:t>
      </w:r>
    </w:p>
    <w:p w14:paraId="46502FCD" w14:textId="77777777" w:rsidR="003C3AD2" w:rsidRPr="00A12CB6" w:rsidRDefault="003C3AD2" w:rsidP="003C3AD2">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3C3AD2" w:rsidRPr="00A12CB6" w14:paraId="6D979D6C" w14:textId="77777777" w:rsidTr="00F45122">
        <w:trPr>
          <w:trHeight w:val="645"/>
        </w:trPr>
        <w:tc>
          <w:tcPr>
            <w:tcW w:w="2685" w:type="dxa"/>
            <w:hideMark/>
          </w:tcPr>
          <w:p w14:paraId="0D469DD3" w14:textId="77777777" w:rsidR="003C3AD2" w:rsidRPr="00A12CB6" w:rsidRDefault="003C3AD2" w:rsidP="00F45122">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69214CAA" w14:textId="5468D5BF" w:rsidR="003C3AD2" w:rsidRDefault="003C3AD2" w:rsidP="00F45122">
            <w:pPr>
              <w:jc w:val="both"/>
              <w:rPr>
                <w:rFonts w:ascii="Verdana" w:hAnsi="Verdana" w:cs="Arial"/>
                <w:color w:val="000000" w:themeColor="text1"/>
              </w:rPr>
            </w:pPr>
            <w:r w:rsidRPr="009C2CE9">
              <w:rPr>
                <w:rFonts w:ascii="Verdana" w:hAnsi="Verdana" w:cs="Arial"/>
                <w:color w:val="000000" w:themeColor="text1"/>
              </w:rPr>
              <w:t xml:space="preserve">CONTRATO DE PRESTACIÓN DE SERVICIOS – Concepto </w:t>
            </w:r>
            <w:r w:rsidRPr="003E2DA1">
              <w:rPr>
                <w:rFonts w:ascii="Verdana" w:hAnsi="Verdana" w:cs="Arial"/>
                <w:color w:val="000000" w:themeColor="text1"/>
              </w:rPr>
              <w:t xml:space="preserve">/ CONTRATO DE PRESTACIÓN DE SERVICIOS – Características / CONTRATO DE PRESTACIÓN DE SERVICIOS PROFESIONALES – Idoneidad / CONTRATO DE PRESTACIÓN DE SERVICIOS ─ Régimen jurídico – Tipologías / CONTRATO DE PRESTACIÓN DE SERVICIOS – Definición – Requisitos – </w:t>
            </w:r>
            <w:r w:rsidR="00DE077B">
              <w:rPr>
                <w:rFonts w:ascii="Verdana" w:hAnsi="Verdana" w:cs="Arial"/>
                <w:color w:val="000000" w:themeColor="text1"/>
              </w:rPr>
              <w:t>F</w:t>
            </w:r>
            <w:r w:rsidRPr="003E2DA1">
              <w:rPr>
                <w:rFonts w:ascii="Verdana" w:hAnsi="Verdana" w:cs="Arial"/>
                <w:color w:val="000000" w:themeColor="text1"/>
              </w:rPr>
              <w:t>undamento normativo.</w:t>
            </w:r>
          </w:p>
          <w:p w14:paraId="3D870B9F" w14:textId="77777777" w:rsidR="003C3AD2" w:rsidRPr="003E2DA1" w:rsidRDefault="003C3AD2" w:rsidP="00F45122">
            <w:pPr>
              <w:jc w:val="both"/>
              <w:rPr>
                <w:rFonts w:ascii="Verdana" w:hAnsi="Verdana" w:cs="Arial"/>
                <w:color w:val="000000" w:themeColor="text1"/>
              </w:rPr>
            </w:pPr>
          </w:p>
          <w:p w14:paraId="00D5A1E4" w14:textId="77777777" w:rsidR="003C3AD2" w:rsidRPr="00AA1328" w:rsidRDefault="003C3AD2" w:rsidP="00F45122">
            <w:pPr>
              <w:spacing w:line="276" w:lineRule="auto"/>
              <w:jc w:val="both"/>
              <w:rPr>
                <w:rFonts w:ascii="Verdana" w:hAnsi="Verdana" w:cs="Arial"/>
                <w:lang w:val="es-ES" w:eastAsia="es-ES"/>
              </w:rPr>
            </w:pPr>
          </w:p>
        </w:tc>
        <w:tc>
          <w:tcPr>
            <w:tcW w:w="6237" w:type="dxa"/>
          </w:tcPr>
          <w:p w14:paraId="1EB0541D" w14:textId="77777777" w:rsidR="003C3AD2" w:rsidRPr="00D054F2" w:rsidRDefault="003C3AD2" w:rsidP="00F45122">
            <w:pPr>
              <w:spacing w:line="256" w:lineRule="auto"/>
              <w:rPr>
                <w:rFonts w:ascii="Verdana" w:hAnsi="Verdana"/>
                <w:lang w:val="es-ES"/>
              </w:rPr>
            </w:pPr>
          </w:p>
        </w:tc>
      </w:tr>
      <w:tr w:rsidR="003C3AD2" w:rsidRPr="00A12CB6" w14:paraId="40429595" w14:textId="77777777" w:rsidTr="00F45122">
        <w:tc>
          <w:tcPr>
            <w:tcW w:w="2685" w:type="dxa"/>
          </w:tcPr>
          <w:p w14:paraId="6C7F291D" w14:textId="77777777" w:rsidR="003C3AD2" w:rsidRPr="00A12CB6" w:rsidRDefault="003C3AD2" w:rsidP="00F45122">
            <w:pPr>
              <w:spacing w:line="256" w:lineRule="auto"/>
              <w:rPr>
                <w:rFonts w:ascii="Verdana" w:hAnsi="Verdana"/>
                <w:b/>
                <w:bCs/>
                <w:lang w:val="es-ES_tradnl"/>
              </w:rPr>
            </w:pPr>
            <w:r w:rsidRPr="00A12CB6">
              <w:rPr>
                <w:rFonts w:ascii="Verdana" w:hAnsi="Verdana"/>
                <w:b/>
                <w:bCs/>
                <w:lang w:val="es-ES_tradnl"/>
              </w:rPr>
              <w:t xml:space="preserve">Radicación:               </w:t>
            </w:r>
          </w:p>
        </w:tc>
        <w:tc>
          <w:tcPr>
            <w:tcW w:w="6241" w:type="dxa"/>
          </w:tcPr>
          <w:p w14:paraId="65591CEB" w14:textId="77777777" w:rsidR="003C3AD2" w:rsidRPr="00630891" w:rsidRDefault="003C3AD2" w:rsidP="00F45122">
            <w:pPr>
              <w:spacing w:line="257" w:lineRule="auto"/>
              <w:jc w:val="both"/>
              <w:rPr>
                <w:rFonts w:ascii="Verdana" w:hAnsi="Verdana"/>
              </w:rPr>
            </w:pPr>
            <w:r w:rsidRPr="001300D6">
              <w:rPr>
                <w:rFonts w:ascii="Verdana" w:hAnsi="Verdana"/>
                <w:lang w:val="es-ES_tradnl"/>
              </w:rPr>
              <w:t xml:space="preserve">Respuesta a consulta con radicado No. </w:t>
            </w:r>
            <w:r w:rsidRPr="009006A7">
              <w:rPr>
                <w:rFonts w:ascii="Verdana" w:hAnsi="Verdana"/>
                <w:lang w:val="es-ES_tradnl"/>
              </w:rPr>
              <w:t>1_2025_09_02_009425</w:t>
            </w:r>
          </w:p>
          <w:p w14:paraId="26B7460E" w14:textId="77777777" w:rsidR="003C3AD2" w:rsidRPr="00630891" w:rsidRDefault="003C3AD2" w:rsidP="00F45122">
            <w:pPr>
              <w:spacing w:line="257" w:lineRule="auto"/>
              <w:jc w:val="both"/>
              <w:rPr>
                <w:rFonts w:ascii="Verdana" w:hAnsi="Verdana"/>
              </w:rPr>
            </w:pPr>
          </w:p>
          <w:p w14:paraId="60074307" w14:textId="77777777" w:rsidR="003C3AD2" w:rsidRPr="00A12CB6" w:rsidRDefault="003C3AD2" w:rsidP="00F45122">
            <w:pPr>
              <w:spacing w:line="257" w:lineRule="auto"/>
              <w:jc w:val="both"/>
              <w:rPr>
                <w:rFonts w:ascii="Verdana" w:hAnsi="Verdana"/>
              </w:rPr>
            </w:pPr>
          </w:p>
        </w:tc>
        <w:tc>
          <w:tcPr>
            <w:tcW w:w="6237" w:type="dxa"/>
          </w:tcPr>
          <w:p w14:paraId="11A34960" w14:textId="77777777" w:rsidR="003C3AD2" w:rsidRPr="00A12CB6" w:rsidRDefault="003C3AD2" w:rsidP="00F45122">
            <w:pPr>
              <w:spacing w:line="256" w:lineRule="auto"/>
              <w:rPr>
                <w:rFonts w:ascii="Verdana" w:hAnsi="Verdana"/>
                <w:lang w:val="es-ES_tradnl"/>
              </w:rPr>
            </w:pPr>
          </w:p>
        </w:tc>
      </w:tr>
    </w:tbl>
    <w:p w14:paraId="55714753" w14:textId="77777777" w:rsidR="003C3AD2" w:rsidRPr="00A12CB6" w:rsidRDefault="003C3AD2" w:rsidP="003C3AD2">
      <w:pPr>
        <w:spacing w:after="0" w:line="256" w:lineRule="auto"/>
        <w:rPr>
          <w:rFonts w:ascii="Verdana" w:eastAsia="Calibri" w:hAnsi="Verdana" w:cs="Times New Roman"/>
          <w:lang w:val="es-ES"/>
        </w:rPr>
      </w:pPr>
      <w:r>
        <w:rPr>
          <w:rFonts w:ascii="Verdana" w:eastAsia="Calibri" w:hAnsi="Verdana" w:cs="Times New Roman"/>
          <w:lang w:val="es-ES"/>
        </w:rPr>
        <w:t>Estimado Señor Clavijo</w:t>
      </w:r>
      <w:r w:rsidRPr="003469FD">
        <w:rPr>
          <w:rFonts w:ascii="Verdana" w:eastAsia="Calibri" w:hAnsi="Verdana" w:cs="Times New Roman"/>
          <w:lang w:val="es-ES"/>
        </w:rPr>
        <w:t>:</w:t>
      </w:r>
      <w:r w:rsidRPr="00A12CB6">
        <w:rPr>
          <w:rFonts w:ascii="Verdana" w:eastAsia="Calibri" w:hAnsi="Verdana" w:cs="Times New Roman"/>
          <w:lang w:val="es-ES"/>
        </w:rPr>
        <w:t xml:space="preserve"> </w:t>
      </w:r>
    </w:p>
    <w:p w14:paraId="75CA1EF4" w14:textId="77777777" w:rsidR="003C3AD2" w:rsidRPr="00A12CB6" w:rsidRDefault="003C3AD2" w:rsidP="003C3AD2">
      <w:pPr>
        <w:spacing w:after="0" w:line="256" w:lineRule="auto"/>
        <w:rPr>
          <w:rFonts w:ascii="Verdana" w:eastAsia="Calibri" w:hAnsi="Verdana" w:cs="Times New Roman"/>
          <w:lang w:val="es-ES"/>
        </w:rPr>
      </w:pPr>
    </w:p>
    <w:p w14:paraId="661274BE" w14:textId="77777777" w:rsidR="003C3AD2" w:rsidRDefault="003C3AD2" w:rsidP="003C3AD2">
      <w:pPr>
        <w:spacing w:after="0" w:line="276" w:lineRule="auto"/>
        <w:jc w:val="both"/>
        <w:rPr>
          <w:rFonts w:ascii="Verdana" w:eastAsia="Calibri" w:hAnsi="Verdana" w:cs="Times New Roman"/>
        </w:rPr>
      </w:pPr>
      <w:r w:rsidRPr="00A12061">
        <w:rPr>
          <w:rFonts w:ascii="Verdana" w:eastAsia="Calibri" w:hAnsi="Verdana" w:cs="Times New Roman"/>
          <w:lang w:val="es-ES"/>
        </w:rPr>
        <w:t>En ejercicio de la competencia otorgada por los artículos 3, numeral 5º, y 11, numeral 8º, del Decreto Ley 4170 de 2011, la Agencia Nacional de Contratación Pública – Colombia Compra Eficiente– responde la solicit</w:t>
      </w:r>
      <w:r>
        <w:rPr>
          <w:rFonts w:ascii="Verdana" w:eastAsia="Calibri" w:hAnsi="Verdana" w:cs="Times New Roman"/>
          <w:lang w:val="es-ES"/>
        </w:rPr>
        <w:t>ud de consulta, la cual fue trasladada por parte del Departamento Administrativo de la Función Pública el 2 de septiembre de 2025</w:t>
      </w:r>
      <w:r w:rsidRPr="00A12061">
        <w:rPr>
          <w:rFonts w:ascii="Verdana" w:eastAsia="Calibri" w:hAnsi="Verdana" w:cs="Times New Roman"/>
          <w:lang w:val="es-ES"/>
        </w:rPr>
        <w:t>, en la cual manifiesta:</w:t>
      </w:r>
      <w:r w:rsidRPr="000D6D0E">
        <w:rPr>
          <w:rFonts w:ascii="Verdana" w:eastAsia="Calibri" w:hAnsi="Verdana" w:cs="Times New Roman"/>
        </w:rPr>
        <w:t xml:space="preserve"> </w:t>
      </w:r>
    </w:p>
    <w:p w14:paraId="6D1591D6" w14:textId="77777777" w:rsidR="003C3AD2" w:rsidRPr="00E2397D" w:rsidRDefault="003C3AD2" w:rsidP="003C3AD2">
      <w:pPr>
        <w:spacing w:after="0" w:line="240" w:lineRule="auto"/>
        <w:ind w:right="709"/>
        <w:jc w:val="both"/>
        <w:rPr>
          <w:rFonts w:ascii="Verdana" w:eastAsia="Calibri" w:hAnsi="Verdana" w:cs="Times New Roman"/>
          <w:i/>
          <w:iCs/>
          <w:sz w:val="20"/>
        </w:rPr>
      </w:pPr>
    </w:p>
    <w:p w14:paraId="6F889F66" w14:textId="77777777" w:rsidR="003C3AD2" w:rsidRDefault="003C3AD2" w:rsidP="003C3AD2">
      <w:pPr>
        <w:spacing w:after="120" w:line="276" w:lineRule="auto"/>
        <w:ind w:left="709" w:right="1183"/>
        <w:jc w:val="both"/>
        <w:rPr>
          <w:rFonts w:ascii="Verdana" w:eastAsia="Calibri" w:hAnsi="Verdana" w:cs="Times New Roman"/>
          <w:i/>
          <w:iCs/>
          <w:sz w:val="20"/>
          <w:szCs w:val="20"/>
        </w:rPr>
      </w:pPr>
      <w:r w:rsidRPr="003E2DA1">
        <w:rPr>
          <w:rFonts w:ascii="Verdana" w:eastAsia="Calibri" w:hAnsi="Verdana" w:cs="Times New Roman"/>
          <w:i/>
          <w:iCs/>
          <w:sz w:val="20"/>
          <w:szCs w:val="20"/>
        </w:rPr>
        <w:t xml:space="preserve">“En mi Calidad de Jefe de Control Interno, solicito de manera cordial y respetuosa me orienten y me informen cual es el marco normativo actual que sustenta la edad maxima de vincular a una persona en un contrato de prestacion de servicios profesional y/o de apoyo a la gestion en una Empresa Social del Estado del Nivel Territorial.” (Sic) </w:t>
      </w:r>
    </w:p>
    <w:p w14:paraId="6757F22E" w14:textId="77777777" w:rsidR="003C3AD2" w:rsidRDefault="003C3AD2" w:rsidP="003C3AD2">
      <w:pPr>
        <w:spacing w:after="120" w:line="276" w:lineRule="auto"/>
        <w:ind w:firstLine="709"/>
        <w:jc w:val="both"/>
        <w:rPr>
          <w:rFonts w:ascii="Verdana" w:eastAsia="Calibri" w:hAnsi="Verdana" w:cs="Times New Roman"/>
          <w:i/>
          <w:iCs/>
          <w:sz w:val="20"/>
          <w:szCs w:val="20"/>
        </w:rPr>
      </w:pPr>
    </w:p>
    <w:p w14:paraId="33F2BEBB" w14:textId="77777777" w:rsidR="003C3AD2" w:rsidRPr="00A12CB6" w:rsidRDefault="003C3AD2" w:rsidP="003C3AD2">
      <w:pPr>
        <w:spacing w:after="120" w:line="276" w:lineRule="auto"/>
        <w:ind w:firstLine="709"/>
        <w:jc w:val="both"/>
        <w:rPr>
          <w:rFonts w:ascii="Verdana" w:eastAsia="Calibri" w:hAnsi="Verdana" w:cs="Times New Roman"/>
          <w:lang w:val="es-ES"/>
        </w:rPr>
      </w:pPr>
      <w:r w:rsidRPr="00A12CB6">
        <w:rPr>
          <w:rFonts w:ascii="Verdana" w:eastAsia="Calibri" w:hAnsi="Verdana" w:cs="Times New Roman"/>
          <w:lang w:val="es-ES"/>
        </w:rPr>
        <w:lastRenderedPageBreak/>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28BD49E" w14:textId="77777777" w:rsidR="003C3AD2" w:rsidRPr="00A12CB6" w:rsidRDefault="003C3AD2" w:rsidP="003C3AD2">
      <w:pPr>
        <w:spacing w:after="0" w:line="276" w:lineRule="auto"/>
        <w:ind w:firstLine="708"/>
        <w:jc w:val="both"/>
        <w:rPr>
          <w:rFonts w:ascii="Verdana" w:eastAsia="Calibri" w:hAnsi="Verdana" w:cs="Times New Roman"/>
          <w:lang w:val="es-ES"/>
        </w:rPr>
      </w:pPr>
      <w:r w:rsidRPr="00A12CB6">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w:t>
      </w:r>
      <w:r>
        <w:rPr>
          <w:rFonts w:ascii="Verdana" w:eastAsia="Calibri" w:hAnsi="Verdana" w:cs="Times New Roman"/>
          <w:lang w:val="es-ES"/>
        </w:rPr>
        <w:t xml:space="preserve">s generales relacionadas con el problema jurídico de su consulta. </w:t>
      </w:r>
    </w:p>
    <w:p w14:paraId="49686C38" w14:textId="77777777" w:rsidR="003C3AD2" w:rsidRPr="00A12CB6" w:rsidRDefault="003C3AD2" w:rsidP="003C3AD2">
      <w:pPr>
        <w:spacing w:after="0" w:line="256" w:lineRule="auto"/>
        <w:rPr>
          <w:rFonts w:ascii="Verdana" w:eastAsia="Calibri" w:hAnsi="Verdana" w:cs="Times New Roman"/>
          <w:lang w:val="es-ES"/>
        </w:rPr>
      </w:pPr>
    </w:p>
    <w:p w14:paraId="460C6A60" w14:textId="77777777" w:rsidR="003C3AD2" w:rsidRPr="00A12CB6" w:rsidRDefault="003C3AD2" w:rsidP="003C3AD2">
      <w:pPr>
        <w:numPr>
          <w:ilvl w:val="0"/>
          <w:numId w:val="16"/>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t>Problema planteado:</w:t>
      </w:r>
    </w:p>
    <w:p w14:paraId="6559C109" w14:textId="77777777" w:rsidR="003C3AD2" w:rsidRPr="00A12CB6" w:rsidRDefault="003C3AD2" w:rsidP="003C3AD2">
      <w:pPr>
        <w:spacing w:after="0" w:line="256" w:lineRule="auto"/>
        <w:rPr>
          <w:rFonts w:ascii="Verdana" w:eastAsia="Calibri" w:hAnsi="Verdana" w:cs="Times New Roman"/>
        </w:rPr>
      </w:pPr>
    </w:p>
    <w:p w14:paraId="3F4F6025" w14:textId="77777777" w:rsidR="003C3AD2" w:rsidRPr="009254B7" w:rsidRDefault="003C3AD2" w:rsidP="003C3AD2">
      <w:pPr>
        <w:spacing w:after="0" w:line="276" w:lineRule="auto"/>
        <w:jc w:val="both"/>
        <w:rPr>
          <w:rFonts w:ascii="Verdana" w:eastAsia="Calibri" w:hAnsi="Verdana" w:cs="Times New Roman"/>
          <w:lang w:val="es-ES"/>
        </w:rPr>
      </w:pPr>
      <w:r w:rsidRPr="621D7193">
        <w:rPr>
          <w:rFonts w:ascii="Verdana" w:eastAsia="Calibri" w:hAnsi="Verdana" w:cs="Times New Roman"/>
        </w:rPr>
        <w:t>De acuerdo con el contenido de sus solicitudes, esta Agencia procede a resolver el siguiente problema jurídico:</w:t>
      </w:r>
      <w:r w:rsidRPr="621D7193">
        <w:rPr>
          <w:rFonts w:ascii="Verdana" w:eastAsia="Calibri" w:hAnsi="Verdana" w:cs="Times New Roman"/>
          <w:lang w:val="es-ES"/>
        </w:rPr>
        <w:t xml:space="preserve"> </w:t>
      </w:r>
      <w:r w:rsidRPr="621D7193">
        <w:rPr>
          <w:rFonts w:ascii="Verdana" w:eastAsia="Calibri" w:hAnsi="Verdana" w:cs="Times New Roman"/>
        </w:rPr>
        <w:t>¿</w:t>
      </w:r>
      <w:r w:rsidRPr="009254B7">
        <w:rPr>
          <w:rFonts w:ascii="Verdana" w:eastAsia="Calibri" w:hAnsi="Verdana" w:cs="Times New Roman"/>
          <w:lang w:val="es-ES"/>
        </w:rPr>
        <w:t xml:space="preserve">Cuáles son los requisitos esenciales y las formalidades legales exigibles para la suscripción de un contrato de prestación de servicios profesionales </w:t>
      </w:r>
      <w:r>
        <w:rPr>
          <w:rFonts w:ascii="Verdana" w:eastAsia="Calibri" w:hAnsi="Verdana" w:cs="Times New Roman"/>
          <w:lang w:val="es-ES"/>
        </w:rPr>
        <w:t xml:space="preserve">o apoyo a la gestión </w:t>
      </w:r>
      <w:r w:rsidRPr="009254B7">
        <w:rPr>
          <w:rFonts w:ascii="Verdana" w:eastAsia="Calibri" w:hAnsi="Verdana" w:cs="Times New Roman"/>
          <w:lang w:val="es-ES"/>
        </w:rPr>
        <w:t>conforme al ordenamiento jurídico vigente?</w:t>
      </w:r>
    </w:p>
    <w:p w14:paraId="6328382B" w14:textId="77777777" w:rsidR="003C3AD2" w:rsidRPr="009254B7" w:rsidRDefault="003C3AD2" w:rsidP="003C3AD2">
      <w:pPr>
        <w:spacing w:after="0" w:line="276" w:lineRule="auto"/>
        <w:jc w:val="both"/>
        <w:rPr>
          <w:rFonts w:ascii="Verdana" w:eastAsia="Calibri" w:hAnsi="Verdana" w:cs="Times New Roman"/>
          <w:lang w:val="es-ES"/>
        </w:rPr>
      </w:pPr>
    </w:p>
    <w:p w14:paraId="18FFA376" w14:textId="77777777" w:rsidR="003C3AD2" w:rsidRDefault="003C3AD2" w:rsidP="003C3AD2">
      <w:pPr>
        <w:numPr>
          <w:ilvl w:val="0"/>
          <w:numId w:val="16"/>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t>Respuesta:</w:t>
      </w:r>
    </w:p>
    <w:p w14:paraId="222EB78B" w14:textId="77777777" w:rsidR="003C3AD2" w:rsidRPr="00A12CB6" w:rsidRDefault="003C3AD2" w:rsidP="003C3AD2">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3C3AD2" w:rsidRPr="001205D1" w14:paraId="76C221A2" w14:textId="77777777" w:rsidTr="00F45122">
        <w:trPr>
          <w:trHeight w:val="345"/>
          <w:jc w:val="center"/>
        </w:trPr>
        <w:tc>
          <w:tcPr>
            <w:tcW w:w="8784" w:type="dxa"/>
            <w:tcBorders>
              <w:bottom w:val="single" w:sz="4" w:space="0" w:color="auto"/>
            </w:tcBorders>
          </w:tcPr>
          <w:p w14:paraId="75440285" w14:textId="77777777" w:rsidR="003C3AD2" w:rsidRPr="009C2CE9" w:rsidRDefault="003C3AD2" w:rsidP="00F45122">
            <w:pPr>
              <w:spacing w:line="276" w:lineRule="auto"/>
              <w:jc w:val="both"/>
              <w:rPr>
                <w:rFonts w:ascii="Verdana" w:eastAsia="Calibri" w:hAnsi="Verdana" w:cs="Arial"/>
                <w:color w:val="000000"/>
              </w:rPr>
            </w:pPr>
            <w:r w:rsidRPr="009C2CE9">
              <w:rPr>
                <w:rFonts w:ascii="Verdana" w:eastAsia="Calibri" w:hAnsi="Verdana" w:cs="Arial"/>
                <w:lang w:eastAsia="es-CO"/>
              </w:rPr>
              <w:t xml:space="preserve">De conformidad con </w:t>
            </w:r>
            <w:r w:rsidRPr="009C2CE9">
              <w:rPr>
                <w:rFonts w:ascii="Verdana" w:eastAsia="Calibri" w:hAnsi="Verdana" w:cs="Arial"/>
                <w:color w:val="000000"/>
              </w:rPr>
              <w:t xml:space="preserve">el numeral 3º del artículo 32 de la Ley 80 de 1993, el contrato de prestación de servicios es uno de los tipos contractuales consagrados en el Estatuto General de Contratación de la Administración Pública, que pueden celebrar las entidades estatales. A partir de este enunciado normativo, así como de otros, de carácter legal y reglamentario, que complementan su regulación, y de los pronunciamientos judiciales más destacados sobre el tema, es posible señalar las siguientes características del </w:t>
            </w:r>
            <w:r w:rsidRPr="009C2CE9">
              <w:rPr>
                <w:rFonts w:ascii="Verdana" w:eastAsia="Calibri" w:hAnsi="Verdana" w:cs="Arial"/>
                <w:color w:val="000000"/>
              </w:rPr>
              <w:lastRenderedPageBreak/>
              <w:t>contrato de prestación de servicios que comprenden el marco jurídico aplicable:</w:t>
            </w:r>
          </w:p>
          <w:p w14:paraId="4D219CE8" w14:textId="77777777" w:rsidR="003C3AD2" w:rsidRDefault="003C3AD2" w:rsidP="00F45122">
            <w:pPr>
              <w:spacing w:before="120" w:after="120" w:line="276" w:lineRule="auto"/>
              <w:ind w:firstLine="709"/>
              <w:jc w:val="both"/>
              <w:rPr>
                <w:rFonts w:ascii="Verdana" w:eastAsia="Calibri" w:hAnsi="Verdana" w:cs="Arial"/>
                <w:color w:val="000000"/>
              </w:rPr>
            </w:pPr>
            <w:r w:rsidRPr="009C2CE9">
              <w:rPr>
                <w:rFonts w:ascii="Verdana" w:eastAsia="Calibri" w:hAnsi="Verdana" w:cs="Arial"/>
                <w:color w:val="000000"/>
              </w:rPr>
              <w:t xml:space="preserve">a) Solo puede celebrarse para realizar “actividades relacionadas con la administración o funcionamiento de la entidad”; b) Admite que se suscriba tanto con personas naturales, como con personas jurídicas; c) se diferencian del contrato de trabajo, de acuerdo con los argumentos expuesto en este concepto; d) Deben ser temporales, por lo que no puede referirse a un contrato de prestación de servicios indefinido que resulta contrario a su naturaleza; e) Como especies del género </w:t>
            </w:r>
            <w:r w:rsidRPr="009C2CE9">
              <w:rPr>
                <w:rFonts w:ascii="Verdana" w:eastAsia="Calibri" w:hAnsi="Verdana" w:cs="Arial"/>
                <w:iCs/>
                <w:color w:val="000000"/>
              </w:rPr>
              <w:t xml:space="preserve">prestación de servicios, se incluyen </w:t>
            </w:r>
            <w:r w:rsidRPr="009C2CE9">
              <w:rPr>
                <w:rFonts w:ascii="Verdana" w:eastAsia="Calibri" w:hAnsi="Verdana" w:cs="Arial"/>
                <w:iCs/>
                <w:color w:val="000000"/>
                <w:lang w:val="es-ES_tradnl"/>
              </w:rPr>
              <w:t xml:space="preserve">los contratos de prestación de servicios profesionales, los contratos de prestación de servicios apoyo a la gestión y los contratos de prestación de servicios artísticos que solo pueden encomendarse a determinadas personas naturales; </w:t>
            </w:r>
            <w:r w:rsidRPr="009C2CE9">
              <w:rPr>
                <w:rFonts w:ascii="Verdana" w:eastAsia="Calibri" w:hAnsi="Verdana" w:cs="Arial"/>
                <w:color w:val="000000"/>
              </w:rPr>
              <w:t xml:space="preserve">f) Su celebración debe realizarse a través de la modalidad de contratación directa; g) Para su celebración no se requiere la expedición del acto administrativo de justificación de la contratación directa; h) Admiten el pacto de cláusulas excepcionales; i) No es obligatoria la liquidación, sin perjuicio de que esta se pueda efectuar de manera facultativa cuando así se considere necesario; j) Para su celebración no se requiere inscripción en el Registro Único de Proponentes (RUP); k) No son necesarias las garantías.  </w:t>
            </w:r>
          </w:p>
          <w:p w14:paraId="1D8D3C09" w14:textId="77777777" w:rsidR="003C3AD2" w:rsidRPr="00CF183B" w:rsidRDefault="003C3AD2" w:rsidP="00F45122">
            <w:pPr>
              <w:spacing w:before="120" w:after="120" w:line="276" w:lineRule="auto"/>
              <w:ind w:firstLine="709"/>
              <w:jc w:val="both"/>
              <w:rPr>
                <w:rFonts w:ascii="Verdana" w:eastAsia="Calibri" w:hAnsi="Verdana" w:cs="Arial"/>
                <w:color w:val="000000"/>
              </w:rPr>
            </w:pPr>
            <w:r w:rsidRPr="636DF645">
              <w:rPr>
                <w:rFonts w:ascii="Verdana" w:eastAsia="Calibri" w:hAnsi="Verdana" w:cs="Arial"/>
                <w:lang w:eastAsia="es-ES"/>
              </w:rPr>
              <w:t xml:space="preserve">Los requisitos que deben tenerse en cuenta por parte de las entidades estatales, al momento de seleccionar un contratista de prestación de servicios, son los establecidos en el artículo </w:t>
            </w:r>
            <w:r w:rsidRPr="005B6ACD">
              <w:rPr>
                <w:rFonts w:ascii="Verdana" w:eastAsia="Calibri" w:hAnsi="Verdana" w:cs="Arial"/>
                <w:lang w:eastAsia="es-ES"/>
              </w:rPr>
              <w:t>2.2.1.2.1.4.9.</w:t>
            </w:r>
            <w:r w:rsidRPr="636DF645">
              <w:rPr>
                <w:rFonts w:ascii="Verdana" w:eastAsia="Calibri" w:hAnsi="Verdana" w:cs="Arial"/>
                <w:lang w:eastAsia="es-ES"/>
              </w:rPr>
              <w:t xml:space="preserve"> del </w:t>
            </w:r>
            <w:r>
              <w:rPr>
                <w:rFonts w:ascii="Verdana" w:eastAsia="Calibri" w:hAnsi="Verdana" w:cs="Arial"/>
                <w:lang w:eastAsia="es-ES"/>
              </w:rPr>
              <w:t>D</w:t>
            </w:r>
            <w:r w:rsidRPr="636DF645">
              <w:rPr>
                <w:rFonts w:ascii="Verdana" w:eastAsia="Calibri" w:hAnsi="Verdana" w:cs="Arial"/>
                <w:lang w:eastAsia="es-ES"/>
              </w:rPr>
              <w:t>ecreto 1082 de 2015, en especial en lo relacionado con la capacidad del contratista para ejecutar el objeto contractual y la verificación de los requisitos de idoneidad o experiencia directamente relacionado con el área de que se trate, así lo ha establecido el precitado decreto:</w:t>
            </w:r>
          </w:p>
          <w:p w14:paraId="4E44F13F" w14:textId="77777777" w:rsidR="003C3AD2" w:rsidRPr="00511EF2" w:rsidRDefault="003C3AD2" w:rsidP="00F45122">
            <w:pPr>
              <w:spacing w:before="120" w:after="120" w:line="276" w:lineRule="auto"/>
              <w:ind w:firstLine="709"/>
              <w:jc w:val="both"/>
              <w:rPr>
                <w:rFonts w:ascii="Verdana" w:eastAsia="Verdana" w:hAnsi="Verdana" w:cs="Verdana"/>
              </w:rPr>
            </w:pPr>
            <w:r w:rsidRPr="636DF645">
              <w:rPr>
                <w:rFonts w:ascii="Verdana" w:eastAsia="Verdana" w:hAnsi="Verdana" w:cs="Verdana"/>
              </w:rPr>
              <w:t xml:space="preserve">“ARTÍCULO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 Los </w:t>
            </w:r>
            <w:r w:rsidRPr="636DF645">
              <w:rPr>
                <w:rFonts w:ascii="Verdana" w:eastAsia="Verdana" w:hAnsi="Verdana" w:cs="Verdana"/>
              </w:rPr>
              <w:lastRenderedPageBreak/>
              <w:t>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 La Entidad Estatal, para la contratación de trabajos artísticos que solamente puedan encomendarse a determinadas personas naturales, debe justificar esta situación en los estudios y documentos previos.</w:t>
            </w:r>
          </w:p>
          <w:p w14:paraId="45E7DEC5" w14:textId="77777777" w:rsidR="003C3AD2" w:rsidRDefault="003C3AD2" w:rsidP="00F45122">
            <w:pPr>
              <w:spacing w:before="120" w:after="120" w:line="276" w:lineRule="auto"/>
              <w:ind w:firstLine="709"/>
              <w:jc w:val="both"/>
              <w:rPr>
                <w:rFonts w:ascii="Verdana" w:eastAsia="Calibri" w:hAnsi="Verdana" w:cs="Arial"/>
                <w:color w:val="000000" w:themeColor="text1"/>
              </w:rPr>
            </w:pPr>
            <w:r w:rsidRPr="636DF645">
              <w:rPr>
                <w:rFonts w:ascii="Verdana" w:eastAsia="Calibri" w:hAnsi="Verdana" w:cs="Arial"/>
                <w:lang w:eastAsia="es-ES"/>
              </w:rPr>
              <w:t xml:space="preserve"> En este contexto, teniendo en cuenta que en la contratación directa no es necesario que la entidad haya obtenido previamente varias ofertas, </w:t>
            </w:r>
            <w:r w:rsidRPr="636DF645">
              <w:rPr>
                <w:rFonts w:ascii="Verdana" w:eastAsia="Calibri" w:hAnsi="Verdana" w:cs="Arial"/>
                <w:color w:val="000000" w:themeColor="text1"/>
              </w:rPr>
              <w:t>para la celebración de contratos de prestación de servicios las entidades sometidas al EGCAP no deben adelantar convocatorias públicas para la elección del contratista. Lo anterior, sin perjuicio de que la entidad, en el marco de su planeación contractual, realice un análisis sobre las diferentes opciones del sector que permita determinar la idoneidad</w:t>
            </w:r>
            <w:r>
              <w:rPr>
                <w:rFonts w:ascii="Verdana" w:eastAsia="Calibri" w:hAnsi="Verdana" w:cs="Arial"/>
                <w:color w:val="000000" w:themeColor="text1"/>
              </w:rPr>
              <w:t xml:space="preserve"> </w:t>
            </w:r>
            <w:r w:rsidRPr="636DF645">
              <w:rPr>
                <w:rFonts w:ascii="Verdana" w:eastAsia="Calibri" w:hAnsi="Verdana" w:cs="Arial"/>
                <w:color w:val="000000" w:themeColor="text1"/>
              </w:rPr>
              <w:t>del contratista a elegir de acuerdo con su experiencia, conocimientos y el alcance y obligaciones del contrato, sin que ello signifique establecer un procedimiento adicional a la contratación directa.</w:t>
            </w:r>
          </w:p>
          <w:p w14:paraId="6B5A0015" w14:textId="77777777" w:rsidR="003C3AD2" w:rsidRPr="009006A7" w:rsidRDefault="003C3AD2" w:rsidP="00F45122">
            <w:pPr>
              <w:spacing w:before="120" w:after="120" w:line="276" w:lineRule="auto"/>
              <w:ind w:firstLine="709"/>
              <w:jc w:val="both"/>
            </w:pPr>
            <w:r>
              <w:rPr>
                <w:rFonts w:ascii="Verdana" w:eastAsia="Calibri" w:hAnsi="Verdana" w:cs="Arial"/>
                <w:color w:val="000000" w:themeColor="text1"/>
              </w:rPr>
              <w:t>En consecuencia, la normatividad no establece un límite de edad de las personas naturales con quien se pretenda suscribir el contrato de prestación de servicios,</w:t>
            </w:r>
            <w:r w:rsidRPr="00CC5C68">
              <w:rPr>
                <w:rFonts w:ascii="Verdana" w:eastAsia="Times New Roman" w:hAnsi="Verdana" w:cs="Arial"/>
                <w:lang w:eastAsia="es-ES_tradnl"/>
              </w:rPr>
              <w:t xml:space="preserve"> </w:t>
            </w:r>
            <w:r>
              <w:rPr>
                <w:rFonts w:ascii="Verdana" w:eastAsia="Times New Roman" w:hAnsi="Verdana" w:cs="Arial"/>
                <w:lang w:eastAsia="es-ES_tradnl"/>
              </w:rPr>
              <w:t xml:space="preserve">sin embargo, </w:t>
            </w:r>
            <w:r w:rsidRPr="00CC5C68">
              <w:rPr>
                <w:rFonts w:ascii="Verdana" w:eastAsia="Times New Roman" w:hAnsi="Verdana" w:cs="Arial"/>
                <w:lang w:eastAsia="es-ES_tradnl"/>
              </w:rPr>
              <w:t xml:space="preserve">debe advertirse que es la entidad contratante, al momento de adelantar su actividad contractual, quien debe determinar lo correspondiente </w:t>
            </w:r>
            <w:r>
              <w:rPr>
                <w:rFonts w:ascii="Verdana" w:eastAsia="Times New Roman" w:hAnsi="Verdana" w:cs="Arial"/>
                <w:lang w:eastAsia="es-ES_tradnl"/>
              </w:rPr>
              <w:t>a los contratos de prestación de servicios</w:t>
            </w:r>
            <w:r w:rsidRPr="00CC5C68">
              <w:rPr>
                <w:rFonts w:ascii="Verdana" w:eastAsia="Times New Roman" w:hAnsi="Verdana" w:cs="Arial"/>
                <w:lang w:eastAsia="es-ES_tradnl"/>
              </w:rPr>
              <w:t>. Dado esto, y en atención al alcance la función consultiva atribuida a esta Agencia, lo aquí mencionado no constituye un juicio de valor sobre un proceso contractual particular.</w:t>
            </w:r>
          </w:p>
        </w:tc>
      </w:tr>
    </w:tbl>
    <w:p w14:paraId="1091355F" w14:textId="77777777" w:rsidR="003C3AD2" w:rsidRPr="00A12CB6" w:rsidRDefault="003C3AD2" w:rsidP="003C3AD2">
      <w:pPr>
        <w:spacing w:after="0" w:line="276" w:lineRule="auto"/>
        <w:jc w:val="both"/>
        <w:rPr>
          <w:rFonts w:ascii="Verdana" w:eastAsia="Calibri" w:hAnsi="Verdana" w:cs="Arial"/>
          <w:bCs/>
          <w:color w:val="000000" w:themeColor="text1"/>
        </w:rPr>
      </w:pPr>
    </w:p>
    <w:p w14:paraId="2DB9382F" w14:textId="77777777" w:rsidR="003C3AD2" w:rsidRPr="0093558D" w:rsidRDefault="003C3AD2" w:rsidP="003C3AD2">
      <w:pPr>
        <w:numPr>
          <w:ilvl w:val="0"/>
          <w:numId w:val="16"/>
        </w:numPr>
        <w:tabs>
          <w:tab w:val="left" w:pos="2268"/>
        </w:tabs>
        <w:spacing w:after="0" w:line="256" w:lineRule="auto"/>
        <w:rPr>
          <w:rFonts w:ascii="Verdana" w:eastAsia="Calibri" w:hAnsi="Verdana" w:cs="Times New Roman"/>
          <w:b/>
          <w:bCs/>
          <w:lang w:val="es-ES"/>
        </w:rPr>
      </w:pPr>
      <w:r w:rsidRPr="636DF645">
        <w:rPr>
          <w:rFonts w:ascii="Verdana" w:eastAsia="Calibri" w:hAnsi="Verdana" w:cs="Times New Roman"/>
          <w:b/>
          <w:bCs/>
          <w:lang w:val="es-ES"/>
        </w:rPr>
        <w:t>Razones de la respuesta:</w:t>
      </w:r>
    </w:p>
    <w:p w14:paraId="35AD1F2B" w14:textId="77777777" w:rsidR="003C3AD2" w:rsidRPr="00A12CB6" w:rsidRDefault="003C3AD2" w:rsidP="003C3AD2">
      <w:pPr>
        <w:spacing w:after="0" w:line="256" w:lineRule="auto"/>
        <w:rPr>
          <w:rFonts w:ascii="Verdana" w:eastAsia="Calibri" w:hAnsi="Verdana" w:cs="Times New Roman"/>
          <w:b/>
          <w:bCs/>
          <w:lang w:val="es-ES"/>
        </w:rPr>
      </w:pPr>
    </w:p>
    <w:p w14:paraId="4D918206" w14:textId="77777777" w:rsidR="003C3AD2" w:rsidRPr="00292636" w:rsidRDefault="003C3AD2" w:rsidP="003C3AD2">
      <w:pPr>
        <w:spacing w:after="0" w:line="276" w:lineRule="auto"/>
        <w:jc w:val="both"/>
        <w:rPr>
          <w:rFonts w:ascii="Verdana" w:hAnsi="Verdana"/>
          <w:lang w:val="es-ES"/>
        </w:rPr>
      </w:pPr>
      <w:r w:rsidRPr="00292636">
        <w:rPr>
          <w:rFonts w:ascii="Verdana" w:hAnsi="Verdana"/>
          <w:lang w:val="es-ES"/>
        </w:rPr>
        <w:t xml:space="preserve">Lo anterior se sustenta en las siguientes consideraciones: </w:t>
      </w:r>
    </w:p>
    <w:p w14:paraId="6235EC01" w14:textId="77777777" w:rsidR="003C3AD2" w:rsidRPr="00292636" w:rsidRDefault="003C3AD2" w:rsidP="003C3AD2">
      <w:pPr>
        <w:spacing w:after="0" w:line="276" w:lineRule="auto"/>
        <w:jc w:val="both"/>
        <w:rPr>
          <w:rFonts w:ascii="Verdana" w:hAnsi="Verdana"/>
          <w:lang w:val="es-ES"/>
        </w:rPr>
      </w:pPr>
    </w:p>
    <w:p w14:paraId="49ABDBAC" w14:textId="77777777" w:rsidR="003C3AD2" w:rsidRPr="00292636" w:rsidRDefault="003C3AD2" w:rsidP="003C3AD2">
      <w:pPr>
        <w:spacing w:after="0" w:line="276" w:lineRule="auto"/>
        <w:jc w:val="both"/>
        <w:rPr>
          <w:rFonts w:ascii="Verdana" w:hAnsi="Verdana"/>
          <w:lang w:val="es-ES_tradnl"/>
        </w:rPr>
      </w:pPr>
      <w:r w:rsidRPr="00292636">
        <w:rPr>
          <w:rFonts w:ascii="Verdana" w:hAnsi="Verdana"/>
          <w:lang w:val="es-MX"/>
        </w:rPr>
        <w:t xml:space="preserve">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w:t>
      </w:r>
      <w:r w:rsidRPr="00292636">
        <w:rPr>
          <w:rFonts w:ascii="Verdana" w:hAnsi="Verdana"/>
          <w:lang w:val="es-MX"/>
        </w:rPr>
        <w:lastRenderedPageBreak/>
        <w:t>ningún caso estos contratos generan relación laboral ni prestaciones sociales y se celebrarán por el término estrictamente indispensable”.</w:t>
      </w:r>
      <w:r w:rsidRPr="00292636">
        <w:rPr>
          <w:rFonts w:ascii="Verdana" w:hAnsi="Verdana"/>
          <w:lang w:val="es-ES_tradnl"/>
        </w:rPr>
        <w:t xml:space="preserve"> La celebración de dicho contrato debe efectuarse a través de la modalidad de contratación directa. Así lo dispone el artículo 2, numeral 4º, literal h), de la Ley 1150 de 2007:</w:t>
      </w:r>
    </w:p>
    <w:p w14:paraId="6117323E" w14:textId="77777777" w:rsidR="003C3AD2" w:rsidRPr="00292636" w:rsidRDefault="003C3AD2" w:rsidP="003C3AD2">
      <w:pPr>
        <w:spacing w:after="0" w:line="276" w:lineRule="auto"/>
        <w:jc w:val="both"/>
        <w:rPr>
          <w:rFonts w:ascii="Verdana" w:hAnsi="Verdana"/>
          <w:lang w:val="es-ES_tradnl"/>
        </w:rPr>
      </w:pPr>
    </w:p>
    <w:p w14:paraId="51EF6FC8" w14:textId="77777777" w:rsidR="003C3AD2" w:rsidRPr="005C7623" w:rsidRDefault="003C3AD2" w:rsidP="003C3AD2">
      <w:pPr>
        <w:spacing w:after="0" w:line="240" w:lineRule="auto"/>
        <w:ind w:left="709" w:right="709"/>
        <w:jc w:val="both"/>
        <w:rPr>
          <w:rFonts w:ascii="Verdana" w:hAnsi="Verdana"/>
          <w:sz w:val="20"/>
          <w:szCs w:val="20"/>
          <w:lang w:val="es-MX"/>
        </w:rPr>
      </w:pPr>
      <w:r w:rsidRPr="005C7623">
        <w:rPr>
          <w:rFonts w:ascii="Verdana" w:hAnsi="Verdana"/>
          <w:sz w:val="20"/>
          <w:szCs w:val="20"/>
          <w:lang w:val="es-MX"/>
        </w:rPr>
        <w:t>“La escogencia del contratista se efectuará con arreglo a las modalidades de selección de licitación pública, selección abreviada, concurso de méritos y contratación directa, con base en las siguientes reglas:</w:t>
      </w:r>
    </w:p>
    <w:p w14:paraId="69A01DC7" w14:textId="77777777" w:rsidR="003C3AD2" w:rsidRPr="005C7623" w:rsidRDefault="003C3AD2" w:rsidP="003C3AD2">
      <w:pPr>
        <w:spacing w:after="0" w:line="240" w:lineRule="auto"/>
        <w:ind w:left="709" w:right="709"/>
        <w:jc w:val="both"/>
        <w:rPr>
          <w:rFonts w:ascii="Verdana" w:hAnsi="Verdana"/>
          <w:sz w:val="20"/>
          <w:szCs w:val="20"/>
          <w:lang w:val="es-MX"/>
        </w:rPr>
      </w:pPr>
      <w:r w:rsidRPr="005C7623">
        <w:rPr>
          <w:rFonts w:ascii="Verdana" w:hAnsi="Verdana"/>
          <w:sz w:val="20"/>
          <w:szCs w:val="20"/>
          <w:lang w:val="es-MX"/>
        </w:rPr>
        <w:t>[…]</w:t>
      </w:r>
    </w:p>
    <w:p w14:paraId="3EA33821" w14:textId="77777777" w:rsidR="003C3AD2" w:rsidRPr="005C7623" w:rsidRDefault="003C3AD2" w:rsidP="003C3AD2">
      <w:pPr>
        <w:spacing w:after="0" w:line="240" w:lineRule="auto"/>
        <w:ind w:left="709" w:right="709"/>
        <w:jc w:val="both"/>
        <w:rPr>
          <w:rFonts w:ascii="Verdana" w:hAnsi="Verdana"/>
          <w:sz w:val="20"/>
          <w:szCs w:val="20"/>
          <w:lang w:val="es-MX"/>
        </w:rPr>
      </w:pPr>
      <w:r w:rsidRPr="005C7623">
        <w:rPr>
          <w:rFonts w:ascii="Verdana" w:hAnsi="Verdana"/>
          <w:sz w:val="20"/>
          <w:szCs w:val="20"/>
          <w:lang w:val="es-MX"/>
        </w:rPr>
        <w:t>4. Contratación directa. La modalidad de selección de contratación directa solamente procederá en los siguientes casos:</w:t>
      </w:r>
    </w:p>
    <w:p w14:paraId="16AD25DA" w14:textId="77777777" w:rsidR="003C3AD2" w:rsidRPr="005C7623" w:rsidRDefault="003C3AD2" w:rsidP="003C3AD2">
      <w:pPr>
        <w:spacing w:after="0" w:line="240" w:lineRule="auto"/>
        <w:ind w:left="709" w:right="709"/>
        <w:jc w:val="both"/>
        <w:rPr>
          <w:rFonts w:ascii="Verdana" w:hAnsi="Verdana"/>
          <w:sz w:val="20"/>
          <w:szCs w:val="20"/>
          <w:lang w:val="es-MX"/>
        </w:rPr>
      </w:pPr>
      <w:r w:rsidRPr="005C7623">
        <w:rPr>
          <w:rFonts w:ascii="Verdana" w:hAnsi="Verdana"/>
          <w:sz w:val="20"/>
          <w:szCs w:val="20"/>
          <w:lang w:val="es-MX"/>
        </w:rPr>
        <w:t>[…]</w:t>
      </w:r>
    </w:p>
    <w:p w14:paraId="0B91EA33" w14:textId="77777777" w:rsidR="003C3AD2" w:rsidRPr="005C7623" w:rsidRDefault="003C3AD2" w:rsidP="003C3AD2">
      <w:pPr>
        <w:spacing w:after="0" w:line="240" w:lineRule="auto"/>
        <w:ind w:left="709" w:right="709"/>
        <w:jc w:val="both"/>
        <w:rPr>
          <w:rFonts w:ascii="Verdana" w:hAnsi="Verdana"/>
          <w:sz w:val="20"/>
          <w:szCs w:val="20"/>
          <w:lang w:val="es-MX"/>
        </w:rPr>
      </w:pPr>
      <w:r w:rsidRPr="005C7623">
        <w:rPr>
          <w:rFonts w:ascii="Verdana" w:hAnsi="Verdana"/>
          <w:sz w:val="20"/>
          <w:szCs w:val="20"/>
          <w:lang w:val="es-MX"/>
        </w:rPr>
        <w:t>h) Para la prestación de servicios profesionales y de apoyo a la gestión, o para la ejecución de trabajos artísticos que sólo puedan encomendarse a determinadas personas naturales”.</w:t>
      </w:r>
    </w:p>
    <w:p w14:paraId="77D25D5F" w14:textId="77777777" w:rsidR="003C3AD2" w:rsidRPr="00292636" w:rsidRDefault="003C3AD2" w:rsidP="003C3AD2">
      <w:pPr>
        <w:spacing w:after="0" w:line="276" w:lineRule="auto"/>
        <w:jc w:val="both"/>
        <w:rPr>
          <w:rFonts w:ascii="Verdana" w:hAnsi="Verdana"/>
          <w:lang w:val="es-ES_tradnl"/>
        </w:rPr>
      </w:pPr>
      <w:r w:rsidRPr="00292636">
        <w:rPr>
          <w:rFonts w:ascii="Verdana" w:hAnsi="Verdana"/>
          <w:lang w:val="es-ES_tradnl"/>
        </w:rPr>
        <w:tab/>
      </w:r>
    </w:p>
    <w:p w14:paraId="5C550437" w14:textId="77777777" w:rsidR="003C3AD2" w:rsidRPr="00292636" w:rsidRDefault="003C3AD2" w:rsidP="003C3AD2">
      <w:pPr>
        <w:spacing w:after="0" w:line="276" w:lineRule="auto"/>
        <w:jc w:val="both"/>
        <w:rPr>
          <w:rFonts w:ascii="Verdana" w:hAnsi="Verdana"/>
          <w:lang w:val="es-ES_tradnl"/>
        </w:rPr>
      </w:pPr>
      <w:r w:rsidRPr="00292636">
        <w:rPr>
          <w:rFonts w:ascii="Verdana" w:hAnsi="Verdana"/>
          <w:lang w:val="es-ES_tradnl"/>
        </w:rPr>
        <w:tab/>
        <w:t>En tal sentido, el Decreto 1082 de 2015 en el artículo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448F91D0" w14:textId="77777777" w:rsidR="003C3AD2" w:rsidRPr="00292636" w:rsidRDefault="003C3AD2" w:rsidP="003C3AD2">
      <w:pPr>
        <w:spacing w:after="0" w:line="276" w:lineRule="auto"/>
        <w:jc w:val="both"/>
        <w:rPr>
          <w:rFonts w:ascii="Verdana" w:hAnsi="Verdana"/>
          <w:lang w:val="es-ES"/>
        </w:rPr>
      </w:pPr>
    </w:p>
    <w:p w14:paraId="52D9BE9D" w14:textId="77777777" w:rsidR="003C3AD2" w:rsidRPr="005C7623" w:rsidRDefault="003C3AD2" w:rsidP="003C3AD2">
      <w:pPr>
        <w:spacing w:after="0" w:line="240" w:lineRule="auto"/>
        <w:ind w:left="709" w:right="709"/>
        <w:jc w:val="both"/>
        <w:rPr>
          <w:rFonts w:ascii="Verdana" w:hAnsi="Verdana"/>
          <w:sz w:val="20"/>
          <w:szCs w:val="20"/>
          <w:lang w:val="es-MX"/>
        </w:rPr>
      </w:pPr>
      <w:r w:rsidRPr="005C7623">
        <w:rPr>
          <w:rFonts w:ascii="Verdana" w:hAnsi="Verdana"/>
          <w:sz w:val="20"/>
          <w:szCs w:val="20"/>
          <w:lang w:val="es-MX"/>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06727603" w14:textId="77777777" w:rsidR="003C3AD2" w:rsidRPr="005C7623" w:rsidRDefault="003C3AD2" w:rsidP="003C3AD2">
      <w:pPr>
        <w:spacing w:after="0" w:line="240" w:lineRule="auto"/>
        <w:ind w:left="709" w:right="709"/>
        <w:jc w:val="both"/>
        <w:rPr>
          <w:rFonts w:ascii="Verdana" w:hAnsi="Verdana"/>
          <w:sz w:val="20"/>
          <w:szCs w:val="20"/>
        </w:rPr>
      </w:pPr>
    </w:p>
    <w:p w14:paraId="702616EC" w14:textId="77777777" w:rsidR="003C3AD2" w:rsidRPr="005C7623" w:rsidRDefault="003C3AD2" w:rsidP="003C3AD2">
      <w:pPr>
        <w:spacing w:after="0" w:line="240" w:lineRule="auto"/>
        <w:ind w:left="709" w:right="709"/>
        <w:jc w:val="both"/>
        <w:rPr>
          <w:rFonts w:ascii="Verdana" w:hAnsi="Verdana"/>
          <w:sz w:val="20"/>
          <w:szCs w:val="20"/>
          <w:lang w:val="es-MX"/>
        </w:rPr>
      </w:pPr>
      <w:r w:rsidRPr="005C7623">
        <w:rPr>
          <w:rFonts w:ascii="Verdana" w:hAnsi="Verdana"/>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004A40AB" w14:textId="77777777" w:rsidR="003C3AD2" w:rsidRPr="005C7623" w:rsidRDefault="003C3AD2" w:rsidP="003C3AD2">
      <w:pPr>
        <w:spacing w:after="0" w:line="240" w:lineRule="auto"/>
        <w:ind w:left="709" w:right="709"/>
        <w:jc w:val="both"/>
        <w:rPr>
          <w:rFonts w:ascii="Verdana" w:hAnsi="Verdana"/>
          <w:sz w:val="20"/>
          <w:szCs w:val="20"/>
          <w:lang w:val="es-MX"/>
        </w:rPr>
      </w:pPr>
    </w:p>
    <w:p w14:paraId="3B9F8702" w14:textId="77777777" w:rsidR="003C3AD2" w:rsidRPr="005C7623" w:rsidRDefault="003C3AD2" w:rsidP="003C3AD2">
      <w:pPr>
        <w:spacing w:after="0" w:line="240" w:lineRule="auto"/>
        <w:ind w:left="709" w:right="709"/>
        <w:jc w:val="both"/>
        <w:rPr>
          <w:rFonts w:ascii="Verdana" w:hAnsi="Verdana"/>
          <w:sz w:val="20"/>
          <w:szCs w:val="20"/>
          <w:lang w:val="es-MX"/>
        </w:rPr>
      </w:pPr>
      <w:r w:rsidRPr="005C7623">
        <w:rPr>
          <w:rFonts w:ascii="Verdana" w:hAnsi="Verdana"/>
          <w:sz w:val="20"/>
          <w:szCs w:val="20"/>
          <w:lang w:val="es-MX"/>
        </w:rPr>
        <w:t>La Entidad Estatal, para la contratación de trabajos artísticos que solamente puedan en</w:t>
      </w:r>
      <w:r w:rsidRPr="005C7623">
        <w:rPr>
          <w:rFonts w:ascii="Verdana" w:hAnsi="Verdana"/>
          <w:sz w:val="20"/>
          <w:szCs w:val="20"/>
          <w:lang w:val="es-MX"/>
        </w:rPr>
        <w:softHyphen/>
        <w:t>comendarse a determinadas personas naturales, debe justificar esta situación en los estudios y documentos previos”.</w:t>
      </w:r>
    </w:p>
    <w:p w14:paraId="720B3BFB" w14:textId="77777777" w:rsidR="003C3AD2" w:rsidRPr="00292636" w:rsidRDefault="003C3AD2" w:rsidP="003C3AD2">
      <w:pPr>
        <w:spacing w:after="0" w:line="276" w:lineRule="auto"/>
        <w:jc w:val="both"/>
        <w:rPr>
          <w:rFonts w:ascii="Verdana" w:hAnsi="Verdana"/>
        </w:rPr>
      </w:pPr>
    </w:p>
    <w:p w14:paraId="3408F5C2" w14:textId="77777777" w:rsidR="003C3AD2" w:rsidRPr="00292636" w:rsidRDefault="003C3AD2" w:rsidP="003C3AD2">
      <w:pPr>
        <w:spacing w:after="0" w:line="276" w:lineRule="auto"/>
        <w:jc w:val="both"/>
        <w:rPr>
          <w:rFonts w:ascii="Verdana" w:hAnsi="Verdana"/>
          <w:lang w:val="es-MX"/>
        </w:rPr>
      </w:pPr>
      <w:r w:rsidRPr="00292636">
        <w:rPr>
          <w:rFonts w:ascii="Verdana" w:hAnsi="Verdana"/>
          <w:lang w:val="es-MX"/>
        </w:rPr>
        <w:tab/>
        <w:t xml:space="preserve">Como especies del género </w:t>
      </w:r>
      <w:r w:rsidRPr="00292636">
        <w:rPr>
          <w:rFonts w:ascii="Verdana" w:hAnsi="Verdana"/>
          <w:i/>
          <w:iCs/>
          <w:lang w:val="es-MX"/>
        </w:rPr>
        <w:t>contrato de prestación de servicios</w:t>
      </w:r>
      <w:r w:rsidRPr="00292636">
        <w:rPr>
          <w:rFonts w:ascii="Verdana" w:hAnsi="Verdana"/>
          <w:lang w:val="es-MX"/>
        </w:rPr>
        <w:t xml:space="preserve"> se incluyen </w:t>
      </w:r>
      <w:r w:rsidRPr="00292636">
        <w:rPr>
          <w:rFonts w:ascii="Verdana" w:hAnsi="Verdana"/>
          <w:lang w:val="es-ES"/>
        </w:rPr>
        <w:t xml:space="preserve">los </w:t>
      </w:r>
      <w:r w:rsidRPr="00292636">
        <w:rPr>
          <w:rFonts w:ascii="Verdana" w:hAnsi="Verdana"/>
          <w:i/>
          <w:lang w:val="es-ES"/>
        </w:rPr>
        <w:t>contratos de prestación de servicios profesionales, los contratos de prestación de servicios de apoyo a la gestión</w:t>
      </w:r>
      <w:r w:rsidRPr="00292636">
        <w:rPr>
          <w:rFonts w:ascii="Verdana" w:hAnsi="Verdana"/>
          <w:lang w:val="es-ES"/>
        </w:rPr>
        <w:t xml:space="preserve"> y los </w:t>
      </w:r>
      <w:r w:rsidRPr="00292636">
        <w:rPr>
          <w:rFonts w:ascii="Verdana" w:hAnsi="Verdana"/>
          <w:i/>
          <w:lang w:val="es-ES"/>
        </w:rPr>
        <w:t xml:space="preserve">contratos de prestación de </w:t>
      </w:r>
      <w:r w:rsidRPr="00292636">
        <w:rPr>
          <w:rFonts w:ascii="Verdana" w:hAnsi="Verdana"/>
          <w:i/>
          <w:lang w:val="es-ES"/>
        </w:rPr>
        <w:lastRenderedPageBreak/>
        <w:t>servicios artísticos que solo pueden encomendarse a determinadas personas naturales</w:t>
      </w:r>
      <w:r w:rsidRPr="00292636">
        <w:rPr>
          <w:rFonts w:ascii="Verdana" w:hAnsi="Verdana"/>
          <w:vertAlign w:val="superscript"/>
          <w:lang w:val="es-ES_tradnl"/>
        </w:rPr>
        <w:footnoteReference w:id="1"/>
      </w:r>
      <w:r w:rsidRPr="00292636">
        <w:rPr>
          <w:rFonts w:ascii="Verdana" w:hAnsi="Verdana"/>
          <w:lang w:val="es-MX"/>
        </w:rPr>
        <w:t xml:space="preserve">. </w:t>
      </w:r>
      <w:r w:rsidRPr="00292636">
        <w:rPr>
          <w:rFonts w:ascii="Verdana" w:hAnsi="Verdana"/>
          <w:lang w:val="es-ES"/>
        </w:rPr>
        <w:t xml:space="preserve">La diferencia entre el contrato de prestación de servicios </w:t>
      </w:r>
      <w:r w:rsidRPr="00292636">
        <w:rPr>
          <w:rFonts w:ascii="Verdana" w:hAnsi="Verdana"/>
          <w:i/>
          <w:lang w:val="es-ES"/>
        </w:rPr>
        <w:t>profesionales</w:t>
      </w:r>
      <w:r w:rsidRPr="00292636">
        <w:rPr>
          <w:rFonts w:ascii="Verdana" w:hAnsi="Verdana"/>
          <w:lang w:val="es-ES"/>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explicar que:</w:t>
      </w:r>
    </w:p>
    <w:p w14:paraId="56C8EAC4" w14:textId="77777777" w:rsidR="003C3AD2" w:rsidRPr="00292636" w:rsidRDefault="003C3AD2" w:rsidP="003C3AD2">
      <w:pPr>
        <w:spacing w:after="0" w:line="276" w:lineRule="auto"/>
        <w:jc w:val="both"/>
        <w:rPr>
          <w:rFonts w:ascii="Verdana" w:hAnsi="Verdana"/>
          <w:lang w:val="es-ES_tradnl"/>
        </w:rPr>
      </w:pPr>
    </w:p>
    <w:p w14:paraId="74E3527E" w14:textId="77777777" w:rsidR="003C3AD2" w:rsidRPr="005C7623" w:rsidRDefault="003C3AD2" w:rsidP="003C3AD2">
      <w:pPr>
        <w:spacing w:after="0" w:line="240" w:lineRule="auto"/>
        <w:ind w:left="709" w:right="709"/>
        <w:jc w:val="both"/>
        <w:rPr>
          <w:rFonts w:ascii="Verdana" w:hAnsi="Verdana"/>
          <w:sz w:val="20"/>
          <w:szCs w:val="20"/>
          <w:lang w:val="es-ES_tradnl"/>
        </w:rPr>
      </w:pPr>
      <w:r w:rsidRPr="005C7623">
        <w:rPr>
          <w:rFonts w:ascii="Verdana" w:hAnsi="Verdana"/>
          <w:sz w:val="20"/>
          <w:szCs w:val="20"/>
          <w:lang w:val="es-ES_tradnl"/>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5C7623">
        <w:rPr>
          <w:rFonts w:ascii="Verdana" w:hAnsi="Verdana"/>
          <w:sz w:val="20"/>
          <w:szCs w:val="20"/>
          <w:vertAlign w:val="superscript"/>
          <w:lang w:val="es-ES_tradnl"/>
        </w:rPr>
        <w:footnoteReference w:id="2"/>
      </w:r>
      <w:r w:rsidRPr="005C7623">
        <w:rPr>
          <w:rFonts w:ascii="Verdana" w:hAnsi="Verdana"/>
          <w:sz w:val="20"/>
          <w:szCs w:val="20"/>
          <w:lang w:val="es-ES_tradnl"/>
        </w:rPr>
        <w:t>.</w:t>
      </w:r>
    </w:p>
    <w:p w14:paraId="4FE09E30" w14:textId="77777777" w:rsidR="003C3AD2" w:rsidRPr="00292636" w:rsidRDefault="003C3AD2" w:rsidP="003C3AD2">
      <w:pPr>
        <w:spacing w:after="0" w:line="276" w:lineRule="auto"/>
        <w:jc w:val="both"/>
        <w:rPr>
          <w:rFonts w:ascii="Verdana" w:hAnsi="Verdana"/>
          <w:lang w:val="es-ES_tradnl"/>
        </w:rPr>
      </w:pPr>
    </w:p>
    <w:p w14:paraId="77217F5C" w14:textId="77777777" w:rsidR="003C3AD2" w:rsidRPr="00292636" w:rsidRDefault="003C3AD2" w:rsidP="003C3AD2">
      <w:pPr>
        <w:spacing w:after="0" w:line="276" w:lineRule="auto"/>
        <w:jc w:val="both"/>
        <w:rPr>
          <w:rFonts w:ascii="Verdana" w:hAnsi="Verdana"/>
          <w:lang w:val="es-ES_tradnl"/>
        </w:rPr>
      </w:pPr>
      <w:r w:rsidRPr="00292636">
        <w:rPr>
          <w:rFonts w:ascii="Verdana" w:hAnsi="Verdana"/>
          <w:lang w:val="es-ES_tradnl"/>
        </w:rPr>
        <w:t xml:space="preserve">Lo expuesto, según la jurisprudencia citada, se diferencia del objeto del </w:t>
      </w:r>
      <w:r w:rsidRPr="00292636">
        <w:rPr>
          <w:rFonts w:ascii="Verdana" w:hAnsi="Verdana"/>
          <w:i/>
          <w:iCs/>
          <w:lang w:val="es-ES_tradnl"/>
        </w:rPr>
        <w:t>contrato de prestación de servicios de apoyo a la gestión</w:t>
      </w:r>
      <w:r w:rsidRPr="00292636">
        <w:rPr>
          <w:rFonts w:ascii="Verdana" w:hAnsi="Verdana"/>
          <w:lang w:val="es-ES_tradnl"/>
        </w:rPr>
        <w:t>, en los siguientes aspectos:</w:t>
      </w:r>
    </w:p>
    <w:p w14:paraId="5B1FEA26" w14:textId="77777777" w:rsidR="003C3AD2" w:rsidRPr="00292636" w:rsidRDefault="003C3AD2" w:rsidP="003C3AD2">
      <w:pPr>
        <w:spacing w:after="0" w:line="276" w:lineRule="auto"/>
        <w:jc w:val="both"/>
        <w:rPr>
          <w:rFonts w:ascii="Verdana" w:hAnsi="Verdana"/>
          <w:lang w:val="es-ES_tradnl"/>
        </w:rPr>
      </w:pPr>
    </w:p>
    <w:p w14:paraId="7266AC36" w14:textId="77777777" w:rsidR="003C3AD2" w:rsidRPr="005C7623" w:rsidRDefault="003C3AD2" w:rsidP="003C3AD2">
      <w:pPr>
        <w:spacing w:after="0" w:line="240" w:lineRule="auto"/>
        <w:ind w:left="709" w:right="709"/>
        <w:jc w:val="both"/>
        <w:rPr>
          <w:rFonts w:ascii="Verdana" w:hAnsi="Verdana"/>
          <w:sz w:val="20"/>
          <w:szCs w:val="20"/>
          <w:lang w:val="es-ES_tradnl"/>
        </w:rPr>
      </w:pPr>
      <w:r w:rsidRPr="005C7623">
        <w:rPr>
          <w:rFonts w:ascii="Verdana" w:hAnsi="Verdana"/>
          <w:sz w:val="20"/>
          <w:szCs w:val="20"/>
          <w:lang w:val="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67E98FD9" w14:textId="77777777" w:rsidR="003C3AD2" w:rsidRPr="005C7623" w:rsidRDefault="003C3AD2" w:rsidP="003C3AD2">
      <w:pPr>
        <w:spacing w:after="0" w:line="240" w:lineRule="auto"/>
        <w:ind w:left="709" w:right="709"/>
        <w:jc w:val="both"/>
        <w:rPr>
          <w:rFonts w:ascii="Verdana" w:hAnsi="Verdana"/>
          <w:sz w:val="20"/>
          <w:szCs w:val="20"/>
          <w:lang w:val="es-ES_tradnl"/>
        </w:rPr>
      </w:pPr>
    </w:p>
    <w:p w14:paraId="064057F8" w14:textId="77777777" w:rsidR="003C3AD2" w:rsidRPr="005C7623" w:rsidRDefault="003C3AD2" w:rsidP="003C3AD2">
      <w:pPr>
        <w:spacing w:after="0" w:line="240" w:lineRule="auto"/>
        <w:ind w:left="709" w:right="709"/>
        <w:jc w:val="both"/>
        <w:rPr>
          <w:rFonts w:ascii="Verdana" w:hAnsi="Verdana"/>
          <w:sz w:val="20"/>
          <w:szCs w:val="20"/>
          <w:lang w:val="es-ES"/>
        </w:rPr>
      </w:pPr>
      <w:r w:rsidRPr="005C7623">
        <w:rPr>
          <w:rFonts w:ascii="Verdana" w:hAnsi="Verdana"/>
          <w:sz w:val="20"/>
          <w:szCs w:val="20"/>
          <w:lang w:val="es-ES"/>
        </w:rPr>
        <w:t xml:space="preserve">Aunque también se caracteriza por el desempeño de actividad intelectiva, ésta se enmarca dentro de un saber propiamente técnico; igualmente </w:t>
      </w:r>
      <w:r w:rsidRPr="005C7623">
        <w:rPr>
          <w:rFonts w:ascii="Verdana" w:hAnsi="Verdana"/>
          <w:sz w:val="20"/>
          <w:szCs w:val="20"/>
          <w:lang w:val="es-ES"/>
        </w:rPr>
        <w:lastRenderedPageBreak/>
        <w:t>involucra actividades en donde prima el esfuerzo físico o mecánico, en donde no se requiere de personal profesional.</w:t>
      </w:r>
    </w:p>
    <w:p w14:paraId="6D7B7A4A" w14:textId="77777777" w:rsidR="003C3AD2" w:rsidRPr="005C7623" w:rsidRDefault="003C3AD2" w:rsidP="003C3AD2">
      <w:pPr>
        <w:spacing w:after="0" w:line="240" w:lineRule="auto"/>
        <w:ind w:left="709" w:right="709"/>
        <w:jc w:val="both"/>
        <w:rPr>
          <w:rFonts w:ascii="Verdana" w:hAnsi="Verdana"/>
          <w:sz w:val="20"/>
          <w:szCs w:val="20"/>
          <w:lang w:val="es-ES"/>
        </w:rPr>
      </w:pPr>
    </w:p>
    <w:p w14:paraId="350F67BD" w14:textId="77777777" w:rsidR="003C3AD2" w:rsidRPr="005C7623" w:rsidRDefault="003C3AD2" w:rsidP="003C3AD2">
      <w:pPr>
        <w:spacing w:after="0" w:line="240" w:lineRule="auto"/>
        <w:ind w:left="709" w:right="709"/>
        <w:jc w:val="both"/>
        <w:rPr>
          <w:rFonts w:ascii="Verdana" w:hAnsi="Verdana"/>
          <w:sz w:val="20"/>
          <w:szCs w:val="20"/>
          <w:lang w:val="es-ES_tradnl"/>
        </w:rPr>
      </w:pPr>
      <w:r w:rsidRPr="005C7623">
        <w:rPr>
          <w:rFonts w:ascii="Verdana" w:hAnsi="Verdana"/>
          <w:sz w:val="20"/>
          <w:szCs w:val="20"/>
          <w:lang w:val="es-ES_tradnl"/>
        </w:rPr>
        <w:t>Dentro de su objeto contractual pueden tener lugar actividades operativas, logísticas o asistenciales, siempre que satisfaga los requisitos antes mencionados y sea acorde con las necesidades de la Administración y el principio de planeación”</w:t>
      </w:r>
      <w:r w:rsidRPr="005C7623">
        <w:rPr>
          <w:rFonts w:ascii="Verdana" w:hAnsi="Verdana"/>
          <w:sz w:val="20"/>
          <w:szCs w:val="20"/>
          <w:vertAlign w:val="superscript"/>
          <w:lang w:val="es-ES_tradnl"/>
        </w:rPr>
        <w:footnoteReference w:id="3"/>
      </w:r>
      <w:r w:rsidRPr="005C7623">
        <w:rPr>
          <w:rFonts w:ascii="Verdana" w:hAnsi="Verdana"/>
          <w:sz w:val="20"/>
          <w:szCs w:val="20"/>
          <w:lang w:val="es-ES_tradnl"/>
        </w:rPr>
        <w:t>.</w:t>
      </w:r>
    </w:p>
    <w:p w14:paraId="2B0B8512" w14:textId="77777777" w:rsidR="003C3AD2" w:rsidRPr="00292636" w:rsidRDefault="003C3AD2" w:rsidP="003C3AD2">
      <w:pPr>
        <w:spacing w:after="0"/>
        <w:jc w:val="both"/>
        <w:rPr>
          <w:rFonts w:ascii="Verdana" w:hAnsi="Verdana"/>
          <w:lang w:val="es-ES_tradnl"/>
        </w:rPr>
      </w:pPr>
    </w:p>
    <w:p w14:paraId="73FCBAFC" w14:textId="77777777" w:rsidR="003C3AD2" w:rsidRDefault="003C3AD2" w:rsidP="003C3AD2">
      <w:pPr>
        <w:spacing w:after="120" w:line="276" w:lineRule="auto"/>
        <w:ind w:firstLine="709"/>
        <w:jc w:val="both"/>
        <w:rPr>
          <w:rFonts w:ascii="Verdana" w:hAnsi="Verdana"/>
          <w:lang w:val="es-ES_tradnl"/>
        </w:rPr>
      </w:pPr>
      <w:r w:rsidRPr="00292636">
        <w:rPr>
          <w:rFonts w:ascii="Verdana" w:hAnsi="Verdana"/>
          <w:lang w:val="es-ES_tradnl"/>
        </w:rPr>
        <w:t xml:space="preserve">En este sentido, el contrato de prestación de servicios </w:t>
      </w:r>
      <w:r w:rsidRPr="00292636">
        <w:rPr>
          <w:rFonts w:ascii="Verdana" w:hAnsi="Verdana"/>
          <w:i/>
          <w:iCs/>
          <w:lang w:val="es-ES_tradnl"/>
        </w:rPr>
        <w:t>profesionales</w:t>
      </w:r>
      <w:r w:rsidRPr="00292636">
        <w:rPr>
          <w:rFonts w:ascii="Verdana" w:hAnsi="Verdana"/>
          <w:lang w:val="es-ES_tradnl"/>
        </w:rPr>
        <w:t xml:space="preserve"> se caracteriza porque su objeto guarda relación con el desarrollo de actividades que demandan competencias y habilidades profesionales o especializadas de la persona natural o jurídica a contratar, de manera que se trata de un </w:t>
      </w:r>
      <w:r w:rsidRPr="00292636">
        <w:rPr>
          <w:rFonts w:ascii="Verdana" w:hAnsi="Verdana"/>
          <w:i/>
          <w:iCs/>
          <w:lang w:val="es-ES_tradnl"/>
        </w:rPr>
        <w:t>saber intelectivo cualificado.</w:t>
      </w:r>
      <w:r w:rsidRPr="00292636">
        <w:rPr>
          <w:rFonts w:ascii="Verdana" w:hAnsi="Verdana"/>
          <w:lang w:val="es-ES_tradnl"/>
        </w:rPr>
        <w:t xml:space="preserve"> En cambio, los contratos de prestación de servicios de </w:t>
      </w:r>
      <w:r w:rsidRPr="00292636">
        <w:rPr>
          <w:rFonts w:ascii="Verdana" w:hAnsi="Verdana"/>
          <w:i/>
          <w:iCs/>
          <w:lang w:val="es-ES_tradnl"/>
        </w:rPr>
        <w:t>apoyo a la gestión</w:t>
      </w:r>
      <w:r w:rsidRPr="00292636">
        <w:rPr>
          <w:rFonts w:ascii="Verdana" w:hAnsi="Verdana"/>
          <w:lang w:val="es-ES_tradnl"/>
        </w:rPr>
        <w:t xml:space="preserve"> y de </w:t>
      </w:r>
      <w:r w:rsidRPr="00292636">
        <w:rPr>
          <w:rFonts w:ascii="Verdana" w:hAnsi="Verdana"/>
          <w:i/>
          <w:iCs/>
          <w:lang w:val="es-ES_tradnl"/>
        </w:rPr>
        <w:t>servicios artísticos</w:t>
      </w:r>
      <w:r w:rsidRPr="00292636">
        <w:rPr>
          <w:rFonts w:ascii="Verdana" w:hAnsi="Verdana"/>
          <w:lang w:val="es-ES_tradnl"/>
        </w:rPr>
        <w:t xml:space="preserve"> no involucran ese conocimiento profesional </w:t>
      </w:r>
      <w:r w:rsidRPr="00292636">
        <w:rPr>
          <w:rFonts w:ascii="Verdana" w:hAnsi="Verdana"/>
          <w:lang w:val="es-MX"/>
        </w:rPr>
        <w:t xml:space="preserve">o especializados para su ejecución. En los contratos de apoyo a la gestión </w:t>
      </w:r>
      <w:r w:rsidRPr="00292636">
        <w:rPr>
          <w:rFonts w:ascii="Verdana" w:hAnsi="Verdana"/>
          <w:lang w:val="es-ES_tradnl"/>
        </w:rPr>
        <w:t xml:space="preserve">el contratista desempeña un esfuerzo o actividad de apoyo, acompañamiento, o soporte, </w:t>
      </w:r>
      <w:r w:rsidRPr="00292636">
        <w:rPr>
          <w:rFonts w:ascii="Verdana" w:hAnsi="Verdana"/>
          <w:lang w:val="es-MX"/>
        </w:rPr>
        <w:t xml:space="preserve">donde </w:t>
      </w:r>
      <w:r w:rsidRPr="00292636">
        <w:rPr>
          <w:rFonts w:ascii="Verdana" w:hAnsi="Verdana"/>
          <w:i/>
          <w:iCs/>
          <w:lang w:val="es-MX"/>
        </w:rPr>
        <w:t>“</w:t>
      </w:r>
      <w:r w:rsidRPr="00292636">
        <w:rPr>
          <w:rFonts w:ascii="Verdana" w:hAnsi="Verdana"/>
          <w:i/>
          <w:iCs/>
          <w:lang w:val="es-ES_tradnl"/>
        </w:rPr>
        <w:t>lo predominante es el actuar como ejecutor, con el propósito y finalidad de satisfacer necesidades de las entidades estatales en lo relacionado con la gestión administrativa o funcionamiento de la misma, por personas no profesionales y que no implican el ejercicio de funciones públicas administrativas”</w:t>
      </w:r>
      <w:r w:rsidRPr="00292636">
        <w:rPr>
          <w:rFonts w:ascii="Verdana" w:hAnsi="Verdana"/>
          <w:lang w:val="es-ES_tradnl"/>
        </w:rPr>
        <w:t>. Igualmente, en el contrato de prestación de servicios artísticos lo prevalente es que la persona que lo ejecute se trate de un artista, es decir, “una persona reconocida como realizador o productor de arte, de obras de arte, ejecutor de trabajos artísticos”, para lo cual es indiferente el carácter de profesional.</w:t>
      </w:r>
    </w:p>
    <w:p w14:paraId="419E3F45" w14:textId="77777777" w:rsidR="003C3AD2" w:rsidRDefault="003C3AD2" w:rsidP="003C3AD2">
      <w:pPr>
        <w:spacing w:after="120" w:line="276" w:lineRule="auto"/>
        <w:ind w:firstLine="709"/>
        <w:jc w:val="both"/>
        <w:rPr>
          <w:rFonts w:ascii="Verdana" w:hAnsi="Verdana"/>
        </w:rPr>
      </w:pPr>
      <w:r w:rsidRPr="00292636">
        <w:rPr>
          <w:rFonts w:ascii="Verdana" w:hAnsi="Verdana"/>
        </w:rPr>
        <w:t>De otra parte, la Ley 190 de 1995, en el artículo 1º, establece que todo aspirante a celebrar un contrato de prestación de servicios deberá presentar el formato único de hoja de vida, donde consigne la información completa que se solicita, como la formación académica, experiencia laboral, declarar la inexistencia de cualquier hecho o circunstancia que implique una inhabilidad o incompatibilidad</w:t>
      </w:r>
      <w:r w:rsidRPr="00292636">
        <w:rPr>
          <w:rFonts w:ascii="Verdana" w:hAnsi="Verdana"/>
          <w:vertAlign w:val="superscript"/>
        </w:rPr>
        <w:footnoteReference w:id="4"/>
      </w:r>
      <w:r w:rsidRPr="00292636">
        <w:rPr>
          <w:rFonts w:ascii="Verdana" w:hAnsi="Verdana"/>
        </w:rPr>
        <w:t xml:space="preserve">. </w:t>
      </w:r>
    </w:p>
    <w:p w14:paraId="6EEE1F4B" w14:textId="77777777" w:rsidR="003C3AD2" w:rsidRDefault="003C3AD2" w:rsidP="003C3AD2">
      <w:pPr>
        <w:spacing w:after="0"/>
        <w:jc w:val="both"/>
        <w:rPr>
          <w:rFonts w:ascii="Verdana" w:hAnsi="Verdana"/>
          <w:lang w:val="es-ES"/>
        </w:rPr>
      </w:pPr>
      <w:r w:rsidRPr="00292636">
        <w:rPr>
          <w:rFonts w:ascii="Verdana" w:hAnsi="Verdana"/>
        </w:rPr>
        <w:lastRenderedPageBreak/>
        <w:t xml:space="preserve">Con todo, es importante mencionar que, de acuerdo con el artículo </w:t>
      </w:r>
      <w:r w:rsidRPr="00292636">
        <w:rPr>
          <w:rFonts w:ascii="Verdana" w:hAnsi="Verdana"/>
          <w:lang w:val="es-ES"/>
        </w:rPr>
        <w:t xml:space="preserve">2.2.1.2.1.4.9 del Decreto 1082 de 2015, corresponde a cada Entidad Estatal verificar la idoneidad de las personas que pretendan celebrar contratos de prestación de servicios profesionales, de acuerdo con las características y alcance objeto del objeto del contrato. En ese sentido, tratándose de contratos de prestación de servicios profesionales, las Entidades Estatales deberán considerar si además de los documentos referidos es requerido algún otro requisito. </w:t>
      </w:r>
    </w:p>
    <w:p w14:paraId="4033694C" w14:textId="77777777" w:rsidR="003C3AD2" w:rsidRDefault="003C3AD2" w:rsidP="003C3AD2">
      <w:pPr>
        <w:spacing w:after="0"/>
        <w:jc w:val="both"/>
        <w:rPr>
          <w:rFonts w:ascii="Verdana" w:hAnsi="Verdana"/>
          <w:lang w:val="es-ES"/>
        </w:rPr>
      </w:pPr>
    </w:p>
    <w:p w14:paraId="0F5B5590" w14:textId="77777777" w:rsidR="003C3AD2" w:rsidRPr="00BE021E" w:rsidRDefault="003C3AD2" w:rsidP="003C3AD2">
      <w:pPr>
        <w:spacing w:after="120" w:line="276" w:lineRule="auto"/>
        <w:ind w:right="51" w:firstLine="709"/>
        <w:jc w:val="both"/>
        <w:rPr>
          <w:rFonts w:ascii="Verdana" w:eastAsia="Calibri" w:hAnsi="Verdana" w:cs="Arial"/>
          <w:sz w:val="21"/>
          <w:szCs w:val="21"/>
        </w:rPr>
      </w:pPr>
      <w:r>
        <w:rPr>
          <w:rFonts w:ascii="Verdana" w:hAnsi="Verdana"/>
          <w:lang w:val="es-ES"/>
        </w:rPr>
        <w:t xml:space="preserve">Finalmente, </w:t>
      </w:r>
      <w:r>
        <w:rPr>
          <w:rFonts w:ascii="Verdana" w:eastAsia="Calibri" w:hAnsi="Verdana" w:cs="Arial"/>
          <w:sz w:val="21"/>
          <w:szCs w:val="21"/>
        </w:rPr>
        <w:t>s</w:t>
      </w:r>
      <w:r w:rsidRPr="00BE021E">
        <w:rPr>
          <w:rFonts w:ascii="Verdana" w:eastAsia="Calibri" w:hAnsi="Verdana" w:cs="Arial"/>
          <w:sz w:val="21"/>
          <w:szCs w:val="21"/>
        </w:rPr>
        <w:t xml:space="preserve">e resalta que </w:t>
      </w:r>
      <w:r w:rsidRPr="00BE021E">
        <w:rPr>
          <w:rFonts w:ascii="Verdana" w:hAnsi="Verdana" w:cs="Arial"/>
        </w:rPr>
        <w:t xml:space="preserve">cada entidad estatal tiene la facultad de definir los requisitos habilitantes para la contratación en los documentos previos de acuerdo con las características y la naturaleza del contrato, atendiendo siempre a los principios de planeación, transparencia y selección objetiva. En virtud de los cuales, la Entidad estatal al definir la necesidad a satisfacer con la contratación de prestación de servicios profesionales, debe establecer el objeto contractual, las obligaciones que lo desarrollan y el perfil requerido para dar cumplimiento a los mismos. </w:t>
      </w:r>
    </w:p>
    <w:p w14:paraId="3DEE3DB2" w14:textId="77777777" w:rsidR="003C3AD2" w:rsidRDefault="003C3AD2" w:rsidP="003C3AD2">
      <w:pPr>
        <w:spacing w:after="0" w:line="276" w:lineRule="auto"/>
        <w:jc w:val="both"/>
        <w:rPr>
          <w:rFonts w:ascii="Verdana" w:eastAsia="Calibri" w:hAnsi="Verdana" w:cs="Arial"/>
          <w:color w:val="7030A0"/>
          <w:lang w:val="es-ES"/>
        </w:rPr>
      </w:pPr>
      <w:r w:rsidRPr="00BE021E">
        <w:rPr>
          <w:rFonts w:ascii="Verdana" w:hAnsi="Verdana" w:cs="Arial"/>
        </w:rPr>
        <w:tab/>
        <w:t xml:space="preserve">Una vez establecidos los requisitos habilitantes y las demás características de la contratación en los documentos previos, a cada entidad estatal le corresponde </w:t>
      </w:r>
      <w:r w:rsidRPr="00BE021E">
        <w:rPr>
          <w:rFonts w:ascii="Verdana" w:hAnsi="Verdana" w:cs="Arial"/>
          <w:lang w:val="es-ES"/>
        </w:rPr>
        <w:t>verificar la idoneidad de las personas que pretendan celebrar contratos de prestación de servicios profesionales, de acuerdo con las características, el alcance del objeto del contrato y el perfil establecido.</w:t>
      </w:r>
    </w:p>
    <w:p w14:paraId="77C19AF8" w14:textId="77777777" w:rsidR="003C3AD2" w:rsidRPr="00D42531" w:rsidRDefault="003C3AD2" w:rsidP="003C3AD2">
      <w:pPr>
        <w:spacing w:after="0" w:line="276" w:lineRule="auto"/>
        <w:jc w:val="both"/>
        <w:rPr>
          <w:rFonts w:ascii="Verdana" w:eastAsia="Calibri" w:hAnsi="Verdana" w:cs="Arial"/>
          <w:color w:val="7030A0"/>
          <w:lang w:val="es-ES"/>
        </w:rPr>
      </w:pPr>
    </w:p>
    <w:p w14:paraId="59631CF8" w14:textId="77777777" w:rsidR="003C3AD2" w:rsidRDefault="003C3AD2" w:rsidP="003C3AD2">
      <w:pPr>
        <w:spacing w:after="120" w:line="276" w:lineRule="auto"/>
        <w:ind w:firstLine="709"/>
        <w:jc w:val="both"/>
        <w:rPr>
          <w:rFonts w:ascii="Verdana" w:eastAsia="Calibri" w:hAnsi="Verdana" w:cs="Arial"/>
          <w:color w:val="000000"/>
          <w:lang w:val="es-ES_tradnl" w:eastAsia="es-ES_tradnl"/>
        </w:rPr>
      </w:pPr>
      <w:r w:rsidRPr="000F5D0F">
        <w:rPr>
          <w:rFonts w:ascii="Verdana" w:eastAsia="Calibri" w:hAnsi="Verdana" w:cs="Arial"/>
          <w:color w:val="000000"/>
          <w:lang w:val="es-ES_tradnl" w:eastAsia="es-ES_tradnl"/>
        </w:rPr>
        <w:t>A</w:t>
      </w:r>
      <w:r>
        <w:rPr>
          <w:rFonts w:ascii="Verdana" w:eastAsia="Calibri" w:hAnsi="Verdana" w:cs="Arial"/>
          <w:color w:val="000000"/>
          <w:lang w:val="es-ES_tradnl" w:eastAsia="es-ES_tradnl"/>
        </w:rPr>
        <w:t>sí, a</w:t>
      </w:r>
      <w:r w:rsidRPr="000F5D0F">
        <w:rPr>
          <w:rFonts w:ascii="Verdana" w:eastAsia="Calibri" w:hAnsi="Verdana" w:cs="Arial"/>
          <w:color w:val="000000"/>
          <w:lang w:val="es-ES_tradnl" w:eastAsia="es-ES_tradnl"/>
        </w:rPr>
        <w:t xml:space="preserve"> partir de estos enunciados normativos, entre otros, de carácter legal y reglamentario, que complementan su regulación, </w:t>
      </w:r>
      <w:r>
        <w:rPr>
          <w:rFonts w:ascii="Verdana" w:eastAsia="Calibri" w:hAnsi="Verdana" w:cs="Arial"/>
          <w:color w:val="000000"/>
          <w:lang w:val="es-ES_tradnl" w:eastAsia="es-ES_tradnl"/>
        </w:rPr>
        <w:t>así como de pronunciamientos jurisprudenciales</w:t>
      </w:r>
      <w:r>
        <w:rPr>
          <w:rStyle w:val="Refdenotaalpie"/>
          <w:rFonts w:ascii="Verdana" w:eastAsia="Calibri" w:hAnsi="Verdana" w:cs="Arial"/>
          <w:color w:val="000000"/>
          <w:lang w:val="es-ES_tradnl" w:eastAsia="es-ES_tradnl"/>
        </w:rPr>
        <w:footnoteReference w:id="5"/>
      </w:r>
      <w:r w:rsidRPr="000F5D0F">
        <w:rPr>
          <w:rFonts w:ascii="Verdana" w:eastAsia="Calibri" w:hAnsi="Verdana" w:cs="Arial"/>
          <w:color w:val="000000"/>
          <w:lang w:val="es-ES_tradnl" w:eastAsia="es-ES_tradnl"/>
        </w:rPr>
        <w:t>, es posible señalar las siguientes características del contrato de prestación de servicios:</w:t>
      </w:r>
    </w:p>
    <w:p w14:paraId="4A5B401E" w14:textId="77777777" w:rsidR="003C3AD2" w:rsidRDefault="003C3AD2" w:rsidP="003C3AD2">
      <w:pPr>
        <w:pStyle w:val="Prrafodelista"/>
        <w:numPr>
          <w:ilvl w:val="0"/>
          <w:numId w:val="18"/>
        </w:numPr>
        <w:spacing w:after="0"/>
        <w:ind w:left="0" w:firstLine="709"/>
        <w:jc w:val="both"/>
        <w:rPr>
          <w:rFonts w:ascii="Verdana" w:eastAsia="Calibri" w:hAnsi="Verdana" w:cs="Arial"/>
        </w:rPr>
      </w:pPr>
      <w:r w:rsidRPr="00C7507B">
        <w:rPr>
          <w:rFonts w:ascii="Verdana" w:eastAsia="Calibri" w:hAnsi="Verdana" w:cs="Arial"/>
        </w:rPr>
        <w:lastRenderedPageBreak/>
        <w:t>Solo puede celebrarse para realizar “actividades relacionadas con la administración o funcionamiento de la entidad”, es decir, que hagan parte de su giro ordinario o quehacer cotidiano</w:t>
      </w:r>
      <w:r w:rsidRPr="00C7507B">
        <w:rPr>
          <w:rStyle w:val="Refdenotaalpie"/>
          <w:rFonts w:ascii="Verdana" w:eastAsia="Calibri" w:hAnsi="Verdana" w:cs="Arial"/>
        </w:rPr>
        <w:footnoteReference w:id="6"/>
      </w:r>
      <w:r w:rsidRPr="00C7507B">
        <w:rPr>
          <w:rFonts w:ascii="Verdana" w:eastAsia="Calibri" w:hAnsi="Verdana" w:cs="Arial"/>
        </w:rPr>
        <w:t xml:space="preserve">; </w:t>
      </w:r>
    </w:p>
    <w:p w14:paraId="29B79990" w14:textId="77777777" w:rsidR="003C3AD2" w:rsidRPr="00C7507B" w:rsidRDefault="003C3AD2" w:rsidP="003C3AD2">
      <w:pPr>
        <w:pStyle w:val="Prrafodelista"/>
        <w:numPr>
          <w:ilvl w:val="0"/>
          <w:numId w:val="18"/>
        </w:numPr>
        <w:spacing w:after="0"/>
        <w:ind w:left="0" w:firstLine="720"/>
        <w:jc w:val="both"/>
        <w:rPr>
          <w:rFonts w:ascii="Verdana" w:eastAsia="Calibri" w:hAnsi="Verdana" w:cs="Arial"/>
        </w:rPr>
      </w:pPr>
      <w:r w:rsidRPr="00C7507B">
        <w:rPr>
          <w:rFonts w:ascii="Verdana" w:eastAsia="Calibri" w:hAnsi="Verdana" w:cs="Arial"/>
        </w:rPr>
        <w:t xml:space="preserve">Respecto del tipo de personas que pueden ser contratadas, admite que se suscriba con personas naturales o jurídicas. Sin embargo, cuando se celebre con personas naturales la Entidad Estatal debe justificar, en los estudios previos, que las actividades “no puedan realizarse con personal de planta o requieran conocimientos especializados”; </w:t>
      </w:r>
    </w:p>
    <w:p w14:paraId="038AFAEA" w14:textId="77777777" w:rsidR="003C3AD2" w:rsidRPr="00870929" w:rsidRDefault="003C3AD2" w:rsidP="003C3AD2">
      <w:pPr>
        <w:pStyle w:val="Prrafodelista"/>
        <w:numPr>
          <w:ilvl w:val="0"/>
          <w:numId w:val="18"/>
        </w:numPr>
        <w:spacing w:after="120" w:line="276" w:lineRule="auto"/>
        <w:ind w:left="0" w:firstLine="709"/>
        <w:jc w:val="both"/>
        <w:rPr>
          <w:rFonts w:ascii="Verdana" w:hAnsi="Verdana" w:cs="Arial"/>
          <w:noProof/>
          <w:lang w:val="es-ES_tradnl"/>
        </w:rPr>
      </w:pPr>
      <w:r w:rsidRPr="00870929">
        <w:rPr>
          <w:rFonts w:ascii="Verdana" w:hAnsi="Verdana" w:cs="Arial"/>
          <w:noProof/>
          <w:lang w:val="es-ES_tradnl"/>
        </w:rPr>
        <w:t xml:space="preserve">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870929">
        <w:rPr>
          <w:rFonts w:ascii="Verdana" w:hAnsi="Verdana" w:cs="Arial"/>
          <w:i/>
          <w:noProof/>
          <w:lang w:val="es-ES_tradnl"/>
        </w:rPr>
        <w:t xml:space="preserve">subordinación </w:t>
      </w:r>
      <w:r w:rsidRPr="00870929">
        <w:rPr>
          <w:rFonts w:ascii="Verdana" w:hAnsi="Verdana" w:cs="Arial"/>
          <w:iCs/>
          <w:noProof/>
          <w:lang w:val="es-ES_tradnl"/>
        </w:rPr>
        <w:t>ni</w:t>
      </w:r>
      <w:r w:rsidRPr="00870929">
        <w:rPr>
          <w:rFonts w:ascii="Verdana" w:hAnsi="Verdana" w:cs="Arial"/>
          <w:i/>
          <w:noProof/>
          <w:lang w:val="es-ES_tradnl"/>
        </w:rPr>
        <w:t xml:space="preserve"> dependencia</w:t>
      </w:r>
      <w:r w:rsidRPr="00870929">
        <w:rPr>
          <w:rFonts w:ascii="Verdana" w:hAnsi="Verdana" w:cs="Arial"/>
          <w:iCs/>
          <w:noProof/>
          <w:lang w:val="es-ES_tradnl"/>
        </w:rPr>
        <w:t>,</w:t>
      </w:r>
      <w:r w:rsidRPr="00870929">
        <w:rPr>
          <w:rFonts w:ascii="Verdana" w:hAnsi="Verdana" w:cs="Arial"/>
          <w:noProof/>
          <w:lang w:val="es-ES_tradnl"/>
        </w:rPr>
        <w:t xml:space="preserve"> que es uno de los elementos constitutivos del vínculo laboral</w:t>
      </w:r>
      <w:r w:rsidRPr="000F5D0F">
        <w:rPr>
          <w:noProof/>
          <w:vertAlign w:val="superscript"/>
          <w:lang w:val="es-ES_tradnl"/>
        </w:rPr>
        <w:footnoteReference w:id="7"/>
      </w:r>
      <w:r w:rsidRPr="00870929">
        <w:rPr>
          <w:rFonts w:ascii="Verdana" w:hAnsi="Verdana" w:cs="Arial"/>
          <w:noProof/>
          <w:lang w:val="es-ES_tradnl"/>
        </w:rPr>
        <w:t xml:space="preserve">. </w:t>
      </w:r>
    </w:p>
    <w:p w14:paraId="05C88F12" w14:textId="18E34DC7" w:rsidR="003C3AD2" w:rsidRPr="005616DA" w:rsidRDefault="003C3AD2" w:rsidP="003C3AD2">
      <w:pPr>
        <w:spacing w:after="120" w:line="276" w:lineRule="auto"/>
        <w:jc w:val="both"/>
        <w:rPr>
          <w:rFonts w:ascii="Verdana" w:hAnsi="Verdana" w:cs="Arial"/>
          <w:lang w:val="es-ES"/>
        </w:rPr>
      </w:pPr>
      <w:r w:rsidRPr="06B947FA">
        <w:rPr>
          <w:rFonts w:ascii="Verdana" w:hAnsi="Verdana" w:cs="Arial"/>
          <w:lang w:val="es-ES"/>
        </w:rPr>
        <w:t xml:space="preserve">Por lo anterior, el artículo 32, numeral 3º, de la Ley 80 de 1993 establece que “En ningún caso estos contratos generan relación laboral ni prestaciones sociales”. Este inciso, más que un enunciado que aluda al “ser”, se refiere al “deber ser”, pues debe interpretarse en el sentido de que los contratos de prestación de servicios profesionales </w:t>
      </w:r>
      <w:r w:rsidRPr="06B947FA">
        <w:rPr>
          <w:rFonts w:ascii="Verdana" w:hAnsi="Verdana" w:cs="Arial"/>
          <w:i/>
          <w:lang w:val="es-ES"/>
        </w:rPr>
        <w:t>no pueden</w:t>
      </w:r>
      <w:r w:rsidRPr="06B947FA">
        <w:rPr>
          <w:rFonts w:ascii="Verdana" w:hAnsi="Verdana" w:cs="Arial"/>
          <w:lang w:val="es-ES"/>
        </w:rPr>
        <w:t xml:space="preserve"> generar relación laboral, ni dar lugar a que las Entidades Estatales paguen por su cuenta los aportes al Sistema de Seguridad Social Integral del contratista. Tal como se indicó, no puede existir subordinación y dependencia; entonces, la relación laboral está proscrita y el contratista es quien, como “trabajador independiente” –como lo califican las normas de la seguridad social– debe cotizar por su cuenta y riesgo al Sistema de Seguridad Social Integral</w:t>
      </w:r>
      <w:r w:rsidRPr="06B947FA">
        <w:rPr>
          <w:vertAlign w:val="superscript"/>
          <w:lang w:val="es-ES"/>
        </w:rPr>
        <w:footnoteReference w:id="8"/>
      </w:r>
      <w:r w:rsidRPr="06B947FA">
        <w:rPr>
          <w:rFonts w:ascii="Verdana" w:hAnsi="Verdana" w:cs="Arial"/>
          <w:lang w:val="es-ES"/>
        </w:rPr>
        <w:t xml:space="preserve">. </w:t>
      </w:r>
    </w:p>
    <w:p w14:paraId="7A255185" w14:textId="77777777" w:rsidR="003C3AD2" w:rsidRPr="00870929" w:rsidRDefault="003C3AD2" w:rsidP="003C3AD2">
      <w:pPr>
        <w:pStyle w:val="Prrafodelista"/>
        <w:numPr>
          <w:ilvl w:val="0"/>
          <w:numId w:val="18"/>
        </w:numPr>
        <w:spacing w:after="120" w:line="276" w:lineRule="auto"/>
        <w:ind w:left="0" w:firstLine="720"/>
        <w:jc w:val="both"/>
        <w:rPr>
          <w:rFonts w:ascii="Verdana" w:eastAsia="Calibri" w:hAnsi="Verdana" w:cs="Arial"/>
          <w:color w:val="000000"/>
          <w:lang w:val="es-ES_tradnl" w:eastAsia="es-ES_tradnl"/>
        </w:rPr>
      </w:pPr>
      <w:r w:rsidRPr="00870929">
        <w:rPr>
          <w:rFonts w:ascii="Verdana" w:hAnsi="Verdana" w:cs="Arial"/>
          <w:noProof/>
          <w:lang w:val="es-ES_tradnl"/>
        </w:rPr>
        <w:lastRenderedPageBreak/>
        <w:t xml:space="preserve">Deben ser temporales. La </w:t>
      </w:r>
      <w:r w:rsidRPr="00870929">
        <w:rPr>
          <w:rFonts w:ascii="Verdana" w:eastAsia="Arial" w:hAnsi="Verdana" w:cs="Arial"/>
          <w:color w:val="000000"/>
        </w:rPr>
        <w:t>Sentencia de Unificación Jurisprudencial de 09 de septiembre de 2021, proferida por el Consejo de Estado</w:t>
      </w:r>
      <w:r w:rsidRPr="000F5D0F">
        <w:rPr>
          <w:bCs/>
          <w:vertAlign w:val="superscript"/>
        </w:rPr>
        <w:footnoteReference w:id="9"/>
      </w:r>
      <w:r w:rsidRPr="00870929">
        <w:rPr>
          <w:rFonts w:ascii="Verdana" w:hAnsi="Verdana" w:cs="Arial"/>
          <w:noProof/>
          <w:lang w:val="es-ES_tradnl"/>
        </w:rPr>
        <w:t>, frente a la duración del contrato de prestación de servicios señaló que, solo puede celebrarse por un “término estrictamente indispensable”. En ese entendido, la citada sentencia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p>
    <w:p w14:paraId="04B54D10" w14:textId="77777777" w:rsidR="003C3AD2" w:rsidRPr="00097DBE" w:rsidRDefault="003C3AD2" w:rsidP="003C3AD2">
      <w:pPr>
        <w:pStyle w:val="Prrafodelista"/>
        <w:numPr>
          <w:ilvl w:val="0"/>
          <w:numId w:val="18"/>
        </w:numPr>
        <w:spacing w:after="120" w:line="276" w:lineRule="auto"/>
        <w:ind w:left="0" w:firstLine="720"/>
        <w:jc w:val="both"/>
        <w:rPr>
          <w:rFonts w:ascii="Verdana" w:eastAsia="Calibri" w:hAnsi="Verdana" w:cs="Arial"/>
          <w:lang w:eastAsia="es-ES"/>
        </w:rPr>
      </w:pPr>
      <w:r w:rsidRPr="09A8E430">
        <w:rPr>
          <w:rFonts w:ascii="Verdana" w:eastAsia="Calibri" w:hAnsi="Verdana" w:cs="Arial"/>
          <w:color w:val="000000"/>
          <w:lang w:eastAsia="es-ES"/>
        </w:rPr>
        <w:t xml:space="preserve">Los contratos de prestación de servicios constituyen un </w:t>
      </w:r>
      <w:r w:rsidRPr="09A8E430">
        <w:rPr>
          <w:rFonts w:ascii="Verdana" w:eastAsia="Calibri" w:hAnsi="Verdana" w:cs="Arial"/>
          <w:i/>
          <w:color w:val="000000"/>
          <w:lang w:eastAsia="es-ES"/>
        </w:rPr>
        <w:t>género</w:t>
      </w:r>
      <w:r w:rsidRPr="09A8E430">
        <w:rPr>
          <w:rFonts w:ascii="Verdana" w:eastAsia="Calibri" w:hAnsi="Verdana" w:cs="Arial"/>
          <w:color w:val="000000"/>
          <w:lang w:eastAsia="es-ES"/>
        </w:rPr>
        <w:t xml:space="preserve"> que incluye, como </w:t>
      </w:r>
      <w:r w:rsidRPr="09A8E430">
        <w:rPr>
          <w:rFonts w:ascii="Verdana" w:eastAsia="Calibri" w:hAnsi="Verdana" w:cs="Arial"/>
          <w:i/>
          <w:color w:val="000000"/>
          <w:lang w:eastAsia="es-ES"/>
        </w:rPr>
        <w:t>especies</w:t>
      </w:r>
      <w:r w:rsidRPr="09A8E430">
        <w:rPr>
          <w:rFonts w:ascii="Verdana" w:eastAsia="Calibri" w:hAnsi="Verdana" w:cs="Arial"/>
          <w:color w:val="000000"/>
          <w:lang w:eastAsia="es-ES"/>
        </w:rPr>
        <w:t>, los contratos de prestación de servicios profesionales, los contratos de prestación de servicios de apoyo a la gestión y los contratos de prestación de servicios artísticos que solo pueden encomendarse a determinadas personas naturales</w:t>
      </w:r>
      <w:r w:rsidRPr="09A8E430">
        <w:rPr>
          <w:vertAlign w:val="superscript"/>
          <w:lang w:eastAsia="es-ES"/>
        </w:rPr>
        <w:footnoteReference w:id="10"/>
      </w:r>
      <w:r w:rsidRPr="09A8E430">
        <w:rPr>
          <w:rFonts w:ascii="Verdana" w:eastAsia="Calibri" w:hAnsi="Verdana" w:cs="Arial"/>
          <w:color w:val="000000"/>
          <w:lang w:eastAsia="es-ES"/>
        </w:rPr>
        <w:t xml:space="preserve">. La diferencia entre el contrato de prestación de servicios </w:t>
      </w:r>
      <w:r w:rsidRPr="09A8E430">
        <w:rPr>
          <w:rFonts w:ascii="Verdana" w:eastAsia="Calibri" w:hAnsi="Verdana" w:cs="Arial"/>
          <w:i/>
          <w:color w:val="000000"/>
          <w:lang w:eastAsia="es-ES"/>
        </w:rPr>
        <w:t>profesionales</w:t>
      </w:r>
      <w:r w:rsidRPr="09A8E430">
        <w:rPr>
          <w:rFonts w:ascii="Verdana" w:eastAsia="Calibri" w:hAnsi="Verdana" w:cs="Arial"/>
          <w:color w:val="000000"/>
          <w:lang w:eastAsia="es-ES"/>
        </w:rPr>
        <w:t xml:space="preserve"> con las otras dos especies del género en el cual se ubican radica en su contenido intelectual intangible y, al mismo tiempo, en la formación </w:t>
      </w:r>
      <w:r w:rsidRPr="09A8E430">
        <w:rPr>
          <w:rFonts w:ascii="Verdana" w:eastAsia="Calibri" w:hAnsi="Verdana" w:cs="Arial"/>
          <w:lang w:eastAsia="es-ES"/>
        </w:rPr>
        <w:t>profesional que se exige para desempeñar la labor</w:t>
      </w:r>
      <w:r w:rsidRPr="09A8E430">
        <w:rPr>
          <w:vertAlign w:val="superscript"/>
          <w:lang w:eastAsia="es-ES"/>
        </w:rPr>
        <w:footnoteReference w:id="11"/>
      </w:r>
      <w:r w:rsidRPr="09A8E430">
        <w:rPr>
          <w:rFonts w:ascii="Verdana" w:eastAsia="Calibri" w:hAnsi="Verdana" w:cs="Arial"/>
          <w:lang w:eastAsia="es-ES"/>
        </w:rPr>
        <w:t>.</w:t>
      </w:r>
    </w:p>
    <w:p w14:paraId="3A5A0819" w14:textId="77777777" w:rsidR="003C3AD2" w:rsidRPr="008D2F8A" w:rsidRDefault="003C3AD2" w:rsidP="003C3AD2">
      <w:pPr>
        <w:pStyle w:val="Prrafodelista"/>
        <w:widowControl w:val="0"/>
        <w:numPr>
          <w:ilvl w:val="0"/>
          <w:numId w:val="18"/>
        </w:numPr>
        <w:autoSpaceDE w:val="0"/>
        <w:autoSpaceDN w:val="0"/>
        <w:spacing w:after="0" w:line="276" w:lineRule="auto"/>
        <w:ind w:left="0" w:firstLine="720"/>
        <w:jc w:val="both"/>
        <w:rPr>
          <w:rFonts w:ascii="Verdana" w:eastAsia="Calibri" w:hAnsi="Verdana" w:cs="Arial"/>
          <w:color w:val="7030A0"/>
        </w:rPr>
      </w:pPr>
      <w:r w:rsidRPr="00097DBE">
        <w:rPr>
          <w:rFonts w:ascii="Verdana" w:hAnsi="Verdana" w:cs="Arial"/>
          <w:noProof/>
          <w:lang w:val="es-ES_tradnl"/>
        </w:rPr>
        <w:t xml:space="preserve">Se celebran a través de la modalidad de contratación directa, independientemente de la cuantía y del tipo de servicio profesional, siempre que su objeto no sea la consultoría. Esto por cuanto, como lo indicó </w:t>
      </w:r>
      <w:r w:rsidRPr="00097DBE">
        <w:rPr>
          <w:rFonts w:ascii="Verdana" w:eastAsia="Arial" w:hAnsi="Verdana" w:cs="Arial"/>
        </w:rPr>
        <w:t xml:space="preserve">Sentencia de </w:t>
      </w:r>
      <w:r w:rsidRPr="00097DBE">
        <w:rPr>
          <w:rFonts w:ascii="Verdana" w:eastAsia="Arial" w:hAnsi="Verdana" w:cs="Arial"/>
        </w:rPr>
        <w:lastRenderedPageBreak/>
        <w:t>Unificación Jurisprudencial de 09 de septiembre de 2021, proferida por el Consejo de Estado</w:t>
      </w:r>
      <w:r w:rsidRPr="00097DBE">
        <w:rPr>
          <w:bCs/>
          <w:vertAlign w:val="superscript"/>
        </w:rPr>
        <w:footnoteReference w:id="12"/>
      </w:r>
      <w:r w:rsidRPr="00097DBE">
        <w:rPr>
          <w:rFonts w:ascii="Verdana" w:hAnsi="Verdana" w:cs="Arial"/>
          <w:noProof/>
          <w:lang w:val="es-ES_tradnl"/>
        </w:rPr>
        <w:t xml:space="preserve">, si bien en ambos existe un componente intelectual y profesional, el objeto del contrato de consultoría es especial y debe celebrarse, por regla general, mediante </w:t>
      </w:r>
      <w:r w:rsidRPr="00870929">
        <w:rPr>
          <w:rFonts w:ascii="Verdana" w:hAnsi="Verdana" w:cs="Arial"/>
          <w:noProof/>
          <w:lang w:val="es-ES_tradnl"/>
        </w:rPr>
        <w:t>un concurso de méritos</w:t>
      </w:r>
      <w:r w:rsidRPr="000F5D0F">
        <w:rPr>
          <w:noProof/>
          <w:vertAlign w:val="superscript"/>
          <w:lang w:val="es-ES_tradnl"/>
        </w:rPr>
        <w:footnoteReference w:id="13"/>
      </w:r>
      <w:r w:rsidRPr="00870929">
        <w:rPr>
          <w:rFonts w:ascii="Verdana" w:hAnsi="Verdana" w:cs="Arial"/>
          <w:noProof/>
          <w:lang w:val="es-ES_tradnl"/>
        </w:rPr>
        <w:t>. Esto también se deriva d</w:t>
      </w:r>
      <w:r w:rsidRPr="00870929">
        <w:rPr>
          <w:rFonts w:ascii="Verdana" w:eastAsia="Calibri" w:hAnsi="Verdana" w:cs="Arial"/>
          <w:color w:val="000000" w:themeColor="text1"/>
          <w:lang w:val="es-ES_tradnl"/>
        </w:rPr>
        <w:t>el artículo 2, numeral 4º, literal h) de la Ley 1150 de 2007, al señalar que procede la contratación directa para la prestación de servicios profesionales y de apoyo a la gestión o para la ejecución de trabajos artísticos que solo pueden encomendarse a determinadas personas.</w:t>
      </w:r>
    </w:p>
    <w:p w14:paraId="2AF58425" w14:textId="77777777" w:rsidR="003C3AD2" w:rsidRPr="008D2F8A" w:rsidRDefault="003C3AD2" w:rsidP="003C3AD2">
      <w:pPr>
        <w:pStyle w:val="Prrafodelista"/>
        <w:numPr>
          <w:ilvl w:val="0"/>
          <w:numId w:val="18"/>
        </w:numPr>
        <w:spacing w:after="120" w:line="276" w:lineRule="auto"/>
        <w:ind w:left="0" w:firstLine="720"/>
        <w:jc w:val="both"/>
        <w:rPr>
          <w:rFonts w:ascii="Verdana" w:hAnsi="Verdana" w:cs="Arial"/>
          <w:noProof/>
          <w:lang w:val="es-ES_tradnl"/>
        </w:rPr>
      </w:pPr>
      <w:r w:rsidRPr="008D2F8A">
        <w:rPr>
          <w:rFonts w:ascii="Verdana" w:hAnsi="Verdana" w:cs="Arial"/>
          <w:noProof/>
          <w:lang w:val="es-ES_tradnl"/>
        </w:rPr>
        <w:t>Para su celebración no se requiere expedir un acto administrativo de justificación de la contratación directa</w:t>
      </w:r>
      <w:r w:rsidRPr="000F5D0F">
        <w:rPr>
          <w:noProof/>
          <w:vertAlign w:val="superscript"/>
          <w:lang w:val="es-ES_tradnl"/>
        </w:rPr>
        <w:footnoteReference w:id="14"/>
      </w:r>
      <w:r w:rsidRPr="008D2F8A">
        <w:rPr>
          <w:rFonts w:ascii="Verdana" w:hAnsi="Verdana" w:cs="Arial"/>
          <w:noProof/>
          <w:lang w:val="es-ES_tradnl"/>
        </w:rPr>
        <w:t>.</w:t>
      </w:r>
    </w:p>
    <w:p w14:paraId="27DB49D9" w14:textId="77777777" w:rsidR="003C3AD2" w:rsidRPr="008D2F8A" w:rsidRDefault="003C3AD2" w:rsidP="003C3AD2">
      <w:pPr>
        <w:pStyle w:val="Prrafodelista"/>
        <w:numPr>
          <w:ilvl w:val="0"/>
          <w:numId w:val="18"/>
        </w:numPr>
        <w:spacing w:after="120" w:line="276" w:lineRule="auto"/>
        <w:ind w:left="0" w:firstLine="698"/>
        <w:jc w:val="both"/>
        <w:rPr>
          <w:rFonts w:ascii="Verdana" w:hAnsi="Verdana" w:cs="Arial"/>
          <w:noProof/>
          <w:lang w:val="es-ES_tradnl"/>
        </w:rPr>
      </w:pPr>
      <w:r w:rsidRPr="008D2F8A">
        <w:rPr>
          <w:rFonts w:ascii="Verdana" w:hAnsi="Verdana" w:cs="Arial"/>
          <w:noProof/>
          <w:lang w:val="es-ES_tradnl"/>
        </w:rPr>
        <w:t>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0F5D0F">
        <w:rPr>
          <w:noProof/>
          <w:vertAlign w:val="superscript"/>
          <w:lang w:val="es-ES_tradnl"/>
        </w:rPr>
        <w:footnoteReference w:id="15"/>
      </w:r>
      <w:r w:rsidRPr="008D2F8A">
        <w:rPr>
          <w:rFonts w:ascii="Verdana" w:hAnsi="Verdana" w:cs="Arial"/>
          <w:noProof/>
          <w:lang w:val="es-ES_tradnl"/>
        </w:rPr>
        <w:t>.</w:t>
      </w:r>
    </w:p>
    <w:p w14:paraId="22ACCB79" w14:textId="77777777" w:rsidR="003C3AD2" w:rsidRPr="008D2F8A" w:rsidRDefault="003C3AD2" w:rsidP="003C3AD2">
      <w:pPr>
        <w:pStyle w:val="Prrafodelista"/>
        <w:numPr>
          <w:ilvl w:val="0"/>
          <w:numId w:val="18"/>
        </w:numPr>
        <w:spacing w:after="120" w:line="276" w:lineRule="auto"/>
        <w:ind w:left="0" w:firstLine="698"/>
        <w:jc w:val="both"/>
        <w:rPr>
          <w:rFonts w:ascii="Verdana" w:hAnsi="Verdana" w:cs="Arial"/>
          <w:noProof/>
          <w:lang w:val="es-ES_tradnl"/>
        </w:rPr>
      </w:pPr>
      <w:r w:rsidRPr="008D2F8A">
        <w:rPr>
          <w:rFonts w:ascii="Verdana" w:hAnsi="Verdana" w:cs="Arial"/>
          <w:noProof/>
          <w:lang w:val="es-ES_tradnl"/>
        </w:rPr>
        <w:lastRenderedPageBreak/>
        <w:t>No es obligatoria la liquidación de estos contratos, como lo establece el artículo 217 del Decreto 019 de 2012, que modificó el artículo 60 de la Ley 80 de 1993</w:t>
      </w:r>
      <w:r w:rsidRPr="000F5D0F">
        <w:rPr>
          <w:noProof/>
          <w:vertAlign w:val="superscript"/>
          <w:lang w:val="es-ES_tradnl"/>
        </w:rPr>
        <w:footnoteReference w:id="16"/>
      </w:r>
      <w:r w:rsidRPr="008D2F8A">
        <w:rPr>
          <w:rFonts w:ascii="Verdana" w:hAnsi="Verdana" w:cs="Arial"/>
          <w:noProof/>
          <w:lang w:val="es-ES_tradnl"/>
        </w:rPr>
        <w:t>.</w:t>
      </w:r>
    </w:p>
    <w:p w14:paraId="5A0698ED" w14:textId="77777777" w:rsidR="003C3AD2" w:rsidRPr="008D2F8A" w:rsidRDefault="003C3AD2" w:rsidP="003C3AD2">
      <w:pPr>
        <w:pStyle w:val="Prrafodelista"/>
        <w:numPr>
          <w:ilvl w:val="0"/>
          <w:numId w:val="18"/>
        </w:numPr>
        <w:spacing w:after="120" w:line="276" w:lineRule="auto"/>
        <w:ind w:left="0" w:firstLine="720"/>
        <w:jc w:val="both"/>
        <w:rPr>
          <w:rFonts w:ascii="Verdana" w:hAnsi="Verdana" w:cs="Arial"/>
          <w:noProof/>
          <w:lang w:val="es-ES_tradnl"/>
        </w:rPr>
      </w:pPr>
      <w:r w:rsidRPr="008D2F8A">
        <w:rPr>
          <w:rFonts w:ascii="Verdana" w:hAnsi="Verdana" w:cs="Arial"/>
          <w:noProof/>
          <w:lang w:val="es-ES_tradnl"/>
        </w:rPr>
        <w:t>Para su celebración el contratista no requiere estar inscrito en el Registro Único de Proponentes –en adelante RUP–, como lo señala el artículo 6 de la Ley 1150 de 2007</w:t>
      </w:r>
      <w:r w:rsidRPr="000F5D0F">
        <w:rPr>
          <w:noProof/>
          <w:vertAlign w:val="superscript"/>
          <w:lang w:val="es-ES_tradnl"/>
        </w:rPr>
        <w:footnoteReference w:id="17"/>
      </w:r>
      <w:r w:rsidRPr="008D2F8A">
        <w:rPr>
          <w:rFonts w:ascii="Verdana" w:hAnsi="Verdana" w:cs="Arial"/>
          <w:noProof/>
          <w:lang w:val="es-ES_tradnl"/>
        </w:rPr>
        <w:t>.</w:t>
      </w:r>
    </w:p>
    <w:p w14:paraId="4A25B03C" w14:textId="77777777" w:rsidR="003C3AD2" w:rsidRPr="008D2F8A" w:rsidRDefault="003C3AD2" w:rsidP="003C3AD2">
      <w:pPr>
        <w:pStyle w:val="Prrafodelista"/>
        <w:numPr>
          <w:ilvl w:val="0"/>
          <w:numId w:val="18"/>
        </w:numPr>
        <w:spacing w:after="120" w:line="276" w:lineRule="auto"/>
        <w:jc w:val="both"/>
        <w:rPr>
          <w:rFonts w:ascii="Verdana" w:hAnsi="Verdana" w:cs="Arial"/>
          <w:noProof/>
          <w:lang w:val="es-ES_tradnl"/>
        </w:rPr>
      </w:pPr>
      <w:r w:rsidRPr="008D2F8A">
        <w:rPr>
          <w:rFonts w:ascii="Verdana" w:hAnsi="Verdana" w:cs="Arial"/>
          <w:noProof/>
          <w:lang w:val="es-ES_tradnl"/>
        </w:rPr>
        <w:t>No es obligtoria la exigencia de garantías</w:t>
      </w:r>
      <w:r w:rsidRPr="000F5D0F">
        <w:rPr>
          <w:noProof/>
          <w:vertAlign w:val="superscript"/>
          <w:lang w:val="es-ES_tradnl"/>
        </w:rPr>
        <w:footnoteReference w:id="18"/>
      </w:r>
      <w:r w:rsidRPr="008D2F8A">
        <w:rPr>
          <w:rFonts w:ascii="Verdana" w:hAnsi="Verdana" w:cs="Arial"/>
          <w:noProof/>
          <w:lang w:val="es-ES_tradnl"/>
        </w:rPr>
        <w:t>.</w:t>
      </w:r>
    </w:p>
    <w:p w14:paraId="22E6DC78" w14:textId="77777777" w:rsidR="003C3AD2" w:rsidRPr="008D2F8A" w:rsidRDefault="003C3AD2" w:rsidP="003C3AD2">
      <w:pPr>
        <w:pStyle w:val="Prrafodelista"/>
        <w:numPr>
          <w:ilvl w:val="0"/>
          <w:numId w:val="18"/>
        </w:numPr>
        <w:spacing w:after="120" w:line="276" w:lineRule="auto"/>
        <w:ind w:left="0" w:firstLine="709"/>
        <w:jc w:val="both"/>
        <w:rPr>
          <w:rFonts w:ascii="Verdana" w:hAnsi="Verdana" w:cs="Arial"/>
          <w:noProof/>
          <w:lang w:val="es-ES_tradnl"/>
        </w:rPr>
      </w:pPr>
      <w:r w:rsidRPr="008D2F8A">
        <w:rPr>
          <w:rFonts w:ascii="Verdana" w:hAnsi="Verdana" w:cs="Arial"/>
          <w:noProof/>
          <w:lang w:val="es-ES_tradnl"/>
        </w:rPr>
        <w:t>Como los demás contratos estatales, se trata de un contrato solemne que debe constar por escrito y debe ser publicado en el SECOP.</w:t>
      </w:r>
    </w:p>
    <w:p w14:paraId="0DA4A5F0" w14:textId="77777777" w:rsidR="003C3AD2" w:rsidRPr="00292636" w:rsidRDefault="003C3AD2" w:rsidP="003C3AD2">
      <w:pPr>
        <w:spacing w:after="0" w:line="276" w:lineRule="auto"/>
        <w:rPr>
          <w:rFonts w:ascii="Verdana" w:hAnsi="Verdana"/>
        </w:rPr>
      </w:pPr>
    </w:p>
    <w:p w14:paraId="007EA076" w14:textId="77777777" w:rsidR="003C3AD2" w:rsidRPr="00292636" w:rsidRDefault="003C3AD2" w:rsidP="003C3AD2">
      <w:pPr>
        <w:spacing w:after="0" w:line="276" w:lineRule="auto"/>
        <w:rPr>
          <w:rFonts w:ascii="Verdana" w:hAnsi="Verdana"/>
          <w:b/>
          <w:bCs/>
        </w:rPr>
      </w:pPr>
      <w:r>
        <w:rPr>
          <w:rFonts w:ascii="Verdana" w:hAnsi="Verdana"/>
          <w:b/>
          <w:bCs/>
        </w:rPr>
        <w:t xml:space="preserve">4. </w:t>
      </w:r>
      <w:r w:rsidRPr="00292636">
        <w:rPr>
          <w:rFonts w:ascii="Verdana" w:hAnsi="Verdana"/>
          <w:b/>
          <w:bCs/>
        </w:rPr>
        <w:t>Referencias normativas, jurisprudenciales y otras fuentes:</w:t>
      </w:r>
    </w:p>
    <w:p w14:paraId="14DE9228" w14:textId="77777777" w:rsidR="003C3AD2" w:rsidRPr="00292636" w:rsidRDefault="003C3AD2" w:rsidP="003C3AD2">
      <w:pPr>
        <w:spacing w:after="0" w:line="276" w:lineRule="auto"/>
        <w:rPr>
          <w:rFonts w:ascii="Verdana" w:hAnsi="Verdana"/>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C3AD2" w:rsidRPr="00292636" w14:paraId="5AE823B6" w14:textId="77777777" w:rsidTr="00F45122">
        <w:trPr>
          <w:trHeight w:val="870"/>
        </w:trPr>
        <w:tc>
          <w:tcPr>
            <w:tcW w:w="8647" w:type="dxa"/>
          </w:tcPr>
          <w:p w14:paraId="3999C05B" w14:textId="77777777" w:rsidR="003C3AD2" w:rsidRPr="00292636" w:rsidRDefault="003C3AD2" w:rsidP="00F45122">
            <w:pPr>
              <w:numPr>
                <w:ilvl w:val="0"/>
                <w:numId w:val="17"/>
              </w:numPr>
              <w:spacing w:line="276" w:lineRule="auto"/>
              <w:jc w:val="both"/>
              <w:rPr>
                <w:rFonts w:ascii="Verdana" w:hAnsi="Verdana"/>
              </w:rPr>
            </w:pPr>
            <w:r w:rsidRPr="00292636">
              <w:rPr>
                <w:rFonts w:ascii="Verdana" w:hAnsi="Verdana"/>
              </w:rPr>
              <w:t xml:space="preserve">Ley 80 de 1993. Artículos 25 y 32, numeral 3°. </w:t>
            </w:r>
          </w:p>
          <w:p w14:paraId="5A752E66" w14:textId="77777777" w:rsidR="003C3AD2" w:rsidRPr="00292636" w:rsidRDefault="003C3AD2" w:rsidP="00F45122">
            <w:pPr>
              <w:numPr>
                <w:ilvl w:val="0"/>
                <w:numId w:val="17"/>
              </w:numPr>
              <w:spacing w:line="276" w:lineRule="auto"/>
              <w:jc w:val="both"/>
              <w:rPr>
                <w:rFonts w:ascii="Verdana" w:hAnsi="Verdana"/>
              </w:rPr>
            </w:pPr>
            <w:r w:rsidRPr="00292636">
              <w:rPr>
                <w:rFonts w:ascii="Verdana" w:hAnsi="Verdana"/>
              </w:rPr>
              <w:t>Ley 190 de 1995. Artículo 1</w:t>
            </w:r>
          </w:p>
          <w:p w14:paraId="5C81DE36" w14:textId="77777777" w:rsidR="003C3AD2" w:rsidRPr="00292636" w:rsidRDefault="003C3AD2" w:rsidP="00F45122">
            <w:pPr>
              <w:numPr>
                <w:ilvl w:val="0"/>
                <w:numId w:val="17"/>
              </w:numPr>
              <w:spacing w:line="276" w:lineRule="auto"/>
              <w:jc w:val="both"/>
              <w:rPr>
                <w:rFonts w:ascii="Verdana" w:hAnsi="Verdana"/>
              </w:rPr>
            </w:pPr>
            <w:r w:rsidRPr="00292636">
              <w:rPr>
                <w:rFonts w:ascii="Verdana" w:hAnsi="Verdana"/>
              </w:rPr>
              <w:t>Ley 270 de 1996. Artículo 85.</w:t>
            </w:r>
          </w:p>
          <w:p w14:paraId="7D36B1AD" w14:textId="77777777" w:rsidR="003C3AD2" w:rsidRPr="00292636" w:rsidRDefault="003C3AD2" w:rsidP="00F45122">
            <w:pPr>
              <w:numPr>
                <w:ilvl w:val="0"/>
                <w:numId w:val="17"/>
              </w:numPr>
              <w:spacing w:line="276" w:lineRule="auto"/>
              <w:jc w:val="both"/>
              <w:rPr>
                <w:rFonts w:ascii="Verdana" w:hAnsi="Verdana"/>
              </w:rPr>
            </w:pPr>
            <w:r w:rsidRPr="00292636">
              <w:rPr>
                <w:rFonts w:ascii="Verdana" w:hAnsi="Verdana"/>
              </w:rPr>
              <w:t xml:space="preserve">Ley 1150 de 2007. Artículo 2, numeral 4°, literal h) </w:t>
            </w:r>
          </w:p>
          <w:p w14:paraId="364B47EA" w14:textId="77777777" w:rsidR="003C3AD2" w:rsidRPr="00292636" w:rsidRDefault="003C3AD2" w:rsidP="00F45122">
            <w:pPr>
              <w:numPr>
                <w:ilvl w:val="0"/>
                <w:numId w:val="17"/>
              </w:numPr>
              <w:spacing w:line="276" w:lineRule="auto"/>
              <w:jc w:val="both"/>
              <w:rPr>
                <w:rFonts w:ascii="Verdana" w:hAnsi="Verdana"/>
              </w:rPr>
            </w:pPr>
            <w:r w:rsidRPr="00292636">
              <w:rPr>
                <w:rFonts w:ascii="Verdana" w:hAnsi="Verdana"/>
              </w:rPr>
              <w:t>Ley 1905 de 2018. Artículos 1 y 2.</w:t>
            </w:r>
          </w:p>
          <w:p w14:paraId="01129E79" w14:textId="77777777" w:rsidR="003C3AD2" w:rsidRPr="00292636" w:rsidRDefault="003C3AD2" w:rsidP="00F45122">
            <w:pPr>
              <w:numPr>
                <w:ilvl w:val="0"/>
                <w:numId w:val="17"/>
              </w:numPr>
              <w:spacing w:line="276" w:lineRule="auto"/>
              <w:jc w:val="both"/>
              <w:rPr>
                <w:rFonts w:ascii="Verdana" w:hAnsi="Verdana"/>
              </w:rPr>
            </w:pPr>
            <w:r w:rsidRPr="00292636">
              <w:rPr>
                <w:rFonts w:ascii="Verdana" w:hAnsi="Verdana"/>
              </w:rPr>
              <w:t xml:space="preserve">Decreto 196 de 1971. Artículos 1, 2, 4, 18 y 19. </w:t>
            </w:r>
          </w:p>
          <w:p w14:paraId="42563FDB" w14:textId="77777777" w:rsidR="003C3AD2" w:rsidRPr="00292636" w:rsidRDefault="003C3AD2" w:rsidP="00F45122">
            <w:pPr>
              <w:numPr>
                <w:ilvl w:val="0"/>
                <w:numId w:val="17"/>
              </w:numPr>
              <w:spacing w:line="276" w:lineRule="auto"/>
              <w:jc w:val="both"/>
              <w:rPr>
                <w:rFonts w:ascii="Verdana" w:hAnsi="Verdana"/>
                <w:lang w:val="es-ES"/>
              </w:rPr>
            </w:pPr>
            <w:r w:rsidRPr="00292636">
              <w:rPr>
                <w:rFonts w:ascii="Verdana" w:hAnsi="Verdana"/>
                <w:lang w:val="es-ES"/>
              </w:rPr>
              <w:t xml:space="preserve">El Decreto 1082 de 2015. Artículo 2.2.1.2.1.4.9. </w:t>
            </w:r>
          </w:p>
          <w:p w14:paraId="01DC7B5F" w14:textId="77777777" w:rsidR="003C3AD2" w:rsidRPr="00292636" w:rsidRDefault="003C3AD2" w:rsidP="00F45122">
            <w:pPr>
              <w:numPr>
                <w:ilvl w:val="0"/>
                <w:numId w:val="17"/>
              </w:numPr>
              <w:spacing w:line="276" w:lineRule="auto"/>
              <w:jc w:val="both"/>
              <w:rPr>
                <w:rFonts w:ascii="Verdana" w:hAnsi="Verdana"/>
              </w:rPr>
            </w:pPr>
            <w:r w:rsidRPr="00292636">
              <w:rPr>
                <w:rFonts w:ascii="Verdana" w:hAnsi="Verdana"/>
              </w:rPr>
              <w:lastRenderedPageBreak/>
              <w:t>CONSEJO SUPERIOR DE LA JUDICATURA. Acuerdo PSCJA24-12162 del 9 de abril de 2024.</w:t>
            </w:r>
          </w:p>
          <w:p w14:paraId="02759D0B" w14:textId="77777777" w:rsidR="003C3AD2" w:rsidRPr="00292636" w:rsidRDefault="003C3AD2" w:rsidP="00F45122">
            <w:pPr>
              <w:numPr>
                <w:ilvl w:val="0"/>
                <w:numId w:val="17"/>
              </w:numPr>
              <w:spacing w:line="276" w:lineRule="auto"/>
              <w:jc w:val="both"/>
              <w:rPr>
                <w:rFonts w:ascii="Verdana" w:hAnsi="Verdana"/>
                <w:lang w:val="es-ES"/>
              </w:rPr>
            </w:pPr>
            <w:r w:rsidRPr="00292636">
              <w:rPr>
                <w:rFonts w:ascii="Verdana" w:hAnsi="Verdana"/>
                <w:lang w:val="es-ES"/>
              </w:rPr>
              <w:t>CONSEJO DE ESTADO. Sección Tercera. Subsección C. Sentencia de Unificación del 2 de diciembre de 2013. Exp. 41.719. C.P. Jaime Orlando Santofimio Gamboa.</w:t>
            </w:r>
          </w:p>
          <w:p w14:paraId="751664F2" w14:textId="77777777" w:rsidR="003C3AD2" w:rsidRPr="00292636" w:rsidRDefault="003C3AD2" w:rsidP="00F45122">
            <w:pPr>
              <w:numPr>
                <w:ilvl w:val="0"/>
                <w:numId w:val="17"/>
              </w:numPr>
              <w:spacing w:line="276" w:lineRule="auto"/>
              <w:jc w:val="both"/>
              <w:rPr>
                <w:rFonts w:ascii="Verdana" w:hAnsi="Verdana"/>
              </w:rPr>
            </w:pPr>
            <w:r w:rsidRPr="00292636">
              <w:rPr>
                <w:rFonts w:ascii="Verdana" w:hAnsi="Verdana"/>
              </w:rPr>
              <w:t>CORTE CONSTITUCIONAL. Sentencia C – 697 del 14 de junio de 2000. Expediente D-2662. M. P. Eduardo Cifuentes Muñoz.</w:t>
            </w:r>
          </w:p>
          <w:p w14:paraId="772B805B" w14:textId="77777777" w:rsidR="003C3AD2" w:rsidRPr="00292636" w:rsidRDefault="003C3AD2" w:rsidP="00F45122">
            <w:pPr>
              <w:numPr>
                <w:ilvl w:val="0"/>
                <w:numId w:val="17"/>
              </w:numPr>
              <w:spacing w:line="276" w:lineRule="auto"/>
              <w:jc w:val="both"/>
              <w:rPr>
                <w:rFonts w:ascii="Verdana" w:hAnsi="Verdana"/>
              </w:rPr>
            </w:pPr>
            <w:r w:rsidRPr="00292636">
              <w:rPr>
                <w:rFonts w:ascii="Verdana" w:hAnsi="Verdana"/>
              </w:rPr>
              <w:t>CORTE CONSTITUCIONAL, Sentencia SU-128 del 18 de abril de 2024.  M.P. Natalia Ángel Cabo.</w:t>
            </w:r>
          </w:p>
        </w:tc>
      </w:tr>
    </w:tbl>
    <w:p w14:paraId="16AED250" w14:textId="77777777" w:rsidR="003C3AD2" w:rsidRDefault="003C3AD2" w:rsidP="003C3AD2">
      <w:pPr>
        <w:spacing w:after="0" w:line="276" w:lineRule="auto"/>
        <w:rPr>
          <w:rFonts w:ascii="Verdana" w:hAnsi="Verdana"/>
        </w:rPr>
      </w:pPr>
    </w:p>
    <w:p w14:paraId="4BC70EB2" w14:textId="77777777" w:rsidR="003C3AD2" w:rsidRPr="00E41C1C" w:rsidRDefault="003C3AD2" w:rsidP="003C3AD2">
      <w:pPr>
        <w:spacing w:after="0" w:line="276" w:lineRule="auto"/>
        <w:rPr>
          <w:rFonts w:ascii="Verdana" w:hAnsi="Verdana"/>
          <w:b/>
          <w:bCs/>
        </w:rPr>
      </w:pPr>
      <w:r w:rsidRPr="00E41C1C">
        <w:rPr>
          <w:rFonts w:ascii="Verdana" w:hAnsi="Verdana"/>
          <w:b/>
          <w:bCs/>
        </w:rPr>
        <w:t>5.</w:t>
      </w:r>
      <w:r>
        <w:rPr>
          <w:rFonts w:ascii="Verdana" w:hAnsi="Verdana"/>
        </w:rPr>
        <w:t xml:space="preserve"> </w:t>
      </w:r>
      <w:r w:rsidRPr="00E41C1C">
        <w:rPr>
          <w:rFonts w:ascii="Verdana" w:hAnsi="Verdana"/>
          <w:b/>
          <w:bCs/>
        </w:rPr>
        <w:t>Doctrina de la Agencia Nacional de Contratación Pública:</w:t>
      </w:r>
    </w:p>
    <w:p w14:paraId="2E8B8F04" w14:textId="77777777" w:rsidR="003C3AD2" w:rsidRPr="00292636" w:rsidRDefault="003C3AD2" w:rsidP="003C3AD2">
      <w:pPr>
        <w:spacing w:after="0" w:line="276" w:lineRule="auto"/>
        <w:jc w:val="both"/>
        <w:rPr>
          <w:rFonts w:ascii="Verdana" w:hAnsi="Verdana"/>
        </w:rPr>
      </w:pPr>
    </w:p>
    <w:p w14:paraId="3AFA69D0" w14:textId="77777777" w:rsidR="003C3AD2" w:rsidRPr="00292636" w:rsidRDefault="003C3AD2" w:rsidP="003C3AD2">
      <w:pPr>
        <w:spacing w:after="0"/>
        <w:jc w:val="both"/>
        <w:rPr>
          <w:rFonts w:ascii="Verdana" w:hAnsi="Verdana"/>
        </w:rPr>
      </w:pPr>
      <w:r w:rsidRPr="00292636">
        <w:rPr>
          <w:rFonts w:ascii="Verdana" w:hAnsi="Verdana"/>
          <w:lang w:val="es-ES"/>
        </w:rPr>
        <w:t xml:space="preserve">La Subdirección de Gestión Contractual se ha pronunciado </w:t>
      </w:r>
      <w:r w:rsidRPr="00292636">
        <w:rPr>
          <w:rFonts w:ascii="Verdana" w:hAnsi="Verdana"/>
        </w:rPr>
        <w:t xml:space="preserve">frente a la experiencia profesional y la forma de verificarse, en los conceptos C-231 del 13 de abril de 2020, C-212 del 14 de abril de 2020, C-317 de 10 de junio de 2020, C-337 del 26 de junio de 2020, C-355 del 4 de junio de 2020, C-353 del 30 de junio de 2020, C-457 del 7 de julio de 2020, C- 357 de agosto de 2024, C-279 de agosto 09 de 2024, C-409 del 6 de septiembre de 2024, C-510 del 03 de octubre de 2024, C-757 de 4 diciembre de 2024 </w:t>
      </w:r>
      <w:r>
        <w:rPr>
          <w:rFonts w:ascii="Verdana" w:hAnsi="Verdana"/>
        </w:rPr>
        <w:t>,</w:t>
      </w:r>
      <w:r w:rsidRPr="00292636">
        <w:rPr>
          <w:rFonts w:ascii="Verdana" w:hAnsi="Verdana"/>
        </w:rPr>
        <w:t xml:space="preserve"> C-938 de 27 de diciembre de 2024</w:t>
      </w:r>
      <w:r>
        <w:rPr>
          <w:rFonts w:ascii="Verdana" w:hAnsi="Verdana"/>
        </w:rPr>
        <w:t>, C -523 del 09 de junio de 2025 y C-823 de 2025</w:t>
      </w:r>
      <w:r w:rsidRPr="00292636">
        <w:rPr>
          <w:rFonts w:ascii="Verdana" w:hAnsi="Verdana"/>
        </w:rPr>
        <w:t xml:space="preserve">.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292636">
          <w:rPr>
            <w:rStyle w:val="Hipervnculo"/>
            <w:rFonts w:ascii="Verdana" w:hAnsi="Verdana"/>
            <w:lang w:val="es-ES"/>
          </w:rPr>
          <w:t>https://relatoria.colombiacompra.gov.co/busqueda/conceptos</w:t>
        </w:r>
      </w:hyperlink>
      <w:r w:rsidRPr="00292636">
        <w:rPr>
          <w:rFonts w:ascii="Verdana" w:hAnsi="Verdana"/>
        </w:rPr>
        <w:t xml:space="preserve">. </w:t>
      </w:r>
    </w:p>
    <w:p w14:paraId="33BA36D7" w14:textId="77777777" w:rsidR="003C3AD2" w:rsidRDefault="003C3AD2" w:rsidP="003C3AD2">
      <w:pPr>
        <w:spacing w:after="0"/>
        <w:rPr>
          <w:rFonts w:ascii="Verdana" w:hAnsi="Verdana"/>
        </w:rPr>
      </w:pPr>
    </w:p>
    <w:p w14:paraId="09D6ADA0" w14:textId="77777777" w:rsidR="003C3AD2" w:rsidRPr="00B45B4E" w:rsidRDefault="003C3AD2" w:rsidP="003C3AD2">
      <w:pPr>
        <w:spacing w:after="0" w:line="276" w:lineRule="auto"/>
        <w:jc w:val="both"/>
        <w:rPr>
          <w:rFonts w:ascii="Verdana" w:hAnsi="Verdana" w:cs="Arial"/>
        </w:rPr>
      </w:pPr>
      <w:r w:rsidRPr="00B45B4E">
        <w:rPr>
          <w:rFonts w:ascii="Verdana" w:hAnsi="Verdana" w:cs="Arial"/>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BCF8C99" w14:textId="77777777" w:rsidR="003C3AD2" w:rsidRPr="00B45B4E" w:rsidRDefault="003C3AD2" w:rsidP="003C3AD2">
      <w:pPr>
        <w:spacing w:after="0" w:line="276" w:lineRule="auto"/>
        <w:jc w:val="both"/>
        <w:rPr>
          <w:rFonts w:ascii="Verdana" w:hAnsi="Verdana" w:cs="Arial"/>
        </w:rPr>
      </w:pPr>
    </w:p>
    <w:p w14:paraId="34518946" w14:textId="77777777" w:rsidR="003C3AD2" w:rsidRPr="00B45B4E" w:rsidRDefault="003C3AD2" w:rsidP="003C3AD2">
      <w:pPr>
        <w:pStyle w:val="Prrafodelista"/>
        <w:numPr>
          <w:ilvl w:val="0"/>
          <w:numId w:val="15"/>
        </w:numPr>
        <w:spacing w:after="0" w:line="276" w:lineRule="auto"/>
        <w:jc w:val="both"/>
        <w:rPr>
          <w:rFonts w:ascii="Verdana" w:hAnsi="Verdana" w:cs="Arial"/>
        </w:rPr>
      </w:pPr>
      <w:r w:rsidRPr="00B45B4E">
        <w:rPr>
          <w:rFonts w:ascii="Verdana" w:hAnsi="Verdana" w:cs="Arial"/>
        </w:rPr>
        <w:t>Línea nacional gratuita o servicio a la ciudadanía: 01800 0520808</w:t>
      </w:r>
    </w:p>
    <w:p w14:paraId="370C050B" w14:textId="77777777" w:rsidR="003C3AD2" w:rsidRPr="00B45B4E" w:rsidRDefault="003C3AD2" w:rsidP="003C3AD2">
      <w:pPr>
        <w:pStyle w:val="Prrafodelista"/>
        <w:numPr>
          <w:ilvl w:val="0"/>
          <w:numId w:val="15"/>
        </w:numPr>
        <w:spacing w:after="0" w:line="276" w:lineRule="auto"/>
        <w:jc w:val="both"/>
        <w:rPr>
          <w:rFonts w:ascii="Verdana" w:hAnsi="Verdana" w:cs="Arial"/>
        </w:rPr>
      </w:pPr>
      <w:r w:rsidRPr="00B45B4E">
        <w:rPr>
          <w:rFonts w:ascii="Verdana" w:hAnsi="Verdana" w:cs="Arial"/>
        </w:rPr>
        <w:t>Línea en Bogotá D.C. (Mesa de servicio): +57 601 7456788</w:t>
      </w:r>
    </w:p>
    <w:p w14:paraId="632A3CD4" w14:textId="77777777" w:rsidR="003C3AD2" w:rsidRPr="00B45B4E" w:rsidRDefault="003C3AD2" w:rsidP="003C3AD2">
      <w:pPr>
        <w:pStyle w:val="Prrafodelista"/>
        <w:numPr>
          <w:ilvl w:val="0"/>
          <w:numId w:val="15"/>
        </w:numPr>
        <w:spacing w:after="0" w:line="276" w:lineRule="auto"/>
        <w:jc w:val="both"/>
        <w:rPr>
          <w:rFonts w:ascii="Verdana" w:hAnsi="Verdana" w:cs="Arial"/>
        </w:rPr>
      </w:pPr>
      <w:r w:rsidRPr="00B45B4E">
        <w:rPr>
          <w:rFonts w:ascii="Verdana" w:hAnsi="Verdana" w:cs="Arial"/>
        </w:rPr>
        <w:t>Línea de servicio y atención al ciudadano: +57 601 7956600</w:t>
      </w:r>
    </w:p>
    <w:p w14:paraId="666C75F1" w14:textId="77777777" w:rsidR="003C3AD2" w:rsidRPr="00B45B4E" w:rsidRDefault="003C3AD2" w:rsidP="003C3AD2">
      <w:pPr>
        <w:numPr>
          <w:ilvl w:val="0"/>
          <w:numId w:val="15"/>
        </w:numPr>
        <w:spacing w:before="100" w:beforeAutospacing="1" w:after="100" w:afterAutospacing="1" w:line="276" w:lineRule="auto"/>
        <w:rPr>
          <w:rFonts w:ascii="Verdana" w:hAnsi="Verdana" w:cs="Arial"/>
          <w:color w:val="2F5496" w:themeColor="accent1" w:themeShade="BF"/>
        </w:rPr>
      </w:pPr>
      <w:r w:rsidRPr="00B45B4E">
        <w:rPr>
          <w:rFonts w:ascii="Verdana" w:hAnsi="Verdana" w:cs="Arial"/>
        </w:rPr>
        <w:t>Correo de PQRSD:</w:t>
      </w:r>
      <w:r w:rsidRPr="00B45B4E">
        <w:rPr>
          <w:rFonts w:ascii="Verdana" w:hAnsi="Verdana" w:cs="Arial"/>
          <w:color w:val="2F5496" w:themeColor="accent1" w:themeShade="BF"/>
        </w:rPr>
        <w:t xml:space="preserve"> </w:t>
      </w:r>
      <w:hyperlink r:id="rId13" w:history="1">
        <w:r w:rsidRPr="00B45B4E">
          <w:rPr>
            <w:rStyle w:val="Hipervnculo"/>
            <w:rFonts w:ascii="Verdana" w:hAnsi="Verdana" w:cs="Arial"/>
            <w:color w:val="2F5496" w:themeColor="accent1" w:themeShade="BF"/>
          </w:rPr>
          <w:t>ventanillaunicaderadicacion@colombicompra.gov.co</w:t>
        </w:r>
      </w:hyperlink>
    </w:p>
    <w:p w14:paraId="69F59217" w14:textId="77777777" w:rsidR="003C3AD2" w:rsidRPr="00B45B4E" w:rsidRDefault="003C3AD2" w:rsidP="003C3AD2">
      <w:pPr>
        <w:pStyle w:val="Prrafodelista"/>
        <w:numPr>
          <w:ilvl w:val="0"/>
          <w:numId w:val="15"/>
        </w:numPr>
        <w:spacing w:after="0" w:line="276" w:lineRule="auto"/>
        <w:jc w:val="both"/>
        <w:rPr>
          <w:rFonts w:ascii="Verdana" w:hAnsi="Verdana" w:cs="Arial"/>
          <w:color w:val="2F5496" w:themeColor="accent1" w:themeShade="BF"/>
        </w:rPr>
      </w:pPr>
      <w:r w:rsidRPr="00B45B4E">
        <w:rPr>
          <w:rFonts w:ascii="Verdana" w:hAnsi="Verdana" w:cs="Arial"/>
        </w:rPr>
        <w:t xml:space="preserve">Página web: </w:t>
      </w:r>
      <w:hyperlink r:id="rId14" w:history="1">
        <w:r w:rsidRPr="00B45B4E">
          <w:rPr>
            <w:rStyle w:val="Hipervnculo"/>
            <w:rFonts w:ascii="Verdana" w:hAnsi="Verdana" w:cs="Arial"/>
            <w:color w:val="2F5496" w:themeColor="accent1" w:themeShade="BF"/>
          </w:rPr>
          <w:t>www.colombiacompra.gov.co</w:t>
        </w:r>
      </w:hyperlink>
    </w:p>
    <w:p w14:paraId="0CF259A5" w14:textId="77777777" w:rsidR="003C3AD2" w:rsidRPr="00B45B4E" w:rsidRDefault="003C3AD2" w:rsidP="003C3AD2">
      <w:pPr>
        <w:pStyle w:val="Prrafodelista"/>
        <w:spacing w:after="0" w:line="276" w:lineRule="auto"/>
        <w:ind w:left="785"/>
        <w:jc w:val="both"/>
        <w:rPr>
          <w:rFonts w:ascii="Verdana" w:hAnsi="Verdana" w:cs="Arial"/>
        </w:rPr>
      </w:pPr>
    </w:p>
    <w:p w14:paraId="4865C7E3" w14:textId="77777777" w:rsidR="003C3AD2" w:rsidRPr="00B45B4E" w:rsidRDefault="003C3AD2" w:rsidP="003C3AD2">
      <w:pPr>
        <w:spacing w:after="0" w:line="276" w:lineRule="auto"/>
        <w:jc w:val="both"/>
        <w:rPr>
          <w:rFonts w:ascii="Verdana" w:hAnsi="Verdana" w:cs="Arial"/>
        </w:rPr>
      </w:pPr>
      <w:r w:rsidRPr="00B45B4E">
        <w:rPr>
          <w:rFonts w:ascii="Verdana" w:hAnsi="Verdana" w:cs="Arial"/>
        </w:rPr>
        <w:lastRenderedPageBreak/>
        <w:t xml:space="preserve">Por último, lo invitamos a seguirnos en las redes sociales en las cuales se difunde información institucional: </w:t>
      </w:r>
    </w:p>
    <w:p w14:paraId="03B22B1B" w14:textId="77777777" w:rsidR="003C3AD2" w:rsidRPr="00B45B4E" w:rsidRDefault="003C3AD2" w:rsidP="003C3AD2">
      <w:pPr>
        <w:spacing w:after="0" w:line="276" w:lineRule="auto"/>
        <w:jc w:val="both"/>
        <w:rPr>
          <w:rFonts w:ascii="Verdana" w:hAnsi="Verdana" w:cs="Arial"/>
        </w:rPr>
      </w:pPr>
      <w:r w:rsidRPr="00B45B4E">
        <w:rPr>
          <w:rFonts w:ascii="Verdana" w:hAnsi="Verdana" w:cs="Arial"/>
        </w:rPr>
        <w:t xml:space="preserve">Twitter: </w:t>
      </w:r>
      <w:r w:rsidRPr="00B45B4E">
        <w:rPr>
          <w:rStyle w:val="Hipervnculo"/>
          <w:rFonts w:ascii="Verdana" w:hAnsi="Verdana" w:cs="Arial"/>
          <w:color w:val="2F5496" w:themeColor="accent1" w:themeShade="BF"/>
        </w:rPr>
        <w:t>@colombiacompra</w:t>
      </w:r>
      <w:r w:rsidRPr="00B45B4E">
        <w:rPr>
          <w:rFonts w:ascii="Verdana" w:hAnsi="Verdana" w:cs="Arial"/>
          <w:color w:val="2F5496" w:themeColor="accent1" w:themeShade="BF"/>
        </w:rPr>
        <w:t xml:space="preserve"> </w:t>
      </w:r>
    </w:p>
    <w:p w14:paraId="652C63E7" w14:textId="77777777" w:rsidR="003C3AD2" w:rsidRPr="00B45B4E" w:rsidRDefault="003C3AD2" w:rsidP="003C3AD2">
      <w:pPr>
        <w:spacing w:after="0" w:line="276" w:lineRule="auto"/>
        <w:jc w:val="both"/>
        <w:rPr>
          <w:rFonts w:ascii="Verdana" w:hAnsi="Verdana" w:cs="Arial"/>
        </w:rPr>
      </w:pPr>
      <w:r w:rsidRPr="00B45B4E">
        <w:rPr>
          <w:rFonts w:ascii="Verdana" w:hAnsi="Verdana" w:cs="Arial"/>
        </w:rPr>
        <w:t xml:space="preserve">Facebook: </w:t>
      </w:r>
      <w:r w:rsidRPr="00B45B4E">
        <w:rPr>
          <w:rStyle w:val="Hipervnculo"/>
          <w:rFonts w:ascii="Verdana" w:hAnsi="Verdana" w:cs="Arial"/>
          <w:color w:val="2F5496" w:themeColor="accent1" w:themeShade="BF"/>
        </w:rPr>
        <w:t>ColombiaCompraEficiente</w:t>
      </w:r>
    </w:p>
    <w:p w14:paraId="73017E7D" w14:textId="77777777" w:rsidR="003C3AD2" w:rsidRPr="00CF029B" w:rsidRDefault="003C3AD2" w:rsidP="003C3AD2">
      <w:pPr>
        <w:spacing w:after="0" w:line="276" w:lineRule="auto"/>
        <w:jc w:val="both"/>
        <w:rPr>
          <w:rFonts w:ascii="Verdana" w:hAnsi="Verdana" w:cs="Arial"/>
        </w:rPr>
      </w:pPr>
      <w:r w:rsidRPr="00B45B4E">
        <w:rPr>
          <w:rFonts w:ascii="Verdana" w:hAnsi="Verdana" w:cs="Arial"/>
        </w:rPr>
        <w:t xml:space="preserve">LinkedIn: </w:t>
      </w:r>
      <w:r w:rsidRPr="00B45B4E">
        <w:rPr>
          <w:rStyle w:val="Hipervnculo"/>
          <w:rFonts w:ascii="Verdana" w:hAnsi="Verdana" w:cs="Arial"/>
          <w:color w:val="2F5496" w:themeColor="accent1" w:themeShade="BF"/>
        </w:rPr>
        <w:t>Agencia Nacional de Contratación Pública - Colombia Compra Eficiente</w:t>
      </w:r>
      <w:r w:rsidRPr="00B45B4E">
        <w:rPr>
          <w:rFonts w:ascii="Verdana" w:hAnsi="Verdana" w:cs="Arial"/>
          <w:color w:val="2F5496" w:themeColor="accent1" w:themeShade="BF"/>
        </w:rPr>
        <w:t xml:space="preserve"> </w:t>
      </w:r>
      <w:r w:rsidRPr="00B45B4E">
        <w:rPr>
          <w:rFonts w:ascii="Verdana" w:hAnsi="Verdana" w:cs="Arial"/>
        </w:rPr>
        <w:t xml:space="preserve">Instagram: </w:t>
      </w:r>
      <w:r w:rsidRPr="00B45B4E">
        <w:rPr>
          <w:rStyle w:val="Hipervnculo"/>
          <w:rFonts w:ascii="Verdana" w:hAnsi="Verdana" w:cs="Arial"/>
          <w:color w:val="2F5496" w:themeColor="accent1" w:themeShade="BF"/>
        </w:rPr>
        <w:t>@colombiacompraeficiente_cc</w:t>
      </w:r>
    </w:p>
    <w:p w14:paraId="1B5E7EFE" w14:textId="77777777" w:rsidR="003C3AD2" w:rsidRPr="00185EE9" w:rsidRDefault="003C3AD2" w:rsidP="003C3AD2">
      <w:pPr>
        <w:spacing w:after="0" w:line="256" w:lineRule="auto"/>
        <w:jc w:val="both"/>
        <w:rPr>
          <w:rFonts w:ascii="Verdana" w:eastAsia="Calibri" w:hAnsi="Verdana" w:cs="Times New Roman"/>
        </w:rPr>
      </w:pPr>
    </w:p>
    <w:p w14:paraId="133A9A3D" w14:textId="77777777" w:rsidR="003C3AD2" w:rsidRDefault="003C3AD2" w:rsidP="003C3AD2">
      <w:pPr>
        <w:spacing w:after="0" w:line="256" w:lineRule="auto"/>
        <w:jc w:val="both"/>
        <w:rPr>
          <w:rFonts w:ascii="Verdana" w:eastAsia="Calibri" w:hAnsi="Verdana" w:cs="Times New Roman"/>
        </w:rPr>
      </w:pPr>
      <w:r w:rsidRPr="326354FF">
        <w:rPr>
          <w:rFonts w:ascii="Verdana" w:eastAsia="Calibri" w:hAnsi="Verdana" w:cs="Times New Roman"/>
        </w:rPr>
        <w:t>Atentamente,</w:t>
      </w:r>
    </w:p>
    <w:p w14:paraId="4A3BBFF8" w14:textId="77777777" w:rsidR="003C3AD2" w:rsidRDefault="003C3AD2" w:rsidP="003C3AD2">
      <w:pPr>
        <w:spacing w:after="0" w:line="256" w:lineRule="auto"/>
        <w:jc w:val="both"/>
        <w:rPr>
          <w:rFonts w:ascii="Verdana" w:eastAsia="Calibri" w:hAnsi="Verdana" w:cs="Times New Roman"/>
        </w:rPr>
      </w:pPr>
    </w:p>
    <w:p w14:paraId="71407491" w14:textId="78CC70CB" w:rsidR="003C3AD2" w:rsidRPr="00B658F5" w:rsidRDefault="009922DB" w:rsidP="003C3AD2">
      <w:pPr>
        <w:spacing w:line="276" w:lineRule="auto"/>
        <w:jc w:val="center"/>
        <w:rPr>
          <w:rFonts w:ascii="Verdana" w:hAnsi="Verdana"/>
          <w:noProof/>
        </w:rPr>
      </w:pPr>
      <w:r w:rsidRPr="002C3AD6">
        <w:rPr>
          <w:rFonts w:ascii="Century Gothic" w:hAnsi="Century Gothic"/>
          <w:noProof/>
        </w:rPr>
        <w:drawing>
          <wp:inline distT="0" distB="0" distL="0" distR="0" wp14:anchorId="56102071" wp14:editId="43B9834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C3AD2" w:rsidRPr="003E2DA1" w14:paraId="730B9DF9" w14:textId="77777777" w:rsidTr="00F45122">
        <w:trPr>
          <w:trHeight w:val="315"/>
        </w:trPr>
        <w:tc>
          <w:tcPr>
            <w:tcW w:w="893" w:type="dxa"/>
            <w:vAlign w:val="center"/>
            <w:hideMark/>
          </w:tcPr>
          <w:p w14:paraId="50C4D8F5" w14:textId="77777777" w:rsidR="003C3AD2" w:rsidRPr="003E2DA1" w:rsidRDefault="003C3AD2" w:rsidP="00F45122">
            <w:pPr>
              <w:contextualSpacing/>
              <w:rPr>
                <w:rFonts w:ascii="Verdana" w:hAnsi="Verdana" w:cs="Arial"/>
                <w:sz w:val="16"/>
                <w:szCs w:val="16"/>
                <w:lang w:val="es-ES" w:eastAsia="es-ES"/>
              </w:rPr>
            </w:pPr>
            <w:r w:rsidRPr="003E2DA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AC419A1" w14:textId="77777777" w:rsidR="003C3AD2" w:rsidRPr="003E2DA1" w:rsidRDefault="003C3AD2" w:rsidP="00F45122">
            <w:pPr>
              <w:spacing w:line="276" w:lineRule="auto"/>
              <w:contextualSpacing/>
              <w:jc w:val="both"/>
              <w:rPr>
                <w:rFonts w:ascii="Verdana" w:hAnsi="Verdana"/>
                <w:sz w:val="16"/>
                <w:szCs w:val="16"/>
              </w:rPr>
            </w:pPr>
            <w:r>
              <w:rPr>
                <w:rFonts w:ascii="Verdana" w:hAnsi="Verdana"/>
                <w:sz w:val="16"/>
                <w:szCs w:val="16"/>
              </w:rPr>
              <w:t xml:space="preserve">Diana </w:t>
            </w:r>
            <w:r w:rsidRPr="003E2DA1">
              <w:rPr>
                <w:rFonts w:ascii="Verdana" w:hAnsi="Verdana"/>
                <w:sz w:val="16"/>
                <w:szCs w:val="16"/>
              </w:rPr>
              <w:t xml:space="preserve">Carolina Blanco Rodriguez </w:t>
            </w:r>
          </w:p>
          <w:p w14:paraId="4017FB2C" w14:textId="77777777" w:rsidR="003C3AD2" w:rsidRPr="003E2DA1" w:rsidRDefault="003C3AD2" w:rsidP="00F45122">
            <w:pPr>
              <w:contextualSpacing/>
              <w:rPr>
                <w:rFonts w:ascii="Verdana" w:eastAsia="Arial" w:hAnsi="Verdana" w:cs="Arial"/>
                <w:sz w:val="16"/>
                <w:szCs w:val="16"/>
              </w:rPr>
            </w:pPr>
            <w:r w:rsidRPr="003E2DA1">
              <w:rPr>
                <w:rFonts w:ascii="Verdana" w:hAnsi="Verdana"/>
                <w:sz w:val="16"/>
                <w:szCs w:val="16"/>
              </w:rPr>
              <w:t>Contratista de la Subdirección de Gestión Contractual</w:t>
            </w:r>
          </w:p>
        </w:tc>
      </w:tr>
      <w:tr w:rsidR="003C3AD2" w:rsidRPr="003E2DA1" w14:paraId="0A878817" w14:textId="77777777" w:rsidTr="00F45122">
        <w:trPr>
          <w:trHeight w:val="330"/>
        </w:trPr>
        <w:tc>
          <w:tcPr>
            <w:tcW w:w="893" w:type="dxa"/>
            <w:vAlign w:val="center"/>
            <w:hideMark/>
          </w:tcPr>
          <w:p w14:paraId="1FB8553E" w14:textId="77777777" w:rsidR="003C3AD2" w:rsidRPr="003E2DA1" w:rsidRDefault="003C3AD2" w:rsidP="00F45122">
            <w:pPr>
              <w:contextualSpacing/>
              <w:rPr>
                <w:rFonts w:ascii="Verdana" w:hAnsi="Verdana" w:cs="Arial"/>
                <w:sz w:val="16"/>
                <w:szCs w:val="16"/>
                <w:lang w:val="es-ES" w:eastAsia="es-ES"/>
              </w:rPr>
            </w:pPr>
            <w:r w:rsidRPr="003E2DA1">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DAAE1B1" w14:textId="77777777" w:rsidR="003C3AD2" w:rsidRPr="003E2DA1" w:rsidRDefault="003C3AD2" w:rsidP="00F45122">
            <w:pPr>
              <w:spacing w:line="276" w:lineRule="auto"/>
              <w:contextualSpacing/>
              <w:jc w:val="both"/>
              <w:rPr>
                <w:rFonts w:ascii="Verdana" w:hAnsi="Verdana"/>
                <w:sz w:val="16"/>
                <w:szCs w:val="16"/>
              </w:rPr>
            </w:pPr>
            <w:r w:rsidRPr="003E2DA1">
              <w:rPr>
                <w:rFonts w:ascii="Verdana" w:hAnsi="Verdana"/>
                <w:sz w:val="16"/>
                <w:szCs w:val="16"/>
              </w:rPr>
              <w:t>Juan Carlos González</w:t>
            </w:r>
            <w:r>
              <w:rPr>
                <w:rFonts w:ascii="Verdana" w:hAnsi="Verdana"/>
                <w:sz w:val="16"/>
                <w:szCs w:val="16"/>
              </w:rPr>
              <w:t xml:space="preserve"> Vásquez</w:t>
            </w:r>
            <w:r w:rsidRPr="003E2DA1">
              <w:rPr>
                <w:rFonts w:ascii="Verdana" w:hAnsi="Verdana"/>
                <w:sz w:val="16"/>
                <w:szCs w:val="16"/>
              </w:rPr>
              <w:t xml:space="preserve"> </w:t>
            </w:r>
          </w:p>
          <w:p w14:paraId="1FA15005" w14:textId="77777777" w:rsidR="003C3AD2" w:rsidRPr="003E2DA1" w:rsidRDefault="003C3AD2" w:rsidP="00F45122">
            <w:pPr>
              <w:pStyle w:val="paragraph"/>
              <w:spacing w:before="0" w:beforeAutospacing="0" w:after="0" w:afterAutospacing="0"/>
              <w:contextualSpacing/>
              <w:textAlignment w:val="baseline"/>
              <w:rPr>
                <w:rFonts w:ascii="Verdana" w:hAnsi="Verdana" w:cstheme="minorHAnsi"/>
                <w:sz w:val="16"/>
                <w:szCs w:val="16"/>
              </w:rPr>
            </w:pPr>
            <w:r w:rsidRPr="003E2DA1">
              <w:rPr>
                <w:rStyle w:val="normaltextrun"/>
                <w:rFonts w:ascii="Verdana" w:eastAsia="Arial" w:hAnsi="Verdana" w:cs="Arial"/>
                <w:sz w:val="16"/>
                <w:szCs w:val="16"/>
              </w:rPr>
              <w:t>Contratista Subdirección de Gestión Contractual</w:t>
            </w:r>
          </w:p>
        </w:tc>
      </w:tr>
      <w:tr w:rsidR="003C3AD2" w:rsidRPr="003E2DA1" w14:paraId="7DDF838A" w14:textId="77777777" w:rsidTr="00F45122">
        <w:trPr>
          <w:trHeight w:val="300"/>
        </w:trPr>
        <w:tc>
          <w:tcPr>
            <w:tcW w:w="893" w:type="dxa"/>
            <w:vAlign w:val="center"/>
          </w:tcPr>
          <w:p w14:paraId="0C7C9DA5" w14:textId="77777777" w:rsidR="003C3AD2" w:rsidRPr="003E2DA1" w:rsidRDefault="003C3AD2" w:rsidP="00F45122">
            <w:pPr>
              <w:contextualSpacing/>
              <w:rPr>
                <w:rFonts w:ascii="Verdana" w:hAnsi="Verdana" w:cs="Arial"/>
                <w:sz w:val="16"/>
                <w:szCs w:val="16"/>
                <w:lang w:val="es-ES" w:eastAsia="es-ES"/>
              </w:rPr>
            </w:pPr>
            <w:r w:rsidRPr="003E2DA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3B87AC4" w14:textId="77777777" w:rsidR="003C3AD2" w:rsidRPr="003E2DA1" w:rsidRDefault="003C3AD2" w:rsidP="00F45122">
            <w:pPr>
              <w:contextualSpacing/>
              <w:rPr>
                <w:rFonts w:ascii="Verdana" w:eastAsia="Calibri" w:hAnsi="Verdana" w:cs="Arial"/>
                <w:sz w:val="16"/>
                <w:szCs w:val="16"/>
                <w:lang w:val="pt-BR" w:eastAsia="es-ES"/>
              </w:rPr>
            </w:pPr>
            <w:r w:rsidRPr="003E2DA1">
              <w:rPr>
                <w:rFonts w:ascii="Verdana" w:eastAsia="Calibri" w:hAnsi="Verdana" w:cs="Arial"/>
                <w:sz w:val="16"/>
                <w:szCs w:val="16"/>
                <w:lang w:val="pt-BR" w:eastAsia="es-ES"/>
              </w:rPr>
              <w:t>Carolina Quintero Ganchará</w:t>
            </w:r>
          </w:p>
          <w:p w14:paraId="774A710A" w14:textId="77777777" w:rsidR="003C3AD2" w:rsidRPr="003E2DA1" w:rsidRDefault="003C3AD2" w:rsidP="00F45122">
            <w:pPr>
              <w:contextualSpacing/>
              <w:rPr>
                <w:rFonts w:ascii="Verdana" w:eastAsia="Calibri" w:hAnsi="Verdana" w:cs="Arial"/>
                <w:sz w:val="16"/>
                <w:szCs w:val="16"/>
                <w:lang w:val="pt-BR" w:eastAsia="es-ES"/>
              </w:rPr>
            </w:pPr>
            <w:r w:rsidRPr="003E2DA1">
              <w:rPr>
                <w:rFonts w:ascii="Verdana" w:eastAsia="Calibri" w:hAnsi="Verdana" w:cs="Arial"/>
                <w:sz w:val="16"/>
                <w:szCs w:val="16"/>
                <w:lang w:eastAsia="es-ES"/>
              </w:rPr>
              <w:t>Subdirectora</w:t>
            </w:r>
            <w:r w:rsidRPr="003E2DA1">
              <w:rPr>
                <w:rFonts w:ascii="Verdana" w:eastAsia="Calibri" w:hAnsi="Verdana" w:cs="Arial"/>
                <w:sz w:val="16"/>
                <w:szCs w:val="16"/>
                <w:lang w:val="pt-BR" w:eastAsia="es-ES"/>
              </w:rPr>
              <w:t xml:space="preserve"> de Gestión Contratual ANCP – CCE</w:t>
            </w:r>
          </w:p>
        </w:tc>
      </w:tr>
    </w:tbl>
    <w:p w14:paraId="02C64F88" w14:textId="77777777" w:rsidR="003C3AD2" w:rsidRPr="0044528D" w:rsidRDefault="003C3AD2" w:rsidP="003C3AD2">
      <w:pPr>
        <w:spacing w:after="0"/>
        <w:jc w:val="both"/>
        <w:rPr>
          <w:rStyle w:val="Hipervnculo"/>
          <w:rFonts w:ascii="Verdana" w:hAnsi="Verdana"/>
        </w:rPr>
      </w:pPr>
    </w:p>
    <w:p w14:paraId="0CE5B467" w14:textId="77777777" w:rsidR="003C3AD2" w:rsidRPr="0044528D" w:rsidRDefault="003C3AD2" w:rsidP="003C3AD2">
      <w:pPr>
        <w:spacing w:after="0"/>
        <w:jc w:val="both"/>
        <w:rPr>
          <w:rStyle w:val="Hipervnculo"/>
          <w:rFonts w:ascii="Verdana" w:hAnsi="Verdana"/>
        </w:rPr>
      </w:pPr>
    </w:p>
    <w:p w14:paraId="63469C66" w14:textId="77777777" w:rsidR="003C3AD2" w:rsidRPr="0044528D" w:rsidRDefault="003C3AD2" w:rsidP="003C3AD2">
      <w:pPr>
        <w:spacing w:after="0"/>
        <w:jc w:val="both"/>
        <w:rPr>
          <w:rStyle w:val="Hipervnculo"/>
          <w:rFonts w:ascii="Verdana" w:hAnsi="Verdana"/>
        </w:rPr>
      </w:pPr>
    </w:p>
    <w:p w14:paraId="26EAE2BE" w14:textId="77777777" w:rsidR="003C3AD2" w:rsidRPr="0044528D" w:rsidRDefault="003C3AD2" w:rsidP="003C3AD2">
      <w:pPr>
        <w:spacing w:after="0"/>
        <w:jc w:val="both"/>
        <w:rPr>
          <w:rStyle w:val="Hipervnculo"/>
          <w:rFonts w:ascii="Verdana" w:hAnsi="Verdana"/>
        </w:rPr>
      </w:pPr>
    </w:p>
    <w:p w14:paraId="1C095A95" w14:textId="77777777" w:rsidR="003C3AD2" w:rsidRPr="0044528D" w:rsidRDefault="003C3AD2" w:rsidP="003C3AD2">
      <w:pPr>
        <w:spacing w:after="0"/>
        <w:jc w:val="both"/>
        <w:rPr>
          <w:rStyle w:val="Hipervnculo"/>
          <w:rFonts w:ascii="Verdana" w:hAnsi="Verdana"/>
        </w:rPr>
      </w:pPr>
    </w:p>
    <w:p w14:paraId="2DE4CB84" w14:textId="77777777" w:rsidR="003C3AD2" w:rsidRPr="0044528D" w:rsidRDefault="003C3AD2" w:rsidP="003C3AD2">
      <w:pPr>
        <w:spacing w:after="0"/>
        <w:jc w:val="both"/>
        <w:rPr>
          <w:rStyle w:val="Hipervnculo"/>
          <w:rFonts w:ascii="Verdana" w:hAnsi="Verdana"/>
        </w:rPr>
      </w:pPr>
    </w:p>
    <w:p w14:paraId="3D604212" w14:textId="77777777" w:rsidR="003C3AD2" w:rsidRPr="0044528D" w:rsidRDefault="003C3AD2" w:rsidP="003C3AD2">
      <w:pPr>
        <w:spacing w:after="0"/>
        <w:jc w:val="both"/>
        <w:rPr>
          <w:rStyle w:val="Hipervnculo"/>
          <w:rFonts w:ascii="Verdana" w:hAnsi="Verdana"/>
        </w:rPr>
      </w:pPr>
    </w:p>
    <w:p w14:paraId="30D39271" w14:textId="77777777" w:rsidR="003C3AD2" w:rsidRPr="0044528D" w:rsidRDefault="003C3AD2" w:rsidP="003C3AD2">
      <w:pPr>
        <w:spacing w:after="0" w:line="240" w:lineRule="auto"/>
        <w:textAlignment w:val="baseline"/>
        <w:rPr>
          <w:rFonts w:ascii="Verdana" w:eastAsia="Times New Roman" w:hAnsi="Verdana" w:cs="Segoe UI"/>
          <w:b/>
          <w:bCs/>
          <w:color w:val="46589C"/>
          <w:lang w:val="es-ES" w:eastAsia="es-CO"/>
        </w:rPr>
      </w:pPr>
    </w:p>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253E48" w14:textId="77777777" w:rsidR="002856DA" w:rsidRDefault="002856DA" w:rsidP="004A1847">
      <w:pPr>
        <w:spacing w:after="0" w:line="240" w:lineRule="auto"/>
      </w:pPr>
      <w:r>
        <w:separator/>
      </w:r>
    </w:p>
  </w:endnote>
  <w:endnote w:type="continuationSeparator" w:id="0">
    <w:p w14:paraId="56AE19FC" w14:textId="77777777" w:rsidR="002856DA" w:rsidRDefault="002856D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B4AC25" w14:textId="77777777" w:rsidR="002856DA" w:rsidRDefault="002856DA" w:rsidP="004A1847">
      <w:pPr>
        <w:spacing w:after="0" w:line="240" w:lineRule="auto"/>
      </w:pPr>
      <w:r>
        <w:separator/>
      </w:r>
    </w:p>
  </w:footnote>
  <w:footnote w:type="continuationSeparator" w:id="0">
    <w:p w14:paraId="30DB4406" w14:textId="77777777" w:rsidR="002856DA" w:rsidRDefault="002856DA" w:rsidP="004A1847">
      <w:pPr>
        <w:spacing w:after="0" w:line="240" w:lineRule="auto"/>
      </w:pPr>
      <w:r>
        <w:continuationSeparator/>
      </w:r>
    </w:p>
  </w:footnote>
  <w:footnote w:id="1">
    <w:p w14:paraId="6C3C1423" w14:textId="77777777" w:rsidR="003C3AD2" w:rsidRPr="00A7405A" w:rsidRDefault="003C3AD2" w:rsidP="003C3AD2">
      <w:pPr>
        <w:pStyle w:val="Textonotapie"/>
        <w:ind w:firstLine="709"/>
        <w:jc w:val="both"/>
        <w:rPr>
          <w:rFonts w:ascii="Verdana" w:hAnsi="Verdana" w:cs="Arial"/>
          <w:color w:val="000000" w:themeColor="text1"/>
          <w:sz w:val="16"/>
          <w:szCs w:val="16"/>
          <w:lang w:val="es-ES"/>
        </w:rPr>
      </w:pPr>
      <w:r w:rsidRPr="00A7405A">
        <w:rPr>
          <w:rFonts w:ascii="Verdana" w:hAnsi="Verdana" w:cs="Arial"/>
          <w:color w:val="000000" w:themeColor="text1"/>
          <w:sz w:val="16"/>
          <w:szCs w:val="16"/>
          <w:vertAlign w:val="superscript"/>
        </w:rPr>
        <w:footnoteRef/>
      </w:r>
      <w:r w:rsidRPr="00A7405A">
        <w:rPr>
          <w:rFonts w:ascii="Verdana" w:hAnsi="Verdana" w:cs="Arial"/>
          <w:color w:val="000000" w:themeColor="text1"/>
          <w:sz w:val="16"/>
          <w:szCs w:val="16"/>
        </w:rPr>
        <w:t xml:space="preserve"> </w:t>
      </w:r>
      <w:r w:rsidRPr="00A7405A">
        <w:rPr>
          <w:rFonts w:ascii="Verdana" w:hAnsi="Verdana" w:cs="Arial"/>
          <w:color w:val="000000" w:themeColor="text1"/>
          <w:sz w:val="16"/>
          <w:szCs w:val="16"/>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7DD7D4C" w14:textId="77777777" w:rsidR="003C3AD2" w:rsidRPr="00A7405A" w:rsidRDefault="003C3AD2" w:rsidP="003C3AD2">
      <w:pPr>
        <w:pStyle w:val="Textonotapie"/>
        <w:ind w:firstLine="709"/>
        <w:jc w:val="both"/>
        <w:rPr>
          <w:rFonts w:ascii="Verdana" w:hAnsi="Verdana" w:cs="Arial"/>
          <w:color w:val="000000" w:themeColor="text1"/>
          <w:sz w:val="16"/>
          <w:szCs w:val="16"/>
          <w:lang w:val="es-ES"/>
        </w:rPr>
      </w:pPr>
      <w:r>
        <w:rPr>
          <w:rFonts w:ascii="Verdana" w:hAnsi="Verdana" w:cs="Arial"/>
          <w:color w:val="000000" w:themeColor="text1"/>
          <w:sz w:val="16"/>
          <w:szCs w:val="16"/>
          <w:lang w:val="es-ES"/>
        </w:rPr>
        <w:t>“</w:t>
      </w:r>
      <w:r w:rsidRPr="00A7405A">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671CACBE" w14:textId="77777777" w:rsidR="003C3AD2" w:rsidRPr="00A7405A" w:rsidRDefault="003C3AD2" w:rsidP="003C3AD2">
      <w:pPr>
        <w:pStyle w:val="Textonotapie"/>
        <w:ind w:firstLine="709"/>
        <w:jc w:val="both"/>
        <w:rPr>
          <w:rFonts w:ascii="Verdana" w:hAnsi="Verdana" w:cs="Arial"/>
          <w:color w:val="000000" w:themeColor="text1"/>
          <w:sz w:val="16"/>
          <w:szCs w:val="16"/>
          <w:lang w:val="es-ES"/>
        </w:rPr>
      </w:pPr>
      <w:r>
        <w:rPr>
          <w:rFonts w:ascii="Verdana" w:hAnsi="Verdana" w:cs="Arial"/>
          <w:color w:val="000000" w:themeColor="text1"/>
          <w:sz w:val="16"/>
          <w:szCs w:val="16"/>
          <w:lang w:val="es-ES"/>
        </w:rPr>
        <w:t>“</w:t>
      </w:r>
      <w:r w:rsidRPr="00A7405A">
        <w:rPr>
          <w:rFonts w:ascii="Verdana" w:hAnsi="Verdana" w:cs="Arial"/>
          <w:color w:val="000000" w:themeColor="text1"/>
          <w:sz w:val="16"/>
          <w:szCs w:val="16"/>
          <w:lang w:val="es-ES"/>
        </w:rPr>
        <w:t>La Entidad Estatal, para la contratación de trabajos artísticos que solamente puedan encomendarse a determinadas personas naturales, debe justificar esta situación en los estudios y documentos previos</w:t>
      </w:r>
      <w:r>
        <w:rPr>
          <w:rFonts w:ascii="Verdana" w:hAnsi="Verdana" w:cs="Arial"/>
          <w:color w:val="000000" w:themeColor="text1"/>
          <w:sz w:val="16"/>
          <w:szCs w:val="16"/>
          <w:lang w:val="es-ES"/>
        </w:rPr>
        <w:t>”</w:t>
      </w:r>
      <w:r w:rsidRPr="00A7405A">
        <w:rPr>
          <w:rFonts w:ascii="Verdana" w:hAnsi="Verdana" w:cs="Arial"/>
          <w:color w:val="000000" w:themeColor="text1"/>
          <w:sz w:val="16"/>
          <w:szCs w:val="16"/>
          <w:lang w:val="es-ES"/>
        </w:rPr>
        <w:t>.</w:t>
      </w:r>
    </w:p>
    <w:p w14:paraId="521BD096" w14:textId="77777777" w:rsidR="003C3AD2" w:rsidRDefault="003C3AD2" w:rsidP="003C3AD2">
      <w:pPr>
        <w:pStyle w:val="Textonotapie"/>
        <w:ind w:firstLine="709"/>
        <w:jc w:val="both"/>
      </w:pPr>
    </w:p>
  </w:footnote>
  <w:footnote w:id="2">
    <w:p w14:paraId="101DE2FC" w14:textId="77777777" w:rsidR="003C3AD2" w:rsidRPr="00A7405A" w:rsidRDefault="003C3AD2" w:rsidP="003C3AD2">
      <w:pPr>
        <w:pStyle w:val="Textonotapie"/>
        <w:ind w:firstLine="709"/>
        <w:jc w:val="both"/>
        <w:rPr>
          <w:rFonts w:ascii="Verdana" w:hAnsi="Verdana" w:cs="Arial"/>
          <w:color w:val="000000" w:themeColor="text1"/>
          <w:sz w:val="16"/>
          <w:szCs w:val="16"/>
          <w:lang w:val="es-ES"/>
        </w:rPr>
      </w:pPr>
      <w:r w:rsidRPr="00A7405A">
        <w:rPr>
          <w:rFonts w:ascii="Verdana" w:hAnsi="Verdana" w:cs="Arial"/>
          <w:color w:val="000000" w:themeColor="text1"/>
          <w:sz w:val="16"/>
          <w:szCs w:val="16"/>
          <w:vertAlign w:val="superscript"/>
        </w:rPr>
        <w:footnoteRef/>
      </w:r>
      <w:r w:rsidRPr="00A7405A">
        <w:rPr>
          <w:rFonts w:ascii="Verdana" w:hAnsi="Verdana" w:cs="Arial"/>
          <w:color w:val="000000" w:themeColor="text1"/>
          <w:sz w:val="16"/>
          <w:szCs w:val="16"/>
        </w:rPr>
        <w:t xml:space="preserve"> </w:t>
      </w:r>
      <w:r w:rsidRPr="00A7405A">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p>
    <w:p w14:paraId="6599A4E0" w14:textId="77777777" w:rsidR="003C3AD2" w:rsidRDefault="003C3AD2" w:rsidP="003C3AD2">
      <w:pPr>
        <w:pStyle w:val="Textonotapie"/>
        <w:ind w:firstLine="709"/>
        <w:jc w:val="both"/>
      </w:pPr>
    </w:p>
  </w:footnote>
  <w:footnote w:id="3">
    <w:p w14:paraId="52572294" w14:textId="77777777" w:rsidR="003C3AD2" w:rsidRPr="00A7405A" w:rsidRDefault="003C3AD2" w:rsidP="003C3AD2">
      <w:pPr>
        <w:pStyle w:val="Textonotapie"/>
        <w:ind w:firstLine="709"/>
        <w:jc w:val="both"/>
        <w:rPr>
          <w:rFonts w:ascii="Verdana" w:hAnsi="Verdana" w:cs="Arial"/>
          <w:color w:val="000000" w:themeColor="text1"/>
          <w:sz w:val="16"/>
          <w:szCs w:val="16"/>
          <w:lang w:val="es-ES"/>
        </w:rPr>
      </w:pPr>
      <w:r w:rsidRPr="00A7405A">
        <w:rPr>
          <w:rFonts w:ascii="Verdana" w:hAnsi="Verdana" w:cs="Arial"/>
          <w:color w:val="000000" w:themeColor="text1"/>
          <w:sz w:val="16"/>
          <w:szCs w:val="16"/>
          <w:vertAlign w:val="superscript"/>
        </w:rPr>
        <w:footnoteRef/>
      </w:r>
      <w:r w:rsidRPr="00A7405A">
        <w:rPr>
          <w:rFonts w:ascii="Verdana" w:hAnsi="Verdana" w:cs="Arial"/>
          <w:color w:val="000000" w:themeColor="text1"/>
          <w:sz w:val="16"/>
          <w:szCs w:val="16"/>
        </w:rPr>
        <w:t xml:space="preserve"> </w:t>
      </w:r>
      <w:r w:rsidRPr="00A7405A">
        <w:rPr>
          <w:rFonts w:ascii="Verdana" w:hAnsi="Verdana" w:cs="Arial"/>
          <w:i/>
          <w:iCs/>
          <w:color w:val="000000" w:themeColor="text1"/>
          <w:sz w:val="16"/>
          <w:szCs w:val="16"/>
          <w:lang w:val="es-ES"/>
        </w:rPr>
        <w:t>Ibíd</w:t>
      </w:r>
      <w:r w:rsidRPr="00A7405A">
        <w:rPr>
          <w:rFonts w:ascii="Verdana" w:hAnsi="Verdana" w:cs="Arial"/>
          <w:color w:val="000000" w:themeColor="text1"/>
          <w:sz w:val="16"/>
          <w:szCs w:val="16"/>
          <w:lang w:val="es-ES"/>
        </w:rPr>
        <w:t>.</w:t>
      </w:r>
    </w:p>
    <w:p w14:paraId="73D6759C" w14:textId="77777777" w:rsidR="003C3AD2" w:rsidRDefault="003C3AD2" w:rsidP="003C3AD2">
      <w:pPr>
        <w:pStyle w:val="Textonotapie"/>
        <w:ind w:firstLine="709"/>
        <w:jc w:val="both"/>
      </w:pPr>
    </w:p>
  </w:footnote>
  <w:footnote w:id="4">
    <w:p w14:paraId="056AC674" w14:textId="77777777" w:rsidR="003C3AD2" w:rsidRPr="00A7405A" w:rsidRDefault="003C3AD2" w:rsidP="003C3AD2">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vertAlign w:val="superscript"/>
        </w:rPr>
        <w:footnoteRef/>
      </w:r>
      <w:r w:rsidRPr="00A7405A">
        <w:rPr>
          <w:rFonts w:ascii="Verdana" w:hAnsi="Verdana" w:cs="Arial"/>
          <w:color w:val="000000" w:themeColor="text1"/>
          <w:sz w:val="16"/>
          <w:szCs w:val="16"/>
        </w:rPr>
        <w:t xml:space="preserve"> Ley 190 de 1995: </w:t>
      </w:r>
      <w:r>
        <w:rPr>
          <w:rFonts w:ascii="Verdana" w:hAnsi="Verdana" w:cs="Arial"/>
          <w:color w:val="000000" w:themeColor="text1"/>
          <w:sz w:val="16"/>
          <w:szCs w:val="16"/>
        </w:rPr>
        <w:t>“</w:t>
      </w:r>
      <w:r w:rsidRPr="00A7405A">
        <w:rPr>
          <w:rFonts w:ascii="Verdana" w:hAnsi="Verdana" w:cs="Arial"/>
          <w:color w:val="000000" w:themeColor="text1"/>
          <w:sz w:val="16"/>
          <w:szCs w:val="16"/>
        </w:rPr>
        <w:t>Artículo 1.</w:t>
      </w:r>
      <w:r w:rsidRPr="00A7405A">
        <w:rPr>
          <w:rFonts w:ascii="Verdana" w:hAnsi="Verdana" w:cs="Arial"/>
          <w:color w:val="000000" w:themeColor="text1"/>
          <w:sz w:val="16"/>
          <w:szCs w:val="16"/>
          <w:lang w:val="es-CO"/>
        </w:rPr>
        <w:t> Todo aspirante a ocupar un cargo o empleo público, o a celebrar un contrato de prestación de servicios con la administración deberá presentar ante la unidad de personal de la correspondiente entidad, o ante la dependencia que haga sus veces, el formato único de hojas de vida debidamente diligenciado en el cual consignará la información completa que en ella se solicita:</w:t>
      </w:r>
    </w:p>
    <w:p w14:paraId="6C4C0F74" w14:textId="77777777" w:rsidR="003C3AD2" w:rsidRPr="00A7405A" w:rsidRDefault="003C3AD2" w:rsidP="003C3AD2">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1. Su formación académica, indicando los años de estudio cursados en los distintos niveles de educación y los títulos y certificados obtenidos.</w:t>
      </w:r>
    </w:p>
    <w:p w14:paraId="3CF9C1A3" w14:textId="77777777" w:rsidR="003C3AD2" w:rsidRPr="00A7405A" w:rsidRDefault="003C3AD2" w:rsidP="003C3AD2">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2. Su experiencia laboral, relacionando todos y cada uno de los empleos o cargos desempeñados, tanto en el sector público como en el privado, así como la dirección, el número del teléfono o el apartado postal en los que sea posible verificar la información.</w:t>
      </w:r>
    </w:p>
    <w:p w14:paraId="548664A7" w14:textId="77777777" w:rsidR="003C3AD2" w:rsidRPr="00A7405A" w:rsidRDefault="003C3AD2" w:rsidP="003C3AD2">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3. Inexistencia de cualquier hecho o circunstancia que implique una inhabilidad o incompatibilidad del orden constitucional o legal para ocupar el empleo o cargo al que se aspira o para celebrar contrato de prestación de servicios con la administración.</w:t>
      </w:r>
    </w:p>
    <w:p w14:paraId="42D03DB9" w14:textId="77777777" w:rsidR="003C3AD2" w:rsidRPr="00A7405A" w:rsidRDefault="003C3AD2" w:rsidP="003C3AD2">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4. En caso de personas jurídicas, el correspondiente certificado que acredite la representación legal.</w:t>
      </w:r>
    </w:p>
    <w:p w14:paraId="49DCC0FE" w14:textId="77777777" w:rsidR="003C3AD2" w:rsidRDefault="003C3AD2" w:rsidP="003C3AD2">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w:t>
      </w:r>
      <w:r>
        <w:rPr>
          <w:rFonts w:ascii="Verdana" w:hAnsi="Verdana" w:cs="Arial"/>
          <w:color w:val="000000" w:themeColor="text1"/>
          <w:sz w:val="16"/>
          <w:szCs w:val="16"/>
          <w:lang w:val="es-CO"/>
        </w:rPr>
        <w:t>”.</w:t>
      </w:r>
    </w:p>
    <w:p w14:paraId="34E4A17F" w14:textId="77777777" w:rsidR="003C3AD2" w:rsidRDefault="003C3AD2" w:rsidP="003C3AD2">
      <w:pPr>
        <w:pStyle w:val="Textonotapie"/>
        <w:ind w:firstLine="708"/>
        <w:jc w:val="both"/>
      </w:pPr>
    </w:p>
  </w:footnote>
  <w:footnote w:id="5">
    <w:p w14:paraId="42145B14" w14:textId="77777777" w:rsidR="003C3AD2" w:rsidRPr="00097DBE" w:rsidRDefault="003C3AD2" w:rsidP="003C3AD2">
      <w:pPr>
        <w:pStyle w:val="Textonotapie"/>
        <w:ind w:firstLine="708"/>
        <w:jc w:val="both"/>
        <w:rPr>
          <w:rFonts w:ascii="Verdana" w:hAnsi="Verdana" w:cs="Arial"/>
          <w:sz w:val="16"/>
          <w:szCs w:val="16"/>
          <w:lang w:val="es-ES"/>
        </w:rPr>
      </w:pPr>
      <w:r w:rsidRPr="00097DBE">
        <w:rPr>
          <w:rStyle w:val="Refdenotaalpie"/>
          <w:rFonts w:ascii="Verdana" w:hAnsi="Verdana"/>
          <w:sz w:val="16"/>
          <w:szCs w:val="16"/>
        </w:rPr>
        <w:footnoteRef/>
      </w:r>
      <w:r w:rsidRPr="00097DBE">
        <w:rPr>
          <w:rFonts w:ascii="Verdana" w:hAnsi="Verdana"/>
          <w:sz w:val="16"/>
          <w:szCs w:val="16"/>
        </w:rPr>
        <w:t xml:space="preserve"> </w:t>
      </w:r>
      <w:bookmarkStart w:id="1" w:name="_Hlk192845550"/>
      <w:r w:rsidRPr="00097DBE">
        <w:rPr>
          <w:rFonts w:ascii="Verdana" w:hAnsi="Verdana" w:cs="Arial"/>
          <w:sz w:val="16"/>
          <w:szCs w:val="16"/>
        </w:rPr>
        <w:t>Consejo de Estado. Sección Segunda. Sentencia del 9 de septiembre de 2021. Expediente No. 05001-23-33-000-2013-01143-01(1317-16). M.P. Dra. Sandra Lisset Ibarra Vélez</w:t>
      </w:r>
      <w:bookmarkEnd w:id="1"/>
      <w:r w:rsidRPr="00097DBE">
        <w:rPr>
          <w:rFonts w:ascii="Verdana" w:hAnsi="Verdana" w:cs="Arial"/>
          <w:sz w:val="16"/>
          <w:szCs w:val="16"/>
        </w:rPr>
        <w:t>.</w:t>
      </w:r>
    </w:p>
    <w:p w14:paraId="21F6F538" w14:textId="77777777" w:rsidR="003C3AD2" w:rsidRPr="00097DBE" w:rsidRDefault="003C3AD2" w:rsidP="003C3AD2">
      <w:pPr>
        <w:pStyle w:val="Textonotapie"/>
        <w:rPr>
          <w:rFonts w:ascii="Verdana" w:hAnsi="Verdana"/>
          <w:sz w:val="16"/>
          <w:szCs w:val="16"/>
          <w:lang w:val="es-ES"/>
        </w:rPr>
      </w:pPr>
    </w:p>
  </w:footnote>
  <w:footnote w:id="6">
    <w:p w14:paraId="1A2A2EDA" w14:textId="77777777" w:rsidR="003C3AD2" w:rsidRPr="00A56FFA" w:rsidRDefault="003C3AD2" w:rsidP="003C3AD2">
      <w:pPr>
        <w:pStyle w:val="Textonotapie"/>
        <w:ind w:firstLine="708"/>
        <w:jc w:val="both"/>
        <w:rPr>
          <w:rFonts w:ascii="Verdana" w:hAnsi="Verdana" w:cs="Arial"/>
          <w:sz w:val="18"/>
          <w:szCs w:val="18"/>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footnote>
  <w:footnote w:id="7">
    <w:p w14:paraId="5F541BF0" w14:textId="77777777" w:rsidR="003C3AD2" w:rsidRPr="00097DBE" w:rsidRDefault="003C3AD2" w:rsidP="003C3AD2">
      <w:pPr>
        <w:pStyle w:val="Textonotapie"/>
        <w:ind w:firstLine="708"/>
        <w:contextualSpacing/>
        <w:jc w:val="both"/>
        <w:rPr>
          <w:rFonts w:ascii="Verdana" w:hAnsi="Verdana" w:cs="Arial"/>
          <w:sz w:val="16"/>
          <w:szCs w:val="16"/>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38C0AF9D" w14:textId="77777777" w:rsidR="003C3AD2" w:rsidRPr="00097DBE" w:rsidRDefault="003C3AD2" w:rsidP="003C3AD2">
      <w:pPr>
        <w:pStyle w:val="Textonotapie"/>
        <w:ind w:firstLine="709"/>
        <w:contextualSpacing/>
        <w:jc w:val="both"/>
        <w:rPr>
          <w:rFonts w:ascii="Verdana" w:hAnsi="Verdana" w:cs="Arial"/>
          <w:sz w:val="16"/>
          <w:szCs w:val="16"/>
          <w:lang w:val="es-ES"/>
        </w:rPr>
      </w:pPr>
    </w:p>
  </w:footnote>
  <w:footnote w:id="8">
    <w:p w14:paraId="531DE350" w14:textId="77777777" w:rsidR="003C3AD2" w:rsidRPr="00097DBE" w:rsidRDefault="003C3AD2" w:rsidP="003C3AD2">
      <w:pPr>
        <w:pStyle w:val="Textonotapie"/>
        <w:ind w:firstLine="709"/>
        <w:contextualSpacing/>
        <w:jc w:val="both"/>
        <w:rPr>
          <w:rFonts w:ascii="Verdana" w:hAnsi="Verdana" w:cs="Arial"/>
          <w:sz w:val="16"/>
          <w:szCs w:val="16"/>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3CA666A1" w14:textId="77777777" w:rsidR="003C3AD2" w:rsidRPr="00097DBE" w:rsidRDefault="003C3AD2" w:rsidP="003C3AD2">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56BBFDE9" w14:textId="77777777" w:rsidR="003C3AD2" w:rsidRPr="00097DBE" w:rsidRDefault="003C3AD2" w:rsidP="003C3AD2">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El Gobierno nacional reglamentará el mecanismo para realizar la mensualización de que trata el presente artículo.</w:t>
      </w:r>
    </w:p>
    <w:p w14:paraId="0508C22B" w14:textId="77777777" w:rsidR="003C3AD2" w:rsidRPr="003172B0" w:rsidRDefault="003C3AD2" w:rsidP="003C3AD2">
      <w:pPr>
        <w:pStyle w:val="Textonotapie"/>
        <w:ind w:firstLine="709"/>
        <w:contextualSpacing/>
        <w:jc w:val="both"/>
        <w:rPr>
          <w:rFonts w:ascii="Verdana" w:hAnsi="Verdana" w:cs="Arial"/>
          <w:sz w:val="16"/>
          <w:szCs w:val="16"/>
          <w:lang w:val="es-CO"/>
        </w:rPr>
      </w:pPr>
      <w:r w:rsidRPr="003172B0">
        <w:rPr>
          <w:rFonts w:ascii="Verdana" w:hAnsi="Verdana" w:cs="Arial"/>
          <w:sz w:val="16"/>
          <w:szCs w:val="16"/>
          <w:lang w:val="es-CO"/>
        </w:rPr>
        <w:t>[…]”.</w:t>
      </w:r>
    </w:p>
  </w:footnote>
  <w:footnote w:id="9">
    <w:p w14:paraId="3C0D9C06" w14:textId="77777777" w:rsidR="003C3AD2" w:rsidRPr="00C0717E" w:rsidRDefault="003C3AD2" w:rsidP="003C3AD2">
      <w:pPr>
        <w:spacing w:after="0" w:line="240" w:lineRule="auto"/>
        <w:contextualSpacing/>
        <w:jc w:val="both"/>
        <w:rPr>
          <w:rFonts w:ascii="Verdana" w:hAnsi="Verdana"/>
          <w:sz w:val="18"/>
          <w:szCs w:val="18"/>
        </w:rPr>
      </w:pPr>
    </w:p>
  </w:footnote>
  <w:footnote w:id="10">
    <w:p w14:paraId="7127790E" w14:textId="77777777" w:rsidR="003C3AD2" w:rsidRPr="00097DBE" w:rsidRDefault="003C3AD2" w:rsidP="003C3AD2">
      <w:pPr>
        <w:pStyle w:val="Textonotapie"/>
        <w:ind w:firstLine="709"/>
        <w:contextualSpacing/>
        <w:jc w:val="both"/>
        <w:rPr>
          <w:rFonts w:ascii="Verdana" w:hAnsi="Verdana" w:cs="Arial"/>
          <w:color w:val="000000"/>
          <w:sz w:val="16"/>
          <w:szCs w:val="16"/>
          <w:lang w:val="es-ES"/>
        </w:rPr>
      </w:pPr>
      <w:r w:rsidRPr="00097DBE">
        <w:rPr>
          <w:rStyle w:val="Refdenotaalpie"/>
          <w:rFonts w:ascii="Verdana" w:hAnsi="Verdana" w:cs="Arial"/>
          <w:color w:val="000000"/>
          <w:sz w:val="16"/>
          <w:szCs w:val="16"/>
        </w:rPr>
        <w:footnoteRef/>
      </w:r>
      <w:r w:rsidRPr="00097DBE">
        <w:rPr>
          <w:rFonts w:ascii="Verdana" w:hAnsi="Verdana" w:cs="Arial"/>
          <w:color w:val="000000"/>
          <w:sz w:val="16"/>
          <w:szCs w:val="16"/>
        </w:rPr>
        <w:t xml:space="preserve"> </w:t>
      </w:r>
      <w:r w:rsidRPr="00097DBE">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125BF6FD" w14:textId="77777777" w:rsidR="003C3AD2" w:rsidRPr="00097DBE" w:rsidRDefault="003C3AD2" w:rsidP="003C3AD2">
      <w:pPr>
        <w:pStyle w:val="Textonotapie"/>
        <w:ind w:firstLine="709"/>
        <w:contextualSpacing/>
        <w:jc w:val="both"/>
        <w:rPr>
          <w:rFonts w:ascii="Verdana" w:hAnsi="Verdana" w:cs="Arial"/>
          <w:color w:val="000000"/>
          <w:sz w:val="16"/>
          <w:szCs w:val="16"/>
          <w:lang w:val="es-ES"/>
        </w:rPr>
      </w:pPr>
      <w:r w:rsidRPr="00097DBE">
        <w:rPr>
          <w:rFonts w:ascii="Verdana" w:hAnsi="Verdana" w:cs="Arial"/>
          <w:color w:val="000000"/>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6D1F06C6" w14:textId="77777777" w:rsidR="003C3AD2" w:rsidRPr="00097DBE" w:rsidRDefault="003C3AD2" w:rsidP="003C3AD2">
      <w:pPr>
        <w:pStyle w:val="Textonotapie"/>
        <w:ind w:firstLine="709"/>
        <w:contextualSpacing/>
        <w:jc w:val="both"/>
        <w:rPr>
          <w:rFonts w:ascii="Verdana" w:hAnsi="Verdana" w:cs="Arial"/>
          <w:color w:val="000000"/>
          <w:sz w:val="16"/>
          <w:szCs w:val="16"/>
          <w:lang w:val="es-ES"/>
        </w:rPr>
      </w:pPr>
      <w:r w:rsidRPr="00097DBE">
        <w:rPr>
          <w:rFonts w:ascii="Verdana" w:hAnsi="Verdana" w:cs="Arial"/>
          <w:color w:val="000000"/>
          <w:sz w:val="16"/>
          <w:szCs w:val="16"/>
          <w:lang w:val="es-ES"/>
        </w:rPr>
        <w:t>La Entidad Estatal, para la contratación de trabajos artísticos que solamente puedan en­comendarse a determinadas personas naturales, debe justificar esta situación en los estudios y documentos previos”.</w:t>
      </w:r>
    </w:p>
    <w:p w14:paraId="5A53C2FA" w14:textId="77777777" w:rsidR="003C3AD2" w:rsidRPr="00C0717E" w:rsidRDefault="003C3AD2" w:rsidP="003C3AD2">
      <w:pPr>
        <w:pStyle w:val="Textonotapie"/>
        <w:ind w:firstLine="709"/>
        <w:contextualSpacing/>
        <w:jc w:val="both"/>
        <w:rPr>
          <w:rFonts w:ascii="Verdana" w:hAnsi="Verdana" w:cs="Arial"/>
          <w:color w:val="000000"/>
          <w:sz w:val="18"/>
          <w:szCs w:val="18"/>
          <w:lang w:val="es-ES"/>
        </w:rPr>
      </w:pPr>
    </w:p>
  </w:footnote>
  <w:footnote w:id="11">
    <w:p w14:paraId="5A6BE422" w14:textId="77777777" w:rsidR="003C3AD2" w:rsidRPr="00097DBE" w:rsidRDefault="003C3AD2" w:rsidP="003C3AD2">
      <w:pPr>
        <w:pStyle w:val="Textonotapie"/>
        <w:ind w:firstLine="709"/>
        <w:contextualSpacing/>
        <w:jc w:val="both"/>
        <w:rPr>
          <w:rFonts w:ascii="Verdana" w:hAnsi="Verdana" w:cs="Arial"/>
          <w:color w:val="000000"/>
          <w:sz w:val="16"/>
          <w:szCs w:val="16"/>
          <w:lang w:val="es-ES"/>
        </w:rPr>
      </w:pPr>
      <w:r w:rsidRPr="00097DBE">
        <w:rPr>
          <w:rStyle w:val="Refdenotaalpie"/>
          <w:rFonts w:ascii="Verdana" w:hAnsi="Verdana" w:cs="Arial"/>
          <w:color w:val="000000"/>
          <w:sz w:val="16"/>
          <w:szCs w:val="16"/>
        </w:rPr>
        <w:footnoteRef/>
      </w:r>
      <w:r w:rsidRPr="00097DBE">
        <w:rPr>
          <w:rFonts w:ascii="Verdana" w:hAnsi="Verdana" w:cs="Arial"/>
          <w:color w:val="000000"/>
          <w:sz w:val="16"/>
          <w:szCs w:val="16"/>
        </w:rPr>
        <w:t xml:space="preserve"> </w:t>
      </w:r>
      <w:r w:rsidRPr="00097DBE">
        <w:rPr>
          <w:rFonts w:ascii="Verdana" w:hAnsi="Verdana" w:cs="Arial"/>
          <w:color w:val="000000"/>
          <w:sz w:val="16"/>
          <w:szCs w:val="16"/>
          <w:lang w:val="es-ES"/>
        </w:rPr>
        <w:t>Consejo de Estado. Sección Tercera. Subsección C. Sentencia del 2 de diciembre de 2013. Exp. 41719. Consejero Ponente: Jaime Orlando Santofimio Gamboa.</w:t>
      </w:r>
    </w:p>
  </w:footnote>
  <w:footnote w:id="12">
    <w:p w14:paraId="781BDB18" w14:textId="77777777" w:rsidR="003C3AD2" w:rsidRPr="00097DBE" w:rsidRDefault="003C3AD2" w:rsidP="003C3AD2">
      <w:pPr>
        <w:spacing w:after="0" w:line="240" w:lineRule="auto"/>
        <w:contextualSpacing/>
        <w:jc w:val="both"/>
        <w:rPr>
          <w:rFonts w:ascii="Verdana" w:hAnsi="Verdana"/>
          <w:sz w:val="16"/>
          <w:szCs w:val="16"/>
        </w:rPr>
      </w:pPr>
    </w:p>
  </w:footnote>
  <w:footnote w:id="13">
    <w:p w14:paraId="5FB11364" w14:textId="77777777" w:rsidR="003C3AD2" w:rsidRPr="00097DBE" w:rsidRDefault="003C3AD2" w:rsidP="003C3AD2">
      <w:pPr>
        <w:pStyle w:val="Textonotapie"/>
        <w:ind w:firstLine="709"/>
        <w:contextualSpacing/>
        <w:jc w:val="both"/>
        <w:rPr>
          <w:rFonts w:ascii="Verdana" w:hAnsi="Verdana" w:cs="Arial"/>
          <w:sz w:val="16"/>
          <w:szCs w:val="16"/>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Consejo de Estado. Sección Tercera. Subsección C. Sentencia de Unificación del 2 de diciembre de 2013. Exp. 41.719. C.P. Jaime Orlando Santofimio Gamboa.</w:t>
      </w:r>
      <w:r w:rsidRPr="00097DBE">
        <w:rPr>
          <w:rFonts w:ascii="Verdana" w:hAnsi="Verdana" w:cs="Arial"/>
          <w:sz w:val="16"/>
          <w:szCs w:val="16"/>
        </w:rPr>
        <w:t xml:space="preserve"> </w:t>
      </w:r>
    </w:p>
    <w:p w14:paraId="2741BDEB" w14:textId="77777777" w:rsidR="003C3AD2" w:rsidRPr="00097DBE" w:rsidRDefault="003C3AD2" w:rsidP="003C3AD2">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201FAB00" w14:textId="77777777" w:rsidR="003C3AD2" w:rsidRPr="00097DBE" w:rsidRDefault="003C3AD2" w:rsidP="003C3AD2">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79EFF58A" w14:textId="77777777" w:rsidR="003C3AD2" w:rsidRPr="00097DBE" w:rsidRDefault="003C3AD2" w:rsidP="003C3AD2">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p w14:paraId="05ABA779" w14:textId="77777777" w:rsidR="003C3AD2" w:rsidRPr="00097DBE" w:rsidRDefault="003C3AD2" w:rsidP="003C3AD2">
      <w:pPr>
        <w:pStyle w:val="Textonotapie"/>
        <w:ind w:firstLine="709"/>
        <w:contextualSpacing/>
        <w:jc w:val="both"/>
        <w:rPr>
          <w:rFonts w:ascii="Verdana" w:hAnsi="Verdana" w:cs="Arial"/>
          <w:sz w:val="16"/>
          <w:szCs w:val="16"/>
          <w:lang w:val="es-ES"/>
        </w:rPr>
      </w:pPr>
    </w:p>
  </w:footnote>
  <w:footnote w:id="14">
    <w:p w14:paraId="254475A5" w14:textId="77777777" w:rsidR="003C3AD2" w:rsidRPr="00097DBE" w:rsidRDefault="003C3AD2" w:rsidP="003C3AD2">
      <w:pPr>
        <w:pStyle w:val="Textonotapie"/>
        <w:ind w:firstLine="709"/>
        <w:contextualSpacing/>
        <w:jc w:val="both"/>
        <w:rPr>
          <w:rFonts w:ascii="Verdana" w:hAnsi="Verdana" w:cs="Arial"/>
          <w:sz w:val="16"/>
          <w:szCs w:val="16"/>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4E62069E" w14:textId="77777777" w:rsidR="003C3AD2" w:rsidRPr="00097DBE" w:rsidRDefault="003C3AD2" w:rsidP="003C3AD2">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1. La causal que invoca para contratar directamente.</w:t>
      </w:r>
    </w:p>
    <w:p w14:paraId="21A4C6C6" w14:textId="77777777" w:rsidR="003C3AD2" w:rsidRPr="00097DBE" w:rsidRDefault="003C3AD2" w:rsidP="003C3AD2">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2. El objeto del contrato.</w:t>
      </w:r>
    </w:p>
    <w:p w14:paraId="496A5892" w14:textId="77777777" w:rsidR="003C3AD2" w:rsidRPr="00097DBE" w:rsidRDefault="003C3AD2" w:rsidP="003C3AD2">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3. El presupuesto para la contratación y las condiciones que exigirá al contratista.</w:t>
      </w:r>
    </w:p>
    <w:p w14:paraId="0FD4AD30" w14:textId="77777777" w:rsidR="003C3AD2" w:rsidRPr="00C0717E" w:rsidRDefault="003C3AD2" w:rsidP="003C3AD2">
      <w:pPr>
        <w:pStyle w:val="Textonotapie"/>
        <w:ind w:firstLine="709"/>
        <w:contextualSpacing/>
        <w:jc w:val="both"/>
        <w:rPr>
          <w:rFonts w:ascii="Verdana" w:hAnsi="Verdana" w:cs="Arial"/>
          <w:sz w:val="18"/>
          <w:szCs w:val="18"/>
          <w:lang w:val="es-ES"/>
        </w:rPr>
      </w:pPr>
      <w:r w:rsidRPr="00097DBE">
        <w:rPr>
          <w:rFonts w:ascii="Verdana" w:hAnsi="Verdana" w:cs="Arial"/>
          <w:sz w:val="16"/>
          <w:szCs w:val="16"/>
          <w:lang w:val="es-ES"/>
        </w:rPr>
        <w:t>4. El lugar en el cual los interesados pueden consultar los estudios y documentos previos</w:t>
      </w:r>
      <w:r w:rsidRPr="00C0717E">
        <w:rPr>
          <w:rFonts w:ascii="Verdana" w:hAnsi="Verdana" w:cs="Arial"/>
          <w:sz w:val="18"/>
          <w:szCs w:val="18"/>
          <w:lang w:val="es-ES"/>
        </w:rPr>
        <w:t>.</w:t>
      </w:r>
    </w:p>
    <w:p w14:paraId="6D04BD3D" w14:textId="77777777" w:rsidR="003C3AD2" w:rsidRPr="00441AF3" w:rsidRDefault="003C3AD2" w:rsidP="003C3AD2">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5">
    <w:p w14:paraId="69DCACD7" w14:textId="77777777" w:rsidR="003C3AD2" w:rsidRPr="00441AF3" w:rsidRDefault="003C3AD2" w:rsidP="003C3AD2">
      <w:pPr>
        <w:pStyle w:val="Textonotapie"/>
        <w:contextualSpacing/>
        <w:jc w:val="both"/>
        <w:rPr>
          <w:rFonts w:ascii="Verdana" w:hAnsi="Verdana" w:cs="Arial"/>
          <w:sz w:val="16"/>
          <w:szCs w:val="16"/>
        </w:rPr>
      </w:pPr>
    </w:p>
    <w:p w14:paraId="51DFB2A9" w14:textId="77777777" w:rsidR="003C3AD2" w:rsidRPr="00441AF3" w:rsidRDefault="003C3AD2" w:rsidP="003C3AD2">
      <w:pPr>
        <w:pStyle w:val="Textonotapie"/>
        <w:ind w:firstLine="709"/>
        <w:contextualSpacing/>
        <w:jc w:val="both"/>
        <w:rPr>
          <w:rFonts w:ascii="Verdana" w:hAnsi="Verdana" w:cs="Arial"/>
          <w:sz w:val="16"/>
          <w:szCs w:val="16"/>
          <w:lang w:val="es-ES"/>
        </w:rPr>
      </w:pPr>
      <w:r w:rsidRPr="00441AF3">
        <w:rPr>
          <w:rStyle w:val="Refdenotaalpie"/>
          <w:rFonts w:ascii="Verdana" w:hAnsi="Verdana" w:cs="Arial"/>
          <w:sz w:val="16"/>
          <w:szCs w:val="16"/>
        </w:rPr>
        <w:footnoteRef/>
      </w:r>
      <w:r w:rsidRPr="00441AF3">
        <w:rPr>
          <w:rFonts w:ascii="Verdana" w:hAnsi="Verdana" w:cs="Arial"/>
          <w:sz w:val="16"/>
          <w:szCs w:val="16"/>
        </w:rPr>
        <w:t xml:space="preserve"> </w:t>
      </w:r>
      <w:r w:rsidRPr="00441AF3">
        <w:rPr>
          <w:rFonts w:ascii="Verdana" w:hAnsi="Verdana" w:cs="Arial"/>
          <w:sz w:val="16"/>
          <w:szCs w:val="16"/>
          <w:lang w:val="es-ES"/>
        </w:rPr>
        <w:t xml:space="preserve">La norma expresa: “Art. 14. </w:t>
      </w:r>
      <w:r w:rsidRPr="00441AF3">
        <w:rPr>
          <w:rFonts w:ascii="Verdana" w:hAnsi="Verdana" w:cs="Arial"/>
          <w:sz w:val="16"/>
          <w:szCs w:val="16"/>
        </w:rPr>
        <w:t>P</w:t>
      </w:r>
      <w:r w:rsidRPr="00441AF3">
        <w:rPr>
          <w:rFonts w:ascii="Verdana" w:hAnsi="Verdana" w:cs="Arial"/>
          <w:sz w:val="16"/>
          <w:szCs w:val="16"/>
          <w:lang w:val="es-ES"/>
        </w:rPr>
        <w:t>ara el cumplimiento de los fines de la contratación, las entidades estatales al celebrar un contrato:</w:t>
      </w:r>
    </w:p>
    <w:p w14:paraId="0DD5CF38" w14:textId="77777777" w:rsidR="003C3AD2" w:rsidRPr="00441AF3" w:rsidRDefault="003C3AD2" w:rsidP="003C3AD2">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w:t>
      </w:r>
    </w:p>
    <w:p w14:paraId="5E7B584E" w14:textId="77777777" w:rsidR="003C3AD2" w:rsidRPr="00441AF3" w:rsidRDefault="003C3AD2" w:rsidP="003C3AD2">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3CF794AF" w14:textId="77777777" w:rsidR="003C3AD2" w:rsidRPr="00441AF3" w:rsidRDefault="003C3AD2" w:rsidP="003C3AD2">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Las entidades estatales podrán pactar estas cláusulas en los contratos de suministro y de prestación de servicios.</w:t>
      </w:r>
    </w:p>
    <w:p w14:paraId="010FCA15" w14:textId="77777777" w:rsidR="003C3AD2" w:rsidRPr="00441AF3" w:rsidRDefault="003C3AD2" w:rsidP="003C3AD2">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w:t>
      </w:r>
    </w:p>
    <w:p w14:paraId="55C82633" w14:textId="77777777" w:rsidR="003C3AD2" w:rsidRPr="00441AF3" w:rsidRDefault="003C3AD2" w:rsidP="003C3AD2">
      <w:pPr>
        <w:pStyle w:val="Textonotapie"/>
        <w:ind w:firstLine="709"/>
        <w:contextualSpacing/>
        <w:jc w:val="both"/>
        <w:rPr>
          <w:rFonts w:ascii="Verdana" w:hAnsi="Verdana" w:cs="Arial"/>
          <w:sz w:val="16"/>
          <w:szCs w:val="16"/>
          <w:lang w:val="es-ES"/>
        </w:rPr>
      </w:pPr>
    </w:p>
  </w:footnote>
  <w:footnote w:id="16">
    <w:p w14:paraId="7A6E508F" w14:textId="77777777" w:rsidR="003C3AD2" w:rsidRPr="00441AF3" w:rsidRDefault="003C3AD2" w:rsidP="003C3AD2">
      <w:pPr>
        <w:pStyle w:val="Textonotapie"/>
        <w:ind w:firstLine="709"/>
        <w:contextualSpacing/>
        <w:jc w:val="both"/>
        <w:rPr>
          <w:rFonts w:ascii="Verdana" w:hAnsi="Verdana" w:cs="Arial"/>
          <w:sz w:val="16"/>
          <w:szCs w:val="16"/>
          <w:lang w:val="es-ES"/>
        </w:rPr>
      </w:pPr>
      <w:r w:rsidRPr="00441AF3">
        <w:rPr>
          <w:rStyle w:val="Refdenotaalpie"/>
          <w:rFonts w:ascii="Verdana" w:hAnsi="Verdana" w:cs="Arial"/>
          <w:sz w:val="16"/>
          <w:szCs w:val="16"/>
        </w:rPr>
        <w:footnoteRef/>
      </w:r>
      <w:r w:rsidRPr="00441AF3">
        <w:rPr>
          <w:rFonts w:ascii="Verdana" w:hAnsi="Verdana" w:cs="Arial"/>
          <w:sz w:val="16"/>
          <w:szCs w:val="16"/>
        </w:rPr>
        <w:t xml:space="preserve"> </w:t>
      </w:r>
      <w:r w:rsidRPr="00441AF3">
        <w:rPr>
          <w:rFonts w:ascii="Verdana" w:hAnsi="Verdana" w:cs="Arial"/>
          <w:sz w:val="16"/>
          <w:szCs w:val="16"/>
          <w:lang w:val="es-ES"/>
        </w:rPr>
        <w:t>La norma dispone: “La liquidación a que se refiere el presente artículo no será obligatoria en los contratos de prestación de servicios profesionales y de apoyo a la gestión”.</w:t>
      </w:r>
    </w:p>
    <w:p w14:paraId="7515880A" w14:textId="77777777" w:rsidR="003C3AD2" w:rsidRPr="00441AF3" w:rsidRDefault="003C3AD2" w:rsidP="003C3AD2">
      <w:pPr>
        <w:pStyle w:val="Textonotapie"/>
        <w:ind w:firstLine="709"/>
        <w:contextualSpacing/>
        <w:jc w:val="both"/>
        <w:rPr>
          <w:rFonts w:ascii="Verdana" w:hAnsi="Verdana" w:cs="Arial"/>
          <w:sz w:val="16"/>
          <w:szCs w:val="16"/>
          <w:lang w:val="es-ES"/>
        </w:rPr>
      </w:pPr>
    </w:p>
  </w:footnote>
  <w:footnote w:id="17">
    <w:p w14:paraId="5610DED8" w14:textId="77777777" w:rsidR="003C3AD2" w:rsidRPr="00441AF3" w:rsidRDefault="003C3AD2" w:rsidP="003C3AD2">
      <w:pPr>
        <w:pStyle w:val="Textonotapie"/>
        <w:ind w:firstLine="709"/>
        <w:contextualSpacing/>
        <w:jc w:val="both"/>
        <w:rPr>
          <w:rFonts w:ascii="Verdana" w:hAnsi="Verdana" w:cs="Arial"/>
          <w:sz w:val="16"/>
          <w:szCs w:val="16"/>
        </w:rPr>
      </w:pPr>
      <w:r w:rsidRPr="00441AF3">
        <w:rPr>
          <w:rStyle w:val="Refdenotaalpie"/>
          <w:rFonts w:ascii="Verdana" w:hAnsi="Verdana" w:cs="Arial"/>
          <w:sz w:val="16"/>
          <w:szCs w:val="16"/>
        </w:rPr>
        <w:footnoteRef/>
      </w:r>
      <w:r w:rsidRPr="00441AF3">
        <w:rPr>
          <w:rFonts w:ascii="Verdana" w:hAnsi="Verdana"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6041DE02" w14:textId="77777777" w:rsidR="003C3AD2" w:rsidRPr="00C0717E" w:rsidRDefault="003C3AD2" w:rsidP="003C3AD2">
      <w:pPr>
        <w:pStyle w:val="Textonotapie"/>
        <w:ind w:firstLine="709"/>
        <w:contextualSpacing/>
        <w:jc w:val="both"/>
        <w:rPr>
          <w:rFonts w:ascii="Verdana" w:hAnsi="Verdana" w:cs="Arial"/>
          <w:sz w:val="18"/>
          <w:szCs w:val="18"/>
        </w:rPr>
      </w:pPr>
      <w:r w:rsidRPr="00441AF3">
        <w:rPr>
          <w:rFonts w:ascii="Verdana" w:hAnsi="Verdana" w:cs="Arial"/>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59EECEE3" w14:textId="77777777" w:rsidR="003C3AD2" w:rsidRPr="00C0717E" w:rsidRDefault="003C3AD2" w:rsidP="003C3AD2">
      <w:pPr>
        <w:pStyle w:val="Textonotapie"/>
        <w:ind w:firstLine="709"/>
        <w:contextualSpacing/>
        <w:jc w:val="both"/>
        <w:rPr>
          <w:rFonts w:ascii="Verdana" w:hAnsi="Verdana" w:cs="Arial"/>
          <w:sz w:val="18"/>
          <w:szCs w:val="18"/>
        </w:rPr>
      </w:pPr>
      <w:r w:rsidRPr="00C0717E">
        <w:rPr>
          <w:rFonts w:ascii="Verdana" w:hAnsi="Verdana" w:cs="Arial"/>
          <w:sz w:val="18"/>
          <w:szCs w:val="18"/>
        </w:rPr>
        <w:t>[…]”.</w:t>
      </w:r>
    </w:p>
    <w:p w14:paraId="3983C457" w14:textId="77777777" w:rsidR="003C3AD2" w:rsidRPr="00C0717E" w:rsidRDefault="003C3AD2" w:rsidP="003C3AD2">
      <w:pPr>
        <w:pStyle w:val="Textonotapie"/>
        <w:ind w:firstLine="709"/>
        <w:contextualSpacing/>
        <w:jc w:val="both"/>
        <w:rPr>
          <w:rFonts w:ascii="Verdana" w:hAnsi="Verdana" w:cs="Arial"/>
          <w:sz w:val="18"/>
          <w:szCs w:val="18"/>
          <w:lang w:val="es-ES"/>
        </w:rPr>
      </w:pPr>
    </w:p>
  </w:footnote>
  <w:footnote w:id="18">
    <w:p w14:paraId="0F100A56" w14:textId="77777777" w:rsidR="003C3AD2" w:rsidRPr="00441AF3" w:rsidRDefault="003C3AD2" w:rsidP="003C3AD2">
      <w:pPr>
        <w:pStyle w:val="Textonotapie"/>
        <w:contextualSpacing/>
        <w:jc w:val="both"/>
        <w:rPr>
          <w:rFonts w:ascii="Verdana" w:hAnsi="Verdana" w:cs="Arial"/>
          <w:sz w:val="16"/>
          <w:szCs w:val="16"/>
          <w:lang w:val="es-ES"/>
        </w:rPr>
      </w:pPr>
      <w:r w:rsidRPr="00441AF3">
        <w:rPr>
          <w:rStyle w:val="Refdenotaalpie"/>
          <w:rFonts w:ascii="Verdana" w:hAnsi="Verdana" w:cs="Arial"/>
          <w:sz w:val="16"/>
          <w:szCs w:val="16"/>
        </w:rPr>
        <w:footnoteRef/>
      </w:r>
      <w:r w:rsidRPr="00441AF3">
        <w:rPr>
          <w:rFonts w:ascii="Verdana" w:hAnsi="Verdana" w:cs="Arial"/>
          <w:sz w:val="16"/>
          <w:szCs w:val="16"/>
        </w:rPr>
        <w:t xml:space="preserve"> </w:t>
      </w:r>
      <w:r w:rsidRPr="00441AF3">
        <w:rPr>
          <w:rFonts w:ascii="Verdana" w:hAnsi="Verdana" w:cs="Arial"/>
          <w:sz w:val="16"/>
          <w:szCs w:val="16"/>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756938B7" w14:textId="77777777" w:rsidR="003C3AD2" w:rsidRPr="00441AF3" w:rsidRDefault="003C3AD2" w:rsidP="003C3AD2">
      <w:pPr>
        <w:pStyle w:val="Textonotapie"/>
        <w:ind w:firstLine="709"/>
        <w:contextualSpacing/>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BE7758F"/>
    <w:multiLevelType w:val="hybridMultilevel"/>
    <w:tmpl w:val="15860DC0"/>
    <w:lvl w:ilvl="0" w:tplc="F4EA7E54">
      <w:start w:val="1"/>
      <w:numFmt w:val="lowerRoman"/>
      <w:lvlText w:val="%1)"/>
      <w:lvlJc w:val="left"/>
      <w:pPr>
        <w:ind w:left="1440" w:hanging="720"/>
      </w:pPr>
      <w:rPr>
        <w:rFonts w:hint="default"/>
        <w:color w:val="auto"/>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4"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1"/>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0"/>
  </w:num>
  <w:num w:numId="13" w16cid:durableId="1512908409">
    <w:abstractNumId w:val="2"/>
  </w:num>
  <w:num w:numId="14" w16cid:durableId="895897244">
    <w:abstractNumId w:val="15"/>
  </w:num>
  <w:num w:numId="15" w16cid:durableId="390349800">
    <w:abstractNumId w:val="11"/>
  </w:num>
  <w:num w:numId="16" w16cid:durableId="1966303578">
    <w:abstractNumId w:val="4"/>
  </w:num>
  <w:num w:numId="17" w16cid:durableId="1683969707">
    <w:abstractNumId w:val="10"/>
  </w:num>
  <w:num w:numId="18" w16cid:durableId="4345254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E4177"/>
    <w:rsid w:val="001F7DC6"/>
    <w:rsid w:val="002421BB"/>
    <w:rsid w:val="0025796E"/>
    <w:rsid w:val="00262542"/>
    <w:rsid w:val="002707A2"/>
    <w:rsid w:val="002856DA"/>
    <w:rsid w:val="002951A0"/>
    <w:rsid w:val="002962BC"/>
    <w:rsid w:val="002A093D"/>
    <w:rsid w:val="002A0DD0"/>
    <w:rsid w:val="002A49AC"/>
    <w:rsid w:val="002A64FD"/>
    <w:rsid w:val="002B39DC"/>
    <w:rsid w:val="002C7A84"/>
    <w:rsid w:val="002D3D36"/>
    <w:rsid w:val="002E4FD9"/>
    <w:rsid w:val="00322A85"/>
    <w:rsid w:val="00324168"/>
    <w:rsid w:val="003448F4"/>
    <w:rsid w:val="00374F5E"/>
    <w:rsid w:val="00377E3E"/>
    <w:rsid w:val="003A779E"/>
    <w:rsid w:val="003C3AD2"/>
    <w:rsid w:val="003D0F4D"/>
    <w:rsid w:val="003D5B0D"/>
    <w:rsid w:val="003E0499"/>
    <w:rsid w:val="003F3941"/>
    <w:rsid w:val="00406575"/>
    <w:rsid w:val="00414C74"/>
    <w:rsid w:val="0042722E"/>
    <w:rsid w:val="0044528D"/>
    <w:rsid w:val="00463BCF"/>
    <w:rsid w:val="004A1847"/>
    <w:rsid w:val="004A305D"/>
    <w:rsid w:val="004F21C4"/>
    <w:rsid w:val="004F685F"/>
    <w:rsid w:val="005566E8"/>
    <w:rsid w:val="00574867"/>
    <w:rsid w:val="00591460"/>
    <w:rsid w:val="005A6113"/>
    <w:rsid w:val="005C3777"/>
    <w:rsid w:val="005C5CDC"/>
    <w:rsid w:val="005D476C"/>
    <w:rsid w:val="006219F8"/>
    <w:rsid w:val="006302F7"/>
    <w:rsid w:val="00665D70"/>
    <w:rsid w:val="006900D9"/>
    <w:rsid w:val="006A760C"/>
    <w:rsid w:val="006D058C"/>
    <w:rsid w:val="00706C16"/>
    <w:rsid w:val="00756841"/>
    <w:rsid w:val="007649AB"/>
    <w:rsid w:val="00771D0C"/>
    <w:rsid w:val="007833AC"/>
    <w:rsid w:val="007B268C"/>
    <w:rsid w:val="007B7171"/>
    <w:rsid w:val="007C0C0F"/>
    <w:rsid w:val="007C3DC2"/>
    <w:rsid w:val="007E492B"/>
    <w:rsid w:val="007E5497"/>
    <w:rsid w:val="00806F5F"/>
    <w:rsid w:val="00820278"/>
    <w:rsid w:val="0082470B"/>
    <w:rsid w:val="00867F95"/>
    <w:rsid w:val="008843B6"/>
    <w:rsid w:val="00891928"/>
    <w:rsid w:val="0089626F"/>
    <w:rsid w:val="00897A3A"/>
    <w:rsid w:val="008A446D"/>
    <w:rsid w:val="008D180B"/>
    <w:rsid w:val="008F0EA7"/>
    <w:rsid w:val="00923EEF"/>
    <w:rsid w:val="009419F9"/>
    <w:rsid w:val="0095685E"/>
    <w:rsid w:val="00961B09"/>
    <w:rsid w:val="00965334"/>
    <w:rsid w:val="0097093E"/>
    <w:rsid w:val="0098308F"/>
    <w:rsid w:val="00984B7B"/>
    <w:rsid w:val="009922DB"/>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44A47"/>
    <w:rsid w:val="00B72CD3"/>
    <w:rsid w:val="00B72FFF"/>
    <w:rsid w:val="00BC3D36"/>
    <w:rsid w:val="00BD7F72"/>
    <w:rsid w:val="00C04FB3"/>
    <w:rsid w:val="00C330EB"/>
    <w:rsid w:val="00C754BE"/>
    <w:rsid w:val="00C76B1C"/>
    <w:rsid w:val="00CB6357"/>
    <w:rsid w:val="00CC1B26"/>
    <w:rsid w:val="00D423A2"/>
    <w:rsid w:val="00D520D8"/>
    <w:rsid w:val="00D63AC2"/>
    <w:rsid w:val="00D73696"/>
    <w:rsid w:val="00D7383B"/>
    <w:rsid w:val="00DA231B"/>
    <w:rsid w:val="00DC39FC"/>
    <w:rsid w:val="00DE077B"/>
    <w:rsid w:val="00DF5254"/>
    <w:rsid w:val="00E16408"/>
    <w:rsid w:val="00E20894"/>
    <w:rsid w:val="00E245AB"/>
    <w:rsid w:val="00E2764C"/>
    <w:rsid w:val="00E27F2E"/>
    <w:rsid w:val="00E50AFE"/>
    <w:rsid w:val="00E62185"/>
    <w:rsid w:val="00E63D3C"/>
    <w:rsid w:val="00E75C92"/>
    <w:rsid w:val="00E771DC"/>
    <w:rsid w:val="00E8772A"/>
    <w:rsid w:val="00E90F6B"/>
    <w:rsid w:val="00E92C27"/>
    <w:rsid w:val="00EA0E3D"/>
    <w:rsid w:val="00EC38A7"/>
    <w:rsid w:val="00EE031C"/>
    <w:rsid w:val="00EE1AA8"/>
    <w:rsid w:val="00F31EDC"/>
    <w:rsid w:val="00F462B3"/>
    <w:rsid w:val="00F5664F"/>
    <w:rsid w:val="00F666C4"/>
    <w:rsid w:val="00F76AFC"/>
    <w:rsid w:val="00FA47C0"/>
    <w:rsid w:val="00FB5DD1"/>
    <w:rsid w:val="00FC2B5D"/>
    <w:rsid w:val="00FF1449"/>
    <w:rsid w:val="06B947FA"/>
    <w:rsid w:val="1C6A44C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3C3AD2"/>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3C3AD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3C3AD2"/>
    <w:rPr>
      <w:rFonts w:ascii="Geomanist Light" w:hAnsi="Geomanist Light"/>
      <w:lang w:val="es-ES"/>
    </w:rPr>
  </w:style>
  <w:style w:type="paragraph" w:styleId="Textocomentario">
    <w:name w:val="annotation text"/>
    <w:basedOn w:val="Normal"/>
    <w:link w:val="TextocomentarioCar"/>
    <w:uiPriority w:val="99"/>
    <w:semiHidden/>
    <w:unhideWhenUsed/>
    <w:rsid w:val="00D73696"/>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73696"/>
    <w:rPr>
      <w:sz w:val="20"/>
      <w:szCs w:val="20"/>
    </w:rPr>
  </w:style>
  <w:style w:type="character" w:styleId="Refdecomentario">
    <w:name w:val="annotation reference"/>
    <w:basedOn w:val="Fuentedeprrafopredeter"/>
    <w:uiPriority w:val="99"/>
    <w:semiHidden/>
    <w:unhideWhenUsed/>
    <w:rsid w:val="00D73696"/>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unicaderadicacion@colombicompra.gov.c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hyperlink" Target="mailto:controlinterno@esedevillavicencio.gov.co"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62FD1277-D05C-40D2-992F-AB1ABB3073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22</TotalTime>
  <Pages>17</Pages>
  <Words>4948</Words>
  <Characters>26921</Characters>
  <Application>Microsoft Office Word</Application>
  <DocSecurity>0</DocSecurity>
  <Lines>498</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6</cp:revision>
  <cp:lastPrinted>2023-01-10T21:18:00Z</cp:lastPrinted>
  <dcterms:created xsi:type="dcterms:W3CDTF">2025-10-14T03:20:00Z</dcterms:created>
  <dcterms:modified xsi:type="dcterms:W3CDTF">2025-10-15T20:20:00Z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