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BECF4" w14:textId="77777777" w:rsidR="00B12B2C" w:rsidRPr="0084214C" w:rsidRDefault="00B12B2C" w:rsidP="0084214C">
      <w:pPr>
        <w:snapToGrid w:val="0"/>
        <w:spacing w:after="0" w:line="240" w:lineRule="auto"/>
        <w:jc w:val="both"/>
        <w:rPr>
          <w:rFonts w:ascii="Verdana" w:eastAsia="Arial" w:hAnsi="Verdana" w:cs="Arial"/>
          <w:b/>
          <w:bCs/>
          <w:lang w:val="es-ES"/>
        </w:rPr>
      </w:pPr>
      <w:bookmarkStart w:id="0" w:name="_Hlk143780582"/>
      <w:r w:rsidRPr="0084214C">
        <w:rPr>
          <w:rFonts w:ascii="Verdana" w:eastAsia="Arial" w:hAnsi="Verdana" w:cs="Arial"/>
          <w:b/>
          <w:bCs/>
          <w:lang w:val="es-ES"/>
        </w:rPr>
        <w:t>PRINCIPIO DE PUBLICIDAD – Concepto – Fundamento axiológico – Fundamento constitucional</w:t>
      </w:r>
    </w:p>
    <w:p w14:paraId="01391D3C" w14:textId="77777777" w:rsidR="0084214C" w:rsidRDefault="0084214C" w:rsidP="0084214C">
      <w:pPr>
        <w:snapToGrid w:val="0"/>
        <w:spacing w:after="0" w:line="240" w:lineRule="auto"/>
        <w:jc w:val="both"/>
        <w:rPr>
          <w:rFonts w:ascii="Verdana" w:eastAsia="Times New Roman" w:hAnsi="Verdana" w:cs="Arial"/>
          <w:sz w:val="20"/>
          <w:szCs w:val="20"/>
          <w:lang w:val="es-ES" w:eastAsia="es-ES"/>
          <w14:ligatures w14:val="standardContextual"/>
        </w:rPr>
      </w:pPr>
    </w:p>
    <w:p w14:paraId="19A28E11" w14:textId="05289718" w:rsidR="00EF4CCA" w:rsidRPr="0084214C" w:rsidRDefault="0084214C" w:rsidP="0084214C">
      <w:pPr>
        <w:snapToGrid w:val="0"/>
        <w:spacing w:after="0" w:line="240" w:lineRule="auto"/>
        <w:jc w:val="both"/>
        <w:rPr>
          <w:rFonts w:ascii="Verdana" w:eastAsia="Times New Roman" w:hAnsi="Verdana" w:cs="Arial"/>
          <w:sz w:val="20"/>
          <w:szCs w:val="20"/>
          <w:lang w:val="es-ES" w:eastAsia="es-ES"/>
          <w14:ligatures w14:val="standardContextual"/>
        </w:rPr>
      </w:pPr>
      <w:r w:rsidRPr="0084214C">
        <w:rPr>
          <w:rFonts w:ascii="Verdana" w:eastAsia="Times New Roman" w:hAnsi="Verdana" w:cs="Arial"/>
          <w:sz w:val="20"/>
          <w:szCs w:val="20"/>
          <w:lang w:val="es-ES" w:eastAsia="es-ES"/>
          <w14:ligatures w14:val="standardContextual"/>
        </w:rPr>
        <w:t xml:space="preserve">[…] </w:t>
      </w:r>
      <w:r w:rsidR="00EF4CCA" w:rsidRPr="0084214C">
        <w:rPr>
          <w:rFonts w:ascii="Verdana" w:eastAsia="Times New Roman" w:hAnsi="Verdana" w:cs="Arial"/>
          <w:sz w:val="20"/>
          <w:szCs w:val="20"/>
          <w:lang w:val="es-ES" w:eastAsia="es-ES"/>
          <w14:ligatures w14:val="standardContextual"/>
        </w:rPr>
        <w:t xml:space="preserve">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41045CC6" w14:textId="77777777" w:rsidR="00B12B2C" w:rsidRPr="0084214C" w:rsidRDefault="00B12B2C" w:rsidP="0084214C">
      <w:pPr>
        <w:snapToGrid w:val="0"/>
        <w:spacing w:after="0" w:line="240" w:lineRule="auto"/>
        <w:jc w:val="both"/>
        <w:rPr>
          <w:rFonts w:ascii="Verdana" w:hAnsi="Verdana" w:cs="Arial"/>
          <w:bCs/>
          <w:sz w:val="20"/>
          <w:szCs w:val="20"/>
          <w:lang w:val="es-ES_tradnl" w:eastAsia="es-ES" w:bidi="es-ES"/>
        </w:rPr>
      </w:pPr>
      <w:r w:rsidRPr="0084214C">
        <w:rPr>
          <w:rFonts w:ascii="Verdana" w:hAnsi="Verdana" w:cs="Arial"/>
          <w:bCs/>
          <w:sz w:val="20"/>
          <w:szCs w:val="20"/>
          <w:lang w:val="es-ES_tradnl" w:eastAsia="es-ES" w:bidi="es-ES"/>
        </w:rPr>
        <w:t xml:space="preserve">PRINCIPIO DE PUBLICIDAD – SECOP – Documentos del proceso – Deber de publicación </w:t>
      </w:r>
    </w:p>
    <w:p w14:paraId="636A8487" w14:textId="5A0F21F4" w:rsidR="00EF4CCA" w:rsidRPr="0084214C" w:rsidRDefault="0084214C" w:rsidP="0084214C">
      <w:pPr>
        <w:snapToGrid w:val="0"/>
        <w:spacing w:after="0" w:line="240" w:lineRule="auto"/>
        <w:jc w:val="both"/>
        <w:rPr>
          <w:rFonts w:ascii="Verdana" w:eastAsia="Times New Roman" w:hAnsi="Verdana" w:cs="Arial"/>
          <w:sz w:val="20"/>
          <w:szCs w:val="20"/>
          <w:lang w:val="es-ES_tradnl" w:eastAsia="es-ES_tradnl"/>
          <w14:ligatures w14:val="standardContextual"/>
        </w:rPr>
      </w:pPr>
      <w:r w:rsidRPr="0084214C">
        <w:rPr>
          <w:rFonts w:ascii="Verdana" w:eastAsia="Times New Roman" w:hAnsi="Verdana" w:cs="Arial"/>
          <w:sz w:val="20"/>
          <w:szCs w:val="20"/>
          <w:lang w:val="es-ES_tradnl" w:eastAsia="es-ES_tradnl"/>
          <w14:ligatures w14:val="standardContextual"/>
        </w:rPr>
        <w:t xml:space="preserve">[…] </w:t>
      </w:r>
      <w:r w:rsidR="00EF4CCA" w:rsidRPr="0084214C">
        <w:rPr>
          <w:rFonts w:ascii="Verdana" w:eastAsia="Times New Roman" w:hAnsi="Verdana" w:cs="Arial"/>
          <w:sz w:val="20"/>
          <w:szCs w:val="20"/>
          <w:lang w:val="es-ES_tradnl" w:eastAsia="es-ES_tradnl"/>
          <w14:ligatures w14:val="standardContextual"/>
        </w:rPr>
        <w:t>El principio de publicidad impone a las autoridades administrativas el deber de dar a conocer sus actos, contratos y decisiones, para que se divulguen y eventualmente se controlen. En sintonía con este postulado,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6B5D39AC" w14:textId="77777777" w:rsidR="0084214C" w:rsidRPr="0084214C" w:rsidRDefault="0084214C" w:rsidP="0084214C">
      <w:pPr>
        <w:snapToGrid w:val="0"/>
        <w:spacing w:after="0"/>
        <w:jc w:val="both"/>
        <w:rPr>
          <w:rFonts w:ascii="Verdana" w:hAnsi="Verdana" w:cs="Arial"/>
          <w:b/>
          <w:sz w:val="21"/>
          <w:szCs w:val="21"/>
          <w:lang w:val="es-ES_tradnl" w:eastAsia="es-ES" w:bidi="es-ES"/>
        </w:rPr>
      </w:pPr>
    </w:p>
    <w:p w14:paraId="09BA15E6" w14:textId="07232C0A" w:rsidR="00B12B2C" w:rsidRPr="0084214C" w:rsidRDefault="00EF4CCA" w:rsidP="0084214C">
      <w:pPr>
        <w:snapToGrid w:val="0"/>
        <w:spacing w:after="0" w:line="240" w:lineRule="auto"/>
        <w:jc w:val="both"/>
        <w:rPr>
          <w:rFonts w:ascii="Verdana" w:hAnsi="Verdana" w:cs="Arial"/>
          <w:b/>
          <w:sz w:val="21"/>
          <w:szCs w:val="21"/>
          <w:lang w:val="es-ES_tradnl" w:eastAsia="es-ES" w:bidi="es-ES"/>
        </w:rPr>
      </w:pPr>
      <w:r w:rsidRPr="0084214C">
        <w:rPr>
          <w:rFonts w:ascii="Verdana" w:hAnsi="Verdana" w:cs="Arial"/>
          <w:b/>
          <w:sz w:val="21"/>
          <w:szCs w:val="21"/>
          <w:lang w:val="es-ES_tradnl" w:eastAsia="es-ES" w:bidi="es-ES"/>
        </w:rPr>
        <w:t>P</w:t>
      </w:r>
      <w:r w:rsidR="00B12B2C" w:rsidRPr="0084214C">
        <w:rPr>
          <w:rFonts w:ascii="Verdana" w:hAnsi="Verdana" w:cs="Arial"/>
          <w:b/>
          <w:sz w:val="21"/>
          <w:szCs w:val="21"/>
          <w:lang w:val="es-ES_tradnl" w:eastAsia="es-ES" w:bidi="es-ES"/>
        </w:rPr>
        <w:t>RINCIPIO DE PUBLICIDAD – Ámbito de aplicación – Decreto 1081 de 2015 – Decreto 1600 de 2024</w:t>
      </w:r>
    </w:p>
    <w:p w14:paraId="7046754E" w14:textId="77777777" w:rsidR="0084214C" w:rsidRDefault="0084214C" w:rsidP="0084214C">
      <w:pPr>
        <w:snapToGrid w:val="0"/>
        <w:spacing w:after="0" w:line="240" w:lineRule="auto"/>
        <w:jc w:val="both"/>
        <w:rPr>
          <w:rFonts w:ascii="Verdana" w:eastAsia="Calibri" w:hAnsi="Verdana" w:cs="Arial"/>
          <w:bCs/>
          <w:iCs/>
          <w:sz w:val="20"/>
          <w:szCs w:val="20"/>
          <w:lang w:val="es-ES_tradnl" w:eastAsia="es-ES_tradnl"/>
        </w:rPr>
      </w:pPr>
    </w:p>
    <w:p w14:paraId="2F02C781" w14:textId="702255E7" w:rsidR="00B97053" w:rsidRDefault="00B97053" w:rsidP="0084214C">
      <w:pPr>
        <w:snapToGrid w:val="0"/>
        <w:spacing w:after="0" w:line="240" w:lineRule="auto"/>
        <w:jc w:val="both"/>
        <w:rPr>
          <w:rFonts w:ascii="Verdana" w:eastAsia="Calibri" w:hAnsi="Verdana" w:cs="Arial"/>
          <w:bCs/>
          <w:iCs/>
          <w:sz w:val="20"/>
          <w:szCs w:val="20"/>
          <w:lang w:eastAsia="es-ES_tradnl"/>
        </w:rPr>
      </w:pPr>
      <w:r w:rsidRPr="0084214C">
        <w:rPr>
          <w:rFonts w:ascii="Verdana" w:eastAsia="Calibri" w:hAnsi="Verdana" w:cs="Arial"/>
          <w:bCs/>
          <w:iCs/>
          <w:sz w:val="20"/>
          <w:szCs w:val="20"/>
          <w:lang w:val="es-ES_tradnl" w:eastAsia="es-ES_tradnl"/>
        </w:rPr>
        <w:t xml:space="preserve">Por tanto, La regla dispuesta en el </w:t>
      </w:r>
      <w:r w:rsidRPr="0084214C">
        <w:rPr>
          <w:rFonts w:ascii="Verdana" w:eastAsia="Calibri" w:hAnsi="Verdana" w:cs="Arial"/>
          <w:bCs/>
          <w:iCs/>
          <w:sz w:val="20"/>
          <w:szCs w:val="20"/>
          <w:lang w:eastAsia="es-ES_tradnl"/>
        </w:rPr>
        <w:t xml:space="preserve">artículo 2.1.4.3.2.2 del Decreto 1081 de 2015 </w:t>
      </w:r>
      <w:r w:rsidRPr="0084214C">
        <w:rPr>
          <w:rFonts w:ascii="Verdana" w:eastAsia="Calibri" w:hAnsi="Verdana" w:cs="Arial"/>
          <w:bCs/>
          <w:iCs/>
          <w:sz w:val="20"/>
          <w:szCs w:val="20"/>
          <w:lang w:val="es-ES_tradnl" w:eastAsia="es-ES_tradnl"/>
        </w:rPr>
        <w:t>–</w:t>
      </w:r>
      <w:r w:rsidRPr="0084214C">
        <w:rPr>
          <w:rFonts w:ascii="Verdana" w:eastAsia="Calibri" w:hAnsi="Verdana" w:cs="Arial"/>
          <w:bCs/>
          <w:i/>
          <w:iCs/>
          <w:sz w:val="20"/>
          <w:szCs w:val="20"/>
          <w:lang w:val="es-ES_tradnl" w:eastAsia="es-ES_tradnl"/>
        </w:rPr>
        <w:t>regla especial</w:t>
      </w:r>
      <w:r w:rsidRPr="0084214C">
        <w:rPr>
          <w:rFonts w:ascii="Verdana" w:eastAsia="Calibri" w:hAnsi="Verdana" w:cs="Arial"/>
          <w:bCs/>
          <w:iCs/>
          <w:sz w:val="20"/>
          <w:szCs w:val="20"/>
          <w:lang w:val="es-ES_tradnl" w:eastAsia="es-ES_tradnl"/>
        </w:rPr>
        <w:t xml:space="preserve">– modificada por el Decreto 1600 de 2024 debe tenerse en cuenta sobre el entendimiento y aplicación del artículo </w:t>
      </w:r>
      <w:r w:rsidRPr="0084214C">
        <w:rPr>
          <w:rFonts w:ascii="Verdana" w:eastAsia="Calibri" w:hAnsi="Verdana" w:cs="Arial"/>
          <w:bCs/>
          <w:iCs/>
          <w:sz w:val="20"/>
          <w:szCs w:val="20"/>
          <w:lang w:eastAsia="es-ES_tradnl"/>
        </w:rPr>
        <w:t>2.2.1.1.1.7.1. del Decreto 1082 de 2015</w:t>
      </w:r>
      <w:r w:rsidRPr="0084214C">
        <w:rPr>
          <w:rFonts w:ascii="Verdana" w:eastAsia="Calibri" w:hAnsi="Verdana" w:cs="Arial"/>
          <w:bCs/>
          <w:iCs/>
          <w:sz w:val="20"/>
          <w:szCs w:val="20"/>
          <w:lang w:val="es-ES_tradnl" w:eastAsia="es-ES_tradnl"/>
        </w:rPr>
        <w:t xml:space="preserve"> –</w:t>
      </w:r>
      <w:r w:rsidRPr="0084214C">
        <w:rPr>
          <w:rFonts w:ascii="Verdana" w:eastAsia="Calibri" w:hAnsi="Verdana" w:cs="Arial"/>
          <w:bCs/>
          <w:i/>
          <w:iCs/>
          <w:sz w:val="20"/>
          <w:szCs w:val="20"/>
          <w:lang w:val="es-ES_tradnl" w:eastAsia="es-ES_tradnl"/>
        </w:rPr>
        <w:t>regla general</w:t>
      </w:r>
      <w:r w:rsidRPr="0084214C">
        <w:rPr>
          <w:rFonts w:ascii="Verdana" w:eastAsia="Calibri" w:hAnsi="Verdana" w:cs="Arial"/>
          <w:bCs/>
          <w:iCs/>
          <w:sz w:val="20"/>
          <w:szCs w:val="20"/>
          <w:lang w:val="es-ES_tradnl" w:eastAsia="es-ES_tradnl"/>
        </w:rPr>
        <w:t xml:space="preserve">–, esto es, deben interpretarse armónicamente. Esto no significa que la </w:t>
      </w:r>
      <w:r w:rsidRPr="0084214C">
        <w:rPr>
          <w:rFonts w:ascii="Verdana" w:eastAsia="Calibri" w:hAnsi="Verdana" w:cs="Arial"/>
          <w:bCs/>
          <w:i/>
          <w:iCs/>
          <w:sz w:val="20"/>
          <w:szCs w:val="20"/>
          <w:lang w:val="es-ES_tradnl" w:eastAsia="es-ES_tradnl"/>
        </w:rPr>
        <w:t>regla general</w:t>
      </w:r>
      <w:r w:rsidRPr="0084214C">
        <w:rPr>
          <w:rFonts w:ascii="Verdana" w:eastAsia="Calibri" w:hAnsi="Verdana" w:cs="Arial"/>
          <w:bCs/>
          <w:iCs/>
          <w:sz w:val="20"/>
          <w:szCs w:val="20"/>
          <w:lang w:val="es-ES_tradnl" w:eastAsia="es-ES_tradnl"/>
        </w:rPr>
        <w:t xml:space="preserve"> desaparezca del ordenamiento jurídico; todo lo contrario, esta aplica en todos los supuestos que regula, y se interpreta de forma integral con los supuestos previstos en la </w:t>
      </w:r>
      <w:r w:rsidRPr="0084214C">
        <w:rPr>
          <w:rFonts w:ascii="Verdana" w:eastAsia="Calibri" w:hAnsi="Verdana" w:cs="Arial"/>
          <w:bCs/>
          <w:i/>
          <w:iCs/>
          <w:sz w:val="20"/>
          <w:szCs w:val="20"/>
          <w:lang w:val="es-ES_tradnl" w:eastAsia="es-ES_tradnl"/>
        </w:rPr>
        <w:t>regla especial</w:t>
      </w:r>
      <w:r w:rsidRPr="0084214C">
        <w:rPr>
          <w:rFonts w:ascii="Verdana" w:eastAsia="Calibri" w:hAnsi="Verdana" w:cs="Arial"/>
          <w:bCs/>
          <w:iCs/>
          <w:sz w:val="20"/>
          <w:szCs w:val="20"/>
          <w:lang w:val="es-ES_tradnl" w:eastAsia="es-ES_tradnl"/>
        </w:rPr>
        <w:t xml:space="preserve">. De esta manera, el término de diez (10) días es un plazo máximo para las entidades y </w:t>
      </w:r>
      <w:r w:rsidRPr="0084214C">
        <w:rPr>
          <w:rFonts w:ascii="Verdana" w:eastAsia="Calibri" w:hAnsi="Verdana" w:cs="Arial"/>
          <w:bCs/>
          <w:i/>
          <w:iCs/>
          <w:sz w:val="20"/>
          <w:szCs w:val="20"/>
          <w:lang w:eastAsia="es-ES_tradnl"/>
        </w:rPr>
        <w:t xml:space="preserve">empresas del Estado </w:t>
      </w:r>
      <w:r w:rsidRPr="0084214C">
        <w:rPr>
          <w:rFonts w:ascii="Verdana" w:eastAsia="Calibri" w:hAnsi="Verdana" w:cs="Arial"/>
          <w:bCs/>
          <w:iCs/>
          <w:sz w:val="20"/>
          <w:szCs w:val="20"/>
          <w:lang w:eastAsia="es-ES_tradnl"/>
        </w:rPr>
        <w:t xml:space="preserve">del orden nacional y pertenecientes a la Rama Ejecutiva del Poder Público para publicar en SECOP, en todo caso los documentos de carácter definitivo, precisando la regla general sigue vigente, y que, en un principio, el término para publicar tres (3) días siguientes a la expedición, esto es, a partir desde que el documento se encuentra perfeccionado por la parte o las partes intervinientes, de conformidad a lo prescrito en el Decreto 1082 de 2015. </w:t>
      </w:r>
    </w:p>
    <w:p w14:paraId="6F8BFFE5" w14:textId="77777777" w:rsidR="0084214C" w:rsidRPr="0084214C" w:rsidRDefault="0084214C" w:rsidP="0084214C">
      <w:pPr>
        <w:snapToGrid w:val="0"/>
        <w:spacing w:after="0" w:line="240" w:lineRule="auto"/>
        <w:jc w:val="both"/>
        <w:rPr>
          <w:rFonts w:ascii="Verdana" w:eastAsia="Calibri" w:hAnsi="Verdana" w:cs="Arial"/>
          <w:bCs/>
          <w:iCs/>
          <w:sz w:val="20"/>
          <w:szCs w:val="20"/>
          <w:lang w:eastAsia="es-ES_tradnl"/>
        </w:rPr>
      </w:pPr>
    </w:p>
    <w:p w14:paraId="4A07F9B1" w14:textId="19AB0026" w:rsidR="00B97053" w:rsidRDefault="00B97053" w:rsidP="0084214C">
      <w:pPr>
        <w:snapToGrid w:val="0"/>
        <w:spacing w:after="0" w:line="240" w:lineRule="auto"/>
        <w:jc w:val="both"/>
        <w:rPr>
          <w:rFonts w:ascii="Verdana" w:eastAsia="Calibri" w:hAnsi="Verdana" w:cs="Arial"/>
          <w:bCs/>
          <w:iCs/>
          <w:sz w:val="20"/>
          <w:szCs w:val="20"/>
          <w:lang w:eastAsia="es-ES_tradnl"/>
        </w:rPr>
      </w:pPr>
      <w:r w:rsidRPr="0084214C">
        <w:rPr>
          <w:rFonts w:ascii="Verdana" w:eastAsia="Calibri" w:hAnsi="Verdana" w:cs="Arial"/>
          <w:bCs/>
          <w:iCs/>
          <w:sz w:val="20"/>
          <w:szCs w:val="20"/>
          <w:lang w:eastAsia="es-ES_tradnl"/>
        </w:rPr>
        <w:t xml:space="preserve">Ahora bien, las demás entidades que no están sujetas al Decreto 1600 de 2024 que modifica el Decreto 1081 de 2015 tienen el deber de aplicar el término de publicación de los tres (3) días siguientes a su expedición como regla general y no le es aplicable el término máximo de diez (10) días desde la ocurrencia del hecho, esto es, a partir de la generación del documento definitivo. En tal sentido, las entidades del orden territorial, así como sus descentralizadas deben seguir aplicando el término general de tres (3) días, y no podrán hacer una interpretación extensiva ni analógica, puesto que se rigen bajo el principio de legalidad que implica una interpretación literal y estricta de las disposiciones normativas.  </w:t>
      </w:r>
    </w:p>
    <w:p w14:paraId="325E19FE" w14:textId="77777777" w:rsidR="0084214C" w:rsidRPr="0084214C" w:rsidRDefault="0084214C" w:rsidP="0084214C">
      <w:pPr>
        <w:snapToGrid w:val="0"/>
        <w:spacing w:after="0" w:line="240" w:lineRule="auto"/>
        <w:jc w:val="both"/>
        <w:rPr>
          <w:rFonts w:ascii="Verdana" w:eastAsia="Calibri" w:hAnsi="Verdana" w:cs="Arial"/>
          <w:bCs/>
          <w:iCs/>
          <w:sz w:val="20"/>
          <w:szCs w:val="20"/>
          <w:lang w:eastAsia="es-ES_tradnl"/>
        </w:rPr>
      </w:pPr>
    </w:p>
    <w:p w14:paraId="2CE16245" w14:textId="77777777" w:rsidR="00B12B2C" w:rsidRPr="0084214C" w:rsidRDefault="00B12B2C" w:rsidP="0084214C">
      <w:pPr>
        <w:snapToGrid w:val="0"/>
        <w:spacing w:after="0" w:line="240" w:lineRule="auto"/>
        <w:jc w:val="both"/>
        <w:rPr>
          <w:rFonts w:ascii="Verdana" w:hAnsi="Verdana" w:cs="Arial"/>
          <w:b/>
          <w:sz w:val="20"/>
          <w:szCs w:val="20"/>
          <w:lang w:val="es-ES_tradnl" w:eastAsia="es-ES" w:bidi="es-ES"/>
        </w:rPr>
      </w:pPr>
      <w:r w:rsidRPr="0084214C">
        <w:rPr>
          <w:rFonts w:ascii="Verdana" w:hAnsi="Verdana" w:cs="Arial"/>
          <w:b/>
          <w:sz w:val="20"/>
          <w:szCs w:val="20"/>
          <w:lang w:val="es-ES_tradnl" w:eastAsia="es-ES" w:bidi="es-ES"/>
        </w:rPr>
        <w:t>PRINCIPIO DE PUBLICIDAD – término de publicación – interpretación armónica - documentos de ejecución</w:t>
      </w:r>
    </w:p>
    <w:p w14:paraId="1C40870C" w14:textId="4FD66564" w:rsidR="00A70048" w:rsidRPr="0084214C" w:rsidRDefault="00A70048" w:rsidP="0084214C">
      <w:pPr>
        <w:snapToGrid w:val="0"/>
        <w:spacing w:after="0" w:line="240" w:lineRule="auto"/>
        <w:jc w:val="both"/>
        <w:rPr>
          <w:rFonts w:ascii="Verdana" w:eastAsia="Calibri" w:hAnsi="Verdana" w:cs="Arial"/>
          <w:bCs/>
          <w:iCs/>
          <w:sz w:val="20"/>
          <w:szCs w:val="20"/>
          <w:lang w:val="es-ES" w:eastAsia="es-ES_tradnl"/>
        </w:rPr>
      </w:pPr>
      <w:r w:rsidRPr="0084214C">
        <w:rPr>
          <w:rFonts w:ascii="Verdana" w:eastAsia="Calibri" w:hAnsi="Verdana" w:cs="Arial"/>
          <w:bCs/>
          <w:iCs/>
          <w:sz w:val="20"/>
          <w:szCs w:val="20"/>
          <w:lang w:eastAsia="es-ES_tradnl"/>
        </w:rPr>
        <w:lastRenderedPageBreak/>
        <w:t>Conforme a lo expuesto antes,</w:t>
      </w:r>
      <w:r w:rsidRPr="0084214C">
        <w:rPr>
          <w:rFonts w:ascii="Verdana" w:eastAsia="Calibri" w:hAnsi="Verdana" w:cs="Arial"/>
          <w:bCs/>
          <w:iCs/>
          <w:sz w:val="20"/>
          <w:szCs w:val="20"/>
          <w:lang w:val="es-ES" w:eastAsia="es-ES_tradnl"/>
        </w:rPr>
        <w:t xml:space="preserve"> en SECOP II, en principio, no aplica el término general de los tres (3) o el plazo máximo de los (10) días para las entidades del orden nacional, pues la mayoría de los documentos y actuaciones electrónicas se generan en el instante con la aprobación de las partes que intervienen en el proceso de contratación estatal respectivo. Esto, a diferencia de los procesos publicados en el SECOP I, en los que primero se generan los documentos definitivos, esto es, aquellos que están firmados por las partes y luego se publican en dicha plataforma, en los términos ya expuestos, dependiendo de la naturaleza de la entidad y de las reglas prescritas en los Decretos 1081 y 1082 de 2015.</w:t>
      </w:r>
    </w:p>
    <w:p w14:paraId="6C66A56C" w14:textId="77777777" w:rsidR="00A70048" w:rsidRPr="0084214C" w:rsidRDefault="00A70048" w:rsidP="0084214C">
      <w:pPr>
        <w:snapToGrid w:val="0"/>
        <w:spacing w:after="0" w:line="240" w:lineRule="auto"/>
        <w:ind w:firstLine="709"/>
        <w:jc w:val="both"/>
        <w:rPr>
          <w:rFonts w:ascii="Verdana" w:eastAsia="Calibri" w:hAnsi="Verdana" w:cs="Arial"/>
          <w:bCs/>
          <w:iCs/>
          <w:sz w:val="20"/>
          <w:szCs w:val="20"/>
          <w:lang w:val="es-ES" w:eastAsia="es-ES_tradnl"/>
        </w:rPr>
      </w:pPr>
    </w:p>
    <w:p w14:paraId="1F006A08" w14:textId="77777777" w:rsidR="00B12B2C" w:rsidRPr="0084214C" w:rsidRDefault="00B12B2C" w:rsidP="0084214C">
      <w:pPr>
        <w:snapToGrid w:val="0"/>
        <w:spacing w:after="0"/>
        <w:jc w:val="both"/>
        <w:rPr>
          <w:rFonts w:ascii="Verdana" w:eastAsia="Calibri" w:hAnsi="Verdana" w:cs="Arial"/>
          <w:b/>
          <w:bCs/>
          <w:lang w:eastAsia="es-ES"/>
        </w:rPr>
      </w:pPr>
      <w:r w:rsidRPr="0084214C">
        <w:rPr>
          <w:rFonts w:ascii="Verdana" w:eastAsia="Calibri" w:hAnsi="Verdana" w:cs="Arial"/>
          <w:b/>
          <w:bCs/>
          <w:lang w:val="es-ES_tradnl" w:eastAsia="es-ES"/>
        </w:rPr>
        <w:t>RESERVA LEGAL</w:t>
      </w:r>
      <w:r w:rsidRPr="0084214C">
        <w:rPr>
          <w:rFonts w:ascii="Verdana" w:eastAsia="Calibri" w:hAnsi="Verdana" w:cs="Arial"/>
          <w:b/>
          <w:bCs/>
          <w:lang w:eastAsia="es-ES"/>
        </w:rPr>
        <w:t xml:space="preserve"> – Noción</w:t>
      </w:r>
    </w:p>
    <w:p w14:paraId="33869108" w14:textId="77777777" w:rsidR="0084214C" w:rsidRPr="0084214C" w:rsidRDefault="0084214C" w:rsidP="0084214C">
      <w:pPr>
        <w:snapToGrid w:val="0"/>
        <w:spacing w:after="0" w:line="240" w:lineRule="auto"/>
        <w:jc w:val="both"/>
        <w:rPr>
          <w:rFonts w:ascii="Verdana" w:eastAsia="Calibri" w:hAnsi="Verdana" w:cs="Arial"/>
          <w:sz w:val="20"/>
          <w:szCs w:val="20"/>
          <w:lang w:eastAsia="es-ES"/>
        </w:rPr>
      </w:pPr>
    </w:p>
    <w:p w14:paraId="7437E2EE" w14:textId="503183C7" w:rsidR="00A70048" w:rsidRDefault="00A70048" w:rsidP="0084214C">
      <w:pPr>
        <w:snapToGrid w:val="0"/>
        <w:spacing w:after="0" w:line="240" w:lineRule="auto"/>
        <w:jc w:val="both"/>
        <w:rPr>
          <w:rFonts w:ascii="Verdana" w:hAnsi="Verdana" w:cs="Arial"/>
          <w:sz w:val="20"/>
          <w:szCs w:val="20"/>
          <w:lang w:val="es-ES_tradnl"/>
        </w:rPr>
      </w:pPr>
      <w:r w:rsidRPr="0084214C">
        <w:rPr>
          <w:rFonts w:ascii="Verdana" w:eastAsia="Calibri" w:hAnsi="Verdana" w:cs="Arial"/>
          <w:color w:val="000000" w:themeColor="text1"/>
          <w:sz w:val="20"/>
          <w:szCs w:val="20"/>
          <w:lang w:val="es-ES"/>
        </w:rPr>
        <w:t xml:space="preserve">De esta manera, corresponde a la Entidad Contratante verificar si el documento se encuentra inmerso en causal de reserva de ley. Adicionalmente, </w:t>
      </w:r>
      <w:r w:rsidRPr="0084214C">
        <w:rPr>
          <w:rFonts w:ascii="Verdana" w:eastAsia="Calibri" w:hAnsi="Verdana" w:cs="Arial"/>
          <w:bCs/>
          <w:color w:val="000000" w:themeColor="text1"/>
          <w:sz w:val="20"/>
          <w:szCs w:val="20"/>
          <w:lang w:val="es-ES_tradnl"/>
        </w:rPr>
        <w:t xml:space="preserve">los datos sensibles constituyen límites al deber de divulgación proactiva de la información en la contratación estatal. </w:t>
      </w:r>
      <w:r w:rsidRPr="0084214C">
        <w:rPr>
          <w:rFonts w:ascii="Verdana" w:eastAsia="Calibri" w:hAnsi="Verdana" w:cs="Arial"/>
          <w:sz w:val="20"/>
          <w:szCs w:val="20"/>
          <w:lang w:val="es-ES_tradnl"/>
        </w:rPr>
        <w:t xml:space="preserve">En otras palabras,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 absteniéndose, de ser el caso, de publicar las ofertas, o las partes pertinentes en las que se evidencie este tipo de información. Para dichos eventos, la plataforma SECOP II, </w:t>
      </w:r>
      <w:r w:rsidRPr="0084214C">
        <w:rPr>
          <w:rFonts w:ascii="Verdana" w:hAnsi="Verdana" w:cs="Arial"/>
          <w:sz w:val="20"/>
          <w:szCs w:val="20"/>
          <w:lang w:val="es-ES_tradnl"/>
        </w:rPr>
        <w:t>antes de publicar las ofertas, brinda a las entidades la opción de calificar dicha información como confidencial, lo cual impide que los documentos se publiquen”.</w:t>
      </w:r>
    </w:p>
    <w:p w14:paraId="00481701" w14:textId="77777777" w:rsidR="0084214C" w:rsidRPr="0084214C" w:rsidRDefault="0084214C" w:rsidP="0084214C">
      <w:pPr>
        <w:snapToGrid w:val="0"/>
        <w:spacing w:after="0" w:line="240" w:lineRule="auto"/>
        <w:jc w:val="both"/>
        <w:rPr>
          <w:rFonts w:ascii="Verdana" w:eastAsia="Calibri" w:hAnsi="Verdana" w:cs="Arial"/>
          <w:color w:val="000000" w:themeColor="text1"/>
          <w:sz w:val="20"/>
          <w:szCs w:val="20"/>
          <w:lang w:val="es-ES"/>
        </w:rPr>
      </w:pPr>
    </w:p>
    <w:p w14:paraId="0215FF18" w14:textId="6B85BD38" w:rsidR="00B12B2C" w:rsidRPr="0084214C" w:rsidRDefault="00B12B2C" w:rsidP="0084214C">
      <w:pPr>
        <w:snapToGrid w:val="0"/>
        <w:spacing w:after="0"/>
        <w:jc w:val="both"/>
        <w:rPr>
          <w:rFonts w:ascii="Verdana" w:eastAsia="Calibri" w:hAnsi="Verdana" w:cs="Arial"/>
          <w:b/>
          <w:bCs/>
          <w:lang w:eastAsia="es-ES"/>
        </w:rPr>
      </w:pPr>
      <w:r w:rsidRPr="0084214C">
        <w:rPr>
          <w:rFonts w:ascii="Verdana" w:eastAsia="Calibri" w:hAnsi="Verdana" w:cs="Arial"/>
          <w:b/>
          <w:bCs/>
          <w:lang w:eastAsia="es-ES"/>
        </w:rPr>
        <w:t>TRATAMIENTO DE DATOS PERSONALES – Normativa</w:t>
      </w:r>
    </w:p>
    <w:p w14:paraId="691FA99A" w14:textId="77777777" w:rsidR="0084214C" w:rsidRPr="0084214C" w:rsidRDefault="0084214C" w:rsidP="0084214C">
      <w:pPr>
        <w:snapToGrid w:val="0"/>
        <w:spacing w:after="0" w:line="240" w:lineRule="auto"/>
        <w:jc w:val="both"/>
        <w:rPr>
          <w:rFonts w:ascii="Verdana" w:eastAsia="Calibri" w:hAnsi="Verdana" w:cs="Arial"/>
          <w:sz w:val="20"/>
          <w:szCs w:val="20"/>
          <w:lang w:eastAsia="es-ES"/>
        </w:rPr>
      </w:pPr>
    </w:p>
    <w:p w14:paraId="2BD15B32" w14:textId="77777777" w:rsidR="00A70048" w:rsidRPr="0084214C" w:rsidRDefault="00A70048" w:rsidP="0084214C">
      <w:pPr>
        <w:snapToGrid w:val="0"/>
        <w:spacing w:after="0" w:line="240" w:lineRule="auto"/>
        <w:jc w:val="both"/>
        <w:rPr>
          <w:rFonts w:ascii="Verdana" w:eastAsia="Calibri" w:hAnsi="Verdana" w:cs="Arial"/>
          <w:bCs/>
          <w:iCs/>
          <w:sz w:val="20"/>
          <w:szCs w:val="20"/>
          <w:lang w:val="es-ES" w:eastAsia="es-ES_tradnl"/>
        </w:rPr>
      </w:pPr>
      <w:r w:rsidRPr="0084214C">
        <w:rPr>
          <w:rFonts w:ascii="Verdana" w:eastAsia="Calibri" w:hAnsi="Verdana" w:cs="Arial"/>
          <w:bCs/>
          <w:iCs/>
          <w:sz w:val="20"/>
          <w:szCs w:val="20"/>
          <w:lang w:val="es-ES" w:eastAsia="es-ES_tradnl"/>
        </w:rPr>
        <w:t>Es decir, tanto las entidades que se rigen por el Estatuto General de Contratación de la Administración Pública –las mencionadas en el artículo 2 de la Ley 80 de 1993–, como las exceptuadas de aquel, deben proteger los datos personales en los trámites contractuales que adelanten. A tal conclusión se llega, teniendo en cuenta que el mencionado artículo indica que “Los principios y disposiciones contenidas en la presente ley serán aplicables a los datos personales registrados en cualquier base de datos que los haga susceptibles de tratamiento por entidades de naturaleza pública o privada” y no contempla dentro de las excepciones previstas en la norma los procedimientos contractuales de selección.</w:t>
      </w:r>
    </w:p>
    <w:p w14:paraId="19A459D2" w14:textId="77777777" w:rsidR="00A70048" w:rsidRPr="0084214C" w:rsidRDefault="00A70048" w:rsidP="0084214C">
      <w:pPr>
        <w:snapToGrid w:val="0"/>
        <w:spacing w:after="0" w:line="240" w:lineRule="auto"/>
        <w:jc w:val="both"/>
        <w:rPr>
          <w:rFonts w:ascii="Verdana" w:eastAsia="Calibri" w:hAnsi="Verdana" w:cs="Arial"/>
          <w:color w:val="000000" w:themeColor="text1"/>
          <w:sz w:val="20"/>
          <w:szCs w:val="20"/>
        </w:rPr>
      </w:pPr>
      <w:r w:rsidRPr="0084214C">
        <w:rPr>
          <w:rFonts w:ascii="Verdana" w:eastAsia="Calibri" w:hAnsi="Verdana" w:cs="Arial"/>
          <w:color w:val="000000" w:themeColor="text1"/>
          <w:sz w:val="20"/>
          <w:szCs w:val="20"/>
        </w:rPr>
        <w:t xml:space="preserve">En ese orden de ideas, las entidades estatales, en su actividad contractual, deben proteger la información personal registrada en sus </w:t>
      </w:r>
      <w:r w:rsidRPr="0084214C">
        <w:rPr>
          <w:rFonts w:ascii="Verdana" w:eastAsia="Calibri" w:hAnsi="Verdana" w:cs="Arial"/>
          <w:i/>
          <w:iCs/>
          <w:color w:val="000000" w:themeColor="text1"/>
          <w:sz w:val="20"/>
          <w:szCs w:val="20"/>
        </w:rPr>
        <w:t>bases de datos</w:t>
      </w:r>
      <w:r w:rsidRPr="0084214C">
        <w:rPr>
          <w:rFonts w:ascii="Verdana" w:eastAsia="Calibri" w:hAnsi="Verdana" w:cs="Arial"/>
          <w:color w:val="000000" w:themeColor="text1"/>
          <w:sz w:val="20"/>
          <w:szCs w:val="20"/>
        </w:rPr>
        <w:t xml:space="preserve">. </w:t>
      </w:r>
      <w:proofErr w:type="gramStart"/>
      <w:r w:rsidRPr="0084214C">
        <w:rPr>
          <w:rFonts w:ascii="Verdana" w:eastAsia="Calibri" w:hAnsi="Verdana" w:cs="Arial"/>
          <w:color w:val="000000" w:themeColor="text1"/>
          <w:sz w:val="20"/>
          <w:szCs w:val="20"/>
        </w:rPr>
        <w:t>El  literal</w:t>
      </w:r>
      <w:proofErr w:type="gramEnd"/>
      <w:r w:rsidRPr="0084214C">
        <w:rPr>
          <w:rFonts w:ascii="Verdana" w:eastAsia="Calibri" w:hAnsi="Verdana" w:cs="Arial"/>
          <w:color w:val="000000" w:themeColor="text1"/>
          <w:sz w:val="20"/>
          <w:szCs w:val="20"/>
        </w:rPr>
        <w:t xml:space="preserve"> b) del artículo 3, de la Ley 1581 de 2012, define “base de datos” como el “Conjunto organizado de datos personales que sea objeto de Tratamiento». Por su parte, el literal c) del mismo artículo dice que un “dato personal” es “Cualquier información vinculada o que pueda asociarse a una o varias personas naturales determinadas o determinables” y el literal g) señala que “tratamiento” es “Cualquier operación o conjunto de operaciones sobre datos personales, tales como la recolección, almacenamiento, uso, circulación o supresión”.</w:t>
      </w:r>
    </w:p>
    <w:p w14:paraId="2DBC4C8C" w14:textId="77777777" w:rsidR="00A70048" w:rsidRDefault="00A70048" w:rsidP="00B12B2C">
      <w:pPr>
        <w:spacing w:line="276" w:lineRule="auto"/>
        <w:jc w:val="both"/>
        <w:rPr>
          <w:rFonts w:ascii="Verdana" w:hAnsi="Verdana" w:cs="Arial"/>
          <w:bCs/>
          <w:lang w:val="es-ES_tradnl" w:eastAsia="es-ES" w:bidi="es-ES"/>
        </w:rPr>
      </w:pPr>
    </w:p>
    <w:p w14:paraId="1FF7D794" w14:textId="77777777" w:rsidR="00B12B2C" w:rsidRDefault="00B12B2C" w:rsidP="008F3EC3">
      <w:pPr>
        <w:spacing w:after="0"/>
        <w:rPr>
          <w:rFonts w:ascii="Verdana" w:hAnsi="Verdana"/>
        </w:rPr>
      </w:pPr>
    </w:p>
    <w:p w14:paraId="1764D75B" w14:textId="736712BE" w:rsidR="008F3EC3" w:rsidRPr="0044528D" w:rsidRDefault="00FE5C8E" w:rsidP="008F3EC3">
      <w:pPr>
        <w:spacing w:after="0"/>
        <w:rPr>
          <w:rFonts w:ascii="Verdana" w:hAnsi="Verdana"/>
        </w:rPr>
      </w:pPr>
      <w:r>
        <w:rPr>
          <w:rFonts w:ascii="Verdana" w:hAnsi="Verdana"/>
          <w:noProof/>
        </w:rPr>
        <w:drawing>
          <wp:anchor distT="0" distB="0" distL="114300" distR="114300" simplePos="0" relativeHeight="251661312" behindDoc="0" locked="0" layoutInCell="1" allowOverlap="1" wp14:anchorId="22F4E67D" wp14:editId="5CEB3549">
            <wp:simplePos x="0" y="0"/>
            <wp:positionH relativeFrom="column">
              <wp:posOffset>3606800</wp:posOffset>
            </wp:positionH>
            <wp:positionV relativeFrom="page">
              <wp:posOffset>1654242</wp:posOffset>
            </wp:positionV>
            <wp:extent cx="2049780" cy="577215"/>
            <wp:effectExtent l="0" t="0" r="0" b="0"/>
            <wp:wrapSquare wrapText="bothSides"/>
            <wp:docPr id="4087717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771710" name="Picture 4087717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49780" cy="577215"/>
                    </a:xfrm>
                    <a:prstGeom prst="rect">
                      <a:avLst/>
                    </a:prstGeom>
                  </pic:spPr>
                </pic:pic>
              </a:graphicData>
            </a:graphic>
            <wp14:sizeRelH relativeFrom="page">
              <wp14:pctWidth>0</wp14:pctWidth>
            </wp14:sizeRelH>
            <wp14:sizeRelV relativeFrom="page">
              <wp14:pctHeight>0</wp14:pctHeight>
            </wp14:sizeRelV>
          </wp:anchor>
        </w:drawing>
      </w:r>
      <w:r w:rsidR="008F3EC3" w:rsidRPr="0044528D">
        <w:rPr>
          <w:rFonts w:ascii="Verdana" w:hAnsi="Verdana"/>
        </w:rPr>
        <w:t xml:space="preserve">Bogotá D.C., </w:t>
      </w:r>
      <w:r w:rsidR="00E24A08">
        <w:rPr>
          <w:rFonts w:ascii="Verdana" w:hAnsi="Verdana"/>
        </w:rPr>
        <w:t>28 de octubre de 2025</w:t>
      </w:r>
      <w:r w:rsidR="008F3EC3" w:rsidRPr="0044528D">
        <w:rPr>
          <w:rFonts w:ascii="Verdana" w:hAnsi="Verdana"/>
        </w:rPr>
        <w:tab/>
      </w:r>
    </w:p>
    <w:p w14:paraId="12A67848" w14:textId="079828EF" w:rsidR="008F3EC3" w:rsidRDefault="008F3EC3" w:rsidP="008F3EC3">
      <w:pPr>
        <w:spacing w:after="0"/>
        <w:rPr>
          <w:rFonts w:ascii="Verdana" w:hAnsi="Verdana"/>
        </w:rPr>
      </w:pPr>
    </w:p>
    <w:p w14:paraId="17611ACE" w14:textId="5F92C4C5" w:rsidR="008F3EC3" w:rsidRDefault="008F3EC3" w:rsidP="008F3EC3">
      <w:pPr>
        <w:spacing w:after="0" w:line="240" w:lineRule="auto"/>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Señora</w:t>
      </w:r>
    </w:p>
    <w:p w14:paraId="034E109B" w14:textId="4EFB2AEC" w:rsidR="008F3EC3" w:rsidRPr="000266CA" w:rsidRDefault="008F3EC3" w:rsidP="008F3EC3">
      <w:pPr>
        <w:spacing w:after="0" w:line="240" w:lineRule="auto"/>
        <w:rPr>
          <w:rFonts w:ascii="Verdana" w:hAnsi="Verdana"/>
          <w:b/>
          <w:bCs/>
        </w:rPr>
      </w:pPr>
      <w:r w:rsidRPr="000266CA">
        <w:rPr>
          <w:rFonts w:ascii="Verdana" w:hAnsi="Verdana"/>
          <w:b/>
          <w:bCs/>
        </w:rPr>
        <w:t>María Claudia Angulo Zabaleta</w:t>
      </w:r>
    </w:p>
    <w:p w14:paraId="64DFAD86" w14:textId="4FBAD5AD" w:rsidR="008F3EC3" w:rsidRDefault="00627686" w:rsidP="008F3EC3">
      <w:pPr>
        <w:spacing w:after="0" w:line="240" w:lineRule="auto"/>
        <w:rPr>
          <w:rFonts w:ascii="Verdana" w:hAnsi="Verdana"/>
        </w:rPr>
      </w:pPr>
      <w:r>
        <w:rPr>
          <w:rFonts w:ascii="Verdana" w:hAnsi="Verdana"/>
          <w:noProof/>
        </w:rPr>
        <w:drawing>
          <wp:anchor distT="0" distB="0" distL="114300" distR="114300" simplePos="0" relativeHeight="251658240" behindDoc="0" locked="0" layoutInCell="1" allowOverlap="1" wp14:anchorId="4D379764" wp14:editId="43DE38FE">
            <wp:simplePos x="0" y="0"/>
            <wp:positionH relativeFrom="column">
              <wp:posOffset>3606800</wp:posOffset>
            </wp:positionH>
            <wp:positionV relativeFrom="page">
              <wp:posOffset>2322830</wp:posOffset>
            </wp:positionV>
            <wp:extent cx="2049780" cy="558800"/>
            <wp:effectExtent l="0" t="0" r="0" b="0"/>
            <wp:wrapSquare wrapText="bothSides"/>
            <wp:docPr id="942801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801848" name="Picture 94280184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49780" cy="558800"/>
                    </a:xfrm>
                    <a:prstGeom prst="rect">
                      <a:avLst/>
                    </a:prstGeom>
                  </pic:spPr>
                </pic:pic>
              </a:graphicData>
            </a:graphic>
            <wp14:sizeRelH relativeFrom="page">
              <wp14:pctWidth>0</wp14:pctWidth>
            </wp14:sizeRelH>
            <wp14:sizeRelV relativeFrom="page">
              <wp14:pctHeight>0</wp14:pctHeight>
            </wp14:sizeRelV>
          </wp:anchor>
        </w:drawing>
      </w:r>
      <w:hyperlink r:id="rId12" w:history="1">
        <w:r w:rsidR="008F3EC3" w:rsidRPr="00CC2364">
          <w:rPr>
            <w:rStyle w:val="Hipervnculo"/>
            <w:rFonts w:ascii="Verdana" w:hAnsi="Verdana"/>
          </w:rPr>
          <w:t>m.anguloz@uniandes.edu.co</w:t>
        </w:r>
      </w:hyperlink>
    </w:p>
    <w:p w14:paraId="7410D5C1" w14:textId="610674C7" w:rsidR="008F3EC3" w:rsidRPr="00580D08" w:rsidRDefault="008F3EC3" w:rsidP="008F3EC3">
      <w:pPr>
        <w:spacing w:after="0" w:line="240" w:lineRule="auto"/>
        <w:rPr>
          <w:rFonts w:ascii="Verdana" w:hAnsi="Verdana"/>
        </w:rPr>
      </w:pPr>
      <w:r w:rsidRPr="0044528D">
        <w:rPr>
          <w:rFonts w:ascii="Verdana" w:hAnsi="Verdana"/>
        </w:rPr>
        <w:t>Bogotá D.C</w:t>
      </w:r>
      <w:r>
        <w:rPr>
          <w:rFonts w:ascii="Verdana" w:hAnsi="Verdana"/>
        </w:rPr>
        <w:t>.</w:t>
      </w:r>
    </w:p>
    <w:p w14:paraId="44E5496B" w14:textId="77777777" w:rsidR="008F3EC3" w:rsidRPr="00580D08" w:rsidRDefault="008F3EC3" w:rsidP="008F3EC3">
      <w:pPr>
        <w:spacing w:after="0" w:line="240" w:lineRule="auto"/>
        <w:rPr>
          <w:rFonts w:ascii="Verdana" w:eastAsia="Calibri" w:hAnsi="Verdana" w:cs="Arial"/>
          <w:b/>
          <w:color w:val="000000" w:themeColor="text1"/>
          <w:lang w:eastAsia="es-ES_tradnl"/>
        </w:rPr>
      </w:pPr>
    </w:p>
    <w:p w14:paraId="2B3E74E6" w14:textId="77777777" w:rsidR="008F3EC3" w:rsidRPr="00FE5A24" w:rsidRDefault="008F3EC3" w:rsidP="008F3EC3">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F3EC3" w:rsidRPr="00FE5A24" w14:paraId="7A554539" w14:textId="77777777" w:rsidTr="00BD7C37">
        <w:trPr>
          <w:trHeight w:val="304"/>
        </w:trPr>
        <w:tc>
          <w:tcPr>
            <w:tcW w:w="2689" w:type="dxa"/>
          </w:tcPr>
          <w:p w14:paraId="16176C08" w14:textId="77777777" w:rsidR="008F3EC3" w:rsidRPr="00FE5A24" w:rsidRDefault="008F3EC3" w:rsidP="00BD7C37">
            <w:pPr>
              <w:jc w:val="both"/>
              <w:rPr>
                <w:rFonts w:ascii="Verdana" w:eastAsia="Calibri" w:hAnsi="Verdana" w:cs="Arial"/>
                <w:b/>
                <w:bCs/>
                <w:color w:val="000000" w:themeColor="text1"/>
                <w:lang w:val="es-ES_tradnl" w:eastAsia="es-ES_tradnl"/>
              </w:rPr>
            </w:pPr>
          </w:p>
        </w:tc>
        <w:tc>
          <w:tcPr>
            <w:tcW w:w="6100" w:type="dxa"/>
          </w:tcPr>
          <w:p w14:paraId="08C0C5D4" w14:textId="77777777" w:rsidR="00627686" w:rsidRDefault="00627686" w:rsidP="00BD7C37">
            <w:pPr>
              <w:jc w:val="both"/>
              <w:rPr>
                <w:rFonts w:ascii="Verdana" w:eastAsia="Calibri" w:hAnsi="Verdana" w:cs="Arial"/>
                <w:b/>
                <w:bCs/>
                <w:color w:val="000000" w:themeColor="text1"/>
                <w:lang w:val="es-ES" w:eastAsia="es-ES"/>
              </w:rPr>
            </w:pPr>
          </w:p>
          <w:p w14:paraId="1B982588" w14:textId="09DD4585" w:rsidR="008F3EC3" w:rsidRDefault="008F3EC3" w:rsidP="00BD7C37">
            <w:pPr>
              <w:jc w:val="both"/>
              <w:rPr>
                <w:rFonts w:ascii="Verdana" w:eastAsia="Calibri" w:hAnsi="Verdana" w:cs="Arial"/>
                <w:b/>
                <w:bCs/>
                <w:color w:val="000000" w:themeColor="text1"/>
                <w:lang w:val="es-ES" w:eastAsia="es-ES"/>
              </w:rPr>
            </w:pPr>
            <w:r w:rsidRPr="00FE5A2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1172</w:t>
            </w:r>
            <w:r w:rsidRPr="00FE5A24">
              <w:rPr>
                <w:rFonts w:ascii="Verdana" w:eastAsia="Calibri" w:hAnsi="Verdana" w:cs="Arial"/>
                <w:b/>
                <w:bCs/>
                <w:color w:val="000000" w:themeColor="text1"/>
                <w:lang w:val="es-ES" w:eastAsia="es-ES"/>
              </w:rPr>
              <w:t xml:space="preserve"> de 2025</w:t>
            </w:r>
          </w:p>
          <w:p w14:paraId="36E495D8" w14:textId="77777777" w:rsidR="008F3EC3" w:rsidRPr="00FE5A24" w:rsidRDefault="008F3EC3" w:rsidP="00BD7C37">
            <w:pPr>
              <w:jc w:val="both"/>
              <w:rPr>
                <w:rFonts w:ascii="Verdana" w:eastAsia="Calibri" w:hAnsi="Verdana" w:cs="Arial"/>
                <w:b/>
                <w:bCs/>
                <w:color w:val="000000" w:themeColor="text1"/>
                <w:lang w:val="es-ES" w:eastAsia="es-ES"/>
              </w:rPr>
            </w:pPr>
          </w:p>
        </w:tc>
      </w:tr>
      <w:tr w:rsidR="008F3EC3" w:rsidRPr="00FE5A24" w14:paraId="7C7C5E15" w14:textId="77777777" w:rsidTr="00BD7C37">
        <w:trPr>
          <w:trHeight w:val="884"/>
        </w:trPr>
        <w:tc>
          <w:tcPr>
            <w:tcW w:w="2689" w:type="dxa"/>
          </w:tcPr>
          <w:p w14:paraId="344DA008" w14:textId="77777777" w:rsidR="008F3EC3" w:rsidRPr="00FE5A24" w:rsidRDefault="008F3EC3" w:rsidP="00BD7C37">
            <w:pPr>
              <w:jc w:val="both"/>
              <w:rPr>
                <w:rFonts w:ascii="Verdana" w:eastAsia="Calibri" w:hAnsi="Verdana" w:cs="Arial"/>
                <w:color w:val="000000" w:themeColor="text1"/>
                <w:lang w:val="es-ES_tradnl" w:eastAsia="es-ES_tradnl"/>
              </w:rPr>
            </w:pPr>
            <w:r>
              <w:rPr>
                <w:rFonts w:ascii="Verdana" w:eastAsia="Calibri" w:hAnsi="Verdana" w:cs="Arial"/>
                <w:b/>
                <w:color w:val="000000" w:themeColor="text1"/>
                <w:lang w:val="es-ES_tradnl" w:eastAsia="es-ES_tradnl"/>
              </w:rPr>
              <w:t>T</w:t>
            </w:r>
            <w:r w:rsidRPr="00FE5A24">
              <w:rPr>
                <w:rFonts w:ascii="Verdana" w:eastAsia="Calibri" w:hAnsi="Verdana" w:cs="Arial"/>
                <w:b/>
                <w:color w:val="000000" w:themeColor="text1"/>
                <w:lang w:val="es-ES_tradnl" w:eastAsia="es-ES_tradnl"/>
              </w:rPr>
              <w:t>emas:</w:t>
            </w:r>
            <w:r w:rsidRPr="00FE5A24">
              <w:rPr>
                <w:rFonts w:ascii="Verdana" w:eastAsia="Calibri" w:hAnsi="Verdana" w:cs="Arial"/>
                <w:color w:val="000000" w:themeColor="text1"/>
                <w:lang w:val="es-ES_tradnl" w:eastAsia="es-ES_tradnl"/>
              </w:rPr>
              <w:t xml:space="preserve">                   </w:t>
            </w:r>
          </w:p>
        </w:tc>
        <w:tc>
          <w:tcPr>
            <w:tcW w:w="6100" w:type="dxa"/>
          </w:tcPr>
          <w:p w14:paraId="2101245B" w14:textId="47AF29D1" w:rsidR="008F3EC3" w:rsidRDefault="008F3EC3" w:rsidP="00BD7C37">
            <w:pPr>
              <w:spacing w:line="276" w:lineRule="auto"/>
              <w:jc w:val="both"/>
              <w:rPr>
                <w:rFonts w:ascii="Verdana" w:hAnsi="Verdana" w:cs="Arial"/>
                <w:bCs/>
                <w:lang w:val="es-ES_tradnl" w:eastAsia="es-ES" w:bidi="es-ES"/>
              </w:rPr>
            </w:pPr>
            <w:r w:rsidRPr="003F20E6">
              <w:rPr>
                <w:rFonts w:ascii="Verdana" w:eastAsia="Arial" w:hAnsi="Verdana" w:cs="Arial"/>
                <w:lang w:val="es-ES"/>
              </w:rPr>
              <w:t>PRINCIPIO DE PUBLICIDAD – Concepto – Fundamento axiológico – Fundamento constitucional</w:t>
            </w:r>
            <w:r w:rsidRPr="003F20E6">
              <w:rPr>
                <w:rFonts w:ascii="Verdana" w:hAnsi="Verdana" w:cs="Arial"/>
                <w:bCs/>
                <w:lang w:val="es-ES_tradnl" w:eastAsia="es-ES" w:bidi="es-ES"/>
              </w:rPr>
              <w:t xml:space="preserve"> / PRINCIPIO DE PUBLICIDAD – SECOP – Documentos del proceso – Deber de publicación / PRINCIPIO DE PUBLICIDAD – Ámbito de aplicación – Decreto 1081 de 2015 – Decreto 1600 de 2024 / PRINCIPIO DE PUBLICIDAD – término de publicación – interpretación armónica - documentos de ejecución</w:t>
            </w:r>
            <w:r>
              <w:rPr>
                <w:rFonts w:ascii="Verdana" w:hAnsi="Verdana" w:cs="Arial"/>
                <w:bCs/>
                <w:lang w:val="es-ES_tradnl" w:eastAsia="es-ES" w:bidi="es-ES"/>
              </w:rPr>
              <w:t xml:space="preserve"> / </w:t>
            </w:r>
            <w:r w:rsidRPr="00BA2C5B">
              <w:rPr>
                <w:rFonts w:ascii="Verdana" w:eastAsia="Calibri" w:hAnsi="Verdana" w:cs="Arial"/>
                <w:lang w:val="es-ES_tradnl" w:eastAsia="es-ES"/>
              </w:rPr>
              <w:t>RESERVA LEGAL</w:t>
            </w:r>
            <w:r w:rsidRPr="00BA2C5B">
              <w:rPr>
                <w:rFonts w:ascii="Verdana" w:eastAsia="Calibri" w:hAnsi="Verdana" w:cs="Arial"/>
                <w:lang w:eastAsia="es-ES"/>
              </w:rPr>
              <w:t xml:space="preserve"> – Noción / TRATAMIENTO DE DATOS PERSONALES </w:t>
            </w:r>
            <w:r>
              <w:rPr>
                <w:rFonts w:ascii="Verdana" w:eastAsia="Calibri" w:hAnsi="Verdana" w:cs="Arial"/>
                <w:lang w:eastAsia="es-ES"/>
              </w:rPr>
              <w:t>– Normativa</w:t>
            </w:r>
          </w:p>
          <w:p w14:paraId="43DC7B8B" w14:textId="77777777" w:rsidR="008F3EC3" w:rsidRPr="002A1163" w:rsidRDefault="008F3EC3" w:rsidP="00BD7C37">
            <w:pPr>
              <w:contextualSpacing/>
              <w:jc w:val="both"/>
              <w:rPr>
                <w:rFonts w:ascii="Verdana" w:eastAsia="Calibri" w:hAnsi="Verdana" w:cs="Arial"/>
                <w:color w:val="000000" w:themeColor="text1"/>
                <w:lang w:val="es-ES" w:eastAsia="es-ES"/>
              </w:rPr>
            </w:pPr>
          </w:p>
        </w:tc>
      </w:tr>
      <w:tr w:rsidR="008F3EC3" w:rsidRPr="00FE5A24" w14:paraId="04636050" w14:textId="77777777" w:rsidTr="00BD7C37">
        <w:tc>
          <w:tcPr>
            <w:tcW w:w="2689" w:type="dxa"/>
          </w:tcPr>
          <w:p w14:paraId="4A323C9F" w14:textId="77777777" w:rsidR="008F3EC3" w:rsidRPr="00FE5A24" w:rsidRDefault="008F3EC3" w:rsidP="00BD7C37">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Pr>
          <w:p w14:paraId="044C764F" w14:textId="77777777" w:rsidR="008F3EC3" w:rsidRPr="00FE5A24" w:rsidRDefault="008F3EC3" w:rsidP="00BD7C37">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Respuesta a consulta</w:t>
            </w:r>
            <w:r>
              <w:rPr>
                <w:rFonts w:ascii="Verdana" w:eastAsia="Calibri" w:hAnsi="Verdana" w:cs="Arial"/>
                <w:color w:val="000000" w:themeColor="text1"/>
                <w:lang w:val="es-ES_tradnl" w:eastAsia="es-ES_tradnl"/>
              </w:rPr>
              <w:t>s</w:t>
            </w:r>
            <w:r w:rsidRPr="00FE5A24">
              <w:rPr>
                <w:rFonts w:ascii="Verdana" w:eastAsia="Calibri" w:hAnsi="Verdana" w:cs="Arial"/>
                <w:color w:val="000000" w:themeColor="text1"/>
                <w:lang w:val="es-ES_tradnl" w:eastAsia="es-ES_tradnl"/>
              </w:rPr>
              <w:t xml:space="preserve"> con radicado</w:t>
            </w:r>
            <w:r>
              <w:rPr>
                <w:rFonts w:ascii="Verdana" w:eastAsia="Calibri" w:hAnsi="Verdana" w:cs="Arial"/>
                <w:color w:val="000000" w:themeColor="text1"/>
                <w:lang w:val="es-ES_tradnl" w:eastAsia="es-ES_tradnl"/>
              </w:rPr>
              <w:t>s</w:t>
            </w:r>
            <w:r w:rsidRPr="00FE5A24">
              <w:rPr>
                <w:rFonts w:ascii="Verdana" w:eastAsia="Calibri" w:hAnsi="Verdana" w:cs="Arial"/>
                <w:color w:val="000000" w:themeColor="text1"/>
                <w:lang w:val="es-ES_tradnl" w:eastAsia="es-ES_tradnl"/>
              </w:rPr>
              <w:t xml:space="preserve"> No.</w:t>
            </w:r>
            <w:r>
              <w:rPr>
                <w:rFonts w:ascii="Verdana" w:eastAsia="Calibri" w:hAnsi="Verdana" w:cs="Arial"/>
                <w:color w:val="000000" w:themeColor="text1"/>
                <w:lang w:val="es-ES_tradnl" w:eastAsia="es-ES_tradnl"/>
              </w:rPr>
              <w:t xml:space="preserve"> </w:t>
            </w:r>
            <w:r w:rsidRPr="000266CA">
              <w:rPr>
                <w:rFonts w:ascii="Verdana" w:eastAsia="Calibri" w:hAnsi="Verdana" w:cs="Arial"/>
                <w:color w:val="000000" w:themeColor="text1"/>
                <w:lang w:val="es-ES_tradnl" w:eastAsia="es-ES_tradnl"/>
              </w:rPr>
              <w:t>1_2025_09_24_010509</w:t>
            </w:r>
            <w:r>
              <w:rPr>
                <w:rFonts w:ascii="Verdana" w:eastAsia="Calibri" w:hAnsi="Verdana" w:cs="Arial"/>
                <w:color w:val="000000" w:themeColor="text1"/>
                <w:lang w:val="es-ES_tradnl" w:eastAsia="es-ES_tradnl"/>
              </w:rPr>
              <w:t xml:space="preserve"> y </w:t>
            </w:r>
            <w:r w:rsidRPr="000266CA">
              <w:rPr>
                <w:rFonts w:ascii="Verdana" w:eastAsia="Calibri" w:hAnsi="Verdana" w:cs="Arial"/>
                <w:color w:val="000000" w:themeColor="text1"/>
                <w:lang w:val="es-ES_tradnl" w:eastAsia="es-ES_tradnl"/>
              </w:rPr>
              <w:t>1_2025_09_24_010511</w:t>
            </w:r>
            <w:r>
              <w:rPr>
                <w:rFonts w:ascii="Verdana" w:eastAsia="Calibri" w:hAnsi="Verdana" w:cs="Arial"/>
                <w:color w:val="000000" w:themeColor="text1"/>
                <w:lang w:val="es-ES_tradnl" w:eastAsia="es-ES_tradnl"/>
              </w:rPr>
              <w:t xml:space="preserve"> (acumuladas)</w:t>
            </w:r>
          </w:p>
        </w:tc>
      </w:tr>
    </w:tbl>
    <w:p w14:paraId="73728599" w14:textId="77777777" w:rsidR="008F3EC3" w:rsidRPr="00FE5A24" w:rsidRDefault="008F3EC3" w:rsidP="008F3EC3">
      <w:pPr>
        <w:spacing w:after="0" w:line="276" w:lineRule="auto"/>
        <w:jc w:val="both"/>
        <w:rPr>
          <w:rFonts w:ascii="Verdana" w:eastAsia="Calibri" w:hAnsi="Verdana" w:cs="Arial"/>
          <w:color w:val="000000" w:themeColor="text1"/>
          <w:lang w:val="es-ES_tradnl" w:eastAsia="es-ES_tradnl"/>
        </w:rPr>
      </w:pPr>
    </w:p>
    <w:p w14:paraId="0B7C22B1" w14:textId="77777777" w:rsidR="008F3EC3" w:rsidRPr="00FE5A24" w:rsidRDefault="008F3EC3" w:rsidP="008F3EC3">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a señora </w:t>
      </w:r>
      <w:r>
        <w:rPr>
          <w:rFonts w:ascii="Verdana" w:eastAsia="Calibri" w:hAnsi="Verdana" w:cs="Arial"/>
          <w:color w:val="000000" w:themeColor="text1"/>
          <w:lang w:eastAsia="es-ES_tradnl"/>
        </w:rPr>
        <w:t>Angulo</w:t>
      </w:r>
      <w:r w:rsidRPr="00FE5A24">
        <w:rPr>
          <w:rFonts w:ascii="Verdana" w:eastAsia="Calibri" w:hAnsi="Verdana" w:cs="Arial"/>
          <w:color w:val="000000" w:themeColor="text1"/>
          <w:lang w:val="es-ES" w:eastAsia="es-ES"/>
        </w:rPr>
        <w:t xml:space="preserve">: </w:t>
      </w:r>
    </w:p>
    <w:p w14:paraId="344B8731" w14:textId="77777777" w:rsidR="008F3EC3" w:rsidRPr="00FE5A24" w:rsidRDefault="008F3EC3" w:rsidP="008F3EC3">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508E20B1" w14:textId="77777777" w:rsidR="008F3EC3" w:rsidRDefault="008F3EC3" w:rsidP="008F3EC3">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rPr>
        <w:t xml:space="preserve">de consulta remitida por la Procuraduría General de la Nación el 24 de septiembre de </w:t>
      </w:r>
      <w:r w:rsidRPr="00FE5A24">
        <w:rPr>
          <w:rFonts w:ascii="Verdana" w:hAnsi="Verdana" w:cs="Arial"/>
          <w:color w:val="000000" w:themeColor="text1"/>
        </w:rPr>
        <w:t>2025, en la cual manifiesta lo siguiente:</w:t>
      </w:r>
      <w:r w:rsidRPr="00FE5A24">
        <w:rPr>
          <w:rFonts w:ascii="Verdana" w:eastAsia="Calibri" w:hAnsi="Verdana" w:cs="Arial"/>
          <w:color w:val="000000" w:themeColor="text1"/>
          <w:lang w:val="es-ES" w:eastAsia="es-ES"/>
        </w:rPr>
        <w:t xml:space="preserve"> </w:t>
      </w:r>
      <w:bookmarkStart w:id="1" w:name="_Hlk95313578"/>
    </w:p>
    <w:p w14:paraId="7789017C" w14:textId="77777777" w:rsidR="008F3EC3" w:rsidRDefault="008F3EC3" w:rsidP="008F3EC3">
      <w:pPr>
        <w:spacing w:after="0" w:line="276" w:lineRule="auto"/>
        <w:jc w:val="both"/>
        <w:rPr>
          <w:rFonts w:ascii="Verdana" w:eastAsia="Calibri" w:hAnsi="Verdana" w:cs="Arial"/>
          <w:color w:val="000000" w:themeColor="text1"/>
          <w:lang w:val="es-ES" w:eastAsia="es-ES"/>
        </w:rPr>
      </w:pPr>
    </w:p>
    <w:p w14:paraId="5E0AF46C" w14:textId="77777777" w:rsidR="008F3EC3" w:rsidRPr="00B307EB" w:rsidRDefault="008F3EC3" w:rsidP="008F3EC3">
      <w:pPr>
        <w:spacing w:after="0" w:line="240" w:lineRule="auto"/>
        <w:ind w:left="709" w:right="709"/>
        <w:jc w:val="both"/>
        <w:rPr>
          <w:rFonts w:ascii="Verdana" w:hAnsi="Verdana" w:cs="Arial"/>
          <w:i/>
          <w:iCs/>
          <w:color w:val="000000" w:themeColor="text1"/>
          <w:sz w:val="21"/>
          <w:szCs w:val="21"/>
        </w:rPr>
      </w:pPr>
      <w:r w:rsidRPr="00B307EB">
        <w:rPr>
          <w:rFonts w:ascii="Verdana" w:hAnsi="Verdana" w:cs="Arial"/>
          <w:color w:val="000000" w:themeColor="text1"/>
          <w:sz w:val="21"/>
          <w:szCs w:val="21"/>
        </w:rPr>
        <w:t>“</w:t>
      </w:r>
      <w:bookmarkEnd w:id="1"/>
      <w:r w:rsidRPr="00B307EB">
        <w:rPr>
          <w:rFonts w:ascii="Verdana" w:hAnsi="Verdana" w:cs="Arial"/>
          <w:i/>
          <w:iCs/>
          <w:color w:val="000000" w:themeColor="text1"/>
          <w:sz w:val="21"/>
          <w:szCs w:val="21"/>
        </w:rPr>
        <w:t xml:space="preserve">1) ¿Cuál es la posición de la Procuraduría frente a la tensión entre el </w:t>
      </w:r>
    </w:p>
    <w:p w14:paraId="654FAF2B" w14:textId="77777777" w:rsidR="008F3EC3" w:rsidRPr="00B307EB" w:rsidRDefault="008F3EC3" w:rsidP="008F3EC3">
      <w:pPr>
        <w:spacing w:after="0" w:line="240" w:lineRule="auto"/>
        <w:ind w:left="709" w:right="709"/>
        <w:jc w:val="both"/>
        <w:rPr>
          <w:rFonts w:ascii="Verdana" w:hAnsi="Verdana" w:cs="Arial"/>
          <w:i/>
          <w:iCs/>
          <w:color w:val="000000" w:themeColor="text1"/>
          <w:sz w:val="21"/>
          <w:szCs w:val="21"/>
        </w:rPr>
      </w:pPr>
      <w:r w:rsidRPr="00B307EB">
        <w:rPr>
          <w:rFonts w:ascii="Verdana" w:hAnsi="Verdana" w:cs="Arial"/>
          <w:i/>
          <w:iCs/>
          <w:color w:val="000000" w:themeColor="text1"/>
          <w:sz w:val="21"/>
          <w:szCs w:val="21"/>
        </w:rPr>
        <w:t xml:space="preserve">principio de transparencia y la protección de secretos industriales en entidades de naturaleza mixta como </w:t>
      </w:r>
      <w:proofErr w:type="gramStart"/>
      <w:r w:rsidRPr="00B307EB">
        <w:rPr>
          <w:rFonts w:ascii="Verdana" w:hAnsi="Verdana" w:cs="Arial"/>
          <w:i/>
          <w:iCs/>
          <w:color w:val="000000" w:themeColor="text1"/>
          <w:sz w:val="21"/>
          <w:szCs w:val="21"/>
        </w:rPr>
        <w:t>Ecopetrol?.</w:t>
      </w:r>
      <w:proofErr w:type="gramEnd"/>
    </w:p>
    <w:p w14:paraId="3CFFFFF4" w14:textId="77777777" w:rsidR="008F3EC3" w:rsidRPr="00B307EB" w:rsidRDefault="008F3EC3" w:rsidP="008F3EC3">
      <w:pPr>
        <w:spacing w:after="0" w:line="240" w:lineRule="auto"/>
        <w:ind w:left="709" w:right="709"/>
        <w:jc w:val="both"/>
        <w:rPr>
          <w:rFonts w:ascii="Verdana" w:hAnsi="Verdana" w:cs="Arial"/>
          <w:color w:val="000000" w:themeColor="text1"/>
          <w:sz w:val="21"/>
          <w:szCs w:val="21"/>
        </w:rPr>
      </w:pPr>
      <w:proofErr w:type="gramStart"/>
      <w:r w:rsidRPr="00B307EB">
        <w:rPr>
          <w:rFonts w:ascii="Verdana" w:hAnsi="Verdana" w:cs="Arial"/>
          <w:i/>
          <w:iCs/>
          <w:color w:val="000000" w:themeColor="text1"/>
          <w:sz w:val="21"/>
          <w:szCs w:val="21"/>
        </w:rPr>
        <w:lastRenderedPageBreak/>
        <w:t>2)¿</w:t>
      </w:r>
      <w:proofErr w:type="gramEnd"/>
      <w:r w:rsidRPr="00B307EB">
        <w:rPr>
          <w:rFonts w:ascii="Verdana" w:hAnsi="Verdana" w:cs="Arial"/>
          <w:i/>
          <w:iCs/>
          <w:color w:val="000000" w:themeColor="text1"/>
          <w:sz w:val="21"/>
          <w:szCs w:val="21"/>
        </w:rPr>
        <w:t>Puede considerarse que la obligación general de publicidad contractual, sin excepciones claras, puede vulnerar principios constitucionales de razonabilidad y proporcionalidad? […]</w:t>
      </w:r>
      <w:r w:rsidRPr="00B307EB">
        <w:rPr>
          <w:rFonts w:ascii="Verdana" w:hAnsi="Verdana" w:cs="Arial"/>
          <w:color w:val="000000" w:themeColor="text1"/>
          <w:sz w:val="21"/>
          <w:szCs w:val="21"/>
        </w:rPr>
        <w:t>”</w:t>
      </w:r>
    </w:p>
    <w:p w14:paraId="440B0CBB" w14:textId="77777777" w:rsidR="008F3EC3" w:rsidRPr="003A7064" w:rsidRDefault="008F3EC3" w:rsidP="008F3EC3">
      <w:pPr>
        <w:spacing w:after="0" w:line="240" w:lineRule="auto"/>
        <w:ind w:right="709"/>
        <w:jc w:val="both"/>
        <w:rPr>
          <w:rFonts w:ascii="Verdana" w:eastAsia="Century Gothic" w:hAnsi="Verdana" w:cs="Century Gothic"/>
          <w:color w:val="000000" w:themeColor="text1"/>
          <w:sz w:val="20"/>
          <w:szCs w:val="20"/>
        </w:rPr>
      </w:pPr>
    </w:p>
    <w:p w14:paraId="76F43AA5" w14:textId="77777777" w:rsidR="008F3EC3" w:rsidRPr="00FE5A24" w:rsidRDefault="008F3EC3" w:rsidP="008F3EC3">
      <w:pPr>
        <w:spacing w:after="0" w:line="276" w:lineRule="auto"/>
        <w:ind w:firstLine="709"/>
        <w:contextualSpacing/>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127ACE8B" w14:textId="77777777" w:rsidR="008F3EC3" w:rsidRDefault="008F3EC3" w:rsidP="008F3EC3">
      <w:pPr>
        <w:spacing w:before="120" w:after="12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color w:val="000000" w:themeColor="text1"/>
          <w:lang w:val="es-ES" w:eastAsia="es-ES"/>
        </w:rPr>
        <w:t xml:space="preserve">exponiendo algunas </w:t>
      </w:r>
      <w:r w:rsidRPr="00FE5A24">
        <w:rPr>
          <w:rFonts w:ascii="Verdana" w:eastAsia="Calibri" w:hAnsi="Verdana" w:cs="Arial"/>
          <w:color w:val="000000" w:themeColor="text1"/>
          <w:lang w:val="es-ES" w:eastAsia="es-ES"/>
        </w:rPr>
        <w:t xml:space="preserve">consideraciones sobre las normas generales relacionadas con </w:t>
      </w:r>
      <w:r>
        <w:rPr>
          <w:rFonts w:ascii="Verdana" w:eastAsia="Calibri" w:hAnsi="Verdana" w:cs="Arial"/>
          <w:color w:val="000000" w:themeColor="text1"/>
          <w:lang w:val="es-ES" w:eastAsia="es-ES"/>
        </w:rPr>
        <w:t xml:space="preserve">el problema </w:t>
      </w:r>
      <w:r w:rsidRPr="00FE5A24">
        <w:rPr>
          <w:rFonts w:ascii="Verdana" w:eastAsia="Calibri" w:hAnsi="Verdana" w:cs="Arial"/>
          <w:color w:val="000000" w:themeColor="text1"/>
          <w:lang w:val="es-ES" w:eastAsia="es-ES"/>
        </w:rPr>
        <w:t xml:space="preserve">jurídico de su consulta. </w:t>
      </w:r>
    </w:p>
    <w:p w14:paraId="0C52750E" w14:textId="77777777" w:rsidR="008F3EC3" w:rsidRPr="00FE5A24" w:rsidRDefault="008F3EC3" w:rsidP="008F3EC3">
      <w:pPr>
        <w:spacing w:after="0" w:line="276" w:lineRule="auto"/>
        <w:jc w:val="both"/>
        <w:rPr>
          <w:rFonts w:ascii="Verdana" w:eastAsia="Calibri" w:hAnsi="Verdana" w:cs="Arial"/>
          <w:color w:val="000000" w:themeColor="text1"/>
          <w:lang w:val="es-ES" w:eastAsia="es-ES"/>
        </w:rPr>
      </w:pPr>
    </w:p>
    <w:p w14:paraId="5261434C" w14:textId="77777777" w:rsidR="008F3EC3" w:rsidRPr="00FE5A24" w:rsidRDefault="008F3EC3" w:rsidP="008F3EC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Problema planteado:</w:t>
      </w:r>
    </w:p>
    <w:p w14:paraId="785F90B3" w14:textId="77777777" w:rsidR="008F3EC3" w:rsidRPr="00FE5A24" w:rsidRDefault="008F3EC3" w:rsidP="008F3EC3">
      <w:pPr>
        <w:tabs>
          <w:tab w:val="left" w:pos="426"/>
        </w:tabs>
        <w:spacing w:after="0" w:line="276" w:lineRule="auto"/>
        <w:jc w:val="both"/>
        <w:rPr>
          <w:rFonts w:ascii="Verdana" w:eastAsia="Century Gothic" w:hAnsi="Verdana" w:cs="Century Gothic"/>
          <w:color w:val="000000" w:themeColor="text1"/>
          <w:lang w:val="es-ES"/>
        </w:rPr>
      </w:pPr>
    </w:p>
    <w:p w14:paraId="053F17EB" w14:textId="77777777" w:rsidR="008F3EC3" w:rsidRPr="00E62347" w:rsidRDefault="008F3EC3" w:rsidP="008F3EC3">
      <w:pPr>
        <w:spacing w:after="0" w:line="276" w:lineRule="auto"/>
        <w:jc w:val="both"/>
        <w:rPr>
          <w:rFonts w:ascii="Verdana" w:hAnsi="Verdana"/>
        </w:rPr>
      </w:pPr>
      <w:r w:rsidRPr="00FE5A24">
        <w:rPr>
          <w:rFonts w:ascii="Verdana" w:eastAsia="Century Gothic" w:hAnsi="Verdana" w:cs="Century Gothic"/>
          <w:color w:val="000000" w:themeColor="text1"/>
        </w:rPr>
        <w:t>De acuerdo con el contenido de su solicitud, esta Agencia resolverá</w:t>
      </w:r>
      <w:r>
        <w:rPr>
          <w:rFonts w:ascii="Verdana" w:eastAsia="Century Gothic" w:hAnsi="Verdana" w:cs="Century Gothic"/>
          <w:color w:val="000000" w:themeColor="text1"/>
        </w:rPr>
        <w:t xml:space="preserve"> el</w:t>
      </w:r>
      <w:r w:rsidRPr="00FE5A24">
        <w:rPr>
          <w:rFonts w:ascii="Verdana" w:eastAsia="Century Gothic" w:hAnsi="Verdana" w:cs="Century Gothic"/>
          <w:color w:val="000000" w:themeColor="text1"/>
        </w:rPr>
        <w:t xml:space="preserve"> siguiente problema jurídico</w:t>
      </w:r>
      <w:r>
        <w:rPr>
          <w:rFonts w:ascii="Verdana" w:eastAsia="Century Gothic" w:hAnsi="Verdana" w:cs="Century Gothic"/>
          <w:color w:val="000000" w:themeColor="text1"/>
        </w:rPr>
        <w:t xml:space="preserve">: </w:t>
      </w:r>
      <w:r w:rsidRPr="005F51EB">
        <w:rPr>
          <w:rFonts w:ascii="Verdana" w:hAnsi="Verdana"/>
        </w:rPr>
        <w:t>¿</w:t>
      </w:r>
      <w:r>
        <w:rPr>
          <w:rFonts w:ascii="Verdana" w:hAnsi="Verdana"/>
        </w:rPr>
        <w:t>Cuál es el alcance del principio de publicidad en materia de contratación estatal para entidades con regímenes exceptuados de contratación?</w:t>
      </w:r>
    </w:p>
    <w:p w14:paraId="608553A2" w14:textId="77777777" w:rsidR="008F3EC3" w:rsidRPr="00FE5A24" w:rsidRDefault="008F3EC3" w:rsidP="008F3EC3">
      <w:pPr>
        <w:spacing w:after="0" w:line="276" w:lineRule="auto"/>
        <w:jc w:val="both"/>
        <w:rPr>
          <w:rFonts w:ascii="Verdana" w:eastAsia="Calibri" w:hAnsi="Verdana" w:cs="Arial"/>
          <w:color w:val="000000" w:themeColor="text1"/>
          <w:lang w:val="es-ES"/>
        </w:rPr>
      </w:pPr>
    </w:p>
    <w:p w14:paraId="75E64FB4" w14:textId="77777777" w:rsidR="008F3EC3" w:rsidRPr="00FE5A24" w:rsidRDefault="008F3EC3" w:rsidP="008F3EC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Respuesta:</w:t>
      </w:r>
    </w:p>
    <w:p w14:paraId="1F8CB523" w14:textId="77777777" w:rsidR="008F3EC3" w:rsidRPr="00FE5A24" w:rsidRDefault="008F3EC3" w:rsidP="008F3EC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F3EC3" w:rsidRPr="00FE5A24" w14:paraId="7520BB1A" w14:textId="77777777" w:rsidTr="00BD7C37">
        <w:tc>
          <w:tcPr>
            <w:tcW w:w="8828" w:type="dxa"/>
          </w:tcPr>
          <w:p w14:paraId="740DC638" w14:textId="77777777" w:rsidR="008F3EC3" w:rsidRDefault="008F3EC3" w:rsidP="00BD7C37">
            <w:pPr>
              <w:spacing w:before="120" w:line="276" w:lineRule="auto"/>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w:t>
            </w:r>
            <w:r>
              <w:rPr>
                <w:rFonts w:ascii="Verdana" w:eastAsia="Times New Roman" w:hAnsi="Verdana" w:cs="Arial"/>
                <w:lang w:val="es-ES_tradnl" w:eastAsia="es-ES_tradnl"/>
                <w14:ligatures w14:val="standardContextual"/>
              </w:rPr>
              <w:t>,</w:t>
            </w:r>
            <w:r w:rsidRPr="003F20E6">
              <w:rPr>
                <w:rFonts w:ascii="Verdana" w:eastAsia="Times New Roman" w:hAnsi="Verdana" w:cs="Arial"/>
                <w:lang w:val="es-ES_tradnl" w:eastAsia="es-ES_tradnl"/>
                <w14:ligatures w14:val="standardContextual"/>
              </w:rPr>
              <w:t xml:space="preserve"> para que se divulguen y eventualmente se controlen. </w:t>
            </w:r>
            <w:r>
              <w:rPr>
                <w:rFonts w:ascii="Verdana" w:eastAsia="Times New Roman" w:hAnsi="Verdana" w:cs="Arial"/>
                <w:lang w:val="es-ES_tradnl" w:eastAsia="es-ES_tradnl"/>
                <w14:ligatures w14:val="standardContextual"/>
              </w:rPr>
              <w:t>En sintonía con este postulado</w:t>
            </w:r>
            <w:r w:rsidRPr="003F20E6">
              <w:rPr>
                <w:rFonts w:ascii="Verdana" w:eastAsia="Times New Roman" w:hAnsi="Verdana" w:cs="Arial"/>
                <w:lang w:val="es-ES_tradnl" w:eastAsia="es-ES_tradnl"/>
                <w14:ligatures w14:val="standardContextual"/>
              </w:rPr>
              <w:t xml:space="preserve">, en la contratación estatal el literal c) del artículo 3 de la Ley 1150 de 2007 establece el Sistema Electrónico para la Contratación Pública, en adelante SECOP, como un mecanismo que “contará con la información oficial de la contratación realizada </w:t>
            </w:r>
            <w:r w:rsidRPr="003F20E6">
              <w:rPr>
                <w:rFonts w:ascii="Verdana" w:eastAsia="Times New Roman" w:hAnsi="Verdana" w:cs="Arial"/>
                <w:lang w:val="es-ES_tradnl" w:eastAsia="es-ES_tradnl"/>
                <w14:ligatures w14:val="standardContextual"/>
              </w:rPr>
              <w:lastRenderedPageBreak/>
              <w:t>con dineros públicos, para lo cual establecerá los patrones a que haya lugar y se encargará de su difusión a través de canales electrónicos”</w:t>
            </w:r>
            <w:r>
              <w:rPr>
                <w:rFonts w:ascii="Verdana" w:eastAsia="Times New Roman" w:hAnsi="Verdana" w:cs="Arial"/>
                <w:lang w:val="es-ES_tradnl" w:eastAsia="es-ES_tradnl"/>
                <w14:ligatures w14:val="standardContextual"/>
              </w:rPr>
              <w:t>.</w:t>
            </w:r>
          </w:p>
          <w:p w14:paraId="4F7A4FA0" w14:textId="77777777" w:rsidR="008F3EC3" w:rsidRPr="003F20E6" w:rsidRDefault="008F3EC3" w:rsidP="00BD7C37">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3F20E6">
              <w:rPr>
                <w:rFonts w:ascii="Verdana" w:eastAsia="Times New Roman" w:hAnsi="Verdana" w:cs="Arial"/>
                <w:vertAlign w:val="superscript"/>
                <w:lang w:val="es-ES_tradnl" w:eastAsia="es-ES_tradnl"/>
                <w14:ligatures w14:val="standardContextual"/>
              </w:rPr>
              <w:footnoteReference w:id="2"/>
            </w:r>
            <w:r w:rsidRPr="003F20E6">
              <w:rPr>
                <w:rFonts w:ascii="Verdana" w:eastAsia="Times New Roman" w:hAnsi="Verdana" w:cs="Arial"/>
                <w:lang w:val="es-ES_tradnl" w:eastAsia="es-ES_tradnl"/>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224D7B94" w14:textId="77777777" w:rsidR="008F3EC3" w:rsidRDefault="008F3EC3" w:rsidP="00BD7C37">
            <w:pPr>
              <w:spacing w:before="120" w:after="120" w:line="276" w:lineRule="auto"/>
              <w:ind w:firstLine="709"/>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E</w:t>
            </w:r>
            <w:r w:rsidRPr="003F20E6">
              <w:rPr>
                <w:rFonts w:ascii="Verdana" w:eastAsia="Times New Roman" w:hAnsi="Verdana" w:cs="Arial"/>
                <w:lang w:val="es-ES_tradnl" w:eastAsia="es-ES_tradnl"/>
                <w14:ligatures w14:val="standardContextual"/>
              </w:rPr>
              <w:t>l literal e) del artículo 9</w:t>
            </w:r>
            <w:r>
              <w:rPr>
                <w:rFonts w:ascii="Verdana" w:eastAsia="Times New Roman" w:hAnsi="Verdana" w:cs="Arial"/>
                <w:lang w:val="es-ES_tradnl" w:eastAsia="es-ES_tradnl"/>
                <w14:ligatures w14:val="standardContextual"/>
              </w:rPr>
              <w:t xml:space="preserve"> de l</w:t>
            </w:r>
            <w:r w:rsidRPr="003F20E6">
              <w:rPr>
                <w:rFonts w:ascii="Verdana" w:eastAsia="Times New Roman" w:hAnsi="Verdana" w:cs="Arial"/>
                <w:lang w:val="es-ES_tradnl" w:eastAsia="es-ES_tradnl"/>
                <w14:ligatures w14:val="standardContextual"/>
              </w:rPr>
              <w:t>a Ley Estatutaria citada establece</w:t>
            </w:r>
            <w:r>
              <w:rPr>
                <w:rFonts w:ascii="Verdana" w:eastAsia="Times New Roman" w:hAnsi="Verdana" w:cs="Arial"/>
                <w:lang w:val="es-ES_tradnl" w:eastAsia="es-ES_tradnl"/>
                <w14:ligatures w14:val="standardContextual"/>
              </w:rPr>
              <w:t xml:space="preserve"> </w:t>
            </w:r>
            <w:r w:rsidRPr="003F20E6">
              <w:rPr>
                <w:rFonts w:ascii="Verdana" w:eastAsia="Times New Roman" w:hAnsi="Verdana" w:cs="Arial"/>
                <w:lang w:val="es-ES_tradnl" w:eastAsia="es-ES_tradnl"/>
                <w14:ligatures w14:val="standardContextual"/>
              </w:rPr>
              <w:t>que</w:t>
            </w:r>
            <w:r>
              <w:rPr>
                <w:rFonts w:ascii="Verdana" w:eastAsia="Times New Roman" w:hAnsi="Verdana" w:cs="Arial"/>
                <w:lang w:val="es-ES_tradnl" w:eastAsia="es-ES_tradnl"/>
                <w14:ligatures w14:val="standardContextual"/>
              </w:rPr>
              <w:t xml:space="preserve"> </w:t>
            </w:r>
            <w:r w:rsidRPr="003F20E6">
              <w:rPr>
                <w:rFonts w:ascii="Verdana" w:eastAsia="Times New Roman" w:hAnsi="Verdana" w:cs="Arial"/>
                <w:lang w:val="es-ES_tradnl" w:eastAsia="es-ES_tradnl"/>
                <w14:ligatures w14:val="standardContextual"/>
              </w:rPr>
              <w:t>todas las entidades públicas</w:t>
            </w:r>
            <w:r w:rsidRPr="003F20E6">
              <w:rPr>
                <w:rFonts w:ascii="Verdana" w:eastAsia="Times New Roman" w:hAnsi="Verdana" w:cs="Arial"/>
                <w:vertAlign w:val="superscript"/>
                <w:lang w:val="es-ES_tradnl" w:eastAsia="es-ES_tradnl"/>
                <w14:ligatures w14:val="standardContextual"/>
              </w:rPr>
              <w:footnoteReference w:id="3"/>
            </w:r>
            <w:r>
              <w:rPr>
                <w:rFonts w:ascii="Verdana" w:eastAsia="Times New Roman" w:hAnsi="Verdana" w:cs="Arial"/>
                <w:lang w:val="es-ES_tradnl" w:eastAsia="es-ES_tradnl"/>
                <w14:ligatures w14:val="standardContextual"/>
              </w:rPr>
              <w:t xml:space="preserve"> tienen el carácter de</w:t>
            </w:r>
            <w:r w:rsidRPr="003F20E6">
              <w:rPr>
                <w:rFonts w:ascii="Verdana" w:eastAsia="Times New Roman" w:hAnsi="Verdana" w:cs="Arial"/>
                <w:lang w:val="es-ES_tradnl" w:eastAsia="es-ES_tradnl"/>
                <w14:ligatures w14:val="standardContextual"/>
              </w:rPr>
              <w:t xml:space="preserve"> sujetos obligados</w:t>
            </w:r>
            <w:r>
              <w:rPr>
                <w:rFonts w:ascii="Verdana" w:eastAsia="Times New Roman" w:hAnsi="Verdana" w:cs="Arial"/>
                <w:lang w:val="es-ES_tradnl" w:eastAsia="es-ES_tradnl"/>
                <w14:ligatures w14:val="standardContextual"/>
              </w:rPr>
              <w:t xml:space="preserve"> y, en consecuencia, deben </w:t>
            </w:r>
            <w:r w:rsidRPr="003F20E6">
              <w:rPr>
                <w:rFonts w:ascii="Verdana" w:eastAsia="Times New Roman" w:hAnsi="Verdana" w:cs="Arial"/>
                <w:lang w:val="es-ES_tradnl" w:eastAsia="es-ES_tradnl"/>
                <w14:ligatures w14:val="standardContextual"/>
              </w:rPr>
              <w:t>publicar la información relativa a su contratación. Esta obligación fue desarrollada por el Decreto Único Reglamentario 1081 de 2015</w:t>
            </w:r>
            <w:r w:rsidRPr="003F20E6">
              <w:rPr>
                <w:rFonts w:ascii="Verdana" w:eastAsia="Times New Roman" w:hAnsi="Verdana" w:cs="Arial"/>
                <w:vertAlign w:val="superscript"/>
                <w:lang w:val="es-ES_tradnl" w:eastAsia="es-ES_tradnl"/>
                <w14:ligatures w14:val="standardContextual"/>
              </w:rPr>
              <w:footnoteReference w:id="4"/>
            </w:r>
            <w:r w:rsidRPr="003F20E6">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r>
              <w:rPr>
                <w:rFonts w:ascii="Verdana" w:eastAsia="Times New Roman" w:hAnsi="Verdana" w:cs="Arial"/>
                <w:lang w:val="es-ES_tradnl" w:eastAsia="es-ES_tradnl"/>
                <w14:ligatures w14:val="standardContextual"/>
              </w:rPr>
              <w:t xml:space="preserve"> </w:t>
            </w:r>
            <w:r w:rsidRPr="003F20E6">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118A9710" w14:textId="77777777" w:rsidR="008F3EC3" w:rsidRDefault="008F3EC3" w:rsidP="00BD7C37">
            <w:pPr>
              <w:spacing w:before="120" w:after="120" w:line="276" w:lineRule="auto"/>
              <w:ind w:firstLine="709"/>
              <w:jc w:val="both"/>
              <w:rPr>
                <w:rFonts w:ascii="Verdana" w:eastAsia="Times New Roman" w:hAnsi="Verdana" w:cs="Arial"/>
                <w:iCs/>
                <w:lang w:eastAsia="es-ES_tradnl"/>
                <w14:ligatures w14:val="standardContextual"/>
              </w:rPr>
            </w:pPr>
            <w:r>
              <w:rPr>
                <w:rFonts w:ascii="Verdana" w:eastAsia="Times New Roman" w:hAnsi="Verdana" w:cs="Arial"/>
                <w:iCs/>
                <w:lang w:eastAsia="es-ES_tradnl"/>
                <w14:ligatures w14:val="standardContextual"/>
              </w:rPr>
              <w:lastRenderedPageBreak/>
              <w:t>Las</w:t>
            </w:r>
            <w:r w:rsidRPr="009479DC">
              <w:rPr>
                <w:rFonts w:ascii="Verdana" w:eastAsia="Times New Roman" w:hAnsi="Verdana" w:cs="Arial"/>
                <w:iCs/>
                <w:lang w:eastAsia="es-ES_tradnl"/>
                <w14:ligatures w14:val="standardContextual"/>
              </w:rPr>
              <w:t xml:space="preserve"> entidades estatales deben publicar en el SECOP II (o en la plataforma transaccional que haga sus veces) la documentación relacionada con su actividad contractual, de conformidad con el artículo 53 de la Ley 2195 de 2022, que adicionó el artículo 13 de la Ley 1150 de 2007. Esto incluye documentos generados en las etapas precontractual, contractual y postcontractual, </w:t>
            </w:r>
            <w:r w:rsidRPr="009479DC">
              <w:rPr>
                <w:rFonts w:ascii="Verdana" w:hAnsi="Verdana"/>
              </w:rPr>
              <w:t xml:space="preserve">que las entidades estatales deben agotar para el aprovisionamiento de los bienes y servicios que requieren. Esta obligación </w:t>
            </w:r>
            <w:r w:rsidRPr="009479DC">
              <w:rPr>
                <w:rFonts w:ascii="Verdana" w:eastAsia="Times New Roman" w:hAnsi="Verdana" w:cs="Arial"/>
                <w:iCs/>
                <w:lang w:eastAsia="es-ES_tradnl"/>
                <w14:ligatures w14:val="standardContextual"/>
              </w:rPr>
              <w:t xml:space="preserve">aplica, aunque </w:t>
            </w:r>
            <w:r>
              <w:rPr>
                <w:rFonts w:ascii="Verdana" w:eastAsia="Times New Roman" w:hAnsi="Verdana" w:cs="Arial"/>
                <w:iCs/>
                <w:lang w:eastAsia="es-ES_tradnl"/>
                <w14:ligatures w14:val="standardContextual"/>
              </w:rPr>
              <w:t xml:space="preserve">se trate de entidades </w:t>
            </w:r>
            <w:r w:rsidRPr="009479DC">
              <w:rPr>
                <w:rFonts w:ascii="Verdana" w:eastAsia="Times New Roman" w:hAnsi="Verdana" w:cs="Arial"/>
                <w:iCs/>
                <w:lang w:eastAsia="es-ES_tradnl"/>
                <w14:ligatures w14:val="standardContextual"/>
              </w:rPr>
              <w:t>exceptuadas del Estatuto General de Contratación de la Administración Pública, en virtud del principio de publicidad previsto en la Constitución y desarrollado por la ley.</w:t>
            </w:r>
          </w:p>
          <w:p w14:paraId="0CD2006E" w14:textId="77777777" w:rsidR="008F3EC3" w:rsidRPr="00FF76E8" w:rsidRDefault="008F3EC3" w:rsidP="00BD7C37">
            <w:pPr>
              <w:spacing w:before="120" w:after="120" w:line="276" w:lineRule="auto"/>
              <w:ind w:firstLine="709"/>
              <w:jc w:val="both"/>
              <w:rPr>
                <w:rFonts w:ascii="Verdana" w:eastAsia="Times New Roman" w:hAnsi="Verdana" w:cs="Arial"/>
                <w:lang w:val="es-ES_tradnl" w:eastAsia="es-ES_tradnl"/>
                <w14:ligatures w14:val="standardContextual"/>
              </w:rPr>
            </w:pPr>
            <w:r w:rsidRPr="009479DC">
              <w:rPr>
                <w:rFonts w:ascii="Verdana" w:eastAsia="Calibri" w:hAnsi="Verdana" w:cs="Arial"/>
                <w:lang w:val="es-ES_tradnl" w:eastAsia="es-ES_tradnl"/>
              </w:rPr>
              <w:t xml:space="preserve">La obligación de publicar la actividad contractual siempre ha estado encaminada a que se publique aquella información relacionada con la ejecución de dineros públicos. Por tal razón, puede concluirse, a la luz de las disposiciones que regulan la materia, que el artículo 53 –al ampliar la obligación de las entidades con regímenes especiales de publicar su actividad contractual en el SECOP II– se refiere a aquella actividad contractual cuya fuente de financiación provenga de recursos públicos. </w:t>
            </w:r>
          </w:p>
          <w:p w14:paraId="6F67379A" w14:textId="77777777" w:rsidR="008F3EC3" w:rsidRDefault="008F3EC3" w:rsidP="00BD7C37">
            <w:pPr>
              <w:spacing w:line="276" w:lineRule="auto"/>
              <w:ind w:firstLine="709"/>
              <w:jc w:val="both"/>
              <w:rPr>
                <w:rFonts w:ascii="Verdana" w:eastAsia="Calibri" w:hAnsi="Verdana" w:cs="Arial"/>
                <w:lang w:val="es-ES_tradnl"/>
              </w:rPr>
            </w:pPr>
            <w:r w:rsidRPr="009479DC">
              <w:rPr>
                <w:rFonts w:ascii="Verdana" w:hAnsi="Verdana" w:cs="Arial"/>
                <w:lang w:val="es-ES"/>
              </w:rPr>
              <w:t xml:space="preserve">De conformidad con lo expuesto, teniendo en cuenta que el artículo 53 complementa la disposición contenida en el artículo 3 de la Ley 1150 de 2007, debe entenderse que la contratación a la que se refiere es aquella realizada con recursos públicos, cuya información es la que debe publicarse en el SECOP II. </w:t>
            </w:r>
            <w:r w:rsidRPr="00872A1B">
              <w:rPr>
                <w:rFonts w:ascii="Verdana" w:eastAsia="Calibri" w:hAnsi="Verdana" w:cs="Arial"/>
                <w:lang w:val="es-ES_tradnl"/>
              </w:rPr>
              <w:t>En ese sentido, la citada disposición establece el deber de publicar toda aquella información relacionada con el respectivo contrato, sin incluir ninguna excepción relacionada con la naturaleza u objeto contractual.</w:t>
            </w:r>
          </w:p>
          <w:p w14:paraId="65CCFF43" w14:textId="77777777" w:rsidR="008F3EC3" w:rsidRDefault="008F3EC3" w:rsidP="00BD7C37">
            <w:pPr>
              <w:tabs>
                <w:tab w:val="left" w:pos="709"/>
              </w:tabs>
              <w:spacing w:before="120" w:line="276" w:lineRule="auto"/>
              <w:ind w:firstLine="709"/>
              <w:jc w:val="both"/>
              <w:rPr>
                <w:rFonts w:ascii="Verdana" w:eastAsia="Calibri" w:hAnsi="Verdana" w:cs="Arial"/>
                <w:lang w:val="es-ES"/>
              </w:rPr>
            </w:pPr>
            <w:r w:rsidRPr="003F20E6">
              <w:rPr>
                <w:rFonts w:ascii="Verdana" w:hAnsi="Verdana" w:cs="Arial"/>
                <w:shd w:val="clear" w:color="auto" w:fill="FFFFFF"/>
              </w:rPr>
              <w:t xml:space="preserve">Conforme a lo anterior, </w:t>
            </w:r>
            <w:r>
              <w:rPr>
                <w:rFonts w:ascii="Verdana" w:hAnsi="Verdana" w:cs="Arial"/>
                <w:shd w:val="clear" w:color="auto" w:fill="FFFFFF"/>
              </w:rPr>
              <w:t xml:space="preserve">se evidencia que el principio de publicidad tiene fundamento constitucional y legal en materia de contratación estatal. Por otra </w:t>
            </w:r>
            <w:proofErr w:type="gramStart"/>
            <w:r>
              <w:rPr>
                <w:rFonts w:ascii="Verdana" w:hAnsi="Verdana" w:cs="Arial"/>
                <w:shd w:val="clear" w:color="auto" w:fill="FFFFFF"/>
              </w:rPr>
              <w:t>parte</w:t>
            </w:r>
            <w:proofErr w:type="gramEnd"/>
            <w:r>
              <w:rPr>
                <w:rFonts w:ascii="Verdana" w:hAnsi="Verdana" w:cs="Arial"/>
                <w:shd w:val="clear" w:color="auto" w:fill="FFFFFF"/>
              </w:rPr>
              <w:t xml:space="preserve"> es la misma constitución y el marco jurídico antes expuesto el que fija límites claros para su exigencia y que permiten determinar la proporcionalidad de los requisitos de publicidad correspondientes. En este contexto, </w:t>
            </w:r>
            <w:r w:rsidRPr="003F20E6">
              <w:rPr>
                <w:rFonts w:ascii="Verdana" w:hAnsi="Verdana" w:cs="Arial"/>
                <w:shd w:val="clear" w:color="auto" w:fill="FFFFFF"/>
              </w:rPr>
              <w:t xml:space="preserve">es clara la obligatoriedad de publicar la información de la actividad contractual que se realiza </w:t>
            </w:r>
            <w:r w:rsidRPr="00FA0933">
              <w:rPr>
                <w:rFonts w:ascii="Verdana" w:hAnsi="Verdana" w:cs="Arial"/>
                <w:i/>
                <w:iCs/>
                <w:shd w:val="clear" w:color="auto" w:fill="FFFFFF"/>
              </w:rPr>
              <w:t>con cargo a recursos públicos</w:t>
            </w:r>
            <w:r w:rsidRPr="003F20E6">
              <w:rPr>
                <w:rFonts w:ascii="Verdana" w:hAnsi="Verdana" w:cs="Arial"/>
                <w:shd w:val="clear" w:color="auto" w:fill="FFFFFF"/>
              </w:rPr>
              <w:t xml:space="preserve"> en el SECOP, </w:t>
            </w:r>
            <w:r w:rsidRPr="00FA0933">
              <w:rPr>
                <w:rFonts w:ascii="Verdana" w:hAnsi="Verdana" w:cs="Arial"/>
                <w:i/>
                <w:iCs/>
                <w:shd w:val="clear" w:color="auto" w:fill="FFFFFF"/>
              </w:rPr>
              <w:t xml:space="preserve">incluidas aquellas con regímenes contractuales especiales. </w:t>
            </w:r>
            <w:r w:rsidRPr="003F20E6">
              <w:rPr>
                <w:rFonts w:ascii="Verdana" w:hAnsi="Verdana" w:cs="Arial"/>
                <w:shd w:val="clear" w:color="auto" w:fill="FFFFFF"/>
              </w:rPr>
              <w:t xml:space="preserve">Esta obligación incluye todos los documentos generados durante las fases precontractual, contractual y postcontractual, como contratos, actos administrativos e información generada con ocasión al proceso de contratación. Esto tiene como objetivo garantizar la transparencia, el acceso público a la información y el control </w:t>
            </w:r>
            <w:r w:rsidRPr="003F20E6">
              <w:rPr>
                <w:rFonts w:ascii="Verdana" w:hAnsi="Verdana" w:cs="Arial"/>
                <w:shd w:val="clear" w:color="auto" w:fill="FFFFFF"/>
              </w:rPr>
              <w:lastRenderedPageBreak/>
              <w:t xml:space="preserve">social sobre la contratación pública, permitiendo que la ciudadanía tenga acceso a los documentos en un sistema unificado y oficial. Por último, se precisa, que corresponderá a la Entidad Estatal, previo concepto de sus órganos asesores, cumplir con la publicación de los documentos que expiden dentro de un Proceso de Contratación en el SECOP, ya sea en SECOP I o en SECOP II en cumplimiento de las disposiciones legales y reglamentarias. </w:t>
            </w:r>
            <w:r w:rsidRPr="7FD97115">
              <w:rPr>
                <w:rFonts w:ascii="Verdana" w:eastAsia="Calibri" w:hAnsi="Verdana" w:cs="Arial"/>
                <w:lang w:val="es-ES"/>
              </w:rPr>
              <w:t xml:space="preserve"> </w:t>
            </w:r>
          </w:p>
          <w:p w14:paraId="046991F9" w14:textId="77777777" w:rsidR="008F3EC3" w:rsidRDefault="008F3EC3" w:rsidP="00BD7C37">
            <w:pPr>
              <w:tabs>
                <w:tab w:val="left" w:pos="709"/>
              </w:tabs>
              <w:spacing w:before="120" w:line="276" w:lineRule="auto"/>
              <w:ind w:firstLine="709"/>
              <w:jc w:val="both"/>
              <w:rPr>
                <w:rFonts w:ascii="Verdana" w:eastAsia="Calibri" w:hAnsi="Verdana" w:cs="Arial"/>
                <w:bCs/>
                <w:iCs/>
                <w:lang w:val="es-ES" w:eastAsia="es-ES_tradnl"/>
              </w:rPr>
            </w:pPr>
            <w:r w:rsidRPr="00B72434">
              <w:rPr>
                <w:rFonts w:ascii="Verdana" w:eastAsia="Calibri" w:hAnsi="Verdana" w:cs="Arial"/>
                <w:bCs/>
                <w:iCs/>
                <w:lang w:val="es-ES" w:eastAsia="es-ES_tradnl"/>
              </w:rPr>
              <w:t xml:space="preserve">No </w:t>
            </w:r>
            <w:proofErr w:type="gramStart"/>
            <w:r w:rsidRPr="00B72434">
              <w:rPr>
                <w:rFonts w:ascii="Verdana" w:eastAsia="Calibri" w:hAnsi="Verdana" w:cs="Arial"/>
                <w:bCs/>
                <w:iCs/>
                <w:lang w:val="es-ES" w:eastAsia="es-ES_tradnl"/>
              </w:rPr>
              <w:t>obstante</w:t>
            </w:r>
            <w:proofErr w:type="gramEnd"/>
            <w:r w:rsidRPr="00B72434">
              <w:rPr>
                <w:rFonts w:ascii="Verdana" w:eastAsia="Calibri" w:hAnsi="Verdana" w:cs="Arial"/>
                <w:bCs/>
                <w:iCs/>
                <w:lang w:val="es-ES" w:eastAsia="es-ES_tradnl"/>
              </w:rPr>
              <w:t xml:space="preserve"> lo anterior, debe tenerse en cuenta que cierta información contenida en los documentos aportados a los procesos contractuales pueden gozar de reserva legal, de allí la importancia de dar aplicación a la protección de datos contemplada en el artículo 2 de la Ley 1581 de 2012.</w:t>
            </w:r>
            <w:r>
              <w:rPr>
                <w:rFonts w:ascii="Verdana" w:eastAsia="Calibri" w:hAnsi="Verdana" w:cs="Arial"/>
                <w:bCs/>
                <w:iCs/>
                <w:lang w:val="es-ES" w:eastAsia="es-ES_tradnl"/>
              </w:rPr>
              <w:t xml:space="preserve"> </w:t>
            </w:r>
            <w:r w:rsidRPr="00B72434">
              <w:rPr>
                <w:rFonts w:ascii="Verdana" w:eastAsia="Calibri" w:hAnsi="Verdana" w:cs="Arial"/>
                <w:bCs/>
                <w:iCs/>
                <w:lang w:val="es-ES" w:eastAsia="es-ES_tradnl"/>
              </w:rPr>
              <w:t>En ese sentido, el habeas data es un derecho fundamental que también debe garantizarse en los procedimientos de selección adelantados por las entidades estatales para la escogencia de sus contratistas. Es decir, tanto las entidades que se rigen por el Estatuto General de Contratación de la Administración Pública –las mencionadas en el artículo 2 de la Ley 80 de 1993–, como las exceptuadas de aquel, deben proteger los datos personales en los trámites contractuales que adelanten</w:t>
            </w:r>
            <w:r>
              <w:rPr>
                <w:rFonts w:ascii="Verdana" w:eastAsia="Calibri" w:hAnsi="Verdana" w:cs="Arial"/>
                <w:bCs/>
                <w:iCs/>
                <w:lang w:val="es-ES" w:eastAsia="es-ES_tradnl"/>
              </w:rPr>
              <w:t>.</w:t>
            </w:r>
          </w:p>
          <w:p w14:paraId="6111AEC2" w14:textId="77777777" w:rsidR="008F3EC3" w:rsidRDefault="008F3EC3" w:rsidP="00BD7C37">
            <w:pPr>
              <w:spacing w:after="120" w:line="276" w:lineRule="auto"/>
              <w:ind w:firstLine="708"/>
              <w:jc w:val="both"/>
              <w:rPr>
                <w:rFonts w:ascii="Verdana" w:eastAsia="Calibri" w:hAnsi="Verdana" w:cs="Arial"/>
                <w:color w:val="000000" w:themeColor="text1"/>
              </w:rPr>
            </w:pPr>
            <w:r w:rsidRPr="08673F0F">
              <w:rPr>
                <w:rFonts w:ascii="Verdana" w:eastAsia="Calibri" w:hAnsi="Verdana" w:cs="Arial"/>
                <w:color w:val="000000" w:themeColor="text1"/>
              </w:rPr>
              <w:t>En ese sentido, los particulares que participan en la actividad contractual del Estado, presentando ofertas o en calidad de contratistas, son responsables del tratamiento de los datos personales y son los primeros obligados a contar con la autorización previa del titular de los datos, para poder hacer uso de documentos como hojas de vida, certificados o, en general, de datos personales; asi mismo,  las entidades estatales interesadas en contratar bienes o servicios son también responsables y deben cerciorarse de que exista la constancia de la autorización de las personas naturales titulares de los datos</w:t>
            </w:r>
            <w:r>
              <w:rPr>
                <w:rFonts w:ascii="Verdana" w:eastAsia="Calibri" w:hAnsi="Verdana" w:cs="Arial"/>
                <w:color w:val="000000" w:themeColor="text1"/>
              </w:rPr>
              <w:t>.</w:t>
            </w:r>
          </w:p>
          <w:p w14:paraId="7E6A363E" w14:textId="77777777" w:rsidR="008F3EC3" w:rsidRDefault="008F3EC3" w:rsidP="00BD7C37">
            <w:pPr>
              <w:spacing w:after="120" w:line="276" w:lineRule="auto"/>
              <w:ind w:firstLine="708"/>
              <w:jc w:val="both"/>
              <w:rPr>
                <w:rFonts w:ascii="Verdana" w:eastAsia="Calibri" w:hAnsi="Verdana" w:cs="Arial"/>
                <w:color w:val="000000" w:themeColor="text1"/>
              </w:rPr>
            </w:pPr>
            <w:r>
              <w:rPr>
                <w:rFonts w:ascii="Verdana" w:eastAsia="Calibri" w:hAnsi="Verdana" w:cs="Arial"/>
                <w:lang w:val="es-ES"/>
              </w:rPr>
              <w:t>Finalmente, v</w:t>
            </w:r>
            <w:r w:rsidRPr="009479DC">
              <w:rPr>
                <w:rFonts w:ascii="Verdana" w:eastAsia="Calibri" w:hAnsi="Verdana" w:cs="Arial"/>
                <w:lang w:val="es-ES"/>
              </w:rPr>
              <w:t>ale la pena aclarar que el cumplimiento del deber de public</w:t>
            </w:r>
            <w:r>
              <w:rPr>
                <w:rFonts w:ascii="Verdana" w:eastAsia="Calibri" w:hAnsi="Verdana" w:cs="Arial"/>
                <w:lang w:val="es-ES"/>
              </w:rPr>
              <w:t>idad</w:t>
            </w:r>
            <w:r w:rsidRPr="009479DC">
              <w:rPr>
                <w:rFonts w:ascii="Verdana" w:eastAsia="Calibri" w:hAnsi="Verdana" w:cs="Arial"/>
                <w:lang w:val="es-ES"/>
              </w:rPr>
              <w:t xml:space="preserve"> de la documentación contractual debe armonizarse con las normas aplicables al tipo de información que estas contienen. Lo anterior significa que, respecto de datos sensibles, información sometida a reserva</w:t>
            </w:r>
            <w:r>
              <w:rPr>
                <w:rFonts w:ascii="Verdana" w:eastAsia="Calibri" w:hAnsi="Verdana" w:cs="Arial"/>
                <w:lang w:val="es-ES"/>
              </w:rPr>
              <w:t xml:space="preserve"> (entre la cual se incluye aquella amparada por el </w:t>
            </w:r>
            <w:r w:rsidRPr="004C559C">
              <w:rPr>
                <w:rFonts w:ascii="Verdana" w:eastAsia="Calibri" w:hAnsi="Verdana" w:cs="Arial"/>
                <w:color w:val="000000"/>
                <w:sz w:val="21"/>
                <w:szCs w:val="21"/>
                <w:lang w:eastAsia="en-GB"/>
              </w:rPr>
              <w:t>secreto comercial o industrial</w:t>
            </w:r>
            <w:r>
              <w:rPr>
                <w:rFonts w:ascii="Verdana" w:eastAsia="Calibri" w:hAnsi="Verdana" w:cs="Arial"/>
                <w:lang w:val="es-ES"/>
              </w:rPr>
              <w:t>)</w:t>
            </w:r>
            <w:r w:rsidRPr="009479DC">
              <w:rPr>
                <w:rFonts w:ascii="Verdana" w:eastAsia="Calibri" w:hAnsi="Verdana" w:cs="Arial"/>
                <w:lang w:val="es-ES"/>
              </w:rPr>
              <w:t xml:space="preserve"> o de la cual proceda un tratamiento especial que impida su publicidad, las entidades deberán proceder de conformidad con el tratamiento que impongan tales normas.</w:t>
            </w:r>
          </w:p>
          <w:p w14:paraId="4BAFECB2" w14:textId="77777777" w:rsidR="008F3EC3" w:rsidRDefault="008F3EC3" w:rsidP="00BD7C37">
            <w:pPr>
              <w:spacing w:after="120" w:line="276" w:lineRule="auto"/>
              <w:ind w:firstLine="708"/>
              <w:jc w:val="both"/>
              <w:rPr>
                <w:rFonts w:ascii="Verdana" w:hAnsi="Verdana" w:cs="Arial"/>
                <w:lang w:val="es-ES_tradnl"/>
              </w:rPr>
            </w:pPr>
            <w:r>
              <w:rPr>
                <w:rFonts w:ascii="Verdana" w:eastAsia="Calibri" w:hAnsi="Verdana" w:cs="Arial"/>
                <w:bCs/>
                <w:color w:val="000000" w:themeColor="text1"/>
                <w:lang w:val="es-ES_tradnl"/>
              </w:rPr>
              <w:t xml:space="preserve">En este marco, es importante tener </w:t>
            </w:r>
            <w:r w:rsidRPr="00913414">
              <w:rPr>
                <w:rFonts w:ascii="Verdana" w:eastAsia="Calibri" w:hAnsi="Verdana" w:cs="Arial"/>
                <w:bCs/>
                <w:color w:val="000000" w:themeColor="text1"/>
                <w:lang w:val="es-ES_tradnl"/>
              </w:rPr>
              <w:t>presente</w:t>
            </w:r>
            <w:r>
              <w:rPr>
                <w:rFonts w:ascii="Verdana" w:eastAsia="Calibri" w:hAnsi="Verdana" w:cs="Arial"/>
                <w:bCs/>
                <w:color w:val="000000" w:themeColor="text1"/>
                <w:lang w:val="es-ES_tradnl"/>
              </w:rPr>
              <w:t>s los documentos que gozan de reserva de ley según</w:t>
            </w:r>
            <w:r w:rsidRPr="00913414">
              <w:rPr>
                <w:rFonts w:ascii="Verdana" w:eastAsia="Calibri" w:hAnsi="Verdana" w:cs="Arial"/>
                <w:color w:val="000000"/>
                <w:lang w:eastAsia="en-GB"/>
              </w:rPr>
              <w:t xml:space="preserve"> el artículo 24 de la Ley 1755 de 2015</w:t>
            </w:r>
            <w:r>
              <w:rPr>
                <w:rFonts w:ascii="Verdana" w:eastAsia="Calibri" w:hAnsi="Verdana" w:cs="Arial"/>
                <w:color w:val="000000"/>
                <w:lang w:eastAsia="en-GB"/>
              </w:rPr>
              <w:t xml:space="preserve">, </w:t>
            </w:r>
            <w:r>
              <w:rPr>
                <w:rFonts w:ascii="Verdana" w:eastAsia="Calibri" w:hAnsi="Verdana" w:cs="Arial"/>
                <w:color w:val="000000" w:themeColor="text1"/>
                <w:lang w:val="es-ES"/>
              </w:rPr>
              <w:t xml:space="preserve">pues </w:t>
            </w:r>
            <w:r w:rsidRPr="35DF8AA1">
              <w:rPr>
                <w:rFonts w:ascii="Verdana" w:eastAsia="Calibri" w:hAnsi="Verdana" w:cs="Arial"/>
                <w:color w:val="000000" w:themeColor="text1"/>
                <w:lang w:val="es-ES"/>
              </w:rPr>
              <w:lastRenderedPageBreak/>
              <w:t xml:space="preserve">corresponde a la Entidad Contratante verificar si el documento se encuentra inmerso en </w:t>
            </w:r>
            <w:r>
              <w:rPr>
                <w:rFonts w:ascii="Verdana" w:eastAsia="Calibri" w:hAnsi="Verdana" w:cs="Arial"/>
                <w:color w:val="000000" w:themeColor="text1"/>
                <w:lang w:val="es-ES"/>
              </w:rPr>
              <w:t>una de estas causales</w:t>
            </w:r>
            <w:r w:rsidRPr="35DF8AA1">
              <w:rPr>
                <w:rFonts w:ascii="Verdana" w:eastAsia="Calibri" w:hAnsi="Verdana" w:cs="Arial"/>
                <w:color w:val="000000" w:themeColor="text1"/>
                <w:lang w:val="es-ES"/>
              </w:rPr>
              <w:t>.</w:t>
            </w:r>
            <w:r>
              <w:rPr>
                <w:rFonts w:ascii="Verdana" w:eastAsia="Calibri" w:hAnsi="Verdana" w:cs="Arial"/>
                <w:color w:val="000000" w:themeColor="text1"/>
                <w:lang w:val="es-ES"/>
              </w:rPr>
              <w:t xml:space="preserve"> Adicionalmente, </w:t>
            </w:r>
            <w:r>
              <w:rPr>
                <w:rFonts w:ascii="Verdana" w:eastAsia="Calibri" w:hAnsi="Verdana" w:cs="Arial"/>
                <w:bCs/>
                <w:color w:val="000000" w:themeColor="text1"/>
                <w:lang w:val="es-ES_tradnl"/>
              </w:rPr>
              <w:t>l</w:t>
            </w:r>
            <w:r w:rsidRPr="00913414">
              <w:rPr>
                <w:rFonts w:ascii="Verdana" w:eastAsia="Calibri" w:hAnsi="Verdana" w:cs="Arial"/>
                <w:bCs/>
                <w:color w:val="000000" w:themeColor="text1"/>
                <w:lang w:val="es-ES_tradnl"/>
              </w:rPr>
              <w:t xml:space="preserve">os datos sensibles constituyen límites al deber de divulgación proactiva de la información en la contratación estatal. </w:t>
            </w:r>
            <w:r w:rsidRPr="00913414">
              <w:rPr>
                <w:rFonts w:ascii="Verdana" w:eastAsia="Calibri" w:hAnsi="Verdana" w:cs="Arial"/>
                <w:lang w:val="es-ES_tradnl"/>
              </w:rPr>
              <w:t xml:space="preserve">En otras palabras,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 absteniéndose, de ser el caso, de publicar las ofertas, o las partes pertinentes en las que se evidencie este tipo de información. Para dichos eventos, la plataforma SECOP II, </w:t>
            </w:r>
            <w:r w:rsidRPr="00913414">
              <w:rPr>
                <w:rFonts w:ascii="Verdana" w:hAnsi="Verdana" w:cs="Arial"/>
                <w:lang w:val="es-ES_tradnl"/>
              </w:rPr>
              <w:t>antes de publicar las ofertas, brinda a las entidades la opción de calificar dicha información como confidencial, lo cual impide que los documentos se publiquen”.</w:t>
            </w:r>
          </w:p>
          <w:p w14:paraId="37185264" w14:textId="77777777" w:rsidR="008F3EC3" w:rsidRPr="00B50415" w:rsidRDefault="008F3EC3" w:rsidP="00BD7C37">
            <w:pPr>
              <w:spacing w:after="120" w:line="276" w:lineRule="auto"/>
              <w:ind w:firstLine="708"/>
              <w:jc w:val="both"/>
              <w:rPr>
                <w:rFonts w:ascii="Verdana" w:eastAsia="Calibri" w:hAnsi="Verdana" w:cs="Arial"/>
                <w:color w:val="000000"/>
                <w:sz w:val="20"/>
                <w:szCs w:val="20"/>
                <w:lang w:eastAsia="en-GB"/>
              </w:rPr>
            </w:pPr>
            <w:r w:rsidRPr="002153D8">
              <w:rPr>
                <w:rFonts w:ascii="Verdana" w:eastAsia="Calibri" w:hAnsi="Verdana" w:cs="Arial"/>
                <w:color w:val="000000" w:themeColor="text1"/>
                <w:lang w:eastAsia="en-GB"/>
              </w:rPr>
              <w:t xml:space="preserve">Dicho de otra forma, por más de que el artículo 74 de la Constitución establezca que la información pública debe ser dada a conocer a la ciudadanía y así los documentos que hagan parte de la actividad contractual puedan catalogarse, </w:t>
            </w:r>
            <w:r w:rsidRPr="002153D8">
              <w:rPr>
                <w:rFonts w:ascii="Verdana" w:eastAsia="Calibri" w:hAnsi="Verdana" w:cs="Arial"/>
                <w:i/>
                <w:iCs/>
                <w:color w:val="000000" w:themeColor="text1"/>
                <w:lang w:eastAsia="en-GB"/>
              </w:rPr>
              <w:t>prima facie,</w:t>
            </w:r>
            <w:r w:rsidRPr="002153D8">
              <w:rPr>
                <w:rFonts w:ascii="Verdana" w:eastAsia="Calibri" w:hAnsi="Verdana" w:cs="Arial"/>
                <w:color w:val="000000" w:themeColor="text1"/>
                <w:lang w:eastAsia="en-GB"/>
              </w:rPr>
              <w:t xml:space="preserve"> como información pública, cuando dicha documentación contenga datos sensibles, operan algunas restricciones a su publicidad. Sin embargo, esto no necesariamente convierte el documento completo en reservado, es decir, en un documento que no puede publicarse.</w:t>
            </w:r>
          </w:p>
          <w:p w14:paraId="3B1D851E" w14:textId="77777777" w:rsidR="008F3EC3" w:rsidRDefault="008F3EC3" w:rsidP="00BD7C37">
            <w:pPr>
              <w:spacing w:before="120" w:line="276" w:lineRule="auto"/>
              <w:ind w:firstLine="708"/>
              <w:jc w:val="both"/>
              <w:rPr>
                <w:rFonts w:ascii="Verdana" w:eastAsia="Calibri" w:hAnsi="Verdana" w:cs="Arial"/>
                <w:color w:val="000000" w:themeColor="text1"/>
                <w:lang w:val="es-ES"/>
              </w:rPr>
            </w:pPr>
            <w:r w:rsidRPr="002153D8">
              <w:rPr>
                <w:rFonts w:ascii="Verdana" w:eastAsia="Calibri" w:hAnsi="Verdana" w:cs="Arial"/>
                <w:color w:val="000000"/>
                <w:lang w:val="es-ES_tradnl" w:eastAsia="en-GB"/>
              </w:rPr>
              <w:t>El enunciado constitucional, en armonía con los artículos 18 y 19 de la Ley 1712 de 2014 y los artículos 24 y 25 de la Ley 1437 de 2011, establecen que el derecho de acceso a la información o documentación pública no es absoluto, que 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numeral 3° del artículo 3° del Decreto 1377 de 2013, solo podrá divulgarse según las reglas establecidas en dichas normas. Lo anterior no quiere decir que todo el documento se convierta en reservado, sino que se debe proceder</w:t>
            </w:r>
            <w:r>
              <w:rPr>
                <w:rFonts w:ascii="Verdana" w:eastAsia="Calibri" w:hAnsi="Verdana" w:cs="Arial"/>
                <w:color w:val="000000"/>
                <w:lang w:val="es-ES_tradnl" w:eastAsia="en-GB"/>
              </w:rPr>
              <w:t xml:space="preserve"> de la forma expresada en este concepto</w:t>
            </w:r>
            <w:r w:rsidRPr="002153D8">
              <w:rPr>
                <w:rFonts w:ascii="Verdana" w:eastAsia="Calibri" w:hAnsi="Verdana" w:cs="Arial"/>
                <w:color w:val="000000"/>
                <w:lang w:val="es-ES_tradnl" w:eastAsia="en-GB"/>
              </w:rPr>
              <w:t>.</w:t>
            </w:r>
          </w:p>
          <w:p w14:paraId="7688B1FA" w14:textId="77777777" w:rsidR="008F3EC3" w:rsidRPr="00B50415" w:rsidRDefault="008F3EC3" w:rsidP="00BD7C37">
            <w:pPr>
              <w:spacing w:before="120"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03B6DB3F" w14:textId="77777777" w:rsidR="008F3EC3" w:rsidRPr="00FE5A24" w:rsidRDefault="008F3EC3" w:rsidP="008F3EC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905AAAC" w14:textId="77777777" w:rsidR="008F3EC3" w:rsidRPr="00FE5A24" w:rsidRDefault="008F3EC3" w:rsidP="008F3EC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Razones de la respuesta:</w:t>
      </w:r>
    </w:p>
    <w:p w14:paraId="09715776" w14:textId="77777777" w:rsidR="008F3EC3" w:rsidRPr="00FE5A24" w:rsidRDefault="008F3EC3" w:rsidP="008F3EC3">
      <w:pPr>
        <w:spacing w:after="0" w:line="276" w:lineRule="auto"/>
        <w:jc w:val="both"/>
        <w:rPr>
          <w:rFonts w:ascii="Verdana" w:eastAsia="Calibri" w:hAnsi="Verdana" w:cs="Arial"/>
          <w:color w:val="000000" w:themeColor="text1"/>
          <w:lang w:val="es-ES"/>
        </w:rPr>
      </w:pPr>
    </w:p>
    <w:p w14:paraId="5C350E93" w14:textId="77777777" w:rsidR="008F3EC3" w:rsidRDefault="008F3EC3" w:rsidP="008F3EC3">
      <w:pPr>
        <w:spacing w:after="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7A7D0CE4" w14:textId="77777777" w:rsidR="008F3EC3" w:rsidRDefault="008F3EC3" w:rsidP="008F3EC3">
      <w:pPr>
        <w:spacing w:after="0" w:line="276" w:lineRule="auto"/>
        <w:jc w:val="both"/>
        <w:rPr>
          <w:rFonts w:ascii="Verdana" w:eastAsia="Calibri" w:hAnsi="Verdana" w:cs="Arial"/>
          <w:color w:val="000000" w:themeColor="text1"/>
          <w:lang w:val="es-ES"/>
        </w:rPr>
      </w:pPr>
    </w:p>
    <w:p w14:paraId="2A6491D2" w14:textId="77777777" w:rsidR="008F3EC3" w:rsidRPr="003F20E6" w:rsidRDefault="008F3EC3" w:rsidP="008F3EC3">
      <w:pPr>
        <w:spacing w:after="120" w:line="276" w:lineRule="auto"/>
        <w:jc w:val="both"/>
        <w:rPr>
          <w:rFonts w:ascii="Verdana" w:eastAsia="Times New Roman" w:hAnsi="Verdana" w:cs="Arial"/>
          <w:lang w:val="es-ES" w:eastAsia="es-ES"/>
          <w14:ligatures w14:val="standardContextual"/>
        </w:rPr>
      </w:pPr>
      <w:r>
        <w:rPr>
          <w:rFonts w:ascii="Verdana" w:eastAsia="Calibri" w:hAnsi="Verdana" w:cs="Arial"/>
          <w:color w:val="000000" w:themeColor="text1"/>
          <w:lang w:val="es-ES"/>
        </w:rPr>
        <w:t>i)</w:t>
      </w:r>
      <w:r>
        <w:rPr>
          <w:rFonts w:ascii="Verdana" w:eastAsia="Calibri" w:hAnsi="Verdana" w:cs="Arial"/>
          <w:lang w:val="es-ES"/>
        </w:rPr>
        <w:t xml:space="preserve"> </w:t>
      </w:r>
      <w:r w:rsidRPr="003F20E6">
        <w:rPr>
          <w:rFonts w:ascii="Verdana" w:eastAsia="Times New Roman" w:hAnsi="Verdana" w:cs="Arial"/>
          <w:lang w:val="es-ES" w:eastAsia="es-ES"/>
          <w14:ligatures w14:val="standardContextual"/>
        </w:rPr>
        <w:t xml:space="preserve">Uno de los postulados más importantes de un Estado Social y Democrático de Derecho es el principio de </w:t>
      </w:r>
      <w:r w:rsidRPr="003F20E6">
        <w:rPr>
          <w:rFonts w:ascii="Verdana" w:eastAsia="Times New Roman" w:hAnsi="Verdana" w:cs="Arial"/>
          <w:i/>
          <w:iCs/>
          <w:lang w:val="es-ES" w:eastAsia="es-ES"/>
          <w14:ligatures w14:val="standardContextual"/>
        </w:rPr>
        <w:t>publicidad</w:t>
      </w:r>
      <w:r w:rsidRPr="003F20E6">
        <w:rPr>
          <w:rFonts w:ascii="Verdana" w:eastAsia="Times New Roman" w:hAnsi="Verdana" w:cs="Arial"/>
          <w:lang w:val="es-ES" w:eastAsia="es-ES"/>
          <w14:ligatures w14:val="standardContextual"/>
        </w:rPr>
        <w:t xml:space="preserve">, pues este permite que las actuaciones de las autoridades gocen de visibilidad. En tal sentido, la filosofía política </w:t>
      </w:r>
      <w:r>
        <w:rPr>
          <w:rFonts w:ascii="Verdana" w:eastAsia="Times New Roman" w:hAnsi="Verdana" w:cs="Arial"/>
          <w:lang w:val="es-ES" w:eastAsia="es-ES"/>
          <w14:ligatures w14:val="standardContextual"/>
        </w:rPr>
        <w:t xml:space="preserve">indica </w:t>
      </w:r>
      <w:r w:rsidRPr="003F20E6">
        <w:rPr>
          <w:rFonts w:ascii="Verdana" w:eastAsia="Times New Roman" w:hAnsi="Verdana" w:cs="Arial"/>
          <w:lang w:val="es-ES" w:eastAsia="es-ES"/>
          <w14:ligatures w14:val="standardContextual"/>
        </w:rPr>
        <w:t>que la democracia “[…] es idealmente el gobierno de un poder visible, es decir, el gobierno cuyos actos se realizan ante el público y bajo la supervisión de la opinión pública”</w:t>
      </w:r>
      <w:r w:rsidRPr="003F20E6">
        <w:rPr>
          <w:rFonts w:ascii="Verdana" w:eastAsia="Times New Roman" w:hAnsi="Verdana" w:cs="Arial"/>
          <w:vertAlign w:val="superscript"/>
          <w:lang w:val="es-ES" w:eastAsia="es-ES"/>
          <w14:ligatures w14:val="standardContextual"/>
        </w:rPr>
        <w:footnoteReference w:id="5"/>
      </w:r>
      <w:r w:rsidRPr="003F20E6">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6F3AFD07" w14:textId="77777777" w:rsidR="008F3EC3" w:rsidRPr="003F20E6" w:rsidRDefault="008F3EC3" w:rsidP="008F3EC3">
      <w:pPr>
        <w:spacing w:before="120" w:after="120" w:line="276" w:lineRule="auto"/>
        <w:ind w:firstLine="708"/>
        <w:jc w:val="both"/>
        <w:rPr>
          <w:rFonts w:ascii="Verdana" w:eastAsia="Times New Roman" w:hAnsi="Verdana" w:cs="Arial"/>
          <w:lang w:val="es-ES" w:eastAsia="es-ES"/>
          <w14:ligatures w14:val="standardContextual"/>
        </w:rPr>
      </w:pPr>
      <w:r w:rsidRPr="003F20E6">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4509EA48" w14:textId="77777777" w:rsidR="008F3EC3" w:rsidRPr="003F20E6" w:rsidRDefault="008F3EC3" w:rsidP="008F3EC3">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w:t>
      </w:r>
      <w:r>
        <w:rPr>
          <w:rFonts w:ascii="Verdana" w:eastAsia="Times New Roman" w:hAnsi="Verdana" w:cs="Arial"/>
          <w:lang w:val="es-ES_tradnl" w:eastAsia="es-ES_tradnl"/>
          <w14:ligatures w14:val="standardContextual"/>
        </w:rPr>
        <w:t>,</w:t>
      </w:r>
      <w:r w:rsidRPr="003F20E6">
        <w:rPr>
          <w:rFonts w:ascii="Verdana" w:eastAsia="Times New Roman" w:hAnsi="Verdana" w:cs="Arial"/>
          <w:lang w:val="es-ES_tradnl" w:eastAsia="es-ES_tradnl"/>
          <w14:ligatures w14:val="standardContextual"/>
        </w:rPr>
        <w:t xml:space="preserve"> para que se divulguen </w:t>
      </w:r>
      <w:r w:rsidRPr="003F20E6">
        <w:rPr>
          <w:rFonts w:ascii="Verdana" w:eastAsia="Times New Roman" w:hAnsi="Verdana" w:cs="Arial"/>
          <w:lang w:val="es-ES_tradnl" w:eastAsia="es-ES_tradnl"/>
          <w14:ligatures w14:val="standardContextual"/>
        </w:rPr>
        <w:lastRenderedPageBreak/>
        <w:t xml:space="preserve">y eventualmente se controlen. </w:t>
      </w:r>
      <w:r>
        <w:rPr>
          <w:rFonts w:ascii="Verdana" w:eastAsia="Times New Roman" w:hAnsi="Verdana" w:cs="Arial"/>
          <w:lang w:val="es-ES_tradnl" w:eastAsia="es-ES_tradnl"/>
          <w14:ligatures w14:val="standardContextual"/>
        </w:rPr>
        <w:t>En sintonía con este postulado</w:t>
      </w:r>
      <w:r w:rsidRPr="003F20E6">
        <w:rPr>
          <w:rFonts w:ascii="Verdana" w:eastAsia="Times New Roman" w:hAnsi="Verdana" w:cs="Arial"/>
          <w:lang w:val="es-ES_tradnl" w:eastAsia="es-ES_tradnl"/>
          <w14:ligatures w14:val="standardContextual"/>
        </w:rPr>
        <w:t>,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3F20E6">
        <w:rPr>
          <w:rFonts w:ascii="Verdana" w:eastAsia="Times New Roman" w:hAnsi="Verdana" w:cs="Arial"/>
          <w:vertAlign w:val="superscript"/>
          <w:lang w:val="es-ES_tradnl" w:eastAsia="es-ES_tradnl"/>
          <w14:ligatures w14:val="standardContextual"/>
        </w:rPr>
        <w:footnoteReference w:id="6"/>
      </w:r>
      <w:r w:rsidRPr="003F20E6">
        <w:rPr>
          <w:rFonts w:ascii="Verdana" w:eastAsia="Times New Roman" w:hAnsi="Verdana" w:cs="Arial"/>
          <w:lang w:val="es-ES_tradnl" w:eastAsia="es-ES_tradnl"/>
          <w14:ligatures w14:val="standardContextual"/>
        </w:rPr>
        <w:t>.</w:t>
      </w:r>
    </w:p>
    <w:p w14:paraId="286DA5FF" w14:textId="77777777" w:rsidR="008F3EC3" w:rsidRPr="003F20E6" w:rsidRDefault="008F3EC3" w:rsidP="008F3EC3">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3F20E6">
        <w:rPr>
          <w:rFonts w:ascii="Verdana" w:eastAsia="Times New Roman" w:hAnsi="Verdana" w:cs="Arial"/>
          <w:vertAlign w:val="superscript"/>
          <w:lang w:val="es-ES_tradnl" w:eastAsia="es-ES_tradnl"/>
          <w14:ligatures w14:val="standardContextual"/>
        </w:rPr>
        <w:footnoteReference w:id="7"/>
      </w:r>
      <w:r w:rsidRPr="003F20E6">
        <w:rPr>
          <w:rFonts w:ascii="Verdana" w:eastAsia="Times New Roman" w:hAnsi="Verdana" w:cs="Arial"/>
          <w:lang w:val="es-ES_tradnl" w:eastAsia="es-ES_tradnl"/>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1185F950" w14:textId="77777777" w:rsidR="008F3EC3" w:rsidRPr="003F20E6" w:rsidRDefault="008F3EC3" w:rsidP="008F3EC3">
      <w:pPr>
        <w:spacing w:before="120" w:after="120" w:line="276" w:lineRule="auto"/>
        <w:ind w:firstLine="709"/>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E</w:t>
      </w:r>
      <w:r w:rsidRPr="003F20E6">
        <w:rPr>
          <w:rFonts w:ascii="Verdana" w:eastAsia="Times New Roman" w:hAnsi="Verdana" w:cs="Arial"/>
          <w:lang w:val="es-ES_tradnl" w:eastAsia="es-ES_tradnl"/>
          <w14:ligatures w14:val="standardContextual"/>
        </w:rPr>
        <w:t>l literal e) del artículo 9</w:t>
      </w:r>
      <w:r>
        <w:rPr>
          <w:rFonts w:ascii="Verdana" w:eastAsia="Times New Roman" w:hAnsi="Verdana" w:cs="Arial"/>
          <w:lang w:val="es-ES_tradnl" w:eastAsia="es-ES_tradnl"/>
          <w14:ligatures w14:val="standardContextual"/>
        </w:rPr>
        <w:t xml:space="preserve"> de l</w:t>
      </w:r>
      <w:r w:rsidRPr="003F20E6">
        <w:rPr>
          <w:rFonts w:ascii="Verdana" w:eastAsia="Times New Roman" w:hAnsi="Verdana" w:cs="Arial"/>
          <w:lang w:val="es-ES_tradnl" w:eastAsia="es-ES_tradnl"/>
          <w14:ligatures w14:val="standardContextual"/>
        </w:rPr>
        <w:t>a Ley Estatutaria citada establece</w:t>
      </w:r>
      <w:r>
        <w:rPr>
          <w:rFonts w:ascii="Verdana" w:eastAsia="Times New Roman" w:hAnsi="Verdana" w:cs="Arial"/>
          <w:lang w:val="es-ES_tradnl" w:eastAsia="es-ES_tradnl"/>
          <w14:ligatures w14:val="standardContextual"/>
        </w:rPr>
        <w:t xml:space="preserve"> </w:t>
      </w:r>
      <w:r w:rsidRPr="003F20E6">
        <w:rPr>
          <w:rFonts w:ascii="Verdana" w:eastAsia="Times New Roman" w:hAnsi="Verdana" w:cs="Arial"/>
          <w:lang w:val="es-ES_tradnl" w:eastAsia="es-ES_tradnl"/>
          <w14:ligatures w14:val="standardContextual"/>
        </w:rPr>
        <w:t>que</w:t>
      </w:r>
      <w:r>
        <w:rPr>
          <w:rFonts w:ascii="Verdana" w:eastAsia="Times New Roman" w:hAnsi="Verdana" w:cs="Arial"/>
          <w:lang w:val="es-ES_tradnl" w:eastAsia="es-ES_tradnl"/>
          <w14:ligatures w14:val="standardContextual"/>
        </w:rPr>
        <w:t xml:space="preserve"> </w:t>
      </w:r>
      <w:r w:rsidRPr="003F20E6">
        <w:rPr>
          <w:rFonts w:ascii="Verdana" w:eastAsia="Times New Roman" w:hAnsi="Verdana" w:cs="Arial"/>
          <w:lang w:val="es-ES_tradnl" w:eastAsia="es-ES_tradnl"/>
          <w14:ligatures w14:val="standardContextual"/>
        </w:rPr>
        <w:t>todas las entidades públicas</w:t>
      </w:r>
      <w:r w:rsidRPr="003F20E6">
        <w:rPr>
          <w:rFonts w:ascii="Verdana" w:eastAsia="Times New Roman" w:hAnsi="Verdana" w:cs="Arial"/>
          <w:vertAlign w:val="superscript"/>
          <w:lang w:val="es-ES_tradnl" w:eastAsia="es-ES_tradnl"/>
          <w14:ligatures w14:val="standardContextual"/>
        </w:rPr>
        <w:footnoteReference w:id="8"/>
      </w:r>
      <w:r>
        <w:rPr>
          <w:rFonts w:ascii="Verdana" w:eastAsia="Times New Roman" w:hAnsi="Verdana" w:cs="Arial"/>
          <w:lang w:val="es-ES_tradnl" w:eastAsia="es-ES_tradnl"/>
          <w14:ligatures w14:val="standardContextual"/>
        </w:rPr>
        <w:t xml:space="preserve"> tienen el carácter de</w:t>
      </w:r>
      <w:r w:rsidRPr="003F20E6">
        <w:rPr>
          <w:rFonts w:ascii="Verdana" w:eastAsia="Times New Roman" w:hAnsi="Verdana" w:cs="Arial"/>
          <w:lang w:val="es-ES_tradnl" w:eastAsia="es-ES_tradnl"/>
          <w14:ligatures w14:val="standardContextual"/>
        </w:rPr>
        <w:t xml:space="preserve"> sujetos obligados</w:t>
      </w:r>
      <w:r>
        <w:rPr>
          <w:rFonts w:ascii="Verdana" w:eastAsia="Times New Roman" w:hAnsi="Verdana" w:cs="Arial"/>
          <w:lang w:val="es-ES_tradnl" w:eastAsia="es-ES_tradnl"/>
          <w14:ligatures w14:val="standardContextual"/>
        </w:rPr>
        <w:t xml:space="preserve"> y, en consecuencia, deben </w:t>
      </w:r>
      <w:r w:rsidRPr="003F20E6">
        <w:rPr>
          <w:rFonts w:ascii="Verdana" w:eastAsia="Times New Roman" w:hAnsi="Verdana" w:cs="Arial"/>
          <w:lang w:val="es-ES_tradnl" w:eastAsia="es-ES_tradnl"/>
          <w14:ligatures w14:val="standardContextual"/>
        </w:rPr>
        <w:t>publicar la información relativa a su contratación. Esta obligación fue desarrollada por el Decreto Único Reglamentario 1081 de 2015</w:t>
      </w:r>
      <w:r w:rsidRPr="003F20E6">
        <w:rPr>
          <w:rFonts w:ascii="Verdana" w:eastAsia="Times New Roman" w:hAnsi="Verdana" w:cs="Arial"/>
          <w:vertAlign w:val="superscript"/>
          <w:lang w:val="es-ES_tradnl" w:eastAsia="es-ES_tradnl"/>
          <w14:ligatures w14:val="standardContextual"/>
        </w:rPr>
        <w:footnoteReference w:id="9"/>
      </w:r>
      <w:r w:rsidRPr="003F20E6">
        <w:rPr>
          <w:rFonts w:ascii="Verdana" w:eastAsia="Times New Roman" w:hAnsi="Verdana" w:cs="Arial"/>
          <w:lang w:val="es-ES_tradnl" w:eastAsia="es-ES_tradnl"/>
          <w14:ligatures w14:val="standardContextual"/>
        </w:rPr>
        <w:t xml:space="preserve">, </w:t>
      </w:r>
      <w:r w:rsidRPr="003F20E6">
        <w:rPr>
          <w:rFonts w:ascii="Verdana" w:eastAsia="Times New Roman" w:hAnsi="Verdana" w:cs="Arial"/>
          <w:lang w:val="es-ES_tradnl" w:eastAsia="es-ES_tradnl"/>
          <w14:ligatures w14:val="standardContextual"/>
        </w:rPr>
        <w:lastRenderedPageBreak/>
        <w:t>el cual dispuso que la publicación de la información contractual de los sujetos obligados, que contratan con cargo a recursos públicos, debe hacerse en el SECOP.</w:t>
      </w:r>
      <w:r>
        <w:rPr>
          <w:rFonts w:ascii="Verdana" w:eastAsia="Times New Roman" w:hAnsi="Verdana" w:cs="Arial"/>
          <w:lang w:val="es-ES_tradnl" w:eastAsia="es-ES_tradnl"/>
          <w14:ligatures w14:val="standardContextual"/>
        </w:rPr>
        <w:t xml:space="preserve"> </w:t>
      </w:r>
      <w:r w:rsidRPr="003F20E6">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5BBA2516" w14:textId="77777777" w:rsidR="008F3EC3" w:rsidRPr="003F20E6" w:rsidRDefault="008F3EC3" w:rsidP="008F3EC3">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3F20E6">
        <w:rPr>
          <w:rFonts w:ascii="Verdana" w:eastAsia="Times New Roman" w:hAnsi="Verdana" w:cs="Arial"/>
          <w:vertAlign w:val="superscript"/>
          <w:lang w:val="es-ES_tradnl" w:eastAsia="es-ES_tradnl"/>
          <w14:ligatures w14:val="standardContextual"/>
        </w:rPr>
        <w:footnoteReference w:id="10"/>
      </w:r>
      <w:r w:rsidRPr="003F20E6">
        <w:rPr>
          <w:rFonts w:ascii="Verdana" w:eastAsia="Times New Roman" w:hAnsi="Verdana" w:cs="Arial"/>
          <w:lang w:val="es-ES_tradnl" w:eastAsia="es-ES_tradnl"/>
          <w14:ligatures w14:val="standardContextual"/>
        </w:rPr>
        <w:t xml:space="preserve">. En ese contexto, las Entidades Estatales, conforme al artículo 2.2.1.1.1.7.1 del Decreto 1082 de 2015, tienen la obligación de publicar en el SECOP “[…] los Documentos del Proceso y los actos administrativos del Proceso de Contratación, </w:t>
      </w:r>
      <w:r w:rsidRPr="00E47CAB">
        <w:rPr>
          <w:rFonts w:ascii="Verdana" w:eastAsia="Times New Roman" w:hAnsi="Verdana" w:cs="Arial"/>
          <w:i/>
          <w:iCs/>
          <w:lang w:val="es-ES_tradnl" w:eastAsia="es-ES_tradnl"/>
          <w14:ligatures w14:val="standardContextual"/>
        </w:rPr>
        <w:t>dentro de los tres (3) días siguientes a su expedición</w:t>
      </w:r>
      <w:r w:rsidRPr="003F20E6">
        <w:rPr>
          <w:rFonts w:ascii="Verdana" w:eastAsia="Times New Roman" w:hAnsi="Verdana" w:cs="Arial"/>
          <w:lang w:val="es-ES_tradnl" w:eastAsia="es-ES_tradnl"/>
          <w14:ligatures w14:val="standardContextual"/>
        </w:rPr>
        <w:t xml:space="preserve"> […]”</w:t>
      </w:r>
      <w:r>
        <w:rPr>
          <w:rFonts w:ascii="Verdana" w:eastAsia="Times New Roman" w:hAnsi="Verdana" w:cs="Arial"/>
          <w:lang w:val="es-ES_tradnl" w:eastAsia="es-ES_tradnl"/>
          <w14:ligatures w14:val="standardContextual"/>
        </w:rPr>
        <w:t xml:space="preserve"> (Énfasis fuera del texto original)</w:t>
      </w:r>
      <w:r w:rsidRPr="003F20E6">
        <w:rPr>
          <w:rFonts w:ascii="Verdana" w:eastAsia="Times New Roman" w:hAnsi="Verdana" w:cs="Arial"/>
          <w:lang w:val="es-ES_tradnl" w:eastAsia="es-ES_tradnl"/>
          <w14:ligatures w14:val="standardContextual"/>
        </w:rPr>
        <w:t>.</w:t>
      </w:r>
    </w:p>
    <w:p w14:paraId="0F2DB195" w14:textId="77777777" w:rsidR="008F3EC3" w:rsidRPr="003F20E6" w:rsidRDefault="008F3EC3" w:rsidP="008F3EC3">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La expresión </w:t>
      </w:r>
      <w:r w:rsidRPr="003F20E6">
        <w:rPr>
          <w:rFonts w:ascii="Verdana" w:hAnsi="Verdana" w:cs="Arial"/>
          <w:i/>
          <w:iCs/>
          <w:shd w:val="clear" w:color="auto" w:fill="FFFFFF"/>
        </w:rPr>
        <w:t xml:space="preserve">Documentos del Proceso </w:t>
      </w:r>
      <w:r w:rsidRPr="003F20E6">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3F20E6">
        <w:rPr>
          <w:rFonts w:ascii="Verdana" w:hAnsi="Verdana" w:cs="Arial"/>
          <w:i/>
          <w:iCs/>
          <w:shd w:val="clear" w:color="auto" w:fill="FFFFFF"/>
        </w:rPr>
        <w:t>y cualquier otro documento expedido por la Entidad Estatal durante el Proceso de Contratación</w:t>
      </w:r>
      <w:r w:rsidRPr="003F20E6">
        <w:rPr>
          <w:rFonts w:ascii="Verdana" w:hAnsi="Verdana" w:cs="Arial"/>
          <w:shd w:val="clear" w:color="auto" w:fill="FFFFFF"/>
        </w:rPr>
        <w:t>”</w:t>
      </w:r>
      <w:r>
        <w:rPr>
          <w:rFonts w:ascii="Verdana" w:hAnsi="Verdana" w:cs="Arial"/>
          <w:shd w:val="clear" w:color="auto" w:fill="FFFFFF"/>
        </w:rPr>
        <w:t xml:space="preserve"> (</w:t>
      </w:r>
      <w:r w:rsidRPr="003F20E6">
        <w:rPr>
          <w:rFonts w:ascii="Verdana" w:hAnsi="Verdana" w:cs="Arial"/>
          <w:shd w:val="clear" w:color="auto" w:fill="FFFFFF"/>
        </w:rPr>
        <w:t>Énfasis fuera de texto</w:t>
      </w:r>
      <w:r>
        <w:rPr>
          <w:rFonts w:ascii="Verdana" w:hAnsi="Verdana" w:cs="Arial"/>
          <w:shd w:val="clear" w:color="auto" w:fill="FFFFFF"/>
        </w:rPr>
        <w:t xml:space="preserve">). </w:t>
      </w:r>
      <w:r w:rsidRPr="003F20E6">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3F20E6">
        <w:rPr>
          <w:rFonts w:ascii="Verdana" w:hAnsi="Verdana" w:cs="Arial"/>
          <w:i/>
          <w:iCs/>
          <w:shd w:val="clear" w:color="auto" w:fill="FFFFFF"/>
        </w:rPr>
        <w:t>Ibidem</w:t>
      </w:r>
      <w:r w:rsidRPr="003F20E6">
        <w:rPr>
          <w:rFonts w:ascii="Verdana" w:hAnsi="Verdana" w:cs="Arial"/>
          <w:shd w:val="clear" w:color="auto" w:fill="FFFFFF"/>
        </w:rPr>
        <w:t xml:space="preserve"> recoge en la noción de Documentos del Proceso “cualquier otro documento expedido por la Entidad Estatal dura</w:t>
      </w:r>
      <w:r>
        <w:rPr>
          <w:rFonts w:ascii="Verdana" w:hAnsi="Verdana" w:cs="Arial"/>
          <w:shd w:val="clear" w:color="auto" w:fill="FFFFFF"/>
        </w:rPr>
        <w:t xml:space="preserve">nte el Proceso de Contratación”, esto es, aquellos documentos definitivos que se desarrollan dentro del proceso de contratación. </w:t>
      </w:r>
      <w:r w:rsidRPr="003F20E6">
        <w:rPr>
          <w:rFonts w:ascii="Verdana" w:hAnsi="Verdana" w:cs="Arial"/>
          <w:shd w:val="clear" w:color="auto" w:fill="FFFFFF"/>
        </w:rPr>
        <w:t xml:space="preserve"> </w:t>
      </w:r>
    </w:p>
    <w:p w14:paraId="67026CE1" w14:textId="77777777" w:rsidR="008F3EC3" w:rsidRPr="003F20E6" w:rsidRDefault="008F3EC3" w:rsidP="008F3EC3">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lastRenderedPageBreak/>
        <w:t xml:space="preserve">Este mismo artículo define la expresión </w:t>
      </w:r>
      <w:r>
        <w:rPr>
          <w:rFonts w:ascii="Verdana" w:hAnsi="Verdana" w:cs="Arial"/>
          <w:shd w:val="clear" w:color="auto" w:fill="FFFFFF"/>
        </w:rPr>
        <w:t>“</w:t>
      </w:r>
      <w:r w:rsidRPr="003F20E6">
        <w:rPr>
          <w:rFonts w:ascii="Verdana" w:hAnsi="Verdana" w:cs="Arial"/>
          <w:shd w:val="clear" w:color="auto" w:fill="FFFFFF"/>
        </w:rPr>
        <w:t>Proceso de Contratación</w:t>
      </w:r>
      <w:r>
        <w:rPr>
          <w:rFonts w:ascii="Verdana" w:hAnsi="Verdana" w:cs="Arial"/>
          <w:shd w:val="clear" w:color="auto" w:fill="FFFFFF"/>
        </w:rPr>
        <w:t>”</w:t>
      </w:r>
      <w:r w:rsidRPr="003F20E6">
        <w:rPr>
          <w:rFonts w:ascii="Verdana" w:hAnsi="Verdana" w:cs="Arial"/>
          <w:shd w:val="clear" w:color="auto" w:fill="FFFFFF"/>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6317E614" w14:textId="77777777" w:rsidR="008F3EC3" w:rsidRDefault="008F3EC3" w:rsidP="008F3EC3">
      <w:pPr>
        <w:tabs>
          <w:tab w:val="left" w:pos="709"/>
        </w:tabs>
        <w:spacing w:before="120" w:after="120" w:line="276" w:lineRule="auto"/>
        <w:ind w:firstLine="709"/>
        <w:jc w:val="both"/>
        <w:rPr>
          <w:rFonts w:ascii="Verdana" w:hAnsi="Verdana" w:cs="Arial"/>
          <w:shd w:val="clear" w:color="auto" w:fill="FFFFFF"/>
        </w:rPr>
      </w:pPr>
      <w:r w:rsidRPr="003F20E6">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w:t>
      </w:r>
      <w:r>
        <w:rPr>
          <w:rFonts w:ascii="Verdana" w:hAnsi="Verdana" w:cs="Arial"/>
          <w:shd w:val="clear" w:color="auto" w:fill="FFFFFF"/>
        </w:rPr>
        <w:t>,</w:t>
      </w:r>
      <w:r w:rsidRPr="003F20E6">
        <w:rPr>
          <w:rFonts w:ascii="Verdana" w:hAnsi="Verdana" w:cs="Arial"/>
          <w:shd w:val="clear" w:color="auto" w:fill="FFFFFF"/>
        </w:rPr>
        <w:t xml:space="preserve"> que todos los documentos expedidos por la entidad durante las etapas precontractual, de ejecución y postcontractual deberán publicarse en SECOP dentro de los tres (3) días siguientes a su expedición, para cumplir el deber de publicidad regulado por el artículo 2.2.1.1.1.7.1. del Decreto 1082 de 2015.</w:t>
      </w:r>
    </w:p>
    <w:p w14:paraId="26E26E26" w14:textId="77777777" w:rsidR="008F3EC3" w:rsidRPr="003F20E6" w:rsidRDefault="008F3EC3" w:rsidP="008F3EC3">
      <w:pPr>
        <w:tabs>
          <w:tab w:val="left" w:pos="709"/>
        </w:tabs>
        <w:spacing w:before="120" w:after="120" w:line="276" w:lineRule="auto"/>
        <w:ind w:firstLine="709"/>
        <w:jc w:val="both"/>
        <w:rPr>
          <w:rFonts w:ascii="Verdana" w:hAnsi="Verdana" w:cs="Arial"/>
          <w:shd w:val="clear" w:color="auto" w:fill="FFFFFF"/>
        </w:rPr>
      </w:pPr>
      <w:r>
        <w:rPr>
          <w:rFonts w:ascii="Verdana" w:hAnsi="Verdana" w:cs="Arial"/>
          <w:shd w:val="clear" w:color="auto" w:fill="FFFFFF"/>
        </w:rPr>
        <w:t xml:space="preserve">Con respecto a lo expuesto, los documentos de ejecución hacen parte de los Documentos del Proceso de Contratación, los cuales son aquellos que permiten el seguimiento y control del cumplimiento del contrato, una vez se hayan sido celebrado entre una entidad pública y el contratista. Es decir, son aquellos documentos que detallan y soportan la fase contractual y postcontractual que empieza desde la celebración del contrato hasta su liquidación. Al respecto, se destaca los informes de supervisión contractual, requerimientos de la supervisión, las garantías que amparan el contrato y que permiten el inicio de ejecución contractual, el registro presupuestal, las solicitud de ampliación de coberturas de pólizas para efectos de liquidación contractual, así como los soportes de pago, </w:t>
      </w:r>
      <w:r w:rsidRPr="003A757E">
        <w:rPr>
          <w:rFonts w:ascii="Verdana" w:hAnsi="Verdana" w:cs="Arial"/>
          <w:shd w:val="clear" w:color="auto" w:fill="FFFFFF"/>
        </w:rPr>
        <w:t>porque evidencian el cumplimiento de las obligaciones financieras pactadas en el contrato</w:t>
      </w:r>
      <w:r>
        <w:rPr>
          <w:rFonts w:ascii="Verdana" w:hAnsi="Verdana" w:cs="Arial"/>
          <w:shd w:val="clear" w:color="auto" w:fill="FFFFFF"/>
        </w:rPr>
        <w:t xml:space="preserve">, entre otros documentos que estén en el marco de la ejecución de las obligaciones del contrato.  </w:t>
      </w:r>
    </w:p>
    <w:p w14:paraId="57A87C53" w14:textId="77777777" w:rsidR="008F3EC3" w:rsidRPr="003F20E6" w:rsidRDefault="008F3EC3" w:rsidP="008F3EC3">
      <w:pPr>
        <w:tabs>
          <w:tab w:val="left" w:pos="709"/>
        </w:tabs>
        <w:spacing w:before="120" w:after="12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Con el propósito de garantizar el cumplimiento del mencionado deber de publicidad, se le asignó a la Agencia Nacional de Contratación Pública - Colombia </w:t>
      </w:r>
      <w:r w:rsidRPr="003F20E6">
        <w:rPr>
          <w:rFonts w:ascii="Verdana" w:hAnsi="Verdana" w:cs="Arial"/>
          <w:shd w:val="clear" w:color="auto" w:fill="FFFFFF"/>
        </w:rPr>
        <w:lastRenderedPageBreak/>
        <w:t>Compra Eficiente, la función de administrar el SECOP</w:t>
      </w:r>
      <w:r w:rsidRPr="003F20E6">
        <w:rPr>
          <w:rFonts w:ascii="Verdana" w:hAnsi="Verdana" w:cs="Arial"/>
          <w:shd w:val="clear" w:color="auto" w:fill="FFFFFF"/>
          <w:vertAlign w:val="superscript"/>
        </w:rPr>
        <w:footnoteReference w:id="11"/>
      </w:r>
      <w:r w:rsidRPr="003F20E6">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r>
        <w:rPr>
          <w:rFonts w:ascii="Verdana" w:hAnsi="Verdana" w:cs="Arial"/>
          <w:shd w:val="clear" w:color="auto" w:fill="FFFFFF"/>
        </w:rPr>
        <w:t xml:space="preserve"> </w:t>
      </w:r>
      <w:r w:rsidRPr="003F20E6">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75B651CB" w14:textId="77777777" w:rsidR="008F3EC3" w:rsidRDefault="008F3EC3" w:rsidP="008F3EC3">
      <w:pPr>
        <w:spacing w:line="276" w:lineRule="auto"/>
        <w:ind w:firstLine="567"/>
        <w:jc w:val="both"/>
        <w:rPr>
          <w:rFonts w:ascii="Verdana" w:hAnsi="Verdana" w:cs="Arial"/>
          <w:color w:val="000000"/>
        </w:rPr>
      </w:pPr>
      <w:r w:rsidRPr="00D92626">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r w:rsidRPr="00E31876">
        <w:rPr>
          <w:rFonts w:ascii="Verdana" w:hAnsi="Verdana" w:cs="Arial"/>
          <w:color w:val="000000"/>
        </w:rPr>
        <w:t xml:space="preserve"> </w:t>
      </w:r>
      <w:r w:rsidRPr="00C472F8">
        <w:rPr>
          <w:rFonts w:ascii="Verdana" w:hAnsi="Verdana" w:cs="Arial"/>
          <w:color w:val="000000"/>
        </w:rPr>
        <w:t>Es decir, el SECOP</w:t>
      </w:r>
      <w:r>
        <w:rPr>
          <w:rFonts w:ascii="Verdana" w:hAnsi="Verdana" w:cs="Arial"/>
          <w:color w:val="000000"/>
        </w:rPr>
        <w:t xml:space="preserve"> II</w:t>
      </w:r>
      <w:r w:rsidRPr="00C472F8">
        <w:rPr>
          <w:rFonts w:ascii="Verdana" w:hAnsi="Verdana" w:cs="Arial"/>
          <w:color w:val="000000"/>
        </w:rPr>
        <w:t xml:space="preserve"> se convierte en un instrumento para aplicar las etapas, formalidades que se presentan en el marco de las etapas del proceso de contratación. </w:t>
      </w:r>
    </w:p>
    <w:p w14:paraId="6E6CCA2F" w14:textId="77777777" w:rsidR="008F3EC3" w:rsidRDefault="008F3EC3" w:rsidP="008F3EC3">
      <w:pPr>
        <w:spacing w:line="276" w:lineRule="auto"/>
        <w:ind w:firstLine="567"/>
        <w:jc w:val="both"/>
        <w:rPr>
          <w:rFonts w:ascii="Verdana" w:eastAsia="Calibri" w:hAnsi="Verdana" w:cs="Arial"/>
          <w:lang w:val="es-ES"/>
        </w:rPr>
      </w:pPr>
      <w:r w:rsidRPr="00D92626">
        <w:rPr>
          <w:rFonts w:ascii="Verdana" w:eastAsia="Calibri" w:hAnsi="Verdana" w:cs="Arial"/>
          <w:lang w:val="es-ES"/>
        </w:rPr>
        <w:t>Debido a que la plataforma es totalmente transaccional, el trámite se realiza en línea y la publicidad de las actuaciones es concomitante, según transcurran cada una de las etapas del procedimiento, lo que descarta la necesidad de carg</w:t>
      </w:r>
      <w:r>
        <w:rPr>
          <w:rFonts w:ascii="Verdana" w:eastAsia="Calibri" w:hAnsi="Verdana" w:cs="Arial"/>
          <w:lang w:val="es-ES"/>
        </w:rPr>
        <w:t>ar documentación alguna, salvo determinadas</w:t>
      </w:r>
      <w:r w:rsidRPr="00D92626">
        <w:rPr>
          <w:rFonts w:ascii="Verdana" w:eastAsia="Calibri" w:hAnsi="Verdana" w:cs="Arial"/>
          <w:lang w:val="es-ES"/>
        </w:rPr>
        <w:t xml:space="preserve"> excepciones. Además, de acuerdo con lo prescrito en el artículo 14 de la Ley 527 de 1999, en la formación del contrato, salvo acuerdo expreso entre las partes, la oferta y su aceptación podrán expresarse por medio de un mensaje de datos, lo que implica </w:t>
      </w:r>
      <w:r w:rsidRPr="00D92626">
        <w:rPr>
          <w:rFonts w:ascii="Verdana" w:eastAsia="Calibri" w:hAnsi="Verdana" w:cs="Arial"/>
          <w:lang w:val="es-ES"/>
        </w:rPr>
        <w:lastRenderedPageBreak/>
        <w:t xml:space="preserve">que </w:t>
      </w:r>
      <w:r>
        <w:rPr>
          <w:rFonts w:ascii="Verdana" w:eastAsia="Calibri" w:hAnsi="Verdana" w:cs="Arial"/>
          <w:lang w:val="es-ES"/>
        </w:rPr>
        <w:t>n</w:t>
      </w:r>
      <w:r w:rsidRPr="00D92626">
        <w:rPr>
          <w:rFonts w:ascii="Verdana" w:eastAsia="Calibri" w:hAnsi="Verdana" w:cs="Arial"/>
          <w:lang w:val="es-ES"/>
        </w:rPr>
        <w:t xml:space="preserve">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14:paraId="5E956D93" w14:textId="77777777" w:rsidR="008F3EC3" w:rsidRPr="003F20E6" w:rsidRDefault="008F3EC3" w:rsidP="008F3EC3">
      <w:pPr>
        <w:spacing w:after="120" w:line="276" w:lineRule="auto"/>
        <w:ind w:firstLine="709"/>
        <w:jc w:val="both"/>
        <w:rPr>
          <w:rFonts w:ascii="Verdana" w:eastAsia="Calibri" w:hAnsi="Verdana" w:cs="Arial"/>
          <w:lang w:val="es-ES"/>
        </w:rPr>
      </w:pPr>
      <w:r w:rsidRPr="003F20E6">
        <w:rPr>
          <w:rFonts w:ascii="Verdana" w:eastAsia="Calibri" w:hAnsi="Verdana" w:cs="Arial"/>
          <w:lang w:val="es-ES"/>
        </w:rPr>
        <w:t>Sin embargo, pese a que los documentos que deben publicarse en el SECOP II corresponden a los mismos que deben publicarse en el SECOP I, esto es, todos los expedidos con ocasión el Proceso de Contratación</w:t>
      </w:r>
      <w:r>
        <w:rPr>
          <w:rFonts w:ascii="Verdana" w:eastAsia="Calibri" w:hAnsi="Verdana" w:cs="Arial"/>
          <w:lang w:val="es-ES"/>
        </w:rPr>
        <w:t>,</w:t>
      </w:r>
      <w:r w:rsidRPr="003F20E6">
        <w:rPr>
          <w:rFonts w:ascii="Verdana" w:eastAsia="Calibri" w:hAnsi="Verdana" w:cs="Arial"/>
          <w:lang w:val="es-ES"/>
        </w:rPr>
        <w:t xml:space="preserve">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25998E06" w14:textId="77777777" w:rsidR="008F3EC3" w:rsidRPr="003F20E6" w:rsidRDefault="008F3EC3" w:rsidP="008F3EC3">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Conforme a lo anterior, </w:t>
      </w:r>
      <w:r>
        <w:rPr>
          <w:rFonts w:ascii="Verdana" w:hAnsi="Verdana" w:cs="Arial"/>
          <w:shd w:val="clear" w:color="auto" w:fill="FFFFFF"/>
        </w:rPr>
        <w:t xml:space="preserve">se evidencia que el principio de publicidad tiene fundamento constitucional y legal en materia de contratación estatal. Por otra </w:t>
      </w:r>
      <w:proofErr w:type="gramStart"/>
      <w:r>
        <w:rPr>
          <w:rFonts w:ascii="Verdana" w:hAnsi="Verdana" w:cs="Arial"/>
          <w:shd w:val="clear" w:color="auto" w:fill="FFFFFF"/>
        </w:rPr>
        <w:t>parte</w:t>
      </w:r>
      <w:proofErr w:type="gramEnd"/>
      <w:r>
        <w:rPr>
          <w:rFonts w:ascii="Verdana" w:hAnsi="Verdana" w:cs="Arial"/>
          <w:shd w:val="clear" w:color="auto" w:fill="FFFFFF"/>
        </w:rPr>
        <w:t xml:space="preserve"> es la misma constitución y el marco jurídico antes expuesto el que fija límites claros para su exigencia y que permiten determinar la proporcionalidad de los requisitos de publicidad correspondientes. En este contexto, </w:t>
      </w:r>
      <w:r w:rsidRPr="003F20E6">
        <w:rPr>
          <w:rFonts w:ascii="Verdana" w:hAnsi="Verdana" w:cs="Arial"/>
          <w:shd w:val="clear" w:color="auto" w:fill="FFFFFF"/>
        </w:rPr>
        <w:t xml:space="preserve">es clara la obligatoriedad de publicar la información de la actividad contractual que se realiza </w:t>
      </w:r>
      <w:r w:rsidRPr="00FA0933">
        <w:rPr>
          <w:rFonts w:ascii="Verdana" w:hAnsi="Verdana" w:cs="Arial"/>
          <w:i/>
          <w:iCs/>
          <w:shd w:val="clear" w:color="auto" w:fill="FFFFFF"/>
        </w:rPr>
        <w:t>con cargo a recursos públicos</w:t>
      </w:r>
      <w:r w:rsidRPr="003F20E6">
        <w:rPr>
          <w:rFonts w:ascii="Verdana" w:hAnsi="Verdana" w:cs="Arial"/>
          <w:shd w:val="clear" w:color="auto" w:fill="FFFFFF"/>
        </w:rPr>
        <w:t xml:space="preserve"> en el SECOP, </w:t>
      </w:r>
      <w:r w:rsidRPr="00FA0933">
        <w:rPr>
          <w:rFonts w:ascii="Verdana" w:hAnsi="Verdana" w:cs="Arial"/>
          <w:i/>
          <w:iCs/>
          <w:shd w:val="clear" w:color="auto" w:fill="FFFFFF"/>
        </w:rPr>
        <w:t xml:space="preserve">incluidas aquellas con regímenes contractuales especiales. </w:t>
      </w:r>
      <w:r w:rsidRPr="003F20E6">
        <w:rPr>
          <w:rFonts w:ascii="Verdana" w:hAnsi="Verdana" w:cs="Arial"/>
          <w:shd w:val="clear" w:color="auto" w:fill="FFFFFF"/>
        </w:rPr>
        <w:t xml:space="preserve">Esta obligación incluye todos los documentos generados durante las fases precontractual, contractual y postcontractual,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 Por último, se precisa, que corresponderá a la Entidad Estatal, previo concepto de sus órganos asesores, cumplir con la publicación de los documentos que expiden dentro de un Proceso </w:t>
      </w:r>
      <w:r w:rsidRPr="003F20E6">
        <w:rPr>
          <w:rFonts w:ascii="Verdana" w:hAnsi="Verdana" w:cs="Arial"/>
          <w:shd w:val="clear" w:color="auto" w:fill="FFFFFF"/>
        </w:rPr>
        <w:lastRenderedPageBreak/>
        <w:t xml:space="preserve">de Contratación en el SECOP, ya sea en SECOP I o en SECOP II en cumplimiento de las disposiciones legales y reglamentarias. </w:t>
      </w:r>
    </w:p>
    <w:p w14:paraId="0EEA4C0E" w14:textId="77777777" w:rsidR="008F3EC3" w:rsidRPr="003F20E6" w:rsidRDefault="008F3EC3" w:rsidP="008F3EC3">
      <w:pPr>
        <w:tabs>
          <w:tab w:val="left" w:pos="709"/>
        </w:tabs>
        <w:spacing w:after="0" w:line="276" w:lineRule="auto"/>
        <w:jc w:val="both"/>
        <w:rPr>
          <w:rFonts w:ascii="Verdana" w:hAnsi="Verdana" w:cs="Arial"/>
          <w:shd w:val="clear" w:color="auto" w:fill="FFFFFF"/>
        </w:rPr>
      </w:pPr>
    </w:p>
    <w:p w14:paraId="4D7480B0" w14:textId="77777777" w:rsidR="008F3EC3" w:rsidRPr="003F20E6" w:rsidRDefault="008F3EC3" w:rsidP="008F3EC3">
      <w:pPr>
        <w:spacing w:after="120" w:line="276" w:lineRule="auto"/>
        <w:jc w:val="both"/>
        <w:rPr>
          <w:rFonts w:ascii="Verdana" w:eastAsia="Calibri" w:hAnsi="Verdana" w:cs="Arial"/>
          <w:lang w:eastAsia="es-ES_tradnl"/>
        </w:rPr>
      </w:pPr>
      <w:proofErr w:type="spellStart"/>
      <w:r w:rsidRPr="003F20E6">
        <w:rPr>
          <w:rFonts w:ascii="Verdana" w:hAnsi="Verdana" w:cs="Arial"/>
          <w:lang w:val="es-ES"/>
        </w:rPr>
        <w:t>ii</w:t>
      </w:r>
      <w:proofErr w:type="spellEnd"/>
      <w:r>
        <w:rPr>
          <w:rFonts w:ascii="Verdana" w:hAnsi="Verdana" w:cs="Arial"/>
          <w:lang w:val="es-ES"/>
        </w:rPr>
        <w:t>)</w:t>
      </w:r>
      <w:r w:rsidRPr="003F20E6">
        <w:rPr>
          <w:rFonts w:ascii="Verdana" w:hAnsi="Verdana" w:cs="Arial"/>
          <w:lang w:val="es-ES"/>
        </w:rPr>
        <w:t xml:space="preserve"> </w:t>
      </w:r>
      <w:r>
        <w:rPr>
          <w:rFonts w:ascii="Verdana" w:hAnsi="Verdana" w:cs="Arial"/>
          <w:lang w:val="es-ES"/>
        </w:rPr>
        <w:t>Teniendo en cuenta que su consulta versa sobre la aplicación del principio de publicidad a una sociedad de economía mixta, es importante resaltar que, e</w:t>
      </w:r>
      <w:r w:rsidRPr="003F20E6">
        <w:rPr>
          <w:rFonts w:ascii="Verdana" w:hAnsi="Verdana" w:cs="Arial"/>
          <w:lang w:val="es-ES"/>
        </w:rPr>
        <w:t xml:space="preserve">n el marco del principio de publicidad de las actuaciones del Estado, se han establecido estrategias mediante leyes y reglamentos que buscan fortalecer la transparencia y la lucha contra la corrupción. En esta línea, la </w:t>
      </w:r>
      <w:r w:rsidRPr="003F20E6">
        <w:rPr>
          <w:rFonts w:ascii="Verdana" w:eastAsia="Calibri" w:hAnsi="Verdana" w:cs="Arial"/>
          <w:lang w:eastAsia="es-ES_tradnl"/>
        </w:rPr>
        <w:t>Ley 1474 de 2011, “Por</w:t>
      </w:r>
      <w:r w:rsidRPr="003F20E6">
        <w:rPr>
          <w:rFonts w:ascii="Verdana" w:eastAsia="Calibri" w:hAnsi="Verdana" w:cs="Arial"/>
          <w:i/>
          <w:iCs/>
          <w:lang w:eastAsia="es-ES_tradnl"/>
        </w:rPr>
        <w:t xml:space="preserve"> </w:t>
      </w:r>
      <w:r w:rsidRPr="00B72434">
        <w:rPr>
          <w:rFonts w:ascii="Verdana" w:eastAsia="Calibri" w:hAnsi="Verdana" w:cs="Arial"/>
          <w:lang w:eastAsia="es-ES_tradnl"/>
        </w:rPr>
        <w:t>la cual se dictan normas orientadas a fortalecer los mecanismos de prevención, investigación y sanción de actos de corrupción y la efectividad del control de la gestión pública”</w:t>
      </w:r>
      <w:r w:rsidRPr="003F20E6">
        <w:rPr>
          <w:rFonts w:ascii="Verdana" w:eastAsia="Calibri" w:hAnsi="Verdana" w:cs="Arial"/>
          <w:lang w:eastAsia="es-ES_tradnl"/>
        </w:rPr>
        <w:t xml:space="preserve">, y otras normativas afines, tales como la Ley 1712 de 2014 y la Ley 2195 de 2022, </w:t>
      </w:r>
      <w:r>
        <w:rPr>
          <w:rFonts w:ascii="Verdana" w:eastAsia="Calibri" w:hAnsi="Verdana" w:cs="Arial"/>
          <w:lang w:eastAsia="es-ES_tradnl"/>
        </w:rPr>
        <w:t>tienen como fin</w:t>
      </w:r>
      <w:r w:rsidRPr="003F20E6">
        <w:rPr>
          <w:rFonts w:ascii="Verdana" w:eastAsia="Calibri" w:hAnsi="Verdana" w:cs="Arial"/>
          <w:lang w:eastAsia="es-ES_tradnl"/>
        </w:rPr>
        <w:t xml:space="preserve"> institu</w:t>
      </w:r>
      <w:r>
        <w:rPr>
          <w:rFonts w:ascii="Verdana" w:eastAsia="Calibri" w:hAnsi="Verdana" w:cs="Arial"/>
          <w:lang w:eastAsia="es-ES_tradnl"/>
        </w:rPr>
        <w:t>ir</w:t>
      </w:r>
      <w:r w:rsidRPr="003F20E6">
        <w:rPr>
          <w:rFonts w:ascii="Verdana" w:eastAsia="Calibri" w:hAnsi="Verdana" w:cs="Arial"/>
          <w:lang w:eastAsia="es-ES_tradnl"/>
        </w:rPr>
        <w:t xml:space="preserve"> principios y reglas destinadas a asegurar la transparencia y facilitar el acceso a la información pública. </w:t>
      </w:r>
    </w:p>
    <w:p w14:paraId="0979C458" w14:textId="77777777" w:rsidR="008F3EC3" w:rsidRPr="003F20E6" w:rsidRDefault="008F3EC3" w:rsidP="008F3EC3">
      <w:pPr>
        <w:spacing w:after="120" w:line="276" w:lineRule="auto"/>
        <w:ind w:firstLine="708"/>
        <w:jc w:val="both"/>
        <w:rPr>
          <w:rFonts w:ascii="Verdana" w:eastAsia="Calibri" w:hAnsi="Verdana" w:cs="Arial"/>
          <w:lang w:eastAsia="es-ES_tradnl"/>
        </w:rPr>
      </w:pPr>
      <w:r w:rsidRPr="003F20E6">
        <w:rPr>
          <w:rFonts w:ascii="Verdana" w:eastAsia="Calibri" w:hAnsi="Verdana" w:cs="Arial"/>
          <w:lang w:eastAsia="es-ES_tradnl"/>
        </w:rPr>
        <w:t>En esa misma perspectiva, el Gobierno Nacional fundamentado en el artículo 200 de la Ley 2294 de 2023</w:t>
      </w:r>
      <w:r>
        <w:rPr>
          <w:rStyle w:val="Refdenotaalpie"/>
          <w:rFonts w:ascii="Verdana" w:eastAsia="Calibri" w:hAnsi="Verdana" w:cs="Arial"/>
          <w:lang w:eastAsia="es-ES_tradnl"/>
        </w:rPr>
        <w:footnoteReference w:id="12"/>
      </w:r>
      <w:r w:rsidRPr="003F20E6">
        <w:rPr>
          <w:rFonts w:ascii="Verdana" w:eastAsia="Calibri" w:hAnsi="Verdana" w:cs="Arial"/>
          <w:lang w:eastAsia="es-ES_tradnl"/>
        </w:rPr>
        <w:t>, ”</w:t>
      </w:r>
      <w:r w:rsidRPr="003F20E6">
        <w:rPr>
          <w:rFonts w:ascii="Verdana" w:eastAsia="Calibri" w:hAnsi="Verdana" w:cs="Arial"/>
          <w:i/>
          <w:iCs/>
          <w:lang w:eastAsia="es-ES_tradnl"/>
        </w:rPr>
        <w:t>Por la cual se expidió el Plan Nacional de Desarrollo ‘Colombia Potencia Mundial de la Vida’”</w:t>
      </w:r>
      <w:r w:rsidRPr="003F20E6">
        <w:rPr>
          <w:rFonts w:ascii="Verdana" w:eastAsia="Calibri" w:hAnsi="Verdana" w:cs="Arial"/>
          <w:lang w:eastAsia="es-ES_tradnl"/>
        </w:rPr>
        <w:t xml:space="preserve">, estableció el deber de </w:t>
      </w:r>
      <w:r w:rsidRPr="003F20E6">
        <w:rPr>
          <w:rFonts w:ascii="Verdana" w:eastAsia="Calibri" w:hAnsi="Verdana" w:cs="Arial"/>
          <w:lang w:eastAsia="es-ES_tradnl"/>
        </w:rPr>
        <w:lastRenderedPageBreak/>
        <w:t>formular una Estrategia Nacional de Lucha contra la Corrupción</w:t>
      </w:r>
      <w:r w:rsidRPr="003F20E6">
        <w:rPr>
          <w:rFonts w:ascii="Verdana" w:eastAsia="Calibri" w:hAnsi="Verdana" w:cs="Arial"/>
          <w:iCs/>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3F20E6">
        <w:rPr>
          <w:rFonts w:ascii="Verdana" w:eastAsia="Calibri" w:hAnsi="Verdana" w:cs="Arial"/>
          <w:lang w:eastAsia="es-ES_tradnl"/>
        </w:rPr>
        <w:t xml:space="preserve">. De este modo, la estrategia de la lucha contra la corrupción incluye las dimensiones de la garantía de los derechos humanos, la protección al denunciante, </w:t>
      </w:r>
      <w:r w:rsidRPr="00E47CAB">
        <w:rPr>
          <w:rFonts w:ascii="Verdana" w:eastAsia="Calibri" w:hAnsi="Verdana" w:cs="Arial"/>
          <w:i/>
          <w:iCs/>
          <w:lang w:eastAsia="es-ES_tradnl"/>
        </w:rPr>
        <w:t>el derecho de acceso a la información pública</w:t>
      </w:r>
      <w:r w:rsidRPr="003F20E6">
        <w:rPr>
          <w:rFonts w:ascii="Verdana" w:eastAsia="Calibri" w:hAnsi="Verdana" w:cs="Arial"/>
          <w:lang w:eastAsia="es-ES_tradnl"/>
        </w:rPr>
        <w:t xml:space="preserve">, el fortalecimiento de la veeduría ciudadana, la </w:t>
      </w:r>
      <w:r w:rsidRPr="00E47CAB">
        <w:rPr>
          <w:rFonts w:ascii="Verdana" w:eastAsia="Calibri" w:hAnsi="Verdana" w:cs="Arial"/>
          <w:i/>
          <w:iCs/>
          <w:lang w:eastAsia="es-ES_tradnl"/>
        </w:rPr>
        <w:t>transparencia en la contratación y gestión pública</w:t>
      </w:r>
      <w:r w:rsidRPr="003F20E6">
        <w:rPr>
          <w:rFonts w:ascii="Verdana" w:eastAsia="Calibri" w:hAnsi="Verdana" w:cs="Arial"/>
          <w:lang w:eastAsia="es-ES_tradnl"/>
        </w:rPr>
        <w:t>, la innovación pública y la prevención, detección, gestión y sanción de riesgos y hechos de corrupción. </w:t>
      </w:r>
    </w:p>
    <w:p w14:paraId="1F6E26BB" w14:textId="77777777" w:rsidR="008F3EC3" w:rsidRPr="003F20E6" w:rsidRDefault="008F3EC3" w:rsidP="008F3EC3">
      <w:pPr>
        <w:spacing w:after="120" w:line="276" w:lineRule="auto"/>
        <w:ind w:firstLine="708"/>
        <w:jc w:val="both"/>
        <w:rPr>
          <w:rFonts w:ascii="Verdana" w:eastAsia="Calibri" w:hAnsi="Verdana" w:cs="Arial"/>
          <w:bCs/>
          <w:lang w:eastAsia="es-ES_tradnl"/>
        </w:rPr>
      </w:pPr>
      <w:r w:rsidRPr="003F20E6">
        <w:rPr>
          <w:rFonts w:ascii="Verdana" w:eastAsia="Calibri" w:hAnsi="Verdana" w:cs="Arial"/>
          <w:bCs/>
          <w:lang w:eastAsia="es-ES_tradnl"/>
        </w:rPr>
        <w:t xml:space="preserve">En la búsqueda de fortalecer una estrategia de lucha contra la corrupción se expidió el Decreto 1600 de 2024, “Por el cual se modifica el Capítulo 1 y 3 del Título 4 de la Parte 1 del Libro 2 del Decreto número 1081 de 2015, Decreto Reglamentario Único del Sector Presidencia de la República, en lo relacionado con las Subcomisiones Técnicas de la Comisión Nacional de Moralización y la Estrategia Nacional de Lucha Contra la Corrupción”. </w:t>
      </w:r>
    </w:p>
    <w:p w14:paraId="5FD0A7B4" w14:textId="77777777" w:rsidR="008F3EC3" w:rsidRPr="003F20E6" w:rsidRDefault="008F3EC3" w:rsidP="008F3EC3">
      <w:pPr>
        <w:spacing w:after="120" w:line="276" w:lineRule="auto"/>
        <w:ind w:firstLine="708"/>
        <w:jc w:val="both"/>
        <w:rPr>
          <w:rFonts w:ascii="Verdana" w:eastAsia="Calibri" w:hAnsi="Verdana" w:cs="Arial"/>
          <w:bCs/>
          <w:iCs/>
          <w:lang w:eastAsia="es-ES_tradnl"/>
        </w:rPr>
      </w:pPr>
      <w:r w:rsidRPr="003F20E6">
        <w:rPr>
          <w:rFonts w:ascii="Verdana" w:eastAsia="Calibri" w:hAnsi="Verdana" w:cs="Arial"/>
          <w:bCs/>
          <w:lang w:eastAsia="es-ES_tradnl"/>
        </w:rPr>
        <w:t>El Capítulo 3°, Sección 1°, Título 4°, Parte 1°, Libro 2° del Decreto 1081 de 2015</w:t>
      </w:r>
      <w:r>
        <w:rPr>
          <w:rFonts w:ascii="Verdana" w:eastAsia="Calibri" w:hAnsi="Verdana" w:cs="Arial"/>
          <w:bCs/>
          <w:lang w:eastAsia="es-ES_tradnl"/>
        </w:rPr>
        <w:t>,</w:t>
      </w:r>
      <w:r w:rsidRPr="003F20E6">
        <w:rPr>
          <w:rFonts w:ascii="Verdana" w:eastAsia="Calibri" w:hAnsi="Verdana" w:cs="Arial"/>
          <w:bCs/>
          <w:lang w:eastAsia="es-ES_tradnl"/>
        </w:rPr>
        <w:t xml:space="preserve"> que fue modificado por el Decreto 1600 de 2024</w:t>
      </w:r>
      <w:r>
        <w:rPr>
          <w:rFonts w:ascii="Verdana" w:eastAsia="Calibri" w:hAnsi="Verdana" w:cs="Arial"/>
          <w:bCs/>
          <w:lang w:eastAsia="es-ES_tradnl"/>
        </w:rPr>
        <w:t>,</w:t>
      </w:r>
      <w:r w:rsidRPr="003F20E6">
        <w:rPr>
          <w:rFonts w:ascii="Verdana" w:eastAsia="Calibri" w:hAnsi="Verdana" w:cs="Arial"/>
          <w:bCs/>
          <w:lang w:eastAsia="es-ES_tradnl"/>
        </w:rPr>
        <w:t xml:space="preserve"> tiene como objeto: “[…] </w:t>
      </w:r>
      <w:r w:rsidRPr="003F20E6">
        <w:rPr>
          <w:rFonts w:ascii="Verdana" w:eastAsia="Calibri" w:hAnsi="Verdana" w:cs="Arial"/>
          <w:bCs/>
          <w:iCs/>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62BE8113" w14:textId="77777777" w:rsidR="008F3EC3" w:rsidRDefault="008F3EC3" w:rsidP="008F3EC3">
      <w:pPr>
        <w:spacing w:after="120" w:line="276" w:lineRule="auto"/>
        <w:ind w:firstLine="708"/>
        <w:jc w:val="both"/>
        <w:rPr>
          <w:rFonts w:ascii="Verdana" w:eastAsia="Calibri" w:hAnsi="Verdana" w:cs="Arial"/>
          <w:bCs/>
          <w:iCs/>
          <w:lang w:eastAsia="es-ES_tradnl"/>
        </w:rPr>
      </w:pPr>
      <w:r>
        <w:rPr>
          <w:rFonts w:ascii="Verdana" w:eastAsia="Calibri" w:hAnsi="Verdana" w:cs="Arial"/>
          <w:bCs/>
          <w:iCs/>
          <w:lang w:eastAsia="es-ES_tradnl"/>
        </w:rPr>
        <w:t>Ahora bien, e</w:t>
      </w:r>
      <w:r w:rsidRPr="003F20E6">
        <w:rPr>
          <w:rFonts w:ascii="Verdana" w:eastAsia="Calibri" w:hAnsi="Verdana" w:cs="Arial"/>
          <w:bCs/>
          <w:iCs/>
          <w:lang w:eastAsia="es-ES_tradnl"/>
        </w:rPr>
        <w:t>l ámbito o campo de aplicación de este capítulo está regulado en el artículo 2.1.4.3.1.2.</w:t>
      </w:r>
      <w:r w:rsidRPr="003F20E6">
        <w:rPr>
          <w:rFonts w:ascii="Verdana" w:eastAsia="Calibri" w:hAnsi="Verdana" w:cs="Arial"/>
          <w:bCs/>
          <w:iCs/>
          <w:vertAlign w:val="superscript"/>
          <w:lang w:eastAsia="es-ES_tradnl"/>
        </w:rPr>
        <w:footnoteReference w:id="13"/>
      </w:r>
      <w:r w:rsidRPr="003F20E6">
        <w:rPr>
          <w:rFonts w:ascii="Verdana" w:eastAsia="Calibri" w:hAnsi="Verdana" w:cs="Arial"/>
          <w:bCs/>
          <w:iCs/>
          <w:lang w:eastAsia="es-ES_tradnl"/>
        </w:rPr>
        <w:t xml:space="preserve"> que señala que sus reglas son para las entidades y </w:t>
      </w:r>
      <w:r w:rsidRPr="003F20E6">
        <w:rPr>
          <w:rFonts w:ascii="Verdana" w:eastAsia="Calibri" w:hAnsi="Verdana" w:cs="Arial"/>
          <w:bCs/>
          <w:iCs/>
          <w:lang w:eastAsia="es-ES_tradnl"/>
        </w:rPr>
        <w:lastRenderedPageBreak/>
        <w:t xml:space="preserve">empresas del Estado del orden nacional y pertenecientes a la Rama Ejecutiva del Poder Público. Así mismo, dispone que las empresas industriales y comerciales del Estado, </w:t>
      </w:r>
      <w:r w:rsidRPr="00FA0933">
        <w:rPr>
          <w:rFonts w:ascii="Verdana" w:eastAsia="Calibri" w:hAnsi="Verdana" w:cs="Arial"/>
          <w:bCs/>
          <w:i/>
          <w:lang w:eastAsia="es-ES_tradnl"/>
        </w:rPr>
        <w:t>las sociedades de economía mixta</w:t>
      </w:r>
      <w:r w:rsidRPr="003F20E6">
        <w:rPr>
          <w:rFonts w:ascii="Verdana" w:eastAsia="Calibri" w:hAnsi="Verdana" w:cs="Arial"/>
          <w:bCs/>
          <w:iCs/>
          <w:lang w:eastAsia="es-ES_tradnl"/>
        </w:rPr>
        <w:t xml:space="preserve"> y todas las demás instituciones sometidas a regímenes especiales de contratación deben cumplir las obligaciones del presente Capítulo en aquellos aspectos en los que deban aplicar el régimen general de contratación pública. </w:t>
      </w:r>
    </w:p>
    <w:p w14:paraId="416AAA31" w14:textId="77777777" w:rsidR="008F3EC3" w:rsidRPr="003F20E6" w:rsidRDefault="008F3EC3" w:rsidP="008F3EC3">
      <w:pPr>
        <w:spacing w:after="120" w:line="276" w:lineRule="auto"/>
        <w:ind w:firstLine="708"/>
        <w:jc w:val="both"/>
        <w:rPr>
          <w:rFonts w:ascii="Verdana" w:eastAsia="Calibri" w:hAnsi="Verdana" w:cs="Arial"/>
          <w:bCs/>
          <w:iCs/>
          <w:lang w:eastAsia="es-ES_tradnl"/>
        </w:rPr>
      </w:pPr>
      <w:r w:rsidRPr="003F20E6">
        <w:rPr>
          <w:rFonts w:ascii="Verdana" w:eastAsia="Calibri" w:hAnsi="Verdana" w:cs="Arial"/>
          <w:bCs/>
          <w:iCs/>
          <w:lang w:eastAsia="es-ES_tradnl"/>
        </w:rPr>
        <w:t>En los temas no regulados por dicho régimen, no se aplica lo dispuesto en el artículo 2.1.4.3.2.1</w:t>
      </w:r>
      <w:r w:rsidRPr="003F20E6">
        <w:rPr>
          <w:rFonts w:ascii="Verdana" w:eastAsia="Calibri" w:hAnsi="Verdana" w:cs="Arial"/>
          <w:bCs/>
          <w:iCs/>
          <w:vertAlign w:val="superscript"/>
          <w:lang w:eastAsia="es-ES_tradnl"/>
        </w:rPr>
        <w:footnoteReference w:id="14"/>
      </w:r>
      <w:r w:rsidRPr="003F20E6">
        <w:rPr>
          <w:rFonts w:ascii="Verdana" w:eastAsia="Calibri" w:hAnsi="Verdana" w:cs="Arial"/>
          <w:bCs/>
          <w:iCs/>
          <w:lang w:eastAsia="es-ES_tradnl"/>
        </w:rPr>
        <w:t xml:space="preserve">, por lo que las demás disposiciones deberán aplicarse, </w:t>
      </w:r>
      <w:r w:rsidRPr="003F20E6">
        <w:rPr>
          <w:rFonts w:ascii="Verdana" w:eastAsia="Calibri" w:hAnsi="Verdana" w:cs="Arial"/>
          <w:bCs/>
          <w:iCs/>
          <w:lang w:eastAsia="es-ES_tradnl"/>
        </w:rPr>
        <w:lastRenderedPageBreak/>
        <w:t>de acuerdo con su estructura orgánica y la normativa aplicable a su funcionamiento.</w:t>
      </w:r>
      <w:r w:rsidRPr="003F20E6">
        <w:rPr>
          <w:rFonts w:ascii="Verdana" w:eastAsia="Calibri" w:hAnsi="Verdana" w:cs="Arial"/>
          <w:bCs/>
          <w:lang w:eastAsia="es-ES_tradnl"/>
        </w:rPr>
        <w:t xml:space="preserve"> </w:t>
      </w:r>
      <w:r w:rsidRPr="003F20E6">
        <w:rPr>
          <w:rFonts w:ascii="Verdana" w:eastAsia="Calibri" w:hAnsi="Verdana" w:cs="Arial"/>
          <w:bCs/>
          <w:iCs/>
          <w:lang w:eastAsia="es-ES_tradnl"/>
        </w:rPr>
        <w:t xml:space="preserve">Con respecto a las entidades territoriales y sus entidades descentralizadas establece que en el marco de su autonomía y en cumplimiento de lo previsto en el artículo 32 de la Ley 152 de 1994, por la cual se establece la Ley Orgánica de Plan de Desarrollo, deben aplicar sus planes y políticas, las líneas de acción contenidas en el presente Capítulo, conforme a lo regulado en el artículo 200 de la Ley 2294 de 2023. </w:t>
      </w:r>
    </w:p>
    <w:p w14:paraId="340FF00B" w14:textId="77777777" w:rsidR="008F3EC3" w:rsidRPr="003F20E6" w:rsidRDefault="008F3EC3" w:rsidP="008F3EC3">
      <w:pPr>
        <w:spacing w:after="0" w:line="276" w:lineRule="auto"/>
        <w:ind w:firstLine="709"/>
        <w:jc w:val="both"/>
        <w:rPr>
          <w:rFonts w:ascii="Verdana" w:eastAsia="Calibri" w:hAnsi="Verdana" w:cs="Arial"/>
          <w:bCs/>
          <w:iCs/>
          <w:lang w:eastAsia="es-ES_tradnl"/>
        </w:rPr>
      </w:pPr>
      <w:r>
        <w:rPr>
          <w:rFonts w:ascii="Verdana" w:eastAsia="Calibri" w:hAnsi="Verdana" w:cs="Arial"/>
          <w:bCs/>
          <w:iCs/>
          <w:lang w:eastAsia="es-ES_tradnl"/>
        </w:rPr>
        <w:t>E</w:t>
      </w:r>
      <w:r w:rsidRPr="003F20E6">
        <w:rPr>
          <w:rFonts w:ascii="Verdana" w:eastAsia="Calibri" w:hAnsi="Verdana" w:cs="Arial"/>
          <w:bCs/>
          <w:iCs/>
          <w:lang w:eastAsia="es-ES_tradnl"/>
        </w:rPr>
        <w:t>ste capítulo contiene el deber de garantizar el derecho de acceso a la información en las entidades públicas como presupuesto para el ejercicio de los derechos fundamentales, regulado en el artículo 2.1.4.3.2.2. del Decreto 1081 de 2015, cuyo tenor literal prescribe:</w:t>
      </w:r>
    </w:p>
    <w:p w14:paraId="6278B275" w14:textId="77777777" w:rsidR="008F3EC3" w:rsidRPr="003F20E6" w:rsidRDefault="008F3EC3" w:rsidP="008F3EC3">
      <w:pPr>
        <w:spacing w:after="0" w:line="276" w:lineRule="auto"/>
        <w:ind w:firstLine="709"/>
        <w:jc w:val="both"/>
        <w:rPr>
          <w:rFonts w:ascii="Verdana" w:eastAsia="Calibri" w:hAnsi="Verdana" w:cs="Arial"/>
          <w:bCs/>
          <w:iCs/>
          <w:lang w:eastAsia="es-ES_tradnl"/>
        </w:rPr>
      </w:pPr>
      <w:r w:rsidRPr="003F20E6">
        <w:rPr>
          <w:rFonts w:ascii="Verdana" w:eastAsia="Calibri" w:hAnsi="Verdana" w:cs="Arial"/>
          <w:bCs/>
          <w:iCs/>
          <w:lang w:eastAsia="es-ES_tradnl"/>
        </w:rPr>
        <w:t xml:space="preserve"> </w:t>
      </w:r>
    </w:p>
    <w:p w14:paraId="4B6311E3" w14:textId="77777777" w:rsidR="008F3EC3" w:rsidRPr="00FF76E8" w:rsidRDefault="008F3EC3" w:rsidP="008F3EC3">
      <w:pPr>
        <w:spacing w:after="0" w:line="240" w:lineRule="auto"/>
        <w:ind w:left="709" w:right="709"/>
        <w:jc w:val="both"/>
        <w:rPr>
          <w:rFonts w:ascii="Verdana" w:eastAsia="Calibri" w:hAnsi="Verdana" w:cs="Arial"/>
          <w:bCs/>
          <w:sz w:val="20"/>
          <w:szCs w:val="20"/>
          <w:lang w:eastAsia="es-ES_tradnl"/>
        </w:rPr>
      </w:pPr>
      <w:r w:rsidRPr="00FF76E8">
        <w:rPr>
          <w:rFonts w:ascii="Verdana" w:eastAsia="Calibri" w:hAnsi="Verdana" w:cs="Arial"/>
          <w:bCs/>
          <w:iCs/>
          <w:sz w:val="20"/>
          <w:szCs w:val="20"/>
          <w:lang w:eastAsia="es-ES_tradnl"/>
        </w:rPr>
        <w:t>“Artículo 2.1.4.3.2.2. Garantía de acceso a la información en las entidades públicas, como presupuesto para el ejercicio de derechos fundamentales. Sin perjuicio de sus obligaciones en materia de garantías de acceso a la información pública, los sujetos obligados deberán publicar en la sede electrónica o página web: </w:t>
      </w:r>
      <w:r w:rsidRPr="00FF76E8">
        <w:rPr>
          <w:rFonts w:ascii="Verdana" w:eastAsia="Calibri" w:hAnsi="Verdana" w:cs="Arial"/>
          <w:bCs/>
          <w:sz w:val="20"/>
          <w:szCs w:val="20"/>
          <w:lang w:eastAsia="es-ES_tradnl"/>
        </w:rPr>
        <w:t> </w:t>
      </w:r>
    </w:p>
    <w:p w14:paraId="32B21412" w14:textId="77777777" w:rsidR="008F3EC3" w:rsidRPr="00FF76E8" w:rsidRDefault="008F3EC3" w:rsidP="008F3EC3">
      <w:pPr>
        <w:spacing w:after="0" w:line="240" w:lineRule="auto"/>
        <w:ind w:left="709" w:right="709"/>
        <w:jc w:val="both"/>
        <w:rPr>
          <w:rFonts w:ascii="Verdana" w:eastAsia="Calibri" w:hAnsi="Verdana" w:cs="Arial"/>
          <w:bCs/>
          <w:sz w:val="20"/>
          <w:szCs w:val="20"/>
          <w:lang w:eastAsia="es-ES_tradnl"/>
        </w:rPr>
      </w:pPr>
    </w:p>
    <w:p w14:paraId="74B8D1E0" w14:textId="77777777" w:rsidR="008F3EC3" w:rsidRPr="00FF76E8" w:rsidRDefault="008F3EC3" w:rsidP="008F3EC3">
      <w:pPr>
        <w:spacing w:after="0" w:line="240" w:lineRule="auto"/>
        <w:ind w:left="709" w:right="709"/>
        <w:jc w:val="both"/>
        <w:rPr>
          <w:rFonts w:ascii="Verdana" w:eastAsia="Calibri" w:hAnsi="Verdana" w:cs="Arial"/>
          <w:bCs/>
          <w:sz w:val="20"/>
          <w:szCs w:val="20"/>
          <w:lang w:eastAsia="es-ES_tradnl"/>
        </w:rPr>
      </w:pPr>
      <w:r w:rsidRPr="00FF76E8">
        <w:rPr>
          <w:rFonts w:ascii="Verdana" w:eastAsia="Calibri" w:hAnsi="Verdana" w:cs="Arial"/>
          <w:bCs/>
          <w:iCs/>
          <w:sz w:val="20"/>
          <w:szCs w:val="20"/>
          <w:lang w:eastAsia="es-ES_tradnl"/>
        </w:rPr>
        <w:t>a) Información detallada de todas las auditorías que realicen, incluyendo los resultados, hallazgos y seguimiento a las acciones de mejora; </w:t>
      </w:r>
      <w:r w:rsidRPr="00FF76E8">
        <w:rPr>
          <w:rFonts w:ascii="Verdana" w:eastAsia="Calibri" w:hAnsi="Verdana" w:cs="Arial"/>
          <w:bCs/>
          <w:sz w:val="20"/>
          <w:szCs w:val="20"/>
          <w:lang w:eastAsia="es-ES_tradnl"/>
        </w:rPr>
        <w:t> </w:t>
      </w:r>
    </w:p>
    <w:p w14:paraId="71586852" w14:textId="77777777" w:rsidR="008F3EC3" w:rsidRPr="00FF76E8" w:rsidRDefault="008F3EC3" w:rsidP="008F3EC3">
      <w:pPr>
        <w:spacing w:after="0" w:line="240" w:lineRule="auto"/>
        <w:ind w:left="709" w:right="709"/>
        <w:jc w:val="both"/>
        <w:rPr>
          <w:rFonts w:ascii="Verdana" w:eastAsia="Calibri" w:hAnsi="Verdana" w:cs="Arial"/>
          <w:bCs/>
          <w:i/>
          <w:iCs/>
          <w:sz w:val="20"/>
          <w:szCs w:val="20"/>
          <w:lang w:eastAsia="es-ES_tradnl"/>
        </w:rPr>
      </w:pPr>
    </w:p>
    <w:p w14:paraId="67A70BFF" w14:textId="77777777" w:rsidR="008F3EC3" w:rsidRPr="00FF76E8" w:rsidRDefault="008F3EC3" w:rsidP="008F3EC3">
      <w:pPr>
        <w:spacing w:after="0" w:line="240" w:lineRule="auto"/>
        <w:ind w:left="709" w:right="709"/>
        <w:jc w:val="both"/>
        <w:rPr>
          <w:rFonts w:ascii="Verdana" w:eastAsia="Calibri" w:hAnsi="Verdana" w:cs="Arial"/>
          <w:bCs/>
          <w:i/>
          <w:sz w:val="20"/>
          <w:szCs w:val="20"/>
          <w:lang w:eastAsia="es-ES_tradnl"/>
        </w:rPr>
      </w:pPr>
      <w:r w:rsidRPr="00FF76E8">
        <w:rPr>
          <w:rFonts w:ascii="Verdana" w:eastAsia="Calibri" w:hAnsi="Verdana" w:cs="Arial"/>
          <w:bCs/>
          <w:i/>
          <w:iCs/>
          <w:sz w:val="20"/>
          <w:szCs w:val="20"/>
          <w:lang w:eastAsia="es-ES_tradnl"/>
        </w:rPr>
        <w:t>b) Información detallada de los contratos que suscriban, incluyendo, como mínimo: valor del contrato, objeto contractual, identidad del contratista seleccionado; así como el enlace directo al proceso en el Sistema Electrónico de Contratación Pública (SECOP). 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p>
    <w:p w14:paraId="0E84195F" w14:textId="77777777" w:rsidR="008F3EC3" w:rsidRPr="00FF76E8" w:rsidRDefault="008F3EC3" w:rsidP="008F3EC3">
      <w:pPr>
        <w:spacing w:after="0" w:line="240" w:lineRule="auto"/>
        <w:ind w:left="709" w:right="709"/>
        <w:jc w:val="both"/>
        <w:rPr>
          <w:rFonts w:ascii="Verdana" w:eastAsia="Calibri" w:hAnsi="Verdana" w:cs="Arial"/>
          <w:bCs/>
          <w:iCs/>
          <w:sz w:val="20"/>
          <w:szCs w:val="20"/>
          <w:lang w:eastAsia="es-ES_tradnl"/>
        </w:rPr>
      </w:pPr>
    </w:p>
    <w:p w14:paraId="7CCDFBEB" w14:textId="77777777" w:rsidR="008F3EC3" w:rsidRPr="00FF76E8" w:rsidRDefault="008F3EC3" w:rsidP="008F3EC3">
      <w:pPr>
        <w:spacing w:after="0" w:line="240" w:lineRule="auto"/>
        <w:ind w:left="709" w:right="709"/>
        <w:jc w:val="both"/>
        <w:rPr>
          <w:rFonts w:ascii="Verdana" w:eastAsia="Calibri" w:hAnsi="Verdana" w:cs="Arial"/>
          <w:bCs/>
          <w:sz w:val="20"/>
          <w:szCs w:val="20"/>
          <w:lang w:eastAsia="es-ES_tradnl"/>
        </w:rPr>
      </w:pPr>
      <w:r w:rsidRPr="00FF76E8">
        <w:rPr>
          <w:rFonts w:ascii="Verdana" w:eastAsia="Calibri" w:hAnsi="Verdana" w:cs="Arial"/>
          <w:bCs/>
          <w:iCs/>
          <w:sz w:val="20"/>
          <w:szCs w:val="20"/>
          <w:lang w:eastAsia="es-ES_tradnl"/>
        </w:rPr>
        <w:t xml:space="preserve">La Secretaría de Transparencia de la Presidencia de la República realizará un seguimiento anual, con actualizaciones periódicas y un escalafón de entidades, para medir la garantía de acceso a la información, verificando: la existencia de la información; la publicación gratuita, y oportuna, </w:t>
      </w:r>
      <w:r w:rsidRPr="00FF76E8">
        <w:rPr>
          <w:rFonts w:ascii="Verdana" w:eastAsia="Calibri" w:hAnsi="Verdana" w:cs="Arial"/>
          <w:bCs/>
          <w:iCs/>
          <w:sz w:val="20"/>
          <w:szCs w:val="20"/>
          <w:lang w:eastAsia="es-ES_tradnl"/>
        </w:rPr>
        <w:lastRenderedPageBreak/>
        <w:t>teniendo en cuenta tiempos de rezago; que la información sea objetiva, veraz, que esté completa y sea reutilizable, procesable y accesible. </w:t>
      </w:r>
      <w:r w:rsidRPr="00FF76E8">
        <w:rPr>
          <w:rFonts w:ascii="Verdana" w:eastAsia="Calibri" w:hAnsi="Verdana" w:cs="Arial"/>
          <w:bCs/>
          <w:sz w:val="20"/>
          <w:szCs w:val="20"/>
          <w:lang w:eastAsia="es-ES_tradnl"/>
        </w:rPr>
        <w:t> </w:t>
      </w:r>
    </w:p>
    <w:p w14:paraId="05465F3C" w14:textId="77777777" w:rsidR="008F3EC3" w:rsidRPr="00FF76E8" w:rsidRDefault="008F3EC3" w:rsidP="008F3EC3">
      <w:pPr>
        <w:spacing w:after="0" w:line="240" w:lineRule="auto"/>
        <w:ind w:left="709" w:right="709"/>
        <w:jc w:val="both"/>
        <w:rPr>
          <w:rFonts w:ascii="Verdana" w:eastAsia="Calibri" w:hAnsi="Verdana" w:cs="Arial"/>
          <w:bCs/>
          <w:iCs/>
          <w:sz w:val="20"/>
          <w:szCs w:val="20"/>
          <w:lang w:eastAsia="es-ES_tradnl"/>
        </w:rPr>
      </w:pPr>
    </w:p>
    <w:p w14:paraId="77C033D2" w14:textId="77777777" w:rsidR="008F3EC3" w:rsidRPr="00FF76E8" w:rsidRDefault="008F3EC3" w:rsidP="008F3EC3">
      <w:pPr>
        <w:spacing w:after="0" w:line="240" w:lineRule="auto"/>
        <w:ind w:left="709" w:right="709"/>
        <w:jc w:val="both"/>
        <w:rPr>
          <w:rFonts w:ascii="Verdana" w:eastAsia="Calibri" w:hAnsi="Verdana" w:cs="Arial"/>
          <w:bCs/>
          <w:sz w:val="20"/>
          <w:szCs w:val="20"/>
          <w:lang w:eastAsia="es-ES_tradnl"/>
        </w:rPr>
      </w:pPr>
      <w:r w:rsidRPr="00FF76E8">
        <w:rPr>
          <w:rFonts w:ascii="Verdana" w:eastAsia="Calibri" w:hAnsi="Verdana" w:cs="Arial"/>
          <w:bCs/>
          <w:iCs/>
          <w:sz w:val="20"/>
          <w:szCs w:val="20"/>
          <w:lang w:eastAsia="es-ES_tradnl"/>
        </w:rPr>
        <w:t xml:space="preserve">Parágrafo. Los sujetos obligados deberán incluir en el Índice de Información Reservada y Clasificada todos aquellos actos o contratos a los que asignen tales categorías, incluyendo su individualización, su denominación y el motivo por el cual consideran que se puede negar el acceso” (Énfasis fuera de texto). </w:t>
      </w:r>
    </w:p>
    <w:p w14:paraId="2390F3E1" w14:textId="77777777" w:rsidR="008F3EC3" w:rsidRPr="00FF76E8" w:rsidRDefault="008F3EC3" w:rsidP="008F3EC3">
      <w:pPr>
        <w:spacing w:after="0" w:line="240" w:lineRule="auto"/>
        <w:jc w:val="both"/>
        <w:rPr>
          <w:rFonts w:ascii="Verdana" w:eastAsia="Calibri" w:hAnsi="Verdana" w:cs="Arial"/>
          <w:bCs/>
          <w:sz w:val="20"/>
          <w:szCs w:val="20"/>
          <w:lang w:eastAsia="es-ES_tradnl"/>
        </w:rPr>
      </w:pPr>
    </w:p>
    <w:p w14:paraId="0AE8CA7F" w14:textId="77777777" w:rsidR="008F3EC3" w:rsidRPr="00B7424B" w:rsidRDefault="008F3EC3" w:rsidP="008F3EC3">
      <w:pPr>
        <w:spacing w:after="120" w:line="276" w:lineRule="auto"/>
        <w:ind w:firstLine="709"/>
        <w:jc w:val="both"/>
        <w:rPr>
          <w:rFonts w:ascii="Verdana" w:eastAsia="Calibri" w:hAnsi="Verdana" w:cs="Arial"/>
          <w:bCs/>
          <w:iCs/>
          <w:lang w:eastAsia="es-ES_tradnl"/>
        </w:rPr>
      </w:pPr>
      <w:r w:rsidRPr="00B7424B">
        <w:rPr>
          <w:rFonts w:ascii="Verdana" w:eastAsia="Calibri" w:hAnsi="Verdana" w:cs="Arial"/>
          <w:bCs/>
          <w:lang w:eastAsia="es-ES_tradnl"/>
        </w:rPr>
        <w:t xml:space="preserve">A partir del artículo precitado se resalta que su primer inciso alude al deber de publicación en la página web de los sujetos obligados por dicho Decreto, el cual contiene dos literales: en el literal a) se establece el deber de publicar por parte de las entidades de </w:t>
      </w:r>
      <w:r w:rsidRPr="00B7424B">
        <w:rPr>
          <w:rFonts w:ascii="Verdana" w:eastAsia="Calibri" w:hAnsi="Verdana" w:cs="Arial"/>
          <w:bCs/>
          <w:iCs/>
          <w:lang w:eastAsia="es-ES_tradnl"/>
        </w:rPr>
        <w:t>todas las auditorías que le realicen, en la que se incluyan los resultados, hallazgos y seguimiento a las acciones de mejora; en el literal b se establece dos subreglas. La primera está contenida en un primer aparte que dispone: “</w:t>
      </w:r>
      <w:r w:rsidRPr="00B7424B">
        <w:rPr>
          <w:rFonts w:ascii="Verdana" w:eastAsia="Calibri" w:hAnsi="Verdana" w:cs="Arial"/>
          <w:bCs/>
          <w:i/>
          <w:iCs/>
          <w:lang w:eastAsia="es-ES_tradnl"/>
        </w:rPr>
        <w:t>Información detallada de los contratos que suscriban, incluyendo, como mínimo: valor del contrato, objeto contractual, identidad del contratista seleccionado; así como el enlace directo al proceso en el Sistema Electrónico de Contratación Pública (SECOP)”, lo cual implica el</w:t>
      </w:r>
      <w:r w:rsidRPr="00B7424B">
        <w:rPr>
          <w:rFonts w:ascii="Verdana" w:eastAsia="Calibri" w:hAnsi="Verdana" w:cs="Arial"/>
          <w:bCs/>
          <w:iCs/>
          <w:lang w:eastAsia="es-ES_tradnl"/>
        </w:rPr>
        <w:t xml:space="preserve"> mandato de publicar en página web por parte de los sujetos obligados de la información detallada de los contratos celebrados, incluyendo su valor, objeto, identidad del contratista seleccionado, así como el enlace en el SECOP. </w:t>
      </w:r>
    </w:p>
    <w:p w14:paraId="1FAD0FC1" w14:textId="77777777" w:rsidR="008F3EC3" w:rsidRPr="00B7424B" w:rsidRDefault="008F3EC3" w:rsidP="008F3EC3">
      <w:pPr>
        <w:spacing w:after="120" w:line="276" w:lineRule="auto"/>
        <w:ind w:firstLine="709"/>
        <w:jc w:val="both"/>
        <w:rPr>
          <w:rFonts w:ascii="Verdana" w:eastAsia="Calibri" w:hAnsi="Verdana" w:cs="Arial"/>
          <w:bCs/>
          <w:lang w:eastAsia="es-ES_tradnl"/>
        </w:rPr>
      </w:pPr>
      <w:r w:rsidRPr="00B7424B">
        <w:rPr>
          <w:rFonts w:ascii="Verdana" w:eastAsia="Calibri" w:hAnsi="Verdana" w:cs="Arial"/>
          <w:bCs/>
          <w:iCs/>
          <w:lang w:eastAsia="es-ES_tradnl"/>
        </w:rPr>
        <w:t>Una segunda subregla que prescribe</w:t>
      </w:r>
      <w:r w:rsidRPr="00B7424B">
        <w:rPr>
          <w:rFonts w:ascii="Verdana" w:eastAsia="Calibri" w:hAnsi="Verdana" w:cs="Arial"/>
          <w:bCs/>
          <w:lang w:eastAsia="es-ES_tradnl"/>
        </w:rPr>
        <w:t xml:space="preserve">: </w:t>
      </w:r>
      <w:r w:rsidRPr="00B7424B">
        <w:rPr>
          <w:rFonts w:ascii="Verdana" w:eastAsia="Calibri" w:hAnsi="Verdana" w:cs="Arial"/>
          <w:bCs/>
          <w:i/>
          <w:lang w:eastAsia="es-ES_tradnl"/>
        </w:rPr>
        <w:t>“</w:t>
      </w:r>
      <w:r w:rsidRPr="00B7424B">
        <w:rPr>
          <w:rFonts w:ascii="Verdana" w:eastAsia="Calibri" w:hAnsi="Verdana" w:cs="Arial"/>
          <w:bCs/>
          <w:i/>
          <w:iCs/>
          <w:lang w:eastAsia="es-ES_tradnl"/>
        </w:rPr>
        <w:t>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r w:rsidRPr="00B7424B">
        <w:rPr>
          <w:rFonts w:ascii="Verdana" w:eastAsia="Calibri" w:hAnsi="Verdana" w:cs="Arial"/>
          <w:bCs/>
          <w:lang w:eastAsia="es-ES_tradnl"/>
        </w:rPr>
        <w:t xml:space="preserve"> Esta subregla </w:t>
      </w:r>
      <w:r w:rsidRPr="00B7424B">
        <w:rPr>
          <w:rFonts w:ascii="Verdana" w:eastAsia="Calibri" w:hAnsi="Verdana" w:cs="Arial"/>
          <w:bCs/>
          <w:iCs/>
          <w:lang w:eastAsia="es-ES_tradnl"/>
        </w:rPr>
        <w:t>prescribe el deber de publicar la información de ejecución del contrato, es decir, los informes de supervisión e interventoría, actas de liquidación, requerimientos, entre otros. Ahora bien, dicho literal también establece que esta información debe publicarse dentro de los diez (10) días siguientes a la ocurrencia del hecho,</w:t>
      </w:r>
      <w:r>
        <w:rPr>
          <w:rFonts w:ascii="Verdana" w:eastAsia="Calibri" w:hAnsi="Verdana" w:cs="Arial"/>
          <w:bCs/>
          <w:iCs/>
          <w:lang w:eastAsia="es-ES_tradnl"/>
        </w:rPr>
        <w:t xml:space="preserve"> esto es, desde la generación del documento definitivo,</w:t>
      </w:r>
      <w:r w:rsidRPr="00B7424B">
        <w:rPr>
          <w:rFonts w:ascii="Verdana" w:eastAsia="Calibri" w:hAnsi="Verdana" w:cs="Arial"/>
          <w:bCs/>
          <w:iCs/>
          <w:lang w:eastAsia="es-ES_tradnl"/>
        </w:rPr>
        <w:t xml:space="preserve"> y en ningún caso puede haber retraso para el cumplimiento de este término, esto es, establece un límite máximo de publicación para los documentos de ejecución del contrato. </w:t>
      </w:r>
    </w:p>
    <w:p w14:paraId="4D4219A2" w14:textId="77777777" w:rsidR="008F3EC3" w:rsidRPr="00B7424B" w:rsidRDefault="008F3EC3" w:rsidP="008F3EC3">
      <w:pPr>
        <w:spacing w:after="120" w:line="276" w:lineRule="auto"/>
        <w:ind w:firstLine="708"/>
        <w:jc w:val="both"/>
        <w:rPr>
          <w:rFonts w:ascii="Verdana" w:eastAsia="Calibri" w:hAnsi="Verdana" w:cs="Arial"/>
          <w:bCs/>
          <w:iCs/>
          <w:lang w:val="es-ES_tradnl" w:eastAsia="es-ES_tradnl"/>
        </w:rPr>
      </w:pPr>
      <w:r w:rsidRPr="00B7424B">
        <w:rPr>
          <w:rFonts w:ascii="Verdana" w:eastAsia="Calibri" w:hAnsi="Verdana" w:cs="Arial"/>
          <w:bCs/>
          <w:iCs/>
          <w:lang w:eastAsia="es-ES_tradnl"/>
        </w:rPr>
        <w:t xml:space="preserve">No obstante, este artículo parece contradecirse, en un principio, con lo dispuesto en el artículo 2.2.1.1.1.7.1. del Decreto 1082 de 2015 que establece que la Entidad Estatal está obligada a publicar en el SECOP los Documentos del </w:t>
      </w:r>
      <w:r w:rsidRPr="00B7424B">
        <w:rPr>
          <w:rFonts w:ascii="Verdana" w:eastAsia="Calibri" w:hAnsi="Verdana" w:cs="Arial"/>
          <w:bCs/>
          <w:iCs/>
          <w:lang w:eastAsia="es-ES_tradnl"/>
        </w:rPr>
        <w:lastRenderedPageBreak/>
        <w:t xml:space="preserve">Proceso y los actos administrativos del Proceso de Contratación, dentro de los tres (3) días siguientes a su expedición, además, dispone que la oferta que debe publicarse es la del adjudicatario del Proceso de Contratación, y que los documentos de las operaciones que se realicen en bolsa de productos no tienen que publicarse en el SECOP. En este escenario, parece en un principio, un </w:t>
      </w:r>
      <w:r w:rsidRPr="00B7424B">
        <w:rPr>
          <w:rFonts w:ascii="Verdana" w:eastAsia="Calibri" w:hAnsi="Verdana" w:cs="Arial"/>
          <w:bCs/>
          <w:iCs/>
          <w:lang w:val="es-ES_tradnl" w:eastAsia="es-ES_tradnl"/>
        </w:rPr>
        <w:t xml:space="preserve">conflicto entre la </w:t>
      </w:r>
      <w:r w:rsidRPr="00B7424B">
        <w:rPr>
          <w:rFonts w:ascii="Verdana" w:eastAsia="Calibri" w:hAnsi="Verdana" w:cs="Arial"/>
          <w:bCs/>
          <w:i/>
          <w:iCs/>
          <w:lang w:val="es-ES_tradnl" w:eastAsia="es-ES_tradnl"/>
        </w:rPr>
        <w:t>regla general dispuesta en el Decreto 1082 de 2015</w:t>
      </w:r>
      <w:r w:rsidRPr="00B7424B">
        <w:rPr>
          <w:rFonts w:ascii="Verdana" w:eastAsia="Calibri" w:hAnsi="Verdana" w:cs="Arial"/>
          <w:bCs/>
          <w:iCs/>
          <w:lang w:val="es-ES_tradnl" w:eastAsia="es-ES_tradnl"/>
        </w:rPr>
        <w:t xml:space="preserve"> y la </w:t>
      </w:r>
      <w:r w:rsidRPr="00B7424B">
        <w:rPr>
          <w:rFonts w:ascii="Verdana" w:eastAsia="Calibri" w:hAnsi="Verdana" w:cs="Arial"/>
          <w:bCs/>
          <w:i/>
          <w:iCs/>
          <w:lang w:val="es-ES_tradnl" w:eastAsia="es-ES_tradnl"/>
        </w:rPr>
        <w:t>regla especial que dispone un término máximo para publicar la información para entidades del orden nacional</w:t>
      </w:r>
      <w:r w:rsidRPr="00B7424B">
        <w:rPr>
          <w:rFonts w:ascii="Verdana" w:eastAsia="Calibri" w:hAnsi="Verdana" w:cs="Arial"/>
          <w:bCs/>
          <w:iCs/>
          <w:lang w:val="es-ES_tradnl" w:eastAsia="es-ES_tradnl"/>
        </w:rPr>
        <w:t xml:space="preserve">, siendo necesario acudir al problema con fundamento en el artículo 5.1 de la Ley 57 de 1887. Según esta norma, “[…] Si en los Códigos que se adoptan se hallaren algunas disposiciones incompatibles entre sí […] </w:t>
      </w:r>
      <w:r w:rsidRPr="00B7424B">
        <w:rPr>
          <w:rFonts w:ascii="Verdana" w:eastAsia="Calibri" w:hAnsi="Verdana" w:cs="Arial"/>
          <w:bCs/>
          <w:i/>
          <w:iCs/>
          <w:lang w:val="es-ES_tradnl" w:eastAsia="es-ES_tradnl"/>
        </w:rPr>
        <w:t>La disposición relativa a un asunto especial prefiere a la que tenga carácter general</w:t>
      </w:r>
      <w:r w:rsidRPr="00B7424B">
        <w:rPr>
          <w:rFonts w:ascii="Verdana" w:eastAsia="Calibri" w:hAnsi="Verdana" w:cs="Arial"/>
          <w:bCs/>
          <w:iCs/>
          <w:lang w:val="es-ES_tradnl" w:eastAsia="es-ES_tradnl"/>
        </w:rPr>
        <w:t xml:space="preserve"> […]” (Énfasis fuera de texto). </w:t>
      </w:r>
    </w:p>
    <w:p w14:paraId="7BDE305E" w14:textId="77777777" w:rsidR="008F3EC3" w:rsidRPr="00B7424B" w:rsidRDefault="008F3EC3" w:rsidP="008F3EC3">
      <w:pPr>
        <w:spacing w:after="120" w:line="276" w:lineRule="auto"/>
        <w:ind w:firstLine="709"/>
        <w:jc w:val="both"/>
        <w:rPr>
          <w:rFonts w:ascii="Verdana" w:eastAsia="Calibri" w:hAnsi="Verdana" w:cs="Arial"/>
          <w:bCs/>
          <w:iCs/>
          <w:lang w:eastAsia="es-ES_tradnl"/>
        </w:rPr>
      </w:pPr>
      <w:r w:rsidRPr="00B7424B">
        <w:rPr>
          <w:rFonts w:ascii="Verdana" w:eastAsia="Calibri" w:hAnsi="Verdana" w:cs="Arial"/>
          <w:bCs/>
          <w:iCs/>
          <w:lang w:val="es-ES_tradnl" w:eastAsia="es-ES_tradnl"/>
        </w:rPr>
        <w:t xml:space="preserve">Por tanto, </w:t>
      </w:r>
      <w:r>
        <w:rPr>
          <w:rFonts w:ascii="Verdana" w:eastAsia="Calibri" w:hAnsi="Verdana" w:cs="Arial"/>
          <w:bCs/>
          <w:iCs/>
          <w:lang w:val="es-ES_tradnl" w:eastAsia="es-ES_tradnl"/>
        </w:rPr>
        <w:t>L</w:t>
      </w:r>
      <w:r w:rsidRPr="00B7424B">
        <w:rPr>
          <w:rFonts w:ascii="Verdana" w:eastAsia="Calibri" w:hAnsi="Verdana" w:cs="Arial"/>
          <w:bCs/>
          <w:iCs/>
          <w:lang w:val="es-ES_tradnl" w:eastAsia="es-ES_tradnl"/>
        </w:rPr>
        <w:t xml:space="preserve">a regla dispuesta en el </w:t>
      </w:r>
      <w:r w:rsidRPr="00B7424B">
        <w:rPr>
          <w:rFonts w:ascii="Verdana" w:eastAsia="Calibri" w:hAnsi="Verdana" w:cs="Arial"/>
          <w:bCs/>
          <w:iCs/>
          <w:lang w:eastAsia="es-ES_tradnl"/>
        </w:rPr>
        <w:t xml:space="preserve">artículo 2.1.4.3.2.2 del Decreto 1081 de 2015 </w:t>
      </w:r>
      <w:r w:rsidRPr="00B7424B">
        <w:rPr>
          <w:rFonts w:ascii="Verdana" w:eastAsia="Calibri" w:hAnsi="Verdana" w:cs="Arial"/>
          <w:bCs/>
          <w:iCs/>
          <w:lang w:val="es-ES_tradnl" w:eastAsia="es-ES_tradnl"/>
        </w:rPr>
        <w:t>–</w:t>
      </w:r>
      <w:r w:rsidRPr="00B7424B">
        <w:rPr>
          <w:rFonts w:ascii="Verdana" w:eastAsia="Calibri" w:hAnsi="Verdana" w:cs="Arial"/>
          <w:bCs/>
          <w:i/>
          <w:iCs/>
          <w:lang w:val="es-ES_tradnl" w:eastAsia="es-ES_tradnl"/>
        </w:rPr>
        <w:t>regla especial</w:t>
      </w:r>
      <w:r w:rsidRPr="00B7424B">
        <w:rPr>
          <w:rFonts w:ascii="Verdana" w:eastAsia="Calibri" w:hAnsi="Verdana" w:cs="Arial"/>
          <w:bCs/>
          <w:iCs/>
          <w:lang w:val="es-ES_tradnl" w:eastAsia="es-ES_tradnl"/>
        </w:rPr>
        <w:t xml:space="preserve">– </w:t>
      </w:r>
      <w:r>
        <w:rPr>
          <w:rFonts w:ascii="Verdana" w:eastAsia="Calibri" w:hAnsi="Verdana" w:cs="Arial"/>
          <w:bCs/>
          <w:iCs/>
          <w:lang w:val="es-ES_tradnl" w:eastAsia="es-ES_tradnl"/>
        </w:rPr>
        <w:t xml:space="preserve">modificada por el Decreto 1600 de 2024 </w:t>
      </w:r>
      <w:r w:rsidRPr="00B7424B">
        <w:rPr>
          <w:rFonts w:ascii="Verdana" w:eastAsia="Calibri" w:hAnsi="Verdana" w:cs="Arial"/>
          <w:bCs/>
          <w:iCs/>
          <w:lang w:val="es-ES_tradnl" w:eastAsia="es-ES_tradnl"/>
        </w:rPr>
        <w:t xml:space="preserve">debe tenerse en cuenta sobre el entendimiento y aplicación del artículo </w:t>
      </w:r>
      <w:r w:rsidRPr="00B7424B">
        <w:rPr>
          <w:rFonts w:ascii="Verdana" w:eastAsia="Calibri" w:hAnsi="Verdana" w:cs="Arial"/>
          <w:bCs/>
          <w:iCs/>
          <w:lang w:eastAsia="es-ES_tradnl"/>
        </w:rPr>
        <w:t>2.2.1.1.1.7.1. del Decreto 1082 de 2015</w:t>
      </w:r>
      <w:r w:rsidRPr="00B7424B">
        <w:rPr>
          <w:rFonts w:ascii="Verdana" w:eastAsia="Calibri" w:hAnsi="Verdana" w:cs="Arial"/>
          <w:bCs/>
          <w:iCs/>
          <w:lang w:val="es-ES_tradnl" w:eastAsia="es-ES_tradnl"/>
        </w:rPr>
        <w:t xml:space="preserve"> –</w:t>
      </w:r>
      <w:r w:rsidRPr="00B7424B">
        <w:rPr>
          <w:rFonts w:ascii="Verdana" w:eastAsia="Calibri" w:hAnsi="Verdana" w:cs="Arial"/>
          <w:bCs/>
          <w:i/>
          <w:iCs/>
          <w:lang w:val="es-ES_tradnl" w:eastAsia="es-ES_tradnl"/>
        </w:rPr>
        <w:t>regla general</w:t>
      </w:r>
      <w:r w:rsidRPr="00B7424B">
        <w:rPr>
          <w:rFonts w:ascii="Verdana" w:eastAsia="Calibri" w:hAnsi="Verdana" w:cs="Arial"/>
          <w:bCs/>
          <w:iCs/>
          <w:lang w:val="es-ES_tradnl" w:eastAsia="es-ES_tradnl"/>
        </w:rPr>
        <w:t xml:space="preserve">–, esto es, deben interpretarse armónicamente. Esto no significa que la </w:t>
      </w:r>
      <w:r w:rsidRPr="00B7424B">
        <w:rPr>
          <w:rFonts w:ascii="Verdana" w:eastAsia="Calibri" w:hAnsi="Verdana" w:cs="Arial"/>
          <w:bCs/>
          <w:i/>
          <w:iCs/>
          <w:lang w:val="es-ES_tradnl" w:eastAsia="es-ES_tradnl"/>
        </w:rPr>
        <w:t>regla general</w:t>
      </w:r>
      <w:r w:rsidRPr="00B7424B">
        <w:rPr>
          <w:rFonts w:ascii="Verdana" w:eastAsia="Calibri" w:hAnsi="Verdana" w:cs="Arial"/>
          <w:bCs/>
          <w:iCs/>
          <w:lang w:val="es-ES_tradnl" w:eastAsia="es-ES_tradnl"/>
        </w:rPr>
        <w:t xml:space="preserve"> desaparezca del ordenamiento jurídico; todo lo contrario, esta aplica en todos los supuestos que regula, y se interpreta de forma integral con los supuestos previstos en la </w:t>
      </w:r>
      <w:r w:rsidRPr="00B7424B">
        <w:rPr>
          <w:rFonts w:ascii="Verdana" w:eastAsia="Calibri" w:hAnsi="Verdana" w:cs="Arial"/>
          <w:bCs/>
          <w:i/>
          <w:iCs/>
          <w:lang w:val="es-ES_tradnl" w:eastAsia="es-ES_tradnl"/>
        </w:rPr>
        <w:t>regla especial</w:t>
      </w:r>
      <w:r w:rsidRPr="00B7424B">
        <w:rPr>
          <w:rFonts w:ascii="Verdana" w:eastAsia="Calibri" w:hAnsi="Verdana" w:cs="Arial"/>
          <w:bCs/>
          <w:iCs/>
          <w:lang w:val="es-ES_tradnl" w:eastAsia="es-ES_tradnl"/>
        </w:rPr>
        <w:t xml:space="preserve">. De esta manera, el término de diez (10) días es un plazo máximo para las entidades y </w:t>
      </w:r>
      <w:r w:rsidRPr="00B7424B">
        <w:rPr>
          <w:rFonts w:ascii="Verdana" w:eastAsia="Calibri" w:hAnsi="Verdana" w:cs="Arial"/>
          <w:bCs/>
          <w:i/>
          <w:iCs/>
          <w:lang w:eastAsia="es-ES_tradnl"/>
        </w:rPr>
        <w:t xml:space="preserve">empresas del Estado </w:t>
      </w:r>
      <w:r w:rsidRPr="00B7424B">
        <w:rPr>
          <w:rFonts w:ascii="Verdana" w:eastAsia="Calibri" w:hAnsi="Verdana" w:cs="Arial"/>
          <w:bCs/>
          <w:iCs/>
          <w:lang w:eastAsia="es-ES_tradnl"/>
        </w:rPr>
        <w:t>del orden nacional y pertenecientes a la Rama Ejecutiva del Poder Público para publicar en SECOP, en todo caso</w:t>
      </w:r>
      <w:r>
        <w:rPr>
          <w:rFonts w:ascii="Verdana" w:eastAsia="Calibri" w:hAnsi="Verdana" w:cs="Arial"/>
          <w:bCs/>
          <w:iCs/>
          <w:lang w:eastAsia="es-ES_tradnl"/>
        </w:rPr>
        <w:t xml:space="preserve"> los documentos de carácter definitivo</w:t>
      </w:r>
      <w:r w:rsidRPr="00B7424B">
        <w:rPr>
          <w:rFonts w:ascii="Verdana" w:eastAsia="Calibri" w:hAnsi="Verdana" w:cs="Arial"/>
          <w:bCs/>
          <w:iCs/>
          <w:lang w:eastAsia="es-ES_tradnl"/>
        </w:rPr>
        <w:t>, precisando la regla general sigue vigente, y que, en un principio, el término para publicar tres (3) días siguientes a la expedición</w:t>
      </w:r>
      <w:r>
        <w:rPr>
          <w:rFonts w:ascii="Verdana" w:eastAsia="Calibri" w:hAnsi="Verdana" w:cs="Arial"/>
          <w:bCs/>
          <w:iCs/>
          <w:lang w:eastAsia="es-ES_tradnl"/>
        </w:rPr>
        <w:t>, esto es, a partir desde que el documento se encuentra perfeccionado por la parte o las partes intervinientes</w:t>
      </w:r>
      <w:r w:rsidRPr="00B7424B">
        <w:rPr>
          <w:rFonts w:ascii="Verdana" w:eastAsia="Calibri" w:hAnsi="Verdana" w:cs="Arial"/>
          <w:bCs/>
          <w:iCs/>
          <w:lang w:eastAsia="es-ES_tradnl"/>
        </w:rPr>
        <w:t xml:space="preserve">, de conformidad a lo prescrito en el Decreto 1082 de 2015. </w:t>
      </w:r>
    </w:p>
    <w:p w14:paraId="15F28228" w14:textId="77777777" w:rsidR="008F3EC3" w:rsidRPr="00B7424B" w:rsidRDefault="008F3EC3" w:rsidP="008F3EC3">
      <w:pPr>
        <w:spacing w:after="120" w:line="276" w:lineRule="auto"/>
        <w:ind w:firstLine="709"/>
        <w:jc w:val="both"/>
        <w:rPr>
          <w:rFonts w:ascii="Verdana" w:eastAsia="Calibri" w:hAnsi="Verdana" w:cs="Arial"/>
          <w:bCs/>
          <w:iCs/>
          <w:lang w:eastAsia="es-ES_tradnl"/>
        </w:rPr>
      </w:pPr>
      <w:r w:rsidRPr="00B7424B">
        <w:rPr>
          <w:rFonts w:ascii="Verdana" w:eastAsia="Calibri" w:hAnsi="Verdana" w:cs="Arial"/>
          <w:bCs/>
          <w:iCs/>
          <w:lang w:eastAsia="es-ES_tradnl"/>
        </w:rPr>
        <w:t xml:space="preserve">Ahora bien, las demás entidades que no están sujetas al Decreto 1600 de 2024 que </w:t>
      </w:r>
      <w:r>
        <w:rPr>
          <w:rFonts w:ascii="Verdana" w:eastAsia="Calibri" w:hAnsi="Verdana" w:cs="Arial"/>
          <w:bCs/>
          <w:iCs/>
          <w:lang w:eastAsia="es-ES_tradnl"/>
        </w:rPr>
        <w:t>modifica el Decreto 1081 de 2015</w:t>
      </w:r>
      <w:r w:rsidRPr="00B7424B">
        <w:rPr>
          <w:rFonts w:ascii="Verdana" w:eastAsia="Calibri" w:hAnsi="Verdana" w:cs="Arial"/>
          <w:bCs/>
          <w:iCs/>
          <w:lang w:eastAsia="es-ES_tradnl"/>
        </w:rPr>
        <w:t xml:space="preserve"> tienen el deber de aplicar el término de publicación de los tres (3) días siguientes a su expedición como regla general y no le es aplicable el término máximo de diez (10) días</w:t>
      </w:r>
      <w:r>
        <w:rPr>
          <w:rFonts w:ascii="Verdana" w:eastAsia="Calibri" w:hAnsi="Verdana" w:cs="Arial"/>
          <w:bCs/>
          <w:iCs/>
          <w:lang w:eastAsia="es-ES_tradnl"/>
        </w:rPr>
        <w:t xml:space="preserve"> desde la ocurrencia del hecho, esto es, a partir de la generación del documento definitivo</w:t>
      </w:r>
      <w:r w:rsidRPr="00B7424B">
        <w:rPr>
          <w:rFonts w:ascii="Verdana" w:eastAsia="Calibri" w:hAnsi="Verdana" w:cs="Arial"/>
          <w:bCs/>
          <w:iCs/>
          <w:lang w:eastAsia="es-ES_tradnl"/>
        </w:rPr>
        <w:t xml:space="preserve">. En tal sentido, las entidades del orden territorial, así como sus descentralizadas deben seguir aplicando el término general de tres (3) días, y no podrán hacer una interpretación extensiva ni analógica, puesto que se rigen bajo el principio de </w:t>
      </w:r>
      <w:r w:rsidRPr="00B7424B">
        <w:rPr>
          <w:rFonts w:ascii="Verdana" w:eastAsia="Calibri" w:hAnsi="Verdana" w:cs="Arial"/>
          <w:bCs/>
          <w:iCs/>
          <w:lang w:eastAsia="es-ES_tradnl"/>
        </w:rPr>
        <w:lastRenderedPageBreak/>
        <w:t xml:space="preserve">legalidad que implica una interpretación literal y estricta de las disposiciones normativas.  </w:t>
      </w:r>
    </w:p>
    <w:p w14:paraId="137803B0" w14:textId="77777777" w:rsidR="008F3EC3" w:rsidRDefault="008F3EC3" w:rsidP="008F3EC3">
      <w:pPr>
        <w:spacing w:after="0" w:line="276" w:lineRule="auto"/>
        <w:ind w:firstLine="709"/>
        <w:jc w:val="both"/>
        <w:rPr>
          <w:rFonts w:ascii="Verdana" w:eastAsia="Calibri" w:hAnsi="Verdana" w:cs="Arial"/>
          <w:bCs/>
          <w:iCs/>
          <w:lang w:val="es-ES" w:eastAsia="es-ES_tradnl"/>
        </w:rPr>
      </w:pPr>
      <w:r>
        <w:rPr>
          <w:rFonts w:ascii="Verdana" w:eastAsia="Calibri" w:hAnsi="Verdana" w:cs="Arial"/>
          <w:bCs/>
          <w:iCs/>
          <w:lang w:eastAsia="es-ES_tradnl"/>
        </w:rPr>
        <w:t>Conforme a lo expuesto antes,</w:t>
      </w:r>
      <w:r w:rsidRPr="00B7424B">
        <w:rPr>
          <w:rFonts w:ascii="Verdana" w:eastAsia="Calibri" w:hAnsi="Verdana" w:cs="Arial"/>
          <w:bCs/>
          <w:iCs/>
          <w:lang w:val="es-ES" w:eastAsia="es-ES_tradnl"/>
        </w:rPr>
        <w:t xml:space="preserve"> en SECOP II, en principio, no aplica el término general de los tres (3) o el plazo máximo de los (10) días para las entidades del orden nacional, pues la mayoría de los documentos y actuaciones electrónicas se generan en el instante con la aprobación de las partes que intervienen en el proceso de contratación estatal respectivo. Esto, a diferencia de los procesos publicados en el SECOP I, en los que primero se generan los documentos </w:t>
      </w:r>
      <w:r>
        <w:rPr>
          <w:rFonts w:ascii="Verdana" w:eastAsia="Calibri" w:hAnsi="Verdana" w:cs="Arial"/>
          <w:bCs/>
          <w:iCs/>
          <w:lang w:val="es-ES" w:eastAsia="es-ES_tradnl"/>
        </w:rPr>
        <w:t xml:space="preserve">definitivos, esto es, aquellos que están firmados por las partes </w:t>
      </w:r>
      <w:r w:rsidRPr="00B7424B">
        <w:rPr>
          <w:rFonts w:ascii="Verdana" w:eastAsia="Calibri" w:hAnsi="Verdana" w:cs="Arial"/>
          <w:bCs/>
          <w:iCs/>
          <w:lang w:val="es-ES" w:eastAsia="es-ES_tradnl"/>
        </w:rPr>
        <w:t>y luego se publican en dicha plataforma, en los términos ya expuestos, dependiendo de la naturaleza de la entidad y de las reglas prescritas en los Decretos 1081 y 1082 de 2015.</w:t>
      </w:r>
    </w:p>
    <w:p w14:paraId="7E323187" w14:textId="77777777" w:rsidR="008F3EC3" w:rsidRDefault="008F3EC3" w:rsidP="008F3EC3">
      <w:pPr>
        <w:spacing w:after="0" w:line="276" w:lineRule="auto"/>
        <w:ind w:firstLine="709"/>
        <w:jc w:val="both"/>
        <w:rPr>
          <w:rFonts w:ascii="Verdana" w:eastAsia="Calibri" w:hAnsi="Verdana" w:cs="Arial"/>
          <w:bCs/>
          <w:iCs/>
          <w:lang w:val="es-ES" w:eastAsia="es-ES_tradnl"/>
        </w:rPr>
      </w:pPr>
    </w:p>
    <w:p w14:paraId="66A309E4" w14:textId="77777777" w:rsidR="008F3EC3" w:rsidRDefault="008F3EC3" w:rsidP="008F3EC3">
      <w:pPr>
        <w:spacing w:after="120" w:line="276" w:lineRule="auto"/>
        <w:jc w:val="both"/>
        <w:rPr>
          <w:rFonts w:ascii="Verdana" w:eastAsia="Calibri" w:hAnsi="Verdana" w:cs="Arial"/>
          <w:bCs/>
          <w:iCs/>
          <w:lang w:val="es-ES" w:eastAsia="es-ES_tradnl"/>
        </w:rPr>
      </w:pPr>
      <w:proofErr w:type="spellStart"/>
      <w:r>
        <w:rPr>
          <w:rFonts w:ascii="Verdana" w:eastAsia="Calibri" w:hAnsi="Verdana" w:cs="Arial"/>
          <w:bCs/>
          <w:iCs/>
          <w:lang w:val="es-ES" w:eastAsia="es-ES_tradnl"/>
        </w:rPr>
        <w:t>iii</w:t>
      </w:r>
      <w:proofErr w:type="spellEnd"/>
      <w:r>
        <w:rPr>
          <w:rFonts w:ascii="Verdana" w:eastAsia="Calibri" w:hAnsi="Verdana" w:cs="Arial"/>
          <w:bCs/>
          <w:iCs/>
          <w:lang w:val="es-ES" w:eastAsia="es-ES_tradnl"/>
        </w:rPr>
        <w:t xml:space="preserve">) </w:t>
      </w:r>
      <w:r w:rsidRPr="00B72434">
        <w:rPr>
          <w:rFonts w:ascii="Verdana" w:eastAsia="Calibri" w:hAnsi="Verdana" w:cs="Arial"/>
          <w:bCs/>
          <w:iCs/>
          <w:lang w:val="es-ES" w:eastAsia="es-ES_tradnl"/>
        </w:rPr>
        <w:t xml:space="preserve">No obstante lo anterior, debe tenerse en cuenta que </w:t>
      </w:r>
      <w:proofErr w:type="gramStart"/>
      <w:r w:rsidRPr="00B72434">
        <w:rPr>
          <w:rFonts w:ascii="Verdana" w:eastAsia="Calibri" w:hAnsi="Verdana" w:cs="Arial"/>
          <w:bCs/>
          <w:iCs/>
          <w:lang w:val="es-ES" w:eastAsia="es-ES_tradnl"/>
        </w:rPr>
        <w:t>cierta información contenida en los documentos aportados a los procesos contractuales pueden</w:t>
      </w:r>
      <w:proofErr w:type="gramEnd"/>
      <w:r w:rsidRPr="00B72434">
        <w:rPr>
          <w:rFonts w:ascii="Verdana" w:eastAsia="Calibri" w:hAnsi="Verdana" w:cs="Arial"/>
          <w:bCs/>
          <w:iCs/>
          <w:lang w:val="es-ES" w:eastAsia="es-ES_tradnl"/>
        </w:rPr>
        <w:t xml:space="preserve"> gozar de reserva legal, de allí la importancia de dar aplicación a la protección de datos contemplada en el artículo 2 de la Ley 1581 de 2012.</w:t>
      </w:r>
      <w:r>
        <w:rPr>
          <w:rFonts w:ascii="Verdana" w:eastAsia="Calibri" w:hAnsi="Verdana" w:cs="Arial"/>
          <w:bCs/>
          <w:iCs/>
          <w:lang w:val="es-ES" w:eastAsia="es-ES_tradnl"/>
        </w:rPr>
        <w:t xml:space="preserve"> </w:t>
      </w:r>
      <w:r w:rsidRPr="00B72434">
        <w:rPr>
          <w:rFonts w:ascii="Verdana" w:eastAsia="Calibri" w:hAnsi="Verdana" w:cs="Arial"/>
          <w:bCs/>
          <w:iCs/>
          <w:lang w:val="es-ES" w:eastAsia="es-ES_tradnl"/>
        </w:rPr>
        <w:t xml:space="preserve">En ese sentido, el habeas data es un derecho fundamental que también debe garantizarse en los procedimientos de selección adelantados por las entidades estatales para la escogencia de sus contratistas. </w:t>
      </w:r>
    </w:p>
    <w:p w14:paraId="17BF67CB" w14:textId="77777777" w:rsidR="008F3EC3" w:rsidRDefault="008F3EC3" w:rsidP="008F3EC3">
      <w:pPr>
        <w:spacing w:after="120" w:line="276" w:lineRule="auto"/>
        <w:ind w:firstLine="708"/>
        <w:jc w:val="both"/>
        <w:rPr>
          <w:rFonts w:ascii="Verdana" w:eastAsia="Calibri" w:hAnsi="Verdana" w:cs="Arial"/>
          <w:bCs/>
          <w:iCs/>
          <w:lang w:val="es-ES" w:eastAsia="es-ES_tradnl"/>
        </w:rPr>
      </w:pPr>
      <w:r w:rsidRPr="00B72434">
        <w:rPr>
          <w:rFonts w:ascii="Verdana" w:eastAsia="Calibri" w:hAnsi="Verdana" w:cs="Arial"/>
          <w:bCs/>
          <w:iCs/>
          <w:lang w:val="es-ES" w:eastAsia="es-ES_tradnl"/>
        </w:rPr>
        <w:t>Es decir, tanto las entidades que se rigen por el Estatuto General de Contratación de la Administración Pública –las mencionadas en el artículo 2 de la Ley 80 de 1993–, como las exceptuadas de aquel, deben proteger los datos personales en los trámites contractuales que adelanten.</w:t>
      </w:r>
      <w:r>
        <w:rPr>
          <w:rFonts w:ascii="Verdana" w:eastAsia="Calibri" w:hAnsi="Verdana" w:cs="Arial"/>
          <w:bCs/>
          <w:iCs/>
          <w:lang w:val="es-ES" w:eastAsia="es-ES_tradnl"/>
        </w:rPr>
        <w:t xml:space="preserve"> </w:t>
      </w:r>
      <w:r w:rsidRPr="00B72434">
        <w:rPr>
          <w:rFonts w:ascii="Verdana" w:eastAsia="Calibri" w:hAnsi="Verdana" w:cs="Arial"/>
          <w:bCs/>
          <w:iCs/>
          <w:lang w:val="es-ES" w:eastAsia="es-ES_tradnl"/>
        </w:rPr>
        <w:t>A tal conclusión se llega, teniendo en cuenta que el mencionado artículo indica que “Los principios y disposiciones contenidas en la presente ley serán aplicables a los datos personales registrados en cualquier base de datos que los haga susceptibles de tratamiento por entidades de naturaleza pública o privada”</w:t>
      </w:r>
      <w:r>
        <w:rPr>
          <w:rFonts w:ascii="Verdana" w:eastAsia="Calibri" w:hAnsi="Verdana" w:cs="Arial"/>
          <w:bCs/>
          <w:iCs/>
          <w:lang w:val="es-ES" w:eastAsia="es-ES_tradnl"/>
        </w:rPr>
        <w:t xml:space="preserve"> </w:t>
      </w:r>
      <w:r w:rsidRPr="00B72434">
        <w:rPr>
          <w:rFonts w:ascii="Verdana" w:eastAsia="Calibri" w:hAnsi="Verdana" w:cs="Arial"/>
          <w:bCs/>
          <w:iCs/>
          <w:lang w:val="es-ES" w:eastAsia="es-ES_tradnl"/>
        </w:rPr>
        <w:t>y no contempla dentro de las excepciones previstas en la norma los procedimientos contractuales de selección.</w:t>
      </w:r>
    </w:p>
    <w:p w14:paraId="24FD82CE" w14:textId="77777777" w:rsidR="008F3EC3" w:rsidRDefault="008F3EC3" w:rsidP="008F3EC3">
      <w:pPr>
        <w:spacing w:after="120" w:line="276" w:lineRule="auto"/>
        <w:ind w:firstLine="708"/>
        <w:jc w:val="both"/>
        <w:rPr>
          <w:rFonts w:ascii="Verdana" w:eastAsia="Calibri" w:hAnsi="Verdana" w:cs="Arial"/>
          <w:color w:val="000000" w:themeColor="text1"/>
        </w:rPr>
      </w:pPr>
      <w:r w:rsidRPr="00913414">
        <w:rPr>
          <w:rFonts w:ascii="Verdana" w:eastAsia="Calibri" w:hAnsi="Verdana" w:cs="Arial"/>
          <w:color w:val="000000" w:themeColor="text1"/>
        </w:rPr>
        <w:t xml:space="preserve">En ese orden de ideas, las entidades estatales, en su actividad contractual, deben proteger la información personal registrada en sus </w:t>
      </w:r>
      <w:r w:rsidRPr="00913414">
        <w:rPr>
          <w:rFonts w:ascii="Verdana" w:eastAsia="Calibri" w:hAnsi="Verdana" w:cs="Arial"/>
          <w:i/>
          <w:iCs/>
          <w:color w:val="000000" w:themeColor="text1"/>
        </w:rPr>
        <w:t>bases de datos</w:t>
      </w:r>
      <w:r w:rsidRPr="00913414">
        <w:rPr>
          <w:rFonts w:ascii="Verdana" w:eastAsia="Calibri" w:hAnsi="Verdana" w:cs="Arial"/>
          <w:color w:val="000000" w:themeColor="text1"/>
        </w:rPr>
        <w:t xml:space="preserve">. </w:t>
      </w:r>
      <w:proofErr w:type="gramStart"/>
      <w:r w:rsidRPr="00913414">
        <w:rPr>
          <w:rFonts w:ascii="Verdana" w:eastAsia="Calibri" w:hAnsi="Verdana" w:cs="Arial"/>
          <w:color w:val="000000" w:themeColor="text1"/>
        </w:rPr>
        <w:t>El  literal</w:t>
      </w:r>
      <w:proofErr w:type="gramEnd"/>
      <w:r w:rsidRPr="00913414">
        <w:rPr>
          <w:rFonts w:ascii="Verdana" w:eastAsia="Calibri" w:hAnsi="Verdana" w:cs="Arial"/>
          <w:color w:val="000000" w:themeColor="text1"/>
        </w:rPr>
        <w:t xml:space="preserve"> b) del artículo 3, de la Ley 1581 de 2012, define “base de datos”</w:t>
      </w:r>
      <w:r>
        <w:rPr>
          <w:rFonts w:ascii="Verdana" w:eastAsia="Calibri" w:hAnsi="Verdana" w:cs="Arial"/>
          <w:color w:val="000000" w:themeColor="text1"/>
        </w:rPr>
        <w:t xml:space="preserve"> </w:t>
      </w:r>
      <w:r w:rsidRPr="00913414">
        <w:rPr>
          <w:rFonts w:ascii="Verdana" w:eastAsia="Calibri" w:hAnsi="Verdana" w:cs="Arial"/>
          <w:color w:val="000000" w:themeColor="text1"/>
        </w:rPr>
        <w:t>como el “Conjunto organizado de datos personales que sea objeto de Tratamiento». Por su parte, el literal c) del mismo artículo dice que un “dato personal”</w:t>
      </w:r>
      <w:r>
        <w:rPr>
          <w:rFonts w:ascii="Verdana" w:eastAsia="Calibri" w:hAnsi="Verdana" w:cs="Arial"/>
          <w:color w:val="000000" w:themeColor="text1"/>
        </w:rPr>
        <w:t xml:space="preserve"> </w:t>
      </w:r>
      <w:r w:rsidRPr="00913414">
        <w:rPr>
          <w:rFonts w:ascii="Verdana" w:eastAsia="Calibri" w:hAnsi="Verdana" w:cs="Arial"/>
          <w:color w:val="000000" w:themeColor="text1"/>
        </w:rPr>
        <w:t xml:space="preserve">es “Cualquier información vinculada o que pueda asociarse a una o varias personas naturales </w:t>
      </w:r>
      <w:r w:rsidRPr="00913414">
        <w:rPr>
          <w:rFonts w:ascii="Verdana" w:eastAsia="Calibri" w:hAnsi="Verdana" w:cs="Arial"/>
          <w:color w:val="000000" w:themeColor="text1"/>
        </w:rPr>
        <w:lastRenderedPageBreak/>
        <w:t>determinadas o determinables”</w:t>
      </w:r>
      <w:r>
        <w:rPr>
          <w:rFonts w:ascii="Verdana" w:eastAsia="Calibri" w:hAnsi="Verdana" w:cs="Arial"/>
          <w:color w:val="000000" w:themeColor="text1"/>
        </w:rPr>
        <w:t xml:space="preserve"> </w:t>
      </w:r>
      <w:r w:rsidRPr="00913414">
        <w:rPr>
          <w:rFonts w:ascii="Verdana" w:eastAsia="Calibri" w:hAnsi="Verdana" w:cs="Arial"/>
          <w:color w:val="000000" w:themeColor="text1"/>
        </w:rPr>
        <w:t>y el literal g) señala que “tratamiento”</w:t>
      </w:r>
      <w:r>
        <w:rPr>
          <w:rFonts w:ascii="Verdana" w:eastAsia="Calibri" w:hAnsi="Verdana" w:cs="Arial"/>
          <w:color w:val="000000" w:themeColor="text1"/>
        </w:rPr>
        <w:t xml:space="preserve"> </w:t>
      </w:r>
      <w:r w:rsidRPr="00913414">
        <w:rPr>
          <w:rFonts w:ascii="Verdana" w:eastAsia="Calibri" w:hAnsi="Verdana" w:cs="Arial"/>
          <w:color w:val="000000" w:themeColor="text1"/>
        </w:rPr>
        <w:t>es “Cualquier operación o conjunto de operaciones sobre datos personales, tales como la recolección, almacenamiento, uso, circulación o supresión</w:t>
      </w:r>
      <w:r>
        <w:rPr>
          <w:rFonts w:ascii="Verdana" w:eastAsia="Calibri" w:hAnsi="Verdana" w:cs="Arial"/>
          <w:color w:val="000000" w:themeColor="text1"/>
        </w:rPr>
        <w:t>”.</w:t>
      </w:r>
    </w:p>
    <w:p w14:paraId="2C8FEB2F" w14:textId="77777777" w:rsidR="008F3EC3" w:rsidRDefault="008F3EC3" w:rsidP="008F3EC3">
      <w:pPr>
        <w:spacing w:after="120" w:line="276" w:lineRule="auto"/>
        <w:ind w:firstLine="708"/>
        <w:jc w:val="both"/>
        <w:rPr>
          <w:rFonts w:ascii="Verdana" w:eastAsia="Calibri" w:hAnsi="Verdana" w:cs="Arial"/>
          <w:bCs/>
          <w:iCs/>
          <w:lang w:val="es-ES" w:eastAsia="es-ES_tradnl"/>
        </w:rPr>
      </w:pPr>
      <w:r w:rsidRPr="00913414">
        <w:rPr>
          <w:rFonts w:ascii="Verdana" w:eastAsia="Calibri" w:hAnsi="Verdana" w:cs="Arial"/>
          <w:color w:val="000000" w:themeColor="text1"/>
        </w:rPr>
        <w:t xml:space="preserve">Ahora bien, el literal e) de la norma ibidem define quienes son </w:t>
      </w:r>
      <w:proofErr w:type="gramStart"/>
      <w:r w:rsidRPr="00913414">
        <w:rPr>
          <w:rFonts w:ascii="Verdana" w:eastAsia="Calibri" w:hAnsi="Verdana" w:cs="Arial"/>
          <w:color w:val="000000" w:themeColor="text1"/>
        </w:rPr>
        <w:t>los responsable</w:t>
      </w:r>
      <w:proofErr w:type="gramEnd"/>
      <w:r w:rsidRPr="00913414">
        <w:rPr>
          <w:rFonts w:ascii="Verdana" w:eastAsia="Calibri" w:hAnsi="Verdana" w:cs="Arial"/>
          <w:color w:val="000000" w:themeColor="text1"/>
        </w:rPr>
        <w:t xml:space="preserve"> del tratamiento de datos y precisa como responsable a toda “Persona natural o jurídica, pública o privada, que por sí misma o en asocio con otros, decida sobre la base de datos y/o el Tratamiento de los datos». En tal sentido, son responsables del tratamiento de los datos en los procesos de contratación tanto los oferentes –en los eventos en los cuales aportan con la oferta datos de personas naturales cuyos datos son objeto de tratamiento–, como las entidades estatales que reciben tales datos.</w:t>
      </w:r>
    </w:p>
    <w:p w14:paraId="283E3574" w14:textId="77777777" w:rsidR="008F3EC3" w:rsidRPr="00913414" w:rsidRDefault="008F3EC3" w:rsidP="008F3EC3">
      <w:pPr>
        <w:spacing w:after="120" w:line="276" w:lineRule="auto"/>
        <w:ind w:firstLine="708"/>
        <w:jc w:val="both"/>
        <w:rPr>
          <w:rFonts w:ascii="Verdana" w:eastAsia="Calibri" w:hAnsi="Verdana" w:cs="Arial"/>
          <w:bCs/>
          <w:iCs/>
          <w:lang w:val="es-ES" w:eastAsia="es-ES_tradnl"/>
        </w:rPr>
      </w:pPr>
      <w:r w:rsidRPr="00913414">
        <w:rPr>
          <w:rFonts w:ascii="Verdana" w:eastAsia="Calibri" w:hAnsi="Verdana" w:cs="Arial"/>
          <w:bCs/>
          <w:color w:val="000000" w:themeColor="text1"/>
          <w:lang w:val="es-ES_tradnl"/>
        </w:rPr>
        <w:t xml:space="preserve">De lo anterior puede concluirse que los datos personales, incluidos los datos sensibles, contenidos en las ofertas dentro de los procesos de selección, deben respetar las normas sobre tratamiento de datos contenidas en la Ley 1581 de 2012, en el Decreto 1074 de 2015 y en las que los modifiquen o complementen. En dichas disposiciones se encuentra el deber de los responsables y encargados del tratamiento de dichos datos de obtener la autorización por parte del titular; consentimiento que debe ser expreso. Además, debe quedar constancia de él, para ser consultada con posterioridad. </w:t>
      </w:r>
    </w:p>
    <w:p w14:paraId="759572A3" w14:textId="77777777" w:rsidR="008F3EC3" w:rsidRDefault="008F3EC3" w:rsidP="008F3EC3">
      <w:pPr>
        <w:spacing w:after="120" w:line="276" w:lineRule="auto"/>
        <w:ind w:firstLine="708"/>
        <w:jc w:val="both"/>
        <w:rPr>
          <w:rFonts w:ascii="Verdana" w:eastAsia="Calibri" w:hAnsi="Verdana" w:cs="Arial"/>
          <w:color w:val="000000" w:themeColor="text1"/>
        </w:rPr>
      </w:pPr>
      <w:r w:rsidRPr="08673F0F">
        <w:rPr>
          <w:rFonts w:ascii="Verdana" w:eastAsia="Calibri" w:hAnsi="Verdana" w:cs="Arial"/>
          <w:color w:val="000000" w:themeColor="text1"/>
        </w:rPr>
        <w:t>En ese sentido, los particulares que participan en la actividad contractual del Estado, presentando ofertas o en calidad de contratistas, son responsables del tratamiento de los datos personales y son los primeros obligados a contar con la autorización previa del titular de los datos, para poder hacer uso de documentos como hojas de vida, certificados o, en general, de datos personales; asi mismo,  las entidades estatales interesadas en contratar bienes o servicios son también responsables y deben cerciorarse de que exista la constancia de la autorización de las personas naturales titulares de los datos</w:t>
      </w:r>
      <w:r>
        <w:rPr>
          <w:rFonts w:ascii="Verdana" w:eastAsia="Calibri" w:hAnsi="Verdana" w:cs="Arial"/>
          <w:color w:val="000000" w:themeColor="text1"/>
        </w:rPr>
        <w:t>.</w:t>
      </w:r>
    </w:p>
    <w:p w14:paraId="015BCCB5" w14:textId="77777777" w:rsidR="008F3EC3" w:rsidRDefault="008F3EC3" w:rsidP="008F3EC3">
      <w:pPr>
        <w:spacing w:after="120" w:line="276" w:lineRule="auto"/>
        <w:ind w:firstLine="708"/>
        <w:jc w:val="both"/>
        <w:rPr>
          <w:rFonts w:ascii="Verdana" w:eastAsia="Calibri" w:hAnsi="Verdana" w:cs="Arial"/>
          <w:color w:val="000000"/>
          <w:lang w:eastAsia="en-GB"/>
        </w:rPr>
      </w:pPr>
      <w:r>
        <w:rPr>
          <w:rFonts w:ascii="Verdana" w:eastAsia="Calibri" w:hAnsi="Verdana" w:cs="Arial"/>
          <w:bCs/>
          <w:color w:val="000000" w:themeColor="text1"/>
          <w:lang w:val="es-ES_tradnl"/>
        </w:rPr>
        <w:t xml:space="preserve">En este marco, es importante tener </w:t>
      </w:r>
      <w:r w:rsidRPr="00913414">
        <w:rPr>
          <w:rFonts w:ascii="Verdana" w:eastAsia="Calibri" w:hAnsi="Verdana" w:cs="Arial"/>
          <w:bCs/>
          <w:color w:val="000000" w:themeColor="text1"/>
          <w:lang w:val="es-ES_tradnl"/>
        </w:rPr>
        <w:t>presente que</w:t>
      </w:r>
      <w:r w:rsidRPr="00913414">
        <w:rPr>
          <w:rFonts w:ascii="Verdana" w:eastAsia="Calibri" w:hAnsi="Verdana" w:cs="Arial"/>
          <w:color w:val="000000"/>
          <w:lang w:eastAsia="en-GB"/>
        </w:rPr>
        <w:t xml:space="preserve"> el artículo 24 de la Ley 1755 de 2015 </w:t>
      </w:r>
      <w:r>
        <w:rPr>
          <w:rFonts w:ascii="Verdana" w:eastAsia="Calibri" w:hAnsi="Verdana" w:cs="Arial"/>
          <w:color w:val="000000"/>
          <w:lang w:eastAsia="en-GB"/>
        </w:rPr>
        <w:t xml:space="preserve">señala </w:t>
      </w:r>
      <w:r w:rsidRPr="00913414">
        <w:rPr>
          <w:rFonts w:ascii="Verdana" w:eastAsia="Calibri" w:hAnsi="Verdana" w:cs="Arial"/>
          <w:color w:val="000000"/>
          <w:lang w:eastAsia="en-GB"/>
        </w:rPr>
        <w:t>que gozan de reserva de ley los siguientes documentos</w:t>
      </w:r>
      <w:r>
        <w:rPr>
          <w:rFonts w:ascii="Verdana" w:eastAsia="Calibri" w:hAnsi="Verdana" w:cs="Arial"/>
          <w:color w:val="000000"/>
          <w:lang w:eastAsia="en-GB"/>
        </w:rPr>
        <w:t>:</w:t>
      </w:r>
    </w:p>
    <w:p w14:paraId="39C8E80A" w14:textId="77777777" w:rsidR="008F3EC3" w:rsidRPr="00B50415" w:rsidRDefault="008F3EC3" w:rsidP="008F3EC3">
      <w:pPr>
        <w:spacing w:line="240" w:lineRule="auto"/>
        <w:ind w:left="709" w:right="709"/>
        <w:jc w:val="both"/>
        <w:rPr>
          <w:rFonts w:ascii="Verdana" w:eastAsia="Calibri" w:hAnsi="Verdana" w:cs="Arial"/>
          <w:color w:val="000000"/>
          <w:sz w:val="20"/>
          <w:szCs w:val="20"/>
          <w:lang w:eastAsia="en-GB"/>
        </w:rPr>
      </w:pPr>
      <w:r w:rsidRPr="00B50415">
        <w:rPr>
          <w:rFonts w:ascii="Verdana" w:eastAsia="Calibri" w:hAnsi="Verdana" w:cs="Arial"/>
          <w:color w:val="000000"/>
          <w:sz w:val="20"/>
          <w:szCs w:val="20"/>
          <w:lang w:eastAsia="en-GB"/>
        </w:rPr>
        <w:t>“1. Los relacionados con la defensa o seguridad nacionales.</w:t>
      </w:r>
    </w:p>
    <w:p w14:paraId="6B7A8885" w14:textId="77777777" w:rsidR="008F3EC3" w:rsidRPr="00B50415" w:rsidRDefault="008F3EC3" w:rsidP="008F3EC3">
      <w:pPr>
        <w:spacing w:line="240" w:lineRule="auto"/>
        <w:ind w:left="709" w:right="709"/>
        <w:jc w:val="both"/>
        <w:rPr>
          <w:rFonts w:ascii="Verdana" w:eastAsia="Calibri" w:hAnsi="Verdana" w:cs="Arial"/>
          <w:color w:val="000000"/>
          <w:sz w:val="20"/>
          <w:szCs w:val="20"/>
          <w:lang w:eastAsia="en-GB"/>
        </w:rPr>
      </w:pPr>
      <w:r w:rsidRPr="00B50415">
        <w:rPr>
          <w:rFonts w:ascii="Verdana" w:eastAsia="Calibri" w:hAnsi="Verdana" w:cs="Arial"/>
          <w:color w:val="000000"/>
          <w:sz w:val="20"/>
          <w:szCs w:val="20"/>
          <w:lang w:eastAsia="en-GB"/>
        </w:rPr>
        <w:t>2. Las instrucciones en materia diplomática o sobre negociaciones reservadas.</w:t>
      </w:r>
    </w:p>
    <w:p w14:paraId="56D44728" w14:textId="77777777" w:rsidR="008F3EC3" w:rsidRPr="00B50415" w:rsidRDefault="008F3EC3" w:rsidP="008F3EC3">
      <w:pPr>
        <w:spacing w:line="240" w:lineRule="auto"/>
        <w:ind w:left="709" w:right="709"/>
        <w:jc w:val="both"/>
        <w:rPr>
          <w:rFonts w:ascii="Verdana" w:eastAsia="Calibri" w:hAnsi="Verdana" w:cs="Arial"/>
          <w:color w:val="000000"/>
          <w:sz w:val="20"/>
          <w:szCs w:val="20"/>
          <w:lang w:eastAsia="en-GB"/>
        </w:rPr>
      </w:pPr>
      <w:r w:rsidRPr="00B50415">
        <w:rPr>
          <w:rFonts w:ascii="Verdana" w:eastAsia="Calibri" w:hAnsi="Verdana" w:cs="Arial"/>
          <w:color w:val="000000"/>
          <w:sz w:val="20"/>
          <w:szCs w:val="20"/>
          <w:lang w:eastAsia="en-GB"/>
        </w:rPr>
        <w:t>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w:t>
      </w:r>
    </w:p>
    <w:p w14:paraId="28BAB8A7" w14:textId="77777777" w:rsidR="008F3EC3" w:rsidRPr="00B50415" w:rsidRDefault="008F3EC3" w:rsidP="008F3EC3">
      <w:pPr>
        <w:spacing w:line="240" w:lineRule="auto"/>
        <w:ind w:left="709" w:right="709"/>
        <w:jc w:val="both"/>
        <w:rPr>
          <w:rFonts w:ascii="Verdana" w:eastAsia="Calibri" w:hAnsi="Verdana" w:cs="Arial"/>
          <w:color w:val="000000"/>
          <w:sz w:val="20"/>
          <w:szCs w:val="20"/>
          <w:lang w:eastAsia="en-GB"/>
        </w:rPr>
      </w:pPr>
      <w:r w:rsidRPr="00B50415">
        <w:rPr>
          <w:rFonts w:ascii="Verdana" w:eastAsia="Calibri" w:hAnsi="Verdana" w:cs="Arial"/>
          <w:color w:val="000000"/>
          <w:sz w:val="20"/>
          <w:szCs w:val="20"/>
          <w:lang w:eastAsia="en-GB"/>
        </w:rPr>
        <w:lastRenderedPageBreak/>
        <w:t>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w:t>
      </w:r>
    </w:p>
    <w:p w14:paraId="1E4AA075" w14:textId="77777777" w:rsidR="008F3EC3" w:rsidRPr="00B50415" w:rsidRDefault="008F3EC3" w:rsidP="008F3EC3">
      <w:pPr>
        <w:spacing w:line="240" w:lineRule="auto"/>
        <w:ind w:left="709" w:right="709"/>
        <w:jc w:val="both"/>
        <w:rPr>
          <w:rFonts w:ascii="Verdana" w:eastAsia="Calibri" w:hAnsi="Verdana" w:cs="Arial"/>
          <w:color w:val="000000"/>
          <w:sz w:val="20"/>
          <w:szCs w:val="20"/>
          <w:lang w:eastAsia="en-GB"/>
        </w:rPr>
      </w:pPr>
      <w:r w:rsidRPr="00B50415">
        <w:rPr>
          <w:rFonts w:ascii="Verdana" w:eastAsia="Calibri" w:hAnsi="Verdana" w:cs="Arial"/>
          <w:color w:val="000000"/>
          <w:sz w:val="20"/>
          <w:szCs w:val="20"/>
          <w:lang w:eastAsia="en-GB"/>
        </w:rPr>
        <w:t>5. Los datos referentes a la información financiera y comercial, en los términos de la Ley Estatutaria 1266 de 2008.</w:t>
      </w:r>
    </w:p>
    <w:p w14:paraId="2FFA6E6A" w14:textId="77777777" w:rsidR="008F3EC3" w:rsidRPr="00B50415" w:rsidRDefault="008F3EC3" w:rsidP="008F3EC3">
      <w:pPr>
        <w:spacing w:line="240" w:lineRule="auto"/>
        <w:ind w:left="709" w:right="709"/>
        <w:jc w:val="both"/>
        <w:rPr>
          <w:rFonts w:ascii="Verdana" w:eastAsia="Calibri" w:hAnsi="Verdana" w:cs="Arial"/>
          <w:color w:val="000000"/>
          <w:sz w:val="20"/>
          <w:szCs w:val="20"/>
          <w:lang w:eastAsia="en-GB"/>
        </w:rPr>
      </w:pPr>
      <w:r w:rsidRPr="00B50415">
        <w:rPr>
          <w:rFonts w:ascii="Verdana" w:eastAsia="Calibri" w:hAnsi="Verdana" w:cs="Arial"/>
          <w:color w:val="000000"/>
          <w:sz w:val="20"/>
          <w:szCs w:val="20"/>
          <w:lang w:eastAsia="en-GB"/>
        </w:rPr>
        <w:t xml:space="preserve">6. </w:t>
      </w:r>
      <w:r w:rsidRPr="00B50415">
        <w:rPr>
          <w:rFonts w:ascii="Verdana" w:eastAsia="Calibri" w:hAnsi="Verdana" w:cs="Arial"/>
          <w:i/>
          <w:iCs/>
          <w:color w:val="000000"/>
          <w:sz w:val="20"/>
          <w:szCs w:val="20"/>
          <w:lang w:eastAsia="en-GB"/>
        </w:rPr>
        <w:t>Los protegidos por el secreto comercial o industrial</w:t>
      </w:r>
      <w:r w:rsidRPr="00B50415">
        <w:rPr>
          <w:rFonts w:ascii="Verdana" w:eastAsia="Calibri" w:hAnsi="Verdana" w:cs="Arial"/>
          <w:color w:val="000000"/>
          <w:sz w:val="20"/>
          <w:szCs w:val="20"/>
          <w:lang w:eastAsia="en-GB"/>
        </w:rPr>
        <w:t>, así como los planes estratégicos de las empresas públicas de servicios públicos.</w:t>
      </w:r>
    </w:p>
    <w:p w14:paraId="356A9E0B" w14:textId="77777777" w:rsidR="008F3EC3" w:rsidRPr="00B50415" w:rsidRDefault="008F3EC3" w:rsidP="008F3EC3">
      <w:pPr>
        <w:spacing w:line="240" w:lineRule="auto"/>
        <w:ind w:left="709" w:right="709"/>
        <w:jc w:val="both"/>
        <w:rPr>
          <w:rFonts w:ascii="Verdana" w:eastAsia="Calibri" w:hAnsi="Verdana" w:cs="Arial"/>
          <w:color w:val="000000"/>
          <w:sz w:val="20"/>
          <w:szCs w:val="20"/>
          <w:lang w:eastAsia="en-GB"/>
        </w:rPr>
      </w:pPr>
      <w:r w:rsidRPr="00B50415">
        <w:rPr>
          <w:rFonts w:ascii="Verdana" w:eastAsia="Calibri" w:hAnsi="Verdana" w:cs="Arial"/>
          <w:color w:val="000000"/>
          <w:sz w:val="20"/>
          <w:szCs w:val="20"/>
          <w:lang w:eastAsia="en-GB"/>
        </w:rPr>
        <w:t>7. Los amparados por el secreto profesional.</w:t>
      </w:r>
    </w:p>
    <w:p w14:paraId="563DD50D" w14:textId="77777777" w:rsidR="008F3EC3" w:rsidRPr="00B50415" w:rsidRDefault="008F3EC3" w:rsidP="008F3EC3">
      <w:pPr>
        <w:spacing w:line="240" w:lineRule="auto"/>
        <w:ind w:left="709" w:right="709"/>
        <w:jc w:val="both"/>
        <w:rPr>
          <w:rFonts w:ascii="Verdana" w:eastAsia="Calibri" w:hAnsi="Verdana" w:cs="Arial"/>
          <w:color w:val="000000"/>
          <w:sz w:val="20"/>
          <w:szCs w:val="20"/>
          <w:lang w:eastAsia="en-GB"/>
        </w:rPr>
      </w:pPr>
      <w:r w:rsidRPr="00B50415">
        <w:rPr>
          <w:rFonts w:ascii="Verdana" w:eastAsia="Calibri" w:hAnsi="Verdana" w:cs="Arial"/>
          <w:color w:val="000000"/>
          <w:sz w:val="20"/>
          <w:szCs w:val="20"/>
          <w:lang w:eastAsia="en-GB"/>
        </w:rPr>
        <w:t>8. Los datos genéticos humanos (…)”. [Énfasis propio]</w:t>
      </w:r>
    </w:p>
    <w:p w14:paraId="1D233163" w14:textId="77777777" w:rsidR="008F3EC3" w:rsidRDefault="008F3EC3" w:rsidP="00A70048">
      <w:pPr>
        <w:spacing w:before="120" w:line="276" w:lineRule="auto"/>
        <w:ind w:firstLine="708"/>
        <w:jc w:val="both"/>
        <w:rPr>
          <w:rFonts w:ascii="Verdana" w:eastAsia="Calibri" w:hAnsi="Verdana" w:cs="Arial"/>
          <w:color w:val="000000" w:themeColor="text1"/>
          <w:lang w:val="es-ES"/>
        </w:rPr>
      </w:pPr>
      <w:r w:rsidRPr="35DF8AA1">
        <w:rPr>
          <w:rFonts w:ascii="Verdana" w:eastAsia="Calibri" w:hAnsi="Verdana" w:cs="Arial"/>
          <w:color w:val="000000" w:themeColor="text1"/>
          <w:lang w:val="es-ES"/>
        </w:rPr>
        <w:t xml:space="preserve">De </w:t>
      </w:r>
      <w:r>
        <w:rPr>
          <w:rFonts w:ascii="Verdana" w:eastAsia="Calibri" w:hAnsi="Verdana" w:cs="Arial"/>
          <w:color w:val="000000" w:themeColor="text1"/>
          <w:lang w:val="es-ES"/>
        </w:rPr>
        <w:t xml:space="preserve">esta manera, </w:t>
      </w:r>
      <w:r w:rsidRPr="35DF8AA1">
        <w:rPr>
          <w:rFonts w:ascii="Verdana" w:eastAsia="Calibri" w:hAnsi="Verdana" w:cs="Arial"/>
          <w:color w:val="000000" w:themeColor="text1"/>
          <w:lang w:val="es-ES"/>
        </w:rPr>
        <w:t>corresponde a la Entidad Contratante verificar si el documento se encuentra inmerso en causal de reserva de ley.</w:t>
      </w:r>
      <w:r>
        <w:rPr>
          <w:rFonts w:ascii="Verdana" w:eastAsia="Calibri" w:hAnsi="Verdana" w:cs="Arial"/>
          <w:color w:val="000000" w:themeColor="text1"/>
          <w:lang w:val="es-ES"/>
        </w:rPr>
        <w:t xml:space="preserve"> Adicionalmente, </w:t>
      </w:r>
      <w:r>
        <w:rPr>
          <w:rFonts w:ascii="Verdana" w:eastAsia="Calibri" w:hAnsi="Verdana" w:cs="Arial"/>
          <w:bCs/>
          <w:color w:val="000000" w:themeColor="text1"/>
          <w:lang w:val="es-ES_tradnl"/>
        </w:rPr>
        <w:t>l</w:t>
      </w:r>
      <w:r w:rsidRPr="00913414">
        <w:rPr>
          <w:rFonts w:ascii="Verdana" w:eastAsia="Calibri" w:hAnsi="Verdana" w:cs="Arial"/>
          <w:bCs/>
          <w:color w:val="000000" w:themeColor="text1"/>
          <w:lang w:val="es-ES_tradnl"/>
        </w:rPr>
        <w:t xml:space="preserve">os datos sensibles constituyen límites al deber de divulgación proactiva de la información en la contratación estatal. </w:t>
      </w:r>
      <w:r w:rsidRPr="00913414">
        <w:rPr>
          <w:rFonts w:ascii="Verdana" w:eastAsia="Calibri" w:hAnsi="Verdana" w:cs="Arial"/>
          <w:lang w:val="es-ES_tradnl"/>
        </w:rPr>
        <w:t xml:space="preserve">En otras palabras,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 absteniéndose, de ser el caso, de publicar las ofertas, o las partes pertinentes en las que se evidencie este tipo de información. Para dichos eventos, la plataforma SECOP II, </w:t>
      </w:r>
      <w:r w:rsidRPr="00913414">
        <w:rPr>
          <w:rFonts w:ascii="Verdana" w:hAnsi="Verdana" w:cs="Arial"/>
          <w:lang w:val="es-ES_tradnl"/>
        </w:rPr>
        <w:t>antes de publicar las ofertas, brinda a las entidades la opción de calificar dicha información como confidencial, lo cual impide que los documentos se publiquen”.</w:t>
      </w:r>
    </w:p>
    <w:p w14:paraId="6A2A5863" w14:textId="77777777" w:rsidR="008F3EC3" w:rsidRDefault="008F3EC3" w:rsidP="008F3EC3">
      <w:pPr>
        <w:spacing w:before="120" w:line="276" w:lineRule="auto"/>
        <w:ind w:firstLine="708"/>
        <w:jc w:val="both"/>
        <w:rPr>
          <w:rFonts w:ascii="Verdana" w:eastAsia="Calibri" w:hAnsi="Verdana" w:cs="Arial"/>
          <w:color w:val="000000" w:themeColor="text1"/>
          <w:lang w:val="es-ES"/>
        </w:rPr>
      </w:pPr>
      <w:r w:rsidRPr="002153D8">
        <w:rPr>
          <w:rFonts w:ascii="Verdana" w:eastAsia="Calibri" w:hAnsi="Verdana" w:cs="Arial"/>
          <w:color w:val="000000" w:themeColor="text1"/>
          <w:lang w:eastAsia="en-GB"/>
        </w:rPr>
        <w:t xml:space="preserve">Dicho de otra forma, por más de que el artículo 74 de la Constitución establezca que la información pública debe ser dada a conocer a la ciudadanía y así los documentos que hagan parte de la actividad contractual puedan catalogarse, </w:t>
      </w:r>
      <w:r w:rsidRPr="002153D8">
        <w:rPr>
          <w:rFonts w:ascii="Verdana" w:eastAsia="Calibri" w:hAnsi="Verdana" w:cs="Arial"/>
          <w:i/>
          <w:iCs/>
          <w:color w:val="000000" w:themeColor="text1"/>
          <w:lang w:eastAsia="en-GB"/>
        </w:rPr>
        <w:t>prima facie,</w:t>
      </w:r>
      <w:r w:rsidRPr="002153D8">
        <w:rPr>
          <w:rFonts w:ascii="Verdana" w:eastAsia="Calibri" w:hAnsi="Verdana" w:cs="Arial"/>
          <w:color w:val="000000" w:themeColor="text1"/>
          <w:lang w:eastAsia="en-GB"/>
        </w:rPr>
        <w:t xml:space="preserve"> como información pública, cuando dicha documentación contenga datos sensibles, operan algunas restricciones a su publicidad. Sin embargo, esto no necesariamente convierte el documento completo en reservado, es decir, en un documento que no puede publicarse.</w:t>
      </w:r>
    </w:p>
    <w:p w14:paraId="758DBB5B" w14:textId="77777777" w:rsidR="008F3EC3" w:rsidRDefault="008F3EC3" w:rsidP="008F3EC3">
      <w:pPr>
        <w:spacing w:before="120" w:line="276" w:lineRule="auto"/>
        <w:ind w:firstLine="708"/>
        <w:jc w:val="both"/>
        <w:rPr>
          <w:rFonts w:ascii="Verdana" w:eastAsia="Calibri" w:hAnsi="Verdana" w:cs="Arial"/>
          <w:color w:val="000000" w:themeColor="text1"/>
          <w:lang w:val="es-ES"/>
        </w:rPr>
      </w:pPr>
      <w:r w:rsidRPr="002153D8">
        <w:rPr>
          <w:rFonts w:ascii="Verdana" w:eastAsia="Calibri" w:hAnsi="Verdana" w:cs="Arial"/>
          <w:color w:val="000000"/>
          <w:lang w:val="es-ES_tradnl" w:eastAsia="en-GB"/>
        </w:rPr>
        <w:t xml:space="preserve">El enunciado constitucional, en armonía con los artículos 18 y 19 de la Ley 1712 de 2014 y los artículos 24 y 25 de la Ley 1437 de 2011, establecen que el derecho de acceso a la información o documentación pública no es absoluto, que </w:t>
      </w:r>
      <w:r w:rsidRPr="002153D8">
        <w:rPr>
          <w:rFonts w:ascii="Verdana" w:eastAsia="Calibri" w:hAnsi="Verdana" w:cs="Arial"/>
          <w:color w:val="000000"/>
          <w:lang w:val="es-ES_tradnl" w:eastAsia="en-GB"/>
        </w:rPr>
        <w:lastRenderedPageBreak/>
        <w:t>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numeral 3° del artículo 3° del Decreto 1377 de 2013, solo podrá divulgarse según las reglas establecidas en dichas normas. Lo anterior no quiere decir que todo el documento se convierta en reservado, sino que se debe proceder como se indica a continuación.</w:t>
      </w:r>
    </w:p>
    <w:p w14:paraId="595999C1" w14:textId="77777777" w:rsidR="008F3EC3" w:rsidRDefault="008F3EC3" w:rsidP="008F3EC3">
      <w:pPr>
        <w:spacing w:before="120" w:line="276" w:lineRule="auto"/>
        <w:ind w:firstLine="708"/>
        <w:jc w:val="both"/>
        <w:rPr>
          <w:rFonts w:ascii="Verdana" w:eastAsia="Calibri" w:hAnsi="Verdana" w:cs="Arial"/>
          <w:color w:val="000000" w:themeColor="text1"/>
          <w:lang w:val="es-ES"/>
        </w:rPr>
      </w:pPr>
      <w:r w:rsidRPr="002153D8">
        <w:rPr>
          <w:rFonts w:ascii="Verdana" w:eastAsia="Calibri" w:hAnsi="Verdana" w:cs="Arial"/>
          <w:color w:val="000000"/>
          <w:lang w:val="es-ES_tradnl" w:eastAsia="en-GB"/>
        </w:rPr>
        <w:t>Cuando el documento contractual tenga información sensible, clasificada o reservada, para proteger la información, las autoridades deben abstenerse de publicar en el SECOP la información que tiene protección especial, tal como sucede con los derechos de los menores, de conformidad con el artículo 7° de la Ley 1581 de 2012 y el artículo 2.1.1.4.1.2 del Decreto 1081 de 2015. Sin embargo, de acuerdo con el segundo inciso del artículo 25 de la Ley 1437 de 2011 “La restricción por reserva legal no se extenderá a otras piezas del respectivo expediente o actuación que no estén cubiertas por ella</w:t>
      </w:r>
      <w:r>
        <w:rPr>
          <w:rFonts w:ascii="Verdana" w:eastAsia="Calibri" w:hAnsi="Verdana" w:cs="Arial"/>
          <w:color w:val="000000"/>
          <w:lang w:val="es-ES_tradnl" w:eastAsia="en-GB"/>
        </w:rPr>
        <w:t>”</w:t>
      </w:r>
      <w:r w:rsidRPr="002153D8">
        <w:rPr>
          <w:rFonts w:ascii="Verdana" w:eastAsia="Calibri" w:hAnsi="Verdana" w:cs="Arial"/>
          <w:color w:val="000000"/>
          <w:lang w:val="es-ES_tradnl" w:eastAsia="en-GB"/>
        </w:rPr>
        <w:t>. Por ello, la entidad estatal deberá excluir del documento entregado por el proponente en el procedimiento contractual la información que contenga datos sensibles, clasificados o reservados, para no divulgarla, pero debe publicar las demás piezas de la oferta o los apartados que no gozan de reserva o que no están protegidos por las disposiciones de habeas data.</w:t>
      </w:r>
    </w:p>
    <w:p w14:paraId="5D6C5927" w14:textId="77777777" w:rsidR="008F3EC3" w:rsidRDefault="008F3EC3" w:rsidP="008F3EC3">
      <w:pPr>
        <w:spacing w:before="120" w:line="276" w:lineRule="auto"/>
        <w:ind w:firstLine="708"/>
        <w:jc w:val="both"/>
        <w:rPr>
          <w:rFonts w:ascii="Verdana" w:eastAsia="Calibri" w:hAnsi="Verdana" w:cs="Arial"/>
          <w:color w:val="000000" w:themeColor="text1"/>
          <w:lang w:val="es-ES"/>
        </w:rPr>
      </w:pPr>
      <w:r w:rsidRPr="0003132A">
        <w:rPr>
          <w:rFonts w:ascii="Verdana" w:eastAsia="Calibri" w:hAnsi="Verdana" w:cs="Arial"/>
          <w:color w:val="000000"/>
          <w:lang w:val="es-MX" w:eastAsia="en-GB"/>
        </w:rPr>
        <w:t>Ahora, en cuanto a la reserva legal y los datos sensibles aportados en las ofertas, están sujetos a normativas específicas que las entidades deben consultar para verificar si la documentación presentada en las propuestas de los procesos de selección se encuentra bajo esta protección. Este principio de reserva legal establece que ciertos documentos deben ser manejados de acuerdo con normas que aseguren su confidencialidad y el tratamiento adecuado.</w:t>
      </w:r>
    </w:p>
    <w:p w14:paraId="20A5176B" w14:textId="77777777" w:rsidR="008F3EC3" w:rsidRPr="0003132A" w:rsidRDefault="008F3EC3" w:rsidP="008F3EC3">
      <w:pPr>
        <w:spacing w:before="120" w:line="276" w:lineRule="auto"/>
        <w:ind w:firstLine="708"/>
        <w:jc w:val="both"/>
        <w:rPr>
          <w:rFonts w:ascii="Verdana" w:eastAsia="Calibri" w:hAnsi="Verdana" w:cs="Arial"/>
          <w:color w:val="000000" w:themeColor="text1"/>
          <w:lang w:val="es-ES"/>
        </w:rPr>
      </w:pPr>
      <w:r>
        <w:rPr>
          <w:rFonts w:ascii="Verdana" w:eastAsia="Calibri" w:hAnsi="Verdana" w:cs="Arial"/>
          <w:bCs/>
          <w:iCs/>
          <w:lang w:val="es-ES" w:eastAsia="es-ES_tradnl"/>
        </w:rPr>
        <w:t xml:space="preserve"> </w:t>
      </w:r>
      <w:r w:rsidRPr="008D191C">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8D191C">
        <w:rPr>
          <w:rFonts w:ascii="Verdana" w:eastAsia="Calibri" w:hAnsi="Verdana" w:cs="Arial"/>
          <w:bCs/>
          <w:color w:val="000000" w:themeColor="text1"/>
        </w:rPr>
        <w:lastRenderedPageBreak/>
        <w:t>de situaciones particulares corresponde a los interesados adoptar la decisión correspondiente y, en caso de conflicto, a las autoridades judiciales, fiscales y disciplinarias.</w:t>
      </w:r>
    </w:p>
    <w:p w14:paraId="78802D13" w14:textId="77777777" w:rsidR="008F3EC3" w:rsidRPr="008D191C" w:rsidRDefault="008F3EC3" w:rsidP="008F3EC3">
      <w:pPr>
        <w:spacing w:after="0"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84E1D7F" w14:textId="77777777" w:rsidR="008F3EC3" w:rsidRPr="00122488" w:rsidRDefault="008F3EC3" w:rsidP="008F3EC3">
      <w:pPr>
        <w:widowControl w:val="0"/>
        <w:autoSpaceDE w:val="0"/>
        <w:autoSpaceDN w:val="0"/>
        <w:spacing w:after="0" w:line="276" w:lineRule="auto"/>
        <w:jc w:val="both"/>
        <w:rPr>
          <w:rFonts w:ascii="Verdana" w:hAnsi="Verdana"/>
          <w:shd w:val="clear" w:color="auto" w:fill="FFFFFF"/>
        </w:rPr>
      </w:pPr>
    </w:p>
    <w:p w14:paraId="17CE8B0C" w14:textId="77777777" w:rsidR="008F3EC3" w:rsidRDefault="008F3EC3" w:rsidP="008F3EC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Referencias normativas, jurisprudenciales y otras fuentes:</w:t>
      </w:r>
    </w:p>
    <w:p w14:paraId="69B91323" w14:textId="77777777" w:rsidR="008F3EC3" w:rsidRPr="00C64FA8" w:rsidRDefault="008F3EC3" w:rsidP="008F3EC3">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F3EC3" w:rsidRPr="00FE5A24" w14:paraId="6736E14F" w14:textId="77777777" w:rsidTr="00BD7C37">
        <w:trPr>
          <w:trHeight w:val="870"/>
        </w:trPr>
        <w:tc>
          <w:tcPr>
            <w:tcW w:w="8647" w:type="dxa"/>
          </w:tcPr>
          <w:p w14:paraId="7C20265D" w14:textId="77777777" w:rsidR="008F3EC3" w:rsidRPr="00E47CAB" w:rsidRDefault="008F3EC3" w:rsidP="00BD7C37">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lang w:val="es-ES_tradnl"/>
              </w:rPr>
            </w:pPr>
            <w:r w:rsidRPr="00E47CAB">
              <w:rPr>
                <w:rFonts w:ascii="Verdana" w:hAnsi="Verdana" w:cs="Arial"/>
                <w:lang w:val="es-ES_tradnl"/>
              </w:rPr>
              <w:t>Constitución Política, artículos 74 y 209.</w:t>
            </w:r>
          </w:p>
          <w:p w14:paraId="786CB944" w14:textId="77777777" w:rsidR="008F3EC3" w:rsidRDefault="008F3EC3" w:rsidP="00BD7C37">
            <w:pPr>
              <w:widowControl w:val="0"/>
              <w:numPr>
                <w:ilvl w:val="0"/>
                <w:numId w:val="17"/>
              </w:numPr>
              <w:autoSpaceDE w:val="0"/>
              <w:autoSpaceDN w:val="0"/>
              <w:snapToGrid w:val="0"/>
              <w:spacing w:before="120" w:after="120" w:line="276" w:lineRule="auto"/>
              <w:ind w:left="714" w:hanging="357"/>
              <w:jc w:val="both"/>
              <w:rPr>
                <w:rFonts w:ascii="Verdana" w:hAnsi="Verdana" w:cs="Arial"/>
                <w:lang w:val="es-ES_tradnl"/>
              </w:rPr>
            </w:pPr>
            <w:r w:rsidRPr="0081781F">
              <w:rPr>
                <w:rFonts w:ascii="Verdana" w:hAnsi="Verdana" w:cs="Arial"/>
                <w:lang w:val="es-ES_tradnl"/>
              </w:rPr>
              <w:t>Ley 1150 de 2007, artículo 3.</w:t>
            </w:r>
          </w:p>
          <w:p w14:paraId="7E0C4CBA" w14:textId="77777777" w:rsidR="008F3EC3" w:rsidRPr="000319BD" w:rsidRDefault="008F3EC3" w:rsidP="00BD7C37">
            <w:pPr>
              <w:pStyle w:val="Prrafodelista"/>
              <w:numPr>
                <w:ilvl w:val="0"/>
                <w:numId w:val="17"/>
              </w:numPr>
              <w:snapToGrid w:val="0"/>
              <w:spacing w:before="120" w:after="120" w:line="276" w:lineRule="auto"/>
              <w:ind w:left="714" w:hanging="357"/>
              <w:contextualSpacing w:val="0"/>
              <w:rPr>
                <w:rFonts w:ascii="Verdana" w:hAnsi="Verdana"/>
              </w:rPr>
            </w:pPr>
            <w:r>
              <w:rPr>
                <w:rFonts w:ascii="Verdana" w:hAnsi="Verdana"/>
              </w:rPr>
              <w:t xml:space="preserve">Ley </w:t>
            </w:r>
            <w:r w:rsidRPr="00953A20">
              <w:rPr>
                <w:rFonts w:ascii="Verdana" w:hAnsi="Verdana"/>
              </w:rPr>
              <w:t xml:space="preserve">1581 </w:t>
            </w:r>
            <w:r>
              <w:rPr>
                <w:rFonts w:ascii="Verdana" w:hAnsi="Verdana"/>
              </w:rPr>
              <w:t>del</w:t>
            </w:r>
            <w:r w:rsidRPr="00953A20">
              <w:rPr>
                <w:rFonts w:ascii="Verdana" w:hAnsi="Verdana"/>
              </w:rPr>
              <w:t xml:space="preserve"> 2012, Articulo 2, 3 literal b)</w:t>
            </w:r>
          </w:p>
          <w:p w14:paraId="38E8727B" w14:textId="77777777" w:rsidR="008F3EC3" w:rsidRPr="0081781F" w:rsidRDefault="008F3EC3" w:rsidP="00BD7C37">
            <w:pPr>
              <w:widowControl w:val="0"/>
              <w:numPr>
                <w:ilvl w:val="0"/>
                <w:numId w:val="17"/>
              </w:numPr>
              <w:autoSpaceDE w:val="0"/>
              <w:autoSpaceDN w:val="0"/>
              <w:snapToGrid w:val="0"/>
              <w:spacing w:before="120" w:after="120" w:line="276" w:lineRule="auto"/>
              <w:ind w:left="714" w:hanging="357"/>
              <w:jc w:val="both"/>
              <w:rPr>
                <w:rFonts w:ascii="Verdana" w:hAnsi="Verdana" w:cs="Arial"/>
                <w:lang w:val="es-ES_tradnl"/>
              </w:rPr>
            </w:pPr>
            <w:r w:rsidRPr="0081781F">
              <w:rPr>
                <w:rFonts w:ascii="Verdana" w:hAnsi="Verdana" w:cs="Arial"/>
              </w:rPr>
              <w:t xml:space="preserve">Decreto Ley 4170 de 2011, artículo 3° numerales 2, 5 y 8. </w:t>
            </w:r>
            <w:r w:rsidRPr="0081781F">
              <w:rPr>
                <w:rFonts w:ascii="Verdana" w:hAnsi="Verdana" w:cs="Arial"/>
                <w:lang w:val="es-ES_tradnl"/>
              </w:rPr>
              <w:t xml:space="preserve"> </w:t>
            </w:r>
          </w:p>
          <w:p w14:paraId="487CBCB6" w14:textId="77777777" w:rsidR="008F3EC3" w:rsidRPr="00ED16A4" w:rsidRDefault="008F3EC3" w:rsidP="00BD7C37">
            <w:pPr>
              <w:pStyle w:val="Prrafodelista"/>
              <w:numPr>
                <w:ilvl w:val="0"/>
                <w:numId w:val="17"/>
              </w:numPr>
              <w:snapToGrid w:val="0"/>
              <w:spacing w:before="120" w:after="120" w:line="276" w:lineRule="auto"/>
              <w:ind w:left="714" w:hanging="357"/>
              <w:contextualSpacing w:val="0"/>
              <w:rPr>
                <w:rFonts w:ascii="Verdana" w:eastAsia="Calibri" w:hAnsi="Verdana" w:cs="Arial"/>
                <w:color w:val="000000"/>
                <w:lang w:val="es-ES_tradnl" w:eastAsia="en-GB"/>
              </w:rPr>
            </w:pPr>
            <w:r w:rsidRPr="0081781F">
              <w:rPr>
                <w:rFonts w:ascii="Verdana" w:hAnsi="Verdana" w:cs="Arial"/>
                <w:lang w:val="es-ES_tradnl"/>
              </w:rPr>
              <w:t>Ley 1712 de 2014.</w:t>
            </w:r>
          </w:p>
          <w:p w14:paraId="74607EC3" w14:textId="77777777" w:rsidR="008F3EC3" w:rsidRPr="00953A20" w:rsidRDefault="008F3EC3" w:rsidP="00BD7C37">
            <w:pPr>
              <w:pStyle w:val="Prrafodelista"/>
              <w:numPr>
                <w:ilvl w:val="0"/>
                <w:numId w:val="17"/>
              </w:numPr>
              <w:snapToGrid w:val="0"/>
              <w:spacing w:before="120" w:after="120" w:line="276" w:lineRule="auto"/>
              <w:ind w:left="714" w:hanging="357"/>
              <w:contextualSpacing w:val="0"/>
              <w:rPr>
                <w:rFonts w:ascii="Verdana" w:eastAsia="Calibri" w:hAnsi="Verdana" w:cs="Arial"/>
                <w:color w:val="000000"/>
                <w:lang w:val="es-ES_tradnl" w:eastAsia="en-GB"/>
              </w:rPr>
            </w:pPr>
            <w:r w:rsidRPr="00953A20">
              <w:rPr>
                <w:rFonts w:ascii="Verdana" w:eastAsia="Calibri" w:hAnsi="Verdana" w:cs="Arial"/>
                <w:color w:val="000000"/>
                <w:lang w:val="es-ES_tradnl" w:eastAsia="en-GB"/>
              </w:rPr>
              <w:t>L</w:t>
            </w:r>
            <w:r>
              <w:rPr>
                <w:rFonts w:ascii="Verdana" w:eastAsia="Calibri" w:hAnsi="Verdana" w:cs="Arial"/>
                <w:color w:val="000000"/>
                <w:lang w:val="es-ES_tradnl" w:eastAsia="en-GB"/>
              </w:rPr>
              <w:t>ey</w:t>
            </w:r>
            <w:r w:rsidRPr="00953A20">
              <w:rPr>
                <w:rFonts w:ascii="Verdana" w:eastAsia="Calibri" w:hAnsi="Verdana" w:cs="Arial"/>
                <w:color w:val="000000"/>
                <w:lang w:val="es-ES_tradnl" w:eastAsia="en-GB"/>
              </w:rPr>
              <w:t xml:space="preserve"> 1437 </w:t>
            </w:r>
            <w:r>
              <w:rPr>
                <w:rFonts w:ascii="Verdana" w:eastAsia="Calibri" w:hAnsi="Verdana" w:cs="Arial"/>
                <w:color w:val="000000"/>
                <w:lang w:val="es-ES_tradnl" w:eastAsia="en-GB"/>
              </w:rPr>
              <w:t>de</w:t>
            </w:r>
            <w:r w:rsidRPr="00953A20">
              <w:rPr>
                <w:rFonts w:ascii="Verdana" w:eastAsia="Calibri" w:hAnsi="Verdana" w:cs="Arial"/>
                <w:color w:val="000000"/>
                <w:lang w:val="es-ES_tradnl" w:eastAsia="en-GB"/>
              </w:rPr>
              <w:t xml:space="preserve"> 2011, artículos 24 y 25</w:t>
            </w:r>
          </w:p>
          <w:p w14:paraId="34EBE737" w14:textId="77777777" w:rsidR="008F3EC3" w:rsidRPr="000319BD" w:rsidRDefault="008F3EC3" w:rsidP="00BD7C37">
            <w:pPr>
              <w:pStyle w:val="Prrafodelista"/>
              <w:numPr>
                <w:ilvl w:val="0"/>
                <w:numId w:val="17"/>
              </w:numPr>
              <w:snapToGrid w:val="0"/>
              <w:spacing w:before="120" w:after="120" w:line="276" w:lineRule="auto"/>
              <w:ind w:left="714" w:hanging="357"/>
              <w:contextualSpacing w:val="0"/>
              <w:rPr>
                <w:rFonts w:ascii="Verdana" w:eastAsia="Calibri" w:hAnsi="Verdana" w:cs="Arial"/>
                <w:color w:val="000000"/>
                <w:lang w:val="es-ES_tradnl" w:eastAsia="en-GB"/>
              </w:rPr>
            </w:pPr>
            <w:r>
              <w:rPr>
                <w:rFonts w:ascii="Verdana" w:hAnsi="Verdana"/>
              </w:rPr>
              <w:t>Ley</w:t>
            </w:r>
            <w:r w:rsidRPr="00953A20">
              <w:rPr>
                <w:rFonts w:ascii="Verdana" w:eastAsia="Calibri" w:hAnsi="Verdana" w:cs="Arial"/>
                <w:color w:val="000000"/>
                <w:lang w:val="es-ES_tradnl" w:eastAsia="en-GB"/>
              </w:rPr>
              <w:t xml:space="preserve"> 1266 </w:t>
            </w:r>
            <w:r>
              <w:rPr>
                <w:rFonts w:ascii="Verdana" w:eastAsia="Calibri" w:hAnsi="Verdana" w:cs="Arial"/>
                <w:color w:val="000000"/>
                <w:lang w:val="es-ES_tradnl" w:eastAsia="en-GB"/>
              </w:rPr>
              <w:t>de</w:t>
            </w:r>
            <w:r w:rsidRPr="00953A20">
              <w:rPr>
                <w:rFonts w:ascii="Verdana" w:eastAsia="Calibri" w:hAnsi="Verdana" w:cs="Arial"/>
                <w:color w:val="000000"/>
                <w:lang w:val="es-ES_tradnl" w:eastAsia="en-GB"/>
              </w:rPr>
              <w:t xml:space="preserve"> 2008, literales g) y h) del artículo 3°</w:t>
            </w:r>
          </w:p>
          <w:p w14:paraId="591203DE" w14:textId="77777777" w:rsidR="008F3EC3" w:rsidRPr="0081781F" w:rsidRDefault="008F3EC3" w:rsidP="00BD7C37">
            <w:pPr>
              <w:widowControl w:val="0"/>
              <w:numPr>
                <w:ilvl w:val="0"/>
                <w:numId w:val="17"/>
              </w:numPr>
              <w:autoSpaceDE w:val="0"/>
              <w:autoSpaceDN w:val="0"/>
              <w:snapToGrid w:val="0"/>
              <w:spacing w:before="120" w:after="120" w:line="276" w:lineRule="auto"/>
              <w:ind w:left="714" w:hanging="357"/>
              <w:jc w:val="both"/>
              <w:rPr>
                <w:rFonts w:ascii="Verdana" w:hAnsi="Verdana" w:cs="Arial"/>
                <w:lang w:val="es-ES_tradnl"/>
              </w:rPr>
            </w:pPr>
            <w:r w:rsidRPr="0081781F">
              <w:rPr>
                <w:rFonts w:ascii="Verdana" w:hAnsi="Verdana" w:cs="Arial"/>
                <w:lang w:val="es-ES_tradnl"/>
              </w:rPr>
              <w:t xml:space="preserve">Ley 2294 de 2023, artículo 200. </w:t>
            </w:r>
          </w:p>
          <w:p w14:paraId="232B4227" w14:textId="77777777" w:rsidR="008F3EC3" w:rsidRPr="000319BD" w:rsidRDefault="008F3EC3" w:rsidP="00BD7C37">
            <w:pPr>
              <w:widowControl w:val="0"/>
              <w:numPr>
                <w:ilvl w:val="0"/>
                <w:numId w:val="17"/>
              </w:numPr>
              <w:autoSpaceDE w:val="0"/>
              <w:autoSpaceDN w:val="0"/>
              <w:snapToGrid w:val="0"/>
              <w:spacing w:before="120" w:after="120" w:line="276" w:lineRule="auto"/>
              <w:ind w:left="714" w:hanging="357"/>
              <w:jc w:val="both"/>
              <w:rPr>
                <w:rFonts w:ascii="Verdana" w:hAnsi="Verdana" w:cs="Arial"/>
                <w:lang w:val="es-ES_tradnl"/>
              </w:rPr>
            </w:pPr>
            <w:r w:rsidRPr="0081781F">
              <w:rPr>
                <w:rFonts w:ascii="Verdana" w:hAnsi="Verdana" w:cs="Arial"/>
                <w:lang w:val="es-ES_tradnl"/>
              </w:rPr>
              <w:t>Decreto 1081 de 2015, artículos 2.1.1.2.1.7.,</w:t>
            </w:r>
            <w:r w:rsidRPr="0081781F">
              <w:rPr>
                <w:rFonts w:ascii="Verdana" w:eastAsia="Calibri" w:hAnsi="Verdana" w:cs="Arial"/>
                <w:bCs/>
                <w:iCs/>
                <w:lang w:eastAsia="es-ES_tradnl"/>
              </w:rPr>
              <w:t xml:space="preserve"> </w:t>
            </w:r>
            <w:r w:rsidRPr="0081781F">
              <w:rPr>
                <w:rFonts w:ascii="Verdana" w:hAnsi="Verdana" w:cs="Arial"/>
                <w:bCs/>
                <w:iCs/>
              </w:rPr>
              <w:t>2.1.4.3.1.1.,</w:t>
            </w:r>
            <w:r w:rsidRPr="0081781F">
              <w:rPr>
                <w:rFonts w:ascii="Verdana" w:hAnsi="Verdana" w:cs="Arial"/>
                <w:lang w:val="es-ES_tradnl"/>
              </w:rPr>
              <w:t xml:space="preserve"> </w:t>
            </w:r>
            <w:r w:rsidRPr="0081781F">
              <w:rPr>
                <w:rFonts w:ascii="Verdana" w:hAnsi="Verdana" w:cs="Arial"/>
                <w:bCs/>
                <w:iCs/>
              </w:rPr>
              <w:t xml:space="preserve">2.1.4.3.1.2., 2.1.4.3.2.1, </w:t>
            </w:r>
            <w:r w:rsidRPr="00E47CAB">
              <w:rPr>
                <w:rFonts w:ascii="Verdana" w:eastAsia="Calibri" w:hAnsi="Verdana" w:cs="Arial"/>
                <w:bCs/>
                <w:iCs/>
                <w:lang w:eastAsia="es-ES_tradnl"/>
              </w:rPr>
              <w:t>2.1.4.3.2.2.</w:t>
            </w:r>
          </w:p>
          <w:p w14:paraId="4D95983A" w14:textId="77777777" w:rsidR="008F3EC3" w:rsidRPr="000319BD" w:rsidRDefault="008F3EC3" w:rsidP="00BD7C37">
            <w:pPr>
              <w:pStyle w:val="Prrafodelista"/>
              <w:numPr>
                <w:ilvl w:val="0"/>
                <w:numId w:val="17"/>
              </w:numPr>
              <w:snapToGrid w:val="0"/>
              <w:spacing w:before="120" w:after="120" w:line="276" w:lineRule="auto"/>
              <w:ind w:left="714" w:hanging="357"/>
              <w:contextualSpacing w:val="0"/>
              <w:rPr>
                <w:rFonts w:ascii="Verdana" w:eastAsia="Calibri" w:hAnsi="Verdana" w:cs="Arial"/>
                <w:color w:val="000000"/>
                <w:lang w:val="es-ES_tradnl" w:eastAsia="en-GB"/>
              </w:rPr>
            </w:pPr>
            <w:r w:rsidRPr="00953A20">
              <w:rPr>
                <w:rFonts w:ascii="Verdana" w:eastAsia="Calibri" w:hAnsi="Verdana" w:cs="Arial"/>
                <w:color w:val="000000"/>
                <w:lang w:val="es-ES_tradnl" w:eastAsia="en-GB"/>
              </w:rPr>
              <w:t>D</w:t>
            </w:r>
            <w:r>
              <w:rPr>
                <w:rFonts w:ascii="Verdana" w:eastAsia="Calibri" w:hAnsi="Verdana" w:cs="Arial"/>
                <w:color w:val="000000"/>
                <w:lang w:val="es-ES_tradnl" w:eastAsia="en-GB"/>
              </w:rPr>
              <w:t>ecreto</w:t>
            </w:r>
            <w:r w:rsidRPr="00953A20">
              <w:rPr>
                <w:rFonts w:ascii="Verdana" w:eastAsia="Calibri" w:hAnsi="Verdana" w:cs="Arial"/>
                <w:color w:val="000000"/>
                <w:lang w:val="es-ES_tradnl" w:eastAsia="en-GB"/>
              </w:rPr>
              <w:t xml:space="preserve"> 1081 de 2015, artículo 2.1.1.4.1.2</w:t>
            </w:r>
          </w:p>
          <w:p w14:paraId="7EFDBC89" w14:textId="77777777" w:rsidR="008F3EC3" w:rsidRPr="00793C07" w:rsidRDefault="008F3EC3" w:rsidP="00BD7C37">
            <w:pPr>
              <w:pStyle w:val="Prrafodelista"/>
              <w:numPr>
                <w:ilvl w:val="0"/>
                <w:numId w:val="17"/>
              </w:numPr>
              <w:snapToGrid w:val="0"/>
              <w:spacing w:before="120" w:after="120" w:line="276" w:lineRule="auto"/>
              <w:ind w:left="714" w:hanging="357"/>
              <w:contextualSpacing w:val="0"/>
              <w:jc w:val="both"/>
              <w:rPr>
                <w:rFonts w:ascii="Verdana" w:eastAsia="Calibri" w:hAnsi="Verdana" w:cs="Arial"/>
                <w:color w:val="000000"/>
                <w:lang w:eastAsia="es-ES"/>
              </w:rPr>
            </w:pPr>
            <w:r>
              <w:rPr>
                <w:rFonts w:ascii="Verdana" w:hAnsi="Verdana" w:cs="Arial"/>
                <w:lang w:val="es-ES_tradnl"/>
              </w:rPr>
              <w:t>Decreto 1600 de 2024.</w:t>
            </w:r>
          </w:p>
        </w:tc>
      </w:tr>
    </w:tbl>
    <w:p w14:paraId="3F6E722F" w14:textId="77777777" w:rsidR="008F3EC3" w:rsidRPr="00FE5A24" w:rsidRDefault="008F3EC3" w:rsidP="008F3EC3">
      <w:pPr>
        <w:widowControl w:val="0"/>
        <w:autoSpaceDE w:val="0"/>
        <w:autoSpaceDN w:val="0"/>
        <w:spacing w:after="0" w:line="276" w:lineRule="auto"/>
        <w:jc w:val="both"/>
        <w:rPr>
          <w:rFonts w:ascii="Verdana" w:hAnsi="Verdana" w:cs="Arial"/>
          <w:color w:val="000000" w:themeColor="text1"/>
        </w:rPr>
      </w:pPr>
    </w:p>
    <w:p w14:paraId="0B1F50CA" w14:textId="77777777" w:rsidR="008F3EC3" w:rsidRPr="00FE5A24" w:rsidRDefault="008F3EC3" w:rsidP="008F3EC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Doctrina de la Agencia Nacional de Contratación Pública:</w:t>
      </w:r>
    </w:p>
    <w:p w14:paraId="4B6B1572" w14:textId="77777777" w:rsidR="008F3EC3" w:rsidRPr="00FE5A24" w:rsidRDefault="008F3EC3" w:rsidP="008F3EC3">
      <w:pPr>
        <w:widowControl w:val="0"/>
        <w:autoSpaceDE w:val="0"/>
        <w:autoSpaceDN w:val="0"/>
        <w:spacing w:after="0" w:line="276" w:lineRule="auto"/>
        <w:jc w:val="both"/>
        <w:rPr>
          <w:rFonts w:ascii="Verdana" w:hAnsi="Verdana" w:cs="Arial"/>
          <w:color w:val="000000" w:themeColor="text1"/>
        </w:rPr>
      </w:pPr>
    </w:p>
    <w:p w14:paraId="66229BDD" w14:textId="77777777" w:rsidR="008F3EC3" w:rsidRPr="00F7651F" w:rsidRDefault="008F3EC3" w:rsidP="008F3EC3">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F7651F">
        <w:rPr>
          <w:rStyle w:val="normaltextrun"/>
          <w:rFonts w:ascii="Verdana" w:hAnsi="Verdana" w:cs="Arial"/>
          <w:color w:val="000000" w:themeColor="text1"/>
          <w:shd w:val="clear" w:color="auto" w:fill="FFFFFF"/>
          <w:lang w:val="es-ES"/>
        </w:rPr>
        <w:t>La Agencia Nacional de Contratación Pública – Colombia Compra Eficiente ha analizado</w:t>
      </w:r>
      <w:r>
        <w:rPr>
          <w:rFonts w:ascii="Verdana" w:hAnsi="Verdana" w:cs="Arial"/>
          <w:color w:val="000000" w:themeColor="text1"/>
          <w:shd w:val="clear" w:color="auto" w:fill="FFFFFF"/>
        </w:rPr>
        <w:t xml:space="preserve"> el deber de publicidad en los conceptos </w:t>
      </w:r>
      <w:r w:rsidRPr="00392E13">
        <w:rPr>
          <w:rFonts w:ascii="Verdana" w:hAnsi="Verdana" w:cs="Arial"/>
          <w:bCs/>
          <w:shd w:val="clear" w:color="auto" w:fill="FFFFFF"/>
          <w:lang w:val="es-ES_tradnl"/>
        </w:rPr>
        <w:t xml:space="preserve">CU-367 del 23 de julio de </w:t>
      </w:r>
      <w:r w:rsidRPr="00392E13">
        <w:rPr>
          <w:rFonts w:ascii="Verdana" w:hAnsi="Verdana" w:cs="Arial"/>
          <w:bCs/>
          <w:shd w:val="clear" w:color="auto" w:fill="FFFFFF"/>
          <w:lang w:val="es-ES_tradnl"/>
        </w:rPr>
        <w:lastRenderedPageBreak/>
        <w:t>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y C-804 de 2024</w:t>
      </w:r>
      <w:r w:rsidRPr="00392E13">
        <w:rPr>
          <w:rFonts w:ascii="Verdana" w:hAnsi="Verdana" w:cs="Arial"/>
          <w:bCs/>
          <w:shd w:val="clear" w:color="auto" w:fill="FFFFFF"/>
        </w:rPr>
        <w:t>, C-185 del 2</w:t>
      </w:r>
      <w:r>
        <w:rPr>
          <w:rFonts w:ascii="Verdana" w:hAnsi="Verdana" w:cs="Arial"/>
          <w:bCs/>
          <w:shd w:val="clear" w:color="auto" w:fill="FFFFFF"/>
        </w:rPr>
        <w:t>4 de marzo de 2025, C-487 del 30 de mayo de 2025, entre otros</w:t>
      </w:r>
      <w:r>
        <w:rPr>
          <w:rFonts w:ascii="Verdana" w:hAnsi="Verdana" w:cs="Arial"/>
          <w:color w:val="000000" w:themeColor="text1"/>
          <w:shd w:val="clear" w:color="auto" w:fill="FFFFFF"/>
        </w:rPr>
        <w:t xml:space="preserve">. </w:t>
      </w:r>
      <w:r>
        <w:rPr>
          <w:rFonts w:ascii="Verdana" w:hAnsi="Verdana" w:cs="Arial"/>
          <w:bCs/>
          <w:shd w:val="clear" w:color="auto" w:fill="FFFFFF"/>
        </w:rPr>
        <w:t xml:space="preserve">En torno al alcance </w:t>
      </w:r>
      <w:r w:rsidRPr="00392E13">
        <w:rPr>
          <w:rFonts w:ascii="Verdana" w:hAnsi="Verdana" w:cs="Arial"/>
          <w:bCs/>
          <w:shd w:val="clear" w:color="auto" w:fill="FFFFFF"/>
        </w:rPr>
        <w:t>del deber de publicidad del Decreto 1081 de 2015 modific</w:t>
      </w:r>
      <w:r>
        <w:rPr>
          <w:rFonts w:ascii="Verdana" w:hAnsi="Verdana" w:cs="Arial"/>
          <w:bCs/>
          <w:shd w:val="clear" w:color="auto" w:fill="FFFFFF"/>
        </w:rPr>
        <w:t xml:space="preserve">ado por el Decreto 1600 de 2024 se expidió el Concepto C-292 del 21 de abril de 2025 y </w:t>
      </w:r>
      <w:r w:rsidRPr="00F10ACE">
        <w:rPr>
          <w:rFonts w:ascii="Verdana" w:eastAsia="Calibri" w:hAnsi="Verdana" w:cs="Arial"/>
          <w:lang w:eastAsia="es-ES_tradnl"/>
        </w:rPr>
        <w:t>C-1011 del 2 de septiembre de 2025</w:t>
      </w:r>
      <w:r>
        <w:rPr>
          <w:rFonts w:ascii="Verdana" w:hAnsi="Verdana" w:cs="Arial"/>
          <w:bCs/>
          <w:shd w:val="clear" w:color="auto" w:fill="FFFFFF"/>
        </w:rPr>
        <w:t>.</w:t>
      </w:r>
      <w:r w:rsidRPr="00392E13">
        <w:rPr>
          <w:rFonts w:ascii="Verdana" w:hAnsi="Verdana" w:cs="Arial"/>
          <w:bCs/>
          <w:shd w:val="clear" w:color="auto" w:fill="FFFFFF"/>
        </w:rPr>
        <w:t xml:space="preserve"> </w:t>
      </w:r>
      <w:r>
        <w:rPr>
          <w:rFonts w:ascii="Verdana" w:hAnsi="Verdana" w:cs="Arial"/>
          <w:color w:val="000000" w:themeColor="text1"/>
          <w:shd w:val="clear" w:color="auto" w:fill="FFFFFF"/>
        </w:rPr>
        <w:t xml:space="preserve"> </w:t>
      </w:r>
      <w:r w:rsidRPr="00FE5A24">
        <w:rPr>
          <w:rFonts w:ascii="Verdana" w:hAnsi="Verdana" w:cs="Arial"/>
          <w:color w:val="000000" w:themeColor="text1"/>
          <w:shd w:val="clear" w:color="auto" w:fill="FFFFFF"/>
        </w:rPr>
        <w:t xml:space="preserve">Estos </w:t>
      </w:r>
      <w:r w:rsidRPr="00FE5A24">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3" w:history="1">
        <w:r w:rsidRPr="00401F64">
          <w:rPr>
            <w:rStyle w:val="Hipervnculo"/>
            <w:rFonts w:ascii="Verdana" w:hAnsi="Verdana" w:cs="Arial"/>
            <w:shd w:val="clear" w:color="auto" w:fill="FFFFFF"/>
          </w:rPr>
          <w:t>https://relatoria.colombiacompra.gov.co/busqueda/conceptos</w:t>
        </w:r>
      </w:hyperlink>
      <w:r w:rsidRPr="003A7064">
        <w:rPr>
          <w:rStyle w:val="Hipervnculo"/>
          <w:rFonts w:ascii="Verdana" w:hAnsi="Verdana"/>
        </w:rPr>
        <w:t>.</w:t>
      </w:r>
      <w:r w:rsidRPr="00FE5A24">
        <w:rPr>
          <w:rStyle w:val="normaltextrun"/>
          <w:rFonts w:ascii="Verdana" w:hAnsi="Verdana" w:cs="Arial"/>
          <w:color w:val="000000" w:themeColor="text1"/>
          <w:shd w:val="clear" w:color="auto" w:fill="FFFFFF"/>
        </w:rPr>
        <w:t xml:space="preserve"> </w:t>
      </w:r>
      <w:r w:rsidRPr="00FE5A24">
        <w:rPr>
          <w:rStyle w:val="normaltextrun"/>
          <w:rFonts w:ascii="Verdana" w:hAnsi="Verdana" w:cs="Arial"/>
          <w:color w:val="000000" w:themeColor="text1"/>
          <w:shd w:val="clear" w:color="auto" w:fill="FFFFFF"/>
          <w:lang w:val="es-ES"/>
        </w:rPr>
        <w:t xml:space="preserve"> </w:t>
      </w:r>
    </w:p>
    <w:p w14:paraId="58C26B3D" w14:textId="77777777" w:rsidR="008F3EC3" w:rsidRDefault="008F3EC3" w:rsidP="008F3EC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598E9F6" w14:textId="77777777" w:rsidR="008F3EC3" w:rsidRDefault="008F3EC3" w:rsidP="008F3EC3">
      <w:pPr>
        <w:spacing w:after="0" w:line="276" w:lineRule="auto"/>
        <w:jc w:val="both"/>
        <w:rPr>
          <w:rFonts w:ascii="Verdana" w:hAnsi="Verdana"/>
        </w:rPr>
      </w:pPr>
      <w:r w:rsidRPr="00C87B02">
        <w:rPr>
          <w:rFonts w:ascii="Verdana" w:hAnsi="Verdana"/>
        </w:rPr>
        <w:t>Le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16 de mayo de 2025.  Puede consultar la información en el siguiente enlace:</w:t>
      </w:r>
      <w:r w:rsidRPr="00C87B02">
        <w:rPr>
          <w:rFonts w:ascii="Verdana" w:hAnsi="Verdana"/>
          <w:b/>
          <w:bCs/>
        </w:rPr>
        <w:t> </w:t>
      </w:r>
      <w:hyperlink r:id="rId14" w:tgtFrame="_blank" w:tooltip="Original URL: https://www.colombiacompra.gov.co/normativa-y-relatoria/documentos-tipo. Click or tap if you trust this link." w:history="1">
        <w:r w:rsidRPr="00C87B02">
          <w:rPr>
            <w:rStyle w:val="Hipervnculo"/>
            <w:rFonts w:ascii="Verdana" w:hAnsi="Verdana"/>
          </w:rPr>
          <w:t>Documentos Tipo – ANCP Colombia Compra Eficiente</w:t>
        </w:r>
      </w:hyperlink>
      <w:r w:rsidRPr="00C87B02">
        <w:rPr>
          <w:rFonts w:ascii="Verdana" w:hAnsi="Verdana"/>
        </w:rPr>
        <w:t>.</w:t>
      </w:r>
    </w:p>
    <w:p w14:paraId="4654644C" w14:textId="77777777" w:rsidR="008F3EC3" w:rsidRPr="00C87B02" w:rsidRDefault="008F3EC3" w:rsidP="008F3EC3">
      <w:pPr>
        <w:spacing w:after="0" w:line="276" w:lineRule="auto"/>
        <w:jc w:val="both"/>
        <w:rPr>
          <w:rFonts w:ascii="Verdana" w:hAnsi="Verdana"/>
        </w:rPr>
      </w:pPr>
    </w:p>
    <w:p w14:paraId="2E98A0F6" w14:textId="77777777" w:rsidR="008F3EC3" w:rsidRPr="003E2460" w:rsidRDefault="008F3EC3" w:rsidP="008F3EC3">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3063BFAE" w14:textId="77777777" w:rsidR="008F3EC3" w:rsidRPr="003E2460" w:rsidRDefault="008F3EC3" w:rsidP="008F3EC3">
      <w:pPr>
        <w:spacing w:after="0" w:line="276" w:lineRule="auto"/>
        <w:jc w:val="both"/>
        <w:rPr>
          <w:rFonts w:ascii="Verdana" w:hAnsi="Verdana"/>
        </w:rPr>
      </w:pPr>
    </w:p>
    <w:p w14:paraId="7DBD4688" w14:textId="77777777" w:rsidR="008F3EC3" w:rsidRPr="003E2460" w:rsidRDefault="008F3EC3" w:rsidP="008F3EC3">
      <w:pPr>
        <w:spacing w:after="0" w:line="276"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6147C4D1" w14:textId="77777777" w:rsidR="008F3EC3" w:rsidRPr="003E2460" w:rsidRDefault="008F3EC3" w:rsidP="008F3EC3">
      <w:pPr>
        <w:spacing w:after="0" w:line="276" w:lineRule="auto"/>
        <w:jc w:val="both"/>
        <w:rPr>
          <w:rFonts w:ascii="Verdana" w:hAnsi="Verdana"/>
        </w:rPr>
      </w:pPr>
      <w:r w:rsidRPr="003E2460">
        <w:rPr>
          <w:rFonts w:ascii="Verdana" w:hAnsi="Verdana"/>
        </w:rPr>
        <w:t xml:space="preserve">Facebook: </w:t>
      </w:r>
      <w:proofErr w:type="spellStart"/>
      <w:r w:rsidRPr="00386BAA">
        <w:rPr>
          <w:rStyle w:val="Hipervnculo"/>
          <w:rFonts w:ascii="Verdana" w:hAnsi="Verdana" w:cs="Arial"/>
          <w:shd w:val="clear" w:color="auto" w:fill="FFFFFF"/>
        </w:rPr>
        <w:t>ColombiaCompraEficiente</w:t>
      </w:r>
      <w:proofErr w:type="spellEnd"/>
    </w:p>
    <w:p w14:paraId="1956780B" w14:textId="77777777" w:rsidR="008F3EC3" w:rsidRPr="003E2460" w:rsidRDefault="008F3EC3" w:rsidP="008F3EC3">
      <w:pPr>
        <w:spacing w:after="0" w:line="276"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A7064">
        <w:rPr>
          <w:rStyle w:val="Hipervnculo"/>
          <w:rFonts w:ascii="Verdana" w:hAnsi="Verdana"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254809FA" w14:textId="77777777" w:rsidR="008F3EC3" w:rsidRPr="00FE5A24" w:rsidRDefault="008F3EC3" w:rsidP="008F3EC3">
      <w:pPr>
        <w:widowControl w:val="0"/>
        <w:autoSpaceDE w:val="0"/>
        <w:autoSpaceDN w:val="0"/>
        <w:spacing w:after="0" w:line="276" w:lineRule="auto"/>
        <w:jc w:val="both"/>
        <w:rPr>
          <w:rFonts w:ascii="Verdana" w:hAnsi="Verdana" w:cs="Arial"/>
          <w:color w:val="000000" w:themeColor="text1"/>
        </w:rPr>
      </w:pPr>
    </w:p>
    <w:p w14:paraId="57B37657" w14:textId="77777777" w:rsidR="008F3EC3" w:rsidRPr="00FE5A24" w:rsidRDefault="008F3EC3" w:rsidP="008F3EC3">
      <w:pPr>
        <w:widowControl w:val="0"/>
        <w:autoSpaceDE w:val="0"/>
        <w:autoSpaceDN w:val="0"/>
        <w:spacing w:after="0" w:line="276" w:lineRule="auto"/>
        <w:jc w:val="both"/>
        <w:rPr>
          <w:rFonts w:ascii="Verdana" w:hAnsi="Verdana" w:cs="Arial"/>
          <w:color w:val="000000" w:themeColor="text1"/>
          <w:lang w:val="es-ES_tradnl"/>
        </w:rPr>
      </w:pPr>
      <w:r w:rsidRPr="00FE5A24">
        <w:rPr>
          <w:rFonts w:ascii="Verdana" w:hAnsi="Verdana" w:cs="Arial"/>
          <w:color w:val="000000" w:themeColor="text1"/>
        </w:rPr>
        <w:t xml:space="preserve">Este concepto tiene el alcance previsto en el artículo 28 del Código de Procedimiento Administrativo y de lo Contencioso Administrativo </w:t>
      </w:r>
      <w:r w:rsidRPr="00FE5A24">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1ACFBC21" w14:textId="77777777" w:rsidR="008F3EC3" w:rsidRPr="00FE5A24" w:rsidRDefault="008F3EC3" w:rsidP="008F3EC3">
      <w:pPr>
        <w:widowControl w:val="0"/>
        <w:autoSpaceDE w:val="0"/>
        <w:autoSpaceDN w:val="0"/>
        <w:spacing w:after="0" w:line="276" w:lineRule="auto"/>
        <w:jc w:val="both"/>
        <w:rPr>
          <w:rFonts w:ascii="Verdana" w:hAnsi="Verdana" w:cs="Arial"/>
          <w:color w:val="000000" w:themeColor="text1"/>
        </w:rPr>
      </w:pPr>
    </w:p>
    <w:p w14:paraId="2E70ED45" w14:textId="77777777" w:rsidR="008F3EC3" w:rsidRPr="00FE5A24" w:rsidRDefault="008F3EC3" w:rsidP="008F3EC3">
      <w:pPr>
        <w:spacing w:after="0" w:line="276" w:lineRule="auto"/>
        <w:rPr>
          <w:rFonts w:ascii="Verdana" w:hAnsi="Verdana" w:cs="Arial"/>
          <w:color w:val="000000" w:themeColor="text1"/>
          <w:lang w:eastAsia="es-CO"/>
        </w:rPr>
      </w:pPr>
      <w:r w:rsidRPr="00FE5A24">
        <w:rPr>
          <w:rFonts w:ascii="Verdana" w:eastAsia="Times New Roman" w:hAnsi="Verdana" w:cs="Arial"/>
          <w:color w:val="000000" w:themeColor="text1"/>
          <w:lang w:eastAsia="es-CO"/>
        </w:rPr>
        <w:t>Atentamente,</w:t>
      </w:r>
      <w:r w:rsidRPr="00FE5A24">
        <w:rPr>
          <w:rFonts w:ascii="Verdana" w:hAnsi="Verdana" w:cs="Arial"/>
          <w:color w:val="000000" w:themeColor="text1"/>
          <w:lang w:eastAsia="es-CO"/>
        </w:rPr>
        <w:t xml:space="preserve"> </w:t>
      </w:r>
    </w:p>
    <w:p w14:paraId="3D4B3B25" w14:textId="098DAD8A" w:rsidR="008F3EC3" w:rsidRPr="00FE5A24" w:rsidRDefault="008F3EC3" w:rsidP="008F3EC3">
      <w:pPr>
        <w:spacing w:line="276" w:lineRule="auto"/>
        <w:jc w:val="center"/>
        <w:rPr>
          <w:rFonts w:ascii="Verdana" w:hAnsi="Verdana" w:cs="Arial"/>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F3EC3" w:rsidRPr="003751C7" w14:paraId="4CC24169" w14:textId="77777777" w:rsidTr="00BD7C37">
        <w:trPr>
          <w:trHeight w:val="315"/>
        </w:trPr>
        <w:tc>
          <w:tcPr>
            <w:tcW w:w="893" w:type="dxa"/>
            <w:vAlign w:val="center"/>
            <w:hideMark/>
          </w:tcPr>
          <w:bookmarkEnd w:id="0"/>
          <w:p w14:paraId="0A28D46F" w14:textId="77777777" w:rsidR="008F3EC3" w:rsidRPr="003751C7" w:rsidRDefault="008F3EC3" w:rsidP="00BD7C37">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5B6A5F91" w14:textId="0912DFBA" w:rsidR="008F3EC3" w:rsidRPr="00FF1EF8" w:rsidRDefault="008F3EC3" w:rsidP="00BD7C37">
            <w:pPr>
              <w:contextualSpacing/>
              <w:rPr>
                <w:rFonts w:ascii="Verdana" w:eastAsia="Arial" w:hAnsi="Verdana" w:cs="Arial"/>
                <w:color w:val="000000" w:themeColor="text1"/>
                <w:sz w:val="16"/>
                <w:szCs w:val="16"/>
              </w:rPr>
            </w:pPr>
            <w:r w:rsidRPr="00FF1EF8">
              <w:rPr>
                <w:rFonts w:ascii="Verdana" w:eastAsia="Arial" w:hAnsi="Verdana" w:cs="Arial"/>
                <w:color w:val="000000" w:themeColor="text1"/>
                <w:sz w:val="16"/>
                <w:szCs w:val="16"/>
              </w:rPr>
              <w:t>Anamaría Bonilla Prieto</w:t>
            </w:r>
          </w:p>
          <w:p w14:paraId="1AE13530" w14:textId="77777777" w:rsidR="008F3EC3" w:rsidRPr="003751C7" w:rsidRDefault="008F3EC3" w:rsidP="00BD7C37">
            <w:pPr>
              <w:contextualSpacing/>
              <w:rPr>
                <w:rFonts w:ascii="Verdana" w:eastAsia="Arial" w:hAnsi="Verdana" w:cs="Arial"/>
                <w:sz w:val="16"/>
                <w:szCs w:val="16"/>
              </w:rPr>
            </w:pPr>
            <w:r w:rsidRPr="00FF1EF8">
              <w:rPr>
                <w:rStyle w:val="normaltextrun"/>
                <w:rFonts w:ascii="Verdana" w:eastAsia="Arial" w:hAnsi="Verdana" w:cs="Arial"/>
                <w:color w:val="000000" w:themeColor="text1"/>
                <w:sz w:val="16"/>
                <w:szCs w:val="16"/>
              </w:rPr>
              <w:t xml:space="preserve">Contratista de la Subdirección </w:t>
            </w:r>
            <w:r w:rsidRPr="003751C7">
              <w:rPr>
                <w:rStyle w:val="normaltextrun"/>
                <w:rFonts w:ascii="Verdana" w:eastAsia="Arial" w:hAnsi="Verdana" w:cs="Arial"/>
                <w:sz w:val="16"/>
                <w:szCs w:val="16"/>
              </w:rPr>
              <w:t>de Gestión Contractual</w:t>
            </w:r>
          </w:p>
        </w:tc>
      </w:tr>
      <w:tr w:rsidR="008F3EC3" w:rsidRPr="003751C7" w14:paraId="0AEB2929" w14:textId="77777777" w:rsidTr="00BD7C37">
        <w:trPr>
          <w:trHeight w:val="330"/>
        </w:trPr>
        <w:tc>
          <w:tcPr>
            <w:tcW w:w="893" w:type="dxa"/>
            <w:vAlign w:val="center"/>
            <w:hideMark/>
          </w:tcPr>
          <w:p w14:paraId="53544437" w14:textId="77777777" w:rsidR="008F3EC3" w:rsidRPr="003751C7" w:rsidRDefault="008F3EC3" w:rsidP="00BD7C3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C9E179" w14:textId="0CA70425" w:rsidR="008F3EC3" w:rsidRPr="003C29CC" w:rsidRDefault="008F3EC3" w:rsidP="00BD7C37">
            <w:pPr>
              <w:contextualSpacing/>
              <w:rPr>
                <w:rFonts w:ascii="Verdana" w:eastAsia="Arial" w:hAnsi="Verdana" w:cs="Arial"/>
                <w:color w:val="000000" w:themeColor="text1"/>
                <w:sz w:val="16"/>
                <w:szCs w:val="16"/>
              </w:rPr>
            </w:pPr>
            <w:r w:rsidRPr="003C29CC">
              <w:rPr>
                <w:rFonts w:ascii="Verdana" w:eastAsia="Arial" w:hAnsi="Verdana" w:cs="Arial"/>
                <w:color w:val="000000" w:themeColor="text1"/>
                <w:sz w:val="16"/>
                <w:szCs w:val="16"/>
              </w:rPr>
              <w:t>Alejandro Sarmiento Cantillo</w:t>
            </w:r>
          </w:p>
          <w:p w14:paraId="75DBC395" w14:textId="77777777" w:rsidR="008F3EC3" w:rsidRPr="003C29CC" w:rsidRDefault="008F3EC3" w:rsidP="00BD7C37">
            <w:pPr>
              <w:contextualSpacing/>
              <w:rPr>
                <w:rFonts w:ascii="Verdana" w:hAnsi="Verdana" w:cs="Segoe UI"/>
                <w:sz w:val="16"/>
                <w:szCs w:val="16"/>
                <w:lang w:val="es-ES"/>
              </w:rPr>
            </w:pPr>
            <w:r w:rsidRPr="003C29CC">
              <w:rPr>
                <w:rFonts w:ascii="Verdana" w:eastAsia="Arial" w:hAnsi="Verdana" w:cs="Arial"/>
                <w:color w:val="000000" w:themeColor="text1"/>
                <w:sz w:val="16"/>
                <w:szCs w:val="16"/>
              </w:rPr>
              <w:t>Gestor T1 – 15 de la Subdirección de Gestión Contractual</w:t>
            </w:r>
            <w:r w:rsidRPr="003C29CC">
              <w:rPr>
                <w:rFonts w:ascii="Verdana" w:hAnsi="Verdana" w:cs="Segoe UI"/>
                <w:sz w:val="16"/>
                <w:szCs w:val="16"/>
                <w:lang w:val="es-ES"/>
              </w:rPr>
              <w:t> </w:t>
            </w:r>
          </w:p>
        </w:tc>
      </w:tr>
      <w:tr w:rsidR="008F3EC3" w:rsidRPr="003751C7" w14:paraId="7C47DC89" w14:textId="77777777" w:rsidTr="00BD7C37">
        <w:trPr>
          <w:trHeight w:val="300"/>
        </w:trPr>
        <w:tc>
          <w:tcPr>
            <w:tcW w:w="893" w:type="dxa"/>
            <w:vAlign w:val="center"/>
          </w:tcPr>
          <w:p w14:paraId="7A96D173" w14:textId="77777777" w:rsidR="008F3EC3" w:rsidRPr="003751C7" w:rsidRDefault="008F3EC3" w:rsidP="00BD7C3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6EE1487" w14:textId="13F96CE4" w:rsidR="008F3EC3" w:rsidRPr="003751C7" w:rsidRDefault="008F3EC3" w:rsidP="00BD7C37">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76963A4F" w14:textId="77777777" w:rsidR="008F3EC3" w:rsidRPr="003751C7" w:rsidRDefault="008F3EC3" w:rsidP="00BD7C37">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6BE46D13" w14:textId="62D32A30" w:rsidR="008F3EC3" w:rsidRPr="0044528D" w:rsidRDefault="00FE5C8E" w:rsidP="008F3EC3">
      <w:pPr>
        <w:spacing w:after="0"/>
        <w:rPr>
          <w:rFonts w:ascii="Verdana" w:hAnsi="Verdana"/>
        </w:rPr>
      </w:pPr>
      <w:r w:rsidRPr="002C3AD6">
        <w:rPr>
          <w:rFonts w:ascii="Century Gothic" w:hAnsi="Century Gothic"/>
          <w:noProof/>
        </w:rPr>
        <w:drawing>
          <wp:anchor distT="0" distB="0" distL="114300" distR="114300" simplePos="0" relativeHeight="251660288" behindDoc="0" locked="0" layoutInCell="1" allowOverlap="1" wp14:anchorId="6821BA33" wp14:editId="776D08F1">
            <wp:simplePos x="0" y="0"/>
            <wp:positionH relativeFrom="column">
              <wp:posOffset>973722</wp:posOffset>
            </wp:positionH>
            <wp:positionV relativeFrom="paragraph">
              <wp:posOffset>-2067560</wp:posOffset>
            </wp:positionV>
            <wp:extent cx="3510280" cy="1303020"/>
            <wp:effectExtent l="0" t="0" r="0" b="508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510280" cy="1303020"/>
                    </a:xfrm>
                    <a:prstGeom prst="rect">
                      <a:avLst/>
                    </a:prstGeom>
                  </pic:spPr>
                </pic:pic>
              </a:graphicData>
            </a:graphic>
            <wp14:sizeRelH relativeFrom="page">
              <wp14:pctWidth>0</wp14:pctWidth>
            </wp14:sizeRelH>
            <wp14:sizeRelV relativeFrom="page">
              <wp14:pctHeight>0</wp14:pctHeight>
            </wp14:sizeRelV>
          </wp:anchor>
        </w:drawing>
      </w:r>
    </w:p>
    <w:p w14:paraId="0F293BF4" w14:textId="5334F0B5" w:rsidR="00127233" w:rsidRPr="008F3EC3" w:rsidRDefault="00127233" w:rsidP="008F3EC3"/>
    <w:sectPr w:rsidR="00127233" w:rsidRPr="008F3EC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D1B20" w14:textId="77777777" w:rsidR="007144DF" w:rsidRDefault="007144DF" w:rsidP="004A1847">
      <w:pPr>
        <w:spacing w:after="0" w:line="240" w:lineRule="auto"/>
      </w:pPr>
      <w:r>
        <w:separator/>
      </w:r>
    </w:p>
  </w:endnote>
  <w:endnote w:type="continuationSeparator" w:id="0">
    <w:p w14:paraId="24AD241B" w14:textId="77777777" w:rsidR="007144DF" w:rsidRDefault="007144DF" w:rsidP="004A1847">
      <w:pPr>
        <w:spacing w:after="0" w:line="240" w:lineRule="auto"/>
      </w:pPr>
      <w:r>
        <w:continuationSeparator/>
      </w:r>
    </w:p>
  </w:endnote>
  <w:endnote w:type="continuationNotice" w:id="1">
    <w:p w14:paraId="6C6D76C0" w14:textId="77777777" w:rsidR="007144DF" w:rsidRDefault="007144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42758F" w14:textId="77777777" w:rsidR="007144DF" w:rsidRDefault="007144DF" w:rsidP="004A1847">
      <w:pPr>
        <w:spacing w:after="0" w:line="240" w:lineRule="auto"/>
      </w:pPr>
      <w:r>
        <w:separator/>
      </w:r>
    </w:p>
  </w:footnote>
  <w:footnote w:type="continuationSeparator" w:id="0">
    <w:p w14:paraId="10C8D2C6" w14:textId="77777777" w:rsidR="007144DF" w:rsidRDefault="007144DF" w:rsidP="004A1847">
      <w:pPr>
        <w:spacing w:after="0" w:line="240" w:lineRule="auto"/>
      </w:pPr>
      <w:r>
        <w:continuationSeparator/>
      </w:r>
    </w:p>
  </w:footnote>
  <w:footnote w:type="continuationNotice" w:id="1">
    <w:p w14:paraId="6112BACE" w14:textId="77777777" w:rsidR="007144DF" w:rsidRDefault="007144DF">
      <w:pPr>
        <w:spacing w:after="0" w:line="240" w:lineRule="auto"/>
      </w:pPr>
    </w:p>
  </w:footnote>
  <w:footnote w:id="2">
    <w:p w14:paraId="6D557E91"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Style w:val="Refdenotaalpie"/>
          <w:rFonts w:ascii="Verdana" w:hAnsi="Verdana" w:cs="Arial"/>
          <w:color w:val="000000" w:themeColor="text1"/>
          <w:sz w:val="16"/>
          <w:szCs w:val="16"/>
        </w:rPr>
        <w:footnoteRef/>
      </w:r>
      <w:r w:rsidRPr="00155453">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footnote>
  <w:footnote w:id="3">
    <w:p w14:paraId="03E58048" w14:textId="77777777" w:rsidR="008F3EC3" w:rsidRPr="00155453" w:rsidRDefault="008F3EC3" w:rsidP="008F3EC3">
      <w:pPr>
        <w:pStyle w:val="Textonotapie"/>
        <w:ind w:firstLine="708"/>
        <w:jc w:val="both"/>
        <w:rPr>
          <w:rFonts w:ascii="Verdana" w:hAnsi="Verdana" w:cs="Arial"/>
          <w:color w:val="000000" w:themeColor="text1"/>
          <w:sz w:val="16"/>
          <w:szCs w:val="16"/>
        </w:rPr>
      </w:pPr>
      <w:r w:rsidRPr="00155453">
        <w:rPr>
          <w:rStyle w:val="Refdenotaalpie"/>
          <w:rFonts w:ascii="Verdana" w:hAnsi="Verdana" w:cs="Arial"/>
          <w:color w:val="000000" w:themeColor="text1"/>
          <w:sz w:val="16"/>
          <w:szCs w:val="16"/>
        </w:rPr>
        <w:footnoteRef/>
      </w:r>
      <w:r w:rsidRPr="00155453">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16770A86"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footnote>
  <w:footnote w:id="4">
    <w:p w14:paraId="6FDB6B47"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Fonts w:ascii="Verdana" w:eastAsia="Times New Roman" w:hAnsi="Verdana" w:cs="Arial"/>
          <w:color w:val="000000" w:themeColor="text1"/>
          <w:sz w:val="16"/>
          <w:szCs w:val="16"/>
          <w:vertAlign w:val="superscript"/>
          <w:lang w:val="es-ES" w:eastAsia="es-ES"/>
        </w:rPr>
        <w:footnoteRef/>
      </w:r>
      <w:r w:rsidRPr="00155453">
        <w:rPr>
          <w:rFonts w:ascii="Verdana" w:eastAsia="Times New Roman" w:hAnsi="Verdana" w:cs="Arial"/>
          <w:color w:val="000000" w:themeColor="text1"/>
          <w:sz w:val="16"/>
          <w:szCs w:val="16"/>
          <w:vertAlign w:val="superscript"/>
          <w:lang w:val="es-ES" w:eastAsia="es-ES"/>
        </w:rPr>
        <w:t xml:space="preserve"> </w:t>
      </w:r>
      <w:r w:rsidRPr="00155453">
        <w:rPr>
          <w:rFonts w:ascii="Verdana" w:eastAsia="Times New Roman" w:hAnsi="Verdana" w:cs="Arial"/>
          <w:color w:val="000000" w:themeColor="text1"/>
          <w:sz w:val="16"/>
          <w:szCs w:val="16"/>
          <w:lang w:val="es-ES" w:eastAsia="es-ES"/>
        </w:rPr>
        <w:t>«</w:t>
      </w:r>
      <w:r w:rsidRPr="00155453">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4FAF7043" w14:textId="77777777" w:rsidR="008F3EC3" w:rsidRPr="00155453" w:rsidRDefault="008F3EC3" w:rsidP="008F3EC3">
      <w:pPr>
        <w:pStyle w:val="Textonotapie"/>
        <w:ind w:firstLine="709"/>
        <w:jc w:val="both"/>
        <w:rPr>
          <w:rFonts w:ascii="Verdana" w:eastAsia="Times New Roman" w:hAnsi="Verdana" w:cs="Arial"/>
          <w:color w:val="000000" w:themeColor="text1"/>
          <w:sz w:val="16"/>
          <w:szCs w:val="16"/>
          <w:lang w:val="es-ES" w:eastAsia="es-ES"/>
        </w:rPr>
      </w:pPr>
      <w:r w:rsidRPr="00155453">
        <w:rPr>
          <w:rFonts w:ascii="Verdana" w:hAnsi="Verdana" w:cs="Arial"/>
          <w:color w:val="000000" w:themeColor="text1"/>
          <w:sz w:val="16"/>
          <w:szCs w:val="16"/>
        </w:rPr>
        <w:t>[…].</w:t>
      </w:r>
    </w:p>
    <w:p w14:paraId="1872A2B8" w14:textId="77777777" w:rsidR="008F3EC3" w:rsidRPr="00155453" w:rsidRDefault="008F3EC3" w:rsidP="008F3EC3">
      <w:pPr>
        <w:pStyle w:val="Textonotapie"/>
        <w:ind w:firstLine="709"/>
        <w:jc w:val="both"/>
        <w:rPr>
          <w:rFonts w:ascii="Verdana" w:eastAsia="Times New Roman" w:hAnsi="Verdana" w:cs="Arial"/>
          <w:color w:val="000000" w:themeColor="text1"/>
          <w:sz w:val="16"/>
          <w:szCs w:val="16"/>
          <w:lang w:val="es-ES" w:eastAsia="es-ES"/>
        </w:rPr>
      </w:pPr>
      <w:r w:rsidRPr="00155453">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5">
    <w:p w14:paraId="00D9214C" w14:textId="77777777" w:rsidR="008F3EC3" w:rsidRPr="00155453" w:rsidRDefault="008F3EC3" w:rsidP="008F3EC3">
      <w:pPr>
        <w:pStyle w:val="Textonotapie"/>
        <w:ind w:firstLine="709"/>
        <w:jc w:val="both"/>
        <w:rPr>
          <w:rFonts w:ascii="Verdana" w:hAnsi="Verdana" w:cs="Arial"/>
          <w:sz w:val="16"/>
          <w:szCs w:val="16"/>
          <w:lang w:val="es-ES"/>
        </w:rPr>
      </w:pPr>
      <w:r w:rsidRPr="00155453">
        <w:rPr>
          <w:rStyle w:val="Refdenotaalpie"/>
          <w:rFonts w:ascii="Verdana" w:hAnsi="Verdana" w:cs="Arial"/>
          <w:sz w:val="16"/>
          <w:szCs w:val="16"/>
        </w:rPr>
        <w:footnoteRef/>
      </w:r>
      <w:r w:rsidRPr="00155453">
        <w:rPr>
          <w:rFonts w:ascii="Verdana" w:hAnsi="Verdana" w:cs="Arial"/>
          <w:sz w:val="16"/>
          <w:szCs w:val="16"/>
        </w:rPr>
        <w:t xml:space="preserve"> </w:t>
      </w:r>
      <w:r w:rsidRPr="00155453">
        <w:rPr>
          <w:rFonts w:ascii="Verdana" w:hAnsi="Verdana" w:cs="Arial"/>
          <w:sz w:val="16"/>
          <w:szCs w:val="16"/>
          <w:lang w:val="es-ES"/>
        </w:rPr>
        <w:t>BOBBIO, Norberto. Democracia y secreto. México: Fondo de Cultura Económica, 2013. p. 27.</w:t>
      </w:r>
    </w:p>
  </w:footnote>
  <w:footnote w:id="6">
    <w:p w14:paraId="24DF19C8"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Style w:val="Refdenotaalpie"/>
          <w:rFonts w:ascii="Verdana" w:hAnsi="Verdana" w:cs="Arial"/>
          <w:color w:val="000000" w:themeColor="text1"/>
          <w:sz w:val="16"/>
          <w:szCs w:val="16"/>
        </w:rPr>
        <w:footnoteRef/>
      </w:r>
      <w:r w:rsidRPr="00155453">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1DECD7D7"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Fonts w:ascii="Verdana" w:hAnsi="Verdana" w:cs="Arial"/>
          <w:color w:val="000000" w:themeColor="text1"/>
          <w:sz w:val="16"/>
          <w:szCs w:val="16"/>
        </w:rPr>
        <w:t>Lo anterior, sin perjuicio de las publicaciones previstas en el numeral 3 del artículo 30 de la Ley 80 de 1993.</w:t>
      </w:r>
    </w:p>
    <w:p w14:paraId="22210B57"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68BCDB96"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Fonts w:ascii="Verdana" w:hAnsi="Verdana" w:cs="Arial"/>
          <w:color w:val="000000" w:themeColor="text1"/>
          <w:sz w:val="16"/>
          <w:szCs w:val="16"/>
        </w:rPr>
        <w:t>[…]</w:t>
      </w:r>
    </w:p>
    <w:p w14:paraId="3040FCEC"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footnote>
  <w:footnote w:id="7">
    <w:p w14:paraId="4833A96C"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Style w:val="Refdenotaalpie"/>
          <w:rFonts w:ascii="Verdana" w:hAnsi="Verdana" w:cs="Arial"/>
          <w:color w:val="000000" w:themeColor="text1"/>
          <w:sz w:val="16"/>
          <w:szCs w:val="16"/>
        </w:rPr>
        <w:footnoteRef/>
      </w:r>
      <w:r w:rsidRPr="00155453">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footnote>
  <w:footnote w:id="8">
    <w:p w14:paraId="00F77D37"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Style w:val="Refdenotaalpie"/>
          <w:rFonts w:ascii="Verdana" w:hAnsi="Verdana" w:cs="Arial"/>
          <w:color w:val="000000" w:themeColor="text1"/>
          <w:sz w:val="16"/>
          <w:szCs w:val="16"/>
        </w:rPr>
        <w:footnoteRef/>
      </w:r>
      <w:r w:rsidRPr="00155453">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318B4674"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footnote>
  <w:footnote w:id="9">
    <w:p w14:paraId="471A8EB5" w14:textId="77777777" w:rsidR="008F3EC3" w:rsidRPr="00155453" w:rsidRDefault="008F3EC3" w:rsidP="008F3EC3">
      <w:pPr>
        <w:pStyle w:val="Textonotapie"/>
        <w:ind w:firstLine="709"/>
        <w:jc w:val="both"/>
        <w:rPr>
          <w:rFonts w:ascii="Verdana" w:hAnsi="Verdana" w:cs="Arial"/>
          <w:color w:val="000000" w:themeColor="text1"/>
          <w:sz w:val="16"/>
          <w:szCs w:val="16"/>
        </w:rPr>
      </w:pPr>
      <w:r w:rsidRPr="00155453">
        <w:rPr>
          <w:rFonts w:ascii="Verdana" w:eastAsia="Times New Roman" w:hAnsi="Verdana" w:cs="Arial"/>
          <w:color w:val="000000" w:themeColor="text1"/>
          <w:sz w:val="16"/>
          <w:szCs w:val="16"/>
          <w:vertAlign w:val="superscript"/>
          <w:lang w:val="es-ES" w:eastAsia="es-ES"/>
        </w:rPr>
        <w:footnoteRef/>
      </w:r>
      <w:r w:rsidRPr="00155453">
        <w:rPr>
          <w:rFonts w:ascii="Verdana" w:eastAsia="Times New Roman" w:hAnsi="Verdana" w:cs="Arial"/>
          <w:color w:val="000000" w:themeColor="text1"/>
          <w:sz w:val="16"/>
          <w:szCs w:val="16"/>
          <w:vertAlign w:val="superscript"/>
          <w:lang w:val="es-ES" w:eastAsia="es-ES"/>
        </w:rPr>
        <w:t xml:space="preserve"> </w:t>
      </w:r>
      <w:r w:rsidRPr="00155453">
        <w:rPr>
          <w:rFonts w:ascii="Verdana" w:eastAsia="Times New Roman" w:hAnsi="Verdana" w:cs="Arial"/>
          <w:color w:val="000000" w:themeColor="text1"/>
          <w:sz w:val="16"/>
          <w:szCs w:val="16"/>
          <w:lang w:val="es-ES" w:eastAsia="es-ES"/>
        </w:rPr>
        <w:t>«</w:t>
      </w:r>
      <w:r w:rsidRPr="00155453">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60E18E6E" w14:textId="77777777" w:rsidR="008F3EC3" w:rsidRPr="00155453" w:rsidRDefault="008F3EC3" w:rsidP="008F3EC3">
      <w:pPr>
        <w:pStyle w:val="Textonotapie"/>
        <w:ind w:firstLine="709"/>
        <w:jc w:val="both"/>
        <w:rPr>
          <w:rFonts w:ascii="Verdana" w:eastAsia="Times New Roman" w:hAnsi="Verdana" w:cs="Arial"/>
          <w:color w:val="000000" w:themeColor="text1"/>
          <w:sz w:val="16"/>
          <w:szCs w:val="16"/>
          <w:lang w:val="es-ES" w:eastAsia="es-ES"/>
        </w:rPr>
      </w:pPr>
      <w:r w:rsidRPr="00155453">
        <w:rPr>
          <w:rFonts w:ascii="Verdana" w:hAnsi="Verdana" w:cs="Arial"/>
          <w:color w:val="000000" w:themeColor="text1"/>
          <w:sz w:val="16"/>
          <w:szCs w:val="16"/>
        </w:rPr>
        <w:t>[…].</w:t>
      </w:r>
    </w:p>
    <w:p w14:paraId="4821FDDC" w14:textId="77777777" w:rsidR="008F3EC3" w:rsidRPr="00155453" w:rsidRDefault="008F3EC3" w:rsidP="008F3EC3">
      <w:pPr>
        <w:pStyle w:val="Textonotapie"/>
        <w:ind w:firstLine="709"/>
        <w:jc w:val="both"/>
        <w:rPr>
          <w:rFonts w:ascii="Verdana" w:eastAsia="Times New Roman" w:hAnsi="Verdana" w:cs="Arial"/>
          <w:color w:val="000000" w:themeColor="text1"/>
          <w:sz w:val="16"/>
          <w:szCs w:val="16"/>
          <w:lang w:val="es-ES" w:eastAsia="es-ES"/>
        </w:rPr>
      </w:pPr>
      <w:r w:rsidRPr="00155453">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10">
    <w:p w14:paraId="5B14A9FA" w14:textId="77777777" w:rsidR="008F3EC3" w:rsidRPr="00155453" w:rsidRDefault="008F3EC3" w:rsidP="008F3EC3">
      <w:pPr>
        <w:pStyle w:val="Textonotapie"/>
        <w:ind w:firstLine="709"/>
        <w:jc w:val="both"/>
        <w:rPr>
          <w:rFonts w:ascii="Verdana" w:hAnsi="Verdana" w:cs="Arial"/>
          <w:color w:val="000000"/>
          <w:sz w:val="16"/>
          <w:szCs w:val="16"/>
        </w:rPr>
      </w:pPr>
      <w:r w:rsidRPr="00155453">
        <w:rPr>
          <w:rStyle w:val="Refdenotaalpie"/>
          <w:rFonts w:ascii="Verdana" w:hAnsi="Verdana" w:cs="Arial"/>
          <w:color w:val="000000"/>
          <w:sz w:val="16"/>
          <w:szCs w:val="16"/>
        </w:rPr>
        <w:footnoteRef/>
      </w:r>
      <w:r w:rsidRPr="00155453">
        <w:rPr>
          <w:rFonts w:ascii="Verdana" w:hAnsi="Verdana" w:cs="Arial"/>
          <w:color w:val="000000"/>
          <w:sz w:val="16"/>
          <w:szCs w:val="16"/>
        </w:rPr>
        <w:t xml:space="preserve"> C</w:t>
      </w:r>
      <w:r w:rsidRPr="00155453">
        <w:rPr>
          <w:rFonts w:ascii="Verdana" w:eastAsia="Times New Roman" w:hAnsi="Verdana" w:cs="Arial"/>
          <w:color w:val="000000"/>
          <w:sz w:val="16"/>
          <w:szCs w:val="16"/>
          <w:lang w:val="es-ES" w:eastAsia="es-ES"/>
        </w:rPr>
        <w:t>orte Constitucional. Sentencia C‒274 de 9 de mayo de 2013. M.P. Mar</w:t>
      </w:r>
      <w:r w:rsidRPr="00155453">
        <w:rPr>
          <w:rFonts w:ascii="Verdana" w:eastAsia="Times New Roman" w:hAnsi="Verdana" w:cs="Century Gothic"/>
          <w:color w:val="000000"/>
          <w:sz w:val="16"/>
          <w:szCs w:val="16"/>
          <w:lang w:val="es-ES" w:eastAsia="es-ES"/>
        </w:rPr>
        <w:t>í</w:t>
      </w:r>
      <w:r w:rsidRPr="00155453">
        <w:rPr>
          <w:rFonts w:ascii="Verdana" w:eastAsia="Times New Roman" w:hAnsi="Verdana" w:cs="Arial"/>
          <w:color w:val="000000"/>
          <w:sz w:val="16"/>
          <w:szCs w:val="16"/>
          <w:lang w:val="es-ES" w:eastAsia="es-ES"/>
        </w:rPr>
        <w:t xml:space="preserve">a Victoria Calle Correa. </w:t>
      </w:r>
    </w:p>
  </w:footnote>
  <w:footnote w:id="11">
    <w:p w14:paraId="42C9B97B" w14:textId="77777777" w:rsidR="008F3EC3" w:rsidRPr="00155453" w:rsidRDefault="008F3EC3" w:rsidP="008F3EC3">
      <w:pPr>
        <w:pStyle w:val="Textonotapie"/>
        <w:ind w:firstLine="708"/>
        <w:jc w:val="both"/>
        <w:rPr>
          <w:rFonts w:ascii="Verdana" w:hAnsi="Verdana" w:cs="Arial"/>
          <w:color w:val="000000"/>
          <w:sz w:val="16"/>
          <w:szCs w:val="16"/>
        </w:rPr>
      </w:pPr>
      <w:r w:rsidRPr="00155453">
        <w:rPr>
          <w:rStyle w:val="Refdenotaalpie"/>
          <w:rFonts w:ascii="Verdana" w:hAnsi="Verdana" w:cs="Arial"/>
          <w:color w:val="000000"/>
          <w:sz w:val="16"/>
          <w:szCs w:val="16"/>
        </w:rPr>
        <w:footnoteRef/>
      </w:r>
      <w:r w:rsidRPr="00155453">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4FDD7F78" w14:textId="77777777" w:rsidR="008F3EC3" w:rsidRPr="00155453" w:rsidRDefault="008F3EC3" w:rsidP="008F3EC3">
      <w:pPr>
        <w:pStyle w:val="Textonotapie"/>
        <w:ind w:firstLine="708"/>
        <w:jc w:val="both"/>
        <w:rPr>
          <w:rFonts w:ascii="Verdana" w:hAnsi="Verdana" w:cs="Arial"/>
          <w:color w:val="000000"/>
          <w:sz w:val="16"/>
          <w:szCs w:val="16"/>
        </w:rPr>
      </w:pPr>
      <w:r w:rsidRPr="00155453">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12">
    <w:p w14:paraId="7F700BFC" w14:textId="77777777" w:rsidR="008F3EC3" w:rsidRPr="00155453" w:rsidRDefault="008F3EC3" w:rsidP="008F3EC3">
      <w:pPr>
        <w:pStyle w:val="NormalWeb"/>
        <w:spacing w:before="0" w:beforeAutospacing="0" w:after="0" w:afterAutospacing="0"/>
        <w:ind w:firstLine="708"/>
        <w:jc w:val="both"/>
        <w:rPr>
          <w:rFonts w:ascii="Verdana" w:hAnsi="Verdana" w:cs="Arial"/>
          <w:color w:val="000000"/>
          <w:sz w:val="16"/>
          <w:szCs w:val="16"/>
        </w:rPr>
      </w:pPr>
      <w:r w:rsidRPr="00155453">
        <w:rPr>
          <w:rStyle w:val="Refdenotaalpie"/>
          <w:rFonts w:ascii="Verdana" w:hAnsi="Verdana"/>
          <w:sz w:val="16"/>
          <w:szCs w:val="16"/>
        </w:rPr>
        <w:footnoteRef/>
      </w:r>
      <w:r w:rsidRPr="00155453">
        <w:rPr>
          <w:rFonts w:ascii="Verdana" w:hAnsi="Verdana"/>
          <w:sz w:val="16"/>
          <w:szCs w:val="16"/>
        </w:rPr>
        <w:t xml:space="preserve"> </w:t>
      </w:r>
      <w:r w:rsidRPr="00155453">
        <w:rPr>
          <w:rStyle w:val="Textoennegrita"/>
          <w:rFonts w:ascii="Verdana" w:hAnsi="Verdana" w:cs="Arial"/>
          <w:color w:val="000000"/>
          <w:sz w:val="16"/>
          <w:szCs w:val="16"/>
        </w:rPr>
        <w:t xml:space="preserve">Artículo 200. </w:t>
      </w:r>
      <w:r w:rsidRPr="00155453">
        <w:rPr>
          <w:rStyle w:val="nfasis"/>
          <w:rFonts w:ascii="Verdana" w:hAnsi="Verdana" w:cs="Arial"/>
          <w:color w:val="000000"/>
          <w:sz w:val="16"/>
          <w:szCs w:val="16"/>
        </w:rPr>
        <w:t>Estrategia nacional de lucha contra la corrupción</w:t>
      </w:r>
      <w:r w:rsidRPr="00155453">
        <w:rPr>
          <w:rFonts w:ascii="Verdana" w:hAnsi="Verdana" w:cs="Arial"/>
          <w:color w:val="000000"/>
          <w:sz w:val="16"/>
          <w:szCs w:val="16"/>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0888CA3F" w14:textId="77777777" w:rsidR="008F3EC3" w:rsidRPr="00155453" w:rsidRDefault="008F3EC3" w:rsidP="008F3EC3">
      <w:pPr>
        <w:pStyle w:val="NormalWeb"/>
        <w:spacing w:before="0" w:beforeAutospacing="0" w:after="0" w:afterAutospacing="0"/>
        <w:ind w:firstLine="708"/>
        <w:jc w:val="both"/>
        <w:rPr>
          <w:rFonts w:ascii="Verdana" w:hAnsi="Verdana" w:cs="Arial"/>
          <w:color w:val="000000"/>
          <w:sz w:val="16"/>
          <w:szCs w:val="16"/>
        </w:rPr>
      </w:pPr>
      <w:r w:rsidRPr="00155453">
        <w:rPr>
          <w:rFonts w:ascii="Verdana" w:hAnsi="Verdana" w:cs="Arial"/>
          <w:color w:val="000000"/>
          <w:sz w:val="16"/>
          <w:szCs w:val="16"/>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02C38491" w14:textId="77777777" w:rsidR="008F3EC3" w:rsidRPr="00155453" w:rsidRDefault="008F3EC3" w:rsidP="008F3EC3">
      <w:pPr>
        <w:pStyle w:val="NormalWeb"/>
        <w:spacing w:before="0" w:beforeAutospacing="0" w:after="0" w:afterAutospacing="0"/>
        <w:ind w:firstLine="708"/>
        <w:jc w:val="both"/>
        <w:rPr>
          <w:rFonts w:ascii="Verdana" w:hAnsi="Verdana" w:cs="Arial"/>
          <w:color w:val="000000"/>
          <w:sz w:val="16"/>
          <w:szCs w:val="16"/>
        </w:rPr>
      </w:pPr>
      <w:r w:rsidRPr="00155453">
        <w:rPr>
          <w:rFonts w:ascii="Verdana" w:hAnsi="Verdana" w:cs="Arial"/>
          <w:color w:val="000000"/>
          <w:sz w:val="16"/>
          <w:szCs w:val="16"/>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21C17290" w14:textId="77777777" w:rsidR="008F3EC3" w:rsidRPr="00155453" w:rsidRDefault="008F3EC3" w:rsidP="008F3EC3">
      <w:pPr>
        <w:pStyle w:val="NormalWeb"/>
        <w:spacing w:before="0" w:beforeAutospacing="0" w:after="0" w:afterAutospacing="0"/>
        <w:ind w:firstLine="708"/>
        <w:jc w:val="both"/>
        <w:rPr>
          <w:rFonts w:ascii="Verdana" w:hAnsi="Verdana" w:cs="Arial"/>
          <w:color w:val="000000"/>
          <w:sz w:val="16"/>
          <w:szCs w:val="16"/>
        </w:rPr>
      </w:pPr>
      <w:r w:rsidRPr="00155453">
        <w:rPr>
          <w:rFonts w:ascii="Verdana" w:hAnsi="Verdana" w:cs="Arial"/>
          <w:color w:val="000000"/>
          <w:sz w:val="16"/>
          <w:szCs w:val="16"/>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1554C786" w14:textId="77777777" w:rsidR="008F3EC3" w:rsidRPr="00155453" w:rsidRDefault="008F3EC3" w:rsidP="008F3EC3">
      <w:pPr>
        <w:pStyle w:val="NormalWeb"/>
        <w:spacing w:before="0" w:beforeAutospacing="0" w:after="0" w:afterAutospacing="0"/>
        <w:ind w:firstLine="708"/>
        <w:jc w:val="both"/>
        <w:rPr>
          <w:rFonts w:ascii="Verdana" w:hAnsi="Verdana" w:cs="Arial"/>
          <w:color w:val="000000"/>
          <w:sz w:val="16"/>
          <w:szCs w:val="16"/>
        </w:rPr>
      </w:pPr>
      <w:r w:rsidRPr="00155453">
        <w:rPr>
          <w:rStyle w:val="Textoennegrita"/>
          <w:rFonts w:ascii="Verdana" w:hAnsi="Verdana" w:cs="Arial"/>
          <w:color w:val="000000"/>
          <w:sz w:val="16"/>
          <w:szCs w:val="16"/>
        </w:rPr>
        <w:t>Parágrafo 1°.</w:t>
      </w:r>
      <w:r w:rsidRPr="00155453">
        <w:rPr>
          <w:rFonts w:ascii="Verdana" w:hAnsi="Verdana" w:cs="Arial"/>
          <w:color w:val="000000"/>
          <w:sz w:val="16"/>
          <w:szCs w:val="16"/>
        </w:rPr>
        <w:t> En la estrategia se contemplarán los mecanismos para el seguimiento y control de los recursos públicos administrados mediante fondos o patrimonios autónomos. </w:t>
      </w:r>
    </w:p>
    <w:p w14:paraId="7077158D" w14:textId="77777777" w:rsidR="008F3EC3" w:rsidRPr="00155453" w:rsidRDefault="008F3EC3" w:rsidP="008F3EC3">
      <w:pPr>
        <w:pStyle w:val="NormalWeb"/>
        <w:spacing w:before="0" w:beforeAutospacing="0" w:after="0" w:afterAutospacing="0"/>
        <w:ind w:firstLine="708"/>
        <w:jc w:val="both"/>
        <w:rPr>
          <w:rFonts w:ascii="Verdana" w:hAnsi="Verdana" w:cs="Arial"/>
          <w:color w:val="000000"/>
          <w:sz w:val="16"/>
          <w:szCs w:val="16"/>
        </w:rPr>
      </w:pPr>
      <w:r w:rsidRPr="00155453">
        <w:rPr>
          <w:rStyle w:val="Textoennegrita"/>
          <w:rFonts w:ascii="Verdana" w:hAnsi="Verdana" w:cs="Arial"/>
          <w:color w:val="000000"/>
          <w:sz w:val="16"/>
          <w:szCs w:val="16"/>
        </w:rPr>
        <w:t>Parágrafo 2°.</w:t>
      </w:r>
      <w:r w:rsidRPr="00155453">
        <w:rPr>
          <w:rFonts w:ascii="Verdana" w:hAnsi="Verdana" w:cs="Arial"/>
          <w:color w:val="000000"/>
          <w:sz w:val="16"/>
          <w:szCs w:val="16"/>
        </w:rPr>
        <w:t>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2382B311" w14:textId="77777777" w:rsidR="008F3EC3" w:rsidRPr="00155453" w:rsidRDefault="008F3EC3" w:rsidP="008F3EC3">
      <w:pPr>
        <w:pStyle w:val="NormalWeb"/>
        <w:spacing w:before="0" w:beforeAutospacing="0" w:after="0" w:afterAutospacing="0"/>
        <w:ind w:firstLine="708"/>
        <w:jc w:val="both"/>
        <w:rPr>
          <w:rFonts w:ascii="Verdana" w:hAnsi="Verdana" w:cs="Arial"/>
          <w:color w:val="000000"/>
          <w:sz w:val="16"/>
          <w:szCs w:val="16"/>
        </w:rPr>
      </w:pPr>
      <w:r w:rsidRPr="00155453">
        <w:rPr>
          <w:rStyle w:val="Textoennegrita"/>
          <w:rFonts w:ascii="Verdana" w:hAnsi="Verdana" w:cs="Arial"/>
          <w:color w:val="000000"/>
          <w:sz w:val="16"/>
          <w:szCs w:val="16"/>
        </w:rPr>
        <w:t>Parágrafo 3°.</w:t>
      </w:r>
      <w:r w:rsidRPr="00155453">
        <w:rPr>
          <w:rFonts w:ascii="Verdana" w:hAnsi="Verdana" w:cs="Arial"/>
          <w:color w:val="000000"/>
          <w:sz w:val="16"/>
          <w:szCs w:val="16"/>
        </w:rPr>
        <w:t> Dentro del año siguiente a la entrada en vigor de la presente ley, el Gobierno nacional formulará y adoptará la Estrategia Nacional de Lucha Contra la Corrupción.</w:t>
      </w:r>
    </w:p>
    <w:p w14:paraId="681C5BEE" w14:textId="77777777" w:rsidR="008F3EC3" w:rsidRPr="00155453" w:rsidRDefault="008F3EC3" w:rsidP="008F3EC3">
      <w:pPr>
        <w:pStyle w:val="Textonotapie"/>
        <w:rPr>
          <w:rFonts w:ascii="Verdana" w:hAnsi="Verdana"/>
          <w:sz w:val="16"/>
          <w:szCs w:val="16"/>
          <w:lang w:val="es-CO"/>
        </w:rPr>
      </w:pPr>
    </w:p>
    <w:p w14:paraId="22FFA19D" w14:textId="77777777" w:rsidR="008F3EC3" w:rsidRPr="00155453" w:rsidRDefault="008F3EC3" w:rsidP="008F3EC3">
      <w:pPr>
        <w:pStyle w:val="Textonotapie"/>
        <w:ind w:firstLine="708"/>
        <w:rPr>
          <w:rFonts w:ascii="Verdana" w:hAnsi="Verdana"/>
          <w:sz w:val="16"/>
          <w:szCs w:val="16"/>
          <w:lang w:val="es-CO"/>
        </w:rPr>
      </w:pPr>
    </w:p>
  </w:footnote>
  <w:footnote w:id="13">
    <w:p w14:paraId="43E7C9F1" w14:textId="77777777" w:rsidR="008F3EC3" w:rsidRPr="00155453" w:rsidRDefault="008F3EC3" w:rsidP="008F3EC3">
      <w:pPr>
        <w:spacing w:after="0" w:line="240" w:lineRule="auto"/>
        <w:ind w:firstLine="709"/>
        <w:jc w:val="both"/>
        <w:rPr>
          <w:rFonts w:ascii="Verdana" w:eastAsia="Calibri" w:hAnsi="Verdana" w:cs="Arial"/>
          <w:bCs/>
          <w:sz w:val="16"/>
          <w:szCs w:val="16"/>
          <w:lang w:eastAsia="es-ES_tradnl"/>
        </w:rPr>
      </w:pPr>
      <w:r w:rsidRPr="00155453">
        <w:rPr>
          <w:rStyle w:val="Refdenotaalpie"/>
          <w:rFonts w:ascii="Verdana" w:hAnsi="Verdana"/>
          <w:sz w:val="16"/>
          <w:szCs w:val="16"/>
        </w:rPr>
        <w:footnoteRef/>
      </w:r>
      <w:r w:rsidRPr="00155453">
        <w:rPr>
          <w:rFonts w:ascii="Verdana" w:hAnsi="Verdana"/>
          <w:sz w:val="16"/>
          <w:szCs w:val="16"/>
        </w:rPr>
        <w:t xml:space="preserve"> </w:t>
      </w:r>
      <w:r w:rsidRPr="00155453">
        <w:rPr>
          <w:rFonts w:ascii="Verdana" w:eastAsia="Calibri" w:hAnsi="Verdana" w:cs="Arial"/>
          <w:bCs/>
          <w:iCs/>
          <w:sz w:val="16"/>
          <w:szCs w:val="16"/>
          <w:lang w:eastAsia="es-ES_tradnl"/>
        </w:rPr>
        <w:t>Artículo 2.1.4.3.1.2. Ámbito de aplicación.</w:t>
      </w:r>
      <w:r w:rsidRPr="00155453">
        <w:rPr>
          <w:rFonts w:ascii="Verdana" w:eastAsia="Calibri" w:hAnsi="Verdana" w:cs="Arial"/>
          <w:b/>
          <w:bCs/>
          <w:iCs/>
          <w:sz w:val="16"/>
          <w:szCs w:val="16"/>
          <w:lang w:eastAsia="es-ES_tradnl"/>
        </w:rPr>
        <w:t> </w:t>
      </w:r>
      <w:r w:rsidRPr="00155453">
        <w:rPr>
          <w:rFonts w:ascii="Verdana" w:eastAsia="Calibri" w:hAnsi="Verdana" w:cs="Arial"/>
          <w:bCs/>
          <w:iCs/>
          <w:sz w:val="16"/>
          <w:szCs w:val="16"/>
          <w:lang w:eastAsia="es-ES_tradnl"/>
        </w:rPr>
        <w:t>Las disposiciones de este Capítulo rigen en todo el territorio nacional y se aplicarán en todos los organismos, entidades y empresas del Estado del orden nacional y pertenecientes a la Rama Ejecutiva del Poder Público. </w:t>
      </w:r>
      <w:r w:rsidRPr="00155453">
        <w:rPr>
          <w:rFonts w:ascii="Verdana" w:eastAsia="Calibri" w:hAnsi="Verdana" w:cs="Arial"/>
          <w:bCs/>
          <w:sz w:val="16"/>
          <w:szCs w:val="16"/>
          <w:lang w:eastAsia="es-ES_tradnl"/>
        </w:rPr>
        <w:t> </w:t>
      </w:r>
    </w:p>
    <w:p w14:paraId="2E3B0E73" w14:textId="77777777" w:rsidR="008F3EC3" w:rsidRPr="00155453" w:rsidRDefault="008F3EC3" w:rsidP="008F3EC3">
      <w:pPr>
        <w:spacing w:after="0" w:line="240" w:lineRule="auto"/>
        <w:ind w:firstLine="709"/>
        <w:jc w:val="both"/>
        <w:rPr>
          <w:rFonts w:ascii="Verdana" w:eastAsia="Calibri" w:hAnsi="Verdana" w:cs="Arial"/>
          <w:bCs/>
          <w:sz w:val="16"/>
          <w:szCs w:val="16"/>
          <w:lang w:eastAsia="es-ES_tradnl"/>
        </w:rPr>
      </w:pPr>
      <w:r w:rsidRPr="00155453">
        <w:rPr>
          <w:rFonts w:ascii="Verdana" w:eastAsia="Calibri" w:hAnsi="Verdana" w:cs="Arial"/>
          <w:bCs/>
          <w:iCs/>
          <w:sz w:val="16"/>
          <w:szCs w:val="16"/>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 En los aspectos no regulados por dicho régimen, no se aplicará a ellas lo dispuesto en el artículo 2.1.4.3.2.1, las demás disposiciones deberán aplicarse de conformidad con su estructura orgánica y la normativa aplicable a su funcionamiento.</w:t>
      </w:r>
    </w:p>
    <w:p w14:paraId="2AA61AD6" w14:textId="77777777" w:rsidR="008F3EC3" w:rsidRPr="00155453" w:rsidRDefault="008F3EC3" w:rsidP="008F3EC3">
      <w:pPr>
        <w:spacing w:after="0" w:line="240" w:lineRule="auto"/>
        <w:ind w:firstLine="709"/>
        <w:jc w:val="both"/>
        <w:rPr>
          <w:rFonts w:ascii="Verdana" w:eastAsia="Calibri" w:hAnsi="Verdana" w:cs="Arial"/>
          <w:bCs/>
          <w:sz w:val="16"/>
          <w:szCs w:val="16"/>
          <w:lang w:eastAsia="es-ES_tradnl"/>
        </w:rPr>
      </w:pPr>
      <w:r w:rsidRPr="00155453">
        <w:rPr>
          <w:rFonts w:ascii="Verdana" w:eastAsia="Calibri" w:hAnsi="Verdana" w:cs="Arial"/>
          <w:bCs/>
          <w:iCs/>
          <w:sz w:val="16"/>
          <w:szCs w:val="16"/>
          <w:lang w:eastAsia="es-ES_tradnl"/>
        </w:rPr>
        <w:t>Las entidades territoriales y sus entidades descentralizadas, en el marco de su autonomía y en cumplimiento de lo previsto en el artículo 32 de la Ley 152 de 1994, por la cual se establece la Ley orgánica de Plan de Desarrollo, aplicarán en sus planes y políticas, las líneas de acción contenidas en el presente Capítulo, en virtud de lo señalado por el artículo 200 de la Ley 2294 de 2023. </w:t>
      </w:r>
    </w:p>
  </w:footnote>
  <w:footnote w:id="14">
    <w:p w14:paraId="41603B0A" w14:textId="77777777" w:rsidR="008F3EC3" w:rsidRPr="00155453" w:rsidRDefault="008F3EC3" w:rsidP="008F3EC3">
      <w:pPr>
        <w:pStyle w:val="Textonotapie"/>
        <w:ind w:firstLine="708"/>
        <w:jc w:val="both"/>
        <w:rPr>
          <w:rFonts w:ascii="Verdana" w:hAnsi="Verdana"/>
          <w:sz w:val="16"/>
          <w:szCs w:val="16"/>
          <w:lang w:val="es-CO"/>
        </w:rPr>
      </w:pPr>
      <w:r w:rsidRPr="00155453">
        <w:rPr>
          <w:rStyle w:val="Refdenotaalpie"/>
          <w:rFonts w:ascii="Verdana" w:hAnsi="Verdana"/>
          <w:sz w:val="16"/>
          <w:szCs w:val="16"/>
        </w:rPr>
        <w:footnoteRef/>
      </w:r>
      <w:r w:rsidRPr="00155453">
        <w:rPr>
          <w:rFonts w:ascii="Verdana" w:hAnsi="Verdana"/>
          <w:sz w:val="16"/>
          <w:szCs w:val="16"/>
        </w:rPr>
        <w:t xml:space="preserve"> </w:t>
      </w:r>
      <w:r w:rsidRPr="00155453">
        <w:rPr>
          <w:rFonts w:ascii="Verdana" w:hAnsi="Verdana"/>
          <w:bCs/>
          <w:sz w:val="16"/>
          <w:szCs w:val="16"/>
          <w:lang w:val="es-CO"/>
        </w:rPr>
        <w:t>Artículo 2.1.4.3.2.1. </w:t>
      </w:r>
      <w:r w:rsidRPr="00155453">
        <w:rPr>
          <w:rFonts w:ascii="Verdana" w:hAnsi="Verdana"/>
          <w:bCs/>
          <w:i/>
          <w:iCs/>
          <w:sz w:val="16"/>
          <w:szCs w:val="16"/>
          <w:lang w:val="es-CO"/>
        </w:rPr>
        <w:t xml:space="preserve">Prevención de corrupción en la contratación </w:t>
      </w:r>
      <w:r w:rsidRPr="00155453">
        <w:rPr>
          <w:rFonts w:ascii="Verdana" w:hAnsi="Verdana"/>
          <w:bCs/>
          <w:i/>
          <w:iCs/>
          <w:sz w:val="16"/>
          <w:szCs w:val="16"/>
          <w:lang w:val="es-CO"/>
        </w:rPr>
        <w:t>pública.</w:t>
      </w:r>
      <w:r w:rsidRPr="00155453">
        <w:rPr>
          <w:rFonts w:ascii="Verdana" w:hAnsi="Verdana"/>
          <w:sz w:val="16"/>
          <w:szCs w:val="16"/>
          <w:lang w:val="es-CO"/>
        </w:rPr>
        <w:t xml:space="preserve">Las entidades mencionadas en el artículo 2.1.4.3.1.2 del presente decreto, sin perjuicio de las demás obligaciones legales y reglamentarias, deberán garantizar las siguientes acciones en el desarrollo y la gestión contractual a su cargo: </w:t>
      </w:r>
    </w:p>
    <w:p w14:paraId="23C5CA6C" w14:textId="77777777" w:rsidR="008F3EC3" w:rsidRPr="00155453" w:rsidRDefault="008F3EC3" w:rsidP="008F3EC3">
      <w:pPr>
        <w:pStyle w:val="Textonotapie"/>
        <w:ind w:firstLine="708"/>
        <w:jc w:val="both"/>
        <w:rPr>
          <w:rFonts w:ascii="Verdana" w:hAnsi="Verdana"/>
          <w:sz w:val="16"/>
          <w:szCs w:val="16"/>
          <w:lang w:val="es-CO"/>
        </w:rPr>
      </w:pPr>
      <w:r w:rsidRPr="00155453">
        <w:rPr>
          <w:rFonts w:ascii="Verdana" w:hAnsi="Verdana"/>
          <w:sz w:val="16"/>
          <w:szCs w:val="16"/>
          <w:lang w:val="es-CO"/>
        </w:rPr>
        <w:t>a) </w:t>
      </w:r>
      <w:r w:rsidRPr="00155453">
        <w:rPr>
          <w:rFonts w:ascii="Verdana" w:hAnsi="Verdana"/>
          <w:bCs/>
          <w:sz w:val="16"/>
          <w:szCs w:val="16"/>
          <w:lang w:val="es-CO"/>
        </w:rPr>
        <w:t>Verificar la existencia de situaciones de control. </w:t>
      </w:r>
      <w:r w:rsidRPr="00155453">
        <w:rPr>
          <w:rFonts w:ascii="Verdana" w:hAnsi="Verdana"/>
          <w:sz w:val="16"/>
          <w:szCs w:val="16"/>
          <w:lang w:val="es-CO"/>
        </w:rPr>
        <w:t>En los términos de los artículos 260 y 261 del Código de Comercio, de las personas jurídicas oferentes y/o de los proponentes plurales. Quienes se presenten como proponentes en procesos de selección adelantados por las entidades destinatarias del presente Capítulo,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Para el caso de los proponentes plurales, deberán indicar si las personas que los conforman se encuentran en alguna de las situaciones descritas anteriormente.  </w:t>
      </w:r>
    </w:p>
    <w:p w14:paraId="75F35843" w14:textId="77777777" w:rsidR="008F3EC3" w:rsidRPr="00155453" w:rsidRDefault="008F3EC3" w:rsidP="008F3EC3">
      <w:pPr>
        <w:pStyle w:val="Textonotapie"/>
        <w:ind w:firstLine="708"/>
        <w:jc w:val="both"/>
        <w:rPr>
          <w:rFonts w:ascii="Verdana" w:hAnsi="Verdana"/>
          <w:sz w:val="16"/>
          <w:szCs w:val="16"/>
          <w:lang w:val="es-CO"/>
        </w:rPr>
      </w:pPr>
      <w:r w:rsidRPr="00155453">
        <w:rPr>
          <w:rFonts w:ascii="Verdana" w:hAnsi="Verdana"/>
          <w:sz w:val="16"/>
          <w:szCs w:val="16"/>
          <w:lang w:val="es-CO"/>
        </w:rPr>
        <w:t>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w:t>
      </w:r>
    </w:p>
    <w:p w14:paraId="138E0A0A" w14:textId="77777777" w:rsidR="008F3EC3" w:rsidRPr="00155453" w:rsidRDefault="008F3EC3" w:rsidP="008F3EC3">
      <w:pPr>
        <w:pStyle w:val="Textonotapie"/>
        <w:ind w:firstLine="708"/>
        <w:jc w:val="both"/>
        <w:rPr>
          <w:rFonts w:ascii="Verdana" w:hAnsi="Verdana"/>
          <w:sz w:val="16"/>
          <w:szCs w:val="16"/>
          <w:lang w:val="es-CO"/>
        </w:rPr>
      </w:pPr>
      <w:r w:rsidRPr="00155453">
        <w:rPr>
          <w:rFonts w:ascii="Verdana" w:hAnsi="Verdana"/>
          <w:sz w:val="16"/>
          <w:szCs w:val="16"/>
          <w:lang w:val="es-CO"/>
        </w:rPr>
        <w:t>Cuando, en desarrollo del análisis mencionado se adviertan circunstancias que pudieran implicar afectaciones a la libertad de concurrencia o competencia, o a la pluralidad real de oferentes dentro del proceso de selección correspondiente, la entidad contratante deberá evaluar la necesidad de poner tales situaciones en conocimiento de los entes de control competentes y, de ser necesario, solicitar su acompañamiento preventivo. La Presidencia de la República, a través de la Secretaría de Transparencia, se articulará con las entidades competentes con el fin de generar los mecanismos necesarios para mitigar los riesgos de corrupción que puedan advertirse como consecuencia del análisis dispuesto en este literal.  </w:t>
      </w:r>
    </w:p>
    <w:p w14:paraId="4B23D34F" w14:textId="77777777" w:rsidR="008F3EC3" w:rsidRPr="00155453" w:rsidRDefault="008F3EC3" w:rsidP="008F3EC3">
      <w:pPr>
        <w:pStyle w:val="Textonotapie"/>
        <w:ind w:firstLine="708"/>
        <w:jc w:val="both"/>
        <w:rPr>
          <w:rFonts w:ascii="Verdana" w:hAnsi="Verdana"/>
          <w:sz w:val="16"/>
          <w:szCs w:val="16"/>
          <w:lang w:val="es-CO"/>
        </w:rPr>
      </w:pPr>
      <w:r w:rsidRPr="00155453">
        <w:rPr>
          <w:rFonts w:ascii="Verdana" w:hAnsi="Verdana"/>
          <w:sz w:val="16"/>
          <w:szCs w:val="16"/>
          <w:lang w:val="es-CO"/>
        </w:rPr>
        <w:t>b) </w:t>
      </w:r>
      <w:r w:rsidRPr="00155453">
        <w:rPr>
          <w:rFonts w:ascii="Verdana" w:hAnsi="Verdana"/>
          <w:bCs/>
          <w:sz w:val="16"/>
          <w:szCs w:val="16"/>
          <w:lang w:val="es-CO"/>
        </w:rPr>
        <w:t>Aplicar buenas prácticas para la contratación transparente. </w:t>
      </w:r>
      <w:r w:rsidRPr="00155453">
        <w:rPr>
          <w:rFonts w:ascii="Verdana" w:hAnsi="Verdana"/>
          <w:sz w:val="16"/>
          <w:szCs w:val="16"/>
          <w:lang w:val="es-CO"/>
        </w:rPr>
        <w:t>Las entidades deberán garantizar que las guías y manuales definidos por la Agencia Nacional de Contratación Pública - Colombia Compra Eficiente, para la definición de criterios que permitan garantizar la pluralidad de oferentes, se apliquen en la organización. En consecuencia, en los documentos del proceso deberá dejarse constancia que en la estructuración se tuvieron en cuenta las prácticas recomendadas por Colombia Compra Eficiente.  </w:t>
      </w:r>
    </w:p>
    <w:p w14:paraId="386E67F3" w14:textId="77777777" w:rsidR="008F3EC3" w:rsidRPr="00155453" w:rsidRDefault="008F3EC3" w:rsidP="008F3EC3">
      <w:pPr>
        <w:pStyle w:val="Textonotapie"/>
        <w:ind w:firstLine="708"/>
        <w:jc w:val="both"/>
        <w:rPr>
          <w:rFonts w:ascii="Verdana" w:hAnsi="Verdana"/>
          <w:sz w:val="16"/>
          <w:szCs w:val="16"/>
          <w:lang w:val="es-CO"/>
        </w:rPr>
      </w:pPr>
      <w:r w:rsidRPr="00155453">
        <w:rPr>
          <w:rFonts w:ascii="Verdana" w:hAnsi="Verdana"/>
          <w:sz w:val="16"/>
          <w:szCs w:val="16"/>
          <w:lang w:val="es-CO"/>
        </w:rPr>
        <w:t>c) </w:t>
      </w:r>
      <w:r w:rsidRPr="00155453">
        <w:rPr>
          <w:rFonts w:ascii="Verdana" w:hAnsi="Verdana"/>
          <w:bCs/>
          <w:sz w:val="16"/>
          <w:szCs w:val="16"/>
          <w:lang w:val="es-CO"/>
        </w:rPr>
        <w:t>Fortalecer los análisis de mercado para la fijación objetiva de precios. </w:t>
      </w:r>
      <w:r w:rsidRPr="00155453">
        <w:rPr>
          <w:rFonts w:ascii="Verdana" w:hAnsi="Verdana"/>
          <w:sz w:val="16"/>
          <w:szCs w:val="16"/>
          <w:lang w:val="es-CO"/>
        </w:rPr>
        <w:t>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  </w:t>
      </w:r>
    </w:p>
    <w:p w14:paraId="7E969E7B" w14:textId="77777777" w:rsidR="008F3EC3" w:rsidRPr="00155453" w:rsidRDefault="008F3EC3" w:rsidP="008F3EC3">
      <w:pPr>
        <w:pStyle w:val="Textonotapie"/>
        <w:ind w:firstLine="708"/>
        <w:jc w:val="both"/>
        <w:rPr>
          <w:rFonts w:ascii="Verdana" w:hAnsi="Verdana"/>
          <w:sz w:val="16"/>
          <w:szCs w:val="16"/>
          <w:lang w:val="es-CO"/>
        </w:rPr>
      </w:pPr>
      <w:r w:rsidRPr="00155453">
        <w:rPr>
          <w:rFonts w:ascii="Verdana" w:hAnsi="Verdana"/>
          <w:bCs/>
          <w:sz w:val="16"/>
          <w:szCs w:val="16"/>
          <w:lang w:val="es-CO"/>
        </w:rPr>
        <w:t>Parágrafo 1°. </w:t>
      </w:r>
      <w:r w:rsidRPr="00155453">
        <w:rPr>
          <w:rFonts w:ascii="Verdana" w:hAnsi="Verdana"/>
          <w:sz w:val="16"/>
          <w:szCs w:val="16"/>
          <w:lang w:val="es-CO"/>
        </w:rPr>
        <w:t>Las anteriores directrices serán incorporadas por las entidades destinatarias a sus manuales de contratación, dentro de los seis (6) meses siguientes a la expedición del presente Capítulo.  </w:t>
      </w:r>
    </w:p>
    <w:p w14:paraId="734AC047" w14:textId="77777777" w:rsidR="008F3EC3" w:rsidRPr="00155453" w:rsidRDefault="008F3EC3" w:rsidP="008F3EC3">
      <w:pPr>
        <w:pStyle w:val="Textonotapie"/>
        <w:ind w:firstLine="708"/>
        <w:jc w:val="both"/>
        <w:rPr>
          <w:rFonts w:ascii="Verdana" w:hAnsi="Verdana"/>
          <w:sz w:val="16"/>
          <w:szCs w:val="16"/>
          <w:lang w:val="es-CO"/>
        </w:rPr>
      </w:pPr>
      <w:r w:rsidRPr="00155453">
        <w:rPr>
          <w:rFonts w:ascii="Verdana" w:hAnsi="Verdana"/>
          <w:bCs/>
          <w:sz w:val="16"/>
          <w:szCs w:val="16"/>
          <w:lang w:val="es-CO"/>
        </w:rPr>
        <w:t>Parágrafo 2°. </w:t>
      </w:r>
      <w:r w:rsidRPr="00155453">
        <w:rPr>
          <w:rFonts w:ascii="Verdana" w:hAnsi="Verdana"/>
          <w:sz w:val="16"/>
          <w:szCs w:val="16"/>
          <w:lang w:val="es-CO"/>
        </w:rPr>
        <w:t>Las entidades territoriales y sus descentralizadas, en el marco de su autonomía, incorporarán las directrices contenidas en el presente artículo, de conformidad con lo señalado en el inciso tercero del artículo 2.1.4.3.1.2 del presente decreto.  </w:t>
      </w:r>
    </w:p>
    <w:p w14:paraId="15BF5DB4" w14:textId="77777777" w:rsidR="008F3EC3" w:rsidRPr="00155453" w:rsidRDefault="008F3EC3" w:rsidP="008F3EC3">
      <w:pPr>
        <w:pStyle w:val="Textonotapie"/>
        <w:ind w:firstLine="708"/>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93CCF"/>
    <w:rsid w:val="001D039C"/>
    <w:rsid w:val="001E4177"/>
    <w:rsid w:val="001F7DC6"/>
    <w:rsid w:val="002421BB"/>
    <w:rsid w:val="0025796E"/>
    <w:rsid w:val="002707A2"/>
    <w:rsid w:val="00280E21"/>
    <w:rsid w:val="002951A0"/>
    <w:rsid w:val="002962BC"/>
    <w:rsid w:val="002A093D"/>
    <w:rsid w:val="002A0DD0"/>
    <w:rsid w:val="002A49AC"/>
    <w:rsid w:val="002A64FD"/>
    <w:rsid w:val="002C7A84"/>
    <w:rsid w:val="002E4FD9"/>
    <w:rsid w:val="00322A85"/>
    <w:rsid w:val="00324168"/>
    <w:rsid w:val="003448F4"/>
    <w:rsid w:val="00374F5E"/>
    <w:rsid w:val="00377E3E"/>
    <w:rsid w:val="003831F1"/>
    <w:rsid w:val="003A779E"/>
    <w:rsid w:val="003D0F4D"/>
    <w:rsid w:val="003D5B0D"/>
    <w:rsid w:val="003E0499"/>
    <w:rsid w:val="003F3941"/>
    <w:rsid w:val="00406575"/>
    <w:rsid w:val="00414C74"/>
    <w:rsid w:val="0042722E"/>
    <w:rsid w:val="0044528D"/>
    <w:rsid w:val="00463CEC"/>
    <w:rsid w:val="004A1847"/>
    <w:rsid w:val="004A305D"/>
    <w:rsid w:val="004F21C4"/>
    <w:rsid w:val="004F685F"/>
    <w:rsid w:val="00504A6F"/>
    <w:rsid w:val="005566E8"/>
    <w:rsid w:val="0057249E"/>
    <w:rsid w:val="00574867"/>
    <w:rsid w:val="00591460"/>
    <w:rsid w:val="005C3777"/>
    <w:rsid w:val="005C5CDC"/>
    <w:rsid w:val="005D2FA4"/>
    <w:rsid w:val="005D476C"/>
    <w:rsid w:val="006219F8"/>
    <w:rsid w:val="00627686"/>
    <w:rsid w:val="006302F7"/>
    <w:rsid w:val="006370B9"/>
    <w:rsid w:val="00665D70"/>
    <w:rsid w:val="006900D9"/>
    <w:rsid w:val="006A760C"/>
    <w:rsid w:val="006D4938"/>
    <w:rsid w:val="00706C16"/>
    <w:rsid w:val="00711209"/>
    <w:rsid w:val="007144DF"/>
    <w:rsid w:val="00756841"/>
    <w:rsid w:val="007649AB"/>
    <w:rsid w:val="00771D0C"/>
    <w:rsid w:val="007833AC"/>
    <w:rsid w:val="007B268C"/>
    <w:rsid w:val="007B7171"/>
    <w:rsid w:val="007C0C0F"/>
    <w:rsid w:val="007C3DC2"/>
    <w:rsid w:val="007E2F4A"/>
    <w:rsid w:val="007E5497"/>
    <w:rsid w:val="00806F5F"/>
    <w:rsid w:val="00820278"/>
    <w:rsid w:val="00834EC7"/>
    <w:rsid w:val="0084214C"/>
    <w:rsid w:val="00867F95"/>
    <w:rsid w:val="008843B6"/>
    <w:rsid w:val="00891928"/>
    <w:rsid w:val="00897A3A"/>
    <w:rsid w:val="008A446D"/>
    <w:rsid w:val="008D180B"/>
    <w:rsid w:val="008F0EA7"/>
    <w:rsid w:val="008F3EC3"/>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70048"/>
    <w:rsid w:val="00AB0ADB"/>
    <w:rsid w:val="00B00C0E"/>
    <w:rsid w:val="00B01B1A"/>
    <w:rsid w:val="00B12B2C"/>
    <w:rsid w:val="00B44A47"/>
    <w:rsid w:val="00B62800"/>
    <w:rsid w:val="00B72CD3"/>
    <w:rsid w:val="00B72FFF"/>
    <w:rsid w:val="00B76D7F"/>
    <w:rsid w:val="00B97053"/>
    <w:rsid w:val="00BC3D36"/>
    <w:rsid w:val="00BD7F72"/>
    <w:rsid w:val="00C04FB3"/>
    <w:rsid w:val="00C07F1D"/>
    <w:rsid w:val="00C330EB"/>
    <w:rsid w:val="00C754BE"/>
    <w:rsid w:val="00C76B1C"/>
    <w:rsid w:val="00CB6357"/>
    <w:rsid w:val="00CC1B26"/>
    <w:rsid w:val="00CC798D"/>
    <w:rsid w:val="00CD21F2"/>
    <w:rsid w:val="00D423A2"/>
    <w:rsid w:val="00D520D8"/>
    <w:rsid w:val="00D63AC2"/>
    <w:rsid w:val="00D7383B"/>
    <w:rsid w:val="00DA231B"/>
    <w:rsid w:val="00DA7B5B"/>
    <w:rsid w:val="00DC39FC"/>
    <w:rsid w:val="00DE320D"/>
    <w:rsid w:val="00DF5254"/>
    <w:rsid w:val="00E043EA"/>
    <w:rsid w:val="00E16408"/>
    <w:rsid w:val="00E20894"/>
    <w:rsid w:val="00E245AB"/>
    <w:rsid w:val="00E24A08"/>
    <w:rsid w:val="00E2764C"/>
    <w:rsid w:val="00E27F2E"/>
    <w:rsid w:val="00E3038C"/>
    <w:rsid w:val="00E50AFE"/>
    <w:rsid w:val="00E75C92"/>
    <w:rsid w:val="00E771DC"/>
    <w:rsid w:val="00E8772A"/>
    <w:rsid w:val="00E90F6B"/>
    <w:rsid w:val="00E92C27"/>
    <w:rsid w:val="00EA0E3D"/>
    <w:rsid w:val="00EC38A7"/>
    <w:rsid w:val="00EE1AA8"/>
    <w:rsid w:val="00EF4CCA"/>
    <w:rsid w:val="00F31EDC"/>
    <w:rsid w:val="00F4367F"/>
    <w:rsid w:val="00F462B3"/>
    <w:rsid w:val="00F54E29"/>
    <w:rsid w:val="00F5664F"/>
    <w:rsid w:val="00F66432"/>
    <w:rsid w:val="00F666C4"/>
    <w:rsid w:val="00F76AFC"/>
    <w:rsid w:val="00FA47C0"/>
    <w:rsid w:val="00FB5DD1"/>
    <w:rsid w:val="00FC2B5D"/>
    <w:rsid w:val="00FE16D1"/>
    <w:rsid w:val="00FE5C8E"/>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F3EC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F3EC3"/>
    <w:rPr>
      <w:rFonts w:ascii="Geomanist Light" w:hAnsi="Geomanist Light"/>
      <w:lang w:val="es-ES"/>
    </w:rPr>
  </w:style>
  <w:style w:type="character" w:styleId="Textoennegrita">
    <w:name w:val="Strong"/>
    <w:basedOn w:val="Fuentedeprrafopredeter"/>
    <w:uiPriority w:val="22"/>
    <w:qFormat/>
    <w:rsid w:val="008F3EC3"/>
    <w:rPr>
      <w:b/>
      <w:bCs/>
    </w:rPr>
  </w:style>
  <w:style w:type="character" w:customStyle="1" w:styleId="NormalWebCar">
    <w:name w:val="Normal (Web) Car"/>
    <w:link w:val="NormalWeb"/>
    <w:uiPriority w:val="99"/>
    <w:locked/>
    <w:rsid w:val="008F3EC3"/>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8F3E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nguloz@uniandes.edu.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normativa-y-relatoria%2Fdocumentos-tipo&amp;data=05%7C02%7Cana.bonilla%40colombiacompra.gov.co%7C603e1a9f513d4811571608dd8e333a73%7C7b09041e245149d08cb179d5e3d8c1be%7C0%7C0%7C638823072861170558%7CUnknown%7CTWFpbGZsb3d8eyJFbXB0eU1hcGkiOnRydWUsIlYiOiIwLjAuMDAwMCIsIlAiOiJXaW4zMiIsIkFOIjoiTWFpbCIsIldUIjoyfQ%3D%3D%7C0%7C%7C%7C&amp;sdata=FaUFSuEfIWtoxPllfGITGz2buZndTrgva%2BOIvX%2F8N%2B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17e9215d6ed9699c433ac2c9f66178f3">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dbf2f21e9ea19064595d3269ea08e1f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http://purl.org/dc/elements/1.1/"/>
    <ds:schemaRef ds:uri="a6cb9e4b-f1d1-4245-83ec-6cad768d538a"/>
    <ds:schemaRef ds:uri="http://purl.org/dc/terms/"/>
    <ds:schemaRef ds:uri="http://www.w3.org/XML/1998/namespace"/>
    <ds:schemaRef ds:uri="http://schemas.microsoft.com/office/infopath/2007/PartnerControls"/>
    <ds:schemaRef ds:uri="http://schemas.microsoft.com/office/2006/documentManagement/types"/>
    <ds:schemaRef ds:uri="http://schemas.microsoft.com/office/2006/metadata/properties"/>
    <ds:schemaRef ds:uri="http://schemas.openxmlformats.org/package/2006/metadata/core-properties"/>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29AC000-8110-4D67-AFF4-71A5FF4666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27</Pages>
  <Words>9112</Words>
  <Characters>50119</Characters>
  <Application>Microsoft Office Word</Application>
  <DocSecurity>0</DocSecurity>
  <Lines>417</Lines>
  <Paragraphs>118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59113</CharactersWithSpaces>
  <SharedDoc>false</SharedDoc>
  <HLinks>
    <vt:vector size="18" baseType="variant">
      <vt:variant>
        <vt:i4>7077923</vt:i4>
      </vt:variant>
      <vt:variant>
        <vt:i4>6</vt:i4>
      </vt:variant>
      <vt:variant>
        <vt:i4>0</vt:i4>
      </vt:variant>
      <vt:variant>
        <vt:i4>5</vt:i4>
      </vt:variant>
      <vt:variant>
        <vt:lpwstr>https://nam02.safelinks.protection.outlook.com/?url=https%3A%2F%2Fwww.colombiacompra.gov.co%2Fnormativa-y-relatoria%2Fdocumentos-tipo&amp;data=05%7C02%7Cana.bonilla%40colombiacompra.gov.co%7C603e1a9f513d4811571608dd8e333a73%7C7b09041e245149d08cb179d5e3d8c1be%7C0%7C0%7C638823072861170558%7CUnknown%7CTWFpbGZsb3d8eyJFbXB0eU1hcGkiOnRydWUsIlYiOiIwLjAuMDAwMCIsIlAiOiJXaW4zMiIsIkFOIjoiTWFpbCIsIldUIjoyfQ%3D%3D%7C0%7C%7C%7C&amp;sdata=FaUFSuEfIWtoxPllfGITGz2buZndTrgva%2BOIvX%2F8N%2B0%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196667</vt:i4>
      </vt:variant>
      <vt:variant>
        <vt:i4>0</vt:i4>
      </vt:variant>
      <vt:variant>
        <vt:i4>0</vt:i4>
      </vt:variant>
      <vt:variant>
        <vt:i4>5</vt:i4>
      </vt:variant>
      <vt:variant>
        <vt:lpwstr>mailto:m.anguloz@uniandes.edu.co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2025-10-31T18:56:00Z</dcterms:created>
  <dcterms:modified xsi:type="dcterms:W3CDTF">2025-10-31T18:56:00Z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