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20086" w14:textId="77777777" w:rsidR="00DF6B96" w:rsidRPr="00DF6B96" w:rsidRDefault="00DF6B96" w:rsidP="00F44D5E">
      <w:pPr>
        <w:spacing w:after="0" w:line="240" w:lineRule="auto"/>
        <w:rPr>
          <w:rFonts w:ascii="Verdana" w:hAnsi="Verdana"/>
          <w:b/>
          <w:bCs/>
          <w:lang w:val="es-ES"/>
        </w:rPr>
      </w:pPr>
      <w:bookmarkStart w:id="0" w:name="_Hlk143780582"/>
      <w:r w:rsidRPr="00DF6B96">
        <w:rPr>
          <w:rFonts w:ascii="Verdana" w:hAnsi="Verdana"/>
          <w:b/>
          <w:bCs/>
          <w:lang w:val="es-ES"/>
        </w:rPr>
        <w:t>CONTRATOS ESTATALES – Capacidad jurídica – Requisitos esenciales</w:t>
      </w:r>
    </w:p>
    <w:p w14:paraId="1A861FEE" w14:textId="15C70DA2" w:rsidR="00DF6B96" w:rsidRDefault="00DF6B96" w:rsidP="00F44D5E">
      <w:pPr>
        <w:spacing w:after="0" w:line="240" w:lineRule="auto"/>
        <w:rPr>
          <w:rFonts w:ascii="Verdana" w:hAnsi="Verdana"/>
          <w:bCs/>
          <w:lang w:val="es-ES"/>
        </w:rPr>
      </w:pPr>
    </w:p>
    <w:p w14:paraId="332D7303" w14:textId="77777777" w:rsidR="00DF6B96" w:rsidRPr="00DF6B96" w:rsidRDefault="00DF6B96" w:rsidP="00F44D5E">
      <w:pPr>
        <w:spacing w:after="0" w:line="240" w:lineRule="auto"/>
        <w:jc w:val="both"/>
        <w:rPr>
          <w:rFonts w:ascii="Verdana" w:hAnsi="Verdana"/>
          <w:bCs/>
          <w:sz w:val="20"/>
          <w:lang w:val="es-ES"/>
        </w:rPr>
      </w:pPr>
      <w:r w:rsidRPr="00DF6B96">
        <w:rPr>
          <w:rFonts w:ascii="Verdana" w:hAnsi="Verdana"/>
          <w:bCs/>
          <w:sz w:val="20"/>
          <w:lang w:val="es-ES"/>
        </w:rPr>
        <w:t xml:space="preserve">Más allá de la tipicidad o no del contrato estatal, es necesario tener en cuenta que la capacidad contractual para celebrar contratos estatales está regulada en el artículo 6 de la Ley 80 de 1993. De conformidad con la norma citada, “Pueden celebrar contratos con las entidades estatales las personas consideradas legalmente capaces en las disposiciones vigentes […]”. De acuerdo con la modificación de la Ley 2160 de 2021, la norma agrega lo siguiente: “[…] También podrán celebrar contratos con las entidades estatales los Cabildos Indígenas, las asociaciones de Autoridades Tradicionales Indígenas, los consejos comunitarios de las comunidades negras regulados por la Ley 70 de 1993 […] las organizaciones de base de comunidades negras, afrocolombianas, raizales y palenqueras y las demás formas y expresiones organizativas […]; y los consorcios y uniones temporales”. </w:t>
      </w:r>
    </w:p>
    <w:p w14:paraId="71A21A72" w14:textId="77777777" w:rsidR="00DF6B96" w:rsidRPr="00DF6B96" w:rsidRDefault="00DF6B96" w:rsidP="00F44D5E">
      <w:pPr>
        <w:spacing w:after="0" w:line="240" w:lineRule="auto"/>
        <w:jc w:val="both"/>
        <w:rPr>
          <w:rFonts w:ascii="Verdana" w:hAnsi="Verdana"/>
          <w:bCs/>
          <w:sz w:val="20"/>
          <w:lang w:val="es-ES"/>
        </w:rPr>
      </w:pPr>
    </w:p>
    <w:p w14:paraId="72DD77E1" w14:textId="77777777" w:rsidR="00DF6B96" w:rsidRPr="00DF6B96" w:rsidRDefault="00DF6B96" w:rsidP="00F44D5E">
      <w:pPr>
        <w:spacing w:after="0" w:line="240" w:lineRule="auto"/>
        <w:jc w:val="both"/>
        <w:rPr>
          <w:rFonts w:ascii="Verdana" w:hAnsi="Verdana"/>
          <w:bCs/>
          <w:sz w:val="20"/>
          <w:lang w:val="es-ES"/>
        </w:rPr>
      </w:pPr>
      <w:r w:rsidRPr="00DF6B96">
        <w:rPr>
          <w:rFonts w:ascii="Verdana" w:hAnsi="Verdana"/>
          <w:bCs/>
          <w:sz w:val="20"/>
          <w:lang w:val="es-ES"/>
        </w:rPr>
        <w:t xml:space="preserve">Al margen de la tipicidad o no del negocio, la existencia de los contratos estatales, es decir, la producción de efectos jurídicos en los términos del artículo 1501 </w:t>
      </w:r>
      <w:r w:rsidRPr="00DF6B96">
        <w:rPr>
          <w:rFonts w:ascii="Verdana" w:hAnsi="Verdana"/>
          <w:bCs/>
          <w:i/>
          <w:sz w:val="20"/>
          <w:lang w:val="es-ES"/>
        </w:rPr>
        <w:t>ibidem</w:t>
      </w:r>
      <w:r w:rsidRPr="00DF6B96">
        <w:rPr>
          <w:rFonts w:ascii="Verdana" w:hAnsi="Verdana"/>
          <w:bCs/>
          <w:sz w:val="20"/>
          <w:lang w:val="es-ES"/>
        </w:rPr>
        <w:t xml:space="preserve">, depende de la regulación del inciso primero de los artículos 39 y 41 del EGCAP.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1062BDE5" w14:textId="77777777" w:rsidR="00DF6B96" w:rsidRDefault="00DF6B96" w:rsidP="00F44D5E">
      <w:pPr>
        <w:spacing w:after="0" w:line="240" w:lineRule="auto"/>
        <w:rPr>
          <w:rFonts w:ascii="Verdana" w:hAnsi="Verdana"/>
          <w:bCs/>
          <w:lang w:val="es-ES"/>
        </w:rPr>
      </w:pPr>
    </w:p>
    <w:p w14:paraId="4A012186" w14:textId="77777777" w:rsidR="00DF6B96" w:rsidRPr="00DF6B96" w:rsidRDefault="00DF6B96" w:rsidP="00F44D5E">
      <w:pPr>
        <w:spacing w:after="0" w:line="240" w:lineRule="auto"/>
        <w:jc w:val="both"/>
        <w:rPr>
          <w:rFonts w:ascii="Verdana" w:hAnsi="Verdana"/>
          <w:b/>
          <w:bCs/>
          <w:lang w:val="es-ES"/>
        </w:rPr>
      </w:pPr>
      <w:r w:rsidRPr="00DF6B96">
        <w:rPr>
          <w:rFonts w:ascii="Verdana" w:hAnsi="Verdana"/>
          <w:b/>
          <w:bCs/>
          <w:lang w:val="es-ES"/>
        </w:rPr>
        <w:t>CONTRATO DE ARRENDAMIENTO – Noción – Definición – Autonomía de la voluntad</w:t>
      </w:r>
    </w:p>
    <w:p w14:paraId="639B0F78" w14:textId="5634EC4C" w:rsidR="00DF6B96" w:rsidRPr="00DF6B96" w:rsidRDefault="00DF6B96" w:rsidP="00F44D5E">
      <w:pPr>
        <w:spacing w:after="0" w:line="240" w:lineRule="auto"/>
        <w:jc w:val="both"/>
        <w:rPr>
          <w:rFonts w:ascii="Verdana" w:hAnsi="Verdana"/>
          <w:bCs/>
          <w:sz w:val="20"/>
          <w:lang w:val="es-ES"/>
        </w:rPr>
      </w:pPr>
    </w:p>
    <w:p w14:paraId="2AF06940" w14:textId="028E0FE5" w:rsidR="00DF6B96" w:rsidRPr="00DF6B96" w:rsidRDefault="00DF6B96" w:rsidP="00F44D5E">
      <w:pPr>
        <w:spacing w:after="0" w:line="240" w:lineRule="auto"/>
        <w:jc w:val="both"/>
        <w:rPr>
          <w:rFonts w:ascii="Verdana" w:hAnsi="Verdana"/>
          <w:bCs/>
          <w:sz w:val="20"/>
        </w:rPr>
      </w:pPr>
      <w:r w:rsidRPr="00DF6B96">
        <w:rPr>
          <w:rFonts w:ascii="Verdana" w:hAnsi="Verdana"/>
          <w:bCs/>
          <w:sz w:val="20"/>
        </w:rPr>
        <w:t xml:space="preserve">Ahora bien, teniendo en cuenta el objeto de su consulta, es preciso mencionar que las entidades estatales regidas por el EGCAP están habilitadas para celebrar los contratos que suelen celebrar los particulares entre sí –como el de arrendamiento al que se refiere en su pregunta– en ejercicio de la autonomía de la voluntad privada. En ese sentido, puede ocurrir que dentro de la gestión ordinaria de sus competencias y funciones las entidades tengan necesidades que deban ser satisfechas a través de contratos como el de arrendamiento, en los que además de las disposiciones del EGCAP deberán aplicarse en su mayoría normas de derecho privado, lo que de ninguna manera desvirtúa la calidad de estatal de dichos contratos. </w:t>
      </w:r>
    </w:p>
    <w:p w14:paraId="47217A17" w14:textId="77777777" w:rsidR="00DF6B96" w:rsidRDefault="00DF6B96" w:rsidP="00F44D5E">
      <w:pPr>
        <w:spacing w:after="0" w:line="240" w:lineRule="auto"/>
        <w:jc w:val="both"/>
        <w:rPr>
          <w:rFonts w:ascii="Verdana" w:hAnsi="Verdana"/>
          <w:bCs/>
          <w:lang w:val="es-ES"/>
        </w:rPr>
      </w:pPr>
    </w:p>
    <w:p w14:paraId="2B53E3FA" w14:textId="77777777" w:rsidR="00DF6B96" w:rsidRPr="00DF6B96" w:rsidRDefault="00DF6B96" w:rsidP="00F44D5E">
      <w:pPr>
        <w:spacing w:after="0" w:line="240" w:lineRule="auto"/>
        <w:jc w:val="both"/>
        <w:rPr>
          <w:rFonts w:ascii="Verdana" w:hAnsi="Verdana"/>
          <w:b/>
          <w:bCs/>
          <w:lang w:val="es-ES_tradnl"/>
        </w:rPr>
      </w:pPr>
      <w:r w:rsidRPr="00DF6B96">
        <w:rPr>
          <w:rFonts w:ascii="Verdana" w:hAnsi="Verdana"/>
          <w:b/>
          <w:bCs/>
          <w:lang w:val="es-ES_tradnl"/>
        </w:rPr>
        <w:t xml:space="preserve">CONTRATO DE ARRENDAMIENTO – Definición – Características – Decreto 1082 DE 2015 – Artículo 2.2.1.2.1.4.1 </w:t>
      </w:r>
    </w:p>
    <w:p w14:paraId="2323095C" w14:textId="2D79ED5C" w:rsidR="00DF6B96" w:rsidRDefault="00DF6B96" w:rsidP="00F44D5E">
      <w:pPr>
        <w:spacing w:after="0" w:line="240" w:lineRule="auto"/>
        <w:jc w:val="both"/>
        <w:rPr>
          <w:rFonts w:ascii="Verdana" w:hAnsi="Verdana"/>
          <w:bCs/>
          <w:lang w:val="es-ES_tradnl"/>
        </w:rPr>
      </w:pPr>
    </w:p>
    <w:p w14:paraId="46E9491A" w14:textId="39165FE8" w:rsidR="00DF6B96" w:rsidRPr="00DF6B96" w:rsidRDefault="00DF6B96" w:rsidP="00F44D5E">
      <w:pPr>
        <w:spacing w:after="0" w:line="240" w:lineRule="auto"/>
        <w:jc w:val="both"/>
        <w:rPr>
          <w:rFonts w:ascii="Verdana" w:eastAsia="Calibri" w:hAnsi="Verdana"/>
          <w:color w:val="000000" w:themeColor="text1"/>
          <w:sz w:val="20"/>
          <w:szCs w:val="20"/>
        </w:rPr>
      </w:pPr>
      <w:r w:rsidRPr="00DF6B96">
        <w:rPr>
          <w:rFonts w:ascii="Verdana" w:eastAsia="Calibri" w:hAnsi="Verdana"/>
          <w:bCs/>
          <w:color w:val="000000" w:themeColor="text1"/>
          <w:sz w:val="20"/>
          <w:szCs w:val="20"/>
        </w:rPr>
        <w:t xml:space="preserve">El artículo 1973 del Código Civil define el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w:t>
      </w:r>
      <w:r w:rsidRPr="00DF6B96">
        <w:rPr>
          <w:rFonts w:ascii="Verdana" w:eastAsia="Calibri" w:hAnsi="Verdana"/>
          <w:bCs/>
          <w:color w:val="000000" w:themeColor="text1"/>
          <w:sz w:val="20"/>
          <w:szCs w:val="20"/>
        </w:rPr>
        <w:lastRenderedPageBreak/>
        <w:t>de las partes –llamada arrendador– se obliga a concederle a otra –llamada arrendatario– el uso y goce de un bien, a cambio de una renta o canon. Por tanto, se diferencia del contrato de compraventa en que no opera una transferencia del dominio del bien cuyo uso y goce se entrega.</w:t>
      </w:r>
    </w:p>
    <w:p w14:paraId="41F1C911" w14:textId="77777777" w:rsidR="00DF6B96" w:rsidRPr="00DF6B96" w:rsidRDefault="00DF6B96" w:rsidP="00F44D5E">
      <w:pPr>
        <w:spacing w:after="0" w:line="240" w:lineRule="auto"/>
        <w:jc w:val="both"/>
        <w:rPr>
          <w:rFonts w:ascii="Verdana" w:eastAsia="Calibri" w:hAnsi="Verdana"/>
          <w:bCs/>
          <w:color w:val="000000" w:themeColor="text1"/>
          <w:sz w:val="20"/>
          <w:szCs w:val="20"/>
          <w:lang w:val="es-ES"/>
        </w:rPr>
      </w:pPr>
    </w:p>
    <w:p w14:paraId="7EA63C1D" w14:textId="5470859A" w:rsidR="00DF6B96" w:rsidRPr="00DF6B96" w:rsidRDefault="00DF6B96" w:rsidP="00F44D5E">
      <w:pPr>
        <w:spacing w:after="0" w:line="240" w:lineRule="auto"/>
        <w:jc w:val="both"/>
        <w:rPr>
          <w:rFonts w:ascii="Verdana" w:eastAsia="Calibri" w:hAnsi="Verdana"/>
          <w:bCs/>
          <w:color w:val="000000" w:themeColor="text1"/>
          <w:sz w:val="20"/>
          <w:szCs w:val="20"/>
          <w:lang w:val="es-ES"/>
        </w:rPr>
      </w:pPr>
      <w:r w:rsidRPr="00DF6B96">
        <w:rPr>
          <w:rFonts w:ascii="Verdana" w:eastAsia="Calibri" w:hAnsi="Verdana"/>
          <w:bCs/>
          <w:color w:val="000000" w:themeColor="text1"/>
          <w:sz w:val="20"/>
          <w:szCs w:val="20"/>
          <w:lang w:val="es-ES"/>
        </w:rPr>
        <w:t xml:space="preserve">En </w:t>
      </w:r>
      <w:r w:rsidRPr="00DF6B96">
        <w:rPr>
          <w:rFonts w:ascii="Verdana" w:eastAsia="Calibri" w:hAnsi="Verdana"/>
          <w:color w:val="000000" w:themeColor="text1"/>
          <w:sz w:val="20"/>
          <w:szCs w:val="20"/>
          <w:lang w:val="es-ES"/>
        </w:rPr>
        <w:t>cuanto</w:t>
      </w:r>
      <w:r w:rsidRPr="00DF6B96">
        <w:rPr>
          <w:rFonts w:ascii="Verdana" w:eastAsia="Calibri" w:hAnsi="Verdana"/>
          <w:bCs/>
          <w:color w:val="000000" w:themeColor="text1"/>
          <w:sz w:val="20"/>
          <w:szCs w:val="20"/>
          <w:lang w:val="es-ES"/>
        </w:rPr>
        <w:t xml:space="preserve"> a sus características, la doctrina ha indicado que el arrendamiento es un contrato: i) bilateral, pues ambas partes se obligan recíprocamente; </w:t>
      </w:r>
      <w:proofErr w:type="spellStart"/>
      <w:r w:rsidRPr="00DF6B96">
        <w:rPr>
          <w:rFonts w:ascii="Verdana" w:eastAsia="Calibri" w:hAnsi="Verdana"/>
          <w:bCs/>
          <w:color w:val="000000" w:themeColor="text1"/>
          <w:sz w:val="20"/>
          <w:szCs w:val="20"/>
          <w:lang w:val="es-ES"/>
        </w:rPr>
        <w:t>ii</w:t>
      </w:r>
      <w:proofErr w:type="spellEnd"/>
      <w:r w:rsidRPr="00DF6B96">
        <w:rPr>
          <w:rFonts w:ascii="Verdana" w:eastAsia="Calibri" w:hAnsi="Verdana"/>
          <w:bCs/>
          <w:color w:val="000000" w:themeColor="text1"/>
          <w:sz w:val="20"/>
          <w:szCs w:val="20"/>
          <w:lang w:val="es-ES"/>
        </w:rPr>
        <w:t xml:space="preserve">) consensual, dado que se perfecciona con el consentimiento; </w:t>
      </w:r>
      <w:proofErr w:type="spellStart"/>
      <w:r w:rsidRPr="00DF6B96">
        <w:rPr>
          <w:rFonts w:ascii="Verdana" w:eastAsia="Calibri" w:hAnsi="Verdana"/>
          <w:bCs/>
          <w:color w:val="000000" w:themeColor="text1"/>
          <w:sz w:val="20"/>
          <w:szCs w:val="20"/>
          <w:lang w:val="es-ES"/>
        </w:rPr>
        <w:t>iii</w:t>
      </w:r>
      <w:proofErr w:type="spellEnd"/>
      <w:r w:rsidRPr="00DF6B96">
        <w:rPr>
          <w:rFonts w:ascii="Verdana" w:eastAsia="Calibri" w:hAnsi="Verdana"/>
          <w:bCs/>
          <w:color w:val="000000" w:themeColor="text1"/>
          <w:sz w:val="20"/>
          <w:szCs w:val="20"/>
          <w:lang w:val="es-ES"/>
        </w:rPr>
        <w:t xml:space="preserve">) oneroso, ya que ambas partes obtienen utilidades –el arrendatario, el uso y goce del bien, y el arrendador la renta o canon–; </w:t>
      </w:r>
      <w:proofErr w:type="spellStart"/>
      <w:r w:rsidRPr="00DF6B96">
        <w:rPr>
          <w:rFonts w:ascii="Verdana" w:eastAsia="Calibri" w:hAnsi="Verdana"/>
          <w:bCs/>
          <w:color w:val="000000" w:themeColor="text1"/>
          <w:sz w:val="20"/>
          <w:szCs w:val="20"/>
          <w:lang w:val="es-ES"/>
        </w:rPr>
        <w:t>iv</w:t>
      </w:r>
      <w:proofErr w:type="spellEnd"/>
      <w:r w:rsidRPr="00DF6B96">
        <w:rPr>
          <w:rFonts w:ascii="Verdana" w:eastAsia="Calibri" w:hAnsi="Verdana"/>
          <w:bCs/>
          <w:color w:val="000000" w:themeColor="text1"/>
          <w:sz w:val="20"/>
          <w:szCs w:val="20"/>
          <w:lang w:val="es-ES"/>
        </w:rPr>
        <w:t xml:space="preserve">) de ejecución sucesiva, en la medida en que se ejecuta en forma periódica; v) principal, porque existe en forma autónoma; y v) nominado, porque está tipificado y desarrollado en la ley. </w:t>
      </w:r>
    </w:p>
    <w:p w14:paraId="0C81F9A8" w14:textId="6952C2A9" w:rsidR="00DF6B96" w:rsidRPr="00DF6B96" w:rsidRDefault="00DF6B96" w:rsidP="00F44D5E">
      <w:pPr>
        <w:spacing w:after="0" w:line="240" w:lineRule="auto"/>
        <w:jc w:val="both"/>
        <w:rPr>
          <w:rFonts w:ascii="Verdana" w:eastAsia="Calibri" w:hAnsi="Verdana"/>
          <w:color w:val="000000" w:themeColor="text1"/>
          <w:sz w:val="20"/>
          <w:szCs w:val="20"/>
          <w:lang w:val="es-ES"/>
        </w:rPr>
      </w:pPr>
      <w:r>
        <w:rPr>
          <w:rFonts w:ascii="Verdana" w:eastAsia="Calibri" w:hAnsi="Verdana"/>
          <w:color w:val="000000" w:themeColor="text1"/>
          <w:sz w:val="20"/>
          <w:szCs w:val="20"/>
          <w:lang w:val="es-ES"/>
        </w:rPr>
        <w:t>[…]</w:t>
      </w:r>
    </w:p>
    <w:p w14:paraId="301E7A27" w14:textId="77777777" w:rsidR="00DF6B96" w:rsidRDefault="00DF6B96" w:rsidP="00F44D5E">
      <w:pPr>
        <w:spacing w:after="0" w:line="240" w:lineRule="auto"/>
        <w:jc w:val="both"/>
        <w:rPr>
          <w:rFonts w:ascii="Verdana" w:eastAsia="Calibri" w:hAnsi="Verdana"/>
          <w:color w:val="000000" w:themeColor="text1"/>
          <w:sz w:val="20"/>
          <w:szCs w:val="20"/>
        </w:rPr>
      </w:pPr>
      <w:r w:rsidRPr="00DF6B96">
        <w:rPr>
          <w:rFonts w:ascii="Verdana" w:eastAsia="Calibri" w:hAnsi="Verdana"/>
          <w:color w:val="000000" w:themeColor="text1"/>
          <w:sz w:val="20"/>
          <w:szCs w:val="20"/>
        </w:rPr>
        <w:t>Ahora bien, tratándose del arrendamiento de bienes inmuebles el artículo 2º, numeral 4° literal i), de la Ley 1150 de 2007 dispone la modalidad de selección de contratación directa, pues, establece que una de las causales de este procedimiento es “i) El arrendamiento o adquisición de inmuebles”. Adicionalmente, el artículo 2.2.1.2.1.4.11 del Decreto 1082 de 2015 dispone que las entidades estatales pueden alquilar o arrendar inmuebles mediante contratación directa para lo cual deben seguir las siguientes reglas: 1. Verificar las condiciones del mercado inmobiliario en la ciudad en la que la Entidad Estatal requiere el inmueble. 2. Analizar y comparar las condiciones de los bienes inmuebles que satisfacen las necesidades identificadas y las opciones de arrendamiento, análisis que deberá tener en cuenta los principios y objetivos del sistema de compra y contratación pública.</w:t>
      </w:r>
    </w:p>
    <w:p w14:paraId="2A04DE85" w14:textId="77777777" w:rsidR="00DF6B96" w:rsidRDefault="00DF6B96" w:rsidP="00F44D5E">
      <w:pPr>
        <w:spacing w:after="0" w:line="240" w:lineRule="auto"/>
        <w:jc w:val="both"/>
        <w:rPr>
          <w:rFonts w:ascii="Verdana" w:eastAsia="Calibri" w:hAnsi="Verdana"/>
          <w:color w:val="000000" w:themeColor="text1"/>
          <w:sz w:val="20"/>
          <w:szCs w:val="20"/>
        </w:rPr>
      </w:pPr>
    </w:p>
    <w:p w14:paraId="29FC2B15" w14:textId="5E7783B7" w:rsidR="00DF6B96" w:rsidRPr="00DF6B96" w:rsidRDefault="00DF6B96" w:rsidP="00F44D5E">
      <w:pPr>
        <w:spacing w:after="0" w:line="240" w:lineRule="auto"/>
        <w:jc w:val="both"/>
        <w:rPr>
          <w:rFonts w:ascii="Verdana" w:eastAsia="Calibri" w:hAnsi="Verdana"/>
          <w:b/>
          <w:color w:val="000000" w:themeColor="text1"/>
          <w:sz w:val="20"/>
          <w:szCs w:val="20"/>
        </w:rPr>
      </w:pPr>
      <w:r w:rsidRPr="00DF6B96">
        <w:rPr>
          <w:rFonts w:ascii="Verdana" w:hAnsi="Verdana"/>
          <w:b/>
          <w:bCs/>
        </w:rPr>
        <w:t xml:space="preserve">PLAZO DEL CONTRATO ‒ Exigibilidad de las obligaciones – Extinción de los derechos – Diferencias </w:t>
      </w:r>
    </w:p>
    <w:p w14:paraId="32C904D1" w14:textId="28044604" w:rsidR="00DF6B96" w:rsidRDefault="00DF6B96" w:rsidP="00F44D5E">
      <w:pPr>
        <w:spacing w:after="0" w:line="240" w:lineRule="auto"/>
        <w:jc w:val="both"/>
        <w:rPr>
          <w:rFonts w:ascii="Verdana" w:hAnsi="Verdana"/>
          <w:bCs/>
        </w:rPr>
      </w:pPr>
    </w:p>
    <w:p w14:paraId="0CD9719F" w14:textId="3DFF1390" w:rsidR="00DE1386" w:rsidRDefault="00DE1386" w:rsidP="00F44D5E">
      <w:pPr>
        <w:spacing w:after="0" w:line="240" w:lineRule="auto"/>
        <w:jc w:val="both"/>
        <w:rPr>
          <w:rFonts w:ascii="Verdana" w:hAnsi="Verdana"/>
          <w:bCs/>
          <w:sz w:val="20"/>
          <w:szCs w:val="20"/>
        </w:rPr>
      </w:pPr>
      <w:r w:rsidRPr="00DE1386">
        <w:rPr>
          <w:rFonts w:ascii="Verdana" w:hAnsi="Verdana"/>
          <w:bCs/>
          <w:sz w:val="20"/>
          <w:szCs w:val="20"/>
        </w:rPr>
        <w:t xml:space="preserve">El artículo 1551 del Código Civil define el “plazo” como la época para cumplir una obligación. El plazo puede ser i) expreso o </w:t>
      </w:r>
      <w:proofErr w:type="spellStart"/>
      <w:r w:rsidRPr="00DE1386">
        <w:rPr>
          <w:rFonts w:ascii="Verdana" w:hAnsi="Verdana"/>
          <w:bCs/>
          <w:sz w:val="20"/>
          <w:szCs w:val="20"/>
        </w:rPr>
        <w:t>ii</w:t>
      </w:r>
      <w:proofErr w:type="spellEnd"/>
      <w:r w:rsidRPr="00DE1386">
        <w:rPr>
          <w:rFonts w:ascii="Verdana" w:hAnsi="Verdana"/>
          <w:bCs/>
          <w:sz w:val="20"/>
          <w:szCs w:val="20"/>
        </w:rPr>
        <w:t>) tácito. La doctrina define el “plazo” como un hecho futuro y cierto para el nacimiento o la extinción de un derecho, y elabora una clasificación de los plazos de la cual se destacan el plazo expreso y tácito, que complementa lo señalado en el Código Civil. Respecto del plazo expreso indica que es el señalado en términos explícitos, y el plazo tácito “[…] tiene lugar cuando no existe plazo expreso y la obligación no es susceptible de cumplirse inmediatamente […]”.</w:t>
      </w:r>
    </w:p>
    <w:p w14:paraId="7D9E4D48" w14:textId="77777777" w:rsidR="00DE1386" w:rsidRPr="00DE1386" w:rsidRDefault="00DE1386" w:rsidP="00F44D5E">
      <w:pPr>
        <w:spacing w:after="0" w:line="240" w:lineRule="auto"/>
        <w:jc w:val="both"/>
        <w:rPr>
          <w:rFonts w:ascii="Verdana" w:hAnsi="Verdana"/>
          <w:bCs/>
          <w:sz w:val="20"/>
          <w:szCs w:val="20"/>
        </w:rPr>
      </w:pPr>
    </w:p>
    <w:p w14:paraId="46FEDD05" w14:textId="1429F185" w:rsidR="00DF6B96" w:rsidRDefault="00DE1386" w:rsidP="00F44D5E">
      <w:pPr>
        <w:spacing w:after="0" w:line="240" w:lineRule="auto"/>
        <w:jc w:val="both"/>
        <w:rPr>
          <w:rFonts w:ascii="Verdana" w:hAnsi="Verdana"/>
          <w:bCs/>
          <w:sz w:val="20"/>
          <w:szCs w:val="20"/>
        </w:rPr>
      </w:pPr>
      <w:r w:rsidRPr="00DE1386">
        <w:rPr>
          <w:rFonts w:ascii="Verdana" w:hAnsi="Verdana"/>
          <w:bCs/>
          <w:sz w:val="20"/>
          <w:szCs w:val="20"/>
        </w:rPr>
        <w:t>Particularmente, el plazo es una de las modalidades por la cual las obligaciones dejan de ser puras y simples. De hecho, la regla general es que el nacimiento del derecho sea concomitante con su exigibilidad, lo que repercute en el cumplimiento inmediato de la prestación debida. Sin embargo, con las cláusulas relativas al plazo, usuales en los contratos estatales, las partes modulan cualquiera de estos dos (2) elementos haciendo que las obligaciones sean exigibles o que lo derechos se extingan con el vencimiento de un periodo determinado en el contrato.</w:t>
      </w:r>
    </w:p>
    <w:p w14:paraId="28233C95" w14:textId="77777777" w:rsidR="00DE1386" w:rsidRPr="00DE1386" w:rsidRDefault="00DE1386" w:rsidP="00F44D5E">
      <w:pPr>
        <w:spacing w:after="0" w:line="240" w:lineRule="auto"/>
        <w:jc w:val="both"/>
        <w:rPr>
          <w:rFonts w:ascii="Verdana" w:hAnsi="Verdana"/>
          <w:bCs/>
          <w:sz w:val="20"/>
          <w:szCs w:val="20"/>
        </w:rPr>
      </w:pPr>
    </w:p>
    <w:p w14:paraId="3FF69C7D" w14:textId="77777777" w:rsidR="00DF6B96" w:rsidRPr="00DE1386" w:rsidRDefault="00DF6B96" w:rsidP="00F44D5E">
      <w:pPr>
        <w:spacing w:after="0" w:line="240" w:lineRule="auto"/>
        <w:jc w:val="both"/>
        <w:rPr>
          <w:rFonts w:ascii="Verdana" w:hAnsi="Verdana"/>
          <w:b/>
          <w:bCs/>
        </w:rPr>
      </w:pPr>
      <w:r w:rsidRPr="00DE1386">
        <w:rPr>
          <w:rFonts w:ascii="Verdana" w:hAnsi="Verdana"/>
          <w:b/>
          <w:bCs/>
        </w:rPr>
        <w:lastRenderedPageBreak/>
        <w:t xml:space="preserve">CONTRATOS ESTATALES ‒ Plazo suspensivo – Plazo extintivo – Exigibilidad – Extinción de las obligaciones </w:t>
      </w:r>
    </w:p>
    <w:p w14:paraId="52F25B9F" w14:textId="7CF78187" w:rsidR="00DF6B96" w:rsidRDefault="00DF6B96" w:rsidP="00F44D5E">
      <w:pPr>
        <w:spacing w:after="0" w:line="240" w:lineRule="auto"/>
        <w:jc w:val="both"/>
        <w:rPr>
          <w:rFonts w:ascii="Verdana" w:hAnsi="Verdana"/>
          <w:b/>
          <w:bCs/>
        </w:rPr>
      </w:pPr>
    </w:p>
    <w:p w14:paraId="3E311AB8" w14:textId="4B423FC1" w:rsidR="00DE1386" w:rsidRDefault="00DE1386" w:rsidP="00F44D5E">
      <w:pPr>
        <w:spacing w:after="0" w:line="240" w:lineRule="auto"/>
        <w:jc w:val="both"/>
        <w:rPr>
          <w:rFonts w:ascii="Verdana" w:hAnsi="Verdana"/>
          <w:bCs/>
          <w:sz w:val="20"/>
        </w:rPr>
      </w:pPr>
      <w:r w:rsidRPr="00DE1386">
        <w:rPr>
          <w:rFonts w:ascii="Verdana" w:hAnsi="Verdana"/>
          <w:bCs/>
          <w:sz w:val="20"/>
        </w:rPr>
        <w:t>[…] usualmente los plazos en los contratos estatales son suspensivos, sin perjuicio de que del contenido del contrato se deriven plazos parciales u obligaciones que deben cumplirse en términos específicos. En todo caso, frente a cada contrato debe analizarse si se pactó un plazo suspensivo o extintivo, de conformidad con el régimen de las obligaciones establecido en el Código Civil, normas que se aplican a los contratos estatales, por la remisión realizada por el artículo 13 de la Ley 80 de 1993. Esto sucede tanto cuando se pactan entregas parciales como cuando la entidad recibe el objeto al finalizar el plazo pactado, porque la exigibilidad de las obligaciones está suspendida mientras cada uno de estos términos esté pendiente: la Administración solo podrá exigir el cumplimiento cuando venza el plazo pactado, pues solo a partir de ese momento las obligaciones son puras y simples. De hecho, la llegada o vencimiento del plazo suspensivo no extingue el contrato ni las obligaciones derivadas del vínculo jurídico, ya que, al contrario, lo que se requiere es precisamente su ejecución. Lo contrario equivale a afirmar que, si las obligaciones no se cumplen oportunamente, la entidad pierde el derecho a obtener el pago de la prestación debida, cuando considera que pese a su extemporaneidad se requiere su ejecución efectiva. Esta conclusión no solo sería contraria al interés público como fin de la contratación estatal, sino que desconoce la normas sobre el pago de los artículos 1626 y siguientes del Código Civil, razón por la cual, sin perjuicio de la responsabilidad del contratista por el cumplimiento extemporáneo, la entidad puede recibir lo que ejecute el contratista después de vencido el plazo del contrato, lo que se extiende a la exigibilidad de lo que está pendiente por cumplir. Lo anterior, en la medida que “El contrato no podrá considerarse definitivamente concluido hasta tanto ambas obligaciones y derechos principales, la entrega y recepción –o puesta a disposición– de la obra o su producto […] no hayan sido cumplidos”</w:t>
      </w:r>
      <w:r>
        <w:rPr>
          <w:rFonts w:ascii="Verdana" w:hAnsi="Verdana"/>
          <w:bCs/>
          <w:sz w:val="20"/>
        </w:rPr>
        <w:t>.</w:t>
      </w:r>
    </w:p>
    <w:p w14:paraId="4794BE15" w14:textId="77777777" w:rsidR="00DE1386" w:rsidRPr="00DE1386" w:rsidRDefault="00DE1386" w:rsidP="00F44D5E">
      <w:pPr>
        <w:spacing w:after="0" w:line="240" w:lineRule="auto"/>
        <w:jc w:val="both"/>
        <w:rPr>
          <w:rFonts w:ascii="Verdana" w:hAnsi="Verdana"/>
          <w:bCs/>
          <w:sz w:val="20"/>
        </w:rPr>
      </w:pPr>
    </w:p>
    <w:p w14:paraId="60D23688" w14:textId="51520764" w:rsidR="00DF6B96" w:rsidRPr="00DE1386" w:rsidRDefault="00DF6B96" w:rsidP="00F44D5E">
      <w:pPr>
        <w:spacing w:after="0" w:line="240" w:lineRule="auto"/>
        <w:jc w:val="both"/>
        <w:rPr>
          <w:rFonts w:ascii="Verdana" w:hAnsi="Verdana"/>
          <w:b/>
          <w:bCs/>
          <w:lang w:val="es-ES"/>
        </w:rPr>
      </w:pPr>
      <w:r w:rsidRPr="00DE1386">
        <w:rPr>
          <w:rFonts w:ascii="Verdana" w:hAnsi="Verdana"/>
          <w:b/>
          <w:bCs/>
        </w:rPr>
        <w:t xml:space="preserve">PLAZO EXTINTIVO – Contrato de Arrendamiento – Plazo determinado. </w:t>
      </w:r>
      <w:r w:rsidRPr="00DE1386">
        <w:rPr>
          <w:rFonts w:ascii="Verdana" w:hAnsi="Verdana"/>
          <w:b/>
          <w:bCs/>
          <w:lang w:val="es-ES"/>
        </w:rPr>
        <w:t xml:space="preserve"> </w:t>
      </w:r>
    </w:p>
    <w:p w14:paraId="6E0D33EF" w14:textId="0F0A0AAB" w:rsidR="00DF6B96" w:rsidRDefault="00DF6B96" w:rsidP="00F44D5E">
      <w:pPr>
        <w:spacing w:after="0" w:line="240" w:lineRule="auto"/>
        <w:rPr>
          <w:rFonts w:ascii="Verdana" w:hAnsi="Verdana"/>
          <w:lang w:val="es-ES"/>
        </w:rPr>
      </w:pPr>
    </w:p>
    <w:p w14:paraId="217D48C5" w14:textId="56BD9C7F" w:rsidR="00DE1386" w:rsidRPr="00DE1386" w:rsidRDefault="00DE1386" w:rsidP="00F44D5E">
      <w:pPr>
        <w:spacing w:after="0" w:line="240" w:lineRule="auto"/>
        <w:jc w:val="both"/>
        <w:rPr>
          <w:rFonts w:ascii="Verdana" w:hAnsi="Verdana"/>
          <w:sz w:val="20"/>
          <w:szCs w:val="20"/>
        </w:rPr>
      </w:pPr>
      <w:r w:rsidRPr="00DE1386">
        <w:rPr>
          <w:rFonts w:ascii="Verdana" w:hAnsi="Verdana"/>
          <w:sz w:val="20"/>
          <w:szCs w:val="20"/>
        </w:rPr>
        <w:t>En este aspecto, el plazo del contrato de arrendamiento al ser extintivo debe caracterizarse por tener un término claro y determinado, con fundamento y cumplimiento de la planeación, el principio presupuestal de anualidad del gasto público, los principios de la función administrativa y la gestión fiscal. Esto permite a la administración pública ejercer sus funciones de seguimiento, supervisión y sanción dentro de un marco temporal definido. Un contrato sin plazo determinado vulneraría principios como la transparencia, la planeación, la eficiencia, así como el principio de anualidad del gasto público.</w:t>
      </w:r>
    </w:p>
    <w:p w14:paraId="432990E6" w14:textId="1A9A5276" w:rsidR="00DE1386" w:rsidRPr="00DE1386" w:rsidRDefault="00DE1386" w:rsidP="00F44D5E">
      <w:pPr>
        <w:spacing w:after="0" w:line="240" w:lineRule="auto"/>
        <w:jc w:val="both"/>
        <w:rPr>
          <w:rFonts w:ascii="Verdana" w:hAnsi="Verdana"/>
          <w:sz w:val="20"/>
          <w:szCs w:val="20"/>
        </w:rPr>
      </w:pPr>
      <w:r w:rsidRPr="00DE1386">
        <w:rPr>
          <w:rFonts w:ascii="Verdana" w:hAnsi="Verdana"/>
          <w:sz w:val="20"/>
          <w:szCs w:val="20"/>
        </w:rPr>
        <w:t>[…]</w:t>
      </w:r>
    </w:p>
    <w:p w14:paraId="2FFCF81E" w14:textId="77777777" w:rsidR="00DE1386" w:rsidRPr="00DE1386" w:rsidRDefault="00DE1386" w:rsidP="00F44D5E">
      <w:pPr>
        <w:spacing w:after="0" w:line="240" w:lineRule="auto"/>
        <w:jc w:val="both"/>
        <w:rPr>
          <w:rFonts w:ascii="Verdana" w:hAnsi="Verdana"/>
          <w:sz w:val="20"/>
          <w:szCs w:val="20"/>
        </w:rPr>
      </w:pPr>
      <w:r w:rsidRPr="00DE1386">
        <w:rPr>
          <w:rFonts w:ascii="Verdana" w:hAnsi="Verdana"/>
          <w:sz w:val="20"/>
          <w:szCs w:val="20"/>
        </w:rPr>
        <w:t xml:space="preserve">En consecuencia, los contratos estatales de arrendamiento deben estructurarse con base en una planeación rigurosa que incluya un plazo definido y determinado. Esta exigencia no solo responde a criterios legales, sino también a principios de buena administración y eficiencia institucional. En efecto, la estipulación de plazos indefinidos implicaría asumir obligaciones presupuestales, sin tener en cuenta el principio de anualidad del gasto, así </w:t>
      </w:r>
      <w:r w:rsidRPr="00DE1386">
        <w:rPr>
          <w:rFonts w:ascii="Verdana" w:hAnsi="Verdana"/>
          <w:sz w:val="20"/>
          <w:szCs w:val="20"/>
        </w:rPr>
        <w:lastRenderedPageBreak/>
        <w:t xml:space="preserve">como la problemática de establecer el valor estimado del contrato, el cual es fundamental para definir el monto de la disponibilidad presupuestal. Esto último, tiene sustento en el artículo 25 numeral 6 de la Ley 80 de 1993, que prescribe: “Artículo 25. Del Principio de Economía. En virtud de este principio: […] Las entidades estatales abrirán licitaciones e iniciarán procesos de suscripción de contratos, cuando existan las respectivas partidas o disponibilidades presupuestales”. De este modo, los contratos estatales de arrendamiento de bienes inmuebles implican que la entidad calcule su valor para contar con la disponibilidad presupuestal correspondiente. </w:t>
      </w:r>
    </w:p>
    <w:p w14:paraId="0F4809FB" w14:textId="4DCA9ABA" w:rsidR="00DE1386" w:rsidRDefault="00DE1386" w:rsidP="008B28EB">
      <w:pPr>
        <w:spacing w:after="0"/>
        <w:rPr>
          <w:rFonts w:ascii="Verdana" w:hAnsi="Verdana"/>
        </w:rPr>
      </w:pPr>
    </w:p>
    <w:p w14:paraId="709EB9F1" w14:textId="1A998172" w:rsidR="00DE1386" w:rsidRDefault="00DE1386" w:rsidP="008B28EB">
      <w:pPr>
        <w:spacing w:after="0"/>
        <w:rPr>
          <w:rFonts w:ascii="Verdana" w:hAnsi="Verdana"/>
        </w:rPr>
      </w:pPr>
    </w:p>
    <w:p w14:paraId="0E07C06B" w14:textId="6263E1B2" w:rsidR="00DE1386" w:rsidRDefault="00DE1386" w:rsidP="008B28EB">
      <w:pPr>
        <w:spacing w:after="0"/>
        <w:rPr>
          <w:rFonts w:ascii="Verdana" w:hAnsi="Verdana"/>
        </w:rPr>
      </w:pPr>
    </w:p>
    <w:p w14:paraId="2CD64FF1" w14:textId="79ED60CD" w:rsidR="00DE1386" w:rsidRDefault="00DE1386" w:rsidP="008B28EB">
      <w:pPr>
        <w:spacing w:after="0"/>
        <w:rPr>
          <w:rFonts w:ascii="Verdana" w:hAnsi="Verdana"/>
        </w:rPr>
      </w:pPr>
    </w:p>
    <w:p w14:paraId="22A7A1F8" w14:textId="3E87AC24" w:rsidR="00DE1386" w:rsidRDefault="00DE1386" w:rsidP="008B28EB">
      <w:pPr>
        <w:spacing w:after="0"/>
        <w:rPr>
          <w:rFonts w:ascii="Verdana" w:hAnsi="Verdana"/>
        </w:rPr>
      </w:pPr>
    </w:p>
    <w:p w14:paraId="75E3BA51" w14:textId="20EDA291" w:rsidR="00DE1386" w:rsidRDefault="00DE1386" w:rsidP="008B28EB">
      <w:pPr>
        <w:spacing w:after="0"/>
        <w:rPr>
          <w:rFonts w:ascii="Verdana" w:hAnsi="Verdana"/>
        </w:rPr>
      </w:pPr>
    </w:p>
    <w:p w14:paraId="57825E54" w14:textId="788CE9C0" w:rsidR="00DE1386" w:rsidRDefault="00DE1386" w:rsidP="008B28EB">
      <w:pPr>
        <w:spacing w:after="0"/>
        <w:rPr>
          <w:rFonts w:ascii="Verdana" w:hAnsi="Verdana"/>
        </w:rPr>
      </w:pPr>
    </w:p>
    <w:p w14:paraId="50F0500D" w14:textId="30A5DA24" w:rsidR="00DE1386" w:rsidRDefault="00DE1386" w:rsidP="008B28EB">
      <w:pPr>
        <w:spacing w:after="0"/>
        <w:rPr>
          <w:rFonts w:ascii="Verdana" w:hAnsi="Verdana"/>
        </w:rPr>
      </w:pPr>
    </w:p>
    <w:p w14:paraId="65AE7629" w14:textId="2F796069" w:rsidR="00DE1386" w:rsidRDefault="00DE1386" w:rsidP="008B28EB">
      <w:pPr>
        <w:spacing w:after="0"/>
        <w:rPr>
          <w:rFonts w:ascii="Verdana" w:hAnsi="Verdana"/>
        </w:rPr>
      </w:pPr>
    </w:p>
    <w:p w14:paraId="5E745CA8" w14:textId="61FB05AC" w:rsidR="00DE1386" w:rsidRDefault="00DE1386" w:rsidP="008B28EB">
      <w:pPr>
        <w:spacing w:after="0"/>
        <w:rPr>
          <w:rFonts w:ascii="Verdana" w:hAnsi="Verdana"/>
        </w:rPr>
      </w:pPr>
    </w:p>
    <w:p w14:paraId="761591C4" w14:textId="1D8FBD23" w:rsidR="00DE1386" w:rsidRDefault="00DE1386" w:rsidP="008B28EB">
      <w:pPr>
        <w:spacing w:after="0"/>
        <w:rPr>
          <w:rFonts w:ascii="Verdana" w:hAnsi="Verdana"/>
        </w:rPr>
      </w:pPr>
    </w:p>
    <w:p w14:paraId="2E579ABE" w14:textId="42CBC4AC" w:rsidR="00DE1386" w:rsidRDefault="00DE1386" w:rsidP="008B28EB">
      <w:pPr>
        <w:spacing w:after="0"/>
        <w:rPr>
          <w:rFonts w:ascii="Verdana" w:hAnsi="Verdana"/>
        </w:rPr>
      </w:pPr>
    </w:p>
    <w:p w14:paraId="1E44DC91" w14:textId="3581130E" w:rsidR="00DE1386" w:rsidRDefault="00DE1386" w:rsidP="008B28EB">
      <w:pPr>
        <w:spacing w:after="0"/>
        <w:rPr>
          <w:rFonts w:ascii="Verdana" w:hAnsi="Verdana"/>
        </w:rPr>
      </w:pPr>
    </w:p>
    <w:p w14:paraId="33C4DAAD" w14:textId="158D5C40" w:rsidR="00DE1386" w:rsidRDefault="00DE1386" w:rsidP="008B28EB">
      <w:pPr>
        <w:spacing w:after="0"/>
        <w:rPr>
          <w:rFonts w:ascii="Verdana" w:hAnsi="Verdana"/>
        </w:rPr>
      </w:pPr>
    </w:p>
    <w:p w14:paraId="6B18C961" w14:textId="7B2A757C" w:rsidR="00DE1386" w:rsidRDefault="00DE1386" w:rsidP="008B28EB">
      <w:pPr>
        <w:spacing w:after="0"/>
        <w:rPr>
          <w:rFonts w:ascii="Verdana" w:hAnsi="Verdana"/>
        </w:rPr>
      </w:pPr>
    </w:p>
    <w:p w14:paraId="26E9FFB3" w14:textId="6DD1ED39" w:rsidR="00DE1386" w:rsidRDefault="00DE1386" w:rsidP="008B28EB">
      <w:pPr>
        <w:spacing w:after="0"/>
        <w:rPr>
          <w:rFonts w:ascii="Verdana" w:hAnsi="Verdana"/>
        </w:rPr>
      </w:pPr>
    </w:p>
    <w:p w14:paraId="29869CF1" w14:textId="1B4EB5F9" w:rsidR="00DE1386" w:rsidRDefault="00DE1386" w:rsidP="008B28EB">
      <w:pPr>
        <w:spacing w:after="0"/>
        <w:rPr>
          <w:rFonts w:ascii="Verdana" w:hAnsi="Verdana"/>
        </w:rPr>
      </w:pPr>
    </w:p>
    <w:p w14:paraId="35A7C8AE" w14:textId="69F11B77" w:rsidR="00DE1386" w:rsidRDefault="00DE1386" w:rsidP="008B28EB">
      <w:pPr>
        <w:spacing w:after="0"/>
        <w:rPr>
          <w:rFonts w:ascii="Verdana" w:hAnsi="Verdana"/>
        </w:rPr>
      </w:pPr>
    </w:p>
    <w:p w14:paraId="61B79752" w14:textId="5D24B675" w:rsidR="00DE1386" w:rsidRDefault="00DE1386" w:rsidP="008B28EB">
      <w:pPr>
        <w:spacing w:after="0"/>
        <w:rPr>
          <w:rFonts w:ascii="Verdana" w:hAnsi="Verdana"/>
        </w:rPr>
      </w:pPr>
    </w:p>
    <w:p w14:paraId="64787F38" w14:textId="0FBC79BF" w:rsidR="00DE1386" w:rsidRDefault="00DE1386" w:rsidP="008B28EB">
      <w:pPr>
        <w:spacing w:after="0"/>
        <w:rPr>
          <w:rFonts w:ascii="Verdana" w:hAnsi="Verdana"/>
        </w:rPr>
      </w:pPr>
    </w:p>
    <w:p w14:paraId="4C973AF9" w14:textId="26C299D0" w:rsidR="00DE1386" w:rsidRDefault="00DE1386" w:rsidP="008B28EB">
      <w:pPr>
        <w:spacing w:after="0"/>
        <w:rPr>
          <w:rFonts w:ascii="Verdana" w:hAnsi="Verdana"/>
        </w:rPr>
      </w:pPr>
    </w:p>
    <w:p w14:paraId="1293887F" w14:textId="3B417951" w:rsidR="00DE1386" w:rsidRDefault="00DE1386" w:rsidP="008B28EB">
      <w:pPr>
        <w:spacing w:after="0"/>
        <w:rPr>
          <w:rFonts w:ascii="Verdana" w:hAnsi="Verdana"/>
        </w:rPr>
      </w:pPr>
    </w:p>
    <w:p w14:paraId="59D7FC74" w14:textId="439A82EB" w:rsidR="00DE1386" w:rsidRDefault="00DE1386" w:rsidP="008B28EB">
      <w:pPr>
        <w:spacing w:after="0"/>
        <w:rPr>
          <w:rFonts w:ascii="Verdana" w:hAnsi="Verdana"/>
        </w:rPr>
      </w:pPr>
    </w:p>
    <w:p w14:paraId="199D558E" w14:textId="6380272A" w:rsidR="00DE1386" w:rsidRDefault="00DE1386" w:rsidP="008B28EB">
      <w:pPr>
        <w:spacing w:after="0"/>
        <w:rPr>
          <w:rFonts w:ascii="Verdana" w:hAnsi="Verdana"/>
        </w:rPr>
      </w:pPr>
    </w:p>
    <w:p w14:paraId="466B6DC5" w14:textId="5F858AD4" w:rsidR="00DE1386" w:rsidRDefault="00DE1386" w:rsidP="008B28EB">
      <w:pPr>
        <w:spacing w:after="0"/>
        <w:rPr>
          <w:rFonts w:ascii="Verdana" w:hAnsi="Verdana"/>
        </w:rPr>
      </w:pPr>
    </w:p>
    <w:p w14:paraId="212BD34A" w14:textId="6F264E52" w:rsidR="00DE1386" w:rsidRDefault="00DE1386" w:rsidP="008B28EB">
      <w:pPr>
        <w:spacing w:after="0"/>
        <w:rPr>
          <w:rFonts w:ascii="Verdana" w:hAnsi="Verdana"/>
        </w:rPr>
      </w:pPr>
    </w:p>
    <w:p w14:paraId="2B978744" w14:textId="50565D1C" w:rsidR="00DE1386" w:rsidRDefault="00DE1386" w:rsidP="008B28EB">
      <w:pPr>
        <w:spacing w:after="0"/>
        <w:rPr>
          <w:rFonts w:ascii="Verdana" w:hAnsi="Verdana"/>
        </w:rPr>
      </w:pPr>
    </w:p>
    <w:p w14:paraId="1C3EE858" w14:textId="73AF600B" w:rsidR="00DE1386" w:rsidRDefault="00DE1386" w:rsidP="008B28EB">
      <w:pPr>
        <w:spacing w:after="0"/>
        <w:rPr>
          <w:rFonts w:ascii="Verdana" w:hAnsi="Verdana"/>
        </w:rPr>
      </w:pPr>
    </w:p>
    <w:p w14:paraId="2A047C03" w14:textId="77777777" w:rsidR="00DE1386" w:rsidRDefault="00DE1386" w:rsidP="008B28EB">
      <w:pPr>
        <w:spacing w:after="0"/>
        <w:rPr>
          <w:rFonts w:ascii="Verdana" w:hAnsi="Verdana"/>
        </w:rPr>
      </w:pPr>
    </w:p>
    <w:p w14:paraId="56B02482" w14:textId="757B387D" w:rsidR="00DE1386" w:rsidRDefault="00DE1386" w:rsidP="008B28EB">
      <w:pPr>
        <w:spacing w:after="0"/>
        <w:rPr>
          <w:rFonts w:ascii="Verdana" w:hAnsi="Verdana"/>
        </w:rPr>
      </w:pPr>
    </w:p>
    <w:p w14:paraId="13330D79" w14:textId="77777777" w:rsidR="00F44D5E" w:rsidRPr="00DE1386" w:rsidRDefault="00F44D5E" w:rsidP="008B28EB">
      <w:pPr>
        <w:spacing w:after="0"/>
        <w:rPr>
          <w:rFonts w:ascii="Verdana" w:hAnsi="Verdana"/>
        </w:rPr>
      </w:pPr>
    </w:p>
    <w:p w14:paraId="5D6B3EB8" w14:textId="310A2A80" w:rsidR="008B28EB" w:rsidRDefault="008B28EB" w:rsidP="008B28EB">
      <w:pPr>
        <w:spacing w:after="0"/>
        <w:rPr>
          <w:rFonts w:ascii="Verdana" w:hAnsi="Verdana"/>
        </w:rPr>
      </w:pPr>
      <w:r w:rsidRPr="0024624F">
        <w:rPr>
          <w:rFonts w:ascii="Verdana" w:hAnsi="Verdana"/>
        </w:rPr>
        <w:lastRenderedPageBreak/>
        <w:t>Bogotá D.C.,</w:t>
      </w:r>
      <w:r w:rsidR="00E23E26">
        <w:rPr>
          <w:rFonts w:ascii="Verdana" w:hAnsi="Verdana"/>
        </w:rPr>
        <w:t xml:space="preserve"> 19 de noviembre de 2025 </w:t>
      </w:r>
      <w:r>
        <w:rPr>
          <w:rFonts w:ascii="Verdana" w:hAnsi="Verdana"/>
        </w:rPr>
        <w:tab/>
      </w:r>
    </w:p>
    <w:p w14:paraId="765203FD" w14:textId="2911F887" w:rsidR="008B28EB" w:rsidRDefault="00DF6B96" w:rsidP="008B28EB">
      <w:pPr>
        <w:spacing w:after="0" w:line="240" w:lineRule="auto"/>
        <w:rPr>
          <w:rFonts w:ascii="Verdana" w:hAnsi="Verdana"/>
        </w:rPr>
      </w:pPr>
      <w:r w:rsidRPr="00DF6B96">
        <w:rPr>
          <w:rFonts w:ascii="Verdana" w:hAnsi="Verdana"/>
          <w:noProof/>
          <w:lang w:val="en-US"/>
        </w:rPr>
        <w:drawing>
          <wp:anchor distT="0" distB="0" distL="114300" distR="114300" simplePos="0" relativeHeight="251658240" behindDoc="0" locked="0" layoutInCell="1" allowOverlap="1" wp14:anchorId="7EA7AC23" wp14:editId="0DFC4B9F">
            <wp:simplePos x="0" y="0"/>
            <wp:positionH relativeFrom="margin">
              <wp:posOffset>2878455</wp:posOffset>
            </wp:positionH>
            <wp:positionV relativeFrom="paragraph">
              <wp:posOffset>11430</wp:posOffset>
            </wp:positionV>
            <wp:extent cx="2720975" cy="737235"/>
            <wp:effectExtent l="0" t="0" r="3175" b="571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20975" cy="7372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36FF75F" w14:textId="77777777" w:rsidR="008B28EB" w:rsidRPr="00B57A1B" w:rsidRDefault="008B28EB" w:rsidP="008B28EB">
      <w:pPr>
        <w:spacing w:after="0" w:line="240" w:lineRule="auto"/>
        <w:rPr>
          <w:rFonts w:ascii="Verdana" w:hAnsi="Verdana"/>
        </w:rPr>
      </w:pPr>
    </w:p>
    <w:p w14:paraId="3971D818" w14:textId="77777777" w:rsidR="008B28EB" w:rsidRPr="00A03BCA" w:rsidRDefault="008B28EB" w:rsidP="008B28EB">
      <w:pPr>
        <w:spacing w:after="0" w:line="240" w:lineRule="auto"/>
        <w:rPr>
          <w:rFonts w:ascii="Verdana" w:eastAsia="Calibri" w:hAnsi="Verdana" w:cs="Times New Roman"/>
          <w:lang w:val="es-MX"/>
        </w:rPr>
      </w:pPr>
      <w:r w:rsidRPr="00A03BCA">
        <w:rPr>
          <w:rFonts w:ascii="Verdana" w:eastAsia="Calibri" w:hAnsi="Verdana" w:cs="Times New Roman"/>
          <w:lang w:val="es-MX"/>
        </w:rPr>
        <w:t>Señor</w:t>
      </w:r>
    </w:p>
    <w:p w14:paraId="5F7BEFBA" w14:textId="77777777" w:rsidR="008B28EB" w:rsidRPr="002F1507" w:rsidRDefault="008B28EB" w:rsidP="008B28EB">
      <w:pPr>
        <w:spacing w:after="0" w:line="240" w:lineRule="auto"/>
        <w:rPr>
          <w:rFonts w:ascii="Verdana" w:eastAsia="Calibri" w:hAnsi="Verdana" w:cs="Times New Roman"/>
          <w:b/>
          <w:bCs/>
          <w:lang w:val="es-MX"/>
        </w:rPr>
      </w:pPr>
      <w:r w:rsidRPr="002F1507">
        <w:rPr>
          <w:rFonts w:ascii="Verdana" w:eastAsia="Calibri" w:hAnsi="Verdana" w:cs="Times New Roman"/>
          <w:b/>
          <w:bCs/>
          <w:lang w:val="es-MX"/>
        </w:rPr>
        <w:t>Juan David Piedrahita</w:t>
      </w:r>
    </w:p>
    <w:p w14:paraId="30A898B3" w14:textId="77777777" w:rsidR="008B28EB" w:rsidRPr="00A03BCA" w:rsidRDefault="00F5596A" w:rsidP="008B28EB">
      <w:pPr>
        <w:spacing w:after="0" w:line="240" w:lineRule="auto"/>
        <w:rPr>
          <w:rFonts w:ascii="Verdana" w:hAnsi="Verdana"/>
        </w:rPr>
      </w:pPr>
      <w:hyperlink r:id="rId12" w:history="1">
        <w:r w:rsidR="008B28EB" w:rsidRPr="00CE7ACC">
          <w:rPr>
            <w:rStyle w:val="Hipervnculo"/>
            <w:rFonts w:ascii="Verdana" w:hAnsi="Verdana"/>
          </w:rPr>
          <w:t>almacen@cartago.gov.co</w:t>
        </w:r>
      </w:hyperlink>
      <w:r w:rsidR="008B28EB">
        <w:rPr>
          <w:rFonts w:ascii="Verdana" w:hAnsi="Verdana"/>
        </w:rPr>
        <w:t xml:space="preserve"> </w:t>
      </w:r>
    </w:p>
    <w:p w14:paraId="4EF6D49B" w14:textId="77777777" w:rsidR="008B28EB" w:rsidRPr="00A03BCA" w:rsidRDefault="008B28EB" w:rsidP="008B28EB">
      <w:pPr>
        <w:spacing w:after="0" w:line="240" w:lineRule="auto"/>
        <w:rPr>
          <w:rFonts w:ascii="Verdana" w:eastAsia="Calibri" w:hAnsi="Verdana" w:cs="Times New Roman"/>
        </w:rPr>
      </w:pPr>
      <w:r w:rsidRPr="00A03BCA">
        <w:rPr>
          <w:rFonts w:ascii="Verdana" w:eastAsia="Calibri" w:hAnsi="Verdana" w:cs="Times New Roman"/>
        </w:rPr>
        <w:t>Cartago, Valle del Cauca</w:t>
      </w:r>
    </w:p>
    <w:p w14:paraId="6E472662" w14:textId="77777777" w:rsidR="008B28EB" w:rsidRPr="00B57A1B" w:rsidRDefault="008B28EB" w:rsidP="008B28EB">
      <w:pPr>
        <w:spacing w:after="0" w:line="240" w:lineRule="auto"/>
        <w:rPr>
          <w:rFonts w:ascii="Verdana" w:eastAsia="Calibri" w:hAnsi="Verdana" w:cs="Times New Roman"/>
        </w:rPr>
      </w:pPr>
    </w:p>
    <w:p w14:paraId="3A9862E8" w14:textId="77777777" w:rsidR="008B28EB" w:rsidRPr="00B57A1B" w:rsidRDefault="008B28EB" w:rsidP="008B28EB">
      <w:pPr>
        <w:spacing w:after="0" w:line="240" w:lineRule="auto"/>
        <w:rPr>
          <w:rFonts w:ascii="Verdana" w:eastAsia="Calibri" w:hAnsi="Verdana" w:cs="Times New Roman"/>
        </w:rPr>
      </w:pPr>
    </w:p>
    <w:p w14:paraId="031727F1" w14:textId="77777777" w:rsidR="008B28EB" w:rsidRPr="00B57A1B" w:rsidRDefault="008B28EB" w:rsidP="008B28EB">
      <w:pPr>
        <w:spacing w:after="0" w:line="256" w:lineRule="auto"/>
        <w:rPr>
          <w:rFonts w:ascii="Verdana" w:eastAsia="Calibri" w:hAnsi="Verdana" w:cs="Times New Roman"/>
          <w:b/>
          <w:bCs/>
          <w:lang w:val="es-ES"/>
        </w:rPr>
      </w:pPr>
      <w:r w:rsidRPr="00B57A1B">
        <w:rPr>
          <w:rFonts w:ascii="Verdana" w:eastAsia="Calibri" w:hAnsi="Verdana" w:cs="Times New Roman"/>
          <w:b/>
          <w:bCs/>
          <w:lang w:val="es-ES"/>
        </w:rPr>
        <w:t xml:space="preserve">                   </w:t>
      </w:r>
      <w:r>
        <w:rPr>
          <w:rFonts w:ascii="Verdana" w:eastAsia="Calibri" w:hAnsi="Verdana" w:cs="Times New Roman"/>
          <w:b/>
          <w:bCs/>
          <w:lang w:val="es-ES"/>
        </w:rPr>
        <w:t xml:space="preserve">                 Concepto C–1258 de 2025</w:t>
      </w:r>
    </w:p>
    <w:p w14:paraId="2A63EADF" w14:textId="77777777" w:rsidR="008B28EB" w:rsidRPr="00B57A1B" w:rsidRDefault="008B28EB" w:rsidP="008B28EB">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8B28EB" w:rsidRPr="00B57A1B" w14:paraId="45DE8BC5" w14:textId="77777777" w:rsidTr="00124D79">
        <w:trPr>
          <w:trHeight w:val="645"/>
        </w:trPr>
        <w:tc>
          <w:tcPr>
            <w:tcW w:w="2685" w:type="dxa"/>
            <w:hideMark/>
          </w:tcPr>
          <w:p w14:paraId="563627D5" w14:textId="77777777" w:rsidR="008B28EB" w:rsidRPr="00B57A1B" w:rsidRDefault="008B28EB" w:rsidP="00124D79">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76A2F768" w14:textId="77777777" w:rsidR="008B28EB" w:rsidRDefault="008B28EB" w:rsidP="00124D79">
            <w:pPr>
              <w:spacing w:line="276" w:lineRule="auto"/>
              <w:jc w:val="both"/>
              <w:rPr>
                <w:rFonts w:ascii="Verdana" w:hAnsi="Verdana" w:cs="Arial"/>
                <w:bCs/>
                <w:lang w:val="es-ES" w:eastAsia="es-ES"/>
              </w:rPr>
            </w:pPr>
            <w:r w:rsidRPr="00555D1D">
              <w:rPr>
                <w:rFonts w:ascii="Verdana" w:hAnsi="Verdana" w:cs="Arial"/>
                <w:bCs/>
                <w:lang w:val="es-ES" w:eastAsia="es-ES"/>
              </w:rPr>
              <w:t>CONTRATOS ESTATALES – Capacidad jurídica – Requisitos esenciales / CONTRATO D</w:t>
            </w:r>
            <w:r>
              <w:rPr>
                <w:rFonts w:ascii="Verdana" w:hAnsi="Verdana" w:cs="Arial"/>
                <w:bCs/>
                <w:lang w:val="es-ES" w:eastAsia="es-ES"/>
              </w:rPr>
              <w:t>E ARRENDAMIENTO</w:t>
            </w:r>
            <w:r w:rsidRPr="00555D1D">
              <w:rPr>
                <w:rFonts w:ascii="Verdana" w:hAnsi="Verdana" w:cs="Arial"/>
                <w:bCs/>
                <w:lang w:val="es-ES" w:eastAsia="es-ES"/>
              </w:rPr>
              <w:t xml:space="preserve"> – Noción – Definición – Autonomía de la voluntad </w:t>
            </w:r>
            <w:r>
              <w:rPr>
                <w:rFonts w:ascii="Verdana" w:hAnsi="Verdana" w:cs="Arial"/>
                <w:bCs/>
                <w:lang w:val="es-ES" w:eastAsia="es-ES"/>
              </w:rPr>
              <w:t xml:space="preserve">/ </w:t>
            </w:r>
            <w:r w:rsidRPr="00555D1D">
              <w:rPr>
                <w:rFonts w:ascii="Verdana" w:hAnsi="Verdana" w:cs="Arial"/>
                <w:bCs/>
                <w:lang w:val="es-ES_tradnl" w:eastAsia="es-ES"/>
              </w:rPr>
              <w:t xml:space="preserve">CONTRATO DE ARRENDAMIENTO – Definición – Características – Decreto 1082 DE 2015 – Artículo </w:t>
            </w:r>
            <w:r>
              <w:rPr>
                <w:rFonts w:ascii="Verdana" w:hAnsi="Verdana" w:cs="Arial"/>
                <w:bCs/>
                <w:lang w:val="es-ES_tradnl" w:eastAsia="es-ES"/>
              </w:rPr>
              <w:t xml:space="preserve">2.2.1.2.1.4.1 / </w:t>
            </w:r>
            <w:r w:rsidRPr="00415516">
              <w:rPr>
                <w:rFonts w:ascii="Verdana" w:hAnsi="Verdana" w:cs="Arial"/>
                <w:bCs/>
                <w:lang w:eastAsia="es-ES"/>
              </w:rPr>
              <w:t xml:space="preserve">PLAZO DEL CONTRATO ‒ Exigibilidad de las obligaciones – Extinción de los derechos – Diferencias / CONTRATOS ESTATALES ‒ Plazo suspensivo – Plazo extintivo – Exigibilidad – Extinción de las obligaciones </w:t>
            </w:r>
            <w:r>
              <w:rPr>
                <w:rFonts w:ascii="Verdana" w:hAnsi="Verdana" w:cs="Arial"/>
                <w:bCs/>
                <w:lang w:eastAsia="es-ES"/>
              </w:rPr>
              <w:t xml:space="preserve">/ PLAZO EXTINTIVO – Contrato de Arrendamiento – Plazo determinado. </w:t>
            </w:r>
            <w:r w:rsidRPr="00415516">
              <w:rPr>
                <w:rFonts w:ascii="Verdana" w:hAnsi="Verdana" w:cs="Arial"/>
                <w:bCs/>
                <w:lang w:val="es-ES" w:eastAsia="es-ES"/>
              </w:rPr>
              <w:t xml:space="preserve"> </w:t>
            </w:r>
          </w:p>
          <w:p w14:paraId="64FA5999" w14:textId="77777777" w:rsidR="008B28EB" w:rsidRPr="00415516" w:rsidRDefault="008B28EB" w:rsidP="00124D79">
            <w:pPr>
              <w:spacing w:line="276" w:lineRule="auto"/>
              <w:jc w:val="both"/>
              <w:rPr>
                <w:rFonts w:ascii="Verdana" w:hAnsi="Verdana" w:cs="Arial"/>
                <w:bCs/>
                <w:lang w:val="es-ES" w:eastAsia="es-ES"/>
              </w:rPr>
            </w:pPr>
          </w:p>
          <w:p w14:paraId="734C367E" w14:textId="77777777" w:rsidR="008B28EB" w:rsidRPr="007025D7" w:rsidRDefault="008B28EB" w:rsidP="00124D79">
            <w:pPr>
              <w:spacing w:line="276" w:lineRule="auto"/>
              <w:jc w:val="both"/>
              <w:rPr>
                <w:rFonts w:ascii="Verdana" w:hAnsi="Verdana" w:cs="Arial"/>
                <w:bCs/>
                <w:lang w:val="es-ES_tradnl" w:eastAsia="es-ES"/>
              </w:rPr>
            </w:pPr>
          </w:p>
        </w:tc>
        <w:tc>
          <w:tcPr>
            <w:tcW w:w="6237" w:type="dxa"/>
          </w:tcPr>
          <w:p w14:paraId="4DD37FE6" w14:textId="77777777" w:rsidR="008B28EB" w:rsidRPr="004140B3" w:rsidRDefault="008B28EB" w:rsidP="00124D79">
            <w:pPr>
              <w:spacing w:line="256" w:lineRule="auto"/>
              <w:rPr>
                <w:rFonts w:ascii="Verdana" w:hAnsi="Verdana"/>
                <w:lang w:val="es-ES"/>
              </w:rPr>
            </w:pPr>
          </w:p>
        </w:tc>
      </w:tr>
      <w:tr w:rsidR="008B28EB" w:rsidRPr="00B57A1B" w14:paraId="32E1A673" w14:textId="77777777" w:rsidTr="00124D79">
        <w:tc>
          <w:tcPr>
            <w:tcW w:w="2685" w:type="dxa"/>
          </w:tcPr>
          <w:p w14:paraId="05A4F004" w14:textId="77777777" w:rsidR="008B28EB" w:rsidRPr="00B57A1B" w:rsidRDefault="008B28EB" w:rsidP="00124D79">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23988F10" w14:textId="77777777" w:rsidR="008B28EB" w:rsidRPr="0068664A" w:rsidRDefault="008B28EB" w:rsidP="00124D79">
            <w:pPr>
              <w:spacing w:line="257" w:lineRule="auto"/>
              <w:jc w:val="both"/>
              <w:rPr>
                <w:rFonts w:ascii="Verdana" w:hAnsi="Verdana"/>
                <w:lang w:val="es-ES_tradnl"/>
              </w:rPr>
            </w:pPr>
            <w:r w:rsidRPr="00B57A1B">
              <w:rPr>
                <w:rFonts w:ascii="Verdana" w:hAnsi="Verdana"/>
                <w:lang w:val="es-ES_tradnl"/>
              </w:rPr>
              <w:t xml:space="preserve">Respuesta a consulta con radicado No. </w:t>
            </w:r>
            <w:r w:rsidRPr="00A03BCA">
              <w:rPr>
                <w:rFonts w:ascii="Verdana" w:hAnsi="Verdana"/>
              </w:rPr>
              <w:t>1_2025_10_09_011357</w:t>
            </w:r>
          </w:p>
          <w:p w14:paraId="2EB528D6" w14:textId="77777777" w:rsidR="008B28EB" w:rsidRPr="00B57A1B" w:rsidRDefault="008B28EB" w:rsidP="00124D79">
            <w:pPr>
              <w:spacing w:line="257" w:lineRule="auto"/>
              <w:jc w:val="both"/>
              <w:rPr>
                <w:rFonts w:ascii="Verdana" w:hAnsi="Verdana"/>
              </w:rPr>
            </w:pPr>
          </w:p>
          <w:p w14:paraId="76EC7347" w14:textId="77777777" w:rsidR="008B28EB" w:rsidRPr="00B57A1B" w:rsidRDefault="008B28EB" w:rsidP="00124D79">
            <w:pPr>
              <w:spacing w:line="257" w:lineRule="auto"/>
              <w:jc w:val="both"/>
              <w:rPr>
                <w:rFonts w:ascii="Verdana" w:hAnsi="Verdana"/>
              </w:rPr>
            </w:pPr>
          </w:p>
        </w:tc>
        <w:tc>
          <w:tcPr>
            <w:tcW w:w="6237" w:type="dxa"/>
          </w:tcPr>
          <w:p w14:paraId="680F6D51" w14:textId="77777777" w:rsidR="008B28EB" w:rsidRPr="00B57A1B" w:rsidRDefault="008B28EB" w:rsidP="00124D79">
            <w:pPr>
              <w:spacing w:line="256" w:lineRule="auto"/>
              <w:rPr>
                <w:rFonts w:ascii="Verdana" w:hAnsi="Verdana"/>
                <w:lang w:val="es-ES_tradnl"/>
              </w:rPr>
            </w:pPr>
          </w:p>
        </w:tc>
      </w:tr>
    </w:tbl>
    <w:p w14:paraId="15BB6472" w14:textId="77777777" w:rsidR="008B28EB" w:rsidRPr="00B57A1B" w:rsidRDefault="008B28EB" w:rsidP="008B28EB">
      <w:pPr>
        <w:spacing w:after="0" w:line="256" w:lineRule="auto"/>
        <w:rPr>
          <w:rFonts w:ascii="Verdana" w:eastAsia="Calibri" w:hAnsi="Verdana" w:cs="Times New Roman"/>
          <w:lang w:val="es-ES"/>
        </w:rPr>
      </w:pPr>
      <w:r>
        <w:rPr>
          <w:rFonts w:ascii="Verdana" w:eastAsia="Calibri" w:hAnsi="Verdana" w:cs="Times New Roman"/>
          <w:lang w:val="es-ES"/>
        </w:rPr>
        <w:t>Estimado Señor Piedrahita:</w:t>
      </w:r>
    </w:p>
    <w:p w14:paraId="510914A6" w14:textId="77777777" w:rsidR="008B28EB" w:rsidRPr="00B57A1B" w:rsidRDefault="008B28EB" w:rsidP="008B28EB">
      <w:pPr>
        <w:spacing w:after="0" w:line="256" w:lineRule="auto"/>
        <w:rPr>
          <w:rFonts w:ascii="Verdana" w:eastAsia="Calibri" w:hAnsi="Verdana" w:cs="Times New Roman"/>
          <w:lang w:val="es-ES"/>
        </w:rPr>
      </w:pPr>
    </w:p>
    <w:p w14:paraId="6469F6B9" w14:textId="77777777" w:rsidR="008B28EB" w:rsidRDefault="008B28EB" w:rsidP="008B28EB">
      <w:pPr>
        <w:spacing w:after="0" w:line="276" w:lineRule="auto"/>
        <w:jc w:val="both"/>
        <w:rPr>
          <w:rFonts w:ascii="Verdana" w:eastAsia="Calibri" w:hAnsi="Verdana" w:cs="Times New Roman"/>
          <w:bCs/>
          <w:lang w:val="es-ES" w:bidi="es-ES"/>
        </w:rPr>
      </w:pPr>
      <w:r w:rsidRPr="008F6705">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w:t>
      </w:r>
      <w:r>
        <w:rPr>
          <w:rFonts w:ascii="Verdana" w:eastAsia="Calibri" w:hAnsi="Verdana" w:cs="Times New Roman"/>
          <w:bCs/>
          <w:lang w:bidi="es-ES"/>
        </w:rPr>
        <w:t>así como lo establecido en la Re</w:t>
      </w:r>
      <w:r w:rsidRPr="008F6705">
        <w:rPr>
          <w:rFonts w:ascii="Verdana" w:eastAsia="Calibri" w:hAnsi="Verdana" w:cs="Times New Roman"/>
          <w:bCs/>
          <w:lang w:bidi="es-ES"/>
        </w:rPr>
        <w:t xml:space="preserve">solución </w:t>
      </w:r>
      <w:proofErr w:type="spellStart"/>
      <w:r w:rsidRPr="008F6705">
        <w:rPr>
          <w:rFonts w:ascii="Verdana" w:eastAsia="Calibri" w:hAnsi="Verdana" w:cs="Times New Roman"/>
          <w:bCs/>
          <w:lang w:bidi="es-ES"/>
        </w:rPr>
        <w:t>N°</w:t>
      </w:r>
      <w:proofErr w:type="spellEnd"/>
      <w:r w:rsidRPr="008F6705">
        <w:rPr>
          <w:rFonts w:ascii="Verdana" w:eastAsia="Calibri" w:hAnsi="Verdana" w:cs="Times New Roman"/>
          <w:bCs/>
          <w:lang w:bidi="es-ES"/>
        </w:rPr>
        <w:t xml:space="preserve"> 469 del 2025 expedida por esta Agencia, </w:t>
      </w:r>
      <w:r>
        <w:rPr>
          <w:rFonts w:ascii="Verdana" w:eastAsia="Calibri" w:hAnsi="Verdana" w:cs="Times New Roman"/>
          <w:bCs/>
          <w:lang w:val="es-ES" w:bidi="es-ES"/>
        </w:rPr>
        <w:t>responde la solicitud de consulta del 9 de octubre</w:t>
      </w:r>
      <w:r w:rsidRPr="00B57A1B">
        <w:rPr>
          <w:rFonts w:ascii="Verdana" w:eastAsia="Calibri" w:hAnsi="Verdana" w:cs="Times New Roman"/>
          <w:bCs/>
          <w:lang w:val="es-ES" w:bidi="es-ES"/>
        </w:rPr>
        <w:t xml:space="preserve">, en la cual manifiesta: </w:t>
      </w:r>
    </w:p>
    <w:p w14:paraId="502B0FEA" w14:textId="77777777" w:rsidR="008B28EB" w:rsidRPr="00586328" w:rsidRDefault="008B28EB" w:rsidP="008B28EB">
      <w:pPr>
        <w:spacing w:after="0" w:line="240" w:lineRule="auto"/>
        <w:jc w:val="both"/>
        <w:rPr>
          <w:rFonts w:ascii="Verdana" w:eastAsia="Calibri" w:hAnsi="Verdana" w:cs="Times New Roman"/>
          <w:bCs/>
          <w:lang w:bidi="es-ES"/>
        </w:rPr>
      </w:pPr>
    </w:p>
    <w:p w14:paraId="1F0E75C0" w14:textId="77777777" w:rsidR="008B28EB" w:rsidRDefault="008B28EB" w:rsidP="008B28EB">
      <w:pPr>
        <w:spacing w:after="0" w:line="240" w:lineRule="auto"/>
        <w:ind w:left="709" w:right="709"/>
        <w:jc w:val="both"/>
        <w:rPr>
          <w:rFonts w:ascii="Verdana" w:eastAsia="Calibri" w:hAnsi="Verdana" w:cs="Times New Roman"/>
          <w:bCs/>
          <w:sz w:val="21"/>
          <w:szCs w:val="21"/>
          <w:lang w:bidi="es-ES"/>
        </w:rPr>
      </w:pPr>
      <w:r>
        <w:rPr>
          <w:rFonts w:ascii="Verdana" w:eastAsia="Calibri" w:hAnsi="Verdana" w:cs="Times New Roman"/>
          <w:bCs/>
          <w:sz w:val="21"/>
          <w:szCs w:val="21"/>
          <w:lang w:bidi="es-ES"/>
        </w:rPr>
        <w:t>“</w:t>
      </w:r>
      <w:r w:rsidRPr="00A03BCA">
        <w:rPr>
          <w:rFonts w:ascii="Verdana" w:eastAsia="Calibri" w:hAnsi="Verdana" w:cs="Times New Roman"/>
          <w:bCs/>
          <w:sz w:val="21"/>
          <w:szCs w:val="21"/>
          <w:lang w:bidi="es-ES"/>
        </w:rPr>
        <w:t>¿EL PLAZO DE</w:t>
      </w:r>
      <w:r>
        <w:rPr>
          <w:rFonts w:ascii="Verdana" w:eastAsia="Calibri" w:hAnsi="Verdana" w:cs="Times New Roman"/>
          <w:bCs/>
          <w:sz w:val="21"/>
          <w:szCs w:val="21"/>
          <w:lang w:bidi="es-ES"/>
        </w:rPr>
        <w:t xml:space="preserve"> </w:t>
      </w:r>
      <w:r w:rsidRPr="00A03BCA">
        <w:rPr>
          <w:rFonts w:ascii="Verdana" w:eastAsia="Calibri" w:hAnsi="Verdana" w:cs="Times New Roman"/>
          <w:bCs/>
          <w:sz w:val="21"/>
          <w:szCs w:val="21"/>
          <w:lang w:bidi="es-ES"/>
        </w:rPr>
        <w:t>EJECUCION DE UN CONTRATO DE ARRENDAMIENTO PUEDE SER DE</w:t>
      </w:r>
      <w:r>
        <w:rPr>
          <w:rFonts w:ascii="Verdana" w:eastAsia="Calibri" w:hAnsi="Verdana" w:cs="Times New Roman"/>
          <w:bCs/>
          <w:sz w:val="21"/>
          <w:szCs w:val="21"/>
          <w:lang w:bidi="es-ES"/>
        </w:rPr>
        <w:t xml:space="preserve"> </w:t>
      </w:r>
      <w:r w:rsidRPr="00A03BCA">
        <w:rPr>
          <w:rFonts w:ascii="Verdana" w:eastAsia="Calibri" w:hAnsi="Verdana" w:cs="Times New Roman"/>
          <w:bCs/>
          <w:sz w:val="21"/>
          <w:szCs w:val="21"/>
          <w:lang w:bidi="es-ES"/>
        </w:rPr>
        <w:t xml:space="preserve">MANERA INDEFINIDA? teniendo en cuenta que en los </w:t>
      </w:r>
      <w:r w:rsidRPr="00A03BCA">
        <w:rPr>
          <w:rFonts w:ascii="Verdana" w:eastAsia="Calibri" w:hAnsi="Verdana" w:cs="Times New Roman"/>
          <w:bCs/>
          <w:sz w:val="21"/>
          <w:szCs w:val="21"/>
          <w:lang w:bidi="es-ES"/>
        </w:rPr>
        <w:lastRenderedPageBreak/>
        <w:t>inmuebles arrendados se</w:t>
      </w:r>
      <w:r>
        <w:rPr>
          <w:rFonts w:ascii="Verdana" w:eastAsia="Calibri" w:hAnsi="Verdana" w:cs="Times New Roman"/>
          <w:bCs/>
          <w:sz w:val="21"/>
          <w:szCs w:val="21"/>
          <w:lang w:bidi="es-ES"/>
        </w:rPr>
        <w:t xml:space="preserve"> </w:t>
      </w:r>
      <w:r w:rsidRPr="00A03BCA">
        <w:rPr>
          <w:rFonts w:ascii="Verdana" w:eastAsia="Calibri" w:hAnsi="Verdana" w:cs="Times New Roman"/>
          <w:bCs/>
          <w:sz w:val="21"/>
          <w:szCs w:val="21"/>
          <w:lang w:bidi="es-ES"/>
        </w:rPr>
        <w:t>encuentran funcionando dependencias de la Administración Municipal, las cuale</w:t>
      </w:r>
      <w:r>
        <w:rPr>
          <w:rFonts w:ascii="Verdana" w:eastAsia="Calibri" w:hAnsi="Verdana" w:cs="Times New Roman"/>
          <w:bCs/>
          <w:sz w:val="21"/>
          <w:szCs w:val="21"/>
          <w:lang w:bidi="es-ES"/>
        </w:rPr>
        <w:t xml:space="preserve">s </w:t>
      </w:r>
      <w:r w:rsidRPr="00A03BCA">
        <w:rPr>
          <w:rFonts w:ascii="Verdana" w:eastAsia="Calibri" w:hAnsi="Verdana" w:cs="Times New Roman"/>
          <w:bCs/>
          <w:sz w:val="21"/>
          <w:szCs w:val="21"/>
          <w:lang w:bidi="es-ES"/>
        </w:rPr>
        <w:t>ofrecen un servicio a la ciudadanía y deben operar de manera continua y no son de</w:t>
      </w:r>
      <w:r>
        <w:rPr>
          <w:rFonts w:ascii="Verdana" w:eastAsia="Calibri" w:hAnsi="Verdana" w:cs="Times New Roman"/>
          <w:bCs/>
          <w:sz w:val="21"/>
          <w:szCs w:val="21"/>
          <w:lang w:bidi="es-ES"/>
        </w:rPr>
        <w:t xml:space="preserve"> </w:t>
      </w:r>
      <w:r w:rsidRPr="00A03BCA">
        <w:rPr>
          <w:rFonts w:ascii="Verdana" w:eastAsia="Calibri" w:hAnsi="Verdana" w:cs="Times New Roman"/>
          <w:bCs/>
          <w:sz w:val="21"/>
          <w:szCs w:val="21"/>
          <w:lang w:bidi="es-ES"/>
        </w:rPr>
        <w:t>fácil reubicación por la cantidad de funcionarios de allí laboran, adicional a lo</w:t>
      </w:r>
      <w:r>
        <w:rPr>
          <w:rFonts w:ascii="Verdana" w:eastAsia="Calibri" w:hAnsi="Verdana" w:cs="Times New Roman"/>
          <w:bCs/>
          <w:sz w:val="21"/>
          <w:szCs w:val="21"/>
          <w:lang w:bidi="es-ES"/>
        </w:rPr>
        <w:t xml:space="preserve"> </w:t>
      </w:r>
      <w:r w:rsidRPr="00A03BCA">
        <w:rPr>
          <w:rFonts w:ascii="Verdana" w:eastAsia="Calibri" w:hAnsi="Verdana" w:cs="Times New Roman"/>
          <w:bCs/>
          <w:sz w:val="21"/>
          <w:szCs w:val="21"/>
          <w:lang w:bidi="es-ES"/>
        </w:rPr>
        <w:t>mencionado, son inmuebles que se encuentran totalmente acondicionados de</w:t>
      </w:r>
      <w:r>
        <w:rPr>
          <w:rFonts w:ascii="Verdana" w:eastAsia="Calibri" w:hAnsi="Verdana" w:cs="Times New Roman"/>
          <w:bCs/>
          <w:sz w:val="21"/>
          <w:szCs w:val="21"/>
          <w:lang w:bidi="es-ES"/>
        </w:rPr>
        <w:t xml:space="preserve"> </w:t>
      </w:r>
      <w:r w:rsidRPr="00A03BCA">
        <w:rPr>
          <w:rFonts w:ascii="Verdana" w:eastAsia="Calibri" w:hAnsi="Verdana" w:cs="Times New Roman"/>
          <w:bCs/>
          <w:sz w:val="21"/>
          <w:szCs w:val="21"/>
          <w:lang w:bidi="es-ES"/>
        </w:rPr>
        <w:t>acuerdo a las necesidades con las que hoy cuenta la administración. Igualmente,</w:t>
      </w:r>
      <w:r>
        <w:rPr>
          <w:rFonts w:ascii="Verdana" w:eastAsia="Calibri" w:hAnsi="Verdana" w:cs="Times New Roman"/>
          <w:bCs/>
          <w:sz w:val="21"/>
          <w:szCs w:val="21"/>
          <w:lang w:bidi="es-ES"/>
        </w:rPr>
        <w:t xml:space="preserve"> </w:t>
      </w:r>
      <w:r w:rsidRPr="00A03BCA">
        <w:rPr>
          <w:rFonts w:ascii="Verdana" w:eastAsia="Calibri" w:hAnsi="Verdana" w:cs="Times New Roman"/>
          <w:bCs/>
          <w:sz w:val="21"/>
          <w:szCs w:val="21"/>
          <w:lang w:bidi="es-ES"/>
        </w:rPr>
        <w:t>también son inmuebles que prestan el servicio de bodega para custodia de los</w:t>
      </w:r>
      <w:r>
        <w:rPr>
          <w:rFonts w:ascii="Verdana" w:eastAsia="Calibri" w:hAnsi="Verdana" w:cs="Times New Roman"/>
          <w:bCs/>
          <w:sz w:val="21"/>
          <w:szCs w:val="21"/>
          <w:lang w:bidi="es-ES"/>
        </w:rPr>
        <w:t xml:space="preserve"> </w:t>
      </w:r>
      <w:r w:rsidRPr="00A03BCA">
        <w:rPr>
          <w:rFonts w:ascii="Verdana" w:eastAsia="Calibri" w:hAnsi="Verdana" w:cs="Times New Roman"/>
          <w:bCs/>
          <w:sz w:val="21"/>
          <w:szCs w:val="21"/>
          <w:lang w:bidi="es-ES"/>
        </w:rPr>
        <w:t>bienes públicos</w:t>
      </w:r>
      <w:r>
        <w:rPr>
          <w:rFonts w:ascii="Verdana" w:eastAsia="Calibri" w:hAnsi="Verdana" w:cs="Times New Roman"/>
          <w:bCs/>
          <w:sz w:val="21"/>
          <w:szCs w:val="21"/>
          <w:lang w:bidi="es-ES"/>
        </w:rPr>
        <w:t>”</w:t>
      </w:r>
      <w:r w:rsidRPr="00A03BCA">
        <w:rPr>
          <w:rFonts w:ascii="Verdana" w:eastAsia="Calibri" w:hAnsi="Verdana" w:cs="Times New Roman"/>
          <w:bCs/>
          <w:sz w:val="21"/>
          <w:szCs w:val="21"/>
          <w:lang w:bidi="es-ES"/>
        </w:rPr>
        <w:t>.</w:t>
      </w:r>
    </w:p>
    <w:p w14:paraId="08C81641" w14:textId="77777777" w:rsidR="008B28EB" w:rsidRPr="004140B3" w:rsidRDefault="008B28EB" w:rsidP="008B28EB">
      <w:pPr>
        <w:spacing w:after="0" w:line="240" w:lineRule="auto"/>
        <w:ind w:left="709" w:right="709"/>
        <w:jc w:val="both"/>
        <w:rPr>
          <w:rFonts w:ascii="Verdana" w:eastAsia="Calibri" w:hAnsi="Verdana" w:cs="Times New Roman"/>
          <w:bCs/>
          <w:sz w:val="21"/>
          <w:szCs w:val="21"/>
          <w:lang w:bidi="es-ES"/>
        </w:rPr>
      </w:pPr>
    </w:p>
    <w:p w14:paraId="7F0A645F" w14:textId="77777777" w:rsidR="008B28EB" w:rsidRPr="00B57A1B" w:rsidRDefault="008B28EB" w:rsidP="008B28EB">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4CB98985" w14:textId="77777777" w:rsidR="008B28EB" w:rsidRPr="00B57A1B" w:rsidRDefault="008B28EB" w:rsidP="008B28EB">
      <w:pPr>
        <w:spacing w:after="120" w:line="276" w:lineRule="auto"/>
        <w:ind w:firstLine="708"/>
        <w:jc w:val="both"/>
        <w:rPr>
          <w:rFonts w:ascii="Verdana" w:eastAsia="Calibri" w:hAnsi="Verdana" w:cs="Times New Roman"/>
          <w:lang w:val="es-ES"/>
        </w:rPr>
      </w:pPr>
      <w:r w:rsidRPr="00B57A1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el problema jurídico de su consulta.</w:t>
      </w:r>
    </w:p>
    <w:p w14:paraId="04DD9AA5" w14:textId="77777777" w:rsidR="008B28EB" w:rsidRPr="00B57A1B" w:rsidRDefault="008B28EB" w:rsidP="008B28EB">
      <w:pPr>
        <w:spacing w:after="0" w:line="256" w:lineRule="auto"/>
        <w:rPr>
          <w:rFonts w:ascii="Verdana" w:eastAsia="Calibri" w:hAnsi="Verdana" w:cs="Times New Roman"/>
          <w:lang w:val="es-ES"/>
        </w:rPr>
      </w:pPr>
    </w:p>
    <w:p w14:paraId="448271ED" w14:textId="77777777" w:rsidR="008B28EB" w:rsidRPr="00B57A1B" w:rsidRDefault="008B28EB" w:rsidP="008B28EB">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5B595D99" w14:textId="77777777" w:rsidR="008B28EB" w:rsidRPr="00B57A1B" w:rsidRDefault="008B28EB" w:rsidP="008B28EB">
      <w:pPr>
        <w:spacing w:after="0" w:line="256" w:lineRule="auto"/>
        <w:rPr>
          <w:rFonts w:ascii="Verdana" w:eastAsia="Calibri" w:hAnsi="Verdana" w:cs="Times New Roman"/>
        </w:rPr>
      </w:pPr>
    </w:p>
    <w:p w14:paraId="0E68A1E2" w14:textId="77777777" w:rsidR="008B28EB" w:rsidRDefault="008B28EB" w:rsidP="008B28EB">
      <w:pPr>
        <w:spacing w:after="0" w:line="276" w:lineRule="auto"/>
        <w:jc w:val="both"/>
        <w:rPr>
          <w:rFonts w:ascii="Verdana" w:eastAsia="Calibri" w:hAnsi="Verdana" w:cs="Times New Roman"/>
          <w:iCs/>
          <w:lang w:val="es-E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los siguientes problemas jurídicos</w:t>
      </w:r>
      <w:r>
        <w:rPr>
          <w:rFonts w:ascii="Verdana" w:eastAsia="Calibri" w:hAnsi="Verdana" w:cs="Times New Roman"/>
          <w:iCs/>
          <w:lang w:val="es-ES"/>
        </w:rPr>
        <w:t xml:space="preserve">: </w:t>
      </w:r>
      <w:r w:rsidRPr="00D00853">
        <w:rPr>
          <w:rFonts w:ascii="Verdana" w:eastAsia="Calibri" w:hAnsi="Verdana" w:cs="Times New Roman"/>
          <w:iCs/>
          <w:lang w:val="es-ES"/>
        </w:rPr>
        <w:t xml:space="preserve">¿Es </w:t>
      </w:r>
      <w:r>
        <w:rPr>
          <w:rFonts w:ascii="Verdana" w:eastAsia="Calibri" w:hAnsi="Verdana" w:cs="Times New Roman"/>
          <w:iCs/>
          <w:lang w:val="es-ES"/>
        </w:rPr>
        <w:t xml:space="preserve">procedente </w:t>
      </w:r>
      <w:r w:rsidRPr="00D00853">
        <w:rPr>
          <w:rFonts w:ascii="Verdana" w:eastAsia="Calibri" w:hAnsi="Verdana" w:cs="Times New Roman"/>
          <w:iCs/>
          <w:lang w:val="es-ES"/>
        </w:rPr>
        <w:t>pactar un contrato de arrendamiento de</w:t>
      </w:r>
      <w:r>
        <w:rPr>
          <w:rFonts w:ascii="Verdana" w:eastAsia="Calibri" w:hAnsi="Verdana" w:cs="Times New Roman"/>
          <w:iCs/>
          <w:lang w:val="es-ES"/>
        </w:rPr>
        <w:t xml:space="preserve"> bienes</w:t>
      </w:r>
      <w:r w:rsidRPr="00D00853">
        <w:rPr>
          <w:rFonts w:ascii="Verdana" w:eastAsia="Calibri" w:hAnsi="Verdana" w:cs="Times New Roman"/>
          <w:iCs/>
          <w:lang w:val="es-ES"/>
        </w:rPr>
        <w:t xml:space="preserve"> inmueble</w:t>
      </w:r>
      <w:r>
        <w:rPr>
          <w:rFonts w:ascii="Verdana" w:eastAsia="Calibri" w:hAnsi="Verdana" w:cs="Times New Roman"/>
          <w:iCs/>
          <w:lang w:val="es-ES"/>
        </w:rPr>
        <w:t>s</w:t>
      </w:r>
      <w:r w:rsidRPr="00D00853">
        <w:rPr>
          <w:rFonts w:ascii="Verdana" w:eastAsia="Calibri" w:hAnsi="Verdana" w:cs="Times New Roman"/>
          <w:iCs/>
          <w:lang w:val="es-ES"/>
        </w:rPr>
        <w:t xml:space="preserve"> con plazo de ejecución indefinido, cuando el bien está destinado a la operación continua de dependencias </w:t>
      </w:r>
      <w:r>
        <w:rPr>
          <w:rFonts w:ascii="Verdana" w:eastAsia="Calibri" w:hAnsi="Verdana" w:cs="Times New Roman"/>
          <w:iCs/>
          <w:lang w:val="es-ES"/>
        </w:rPr>
        <w:t>de una entidad pública</w:t>
      </w:r>
      <w:r w:rsidRPr="00D00853">
        <w:rPr>
          <w:rFonts w:ascii="Verdana" w:eastAsia="Calibri" w:hAnsi="Verdana" w:cs="Times New Roman"/>
          <w:iCs/>
          <w:lang w:val="es-ES"/>
        </w:rPr>
        <w:t>?</w:t>
      </w:r>
    </w:p>
    <w:p w14:paraId="5F1712C6" w14:textId="77777777" w:rsidR="008B28EB" w:rsidRPr="00B57A1B" w:rsidRDefault="008B28EB" w:rsidP="008B28EB">
      <w:pPr>
        <w:spacing w:after="0" w:line="276" w:lineRule="auto"/>
        <w:jc w:val="both"/>
        <w:rPr>
          <w:rFonts w:ascii="Verdana" w:eastAsia="Calibri" w:hAnsi="Verdana" w:cs="Times New Roman"/>
          <w:i/>
          <w:iCs/>
          <w:lang w:val="es-ES"/>
        </w:rPr>
      </w:pPr>
    </w:p>
    <w:p w14:paraId="13380E33" w14:textId="77777777" w:rsidR="008B28EB" w:rsidRPr="00B57A1B" w:rsidRDefault="008B28EB" w:rsidP="008B28EB">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lastRenderedPageBreak/>
        <w:t>Respuesta:</w:t>
      </w:r>
    </w:p>
    <w:p w14:paraId="68856CF4" w14:textId="77777777" w:rsidR="008B28EB" w:rsidRPr="00B57A1B" w:rsidRDefault="008B28EB" w:rsidP="008B28EB">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8B28EB" w:rsidRPr="00B57A1B" w14:paraId="5E2AE7F6" w14:textId="77777777" w:rsidTr="00124D79">
        <w:trPr>
          <w:trHeight w:val="345"/>
          <w:jc w:val="center"/>
        </w:trPr>
        <w:tc>
          <w:tcPr>
            <w:tcW w:w="8784" w:type="dxa"/>
            <w:tcBorders>
              <w:bottom w:val="single" w:sz="4" w:space="0" w:color="auto"/>
            </w:tcBorders>
          </w:tcPr>
          <w:p w14:paraId="61B1AFD8" w14:textId="77777777" w:rsidR="008B28EB" w:rsidRPr="00CA7B44" w:rsidRDefault="008B28EB" w:rsidP="00124D79">
            <w:pPr>
              <w:spacing w:after="120" w:line="276" w:lineRule="auto"/>
              <w:jc w:val="both"/>
              <w:rPr>
                <w:rFonts w:ascii="Verdana" w:eastAsia="Calibri" w:hAnsi="Verdana"/>
                <w:color w:val="000000" w:themeColor="text1"/>
              </w:rPr>
            </w:pPr>
            <w:r w:rsidRPr="00B57A1B">
              <w:rPr>
                <w:rFonts w:ascii="Verdana" w:eastAsia="Calibri" w:hAnsi="Verdana" w:cs="Times New Roman"/>
              </w:rPr>
              <w:t xml:space="preserve">En cuanto al problema jurídico, objeto de consulta, </w:t>
            </w:r>
            <w:r>
              <w:rPr>
                <w:rFonts w:ascii="Verdana" w:eastAsia="Arial" w:hAnsi="Verdana" w:cs="Arial"/>
              </w:rPr>
              <w:t>se precisa</w:t>
            </w:r>
            <w:r>
              <w:rPr>
                <w:rFonts w:ascii="Verdana" w:eastAsia="Calibri" w:hAnsi="Verdana" w:cs="Arial"/>
                <w:color w:val="000000" w:themeColor="text1"/>
              </w:rPr>
              <w:t xml:space="preserve"> que el plazo del contrato de arrendamiento de un bien inmueble </w:t>
            </w:r>
            <w:r w:rsidRPr="00CA7B44">
              <w:rPr>
                <w:rFonts w:ascii="Verdana" w:eastAsia="Calibri" w:hAnsi="Verdana"/>
                <w:color w:val="000000" w:themeColor="text1"/>
              </w:rPr>
              <w:t>celebrado por una entidad estatal se rige por los principios de la contratación pública, entre ellos el de</w:t>
            </w:r>
            <w:r>
              <w:rPr>
                <w:rFonts w:ascii="Verdana" w:eastAsia="Calibri" w:hAnsi="Verdana"/>
                <w:color w:val="000000" w:themeColor="text1"/>
              </w:rPr>
              <w:t xml:space="preserve"> economía, responsabilidad,</w:t>
            </w:r>
            <w:r w:rsidRPr="00CA7B44">
              <w:rPr>
                <w:rFonts w:ascii="Verdana" w:eastAsia="Calibri" w:hAnsi="Verdana"/>
                <w:color w:val="000000" w:themeColor="text1"/>
              </w:rPr>
              <w:t xml:space="preserve"> planeación</w:t>
            </w:r>
            <w:r>
              <w:rPr>
                <w:rFonts w:ascii="Verdana" w:eastAsia="Calibri" w:hAnsi="Verdana"/>
                <w:color w:val="000000" w:themeColor="text1"/>
              </w:rPr>
              <w:t xml:space="preserve"> y transparencia</w:t>
            </w:r>
            <w:r w:rsidRPr="00CA7B44">
              <w:rPr>
                <w:rFonts w:ascii="Verdana" w:eastAsia="Calibri" w:hAnsi="Verdana"/>
                <w:color w:val="000000" w:themeColor="text1"/>
              </w:rPr>
              <w:t>. En este contexto, el plazo pactado en el contrato</w:t>
            </w:r>
            <w:r>
              <w:rPr>
                <w:rFonts w:ascii="Verdana" w:eastAsia="Calibri" w:hAnsi="Verdana"/>
                <w:color w:val="000000" w:themeColor="text1"/>
              </w:rPr>
              <w:t xml:space="preserve"> tiene efectos extintivos</w:t>
            </w:r>
            <w:r w:rsidRPr="00CA7B44">
              <w:rPr>
                <w:rFonts w:ascii="Verdana" w:eastAsia="Calibri" w:hAnsi="Verdana"/>
                <w:color w:val="000000" w:themeColor="text1"/>
              </w:rPr>
              <w:t xml:space="preserve">, pues determina el momento en que cesan los efectos jurídicos del vínculo contractual. La administración no puede continuar ejecutando el contrato ni asumir obligaciones fuera del término establecido, salvo que se pacte una prórroga formal mediante otrosí </w:t>
            </w:r>
            <w:r>
              <w:rPr>
                <w:rFonts w:ascii="Verdana" w:eastAsia="Calibri" w:hAnsi="Verdana"/>
                <w:color w:val="000000" w:themeColor="text1"/>
              </w:rPr>
              <w:t xml:space="preserve">o adición </w:t>
            </w:r>
            <w:r w:rsidRPr="00CA7B44">
              <w:rPr>
                <w:rFonts w:ascii="Verdana" w:eastAsia="Calibri" w:hAnsi="Verdana"/>
                <w:color w:val="000000" w:themeColor="text1"/>
              </w:rPr>
              <w:t xml:space="preserve">debidamente suscrita. </w:t>
            </w:r>
          </w:p>
          <w:p w14:paraId="78B3DE30" w14:textId="77777777" w:rsidR="008B28EB" w:rsidRDefault="008B28EB" w:rsidP="00124D79">
            <w:pPr>
              <w:spacing w:after="120" w:line="276" w:lineRule="auto"/>
              <w:ind w:firstLine="708"/>
              <w:jc w:val="both"/>
              <w:rPr>
                <w:rFonts w:ascii="Verdana" w:eastAsia="Calibri" w:hAnsi="Verdana"/>
                <w:color w:val="000000" w:themeColor="text1"/>
              </w:rPr>
            </w:pPr>
            <w:r>
              <w:rPr>
                <w:rFonts w:ascii="Verdana" w:eastAsia="Calibri" w:hAnsi="Verdana"/>
                <w:color w:val="000000" w:themeColor="text1"/>
              </w:rPr>
              <w:t xml:space="preserve">En este aspecto, el plazo del contrato de arrendamiento al ser extintivo debe caracterizarse por tener un término claro y determinado, con fundamento y cumplimiento de </w:t>
            </w:r>
            <w:r w:rsidRPr="00801142">
              <w:rPr>
                <w:rFonts w:ascii="Verdana" w:eastAsia="Calibri" w:hAnsi="Verdana"/>
                <w:color w:val="000000" w:themeColor="text1"/>
              </w:rPr>
              <w:t>la planeación,</w:t>
            </w:r>
            <w:r>
              <w:rPr>
                <w:rFonts w:ascii="Verdana" w:eastAsia="Calibri" w:hAnsi="Verdana"/>
                <w:color w:val="000000" w:themeColor="text1"/>
              </w:rPr>
              <w:t xml:space="preserve"> el principio presupuestal de anualidad del gasto público, los principios de la función administrativa y la gestión fiscal. Esto </w:t>
            </w:r>
            <w:r w:rsidRPr="00801142">
              <w:rPr>
                <w:rFonts w:ascii="Verdana" w:eastAsia="Calibri" w:hAnsi="Verdana"/>
                <w:color w:val="000000" w:themeColor="text1"/>
              </w:rPr>
              <w:t xml:space="preserve">permite a la administración pública ejercer sus funciones de seguimiento, supervisión y sanción dentro de un marco temporal definido. Un contrato sin plazo </w:t>
            </w:r>
            <w:r>
              <w:rPr>
                <w:rFonts w:ascii="Verdana" w:eastAsia="Calibri" w:hAnsi="Verdana"/>
                <w:color w:val="000000" w:themeColor="text1"/>
              </w:rPr>
              <w:t xml:space="preserve">determinado </w:t>
            </w:r>
            <w:r w:rsidRPr="00801142">
              <w:rPr>
                <w:rFonts w:ascii="Verdana" w:eastAsia="Calibri" w:hAnsi="Verdana"/>
                <w:color w:val="000000" w:themeColor="text1"/>
              </w:rPr>
              <w:t>vulneraría principios como la transparencia,</w:t>
            </w:r>
            <w:r>
              <w:rPr>
                <w:rFonts w:ascii="Verdana" w:eastAsia="Calibri" w:hAnsi="Verdana"/>
                <w:color w:val="000000" w:themeColor="text1"/>
              </w:rPr>
              <w:t xml:space="preserve"> la planeación,</w:t>
            </w:r>
            <w:r w:rsidRPr="00801142">
              <w:rPr>
                <w:rFonts w:ascii="Verdana" w:eastAsia="Calibri" w:hAnsi="Verdana"/>
                <w:color w:val="000000" w:themeColor="text1"/>
              </w:rPr>
              <w:t xml:space="preserve"> la eficiencia</w:t>
            </w:r>
            <w:r>
              <w:rPr>
                <w:rFonts w:ascii="Verdana" w:eastAsia="Calibri" w:hAnsi="Verdana"/>
                <w:color w:val="000000" w:themeColor="text1"/>
              </w:rPr>
              <w:t>, así como el principio de anualidad del gasto público.</w:t>
            </w:r>
          </w:p>
          <w:p w14:paraId="275FC6C8" w14:textId="77777777" w:rsidR="008B28EB" w:rsidRPr="00D069D8" w:rsidRDefault="008B28EB" w:rsidP="00124D79">
            <w:pPr>
              <w:shd w:val="clear" w:color="auto" w:fill="FFFFFF" w:themeFill="background1"/>
              <w:spacing w:after="120" w:line="276" w:lineRule="auto"/>
              <w:ind w:right="51" w:firstLine="708"/>
              <w:jc w:val="both"/>
              <w:rPr>
                <w:rFonts w:ascii="Verdana" w:eastAsia="Calibri" w:hAnsi="Verdana" w:cs="Arial"/>
                <w:color w:val="000000" w:themeColor="text1"/>
                <w:lang w:val="es-ES"/>
              </w:rPr>
            </w:pPr>
            <w:r>
              <w:rPr>
                <w:rFonts w:ascii="Verdana" w:eastAsia="Calibri" w:hAnsi="Verdana"/>
                <w:color w:val="000000" w:themeColor="text1"/>
              </w:rPr>
              <w:t xml:space="preserve">Este último tiene su </w:t>
            </w:r>
            <w:r w:rsidRPr="00D069D8">
              <w:rPr>
                <w:rFonts w:ascii="Verdana" w:eastAsia="Calibri" w:hAnsi="Verdana" w:cs="Arial"/>
                <w:color w:val="000000" w:themeColor="text1"/>
                <w:lang w:val="es-ES"/>
              </w:rPr>
              <w:t xml:space="preserve">fundamento constitucional en el artículo 346 superior que contiene el régimen general del presupuesto de rentas y la ley de apropiaciones, que deberá presentarse al Congreso dentro de los primeros diez días de cada legislatura, elaborarse y aprobarse dentro de un marco de sostenibilidad fiscal y corresponder al Plan Nacional de Desarrollo. De conformidad con la misma norma constitucional, el presupuesto tiene vigencia anual y, por tanto, tienen como finalidad fijar los gastos y las rentas nacionales del Estado para la respectiva vigencia fiscal anual. </w:t>
            </w:r>
          </w:p>
          <w:p w14:paraId="2059BD80" w14:textId="77777777" w:rsidR="008B28EB" w:rsidRPr="0090499C" w:rsidRDefault="008B28EB" w:rsidP="00124D79">
            <w:pPr>
              <w:spacing w:after="120" w:line="276" w:lineRule="auto"/>
              <w:ind w:firstLine="708"/>
              <w:jc w:val="both"/>
              <w:rPr>
                <w:rFonts w:ascii="Verdana" w:eastAsia="Calibri" w:hAnsi="Verdana"/>
                <w:color w:val="000000" w:themeColor="text1"/>
              </w:rPr>
            </w:pPr>
            <w:r w:rsidRPr="00801142">
              <w:rPr>
                <w:rFonts w:ascii="Verdana" w:eastAsia="Calibri" w:hAnsi="Verdana"/>
                <w:color w:val="000000" w:themeColor="text1"/>
              </w:rPr>
              <w:t>En consecuencia, los contratos estatales</w:t>
            </w:r>
            <w:r>
              <w:rPr>
                <w:rFonts w:ascii="Verdana" w:eastAsia="Calibri" w:hAnsi="Verdana"/>
                <w:color w:val="000000" w:themeColor="text1"/>
              </w:rPr>
              <w:t xml:space="preserve"> de arrendamiento</w:t>
            </w:r>
            <w:r w:rsidRPr="00801142">
              <w:rPr>
                <w:rFonts w:ascii="Verdana" w:eastAsia="Calibri" w:hAnsi="Verdana"/>
                <w:color w:val="000000" w:themeColor="text1"/>
              </w:rPr>
              <w:t xml:space="preserve"> deben estructurarse con base en una planeación rigurosa que incluya un plazo </w:t>
            </w:r>
            <w:r>
              <w:rPr>
                <w:rFonts w:ascii="Verdana" w:eastAsia="Calibri" w:hAnsi="Verdana"/>
                <w:color w:val="000000" w:themeColor="text1"/>
              </w:rPr>
              <w:t>definido y determinado</w:t>
            </w:r>
            <w:r w:rsidRPr="00801142">
              <w:rPr>
                <w:rFonts w:ascii="Verdana" w:eastAsia="Calibri" w:hAnsi="Verdana"/>
                <w:color w:val="000000" w:themeColor="text1"/>
              </w:rPr>
              <w:t xml:space="preserve">. Esta exigencia no solo responde a criterios legales, sino también a principios de buena administración y eficiencia institucional. </w:t>
            </w:r>
            <w:r>
              <w:rPr>
                <w:rFonts w:ascii="Verdana" w:eastAsia="Calibri" w:hAnsi="Verdana"/>
                <w:color w:val="000000" w:themeColor="text1"/>
              </w:rPr>
              <w:t>En efecto, l</w:t>
            </w:r>
            <w:r w:rsidRPr="00801142">
              <w:rPr>
                <w:rFonts w:ascii="Verdana" w:eastAsia="Calibri" w:hAnsi="Verdana"/>
                <w:color w:val="000000" w:themeColor="text1"/>
              </w:rPr>
              <w:t xml:space="preserve">a estipulación de plazos indefinidos </w:t>
            </w:r>
            <w:r>
              <w:rPr>
                <w:rFonts w:ascii="Verdana" w:eastAsia="Calibri" w:hAnsi="Verdana"/>
                <w:color w:val="000000" w:themeColor="text1"/>
              </w:rPr>
              <w:t xml:space="preserve">implicaría asumir obligaciones presupuestales, sin tener en cuenta el principio de anualidad del gasto, así </w:t>
            </w:r>
            <w:r>
              <w:rPr>
                <w:rFonts w:ascii="Verdana" w:eastAsia="Calibri" w:hAnsi="Verdana"/>
                <w:color w:val="000000" w:themeColor="text1"/>
              </w:rPr>
              <w:lastRenderedPageBreak/>
              <w:t>como la problemática de establecer el valor estimado del contrato, el cual es fundamental para definir el monto de la disponibilidad presupuestal. Esto último, tiene sustento en el artículo 25 numeral 6 de la Ley 80 de 1993, que prescribe: “</w:t>
            </w:r>
            <w:r w:rsidRPr="00546EBA">
              <w:rPr>
                <w:rFonts w:ascii="Verdana" w:eastAsia="Calibri" w:hAnsi="Verdana"/>
                <w:color w:val="000000" w:themeColor="text1"/>
              </w:rPr>
              <w:t xml:space="preserve">Artículo 25. Del Principio </w:t>
            </w:r>
            <w:r>
              <w:rPr>
                <w:rFonts w:ascii="Verdana" w:eastAsia="Calibri" w:hAnsi="Verdana"/>
                <w:color w:val="000000" w:themeColor="text1"/>
              </w:rPr>
              <w:t>d</w:t>
            </w:r>
            <w:r w:rsidRPr="00546EBA">
              <w:rPr>
                <w:rFonts w:ascii="Verdana" w:eastAsia="Calibri" w:hAnsi="Verdana"/>
                <w:color w:val="000000" w:themeColor="text1"/>
              </w:rPr>
              <w:t>e Economía.</w:t>
            </w:r>
            <w:r>
              <w:rPr>
                <w:rFonts w:ascii="Verdana" w:eastAsia="Calibri" w:hAnsi="Verdana"/>
                <w:color w:val="000000" w:themeColor="text1"/>
              </w:rPr>
              <w:t xml:space="preserve"> </w:t>
            </w:r>
            <w:r w:rsidRPr="00546EBA">
              <w:rPr>
                <w:rFonts w:ascii="Verdana" w:eastAsia="Calibri" w:hAnsi="Verdana"/>
                <w:color w:val="000000" w:themeColor="text1"/>
              </w:rPr>
              <w:t xml:space="preserve">En virtud de este principio: </w:t>
            </w:r>
            <w:r>
              <w:rPr>
                <w:rFonts w:ascii="Verdana" w:eastAsia="Calibri" w:hAnsi="Verdana"/>
                <w:color w:val="000000" w:themeColor="text1"/>
              </w:rPr>
              <w:t xml:space="preserve">[…] </w:t>
            </w:r>
            <w:r w:rsidRPr="00546EBA">
              <w:rPr>
                <w:rFonts w:ascii="Verdana" w:eastAsia="Calibri" w:hAnsi="Verdana"/>
                <w:color w:val="000000" w:themeColor="text1"/>
              </w:rPr>
              <w:t>Las entidades estatales abrirán licitaciones e iniciarán procesos de suscripción de contratos, cuando existan las respectivas partidas o disponibilidades presupuestales</w:t>
            </w:r>
            <w:r>
              <w:rPr>
                <w:rFonts w:ascii="Verdana" w:eastAsia="Calibri" w:hAnsi="Verdana"/>
                <w:color w:val="000000" w:themeColor="text1"/>
              </w:rPr>
              <w:t>”</w:t>
            </w:r>
            <w:r w:rsidRPr="00546EBA">
              <w:rPr>
                <w:rFonts w:ascii="Verdana" w:eastAsia="Calibri" w:hAnsi="Verdana"/>
                <w:color w:val="000000" w:themeColor="text1"/>
              </w:rPr>
              <w:t>.</w:t>
            </w:r>
            <w:r>
              <w:rPr>
                <w:rFonts w:ascii="Verdana" w:eastAsia="Calibri" w:hAnsi="Verdana"/>
                <w:color w:val="000000" w:themeColor="text1"/>
              </w:rPr>
              <w:t xml:space="preserve"> De este modo, los contratos estatales de arrendamiento de bienes inmuebles implican que la entidad calcule su valor para contar con la disponibilidad presupuestal correspondiente. </w:t>
            </w:r>
          </w:p>
          <w:p w14:paraId="2DC79EFC" w14:textId="77777777" w:rsidR="008B28EB" w:rsidRPr="00CD0DCD" w:rsidRDefault="008B28EB" w:rsidP="00124D79">
            <w:pPr>
              <w:spacing w:after="12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2F11ADF9" w14:textId="77777777" w:rsidR="008B28EB" w:rsidRPr="00B57A1B" w:rsidRDefault="008B28EB" w:rsidP="008B28EB">
      <w:pPr>
        <w:spacing w:after="0" w:line="276" w:lineRule="auto"/>
        <w:jc w:val="both"/>
        <w:rPr>
          <w:rFonts w:ascii="Verdana" w:eastAsia="Calibri" w:hAnsi="Verdana" w:cs="Arial"/>
          <w:bCs/>
          <w:color w:val="000000" w:themeColor="text1"/>
        </w:rPr>
      </w:pPr>
    </w:p>
    <w:p w14:paraId="544BE89F" w14:textId="77777777" w:rsidR="008B28EB" w:rsidRPr="00B57A1B" w:rsidRDefault="008B28EB" w:rsidP="008B28EB">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7F27FA51" w14:textId="77777777" w:rsidR="008B28EB" w:rsidRPr="00B57A1B" w:rsidRDefault="008B28EB" w:rsidP="008B28EB">
      <w:pPr>
        <w:spacing w:after="0" w:line="256" w:lineRule="auto"/>
        <w:rPr>
          <w:rFonts w:ascii="Verdana" w:eastAsia="Calibri" w:hAnsi="Verdana" w:cs="Times New Roman"/>
          <w:b/>
          <w:bCs/>
          <w:lang w:val="es-ES"/>
        </w:rPr>
      </w:pPr>
    </w:p>
    <w:p w14:paraId="3BBAFE78" w14:textId="77777777" w:rsidR="008B28EB" w:rsidRDefault="008B28EB" w:rsidP="008B28EB">
      <w:pPr>
        <w:spacing w:after="0" w:line="276" w:lineRule="auto"/>
        <w:jc w:val="both"/>
        <w:rPr>
          <w:rFonts w:ascii="Verdana" w:eastAsia="Calibri" w:hAnsi="Verdana" w:cs="Arial"/>
          <w:lang w:val="es-ES"/>
        </w:rPr>
      </w:pPr>
      <w:r w:rsidRPr="00B57A1B">
        <w:rPr>
          <w:rFonts w:ascii="Verdana" w:eastAsia="Calibri" w:hAnsi="Verdana" w:cs="Arial"/>
          <w:lang w:val="es-ES"/>
        </w:rPr>
        <w:t>Lo anterior se sustenta en las siguientes consideraciones:</w:t>
      </w:r>
    </w:p>
    <w:p w14:paraId="0FC123FA" w14:textId="77777777" w:rsidR="008B28EB" w:rsidRPr="007739D1" w:rsidRDefault="008B28EB" w:rsidP="008B28EB">
      <w:pPr>
        <w:spacing w:after="0" w:line="240" w:lineRule="auto"/>
        <w:jc w:val="both"/>
        <w:rPr>
          <w:rFonts w:ascii="Verdana" w:hAnsi="Verdana" w:cs="Arial"/>
          <w:bCs/>
          <w:lang w:val="es-ES" w:eastAsia="es-ES" w:bidi="es-ES"/>
        </w:rPr>
      </w:pPr>
      <w:bookmarkStart w:id="1" w:name="_Hlk78820161"/>
    </w:p>
    <w:p w14:paraId="7F8DF440" w14:textId="77777777" w:rsidR="008B28EB" w:rsidRPr="007739D1" w:rsidRDefault="008B28EB" w:rsidP="008B28EB">
      <w:pPr>
        <w:spacing w:after="120" w:line="276" w:lineRule="auto"/>
        <w:jc w:val="both"/>
        <w:rPr>
          <w:rFonts w:ascii="Verdana" w:hAnsi="Verdana" w:cs="Arial"/>
        </w:rPr>
      </w:pPr>
      <w:r w:rsidRPr="007739D1">
        <w:rPr>
          <w:rFonts w:ascii="Verdana" w:hAnsi="Verdana" w:cs="Arial"/>
          <w:bCs/>
          <w:lang w:val="es-ES" w:eastAsia="es-ES" w:bidi="es-ES"/>
        </w:rPr>
        <w:t xml:space="preserve">i. </w:t>
      </w:r>
      <w:r w:rsidRPr="007739D1">
        <w:rPr>
          <w:rFonts w:ascii="Verdana" w:eastAsia="Calibri" w:hAnsi="Verdana" w:cs="Arial"/>
          <w:lang w:val="es-ES"/>
        </w:rPr>
        <w:t xml:space="preserve">El Estatuto General de Contratación de la Administración Pública –EGCAP-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7739D1">
        <w:rPr>
          <w:rFonts w:ascii="Verdana" w:hAnsi="Verdana" w:cs="Arial"/>
        </w:rPr>
        <w:t xml:space="preserve">el inciso primero del artículo 13 dispone: “Los contratos que celebren las entidades a que se refiere el artículo 2o. del presente estatuto se regirán por las disposiciones comerciales y civiles pertinentes, salvo en las materias particularmente reguladas en esta ley”. </w:t>
      </w:r>
    </w:p>
    <w:p w14:paraId="03E03191" w14:textId="77777777" w:rsidR="008B28EB" w:rsidRPr="007739D1" w:rsidRDefault="008B28EB" w:rsidP="008B28EB">
      <w:pPr>
        <w:spacing w:after="120" w:line="276" w:lineRule="auto"/>
        <w:ind w:firstLine="709"/>
        <w:jc w:val="both"/>
        <w:rPr>
          <w:rFonts w:ascii="Verdana" w:hAnsi="Verdana" w:cs="Arial"/>
        </w:rPr>
      </w:pPr>
      <w:r w:rsidRPr="007739D1">
        <w:rPr>
          <w:rFonts w:ascii="Verdana" w:hAnsi="Verdana" w:cs="Arial"/>
        </w:rPr>
        <w:t xml:space="preserve">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w:t>
      </w:r>
      <w:r w:rsidRPr="007739D1">
        <w:rPr>
          <w:rFonts w:ascii="Verdana" w:hAnsi="Verdana" w:cs="Arial"/>
        </w:rPr>
        <w:lastRenderedPageBreak/>
        <w:t>autonomía de la voluntad” –art. 32, inciso primero–. Asimismo, dispone que “Las estipulaciones de los contratos serán las que, de acuerdo con las normas civiles, comerciales y las previstas en esta ley, correspondan a su esencia y naturaleza” –art. 40, inciso primero–.</w:t>
      </w:r>
    </w:p>
    <w:p w14:paraId="4ADA33F5" w14:textId="77777777" w:rsidR="008B28EB" w:rsidRPr="007739D1" w:rsidRDefault="008B28EB" w:rsidP="008B28EB">
      <w:pPr>
        <w:spacing w:after="0" w:line="276" w:lineRule="auto"/>
        <w:ind w:firstLine="708"/>
        <w:jc w:val="both"/>
        <w:rPr>
          <w:rFonts w:ascii="Verdana" w:hAnsi="Verdana" w:cs="Arial"/>
        </w:rPr>
      </w:pPr>
      <w:r w:rsidRPr="007739D1">
        <w:rPr>
          <w:rFonts w:ascii="Verdana" w:hAnsi="Verdana" w:cs="Arial"/>
        </w:rPr>
        <w:t>De esta manera, los contratos de las entidades sometidas al EGCAP se rigen generalmente por el derecho privado y, excepcionalmente, por el derecho público, pues las normas civiles y comerciales son el derecho común de los contratos estatales</w:t>
      </w:r>
      <w:r w:rsidRPr="007739D1">
        <w:rPr>
          <w:rFonts w:ascii="Verdana" w:hAnsi="Verdana" w:cs="Arial"/>
          <w:vertAlign w:val="superscript"/>
        </w:rPr>
        <w:footnoteReference w:id="1"/>
      </w:r>
      <w:r w:rsidRPr="007739D1">
        <w:rPr>
          <w:rFonts w:ascii="Verdana" w:hAnsi="Verdana" w:cs="Arial"/>
        </w:rPr>
        <w:t>. Para la doctrina, la mixtura del régimen contractual:</w:t>
      </w:r>
    </w:p>
    <w:p w14:paraId="30082542" w14:textId="77777777" w:rsidR="008B28EB" w:rsidRPr="007739D1" w:rsidRDefault="008B28EB" w:rsidP="008B28EB">
      <w:pPr>
        <w:spacing w:after="0" w:line="276" w:lineRule="auto"/>
        <w:ind w:firstLine="709"/>
        <w:jc w:val="both"/>
        <w:rPr>
          <w:rFonts w:ascii="Verdana" w:hAnsi="Verdana" w:cs="Arial"/>
        </w:rPr>
      </w:pPr>
    </w:p>
    <w:p w14:paraId="438A13FE" w14:textId="77777777" w:rsidR="008B28EB" w:rsidRPr="007739D1" w:rsidRDefault="008B28EB" w:rsidP="008B28EB">
      <w:pPr>
        <w:spacing w:after="0" w:line="240" w:lineRule="auto"/>
        <w:ind w:left="709" w:right="709"/>
        <w:jc w:val="both"/>
        <w:rPr>
          <w:rFonts w:ascii="Verdana" w:hAnsi="Verdana" w:cs="Arial"/>
          <w:sz w:val="20"/>
          <w:szCs w:val="20"/>
        </w:rPr>
      </w:pPr>
      <w:r w:rsidRPr="007739D1">
        <w:rPr>
          <w:rFonts w:ascii="Verdana" w:hAnsi="Verdana" w:cs="Arial"/>
          <w:sz w:val="20"/>
          <w:szCs w:val="20"/>
        </w:rPr>
        <w:t xml:space="preserve">“[…] no hace otra cosa que aprovechar ciertos principios rectores de la contratación general </w:t>
      </w:r>
      <w:proofErr w:type="gramStart"/>
      <w:r w:rsidRPr="007739D1">
        <w:rPr>
          <w:rFonts w:ascii="Verdana" w:hAnsi="Verdana" w:cs="Arial"/>
          <w:sz w:val="20"/>
          <w:szCs w:val="20"/>
        </w:rPr>
        <w:t>que</w:t>
      </w:r>
      <w:proofErr w:type="gramEnd"/>
      <w:r w:rsidRPr="007739D1">
        <w:rPr>
          <w:rFonts w:ascii="Verdana" w:hAnsi="Verdana" w:cs="Arial"/>
          <w:sz w:val="20"/>
          <w:szCs w:val="20"/>
        </w:rPr>
        <w:t xml:space="preserv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232DC7E6" w14:textId="77777777" w:rsidR="008B28EB" w:rsidRPr="007739D1" w:rsidRDefault="008B28EB" w:rsidP="008B28EB">
      <w:pPr>
        <w:spacing w:after="0" w:line="240" w:lineRule="auto"/>
        <w:ind w:right="709"/>
        <w:jc w:val="both"/>
        <w:rPr>
          <w:rFonts w:ascii="Verdana" w:hAnsi="Verdana" w:cs="Arial"/>
          <w:sz w:val="20"/>
          <w:szCs w:val="20"/>
        </w:rPr>
      </w:pPr>
      <w:r w:rsidRPr="007739D1">
        <w:rPr>
          <w:rFonts w:ascii="Verdana" w:hAnsi="Verdana" w:cs="Arial"/>
          <w:sz w:val="20"/>
          <w:szCs w:val="20"/>
        </w:rPr>
        <w:tab/>
      </w:r>
    </w:p>
    <w:p w14:paraId="2E5A871E" w14:textId="77777777" w:rsidR="008B28EB" w:rsidRPr="007739D1" w:rsidRDefault="008B28EB" w:rsidP="008B28EB">
      <w:pPr>
        <w:spacing w:after="0" w:line="240" w:lineRule="auto"/>
        <w:ind w:left="709" w:right="709"/>
        <w:jc w:val="both"/>
        <w:rPr>
          <w:rFonts w:ascii="Verdana" w:hAnsi="Verdana" w:cs="Arial"/>
          <w:sz w:val="20"/>
          <w:szCs w:val="20"/>
        </w:rPr>
      </w:pPr>
      <w:r w:rsidRPr="007739D1">
        <w:rPr>
          <w:rFonts w:ascii="Verdana" w:hAnsi="Verdana" w:cs="Arial"/>
          <w:sz w:val="20"/>
          <w:szCs w:val="20"/>
        </w:rPr>
        <w:t>En otras palabras, extremos como los indicados no son ni de derecho público ni de derecho privado, sino, simplemente, de derecho propio, aplicables a toda relación contractual, con prescindencia de la naturaleza de los sujetos involucrados en la misma”</w:t>
      </w:r>
      <w:r w:rsidRPr="007739D1">
        <w:rPr>
          <w:rFonts w:ascii="Verdana" w:hAnsi="Verdana" w:cs="Arial"/>
          <w:sz w:val="20"/>
          <w:szCs w:val="20"/>
          <w:vertAlign w:val="superscript"/>
        </w:rPr>
        <w:footnoteReference w:id="2"/>
      </w:r>
      <w:r w:rsidRPr="007739D1">
        <w:rPr>
          <w:rFonts w:ascii="Verdana" w:hAnsi="Verdana" w:cs="Arial"/>
          <w:sz w:val="20"/>
          <w:szCs w:val="20"/>
        </w:rPr>
        <w:t xml:space="preserve">. </w:t>
      </w:r>
    </w:p>
    <w:p w14:paraId="61FE4517" w14:textId="77777777" w:rsidR="008B28EB" w:rsidRPr="007739D1" w:rsidRDefault="008B28EB" w:rsidP="008B28EB">
      <w:pPr>
        <w:spacing w:after="0" w:line="276" w:lineRule="auto"/>
        <w:ind w:left="709" w:right="709"/>
        <w:jc w:val="both"/>
        <w:rPr>
          <w:rFonts w:ascii="Verdana" w:hAnsi="Verdana" w:cs="Arial"/>
        </w:rPr>
      </w:pPr>
      <w:r w:rsidRPr="007739D1">
        <w:rPr>
          <w:rFonts w:ascii="Verdana" w:hAnsi="Verdana" w:cs="Arial"/>
        </w:rPr>
        <w:t xml:space="preserve"> </w:t>
      </w:r>
    </w:p>
    <w:p w14:paraId="72AD7039" w14:textId="77777777" w:rsidR="008B28EB" w:rsidRPr="007739D1" w:rsidRDefault="008B28EB" w:rsidP="008B28EB">
      <w:pPr>
        <w:spacing w:after="0" w:line="276" w:lineRule="auto"/>
        <w:jc w:val="both"/>
        <w:rPr>
          <w:rFonts w:ascii="Verdana" w:hAnsi="Verdana" w:cs="Arial"/>
        </w:rPr>
      </w:pPr>
      <w:r w:rsidRPr="007739D1">
        <w:rPr>
          <w:rFonts w:ascii="Verdana" w:hAnsi="Verdana" w:cs="Arial"/>
        </w:rPr>
        <w:tab/>
        <w:t xml:space="preserve">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 </w:t>
      </w:r>
    </w:p>
    <w:p w14:paraId="02B737FE" w14:textId="77777777" w:rsidR="008B28EB" w:rsidRPr="007739D1" w:rsidRDefault="008B28EB" w:rsidP="008B28EB">
      <w:pPr>
        <w:tabs>
          <w:tab w:val="left" w:pos="426"/>
        </w:tabs>
        <w:spacing w:after="120" w:line="276" w:lineRule="auto"/>
        <w:jc w:val="both"/>
        <w:rPr>
          <w:rFonts w:ascii="Verdana" w:hAnsi="Verdana" w:cs="Arial"/>
          <w:bCs/>
          <w:lang w:eastAsia="es-ES" w:bidi="es-ES"/>
        </w:rPr>
      </w:pPr>
    </w:p>
    <w:p w14:paraId="49EBB35C" w14:textId="77777777" w:rsidR="008B28EB" w:rsidRPr="007739D1" w:rsidRDefault="008B28EB" w:rsidP="008B28EB">
      <w:pPr>
        <w:tabs>
          <w:tab w:val="left" w:pos="426"/>
        </w:tabs>
        <w:spacing w:after="120" w:line="276" w:lineRule="auto"/>
        <w:jc w:val="both"/>
        <w:rPr>
          <w:rFonts w:ascii="Verdana" w:eastAsia="Arial" w:hAnsi="Verdana" w:cs="Arial"/>
          <w:color w:val="000000" w:themeColor="text1"/>
          <w:lang w:val="es-ES" w:eastAsia="es-ES"/>
        </w:rPr>
      </w:pPr>
      <w:proofErr w:type="spellStart"/>
      <w:r w:rsidRPr="007739D1">
        <w:rPr>
          <w:rFonts w:ascii="Verdana" w:hAnsi="Verdana" w:cs="Arial"/>
          <w:lang w:val="es-ES"/>
        </w:rPr>
        <w:t>ii</w:t>
      </w:r>
      <w:proofErr w:type="spellEnd"/>
      <w:r w:rsidRPr="007739D1">
        <w:rPr>
          <w:rFonts w:ascii="Verdana" w:hAnsi="Verdana" w:cs="Arial"/>
          <w:lang w:val="es-ES"/>
        </w:rPr>
        <w:t>. Los contratos se fundan bajo el principio de autonomía de voluntad de las partes, donde ocurren varias personas en la celebración de un negocio que suelen ser quienes materialmente, y en la práctica, actúan como partes del correspondiente acuerdo, es decir, quienes se obligan en virtud de este. En efecto</w:t>
      </w:r>
      <w:r w:rsidRPr="007739D1">
        <w:rPr>
          <w:rFonts w:ascii="Verdana" w:eastAsia="Arial" w:hAnsi="Verdana" w:cs="Arial"/>
          <w:color w:val="000000" w:themeColor="text1"/>
          <w:lang w:val="es-ES" w:eastAsia="es-ES"/>
        </w:rPr>
        <w:t>, el artículo 1495 del Código Civil establece que el “[c]</w:t>
      </w:r>
      <w:proofErr w:type="spellStart"/>
      <w:r w:rsidRPr="007739D1">
        <w:rPr>
          <w:rFonts w:ascii="Verdana" w:eastAsia="Arial" w:hAnsi="Verdana" w:cs="Arial"/>
          <w:color w:val="000000" w:themeColor="text1"/>
          <w:lang w:val="es-ES" w:eastAsia="es-ES"/>
        </w:rPr>
        <w:t>ontrato</w:t>
      </w:r>
      <w:proofErr w:type="spellEnd"/>
      <w:r w:rsidRPr="007739D1">
        <w:rPr>
          <w:rFonts w:ascii="Verdana" w:eastAsia="Arial" w:hAnsi="Verdana" w:cs="Arial"/>
          <w:color w:val="000000" w:themeColor="text1"/>
          <w:lang w:val="es-ES" w:eastAsia="es-ES"/>
        </w:rPr>
        <w:t xml:space="preserve"> o convención es un acto por el cual una parte se obliga para con otra a dar, hacer, o no alguna cosa. Cada parte puede ser de una o muchas personas”. A su turno, el Código de Comercio establece en el artículo 864 que “[e]l contrato es un acuerdo de dos o más partes para constituir, regular o extinguir entre ellas una relación jurídica patrimonial”.</w:t>
      </w:r>
    </w:p>
    <w:p w14:paraId="724CB114" w14:textId="77777777" w:rsidR="008B28EB" w:rsidRPr="007739D1" w:rsidRDefault="008B28EB" w:rsidP="008B28EB">
      <w:pPr>
        <w:widowControl w:val="0"/>
        <w:autoSpaceDE w:val="0"/>
        <w:autoSpaceDN w:val="0"/>
        <w:spacing w:after="120" w:line="276" w:lineRule="auto"/>
        <w:ind w:firstLine="708"/>
        <w:jc w:val="both"/>
        <w:rPr>
          <w:rFonts w:ascii="Verdana" w:eastAsia="Arial" w:hAnsi="Verdana" w:cs="Arial"/>
          <w:color w:val="000000" w:themeColor="text1"/>
          <w:lang w:val="es-ES_tradnl" w:eastAsia="es-ES_tradnl"/>
        </w:rPr>
      </w:pPr>
      <w:r w:rsidRPr="007739D1">
        <w:rPr>
          <w:rFonts w:ascii="Verdana" w:eastAsia="Arial" w:hAnsi="Verdana" w:cs="Arial"/>
          <w:color w:val="000000" w:themeColor="text1"/>
          <w:lang w:val="es-ES_tradnl" w:eastAsia="es-ES_tradnl"/>
        </w:rPr>
        <w:t xml:space="preserve">Por su parte, el artículo 1º de la Ley 80 de 1993 determina que su objetivo es disponer de reglas y principios que rigen los contratos de las entidades estatales y, en ese sentido, el artículo 32 </w:t>
      </w:r>
      <w:r w:rsidRPr="007739D1">
        <w:rPr>
          <w:rFonts w:ascii="Verdana" w:eastAsia="Arial" w:hAnsi="Verdana" w:cs="Arial"/>
          <w:i/>
          <w:iCs/>
          <w:color w:val="000000" w:themeColor="text1"/>
          <w:lang w:val="es-ES_tradnl" w:eastAsia="es-ES_tradnl"/>
        </w:rPr>
        <w:t>ibidem</w:t>
      </w:r>
      <w:r w:rsidRPr="007739D1">
        <w:rPr>
          <w:rFonts w:ascii="Verdana" w:eastAsia="Arial" w:hAnsi="Verdana" w:cs="Arial"/>
          <w:color w:val="000000" w:themeColor="text1"/>
          <w:lang w:val="es-ES_tradnl" w:eastAsia="es-ES_tradnl"/>
        </w:rPr>
        <w:t xml:space="preserve"> define los contratos estatales como “todos los actos jurídicos, generadores de obligaciones que celebren las entidades a que se refiere este estatuto [art. 2], previstos en el derecho privado o en disposiciones especiales, o derivados del ejercicio de la autonomía de la voluntad”. De acuerdo con lo anterior, para la definición de contrato estatal basta con que una de las entidades que enumera el artículo 2º de la Ley 80 de 1993</w:t>
      </w:r>
      <w:r w:rsidRPr="007739D1">
        <w:rPr>
          <w:rFonts w:ascii="Verdana" w:eastAsia="Arial" w:hAnsi="Verdana" w:cs="Arial"/>
          <w:color w:val="000000" w:themeColor="text1"/>
          <w:vertAlign w:val="superscript"/>
          <w:lang w:val="es-ES_tradnl" w:eastAsia="es-ES_tradnl"/>
        </w:rPr>
        <w:footnoteReference w:id="3"/>
      </w:r>
      <w:r w:rsidRPr="007739D1">
        <w:rPr>
          <w:rFonts w:ascii="Verdana" w:eastAsia="Arial" w:hAnsi="Verdana" w:cs="Arial"/>
          <w:color w:val="000000" w:themeColor="text1"/>
          <w:lang w:val="es-ES_tradnl" w:eastAsia="es-ES_tradnl"/>
        </w:rPr>
        <w:t xml:space="preserve"> sea una de las partes, sin importar el extremo de la relación jurídico negocial que</w:t>
      </w:r>
      <w:r w:rsidRPr="007739D1">
        <w:rPr>
          <w:rFonts w:ascii="Verdana" w:eastAsia="Arial" w:hAnsi="Verdana" w:cs="Arial"/>
          <w:color w:val="000000" w:themeColor="text1"/>
          <w:spacing w:val="-14"/>
          <w:lang w:val="es-ES_tradnl" w:eastAsia="es-ES_tradnl"/>
        </w:rPr>
        <w:t xml:space="preserve"> </w:t>
      </w:r>
      <w:r w:rsidRPr="007739D1">
        <w:rPr>
          <w:rFonts w:ascii="Verdana" w:eastAsia="Arial" w:hAnsi="Verdana" w:cs="Arial"/>
          <w:color w:val="000000" w:themeColor="text1"/>
          <w:lang w:val="es-ES_tradnl" w:eastAsia="es-ES_tradnl"/>
        </w:rPr>
        <w:t xml:space="preserve">asuma. </w:t>
      </w:r>
    </w:p>
    <w:p w14:paraId="03324940" w14:textId="77777777" w:rsidR="008B28EB" w:rsidRPr="007739D1" w:rsidRDefault="008B28EB" w:rsidP="008B28EB">
      <w:pPr>
        <w:spacing w:after="120" w:line="276" w:lineRule="auto"/>
        <w:ind w:firstLine="708"/>
        <w:jc w:val="both"/>
        <w:rPr>
          <w:rFonts w:ascii="Verdana" w:eastAsia="Calibri" w:hAnsi="Verdana"/>
          <w:color w:val="000000" w:themeColor="text1"/>
          <w:lang w:val="es-ES"/>
        </w:rPr>
      </w:pPr>
      <w:r w:rsidRPr="007739D1">
        <w:rPr>
          <w:rFonts w:ascii="Verdana" w:eastAsia="Calibri" w:hAnsi="Verdana"/>
          <w:color w:val="000000" w:themeColor="text1"/>
          <w:lang w:val="es-ES"/>
        </w:rPr>
        <w:t xml:space="preserve">Más allá de la tipicidad o no del contrato estatal, es necesario tener en cuenta que la capacidad contractual para celebrar contratos estatales está regulada en el artículo 6 de la Ley 80 de 1993. De conformidad con la norma </w:t>
      </w:r>
      <w:r w:rsidRPr="007739D1">
        <w:rPr>
          <w:rFonts w:ascii="Verdana" w:eastAsia="Calibri" w:hAnsi="Verdana"/>
          <w:color w:val="000000" w:themeColor="text1"/>
          <w:lang w:val="es-ES"/>
        </w:rPr>
        <w:lastRenderedPageBreak/>
        <w:t xml:space="preserve">citada, “Pueden celebrar contratos con las entidades estatales las personas consideradas legalmente capaces en las disposiciones vigentes […]”. De acuerdo con la modificación de la Ley 2160 de 2021, la norma agrega lo siguiente: “[…] También podrán celebrar contratos con las entidades estatales los Cabildos Indígenas, las asociaciones de Autoridades Tradicionales Indígenas, los consejos comunitarios de las comunidades negras regulados por la Ley 70 de 1993 […] las organizaciones de base de comunidades negras, afrocolombianas, raizales y palenqueras y las demás formas y expresiones organizativas […]; y los consorcios y uniones temporales”. </w:t>
      </w:r>
    </w:p>
    <w:p w14:paraId="3B30CED4" w14:textId="77777777" w:rsidR="008B28EB" w:rsidRPr="007739D1" w:rsidRDefault="008B28EB" w:rsidP="008B28EB">
      <w:pPr>
        <w:spacing w:after="120" w:line="276" w:lineRule="auto"/>
        <w:ind w:firstLine="709"/>
        <w:jc w:val="both"/>
        <w:rPr>
          <w:rFonts w:ascii="Verdana" w:eastAsia="Calibri" w:hAnsi="Verdana"/>
          <w:color w:val="000000" w:themeColor="text1"/>
        </w:rPr>
      </w:pPr>
      <w:r w:rsidRPr="007739D1">
        <w:rPr>
          <w:rFonts w:ascii="Verdana" w:eastAsia="Calibri" w:hAnsi="Verdana"/>
          <w:color w:val="000000" w:themeColor="text1"/>
        </w:rPr>
        <w:t>Asimismo, para efectos de individualizar sus requisitos esenciales, el artículo 1501 del Código Civil dispone que corresponden a “[…] aquellas cosas sin las cuales, o no produce efecto alguno, o degeneran en otro contrato diferente […]”. Es decir, “[…] no es admisible un juicio de comparación con las figuras típicas del ordenamiento, en virtud de la indeterminación inherente antes de su perfeccionamiento, pues […] este es fruto de la mera autonomía privada de las partes, la cual da vida a una figura absolutamente extraña a los tipos contractuales establecidos por las normas jurídicas del ordenamiento jurídico y por la costumbre […]”</w:t>
      </w:r>
      <w:r w:rsidRPr="007739D1">
        <w:rPr>
          <w:rFonts w:ascii="Verdana" w:eastAsia="Calibri" w:hAnsi="Verdana"/>
          <w:color w:val="000000" w:themeColor="text1"/>
          <w:vertAlign w:val="superscript"/>
        </w:rPr>
        <w:footnoteReference w:id="4"/>
      </w:r>
      <w:r w:rsidRPr="007739D1">
        <w:rPr>
          <w:rFonts w:ascii="Verdana" w:eastAsia="Calibri" w:hAnsi="Verdana"/>
          <w:color w:val="000000" w:themeColor="text1"/>
        </w:rPr>
        <w:t xml:space="preserve">. </w:t>
      </w:r>
    </w:p>
    <w:p w14:paraId="5A7B65CC" w14:textId="77777777" w:rsidR="008B28EB" w:rsidRPr="007739D1" w:rsidRDefault="008B28EB" w:rsidP="008B28EB">
      <w:pPr>
        <w:spacing w:after="120" w:line="276" w:lineRule="auto"/>
        <w:ind w:firstLine="709"/>
        <w:jc w:val="both"/>
        <w:rPr>
          <w:rFonts w:ascii="Verdana" w:eastAsia="Calibri" w:hAnsi="Verdana"/>
          <w:color w:val="000000" w:themeColor="text1"/>
          <w:lang w:val="es-ES"/>
        </w:rPr>
      </w:pPr>
      <w:r>
        <w:rPr>
          <w:rFonts w:ascii="Verdana" w:eastAsia="Calibri" w:hAnsi="Verdana"/>
          <w:color w:val="000000" w:themeColor="text1"/>
        </w:rPr>
        <w:t>En referencia a</w:t>
      </w:r>
      <w:r w:rsidRPr="007739D1">
        <w:rPr>
          <w:rFonts w:ascii="Verdana" w:eastAsia="Calibri" w:hAnsi="Verdana"/>
          <w:color w:val="000000" w:themeColor="text1"/>
          <w:lang w:val="es-ES"/>
        </w:rPr>
        <w:t xml:space="preserve"> la tipicidad o no del negocio, la existencia de los contratos estatales, es decir, la producción de efectos jurídicos en los términos del artículo 1501 </w:t>
      </w:r>
      <w:r w:rsidRPr="007739D1">
        <w:rPr>
          <w:rFonts w:ascii="Verdana" w:eastAsia="Calibri" w:hAnsi="Verdana"/>
          <w:i/>
          <w:color w:val="000000" w:themeColor="text1"/>
          <w:lang w:val="es-ES"/>
        </w:rPr>
        <w:t>ibidem</w:t>
      </w:r>
      <w:r w:rsidRPr="007739D1">
        <w:rPr>
          <w:rFonts w:ascii="Verdana" w:eastAsia="Calibri" w:hAnsi="Verdana"/>
          <w:color w:val="000000" w:themeColor="text1"/>
          <w:lang w:val="es-ES"/>
        </w:rPr>
        <w:t xml:space="preserve">, depende de la regulación del inciso primero de los artículos 39 y 41 del EGCAP.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4AFD183A" w14:textId="77777777" w:rsidR="008B28EB" w:rsidRDefault="008B28EB" w:rsidP="008B28EB">
      <w:pPr>
        <w:spacing w:after="120" w:line="276" w:lineRule="auto"/>
        <w:ind w:firstLine="708"/>
        <w:jc w:val="both"/>
        <w:rPr>
          <w:rFonts w:ascii="Verdana" w:eastAsia="Calibri" w:hAnsi="Verdana" w:cs="Arial"/>
          <w:lang w:eastAsia="es-ES_tradnl"/>
        </w:rPr>
      </w:pPr>
      <w:r w:rsidRPr="007739D1">
        <w:rPr>
          <w:rFonts w:ascii="Verdana" w:eastAsia="Times New Roman" w:hAnsi="Verdana" w:cs="Arial"/>
          <w:color w:val="000000" w:themeColor="text1"/>
          <w:lang w:eastAsia="es-ES_tradnl"/>
        </w:rPr>
        <w:t xml:space="preserve">Ahora bien, teniendo en cuenta el objeto de su consulta, es preciso mencionar que las </w:t>
      </w:r>
      <w:r w:rsidRPr="007739D1">
        <w:rPr>
          <w:rFonts w:ascii="Verdana" w:eastAsia="Calibri" w:hAnsi="Verdana" w:cs="Arial"/>
          <w:lang w:eastAsia="es-ES_tradnl"/>
        </w:rPr>
        <w:t xml:space="preserve">entidades estatales regidas por el EGCAP están habilitadas para celebrar los contratos que suelen celebrar los particulares entre sí –como </w:t>
      </w:r>
      <w:r w:rsidRPr="007739D1">
        <w:rPr>
          <w:rFonts w:ascii="Verdana" w:eastAsia="Calibri" w:hAnsi="Verdana" w:cs="Arial"/>
          <w:lang w:eastAsia="es-ES_tradnl"/>
        </w:rPr>
        <w:lastRenderedPageBreak/>
        <w:t xml:space="preserve">el de </w:t>
      </w:r>
      <w:r>
        <w:rPr>
          <w:rFonts w:ascii="Verdana" w:eastAsia="Calibri" w:hAnsi="Verdana" w:cs="Arial"/>
          <w:lang w:eastAsia="es-ES_tradnl"/>
        </w:rPr>
        <w:t xml:space="preserve">arrendamiento </w:t>
      </w:r>
      <w:r w:rsidRPr="007739D1">
        <w:rPr>
          <w:rFonts w:ascii="Verdana" w:eastAsia="Calibri" w:hAnsi="Verdana" w:cs="Arial"/>
          <w:lang w:eastAsia="es-ES_tradnl"/>
        </w:rPr>
        <w:t>al que se refiere en su pregunta– en ejercicio de la autonomía de la voluntad privada. En ese sentido, puede ocurrir que dentro de la gestión ordinaria de sus competencias y funciones las entidades tengan necesidades que deban ser satisfechas a través de contratos como</w:t>
      </w:r>
      <w:r>
        <w:rPr>
          <w:rFonts w:ascii="Verdana" w:eastAsia="Calibri" w:hAnsi="Verdana" w:cs="Arial"/>
          <w:lang w:eastAsia="es-ES_tradnl"/>
        </w:rPr>
        <w:t xml:space="preserve"> el de arrendamiento</w:t>
      </w:r>
      <w:r w:rsidRPr="007739D1">
        <w:rPr>
          <w:rFonts w:ascii="Verdana" w:eastAsia="Calibri" w:hAnsi="Verdana" w:cs="Arial"/>
          <w:lang w:eastAsia="es-ES_tradnl"/>
        </w:rPr>
        <w:t xml:space="preserve">, en los que además de las disposiciones del EGCAP deberán aplicarse en su mayoría normas de derecho privado, lo que de ninguna manera desvirtúa la calidad de estatal de dichos contratos. </w:t>
      </w:r>
    </w:p>
    <w:p w14:paraId="6A975018" w14:textId="77777777" w:rsidR="008B28EB" w:rsidRPr="007739D1" w:rsidRDefault="008B28EB" w:rsidP="008B28EB">
      <w:pPr>
        <w:spacing w:after="120" w:line="276" w:lineRule="auto"/>
        <w:ind w:firstLine="708"/>
        <w:jc w:val="both"/>
        <w:rPr>
          <w:rFonts w:ascii="Verdana" w:eastAsia="Calibri" w:hAnsi="Verdana"/>
          <w:color w:val="000000" w:themeColor="text1"/>
        </w:rPr>
      </w:pPr>
    </w:p>
    <w:p w14:paraId="49E89F8E" w14:textId="77777777" w:rsidR="008B28EB" w:rsidRPr="00BB46CC" w:rsidRDefault="008B28EB" w:rsidP="008B28EB">
      <w:pPr>
        <w:spacing w:after="120" w:line="276" w:lineRule="auto"/>
        <w:jc w:val="both"/>
        <w:rPr>
          <w:rFonts w:ascii="Verdana" w:eastAsia="Calibri" w:hAnsi="Verdana"/>
          <w:color w:val="000000" w:themeColor="text1"/>
        </w:rPr>
      </w:pPr>
      <w:proofErr w:type="spellStart"/>
      <w:r>
        <w:rPr>
          <w:rFonts w:ascii="Verdana" w:eastAsia="Calibri" w:hAnsi="Verdana"/>
          <w:color w:val="000000" w:themeColor="text1"/>
        </w:rPr>
        <w:t>iii</w:t>
      </w:r>
      <w:proofErr w:type="spellEnd"/>
      <w:r>
        <w:rPr>
          <w:rFonts w:ascii="Verdana" w:eastAsia="Calibri" w:hAnsi="Verdana"/>
          <w:color w:val="000000" w:themeColor="text1"/>
        </w:rPr>
        <w:t xml:space="preserve">. </w:t>
      </w:r>
      <w:r w:rsidRPr="00DA60DB">
        <w:rPr>
          <w:rFonts w:ascii="Verdana" w:eastAsia="Calibri" w:hAnsi="Verdana"/>
          <w:bCs/>
          <w:color w:val="000000" w:themeColor="text1"/>
        </w:rPr>
        <w:t>El artículo 1973 del Código Civil define el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se obliga a concederle a otra –llamada arrendatario– el uso y goce de un bien, a cambio de una renta o canon</w:t>
      </w:r>
      <w:r w:rsidRPr="00DA60DB">
        <w:rPr>
          <w:rFonts w:ascii="Verdana" w:eastAsia="Calibri" w:hAnsi="Verdana"/>
          <w:bCs/>
          <w:color w:val="000000" w:themeColor="text1"/>
          <w:vertAlign w:val="superscript"/>
        </w:rPr>
        <w:footnoteReference w:id="5"/>
      </w:r>
      <w:r w:rsidRPr="00DA60DB">
        <w:rPr>
          <w:rFonts w:ascii="Verdana" w:eastAsia="Calibri" w:hAnsi="Verdana"/>
          <w:bCs/>
          <w:color w:val="000000" w:themeColor="text1"/>
        </w:rPr>
        <w:t>. Por tanto, se diferencia del contrato de compraventa en que no opera una transferencia del dominio del bien cuyo uso y goce se entrega.</w:t>
      </w:r>
    </w:p>
    <w:p w14:paraId="7C3DE792" w14:textId="77777777" w:rsidR="008B28EB" w:rsidRPr="00DA60DB" w:rsidRDefault="008B28EB" w:rsidP="008B28EB">
      <w:pPr>
        <w:spacing w:after="120" w:line="276" w:lineRule="auto"/>
        <w:ind w:firstLine="708"/>
        <w:jc w:val="both"/>
        <w:rPr>
          <w:rFonts w:ascii="Verdana" w:eastAsia="Calibri" w:hAnsi="Verdana"/>
          <w:bCs/>
          <w:color w:val="000000" w:themeColor="text1"/>
          <w:lang w:val="es-ES"/>
        </w:rPr>
      </w:pPr>
      <w:r w:rsidRPr="00DA60DB">
        <w:rPr>
          <w:rFonts w:ascii="Verdana" w:eastAsia="Calibri" w:hAnsi="Verdana"/>
          <w:bCs/>
          <w:color w:val="000000" w:themeColor="text1"/>
          <w:lang w:val="es-ES"/>
        </w:rPr>
        <w:t xml:space="preserve">En </w:t>
      </w:r>
      <w:r w:rsidRPr="00DA60DB">
        <w:rPr>
          <w:rFonts w:ascii="Verdana" w:eastAsia="Calibri" w:hAnsi="Verdana"/>
          <w:color w:val="000000" w:themeColor="text1"/>
          <w:lang w:val="es-ES"/>
        </w:rPr>
        <w:t>cuanto</w:t>
      </w:r>
      <w:r w:rsidRPr="00DA60DB">
        <w:rPr>
          <w:rFonts w:ascii="Verdana" w:eastAsia="Calibri" w:hAnsi="Verdana"/>
          <w:bCs/>
          <w:color w:val="000000" w:themeColor="text1"/>
          <w:lang w:val="es-ES"/>
        </w:rPr>
        <w:t xml:space="preserve"> a sus características, la doctrina ha indicado que el arrendamiento es un contrato: i) bilateral, pues ambas partes se obligan recíprocamente; </w:t>
      </w:r>
      <w:proofErr w:type="spellStart"/>
      <w:r w:rsidRPr="00DA60DB">
        <w:rPr>
          <w:rFonts w:ascii="Verdana" w:eastAsia="Calibri" w:hAnsi="Verdana"/>
          <w:bCs/>
          <w:color w:val="000000" w:themeColor="text1"/>
          <w:lang w:val="es-ES"/>
        </w:rPr>
        <w:t>ii</w:t>
      </w:r>
      <w:proofErr w:type="spellEnd"/>
      <w:r w:rsidRPr="00DA60DB">
        <w:rPr>
          <w:rFonts w:ascii="Verdana" w:eastAsia="Calibri" w:hAnsi="Verdana"/>
          <w:bCs/>
          <w:color w:val="000000" w:themeColor="text1"/>
          <w:lang w:val="es-ES"/>
        </w:rPr>
        <w:t>) consensual, dado que se perfecciona con el consentimiento</w:t>
      </w:r>
      <w:r w:rsidRPr="00DA60DB">
        <w:rPr>
          <w:rFonts w:ascii="Verdana" w:eastAsia="Calibri" w:hAnsi="Verdana"/>
          <w:bCs/>
          <w:color w:val="000000" w:themeColor="text1"/>
          <w:vertAlign w:val="superscript"/>
          <w:lang w:val="es-ES"/>
        </w:rPr>
        <w:footnoteReference w:id="6"/>
      </w:r>
      <w:r w:rsidRPr="00DA60DB">
        <w:rPr>
          <w:rFonts w:ascii="Verdana" w:eastAsia="Calibri" w:hAnsi="Verdana"/>
          <w:bCs/>
          <w:color w:val="000000" w:themeColor="text1"/>
          <w:lang w:val="es-ES"/>
        </w:rPr>
        <w:t xml:space="preserve">; </w:t>
      </w:r>
      <w:proofErr w:type="spellStart"/>
      <w:r w:rsidRPr="00DA60DB">
        <w:rPr>
          <w:rFonts w:ascii="Verdana" w:eastAsia="Calibri" w:hAnsi="Verdana"/>
          <w:bCs/>
          <w:color w:val="000000" w:themeColor="text1"/>
          <w:lang w:val="es-ES"/>
        </w:rPr>
        <w:t>iii</w:t>
      </w:r>
      <w:proofErr w:type="spellEnd"/>
      <w:r w:rsidRPr="00DA60DB">
        <w:rPr>
          <w:rFonts w:ascii="Verdana" w:eastAsia="Calibri" w:hAnsi="Verdana"/>
          <w:bCs/>
          <w:color w:val="000000" w:themeColor="text1"/>
          <w:lang w:val="es-ES"/>
        </w:rPr>
        <w:t xml:space="preserve">) oneroso, ya que ambas partes obtienen utilidades –el arrendatario, el uso y goce del bien, y el arrendador la renta o canon–; </w:t>
      </w:r>
      <w:proofErr w:type="spellStart"/>
      <w:r w:rsidRPr="00DA60DB">
        <w:rPr>
          <w:rFonts w:ascii="Verdana" w:eastAsia="Calibri" w:hAnsi="Verdana"/>
          <w:bCs/>
          <w:color w:val="000000" w:themeColor="text1"/>
          <w:lang w:val="es-ES"/>
        </w:rPr>
        <w:t>iv</w:t>
      </w:r>
      <w:proofErr w:type="spellEnd"/>
      <w:r w:rsidRPr="00DA60DB">
        <w:rPr>
          <w:rFonts w:ascii="Verdana" w:eastAsia="Calibri" w:hAnsi="Verdana"/>
          <w:bCs/>
          <w:color w:val="000000" w:themeColor="text1"/>
          <w:lang w:val="es-ES"/>
        </w:rPr>
        <w:t>) de ejecución sucesiva, en la medida en que se ejecuta en forma periódica; v) principal, porque existe en forma autónoma; y v) nominado, porque está tipificado y desarrollado en la ley</w:t>
      </w:r>
      <w:r w:rsidRPr="00DA60DB">
        <w:rPr>
          <w:rFonts w:ascii="Verdana" w:eastAsia="Calibri" w:hAnsi="Verdana"/>
          <w:bCs/>
          <w:color w:val="000000" w:themeColor="text1"/>
          <w:vertAlign w:val="superscript"/>
          <w:lang w:val="es-ES"/>
        </w:rPr>
        <w:footnoteReference w:id="7"/>
      </w:r>
      <w:r w:rsidRPr="00DA60DB">
        <w:rPr>
          <w:rFonts w:ascii="Verdana" w:eastAsia="Calibri" w:hAnsi="Verdana"/>
          <w:bCs/>
          <w:color w:val="000000" w:themeColor="text1"/>
          <w:lang w:val="es-ES"/>
        </w:rPr>
        <w:t xml:space="preserve">. </w:t>
      </w:r>
    </w:p>
    <w:p w14:paraId="6DE9B5D6" w14:textId="77777777" w:rsidR="008B28EB" w:rsidRPr="00BB46CC" w:rsidRDefault="008B28EB" w:rsidP="008B28EB">
      <w:pPr>
        <w:spacing w:after="120" w:line="276" w:lineRule="auto"/>
        <w:ind w:firstLine="708"/>
        <w:jc w:val="both"/>
        <w:rPr>
          <w:rFonts w:ascii="Verdana" w:eastAsia="Calibri" w:hAnsi="Verdana"/>
          <w:color w:val="000000" w:themeColor="text1"/>
        </w:rPr>
      </w:pPr>
      <w:r w:rsidRPr="00BB46CC">
        <w:rPr>
          <w:rFonts w:ascii="Verdana" w:eastAsia="Calibri" w:hAnsi="Verdana"/>
          <w:color w:val="000000" w:themeColor="text1"/>
        </w:rPr>
        <w:lastRenderedPageBreak/>
        <w:t xml:space="preserve">En </w:t>
      </w:r>
      <w:r>
        <w:rPr>
          <w:rFonts w:ascii="Verdana" w:eastAsia="Calibri" w:hAnsi="Verdana"/>
          <w:color w:val="000000" w:themeColor="text1"/>
        </w:rPr>
        <w:t>torno</w:t>
      </w:r>
      <w:r w:rsidRPr="00BB46CC">
        <w:rPr>
          <w:rFonts w:ascii="Verdana" w:eastAsia="Calibri" w:hAnsi="Verdana"/>
          <w:color w:val="000000" w:themeColor="text1"/>
        </w:rPr>
        <w:t xml:space="preserve"> a su regulación, son, principalmente, los artículos 1973 al 2078 del Código Civil los que lo desarrollan. Pero también existen normas especiales sobre el contrato de arrendamiento en los artículos 518 al 523 del Código de Comercio –sobre arrendamiento de inmuebles para los establecimientos de comercio–, 1678 al 1687 y 1890 al 1899 de la misma codificación –sobre arrendamiento de naves–; y en la Ley 820 de 2003, </w:t>
      </w:r>
      <w:r>
        <w:rPr>
          <w:rFonts w:ascii="Verdana" w:eastAsia="Calibri" w:hAnsi="Verdana"/>
          <w:color w:val="000000" w:themeColor="text1"/>
        </w:rPr>
        <w:t>“</w:t>
      </w:r>
      <w:r w:rsidRPr="00E21DBA">
        <w:rPr>
          <w:rFonts w:ascii="Verdana" w:eastAsia="Calibri" w:hAnsi="Verdana"/>
          <w:color w:val="000000" w:themeColor="text1"/>
        </w:rPr>
        <w:t>Por la cual se expide el régimen de arrendamiento de vivienda urbana y se dictan otras disposiciones</w:t>
      </w:r>
      <w:r>
        <w:rPr>
          <w:rFonts w:ascii="Verdana" w:eastAsia="Calibri" w:hAnsi="Verdana"/>
          <w:color w:val="000000" w:themeColor="text1"/>
        </w:rPr>
        <w:t>”</w:t>
      </w:r>
      <w:r w:rsidRPr="00BB46CC">
        <w:rPr>
          <w:rFonts w:ascii="Verdana" w:eastAsia="Calibri" w:hAnsi="Verdana"/>
          <w:color w:val="000000" w:themeColor="text1"/>
        </w:rPr>
        <w:t>.</w:t>
      </w:r>
    </w:p>
    <w:p w14:paraId="39F1BEDD" w14:textId="77777777" w:rsidR="008B28EB" w:rsidRPr="00BB46CC" w:rsidRDefault="008B28EB" w:rsidP="008B28EB">
      <w:pPr>
        <w:spacing w:after="120" w:line="276" w:lineRule="auto"/>
        <w:ind w:firstLine="708"/>
        <w:jc w:val="both"/>
        <w:rPr>
          <w:rFonts w:ascii="Verdana" w:eastAsia="Calibri" w:hAnsi="Verdana"/>
          <w:color w:val="000000" w:themeColor="text1"/>
        </w:rPr>
      </w:pPr>
      <w:r w:rsidRPr="00BB46CC">
        <w:rPr>
          <w:rFonts w:ascii="Verdana" w:eastAsia="Calibri" w:hAnsi="Verdana"/>
          <w:color w:val="000000" w:themeColor="text1"/>
        </w:rPr>
        <w:t>En igual sentido, por su importancia en la contratación estatal, debe precisarse que la modalidad de selección aplicable a la celebración de los contratos de arrendamiento depende del régimen aplicable a la entidad estatal. Si se rige por el derecho privado, es decir, si está exceptuada del Estatuto General de Contratación de la Administración Pública, debe aplicar en principio las normas civiles y comerciales mencionadas, en las cuales se permite la celebración directa del contrato de arrendamiento, pero si el reglamento o manual interno de contratación de la entidad dispone que debe efectuar algún procedimiento especial, este prevalece. En contrate, si la entidad estatal se rige por el Estatuto General de Contratación de la Administración Pública, bien sea que obre en calidad de arrendadora o arrendataria, debe acudir a la modalidad de selección de contratación directa si arrendara un inmueble, pues el artículo 2º, numeral 4° literal i) de la Ley 1150 de 2007 establece que una de las causales de este procedimiento es “i) El arrendamiento o adquisición de inmuebles”. Si lo que arrendará es un bien mueble, lo deberá hacer por licitación pública, selección abreviada o mínima cuantía, dependiendo del valor de la contratación. En ambos supuestos la entidad estatal también debe aplicar las normas civiles y comerciales que regulan la sustantividad del contrato de arrendamiento, porque a estas se remiten los artículos 13, 32 y 40 de la Ley 80 de 1993.</w:t>
      </w:r>
    </w:p>
    <w:p w14:paraId="0A340253" w14:textId="77777777" w:rsidR="008B28EB" w:rsidRPr="00BB46CC" w:rsidRDefault="008B28EB" w:rsidP="008B28EB">
      <w:pPr>
        <w:spacing w:after="120" w:line="276" w:lineRule="auto"/>
        <w:ind w:firstLine="708"/>
        <w:jc w:val="both"/>
        <w:rPr>
          <w:rFonts w:ascii="Verdana" w:eastAsia="Calibri" w:hAnsi="Verdana"/>
          <w:color w:val="000000" w:themeColor="text1"/>
        </w:rPr>
      </w:pPr>
      <w:r w:rsidRPr="00BB46CC">
        <w:rPr>
          <w:rFonts w:ascii="Verdana" w:eastAsia="Calibri" w:hAnsi="Verdana"/>
          <w:color w:val="000000" w:themeColor="text1"/>
        </w:rPr>
        <w:t xml:space="preserve">Por otro lado, La Ley 80 de 1993, en el texto original del artículo 41, estableció que los requisitos para perfeccionar el contrato eran: i) llegar a un acuerdo sobre el objeto y la contraprestación y </w:t>
      </w:r>
      <w:proofErr w:type="spellStart"/>
      <w:r w:rsidRPr="00BB46CC">
        <w:rPr>
          <w:rFonts w:ascii="Verdana" w:eastAsia="Calibri" w:hAnsi="Verdana"/>
          <w:color w:val="000000" w:themeColor="text1"/>
        </w:rPr>
        <w:t>ii</w:t>
      </w:r>
      <w:proofErr w:type="spellEnd"/>
      <w:r w:rsidRPr="00BB46CC">
        <w:rPr>
          <w:rFonts w:ascii="Verdana" w:eastAsia="Calibri" w:hAnsi="Verdana"/>
          <w:color w:val="000000" w:themeColor="text1"/>
        </w:rPr>
        <w:t xml:space="preserve">) que conste por escrito. Por su parte, para iniciar la ejecución se requería: i) la constitución y aprobación de la garantía y </w:t>
      </w:r>
      <w:proofErr w:type="spellStart"/>
      <w:r w:rsidRPr="00BB46CC">
        <w:rPr>
          <w:rFonts w:ascii="Verdana" w:eastAsia="Calibri" w:hAnsi="Verdana"/>
          <w:color w:val="000000" w:themeColor="text1"/>
        </w:rPr>
        <w:t>ii</w:t>
      </w:r>
      <w:proofErr w:type="spellEnd"/>
      <w:r w:rsidRPr="00BB46CC">
        <w:rPr>
          <w:rFonts w:ascii="Verdana" w:eastAsia="Calibri" w:hAnsi="Verdana"/>
          <w:color w:val="000000" w:themeColor="text1"/>
        </w:rPr>
        <w:t>) la existencia del registro presupuestal.</w:t>
      </w:r>
    </w:p>
    <w:p w14:paraId="0849DC0F" w14:textId="77777777" w:rsidR="008B28EB" w:rsidRPr="00BB46CC" w:rsidRDefault="008B28EB" w:rsidP="008B28EB">
      <w:pPr>
        <w:spacing w:after="120" w:line="276" w:lineRule="auto"/>
        <w:ind w:firstLine="708"/>
        <w:jc w:val="both"/>
        <w:rPr>
          <w:rFonts w:ascii="Verdana" w:eastAsia="Calibri" w:hAnsi="Verdana"/>
          <w:color w:val="000000" w:themeColor="text1"/>
        </w:rPr>
      </w:pPr>
      <w:r w:rsidRPr="00BB46CC">
        <w:rPr>
          <w:rFonts w:ascii="Verdana" w:eastAsia="Calibri" w:hAnsi="Verdana"/>
          <w:color w:val="000000" w:themeColor="text1"/>
        </w:rPr>
        <w:t xml:space="preserve">Ahora bien, tratándose del arrendamiento de bienes inmuebles el artículo 2º, numeral 4° literal i), de la Ley 1150 de 2007 dispone la modalidad de selección de contratación directa, pues, establece que una de las causales de </w:t>
      </w:r>
      <w:r w:rsidRPr="00BB46CC">
        <w:rPr>
          <w:rFonts w:ascii="Verdana" w:eastAsia="Calibri" w:hAnsi="Verdana"/>
          <w:color w:val="000000" w:themeColor="text1"/>
        </w:rPr>
        <w:lastRenderedPageBreak/>
        <w:t xml:space="preserve">este procedimiento es “i) El arrendamiento o adquisición de inmuebles”. Adicionalmente, el artículo 2.2.1.2.1.4.11 del Decreto 1082 de 2015 dispone que las entidades estatales pueden alquilar o arrendar inmuebles mediante contratación directa para lo cual deben seguir las siguientes reglas: </w:t>
      </w:r>
    </w:p>
    <w:p w14:paraId="148BDDE1" w14:textId="77777777" w:rsidR="008B28EB" w:rsidRPr="00BB46CC" w:rsidRDefault="008B28EB" w:rsidP="008B28EB">
      <w:pPr>
        <w:spacing w:after="0" w:line="276" w:lineRule="auto"/>
        <w:jc w:val="both"/>
        <w:rPr>
          <w:rFonts w:ascii="Verdana" w:eastAsia="Calibri" w:hAnsi="Verdana"/>
          <w:color w:val="000000" w:themeColor="text1"/>
        </w:rPr>
      </w:pPr>
    </w:p>
    <w:p w14:paraId="54CBBD94" w14:textId="77777777" w:rsidR="008B28EB" w:rsidRPr="00BB46CC" w:rsidRDefault="008B28EB" w:rsidP="008B28EB">
      <w:pPr>
        <w:spacing w:after="0" w:line="240" w:lineRule="auto"/>
        <w:ind w:left="709" w:right="709"/>
        <w:jc w:val="both"/>
        <w:rPr>
          <w:rFonts w:ascii="Verdana" w:eastAsia="Calibri" w:hAnsi="Verdana"/>
          <w:color w:val="000000" w:themeColor="text1"/>
          <w:sz w:val="20"/>
          <w:szCs w:val="20"/>
        </w:rPr>
      </w:pPr>
      <w:r w:rsidRPr="00BB46CC">
        <w:rPr>
          <w:rFonts w:ascii="Verdana" w:eastAsia="Calibri" w:hAnsi="Verdana"/>
          <w:color w:val="000000" w:themeColor="text1"/>
          <w:sz w:val="20"/>
          <w:szCs w:val="20"/>
        </w:rPr>
        <w:t>1.    Verificar las condiciones del mercado inmobiliario en la ciudad en la que la Entidad Estatal requiere el inmueble.</w:t>
      </w:r>
    </w:p>
    <w:p w14:paraId="2734C37D" w14:textId="77777777" w:rsidR="008B28EB" w:rsidRPr="00BB46CC" w:rsidRDefault="008B28EB" w:rsidP="008B28EB">
      <w:pPr>
        <w:spacing w:after="0" w:line="240" w:lineRule="auto"/>
        <w:ind w:left="709" w:right="709"/>
        <w:jc w:val="both"/>
        <w:rPr>
          <w:rFonts w:ascii="Verdana" w:eastAsia="Calibri" w:hAnsi="Verdana"/>
          <w:color w:val="000000" w:themeColor="text1"/>
          <w:sz w:val="20"/>
          <w:szCs w:val="20"/>
        </w:rPr>
      </w:pPr>
      <w:r w:rsidRPr="00BB46CC">
        <w:rPr>
          <w:rFonts w:ascii="Verdana" w:eastAsia="Calibri" w:hAnsi="Verdana"/>
          <w:color w:val="000000" w:themeColor="text1"/>
          <w:sz w:val="20"/>
          <w:szCs w:val="20"/>
        </w:rPr>
        <w:t>2.    Analizar y comparar las condiciones de los bienes inmuebles que satisfacen las necesidades identificadas y las opciones de arrendamiento, análisis que deberá tener en cuenta los principios y objetivos del sistema de compra y contratación pública.</w:t>
      </w:r>
    </w:p>
    <w:p w14:paraId="2E3C5B64" w14:textId="77777777" w:rsidR="008B28EB" w:rsidRPr="00BB46CC" w:rsidRDefault="008B28EB" w:rsidP="008B28EB">
      <w:pPr>
        <w:spacing w:after="120" w:line="276" w:lineRule="auto"/>
        <w:jc w:val="both"/>
        <w:rPr>
          <w:rFonts w:ascii="Verdana" w:eastAsia="Calibri" w:hAnsi="Verdana"/>
          <w:color w:val="000000" w:themeColor="text1"/>
        </w:rPr>
      </w:pPr>
    </w:p>
    <w:p w14:paraId="5C8AE205" w14:textId="77777777" w:rsidR="008B28EB" w:rsidRPr="00BB46CC" w:rsidRDefault="008B28EB" w:rsidP="008B28EB">
      <w:pPr>
        <w:spacing w:after="120" w:line="276" w:lineRule="auto"/>
        <w:ind w:firstLine="708"/>
        <w:jc w:val="both"/>
        <w:rPr>
          <w:rFonts w:ascii="Verdana" w:eastAsia="Calibri" w:hAnsi="Verdana"/>
          <w:color w:val="000000" w:themeColor="text1"/>
        </w:rPr>
      </w:pPr>
      <w:r w:rsidRPr="00BB46CC">
        <w:rPr>
          <w:rFonts w:ascii="Verdana" w:eastAsia="Calibri" w:hAnsi="Verdana"/>
          <w:color w:val="000000" w:themeColor="text1"/>
        </w:rPr>
        <w:t xml:space="preserve">En contraste, si se trata de arrendamiento de bienes muebles, la modalidad aplicable será la licitación pública, la selección abreviada o la mínima cuantía, según corresponda dependiendo del valor de la contratación. Lo anterior en la medida que no se encuentran dentro de las causales de contratación directa que expresamente señala el numeral 4 del artículo 2 de la Ley 1150 de 2007. </w:t>
      </w:r>
    </w:p>
    <w:p w14:paraId="570DB9B9" w14:textId="77777777" w:rsidR="008B28EB" w:rsidRPr="00BB46CC" w:rsidRDefault="008B28EB" w:rsidP="008B28EB">
      <w:pPr>
        <w:spacing w:after="120" w:line="276" w:lineRule="auto"/>
        <w:ind w:firstLine="708"/>
        <w:jc w:val="both"/>
        <w:rPr>
          <w:rFonts w:ascii="Verdana" w:eastAsia="Calibri" w:hAnsi="Verdana"/>
          <w:color w:val="000000" w:themeColor="text1"/>
        </w:rPr>
      </w:pPr>
      <w:r w:rsidRPr="00BB46CC">
        <w:rPr>
          <w:rFonts w:ascii="Verdana" w:eastAsia="Calibri" w:hAnsi="Verdana"/>
          <w:color w:val="000000" w:themeColor="text1"/>
        </w:rPr>
        <w:t xml:space="preserve">En virtud de este contrato, las partes se obligan, una a conceder el goce del inmueble, y otra a pagar un precio por el mismo. Estos contratos tienen como elementos característicos, conforme a la ley y a la jurisprudencia del Consejo de Estado, los siguientes: i) entrega de un bien que efectúa el arrendador al arrendatario para el goce o uso exclusivo de este y </w:t>
      </w:r>
      <w:proofErr w:type="spellStart"/>
      <w:r w:rsidRPr="00BB46CC">
        <w:rPr>
          <w:rFonts w:ascii="Verdana" w:eastAsia="Calibri" w:hAnsi="Verdana"/>
          <w:color w:val="000000" w:themeColor="text1"/>
        </w:rPr>
        <w:t>ii</w:t>
      </w:r>
      <w:proofErr w:type="spellEnd"/>
      <w:r w:rsidRPr="00BB46CC">
        <w:rPr>
          <w:rFonts w:ascii="Verdana" w:eastAsia="Calibri" w:hAnsi="Verdana"/>
          <w:color w:val="000000" w:themeColor="text1"/>
        </w:rPr>
        <w:t xml:space="preserve">) el pago de un precio por el uso o goce del bien arrendado. </w:t>
      </w:r>
    </w:p>
    <w:p w14:paraId="449ADB3A" w14:textId="77777777" w:rsidR="008B28EB" w:rsidRPr="00BB46CC" w:rsidRDefault="008B28EB" w:rsidP="008B28EB">
      <w:pPr>
        <w:spacing w:after="120" w:line="276" w:lineRule="auto"/>
        <w:ind w:firstLine="708"/>
        <w:jc w:val="both"/>
        <w:rPr>
          <w:rFonts w:ascii="Verdana" w:eastAsia="Calibri" w:hAnsi="Verdana"/>
          <w:color w:val="000000" w:themeColor="text1"/>
        </w:rPr>
      </w:pPr>
      <w:r w:rsidRPr="00BB46CC">
        <w:rPr>
          <w:rFonts w:ascii="Verdana" w:eastAsia="Calibri" w:hAnsi="Verdana"/>
          <w:color w:val="000000" w:themeColor="text1"/>
        </w:rPr>
        <w:t>En estos eventos, la entidad debe elaborar los estudios y documentos previos y, además, el artículo 2.2.1.2.1.4.11. del Decreto 1082 de 2015 les impone el deber de verificar las condiciones del mercado inmobiliario en la ciudad donde la entidad estatal requiere el documento, y además analizar y comparar las condiciones de los bienes inmuebles que satisfacen sus necesidades; y señala que deberá tener en cuenta los principios y objetivos del sistema de compra y contratación pública.</w:t>
      </w:r>
    </w:p>
    <w:p w14:paraId="03D924EE" w14:textId="77777777" w:rsidR="008B28EB" w:rsidRPr="00BB46CC" w:rsidRDefault="008B28EB" w:rsidP="008B28EB">
      <w:pPr>
        <w:spacing w:after="120" w:line="276" w:lineRule="auto"/>
        <w:ind w:firstLine="708"/>
        <w:jc w:val="both"/>
        <w:rPr>
          <w:rFonts w:ascii="Verdana" w:eastAsia="Calibri" w:hAnsi="Verdana"/>
          <w:color w:val="000000" w:themeColor="text1"/>
        </w:rPr>
      </w:pPr>
      <w:r>
        <w:rPr>
          <w:rFonts w:ascii="Verdana" w:eastAsia="Calibri" w:hAnsi="Verdana"/>
          <w:color w:val="000000" w:themeColor="text1"/>
        </w:rPr>
        <w:t>Además, o</w:t>
      </w:r>
      <w:r w:rsidRPr="00BB46CC">
        <w:rPr>
          <w:rFonts w:ascii="Verdana" w:eastAsia="Calibri" w:hAnsi="Verdana"/>
          <w:color w:val="000000" w:themeColor="text1"/>
        </w:rPr>
        <w:t xml:space="preserve">tro aspecto importante del contrato de arrendamiento consiste en la imposibilidad de pactar cláusulas de prórroga automática, puesto que el Consejo de Estado explica que  en el Estatuto General de la Contratación de la Administración Pública no existe norma alguna que autorice pactar prórrogas automáticas que favorezcan a un determinado contratista, resulta violatorio de </w:t>
      </w:r>
      <w:r w:rsidRPr="00BB46CC">
        <w:rPr>
          <w:rFonts w:ascii="Verdana" w:eastAsia="Calibri" w:hAnsi="Verdana"/>
          <w:color w:val="000000" w:themeColor="text1"/>
        </w:rPr>
        <w:lastRenderedPageBreak/>
        <w:t>los principios generales de libre concurrencia, de igualdad, de imparcialidad, de prevalencia del interés general y de transparencia que rigen todas las actuaciones contractuales de las entidades estatales”.</w:t>
      </w:r>
    </w:p>
    <w:p w14:paraId="3C6A5E4E" w14:textId="77777777" w:rsidR="008B28EB" w:rsidRDefault="008B28EB" w:rsidP="008B28EB">
      <w:pPr>
        <w:spacing w:after="120" w:line="276" w:lineRule="auto"/>
        <w:ind w:firstLine="708"/>
        <w:jc w:val="both"/>
        <w:rPr>
          <w:rFonts w:ascii="Verdana" w:eastAsia="Aptos" w:hAnsi="Verdana" w:cs="Times New Roman"/>
          <w:kern w:val="2"/>
          <w14:ligatures w14:val="standardContextual"/>
        </w:rPr>
      </w:pPr>
      <w:r w:rsidRPr="00BB46CC">
        <w:rPr>
          <w:rFonts w:ascii="Verdana" w:eastAsia="Calibri" w:hAnsi="Verdana"/>
          <w:color w:val="000000" w:themeColor="text1"/>
        </w:rPr>
        <w:t xml:space="preserve">En síntesis, en los casos en donde una de las partes del contrato de arrendamiento sea una entidad pública, este contrato adquiere el carácter de estatal y su contenido se enmarcará en las normas civiles y comerciales que lo regulan, además de las establecidas en el Estatuto General de Contratación de la Administración Pública. </w:t>
      </w:r>
      <w:r w:rsidRPr="00F53DEF">
        <w:rPr>
          <w:rFonts w:ascii="Verdana" w:eastAsia="Calibri" w:hAnsi="Verdana"/>
          <w:color w:val="000000" w:themeColor="text1"/>
        </w:rPr>
        <w:t>En este tipo de contratos no podrán pactarse cláusulas de prórroga automática y únicamente serán susceptibles de darse en arrendamiento los bienes fiscales, puesto que las entidades pueden disponer de ellos, lo que no ocurre con los bienes de uso público, pues se encuentran fuera del comercio.</w:t>
      </w:r>
      <w:r w:rsidRPr="00DA60DB">
        <w:rPr>
          <w:rFonts w:ascii="Verdana" w:eastAsia="Aptos" w:hAnsi="Verdana" w:cs="Times New Roman"/>
          <w:kern w:val="2"/>
          <w14:ligatures w14:val="standardContextual"/>
        </w:rPr>
        <w:t xml:space="preserve"> </w:t>
      </w:r>
    </w:p>
    <w:p w14:paraId="57B0B7BE" w14:textId="77777777" w:rsidR="008B28EB" w:rsidRPr="00DA60DB" w:rsidRDefault="008B28EB" w:rsidP="008B28EB">
      <w:pPr>
        <w:spacing w:after="120" w:line="276" w:lineRule="auto"/>
        <w:ind w:firstLine="708"/>
        <w:jc w:val="both"/>
        <w:rPr>
          <w:rFonts w:ascii="Verdana" w:eastAsia="Calibri" w:hAnsi="Verdana"/>
          <w:color w:val="000000" w:themeColor="text1"/>
        </w:rPr>
      </w:pPr>
      <w:r w:rsidRPr="00F53DEF">
        <w:rPr>
          <w:rFonts w:ascii="Verdana" w:eastAsia="Aptos" w:hAnsi="Verdana" w:cs="Times New Roman"/>
          <w:kern w:val="2"/>
          <w14:ligatures w14:val="standardContextual"/>
        </w:rPr>
        <w:t>En esta línea, el Consejo de Estado en la Sentencia de Unificación del 14 de agosto de 2018, en la cual unifica su posición de que: “No es procedente que las autoridades administrativas entreguen bienes de uso público utilizando para ello la fórmula contractual del arrendamiento, por las razones expuestas en la parte motiva de esta providencia”</w:t>
      </w:r>
      <w:r w:rsidRPr="00F53DEF">
        <w:rPr>
          <w:rFonts w:ascii="Verdana" w:eastAsia="Aptos" w:hAnsi="Verdana" w:cs="Times New Roman"/>
          <w:kern w:val="2"/>
          <w:vertAlign w:val="superscript"/>
          <w14:ligatures w14:val="standardContextual"/>
        </w:rPr>
        <w:footnoteReference w:id="8"/>
      </w:r>
      <w:r w:rsidRPr="00F53DEF">
        <w:rPr>
          <w:rFonts w:ascii="Verdana" w:eastAsia="Aptos" w:hAnsi="Verdana" w:cs="Times New Roman"/>
          <w:kern w:val="2"/>
          <w14:ligatures w14:val="standardContextual"/>
        </w:rPr>
        <w:t>. Por tanto, según el Consejo de Estado debe asumirse que además de bienes inalienables, inembargables e imprescriptibles, se trata de bienes afectados a una destinación de interés general, que constituye su finalidad esencial y que no es otra que servir para el uso y disfrute de la colectividad.</w:t>
      </w:r>
      <w:r>
        <w:rPr>
          <w:rFonts w:ascii="Verdana" w:eastAsia="Aptos" w:hAnsi="Verdana" w:cs="Times New Roman"/>
          <w:kern w:val="2"/>
          <w14:ligatures w14:val="standardContextual"/>
        </w:rPr>
        <w:t xml:space="preserve"> De este modo, el </w:t>
      </w:r>
      <w:r w:rsidRPr="00DA60DB">
        <w:rPr>
          <w:rFonts w:ascii="Verdana" w:eastAsia="Calibri" w:hAnsi="Verdana"/>
          <w:color w:val="000000" w:themeColor="text1"/>
        </w:rPr>
        <w:t>Consejo de Estado ha expresado la incompatibilidad entre la naturaleza de los bienes de uso público como la esencia del contrato de arrendamiento. “</w:t>
      </w:r>
      <w:r w:rsidRPr="00DA60DB">
        <w:rPr>
          <w:rFonts w:ascii="Verdana" w:eastAsia="Calibri" w:hAnsi="Verdana"/>
          <w:bCs/>
          <w:i/>
          <w:color w:val="000000" w:themeColor="text1"/>
        </w:rPr>
        <w:t>por expresa disposición constitucional, siempre que el objeto del negocio jurídico tenga la calidad de bien de uso público sus reglas de uso, disfrute y disposición deberán consultar forzosamente el régimen que se desprende del artículo 63 de la Carta y del principio de prevalencia del interés general (artículos 1 y 58 Superiores).</w:t>
      </w:r>
      <w:r w:rsidRPr="00DA60DB">
        <w:rPr>
          <w:rFonts w:ascii="Verdana" w:eastAsia="Calibri" w:hAnsi="Verdana"/>
          <w:bCs/>
          <w:color w:val="000000" w:themeColor="text1"/>
        </w:rPr>
        <w:t xml:space="preserve"> </w:t>
      </w:r>
      <w:r w:rsidRPr="00DA60DB">
        <w:rPr>
          <w:rFonts w:ascii="Verdana" w:eastAsia="Calibri" w:hAnsi="Verdana"/>
          <w:color w:val="000000" w:themeColor="text1"/>
        </w:rPr>
        <w:t>Por ende</w:t>
      </w:r>
      <w:r>
        <w:rPr>
          <w:rFonts w:ascii="Verdana" w:eastAsia="Calibri" w:hAnsi="Verdana"/>
          <w:color w:val="000000" w:themeColor="text1"/>
        </w:rPr>
        <w:t>,</w:t>
      </w:r>
      <w:r w:rsidRPr="00DA60DB">
        <w:rPr>
          <w:rFonts w:ascii="Verdana" w:eastAsia="Calibri" w:hAnsi="Verdana"/>
          <w:color w:val="000000" w:themeColor="text1"/>
        </w:rPr>
        <w:t xml:space="preserve"> deberá asumirse que además de bienes inalienables, inembargables e imprescriptibles, se trata de bienes afectados a una destinación de interés general, que constituye su finalidad esencial y que no es otra que servir para el uso y disfrute de la colectividad”</w:t>
      </w:r>
      <w:r w:rsidRPr="00DA60DB">
        <w:rPr>
          <w:rFonts w:ascii="Verdana" w:eastAsia="Calibri" w:hAnsi="Verdana"/>
          <w:color w:val="000000" w:themeColor="text1"/>
          <w:vertAlign w:val="superscript"/>
        </w:rPr>
        <w:footnoteReference w:id="9"/>
      </w:r>
      <w:r w:rsidRPr="00DA60DB">
        <w:rPr>
          <w:rFonts w:ascii="Verdana" w:eastAsia="Calibri" w:hAnsi="Verdana"/>
          <w:color w:val="000000" w:themeColor="text1"/>
        </w:rPr>
        <w:t xml:space="preserve"> (énfasis fuera de texto).</w:t>
      </w:r>
    </w:p>
    <w:p w14:paraId="3185D2F5" w14:textId="77777777" w:rsidR="008B28EB" w:rsidRDefault="008B28EB" w:rsidP="008B28EB">
      <w:pPr>
        <w:spacing w:after="120" w:line="276" w:lineRule="auto"/>
        <w:ind w:firstLine="708"/>
        <w:jc w:val="both"/>
        <w:rPr>
          <w:rFonts w:ascii="Verdana" w:eastAsia="Calibri" w:hAnsi="Verdana"/>
          <w:color w:val="000000" w:themeColor="text1"/>
        </w:rPr>
      </w:pPr>
      <w:r w:rsidRPr="00DA60DB">
        <w:rPr>
          <w:rFonts w:ascii="Verdana" w:eastAsia="Calibri" w:hAnsi="Verdana"/>
          <w:color w:val="000000" w:themeColor="text1"/>
        </w:rPr>
        <w:lastRenderedPageBreak/>
        <w:t>Al respecto, es importante considerar que, la conclusión sobre la imposibilidad de arrendar bienes de uso público, a la que concluye de la Sentencia de Unificación no es derivada de una prohibición legal expresa, sino de la interpretación que el Consejo de Estado hace de la naturaleza del contrato de arrendamiento como una venta temporal del uso de un bien, definición extraía de la Doctrina</w:t>
      </w:r>
      <w:r w:rsidRPr="00DA60DB">
        <w:rPr>
          <w:rFonts w:ascii="Verdana" w:eastAsia="Calibri" w:hAnsi="Verdana"/>
          <w:color w:val="000000" w:themeColor="text1"/>
          <w:vertAlign w:val="superscript"/>
        </w:rPr>
        <w:footnoteReference w:id="10"/>
      </w:r>
      <w:r w:rsidRPr="00DA60DB">
        <w:rPr>
          <w:rFonts w:ascii="Verdana" w:eastAsia="Calibri" w:hAnsi="Verdana"/>
          <w:color w:val="000000" w:themeColor="text1"/>
        </w:rPr>
        <w:t>.</w:t>
      </w:r>
      <w:r>
        <w:rPr>
          <w:rFonts w:ascii="Verdana" w:eastAsia="Calibri" w:hAnsi="Verdana"/>
          <w:color w:val="000000" w:themeColor="text1"/>
        </w:rPr>
        <w:t xml:space="preserve"> Teniendo en cuenta estas precisiones, es importante revisar sobre la posibilidad de suscribir contratos de arrendamiento con un plazo de ejecución indefinido, aspecto que se analiza en el próximo apartado. </w:t>
      </w:r>
    </w:p>
    <w:p w14:paraId="75FAE029" w14:textId="77777777" w:rsidR="008B28EB" w:rsidRDefault="008B28EB" w:rsidP="008B28EB">
      <w:pPr>
        <w:spacing w:after="120" w:line="276" w:lineRule="auto"/>
        <w:jc w:val="both"/>
        <w:rPr>
          <w:rFonts w:ascii="Verdana" w:eastAsia="Calibri" w:hAnsi="Verdana"/>
          <w:color w:val="000000" w:themeColor="text1"/>
        </w:rPr>
      </w:pPr>
    </w:p>
    <w:p w14:paraId="347678F6" w14:textId="77777777" w:rsidR="008B28EB" w:rsidRPr="00F2205D" w:rsidRDefault="008B28EB" w:rsidP="008B28EB">
      <w:pPr>
        <w:spacing w:after="120" w:line="276" w:lineRule="auto"/>
        <w:jc w:val="both"/>
        <w:rPr>
          <w:rFonts w:ascii="Verdana" w:eastAsia="Calibri" w:hAnsi="Verdana"/>
          <w:color w:val="000000" w:themeColor="text1"/>
        </w:rPr>
      </w:pPr>
      <w:proofErr w:type="spellStart"/>
      <w:r>
        <w:rPr>
          <w:rFonts w:ascii="Verdana" w:eastAsia="Calibri" w:hAnsi="Verdana"/>
          <w:color w:val="000000" w:themeColor="text1"/>
        </w:rPr>
        <w:t>iv</w:t>
      </w:r>
      <w:proofErr w:type="spellEnd"/>
      <w:r>
        <w:rPr>
          <w:rFonts w:ascii="Verdana" w:eastAsia="Calibri" w:hAnsi="Verdana"/>
          <w:color w:val="000000" w:themeColor="text1"/>
        </w:rPr>
        <w:t xml:space="preserve">. El </w:t>
      </w:r>
      <w:r w:rsidRPr="00F2205D">
        <w:rPr>
          <w:rFonts w:ascii="Verdana" w:eastAsia="Calibri" w:hAnsi="Verdana"/>
          <w:color w:val="000000" w:themeColor="text1"/>
        </w:rPr>
        <w:t>artículo 1551 del Código Civil</w:t>
      </w:r>
      <w:r>
        <w:rPr>
          <w:rFonts w:ascii="Verdana" w:eastAsia="Calibri" w:hAnsi="Verdana"/>
          <w:color w:val="000000" w:themeColor="text1"/>
        </w:rPr>
        <w:t xml:space="preserve"> </w:t>
      </w:r>
      <w:r w:rsidRPr="00F2205D">
        <w:rPr>
          <w:rFonts w:ascii="Verdana" w:eastAsia="Calibri" w:hAnsi="Verdana"/>
          <w:color w:val="000000" w:themeColor="text1"/>
        </w:rPr>
        <w:t xml:space="preserve">define el “plazo” como la época para cumplir una obligación. El plazo puede ser i) expreso o </w:t>
      </w:r>
      <w:proofErr w:type="spellStart"/>
      <w:r w:rsidRPr="00F2205D">
        <w:rPr>
          <w:rFonts w:ascii="Verdana" w:eastAsia="Calibri" w:hAnsi="Verdana"/>
          <w:color w:val="000000" w:themeColor="text1"/>
        </w:rPr>
        <w:t>ii</w:t>
      </w:r>
      <w:proofErr w:type="spellEnd"/>
      <w:r w:rsidRPr="00F2205D">
        <w:rPr>
          <w:rFonts w:ascii="Verdana" w:eastAsia="Calibri" w:hAnsi="Verdana"/>
          <w:color w:val="000000" w:themeColor="text1"/>
        </w:rPr>
        <w:t>) tácito</w:t>
      </w:r>
      <w:r w:rsidRPr="00F2205D">
        <w:rPr>
          <w:rFonts w:ascii="Verdana" w:eastAsia="Calibri" w:hAnsi="Verdana"/>
          <w:color w:val="000000" w:themeColor="text1"/>
          <w:vertAlign w:val="superscript"/>
        </w:rPr>
        <w:footnoteReference w:id="11"/>
      </w:r>
      <w:r w:rsidRPr="00F2205D">
        <w:rPr>
          <w:rFonts w:ascii="Verdana" w:eastAsia="Calibri" w:hAnsi="Verdana"/>
          <w:color w:val="000000" w:themeColor="text1"/>
        </w:rPr>
        <w:t xml:space="preserve">. La doctrina define el </w:t>
      </w:r>
      <w:r>
        <w:rPr>
          <w:rFonts w:ascii="Verdana" w:eastAsia="Calibri" w:hAnsi="Verdana"/>
          <w:color w:val="000000" w:themeColor="text1"/>
        </w:rPr>
        <w:t>“</w:t>
      </w:r>
      <w:r w:rsidRPr="00F2205D">
        <w:rPr>
          <w:rFonts w:ascii="Verdana" w:eastAsia="Calibri" w:hAnsi="Verdana"/>
          <w:color w:val="000000" w:themeColor="text1"/>
        </w:rPr>
        <w:t>plazo</w:t>
      </w:r>
      <w:r>
        <w:rPr>
          <w:rFonts w:ascii="Verdana" w:eastAsia="Calibri" w:hAnsi="Verdana"/>
          <w:color w:val="000000" w:themeColor="text1"/>
        </w:rPr>
        <w:t>”</w:t>
      </w:r>
      <w:r w:rsidRPr="00F2205D">
        <w:rPr>
          <w:rFonts w:ascii="Verdana" w:eastAsia="Calibri" w:hAnsi="Verdana"/>
          <w:color w:val="000000" w:themeColor="text1"/>
        </w:rPr>
        <w:t xml:space="preserve"> como un hecho futuro y cierto para el nacimiento o la extinción de un derecho, y elabora una clasificación de los plazos de la cual se destacan el plazo expreso y tácito, que complementa lo señalado en el Código Civil. Respecto del plazo expreso indica que es el señalado en términos explícitos, y el plazo tácito “[…] tiene lugar cuando no existe plazo expreso y la obligación no es susceptible de cumplirse inmediatamente […]”</w:t>
      </w:r>
      <w:r w:rsidRPr="00F2205D">
        <w:rPr>
          <w:rFonts w:ascii="Verdana" w:eastAsia="Calibri" w:hAnsi="Verdana"/>
          <w:color w:val="000000" w:themeColor="text1"/>
          <w:vertAlign w:val="superscript"/>
        </w:rPr>
        <w:footnoteReference w:id="12"/>
      </w:r>
      <w:r w:rsidRPr="00F2205D">
        <w:rPr>
          <w:rFonts w:ascii="Verdana" w:eastAsia="Calibri" w:hAnsi="Verdana"/>
          <w:color w:val="000000" w:themeColor="text1"/>
        </w:rPr>
        <w:t>.</w:t>
      </w:r>
    </w:p>
    <w:p w14:paraId="400B36C8" w14:textId="77777777" w:rsidR="008B28EB" w:rsidRPr="00F2205D" w:rsidRDefault="008B28EB" w:rsidP="008B28EB">
      <w:pPr>
        <w:spacing w:after="120" w:line="276" w:lineRule="auto"/>
        <w:ind w:firstLine="708"/>
        <w:jc w:val="both"/>
        <w:rPr>
          <w:rFonts w:ascii="Verdana" w:eastAsia="Calibri" w:hAnsi="Verdana"/>
          <w:color w:val="000000" w:themeColor="text1"/>
        </w:rPr>
      </w:pPr>
      <w:r w:rsidRPr="00F2205D">
        <w:rPr>
          <w:rFonts w:ascii="Verdana" w:eastAsia="Calibri" w:hAnsi="Verdana"/>
          <w:color w:val="000000" w:themeColor="text1"/>
        </w:rPr>
        <w:t xml:space="preserve">Particularmente, el plazo es una de las modalidades por la cual las obligaciones dejan de ser puras y simples. De hecho, la regla general es que el nacimiento del derecho sea concomitante con su exigibilidad, lo que repercute en el cumplimiento inmediato de la prestación debida. Sin embargo, con las cláusulas relativas al plazo, usuales en los contratos estatales, las partes modulan cualquiera de estos dos (2) elementos haciendo que las obligaciones </w:t>
      </w:r>
      <w:r w:rsidRPr="00F2205D">
        <w:rPr>
          <w:rFonts w:ascii="Verdana" w:eastAsia="Calibri" w:hAnsi="Verdana"/>
          <w:color w:val="000000" w:themeColor="text1"/>
        </w:rPr>
        <w:lastRenderedPageBreak/>
        <w:t xml:space="preserve">sean exigibles o que lo derechos se extingan con el vencimiento de un periodo determinado en el contrato. </w:t>
      </w:r>
    </w:p>
    <w:p w14:paraId="09416017" w14:textId="77777777" w:rsidR="008B28EB" w:rsidRPr="00E15D88" w:rsidRDefault="008B28EB" w:rsidP="008B28EB">
      <w:pPr>
        <w:spacing w:line="276" w:lineRule="auto"/>
        <w:ind w:firstLine="708"/>
        <w:jc w:val="both"/>
        <w:rPr>
          <w:rFonts w:ascii="Verdana" w:eastAsia="Calibri" w:hAnsi="Verdana" w:cs="Arial"/>
          <w:color w:val="000000" w:themeColor="text1"/>
        </w:rPr>
      </w:pPr>
      <w:r w:rsidRPr="00F2205D">
        <w:rPr>
          <w:rFonts w:ascii="Verdana" w:eastAsia="Calibri" w:hAnsi="Verdana"/>
          <w:color w:val="000000" w:themeColor="text1"/>
        </w:rPr>
        <w:t>Esta precisión es relevante para el tema objeto de consulta, pues es pertinente tener en cuenta la diferencia entre los efectos de los plazos suspensivos y resolutorios. Los primeros tienen por objeto suspender la exigibilidad de las obligaciones, por lo que una vez vencido pasan a ser puras y simples de forma tal que el acreedor puede reclamar el cumplimiento inmediato de las prestaciones. En esta medida, “Cuando hay plazo suspensivo pendiente, el derecho respectivo ya ha nacido, tiene existencia real y útil. Lo que falta es solo la llegada del instante en que ese derecho puede ejercitarse, y consecuentemente, obligar al deudor”</w:t>
      </w:r>
      <w:r w:rsidRPr="00F2205D">
        <w:rPr>
          <w:rFonts w:ascii="Verdana" w:eastAsia="Calibri" w:hAnsi="Verdana"/>
          <w:color w:val="000000" w:themeColor="text1"/>
          <w:vertAlign w:val="superscript"/>
        </w:rPr>
        <w:footnoteReference w:id="13"/>
      </w:r>
      <w:r w:rsidRPr="00F2205D">
        <w:rPr>
          <w:rFonts w:ascii="Verdana" w:eastAsia="Calibri" w:hAnsi="Verdana"/>
          <w:color w:val="000000" w:themeColor="text1"/>
        </w:rPr>
        <w:t>. En contraste, los segundos tienen por efecto extinguir los derechos y las obligaciones nacidas del contrato, por lo que estando pendiente el vencimiento, la exigibilidad de las prestaciones es inmediata y el acreedor puede solicitar su cumplimiento, pero una vez se agota el plazo, el contrato pierde sus efectos</w:t>
      </w:r>
      <w:r w:rsidRPr="00F2205D">
        <w:rPr>
          <w:rFonts w:ascii="Verdana" w:eastAsia="Calibri" w:hAnsi="Verdana"/>
          <w:color w:val="000000" w:themeColor="text1"/>
          <w:vertAlign w:val="superscript"/>
        </w:rPr>
        <w:footnoteReference w:id="14"/>
      </w:r>
      <w:r w:rsidRPr="00F2205D">
        <w:rPr>
          <w:rFonts w:ascii="Verdana" w:eastAsia="Calibri" w:hAnsi="Verdana"/>
          <w:color w:val="000000" w:themeColor="text1"/>
        </w:rPr>
        <w:t>.</w:t>
      </w:r>
      <w:r w:rsidRPr="009925C3">
        <w:rPr>
          <w:rFonts w:ascii="Verdana" w:eastAsia="Calibri" w:hAnsi="Verdana" w:cs="Arial"/>
          <w:color w:val="000000" w:themeColor="text1"/>
        </w:rPr>
        <w:t xml:space="preserve"> </w:t>
      </w:r>
      <w:r w:rsidRPr="00E15D88">
        <w:rPr>
          <w:rFonts w:ascii="Verdana" w:eastAsia="Calibri" w:hAnsi="Verdana" w:cs="Arial"/>
          <w:color w:val="000000" w:themeColor="text1"/>
        </w:rPr>
        <w:t>Sobre el particular, el Consejo de Estado explica que:</w:t>
      </w:r>
    </w:p>
    <w:p w14:paraId="2C100622" w14:textId="77777777" w:rsidR="008B28EB" w:rsidRPr="009925C3" w:rsidRDefault="008B28EB" w:rsidP="008B28EB">
      <w:pPr>
        <w:spacing w:after="0" w:line="240" w:lineRule="auto"/>
        <w:ind w:left="709" w:right="709"/>
        <w:jc w:val="both"/>
        <w:rPr>
          <w:rFonts w:ascii="Verdana" w:eastAsia="Calibri" w:hAnsi="Verdana" w:cs="Arial"/>
          <w:color w:val="000000" w:themeColor="text1"/>
          <w:sz w:val="20"/>
          <w:szCs w:val="20"/>
        </w:rPr>
      </w:pPr>
      <w:r w:rsidRPr="009925C3">
        <w:rPr>
          <w:rFonts w:ascii="Verdana" w:eastAsia="Calibri" w:hAnsi="Verdana" w:cs="Arial"/>
          <w:color w:val="000000" w:themeColor="text1"/>
          <w:sz w:val="20"/>
          <w:szCs w:val="20"/>
        </w:rPr>
        <w:t xml:space="preserve">Algunas obligaciones se contraen para ser cumplidas durante un plazo o en un día cierto, son las denominadas por la doctrina como </w:t>
      </w:r>
      <w:r w:rsidRPr="009925C3">
        <w:rPr>
          <w:rFonts w:ascii="Verdana" w:eastAsia="Calibri" w:hAnsi="Verdana" w:cs="Arial"/>
          <w:i/>
          <w:iCs/>
          <w:color w:val="000000" w:themeColor="text1"/>
          <w:sz w:val="20"/>
          <w:szCs w:val="20"/>
        </w:rPr>
        <w:t>ex die</w:t>
      </w:r>
      <w:r w:rsidRPr="009925C3">
        <w:rPr>
          <w:rFonts w:ascii="Verdana" w:eastAsia="Calibri" w:hAnsi="Verdana" w:cs="Arial"/>
          <w:color w:val="000000" w:themeColor="text1"/>
          <w:sz w:val="20"/>
          <w:szCs w:val="20"/>
        </w:rPr>
        <w:t xml:space="preserve"> o </w:t>
      </w:r>
      <w:r w:rsidRPr="009925C3">
        <w:rPr>
          <w:rFonts w:ascii="Verdana" w:eastAsia="Calibri" w:hAnsi="Verdana" w:cs="Arial"/>
          <w:i/>
          <w:iCs/>
          <w:color w:val="000000" w:themeColor="text1"/>
          <w:sz w:val="20"/>
          <w:szCs w:val="20"/>
        </w:rPr>
        <w:t>sub die</w:t>
      </w:r>
      <w:r w:rsidRPr="009925C3">
        <w:rPr>
          <w:rFonts w:ascii="Verdana" w:eastAsia="Calibri" w:hAnsi="Verdana" w:cs="Arial"/>
          <w:color w:val="000000" w:themeColor="text1"/>
          <w:sz w:val="20"/>
          <w:szCs w:val="20"/>
        </w:rPr>
        <w:t xml:space="preserve"> y otras se contraen para producir efectos hasta una época o día que se fija, las cuales se denominan </w:t>
      </w:r>
      <w:r w:rsidRPr="009925C3">
        <w:rPr>
          <w:rFonts w:ascii="Verdana" w:eastAsia="Calibri" w:hAnsi="Verdana" w:cs="Arial"/>
          <w:i/>
          <w:iCs/>
          <w:color w:val="000000" w:themeColor="text1"/>
          <w:sz w:val="20"/>
          <w:szCs w:val="20"/>
        </w:rPr>
        <w:t>ad diem</w:t>
      </w:r>
      <w:r w:rsidRPr="009925C3">
        <w:rPr>
          <w:rFonts w:ascii="Verdana" w:eastAsia="Calibri" w:hAnsi="Verdana" w:cs="Arial"/>
          <w:color w:val="000000" w:themeColor="text1"/>
          <w:sz w:val="20"/>
          <w:szCs w:val="20"/>
        </w:rPr>
        <w:t>, por tal razón, el plazo puede concebirse en función de la exigibilidad del pago o cumplimiento, o de la extinción del vínculo jurídico, diferenciándose así de las obligaciones puras y simples, las cuales no están sujetas a ninguna modalidad para su exigibilidad, es decir, nacen y se hacen exigibles en el mismo instante.</w:t>
      </w:r>
    </w:p>
    <w:p w14:paraId="7DC80D88" w14:textId="77777777" w:rsidR="008B28EB" w:rsidRPr="009925C3" w:rsidRDefault="008B28EB" w:rsidP="008B28EB">
      <w:pPr>
        <w:spacing w:after="0" w:line="240" w:lineRule="auto"/>
        <w:ind w:left="709" w:right="709"/>
        <w:jc w:val="both"/>
        <w:rPr>
          <w:rFonts w:ascii="Verdana" w:eastAsia="Calibri" w:hAnsi="Verdana" w:cs="Arial"/>
          <w:color w:val="000000" w:themeColor="text1"/>
          <w:sz w:val="20"/>
          <w:szCs w:val="20"/>
        </w:rPr>
      </w:pPr>
      <w:r w:rsidRPr="009925C3">
        <w:rPr>
          <w:rFonts w:ascii="Verdana" w:eastAsia="Calibri" w:hAnsi="Verdana" w:cs="Arial"/>
          <w:color w:val="000000" w:themeColor="text1"/>
          <w:sz w:val="20"/>
          <w:szCs w:val="20"/>
        </w:rPr>
        <w:t>[…]</w:t>
      </w:r>
    </w:p>
    <w:p w14:paraId="7EBC09AC" w14:textId="77777777" w:rsidR="008B28EB" w:rsidRPr="009925C3" w:rsidRDefault="008B28EB" w:rsidP="008B28EB">
      <w:pPr>
        <w:spacing w:after="0" w:line="240" w:lineRule="auto"/>
        <w:ind w:left="709" w:right="709"/>
        <w:jc w:val="both"/>
        <w:rPr>
          <w:rFonts w:ascii="Verdana" w:eastAsia="Calibri" w:hAnsi="Verdana" w:cs="Arial"/>
          <w:color w:val="000000" w:themeColor="text1"/>
          <w:sz w:val="20"/>
          <w:szCs w:val="20"/>
        </w:rPr>
      </w:pPr>
      <w:r w:rsidRPr="009925C3">
        <w:rPr>
          <w:rFonts w:ascii="Verdana" w:eastAsia="Calibri" w:hAnsi="Verdana" w:cs="Arial"/>
          <w:color w:val="000000" w:themeColor="text1"/>
          <w:sz w:val="20"/>
          <w:szCs w:val="20"/>
        </w:rPr>
        <w:t xml:space="preserve">El plazo </w:t>
      </w:r>
      <w:r w:rsidRPr="009925C3">
        <w:rPr>
          <w:rFonts w:ascii="Verdana" w:eastAsia="Calibri" w:hAnsi="Verdana" w:cs="Arial"/>
          <w:i/>
          <w:iCs/>
          <w:color w:val="000000" w:themeColor="text1"/>
          <w:sz w:val="20"/>
          <w:szCs w:val="20"/>
        </w:rPr>
        <w:t>ex die</w:t>
      </w:r>
      <w:r w:rsidRPr="009925C3">
        <w:rPr>
          <w:rFonts w:ascii="Verdana" w:eastAsia="Calibri" w:hAnsi="Verdana" w:cs="Arial"/>
          <w:color w:val="000000" w:themeColor="text1"/>
          <w:sz w:val="20"/>
          <w:szCs w:val="20"/>
        </w:rPr>
        <w:t xml:space="preserve"> o </w:t>
      </w:r>
      <w:r w:rsidRPr="009925C3">
        <w:rPr>
          <w:rFonts w:ascii="Verdana" w:eastAsia="Calibri" w:hAnsi="Verdana" w:cs="Arial"/>
          <w:i/>
          <w:iCs/>
          <w:color w:val="000000" w:themeColor="text1"/>
          <w:sz w:val="20"/>
          <w:szCs w:val="20"/>
        </w:rPr>
        <w:t>sub die</w:t>
      </w:r>
      <w:r w:rsidRPr="009925C3">
        <w:rPr>
          <w:rFonts w:ascii="Verdana" w:eastAsia="Calibri" w:hAnsi="Verdana" w:cs="Arial"/>
          <w:color w:val="000000" w:themeColor="text1"/>
          <w:sz w:val="20"/>
          <w:szCs w:val="20"/>
        </w:rPr>
        <w:t xml:space="preserve">, que la doctrina ha denominado término suspensivo, primordial o inicial, tiene como finalidad suspender la </w:t>
      </w:r>
      <w:r w:rsidRPr="009925C3">
        <w:rPr>
          <w:rFonts w:ascii="Verdana" w:eastAsia="Calibri" w:hAnsi="Verdana" w:cs="Arial"/>
          <w:color w:val="000000" w:themeColor="text1"/>
          <w:sz w:val="20"/>
          <w:szCs w:val="20"/>
        </w:rPr>
        <w:lastRenderedPageBreak/>
        <w:t xml:space="preserve">exigibilidad de las obligaciones en el tiempo hasta el acaecimiento del momento dispuesto, por </w:t>
      </w:r>
      <w:proofErr w:type="gramStart"/>
      <w:r w:rsidRPr="009925C3">
        <w:rPr>
          <w:rFonts w:ascii="Verdana" w:eastAsia="Calibri" w:hAnsi="Verdana" w:cs="Arial"/>
          <w:color w:val="000000" w:themeColor="text1"/>
          <w:sz w:val="20"/>
          <w:szCs w:val="20"/>
        </w:rPr>
        <w:t>ende</w:t>
      </w:r>
      <w:proofErr w:type="gramEnd"/>
      <w:r w:rsidRPr="009925C3">
        <w:rPr>
          <w:rFonts w:ascii="Verdana" w:eastAsia="Calibri" w:hAnsi="Verdana" w:cs="Arial"/>
          <w:color w:val="000000" w:themeColor="text1"/>
          <w:sz w:val="20"/>
          <w:szCs w:val="20"/>
        </w:rPr>
        <w:t xml:space="preserve"> su incumplimiento durante el interregno comprendido entre el surgimiento del vínculo jurídico y hasta antes del vencimiento del plazo, no conlleva consecuencias jurídicas, es decir, hasta antes de la llegada del plazo el derecho no puede exigirse</w:t>
      </w:r>
      <w:r w:rsidRPr="009925C3">
        <w:rPr>
          <w:rStyle w:val="Refdenotaalpie"/>
          <w:rFonts w:ascii="Verdana" w:eastAsia="Calibri" w:hAnsi="Verdana" w:cs="Arial"/>
          <w:color w:val="000000" w:themeColor="text1"/>
          <w:sz w:val="20"/>
          <w:szCs w:val="20"/>
        </w:rPr>
        <w:footnoteReference w:id="15"/>
      </w:r>
      <w:r w:rsidRPr="009925C3">
        <w:rPr>
          <w:rFonts w:ascii="Verdana" w:eastAsia="Calibri" w:hAnsi="Verdana" w:cs="Arial"/>
          <w:color w:val="000000" w:themeColor="text1"/>
          <w:sz w:val="20"/>
          <w:szCs w:val="20"/>
        </w:rPr>
        <w:t>.</w:t>
      </w:r>
    </w:p>
    <w:p w14:paraId="0ECC01A6" w14:textId="77777777" w:rsidR="008B28EB" w:rsidRPr="00E15D88" w:rsidRDefault="008B28EB" w:rsidP="008B28EB">
      <w:pPr>
        <w:spacing w:after="0" w:line="240" w:lineRule="auto"/>
        <w:ind w:left="709" w:right="709"/>
        <w:jc w:val="both"/>
        <w:rPr>
          <w:rFonts w:ascii="Verdana" w:eastAsia="Calibri" w:hAnsi="Verdana" w:cs="Arial"/>
          <w:color w:val="000000" w:themeColor="text1"/>
        </w:rPr>
      </w:pPr>
    </w:p>
    <w:p w14:paraId="43680204" w14:textId="77777777" w:rsidR="008B28EB" w:rsidRPr="00E15D88" w:rsidRDefault="008B28EB" w:rsidP="008B28EB">
      <w:pPr>
        <w:spacing w:after="120" w:line="276" w:lineRule="auto"/>
        <w:ind w:firstLine="708"/>
        <w:jc w:val="both"/>
        <w:rPr>
          <w:rFonts w:ascii="Verdana" w:eastAsia="Calibri" w:hAnsi="Verdana" w:cs="Arial"/>
          <w:color w:val="000000" w:themeColor="text1"/>
        </w:rPr>
      </w:pPr>
      <w:r w:rsidRPr="00E15D88">
        <w:rPr>
          <w:rFonts w:ascii="Verdana" w:eastAsia="Calibri" w:hAnsi="Verdana" w:cs="Arial"/>
          <w:color w:val="000000" w:themeColor="text1"/>
        </w:rPr>
        <w:t xml:space="preserve">Ahora bien, </w:t>
      </w:r>
      <w:bookmarkStart w:id="2" w:name="_Hlk55584494"/>
      <w:r w:rsidRPr="00E15D88">
        <w:rPr>
          <w:rFonts w:ascii="Verdana" w:eastAsia="Calibri" w:hAnsi="Verdana" w:cs="Arial"/>
          <w:color w:val="000000" w:themeColor="text1"/>
        </w:rPr>
        <w:t>usualmente los plazos en los contratos estatales son suspensivos, sin perjuicio de que del contenido del contrato se deriven plazos parciales u obligaciones que deben cumplirse en términos específicos. En todo caso, frente a cada contrato debe analizarse si se pactó un plazo suspensivo o extintivo, de conformidad con el régimen de las obligaciones establecido en el Código Civil, normas que se aplican a los contratos estatales, por la remisión realizada por el artículo 13 de la Ley 80 de 1993</w:t>
      </w:r>
      <w:r w:rsidRPr="00E15D88">
        <w:rPr>
          <w:rStyle w:val="Refdenotaalpie"/>
          <w:rFonts w:ascii="Verdana" w:eastAsia="Calibri" w:hAnsi="Verdana" w:cs="Arial"/>
          <w:color w:val="000000" w:themeColor="text1"/>
        </w:rPr>
        <w:footnoteReference w:id="16"/>
      </w:r>
      <w:r w:rsidRPr="00E15D88">
        <w:rPr>
          <w:rFonts w:ascii="Verdana" w:eastAsia="Calibri" w:hAnsi="Verdana" w:cs="Arial"/>
          <w:color w:val="000000" w:themeColor="text1"/>
        </w:rPr>
        <w:t>. Esto sucede tanto cuando se pactan entregas parciales como cuando la entidad recibe el objeto al finalizar el plazo pactado, porque la exigibilidad de las obligaciones está suspendida mientras cada uno de estos términos esté pendiente: la Administración solo podrá exigir el cumplimiento cuando venza el plazo pactado, pues solo a partir de ese momento las obligaciones son puras y simples. De hecho, la llegada o vencimiento del plazo suspensivo no extingue el contrato ni las obligaciones derivadas del vínculo jurídico, ya que, al contrario, lo que se requiere es precisamente su ejecución</w:t>
      </w:r>
      <w:r w:rsidRPr="00E15D88">
        <w:rPr>
          <w:rStyle w:val="Refdenotaalpie"/>
          <w:rFonts w:ascii="Verdana" w:eastAsia="Calibri" w:hAnsi="Verdana" w:cs="Arial"/>
          <w:color w:val="000000" w:themeColor="text1"/>
        </w:rPr>
        <w:footnoteReference w:id="17"/>
      </w:r>
      <w:r w:rsidRPr="00E15D88">
        <w:rPr>
          <w:rFonts w:ascii="Verdana" w:eastAsia="Calibri" w:hAnsi="Verdana" w:cs="Arial"/>
          <w:color w:val="000000" w:themeColor="text1"/>
        </w:rPr>
        <w:t xml:space="preserve">. Lo contrario equivale a afirmar que, si las obligaciones no se cumplen oportunamente, la entidad pierde el derecho a obtener el pago de la prestación debida, cuando considera que pese a su extemporaneidad se requiere su ejecución efectiva. Esta conclusión no solo sería contraria al interés público como fin de la contratación estatal, sino que desconoce la normas sobre el pago de los artículos 1626 y siguientes del Código </w:t>
      </w:r>
      <w:r w:rsidRPr="00E15D88">
        <w:rPr>
          <w:rFonts w:ascii="Verdana" w:eastAsia="Calibri" w:hAnsi="Verdana" w:cs="Arial"/>
          <w:color w:val="000000" w:themeColor="text1"/>
        </w:rPr>
        <w:lastRenderedPageBreak/>
        <w:t>Civil, razón por la cual, sin perjuicio de la responsabilidad del contratista por el cumplimiento extemporáneo, la entidad puede recibir lo que ejecute el contratista después de vencido el plazo del contrato, lo que se extiende a la exigibilidad de lo que está pendiente por cumplir.</w:t>
      </w:r>
      <w:r>
        <w:rPr>
          <w:rFonts w:ascii="Verdana" w:eastAsia="Calibri" w:hAnsi="Verdana" w:cs="Arial"/>
          <w:color w:val="000000" w:themeColor="text1"/>
        </w:rPr>
        <w:t xml:space="preserve"> Lo anterior, en la medida que “</w:t>
      </w:r>
      <w:r w:rsidRPr="00E15D88">
        <w:rPr>
          <w:rFonts w:ascii="Verdana" w:eastAsia="Calibri" w:hAnsi="Verdana" w:cs="Arial"/>
          <w:color w:val="000000" w:themeColor="text1"/>
        </w:rPr>
        <w:t>El contrato no podrá considerarse definitivamente concluido hasta tanto ambas obligaciones y derechos principales, la entrega y recepción –o puesta a disposición– de la obra o su produ</w:t>
      </w:r>
      <w:r>
        <w:rPr>
          <w:rFonts w:ascii="Verdana" w:eastAsia="Calibri" w:hAnsi="Verdana" w:cs="Arial"/>
          <w:color w:val="000000" w:themeColor="text1"/>
        </w:rPr>
        <w:t>cto […] no hayan sido cumplidos”</w:t>
      </w:r>
      <w:r w:rsidRPr="00E15D88">
        <w:rPr>
          <w:rStyle w:val="Refdenotaalpie"/>
          <w:rFonts w:ascii="Verdana" w:eastAsia="Calibri" w:hAnsi="Verdana" w:cs="Arial"/>
          <w:color w:val="000000" w:themeColor="text1"/>
        </w:rPr>
        <w:footnoteReference w:id="18"/>
      </w:r>
      <w:r w:rsidRPr="00E15D88">
        <w:rPr>
          <w:rFonts w:ascii="Verdana" w:eastAsia="Calibri" w:hAnsi="Verdana" w:cs="Arial"/>
          <w:color w:val="000000" w:themeColor="text1"/>
        </w:rPr>
        <w:t>.</w:t>
      </w:r>
      <w:bookmarkEnd w:id="2"/>
      <w:r w:rsidRPr="00E15D88">
        <w:rPr>
          <w:rFonts w:ascii="Verdana" w:eastAsia="Calibri" w:hAnsi="Verdana" w:cs="Arial"/>
          <w:color w:val="000000" w:themeColor="text1"/>
        </w:rPr>
        <w:t xml:space="preserve"> </w:t>
      </w:r>
      <w:r w:rsidRPr="00E15D88">
        <w:rPr>
          <w:rFonts w:ascii="Verdana" w:eastAsia="Calibri" w:hAnsi="Verdana" w:cs="Arial"/>
          <w:color w:val="000000" w:themeColor="text1"/>
        </w:rPr>
        <w:tab/>
        <w:t xml:space="preserve"> </w:t>
      </w:r>
    </w:p>
    <w:p w14:paraId="08221C96" w14:textId="77777777" w:rsidR="008B28EB" w:rsidRPr="00C67AF9" w:rsidRDefault="008B28EB" w:rsidP="008B28EB">
      <w:pPr>
        <w:spacing w:line="276" w:lineRule="auto"/>
        <w:jc w:val="both"/>
        <w:rPr>
          <w:rFonts w:ascii="Verdana" w:eastAsia="Calibri" w:hAnsi="Verdana" w:cs="Arial"/>
          <w:color w:val="000000" w:themeColor="text1"/>
          <w:sz w:val="21"/>
          <w:szCs w:val="21"/>
        </w:rPr>
      </w:pPr>
      <w:r w:rsidRPr="00E15D88">
        <w:rPr>
          <w:rFonts w:ascii="Verdana" w:eastAsia="Calibri" w:hAnsi="Verdana" w:cs="Arial"/>
          <w:color w:val="000000" w:themeColor="text1"/>
        </w:rPr>
        <w:tab/>
        <w:t>De esta manera</w:t>
      </w:r>
      <w:r>
        <w:rPr>
          <w:rFonts w:ascii="Verdana" w:eastAsia="Calibri" w:hAnsi="Verdana" w:cs="Arial"/>
          <w:color w:val="000000" w:themeColor="text1"/>
        </w:rPr>
        <w:t>,</w:t>
      </w:r>
      <w:r w:rsidRPr="00E15D88">
        <w:rPr>
          <w:rFonts w:ascii="Verdana" w:eastAsia="Calibri" w:hAnsi="Verdana" w:cs="Arial"/>
          <w:color w:val="000000" w:themeColor="text1"/>
        </w:rPr>
        <w:t xml:space="preserve"> se concluye que el plazo no siempre tiene efectos extintivos en todas las tipologías contractuales. En efecto, en la medida que suspenda la exigibilidad de las obligaciones, el </w:t>
      </w:r>
      <w:r>
        <w:rPr>
          <w:rFonts w:ascii="Verdana" w:eastAsia="Calibri" w:hAnsi="Verdana" w:cs="Arial"/>
          <w:color w:val="000000" w:themeColor="text1"/>
        </w:rPr>
        <w:t>“</w:t>
      </w:r>
      <w:r w:rsidRPr="00E15D88">
        <w:rPr>
          <w:rFonts w:ascii="Verdana" w:eastAsia="Calibri" w:hAnsi="Verdana" w:cs="Arial"/>
          <w:color w:val="000000" w:themeColor="text1"/>
        </w:rPr>
        <w:t>plazo</w:t>
      </w:r>
      <w:r>
        <w:rPr>
          <w:rFonts w:ascii="Verdana" w:eastAsia="Calibri" w:hAnsi="Verdana" w:cs="Arial"/>
          <w:color w:val="000000" w:themeColor="text1"/>
        </w:rPr>
        <w:t>”</w:t>
      </w:r>
      <w:r w:rsidRPr="00E15D88">
        <w:rPr>
          <w:rFonts w:ascii="Verdana" w:eastAsia="Calibri" w:hAnsi="Verdana" w:cs="Arial"/>
          <w:color w:val="000000" w:themeColor="text1"/>
        </w:rPr>
        <w:t xml:space="preserve"> expreso es aquel estipulado en el contrato, en el cual las partes disponen un término específico para su cumplimiento. Esto significa que –antes del vencimiento– el contrato se encuentra en ejecución, y el contratista tiene ese tiempo para ejecutar las prestaciones a las cuales se comprometió en virtud de la suscripción del negocio jurídico. </w:t>
      </w:r>
    </w:p>
    <w:p w14:paraId="1FAF64C3" w14:textId="77777777" w:rsidR="008B28EB" w:rsidRDefault="008B28EB" w:rsidP="008B28EB">
      <w:pPr>
        <w:spacing w:after="120" w:line="276" w:lineRule="auto"/>
        <w:ind w:firstLine="709"/>
        <w:jc w:val="both"/>
        <w:rPr>
          <w:rFonts w:ascii="Verdana" w:eastAsia="Calibri" w:hAnsi="Verdana" w:cs="Arial"/>
          <w:color w:val="000000" w:themeColor="text1"/>
        </w:rPr>
      </w:pPr>
      <w:r w:rsidRPr="00E15D88">
        <w:rPr>
          <w:rFonts w:ascii="Verdana" w:eastAsia="Calibri" w:hAnsi="Verdana" w:cs="Arial"/>
          <w:color w:val="000000" w:themeColor="text1"/>
        </w:rPr>
        <w:t xml:space="preserve">Es necesario aclarar que el plazo del contrato es el período requerido en este para que se cumpla su objeto, a cargo del contratista como deudor del bien, obra o servicio para satisfacer la necesidad de la entidad, y que esta última recibe como acreedora. Esta definición no cambia respecto del marco normativo citado, pues el Estatuto General de Contratación de la Administración Pública no contiene normas especiales sobre el </w:t>
      </w:r>
      <w:r>
        <w:rPr>
          <w:rFonts w:ascii="Verdana" w:eastAsia="Calibri" w:hAnsi="Verdana" w:cs="Arial"/>
          <w:color w:val="000000" w:themeColor="text1"/>
        </w:rPr>
        <w:t>“</w:t>
      </w:r>
      <w:r w:rsidRPr="00E15D88">
        <w:rPr>
          <w:rFonts w:ascii="Verdana" w:eastAsia="Calibri" w:hAnsi="Verdana" w:cs="Arial"/>
          <w:color w:val="000000" w:themeColor="text1"/>
        </w:rPr>
        <w:t>plazo</w:t>
      </w:r>
      <w:r>
        <w:rPr>
          <w:rFonts w:ascii="Verdana" w:eastAsia="Calibri" w:hAnsi="Verdana" w:cs="Arial"/>
          <w:color w:val="000000" w:themeColor="text1"/>
        </w:rPr>
        <w:t>”</w:t>
      </w:r>
      <w:r w:rsidRPr="00E15D88">
        <w:rPr>
          <w:rFonts w:ascii="Verdana" w:eastAsia="Calibri" w:hAnsi="Verdana" w:cs="Arial"/>
          <w:color w:val="000000" w:themeColor="text1"/>
        </w:rPr>
        <w:t>, por lo que, en virtud del artículo 13, 32 y 40 de la Ley 80 de 1993, es posible remitirse a las normas civiles y comerciales aplicables.</w:t>
      </w:r>
    </w:p>
    <w:p w14:paraId="26B93E25" w14:textId="77777777" w:rsidR="008B28EB" w:rsidRPr="00CA7B44" w:rsidRDefault="008B28EB" w:rsidP="008B28EB">
      <w:pPr>
        <w:spacing w:after="120" w:line="276" w:lineRule="auto"/>
        <w:ind w:firstLine="709"/>
        <w:jc w:val="both"/>
        <w:rPr>
          <w:rFonts w:ascii="Verdana" w:eastAsia="Calibri" w:hAnsi="Verdana"/>
          <w:color w:val="000000" w:themeColor="text1"/>
        </w:rPr>
      </w:pPr>
      <w:r>
        <w:rPr>
          <w:rFonts w:ascii="Verdana" w:eastAsia="Calibri" w:hAnsi="Verdana" w:cs="Arial"/>
          <w:color w:val="000000" w:themeColor="text1"/>
        </w:rPr>
        <w:t xml:space="preserve">Teniendo en cuenta estas precisiones, el plazo del contrato de arrendamiento de un bien inmueble </w:t>
      </w:r>
      <w:r w:rsidRPr="00CA7B44">
        <w:rPr>
          <w:rFonts w:ascii="Verdana" w:eastAsia="Calibri" w:hAnsi="Verdana"/>
          <w:color w:val="000000" w:themeColor="text1"/>
        </w:rPr>
        <w:t>celebrado por una entidad estatal se rige por los principios de la contratación pública, entre ellos el de</w:t>
      </w:r>
      <w:r>
        <w:rPr>
          <w:rFonts w:ascii="Verdana" w:eastAsia="Calibri" w:hAnsi="Verdana"/>
          <w:color w:val="000000" w:themeColor="text1"/>
        </w:rPr>
        <w:t xml:space="preserve"> economía, responsabilidad,</w:t>
      </w:r>
      <w:r w:rsidRPr="00CA7B44">
        <w:rPr>
          <w:rFonts w:ascii="Verdana" w:eastAsia="Calibri" w:hAnsi="Verdana"/>
          <w:color w:val="000000" w:themeColor="text1"/>
        </w:rPr>
        <w:t xml:space="preserve"> planeación</w:t>
      </w:r>
      <w:r>
        <w:rPr>
          <w:rFonts w:ascii="Verdana" w:eastAsia="Calibri" w:hAnsi="Verdana"/>
          <w:color w:val="000000" w:themeColor="text1"/>
        </w:rPr>
        <w:t xml:space="preserve"> y transparencia</w:t>
      </w:r>
      <w:r w:rsidRPr="00CA7B44">
        <w:rPr>
          <w:rFonts w:ascii="Verdana" w:eastAsia="Calibri" w:hAnsi="Verdana"/>
          <w:color w:val="000000" w:themeColor="text1"/>
        </w:rPr>
        <w:t>. En este contexto, el plazo pactado en el contrato</w:t>
      </w:r>
      <w:r>
        <w:rPr>
          <w:rFonts w:ascii="Verdana" w:eastAsia="Calibri" w:hAnsi="Verdana"/>
          <w:color w:val="000000" w:themeColor="text1"/>
        </w:rPr>
        <w:t xml:space="preserve"> tiene efectos extintivos</w:t>
      </w:r>
      <w:r w:rsidRPr="00CA7B44">
        <w:rPr>
          <w:rFonts w:ascii="Verdana" w:eastAsia="Calibri" w:hAnsi="Verdana"/>
          <w:color w:val="000000" w:themeColor="text1"/>
        </w:rPr>
        <w:t xml:space="preserve">, pues determina el momento en que cesan los efectos jurídicos del vínculo contractual. La administración no puede continuar ejecutando el contrato ni asumir obligaciones fuera del término establecido, salvo que se pacte una prórroga formal mediante otrosí </w:t>
      </w:r>
      <w:r>
        <w:rPr>
          <w:rFonts w:ascii="Verdana" w:eastAsia="Calibri" w:hAnsi="Verdana"/>
          <w:color w:val="000000" w:themeColor="text1"/>
        </w:rPr>
        <w:t xml:space="preserve">o adición </w:t>
      </w:r>
      <w:r w:rsidRPr="00CA7B44">
        <w:rPr>
          <w:rFonts w:ascii="Verdana" w:eastAsia="Calibri" w:hAnsi="Verdana"/>
          <w:color w:val="000000" w:themeColor="text1"/>
        </w:rPr>
        <w:lastRenderedPageBreak/>
        <w:t>debidamente suscrita. Esta característica garantiza seguridad jurídica y permite ejercer control sobre el uso de recursos públicos.</w:t>
      </w:r>
    </w:p>
    <w:p w14:paraId="2B91D8DA" w14:textId="77777777" w:rsidR="008B28EB" w:rsidRDefault="008B28EB" w:rsidP="008B28EB">
      <w:pPr>
        <w:spacing w:after="120" w:line="276" w:lineRule="auto"/>
        <w:ind w:firstLine="708"/>
        <w:jc w:val="both"/>
        <w:rPr>
          <w:rFonts w:ascii="Verdana" w:eastAsia="Calibri" w:hAnsi="Verdana"/>
          <w:color w:val="000000" w:themeColor="text1"/>
        </w:rPr>
      </w:pPr>
      <w:r w:rsidRPr="00CA7B44">
        <w:rPr>
          <w:rFonts w:ascii="Verdana" w:eastAsia="Calibri" w:hAnsi="Verdana"/>
          <w:color w:val="000000" w:themeColor="text1"/>
        </w:rPr>
        <w:t xml:space="preserve">La extinción del contrato por vencimiento del plazo no requiere declaración adicional ni acto administrativo, ya que opera de pleno derecho. En el caso de los contratos de arrendamiento, esto implica que la entidad debe restituir el bien arrendado o renovar el vínculo mediante un nuevo contrato o adición, según corresponda. </w:t>
      </w:r>
      <w:r>
        <w:rPr>
          <w:rFonts w:ascii="Verdana" w:eastAsia="Calibri" w:hAnsi="Verdana"/>
          <w:color w:val="000000" w:themeColor="text1"/>
        </w:rPr>
        <w:t xml:space="preserve">Así mismo, el carácter </w:t>
      </w:r>
      <w:r w:rsidRPr="00CA7B44">
        <w:rPr>
          <w:rFonts w:ascii="Verdana" w:eastAsia="Calibri" w:hAnsi="Verdana"/>
          <w:color w:val="000000" w:themeColor="text1"/>
        </w:rPr>
        <w:t xml:space="preserve">extintivo del plazo en los contratos estatales de arrendamiento permite delimitar con precisión el período de uso del bien, facilitar la programación presupuestal y garantizar la trazabilidad de las decisiones administrativas. Esta delimitación temporal es indispensable para la liquidación del contrato, la evaluación de su cumplimiento y la adopción de decisiones sobre </w:t>
      </w:r>
      <w:r>
        <w:rPr>
          <w:rFonts w:ascii="Verdana" w:eastAsia="Calibri" w:hAnsi="Verdana"/>
          <w:color w:val="000000" w:themeColor="text1"/>
        </w:rPr>
        <w:t xml:space="preserve">su adición </w:t>
      </w:r>
      <w:r w:rsidRPr="00CA7B44">
        <w:rPr>
          <w:rFonts w:ascii="Verdana" w:eastAsia="Calibri" w:hAnsi="Verdana"/>
          <w:color w:val="000000" w:themeColor="text1"/>
        </w:rPr>
        <w:t>o terminación definitiva. Por tanto, toda cláusula de plazo en un contrato estatal de arrendamiento debe ser clara, determinada y ajustada a los principios de la contratación pública.</w:t>
      </w:r>
    </w:p>
    <w:p w14:paraId="1538DAA5" w14:textId="77777777" w:rsidR="008B28EB" w:rsidRDefault="008B28EB" w:rsidP="008B28EB">
      <w:pPr>
        <w:spacing w:after="120" w:line="276" w:lineRule="auto"/>
        <w:ind w:firstLine="708"/>
        <w:jc w:val="both"/>
        <w:rPr>
          <w:rFonts w:ascii="Verdana" w:eastAsia="Calibri" w:hAnsi="Verdana"/>
          <w:color w:val="000000" w:themeColor="text1"/>
        </w:rPr>
      </w:pPr>
      <w:r>
        <w:rPr>
          <w:rFonts w:ascii="Verdana" w:eastAsia="Calibri" w:hAnsi="Verdana"/>
          <w:color w:val="000000" w:themeColor="text1"/>
        </w:rPr>
        <w:t xml:space="preserve">En este aspecto, el plazo del contrato de arrendamiento al ser extintivo debe caracterizarse por tener un término claro y determinado, con fundamento y cumplimiento de </w:t>
      </w:r>
      <w:r w:rsidRPr="00801142">
        <w:rPr>
          <w:rFonts w:ascii="Verdana" w:eastAsia="Calibri" w:hAnsi="Verdana"/>
          <w:color w:val="000000" w:themeColor="text1"/>
        </w:rPr>
        <w:t>la planeación,</w:t>
      </w:r>
      <w:r>
        <w:rPr>
          <w:rFonts w:ascii="Verdana" w:eastAsia="Calibri" w:hAnsi="Verdana"/>
          <w:color w:val="000000" w:themeColor="text1"/>
        </w:rPr>
        <w:t xml:space="preserve"> el principio presupuestal de anualidad del gasto público, los principios de la función administrativa y la gestión fiscal. Esto </w:t>
      </w:r>
      <w:r w:rsidRPr="00801142">
        <w:rPr>
          <w:rFonts w:ascii="Verdana" w:eastAsia="Calibri" w:hAnsi="Verdana"/>
          <w:color w:val="000000" w:themeColor="text1"/>
        </w:rPr>
        <w:t xml:space="preserve">permite a la administración pública ejercer sus funciones de seguimiento, supervisión y sanción dentro de un marco temporal definido. Un contrato sin plazo </w:t>
      </w:r>
      <w:r>
        <w:rPr>
          <w:rFonts w:ascii="Verdana" w:eastAsia="Calibri" w:hAnsi="Verdana"/>
          <w:color w:val="000000" w:themeColor="text1"/>
        </w:rPr>
        <w:t xml:space="preserve">determinado </w:t>
      </w:r>
      <w:r w:rsidRPr="00801142">
        <w:rPr>
          <w:rFonts w:ascii="Verdana" w:eastAsia="Calibri" w:hAnsi="Verdana"/>
          <w:color w:val="000000" w:themeColor="text1"/>
        </w:rPr>
        <w:t>vulneraría principios como la transparencia,</w:t>
      </w:r>
      <w:r>
        <w:rPr>
          <w:rFonts w:ascii="Verdana" w:eastAsia="Calibri" w:hAnsi="Verdana"/>
          <w:color w:val="000000" w:themeColor="text1"/>
        </w:rPr>
        <w:t xml:space="preserve"> la planeación,</w:t>
      </w:r>
      <w:r w:rsidRPr="00801142">
        <w:rPr>
          <w:rFonts w:ascii="Verdana" w:eastAsia="Calibri" w:hAnsi="Verdana"/>
          <w:color w:val="000000" w:themeColor="text1"/>
        </w:rPr>
        <w:t xml:space="preserve"> la eficiencia</w:t>
      </w:r>
      <w:r>
        <w:rPr>
          <w:rFonts w:ascii="Verdana" w:eastAsia="Calibri" w:hAnsi="Verdana"/>
          <w:color w:val="000000" w:themeColor="text1"/>
        </w:rPr>
        <w:t>, así como el principio de anualidad del gasto público.</w:t>
      </w:r>
    </w:p>
    <w:p w14:paraId="4128AF4D" w14:textId="77777777" w:rsidR="008B28EB" w:rsidRPr="00D069D8" w:rsidRDefault="008B28EB" w:rsidP="008B28EB">
      <w:pPr>
        <w:shd w:val="clear" w:color="auto" w:fill="FFFFFF" w:themeFill="background1"/>
        <w:spacing w:after="120" w:line="276" w:lineRule="auto"/>
        <w:ind w:right="51" w:firstLine="708"/>
        <w:jc w:val="both"/>
        <w:rPr>
          <w:rFonts w:ascii="Verdana" w:eastAsia="Calibri" w:hAnsi="Verdana" w:cs="Arial"/>
          <w:color w:val="000000" w:themeColor="text1"/>
          <w:lang w:val="es-ES"/>
        </w:rPr>
      </w:pPr>
      <w:r>
        <w:rPr>
          <w:rFonts w:ascii="Verdana" w:eastAsia="Calibri" w:hAnsi="Verdana"/>
          <w:color w:val="000000" w:themeColor="text1"/>
        </w:rPr>
        <w:t xml:space="preserve">Este último tiene su </w:t>
      </w:r>
      <w:r w:rsidRPr="00D069D8">
        <w:rPr>
          <w:rFonts w:ascii="Verdana" w:eastAsia="Calibri" w:hAnsi="Verdana" w:cs="Arial"/>
          <w:color w:val="000000" w:themeColor="text1"/>
          <w:lang w:val="es-ES"/>
        </w:rPr>
        <w:t xml:space="preserve">fundamento constitucional </w:t>
      </w:r>
      <w:bookmarkStart w:id="3" w:name="_Hlk65717879"/>
      <w:r w:rsidRPr="00D069D8">
        <w:rPr>
          <w:rFonts w:ascii="Verdana" w:eastAsia="Calibri" w:hAnsi="Verdana" w:cs="Arial"/>
          <w:color w:val="000000" w:themeColor="text1"/>
          <w:lang w:val="es-ES"/>
        </w:rPr>
        <w:t>en el artículo 346 superior que contiene el régimen general del presupuesto de rentas y la ley de apropiaciones</w:t>
      </w:r>
      <w:r w:rsidRPr="00D069D8">
        <w:rPr>
          <w:rFonts w:ascii="Verdana" w:eastAsia="Calibri" w:hAnsi="Verdana" w:cs="Arial"/>
          <w:color w:val="000000" w:themeColor="text1"/>
          <w:vertAlign w:val="superscript"/>
          <w:lang w:val="es-ES"/>
        </w:rPr>
        <w:footnoteReference w:id="19"/>
      </w:r>
      <w:r w:rsidRPr="00D069D8">
        <w:rPr>
          <w:rFonts w:ascii="Verdana" w:eastAsia="Calibri" w:hAnsi="Verdana" w:cs="Arial"/>
          <w:color w:val="000000" w:themeColor="text1"/>
          <w:lang w:val="es-ES"/>
        </w:rPr>
        <w:t xml:space="preserve">, que deberá presentarse al Congreso dentro de los primeros diez días de cada legislatura, elaborarse y aprobarse dentro de un marco de </w:t>
      </w:r>
      <w:r w:rsidRPr="00D069D8">
        <w:rPr>
          <w:rFonts w:ascii="Verdana" w:eastAsia="Calibri" w:hAnsi="Verdana" w:cs="Arial"/>
          <w:color w:val="000000" w:themeColor="text1"/>
          <w:lang w:val="es-ES"/>
        </w:rPr>
        <w:lastRenderedPageBreak/>
        <w:t>sostenibilidad fiscal y corresponder al Plan Nacional de Desarrollo</w:t>
      </w:r>
      <w:r w:rsidRPr="00D069D8">
        <w:rPr>
          <w:rFonts w:ascii="Verdana" w:eastAsia="Calibri" w:hAnsi="Verdana" w:cs="Arial"/>
          <w:color w:val="000000" w:themeColor="text1"/>
          <w:vertAlign w:val="superscript"/>
          <w:lang w:val="es-ES"/>
        </w:rPr>
        <w:footnoteReference w:id="20"/>
      </w:r>
      <w:r w:rsidRPr="00D069D8">
        <w:rPr>
          <w:rFonts w:ascii="Verdana" w:eastAsia="Calibri" w:hAnsi="Verdana" w:cs="Arial"/>
          <w:color w:val="000000" w:themeColor="text1"/>
          <w:lang w:val="es-ES"/>
        </w:rPr>
        <w:t>. De conformidad con la misma norma constitucional, el presupuesto tiene vigencia anual y, por tanto, tienen como finalidad fijar los gastos y las rentas nacionales del Estado para la respectiva vigencia fiscal anual</w:t>
      </w:r>
      <w:bookmarkEnd w:id="3"/>
      <w:r w:rsidRPr="00D069D8">
        <w:rPr>
          <w:rFonts w:ascii="Verdana" w:eastAsia="Calibri" w:hAnsi="Verdana" w:cs="Arial"/>
          <w:color w:val="000000" w:themeColor="text1"/>
          <w:lang w:val="es-ES"/>
        </w:rPr>
        <w:t xml:space="preserve">. </w:t>
      </w:r>
    </w:p>
    <w:p w14:paraId="50DA0220" w14:textId="77777777" w:rsidR="008B28EB" w:rsidRDefault="008B28EB" w:rsidP="008B28EB">
      <w:pPr>
        <w:shd w:val="clear" w:color="auto" w:fill="FFFFFF"/>
        <w:spacing w:after="120" w:line="276" w:lineRule="auto"/>
        <w:ind w:right="51" w:firstLine="709"/>
        <w:jc w:val="both"/>
        <w:rPr>
          <w:rFonts w:ascii="Verdana" w:eastAsia="Calibri" w:hAnsi="Verdana" w:cs="Arial"/>
          <w:lang w:val="es-ES_tradnl"/>
        </w:rPr>
      </w:pPr>
      <w:r w:rsidRPr="00D069D8">
        <w:rPr>
          <w:rFonts w:ascii="Verdana" w:eastAsia="Calibri" w:hAnsi="Verdana" w:cs="Arial"/>
          <w:color w:val="000000" w:themeColor="text1"/>
          <w:lang w:val="es-ES_tradnl"/>
        </w:rPr>
        <w:t xml:space="preserve">En armonía con lo anterior, el Estatuto Orgánico del Presupuesto consagra este principio en el artículo 14 consistente en que </w:t>
      </w:r>
      <w:r w:rsidRPr="00D069D8">
        <w:rPr>
          <w:rFonts w:ascii="Verdana" w:eastAsia="Calibri" w:hAnsi="Verdana" w:cs="Arial"/>
          <w:lang w:val="es-ES_tradnl"/>
        </w:rPr>
        <w:t>“</w:t>
      </w:r>
      <w:r w:rsidRPr="00D069D8">
        <w:rPr>
          <w:rFonts w:ascii="Verdana" w:eastAsia="Calibri" w:hAnsi="Verdana" w:cs="Arial"/>
          <w:color w:val="000000" w:themeColor="text1"/>
          <w:lang w:val="es-ES_tradnl"/>
        </w:rPr>
        <w:t>Después del 31 de diciembre no podrán asumirse compromisos con cargo a las apropiaciones del año fiscal que se cierra en esa fecha y los saldos de apropiación no afectados por compromisos caducarán sin excepción</w:t>
      </w:r>
      <w:r w:rsidRPr="00D069D8">
        <w:rPr>
          <w:rFonts w:ascii="Verdana" w:eastAsia="Calibri" w:hAnsi="Verdana" w:cs="Arial"/>
          <w:lang w:val="es-ES_tradnl"/>
        </w:rPr>
        <w:t>”</w:t>
      </w:r>
      <w:r w:rsidRPr="00D069D8">
        <w:rPr>
          <w:rFonts w:ascii="Verdana" w:eastAsia="Calibri" w:hAnsi="Verdana" w:cs="Arial"/>
          <w:color w:val="000000" w:themeColor="text1"/>
          <w:lang w:val="es-ES_tradnl"/>
        </w:rPr>
        <w:t>. Es decir, los gastos previstos en el presupuesto anual deben ejecutarse dentro de una vigencia fiscal comprendida entre el 1 de enero y el 31 de diciembre</w:t>
      </w:r>
      <w:r w:rsidRPr="00D069D8">
        <w:rPr>
          <w:rFonts w:ascii="Verdana" w:eastAsia="Calibri" w:hAnsi="Verdana" w:cs="Arial"/>
          <w:color w:val="000000" w:themeColor="text1"/>
          <w:vertAlign w:val="superscript"/>
          <w:lang w:val="es-ES_tradnl"/>
        </w:rPr>
        <w:footnoteReference w:id="21"/>
      </w:r>
      <w:r w:rsidRPr="00D069D8">
        <w:rPr>
          <w:rFonts w:ascii="Verdana" w:eastAsia="Calibri" w:hAnsi="Verdana" w:cs="Arial"/>
          <w:color w:val="000000" w:themeColor="text1"/>
          <w:lang w:val="es-ES_tradnl"/>
        </w:rPr>
        <w:t>.</w:t>
      </w:r>
      <w:r w:rsidRPr="00D069D8">
        <w:rPr>
          <w:rFonts w:ascii="Verdana" w:eastAsia="Calibri" w:hAnsi="Verdana" w:cs="Arial"/>
          <w:color w:val="000000" w:themeColor="text1"/>
        </w:rPr>
        <w:t xml:space="preserve"> En el mismo sentido, </w:t>
      </w:r>
      <w:r w:rsidRPr="00D069D8">
        <w:rPr>
          <w:rFonts w:ascii="Verdana" w:eastAsia="Calibri" w:hAnsi="Verdana" w:cs="Arial"/>
          <w:color w:val="000000" w:themeColor="text1"/>
          <w:lang w:val="es-ES_tradnl"/>
        </w:rPr>
        <w:t xml:space="preserve">el artículo 89 </w:t>
      </w:r>
      <w:r w:rsidRPr="00D069D8">
        <w:rPr>
          <w:rFonts w:ascii="Verdana" w:eastAsia="Calibri" w:hAnsi="Verdana" w:cs="Arial"/>
          <w:i/>
          <w:iCs/>
          <w:color w:val="000000" w:themeColor="text1"/>
          <w:lang w:val="es-ES_tradnl"/>
        </w:rPr>
        <w:t>ibidem</w:t>
      </w:r>
      <w:r w:rsidRPr="00D069D8">
        <w:rPr>
          <w:rFonts w:ascii="Verdana" w:eastAsia="Calibri" w:hAnsi="Verdana" w:cs="Arial"/>
          <w:color w:val="000000" w:themeColor="text1"/>
          <w:lang w:val="es-ES_tradnl"/>
        </w:rPr>
        <w:t xml:space="preserve"> consolida al principio de anualidad como regla general en la ejecución del gasto al establecer que </w:t>
      </w:r>
      <w:r w:rsidRPr="00D069D8">
        <w:rPr>
          <w:rFonts w:ascii="Verdana" w:eastAsia="Calibri" w:hAnsi="Verdana" w:cs="Arial"/>
          <w:lang w:val="es-ES_tradnl"/>
        </w:rPr>
        <w:t>“</w:t>
      </w:r>
      <w:r w:rsidRPr="00D069D8">
        <w:rPr>
          <w:rFonts w:ascii="Verdana" w:eastAsia="Calibri" w:hAnsi="Verdana" w:cs="Arial"/>
          <w:color w:val="000000" w:themeColor="text1"/>
          <w:lang w:val="es-ES_tradnl"/>
        </w:rPr>
        <w:t xml:space="preserve">las apropiaciones presupuestales incluidas en el Presupuesto General de la Nación son autorizaciones máximas de gasto que el Congreso aprueba para ser ejecutadas o comprometidas durante la vigencia fiscal respectiva, por lo que después del 31 de diciembre de cada año estas autorizaciones expiran y, en consecuencia, no podrán comprometerse, adicionarse, transferirse, ni </w:t>
      </w:r>
      <w:proofErr w:type="spellStart"/>
      <w:r w:rsidRPr="00D069D8">
        <w:rPr>
          <w:rFonts w:ascii="Verdana" w:eastAsia="Calibri" w:hAnsi="Verdana" w:cs="Arial"/>
          <w:color w:val="000000" w:themeColor="text1"/>
          <w:lang w:val="es-ES_tradnl"/>
        </w:rPr>
        <w:t>contracreditarse</w:t>
      </w:r>
      <w:proofErr w:type="spellEnd"/>
      <w:r w:rsidRPr="00D069D8">
        <w:rPr>
          <w:rFonts w:ascii="Verdana" w:eastAsia="Calibri" w:hAnsi="Verdana" w:cs="Arial"/>
          <w:lang w:val="es-ES_tradnl"/>
        </w:rPr>
        <w:t>”.</w:t>
      </w:r>
    </w:p>
    <w:p w14:paraId="569067B5" w14:textId="77777777" w:rsidR="008B28EB" w:rsidRPr="00D81BFE" w:rsidRDefault="008B28EB" w:rsidP="008B28EB">
      <w:pPr>
        <w:shd w:val="clear" w:color="auto" w:fill="FFFFFF"/>
        <w:spacing w:after="120" w:line="276" w:lineRule="auto"/>
        <w:ind w:right="51" w:firstLine="709"/>
        <w:jc w:val="both"/>
        <w:rPr>
          <w:rFonts w:ascii="Verdana" w:eastAsia="Calibri" w:hAnsi="Verdana" w:cs="Arial"/>
          <w:lang w:val="es-ES_tradnl"/>
        </w:rPr>
      </w:pPr>
      <w:r w:rsidRPr="00D069D8">
        <w:rPr>
          <w:rFonts w:ascii="Verdana" w:eastAsia="Calibri" w:hAnsi="Verdana" w:cs="Arial"/>
          <w:lang w:val="es-ES_tradnl"/>
        </w:rPr>
        <w:t>A su turno, el artículo 8 de la Ley 819 de 2003 consagra el principio de anualidad al disponer que “l</w:t>
      </w:r>
      <w:r w:rsidRPr="00D069D8">
        <w:rPr>
          <w:rFonts w:ascii="Verdana" w:eastAsia="Calibri" w:hAnsi="Verdana" w:cs="Arial"/>
        </w:rPr>
        <w:t xml:space="preserve">a preparación y elaboración del Presupuesto General de la Nación y el de las entidades territoriales, deberá sujetarse a los </w:t>
      </w:r>
      <w:r w:rsidRPr="00D069D8">
        <w:rPr>
          <w:rFonts w:ascii="Verdana" w:eastAsia="Calibri" w:hAnsi="Verdana" w:cs="Arial"/>
        </w:rPr>
        <w:lastRenderedPageBreak/>
        <w:t>correspondientes Marcos Fiscales de Mediano Plazo de manera que las apropiaciones presupuestales aprobadas por el Congreso de la República, las Asambleas y los Concejos, puedan ejecutarse en su totalidad durante la vigencia fiscal correspondiente”.</w:t>
      </w:r>
      <w:r>
        <w:rPr>
          <w:rFonts w:ascii="Verdana" w:eastAsia="Calibri" w:hAnsi="Verdana" w:cs="Arial"/>
        </w:rPr>
        <w:t xml:space="preserve"> </w:t>
      </w:r>
      <w:r w:rsidRPr="00D069D8">
        <w:rPr>
          <w:rFonts w:ascii="Verdana" w:eastAsia="Calibri" w:hAnsi="Verdana" w:cs="Arial"/>
          <w:color w:val="000000" w:themeColor="text1"/>
          <w:lang w:val="es-ES"/>
        </w:rPr>
        <w:t>En este sentido, la regla general es que las entidades estatales solo pueden adquirir compromisos presupuestales que no excedan en su ejecución la vigencia fiscal en la que se suscribe el respectivo contrato</w:t>
      </w:r>
      <w:r>
        <w:rPr>
          <w:rFonts w:ascii="Verdana" w:eastAsia="Calibri" w:hAnsi="Verdana" w:cs="Arial"/>
          <w:color w:val="000000" w:themeColor="text1"/>
          <w:lang w:val="es-ES"/>
        </w:rPr>
        <w:t>, salvo las excepciones establecidas por la ley, como son</w:t>
      </w:r>
      <w:r w:rsidRPr="00415516">
        <w:rPr>
          <w:rFonts w:ascii="Verdana" w:eastAsia="Calibri" w:hAnsi="Verdana" w:cs="Arial"/>
          <w:color w:val="000000" w:themeColor="text1"/>
          <w:lang w:val="es-ES_tradnl"/>
        </w:rPr>
        <w:t xml:space="preserve"> las vigencias futuras, las cuentas por pagar y las reservas presupuestales.</w:t>
      </w:r>
    </w:p>
    <w:p w14:paraId="7CE75BAC" w14:textId="77777777" w:rsidR="008B28EB" w:rsidRPr="0090499C" w:rsidRDefault="008B28EB" w:rsidP="008B28EB">
      <w:pPr>
        <w:spacing w:after="120" w:line="276" w:lineRule="auto"/>
        <w:ind w:firstLine="708"/>
        <w:jc w:val="both"/>
        <w:rPr>
          <w:rFonts w:ascii="Verdana" w:eastAsia="Calibri" w:hAnsi="Verdana"/>
          <w:color w:val="000000" w:themeColor="text1"/>
        </w:rPr>
      </w:pPr>
      <w:r w:rsidRPr="00801142">
        <w:rPr>
          <w:rFonts w:ascii="Verdana" w:eastAsia="Calibri" w:hAnsi="Verdana"/>
          <w:color w:val="000000" w:themeColor="text1"/>
        </w:rPr>
        <w:t>En consecuencia, los contratos estatales</w:t>
      </w:r>
      <w:r>
        <w:rPr>
          <w:rFonts w:ascii="Verdana" w:eastAsia="Calibri" w:hAnsi="Verdana"/>
          <w:color w:val="000000" w:themeColor="text1"/>
        </w:rPr>
        <w:t xml:space="preserve"> de arrendamiento</w:t>
      </w:r>
      <w:r w:rsidRPr="00801142">
        <w:rPr>
          <w:rFonts w:ascii="Verdana" w:eastAsia="Calibri" w:hAnsi="Verdana"/>
          <w:color w:val="000000" w:themeColor="text1"/>
        </w:rPr>
        <w:t xml:space="preserve"> deben estructurarse con base en una planeación rigurosa que incluya un plazo </w:t>
      </w:r>
      <w:r>
        <w:rPr>
          <w:rFonts w:ascii="Verdana" w:eastAsia="Calibri" w:hAnsi="Verdana"/>
          <w:color w:val="000000" w:themeColor="text1"/>
        </w:rPr>
        <w:t>definido y determinado</w:t>
      </w:r>
      <w:r w:rsidRPr="00801142">
        <w:rPr>
          <w:rFonts w:ascii="Verdana" w:eastAsia="Calibri" w:hAnsi="Verdana"/>
          <w:color w:val="000000" w:themeColor="text1"/>
        </w:rPr>
        <w:t xml:space="preserve">. Esta exigencia no solo responde a criterios legales, sino también a principios de buena administración y eficiencia institucional. </w:t>
      </w:r>
      <w:r>
        <w:rPr>
          <w:rFonts w:ascii="Verdana" w:eastAsia="Calibri" w:hAnsi="Verdana"/>
          <w:color w:val="000000" w:themeColor="text1"/>
        </w:rPr>
        <w:t>En efecto, l</w:t>
      </w:r>
      <w:r w:rsidRPr="00801142">
        <w:rPr>
          <w:rFonts w:ascii="Verdana" w:eastAsia="Calibri" w:hAnsi="Verdana"/>
          <w:color w:val="000000" w:themeColor="text1"/>
        </w:rPr>
        <w:t xml:space="preserve">a estipulación de plazos indefinidos </w:t>
      </w:r>
      <w:r>
        <w:rPr>
          <w:rFonts w:ascii="Verdana" w:eastAsia="Calibri" w:hAnsi="Verdana"/>
          <w:color w:val="000000" w:themeColor="text1"/>
        </w:rPr>
        <w:t xml:space="preserve">implicaría asumir obligaciones presupuestales, sin tener en cuenta el principio de anualidad del gasto, así como la problemática de establecer el valor estimado del contrato, el cual es fundamental para definir el monto de la disponibilidad presupuestal. Esto último, tiene sustento en el artículo 25 numeral 6 de la Ley 80 de 1993, que prescribe: </w:t>
      </w:r>
      <w:bookmarkStart w:id="5" w:name="25"/>
      <w:r>
        <w:rPr>
          <w:rFonts w:ascii="Verdana" w:eastAsia="Calibri" w:hAnsi="Verdana"/>
          <w:color w:val="000000" w:themeColor="text1"/>
        </w:rPr>
        <w:t>“</w:t>
      </w:r>
      <w:r w:rsidRPr="00546EBA">
        <w:rPr>
          <w:rFonts w:ascii="Verdana" w:eastAsia="Calibri" w:hAnsi="Verdana"/>
          <w:color w:val="000000" w:themeColor="text1"/>
        </w:rPr>
        <w:t xml:space="preserve">Artículo 25. Del Principio </w:t>
      </w:r>
      <w:r>
        <w:rPr>
          <w:rFonts w:ascii="Verdana" w:eastAsia="Calibri" w:hAnsi="Verdana"/>
          <w:color w:val="000000" w:themeColor="text1"/>
        </w:rPr>
        <w:t>d</w:t>
      </w:r>
      <w:r w:rsidRPr="00546EBA">
        <w:rPr>
          <w:rFonts w:ascii="Verdana" w:eastAsia="Calibri" w:hAnsi="Verdana"/>
          <w:color w:val="000000" w:themeColor="text1"/>
        </w:rPr>
        <w:t>e Economía.</w:t>
      </w:r>
      <w:bookmarkEnd w:id="5"/>
      <w:r>
        <w:rPr>
          <w:rFonts w:ascii="Verdana" w:eastAsia="Calibri" w:hAnsi="Verdana"/>
          <w:color w:val="000000" w:themeColor="text1"/>
        </w:rPr>
        <w:t xml:space="preserve"> </w:t>
      </w:r>
      <w:r w:rsidRPr="00546EBA">
        <w:rPr>
          <w:rFonts w:ascii="Verdana" w:eastAsia="Calibri" w:hAnsi="Verdana"/>
          <w:color w:val="000000" w:themeColor="text1"/>
        </w:rPr>
        <w:t xml:space="preserve">En virtud de este principio: </w:t>
      </w:r>
      <w:r>
        <w:rPr>
          <w:rFonts w:ascii="Verdana" w:eastAsia="Calibri" w:hAnsi="Verdana"/>
          <w:color w:val="000000" w:themeColor="text1"/>
        </w:rPr>
        <w:t xml:space="preserve">[…] </w:t>
      </w:r>
      <w:r w:rsidRPr="00546EBA">
        <w:rPr>
          <w:rFonts w:ascii="Verdana" w:eastAsia="Calibri" w:hAnsi="Verdana"/>
          <w:color w:val="000000" w:themeColor="text1"/>
        </w:rPr>
        <w:t>Las entidades estatales abrirán licitaciones e iniciarán procesos de suscripción de contratos, cuando existan las respectivas partidas o disponibilidades presupuestales</w:t>
      </w:r>
      <w:r>
        <w:rPr>
          <w:rFonts w:ascii="Verdana" w:eastAsia="Calibri" w:hAnsi="Verdana"/>
          <w:color w:val="000000" w:themeColor="text1"/>
        </w:rPr>
        <w:t>”</w:t>
      </w:r>
      <w:r w:rsidRPr="00546EBA">
        <w:rPr>
          <w:rFonts w:ascii="Verdana" w:eastAsia="Calibri" w:hAnsi="Verdana"/>
          <w:color w:val="000000" w:themeColor="text1"/>
        </w:rPr>
        <w:t>.</w:t>
      </w:r>
      <w:r>
        <w:rPr>
          <w:rFonts w:ascii="Verdana" w:eastAsia="Calibri" w:hAnsi="Verdana"/>
          <w:color w:val="000000" w:themeColor="text1"/>
        </w:rPr>
        <w:t xml:space="preserve"> De este modo, los contratos estatales de arrendamiento de bienes inmuebles implican que la entidad calcule su valor para contar con la disponibilidad presupuestal correspondiente. </w:t>
      </w:r>
    </w:p>
    <w:p w14:paraId="52B4DC48" w14:textId="77777777" w:rsidR="008B28EB" w:rsidRPr="007739D1" w:rsidRDefault="008B28EB" w:rsidP="008B28EB">
      <w:pPr>
        <w:spacing w:after="120" w:line="276" w:lineRule="auto"/>
        <w:jc w:val="both"/>
        <w:rPr>
          <w:rFonts w:ascii="Verdana" w:eastAsia="Calibri" w:hAnsi="Verdana"/>
          <w:color w:val="000000" w:themeColor="text1"/>
        </w:rPr>
      </w:pPr>
    </w:p>
    <w:bookmarkEnd w:id="1"/>
    <w:p w14:paraId="7F73874D" w14:textId="77777777" w:rsidR="008B28EB" w:rsidRPr="00555D1D" w:rsidRDefault="008B28EB" w:rsidP="008B28EB">
      <w:pPr>
        <w:spacing w:after="120" w:line="276" w:lineRule="auto"/>
        <w:jc w:val="both"/>
        <w:rPr>
          <w:rFonts w:ascii="Verdana" w:eastAsia="Calibri" w:hAnsi="Verdana" w:cs="Arial"/>
          <w:color w:val="000000"/>
          <w:lang w:val="es-ES"/>
        </w:rPr>
      </w:pPr>
      <w:r>
        <w:rPr>
          <w:rFonts w:ascii="Verdana" w:eastAsia="Calibri" w:hAnsi="Verdana"/>
          <w:color w:val="000000" w:themeColor="text1"/>
        </w:rPr>
        <w:t>v</w:t>
      </w:r>
      <w:r>
        <w:rPr>
          <w:rFonts w:ascii="Verdana" w:eastAsia="Calibri" w:hAnsi="Verdana" w:cs="Arial"/>
          <w:color w:val="000000" w:themeColor="text1"/>
          <w:lang w:val="es-ES"/>
        </w:rPr>
        <w:t xml:space="preserve">. 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oblemas específicos en torno a la fijación del plazo del contrato de arrendamiento debe realizarse</w:t>
      </w:r>
      <w:r w:rsidRPr="00B17041">
        <w:rPr>
          <w:rFonts w:ascii="Verdana" w:hAnsi="Verdana" w:cs="Arial"/>
          <w:lang w:val="es-ES_tradnl" w:eastAsia="es-ES"/>
        </w:rPr>
        <w:t xml:space="preserv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E1A8A50" w14:textId="77777777" w:rsidR="008B28EB" w:rsidRPr="00B17041" w:rsidRDefault="008B28EB" w:rsidP="008B28EB">
      <w:pPr>
        <w:spacing w:after="120" w:line="276" w:lineRule="auto"/>
        <w:ind w:firstLine="709"/>
        <w:jc w:val="both"/>
        <w:rPr>
          <w:rFonts w:ascii="Verdana" w:hAnsi="Verdana" w:cs="Arial"/>
          <w:lang w:val="es-ES" w:eastAsia="es-ES"/>
        </w:rPr>
      </w:pPr>
      <w:r w:rsidRPr="00B17041">
        <w:rPr>
          <w:rFonts w:ascii="Verdana" w:hAnsi="Verdana" w:cs="Arial"/>
          <w:lang w:val="es-ES" w:eastAsia="es-ES"/>
        </w:rPr>
        <w:lastRenderedPageBreak/>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B38E3EC" w14:textId="77777777" w:rsidR="008B28EB" w:rsidRPr="00CD0DCD" w:rsidRDefault="008B28EB" w:rsidP="008B28EB">
      <w:pPr>
        <w:spacing w:after="0" w:line="276" w:lineRule="auto"/>
        <w:jc w:val="both"/>
        <w:rPr>
          <w:rFonts w:ascii="Verdana" w:eastAsia="Calibri" w:hAnsi="Verdana" w:cs="Arial"/>
          <w:lang w:val="es-ES" w:eastAsia="es-MX"/>
        </w:rPr>
      </w:pPr>
    </w:p>
    <w:p w14:paraId="408CABCD" w14:textId="77777777" w:rsidR="008B28EB" w:rsidRPr="00B57A1B" w:rsidRDefault="008B28EB" w:rsidP="008B28EB">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 xml:space="preserve">Referencias normativas, jurisprudenciales y otras fuentes </w:t>
      </w:r>
    </w:p>
    <w:p w14:paraId="6FA7B3DB" w14:textId="77777777" w:rsidR="008B28EB" w:rsidRPr="00B57A1B" w:rsidRDefault="008B28EB" w:rsidP="008B28EB">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B28EB" w:rsidRPr="00B57A1B" w14:paraId="1C208209" w14:textId="77777777" w:rsidTr="00124D79">
        <w:trPr>
          <w:trHeight w:val="487"/>
          <w:jc w:val="center"/>
        </w:trPr>
        <w:tc>
          <w:tcPr>
            <w:tcW w:w="8647" w:type="dxa"/>
          </w:tcPr>
          <w:p w14:paraId="0FABD757" w14:textId="77777777" w:rsidR="008B28EB" w:rsidRPr="008611FD" w:rsidRDefault="008B28EB" w:rsidP="00124D79">
            <w:pPr>
              <w:numPr>
                <w:ilvl w:val="0"/>
                <w:numId w:val="17"/>
              </w:numPr>
              <w:spacing w:before="120"/>
              <w:rPr>
                <w:rFonts w:ascii="Verdana" w:eastAsia="Arial MT" w:hAnsi="Verdana" w:cs="Arial"/>
                <w:lang w:eastAsia="es-ES" w:bidi="es-ES"/>
              </w:rPr>
            </w:pPr>
            <w:r>
              <w:rPr>
                <w:rFonts w:ascii="Verdana" w:eastAsia="Arial MT" w:hAnsi="Verdana" w:cs="Arial"/>
                <w:lang w:val="es-ES" w:eastAsia="es-ES" w:bidi="es-ES"/>
              </w:rPr>
              <w:t xml:space="preserve"> </w:t>
            </w:r>
            <w:r w:rsidRPr="008611FD">
              <w:rPr>
                <w:rFonts w:ascii="Verdana" w:eastAsia="Arial MT" w:hAnsi="Verdana" w:cs="Arial"/>
                <w:lang w:eastAsia="es-ES" w:bidi="es-ES"/>
              </w:rPr>
              <w:t>Constitución Política de 1991, artículos 150, 209 y 267.</w:t>
            </w:r>
          </w:p>
          <w:p w14:paraId="4E70E4F8" w14:textId="77777777" w:rsidR="008B28EB" w:rsidRPr="008611FD" w:rsidRDefault="008B28EB" w:rsidP="00124D79">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611FD">
              <w:rPr>
                <w:rFonts w:ascii="Verdana" w:eastAsia="Arial MT" w:hAnsi="Verdana" w:cs="Arial"/>
                <w:lang w:eastAsia="es-ES" w:bidi="es-ES"/>
              </w:rPr>
              <w:t>Código Civil, artículo</w:t>
            </w:r>
            <w:r>
              <w:rPr>
                <w:rFonts w:ascii="Verdana" w:eastAsia="Arial MT" w:hAnsi="Verdana" w:cs="Arial"/>
                <w:lang w:eastAsia="es-ES" w:bidi="es-ES"/>
              </w:rPr>
              <w:t>s, 1551,</w:t>
            </w:r>
            <w:r w:rsidRPr="008611FD">
              <w:rPr>
                <w:rFonts w:ascii="Verdana" w:eastAsia="Arial MT" w:hAnsi="Verdana" w:cs="Arial"/>
                <w:lang w:eastAsia="es-ES" w:bidi="es-ES"/>
              </w:rPr>
              <w:t xml:space="preserve"> 1973</w:t>
            </w:r>
            <w:r>
              <w:rPr>
                <w:rFonts w:ascii="Verdana" w:eastAsia="Arial MT" w:hAnsi="Verdana" w:cs="Arial"/>
                <w:lang w:eastAsia="es-ES" w:bidi="es-ES"/>
              </w:rPr>
              <w:t xml:space="preserve">, </w:t>
            </w:r>
          </w:p>
          <w:p w14:paraId="5C0CD90E" w14:textId="77777777" w:rsidR="008B28EB" w:rsidRPr="008611FD" w:rsidRDefault="008B28EB" w:rsidP="00124D79">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 xml:space="preserve">Código del Comercio, artículos </w:t>
            </w:r>
            <w:r w:rsidRPr="008611FD">
              <w:rPr>
                <w:rFonts w:ascii="Verdana" w:eastAsia="Arial MT" w:hAnsi="Verdana" w:cs="Arial"/>
                <w:lang w:eastAsia="es-ES" w:bidi="es-ES"/>
              </w:rPr>
              <w:t xml:space="preserve">518 al 523 </w:t>
            </w:r>
          </w:p>
          <w:p w14:paraId="73EFDB8E" w14:textId="77777777" w:rsidR="008B28EB" w:rsidRPr="008611FD" w:rsidRDefault="008B28EB" w:rsidP="00124D79">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611FD">
              <w:rPr>
                <w:rFonts w:ascii="Verdana" w:eastAsia="Arial MT" w:hAnsi="Verdana" w:cs="Arial"/>
                <w:lang w:val="es-ES" w:eastAsia="es-ES" w:bidi="es-ES"/>
              </w:rPr>
              <w:t>Ley 80 de 1993, artículos 2, 13, 14,</w:t>
            </w:r>
            <w:r>
              <w:rPr>
                <w:rFonts w:ascii="Verdana" w:eastAsia="Arial MT" w:hAnsi="Verdana" w:cs="Arial"/>
                <w:lang w:val="es-ES" w:eastAsia="es-ES" w:bidi="es-ES"/>
              </w:rPr>
              <w:t xml:space="preserve"> 25,</w:t>
            </w:r>
            <w:r w:rsidRPr="008611FD">
              <w:rPr>
                <w:rFonts w:ascii="Verdana" w:eastAsia="Arial MT" w:hAnsi="Verdana" w:cs="Arial"/>
                <w:lang w:val="es-ES" w:eastAsia="es-ES" w:bidi="es-ES"/>
              </w:rPr>
              <w:t xml:space="preserve"> 32 y 40.</w:t>
            </w:r>
          </w:p>
          <w:p w14:paraId="53C6BEE3" w14:textId="77777777" w:rsidR="008B28EB" w:rsidRPr="008611FD" w:rsidRDefault="008B28EB" w:rsidP="00124D79">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611FD">
              <w:rPr>
                <w:rFonts w:ascii="Verdana" w:eastAsia="Arial MT" w:hAnsi="Verdana" w:cs="Arial"/>
                <w:lang w:val="es-ES" w:eastAsia="es-ES" w:bidi="es-ES"/>
              </w:rPr>
              <w:t>Decreto Ley 111 de 1996, artículo 110.</w:t>
            </w:r>
          </w:p>
          <w:p w14:paraId="0A95DE50" w14:textId="77777777" w:rsidR="008B28EB" w:rsidRDefault="008B28EB" w:rsidP="00124D79">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611FD">
              <w:rPr>
                <w:rFonts w:ascii="Verdana" w:eastAsia="Arial MT" w:hAnsi="Verdana" w:cs="Arial"/>
                <w:lang w:val="es-ES" w:eastAsia="es-ES" w:bidi="es-ES"/>
              </w:rPr>
              <w:t xml:space="preserve">Ley 819 de 2003, artículo 8. </w:t>
            </w:r>
          </w:p>
          <w:p w14:paraId="327E605B" w14:textId="77777777" w:rsidR="008B28EB" w:rsidRPr="008611FD" w:rsidRDefault="008B28EB" w:rsidP="00124D79">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Ley 820 de 2003.</w:t>
            </w:r>
          </w:p>
          <w:p w14:paraId="35434CDD" w14:textId="77777777" w:rsidR="008B28EB" w:rsidRPr="008611FD" w:rsidRDefault="008B28EB" w:rsidP="00124D79">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611FD">
              <w:rPr>
                <w:rFonts w:ascii="Verdana" w:eastAsia="Arial MT" w:hAnsi="Verdana" w:cs="Arial"/>
                <w:lang w:val="es-ES" w:eastAsia="es-ES" w:bidi="es-ES"/>
              </w:rPr>
              <w:t>Ley 1150 de 2007, artículo 2 y 5.</w:t>
            </w:r>
          </w:p>
          <w:p w14:paraId="71E890E6" w14:textId="77777777" w:rsidR="008B28EB" w:rsidRPr="00E33B14" w:rsidRDefault="008B28EB" w:rsidP="00124D79">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33B14">
              <w:rPr>
                <w:rFonts w:ascii="Verdana" w:eastAsia="Arial MT" w:hAnsi="Verdana" w:cs="Arial"/>
                <w:lang w:eastAsia="es-ES" w:bidi="es-ES"/>
              </w:rPr>
              <w:t>Decreto 1068 de 2015</w:t>
            </w:r>
            <w:r>
              <w:rPr>
                <w:rFonts w:ascii="Verdana" w:eastAsia="Arial MT" w:hAnsi="Verdana" w:cs="Arial"/>
                <w:lang w:eastAsia="es-ES" w:bidi="es-ES"/>
              </w:rPr>
              <w:t>, a</w:t>
            </w:r>
            <w:r w:rsidRPr="00E33B14">
              <w:rPr>
                <w:rFonts w:ascii="Verdana" w:eastAsia="Arial MT" w:hAnsi="Verdana" w:cs="Arial"/>
                <w:lang w:eastAsia="es-ES" w:bidi="es-ES"/>
              </w:rPr>
              <w:t>rtículo 2.8.3.4.</w:t>
            </w:r>
          </w:p>
          <w:p w14:paraId="020BC6DD" w14:textId="77777777" w:rsidR="008B28EB" w:rsidRDefault="008B28EB" w:rsidP="00124D79">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611FD">
              <w:rPr>
                <w:rFonts w:ascii="Verdana" w:eastAsia="Arial MT" w:hAnsi="Verdana" w:cs="Arial"/>
                <w:lang w:val="es-ES" w:eastAsia="es-ES" w:bidi="es-ES"/>
              </w:rPr>
              <w:t>Decreto 1082 de 2015, artículo 2.2.1.2.1.4.11.</w:t>
            </w:r>
          </w:p>
          <w:p w14:paraId="18D8B0C7" w14:textId="77777777" w:rsidR="008B28EB" w:rsidRPr="00E33B14" w:rsidRDefault="008B28EB" w:rsidP="00124D79">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33B14">
              <w:rPr>
                <w:rFonts w:ascii="Verdana" w:eastAsia="Arial MT" w:hAnsi="Verdana" w:cs="Arial"/>
                <w:lang w:val="es-ES" w:eastAsia="es-ES" w:bidi="es-ES"/>
              </w:rPr>
              <w:t xml:space="preserve">BENAVIDES, José Luis. El contrato estatal: entre el derecho público y el derecho privado. Segunda edición. Bogotá: Universidad Externado de Colombia, 2009. pp. 78-79.      </w:t>
            </w:r>
          </w:p>
          <w:p w14:paraId="4C028761" w14:textId="77777777" w:rsidR="008B28EB" w:rsidRPr="00E33B14" w:rsidRDefault="008B28EB" w:rsidP="00124D79">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33B14">
              <w:rPr>
                <w:rFonts w:ascii="Verdana" w:eastAsia="Arial MT" w:hAnsi="Verdana" w:cs="Arial"/>
                <w:lang w:val="es-ES" w:eastAsia="es-ES" w:bidi="es-ES"/>
              </w:rPr>
              <w:t xml:space="preserve">BETANCUR JARAMILLO, Carlos. Derecho procesal administrativo. Octava edición. Medellín: Señal Editora, 2013. p. 627. </w:t>
            </w:r>
          </w:p>
          <w:p w14:paraId="181070DA" w14:textId="77777777" w:rsidR="008B28EB" w:rsidRPr="00E33B14" w:rsidRDefault="008B28EB" w:rsidP="00124D79">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33B14">
              <w:rPr>
                <w:rFonts w:ascii="Verdana" w:eastAsia="Arial MT" w:hAnsi="Verdana" w:cs="Arial"/>
                <w:lang w:val="es-ES" w:eastAsia="es-ES" w:bidi="es-ES"/>
              </w:rPr>
              <w:t xml:space="preserve">BONIVENTO FERNANDEZ, José. Los principales contratos civiles y su paralelo con los comerciales. Vigésimo segunda edición. Bogotá: Tirant lo Blanch, 2024. </w:t>
            </w:r>
          </w:p>
          <w:p w14:paraId="49C62227" w14:textId="77777777" w:rsidR="008B28EB" w:rsidRPr="00E33B14" w:rsidRDefault="008B28EB" w:rsidP="00124D79">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33B14">
              <w:rPr>
                <w:rFonts w:ascii="Verdana" w:eastAsia="Arial MT" w:hAnsi="Verdana" w:cs="Arial"/>
                <w:lang w:val="es-ES" w:eastAsia="es-ES" w:bidi="es-ES"/>
              </w:rPr>
              <w:lastRenderedPageBreak/>
              <w:t xml:space="preserve">FUEYO LANERI, Fernando. Derecho civil: de las obligaciones. Tomo IV. Volumen I. Santiago de Chile: Roberts y Cía. Ltda., 1958. </w:t>
            </w:r>
          </w:p>
          <w:p w14:paraId="51190C88" w14:textId="77777777" w:rsidR="008B28EB" w:rsidRPr="00E33B14" w:rsidRDefault="008B28EB" w:rsidP="00124D79">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33B14">
              <w:rPr>
                <w:rFonts w:ascii="Verdana" w:eastAsia="Arial MT" w:hAnsi="Verdana" w:cs="Arial"/>
                <w:lang w:val="es-ES" w:eastAsia="es-ES" w:bidi="es-ES"/>
              </w:rPr>
              <w:t xml:space="preserve">OSPINA FERNÁNDEZ, Guillermo. Régimen General de las Obligaciones. Editorial Temis S.A., reimpresión de la octava edición, Bogotá, 2008. </w:t>
            </w:r>
          </w:p>
          <w:p w14:paraId="4902997E" w14:textId="77777777" w:rsidR="008B28EB" w:rsidRPr="00E33B14" w:rsidRDefault="008B28EB" w:rsidP="00124D79">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33B14">
              <w:rPr>
                <w:rFonts w:ascii="Verdana" w:eastAsia="Arial MT" w:hAnsi="Verdana" w:cs="Arial"/>
                <w:lang w:val="es-ES" w:eastAsia="es-ES" w:bidi="es-ES"/>
              </w:rPr>
              <w:t>PEÑA GONZÁLEZ, Edilberto. Principios e instituciones presupuestales en Colombia, en: Estudios Socio-Jurídicos, Bogotá (Colombia), 9 (1), enero-junio de 2007.</w:t>
            </w:r>
          </w:p>
          <w:p w14:paraId="03C759AF" w14:textId="77777777" w:rsidR="008B28EB" w:rsidRPr="00E33B14" w:rsidRDefault="008B28EB" w:rsidP="00124D79">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33B14">
              <w:rPr>
                <w:rFonts w:ascii="Verdana" w:eastAsia="Arial MT" w:hAnsi="Verdana" w:cs="Arial"/>
                <w:lang w:val="es-ES" w:eastAsia="es-ES" w:bidi="es-ES"/>
              </w:rPr>
              <w:t xml:space="preserve">PODETTI, Humberto. El contrato de construcción. Buenos Aires: Editorial Astrea, 2004. </w:t>
            </w:r>
          </w:p>
          <w:p w14:paraId="11C83910" w14:textId="77777777" w:rsidR="008B28EB" w:rsidRPr="00E33B14" w:rsidRDefault="008B28EB" w:rsidP="00124D79">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33B14">
              <w:rPr>
                <w:rFonts w:ascii="Verdana" w:eastAsia="Arial MT" w:hAnsi="Verdana" w:cs="Arial"/>
                <w:lang w:val="es-ES" w:eastAsia="es-ES" w:bidi="es-ES"/>
              </w:rPr>
              <w:t xml:space="preserve">SÁNCHEZ TRUJILLO, Juan Pablo. Completitud de la oferta del contrato atípico: elementos esenciales del contrato atípico como requisito de delimitación del objeto de la oferta mercantil. Consultado el 14 de noviembre de 2025 en la página web https://revistas.udea.edu.co/index.php/derypol/article/view/331285/20790715. </w:t>
            </w:r>
            <w:r>
              <w:rPr>
                <w:rFonts w:ascii="Verdana" w:eastAsia="Arial MT" w:hAnsi="Verdana" w:cs="Arial"/>
                <w:lang w:val="es-ES" w:eastAsia="es-ES" w:bidi="es-ES"/>
              </w:rPr>
              <w:t xml:space="preserve"> </w:t>
            </w:r>
          </w:p>
          <w:p w14:paraId="4941CDEA" w14:textId="77777777" w:rsidR="008B28EB" w:rsidRPr="00E33B14" w:rsidRDefault="008B28EB" w:rsidP="00124D79">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33B14">
              <w:rPr>
                <w:rFonts w:ascii="Verdana" w:eastAsia="Arial MT" w:hAnsi="Verdana" w:cs="Arial"/>
                <w:lang w:val="es-ES" w:eastAsia="es-ES" w:bidi="es-ES"/>
              </w:rPr>
              <w:t xml:space="preserve">VELÁSQUEZ GOMÉZ, Hernán Darío. Estudio sobre las obligaciones. Bogotá: Temis, 2010. </w:t>
            </w:r>
          </w:p>
          <w:p w14:paraId="7C855F33" w14:textId="77777777" w:rsidR="008B28EB" w:rsidRPr="00E33B14" w:rsidRDefault="008B28EB" w:rsidP="00124D79">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33B14">
              <w:rPr>
                <w:rFonts w:ascii="Verdana" w:eastAsia="Arial MT" w:hAnsi="Verdana" w:cs="Arial"/>
                <w:lang w:val="es-ES" w:eastAsia="es-ES" w:bidi="es-ES"/>
              </w:rPr>
              <w:t xml:space="preserve">Consejo de Estado. Sección Tercera, Subsección C. Sentencia del 13 de febrero de 2015. </w:t>
            </w:r>
            <w:proofErr w:type="spellStart"/>
            <w:r w:rsidRPr="00E33B14">
              <w:rPr>
                <w:rFonts w:ascii="Verdana" w:eastAsia="Arial MT" w:hAnsi="Verdana" w:cs="Arial"/>
                <w:lang w:val="es-ES" w:eastAsia="es-ES" w:bidi="es-ES"/>
              </w:rPr>
              <w:t>Exp</w:t>
            </w:r>
            <w:proofErr w:type="spellEnd"/>
            <w:r w:rsidRPr="00E33B14">
              <w:rPr>
                <w:rFonts w:ascii="Verdana" w:eastAsia="Arial MT" w:hAnsi="Verdana" w:cs="Arial"/>
                <w:lang w:val="es-ES" w:eastAsia="es-ES" w:bidi="es-ES"/>
              </w:rPr>
              <w:t xml:space="preserve">. 26.938 C.P. Olga Mélida Valle De </w:t>
            </w:r>
            <w:proofErr w:type="spellStart"/>
            <w:r w:rsidRPr="00E33B14">
              <w:rPr>
                <w:rFonts w:ascii="Verdana" w:eastAsia="Arial MT" w:hAnsi="Verdana" w:cs="Arial"/>
                <w:lang w:val="es-ES" w:eastAsia="es-ES" w:bidi="es-ES"/>
              </w:rPr>
              <w:t>De</w:t>
            </w:r>
            <w:proofErr w:type="spellEnd"/>
            <w:r w:rsidRPr="00E33B14">
              <w:rPr>
                <w:rFonts w:ascii="Verdana" w:eastAsia="Arial MT" w:hAnsi="Verdana" w:cs="Arial"/>
                <w:lang w:val="es-ES" w:eastAsia="es-ES" w:bidi="es-ES"/>
              </w:rPr>
              <w:t xml:space="preserve"> la Hoz (E).</w:t>
            </w:r>
          </w:p>
          <w:p w14:paraId="23A21586" w14:textId="77777777" w:rsidR="008B28EB" w:rsidRPr="008611FD" w:rsidRDefault="008B28EB" w:rsidP="00124D79">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33B14">
              <w:rPr>
                <w:rFonts w:ascii="Verdana" w:eastAsia="Arial MT" w:hAnsi="Verdana" w:cs="Arial"/>
                <w:lang w:val="es-ES" w:eastAsia="es-ES" w:bidi="es-ES"/>
              </w:rPr>
              <w:t>Consejo de Estado, Sala Plena Contenciosa. Sentencia del 14 de agosto de 2018, Radicado. 05001-33-31-003-2009-00157-01(AP)SU. C.P. Oswaldo Giraldo López.</w:t>
            </w:r>
          </w:p>
        </w:tc>
      </w:tr>
    </w:tbl>
    <w:p w14:paraId="26294A45" w14:textId="77777777" w:rsidR="008B28EB" w:rsidRPr="00B57A1B" w:rsidRDefault="008B28EB" w:rsidP="008B28EB">
      <w:pPr>
        <w:widowControl w:val="0"/>
        <w:autoSpaceDE w:val="0"/>
        <w:autoSpaceDN w:val="0"/>
        <w:spacing w:after="0" w:line="276" w:lineRule="auto"/>
        <w:jc w:val="both"/>
        <w:rPr>
          <w:rFonts w:ascii="Verdana" w:hAnsi="Verdana" w:cs="Arial"/>
        </w:rPr>
      </w:pPr>
    </w:p>
    <w:p w14:paraId="1912F8FC" w14:textId="77777777" w:rsidR="008B28EB" w:rsidRPr="00B57A1B" w:rsidRDefault="008B28EB" w:rsidP="008B28EB">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Doctrina de la Agencia Nacional de Contratación Pública:</w:t>
      </w:r>
    </w:p>
    <w:p w14:paraId="07E68CB4" w14:textId="77777777" w:rsidR="008B28EB" w:rsidRPr="00B57A1B" w:rsidRDefault="008B28EB" w:rsidP="008B28EB">
      <w:pPr>
        <w:widowControl w:val="0"/>
        <w:autoSpaceDE w:val="0"/>
        <w:autoSpaceDN w:val="0"/>
        <w:spacing w:after="0" w:line="276" w:lineRule="auto"/>
        <w:jc w:val="both"/>
        <w:rPr>
          <w:rFonts w:ascii="Verdana" w:hAnsi="Verdana" w:cs="Arial"/>
        </w:rPr>
      </w:pPr>
    </w:p>
    <w:p w14:paraId="32B08EDD" w14:textId="77777777" w:rsidR="008B28EB" w:rsidRPr="003A7C87" w:rsidRDefault="008B28EB" w:rsidP="008B28EB">
      <w:pPr>
        <w:widowControl w:val="0"/>
        <w:autoSpaceDE w:val="0"/>
        <w:autoSpaceDN w:val="0"/>
        <w:spacing w:after="0" w:line="276" w:lineRule="auto"/>
        <w:jc w:val="both"/>
        <w:rPr>
          <w:rFonts w:ascii="Verdana" w:hAnsi="Verdana" w:cs="Arial"/>
          <w:shd w:val="clear" w:color="auto" w:fill="FFFFFF"/>
          <w:lang w:val="es-ES"/>
        </w:rPr>
      </w:pPr>
      <w:r w:rsidRPr="00B57A1B">
        <w:rPr>
          <w:rFonts w:ascii="Verdana" w:hAnsi="Verdana" w:cs="Arial"/>
          <w:shd w:val="clear" w:color="auto" w:fill="FFFFFF"/>
        </w:rPr>
        <w:t>Esta Subdirección se ha pronunciado</w:t>
      </w:r>
      <w:r>
        <w:rPr>
          <w:rFonts w:ascii="Verdana" w:hAnsi="Verdana" w:cs="Arial"/>
          <w:shd w:val="clear" w:color="auto" w:fill="FFFFFF"/>
        </w:rPr>
        <w:t xml:space="preserve"> </w:t>
      </w:r>
      <w:r>
        <w:rPr>
          <w:rFonts w:ascii="Verdana" w:hAnsi="Verdana" w:cs="Arial"/>
          <w:shd w:val="clear" w:color="auto" w:fill="FFFFFF"/>
          <w:lang w:val="es-ES"/>
        </w:rPr>
        <w:t xml:space="preserve">sobre el Contrato de Arrendamiento de Bienes Inmuebles en los siguientes conceptos: C-319 del 28 de febrero de 2025, C-462 del 19 de mayo de 2025, C-564 del 30 de mayo de 2025, C-1128 del 22 de septiembre de 2025, C-1648 del 14 de noviembre de 2025, entre otros. En cuanto a los plazos de los contratos estatales, se han expedido los siguientes </w:t>
      </w:r>
      <w:r>
        <w:rPr>
          <w:rFonts w:ascii="Verdana" w:hAnsi="Verdana" w:cs="Arial"/>
          <w:shd w:val="clear" w:color="auto" w:fill="FFFFFF"/>
          <w:lang w:val="es-ES"/>
        </w:rPr>
        <w:lastRenderedPageBreak/>
        <w:t xml:space="preserve">conceptos: </w:t>
      </w:r>
      <w:r w:rsidRPr="003A7C87">
        <w:rPr>
          <w:rFonts w:ascii="Verdana" w:hAnsi="Verdana" w:cs="Arial"/>
          <w:bCs/>
          <w:shd w:val="clear" w:color="auto" w:fill="FFFFFF"/>
        </w:rPr>
        <w:t>C-432 del 27 de julio de 2020, en el C-646 del 9 de noviembre de 2020, C-327 del1 de junio de 2021, C-375 del 14 de junio de 2022, C-529 del 18 de agosto de 2022, C-807 del 25 de noviembre de 2022 y C-276 del 14 de julio de 2023</w:t>
      </w:r>
      <w:r>
        <w:rPr>
          <w:rFonts w:ascii="Verdana" w:hAnsi="Verdana" w:cs="Arial"/>
          <w:bCs/>
          <w:shd w:val="clear" w:color="auto" w:fill="FFFFFF"/>
        </w:rPr>
        <w:t xml:space="preserve">, C-837 del 6 de diciembre de 2024, </w:t>
      </w:r>
      <w:r>
        <w:rPr>
          <w:rFonts w:ascii="Verdana" w:hAnsi="Verdana" w:cs="Arial"/>
          <w:shd w:val="clear" w:color="auto" w:fill="FFFFFF"/>
          <w:lang w:val="es-ES"/>
        </w:rPr>
        <w:t xml:space="preserve">C-156 del 18 de marzo de 2025, entre otros.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A6573FA" w14:textId="77777777" w:rsidR="008B28EB" w:rsidRPr="00185EE9" w:rsidRDefault="00F5596A" w:rsidP="008B28EB">
      <w:pPr>
        <w:spacing w:after="0" w:line="256" w:lineRule="auto"/>
        <w:jc w:val="both"/>
        <w:rPr>
          <w:rFonts w:ascii="Verdana" w:eastAsia="Calibri" w:hAnsi="Verdana" w:cs="Times New Roman"/>
        </w:rPr>
      </w:pPr>
      <w:hyperlink r:id="rId13" w:history="1">
        <w:r w:rsidR="008B28EB" w:rsidRPr="00F14AAD">
          <w:rPr>
            <w:rStyle w:val="Hipervnculo"/>
            <w:rFonts w:ascii="Verdana" w:eastAsia="Calibri" w:hAnsi="Verdana" w:cs="Times New Roman"/>
            <w:lang w:val="es-ES"/>
          </w:rPr>
          <w:t>https://relatoria.colombiacompra.gov.co/busqueda/conceptos</w:t>
        </w:r>
      </w:hyperlink>
      <w:r w:rsidR="008B28EB" w:rsidRPr="00185EE9">
        <w:rPr>
          <w:rFonts w:ascii="Verdana" w:eastAsia="Calibri" w:hAnsi="Verdana" w:cs="Times New Roman"/>
        </w:rPr>
        <w:t xml:space="preserve">. </w:t>
      </w:r>
    </w:p>
    <w:p w14:paraId="611F006E" w14:textId="77777777" w:rsidR="008B28EB" w:rsidRPr="00B57A1B" w:rsidRDefault="008B28EB" w:rsidP="008B28EB">
      <w:pPr>
        <w:spacing w:after="0"/>
        <w:jc w:val="both"/>
        <w:rPr>
          <w:rFonts w:ascii="Verdana" w:hAnsi="Verdana"/>
        </w:rPr>
      </w:pPr>
    </w:p>
    <w:p w14:paraId="7D606827" w14:textId="77777777" w:rsidR="008B28EB" w:rsidRPr="00B57A1B" w:rsidRDefault="008B28EB" w:rsidP="008B28EB">
      <w:pPr>
        <w:spacing w:after="0" w:line="256" w:lineRule="auto"/>
        <w:jc w:val="both"/>
        <w:rPr>
          <w:rFonts w:ascii="Verdana" w:eastAsia="Calibri" w:hAnsi="Verdana" w:cs="Times New Roman"/>
        </w:rPr>
      </w:pPr>
      <w:r w:rsidRPr="00B57A1B">
        <w:rPr>
          <w:rFonts w:ascii="Verdana" w:eastAsia="Calibri" w:hAnsi="Verdana" w:cs="Times New Roman"/>
        </w:rPr>
        <w:t xml:space="preserve">Te informamos que ya se encuentra disponible la </w:t>
      </w:r>
      <w:r w:rsidRPr="00B57A1B">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B57A1B">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57A1B">
        <w:rPr>
          <w:rFonts w:ascii="Verdana" w:eastAsia="Calibri" w:hAnsi="Verdana" w:cs="Times New Roman"/>
        </w:rPr>
        <w:t>Wayúu</w:t>
      </w:r>
      <w:proofErr w:type="spellEnd"/>
      <w:r w:rsidRPr="00B57A1B">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7688AB75" w14:textId="77777777" w:rsidR="008B28EB" w:rsidRPr="00B57A1B" w:rsidRDefault="008B28EB" w:rsidP="008B28EB">
      <w:pPr>
        <w:spacing w:after="0" w:line="240" w:lineRule="auto"/>
        <w:jc w:val="both"/>
        <w:rPr>
          <w:rFonts w:ascii="Verdana" w:hAnsi="Verdana"/>
        </w:rPr>
      </w:pPr>
    </w:p>
    <w:p w14:paraId="74269B1E" w14:textId="77777777" w:rsidR="008B28EB" w:rsidRPr="00B57A1B" w:rsidRDefault="008B28EB" w:rsidP="008B28EB">
      <w:pPr>
        <w:spacing w:after="0" w:line="256" w:lineRule="auto"/>
        <w:jc w:val="both"/>
        <w:rPr>
          <w:rFonts w:ascii="Verdana" w:eastAsia="Calibri" w:hAnsi="Verdana" w:cs="Times New Roman"/>
          <w:bCs/>
          <w:lang w:val="es-ES_tradnl"/>
        </w:rPr>
      </w:pPr>
      <w:r w:rsidRPr="00B57A1B">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819B23B" w14:textId="77777777" w:rsidR="008B28EB" w:rsidRPr="00B57A1B" w:rsidRDefault="008B28EB" w:rsidP="008B28EB">
      <w:pPr>
        <w:spacing w:after="0" w:line="256" w:lineRule="auto"/>
        <w:jc w:val="both"/>
        <w:rPr>
          <w:rFonts w:ascii="Verdana" w:eastAsia="Calibri" w:hAnsi="Verdana" w:cs="Times New Roman"/>
        </w:rPr>
      </w:pPr>
    </w:p>
    <w:p w14:paraId="5CD73D4D" w14:textId="77777777" w:rsidR="008B28EB" w:rsidRDefault="008B28EB" w:rsidP="008B28EB">
      <w:pPr>
        <w:spacing w:after="0" w:line="256" w:lineRule="auto"/>
        <w:jc w:val="both"/>
        <w:rPr>
          <w:rFonts w:ascii="Verdana" w:eastAsia="Calibri" w:hAnsi="Verdana" w:cs="Times New Roman"/>
        </w:rPr>
      </w:pPr>
      <w:r w:rsidRPr="00B57A1B">
        <w:rPr>
          <w:rFonts w:ascii="Verdana" w:eastAsia="Calibri" w:hAnsi="Verdana" w:cs="Times New Roman"/>
        </w:rPr>
        <w:t>Atentamente,</w:t>
      </w:r>
    </w:p>
    <w:p w14:paraId="485791D5" w14:textId="77777777" w:rsidR="008B28EB" w:rsidRDefault="008B28EB" w:rsidP="008B28EB">
      <w:pPr>
        <w:spacing w:after="0" w:line="256" w:lineRule="auto"/>
        <w:jc w:val="both"/>
        <w:rPr>
          <w:rFonts w:ascii="Verdana" w:eastAsia="Calibri" w:hAnsi="Verdana" w:cs="Times New Roman"/>
        </w:rPr>
      </w:pPr>
    </w:p>
    <w:p w14:paraId="057780C6" w14:textId="77777777" w:rsidR="00DE1386" w:rsidRPr="00624164" w:rsidRDefault="00DE1386" w:rsidP="00DE1386">
      <w:pPr>
        <w:spacing w:after="0" w:line="254" w:lineRule="auto"/>
        <w:jc w:val="both"/>
        <w:rPr>
          <w:rFonts w:ascii="Verdana" w:eastAsia="Calibri" w:hAnsi="Verdana" w:cs="Times New Roman"/>
        </w:rPr>
      </w:pPr>
    </w:p>
    <w:p w14:paraId="412562DC" w14:textId="47CF8B13" w:rsidR="008B28EB" w:rsidRPr="00F44D5E" w:rsidRDefault="00DE1386" w:rsidP="00F44D5E">
      <w:pPr>
        <w:spacing w:after="0" w:line="254" w:lineRule="auto"/>
        <w:jc w:val="center"/>
      </w:pPr>
      <w:r>
        <w:rPr>
          <w:noProof/>
          <w:lang w:val="en-US"/>
        </w:rPr>
        <w:lastRenderedPageBreak/>
        <w:drawing>
          <wp:inline distT="0" distB="0" distL="0" distR="0" wp14:anchorId="55795D7F" wp14:editId="22A9E752">
            <wp:extent cx="3143250" cy="1326603"/>
            <wp:effectExtent l="0" t="0" r="0" b="6985"/>
            <wp:docPr id="3" name="Imagen 3" descr="C:\Users\José Luis\OneDrive\Documentos\COLOMBIA COMPRA EFICIENTE\2025\REPARTO\C-800 PAGO DE LA SEGURIDAD SOCIAL- REFORMA PENSIONAL 14-07-2025\thumbnail_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sé Luis\OneDrive\Documentos\COLOMBIA COMPRA EFICIENTE\2025\REPARTO\C-800 PAGO DE LA SEGURIDAD SOCIAL- REFORMA PENSIONAL 14-07-2025\thumbnail_image.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27417" cy="1362125"/>
                    </a:xfrm>
                    <a:prstGeom prst="rect">
                      <a:avLst/>
                    </a:prstGeom>
                    <a:noFill/>
                    <a:ln>
                      <a:noFill/>
                    </a:ln>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8B28EB" w:rsidRPr="002318C9" w14:paraId="7D4712E7" w14:textId="77777777" w:rsidTr="00124D79">
        <w:trPr>
          <w:trHeight w:val="409"/>
        </w:trPr>
        <w:tc>
          <w:tcPr>
            <w:tcW w:w="817" w:type="dxa"/>
            <w:tcBorders>
              <w:top w:val="nil"/>
              <w:left w:val="nil"/>
              <w:bottom w:val="nil"/>
              <w:right w:val="nil"/>
            </w:tcBorders>
            <w:vAlign w:val="center"/>
            <w:hideMark/>
          </w:tcPr>
          <w:p w14:paraId="524E793F" w14:textId="77777777" w:rsidR="008B28EB" w:rsidRPr="002318C9" w:rsidRDefault="008B28EB" w:rsidP="00124D79">
            <w:pPr>
              <w:spacing w:after="0" w:line="252" w:lineRule="auto"/>
              <w:rPr>
                <w:rFonts w:ascii="Verdana" w:eastAsia="Calibri" w:hAnsi="Verdana" w:cs="Times New Roman"/>
                <w:sz w:val="16"/>
                <w:szCs w:val="16"/>
              </w:rPr>
            </w:pPr>
            <w:r w:rsidRPr="002318C9">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278E523C" w14:textId="77777777" w:rsidR="008B28EB" w:rsidRPr="002318C9" w:rsidRDefault="008B28EB" w:rsidP="00124D79">
            <w:pPr>
              <w:spacing w:after="0" w:line="252" w:lineRule="auto"/>
              <w:rPr>
                <w:rFonts w:ascii="Verdana" w:eastAsia="Calibri" w:hAnsi="Verdana" w:cs="Times New Roman"/>
                <w:sz w:val="16"/>
                <w:szCs w:val="16"/>
              </w:rPr>
            </w:pPr>
            <w:r w:rsidRPr="002318C9">
              <w:rPr>
                <w:rFonts w:ascii="Verdana" w:eastAsia="Calibri" w:hAnsi="Verdana" w:cs="Times New Roman"/>
                <w:sz w:val="16"/>
                <w:szCs w:val="16"/>
              </w:rPr>
              <w:t>José Luis Sánchez Cardona</w:t>
            </w:r>
          </w:p>
          <w:p w14:paraId="19F5944D" w14:textId="77777777" w:rsidR="008B28EB" w:rsidRPr="002318C9" w:rsidRDefault="008B28EB" w:rsidP="00124D79">
            <w:pPr>
              <w:spacing w:after="0" w:line="252" w:lineRule="auto"/>
              <w:rPr>
                <w:rFonts w:ascii="Verdana" w:eastAsia="Calibri" w:hAnsi="Verdana" w:cs="Times New Roman"/>
                <w:sz w:val="16"/>
                <w:szCs w:val="16"/>
              </w:rPr>
            </w:pPr>
            <w:r w:rsidRPr="002318C9">
              <w:rPr>
                <w:rFonts w:ascii="Verdana" w:eastAsia="Calibri" w:hAnsi="Verdana" w:cs="Times New Roman"/>
                <w:sz w:val="16"/>
                <w:szCs w:val="16"/>
              </w:rPr>
              <w:t>Contratista de la Subdirección de Gestión Contractual</w:t>
            </w:r>
          </w:p>
        </w:tc>
      </w:tr>
      <w:tr w:rsidR="008B28EB" w:rsidRPr="002318C9" w14:paraId="1F6C3174" w14:textId="77777777" w:rsidTr="00124D79">
        <w:trPr>
          <w:trHeight w:val="409"/>
        </w:trPr>
        <w:tc>
          <w:tcPr>
            <w:tcW w:w="817" w:type="dxa"/>
            <w:tcBorders>
              <w:top w:val="nil"/>
              <w:left w:val="nil"/>
              <w:bottom w:val="nil"/>
              <w:right w:val="nil"/>
            </w:tcBorders>
            <w:vAlign w:val="center"/>
            <w:hideMark/>
          </w:tcPr>
          <w:p w14:paraId="2AAD2C51" w14:textId="77777777" w:rsidR="008B28EB" w:rsidRPr="002318C9" w:rsidRDefault="008B28EB" w:rsidP="00124D79">
            <w:pPr>
              <w:spacing w:after="0" w:line="252" w:lineRule="auto"/>
              <w:rPr>
                <w:rFonts w:ascii="Verdana" w:eastAsia="Calibri" w:hAnsi="Verdana" w:cs="Times New Roman"/>
                <w:sz w:val="16"/>
                <w:szCs w:val="16"/>
              </w:rPr>
            </w:pPr>
            <w:r w:rsidRPr="002318C9">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089F7C4" w14:textId="77777777" w:rsidR="008B28EB" w:rsidRPr="002318C9" w:rsidRDefault="008B28EB" w:rsidP="00124D79">
            <w:pPr>
              <w:spacing w:after="0" w:line="252" w:lineRule="auto"/>
              <w:rPr>
                <w:rFonts w:ascii="Verdana" w:eastAsia="Calibri" w:hAnsi="Verdana" w:cs="Times New Roman"/>
                <w:sz w:val="16"/>
                <w:szCs w:val="16"/>
              </w:rPr>
            </w:pPr>
            <w:r w:rsidRPr="002318C9">
              <w:rPr>
                <w:rFonts w:ascii="Verdana" w:eastAsia="Calibri" w:hAnsi="Verdana" w:cs="Times New Roman"/>
                <w:sz w:val="16"/>
                <w:szCs w:val="16"/>
              </w:rPr>
              <w:t>Alejandro Sarmiento Cantillo</w:t>
            </w:r>
          </w:p>
          <w:p w14:paraId="57F2F9F6" w14:textId="77777777" w:rsidR="008B28EB" w:rsidRPr="002318C9" w:rsidRDefault="008B28EB" w:rsidP="00124D79">
            <w:pPr>
              <w:spacing w:after="0" w:line="252" w:lineRule="auto"/>
              <w:rPr>
                <w:rFonts w:ascii="Verdana" w:eastAsia="Calibri" w:hAnsi="Verdana" w:cs="Times New Roman"/>
                <w:sz w:val="16"/>
                <w:szCs w:val="16"/>
              </w:rPr>
            </w:pPr>
            <w:r w:rsidRPr="002318C9">
              <w:rPr>
                <w:rFonts w:ascii="Verdana" w:eastAsia="Calibri" w:hAnsi="Verdana" w:cs="Times New Roman"/>
                <w:sz w:val="16"/>
                <w:szCs w:val="16"/>
              </w:rPr>
              <w:t>Gestor T1-15 de la Subdirección de Gestión Contractual </w:t>
            </w:r>
          </w:p>
        </w:tc>
      </w:tr>
      <w:tr w:rsidR="008B28EB" w:rsidRPr="002318C9" w14:paraId="36889CCC" w14:textId="77777777" w:rsidTr="00124D79">
        <w:trPr>
          <w:trHeight w:val="389"/>
        </w:trPr>
        <w:tc>
          <w:tcPr>
            <w:tcW w:w="817" w:type="dxa"/>
            <w:tcBorders>
              <w:top w:val="nil"/>
              <w:left w:val="nil"/>
              <w:bottom w:val="nil"/>
              <w:right w:val="nil"/>
            </w:tcBorders>
            <w:vAlign w:val="center"/>
            <w:hideMark/>
          </w:tcPr>
          <w:p w14:paraId="14B1F5E0" w14:textId="77777777" w:rsidR="008B28EB" w:rsidRPr="002318C9" w:rsidRDefault="008B28EB" w:rsidP="00124D79">
            <w:pPr>
              <w:spacing w:after="0" w:line="252" w:lineRule="auto"/>
              <w:rPr>
                <w:rFonts w:ascii="Verdana" w:eastAsia="Calibri" w:hAnsi="Verdana" w:cs="Times New Roman"/>
                <w:sz w:val="16"/>
                <w:szCs w:val="16"/>
              </w:rPr>
            </w:pPr>
            <w:r w:rsidRPr="002318C9">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A3257D6" w14:textId="77777777" w:rsidR="008B28EB" w:rsidRPr="002318C9" w:rsidRDefault="008B28EB" w:rsidP="00124D79">
            <w:pPr>
              <w:spacing w:after="0" w:line="252" w:lineRule="auto"/>
              <w:rPr>
                <w:rFonts w:ascii="Verdana" w:eastAsia="Calibri" w:hAnsi="Verdana" w:cs="Times New Roman"/>
                <w:sz w:val="16"/>
                <w:szCs w:val="16"/>
              </w:rPr>
            </w:pPr>
            <w:r w:rsidRPr="002318C9">
              <w:rPr>
                <w:rFonts w:ascii="Verdana" w:eastAsia="Calibri" w:hAnsi="Verdana" w:cs="Times New Roman"/>
                <w:sz w:val="16"/>
                <w:szCs w:val="16"/>
              </w:rPr>
              <w:t>Ana María Tolosa Rico</w:t>
            </w:r>
          </w:p>
          <w:p w14:paraId="48606ED4" w14:textId="77777777" w:rsidR="008B28EB" w:rsidRPr="002318C9" w:rsidRDefault="008B28EB" w:rsidP="00124D79">
            <w:pPr>
              <w:spacing w:after="0" w:line="252" w:lineRule="auto"/>
              <w:rPr>
                <w:rFonts w:ascii="Verdana" w:eastAsia="Calibri" w:hAnsi="Verdana" w:cs="Times New Roman"/>
                <w:sz w:val="16"/>
                <w:szCs w:val="16"/>
              </w:rPr>
            </w:pPr>
            <w:r w:rsidRPr="002318C9">
              <w:rPr>
                <w:rFonts w:ascii="Verdana" w:eastAsia="Calibri" w:hAnsi="Verdana" w:cs="Times New Roman"/>
                <w:sz w:val="16"/>
                <w:szCs w:val="16"/>
              </w:rPr>
              <w:t xml:space="preserve">Subdirectora de Gestión Contractual (E) ANCP – CCE </w:t>
            </w:r>
          </w:p>
        </w:tc>
      </w:tr>
    </w:tbl>
    <w:p w14:paraId="31F41986" w14:textId="77777777" w:rsidR="008B28EB" w:rsidRPr="002318C9" w:rsidRDefault="008B28EB" w:rsidP="008B28EB">
      <w:pPr>
        <w:spacing w:after="0" w:line="254" w:lineRule="auto"/>
        <w:jc w:val="both"/>
        <w:rPr>
          <w:rFonts w:ascii="Verdana" w:eastAsia="Calibri" w:hAnsi="Verdana" w:cs="Times New Roman"/>
        </w:rPr>
      </w:pPr>
    </w:p>
    <w:p w14:paraId="7C83F43B" w14:textId="77777777" w:rsidR="008B28EB" w:rsidRPr="0024624F" w:rsidRDefault="008B28EB" w:rsidP="008B28EB">
      <w:pPr>
        <w:spacing w:after="0"/>
        <w:rPr>
          <w:rFonts w:ascii="Verdana" w:hAnsi="Verdana"/>
        </w:rPr>
      </w:pPr>
    </w:p>
    <w:bookmarkEnd w:id="0"/>
    <w:p w14:paraId="6D3D715E" w14:textId="77777777" w:rsidR="008B28EB" w:rsidRPr="0024624F" w:rsidRDefault="008B28EB" w:rsidP="008B28EB">
      <w:pPr>
        <w:spacing w:after="0"/>
        <w:rPr>
          <w:rFonts w:ascii="Verdana" w:hAnsi="Verdana"/>
        </w:rPr>
      </w:pPr>
    </w:p>
    <w:p w14:paraId="5D64733D" w14:textId="4411D394" w:rsidR="007A1830" w:rsidRPr="008B28EB" w:rsidRDefault="007A1830" w:rsidP="008B28EB"/>
    <w:sectPr w:rsidR="007A1830" w:rsidRPr="008B28EB"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260BF3" w14:textId="77777777" w:rsidR="004075BE" w:rsidRDefault="004075BE" w:rsidP="004A1847">
      <w:pPr>
        <w:spacing w:after="0" w:line="240" w:lineRule="auto"/>
      </w:pPr>
      <w:r>
        <w:separator/>
      </w:r>
    </w:p>
  </w:endnote>
  <w:endnote w:type="continuationSeparator" w:id="0">
    <w:p w14:paraId="2A4E4211" w14:textId="77777777" w:rsidR="004075BE" w:rsidRDefault="004075B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altName w:val="Calibri"/>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39AEED1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F44D5E" w:rsidRPr="00F44D5E">
      <w:rPr>
        <w:rFonts w:ascii="Verdana" w:eastAsiaTheme="minorEastAsia" w:hAnsi="Verdana"/>
        <w:b/>
        <w:bCs/>
        <w:noProof/>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A31A76" w:rsidRDefault="00A31A76">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370D13" w14:textId="77777777" w:rsidR="004075BE" w:rsidRDefault="004075BE" w:rsidP="004A1847">
      <w:pPr>
        <w:spacing w:after="0" w:line="240" w:lineRule="auto"/>
      </w:pPr>
      <w:r>
        <w:separator/>
      </w:r>
    </w:p>
  </w:footnote>
  <w:footnote w:type="continuationSeparator" w:id="0">
    <w:p w14:paraId="05A57A83" w14:textId="77777777" w:rsidR="004075BE" w:rsidRDefault="004075BE" w:rsidP="004A1847">
      <w:pPr>
        <w:spacing w:after="0" w:line="240" w:lineRule="auto"/>
      </w:pPr>
      <w:r>
        <w:continuationSeparator/>
      </w:r>
    </w:p>
  </w:footnote>
  <w:footnote w:id="1">
    <w:p w14:paraId="2509C5A9" w14:textId="77777777" w:rsidR="008B28EB" w:rsidRDefault="008B28EB" w:rsidP="008B28EB">
      <w:pPr>
        <w:pStyle w:val="Textonotapie"/>
        <w:ind w:firstLine="708"/>
        <w:jc w:val="both"/>
        <w:rPr>
          <w:rFonts w:ascii="Verdana" w:hAnsi="Verdana" w:cs="Arial"/>
          <w:sz w:val="16"/>
          <w:szCs w:val="16"/>
        </w:rPr>
      </w:pPr>
      <w:r w:rsidRPr="00D40286">
        <w:rPr>
          <w:rStyle w:val="Refdenotaalpie"/>
          <w:rFonts w:ascii="Verdana" w:hAnsi="Verdana" w:cs="Arial"/>
          <w:sz w:val="16"/>
          <w:szCs w:val="16"/>
        </w:rPr>
        <w:footnoteRef/>
      </w:r>
      <w:r w:rsidRPr="00D40286">
        <w:rPr>
          <w:rFonts w:ascii="Verdana" w:hAnsi="Verdana" w:cs="Arial"/>
          <w:sz w:val="16"/>
          <w:szCs w:val="16"/>
        </w:rPr>
        <w:t xml:space="preserve"> Cfr. BENAVIDES, José Luis. El contrato estatal: entre el derecho público y el derecho privado. Segunda edición. Bogotá: Universidad Externado de Colombia, 2009. pp. 78-79.      </w:t>
      </w:r>
    </w:p>
    <w:p w14:paraId="02F09C85" w14:textId="77777777" w:rsidR="008B28EB" w:rsidRPr="00D40286" w:rsidRDefault="008B28EB" w:rsidP="008B28EB">
      <w:pPr>
        <w:pStyle w:val="Textonotapie"/>
        <w:ind w:firstLine="708"/>
        <w:jc w:val="both"/>
        <w:rPr>
          <w:rFonts w:ascii="Verdana" w:hAnsi="Verdana" w:cs="Arial"/>
          <w:sz w:val="16"/>
          <w:szCs w:val="16"/>
          <w:lang w:val="es-ES"/>
        </w:rPr>
      </w:pPr>
    </w:p>
  </w:footnote>
  <w:footnote w:id="2">
    <w:p w14:paraId="63B14FAA" w14:textId="77777777" w:rsidR="008B28EB" w:rsidRPr="00BB49D3" w:rsidRDefault="008B28EB" w:rsidP="008B28EB">
      <w:pPr>
        <w:pStyle w:val="Textonotapie"/>
        <w:ind w:firstLine="708"/>
        <w:jc w:val="both"/>
        <w:rPr>
          <w:rFonts w:ascii="Verdana" w:hAnsi="Verdana" w:cs="Arial"/>
          <w:sz w:val="16"/>
          <w:szCs w:val="16"/>
        </w:rPr>
      </w:pPr>
      <w:r w:rsidRPr="00D40286">
        <w:rPr>
          <w:rStyle w:val="Refdenotaalpie"/>
          <w:rFonts w:ascii="Verdana" w:hAnsi="Verdana" w:cs="Arial"/>
          <w:sz w:val="16"/>
          <w:szCs w:val="16"/>
        </w:rPr>
        <w:footnoteRef/>
      </w:r>
      <w:r w:rsidRPr="00D40286">
        <w:rPr>
          <w:rFonts w:ascii="Verdana" w:hAnsi="Verdana" w:cs="Arial"/>
          <w:sz w:val="16"/>
          <w:szCs w:val="16"/>
        </w:rPr>
        <w:t xml:space="preserve"> BETANCUR JARAMILLO, Carlos. Derecho procesal administrativo. Octava edición. Medellín: Señal Editora, 2013. p. 627. </w:t>
      </w:r>
    </w:p>
  </w:footnote>
  <w:footnote w:id="3">
    <w:p w14:paraId="244A1330" w14:textId="77777777" w:rsidR="008B28EB" w:rsidRPr="00CD2FB8" w:rsidRDefault="008B28EB" w:rsidP="008B28EB">
      <w:pPr>
        <w:pStyle w:val="Textoindependiente"/>
        <w:ind w:firstLine="708"/>
        <w:contextualSpacing/>
        <w:jc w:val="both"/>
        <w:rPr>
          <w:rFonts w:ascii="Verdana" w:hAnsi="Verdana"/>
          <w:sz w:val="16"/>
          <w:szCs w:val="16"/>
        </w:rPr>
      </w:pPr>
      <w:r w:rsidRPr="00CD2FB8">
        <w:rPr>
          <w:rStyle w:val="Refdenotaalpie"/>
          <w:rFonts w:ascii="Verdana" w:hAnsi="Verdana"/>
          <w:sz w:val="16"/>
          <w:szCs w:val="16"/>
        </w:rPr>
        <w:footnoteRef/>
      </w:r>
      <w:r w:rsidRPr="00CD2FB8">
        <w:rPr>
          <w:rFonts w:ascii="Verdana" w:hAnsi="Verdana"/>
          <w:sz w:val="16"/>
          <w:szCs w:val="16"/>
        </w:rPr>
        <w:t xml:space="preserve"> </w:t>
      </w:r>
      <w:r w:rsidRPr="00CD2FB8">
        <w:rPr>
          <w:rFonts w:ascii="Verdana" w:hAnsi="Verdana"/>
          <w:sz w:val="16"/>
          <w:szCs w:val="16"/>
          <w:lang w:val="es-ES_tradnl"/>
        </w:rPr>
        <w:t xml:space="preserve">El artículo 2º define, para los efectos del ámbito de sujeción del estatuto, que se denominan entidades estatales: “a) </w:t>
      </w:r>
      <w:r w:rsidRPr="00CD2FB8">
        <w:rPr>
          <w:rFonts w:ascii="Verdana" w:hAnsi="Verdana"/>
          <w:sz w:val="16"/>
          <w:szCs w:val="16"/>
        </w:rPr>
        <w:t>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w:t>
      </w:r>
    </w:p>
    <w:p w14:paraId="48CEEE88" w14:textId="77777777" w:rsidR="008B28EB" w:rsidRPr="00CD2FB8" w:rsidRDefault="008B28EB" w:rsidP="008B28EB">
      <w:pPr>
        <w:pStyle w:val="Textoindependiente"/>
        <w:ind w:firstLine="708"/>
        <w:contextualSpacing/>
        <w:jc w:val="both"/>
        <w:rPr>
          <w:rFonts w:ascii="Verdana" w:hAnsi="Verdana"/>
          <w:sz w:val="16"/>
          <w:szCs w:val="16"/>
        </w:rPr>
      </w:pPr>
    </w:p>
  </w:footnote>
  <w:footnote w:id="4">
    <w:p w14:paraId="45A1A5EE" w14:textId="77777777" w:rsidR="008B28EB" w:rsidRPr="002F1507" w:rsidRDefault="008B28EB" w:rsidP="008B28EB">
      <w:pPr>
        <w:pStyle w:val="Textonotapie"/>
        <w:ind w:firstLine="709"/>
        <w:jc w:val="both"/>
        <w:rPr>
          <w:rFonts w:ascii="Verdana" w:hAnsi="Verdana"/>
          <w:sz w:val="16"/>
          <w:szCs w:val="16"/>
        </w:rPr>
      </w:pPr>
      <w:r w:rsidRPr="002F1507">
        <w:rPr>
          <w:rStyle w:val="Refdenotaalpie"/>
          <w:rFonts w:ascii="Verdana" w:hAnsi="Verdana"/>
          <w:sz w:val="16"/>
          <w:szCs w:val="16"/>
        </w:rPr>
        <w:footnoteRef/>
      </w:r>
      <w:r w:rsidRPr="002F1507">
        <w:rPr>
          <w:rFonts w:ascii="Verdana" w:hAnsi="Verdana"/>
          <w:sz w:val="16"/>
          <w:szCs w:val="16"/>
        </w:rPr>
        <w:t xml:space="preserve"> SÁNCHEZ TRUJILLO, Juan Pablo. Completitud de la oferta del contrato atípico: elementos esenciales del contrato atípico como requisito de delimitación del objeto de la oferta mercantil. Consultado el </w:t>
      </w:r>
      <w:r>
        <w:rPr>
          <w:rFonts w:ascii="Verdana" w:hAnsi="Verdana"/>
          <w:sz w:val="16"/>
          <w:szCs w:val="16"/>
        </w:rPr>
        <w:t xml:space="preserve">14 de noviembre </w:t>
      </w:r>
      <w:r w:rsidRPr="002F1507">
        <w:rPr>
          <w:rFonts w:ascii="Verdana" w:hAnsi="Verdana"/>
          <w:sz w:val="16"/>
          <w:szCs w:val="16"/>
        </w:rPr>
        <w:t xml:space="preserve">de 2025 en la página web </w:t>
      </w:r>
      <w:hyperlink r:id="rId1" w:history="1">
        <w:r w:rsidRPr="002F1507">
          <w:rPr>
            <w:rStyle w:val="Hipervnculo"/>
            <w:rFonts w:ascii="Verdana" w:hAnsi="Verdana"/>
            <w:sz w:val="16"/>
            <w:szCs w:val="16"/>
          </w:rPr>
          <w:t>https://revistas.udea.edu.co/index.php/derypol/article/view/331285/20790715</w:t>
        </w:r>
      </w:hyperlink>
      <w:r w:rsidRPr="002F1507">
        <w:rPr>
          <w:rFonts w:ascii="Verdana" w:hAnsi="Verdana"/>
          <w:sz w:val="16"/>
          <w:szCs w:val="16"/>
        </w:rPr>
        <w:t xml:space="preserve">. </w:t>
      </w:r>
    </w:p>
  </w:footnote>
  <w:footnote w:id="5">
    <w:p w14:paraId="65678316" w14:textId="77777777" w:rsidR="008B28EB" w:rsidRPr="0031671B" w:rsidRDefault="008B28EB" w:rsidP="008B28EB">
      <w:pPr>
        <w:pStyle w:val="Textonotapie"/>
        <w:ind w:firstLine="709"/>
        <w:jc w:val="both"/>
        <w:rPr>
          <w:rFonts w:ascii="Verdana" w:hAnsi="Verdana" w:cs="Arial"/>
          <w:color w:val="000000" w:themeColor="text1"/>
          <w:sz w:val="16"/>
          <w:szCs w:val="16"/>
          <w:lang w:val="es-ES"/>
        </w:rPr>
      </w:pPr>
      <w:r w:rsidRPr="0031671B">
        <w:rPr>
          <w:rStyle w:val="Refdenotaalpie"/>
          <w:rFonts w:ascii="Verdana" w:hAnsi="Verdana" w:cs="Arial"/>
          <w:color w:val="000000" w:themeColor="text1"/>
          <w:sz w:val="16"/>
          <w:szCs w:val="16"/>
        </w:rPr>
        <w:footnoteRef/>
      </w:r>
      <w:r w:rsidRPr="0031671B">
        <w:rPr>
          <w:rFonts w:ascii="Verdana" w:hAnsi="Verdana" w:cs="Arial"/>
          <w:color w:val="000000" w:themeColor="text1"/>
          <w:sz w:val="16"/>
          <w:szCs w:val="16"/>
        </w:rPr>
        <w:t xml:space="preserve"> </w:t>
      </w:r>
      <w:r w:rsidRPr="0031671B">
        <w:rPr>
          <w:rFonts w:ascii="Verdana" w:hAnsi="Verdana" w:cs="Arial"/>
          <w:color w:val="000000" w:themeColor="text1"/>
          <w:sz w:val="16"/>
          <w:szCs w:val="16"/>
          <w:lang w:val="es-ES"/>
        </w:rPr>
        <w:t>Para la doctrina, “El arrendamiento es el contrato en virtud del cual una de las partes se obliga a proporcionarle a otra el uso y goce de una cosa, durante cierto tiempo, y ésta a pagar, como contraprestación, un precio determinado.</w:t>
      </w:r>
    </w:p>
    <w:p w14:paraId="4F1CC4D9" w14:textId="77777777" w:rsidR="008B28EB" w:rsidRPr="0031671B" w:rsidRDefault="008B28EB" w:rsidP="008B28EB">
      <w:pPr>
        <w:pStyle w:val="Textonotapie"/>
        <w:ind w:firstLine="709"/>
        <w:jc w:val="both"/>
        <w:rPr>
          <w:rFonts w:ascii="Verdana" w:hAnsi="Verdana" w:cs="Arial"/>
          <w:color w:val="000000" w:themeColor="text1"/>
          <w:sz w:val="16"/>
          <w:szCs w:val="16"/>
          <w:lang w:val="es-ES"/>
        </w:rPr>
      </w:pPr>
      <w:r w:rsidRPr="0031671B">
        <w:rPr>
          <w:rFonts w:ascii="Verdana" w:hAnsi="Verdana" w:cs="Arial"/>
          <w:color w:val="000000" w:themeColor="text1"/>
          <w:sz w:val="16"/>
          <w:szCs w:val="16"/>
          <w:lang w:val="es-ES"/>
        </w:rPr>
        <w:t xml:space="preserve">La parte que proporciona el goce se llama </w:t>
      </w:r>
      <w:r w:rsidRPr="0031671B">
        <w:rPr>
          <w:rFonts w:ascii="Verdana" w:hAnsi="Verdana" w:cs="Arial"/>
          <w:b/>
          <w:bCs/>
          <w:color w:val="000000" w:themeColor="text1"/>
          <w:sz w:val="16"/>
          <w:szCs w:val="16"/>
          <w:lang w:val="es-ES"/>
        </w:rPr>
        <w:t>arrendador</w:t>
      </w:r>
      <w:r w:rsidRPr="0031671B">
        <w:rPr>
          <w:rFonts w:ascii="Verdana" w:hAnsi="Verdana" w:cs="Arial"/>
          <w:color w:val="000000" w:themeColor="text1"/>
          <w:sz w:val="16"/>
          <w:szCs w:val="16"/>
          <w:lang w:val="es-ES"/>
        </w:rPr>
        <w:t xml:space="preserve"> y la parte que da el precio </w:t>
      </w:r>
      <w:r w:rsidRPr="0031671B">
        <w:rPr>
          <w:rFonts w:ascii="Verdana" w:hAnsi="Verdana" w:cs="Arial"/>
          <w:b/>
          <w:bCs/>
          <w:color w:val="000000" w:themeColor="text1"/>
          <w:sz w:val="16"/>
          <w:szCs w:val="16"/>
          <w:lang w:val="es-ES"/>
        </w:rPr>
        <w:t>arrendatario</w:t>
      </w:r>
      <w:r w:rsidRPr="0031671B">
        <w:rPr>
          <w:rFonts w:ascii="Verdana" w:hAnsi="Verdana" w:cs="Arial"/>
          <w:color w:val="000000" w:themeColor="text1"/>
          <w:sz w:val="16"/>
          <w:szCs w:val="16"/>
          <w:lang w:val="es-ES"/>
        </w:rPr>
        <w:t xml:space="preserve">. También se conoce con el nombre de </w:t>
      </w:r>
      <w:r w:rsidRPr="0031671B">
        <w:rPr>
          <w:rFonts w:ascii="Verdana" w:hAnsi="Verdana" w:cs="Arial"/>
          <w:b/>
          <w:bCs/>
          <w:color w:val="000000" w:themeColor="text1"/>
          <w:sz w:val="16"/>
          <w:szCs w:val="16"/>
          <w:lang w:val="es-ES"/>
        </w:rPr>
        <w:t>inquilino</w:t>
      </w:r>
      <w:r w:rsidRPr="0031671B">
        <w:rPr>
          <w:rFonts w:ascii="Verdana" w:hAnsi="Verdana" w:cs="Arial"/>
          <w:color w:val="000000" w:themeColor="text1"/>
          <w:sz w:val="16"/>
          <w:szCs w:val="16"/>
          <w:lang w:val="es-ES"/>
        </w:rPr>
        <w:t xml:space="preserve"> cuando se trata de arrendamiento de casas, almacenes u otros edificios, y </w:t>
      </w:r>
      <w:r w:rsidRPr="0031671B">
        <w:rPr>
          <w:rFonts w:ascii="Verdana" w:hAnsi="Verdana" w:cs="Arial"/>
          <w:b/>
          <w:bCs/>
          <w:color w:val="000000" w:themeColor="text1"/>
          <w:sz w:val="16"/>
          <w:szCs w:val="16"/>
          <w:lang w:val="es-ES"/>
        </w:rPr>
        <w:t>colono</w:t>
      </w:r>
      <w:r w:rsidRPr="0031671B">
        <w:rPr>
          <w:rFonts w:ascii="Verdana" w:hAnsi="Verdana" w:cs="Arial"/>
          <w:color w:val="000000" w:themeColor="text1"/>
          <w:sz w:val="16"/>
          <w:szCs w:val="16"/>
          <w:lang w:val="es-ES"/>
        </w:rPr>
        <w:t xml:space="preserve"> cuando el goce radica en predio rústico. Son expresiones que, indistintamente, hace uso el Código Civil, por ejemplo, en los artículos 1977, 2028, 2037, respectivamente” (BONIVENTO FERNANDEZ, José. Los principales contratos civiles y su paralelo con los comerciales. Vigésimo segunda edición. Bogotá: Tirant lo Blanch, 2024. p. 524 p. 569. Énfasis dentro del texto). </w:t>
      </w:r>
    </w:p>
  </w:footnote>
  <w:footnote w:id="6">
    <w:p w14:paraId="1DB89B37" w14:textId="77777777" w:rsidR="008B28EB" w:rsidRPr="0031671B" w:rsidRDefault="008B28EB" w:rsidP="008B28EB">
      <w:pPr>
        <w:pStyle w:val="Textonotapie"/>
        <w:ind w:firstLine="708"/>
        <w:jc w:val="both"/>
        <w:rPr>
          <w:rFonts w:ascii="Verdana" w:hAnsi="Verdana" w:cs="Arial"/>
          <w:sz w:val="16"/>
          <w:szCs w:val="16"/>
        </w:rPr>
      </w:pPr>
      <w:r w:rsidRPr="0031671B">
        <w:rPr>
          <w:rStyle w:val="Refdenotaalpie"/>
          <w:rFonts w:ascii="Verdana" w:hAnsi="Verdana" w:cs="Arial"/>
          <w:sz w:val="16"/>
          <w:szCs w:val="16"/>
        </w:rPr>
        <w:footnoteRef/>
      </w:r>
      <w:r w:rsidRPr="0031671B">
        <w:rPr>
          <w:rFonts w:ascii="Verdana" w:hAnsi="Verdana" w:cs="Arial"/>
          <w:sz w:val="16"/>
          <w:szCs w:val="16"/>
        </w:rPr>
        <w:t xml:space="preserve"> Lo anterior bajo el régimen del derecho privado, sin perjuicio de que cuando se trata de un contrato estatal deben cumplirse los requisitos de perfeccionamiento establecidos en el artículo 41 de la Ley 80 de 1993.</w:t>
      </w:r>
    </w:p>
  </w:footnote>
  <w:footnote w:id="7">
    <w:p w14:paraId="4E27536A" w14:textId="77777777" w:rsidR="008B28EB" w:rsidRPr="0031671B" w:rsidRDefault="008B28EB" w:rsidP="008B28EB">
      <w:pPr>
        <w:pStyle w:val="Textonotapie"/>
        <w:ind w:firstLine="709"/>
        <w:jc w:val="both"/>
        <w:rPr>
          <w:rFonts w:ascii="Verdana" w:hAnsi="Verdana" w:cs="Arial"/>
          <w:color w:val="000000" w:themeColor="text1"/>
          <w:sz w:val="16"/>
          <w:szCs w:val="16"/>
        </w:rPr>
      </w:pPr>
      <w:r w:rsidRPr="0031671B">
        <w:rPr>
          <w:rStyle w:val="Refdenotaalpie"/>
          <w:rFonts w:ascii="Verdana" w:hAnsi="Verdana" w:cs="Arial"/>
          <w:color w:val="000000" w:themeColor="text1"/>
          <w:sz w:val="16"/>
          <w:szCs w:val="16"/>
        </w:rPr>
        <w:footnoteRef/>
      </w:r>
      <w:r w:rsidRPr="0031671B">
        <w:rPr>
          <w:rFonts w:ascii="Verdana" w:hAnsi="Verdana" w:cs="Arial"/>
          <w:color w:val="000000" w:themeColor="text1"/>
          <w:sz w:val="16"/>
          <w:szCs w:val="16"/>
        </w:rPr>
        <w:t xml:space="preserve"> </w:t>
      </w:r>
      <w:r w:rsidRPr="0031671B">
        <w:rPr>
          <w:rFonts w:ascii="Verdana" w:hAnsi="Verdana" w:cs="Arial"/>
          <w:i/>
          <w:iCs/>
          <w:color w:val="000000" w:themeColor="text1"/>
          <w:sz w:val="16"/>
          <w:szCs w:val="16"/>
        </w:rPr>
        <w:t>Ibidem</w:t>
      </w:r>
      <w:r w:rsidRPr="0031671B">
        <w:rPr>
          <w:rFonts w:ascii="Verdana" w:hAnsi="Verdana" w:cs="Arial"/>
          <w:color w:val="000000" w:themeColor="text1"/>
          <w:sz w:val="16"/>
          <w:szCs w:val="16"/>
        </w:rPr>
        <w:t>. pp. 569-570.</w:t>
      </w:r>
    </w:p>
  </w:footnote>
  <w:footnote w:id="8">
    <w:p w14:paraId="55B7D975" w14:textId="77777777" w:rsidR="008B28EB" w:rsidRPr="00020800" w:rsidRDefault="008B28EB" w:rsidP="008B28EB">
      <w:pPr>
        <w:pStyle w:val="Textonotapie"/>
        <w:ind w:firstLine="708"/>
        <w:jc w:val="both"/>
        <w:rPr>
          <w:rFonts w:ascii="Verdana" w:hAnsi="Verdana"/>
          <w:sz w:val="16"/>
          <w:szCs w:val="16"/>
          <w:lang w:val="es-ES"/>
        </w:rPr>
      </w:pPr>
      <w:r w:rsidRPr="0018175B">
        <w:rPr>
          <w:rStyle w:val="Refdenotaalpie"/>
          <w:rFonts w:ascii="Verdana" w:hAnsi="Verdana"/>
          <w:sz w:val="16"/>
          <w:szCs w:val="16"/>
        </w:rPr>
        <w:footnoteRef/>
      </w:r>
      <w:r w:rsidRPr="0018175B">
        <w:rPr>
          <w:rFonts w:ascii="Verdana" w:hAnsi="Verdana"/>
          <w:sz w:val="16"/>
          <w:szCs w:val="16"/>
        </w:rPr>
        <w:t xml:space="preserve"> </w:t>
      </w:r>
      <w:r w:rsidRPr="0018175B">
        <w:rPr>
          <w:rFonts w:ascii="Verdana" w:hAnsi="Verdana" w:cs="Times New Roman"/>
          <w:sz w:val="16"/>
          <w:szCs w:val="16"/>
          <w:lang w:val="es-ES"/>
        </w:rPr>
        <w:t xml:space="preserve">Consejo </w:t>
      </w:r>
      <w:r>
        <w:rPr>
          <w:rFonts w:ascii="Verdana" w:hAnsi="Verdana" w:cs="Times New Roman"/>
          <w:sz w:val="16"/>
          <w:szCs w:val="16"/>
          <w:lang w:val="es-ES"/>
        </w:rPr>
        <w:t>d</w:t>
      </w:r>
      <w:r w:rsidRPr="0018175B">
        <w:rPr>
          <w:rFonts w:ascii="Verdana" w:hAnsi="Verdana" w:cs="Times New Roman"/>
          <w:sz w:val="16"/>
          <w:szCs w:val="16"/>
          <w:lang w:val="es-ES"/>
        </w:rPr>
        <w:t>e Estado, Sala Plena Contenciosa. Sentencia del 14 de agosto de 2018, Radicado.</w:t>
      </w:r>
      <w:r w:rsidRPr="0018175B">
        <w:rPr>
          <w:rFonts w:ascii="Verdana" w:hAnsi="Verdana"/>
          <w:sz w:val="16"/>
          <w:szCs w:val="16"/>
        </w:rPr>
        <w:t xml:space="preserve"> </w:t>
      </w:r>
      <w:r w:rsidRPr="0018175B">
        <w:rPr>
          <w:rFonts w:ascii="Verdana" w:hAnsi="Verdana" w:cs="Times New Roman"/>
          <w:sz w:val="16"/>
          <w:szCs w:val="16"/>
        </w:rPr>
        <w:t>05001-33-31-003-2009-00157-01(AP)SU.</w:t>
      </w:r>
      <w:r w:rsidRPr="0018175B">
        <w:rPr>
          <w:rFonts w:ascii="Verdana" w:hAnsi="Verdana" w:cs="Times New Roman"/>
          <w:sz w:val="16"/>
          <w:szCs w:val="16"/>
          <w:lang w:val="es-ES"/>
        </w:rPr>
        <w:t xml:space="preserve"> C.P. Oswaldo Giraldo López.</w:t>
      </w:r>
    </w:p>
  </w:footnote>
  <w:footnote w:id="9">
    <w:p w14:paraId="091E3014" w14:textId="77777777" w:rsidR="008B28EB" w:rsidRPr="0018175B" w:rsidRDefault="008B28EB" w:rsidP="008B28EB">
      <w:pPr>
        <w:pStyle w:val="Textonotapie"/>
        <w:ind w:firstLine="708"/>
        <w:jc w:val="both"/>
        <w:rPr>
          <w:rFonts w:ascii="Verdana" w:hAnsi="Verdana" w:cs="Times New Roman"/>
          <w:sz w:val="16"/>
          <w:szCs w:val="16"/>
          <w:lang w:val="es-ES"/>
        </w:rPr>
      </w:pPr>
      <w:r w:rsidRPr="0018175B">
        <w:rPr>
          <w:rStyle w:val="Refdenotaalpie"/>
          <w:rFonts w:ascii="Verdana" w:hAnsi="Verdana"/>
          <w:sz w:val="16"/>
          <w:szCs w:val="16"/>
        </w:rPr>
        <w:footnoteRef/>
      </w:r>
      <w:r w:rsidRPr="0018175B">
        <w:rPr>
          <w:rFonts w:ascii="Verdana" w:hAnsi="Verdana"/>
          <w:sz w:val="16"/>
          <w:szCs w:val="16"/>
        </w:rPr>
        <w:t xml:space="preserve"> </w:t>
      </w:r>
      <w:r w:rsidRPr="0018175B">
        <w:rPr>
          <w:rFonts w:ascii="Verdana" w:hAnsi="Verdana" w:cs="Times New Roman"/>
          <w:sz w:val="16"/>
          <w:szCs w:val="16"/>
          <w:lang w:val="es-ES"/>
        </w:rPr>
        <w:t xml:space="preserve">Consejo </w:t>
      </w:r>
      <w:r>
        <w:rPr>
          <w:rFonts w:ascii="Verdana" w:hAnsi="Verdana" w:cs="Times New Roman"/>
          <w:sz w:val="16"/>
          <w:szCs w:val="16"/>
          <w:lang w:val="es-ES"/>
        </w:rPr>
        <w:t>d</w:t>
      </w:r>
      <w:r w:rsidRPr="0018175B">
        <w:rPr>
          <w:rFonts w:ascii="Verdana" w:hAnsi="Verdana" w:cs="Times New Roman"/>
          <w:sz w:val="16"/>
          <w:szCs w:val="16"/>
          <w:lang w:val="es-ES"/>
        </w:rPr>
        <w:t>e Estado, Sala Plena Contenciosa. Sentencia del 14 de agosto de 2018, Radicado.</w:t>
      </w:r>
      <w:r w:rsidRPr="0018175B">
        <w:rPr>
          <w:rFonts w:ascii="Verdana" w:hAnsi="Verdana"/>
          <w:sz w:val="16"/>
          <w:szCs w:val="16"/>
        </w:rPr>
        <w:t xml:space="preserve"> </w:t>
      </w:r>
      <w:r w:rsidRPr="0018175B">
        <w:rPr>
          <w:rFonts w:ascii="Verdana" w:hAnsi="Verdana" w:cs="Times New Roman"/>
          <w:sz w:val="16"/>
          <w:szCs w:val="16"/>
        </w:rPr>
        <w:t>05001-33-31-003-2009-00157-01(AP)SU.</w:t>
      </w:r>
      <w:r w:rsidRPr="0018175B">
        <w:rPr>
          <w:rFonts w:ascii="Verdana" w:hAnsi="Verdana" w:cs="Times New Roman"/>
          <w:sz w:val="16"/>
          <w:szCs w:val="16"/>
          <w:lang w:val="es-ES"/>
        </w:rPr>
        <w:t xml:space="preserve"> C.P. Oswaldo Giraldo López.</w:t>
      </w:r>
    </w:p>
    <w:p w14:paraId="6627292F" w14:textId="77777777" w:rsidR="008B28EB" w:rsidRPr="0018175B" w:rsidRDefault="008B28EB" w:rsidP="008B28EB">
      <w:pPr>
        <w:pStyle w:val="Textonotapie"/>
        <w:ind w:firstLine="708"/>
        <w:jc w:val="both"/>
        <w:rPr>
          <w:rFonts w:ascii="Verdana" w:hAnsi="Verdana"/>
          <w:sz w:val="16"/>
          <w:szCs w:val="16"/>
        </w:rPr>
      </w:pPr>
    </w:p>
  </w:footnote>
  <w:footnote w:id="10">
    <w:p w14:paraId="0763D994" w14:textId="77777777" w:rsidR="008B28EB" w:rsidRPr="00020800" w:rsidRDefault="008B28EB" w:rsidP="008B28EB">
      <w:pPr>
        <w:pStyle w:val="Textonotapie"/>
        <w:ind w:firstLine="708"/>
        <w:jc w:val="both"/>
        <w:rPr>
          <w:rFonts w:ascii="Verdana" w:hAnsi="Verdana"/>
          <w:sz w:val="16"/>
          <w:szCs w:val="16"/>
          <w:lang w:val="es-ES"/>
        </w:rPr>
      </w:pPr>
      <w:r w:rsidRPr="0018175B">
        <w:rPr>
          <w:rStyle w:val="Refdenotaalpie"/>
          <w:rFonts w:ascii="Verdana" w:hAnsi="Verdana"/>
          <w:sz w:val="16"/>
          <w:szCs w:val="16"/>
        </w:rPr>
        <w:footnoteRef/>
      </w:r>
      <w:r w:rsidRPr="0018175B">
        <w:rPr>
          <w:rFonts w:ascii="Verdana" w:hAnsi="Verdana"/>
          <w:sz w:val="16"/>
          <w:szCs w:val="16"/>
        </w:rPr>
        <w:t xml:space="preserve"> Al respecto, en dicha Sentencia de Unificación se cita a: </w:t>
      </w:r>
      <w:r w:rsidRPr="0018175B">
        <w:rPr>
          <w:rFonts w:ascii="Verdana" w:hAnsi="Verdana"/>
          <w:sz w:val="16"/>
          <w:szCs w:val="16"/>
          <w:lang w:val="es-CO"/>
        </w:rPr>
        <w:t xml:space="preserve">GÓMEZ ESTRADA, Cesar. De los principales contratos civiles. Santafé de Bogotá: Editorial Temis, 1996, p. 183. 160. Distinción entre el arrendamiento y otras figuras afines. “[…] A) Entre el arrendamiento de cosas y la venta existen varios puntos de contacto, tantos que alguien ha considerado que el contrato de arrendamiento no es a la postre nada distinto a la venta temporal del uso de un bien. Nuestro resaltado tiene como propósito significar la propagación de una idea sin autor ni contexto conocido”. </w:t>
      </w:r>
    </w:p>
  </w:footnote>
  <w:footnote w:id="11">
    <w:p w14:paraId="1C9EACA7" w14:textId="77777777" w:rsidR="008B28EB" w:rsidRPr="00E15D88" w:rsidRDefault="008B28EB" w:rsidP="008B28EB">
      <w:pPr>
        <w:pStyle w:val="Textonotapie"/>
        <w:ind w:firstLine="709"/>
        <w:jc w:val="both"/>
        <w:rPr>
          <w:rFonts w:ascii="Verdana" w:hAnsi="Verdana" w:cs="Arial"/>
          <w:sz w:val="16"/>
          <w:szCs w:val="16"/>
        </w:rPr>
      </w:pPr>
      <w:r w:rsidRPr="00E15D88">
        <w:rPr>
          <w:rStyle w:val="Refdenotaalpie"/>
          <w:rFonts w:ascii="Verdana" w:hAnsi="Verdana" w:cs="Arial"/>
          <w:sz w:val="16"/>
          <w:szCs w:val="16"/>
        </w:rPr>
        <w:footnoteRef/>
      </w:r>
      <w:r w:rsidRPr="00E15D88">
        <w:rPr>
          <w:rFonts w:ascii="Verdana" w:hAnsi="Verdana" w:cs="Arial"/>
          <w:sz w:val="16"/>
          <w:szCs w:val="16"/>
        </w:rPr>
        <w:t xml:space="preserve"> Código Civil: </w:t>
      </w:r>
      <w:r>
        <w:rPr>
          <w:rFonts w:ascii="Verdana" w:hAnsi="Verdana" w:cs="Arial"/>
          <w:sz w:val="16"/>
          <w:szCs w:val="16"/>
        </w:rPr>
        <w:t>“</w:t>
      </w:r>
      <w:r w:rsidRPr="00E15D88">
        <w:rPr>
          <w:rFonts w:ascii="Verdana" w:hAnsi="Verdana" w:cs="Arial"/>
          <w:sz w:val="16"/>
          <w:szCs w:val="16"/>
        </w:rPr>
        <w:t>Articulo 1551. Definición de plazo. El plazo es la época que se fija para el cumplimiento de la obligación; puede ser expreso o tácito. Es tácito, el indispensable para cumplirlo.</w:t>
      </w:r>
    </w:p>
    <w:p w14:paraId="0E524AC1" w14:textId="77777777" w:rsidR="008B28EB" w:rsidRPr="00E15D88" w:rsidRDefault="008B28EB" w:rsidP="008B28EB">
      <w:pPr>
        <w:pStyle w:val="Textonotapie"/>
        <w:ind w:firstLine="709"/>
        <w:jc w:val="both"/>
        <w:rPr>
          <w:rFonts w:ascii="Verdana" w:hAnsi="Verdana" w:cs="Arial"/>
          <w:sz w:val="16"/>
          <w:szCs w:val="16"/>
        </w:rPr>
      </w:pPr>
      <w:r w:rsidRPr="00E15D88">
        <w:rPr>
          <w:rFonts w:ascii="Verdana" w:hAnsi="Verdana" w:cs="Arial"/>
          <w:sz w:val="16"/>
          <w:szCs w:val="16"/>
        </w:rPr>
        <w:t>No podrá el juez, sino en casos especiales que las leyes designe, señalar plazo para el cumplimiento de una obligación; solo podrá interpretar el concebido en términos vagos u oscuros, sobre cuya inteligencia y aplicación discuerden las partes</w:t>
      </w:r>
      <w:r>
        <w:rPr>
          <w:rFonts w:ascii="Verdana" w:hAnsi="Verdana" w:cs="Arial"/>
          <w:sz w:val="16"/>
          <w:szCs w:val="16"/>
        </w:rPr>
        <w:t>”.</w:t>
      </w:r>
    </w:p>
  </w:footnote>
  <w:footnote w:id="12">
    <w:p w14:paraId="060A778D" w14:textId="77777777" w:rsidR="008B28EB" w:rsidRPr="00E15D88" w:rsidRDefault="008B28EB" w:rsidP="008B28EB">
      <w:pPr>
        <w:pStyle w:val="Textonotapie"/>
        <w:ind w:firstLine="709"/>
        <w:jc w:val="both"/>
        <w:rPr>
          <w:rFonts w:ascii="Verdana" w:hAnsi="Verdana" w:cs="Arial"/>
          <w:sz w:val="16"/>
          <w:szCs w:val="16"/>
        </w:rPr>
      </w:pPr>
      <w:r w:rsidRPr="00E15D88">
        <w:rPr>
          <w:rStyle w:val="Refdenotaalpie"/>
          <w:rFonts w:ascii="Verdana" w:hAnsi="Verdana" w:cs="Arial"/>
          <w:sz w:val="16"/>
          <w:szCs w:val="16"/>
        </w:rPr>
        <w:footnoteRef/>
      </w:r>
      <w:r w:rsidRPr="00E15D88">
        <w:rPr>
          <w:rFonts w:ascii="Verdana" w:hAnsi="Verdana" w:cs="Arial"/>
          <w:sz w:val="16"/>
          <w:szCs w:val="16"/>
        </w:rPr>
        <w:t xml:space="preserve"> OSPINA FERNÁNDEZ, Guillermo. Régimen General de las Obligaciones. Editorial Temis S.A., reimpresión de la octava edición, Bogotá, 2008. p</w:t>
      </w:r>
      <w:r>
        <w:rPr>
          <w:rFonts w:ascii="Verdana" w:hAnsi="Verdana" w:cs="Arial"/>
          <w:sz w:val="16"/>
          <w:szCs w:val="16"/>
        </w:rPr>
        <w:t>p</w:t>
      </w:r>
      <w:r w:rsidRPr="00E15D88">
        <w:rPr>
          <w:rFonts w:ascii="Verdana" w:hAnsi="Verdana" w:cs="Arial"/>
          <w:sz w:val="16"/>
          <w:szCs w:val="16"/>
        </w:rPr>
        <w:t>. 218</w:t>
      </w:r>
      <w:r>
        <w:rPr>
          <w:rFonts w:ascii="Verdana" w:hAnsi="Verdana" w:cs="Arial"/>
          <w:sz w:val="16"/>
          <w:szCs w:val="16"/>
        </w:rPr>
        <w:t>-</w:t>
      </w:r>
      <w:r w:rsidRPr="00E15D88">
        <w:rPr>
          <w:rFonts w:ascii="Verdana" w:hAnsi="Verdana" w:cs="Arial"/>
          <w:sz w:val="16"/>
          <w:szCs w:val="16"/>
        </w:rPr>
        <w:t>219.</w:t>
      </w:r>
    </w:p>
  </w:footnote>
  <w:footnote w:id="13">
    <w:p w14:paraId="5A9920DB" w14:textId="77777777" w:rsidR="008B28EB" w:rsidRPr="00E15D88" w:rsidRDefault="008B28EB" w:rsidP="008B28EB">
      <w:pPr>
        <w:pStyle w:val="Textonotapie"/>
        <w:ind w:firstLine="708"/>
        <w:jc w:val="both"/>
        <w:rPr>
          <w:rFonts w:ascii="Verdana" w:hAnsi="Verdana" w:cs="Arial"/>
          <w:sz w:val="16"/>
          <w:szCs w:val="16"/>
        </w:rPr>
      </w:pPr>
      <w:r w:rsidRPr="00E15D88">
        <w:rPr>
          <w:rStyle w:val="Refdenotaalpie"/>
          <w:rFonts w:ascii="Verdana" w:hAnsi="Verdana" w:cs="Arial"/>
          <w:sz w:val="16"/>
          <w:szCs w:val="16"/>
        </w:rPr>
        <w:footnoteRef/>
      </w:r>
      <w:r w:rsidRPr="00E15D88">
        <w:rPr>
          <w:rFonts w:ascii="Verdana" w:hAnsi="Verdana" w:cs="Arial"/>
          <w:sz w:val="16"/>
          <w:szCs w:val="16"/>
        </w:rPr>
        <w:t xml:space="preserve"> FUEYO LANERI, Fernando. Derecho civil: de las obligaciones. Tomo IV. Volumen I. Santiago de Chile: Roberts y Cía. Ltda., 1958. p. 152.</w:t>
      </w:r>
    </w:p>
    <w:p w14:paraId="3F8E5A15" w14:textId="77777777" w:rsidR="008B28EB" w:rsidRPr="00E15D88" w:rsidRDefault="008B28EB" w:rsidP="008B28EB">
      <w:pPr>
        <w:pStyle w:val="Textonotapie"/>
        <w:ind w:firstLine="708"/>
        <w:jc w:val="both"/>
        <w:rPr>
          <w:rFonts w:ascii="Verdana" w:hAnsi="Verdana" w:cs="Arial"/>
          <w:sz w:val="16"/>
          <w:szCs w:val="16"/>
        </w:rPr>
      </w:pPr>
    </w:p>
  </w:footnote>
  <w:footnote w:id="14">
    <w:p w14:paraId="5322C061" w14:textId="77777777" w:rsidR="008B28EB" w:rsidRPr="00E15D88" w:rsidRDefault="008B28EB" w:rsidP="008B28EB">
      <w:pPr>
        <w:pStyle w:val="Textonotapie"/>
        <w:ind w:firstLine="708"/>
        <w:jc w:val="both"/>
        <w:rPr>
          <w:rFonts w:ascii="Verdana" w:hAnsi="Verdana" w:cs="Arial"/>
          <w:sz w:val="16"/>
          <w:szCs w:val="16"/>
        </w:rPr>
      </w:pPr>
      <w:r w:rsidRPr="00E15D88">
        <w:rPr>
          <w:rStyle w:val="Refdenotaalpie"/>
          <w:rFonts w:ascii="Verdana" w:hAnsi="Verdana" w:cs="Arial"/>
          <w:sz w:val="16"/>
          <w:szCs w:val="16"/>
        </w:rPr>
        <w:footnoteRef/>
      </w:r>
      <w:r w:rsidRPr="00E15D88">
        <w:rPr>
          <w:rFonts w:ascii="Verdana" w:hAnsi="Verdana" w:cs="Arial"/>
          <w:sz w:val="16"/>
          <w:szCs w:val="16"/>
        </w:rPr>
        <w:t xml:space="preserve"> La doctrina explica lo siguiente: </w:t>
      </w:r>
      <w:r>
        <w:rPr>
          <w:rFonts w:ascii="Verdana" w:hAnsi="Verdana" w:cs="Arial"/>
          <w:sz w:val="16"/>
          <w:szCs w:val="16"/>
        </w:rPr>
        <w:t>“</w:t>
      </w:r>
      <w:r w:rsidRPr="00E15D88">
        <w:rPr>
          <w:rFonts w:ascii="Verdana" w:hAnsi="Verdana" w:cs="Arial"/>
          <w:sz w:val="16"/>
          <w:szCs w:val="16"/>
        </w:rPr>
        <w:t xml:space="preserve">Cuando se da un plazo para que se extinga un derecho, es claro que la obligación nace pura y simple frente al acreedor, pero al llegar el plazo se le extingue su derecho, que es el que en verdad está </w:t>
      </w:r>
      <w:proofErr w:type="spellStart"/>
      <w:r w:rsidRPr="00E15D88">
        <w:rPr>
          <w:rFonts w:ascii="Verdana" w:hAnsi="Verdana" w:cs="Arial"/>
          <w:sz w:val="16"/>
          <w:szCs w:val="16"/>
        </w:rPr>
        <w:t>modalizado</w:t>
      </w:r>
      <w:proofErr w:type="spellEnd"/>
      <w:r w:rsidRPr="00E15D88">
        <w:rPr>
          <w:rFonts w:ascii="Verdana" w:hAnsi="Verdana" w:cs="Arial"/>
          <w:sz w:val="16"/>
          <w:szCs w:val="16"/>
        </w:rPr>
        <w:t>. Así, si alguien se obliga a entregar en arrendamiento un animal hasta el día treinta de cierto mes, su obligación es pura y simple. La fecha estará determinando la extinción del derecho del arrendatario. Pero, igualmente, el plazo extintivo, correlativamente, extingue la obligación, que para el caso es la que contrajo el arrendador de entregar la cosa y permitir el goce por parte del arrendatario. Y así como se extingue el derecho al goce del arrendatario y la obligación del arrendador de concederlo, también se extingue la obligación de pagar y derecho del arrendador a cobrar. Tomo ello como consecuencia de la extinción del contrato (art. 2008-2), lo que indica que el plazo extintivo es también una causal de extinción de los contratos […]</w:t>
      </w:r>
      <w:r>
        <w:rPr>
          <w:rFonts w:ascii="Verdana" w:hAnsi="Verdana" w:cs="Arial"/>
          <w:sz w:val="16"/>
          <w:szCs w:val="16"/>
        </w:rPr>
        <w:t>”</w:t>
      </w:r>
      <w:r w:rsidRPr="00E15D88">
        <w:rPr>
          <w:rFonts w:ascii="Verdana" w:hAnsi="Verdana" w:cs="Arial"/>
          <w:sz w:val="16"/>
          <w:szCs w:val="16"/>
        </w:rPr>
        <w:t xml:space="preserve"> (VELÁSQUEZ GOMÉZ, Hernán Darío. Estudio sobre las obligaciones. Bogotá: Temis, 2010. p. 137).    </w:t>
      </w:r>
    </w:p>
    <w:p w14:paraId="773B2087" w14:textId="77777777" w:rsidR="008B28EB" w:rsidRPr="00E15D88" w:rsidRDefault="008B28EB" w:rsidP="008B28EB">
      <w:pPr>
        <w:pStyle w:val="Textonotapie"/>
        <w:ind w:firstLine="708"/>
        <w:jc w:val="both"/>
        <w:rPr>
          <w:rFonts w:ascii="Verdana" w:hAnsi="Verdana" w:cs="Arial"/>
          <w:sz w:val="16"/>
          <w:szCs w:val="16"/>
          <w:lang w:val="es-ES"/>
        </w:rPr>
      </w:pPr>
      <w:r w:rsidRPr="00E15D88">
        <w:rPr>
          <w:rFonts w:ascii="Verdana" w:hAnsi="Verdana" w:cs="Arial"/>
          <w:sz w:val="16"/>
          <w:szCs w:val="16"/>
        </w:rPr>
        <w:t xml:space="preserve">    </w:t>
      </w:r>
    </w:p>
  </w:footnote>
  <w:footnote w:id="15">
    <w:p w14:paraId="325BCC56" w14:textId="77777777" w:rsidR="008B28EB" w:rsidRPr="00E15D88" w:rsidRDefault="008B28EB" w:rsidP="008B28EB">
      <w:pPr>
        <w:pStyle w:val="Textonotapie"/>
        <w:ind w:firstLine="709"/>
        <w:jc w:val="both"/>
        <w:rPr>
          <w:rFonts w:ascii="Verdana" w:hAnsi="Verdana" w:cs="Arial"/>
          <w:sz w:val="16"/>
          <w:szCs w:val="16"/>
        </w:rPr>
      </w:pPr>
      <w:r w:rsidRPr="00E15D88">
        <w:rPr>
          <w:rStyle w:val="Refdenotaalpie"/>
          <w:rFonts w:ascii="Verdana" w:hAnsi="Verdana" w:cs="Arial"/>
          <w:sz w:val="16"/>
          <w:szCs w:val="16"/>
        </w:rPr>
        <w:footnoteRef/>
      </w:r>
      <w:r w:rsidRPr="00E15D88">
        <w:rPr>
          <w:rFonts w:ascii="Verdana" w:hAnsi="Verdana" w:cs="Arial"/>
          <w:sz w:val="16"/>
          <w:szCs w:val="16"/>
        </w:rPr>
        <w:t xml:space="preserve"> Consejo </w:t>
      </w:r>
      <w:r>
        <w:rPr>
          <w:rFonts w:ascii="Verdana" w:hAnsi="Verdana" w:cs="Arial"/>
          <w:sz w:val="16"/>
          <w:szCs w:val="16"/>
        </w:rPr>
        <w:t>d</w:t>
      </w:r>
      <w:r w:rsidRPr="00E15D88">
        <w:rPr>
          <w:rFonts w:ascii="Verdana" w:hAnsi="Verdana" w:cs="Arial"/>
          <w:sz w:val="16"/>
          <w:szCs w:val="16"/>
        </w:rPr>
        <w:t>e Estado</w:t>
      </w:r>
      <w:r>
        <w:rPr>
          <w:rFonts w:ascii="Verdana" w:hAnsi="Verdana" w:cs="Arial"/>
          <w:sz w:val="16"/>
          <w:szCs w:val="16"/>
        </w:rPr>
        <w:t>.</w:t>
      </w:r>
      <w:r w:rsidRPr="00E15D88">
        <w:rPr>
          <w:rFonts w:ascii="Verdana" w:hAnsi="Verdana" w:cs="Arial"/>
          <w:sz w:val="16"/>
          <w:szCs w:val="16"/>
        </w:rPr>
        <w:t xml:space="preserve"> Sección Tercera</w:t>
      </w:r>
      <w:r>
        <w:rPr>
          <w:rFonts w:ascii="Verdana" w:hAnsi="Verdana" w:cs="Arial"/>
          <w:sz w:val="16"/>
          <w:szCs w:val="16"/>
        </w:rPr>
        <w:t>,</w:t>
      </w:r>
      <w:r w:rsidRPr="00E15D88">
        <w:rPr>
          <w:rFonts w:ascii="Verdana" w:hAnsi="Verdana" w:cs="Arial"/>
          <w:sz w:val="16"/>
          <w:szCs w:val="16"/>
        </w:rPr>
        <w:t xml:space="preserve"> Subsección C. Sentencia del 13 de febrero de 2015. </w:t>
      </w:r>
      <w:proofErr w:type="spellStart"/>
      <w:r w:rsidRPr="00E15D88">
        <w:rPr>
          <w:rFonts w:ascii="Verdana" w:hAnsi="Verdana" w:cs="Arial"/>
          <w:sz w:val="16"/>
          <w:szCs w:val="16"/>
        </w:rPr>
        <w:t>Exp</w:t>
      </w:r>
      <w:proofErr w:type="spellEnd"/>
      <w:r w:rsidRPr="00E15D88">
        <w:rPr>
          <w:rFonts w:ascii="Verdana" w:hAnsi="Verdana" w:cs="Arial"/>
          <w:sz w:val="16"/>
          <w:szCs w:val="16"/>
        </w:rPr>
        <w:t xml:space="preserve">. 26.938 C.P. Olga Mélida Valle De </w:t>
      </w:r>
      <w:proofErr w:type="spellStart"/>
      <w:r w:rsidRPr="00E15D88">
        <w:rPr>
          <w:rFonts w:ascii="Verdana" w:hAnsi="Verdana" w:cs="Arial"/>
          <w:sz w:val="16"/>
          <w:szCs w:val="16"/>
        </w:rPr>
        <w:t>De</w:t>
      </w:r>
      <w:proofErr w:type="spellEnd"/>
      <w:r w:rsidRPr="00E15D88">
        <w:rPr>
          <w:rFonts w:ascii="Verdana" w:hAnsi="Verdana" w:cs="Arial"/>
          <w:sz w:val="16"/>
          <w:szCs w:val="16"/>
        </w:rPr>
        <w:t xml:space="preserve"> la Hoz (E).</w:t>
      </w:r>
    </w:p>
    <w:p w14:paraId="06BACB4C" w14:textId="77777777" w:rsidR="008B28EB" w:rsidRPr="00E15D88" w:rsidRDefault="008B28EB" w:rsidP="008B28EB">
      <w:pPr>
        <w:pStyle w:val="Textonotapie"/>
        <w:ind w:firstLine="709"/>
        <w:jc w:val="both"/>
        <w:rPr>
          <w:rFonts w:ascii="Verdana" w:hAnsi="Verdana" w:cs="Arial"/>
          <w:sz w:val="16"/>
          <w:szCs w:val="16"/>
          <w:lang w:val="es-CO"/>
        </w:rPr>
      </w:pPr>
    </w:p>
  </w:footnote>
  <w:footnote w:id="16">
    <w:p w14:paraId="4715E419" w14:textId="77777777" w:rsidR="008B28EB" w:rsidRPr="00E15D88" w:rsidRDefault="008B28EB" w:rsidP="008B28EB">
      <w:pPr>
        <w:pStyle w:val="Textonotapie"/>
        <w:ind w:firstLine="708"/>
        <w:jc w:val="both"/>
        <w:rPr>
          <w:rFonts w:ascii="Verdana" w:hAnsi="Verdana" w:cs="Arial"/>
          <w:sz w:val="16"/>
          <w:szCs w:val="16"/>
        </w:rPr>
      </w:pPr>
      <w:r w:rsidRPr="00E15D88">
        <w:rPr>
          <w:rStyle w:val="Refdenotaalpie"/>
          <w:rFonts w:ascii="Verdana" w:hAnsi="Verdana" w:cs="Arial"/>
          <w:sz w:val="16"/>
          <w:szCs w:val="16"/>
        </w:rPr>
        <w:footnoteRef/>
      </w:r>
      <w:r w:rsidRPr="00E15D88">
        <w:rPr>
          <w:rFonts w:ascii="Verdana" w:hAnsi="Verdana" w:cs="Arial"/>
          <w:sz w:val="16"/>
          <w:szCs w:val="16"/>
        </w:rPr>
        <w:t xml:space="preserve"> Ley 80 de 1993: </w:t>
      </w:r>
      <w:r>
        <w:rPr>
          <w:rFonts w:ascii="Verdana" w:hAnsi="Verdana" w:cs="Arial"/>
          <w:sz w:val="16"/>
          <w:szCs w:val="16"/>
        </w:rPr>
        <w:t>“</w:t>
      </w:r>
      <w:r w:rsidRPr="00E15D88">
        <w:rPr>
          <w:rFonts w:ascii="Verdana" w:hAnsi="Verdana" w:cs="Arial"/>
          <w:sz w:val="16"/>
          <w:szCs w:val="16"/>
        </w:rPr>
        <w:t>Artículo 13. De la normatividad aplicable a los contratos estatales. Los contratos que celebren las entidades a que se refiere el artículo 2o. del presente estatuto se regirán por las disposiciones comerciales y civiles pertinentes, salvo en las materias particularmente reguladas en esta ley</w:t>
      </w:r>
      <w:r>
        <w:rPr>
          <w:rFonts w:ascii="Verdana" w:hAnsi="Verdana" w:cs="Arial"/>
          <w:sz w:val="16"/>
          <w:szCs w:val="16"/>
        </w:rPr>
        <w:t>”</w:t>
      </w:r>
      <w:r w:rsidRPr="00E15D88">
        <w:rPr>
          <w:rFonts w:ascii="Verdana" w:hAnsi="Verdana" w:cs="Arial"/>
          <w:sz w:val="16"/>
          <w:szCs w:val="16"/>
        </w:rPr>
        <w:t>.</w:t>
      </w:r>
    </w:p>
    <w:p w14:paraId="2DDC637B" w14:textId="77777777" w:rsidR="008B28EB" w:rsidRPr="00E15D88" w:rsidRDefault="008B28EB" w:rsidP="008B28EB">
      <w:pPr>
        <w:pStyle w:val="Textonotapie"/>
        <w:ind w:firstLine="708"/>
        <w:jc w:val="both"/>
        <w:rPr>
          <w:rFonts w:ascii="Verdana" w:hAnsi="Verdana" w:cs="Arial"/>
          <w:sz w:val="16"/>
          <w:szCs w:val="16"/>
          <w:lang w:val="es-CO"/>
        </w:rPr>
      </w:pPr>
    </w:p>
  </w:footnote>
  <w:footnote w:id="17">
    <w:p w14:paraId="7AE13BB3" w14:textId="77777777" w:rsidR="008B28EB" w:rsidRPr="00E15D88" w:rsidRDefault="008B28EB" w:rsidP="008B28EB">
      <w:pPr>
        <w:pStyle w:val="Textonotapie"/>
        <w:ind w:firstLine="708"/>
        <w:jc w:val="both"/>
        <w:rPr>
          <w:rFonts w:ascii="Verdana" w:hAnsi="Verdana" w:cs="Arial"/>
          <w:sz w:val="16"/>
          <w:szCs w:val="16"/>
        </w:rPr>
      </w:pPr>
      <w:r w:rsidRPr="00E15D88">
        <w:rPr>
          <w:rStyle w:val="Refdenotaalpie"/>
          <w:rFonts w:ascii="Verdana" w:hAnsi="Verdana" w:cs="Arial"/>
          <w:sz w:val="16"/>
          <w:szCs w:val="16"/>
        </w:rPr>
        <w:footnoteRef/>
      </w:r>
      <w:r w:rsidRPr="00E15D88">
        <w:rPr>
          <w:rFonts w:ascii="Verdana" w:hAnsi="Verdana" w:cs="Arial"/>
          <w:sz w:val="16"/>
          <w:szCs w:val="16"/>
        </w:rPr>
        <w:t xml:space="preserve"> Al respecto, la doctrina explica que </w:t>
      </w:r>
      <w:r>
        <w:rPr>
          <w:rFonts w:ascii="Verdana" w:hAnsi="Verdana" w:cs="Arial"/>
          <w:sz w:val="16"/>
          <w:szCs w:val="16"/>
        </w:rPr>
        <w:t>“</w:t>
      </w:r>
      <w:r w:rsidRPr="00E15D88">
        <w:rPr>
          <w:rFonts w:ascii="Verdana" w:hAnsi="Verdana" w:cs="Arial"/>
          <w:sz w:val="16"/>
          <w:szCs w:val="16"/>
        </w:rPr>
        <w:t xml:space="preserve">El constructor se ha obligado a construir la obra, y no solo a poner los medios necesarios para ello, porque ha asumido una obligación de resultado. Su culminación es la entrega de la obra terminada o de lo que la obra produce, al comitente. </w:t>
      </w:r>
      <w:r w:rsidRPr="00E15D88">
        <w:rPr>
          <w:rFonts w:ascii="Verdana" w:hAnsi="Verdana" w:cs="Arial"/>
          <w:i/>
          <w:iCs/>
          <w:sz w:val="16"/>
          <w:szCs w:val="16"/>
        </w:rPr>
        <w:t>En tanto acto material, la entrega es simultáneamente el medio por el por el que se da cumplimiento a la obligación principal del constructor y se satisface el derecho principal del comitente</w:t>
      </w:r>
      <w:r w:rsidRPr="00E15D88">
        <w:rPr>
          <w:rFonts w:ascii="Verdana" w:hAnsi="Verdana" w:cs="Arial"/>
          <w:sz w:val="16"/>
          <w:szCs w:val="16"/>
        </w:rPr>
        <w:t>. La recepción es, consecuentemente, un derecho del constructor y una obligación del comitente, aunque sea obvio destacarlo</w:t>
      </w:r>
      <w:r>
        <w:rPr>
          <w:rFonts w:ascii="Verdana" w:hAnsi="Verdana" w:cs="Arial"/>
          <w:sz w:val="16"/>
          <w:szCs w:val="16"/>
        </w:rPr>
        <w:t>”</w:t>
      </w:r>
      <w:r w:rsidRPr="00E15D88">
        <w:rPr>
          <w:rFonts w:ascii="Verdana" w:hAnsi="Verdana" w:cs="Arial"/>
          <w:sz w:val="16"/>
          <w:szCs w:val="16"/>
        </w:rPr>
        <w:t xml:space="preserve"> (PODETTI, Humberto. El contrato de construcción. Buenos Aires: Editorial Astrea, 2004. p. 435, cursivas fuera de texto).    </w:t>
      </w:r>
    </w:p>
    <w:p w14:paraId="2DBC2FF3" w14:textId="77777777" w:rsidR="008B28EB" w:rsidRPr="00E15D88" w:rsidRDefault="008B28EB" w:rsidP="008B28EB">
      <w:pPr>
        <w:pStyle w:val="Textonotapie"/>
        <w:ind w:firstLine="708"/>
        <w:jc w:val="both"/>
        <w:rPr>
          <w:rFonts w:ascii="Verdana" w:hAnsi="Verdana" w:cs="Arial"/>
          <w:sz w:val="16"/>
          <w:szCs w:val="16"/>
          <w:lang w:val="es-ES"/>
        </w:rPr>
      </w:pPr>
    </w:p>
  </w:footnote>
  <w:footnote w:id="18">
    <w:p w14:paraId="278842BD" w14:textId="77777777" w:rsidR="008B28EB" w:rsidRPr="00E15D88" w:rsidRDefault="008B28EB" w:rsidP="008B28EB">
      <w:pPr>
        <w:pStyle w:val="Textonotapie"/>
        <w:ind w:firstLine="708"/>
        <w:jc w:val="both"/>
        <w:rPr>
          <w:rFonts w:ascii="Verdana" w:hAnsi="Verdana" w:cs="Arial"/>
          <w:sz w:val="16"/>
          <w:szCs w:val="16"/>
        </w:rPr>
      </w:pPr>
      <w:r w:rsidRPr="00E15D88">
        <w:rPr>
          <w:rStyle w:val="Refdenotaalpie"/>
          <w:rFonts w:ascii="Verdana" w:hAnsi="Verdana" w:cs="Arial"/>
          <w:sz w:val="16"/>
          <w:szCs w:val="16"/>
        </w:rPr>
        <w:footnoteRef/>
      </w:r>
      <w:r w:rsidRPr="00E15D88">
        <w:rPr>
          <w:rFonts w:ascii="Verdana" w:hAnsi="Verdana" w:cs="Arial"/>
          <w:sz w:val="16"/>
          <w:szCs w:val="16"/>
        </w:rPr>
        <w:t xml:space="preserve"> </w:t>
      </w:r>
      <w:r w:rsidRPr="00E15D88">
        <w:rPr>
          <w:rFonts w:ascii="Verdana" w:hAnsi="Verdana" w:cs="Arial"/>
          <w:i/>
          <w:iCs/>
          <w:sz w:val="16"/>
          <w:szCs w:val="16"/>
        </w:rPr>
        <w:t>Ibidem</w:t>
      </w:r>
      <w:r w:rsidRPr="00E15D88">
        <w:rPr>
          <w:rFonts w:ascii="Verdana" w:hAnsi="Verdana" w:cs="Arial"/>
          <w:sz w:val="16"/>
          <w:szCs w:val="16"/>
        </w:rPr>
        <w:t xml:space="preserve">., p. 435. </w:t>
      </w:r>
    </w:p>
    <w:p w14:paraId="31750EC0" w14:textId="77777777" w:rsidR="008B28EB" w:rsidRPr="00E15D88" w:rsidRDefault="008B28EB" w:rsidP="008B28EB">
      <w:pPr>
        <w:pStyle w:val="Textonotapie"/>
        <w:ind w:firstLine="708"/>
        <w:jc w:val="both"/>
        <w:rPr>
          <w:rFonts w:ascii="Verdana" w:hAnsi="Verdana" w:cs="Arial"/>
          <w:sz w:val="16"/>
          <w:szCs w:val="16"/>
          <w:lang w:val="es-ES"/>
        </w:rPr>
      </w:pPr>
    </w:p>
  </w:footnote>
  <w:footnote w:id="19">
    <w:p w14:paraId="72C3972A" w14:textId="77777777" w:rsidR="008B28EB" w:rsidRPr="00F73D92" w:rsidRDefault="008B28EB" w:rsidP="008B28EB">
      <w:pPr>
        <w:pStyle w:val="Textonotapie"/>
        <w:ind w:firstLine="708"/>
        <w:jc w:val="both"/>
        <w:rPr>
          <w:rFonts w:ascii="Verdana" w:hAnsi="Verdana" w:cs="Arial"/>
          <w:sz w:val="16"/>
          <w:szCs w:val="16"/>
        </w:rPr>
      </w:pPr>
      <w:r w:rsidRPr="00F73D92">
        <w:rPr>
          <w:rStyle w:val="Refdenotaalpie"/>
          <w:rFonts w:ascii="Verdana" w:hAnsi="Verdana" w:cs="Arial"/>
          <w:sz w:val="16"/>
          <w:szCs w:val="16"/>
        </w:rPr>
        <w:footnoteRef/>
      </w:r>
      <w:r>
        <w:rPr>
          <w:rFonts w:ascii="Verdana" w:hAnsi="Verdana" w:cs="Arial"/>
          <w:sz w:val="16"/>
          <w:szCs w:val="16"/>
        </w:rPr>
        <w:t xml:space="preserve"> “</w:t>
      </w:r>
      <w:r w:rsidRPr="00F73D92">
        <w:rPr>
          <w:rFonts w:ascii="Verdana" w:hAnsi="Verdana" w:cs="Arial"/>
          <w:sz w:val="16"/>
          <w:szCs w:val="16"/>
        </w:rPr>
        <w:t>El instrumento principal de la actividad financiera del gobierno es el presupuesto público, el cual es también la carta de orientación para la ejecución de las finanzas estatales, instrumento de planificación y cumplimiento de planes y programas que refleja la actividad gubernamental y el cumplimiento de la Constitución Política en los ámbitos políticos, económicos, jurídicos y sociales. […] El presupuesto enmarca toda la práctica de política fiscal del Estado. Por medio de éste se llevan a cabo la búsqueda y el cumplimiento de principios y finalidades de la actuación administrativa, y que (sic) en últimas, orienta la satisfacción de necesidades de los individuos que lo conforman y se garantizan los recursos necesarios para el normal funcionamiento del apa</w:t>
      </w:r>
      <w:r>
        <w:rPr>
          <w:rFonts w:ascii="Verdana" w:hAnsi="Verdana" w:cs="Arial"/>
          <w:sz w:val="16"/>
          <w:szCs w:val="16"/>
        </w:rPr>
        <w:t>rato estatal”.</w:t>
      </w:r>
      <w:r w:rsidRPr="00F73D92">
        <w:rPr>
          <w:rFonts w:ascii="Verdana" w:hAnsi="Verdana" w:cs="Arial"/>
          <w:sz w:val="16"/>
          <w:szCs w:val="16"/>
        </w:rPr>
        <w:t xml:space="preserve"> PEÑA GONZÁLEZ, Edilberto. Principios e instituciones presupuestales en Colombia, en: Estudios Socio-Jurídicos, Bogotá (Colombia), 9 (1), enero-junio de 2007, p</w:t>
      </w:r>
      <w:r>
        <w:rPr>
          <w:rFonts w:ascii="Verdana" w:hAnsi="Verdana" w:cs="Arial"/>
          <w:sz w:val="16"/>
          <w:szCs w:val="16"/>
        </w:rPr>
        <w:t>p</w:t>
      </w:r>
      <w:r w:rsidRPr="00F73D92">
        <w:rPr>
          <w:rFonts w:ascii="Verdana" w:hAnsi="Verdana" w:cs="Arial"/>
          <w:sz w:val="16"/>
          <w:szCs w:val="16"/>
        </w:rPr>
        <w:t>. 248</w:t>
      </w:r>
      <w:r>
        <w:rPr>
          <w:rFonts w:ascii="Verdana" w:hAnsi="Verdana" w:cs="Arial"/>
          <w:sz w:val="16"/>
          <w:szCs w:val="16"/>
        </w:rPr>
        <w:t>-</w:t>
      </w:r>
      <w:r w:rsidRPr="00F73D92">
        <w:rPr>
          <w:rFonts w:ascii="Verdana" w:hAnsi="Verdana" w:cs="Arial"/>
          <w:sz w:val="16"/>
          <w:szCs w:val="16"/>
        </w:rPr>
        <w:t>250.</w:t>
      </w:r>
    </w:p>
  </w:footnote>
  <w:footnote w:id="20">
    <w:p w14:paraId="548B2808" w14:textId="77777777" w:rsidR="008B28EB" w:rsidRPr="00F73D92" w:rsidRDefault="008B28EB" w:rsidP="008B28EB">
      <w:pPr>
        <w:pStyle w:val="Textonotapie"/>
        <w:ind w:firstLine="708"/>
        <w:jc w:val="both"/>
        <w:rPr>
          <w:rFonts w:ascii="Verdana" w:hAnsi="Verdana" w:cs="Arial"/>
          <w:sz w:val="16"/>
          <w:szCs w:val="16"/>
        </w:rPr>
      </w:pPr>
      <w:r w:rsidRPr="00F73D92">
        <w:rPr>
          <w:rStyle w:val="Refdenotaalpie"/>
          <w:rFonts w:ascii="Verdana" w:hAnsi="Verdana" w:cs="Arial"/>
          <w:sz w:val="16"/>
          <w:szCs w:val="16"/>
        </w:rPr>
        <w:footnoteRef/>
      </w:r>
      <w:r w:rsidRPr="00F73D92">
        <w:rPr>
          <w:rFonts w:ascii="Verdana" w:hAnsi="Verdana" w:cs="Arial"/>
          <w:sz w:val="16"/>
          <w:szCs w:val="16"/>
        </w:rPr>
        <w:t xml:space="preserve"> De conformidad con lo dispuesto en el artículo 10 del Decreto 111 </w:t>
      </w:r>
      <w:r>
        <w:rPr>
          <w:rFonts w:ascii="Verdana" w:hAnsi="Verdana" w:cs="Arial"/>
          <w:sz w:val="16"/>
          <w:szCs w:val="16"/>
        </w:rPr>
        <w:t>de 1996 “</w:t>
      </w:r>
      <w:r w:rsidRPr="00F73D92">
        <w:rPr>
          <w:rFonts w:ascii="Verdana" w:hAnsi="Verdana" w:cs="Arial"/>
          <w:sz w:val="16"/>
          <w:szCs w:val="16"/>
        </w:rPr>
        <w:t>La Ley Anual sobre el Presupuesto General de la Nación es el instrumento para el cumplimiento de los planes y programas de</w:t>
      </w:r>
      <w:r>
        <w:rPr>
          <w:rFonts w:ascii="Verdana" w:hAnsi="Verdana" w:cs="Arial"/>
          <w:sz w:val="16"/>
          <w:szCs w:val="16"/>
        </w:rPr>
        <w:t xml:space="preserve"> desarrollo económico y social”</w:t>
      </w:r>
      <w:r w:rsidRPr="00F73D92">
        <w:rPr>
          <w:rFonts w:ascii="Verdana" w:hAnsi="Verdana" w:cs="Arial"/>
          <w:sz w:val="16"/>
          <w:szCs w:val="16"/>
        </w:rPr>
        <w:t xml:space="preserve"> </w:t>
      </w:r>
    </w:p>
    <w:p w14:paraId="798BABD2" w14:textId="77777777" w:rsidR="008B28EB" w:rsidRPr="00F73D92" w:rsidRDefault="008B28EB" w:rsidP="008B28EB">
      <w:pPr>
        <w:pStyle w:val="Textonotapie"/>
        <w:ind w:firstLine="708"/>
        <w:jc w:val="both"/>
        <w:rPr>
          <w:rFonts w:ascii="Verdana" w:hAnsi="Verdana" w:cs="Arial"/>
          <w:sz w:val="16"/>
          <w:szCs w:val="16"/>
        </w:rPr>
      </w:pPr>
      <w:r w:rsidRPr="00F73D92">
        <w:rPr>
          <w:rFonts w:ascii="Verdana" w:hAnsi="Verdana" w:cs="Arial"/>
          <w:sz w:val="16"/>
          <w:szCs w:val="16"/>
        </w:rPr>
        <w:t>A su turno, el artículo 1</w:t>
      </w:r>
      <w:r>
        <w:rPr>
          <w:rFonts w:ascii="Verdana" w:hAnsi="Verdana" w:cs="Arial"/>
          <w:sz w:val="16"/>
          <w:szCs w:val="16"/>
        </w:rPr>
        <w:t>1 del mismo Decreto indica que “</w:t>
      </w:r>
      <w:r w:rsidRPr="00F73D92">
        <w:rPr>
          <w:rFonts w:ascii="Verdana" w:hAnsi="Verdana" w:cs="Arial"/>
          <w:sz w:val="16"/>
          <w:szCs w:val="16"/>
        </w:rPr>
        <w:t>El Presupuesto General de la Nación se compone de las siguientes partes:</w:t>
      </w:r>
    </w:p>
    <w:p w14:paraId="7E4B8D39" w14:textId="77777777" w:rsidR="008B28EB" w:rsidRPr="00F73D92" w:rsidRDefault="008B28EB" w:rsidP="008B28EB">
      <w:pPr>
        <w:pStyle w:val="Textonotapie"/>
        <w:ind w:firstLine="708"/>
        <w:jc w:val="both"/>
        <w:rPr>
          <w:rFonts w:ascii="Verdana" w:hAnsi="Verdana" w:cs="Arial"/>
          <w:sz w:val="16"/>
          <w:szCs w:val="16"/>
        </w:rPr>
      </w:pPr>
      <w:r w:rsidRPr="00F73D92">
        <w:rPr>
          <w:rFonts w:ascii="Verdana" w:hAnsi="Verdana" w:cs="Arial"/>
          <w:sz w:val="16"/>
          <w:szCs w:val="16"/>
        </w:rPr>
        <w:t>a) El Presupuesto de Rentas contendrá la estimación de los ingresos corrientes de la Nación; de las contribuciones para fiscales cuando sean administradas por un órgano que haga parte del Presupuesto, de los fondos especiales, de los recursos de capital y de los ingresos de los establecimientos públicos del orden nacional;</w:t>
      </w:r>
    </w:p>
    <w:p w14:paraId="3375C050" w14:textId="77777777" w:rsidR="008B28EB" w:rsidRPr="00F73D92" w:rsidRDefault="008B28EB" w:rsidP="008B28EB">
      <w:pPr>
        <w:pStyle w:val="Textonotapie"/>
        <w:ind w:firstLine="708"/>
        <w:jc w:val="both"/>
        <w:rPr>
          <w:rFonts w:ascii="Verdana" w:hAnsi="Verdana" w:cs="Arial"/>
          <w:sz w:val="16"/>
          <w:szCs w:val="16"/>
        </w:rPr>
      </w:pPr>
      <w:r w:rsidRPr="00F73D92">
        <w:rPr>
          <w:rFonts w:ascii="Verdana" w:hAnsi="Verdana" w:cs="Arial"/>
          <w:sz w:val="16"/>
          <w:szCs w:val="16"/>
        </w:rPr>
        <w:t>b) El Presupuesto de Gastos o Ley de Apropiaciones. Incluirá las apropiaciones para la Rama Judicial, la Rama Legislativa, la Fiscalía General de la Nación, la Procuraduría General de la Nación, la Defensoría del Pueblo, la Contraloría General de la República, la Registraduría Nacional del Estado Civil que incluye el Consejo Nacional Electoral, los Ministerios, los Departamentos Administrativos, los Establecimientos Públicos y la Policía Nacional, distinguiendo entre gastos de funcionamiento, servicio de la deuda pública y gastos de inversión, clasificados y detallados en la forma que indiquen los reglamentos;</w:t>
      </w:r>
    </w:p>
    <w:p w14:paraId="475F9999" w14:textId="77777777" w:rsidR="008B28EB" w:rsidRPr="00F73D92" w:rsidRDefault="008B28EB" w:rsidP="008B28EB">
      <w:pPr>
        <w:pStyle w:val="Textonotapie"/>
        <w:ind w:firstLine="708"/>
        <w:jc w:val="both"/>
        <w:rPr>
          <w:rFonts w:ascii="Verdana" w:hAnsi="Verdana" w:cs="Arial"/>
          <w:sz w:val="16"/>
          <w:szCs w:val="16"/>
          <w:lang w:val="es-CO"/>
        </w:rPr>
      </w:pPr>
      <w:r w:rsidRPr="00F73D92">
        <w:rPr>
          <w:rFonts w:ascii="Verdana" w:hAnsi="Verdana" w:cs="Arial"/>
          <w:sz w:val="16"/>
          <w:szCs w:val="16"/>
        </w:rPr>
        <w:t xml:space="preserve"> c) Disposiciones generales. Corresponde a las normas tendientes a asegurar la correcta ejecución del Presupuesto General de la Nación, las cuales regirán únicamente para el año fiscal para el cual se expidan.»</w:t>
      </w:r>
    </w:p>
  </w:footnote>
  <w:footnote w:id="21">
    <w:p w14:paraId="399468EF" w14:textId="77777777" w:rsidR="008B28EB" w:rsidRPr="00F73D92" w:rsidRDefault="008B28EB" w:rsidP="008B28EB">
      <w:pPr>
        <w:pStyle w:val="Textonotapie"/>
        <w:ind w:firstLine="709"/>
        <w:jc w:val="both"/>
        <w:rPr>
          <w:rFonts w:ascii="Verdana" w:hAnsi="Verdana"/>
          <w:sz w:val="16"/>
          <w:szCs w:val="16"/>
          <w:lang w:val="es-CO"/>
        </w:rPr>
      </w:pPr>
      <w:r w:rsidRPr="00F73D92">
        <w:rPr>
          <w:rStyle w:val="Refdenotaalpie"/>
          <w:rFonts w:ascii="Verdana" w:hAnsi="Verdana" w:cs="Arial"/>
          <w:sz w:val="16"/>
          <w:szCs w:val="16"/>
        </w:rPr>
        <w:footnoteRef/>
      </w:r>
      <w:r>
        <w:rPr>
          <w:rFonts w:ascii="Verdana" w:hAnsi="Verdana" w:cs="Arial"/>
          <w:sz w:val="16"/>
          <w:szCs w:val="16"/>
        </w:rPr>
        <w:t xml:space="preserve"> Decreto 1068 de 2015 “</w:t>
      </w:r>
      <w:r w:rsidRPr="00F73D92">
        <w:rPr>
          <w:rFonts w:ascii="Verdana" w:hAnsi="Verdana" w:cs="Arial"/>
          <w:sz w:val="16"/>
          <w:szCs w:val="16"/>
          <w:lang w:val="es-CO"/>
        </w:rPr>
        <w:t>Artículo </w:t>
      </w:r>
      <w:bookmarkStart w:id="4" w:name="2.8.3.4"/>
      <w:bookmarkEnd w:id="4"/>
      <w:r w:rsidRPr="00F73D92">
        <w:rPr>
          <w:rFonts w:ascii="Verdana" w:hAnsi="Verdana" w:cs="Arial"/>
          <w:sz w:val="16"/>
          <w:szCs w:val="16"/>
          <w:lang w:val="es-CO"/>
        </w:rPr>
        <w:t>2.8.3.4. </w:t>
      </w:r>
      <w:r w:rsidRPr="00F73D92">
        <w:rPr>
          <w:rFonts w:ascii="Verdana" w:hAnsi="Verdana" w:cs="Arial"/>
          <w:i/>
          <w:iCs/>
          <w:sz w:val="16"/>
          <w:szCs w:val="16"/>
          <w:lang w:val="es-CO"/>
        </w:rPr>
        <w:t>Anualidad.</w:t>
      </w:r>
      <w:r w:rsidRPr="00F73D92">
        <w:rPr>
          <w:rFonts w:ascii="Verdana" w:hAnsi="Verdana" w:cs="Arial"/>
          <w:sz w:val="16"/>
          <w:szCs w:val="16"/>
          <w:lang w:val="es-CO"/>
        </w:rPr>
        <w:t> El año fiscal comienza el 1 de enero y termina el 31 de diciembre de cada año. Después del 31 de diciembre no podrán asumirse compromisos con cargo a las apropiaciones del año fiscal que se cierra en esa fecha y los saldos de apropiación no afectados por compromisos caducarán sin excepción</w:t>
      </w:r>
      <w:r>
        <w:rPr>
          <w:rFonts w:ascii="Verdana" w:hAnsi="Verdana" w:cs="Arial"/>
          <w:sz w:val="16"/>
          <w:szCs w:val="16"/>
          <w:lang w:val="es-CO"/>
        </w:rPr>
        <w:t>”</w:t>
      </w:r>
      <w:r w:rsidRPr="00F73D92">
        <w:rPr>
          <w:rFonts w:ascii="Verdana" w:hAnsi="Verdana" w:cs="Arial"/>
          <w:sz w:val="16"/>
          <w:szCs w:val="16"/>
          <w:lang w:val="es-C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45" type="#_x0000_t75" style="width:11.5pt;height:11.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A7571E"/>
    <w:multiLevelType w:val="hybridMultilevel"/>
    <w:tmpl w:val="AECC7D0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1B3725"/>
    <w:multiLevelType w:val="hybridMultilevel"/>
    <w:tmpl w:val="76D66C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8A80D29"/>
    <w:multiLevelType w:val="hybridMultilevel"/>
    <w:tmpl w:val="2DC6572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5"/>
  </w:num>
  <w:num w:numId="7">
    <w:abstractNumId w:val="6"/>
  </w:num>
  <w:num w:numId="8">
    <w:abstractNumId w:val="14"/>
  </w:num>
  <w:num w:numId="9">
    <w:abstractNumId w:val="8"/>
  </w:num>
  <w:num w:numId="10">
    <w:abstractNumId w:val="13"/>
  </w:num>
  <w:num w:numId="11">
    <w:abstractNumId w:val="9"/>
  </w:num>
  <w:num w:numId="12">
    <w:abstractNumId w:val="0"/>
  </w:num>
  <w:num w:numId="13">
    <w:abstractNumId w:val="3"/>
  </w:num>
  <w:num w:numId="14">
    <w:abstractNumId w:val="16"/>
  </w:num>
  <w:num w:numId="15">
    <w:abstractNumId w:val="11"/>
  </w:num>
  <w:num w:numId="16">
    <w:abstractNumId w:val="4"/>
  </w:num>
  <w:num w:numId="17">
    <w:abstractNumId w:val="10"/>
  </w:num>
  <w:num w:numId="18">
    <w:abstractNumId w:val="18"/>
  </w:num>
  <w:num w:numId="19">
    <w:abstractNumId w:val="1"/>
  </w:num>
  <w:num w:numId="20">
    <w:abstractNumId w:val="17"/>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6F78"/>
    <w:rsid w:val="000416C0"/>
    <w:rsid w:val="00046945"/>
    <w:rsid w:val="00061B2A"/>
    <w:rsid w:val="000711CF"/>
    <w:rsid w:val="00082362"/>
    <w:rsid w:val="000A683E"/>
    <w:rsid w:val="000B19B9"/>
    <w:rsid w:val="000D0334"/>
    <w:rsid w:val="000D5DA7"/>
    <w:rsid w:val="000F6486"/>
    <w:rsid w:val="00105C57"/>
    <w:rsid w:val="00116940"/>
    <w:rsid w:val="00125105"/>
    <w:rsid w:val="00127233"/>
    <w:rsid w:val="001328F3"/>
    <w:rsid w:val="0015699B"/>
    <w:rsid w:val="001845D9"/>
    <w:rsid w:val="001A33BF"/>
    <w:rsid w:val="001E2E05"/>
    <w:rsid w:val="001E4177"/>
    <w:rsid w:val="001F0B24"/>
    <w:rsid w:val="001F7DC6"/>
    <w:rsid w:val="0022400B"/>
    <w:rsid w:val="002421BB"/>
    <w:rsid w:val="0025796E"/>
    <w:rsid w:val="002707A2"/>
    <w:rsid w:val="0028778F"/>
    <w:rsid w:val="002951A0"/>
    <w:rsid w:val="002962BC"/>
    <w:rsid w:val="002A093D"/>
    <w:rsid w:val="002A0DD0"/>
    <w:rsid w:val="002A49AC"/>
    <w:rsid w:val="002A64FD"/>
    <w:rsid w:val="002B730F"/>
    <w:rsid w:val="002C7A84"/>
    <w:rsid w:val="002E2BF8"/>
    <w:rsid w:val="002E4FD9"/>
    <w:rsid w:val="0030657A"/>
    <w:rsid w:val="00316053"/>
    <w:rsid w:val="00322A85"/>
    <w:rsid w:val="00324168"/>
    <w:rsid w:val="00330834"/>
    <w:rsid w:val="003448F4"/>
    <w:rsid w:val="00374F5E"/>
    <w:rsid w:val="00377E3E"/>
    <w:rsid w:val="00381BAB"/>
    <w:rsid w:val="003A779E"/>
    <w:rsid w:val="003B1CE4"/>
    <w:rsid w:val="003D0F4D"/>
    <w:rsid w:val="003D5B0D"/>
    <w:rsid w:val="003E0499"/>
    <w:rsid w:val="003E4F80"/>
    <w:rsid w:val="003E6439"/>
    <w:rsid w:val="003F3941"/>
    <w:rsid w:val="00406575"/>
    <w:rsid w:val="004075BE"/>
    <w:rsid w:val="004140B3"/>
    <w:rsid w:val="00414C74"/>
    <w:rsid w:val="0042722E"/>
    <w:rsid w:val="0044528D"/>
    <w:rsid w:val="004555EA"/>
    <w:rsid w:val="00466E39"/>
    <w:rsid w:val="00494F04"/>
    <w:rsid w:val="004A1847"/>
    <w:rsid w:val="004A305D"/>
    <w:rsid w:val="004B3DAC"/>
    <w:rsid w:val="004F21C4"/>
    <w:rsid w:val="004F685F"/>
    <w:rsid w:val="005566E8"/>
    <w:rsid w:val="00574867"/>
    <w:rsid w:val="00591460"/>
    <w:rsid w:val="005A65E0"/>
    <w:rsid w:val="005C0881"/>
    <w:rsid w:val="005C3777"/>
    <w:rsid w:val="005C5CDC"/>
    <w:rsid w:val="005D476C"/>
    <w:rsid w:val="005F20A4"/>
    <w:rsid w:val="00603C5B"/>
    <w:rsid w:val="006200BF"/>
    <w:rsid w:val="0062143E"/>
    <w:rsid w:val="006219F8"/>
    <w:rsid w:val="006302F7"/>
    <w:rsid w:val="00646B9F"/>
    <w:rsid w:val="00665D70"/>
    <w:rsid w:val="00684F67"/>
    <w:rsid w:val="0068664A"/>
    <w:rsid w:val="006900D9"/>
    <w:rsid w:val="006A2BE4"/>
    <w:rsid w:val="007025D7"/>
    <w:rsid w:val="00706C16"/>
    <w:rsid w:val="00731F30"/>
    <w:rsid w:val="007340C3"/>
    <w:rsid w:val="0075235A"/>
    <w:rsid w:val="00756841"/>
    <w:rsid w:val="007649AB"/>
    <w:rsid w:val="00771D0C"/>
    <w:rsid w:val="007739D1"/>
    <w:rsid w:val="007833AC"/>
    <w:rsid w:val="00795086"/>
    <w:rsid w:val="007A1830"/>
    <w:rsid w:val="007B268C"/>
    <w:rsid w:val="007B7171"/>
    <w:rsid w:val="007C0C0F"/>
    <w:rsid w:val="007C3DC2"/>
    <w:rsid w:val="007D3058"/>
    <w:rsid w:val="007E5497"/>
    <w:rsid w:val="00806F5F"/>
    <w:rsid w:val="00820278"/>
    <w:rsid w:val="008258C9"/>
    <w:rsid w:val="00844AE9"/>
    <w:rsid w:val="00867F95"/>
    <w:rsid w:val="008843B6"/>
    <w:rsid w:val="00891928"/>
    <w:rsid w:val="008A446D"/>
    <w:rsid w:val="008B25F1"/>
    <w:rsid w:val="008B28EB"/>
    <w:rsid w:val="008D180B"/>
    <w:rsid w:val="008F0EA7"/>
    <w:rsid w:val="008F17DC"/>
    <w:rsid w:val="008F4334"/>
    <w:rsid w:val="008F6705"/>
    <w:rsid w:val="00923EEF"/>
    <w:rsid w:val="009419F9"/>
    <w:rsid w:val="0095685E"/>
    <w:rsid w:val="00961B09"/>
    <w:rsid w:val="00965334"/>
    <w:rsid w:val="0097093E"/>
    <w:rsid w:val="009A0486"/>
    <w:rsid w:val="009A0DFA"/>
    <w:rsid w:val="009B2D26"/>
    <w:rsid w:val="009C71FA"/>
    <w:rsid w:val="009C72E7"/>
    <w:rsid w:val="009C7F7E"/>
    <w:rsid w:val="009D3058"/>
    <w:rsid w:val="009F3A13"/>
    <w:rsid w:val="00A0334B"/>
    <w:rsid w:val="00A122D3"/>
    <w:rsid w:val="00A14468"/>
    <w:rsid w:val="00A17F13"/>
    <w:rsid w:val="00A20739"/>
    <w:rsid w:val="00A23AF9"/>
    <w:rsid w:val="00A31A76"/>
    <w:rsid w:val="00A33C78"/>
    <w:rsid w:val="00A73F45"/>
    <w:rsid w:val="00AB0ADB"/>
    <w:rsid w:val="00B00C0E"/>
    <w:rsid w:val="00B01B1A"/>
    <w:rsid w:val="00B44A47"/>
    <w:rsid w:val="00B54271"/>
    <w:rsid w:val="00B72CD3"/>
    <w:rsid w:val="00B72FFF"/>
    <w:rsid w:val="00B74092"/>
    <w:rsid w:val="00BC3D36"/>
    <w:rsid w:val="00BC70CB"/>
    <w:rsid w:val="00BD54A6"/>
    <w:rsid w:val="00BD7F72"/>
    <w:rsid w:val="00BF5C08"/>
    <w:rsid w:val="00BF7425"/>
    <w:rsid w:val="00C04FB3"/>
    <w:rsid w:val="00C11D8B"/>
    <w:rsid w:val="00C330EB"/>
    <w:rsid w:val="00C50D69"/>
    <w:rsid w:val="00C5365C"/>
    <w:rsid w:val="00C754BE"/>
    <w:rsid w:val="00C76B1C"/>
    <w:rsid w:val="00C925AC"/>
    <w:rsid w:val="00CB6357"/>
    <w:rsid w:val="00CC1B26"/>
    <w:rsid w:val="00D06146"/>
    <w:rsid w:val="00D0699E"/>
    <w:rsid w:val="00D334DD"/>
    <w:rsid w:val="00D361FD"/>
    <w:rsid w:val="00D423A2"/>
    <w:rsid w:val="00D44E26"/>
    <w:rsid w:val="00D520D8"/>
    <w:rsid w:val="00D62B9C"/>
    <w:rsid w:val="00D63AC2"/>
    <w:rsid w:val="00D7383B"/>
    <w:rsid w:val="00D7788A"/>
    <w:rsid w:val="00DA231B"/>
    <w:rsid w:val="00DC39FC"/>
    <w:rsid w:val="00DC7CCB"/>
    <w:rsid w:val="00DE1386"/>
    <w:rsid w:val="00DF5254"/>
    <w:rsid w:val="00DF6B96"/>
    <w:rsid w:val="00E02524"/>
    <w:rsid w:val="00E16408"/>
    <w:rsid w:val="00E20894"/>
    <w:rsid w:val="00E23E26"/>
    <w:rsid w:val="00E245AB"/>
    <w:rsid w:val="00E2764C"/>
    <w:rsid w:val="00E27F2E"/>
    <w:rsid w:val="00E50AFE"/>
    <w:rsid w:val="00E75C92"/>
    <w:rsid w:val="00E771DC"/>
    <w:rsid w:val="00E8772A"/>
    <w:rsid w:val="00E90F6B"/>
    <w:rsid w:val="00E92C27"/>
    <w:rsid w:val="00EA0E3D"/>
    <w:rsid w:val="00EC38A7"/>
    <w:rsid w:val="00EE1AA8"/>
    <w:rsid w:val="00EF5E13"/>
    <w:rsid w:val="00EF647F"/>
    <w:rsid w:val="00F23FEA"/>
    <w:rsid w:val="00F27B7B"/>
    <w:rsid w:val="00F31EDC"/>
    <w:rsid w:val="00F44D5E"/>
    <w:rsid w:val="00F462B3"/>
    <w:rsid w:val="00F5596A"/>
    <w:rsid w:val="00F5664F"/>
    <w:rsid w:val="00F65A46"/>
    <w:rsid w:val="00F666C4"/>
    <w:rsid w:val="00F76AFC"/>
    <w:rsid w:val="00FA47C0"/>
    <w:rsid w:val="00FB5DD1"/>
    <w:rsid w:val="00FC2B5D"/>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28E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paragraph" w:styleId="Textoindependiente">
    <w:name w:val="Body Text"/>
    <w:basedOn w:val="Normal"/>
    <w:link w:val="TextoindependienteCar"/>
    <w:uiPriority w:val="99"/>
    <w:semiHidden/>
    <w:unhideWhenUsed/>
    <w:rsid w:val="007739D1"/>
    <w:pPr>
      <w:spacing w:after="120"/>
    </w:pPr>
  </w:style>
  <w:style w:type="character" w:customStyle="1" w:styleId="TextoindependienteCar">
    <w:name w:val="Texto independiente Car"/>
    <w:basedOn w:val="Fuentedeprrafopredeter"/>
    <w:link w:val="Textoindependiente"/>
    <w:uiPriority w:val="99"/>
    <w:semiHidden/>
    <w:rsid w:val="007739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lmacen@cartago.gov.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revistas.udea.edu.co/index.php/derypol/article/view/331285/20790715"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www.w3.org/XML/1998/namespace"/>
    <ds:schemaRef ds:uri="a6cb9e4b-f1d1-4245-83ec-6cad768d538a"/>
    <ds:schemaRef ds:uri="http://purl.org/dc/elements/1.1/"/>
    <ds:schemaRef ds:uri="http://schemas.microsoft.com/office/infopath/2007/PartnerControls"/>
    <ds:schemaRef ds:uri="http://schemas.microsoft.com/office/2006/documentManagement/types"/>
    <ds:schemaRef ds:uri="http://purl.org/dc/terms/"/>
    <ds:schemaRef ds:uri="http://schemas.openxmlformats.org/package/2006/metadata/core-properties"/>
    <ds:schemaRef ds:uri="9d85dbaf-23eb-4e57-a637-93dcacc8b1a1"/>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3B91B095-5EB0-4262-93C8-1949A1B10E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E8335AA-03CC-4C3E-8C7B-47B689FDD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26</Pages>
  <Words>8031</Words>
  <Characters>44175</Characters>
  <Application>Microsoft Office Word</Application>
  <DocSecurity>0</DocSecurity>
  <Lines>368</Lines>
  <Paragraphs>104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2025-11-20T14:40:00Z</dcterms:created>
  <dcterms:modified xsi:type="dcterms:W3CDTF">2025-11-20T14:40:00Z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