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BDF4E2" w14:textId="77777777" w:rsidR="00A47E64" w:rsidRPr="00A47E64" w:rsidRDefault="00A47E64" w:rsidP="00A47E64">
      <w:pPr>
        <w:spacing w:before="100" w:beforeAutospacing="1" w:after="100" w:afterAutospacing="1" w:line="240" w:lineRule="auto"/>
        <w:jc w:val="both"/>
        <w:rPr>
          <w:rFonts w:ascii="Verdana" w:eastAsia="Times New Roman" w:hAnsi="Verdana" w:cs="Times New Roman"/>
          <w:b/>
          <w:bCs/>
          <w:lang w:eastAsia="es-MX"/>
        </w:rPr>
      </w:pPr>
      <w:r w:rsidRPr="00A47E64">
        <w:rPr>
          <w:rFonts w:ascii="Verdana" w:eastAsia="Times New Roman" w:hAnsi="Verdana" w:cs="Times New Roman"/>
          <w:b/>
          <w:bCs/>
          <w:lang w:eastAsia="es-MX"/>
        </w:rPr>
        <w:t>LEY DE GARANTÍAS ELECTORALES – Restricciones contractuales – Comicios aplicables - Destinatarios</w:t>
      </w:r>
    </w:p>
    <w:p w14:paraId="09685F77" w14:textId="77777777" w:rsidR="00A47E64" w:rsidRPr="00A47E64" w:rsidRDefault="00A47E64" w:rsidP="00A47E64">
      <w:pPr>
        <w:spacing w:before="100" w:beforeAutospacing="1" w:after="100" w:afterAutospacing="1" w:line="240" w:lineRule="auto"/>
        <w:jc w:val="both"/>
        <w:rPr>
          <w:rFonts w:ascii="Verdana" w:eastAsia="Times New Roman" w:hAnsi="Verdana" w:cs="Times New Roman"/>
          <w:lang w:eastAsia="es-MX"/>
        </w:rPr>
      </w:pPr>
      <w:r w:rsidRPr="00A47E64">
        <w:rPr>
          <w:rFonts w:ascii="Verdana" w:eastAsia="Times New Roman" w:hAnsi="Verdana" w:cs="Times New Roman"/>
          <w:lang w:eastAsia="es-MX"/>
        </w:rPr>
        <w:t>[…] el artículo 33 de la Ley 996 de 2005 prohíbe “[…] la contratación directa por parte de todos los entes del Estado” durante los cuatro (4) meses anteriores a las elecciones presidenciales ,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0E3D222" w14:textId="77777777" w:rsidR="00A47E64" w:rsidRPr="00A47E64" w:rsidRDefault="00A47E64" w:rsidP="00A47E64">
      <w:pPr>
        <w:spacing w:before="100" w:beforeAutospacing="1" w:after="100" w:afterAutospacing="1" w:line="240" w:lineRule="auto"/>
        <w:jc w:val="both"/>
        <w:rPr>
          <w:rFonts w:ascii="Verdana" w:eastAsia="Times New Roman" w:hAnsi="Verdana" w:cs="Times New Roman"/>
          <w:lang w:eastAsia="es-MX"/>
        </w:rPr>
      </w:pPr>
      <w:r w:rsidRPr="00A47E64">
        <w:rPr>
          <w:rFonts w:ascii="Verdana" w:eastAsia="Times New Roman" w:hAnsi="Verdana" w:cs="Times New Roman"/>
          <w:lang w:eastAsia="es-MX"/>
        </w:rPr>
        <w:t>[…],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3BB108D6" w14:textId="63BE26CF" w:rsidR="00A47E64" w:rsidRPr="00A47E64" w:rsidRDefault="00A47E64" w:rsidP="00A47E64">
      <w:pPr>
        <w:spacing w:before="100" w:beforeAutospacing="1" w:after="100" w:afterAutospacing="1" w:line="240" w:lineRule="auto"/>
        <w:jc w:val="both"/>
        <w:rPr>
          <w:rFonts w:ascii="Verdana" w:eastAsia="Times New Roman" w:hAnsi="Verdana" w:cs="Times New Roman"/>
          <w:b/>
          <w:bCs/>
          <w:lang w:eastAsia="es-MX"/>
        </w:rPr>
      </w:pPr>
      <w:r w:rsidRPr="00A47E64">
        <w:rPr>
          <w:rFonts w:ascii="Verdana" w:eastAsia="Times New Roman" w:hAnsi="Verdana" w:cs="Times New Roman"/>
          <w:b/>
          <w:bCs/>
          <w:lang w:eastAsia="es-MX"/>
        </w:rPr>
        <w:t>LEY DE GARANTÍAS ELECTORALES – PERSONERÍAS MUNICIPALES – ÓRGANOS DE CONTROL – APLICABILIDAD DE RESTRICCIONES</w:t>
      </w:r>
    </w:p>
    <w:p w14:paraId="11ACDFCC" w14:textId="77777777" w:rsidR="00A47E64" w:rsidRPr="00A47E64" w:rsidRDefault="00A47E64" w:rsidP="00A47E64">
      <w:pPr>
        <w:spacing w:before="100" w:beforeAutospacing="1" w:after="100" w:afterAutospacing="1" w:line="240" w:lineRule="auto"/>
        <w:jc w:val="both"/>
        <w:rPr>
          <w:rFonts w:ascii="Verdana" w:eastAsia="Times New Roman" w:hAnsi="Verdana" w:cs="Times New Roman"/>
          <w:lang w:eastAsia="es-MX"/>
        </w:rPr>
      </w:pPr>
      <w:r w:rsidRPr="00A47E64">
        <w:rPr>
          <w:rFonts w:ascii="Verdana" w:eastAsia="Times New Roman" w:hAnsi="Verdana" w:cs="Times New Roman"/>
          <w:lang w:eastAsia="es-MX"/>
        </w:rPr>
        <w:t xml:space="preserve">[…] "Las Personerías son órganos de control como lo enuncia el artículo 118 de la Constitución Política, que integran el Ministerio Público. Si bien gozan de autonomía administrativa y presupuestal, según la Ley 136 de 1994, artículo 168, y no son dependencias de la Alcaldía Municipal, la Ley de Garantías fue diseñada para garantizar la transparencia y la igualdad en la contienda electoral, evitando que cualquier entidad que maneje recursos públicos pueda usarlos para inclinar la balanza política." "En este sentido, la Ley 996 de 2005, establece dos prohibiciones i) de un lado, la prohibición del artículo 33, donde se prohíbe la contratación directa (salvo sus excepciones), durante los cuatro meses previos a la elección presidencial . Esta restricción aplica a ""todas las entidades del Estado"". La Personería Municipal, al ser una entidad estatal y un órgano autónomo de control, está sujeta a esta restricción. </w:t>
      </w:r>
      <w:proofErr w:type="spellStart"/>
      <w:r w:rsidRPr="00A47E64">
        <w:rPr>
          <w:rFonts w:ascii="Verdana" w:eastAsia="Times New Roman" w:hAnsi="Verdana" w:cs="Times New Roman"/>
          <w:lang w:eastAsia="es-MX"/>
        </w:rPr>
        <w:t>ii</w:t>
      </w:r>
      <w:proofErr w:type="spellEnd"/>
      <w:r w:rsidRPr="00A47E64">
        <w:rPr>
          <w:rFonts w:ascii="Verdana" w:eastAsia="Times New Roman" w:hAnsi="Verdana" w:cs="Times New Roman"/>
          <w:lang w:eastAsia="es-MX"/>
        </w:rPr>
        <w:t xml:space="preserve">) y de otro lado, se encuentra la prohibición del Parágrafo del Artículo 38, allí se prohíbe la celebración de convenios interadministrativos que ejecuten recursos públicos </w:t>
      </w:r>
      <w:r w:rsidRPr="00A47E64">
        <w:rPr>
          <w:rFonts w:ascii="Verdana" w:eastAsia="Times New Roman" w:hAnsi="Verdana" w:cs="Times New Roman"/>
          <w:lang w:eastAsia="es-MX"/>
        </w:rPr>
        <w:lastRenderedPageBreak/>
        <w:t xml:space="preserve">durante los cuatro meses previos a cualquier tipo de elección nacional o territorial." "Esta prohibición se dirige explícitamente a ""Gobernadores, Alcaldes Municipales y/o Distritales, Secretarios, Gerentes y directores de Entidades Descentralizadas"". Aunque el Personero no está en esa lista taxativa, la prohibición recae en dicho cargo al ser el director , haciendo jurídicamente inviable que la Personería suscriba dichos convenios con ellas durante el periodo restrictivo." "En conclusión, la autonomía de la Personería Municipal frente a la Alcaldía no la exime del cumplimiento de la Ley de Garantías Electorales. Como entidad estatal que maneja recursos públicos y posee la naturaleza de ""órgano autónomo"", la Personería está plenamente cobijada por las prohibiciones de los artículos 33 (en lo referente a contratación directa en elecciones presidenciales, y la restricción del artículo 38, en lo referente a convenios interadministrativos en toda elección, de la Ley 996 de 2005." </w:t>
      </w:r>
    </w:p>
    <w:p w14:paraId="301257B9" w14:textId="0F010A4B" w:rsidR="00A47E64" w:rsidRPr="00A47E64" w:rsidRDefault="00A47E64" w:rsidP="00A47E64">
      <w:pPr>
        <w:spacing w:after="0" w:line="240" w:lineRule="auto"/>
        <w:rPr>
          <w:rFonts w:ascii="Times New Roman" w:eastAsia="Times New Roman" w:hAnsi="Times New Roman" w:cs="Times New Roman"/>
          <w:sz w:val="24"/>
          <w:szCs w:val="24"/>
          <w:lang w:eastAsia="es-MX"/>
        </w:rPr>
      </w:pPr>
    </w:p>
    <w:p w14:paraId="1AC06380" w14:textId="77777777" w:rsidR="00A47E64" w:rsidRPr="00A47E64" w:rsidRDefault="00A47E64" w:rsidP="009E35F8">
      <w:pPr>
        <w:spacing w:after="0" w:line="240" w:lineRule="auto"/>
        <w:rPr>
          <w:rFonts w:ascii="Verdana" w:eastAsia="Geomanist Light" w:hAnsi="Verdana" w:cs="Arial"/>
          <w:color w:val="000000" w:themeColor="text1"/>
        </w:rPr>
      </w:pPr>
    </w:p>
    <w:p w14:paraId="1BF7F677" w14:textId="77777777" w:rsidR="00A47E64" w:rsidRDefault="00A47E64" w:rsidP="009E35F8">
      <w:pPr>
        <w:spacing w:after="0" w:line="240" w:lineRule="auto"/>
        <w:rPr>
          <w:rFonts w:ascii="Verdana" w:eastAsia="Geomanist Light" w:hAnsi="Verdana" w:cs="Arial"/>
          <w:color w:val="000000" w:themeColor="text1"/>
          <w:lang w:val="es-MX"/>
        </w:rPr>
      </w:pPr>
    </w:p>
    <w:p w14:paraId="0E2D9A63" w14:textId="77777777" w:rsidR="00A47E64" w:rsidRDefault="00A47E64" w:rsidP="009E35F8">
      <w:pPr>
        <w:spacing w:after="0" w:line="240" w:lineRule="auto"/>
        <w:rPr>
          <w:rFonts w:ascii="Verdana" w:eastAsia="Geomanist Light" w:hAnsi="Verdana" w:cs="Arial"/>
          <w:color w:val="000000" w:themeColor="text1"/>
          <w:lang w:val="es-MX"/>
        </w:rPr>
      </w:pPr>
    </w:p>
    <w:p w14:paraId="3BCC5D0B" w14:textId="77777777" w:rsidR="00A47E64" w:rsidRDefault="00A47E64" w:rsidP="009E35F8">
      <w:pPr>
        <w:spacing w:after="0" w:line="240" w:lineRule="auto"/>
        <w:rPr>
          <w:rFonts w:ascii="Verdana" w:eastAsia="Geomanist Light" w:hAnsi="Verdana" w:cs="Arial"/>
          <w:color w:val="000000" w:themeColor="text1"/>
          <w:lang w:val="es-MX"/>
        </w:rPr>
      </w:pPr>
    </w:p>
    <w:p w14:paraId="4DB6A7EC" w14:textId="77777777" w:rsidR="00A47E64" w:rsidRDefault="00A47E64" w:rsidP="009E35F8">
      <w:pPr>
        <w:spacing w:after="0" w:line="240" w:lineRule="auto"/>
        <w:rPr>
          <w:rFonts w:ascii="Verdana" w:eastAsia="Geomanist Light" w:hAnsi="Verdana" w:cs="Arial"/>
          <w:color w:val="000000" w:themeColor="text1"/>
          <w:lang w:val="es-MX"/>
        </w:rPr>
      </w:pPr>
    </w:p>
    <w:p w14:paraId="1B064D42" w14:textId="77777777" w:rsidR="00A47E64" w:rsidRDefault="00A47E64" w:rsidP="009E35F8">
      <w:pPr>
        <w:spacing w:after="0" w:line="240" w:lineRule="auto"/>
        <w:rPr>
          <w:rFonts w:ascii="Verdana" w:eastAsia="Geomanist Light" w:hAnsi="Verdana" w:cs="Arial"/>
          <w:color w:val="000000" w:themeColor="text1"/>
          <w:lang w:val="es-MX"/>
        </w:rPr>
      </w:pPr>
    </w:p>
    <w:p w14:paraId="1F6E7978" w14:textId="77777777" w:rsidR="00A47E64" w:rsidRDefault="00A47E64" w:rsidP="009E35F8">
      <w:pPr>
        <w:spacing w:after="0" w:line="240" w:lineRule="auto"/>
        <w:rPr>
          <w:rFonts w:ascii="Verdana" w:eastAsia="Geomanist Light" w:hAnsi="Verdana" w:cs="Arial"/>
          <w:color w:val="000000" w:themeColor="text1"/>
          <w:lang w:val="es-MX"/>
        </w:rPr>
      </w:pPr>
    </w:p>
    <w:p w14:paraId="0985BE17" w14:textId="77777777" w:rsidR="00A47E64" w:rsidRDefault="00A47E64" w:rsidP="009E35F8">
      <w:pPr>
        <w:spacing w:after="0" w:line="240" w:lineRule="auto"/>
        <w:rPr>
          <w:rFonts w:ascii="Verdana" w:eastAsia="Geomanist Light" w:hAnsi="Verdana" w:cs="Arial"/>
          <w:color w:val="000000" w:themeColor="text1"/>
          <w:lang w:val="es-MX"/>
        </w:rPr>
      </w:pPr>
    </w:p>
    <w:p w14:paraId="5079C8E9" w14:textId="77777777" w:rsidR="00A47E64" w:rsidRDefault="00A47E64" w:rsidP="009E35F8">
      <w:pPr>
        <w:spacing w:after="0" w:line="240" w:lineRule="auto"/>
        <w:rPr>
          <w:rFonts w:ascii="Verdana" w:eastAsia="Geomanist Light" w:hAnsi="Verdana" w:cs="Arial"/>
          <w:color w:val="000000" w:themeColor="text1"/>
          <w:lang w:val="es-MX"/>
        </w:rPr>
      </w:pPr>
    </w:p>
    <w:p w14:paraId="635BDCC5" w14:textId="77777777" w:rsidR="00A47E64" w:rsidRDefault="00A47E64" w:rsidP="009E35F8">
      <w:pPr>
        <w:spacing w:after="0" w:line="240" w:lineRule="auto"/>
        <w:rPr>
          <w:rFonts w:ascii="Verdana" w:eastAsia="Geomanist Light" w:hAnsi="Verdana" w:cs="Arial"/>
          <w:color w:val="000000" w:themeColor="text1"/>
          <w:lang w:val="es-MX"/>
        </w:rPr>
      </w:pPr>
    </w:p>
    <w:p w14:paraId="3C6BA35A" w14:textId="77777777" w:rsidR="00A47E64" w:rsidRDefault="00A47E64" w:rsidP="009E35F8">
      <w:pPr>
        <w:spacing w:after="0" w:line="240" w:lineRule="auto"/>
        <w:rPr>
          <w:rFonts w:ascii="Verdana" w:eastAsia="Geomanist Light" w:hAnsi="Verdana" w:cs="Arial"/>
          <w:color w:val="000000" w:themeColor="text1"/>
          <w:lang w:val="es-MX"/>
        </w:rPr>
      </w:pPr>
    </w:p>
    <w:p w14:paraId="5DEC797F" w14:textId="77777777" w:rsidR="00A47E64" w:rsidRDefault="00A47E64" w:rsidP="009E35F8">
      <w:pPr>
        <w:spacing w:after="0" w:line="240" w:lineRule="auto"/>
        <w:rPr>
          <w:rFonts w:ascii="Verdana" w:eastAsia="Geomanist Light" w:hAnsi="Verdana" w:cs="Arial"/>
          <w:color w:val="000000" w:themeColor="text1"/>
          <w:lang w:val="es-MX"/>
        </w:rPr>
      </w:pPr>
    </w:p>
    <w:p w14:paraId="4EA56A0A" w14:textId="77777777" w:rsidR="00A47E64" w:rsidRDefault="00A47E64" w:rsidP="009E35F8">
      <w:pPr>
        <w:spacing w:after="0" w:line="240" w:lineRule="auto"/>
        <w:rPr>
          <w:rFonts w:ascii="Verdana" w:eastAsia="Geomanist Light" w:hAnsi="Verdana" w:cs="Arial"/>
          <w:color w:val="000000" w:themeColor="text1"/>
          <w:lang w:val="es-MX"/>
        </w:rPr>
      </w:pPr>
    </w:p>
    <w:p w14:paraId="07B8AB18" w14:textId="77777777" w:rsidR="00A47E64" w:rsidRDefault="00A47E64" w:rsidP="009E35F8">
      <w:pPr>
        <w:spacing w:after="0" w:line="240" w:lineRule="auto"/>
        <w:rPr>
          <w:rFonts w:ascii="Verdana" w:eastAsia="Geomanist Light" w:hAnsi="Verdana" w:cs="Arial"/>
          <w:color w:val="000000" w:themeColor="text1"/>
          <w:lang w:val="es-MX"/>
        </w:rPr>
      </w:pPr>
    </w:p>
    <w:p w14:paraId="590911DE" w14:textId="77777777" w:rsidR="00A47E64" w:rsidRDefault="00A47E64" w:rsidP="009E35F8">
      <w:pPr>
        <w:spacing w:after="0" w:line="240" w:lineRule="auto"/>
        <w:rPr>
          <w:rFonts w:ascii="Verdana" w:eastAsia="Geomanist Light" w:hAnsi="Verdana" w:cs="Arial"/>
          <w:color w:val="000000" w:themeColor="text1"/>
          <w:lang w:val="es-MX"/>
        </w:rPr>
      </w:pPr>
    </w:p>
    <w:p w14:paraId="1B929100" w14:textId="77777777" w:rsidR="00A47E64" w:rsidRDefault="00A47E64" w:rsidP="009E35F8">
      <w:pPr>
        <w:spacing w:after="0" w:line="240" w:lineRule="auto"/>
        <w:rPr>
          <w:rFonts w:ascii="Verdana" w:eastAsia="Geomanist Light" w:hAnsi="Verdana" w:cs="Arial"/>
          <w:color w:val="000000" w:themeColor="text1"/>
          <w:lang w:val="es-MX"/>
        </w:rPr>
      </w:pPr>
    </w:p>
    <w:p w14:paraId="5BD67556" w14:textId="77777777" w:rsidR="00A47E64" w:rsidRDefault="00A47E64" w:rsidP="009E35F8">
      <w:pPr>
        <w:spacing w:after="0" w:line="240" w:lineRule="auto"/>
        <w:rPr>
          <w:rFonts w:ascii="Verdana" w:eastAsia="Geomanist Light" w:hAnsi="Verdana" w:cs="Arial"/>
          <w:color w:val="000000" w:themeColor="text1"/>
          <w:lang w:val="es-MX"/>
        </w:rPr>
      </w:pPr>
    </w:p>
    <w:p w14:paraId="00ECB549" w14:textId="77777777" w:rsidR="00A47E64" w:rsidRDefault="00A47E64" w:rsidP="009E35F8">
      <w:pPr>
        <w:spacing w:after="0" w:line="240" w:lineRule="auto"/>
        <w:rPr>
          <w:rFonts w:ascii="Verdana" w:eastAsia="Geomanist Light" w:hAnsi="Verdana" w:cs="Arial"/>
          <w:color w:val="000000" w:themeColor="text1"/>
          <w:lang w:val="es-MX"/>
        </w:rPr>
      </w:pPr>
    </w:p>
    <w:p w14:paraId="7D594694" w14:textId="77777777" w:rsidR="00A47E64" w:rsidRDefault="00A47E64" w:rsidP="009E35F8">
      <w:pPr>
        <w:spacing w:after="0" w:line="240" w:lineRule="auto"/>
        <w:rPr>
          <w:rFonts w:ascii="Verdana" w:eastAsia="Geomanist Light" w:hAnsi="Verdana" w:cs="Arial"/>
          <w:color w:val="000000" w:themeColor="text1"/>
          <w:lang w:val="es-MX"/>
        </w:rPr>
      </w:pPr>
    </w:p>
    <w:p w14:paraId="3ED04AC2" w14:textId="77777777" w:rsidR="00A47E64" w:rsidRDefault="00A47E64" w:rsidP="009E35F8">
      <w:pPr>
        <w:spacing w:after="0" w:line="240" w:lineRule="auto"/>
        <w:rPr>
          <w:rFonts w:ascii="Verdana" w:eastAsia="Geomanist Light" w:hAnsi="Verdana" w:cs="Arial"/>
          <w:color w:val="000000" w:themeColor="text1"/>
          <w:lang w:val="es-MX"/>
        </w:rPr>
      </w:pPr>
    </w:p>
    <w:p w14:paraId="7E688389" w14:textId="77777777" w:rsidR="00A47E64" w:rsidRDefault="00A47E64" w:rsidP="009E35F8">
      <w:pPr>
        <w:spacing w:after="0" w:line="240" w:lineRule="auto"/>
        <w:rPr>
          <w:rFonts w:ascii="Verdana" w:eastAsia="Geomanist Light" w:hAnsi="Verdana" w:cs="Arial"/>
          <w:color w:val="000000" w:themeColor="text1"/>
          <w:lang w:val="es-MX"/>
        </w:rPr>
      </w:pPr>
    </w:p>
    <w:p w14:paraId="17DC54DD" w14:textId="77777777" w:rsidR="00A47E64" w:rsidRDefault="00A47E64" w:rsidP="009E35F8">
      <w:pPr>
        <w:spacing w:after="0" w:line="240" w:lineRule="auto"/>
        <w:rPr>
          <w:rFonts w:ascii="Verdana" w:eastAsia="Geomanist Light" w:hAnsi="Verdana" w:cs="Arial"/>
          <w:color w:val="000000" w:themeColor="text1"/>
          <w:lang w:val="es-MX"/>
        </w:rPr>
      </w:pPr>
    </w:p>
    <w:p w14:paraId="59BD0CAD" w14:textId="77777777" w:rsidR="00A47E64" w:rsidRDefault="00A47E64" w:rsidP="009E35F8">
      <w:pPr>
        <w:spacing w:after="0" w:line="240" w:lineRule="auto"/>
        <w:rPr>
          <w:rFonts w:ascii="Verdana" w:eastAsia="Geomanist Light" w:hAnsi="Verdana" w:cs="Arial"/>
          <w:color w:val="000000" w:themeColor="text1"/>
          <w:lang w:val="es-MX"/>
        </w:rPr>
      </w:pPr>
    </w:p>
    <w:p w14:paraId="34AC4E75" w14:textId="77777777" w:rsidR="00A47E64" w:rsidRDefault="00A47E64" w:rsidP="009E35F8">
      <w:pPr>
        <w:spacing w:after="0" w:line="240" w:lineRule="auto"/>
        <w:rPr>
          <w:rFonts w:ascii="Verdana" w:eastAsia="Geomanist Light" w:hAnsi="Verdana" w:cs="Arial"/>
          <w:color w:val="000000" w:themeColor="text1"/>
          <w:lang w:val="es-MX"/>
        </w:rPr>
      </w:pPr>
    </w:p>
    <w:p w14:paraId="337B40A4" w14:textId="77777777" w:rsidR="00A47E64" w:rsidRPr="00A47E64" w:rsidRDefault="00A47E64" w:rsidP="00A47E64">
      <w:pPr>
        <w:pStyle w:val="Textoindependiente"/>
        <w:spacing w:before="168"/>
        <w:rPr>
          <w:rFonts w:ascii="Verdana" w:hAnsi="Verdana"/>
        </w:rPr>
      </w:pPr>
      <w:r w:rsidRPr="00A47E64">
        <w:rPr>
          <w:rFonts w:ascii="Verdana" w:hAnsi="Verdana"/>
          <w:noProof/>
        </w:rPr>
        <w:lastRenderedPageBreak/>
        <w:drawing>
          <wp:anchor distT="0" distB="0" distL="0" distR="0" simplePos="0" relativeHeight="251659264" behindDoc="0" locked="0" layoutInCell="1" allowOverlap="1" wp14:anchorId="2FCED4B5" wp14:editId="2CC2FBDF">
            <wp:simplePos x="0" y="0"/>
            <wp:positionH relativeFrom="page">
              <wp:posOffset>4291965</wp:posOffset>
            </wp:positionH>
            <wp:positionV relativeFrom="paragraph">
              <wp:posOffset>102996</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1" cstate="print"/>
                    <a:stretch>
                      <a:fillRect/>
                    </a:stretch>
                  </pic:blipFill>
                  <pic:spPr>
                    <a:xfrm>
                      <a:off x="0" y="0"/>
                      <a:ext cx="2400300" cy="615950"/>
                    </a:xfrm>
                    <a:prstGeom prst="rect">
                      <a:avLst/>
                    </a:prstGeom>
                  </pic:spPr>
                </pic:pic>
              </a:graphicData>
            </a:graphic>
          </wp:anchor>
        </w:drawing>
      </w:r>
      <w:r w:rsidRPr="00A47E64">
        <w:rPr>
          <w:rFonts w:ascii="Verdana" w:hAnsi="Verdana"/>
        </w:rPr>
        <w:t>Bogotá</w:t>
      </w:r>
      <w:r w:rsidRPr="00A47E64">
        <w:rPr>
          <w:rFonts w:ascii="Verdana" w:hAnsi="Verdana"/>
          <w:spacing w:val="-6"/>
        </w:rPr>
        <w:t xml:space="preserve"> </w:t>
      </w:r>
      <w:r w:rsidRPr="00A47E64">
        <w:rPr>
          <w:rFonts w:ascii="Verdana" w:hAnsi="Verdana"/>
        </w:rPr>
        <w:t>D.C.,</w:t>
      </w:r>
      <w:r w:rsidRPr="00A47E64">
        <w:rPr>
          <w:rFonts w:ascii="Verdana" w:hAnsi="Verdana"/>
          <w:spacing w:val="-4"/>
        </w:rPr>
        <w:t xml:space="preserve"> </w:t>
      </w:r>
      <w:r w:rsidRPr="00A47E64">
        <w:rPr>
          <w:rFonts w:ascii="Verdana" w:hAnsi="Verdana"/>
        </w:rPr>
        <w:t>27</w:t>
      </w:r>
      <w:r w:rsidRPr="00A47E64">
        <w:rPr>
          <w:rFonts w:ascii="Verdana" w:hAnsi="Verdana"/>
          <w:spacing w:val="-3"/>
        </w:rPr>
        <w:t xml:space="preserve"> </w:t>
      </w:r>
      <w:r w:rsidRPr="00A47E64">
        <w:rPr>
          <w:rFonts w:ascii="Verdana" w:hAnsi="Verdana"/>
        </w:rPr>
        <w:t>Octubre</w:t>
      </w:r>
      <w:r w:rsidRPr="00A47E64">
        <w:rPr>
          <w:rFonts w:ascii="Verdana" w:hAnsi="Verdana"/>
          <w:spacing w:val="-2"/>
        </w:rPr>
        <w:t xml:space="preserve"> </w:t>
      </w:r>
      <w:r w:rsidRPr="00A47E64">
        <w:rPr>
          <w:rFonts w:ascii="Verdana" w:hAnsi="Verdana"/>
          <w:spacing w:val="-4"/>
        </w:rPr>
        <w:t>2025</w:t>
      </w:r>
    </w:p>
    <w:p w14:paraId="1A6BACBF" w14:textId="77777777" w:rsidR="00A47E64" w:rsidRDefault="00A47E64" w:rsidP="00A47E64">
      <w:pPr>
        <w:pStyle w:val="Textoindependiente"/>
        <w:spacing w:before="36"/>
      </w:pPr>
    </w:p>
    <w:p w14:paraId="253ED330" w14:textId="78325511" w:rsidR="00871B59" w:rsidRPr="009E35F8" w:rsidRDefault="009E35F8" w:rsidP="009E35F8">
      <w:pPr>
        <w:spacing w:after="0" w:line="240" w:lineRule="auto"/>
        <w:rPr>
          <w:rFonts w:ascii="Verdana" w:eastAsia="Geomanist Light" w:hAnsi="Verdana" w:cs="Arial"/>
          <w:color w:val="000000" w:themeColor="text1"/>
          <w:lang w:val="es-MX"/>
        </w:rPr>
      </w:pPr>
      <w:r>
        <w:rPr>
          <w:rFonts w:ascii="Verdana" w:eastAsia="Geomanist Light" w:hAnsi="Verdana" w:cs="Arial"/>
          <w:color w:val="000000" w:themeColor="text1"/>
          <w:lang w:val="es-MX"/>
        </w:rPr>
        <w:t>S</w:t>
      </w:r>
      <w:proofErr w:type="spellStart"/>
      <w:r w:rsidR="00871B59" w:rsidRPr="00B96799">
        <w:rPr>
          <w:rFonts w:ascii="Verdana" w:eastAsia="Calibri" w:hAnsi="Verdana" w:cs="Arial"/>
          <w:lang w:val="es-ES" w:eastAsia="es-ES"/>
        </w:rPr>
        <w:t>eñor</w:t>
      </w:r>
      <w:proofErr w:type="spellEnd"/>
    </w:p>
    <w:p w14:paraId="76388F48" w14:textId="3E47146C" w:rsidR="00871B59" w:rsidRPr="00B96799" w:rsidRDefault="005720B6" w:rsidP="00871B59">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 xml:space="preserve">Oscar Alejandro García Trujillo </w:t>
      </w:r>
    </w:p>
    <w:p w14:paraId="7C6D6DDA" w14:textId="1BD1BA8D" w:rsidR="005720B6" w:rsidRDefault="005F663F" w:rsidP="00871B59">
      <w:pPr>
        <w:spacing w:after="0" w:line="240" w:lineRule="auto"/>
        <w:rPr>
          <w:rFonts w:ascii="Verdana" w:eastAsia="Calibri" w:hAnsi="Verdana" w:cs="Arial"/>
          <w:lang w:val="es-ES" w:eastAsia="es-ES"/>
        </w:rPr>
      </w:pPr>
      <w:hyperlink r:id="rId12" w:history="1">
        <w:r w:rsidR="005720B6" w:rsidRPr="00052EB4">
          <w:rPr>
            <w:rStyle w:val="Hipervnculo"/>
            <w:rFonts w:ascii="Verdana" w:eastAsia="Calibri" w:hAnsi="Verdana" w:cs="Arial"/>
            <w:lang w:val="es-ES" w:eastAsia="es-ES"/>
          </w:rPr>
          <w:t>personeria@personeriatulua.gov.co</w:t>
        </w:r>
      </w:hyperlink>
      <w:r w:rsidR="005720B6">
        <w:rPr>
          <w:rFonts w:ascii="Verdana" w:eastAsia="Calibri" w:hAnsi="Verdana" w:cs="Arial"/>
          <w:lang w:val="es-ES" w:eastAsia="es-ES"/>
        </w:rPr>
        <w:t xml:space="preserve"> </w:t>
      </w:r>
      <w:r w:rsidR="005720B6" w:rsidRPr="005720B6">
        <w:rPr>
          <w:rFonts w:ascii="Verdana" w:eastAsia="Calibri" w:hAnsi="Verdana" w:cs="Arial"/>
          <w:lang w:val="es-ES" w:eastAsia="es-ES"/>
        </w:rPr>
        <w:t xml:space="preserve"> </w:t>
      </w:r>
    </w:p>
    <w:p w14:paraId="3F7CC6C1" w14:textId="1E5EA377" w:rsidR="00871B59" w:rsidRPr="00B96799" w:rsidRDefault="005720B6" w:rsidP="00871B59">
      <w:pPr>
        <w:spacing w:after="0" w:line="240" w:lineRule="auto"/>
        <w:rPr>
          <w:rFonts w:ascii="Verdana" w:eastAsia="Calibri" w:hAnsi="Verdana" w:cs="Arial"/>
          <w:b/>
          <w:bCs/>
          <w:lang w:val="es-ES" w:eastAsia="es-ES"/>
        </w:rPr>
      </w:pPr>
      <w:r>
        <w:rPr>
          <w:rFonts w:ascii="Verdana" w:eastAsia="Calibri" w:hAnsi="Verdana" w:cs="Arial"/>
          <w:lang w:val="es-ES" w:eastAsia="es-ES"/>
        </w:rPr>
        <w:t>Tuluá</w:t>
      </w:r>
      <w:r w:rsidR="00871B59" w:rsidRPr="00B96799">
        <w:rPr>
          <w:rFonts w:ascii="Verdana" w:eastAsia="Calibri" w:hAnsi="Verdana" w:cs="Arial"/>
          <w:lang w:val="es-ES" w:eastAsia="es-ES"/>
        </w:rPr>
        <w:t xml:space="preserve">, </w:t>
      </w:r>
      <w:r>
        <w:rPr>
          <w:rFonts w:ascii="Verdana" w:eastAsia="Calibri" w:hAnsi="Verdana" w:cs="Arial"/>
          <w:lang w:val="es-ES" w:eastAsia="es-ES"/>
        </w:rPr>
        <w:t>Valle del Cauca</w:t>
      </w:r>
    </w:p>
    <w:p w14:paraId="30E1C03E"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p w14:paraId="5F98D41A"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593A5F" w14:paraId="6F895D6A" w14:textId="77777777" w:rsidTr="002607A7">
        <w:trPr>
          <w:trHeight w:val="884"/>
        </w:trPr>
        <w:tc>
          <w:tcPr>
            <w:tcW w:w="2689" w:type="dxa"/>
          </w:tcPr>
          <w:p w14:paraId="050DD186" w14:textId="77777777" w:rsidR="00871B59" w:rsidRPr="00C00976" w:rsidRDefault="00871B59" w:rsidP="002607A7">
            <w:pPr>
              <w:jc w:val="both"/>
              <w:rPr>
                <w:rFonts w:ascii="Verdana" w:eastAsia="Calibri" w:hAnsi="Verdana" w:cs="Arial"/>
                <w:b/>
                <w:bCs/>
                <w:color w:val="7030A0"/>
                <w:lang w:val="es-ES_tradnl" w:eastAsia="es-ES_tradnl"/>
              </w:rPr>
            </w:pPr>
          </w:p>
        </w:tc>
        <w:tc>
          <w:tcPr>
            <w:tcW w:w="6100" w:type="dxa"/>
          </w:tcPr>
          <w:p w14:paraId="7E2BC09E" w14:textId="14272DBC" w:rsidR="00871B59" w:rsidRPr="00C00976" w:rsidRDefault="00871B59" w:rsidP="002607A7">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Concepto C-</w:t>
            </w:r>
            <w:r w:rsidR="005720B6">
              <w:rPr>
                <w:rFonts w:ascii="Verdana" w:eastAsia="Calibri" w:hAnsi="Verdana" w:cs="Arial"/>
                <w:b/>
                <w:bCs/>
                <w:lang w:val="es-ES" w:eastAsia="es-ES"/>
              </w:rPr>
              <w:t>1323</w:t>
            </w:r>
            <w:r w:rsidRPr="00C00976">
              <w:rPr>
                <w:rFonts w:ascii="Verdana" w:eastAsia="Calibri" w:hAnsi="Verdana" w:cs="Arial"/>
                <w:b/>
                <w:bCs/>
                <w:color w:val="7030A0"/>
                <w:lang w:val="es-ES" w:eastAsia="es-ES"/>
              </w:rPr>
              <w:t xml:space="preserve"> </w:t>
            </w:r>
            <w:r w:rsidRPr="00247BDE">
              <w:rPr>
                <w:rFonts w:ascii="Verdana" w:eastAsia="Calibri" w:hAnsi="Verdana" w:cs="Arial"/>
                <w:b/>
                <w:bCs/>
                <w:lang w:val="es-ES" w:eastAsia="es-ES"/>
              </w:rPr>
              <w:t>de</w:t>
            </w:r>
            <w:r w:rsidR="005720B6">
              <w:rPr>
                <w:rFonts w:ascii="Verdana" w:eastAsia="Calibri" w:hAnsi="Verdana" w:cs="Arial"/>
                <w:b/>
                <w:bCs/>
                <w:lang w:val="es-ES" w:eastAsia="es-ES"/>
              </w:rPr>
              <w:t xml:space="preserve"> 2025</w:t>
            </w:r>
          </w:p>
        </w:tc>
      </w:tr>
      <w:tr w:rsidR="00871B59" w:rsidRPr="00593A5F" w14:paraId="44BCC1D1" w14:textId="77777777" w:rsidTr="002607A7">
        <w:trPr>
          <w:trHeight w:val="884"/>
        </w:trPr>
        <w:tc>
          <w:tcPr>
            <w:tcW w:w="2689" w:type="dxa"/>
          </w:tcPr>
          <w:p w14:paraId="03D19AA1" w14:textId="77777777" w:rsidR="00871B59" w:rsidRPr="00593A5F" w:rsidRDefault="00871B59" w:rsidP="002607A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1B25D45A" w14:textId="0B8CAB15" w:rsidR="00871B59" w:rsidRPr="009E35F8" w:rsidRDefault="009E35F8" w:rsidP="002607A7">
            <w:pPr>
              <w:spacing w:line="276" w:lineRule="auto"/>
              <w:jc w:val="both"/>
              <w:rPr>
                <w:rFonts w:ascii="Verdana" w:eastAsia="Calibri" w:hAnsi="Verdana" w:cs="Arial"/>
                <w:color w:val="7030A0"/>
                <w:lang w:val="es-ES" w:eastAsia="es-ES"/>
              </w:rPr>
            </w:pPr>
            <w:bookmarkStart w:id="0" w:name="OLE_LINK2"/>
            <w:r w:rsidRPr="009E35F8">
              <w:rPr>
                <w:rFonts w:ascii="Verdana" w:eastAsia="Calibri" w:hAnsi="Verdana" w:cs="Arial"/>
                <w:lang w:val="es-ES" w:eastAsia="es-ES"/>
              </w:rPr>
              <w:t xml:space="preserve">LEY DE GARANTÍAS ELECTORALES ‒ Tipos de restricciones ‒ Ámbito temporal / LEY DE GARANTÍAS ELECTORALES ─ Prohibición ‒ Contratación directa ‒ Alcance – </w:t>
            </w:r>
            <w:bookmarkEnd w:id="0"/>
            <w:r w:rsidRPr="009E35F8">
              <w:rPr>
                <w:rFonts w:ascii="Verdana" w:hAnsi="Verdana"/>
              </w:rPr>
              <w:t>PERSONERÍAS MUNICIPALES</w:t>
            </w:r>
            <w:r>
              <w:rPr>
                <w:rFonts w:ascii="Verdana" w:hAnsi="Verdana"/>
              </w:rPr>
              <w:t>.</w:t>
            </w:r>
          </w:p>
          <w:p w14:paraId="15504D93" w14:textId="77777777" w:rsidR="00871B59" w:rsidRPr="009E35F8" w:rsidRDefault="00871B59" w:rsidP="002607A7">
            <w:pPr>
              <w:spacing w:line="276" w:lineRule="auto"/>
              <w:jc w:val="both"/>
              <w:rPr>
                <w:rFonts w:ascii="Verdana" w:eastAsia="Calibri" w:hAnsi="Verdana" w:cs="Arial"/>
                <w:lang w:val="es-ES" w:eastAsia="es-ES"/>
              </w:rPr>
            </w:pPr>
          </w:p>
        </w:tc>
      </w:tr>
      <w:tr w:rsidR="00871B59" w:rsidRPr="00593A5F" w14:paraId="4E49CCB5" w14:textId="77777777" w:rsidTr="002607A7">
        <w:tc>
          <w:tcPr>
            <w:tcW w:w="2689" w:type="dxa"/>
          </w:tcPr>
          <w:p w14:paraId="1864385C" w14:textId="77777777" w:rsidR="00871B59" w:rsidRPr="005720B6" w:rsidRDefault="00871B59" w:rsidP="002607A7">
            <w:pPr>
              <w:jc w:val="both"/>
              <w:rPr>
                <w:rFonts w:ascii="Verdana" w:eastAsia="Calibri" w:hAnsi="Verdana" w:cs="Arial"/>
                <w:b/>
                <w:color w:val="000000" w:themeColor="text1"/>
                <w:lang w:val="es-ES_tradnl" w:eastAsia="es-ES_tradnl"/>
              </w:rPr>
            </w:pPr>
            <w:r w:rsidRPr="005720B6">
              <w:rPr>
                <w:rFonts w:ascii="Verdana" w:eastAsia="Calibri" w:hAnsi="Verdana" w:cs="Arial"/>
                <w:b/>
                <w:color w:val="000000" w:themeColor="text1"/>
                <w:lang w:val="es-ES_tradnl" w:eastAsia="es-ES_tradnl"/>
              </w:rPr>
              <w:t>Radicación:</w:t>
            </w:r>
            <w:r w:rsidRPr="005720B6">
              <w:rPr>
                <w:rFonts w:ascii="Verdana" w:eastAsia="Calibri" w:hAnsi="Verdana" w:cs="Arial"/>
                <w:color w:val="000000" w:themeColor="text1"/>
                <w:lang w:val="es-ES_tradnl" w:eastAsia="es-ES_tradnl"/>
              </w:rPr>
              <w:t xml:space="preserve">               </w:t>
            </w:r>
          </w:p>
        </w:tc>
        <w:tc>
          <w:tcPr>
            <w:tcW w:w="6100" w:type="dxa"/>
          </w:tcPr>
          <w:p w14:paraId="1C957DCA" w14:textId="2953937A" w:rsidR="005720B6" w:rsidRPr="005720B6" w:rsidRDefault="00871B59" w:rsidP="005720B6">
            <w:pPr>
              <w:jc w:val="both"/>
              <w:rPr>
                <w:rFonts w:ascii="Verdana" w:eastAsia="Calibri" w:hAnsi="Verdana" w:cs="Arial"/>
                <w:color w:val="000000" w:themeColor="text1"/>
                <w:lang w:val="es-ES_tradnl" w:eastAsia="es-ES_tradnl"/>
              </w:rPr>
            </w:pPr>
            <w:r w:rsidRPr="005720B6">
              <w:rPr>
                <w:rFonts w:ascii="Verdana" w:eastAsia="Calibri" w:hAnsi="Verdana" w:cs="Arial"/>
                <w:color w:val="000000" w:themeColor="text1"/>
                <w:lang w:val="es-ES_tradnl" w:eastAsia="es-ES_tradnl"/>
              </w:rPr>
              <w:t xml:space="preserve">Respuesta a consulta con radicado No. </w:t>
            </w:r>
            <w:r w:rsidR="005720B6" w:rsidRPr="005720B6">
              <w:rPr>
                <w:rFonts w:ascii="Verdana" w:hAnsi="Verdana" w:cs="Calibri"/>
                <w:color w:val="000000" w:themeColor="text1"/>
              </w:rPr>
              <w:t>1_2025_09_16_010120</w:t>
            </w:r>
          </w:p>
          <w:p w14:paraId="57D2D532" w14:textId="0A155B1C" w:rsidR="00871B59" w:rsidRPr="005720B6" w:rsidRDefault="00871B59" w:rsidP="002607A7">
            <w:pPr>
              <w:jc w:val="both"/>
              <w:rPr>
                <w:rFonts w:ascii="Verdana" w:eastAsia="Calibri" w:hAnsi="Verdana" w:cs="Arial"/>
                <w:color w:val="000000" w:themeColor="text1"/>
                <w:lang w:val="es-ES_tradnl" w:eastAsia="es-ES_tradnl"/>
              </w:rPr>
            </w:pPr>
          </w:p>
        </w:tc>
      </w:tr>
    </w:tbl>
    <w:p w14:paraId="003F2B07"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126254E8"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616005F2" w14:textId="0F2780B2" w:rsidR="00871B59" w:rsidRDefault="00871B59" w:rsidP="00871B59">
      <w:pPr>
        <w:spacing w:after="0" w:line="276" w:lineRule="auto"/>
        <w:jc w:val="both"/>
        <w:rPr>
          <w:rFonts w:ascii="Verdana" w:eastAsia="Calibri" w:hAnsi="Verdana" w:cs="Arial"/>
          <w:color w:val="000000" w:themeColor="text1"/>
          <w:lang w:val="es-ES" w:eastAsia="es-ES"/>
        </w:rPr>
      </w:pPr>
      <w:r w:rsidRPr="005720B6">
        <w:rPr>
          <w:rFonts w:ascii="Verdana" w:eastAsia="Calibri" w:hAnsi="Verdana" w:cs="Arial"/>
          <w:color w:val="000000" w:themeColor="text1"/>
          <w:lang w:val="es-ES" w:eastAsia="es-ES"/>
        </w:rPr>
        <w:t>Estimado señor</w:t>
      </w:r>
      <w:r w:rsidR="005720B6" w:rsidRPr="005720B6">
        <w:rPr>
          <w:rFonts w:ascii="Verdana" w:eastAsia="Calibri" w:hAnsi="Verdana" w:cs="Arial"/>
          <w:color w:val="000000" w:themeColor="text1"/>
          <w:lang w:val="es-ES" w:eastAsia="es-ES"/>
        </w:rPr>
        <w:t xml:space="preserve"> García:</w:t>
      </w:r>
      <w:r w:rsidRPr="005720B6">
        <w:rPr>
          <w:rFonts w:ascii="Verdana" w:eastAsia="Calibri" w:hAnsi="Verdana" w:cs="Arial"/>
          <w:color w:val="000000" w:themeColor="text1"/>
          <w:lang w:val="es-ES" w:eastAsia="es-ES"/>
        </w:rPr>
        <w:t xml:space="preserve"> </w:t>
      </w:r>
    </w:p>
    <w:p w14:paraId="3BD10FEE" w14:textId="77777777" w:rsidR="00871B59" w:rsidRDefault="00871B59" w:rsidP="00871B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E5CE28B" w14:textId="116AC5E2" w:rsidR="00871B59" w:rsidRPr="00593A5F" w:rsidRDefault="00871B59" w:rsidP="00871B59">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w:t>
      </w:r>
      <w:r w:rsidRPr="005720B6">
        <w:rPr>
          <w:rFonts w:ascii="Verdana" w:eastAsia="Calibri" w:hAnsi="Verdana" w:cs="Arial"/>
          <w:color w:val="000000" w:themeColor="text1"/>
          <w:lang w:val="es-ES" w:eastAsia="es-ES"/>
        </w:rPr>
        <w:t>consulta de fecha</w:t>
      </w:r>
      <w:r w:rsidR="005720B6" w:rsidRPr="005720B6">
        <w:rPr>
          <w:rFonts w:ascii="Verdana" w:eastAsia="Calibri" w:hAnsi="Verdana" w:cs="Arial"/>
          <w:color w:val="000000" w:themeColor="text1"/>
          <w:lang w:val="es-ES" w:eastAsia="es-ES"/>
        </w:rPr>
        <w:t xml:space="preserve"> 16</w:t>
      </w:r>
      <w:r w:rsidRPr="005720B6">
        <w:rPr>
          <w:rFonts w:ascii="Verdana" w:eastAsia="Calibri" w:hAnsi="Verdana" w:cs="Arial"/>
          <w:color w:val="000000" w:themeColor="text1"/>
          <w:lang w:val="es-ES" w:eastAsia="es-ES"/>
        </w:rPr>
        <w:t xml:space="preserve"> de </w:t>
      </w:r>
      <w:r w:rsidR="005720B6" w:rsidRPr="005720B6">
        <w:rPr>
          <w:rFonts w:ascii="Verdana" w:eastAsia="Calibri" w:hAnsi="Verdana" w:cs="Arial"/>
          <w:color w:val="000000" w:themeColor="text1"/>
          <w:lang w:val="es-ES" w:eastAsia="es-ES"/>
        </w:rPr>
        <w:t>septiembre</w:t>
      </w:r>
      <w:r w:rsidRPr="005720B6">
        <w:rPr>
          <w:rFonts w:ascii="Verdana" w:eastAsia="Calibri" w:hAnsi="Verdana" w:cs="Arial"/>
          <w:color w:val="000000" w:themeColor="text1"/>
          <w:lang w:val="es-ES" w:eastAsia="es-ES"/>
        </w:rPr>
        <w:t xml:space="preserve"> de 20</w:t>
      </w:r>
      <w:r w:rsidR="005720B6" w:rsidRPr="005720B6">
        <w:rPr>
          <w:rFonts w:ascii="Verdana" w:eastAsia="Calibri" w:hAnsi="Verdana" w:cs="Arial"/>
          <w:color w:val="000000" w:themeColor="text1"/>
          <w:lang w:val="es-ES" w:eastAsia="es-ES"/>
        </w:rPr>
        <w:t>25</w:t>
      </w:r>
      <w:r w:rsidRPr="005720B6">
        <w:rPr>
          <w:rFonts w:ascii="Verdana" w:eastAsia="Calibri" w:hAnsi="Verdana" w:cs="Arial"/>
          <w:color w:val="000000" w:themeColor="text1"/>
          <w:lang w:val="es-ES" w:eastAsia="es-ES"/>
        </w:rPr>
        <w:t>, en la cual manifiesta lo siguiente:</w:t>
      </w:r>
      <w:r w:rsidR="005720B6" w:rsidRPr="005720B6">
        <w:rPr>
          <w:rFonts w:ascii="Verdana" w:eastAsia="Calibri" w:hAnsi="Verdana" w:cs="Arial"/>
          <w:color w:val="000000" w:themeColor="text1"/>
          <w:lang w:val="es-ES" w:eastAsia="es-ES"/>
        </w:rPr>
        <w:t xml:space="preserve"> </w:t>
      </w:r>
    </w:p>
    <w:p w14:paraId="2C6BDA78" w14:textId="77777777" w:rsidR="00871B59" w:rsidRPr="00272A7B"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2E166FF0" w14:textId="3836CB8B" w:rsidR="00871B59" w:rsidRPr="005720B6" w:rsidRDefault="00871B59" w:rsidP="005720B6">
      <w:pPr>
        <w:ind w:left="709" w:right="709"/>
        <w:jc w:val="both"/>
        <w:rPr>
          <w:rFonts w:ascii="Verdana" w:eastAsia="Times New Roman" w:hAnsi="Verdana" w:cs="Calibri"/>
          <w:color w:val="000000"/>
          <w:lang w:eastAsia="es-MX"/>
        </w:rPr>
      </w:pPr>
      <w:bookmarkStart w:id="1" w:name="_Hlk95313578"/>
      <w:r w:rsidRPr="005720B6">
        <w:rPr>
          <w:rFonts w:ascii="Verdana" w:eastAsia="Century Gothic" w:hAnsi="Verdana" w:cs="Century Gothic"/>
          <w:color w:val="7030A0"/>
          <w:lang w:val="es-ES"/>
        </w:rPr>
        <w:t>“</w:t>
      </w:r>
      <w:bookmarkEnd w:id="1"/>
      <w:r w:rsidR="005720B6" w:rsidRPr="005720B6">
        <w:rPr>
          <w:rFonts w:ascii="Verdana" w:hAnsi="Verdana"/>
        </w:rPr>
        <w:t xml:space="preserve">La presente solicitud se fundamenta en la necesidad de determinar si las Personerías Municipales, en su calidad de órganos de control autónomos e independientes que no hacen parte de la administración municipal, deben acogerse a las restricciones establecidas en la Ley de Garantías Electorales (Ley 996 de 2005), especialmente en lo que respecta a la contratación directa y a la </w:t>
      </w:r>
      <w:r w:rsidR="005720B6" w:rsidRPr="005720B6">
        <w:rPr>
          <w:rFonts w:ascii="Verdana" w:hAnsi="Verdana"/>
        </w:rPr>
        <w:lastRenderedPageBreak/>
        <w:t>celebración de convenios interadministrativos durante los periodos de elecciones”.</w:t>
      </w:r>
    </w:p>
    <w:p w14:paraId="2DD1265A" w14:textId="77777777"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BB90E35" w14:textId="16203594"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w:t>
      </w:r>
      <w:r w:rsidR="005720B6">
        <w:rPr>
          <w:rFonts w:ascii="Verdana" w:eastAsia="Calibri" w:hAnsi="Verdana" w:cs="Arial"/>
          <w:color w:val="000000"/>
          <w:lang w:val="es-ES" w:eastAsia="es-ES"/>
        </w:rPr>
        <w:t>señalando</w:t>
      </w:r>
      <w:r w:rsidRPr="00593A5F">
        <w:rPr>
          <w:rFonts w:ascii="Verdana" w:eastAsia="Calibri" w:hAnsi="Verdana" w:cs="Arial"/>
          <w:color w:val="000000"/>
          <w:lang w:val="es-ES" w:eastAsia="es-ES"/>
        </w:rPr>
        <w:t xml:space="preserve"> unas consideraciones sobre las normas generales relacionadas con </w:t>
      </w:r>
      <w:r>
        <w:rPr>
          <w:rFonts w:ascii="Verdana" w:eastAsia="Calibri" w:hAnsi="Verdana" w:cs="Arial"/>
          <w:color w:val="000000"/>
          <w:lang w:val="es-ES" w:eastAsia="es-ES"/>
        </w:rPr>
        <w:t>el 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005720B6">
        <w:rPr>
          <w:rFonts w:ascii="Verdana" w:eastAsia="Calibri" w:hAnsi="Verdana" w:cs="Arial"/>
          <w:color w:val="000000"/>
          <w:lang w:val="es-ES" w:eastAsia="es-ES"/>
        </w:rPr>
        <w:t xml:space="preserve"> </w:t>
      </w:r>
    </w:p>
    <w:p w14:paraId="1562D3FC" w14:textId="77777777" w:rsidR="00871B59" w:rsidRPr="00593A5F" w:rsidRDefault="00871B59" w:rsidP="00871B59">
      <w:pPr>
        <w:spacing w:after="0" w:line="276" w:lineRule="auto"/>
        <w:ind w:firstLine="709"/>
        <w:jc w:val="both"/>
        <w:rPr>
          <w:rFonts w:ascii="Verdana" w:eastAsia="Calibri" w:hAnsi="Verdana" w:cs="Arial"/>
          <w:color w:val="000000"/>
          <w:lang w:val="es-ES" w:eastAsia="es-ES"/>
        </w:rPr>
      </w:pPr>
    </w:p>
    <w:p w14:paraId="0B6B1E07" w14:textId="77777777" w:rsidR="00871B59" w:rsidRPr="00593A5F"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t>Problema planteado:</w:t>
      </w:r>
    </w:p>
    <w:p w14:paraId="276B9DDA"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66938D95" w14:textId="76B6E1A2" w:rsidR="00871B59" w:rsidRPr="009E35F8" w:rsidRDefault="00871B59" w:rsidP="1F9252E4">
      <w:pPr>
        <w:spacing w:after="0" w:line="276" w:lineRule="auto"/>
        <w:jc w:val="both"/>
        <w:rPr>
          <w:rFonts w:ascii="Verdana" w:eastAsia="Century Gothic" w:hAnsi="Verdana" w:cs="Century Gothic"/>
          <w:color w:val="000000" w:themeColor="text1"/>
        </w:rPr>
      </w:pPr>
      <w:r w:rsidRPr="1F9252E4">
        <w:rPr>
          <w:rFonts w:ascii="Verdana" w:eastAsia="Century Gothic" w:hAnsi="Verdana" w:cs="Century Gothic"/>
        </w:rPr>
        <w:t xml:space="preserve">De acuerdo con el contenido de su solicitud, esta Agencia resolverá el siguiente problema jurídico: </w:t>
      </w:r>
      <w:r w:rsidRPr="009E35F8">
        <w:rPr>
          <w:rFonts w:ascii="Verdana" w:eastAsia="Century Gothic" w:hAnsi="Verdana" w:cs="Century Gothic"/>
          <w:color w:val="000000" w:themeColor="text1"/>
        </w:rPr>
        <w:t>¿</w:t>
      </w:r>
      <w:r w:rsidR="009E35F8" w:rsidRPr="009E35F8">
        <w:rPr>
          <w:rFonts w:ascii="Verdana" w:hAnsi="Verdana"/>
          <w:color w:val="000000" w:themeColor="text1"/>
        </w:rPr>
        <w:t>Deben las Personerías Municipales, en su calidad de órganos de control, acogerse a las prohibiciones de contratación directa y celebración de convenios interadministrativos contenidas en la Ley de Garantías Electorales?</w:t>
      </w:r>
    </w:p>
    <w:p w14:paraId="45AB81B8" w14:textId="77777777" w:rsidR="00871B59" w:rsidRPr="00593A5F" w:rsidRDefault="00871B59" w:rsidP="00871B59">
      <w:pPr>
        <w:spacing w:after="0" w:line="276" w:lineRule="auto"/>
        <w:jc w:val="both"/>
        <w:rPr>
          <w:rFonts w:ascii="Verdana" w:eastAsia="Calibri" w:hAnsi="Verdana" w:cs="Arial"/>
          <w:color w:val="7030A0"/>
          <w:lang w:val="es-ES"/>
        </w:rPr>
      </w:pPr>
    </w:p>
    <w:p w14:paraId="5F9C3B98"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07A72890"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50FD7DE6" w14:textId="77777777" w:rsidTr="002607A7">
        <w:tc>
          <w:tcPr>
            <w:tcW w:w="8828" w:type="dxa"/>
          </w:tcPr>
          <w:p w14:paraId="7993F387" w14:textId="7DD1AFEE" w:rsidR="009816B6" w:rsidRDefault="009816B6" w:rsidP="009816B6">
            <w:pPr>
              <w:spacing w:before="120" w:after="120" w:line="276" w:lineRule="auto"/>
              <w:jc w:val="both"/>
              <w:rPr>
                <w:rFonts w:ascii="Verdana" w:eastAsia="Times New Roman" w:hAnsi="Verdana" w:cs="Arial"/>
                <w:lang w:eastAsia="x-none"/>
              </w:rPr>
            </w:pPr>
            <w:r>
              <w:rPr>
                <w:rFonts w:ascii="Verdana" w:eastAsia="Times New Roman" w:hAnsi="Verdana" w:cs="Times New Roman"/>
                <w:lang w:val="es-ES" w:eastAsia="es-MX"/>
              </w:rPr>
              <w:t>L</w:t>
            </w:r>
            <w:r w:rsidRPr="00805B33">
              <w:rPr>
                <w:rFonts w:ascii="Verdana" w:eastAsia="Times New Roman" w:hAnsi="Verdana" w:cs="Times New Roman"/>
                <w:lang w:eastAsia="es-MX"/>
              </w:rPr>
              <w:t xml:space="preserve">as Personerías son órganos de control como lo enuncia el artículo 118 de la Constitución Política, que integran el Ministerio Público. Si bien gozan de autonomía administrativa y presupuestal, según la Ley 136 de 1994, artículo 168, y no son dependencias de la Alcaldía Municipal, la Ley de Garantías fue </w:t>
            </w:r>
            <w:r w:rsidRPr="00805B33">
              <w:rPr>
                <w:rFonts w:ascii="Verdana" w:eastAsia="Times New Roman" w:hAnsi="Verdana" w:cs="Times New Roman"/>
                <w:lang w:eastAsia="es-MX"/>
              </w:rPr>
              <w:lastRenderedPageBreak/>
              <w:t xml:space="preserve">diseñada para garantizar la transparencia y la igualdad en la contienda electoral, evitando que </w:t>
            </w:r>
            <w:r w:rsidRPr="00805B33">
              <w:rPr>
                <w:rFonts w:ascii="Verdana" w:eastAsia="Times New Roman" w:hAnsi="Verdana" w:cs="Times New Roman"/>
                <w:i/>
                <w:iCs/>
                <w:lang w:eastAsia="es-MX"/>
              </w:rPr>
              <w:t>cualquier</w:t>
            </w:r>
            <w:r w:rsidRPr="00805B33">
              <w:rPr>
                <w:rFonts w:ascii="Verdana" w:eastAsia="Times New Roman" w:hAnsi="Verdana" w:cs="Times New Roman"/>
                <w:lang w:eastAsia="es-MX"/>
              </w:rPr>
              <w:t xml:space="preserve"> entidad que maneje recursos públicos pueda usarlos para inclinar la balanza política.</w:t>
            </w:r>
          </w:p>
          <w:p w14:paraId="3BF28205" w14:textId="77777777" w:rsidR="009816B6" w:rsidRDefault="009816B6" w:rsidP="009816B6">
            <w:pPr>
              <w:spacing w:before="120" w:after="120" w:line="276" w:lineRule="auto"/>
              <w:ind w:firstLine="708"/>
              <w:jc w:val="both"/>
              <w:rPr>
                <w:rFonts w:ascii="Verdana" w:eastAsia="Times New Roman" w:hAnsi="Verdana" w:cs="Arial"/>
                <w:lang w:eastAsia="x-none"/>
              </w:rPr>
            </w:pPr>
            <w:r>
              <w:rPr>
                <w:rFonts w:ascii="Verdana" w:eastAsia="Times New Roman" w:hAnsi="Verdana" w:cs="Times New Roman"/>
                <w:lang w:eastAsia="es-MX"/>
              </w:rPr>
              <w:t>En este sentido</w:t>
            </w:r>
            <w:r w:rsidRPr="00805B33">
              <w:rPr>
                <w:rFonts w:ascii="Verdana" w:eastAsia="Times New Roman" w:hAnsi="Verdana" w:cs="Times New Roman"/>
                <w:lang w:eastAsia="es-MX"/>
              </w:rPr>
              <w:t>, la Ley 996 de 2005</w:t>
            </w:r>
            <w:r>
              <w:rPr>
                <w:rFonts w:ascii="Verdana" w:eastAsia="Times New Roman" w:hAnsi="Verdana" w:cs="Times New Roman"/>
                <w:lang w:eastAsia="es-MX"/>
              </w:rPr>
              <w:t xml:space="preserve">, establece dos prohibiciones </w:t>
            </w:r>
            <w:r w:rsidRPr="009816B6">
              <w:rPr>
                <w:rFonts w:ascii="Verdana" w:eastAsia="Times New Roman" w:hAnsi="Verdana" w:cs="Times New Roman"/>
                <w:i/>
                <w:iCs/>
                <w:lang w:eastAsia="es-MX"/>
              </w:rPr>
              <w:t>i)</w:t>
            </w:r>
            <w:r>
              <w:rPr>
                <w:rFonts w:ascii="Verdana" w:eastAsia="Times New Roman" w:hAnsi="Verdana" w:cs="Times New Roman"/>
                <w:lang w:eastAsia="es-MX"/>
              </w:rPr>
              <w:t xml:space="preserve"> de un lado, la p</w:t>
            </w:r>
            <w:r w:rsidRPr="00805B33">
              <w:rPr>
                <w:rFonts w:ascii="Verdana" w:eastAsia="Times New Roman" w:hAnsi="Verdana" w:cs="Times New Roman"/>
                <w:lang w:eastAsia="es-MX"/>
              </w:rPr>
              <w:t xml:space="preserve">rohibición del </w:t>
            </w:r>
            <w:r>
              <w:rPr>
                <w:rFonts w:ascii="Verdana" w:eastAsia="Times New Roman" w:hAnsi="Verdana" w:cs="Times New Roman"/>
                <w:lang w:eastAsia="es-MX"/>
              </w:rPr>
              <w:t>a</w:t>
            </w:r>
            <w:r w:rsidRPr="00805B33">
              <w:rPr>
                <w:rFonts w:ascii="Verdana" w:eastAsia="Times New Roman" w:hAnsi="Verdana" w:cs="Times New Roman"/>
                <w:lang w:eastAsia="es-MX"/>
              </w:rPr>
              <w:t>rtículo 33</w:t>
            </w:r>
            <w:r>
              <w:rPr>
                <w:rFonts w:ascii="Verdana" w:eastAsia="Times New Roman" w:hAnsi="Verdana" w:cs="Times New Roman"/>
                <w:lang w:eastAsia="es-MX"/>
              </w:rPr>
              <w:t xml:space="preserve">, donde se </w:t>
            </w:r>
            <w:r w:rsidRPr="00805B33">
              <w:rPr>
                <w:rFonts w:ascii="Verdana" w:eastAsia="Times New Roman" w:hAnsi="Verdana" w:cs="Times New Roman"/>
                <w:lang w:eastAsia="es-MX"/>
              </w:rPr>
              <w:t>prohíbe la contratación directa (salvo sus excepciones)</w:t>
            </w:r>
            <w:r>
              <w:rPr>
                <w:rFonts w:ascii="Verdana" w:eastAsia="Times New Roman" w:hAnsi="Verdana" w:cs="Times New Roman"/>
                <w:lang w:eastAsia="es-MX"/>
              </w:rPr>
              <w:t>,</w:t>
            </w:r>
            <w:r w:rsidRPr="00805B33">
              <w:rPr>
                <w:rFonts w:ascii="Verdana" w:eastAsia="Times New Roman" w:hAnsi="Verdana" w:cs="Times New Roman"/>
                <w:lang w:eastAsia="es-MX"/>
              </w:rPr>
              <w:t xml:space="preserve"> durante los cuatro meses previos a la elección </w:t>
            </w:r>
            <w:r w:rsidRPr="00805B33">
              <w:rPr>
                <w:rFonts w:ascii="Verdana" w:eastAsia="Times New Roman" w:hAnsi="Verdana" w:cs="Times New Roman"/>
                <w:i/>
                <w:iCs/>
                <w:lang w:eastAsia="es-MX"/>
              </w:rPr>
              <w:t>presidencial</w:t>
            </w:r>
            <w:r w:rsidRPr="00805B33">
              <w:rPr>
                <w:rFonts w:ascii="Verdana" w:eastAsia="Times New Roman" w:hAnsi="Verdana" w:cs="Times New Roman"/>
                <w:lang w:eastAsia="es-MX"/>
              </w:rPr>
              <w:t>. Esta restricción aplica a "todas las entidades del Estado". La Personería Municipal, al ser una entidad estatal y un órgano autónomo de control, está sujeta a esta restricción.</w:t>
            </w:r>
            <w:r>
              <w:rPr>
                <w:rFonts w:ascii="Verdana" w:eastAsia="Times New Roman" w:hAnsi="Verdana" w:cs="Times New Roman"/>
                <w:lang w:eastAsia="es-MX"/>
              </w:rPr>
              <w:t xml:space="preserve"> </w:t>
            </w:r>
            <w:proofErr w:type="spellStart"/>
            <w:r w:rsidRPr="009816B6">
              <w:rPr>
                <w:rFonts w:ascii="Verdana" w:eastAsia="Times New Roman" w:hAnsi="Verdana" w:cs="Times New Roman"/>
                <w:i/>
                <w:iCs/>
                <w:lang w:eastAsia="es-MX"/>
              </w:rPr>
              <w:t>ii</w:t>
            </w:r>
            <w:proofErr w:type="spellEnd"/>
            <w:r w:rsidRPr="009816B6">
              <w:rPr>
                <w:rFonts w:ascii="Verdana" w:eastAsia="Times New Roman" w:hAnsi="Verdana" w:cs="Times New Roman"/>
                <w:i/>
                <w:iCs/>
                <w:lang w:eastAsia="es-MX"/>
              </w:rPr>
              <w:t>)</w:t>
            </w:r>
            <w:r>
              <w:rPr>
                <w:rFonts w:ascii="Verdana" w:eastAsia="Times New Roman" w:hAnsi="Verdana" w:cs="Times New Roman"/>
                <w:lang w:eastAsia="es-MX"/>
              </w:rPr>
              <w:t xml:space="preserve"> y de otro lado, se encuentra la p</w:t>
            </w:r>
            <w:r w:rsidRPr="00805B33">
              <w:rPr>
                <w:rFonts w:ascii="Verdana" w:eastAsia="Times New Roman" w:hAnsi="Verdana" w:cs="Times New Roman"/>
                <w:lang w:eastAsia="es-MX"/>
              </w:rPr>
              <w:t>rohibición del Parágrafo del Artículo 38</w:t>
            </w:r>
            <w:r>
              <w:rPr>
                <w:rFonts w:ascii="Verdana" w:eastAsia="Times New Roman" w:hAnsi="Verdana" w:cs="Times New Roman"/>
                <w:lang w:eastAsia="es-MX"/>
              </w:rPr>
              <w:t xml:space="preserve">, allí se </w:t>
            </w:r>
            <w:r w:rsidRPr="00805B33">
              <w:rPr>
                <w:rFonts w:ascii="Verdana" w:eastAsia="Times New Roman" w:hAnsi="Verdana" w:cs="Times New Roman"/>
                <w:lang w:eastAsia="es-MX"/>
              </w:rPr>
              <w:t xml:space="preserve">prohíbe la celebración de convenios interadministrativos que ejecuten recursos públicos durante los cuatro meses previos a </w:t>
            </w:r>
            <w:r w:rsidRPr="00805B33">
              <w:rPr>
                <w:rFonts w:ascii="Verdana" w:eastAsia="Times New Roman" w:hAnsi="Verdana" w:cs="Times New Roman"/>
                <w:i/>
                <w:iCs/>
                <w:lang w:eastAsia="es-MX"/>
              </w:rPr>
              <w:t>cualquier</w:t>
            </w:r>
            <w:r w:rsidRPr="00805B33">
              <w:rPr>
                <w:rFonts w:ascii="Verdana" w:eastAsia="Times New Roman" w:hAnsi="Verdana" w:cs="Times New Roman"/>
                <w:lang w:eastAsia="es-MX"/>
              </w:rPr>
              <w:t xml:space="preserve"> tipo de elección nacional o territorial. </w:t>
            </w:r>
          </w:p>
          <w:p w14:paraId="6172DCF2" w14:textId="77777777" w:rsidR="009816B6" w:rsidRDefault="009816B6" w:rsidP="009816B6">
            <w:pPr>
              <w:spacing w:before="120" w:after="120" w:line="276" w:lineRule="auto"/>
              <w:ind w:firstLine="708"/>
              <w:jc w:val="both"/>
              <w:rPr>
                <w:rFonts w:ascii="Verdana" w:eastAsia="Times New Roman" w:hAnsi="Verdana" w:cs="Arial"/>
                <w:lang w:eastAsia="x-none"/>
              </w:rPr>
            </w:pPr>
            <w:r w:rsidRPr="00805B33">
              <w:rPr>
                <w:rFonts w:ascii="Verdana" w:eastAsia="Times New Roman" w:hAnsi="Verdana" w:cs="Times New Roman"/>
                <w:lang w:eastAsia="es-MX"/>
              </w:rPr>
              <w:t xml:space="preserve">Esta prohibición se dirige explícitamente a "Gobernadores, Alcaldes Municipales y/o Distritales, Secretarios, Gerentes y directores de Entidades Descentralizadas". Aunque el Personero no está en esa lista taxativa, la prohibición recae </w:t>
            </w:r>
            <w:r>
              <w:rPr>
                <w:rFonts w:ascii="Verdana" w:eastAsia="Times New Roman" w:hAnsi="Verdana" w:cs="Times New Roman"/>
                <w:lang w:eastAsia="es-MX"/>
              </w:rPr>
              <w:t xml:space="preserve">en dicho cargo al ser el director </w:t>
            </w:r>
            <w:r w:rsidRPr="00805B33">
              <w:rPr>
                <w:rFonts w:ascii="Verdana" w:eastAsia="Times New Roman" w:hAnsi="Verdana" w:cs="Times New Roman"/>
                <w:lang w:eastAsia="es-MX"/>
              </w:rPr>
              <w:t>, haciendo jurídicamente inviable que la Personería suscriba dichos convenios con ellas durante el periodo restrictivo.</w:t>
            </w:r>
          </w:p>
          <w:p w14:paraId="0E9315AC" w14:textId="77777777" w:rsidR="009816B6" w:rsidRDefault="009816B6" w:rsidP="009816B6">
            <w:pPr>
              <w:spacing w:before="120" w:after="120" w:line="276" w:lineRule="auto"/>
              <w:ind w:firstLine="708"/>
              <w:jc w:val="both"/>
              <w:rPr>
                <w:rFonts w:ascii="Verdana" w:eastAsia="Times New Roman" w:hAnsi="Verdana" w:cs="Arial"/>
                <w:lang w:eastAsia="x-none"/>
              </w:rPr>
            </w:pPr>
            <w:r w:rsidRPr="00805B33">
              <w:rPr>
                <w:rFonts w:ascii="Verdana" w:eastAsia="Times New Roman" w:hAnsi="Verdana" w:cs="Times New Roman"/>
                <w:lang w:eastAsia="es-MX"/>
              </w:rPr>
              <w:t xml:space="preserve">En conclusión, la autonomía de la Personería Municipal frente a la Alcaldía no la exime del cumplimiento de la Ley de Garantías Electorales. Como entidad estatal que maneja recursos públicos y posee la naturaleza de "órgano autónomo", la Personería está plenamente cobijada por las prohibiciones de los artículos 33 (en lo referente a contratación directa en </w:t>
            </w:r>
            <w:r>
              <w:rPr>
                <w:rFonts w:ascii="Verdana" w:eastAsia="Times New Roman" w:hAnsi="Verdana" w:cs="Times New Roman"/>
                <w:lang w:eastAsia="es-MX"/>
              </w:rPr>
              <w:t xml:space="preserve">elecciones </w:t>
            </w:r>
            <w:r w:rsidRPr="00805B33">
              <w:rPr>
                <w:rFonts w:ascii="Verdana" w:eastAsia="Times New Roman" w:hAnsi="Verdana" w:cs="Times New Roman"/>
                <w:lang w:eastAsia="es-MX"/>
              </w:rPr>
              <w:t>presidenciales</w:t>
            </w:r>
            <w:r>
              <w:rPr>
                <w:rFonts w:ascii="Verdana" w:eastAsia="Times New Roman" w:hAnsi="Verdana" w:cs="Times New Roman"/>
                <w:lang w:eastAsia="es-MX"/>
              </w:rPr>
              <w:t>, y la restricción del artículo</w:t>
            </w:r>
            <w:r w:rsidRPr="00805B33">
              <w:rPr>
                <w:rFonts w:ascii="Verdana" w:eastAsia="Times New Roman" w:hAnsi="Verdana" w:cs="Times New Roman"/>
                <w:lang w:eastAsia="es-MX"/>
              </w:rPr>
              <w:t xml:space="preserve"> 38</w:t>
            </w:r>
            <w:r>
              <w:rPr>
                <w:rFonts w:ascii="Verdana" w:eastAsia="Times New Roman" w:hAnsi="Verdana" w:cs="Times New Roman"/>
                <w:lang w:eastAsia="es-MX"/>
              </w:rPr>
              <w:t xml:space="preserve">, </w:t>
            </w:r>
            <w:r w:rsidRPr="00805B33">
              <w:rPr>
                <w:rFonts w:ascii="Verdana" w:eastAsia="Times New Roman" w:hAnsi="Verdana" w:cs="Times New Roman"/>
                <w:lang w:eastAsia="es-MX"/>
              </w:rPr>
              <w:t>en lo referente a convenios interadministrativos en toda elección</w:t>
            </w:r>
            <w:r>
              <w:rPr>
                <w:rFonts w:ascii="Verdana" w:eastAsia="Times New Roman" w:hAnsi="Verdana" w:cs="Times New Roman"/>
                <w:lang w:eastAsia="es-MX"/>
              </w:rPr>
              <w:t>,</w:t>
            </w:r>
            <w:r w:rsidRPr="00805B33">
              <w:rPr>
                <w:rFonts w:ascii="Verdana" w:eastAsia="Times New Roman" w:hAnsi="Verdana" w:cs="Times New Roman"/>
                <w:lang w:eastAsia="es-MX"/>
              </w:rPr>
              <w:t xml:space="preserve"> de la Ley 996 de 2005.</w:t>
            </w:r>
          </w:p>
          <w:p w14:paraId="32CBD6D5" w14:textId="17B7EBC5" w:rsidR="00871B59" w:rsidRPr="009E35F8" w:rsidRDefault="009816B6" w:rsidP="009E35F8">
            <w:pPr>
              <w:spacing w:before="120" w:after="120" w:line="276" w:lineRule="auto"/>
              <w:ind w:firstLine="708"/>
              <w:jc w:val="both"/>
              <w:rPr>
                <w:rFonts w:ascii="Verdana" w:eastAsia="Times New Roman" w:hAnsi="Verdana" w:cs="Arial"/>
                <w:lang w:eastAsia="x-none"/>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w:t>
            </w:r>
            <w:r w:rsidRPr="00DB4737">
              <w:rPr>
                <w:rFonts w:ascii="Verdana" w:eastAsia="Calibri" w:hAnsi="Verdana" w:cs="Times New Roman"/>
              </w:rPr>
              <w:lastRenderedPageBreak/>
              <w:t>interesados de adoptar la decisión y, en caso de conflicto, a las autoridades judiciales, fiscales y disciplinarias.</w:t>
            </w:r>
            <w:r>
              <w:t xml:space="preserve"> </w:t>
            </w:r>
          </w:p>
        </w:tc>
      </w:tr>
    </w:tbl>
    <w:p w14:paraId="27D3B633"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00018D9C"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56A24D4C" w14:textId="77777777" w:rsidR="00871B59" w:rsidRPr="00593A5F" w:rsidRDefault="00871B59" w:rsidP="00871B59">
      <w:pPr>
        <w:spacing w:after="0" w:line="276" w:lineRule="auto"/>
        <w:jc w:val="both"/>
        <w:rPr>
          <w:rFonts w:ascii="Verdana" w:eastAsia="Calibri" w:hAnsi="Verdana" w:cs="Arial"/>
          <w:color w:val="7030A0"/>
          <w:lang w:val="es-ES"/>
        </w:rPr>
      </w:pPr>
    </w:p>
    <w:p w14:paraId="2B7C3C39" w14:textId="77777777" w:rsidR="00871B59" w:rsidRPr="00B96799"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581F0F5A" w14:textId="77777777" w:rsidR="00983695" w:rsidRDefault="00983695" w:rsidP="00983695">
      <w:pPr>
        <w:spacing w:after="0" w:line="276" w:lineRule="auto"/>
        <w:jc w:val="both"/>
        <w:rPr>
          <w:rFonts w:ascii="Verdana" w:eastAsia="Calibri" w:hAnsi="Verdana" w:cs="Arial"/>
          <w:color w:val="7030A0"/>
          <w:lang w:val="es-ES"/>
        </w:rPr>
      </w:pPr>
    </w:p>
    <w:p w14:paraId="55C86E8F" w14:textId="638A3396" w:rsidR="00916B6A" w:rsidRPr="00F10E52" w:rsidRDefault="009816B6" w:rsidP="00916B6A">
      <w:pPr>
        <w:tabs>
          <w:tab w:val="left" w:pos="426"/>
        </w:tabs>
        <w:spacing w:after="120" w:line="276" w:lineRule="auto"/>
        <w:jc w:val="both"/>
        <w:rPr>
          <w:rFonts w:ascii="Verdana" w:eastAsia="Times New Roman" w:hAnsi="Verdana" w:cs="Arial"/>
          <w:bCs/>
          <w:lang w:eastAsia="es-CO"/>
        </w:rPr>
      </w:pPr>
      <w:r>
        <w:rPr>
          <w:rFonts w:ascii="Verdana" w:eastAsia="Calibri" w:hAnsi="Verdana" w:cs="Arial"/>
          <w:bCs/>
        </w:rPr>
        <w:t>En primer lugar, e</w:t>
      </w:r>
      <w:r w:rsidR="00916B6A" w:rsidRPr="00F10E52">
        <w:rPr>
          <w:rFonts w:ascii="Verdana" w:eastAsia="Calibri" w:hAnsi="Verdana" w:cs="Arial"/>
          <w:bCs/>
        </w:rPr>
        <w:t>l ordenamiento jurídico colombiano contempla previsiones claras para evitar la obtención de beneficios personales en asuntos propios de la administración pública</w:t>
      </w:r>
      <w:r w:rsidR="00916B6A" w:rsidRPr="00F10E52">
        <w:rPr>
          <w:rFonts w:ascii="Verdana" w:eastAsia="Calibri" w:hAnsi="Verdana" w:cs="Arial"/>
          <w:bCs/>
          <w:i/>
          <w:iCs/>
        </w:rPr>
        <w:t xml:space="preserve">. </w:t>
      </w:r>
      <w:r w:rsidR="00916B6A" w:rsidRPr="00F10E52">
        <w:rPr>
          <w:rFonts w:ascii="Verdana" w:eastAsia="Calibri" w:hAnsi="Verdana" w:cs="Arial"/>
          <w:bCs/>
        </w:rPr>
        <w:t>Por ejemplo, el artículo 127 de la Constitución Política establece una prohibición contractual a los servidores públicos y en cuanto a aspectos políticos establece restricciones a ciertos empleados del Estado, incluso en época no electoral</w:t>
      </w:r>
      <w:r w:rsidR="00916B6A" w:rsidRPr="00F10E52">
        <w:rPr>
          <w:rStyle w:val="Refdenotaalpie"/>
          <w:rFonts w:ascii="Verdana" w:eastAsia="Calibri" w:hAnsi="Verdana" w:cs="Arial"/>
          <w:bCs/>
        </w:rPr>
        <w:footnoteReference w:id="2"/>
      </w:r>
      <w:r w:rsidR="00916B6A" w:rsidRPr="00F10E52">
        <w:rPr>
          <w:rFonts w:ascii="Verdana" w:eastAsia="Calibri" w:hAnsi="Verdana" w:cs="Arial"/>
          <w:bCs/>
        </w:rPr>
        <w:t xml:space="preserve">. </w:t>
      </w:r>
    </w:p>
    <w:p w14:paraId="0546540C" w14:textId="77777777" w:rsidR="00916B6A" w:rsidRPr="00F10E52" w:rsidRDefault="00916B6A" w:rsidP="00916B6A">
      <w:pPr>
        <w:tabs>
          <w:tab w:val="left" w:pos="426"/>
        </w:tabs>
        <w:spacing w:before="120"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3"/>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7612F9A4" w14:textId="77777777" w:rsidR="00916B6A" w:rsidRPr="00F10E52" w:rsidRDefault="00916B6A" w:rsidP="00916B6A">
      <w:pPr>
        <w:tabs>
          <w:tab w:val="left" w:pos="426"/>
        </w:tabs>
        <w:spacing w:after="0" w:line="276" w:lineRule="auto"/>
        <w:ind w:firstLine="709"/>
        <w:jc w:val="both"/>
        <w:rPr>
          <w:rFonts w:ascii="Verdana" w:eastAsia="Times New Roman" w:hAnsi="Verdana" w:cs="Arial"/>
          <w:bCs/>
          <w:lang w:eastAsia="es-CO"/>
        </w:rPr>
      </w:pPr>
    </w:p>
    <w:p w14:paraId="51000C00" w14:textId="77777777" w:rsidR="00916B6A" w:rsidRPr="00363352" w:rsidRDefault="00916B6A" w:rsidP="00916B6A">
      <w:pPr>
        <w:spacing w:after="0" w:line="240" w:lineRule="auto"/>
        <w:ind w:left="709" w:right="709"/>
        <w:jc w:val="both"/>
        <w:rPr>
          <w:rFonts w:ascii="Verdana" w:eastAsia="Times New Roman" w:hAnsi="Verdana" w:cs="Arial"/>
          <w:sz w:val="20"/>
          <w:szCs w:val="20"/>
          <w:lang w:val="es-ES" w:eastAsia="es-CO"/>
        </w:rPr>
      </w:pPr>
      <w:r w:rsidRPr="00363352">
        <w:rPr>
          <w:rFonts w:ascii="Verdana" w:eastAsia="Times New Roman" w:hAnsi="Verdana" w:cs="Arial"/>
          <w:sz w:val="20"/>
          <w:szCs w:val="20"/>
          <w:lang w:val="es-ES" w:eastAsia="es-CO"/>
        </w:rPr>
        <w:t xml:space="preserve">[…] </w:t>
      </w:r>
    </w:p>
    <w:p w14:paraId="09D94CC5" w14:textId="77777777" w:rsidR="00916B6A" w:rsidRPr="009B20C5" w:rsidRDefault="00916B6A" w:rsidP="00916B6A">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7062E333" w14:textId="77777777" w:rsidR="00916B6A" w:rsidRPr="006507E4" w:rsidRDefault="00916B6A" w:rsidP="00916B6A">
      <w:pPr>
        <w:spacing w:after="0" w:line="240" w:lineRule="auto"/>
        <w:ind w:left="709" w:right="709"/>
        <w:jc w:val="both"/>
        <w:rPr>
          <w:rFonts w:ascii="Verdana" w:eastAsia="Times New Roman" w:hAnsi="Verdana" w:cs="Arial"/>
          <w:bCs/>
          <w:sz w:val="20"/>
          <w:szCs w:val="20"/>
          <w:lang w:eastAsia="es-CO"/>
        </w:rPr>
      </w:pPr>
    </w:p>
    <w:p w14:paraId="1CB3203A" w14:textId="77777777" w:rsidR="00916B6A" w:rsidRDefault="00916B6A" w:rsidP="00916B6A">
      <w:pPr>
        <w:spacing w:after="0" w:line="240" w:lineRule="auto"/>
        <w:ind w:left="709" w:right="709"/>
        <w:jc w:val="both"/>
        <w:rPr>
          <w:rFonts w:ascii="Verdana" w:eastAsia="Times New Roman" w:hAnsi="Verdana" w:cs="Arial"/>
          <w:sz w:val="20"/>
          <w:szCs w:val="20"/>
          <w:lang w:eastAsia="es-CO"/>
        </w:rPr>
      </w:pPr>
      <w:r w:rsidRPr="009B20C5">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9B20C5">
        <w:rPr>
          <w:rStyle w:val="Refdenotaalpie"/>
          <w:rFonts w:ascii="Verdana" w:hAnsi="Verdana" w:cs="Arial"/>
          <w:sz w:val="20"/>
          <w:szCs w:val="20"/>
        </w:rPr>
        <w:footnoteReference w:id="4"/>
      </w:r>
      <w:r>
        <w:rPr>
          <w:rFonts w:ascii="Verdana" w:eastAsia="Times New Roman" w:hAnsi="Verdana" w:cs="Arial"/>
          <w:bCs/>
          <w:sz w:val="20"/>
          <w:szCs w:val="20"/>
          <w:lang w:eastAsia="es-CO"/>
        </w:rPr>
        <w:t xml:space="preserve"> </w:t>
      </w:r>
      <w:r w:rsidRPr="00363352">
        <w:rPr>
          <w:rFonts w:ascii="Verdana" w:eastAsia="Times New Roman" w:hAnsi="Verdana" w:cs="Arial"/>
          <w:sz w:val="20"/>
          <w:szCs w:val="20"/>
          <w:lang w:eastAsia="es-CO"/>
        </w:rPr>
        <w:t xml:space="preserve">[…] </w:t>
      </w:r>
    </w:p>
    <w:p w14:paraId="1EE81EEC" w14:textId="77777777" w:rsidR="00916B6A" w:rsidRPr="006507E4" w:rsidRDefault="00916B6A" w:rsidP="00916B6A">
      <w:pPr>
        <w:spacing w:after="0" w:line="276" w:lineRule="auto"/>
        <w:ind w:left="709" w:right="709"/>
        <w:jc w:val="both"/>
        <w:rPr>
          <w:rFonts w:ascii="Verdana" w:eastAsia="Times New Roman" w:hAnsi="Verdana" w:cs="Arial"/>
          <w:bCs/>
          <w:lang w:eastAsia="es-CO"/>
        </w:rPr>
      </w:pPr>
    </w:p>
    <w:p w14:paraId="49F71302" w14:textId="77777777" w:rsidR="00916B6A" w:rsidRPr="00F10E52" w:rsidRDefault="00916B6A" w:rsidP="00916B6A">
      <w:pPr>
        <w:spacing w:after="0" w:line="276" w:lineRule="auto"/>
        <w:ind w:firstLine="709"/>
        <w:jc w:val="both"/>
        <w:rPr>
          <w:rFonts w:ascii="Verdana" w:eastAsia="Times New Roman" w:hAnsi="Verdana" w:cs="Arial"/>
          <w:bCs/>
          <w:lang w:eastAsia="es-CO"/>
        </w:rPr>
      </w:pPr>
      <w:bookmarkStart w:id="2" w:name="_Hlk78818186"/>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2"/>
      <w:r w:rsidRPr="00F10E52">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26A11450" w14:textId="77777777" w:rsidR="00916B6A" w:rsidRPr="00F10E52" w:rsidRDefault="00916B6A" w:rsidP="00916B6A">
      <w:pPr>
        <w:spacing w:after="0" w:line="276" w:lineRule="auto"/>
        <w:ind w:firstLine="709"/>
        <w:jc w:val="both"/>
        <w:rPr>
          <w:rFonts w:ascii="Verdana" w:eastAsia="Times New Roman" w:hAnsi="Verdana" w:cs="Arial"/>
          <w:bCs/>
          <w:lang w:eastAsia="es-CO"/>
        </w:rPr>
      </w:pPr>
    </w:p>
    <w:p w14:paraId="0C94F9B6" w14:textId="77777777" w:rsidR="00916B6A" w:rsidRPr="009B20C5" w:rsidRDefault="00916B6A" w:rsidP="00916B6A">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A3C7AE2" w14:textId="77777777" w:rsidR="00916B6A" w:rsidRPr="009B20C5" w:rsidRDefault="00916B6A" w:rsidP="00916B6A">
      <w:pPr>
        <w:spacing w:after="0" w:line="240" w:lineRule="auto"/>
        <w:ind w:left="709" w:right="709"/>
        <w:jc w:val="both"/>
        <w:rPr>
          <w:rFonts w:ascii="Verdana" w:eastAsia="Times New Roman" w:hAnsi="Verdana" w:cs="Arial"/>
          <w:bCs/>
          <w:sz w:val="20"/>
          <w:szCs w:val="20"/>
          <w:lang w:eastAsia="es-CO"/>
        </w:rPr>
      </w:pPr>
    </w:p>
    <w:p w14:paraId="0D42F9AF" w14:textId="77777777" w:rsidR="00916B6A" w:rsidRPr="009B20C5" w:rsidRDefault="00916B6A" w:rsidP="00916B6A">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lastRenderedPageBreak/>
        <w:t>La jurisprudencia de la Corte Constitucional</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9B20C5">
        <w:rPr>
          <w:rStyle w:val="Refdenotaalpie"/>
          <w:rFonts w:ascii="Verdana" w:eastAsia="Times New Roman" w:hAnsi="Verdana" w:cs="Arial"/>
          <w:bCs/>
          <w:sz w:val="20"/>
          <w:szCs w:val="20"/>
          <w:lang w:eastAsia="es-CO"/>
        </w:rPr>
        <w:footnoteReference w:id="7"/>
      </w:r>
      <w:r w:rsidRPr="009B20C5">
        <w:rPr>
          <w:rFonts w:ascii="Verdana" w:eastAsia="Times New Roman" w:hAnsi="Verdana" w:cs="Arial"/>
          <w:bCs/>
          <w:sz w:val="20"/>
          <w:szCs w:val="20"/>
          <w:lang w:eastAsia="es-CO"/>
        </w:rPr>
        <w:t>.</w:t>
      </w:r>
    </w:p>
    <w:p w14:paraId="5D717049" w14:textId="77777777" w:rsidR="00916B6A" w:rsidRPr="00363352" w:rsidRDefault="00916B6A" w:rsidP="00916B6A">
      <w:pPr>
        <w:spacing w:after="0" w:line="276" w:lineRule="auto"/>
        <w:ind w:left="709" w:right="709"/>
        <w:jc w:val="both"/>
        <w:rPr>
          <w:rFonts w:ascii="Verdana" w:eastAsia="Times New Roman" w:hAnsi="Verdana" w:cs="Arial"/>
          <w:bCs/>
          <w:lang w:eastAsia="es-CO"/>
        </w:rPr>
      </w:pPr>
    </w:p>
    <w:p w14:paraId="63ED85D2" w14:textId="77777777" w:rsidR="00916B6A" w:rsidRPr="00F10E52" w:rsidRDefault="00916B6A" w:rsidP="00916B6A">
      <w:pPr>
        <w:spacing w:after="120" w:line="276" w:lineRule="auto"/>
        <w:jc w:val="both"/>
        <w:rPr>
          <w:rFonts w:ascii="Verdana" w:eastAsia="Arial" w:hAnsi="Verdana" w:cs="Arial"/>
          <w:lang w:val="es-ES" w:eastAsia="es-ES" w:bidi="es-ES"/>
        </w:rPr>
      </w:pPr>
      <w:r w:rsidRPr="00F10E52">
        <w:rPr>
          <w:rFonts w:ascii="Verdana" w:eastAsia="Times New Roman" w:hAnsi="Verdana" w:cs="Arial"/>
          <w:bCs/>
          <w:lang w:eastAsia="es-CO"/>
        </w:rPr>
        <w:tab/>
        <w:t>De</w:t>
      </w:r>
      <w:r w:rsidRPr="00F10E52">
        <w:rPr>
          <w:rFonts w:ascii="Verdana" w:eastAsia="Arial" w:hAnsi="Verdana" w:cs="Arial"/>
          <w:lang w:val="es-ES" w:eastAsia="es-ES" w:bidi="es-ES"/>
        </w:rPr>
        <w:t xml:space="preserve"> conformidad con lo anterior, </w:t>
      </w:r>
      <w:bookmarkStart w:id="3" w:name="_Hlk77236098"/>
      <w:r w:rsidRPr="00F10E52">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3"/>
    </w:p>
    <w:p w14:paraId="2A33B94F" w14:textId="77777777" w:rsidR="00916B6A" w:rsidRPr="00F10E52" w:rsidRDefault="00916B6A" w:rsidP="00916B6A">
      <w:pPr>
        <w:spacing w:after="120" w:line="276" w:lineRule="auto"/>
        <w:ind w:firstLine="708"/>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sidRPr="00F10E52">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 xml:space="preserve">lo referente a la defensa y seguridad del Estado, los contratos de crédito público, los requeridos para cubrir las emergencias educativas, sanitarias y desastres, así como también </w:t>
      </w:r>
      <w:r w:rsidRPr="00F10E52">
        <w:rPr>
          <w:rFonts w:ascii="Verdana" w:eastAsia="Calibri" w:hAnsi="Verdana" w:cs="Arial"/>
        </w:rPr>
        <w:lastRenderedPageBreak/>
        <w:t>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8"/>
      </w:r>
      <w:r w:rsidRPr="00F10E52">
        <w:rPr>
          <w:rFonts w:ascii="Verdana" w:eastAsia="Calibri" w:hAnsi="Verdana" w:cs="Arial"/>
        </w:rPr>
        <w:t>.</w:t>
      </w:r>
    </w:p>
    <w:p w14:paraId="1D58D462" w14:textId="77777777" w:rsidR="00916B6A" w:rsidRPr="00F10E52" w:rsidRDefault="00916B6A" w:rsidP="00916B6A">
      <w:pPr>
        <w:widowControl w:val="0"/>
        <w:autoSpaceDE w:val="0"/>
        <w:autoSpaceDN w:val="0"/>
        <w:spacing w:before="120" w:after="0" w:line="276" w:lineRule="auto"/>
        <w:ind w:right="113" w:firstLine="708"/>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9"/>
      </w:r>
      <w:r w:rsidRPr="00F10E52">
        <w:rPr>
          <w:rFonts w:ascii="Verdana" w:eastAsia="Calibri" w:hAnsi="Verdana" w:cs="Arial"/>
        </w:rPr>
        <w:t>.</w:t>
      </w:r>
      <w:r w:rsidRPr="00F10E52">
        <w:rPr>
          <w:rFonts w:ascii="Verdana" w:eastAsia="Arial" w:hAnsi="Verdana" w:cs="Arial"/>
          <w:lang w:val="es-ES" w:eastAsia="es-ES" w:bidi="es-ES"/>
        </w:rPr>
        <w:t xml:space="preserve"> La Sala de Consulta y Servicio Civil del Consejo de Estado ha aclarado la distinción en la aplicación de las prohibiciones de la Ley 996 de 2005, dependiendo del tipo de elección que se trate. Al respecto, considera que:</w:t>
      </w:r>
    </w:p>
    <w:p w14:paraId="73D86E6B" w14:textId="77777777" w:rsidR="00916B6A" w:rsidRPr="00F10E52" w:rsidRDefault="00916B6A" w:rsidP="00916B6A">
      <w:pPr>
        <w:widowControl w:val="0"/>
        <w:autoSpaceDE w:val="0"/>
        <w:autoSpaceDN w:val="0"/>
        <w:spacing w:after="0" w:line="276" w:lineRule="auto"/>
        <w:ind w:right="113" w:firstLine="708"/>
        <w:jc w:val="both"/>
        <w:rPr>
          <w:rFonts w:ascii="Verdana" w:eastAsia="Arial" w:hAnsi="Verdana" w:cs="Arial"/>
          <w:lang w:val="es-ES" w:eastAsia="es-ES" w:bidi="es-ES"/>
        </w:rPr>
      </w:pPr>
    </w:p>
    <w:p w14:paraId="5110EF43" w14:textId="77777777" w:rsidR="00916B6A" w:rsidRPr="009B20C5" w:rsidRDefault="00916B6A" w:rsidP="00916B6A">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w:t>
      </w:r>
      <w:r w:rsidRPr="009B20C5">
        <w:rPr>
          <w:rFonts w:ascii="Verdana" w:eastAsia="Arial" w:hAnsi="Verdana" w:cs="Arial"/>
          <w:sz w:val="20"/>
          <w:szCs w:val="20"/>
          <w:lang w:val="es-ES" w:eastAsia="es-ES" w:bidi="es-ES"/>
        </w:rPr>
        <w:lastRenderedPageBreak/>
        <w:t xml:space="preserve">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009B20C5">
        <w:rPr>
          <w:rFonts w:ascii="Verdana" w:eastAsia="Arial" w:hAnsi="Verdana" w:cs="Arial"/>
          <w:sz w:val="20"/>
          <w:szCs w:val="20"/>
          <w:lang w:val="es-ES" w:eastAsia="es-ES" w:bidi="es-ES"/>
        </w:rPr>
        <w:t>se integran parcialmente</w:t>
      </w:r>
      <w:bookmarkEnd w:id="6"/>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 xml:space="preserve">En cambio, para elecciones en general, excluyendo las correspondientes a </w:t>
      </w:r>
      <w:proofErr w:type="gramStart"/>
      <w:r w:rsidRPr="009B20C5">
        <w:rPr>
          <w:rFonts w:ascii="Verdana" w:eastAsia="Arial" w:hAnsi="Verdana" w:cs="Arial"/>
          <w:bCs/>
          <w:sz w:val="20"/>
          <w:szCs w:val="20"/>
          <w:lang w:val="es-ES" w:eastAsia="es-ES" w:bidi="es-ES"/>
        </w:rPr>
        <w:t>Presidente</w:t>
      </w:r>
      <w:proofErr w:type="gramEnd"/>
      <w:r w:rsidRPr="009B20C5">
        <w:rPr>
          <w:rFonts w:ascii="Verdana" w:eastAsia="Arial" w:hAnsi="Verdana" w:cs="Arial"/>
          <w:bCs/>
          <w:sz w:val="20"/>
          <w:szCs w:val="20"/>
          <w:lang w:val="es-ES" w:eastAsia="es-ES" w:bidi="es-ES"/>
        </w:rPr>
        <w:t xml:space="preserve"> de la República, a las autoridades territoriales allí mencionadas sólo se aplican las restricciones contenidas en el parágrafo del artículo 38</w:t>
      </w:r>
      <w:r w:rsidRPr="009B20C5">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10"/>
      </w:r>
    </w:p>
    <w:p w14:paraId="11B7C8DD" w14:textId="77777777" w:rsidR="00916B6A" w:rsidRDefault="00916B6A" w:rsidP="00916B6A">
      <w:pPr>
        <w:spacing w:after="0" w:line="276" w:lineRule="auto"/>
        <w:ind w:firstLine="709"/>
        <w:jc w:val="both"/>
        <w:rPr>
          <w:rFonts w:ascii="Verdana" w:eastAsia="Arial" w:hAnsi="Verdana" w:cs="Arial"/>
          <w:lang w:val="es-ES" w:eastAsia="es-ES" w:bidi="es-ES"/>
        </w:rPr>
      </w:pPr>
    </w:p>
    <w:p w14:paraId="52A192DC" w14:textId="77777777" w:rsidR="00916B6A" w:rsidRPr="00F10E52" w:rsidRDefault="00916B6A" w:rsidP="00916B6A">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7" w:name="_Hlk99438241"/>
      <w:r w:rsidRPr="00F10E52">
        <w:rPr>
          <w:rFonts w:ascii="Verdana" w:eastAsia="Arial" w:hAnsi="Verdana" w:cs="Arial"/>
          <w:lang w:val="es-ES" w:eastAsia="es-ES" w:bidi="es-ES"/>
        </w:rPr>
        <w:t xml:space="preserve">, </w:t>
      </w:r>
      <w:bookmarkStart w:id="8" w:name="_Hlk77236420"/>
      <w:bookmarkStart w:id="9" w:name="_Hlk78818435"/>
      <w:bookmarkStart w:id="10"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7"/>
    <w:bookmarkEnd w:id="9"/>
    <w:p w14:paraId="1B8BF431" w14:textId="77777777" w:rsidR="00916B6A" w:rsidRPr="00F10E52" w:rsidRDefault="00916B6A" w:rsidP="00916B6A">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F10E52">
        <w:rPr>
          <w:rFonts w:ascii="Verdana" w:eastAsia="Arial" w:hAnsi="Verdana" w:cs="Arial"/>
          <w:lang w:val="es-ES" w:eastAsia="es-ES" w:bidi="es-ES"/>
        </w:rPr>
        <w:lastRenderedPageBreak/>
        <w:t>Presidente</w:t>
      </w:r>
      <w:proofErr w:type="gramEnd"/>
      <w:r w:rsidRPr="00F10E52">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0"/>
    <w:p w14:paraId="6323AF5A" w14:textId="77777777" w:rsidR="00916B6A" w:rsidRPr="00F10E52" w:rsidRDefault="00916B6A" w:rsidP="00916B6A">
      <w:pPr>
        <w:spacing w:after="120" w:line="276" w:lineRule="auto"/>
        <w:ind w:firstLine="708"/>
        <w:jc w:val="both"/>
        <w:rPr>
          <w:rFonts w:ascii="Verdana" w:eastAsia="Arial" w:hAnsi="Verdana" w:cs="Arial"/>
          <w:lang w:val="es-ES" w:eastAsia="es-ES" w:bidi="es-ES"/>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o el Vicepresidente desde que éstos –estando en ejercicio de su cargo– manifiesten el interés de ser candidato presidencial, lo cual debe ocurrir seis </w:t>
      </w:r>
      <w:r>
        <w:rPr>
          <w:rFonts w:ascii="Verdana" w:eastAsia="Arial" w:hAnsi="Verdana" w:cs="Arial"/>
          <w:lang w:val="es-ES" w:eastAsia="es-ES" w:bidi="es-ES"/>
        </w:rPr>
        <w:t>(6)</w:t>
      </w:r>
      <w:r w:rsidRPr="00F10E52">
        <w:rPr>
          <w:rFonts w:ascii="Verdana" w:eastAsia="Arial" w:hAnsi="Verdana" w:cs="Arial"/>
          <w:lang w:val="es-ES" w:eastAsia="es-ES" w:bidi="es-ES"/>
        </w:rPr>
        <w:t xml:space="preserve">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6B0AE855" w14:textId="77777777" w:rsidR="00916B6A" w:rsidRPr="00DC56D3" w:rsidRDefault="00916B6A" w:rsidP="00916B6A">
      <w:pPr>
        <w:spacing w:before="120" w:after="0" w:line="276" w:lineRule="auto"/>
        <w:ind w:firstLine="708"/>
        <w:jc w:val="both"/>
        <w:rPr>
          <w:rFonts w:ascii="Verdana" w:eastAsia="Times New Roman" w:hAnsi="Verdana" w:cs="Arial"/>
          <w:bCs/>
          <w:lang w:eastAsia="es-CO"/>
        </w:rPr>
      </w:pPr>
      <w:r>
        <w:rPr>
          <w:rFonts w:ascii="Verdana" w:eastAsia="Times New Roman" w:hAnsi="Verdana" w:cs="Arial"/>
          <w:bCs/>
          <w:lang w:val="es-ES" w:eastAsia="es-CO"/>
        </w:rPr>
        <w:t>Por otra parte, e</w:t>
      </w:r>
      <w:r w:rsidRPr="00F10E52">
        <w:rPr>
          <w:rFonts w:ascii="Verdana" w:eastAsia="Times New Roman" w:hAnsi="Verdana" w:cs="Arial"/>
          <w:bCs/>
          <w:lang w:eastAsia="x-none"/>
        </w:rPr>
        <w:t xml:space="preserve">l ámbito material de la prohibición contenida </w:t>
      </w:r>
      <w:bookmarkStart w:id="11" w:name="_Hlk75628761"/>
      <w:r w:rsidRPr="00F10E52">
        <w:rPr>
          <w:rFonts w:ascii="Verdana" w:eastAsia="Times New Roman" w:hAnsi="Verdana" w:cs="Arial"/>
          <w:bCs/>
          <w:lang w:eastAsia="x-none"/>
        </w:rPr>
        <w:t xml:space="preserve">en el artículo 33 de la ley 996 de 2005 </w:t>
      </w:r>
      <w:bookmarkEnd w:id="11"/>
      <w:r w:rsidRPr="00F10E52">
        <w:rPr>
          <w:rFonts w:ascii="Verdana" w:eastAsia="Times New Roman" w:hAnsi="Verdana" w:cs="Arial"/>
          <w:bCs/>
          <w:lang w:eastAsia="x-none"/>
        </w:rPr>
        <w:t xml:space="preserve">está delimitado por la expresión </w:t>
      </w:r>
      <w:r>
        <w:rPr>
          <w:rFonts w:ascii="Verdana" w:eastAsia="Calibri" w:hAnsi="Verdana" w:cs="Arial"/>
          <w:bCs/>
        </w:rPr>
        <w:t>“</w:t>
      </w:r>
      <w:r w:rsidRPr="00F10E52">
        <w:rPr>
          <w:rFonts w:ascii="Verdana" w:eastAsia="Times New Roman" w:hAnsi="Verdana" w:cs="Arial"/>
          <w:bCs/>
          <w:lang w:eastAsia="x-none"/>
        </w:rPr>
        <w:t>queda prohibida la contratación directa</w:t>
      </w:r>
      <w:r>
        <w:rPr>
          <w:rFonts w:ascii="Verdana" w:hAnsi="Verdana" w:cs="Arial"/>
        </w:rPr>
        <w:t>”</w:t>
      </w:r>
      <w:r w:rsidRPr="00F10E52">
        <w:rPr>
          <w:rFonts w:ascii="Verdana" w:eastAsia="Times New Roman" w:hAnsi="Verdana" w:cs="Arial"/>
          <w:bCs/>
          <w:lang w:eastAsia="x-none"/>
        </w:rPr>
        <w:t>.</w:t>
      </w:r>
      <w:r w:rsidRPr="00F10E52">
        <w:rPr>
          <w:rFonts w:ascii="Verdana" w:eastAsia="Times New Roman" w:hAnsi="Verdana" w:cs="Arial"/>
          <w:lang w:eastAsia="es-CO"/>
        </w:rPr>
        <w:t xml:space="preserve"> A propósito de esta restricción de la Ley de Garantías Electorales, la Sala de Consulta y Servicio Civil del Consejo de Estado ha considerado que:</w:t>
      </w:r>
    </w:p>
    <w:p w14:paraId="1C800083" w14:textId="77777777" w:rsidR="00916B6A" w:rsidRPr="00DC56D3" w:rsidRDefault="00916B6A" w:rsidP="00916B6A">
      <w:pPr>
        <w:spacing w:after="0" w:line="276" w:lineRule="auto"/>
        <w:ind w:firstLine="708"/>
        <w:jc w:val="both"/>
        <w:rPr>
          <w:rFonts w:ascii="Verdana" w:eastAsia="Times New Roman" w:hAnsi="Verdana" w:cs="Arial"/>
          <w:bCs/>
          <w:lang w:eastAsia="es-CO"/>
        </w:rPr>
      </w:pPr>
    </w:p>
    <w:p w14:paraId="75A07030" w14:textId="77777777" w:rsidR="00916B6A" w:rsidRPr="009B20C5" w:rsidRDefault="00916B6A" w:rsidP="00916B6A">
      <w:pPr>
        <w:spacing w:after="0" w:line="240" w:lineRule="auto"/>
        <w:ind w:left="709" w:right="709"/>
        <w:jc w:val="both"/>
        <w:rPr>
          <w:rFonts w:ascii="Verdana" w:hAnsi="Verdana" w:cs="Arial"/>
          <w:sz w:val="20"/>
          <w:szCs w:val="20"/>
        </w:rPr>
      </w:pPr>
      <w:r w:rsidRPr="009B20C5">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9B20C5">
        <w:rPr>
          <w:rFonts w:ascii="Verdana" w:eastAsia="Times New Roman" w:hAnsi="Verdana" w:cs="Arial"/>
          <w:sz w:val="20"/>
          <w:szCs w:val="20"/>
          <w:vertAlign w:val="superscript"/>
          <w:lang w:eastAsia="es-CO"/>
        </w:rPr>
        <w:footnoteReference w:id="11"/>
      </w:r>
      <w:r w:rsidRPr="009B20C5">
        <w:rPr>
          <w:rFonts w:ascii="Verdana" w:hAnsi="Verdana" w:cs="Arial"/>
          <w:sz w:val="20"/>
          <w:szCs w:val="20"/>
        </w:rPr>
        <w:t>.</w:t>
      </w:r>
    </w:p>
    <w:p w14:paraId="26FCD009" w14:textId="77777777" w:rsidR="00916B6A" w:rsidRPr="009B20C5" w:rsidRDefault="00916B6A" w:rsidP="00916B6A">
      <w:pPr>
        <w:spacing w:after="0" w:line="240" w:lineRule="auto"/>
        <w:ind w:left="709" w:right="709"/>
        <w:jc w:val="both"/>
        <w:rPr>
          <w:rFonts w:ascii="Verdana" w:hAnsi="Verdana" w:cs="Arial"/>
          <w:sz w:val="20"/>
          <w:szCs w:val="20"/>
        </w:rPr>
      </w:pPr>
    </w:p>
    <w:p w14:paraId="4BC5A0A4" w14:textId="77777777" w:rsidR="00916B6A" w:rsidRPr="009B20C5" w:rsidRDefault="00916B6A" w:rsidP="00916B6A">
      <w:pPr>
        <w:spacing w:after="0" w:line="240" w:lineRule="auto"/>
        <w:ind w:left="708" w:right="709"/>
        <w:jc w:val="both"/>
        <w:rPr>
          <w:rFonts w:ascii="Verdana" w:hAnsi="Verdana" w:cs="Arial"/>
          <w:sz w:val="20"/>
          <w:szCs w:val="20"/>
        </w:rPr>
      </w:pPr>
      <w:r w:rsidRPr="009B20C5">
        <w:rPr>
          <w:rFonts w:ascii="Verdana" w:hAnsi="Verdana" w:cs="Arial"/>
          <w:sz w:val="20"/>
          <w:szCs w:val="20"/>
        </w:rPr>
        <w:t xml:space="preserve">Esta Sala ha entendido que para los efectos de la ley de garantías, y dada su finalidad, el enunciado ´contratación directa´ es sinónimo </w:t>
      </w:r>
      <w:bookmarkStart w:id="12" w:name="_Hlk75741738"/>
      <w:r w:rsidRPr="009B20C5">
        <w:rPr>
          <w:rFonts w:ascii="Verdana" w:hAnsi="Verdana" w:cs="Arial"/>
          <w:sz w:val="20"/>
          <w:szCs w:val="20"/>
        </w:rPr>
        <w:t xml:space="preserve">de cualquier sistema que no implique convocatoria pública y posibilidad de pluralidad de oferentes, </w:t>
      </w:r>
      <w:bookmarkEnd w:id="12"/>
      <w:r w:rsidRPr="009B20C5">
        <w:rPr>
          <w:rFonts w:ascii="Verdana" w:hAnsi="Verdana" w:cs="Arial"/>
          <w:sz w:val="20"/>
          <w:szCs w:val="20"/>
        </w:rPr>
        <w:t xml:space="preserve">y que, además, no necesariamente hace referencia al </w:t>
      </w:r>
      <w:r w:rsidRPr="009B20C5">
        <w:rPr>
          <w:rFonts w:ascii="Verdana" w:hAnsi="Verdana" w:cs="Arial"/>
          <w:sz w:val="20"/>
          <w:szCs w:val="20"/>
        </w:rPr>
        <w:lastRenderedPageBreak/>
        <w:t>procedimiento especial regulado por la ley de contratación estatal, sino a cualquier otro que prescinda de un proceso de licitación pública o concurso</w:t>
      </w:r>
      <w:r w:rsidRPr="009B20C5">
        <w:rPr>
          <w:rFonts w:ascii="Verdana" w:eastAsia="Times New Roman" w:hAnsi="Verdana" w:cs="Arial"/>
          <w:sz w:val="20"/>
          <w:szCs w:val="20"/>
          <w:vertAlign w:val="superscript"/>
        </w:rPr>
        <w:footnoteReference w:id="12"/>
      </w:r>
      <w:r w:rsidRPr="009B20C5">
        <w:rPr>
          <w:rFonts w:ascii="Verdana" w:eastAsia="Times New Roman" w:hAnsi="Verdana" w:cs="Arial"/>
          <w:sz w:val="20"/>
          <w:szCs w:val="20"/>
          <w:vertAlign w:val="superscript"/>
        </w:rPr>
        <w:t>.</w:t>
      </w:r>
      <w:r w:rsidRPr="009B20C5">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9B20C5">
        <w:rPr>
          <w:rFonts w:ascii="Verdana" w:eastAsia="Times New Roman" w:hAnsi="Verdana" w:cs="Arial"/>
          <w:sz w:val="20"/>
          <w:szCs w:val="20"/>
          <w:vertAlign w:val="superscript"/>
          <w:lang w:eastAsia="es-CO"/>
        </w:rPr>
        <w:footnoteReference w:id="13"/>
      </w:r>
      <w:r w:rsidRPr="009B20C5">
        <w:rPr>
          <w:rFonts w:ascii="Verdana" w:hAnsi="Verdana" w:cs="Arial"/>
          <w:sz w:val="20"/>
          <w:szCs w:val="20"/>
        </w:rPr>
        <w:t xml:space="preserve"> .</w:t>
      </w:r>
    </w:p>
    <w:p w14:paraId="77B09655" w14:textId="77777777" w:rsidR="00916B6A" w:rsidRPr="00363352" w:rsidRDefault="00916B6A" w:rsidP="00916B6A">
      <w:pPr>
        <w:spacing w:after="0" w:line="276" w:lineRule="auto"/>
        <w:ind w:left="708" w:right="709"/>
        <w:jc w:val="both"/>
        <w:rPr>
          <w:rFonts w:ascii="Verdana" w:hAnsi="Verdana" w:cs="Arial"/>
        </w:rPr>
      </w:pPr>
    </w:p>
    <w:p w14:paraId="4C842427" w14:textId="77777777" w:rsidR="00916B6A" w:rsidRPr="00F10E52" w:rsidRDefault="00916B6A" w:rsidP="00916B6A">
      <w:pPr>
        <w:spacing w:after="120" w:line="276" w:lineRule="auto"/>
        <w:ind w:firstLine="709"/>
        <w:jc w:val="both"/>
        <w:rPr>
          <w:rFonts w:ascii="Verdana" w:eastAsia="Times New Roman" w:hAnsi="Verdana" w:cs="Arial"/>
          <w:bCs/>
          <w:lang w:eastAsia="x-none"/>
        </w:rPr>
      </w:pPr>
      <w:bookmarkStart w:id="14" w:name="_Hlk94521748"/>
      <w:r w:rsidRPr="00F10E52">
        <w:rPr>
          <w:rFonts w:ascii="Verdana" w:eastAsia="Times New Roman" w:hAnsi="Verdana" w:cs="Arial"/>
          <w:lang w:eastAsia="x-none"/>
        </w:rPr>
        <w:t xml:space="preserve">De conformidad con el citado concepto, </w:t>
      </w:r>
      <w:bookmarkStart w:id="15" w:name="_Hlk78818702"/>
      <w:r w:rsidRPr="00F10E52">
        <w:rPr>
          <w:rFonts w:ascii="Verdana" w:eastAsia="Times New Roman" w:hAnsi="Verdana" w:cs="Arial"/>
          <w:lang w:eastAsia="x-none"/>
        </w:rPr>
        <w:t xml:space="preserve">la prohibición del artículo 33 de la Ley de Garantías Electorales se refiere a </w:t>
      </w:r>
      <w:bookmarkStart w:id="16" w:name="_Hlk74294635"/>
      <w:r>
        <w:rPr>
          <w:rFonts w:ascii="Verdana" w:eastAsia="Times New Roman" w:hAnsi="Verdana" w:cs="Arial"/>
          <w:lang w:eastAsia="en-GB"/>
        </w:rPr>
        <w:t>“</w:t>
      </w:r>
      <w:bookmarkEnd w:id="16"/>
      <w:r w:rsidRPr="00F10E52">
        <w:rPr>
          <w:rFonts w:ascii="Verdana" w:eastAsia="Times New Roman" w:hAnsi="Verdana" w:cs="Arial"/>
          <w:lang w:eastAsia="x-none"/>
        </w:rPr>
        <w:t>cualquier sistema que no implique convocatoria pública y posibilidad de pluralidad de oferentes</w:t>
      </w:r>
      <w:bookmarkStart w:id="17" w:name="_Hlk74404754"/>
      <w:r>
        <w:rPr>
          <w:rFonts w:ascii="Verdana" w:eastAsia="Times New Roman" w:hAnsi="Verdana" w:cs="Arial"/>
          <w:lang w:eastAsia="en-GB"/>
        </w:rPr>
        <w:t>”</w:t>
      </w:r>
      <w:bookmarkEnd w:id="17"/>
      <w:r w:rsidRPr="00F10E52">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previstos en normas especiales. </w:t>
      </w:r>
      <w:bookmarkEnd w:id="14"/>
      <w:bookmarkEnd w:id="15"/>
      <w:r w:rsidRPr="00F10E52">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10E52">
        <w:rPr>
          <w:rFonts w:ascii="Verdana" w:eastAsia="Times New Roman" w:hAnsi="Verdana" w:cs="Arial"/>
          <w:vertAlign w:val="superscript"/>
          <w:lang w:val="en-GB" w:eastAsia="x-none"/>
        </w:rPr>
        <w:footnoteReference w:id="14"/>
      </w:r>
      <w:r w:rsidRPr="00F10E52">
        <w:rPr>
          <w:rFonts w:ascii="Verdana" w:eastAsia="Times New Roman" w:hAnsi="Verdana" w:cs="Arial"/>
          <w:lang w:eastAsia="x-none"/>
        </w:rPr>
        <w:t xml:space="preserve"> y sistematizó las causales de contratación directa</w:t>
      </w:r>
      <w:r w:rsidRPr="00F10E52">
        <w:rPr>
          <w:rFonts w:ascii="Verdana" w:eastAsia="Times New Roman" w:hAnsi="Verdana" w:cs="Arial"/>
          <w:vertAlign w:val="superscript"/>
          <w:lang w:val="en-GB" w:eastAsia="x-none"/>
        </w:rPr>
        <w:footnoteReference w:id="15"/>
      </w:r>
      <w:r w:rsidRPr="00F10E52">
        <w:rPr>
          <w:rFonts w:ascii="Verdana" w:eastAsia="Times New Roman" w:hAnsi="Verdana" w:cs="Arial"/>
          <w:lang w:eastAsia="x-none"/>
        </w:rPr>
        <w:t xml:space="preserve">. </w:t>
      </w:r>
    </w:p>
    <w:p w14:paraId="046BCDF4" w14:textId="77777777" w:rsidR="00916B6A" w:rsidRPr="00F10E52" w:rsidRDefault="00916B6A" w:rsidP="00916B6A">
      <w:pPr>
        <w:spacing w:after="120" w:line="276" w:lineRule="auto"/>
        <w:ind w:firstLine="709"/>
        <w:jc w:val="both"/>
        <w:rPr>
          <w:rFonts w:ascii="Verdana" w:eastAsia="Times New Roman" w:hAnsi="Verdana" w:cs="Arial"/>
          <w:lang w:eastAsia="x-none"/>
        </w:rPr>
      </w:pPr>
      <w:r w:rsidRPr="00F10E52">
        <w:rPr>
          <w:rFonts w:ascii="Verdana" w:eastAsia="Times New Roman" w:hAnsi="Verdana" w:cs="Arial"/>
          <w:lang w:eastAsia="x-none"/>
        </w:rPr>
        <w:t xml:space="preserve">De esta forma, se ha depurado la noción de </w:t>
      </w:r>
      <w:r>
        <w:rPr>
          <w:rFonts w:ascii="Verdana" w:eastAsia="Times New Roman" w:hAnsi="Verdana" w:cs="Arial"/>
          <w:lang w:eastAsia="en-GB"/>
        </w:rPr>
        <w:t>“</w:t>
      </w:r>
      <w:r w:rsidRPr="00F10E52">
        <w:rPr>
          <w:rFonts w:ascii="Verdana" w:eastAsia="Times New Roman" w:hAnsi="Verdana" w:cs="Arial"/>
          <w:lang w:eastAsia="x-none"/>
        </w:rPr>
        <w:t>contratación directa</w:t>
      </w:r>
      <w:r>
        <w:rPr>
          <w:rFonts w:ascii="Verdana" w:eastAsia="Times New Roman" w:hAnsi="Verdana" w:cs="Arial"/>
          <w:lang w:eastAsia="en-GB"/>
        </w:rPr>
        <w:t>”</w:t>
      </w:r>
      <w:r w:rsidRPr="00F10E52">
        <w:rPr>
          <w:rFonts w:ascii="Verdana" w:eastAsia="Times New Roman" w:hAnsi="Verdana" w:cs="Arial"/>
          <w:lang w:eastAsia="x-none"/>
        </w:rPr>
        <w:t xml:space="preserve">, precisando el Consejo de Estado –en el concepto citado– que, </w:t>
      </w:r>
      <w:r>
        <w:rPr>
          <w:rFonts w:ascii="Verdana" w:eastAsia="Times New Roman" w:hAnsi="Verdana" w:cs="Arial"/>
          <w:lang w:eastAsia="x-none"/>
        </w:rPr>
        <w:t>“</w:t>
      </w:r>
      <w:r w:rsidRPr="00F10E52">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10E52">
        <w:rPr>
          <w:rFonts w:ascii="Verdana" w:eastAsia="Times New Roman" w:hAnsi="Verdana" w:cs="Arial"/>
          <w:vertAlign w:val="superscript"/>
          <w:lang w:val="en-GB" w:eastAsia="x-none"/>
        </w:rPr>
        <w:footnoteReference w:id="16"/>
      </w:r>
      <w:r w:rsidRPr="00F10E52">
        <w:rPr>
          <w:rFonts w:ascii="Verdana" w:eastAsia="Times New Roman" w:hAnsi="Verdana" w:cs="Arial"/>
          <w:lang w:eastAsia="x-none"/>
        </w:rPr>
        <w:t xml:space="preserve">, han establecido sistemas de </w:t>
      </w:r>
      <w:r w:rsidRPr="00F10E52">
        <w:rPr>
          <w:rFonts w:ascii="Verdana" w:eastAsia="Times New Roman" w:hAnsi="Verdana" w:cs="Arial"/>
          <w:lang w:eastAsia="x-none"/>
        </w:rPr>
        <w:lastRenderedPageBreak/>
        <w:t>contratación que implican convocatoria pública y participación de varios oferentes</w:t>
      </w:r>
      <w:r>
        <w:rPr>
          <w:rFonts w:ascii="Verdana" w:eastAsia="Times New Roman" w:hAnsi="Verdana" w:cs="Arial"/>
          <w:lang w:eastAsia="en-GB"/>
        </w:rPr>
        <w:t>”</w:t>
      </w:r>
      <w:r w:rsidRPr="00F10E52">
        <w:rPr>
          <w:rFonts w:ascii="Verdana" w:eastAsia="Times New Roman" w:hAnsi="Verdana" w:cs="Arial"/>
          <w:lang w:eastAsia="x-none"/>
        </w:rPr>
        <w:t xml:space="preserve">. </w:t>
      </w:r>
    </w:p>
    <w:p w14:paraId="36C8BEB1" w14:textId="77777777" w:rsidR="00916B6A" w:rsidRPr="00F10E52" w:rsidRDefault="00916B6A" w:rsidP="00916B6A">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x-none"/>
        </w:rPr>
        <w:t>E</w:t>
      </w:r>
      <w:r w:rsidRPr="00F10E52">
        <w:rPr>
          <w:rFonts w:ascii="Verdana" w:eastAsia="Times New Roman" w:hAnsi="Verdana" w:cs="Arial"/>
          <w:lang w:eastAsia="x-none"/>
        </w:rPr>
        <w:t xml:space="preserve">n efecto, vale la pena mencionar que, </w:t>
      </w:r>
      <w:bookmarkStart w:id="19" w:name="_Hlk75636073"/>
      <w:r w:rsidRPr="00F10E52">
        <w:rPr>
          <w:rFonts w:ascii="Verdana" w:eastAsia="Times New Roman"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eastAsia="Times New Roman" w:hAnsi="Verdana" w:cs="Arial"/>
          <w:lang w:eastAsia="x-none"/>
        </w:rPr>
        <w:t>“</w:t>
      </w:r>
      <w:r w:rsidRPr="00F10E52">
        <w:rPr>
          <w:rFonts w:ascii="Verdana" w:eastAsia="Times New Roman" w:hAnsi="Verdana" w:cs="Arial"/>
          <w:lang w:eastAsia="x-none"/>
        </w:rPr>
        <w:t>contratación directa</w:t>
      </w:r>
      <w:r>
        <w:rPr>
          <w:rFonts w:ascii="Verdana" w:eastAsia="Times New Roman" w:hAnsi="Verdana" w:cs="Arial"/>
          <w:lang w:eastAsia="x-none"/>
        </w:rPr>
        <w:t>”</w:t>
      </w:r>
      <w:r w:rsidRPr="00F10E52">
        <w:rPr>
          <w:rFonts w:ascii="Verdana" w:eastAsia="Times New Roman" w:hAnsi="Verdana" w:cs="Arial"/>
          <w:lang w:eastAsia="x-none"/>
        </w:rPr>
        <w:t>, es que la convocatoria para inscribirse en forma previa se haga de manera pública, y que se permita la participación de una pluralidad de oferentes</w:t>
      </w:r>
      <w:bookmarkEnd w:id="19"/>
      <w:r w:rsidRPr="00F10E52">
        <w:rPr>
          <w:rFonts w:ascii="Verdana" w:eastAsia="Times New Roman" w:hAnsi="Verdana" w:cs="Arial"/>
          <w:vertAlign w:val="superscript"/>
          <w:lang w:eastAsia="x-none"/>
        </w:rPr>
        <w:footnoteReference w:id="17"/>
      </w:r>
      <w:r w:rsidRPr="00F10E52">
        <w:rPr>
          <w:rFonts w:ascii="Verdana" w:eastAsia="Times New Roman" w:hAnsi="Verdana" w:cs="Arial"/>
          <w:lang w:eastAsia="x-none"/>
        </w:rPr>
        <w:t xml:space="preserve">. </w:t>
      </w:r>
    </w:p>
    <w:p w14:paraId="4E4856DB" w14:textId="77777777" w:rsidR="00916B6A" w:rsidRPr="00F10E52" w:rsidRDefault="00916B6A" w:rsidP="00916B6A">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Como se advierte de lo anterior, el Consejo de Estado realiza una interpretación amplia de la contratación directa, para efectos de aplicar las restricciones establecidas en la Ley de Garantías</w:t>
      </w:r>
      <w:r>
        <w:rPr>
          <w:rFonts w:ascii="Verdana" w:eastAsia="Times New Roman" w:hAnsi="Verdana" w:cs="Arial"/>
          <w:bCs/>
          <w:lang w:eastAsia="es-CO"/>
        </w:rPr>
        <w:t xml:space="preserve"> Electorales</w:t>
      </w:r>
      <w:r w:rsidRPr="00F10E52">
        <w:rPr>
          <w:rFonts w:ascii="Verdana" w:eastAsia="Times New Roman" w:hAnsi="Verdana" w:cs="Arial"/>
          <w:bCs/>
          <w:lang w:eastAsia="es-CO"/>
        </w:rPr>
        <w:t xml:space="preserve">,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eastAsia="Times New Roman" w:hAnsi="Verdana" w:cs="Arial"/>
          <w:bCs/>
          <w:lang w:eastAsia="es-CO"/>
        </w:rPr>
        <w:t>“</w:t>
      </w:r>
      <w:r w:rsidRPr="00F10E52">
        <w:rPr>
          <w:rFonts w:ascii="Verdana" w:eastAsia="Times New Roman" w:hAnsi="Verdana" w:cs="Arial"/>
          <w:bCs/>
          <w:lang w:eastAsia="es-CO"/>
        </w:rPr>
        <w:t>contratación directa</w:t>
      </w:r>
      <w:r>
        <w:rPr>
          <w:rFonts w:ascii="Verdana" w:eastAsia="Times New Roman" w:hAnsi="Verdana" w:cs="Arial"/>
          <w:bCs/>
          <w:lang w:eastAsia="es-CO"/>
        </w:rPr>
        <w:t>”</w:t>
      </w:r>
      <w:r w:rsidRPr="00F10E52">
        <w:rPr>
          <w:rFonts w:ascii="Verdana" w:eastAsia="Times New Roman" w:hAnsi="Verdana" w:cs="Arial"/>
          <w:bCs/>
          <w:lang w:eastAsia="es-CO"/>
        </w:rPr>
        <w:t>.</w:t>
      </w:r>
    </w:p>
    <w:p w14:paraId="4838DF22" w14:textId="77777777" w:rsidR="00916B6A" w:rsidRPr="00F10E52" w:rsidRDefault="00916B6A" w:rsidP="00916B6A">
      <w:pPr>
        <w:spacing w:after="120" w:line="276" w:lineRule="auto"/>
        <w:ind w:firstLine="709"/>
        <w:jc w:val="both"/>
        <w:rPr>
          <w:rFonts w:ascii="Verdana" w:eastAsia="Times New Roman" w:hAnsi="Verdana" w:cs="Arial"/>
          <w:bCs/>
          <w:lang w:eastAsia="x-none"/>
        </w:rPr>
      </w:pPr>
      <w:bookmarkStart w:id="20" w:name="_Hlk78818796"/>
      <w:r w:rsidRPr="00F10E52">
        <w:rPr>
          <w:rFonts w:ascii="Verdana" w:eastAsia="Times New Roman" w:hAnsi="Verdana" w:cs="Arial"/>
          <w:bCs/>
          <w:lang w:eastAsia="x-none"/>
        </w:rPr>
        <w:t xml:space="preserve"> Así las cosas, ha de entenderse que, para los efectos de la Ley de Garantías Electorales y, en particular, para la prohibición o restricción temporal contenida en su artículo 33, </w:t>
      </w:r>
      <w:r>
        <w:rPr>
          <w:rFonts w:ascii="Verdana" w:eastAsia="Times New Roman" w:hAnsi="Verdana" w:cs="Arial"/>
          <w:bCs/>
          <w:lang w:eastAsia="x-none"/>
        </w:rPr>
        <w:t>“</w:t>
      </w:r>
      <w:r w:rsidRPr="00F10E52">
        <w:rPr>
          <w:rFonts w:ascii="Verdana" w:eastAsia="Times New Roman" w:hAnsi="Verdana" w:cs="Arial"/>
          <w:bCs/>
          <w:lang w:eastAsia="x-none"/>
        </w:rPr>
        <w:t>contratación directa</w:t>
      </w:r>
      <w:r>
        <w:rPr>
          <w:rFonts w:ascii="Verdana" w:eastAsia="Times New Roman" w:hAnsi="Verdana" w:cs="Arial"/>
          <w:bCs/>
          <w:lang w:eastAsia="x-none"/>
        </w:rPr>
        <w:t>”</w:t>
      </w:r>
      <w:r w:rsidRPr="00F10E52">
        <w:rPr>
          <w:rFonts w:ascii="Verdana" w:eastAsia="Times New Roman" w:hAnsi="Verdana" w:cs="Arial"/>
          <w:bCs/>
          <w:lang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F10E52">
        <w:rPr>
          <w:rFonts w:ascii="Verdana" w:eastAsia="Times New Roman" w:hAnsi="Verdana" w:cs="Arial"/>
          <w:vertAlign w:val="superscript"/>
          <w:lang w:eastAsia="x-none"/>
        </w:rPr>
        <w:footnoteReference w:id="18"/>
      </w:r>
      <w:r w:rsidRPr="00F10E52">
        <w:rPr>
          <w:rFonts w:ascii="Verdana" w:eastAsia="Times New Roman" w:hAnsi="Verdana" w:cs="Arial"/>
          <w:bCs/>
          <w:lang w:eastAsia="x-none"/>
        </w:rPr>
        <w:t>.</w:t>
      </w:r>
      <w:r w:rsidRPr="00F10E52">
        <w:rPr>
          <w:rFonts w:ascii="Verdana" w:eastAsia="Times New Roman" w:hAnsi="Verdana" w:cs="Arial"/>
          <w:vertAlign w:val="superscript"/>
          <w:lang w:eastAsia="x-none"/>
        </w:rPr>
        <w:t xml:space="preserve"> </w:t>
      </w:r>
    </w:p>
    <w:bookmarkEnd w:id="20"/>
    <w:p w14:paraId="48D4F172" w14:textId="77777777" w:rsidR="00916B6A" w:rsidRPr="00F10E52" w:rsidRDefault="00916B6A" w:rsidP="00916B6A">
      <w:pPr>
        <w:spacing w:after="120" w:line="276" w:lineRule="auto"/>
        <w:ind w:firstLine="709"/>
        <w:jc w:val="both"/>
        <w:rPr>
          <w:rFonts w:ascii="Verdana" w:eastAsia="Times New Roman" w:hAnsi="Verdana" w:cs="Arial"/>
          <w:lang w:eastAsia="x-none"/>
        </w:rPr>
      </w:pPr>
      <w:r w:rsidRPr="00F10E52">
        <w:rPr>
          <w:rFonts w:ascii="Verdana" w:eastAsia="Times New Roman" w:hAnsi="Verdana" w:cs="Arial"/>
          <w:bCs/>
          <w:lang w:eastAsia="x-none"/>
        </w:rPr>
        <w:t>De lo anterior se desprende que la restricción aplica, sin perjuicio de las excepciones establecidas en la misma Ley, para celebrar cualquier contrato de forma directa, esto es, sin que exista un proceso abierto y competitivo.</w:t>
      </w:r>
      <w:r w:rsidRPr="00F10E52">
        <w:rPr>
          <w:rFonts w:ascii="Verdana" w:eastAsia="Times New Roman" w:hAnsi="Verdana" w:cs="Arial"/>
          <w:lang w:eastAsia="x-none"/>
        </w:rPr>
        <w:t xml:space="preserve"> Por tanto, </w:t>
      </w:r>
      <w:r w:rsidRPr="00F10E52">
        <w:rPr>
          <w:rFonts w:ascii="Verdana" w:eastAsia="Times New Roman" w:hAnsi="Verdana" w:cs="Arial"/>
          <w:lang w:eastAsia="x-none"/>
        </w:rPr>
        <w:lastRenderedPageBreak/>
        <w:t>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2C3F70F1" w14:textId="77777777" w:rsidR="00916B6A" w:rsidRPr="00F10E52" w:rsidRDefault="00916B6A" w:rsidP="00916B6A">
      <w:pPr>
        <w:spacing w:after="120" w:line="276" w:lineRule="auto"/>
        <w:ind w:firstLine="709"/>
        <w:jc w:val="both"/>
        <w:rPr>
          <w:rFonts w:ascii="Verdana" w:eastAsia="Times New Roman" w:hAnsi="Verdana" w:cs="Arial"/>
          <w:bCs/>
          <w:lang w:eastAsia="x-none"/>
        </w:rPr>
      </w:pPr>
      <w:bookmarkStart w:id="21" w:name="_Hlk77237094"/>
      <w:r w:rsidRPr="00F10E52">
        <w:rPr>
          <w:rFonts w:ascii="Verdana" w:eastAsia="Times New Roman" w:hAnsi="Verdana" w:cs="Arial"/>
          <w:bCs/>
          <w:lang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bookmarkEnd w:id="21"/>
    </w:p>
    <w:p w14:paraId="18DC8ED1" w14:textId="77777777" w:rsidR="00916B6A" w:rsidRPr="00F10E52" w:rsidRDefault="00916B6A" w:rsidP="00916B6A">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x-none"/>
        </w:rPr>
        <w:t>De otro lado, las excepciones a la restricción prevista en la Ley de Garantías</w:t>
      </w:r>
      <w:r>
        <w:rPr>
          <w:rFonts w:ascii="Verdana" w:eastAsia="Times New Roman" w:hAnsi="Verdana" w:cs="Arial"/>
          <w:bCs/>
          <w:lang w:eastAsia="x-none"/>
        </w:rPr>
        <w:t xml:space="preserve"> Electorales</w:t>
      </w:r>
      <w:r w:rsidRPr="00F10E52">
        <w:rPr>
          <w:rFonts w:ascii="Verdana" w:eastAsia="Times New Roman" w:hAnsi="Verdana" w:cs="Arial"/>
          <w:bCs/>
          <w:lang w:eastAsia="x-none"/>
        </w:rPr>
        <w:t>,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w:t>
      </w:r>
      <w:r>
        <w:rPr>
          <w:rFonts w:ascii="Verdana" w:eastAsia="Times New Roman" w:hAnsi="Verdana" w:cs="Arial"/>
          <w:bCs/>
          <w:lang w:eastAsia="x-none"/>
        </w:rPr>
        <w:t>:</w:t>
      </w:r>
      <w:r w:rsidRPr="00F10E52">
        <w:rPr>
          <w:rFonts w:ascii="Verdana" w:eastAsia="Times New Roman" w:hAnsi="Verdana" w:cs="Arial"/>
          <w:bCs/>
          <w:lang w:eastAsia="x-none"/>
        </w:rPr>
        <w:t xml:space="preserve"> i) la defensa y seguridad del Estado; </w:t>
      </w:r>
      <w:proofErr w:type="spellStart"/>
      <w:r w:rsidRPr="00F10E52">
        <w:rPr>
          <w:rFonts w:ascii="Verdana" w:eastAsia="Times New Roman" w:hAnsi="Verdana" w:cs="Arial"/>
          <w:bCs/>
          <w:lang w:eastAsia="x-none"/>
        </w:rPr>
        <w:t>ii</w:t>
      </w:r>
      <w:proofErr w:type="spellEnd"/>
      <w:r w:rsidRPr="00F10E52">
        <w:rPr>
          <w:rFonts w:ascii="Verdana" w:eastAsia="Times New Roman" w:hAnsi="Verdana" w:cs="Arial"/>
          <w:bCs/>
          <w:lang w:eastAsia="x-none"/>
        </w:rPr>
        <w:t xml:space="preserve">) los contratos de crédito público; </w:t>
      </w:r>
      <w:proofErr w:type="spellStart"/>
      <w:r w:rsidRPr="00F10E52">
        <w:rPr>
          <w:rFonts w:ascii="Verdana" w:eastAsia="Times New Roman" w:hAnsi="Verdana" w:cs="Arial"/>
          <w:bCs/>
          <w:lang w:eastAsia="x-none"/>
        </w:rPr>
        <w:t>iii</w:t>
      </w:r>
      <w:proofErr w:type="spellEnd"/>
      <w:r w:rsidRPr="00F10E52">
        <w:rPr>
          <w:rFonts w:ascii="Verdana" w:eastAsia="Times New Roman" w:hAnsi="Verdana" w:cs="Arial"/>
          <w:bCs/>
          <w:lang w:eastAsia="x-none"/>
        </w:rPr>
        <w:t xml:space="preserve">) los requeridos para cubrir las emergencias educativas, sanitarias y desastres; </w:t>
      </w:r>
      <w:proofErr w:type="spellStart"/>
      <w:r w:rsidRPr="00F10E52">
        <w:rPr>
          <w:rFonts w:ascii="Verdana" w:eastAsia="Times New Roman" w:hAnsi="Verdana" w:cs="Arial"/>
          <w:bCs/>
          <w:lang w:eastAsia="x-none"/>
        </w:rPr>
        <w:t>iv</w:t>
      </w:r>
      <w:proofErr w:type="spellEnd"/>
      <w:r w:rsidRPr="00F10E52">
        <w:rPr>
          <w:rFonts w:ascii="Verdana" w:eastAsia="Times New Roman" w:hAnsi="Verdana" w:cs="Arial"/>
          <w:bCs/>
          <w:lang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10E52">
        <w:rPr>
          <w:rFonts w:ascii="Verdana" w:eastAsia="Times New Roman" w:hAnsi="Verdana" w:cs="Arial"/>
          <w:bCs/>
          <w:lang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605FA36B" w14:textId="77777777" w:rsidR="00916B6A" w:rsidRPr="00F10E52" w:rsidRDefault="00916B6A" w:rsidP="00916B6A">
      <w:pPr>
        <w:spacing w:after="120" w:line="276" w:lineRule="auto"/>
        <w:ind w:firstLine="709"/>
        <w:jc w:val="both"/>
        <w:rPr>
          <w:rFonts w:ascii="Verdana" w:eastAsia="Times New Roman" w:hAnsi="Verdana" w:cs="Arial"/>
          <w:bCs/>
          <w:lang w:eastAsia="x-none"/>
        </w:rPr>
      </w:pPr>
      <w:r w:rsidRPr="00F10E52">
        <w:rPr>
          <w:rFonts w:ascii="Verdana" w:eastAsia="Times New Roman" w:hAnsi="Verdana" w:cs="Arial"/>
          <w:bCs/>
          <w:lang w:eastAsia="x-none"/>
        </w:rPr>
        <w:t>En esta labor es importante tener en cuenta, como lo anotó la Corte Constitucional, en Sentencia C-1153 de noviembre 11 de 2005</w:t>
      </w:r>
      <w:r w:rsidRPr="00F10E52">
        <w:rPr>
          <w:rStyle w:val="Refdenotaalpie"/>
          <w:rFonts w:ascii="Verdana" w:hAnsi="Verdana"/>
        </w:rPr>
        <w:t>,</w:t>
      </w:r>
      <w:r w:rsidRPr="00F10E52">
        <w:rPr>
          <w:rFonts w:ascii="Verdana" w:eastAsia="Times New Roman" w:hAnsi="Verdana" w:cs="Arial"/>
          <w:bCs/>
          <w:lang w:eastAsia="x-none"/>
        </w:rPr>
        <w:t xml:space="preserve"> </w:t>
      </w:r>
      <w:bookmarkStart w:id="22" w:name="_Hlk74309042"/>
      <w:r w:rsidRPr="00F10E52">
        <w:rPr>
          <w:rFonts w:ascii="Verdana" w:eastAsia="Times New Roman" w:hAnsi="Verdana" w:cs="Arial"/>
          <w:bCs/>
          <w:lang w:eastAsia="x-none"/>
        </w:rPr>
        <w:t xml:space="preserve">que </w:t>
      </w:r>
      <w:bookmarkEnd w:id="22"/>
      <w:r>
        <w:rPr>
          <w:rFonts w:ascii="Verdana" w:eastAsia="Times New Roman" w:hAnsi="Verdana" w:cs="Arial"/>
          <w:bCs/>
          <w:lang w:eastAsia="x-none"/>
        </w:rPr>
        <w:t>“</w:t>
      </w:r>
      <w:r w:rsidRPr="00F10E52">
        <w:rPr>
          <w:rFonts w:ascii="Verdana" w:eastAsia="Times New Roman" w:hAnsi="Verdana" w:cs="Arial"/>
          <w:bCs/>
          <w:lang w:eastAsia="x-none"/>
        </w:rPr>
        <w:t xml:space="preserve">si bien la limitación garantiza la igualdad de condiciones, también es necesario que tal limitación que pretende la igualdad </w:t>
      </w:r>
      <w:bookmarkStart w:id="23" w:name="_Hlk75768308"/>
      <w:r w:rsidRPr="00F10E52">
        <w:rPr>
          <w:rFonts w:ascii="Verdana" w:eastAsia="Times New Roman" w:hAnsi="Verdana" w:cs="Arial"/>
          <w:bCs/>
          <w:lang w:eastAsia="x-none"/>
        </w:rPr>
        <w:t xml:space="preserve">no termine yendo en detrimento de intereses públicos, cuya garantía está en cabeza del ejecutivo, como son los inmersos en </w:t>
      </w:r>
      <w:r w:rsidRPr="00F10E52">
        <w:rPr>
          <w:rFonts w:ascii="Verdana" w:eastAsia="Times New Roman" w:hAnsi="Verdana" w:cs="Arial"/>
          <w:bCs/>
          <w:lang w:eastAsia="x-none"/>
        </w:rPr>
        <w:lastRenderedPageBreak/>
        <w:t>las excepciones para la prohibición de contratación</w:t>
      </w:r>
      <w:r>
        <w:rPr>
          <w:rFonts w:ascii="Verdana" w:eastAsia="Times New Roman" w:hAnsi="Verdana" w:cs="Arial"/>
          <w:bCs/>
          <w:lang w:eastAsia="x-none"/>
        </w:rPr>
        <w:t>”</w:t>
      </w:r>
      <w:r w:rsidRPr="00F10E52">
        <w:rPr>
          <w:rStyle w:val="Refdenotaalpie"/>
          <w:rFonts w:ascii="Verdana" w:hAnsi="Verdana" w:cs="Arial"/>
        </w:rPr>
        <w:footnoteReference w:id="19"/>
      </w:r>
      <w:r w:rsidRPr="00F10E52">
        <w:rPr>
          <w:rFonts w:ascii="Verdana" w:eastAsia="Times New Roman" w:hAnsi="Verdana" w:cs="Arial"/>
          <w:bCs/>
          <w:lang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Start w:id="24" w:name="_Hlk75783800"/>
      <w:bookmarkEnd w:id="23"/>
    </w:p>
    <w:p w14:paraId="7ABC813F" w14:textId="02795B52" w:rsidR="00805B33" w:rsidRDefault="00916B6A" w:rsidP="00805B33">
      <w:pPr>
        <w:spacing w:before="120" w:after="120" w:line="276" w:lineRule="auto"/>
        <w:ind w:firstLine="708"/>
        <w:jc w:val="both"/>
        <w:rPr>
          <w:rFonts w:ascii="Verdana" w:eastAsia="Times New Roman" w:hAnsi="Verdana" w:cs="Arial"/>
          <w:bCs/>
          <w:lang w:eastAsia="x-none"/>
        </w:rPr>
      </w:pPr>
      <w:bookmarkStart w:id="25" w:name="_Hlk99438356"/>
      <w:r>
        <w:rPr>
          <w:rFonts w:ascii="Verdana" w:eastAsia="Times New Roman" w:hAnsi="Verdana" w:cs="Arial"/>
          <w:bCs/>
          <w:lang w:eastAsia="x-none"/>
        </w:rPr>
        <w:t>Ahora bien, e</w:t>
      </w:r>
      <w:r w:rsidRPr="00F10E52">
        <w:rPr>
          <w:rFonts w:ascii="Verdana" w:eastAsia="Times New Roman" w:hAnsi="Verdana" w:cs="Arial"/>
          <w:bCs/>
          <w:lang w:eastAsia="x-none"/>
        </w:rPr>
        <w:t xml:space="preserve">l artículo 33 de la Ley 996 de 2005 señala expresamente a los destinatarios de la prohibición, en el sentido de que son </w:t>
      </w:r>
      <w:r>
        <w:rPr>
          <w:rFonts w:ascii="Verdana" w:eastAsia="Times New Roman" w:hAnsi="Verdana" w:cs="Arial"/>
          <w:bCs/>
          <w:lang w:eastAsia="x-none"/>
        </w:rPr>
        <w:t>“</w:t>
      </w:r>
      <w:r w:rsidRPr="00F10E52">
        <w:rPr>
          <w:rFonts w:ascii="Verdana" w:eastAsia="Times New Roman" w:hAnsi="Verdana" w:cs="Arial"/>
          <w:bCs/>
          <w:lang w:eastAsia="x-none"/>
        </w:rPr>
        <w:t>todos los entes del Estado</w:t>
      </w:r>
      <w:r>
        <w:rPr>
          <w:rFonts w:ascii="Verdana" w:eastAsia="Times New Roman" w:hAnsi="Verdana" w:cs="Arial"/>
          <w:bCs/>
          <w:lang w:eastAsia="x-none"/>
        </w:rPr>
        <w:t>”</w:t>
      </w:r>
      <w:r w:rsidRPr="00F10E52">
        <w:rPr>
          <w:rFonts w:ascii="Verdana" w:eastAsia="Times New Roman" w:hAnsi="Verdana" w:cs="Arial"/>
          <w:bCs/>
          <w:lang w:eastAsia="x-none"/>
        </w:rPr>
        <w:t>, expresión que contempla a los diferentes organismos o entidades autorizadas por la ley para suscribir contratos.</w:t>
      </w:r>
      <w:r w:rsidRPr="00F10E52">
        <w:rPr>
          <w:rFonts w:ascii="Verdana" w:hAnsi="Verdana"/>
        </w:rPr>
        <w:t xml:space="preserve"> </w:t>
      </w:r>
      <w:r w:rsidRPr="00F10E52">
        <w:rPr>
          <w:rFonts w:ascii="Verdana" w:eastAsia="Times New Roman" w:hAnsi="Verdana" w:cs="Arial"/>
          <w:bCs/>
          <w:lang w:eastAsia="x-none"/>
        </w:rPr>
        <w:t xml:space="preserve">En efecto, tal como lo ha sostenido el Consejo de Estado, el vocablo </w:t>
      </w:r>
      <w:r>
        <w:rPr>
          <w:rFonts w:ascii="Verdana" w:eastAsia="Times New Roman" w:hAnsi="Verdana" w:cs="Arial"/>
          <w:bCs/>
          <w:lang w:eastAsia="x-none"/>
        </w:rPr>
        <w:t>“</w:t>
      </w:r>
      <w:r w:rsidRPr="00F10E52">
        <w:rPr>
          <w:rFonts w:ascii="Verdana" w:eastAsia="Times New Roman" w:hAnsi="Verdana" w:cs="Arial"/>
          <w:bCs/>
          <w:lang w:eastAsia="x-none"/>
        </w:rPr>
        <w:t>todos</w:t>
      </w:r>
      <w:r>
        <w:rPr>
          <w:rFonts w:ascii="Verdana" w:eastAsia="Times New Roman" w:hAnsi="Verdana" w:cs="Arial"/>
          <w:bCs/>
          <w:lang w:eastAsia="x-none"/>
        </w:rPr>
        <w:t>”</w:t>
      </w:r>
      <w:r w:rsidRPr="00F10E52">
        <w:rPr>
          <w:rFonts w:ascii="Verdana" w:eastAsia="Times New Roman" w:hAnsi="Verdana" w:cs="Arial"/>
          <w:bCs/>
          <w:lang w:eastAsia="x-none"/>
        </w:rPr>
        <w:t xml:space="preserve"> utilizado por el legislador comprende</w:t>
      </w:r>
      <w:r w:rsidRPr="00F10E52">
        <w:rPr>
          <w:rFonts w:ascii="Verdana" w:hAnsi="Verdana"/>
        </w:rPr>
        <w:t xml:space="preserve"> </w:t>
      </w:r>
      <w:r w:rsidRPr="00F10E52">
        <w:rPr>
          <w:rFonts w:ascii="Verdana" w:eastAsia="Times New Roman" w:hAnsi="Verdana" w:cs="Arial"/>
          <w:bCs/>
          <w:lang w:eastAsia="x-none"/>
        </w:rPr>
        <w:t>a la totalidad de los entes del Estado, sin distinción del régimen jurídico, forma de organización o naturaleza, su pertenencia a una u otra rama del poder público o su autonomía</w:t>
      </w:r>
      <w:bookmarkEnd w:id="24"/>
      <w:r w:rsidRPr="00F10E52">
        <w:rPr>
          <w:rFonts w:ascii="Verdana" w:eastAsia="Times New Roman" w:hAnsi="Verdana" w:cs="Arial"/>
          <w:bCs/>
          <w:lang w:eastAsia="x-none"/>
        </w:rPr>
        <w:t xml:space="preserve">, e incluso si las entidades estatales tienen régimen especial de contratación y están exceptuadas del ámbito de aplicación del Estatuto General de Contratación de la Administración Pública. </w:t>
      </w:r>
      <w:bookmarkEnd w:id="25"/>
    </w:p>
    <w:p w14:paraId="58053964" w14:textId="77777777" w:rsidR="00916B6A" w:rsidRDefault="00916B6A" w:rsidP="00916B6A">
      <w:pPr>
        <w:spacing w:after="120" w:line="276" w:lineRule="auto"/>
        <w:ind w:firstLine="707"/>
        <w:jc w:val="both"/>
        <w:rPr>
          <w:rFonts w:ascii="Verdana" w:eastAsia="Calibri" w:hAnsi="Verdana" w:cs="Arial"/>
          <w:lang w:val="es-MX"/>
        </w:rPr>
      </w:pPr>
      <w:r>
        <w:rPr>
          <w:rFonts w:ascii="Verdana" w:eastAsia="Calibri" w:hAnsi="Verdana" w:cs="Arial"/>
          <w:lang w:val="es-MX"/>
        </w:rPr>
        <w:t>En segundo lugar, e</w:t>
      </w:r>
      <w:r w:rsidRPr="00A60F9C">
        <w:rPr>
          <w:rFonts w:ascii="Verdana" w:eastAsia="Calibri" w:hAnsi="Verdana" w:cs="Arial"/>
          <w:lang w:val="es-MX"/>
        </w:rPr>
        <w:t xml:space="preserve">n cuanto a las </w:t>
      </w:r>
      <w:r>
        <w:rPr>
          <w:rFonts w:ascii="Verdana" w:eastAsia="Times New Roman" w:hAnsi="Verdana" w:cs="Arial"/>
          <w:lang w:val="es-MX" w:eastAsia="es-CO"/>
        </w:rPr>
        <w:t>r</w:t>
      </w:r>
      <w:r w:rsidRPr="00A60F9C">
        <w:rPr>
          <w:rFonts w:ascii="Verdana" w:eastAsia="Times New Roman" w:hAnsi="Verdana" w:cs="Arial"/>
          <w:lang w:val="es-MX" w:eastAsia="es-CO"/>
        </w:rPr>
        <w:t xml:space="preserve">estricciones </w:t>
      </w:r>
      <w:bookmarkStart w:id="26" w:name="_Hlk75643279"/>
      <w:r w:rsidRPr="00A60F9C">
        <w:rPr>
          <w:rFonts w:ascii="Verdana" w:eastAsia="Times New Roman" w:hAnsi="Verdana" w:cs="Arial"/>
          <w:lang w:val="es-MX" w:eastAsia="es-CO"/>
        </w:rPr>
        <w:t>para la celebración de contratos y convenios interadministrativos en los comicios para cargos de elección popular</w:t>
      </w:r>
      <w:bookmarkStart w:id="27" w:name="_Hlk88210558"/>
      <w:bookmarkEnd w:id="26"/>
      <w:r>
        <w:rPr>
          <w:rFonts w:ascii="Verdana" w:eastAsia="Times New Roman" w:hAnsi="Verdana" w:cs="Arial"/>
          <w:lang w:val="es-MX" w:eastAsia="es-CO"/>
        </w:rPr>
        <w:t xml:space="preserve">, </w:t>
      </w:r>
      <w:r>
        <w:rPr>
          <w:rFonts w:ascii="Verdana" w:eastAsia="Calibri" w:hAnsi="Verdana" w:cs="Arial"/>
          <w:bCs/>
        </w:rPr>
        <w:t>e</w:t>
      </w:r>
      <w:r w:rsidRPr="00896CCA">
        <w:rPr>
          <w:rFonts w:ascii="Verdana" w:eastAsia="Calibri" w:hAnsi="Verdana" w:cs="Arial"/>
          <w:bCs/>
        </w:rPr>
        <w:t>l parágrafo del artículo 38 de la Ley 996 de 2005 dispone que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w:t>
      </w:r>
      <w:r w:rsidRPr="00896CCA">
        <w:rPr>
          <w:rFonts w:ascii="Verdana" w:eastAsia="Times New Roman" w:hAnsi="Verdana" w:cs="Arial"/>
          <w:bCs/>
          <w:iCs/>
          <w:lang w:val="es-MX" w:eastAsia="x-none"/>
        </w:rPr>
        <w:t xml:space="preserve"> </w:t>
      </w:r>
      <w:bookmarkStart w:id="28" w:name="_Hlk99578153"/>
      <w:bookmarkEnd w:id="27"/>
      <w:r w:rsidRPr="00896CCA">
        <w:rPr>
          <w:rFonts w:ascii="Verdana" w:eastAsia="Times New Roman" w:hAnsi="Verdana" w:cs="Arial"/>
          <w:bCs/>
          <w:iCs/>
          <w:lang w:val="es-MX" w:eastAsia="x-none"/>
        </w:rPr>
        <w:t>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bookmarkEnd w:id="28"/>
      <w:r w:rsidRPr="00896CCA">
        <w:rPr>
          <w:rFonts w:ascii="Verdana" w:eastAsia="Times New Roman" w:hAnsi="Verdana" w:cs="Arial"/>
          <w:bCs/>
          <w:iCs/>
          <w:vertAlign w:val="superscript"/>
          <w:lang w:val="es-MX" w:eastAsia="x-none"/>
        </w:rPr>
        <w:footnoteReference w:id="20"/>
      </w:r>
      <w:r w:rsidRPr="00896CCA">
        <w:rPr>
          <w:rFonts w:ascii="Verdana" w:eastAsia="Times New Roman" w:hAnsi="Verdana" w:cs="Arial"/>
          <w:bCs/>
          <w:iCs/>
          <w:lang w:val="es-MX" w:eastAsia="x-none"/>
        </w:rPr>
        <w:t>.</w:t>
      </w:r>
      <w:r w:rsidRPr="00896CCA">
        <w:rPr>
          <w:rFonts w:ascii="Verdana" w:eastAsia="Calibri" w:hAnsi="Verdana" w:cs="Arial"/>
          <w:lang w:val="es-MX"/>
        </w:rPr>
        <w:t xml:space="preserve"> </w:t>
      </w:r>
    </w:p>
    <w:p w14:paraId="5B77841F" w14:textId="77777777" w:rsidR="00916B6A" w:rsidRPr="00896CCA" w:rsidRDefault="00916B6A" w:rsidP="00916B6A">
      <w:pPr>
        <w:widowControl w:val="0"/>
        <w:autoSpaceDE w:val="0"/>
        <w:autoSpaceDN w:val="0"/>
        <w:spacing w:after="120" w:line="276" w:lineRule="auto"/>
        <w:ind w:firstLine="707"/>
        <w:jc w:val="both"/>
        <w:rPr>
          <w:rFonts w:ascii="Verdana" w:eastAsia="Arial" w:hAnsi="Verdana" w:cs="Arial"/>
          <w:lang w:val="es-ES" w:eastAsia="es-ES" w:bidi="es-ES"/>
        </w:rPr>
      </w:pPr>
      <w:r w:rsidRPr="00896CCA">
        <w:rPr>
          <w:rFonts w:ascii="Verdana" w:eastAsia="Calibri" w:hAnsi="Verdana" w:cs="Arial"/>
          <w:bCs/>
          <w:lang w:eastAsia="es-ES" w:bidi="es-ES"/>
        </w:rPr>
        <w:t xml:space="preserve">Ahora bien, </w:t>
      </w:r>
      <w:bookmarkStart w:id="29" w:name="_Hlk78820161"/>
      <w:r w:rsidRPr="00896CCA">
        <w:rPr>
          <w:rFonts w:ascii="Verdana" w:eastAsia="Calibri" w:hAnsi="Verdana" w:cs="Arial"/>
          <w:bCs/>
          <w:lang w:eastAsia="es-ES" w:bidi="es-ES"/>
        </w:rPr>
        <w:t xml:space="preserve">para determinar el alcance de la prohibición consagrada por </w:t>
      </w:r>
      <w:r w:rsidRPr="00896CCA">
        <w:rPr>
          <w:rFonts w:ascii="Verdana" w:eastAsia="Calibri" w:hAnsi="Verdana" w:cs="Arial"/>
          <w:bCs/>
          <w:lang w:eastAsia="es-ES" w:bidi="es-ES"/>
        </w:rPr>
        <w:lastRenderedPageBreak/>
        <w:t xml:space="preserve">la Ley de Garantías Electorales, conviene precisar la tipología de convenios o contratos interadministrativos. </w:t>
      </w:r>
      <w:r w:rsidRPr="00896CCA">
        <w:rPr>
          <w:rFonts w:ascii="Verdana" w:eastAsia="Arial" w:hAnsi="Verdana" w:cs="Arial"/>
          <w:lang w:val="es-ES" w:eastAsia="es-ES" w:bidi="es-ES"/>
        </w:rPr>
        <w:t>Aunque la ley no la definió ni desarrolló, el Decreto 1082 de 2015 califica a los convenios o contratos interadministrativos como aquella contratación entre entidades estatales</w:t>
      </w:r>
      <w:r w:rsidRPr="00896CCA">
        <w:rPr>
          <w:rFonts w:ascii="Verdana" w:eastAsia="Arial" w:hAnsi="Verdana" w:cs="Arial"/>
          <w:vertAlign w:val="superscript"/>
          <w:lang w:val="es-ES" w:eastAsia="es-ES" w:bidi="es-ES"/>
        </w:rPr>
        <w:footnoteReference w:id="21"/>
      </w:r>
      <w:r w:rsidRPr="00896CCA">
        <w:rPr>
          <w:rFonts w:ascii="Verdana" w:eastAsia="Arial" w:hAnsi="Verdana" w:cs="Arial"/>
          <w:lang w:val="es-ES" w:eastAsia="es-ES" w:bidi="es-ES"/>
        </w:rPr>
        <w:t>.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w:t>
      </w:r>
      <w:r w:rsidRPr="00896CCA">
        <w:rPr>
          <w:rFonts w:ascii="Verdana" w:eastAsia="Arial" w:hAnsi="Verdana" w:cs="Arial"/>
          <w:spacing w:val="-6"/>
          <w:lang w:val="es-ES" w:eastAsia="es-ES" w:bidi="es-ES"/>
        </w:rPr>
        <w:t xml:space="preserve"> </w:t>
      </w:r>
      <w:r w:rsidRPr="00896CCA">
        <w:rPr>
          <w:rFonts w:ascii="Verdana" w:eastAsia="Arial" w:hAnsi="Verdana" w:cs="Arial"/>
          <w:lang w:val="es-ES" w:eastAsia="es-ES" w:bidi="es-ES"/>
        </w:rPr>
        <w:t>estatales.</w:t>
      </w:r>
    </w:p>
    <w:p w14:paraId="13148E74" w14:textId="77777777" w:rsidR="00916B6A" w:rsidRPr="00896CCA" w:rsidRDefault="00916B6A" w:rsidP="00916B6A">
      <w:pPr>
        <w:widowControl w:val="0"/>
        <w:autoSpaceDE w:val="0"/>
        <w:autoSpaceDN w:val="0"/>
        <w:spacing w:after="120" w:line="276" w:lineRule="auto"/>
        <w:ind w:firstLine="707"/>
        <w:jc w:val="both"/>
        <w:rPr>
          <w:rFonts w:ascii="Verdana" w:eastAsia="Calibri" w:hAnsi="Verdana" w:cs="Arial"/>
          <w:bCs/>
          <w:lang w:val="es-ES"/>
        </w:rPr>
      </w:pPr>
      <w:bookmarkStart w:id="30" w:name="_Hlk78820654"/>
      <w:bookmarkEnd w:id="29"/>
      <w:r w:rsidRPr="00896CCA">
        <w:rPr>
          <w:rFonts w:ascii="Verdana" w:eastAsia="Arial" w:hAnsi="Verdana" w:cs="Arial"/>
          <w:lang w:val="es-ES" w:eastAsia="es-ES" w:bidi="es-ES"/>
        </w:rPr>
        <w:t>Si bien los contratos o convenios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convenios con una entidad estatal de régimen especial y no por ello dejará de ser un contrato o convenio interadministrativo. De esta manera, sin perjuicio de lo dispuesto en el artículo 56 de la Ley 2195 de 2022, el literal c) del artículo 2.4 de la Ley 1150 de 2007 dispone que “</w:t>
      </w:r>
      <w:r w:rsidRPr="00896CCA">
        <w:rPr>
          <w:rFonts w:ascii="Verdana" w:eastAsia="Arial" w:hAnsi="Verdana" w:cs="Arial"/>
          <w:lang w:eastAsia="es-ES" w:bidi="es-ES"/>
        </w:rPr>
        <w:t>En aquellos eventos en que el régimen aplicable a la contratación de la entidad ejecutora no sea el de la Ley 80 de 1993, la ejecución de dichos contratos estará en todo caso sometida a esta ley, salvo que la entidad ejecutora desarrolle su actividad en competencia con el sector privado o cuando la ejecución del contrato interadministrativo tenga relación directa con el desarrollo de su actividad”.</w:t>
      </w:r>
    </w:p>
    <w:p w14:paraId="16A9AEEB" w14:textId="77777777" w:rsidR="00916B6A" w:rsidRPr="00896CCA" w:rsidRDefault="00916B6A" w:rsidP="00916B6A">
      <w:pPr>
        <w:widowControl w:val="0"/>
        <w:autoSpaceDE w:val="0"/>
        <w:autoSpaceDN w:val="0"/>
        <w:spacing w:after="120" w:line="276" w:lineRule="auto"/>
        <w:ind w:firstLine="707"/>
        <w:jc w:val="both"/>
        <w:rPr>
          <w:rFonts w:ascii="Verdana" w:eastAsia="Arial" w:hAnsi="Verdana" w:cs="Arial"/>
          <w:lang w:val="es-ES" w:eastAsia="es-ES" w:bidi="es-ES"/>
        </w:rPr>
      </w:pPr>
      <w:bookmarkStart w:id="31" w:name="_Hlk99578261"/>
      <w:bookmarkEnd w:id="30"/>
      <w:r w:rsidRPr="00896CCA">
        <w:rPr>
          <w:rFonts w:ascii="Verdana" w:eastAsia="Arial" w:hAnsi="Verdana" w:cs="Arial"/>
          <w:lang w:val="es-ES" w:eastAsia="es-ES" w:bidi="es-ES"/>
        </w:rPr>
        <w:t xml:space="preserve">Adicionalmente, 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w:t>
      </w:r>
      <w:r w:rsidRPr="00896CCA">
        <w:rPr>
          <w:rFonts w:ascii="Verdana" w:eastAsia="Arial" w:hAnsi="Verdana" w:cs="Arial"/>
          <w:lang w:val="es-ES" w:eastAsia="es-ES" w:bidi="es-ES"/>
        </w:rPr>
        <w:lastRenderedPageBreak/>
        <w:t>entidad ejecutora, señalado en la ley o en sus reglamentos, a menos que, según las excepciones previstas en dicha ley, deba adelantarse un procedimiento con pluralidad de oferentes</w:t>
      </w:r>
      <w:r w:rsidRPr="00896CCA">
        <w:rPr>
          <w:rFonts w:ascii="Verdana" w:eastAsia="Arial" w:hAnsi="Verdana" w:cs="Arial"/>
          <w:vertAlign w:val="superscript"/>
          <w:lang w:val="es-ES" w:eastAsia="es-ES" w:bidi="es-ES"/>
        </w:rPr>
        <w:footnoteReference w:id="22"/>
      </w:r>
      <w:r w:rsidRPr="00896CCA">
        <w:rPr>
          <w:rFonts w:ascii="Verdana" w:eastAsia="Arial" w:hAnsi="Verdana" w:cs="Arial"/>
          <w:lang w:val="es-ES" w:eastAsia="es-ES" w:bidi="es-ES"/>
        </w:rPr>
        <w:t>. Nótese que, en este caso, lo que cambia es la modalidad de selección y no la naturaleza de contrato</w:t>
      </w:r>
      <w:r w:rsidRPr="00896CCA">
        <w:rPr>
          <w:rFonts w:ascii="Verdana" w:eastAsia="Arial" w:hAnsi="Verdana" w:cs="Arial"/>
          <w:spacing w:val="-18"/>
          <w:lang w:val="es-ES" w:eastAsia="es-ES" w:bidi="es-ES"/>
        </w:rPr>
        <w:t xml:space="preserve"> </w:t>
      </w:r>
      <w:r w:rsidRPr="00896CCA">
        <w:rPr>
          <w:rFonts w:ascii="Verdana" w:eastAsia="Arial" w:hAnsi="Verdana" w:cs="Arial"/>
          <w:lang w:val="es-ES" w:eastAsia="es-ES" w:bidi="es-ES"/>
        </w:rPr>
        <w:t>interadministrativo.</w:t>
      </w:r>
    </w:p>
    <w:bookmarkEnd w:id="31"/>
    <w:p w14:paraId="06A81862" w14:textId="77777777" w:rsidR="00916B6A" w:rsidRDefault="00916B6A" w:rsidP="00916B6A">
      <w:pPr>
        <w:tabs>
          <w:tab w:val="left" w:pos="426"/>
        </w:tabs>
        <w:spacing w:after="120" w:line="276" w:lineRule="auto"/>
        <w:ind w:firstLine="709"/>
        <w:jc w:val="both"/>
        <w:rPr>
          <w:rFonts w:ascii="Verdana" w:eastAsia="Times New Roman" w:hAnsi="Verdana" w:cs="Arial"/>
          <w:bCs/>
          <w:lang w:val="es-MX" w:eastAsia="es-CO"/>
        </w:rPr>
      </w:pPr>
      <w:r w:rsidRPr="00896CCA">
        <w:rPr>
          <w:rFonts w:ascii="Verdana" w:eastAsia="Times New Roman" w:hAnsi="Verdana" w:cs="Arial"/>
          <w:bCs/>
          <w:lang w:eastAsia="es-CO"/>
        </w:rPr>
        <w:t xml:space="preserve">Se observa entonces que </w:t>
      </w:r>
      <w:r w:rsidRPr="00896CCA">
        <w:rPr>
          <w:rFonts w:ascii="Verdana" w:eastAsia="Times New Roman" w:hAnsi="Verdana" w:cs="Arial"/>
          <w:bCs/>
          <w:lang w:val="es-MX" w:eastAsia="es-CO"/>
        </w:rPr>
        <w:t xml:space="preserve">el parágrafo del artículo 38 de la Ley 996 de 2005 prohíbe a los alcaldes, gobernadores, secretarios, gerentes y directores de las entidades del orden municipal, departamental o distrital celebrar convenios y contratos interadministrativos para la ejecución de recursos públicos. En este sentido, si una o ambas partes de la relación contractual es una entidad de aquellas descritas en el parágrafo </w:t>
      </w:r>
      <w:r w:rsidRPr="00896CCA">
        <w:rPr>
          <w:rFonts w:ascii="Verdana" w:eastAsia="Times New Roman" w:hAnsi="Verdana" w:cs="Arial"/>
          <w:bCs/>
          <w:i/>
          <w:iCs/>
          <w:lang w:val="es-MX" w:eastAsia="es-CO"/>
        </w:rPr>
        <w:t>ibidem</w:t>
      </w:r>
      <w:r w:rsidRPr="00896CCA">
        <w:rPr>
          <w:rFonts w:ascii="Verdana" w:eastAsia="Times New Roman" w:hAnsi="Verdana" w:cs="Arial"/>
          <w:bCs/>
          <w:lang w:val="es-MX" w:eastAsia="es-CO"/>
        </w:rPr>
        <w:t>, no podrá celebrar tales convenios o contratos durante la aplicación de la Ley de Garantías Electorales, toda vez que la citada disposición hace referencia a dicha tipología contractual sin que el legislador hubiere contemplado excepción alguna frente a la modalidad de selección o naturaleza de su objeto</w:t>
      </w:r>
      <w:r w:rsidRPr="00896CCA">
        <w:rPr>
          <w:rFonts w:ascii="Verdana" w:eastAsia="Calibri" w:hAnsi="Verdana" w:cs="Arial"/>
          <w:bCs/>
          <w:vertAlign w:val="superscript"/>
          <w:lang w:val="es-MX" w:eastAsia="es-CO"/>
        </w:rPr>
        <w:footnoteReference w:id="23"/>
      </w:r>
      <w:r w:rsidRPr="00896CCA">
        <w:rPr>
          <w:rFonts w:ascii="Verdana" w:eastAsia="Times New Roman" w:hAnsi="Verdana" w:cs="Arial"/>
          <w:bCs/>
          <w:lang w:val="es-MX" w:eastAsia="es-CO"/>
        </w:rPr>
        <w:t xml:space="preserve">. </w:t>
      </w:r>
    </w:p>
    <w:p w14:paraId="79BC251D" w14:textId="77777777" w:rsidR="00916B6A" w:rsidRPr="00E2397D" w:rsidRDefault="00916B6A" w:rsidP="00916B6A">
      <w:pPr>
        <w:spacing w:after="120" w:line="276" w:lineRule="auto"/>
        <w:ind w:firstLine="709"/>
        <w:jc w:val="both"/>
        <w:rPr>
          <w:rFonts w:ascii="Verdana" w:eastAsia="Calibri" w:hAnsi="Verdana" w:cs="Arial"/>
          <w:lang w:bidi="es-ES"/>
        </w:rPr>
      </w:pPr>
      <w:r>
        <w:rPr>
          <w:rFonts w:ascii="Verdana" w:eastAsia="Times New Roman" w:hAnsi="Verdana" w:cs="Arial"/>
          <w:lang w:val="es-MX" w:eastAsia="x-none"/>
        </w:rPr>
        <w:t>E</w:t>
      </w:r>
      <w:r w:rsidRPr="00E2397D">
        <w:rPr>
          <w:rFonts w:ascii="Verdana" w:eastAsia="Times New Roman" w:hAnsi="Verdana" w:cs="Arial"/>
          <w:lang w:val="es-MX" w:eastAsia="x-none"/>
        </w:rPr>
        <w:t xml:space="preserve">s importante señalar que esta Subdirección, en los conceptos emitidos sobre la aplicación de la Ley de Garantías Electorales, ha defendido y mantenido la postura acerca de que la prohibición señalada en </w:t>
      </w:r>
      <w:r w:rsidRPr="00E2397D">
        <w:rPr>
          <w:rFonts w:ascii="Verdana" w:eastAsia="Arial" w:hAnsi="Verdana" w:cs="Arial"/>
          <w:lang w:val="es-ES" w:eastAsia="es-ES" w:bidi="es-ES"/>
        </w:rPr>
        <w:t>e</w:t>
      </w:r>
      <w:r w:rsidRPr="00E2397D">
        <w:rPr>
          <w:rFonts w:ascii="Verdana" w:eastAsia="Calibri" w:hAnsi="Verdana" w:cs="Arial"/>
        </w:rPr>
        <w:t xml:space="preserve">l parágrafo del artículo 38 cobija tanto a los convenios como a los contratos interadministrativos. Esta tesis se fundamenta en que </w:t>
      </w:r>
      <w:r w:rsidRPr="00E2397D">
        <w:rPr>
          <w:rFonts w:ascii="Verdana" w:eastAsia="Calibri" w:hAnsi="Verdana" w:cs="Arial"/>
          <w:lang w:bidi="es-ES"/>
        </w:rPr>
        <w:t>si bien actualmente el Estatuto General de Contratación de la Administración Públ</w:t>
      </w:r>
      <w:r>
        <w:rPr>
          <w:rFonts w:ascii="Verdana" w:eastAsia="Calibri" w:hAnsi="Verdana" w:cs="Arial"/>
          <w:lang w:bidi="es-ES"/>
        </w:rPr>
        <w:t>ica – en adelante EGCAP – se refiere</w:t>
      </w:r>
      <w:r w:rsidRPr="00E2397D">
        <w:rPr>
          <w:rFonts w:ascii="Verdana" w:eastAsia="Calibri" w:hAnsi="Verdana" w:cs="Arial"/>
          <w:lang w:bidi="es-ES"/>
        </w:rPr>
        <w:t xml:space="preserv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w:t>
      </w:r>
      <w:r w:rsidRPr="00E2397D">
        <w:rPr>
          <w:rFonts w:ascii="Verdana" w:eastAsia="Calibri" w:hAnsi="Verdana" w:cs="Arial"/>
          <w:lang w:bidi="es-ES"/>
        </w:rPr>
        <w:lastRenderedPageBreak/>
        <w:t xml:space="preserve">de creación les permita cumplirlas, con el objetivo común de materializar los fines del Estado. </w:t>
      </w:r>
    </w:p>
    <w:p w14:paraId="41E8CE9C" w14:textId="77777777" w:rsidR="00916B6A" w:rsidRPr="00E2397D" w:rsidRDefault="00916B6A" w:rsidP="00916B6A">
      <w:pPr>
        <w:spacing w:after="120" w:line="276" w:lineRule="auto"/>
        <w:ind w:firstLine="709"/>
        <w:jc w:val="both"/>
        <w:rPr>
          <w:rFonts w:ascii="Verdana" w:eastAsia="Calibri" w:hAnsi="Verdana" w:cs="Arial"/>
          <w:lang w:bidi="es-ES"/>
        </w:rPr>
      </w:pPr>
      <w:r w:rsidRPr="00E2397D">
        <w:rPr>
          <w:rFonts w:ascii="Verdana" w:eastAsia="Calibri" w:hAnsi="Verdana" w:cs="Arial"/>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E2397D">
        <w:rPr>
          <w:rFonts w:ascii="Verdana" w:eastAsia="Arial" w:hAnsi="Verdana" w:cs="Arial"/>
          <w:lang w:val="es-ES" w:eastAsia="es-ES" w:bidi="es-ES"/>
        </w:rPr>
        <w:t>el legislador y el ordenamiento jurídico, en general, en distintas ocasiones utiliza de forma indistinta los conceptos de contrato o convenio para referirse a la misma institución jurídica</w:t>
      </w:r>
      <w:r w:rsidRPr="00E2397D">
        <w:rPr>
          <w:rFonts w:ascii="Verdana" w:eastAsia="Arial" w:hAnsi="Verdana" w:cs="Arial"/>
          <w:vertAlign w:val="superscript"/>
          <w:lang w:val="es-ES" w:eastAsia="es-ES" w:bidi="es-ES"/>
        </w:rPr>
        <w:footnoteReference w:id="24"/>
      </w:r>
      <w:r w:rsidRPr="00E2397D">
        <w:rPr>
          <w:rFonts w:ascii="Verdana" w:eastAsia="Arial" w:hAnsi="Verdana" w:cs="Arial"/>
          <w:lang w:val="es-ES" w:eastAsia="es-ES" w:bidi="es-ES"/>
        </w:rPr>
        <w:t>. Incluso, la Corte Constitucional fundamenta la posibilidad de celebrar convenios interadministrativos de forma directa, con fundamento en la causal establecida en la Ley 1150 de 2007 respecto a los contratos interadministrativos</w:t>
      </w:r>
      <w:r w:rsidRPr="00E2397D">
        <w:rPr>
          <w:rFonts w:ascii="Verdana" w:eastAsia="Arial" w:hAnsi="Verdana" w:cs="Arial"/>
          <w:vertAlign w:val="superscript"/>
          <w:lang w:val="es-ES" w:eastAsia="es-ES" w:bidi="es-ES"/>
        </w:rPr>
        <w:footnoteReference w:id="25"/>
      </w:r>
      <w:r w:rsidRPr="00E2397D">
        <w:rPr>
          <w:rFonts w:ascii="Verdana" w:eastAsia="Arial" w:hAnsi="Verdana" w:cs="Arial"/>
          <w:lang w:val="es-ES" w:eastAsia="es-ES" w:bidi="es-ES"/>
        </w:rPr>
        <w:t>.</w:t>
      </w:r>
    </w:p>
    <w:p w14:paraId="1B4B00EE" w14:textId="77777777" w:rsidR="00916B6A" w:rsidRPr="00E2397D" w:rsidRDefault="00916B6A" w:rsidP="00916B6A">
      <w:pPr>
        <w:widowControl w:val="0"/>
        <w:autoSpaceDE w:val="0"/>
        <w:autoSpaceDN w:val="0"/>
        <w:spacing w:after="0" w:line="276" w:lineRule="auto"/>
        <w:ind w:firstLine="709"/>
        <w:contextualSpacing/>
        <w:jc w:val="both"/>
        <w:rPr>
          <w:rFonts w:ascii="Verdana" w:eastAsia="Arial" w:hAnsi="Verdana" w:cs="Arial"/>
          <w:lang w:val="es-ES" w:eastAsia="es-ES" w:bidi="es-ES"/>
        </w:rPr>
      </w:pPr>
      <w:r w:rsidRPr="00E2397D">
        <w:rPr>
          <w:rFonts w:ascii="Verdana" w:eastAsia="Calibri" w:hAnsi="Verdana" w:cs="Arial"/>
          <w:lang w:val="es-ES" w:bidi="es-ES"/>
        </w:rPr>
        <w:t>De este modo, en la Circular Externa</w:t>
      </w:r>
      <w:r w:rsidRPr="00E2397D">
        <w:rPr>
          <w:rFonts w:ascii="Verdana" w:eastAsia="Arial" w:hAnsi="Verdana" w:cs="Arial"/>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 En este sentido, la Circular, refiriéndose al parágrafo del artículo 38 de la Ley 996 de 2005, expresa lo siguiente en el numeral 16.2:</w:t>
      </w:r>
    </w:p>
    <w:p w14:paraId="276F5E2A" w14:textId="77777777" w:rsidR="00916B6A" w:rsidRPr="00E2397D" w:rsidRDefault="00916B6A" w:rsidP="00916B6A">
      <w:pPr>
        <w:widowControl w:val="0"/>
        <w:autoSpaceDE w:val="0"/>
        <w:autoSpaceDN w:val="0"/>
        <w:spacing w:after="0" w:line="276" w:lineRule="auto"/>
        <w:contextualSpacing/>
        <w:jc w:val="both"/>
        <w:rPr>
          <w:rFonts w:ascii="Verdana" w:eastAsia="Arial" w:hAnsi="Verdana" w:cs="Arial"/>
          <w:lang w:val="es-ES" w:eastAsia="es-ES" w:bidi="es-ES"/>
        </w:rPr>
      </w:pPr>
    </w:p>
    <w:p w14:paraId="767C3178" w14:textId="77777777" w:rsidR="00916B6A" w:rsidRPr="00E2397D" w:rsidRDefault="00916B6A" w:rsidP="00916B6A">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ES_tradnl"/>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w:t>
      </w:r>
      <w:r w:rsidRPr="00E2397D">
        <w:rPr>
          <w:rFonts w:ascii="Verdana" w:eastAsia="Calibri" w:hAnsi="Verdana" w:cs="Arial"/>
          <w:sz w:val="20"/>
          <w:szCs w:val="20"/>
          <w:lang w:val="es-MX"/>
        </w:rPr>
        <w:t xml:space="preserve">para tal fin, se entenderán en el mismo sentido. Es así como el Decreto 1082 de 2015 trata indistintamente a los convenios y contratos interadministrativos, al establecer la contratación directa como la </w:t>
      </w:r>
      <w:r w:rsidRPr="00E2397D">
        <w:rPr>
          <w:rFonts w:ascii="Verdana" w:eastAsia="Calibri" w:hAnsi="Verdana" w:cs="Arial"/>
          <w:sz w:val="20"/>
          <w:szCs w:val="20"/>
          <w:lang w:val="es-MX"/>
        </w:rPr>
        <w:lastRenderedPageBreak/>
        <w:t>modalidad de selección para la contratación entre entidades públicas a través de estas dos figuras jurídicas.</w:t>
      </w:r>
    </w:p>
    <w:p w14:paraId="1582BBFC" w14:textId="77777777" w:rsidR="00916B6A" w:rsidRPr="00E2397D" w:rsidRDefault="00916B6A" w:rsidP="00916B6A">
      <w:pPr>
        <w:spacing w:after="0" w:line="240" w:lineRule="auto"/>
        <w:ind w:left="709" w:right="709"/>
        <w:jc w:val="both"/>
        <w:rPr>
          <w:rFonts w:ascii="Verdana" w:eastAsia="Calibri" w:hAnsi="Verdana" w:cs="Arial"/>
          <w:sz w:val="20"/>
          <w:szCs w:val="20"/>
          <w:lang w:val="es-MX"/>
        </w:rPr>
      </w:pPr>
    </w:p>
    <w:p w14:paraId="537281E5" w14:textId="77777777" w:rsidR="00916B6A" w:rsidRPr="00E2397D" w:rsidRDefault="00916B6A" w:rsidP="00916B6A">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MX"/>
        </w:rPr>
        <w:t>No obstante, por vía jurisprudencial se ha establecido que en los contratos interadministrativos existe una contraprestación directa a favor de la entidad que ha entregado el bien o prestado el servicio a la Entidad contratante, habilitado para ello por su objeto legal como entidad ejecutora, como quiera que las obligaciones asignadas legalmente a aquella entidad pública están directamente relacionadas con el objeto contractual. Por su parte, en los convenios interadministrativos las entidades se asocian con el fin de cooperar en el cumplimiento de funciones administrativas o de prestar conjuntamente servicios que se hallen a su cargo, sin que exista una contraprestación para ninguna de las entidades ni la prestación de un servicio a cargo de alguna de ellas y en favor de la otra parte del convenio.</w:t>
      </w:r>
    </w:p>
    <w:p w14:paraId="6AEE15BD" w14:textId="77777777" w:rsidR="00916B6A" w:rsidRPr="00E2397D" w:rsidRDefault="00916B6A" w:rsidP="00916B6A">
      <w:pPr>
        <w:spacing w:after="0" w:line="240" w:lineRule="auto"/>
        <w:ind w:left="709" w:right="709"/>
        <w:jc w:val="both"/>
        <w:rPr>
          <w:rFonts w:ascii="Verdana" w:eastAsia="Calibri" w:hAnsi="Verdana" w:cs="Arial"/>
          <w:sz w:val="20"/>
          <w:szCs w:val="20"/>
          <w:lang w:val="es-MX"/>
        </w:rPr>
      </w:pPr>
    </w:p>
    <w:p w14:paraId="4AC4F4E9" w14:textId="77777777" w:rsidR="00916B6A" w:rsidRPr="00E2397D" w:rsidRDefault="00916B6A" w:rsidP="00916B6A">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MX"/>
        </w:rPr>
        <w:t>En el contexto de la Ley de Garantías, las restricciones además de propender por la igualdad de los candidatos están encaminadas a evitar que por medio de la contratación se altere la voluntad popular, lo cual se puede lograr a través de contratos o convenios.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00F4753A" w14:textId="77777777" w:rsidR="00916B6A" w:rsidRPr="00E2397D" w:rsidRDefault="00916B6A" w:rsidP="00916B6A">
      <w:pPr>
        <w:widowControl w:val="0"/>
        <w:autoSpaceDE w:val="0"/>
        <w:autoSpaceDN w:val="0"/>
        <w:spacing w:after="0" w:line="276" w:lineRule="auto"/>
        <w:contextualSpacing/>
        <w:jc w:val="both"/>
        <w:rPr>
          <w:rFonts w:ascii="Verdana" w:eastAsia="Arial" w:hAnsi="Verdana" w:cs="Arial"/>
          <w:lang w:val="es-ES" w:eastAsia="es-ES" w:bidi="es-ES"/>
        </w:rPr>
      </w:pPr>
    </w:p>
    <w:p w14:paraId="3D41D8BC" w14:textId="77777777" w:rsidR="00916B6A" w:rsidRPr="00E2397D" w:rsidRDefault="00916B6A" w:rsidP="00916B6A">
      <w:pPr>
        <w:spacing w:after="120" w:line="276" w:lineRule="auto"/>
        <w:ind w:firstLine="709"/>
        <w:jc w:val="both"/>
        <w:rPr>
          <w:rFonts w:ascii="Verdana" w:eastAsia="Arial" w:hAnsi="Verdana" w:cs="Arial"/>
          <w:lang w:val="es-MX" w:eastAsia="es-ES" w:bidi="es-ES"/>
        </w:rPr>
      </w:pPr>
      <w:r w:rsidRPr="00E2397D">
        <w:rPr>
          <w:rFonts w:ascii="Verdana" w:eastAsia="Arial" w:hAnsi="Verdana" w:cs="Arial"/>
          <w:lang w:val="es-ES" w:eastAsia="es-ES" w:bidi="es-ES"/>
        </w:rPr>
        <w:t>Con base en lo expuesto, debido a que no existe una definición legal que diferencie los conceptos de contrato y convenio, esta Agencia ha partido de su asimilación para la aplicación de la Ley de Garantías Electorales, por lo que la interpretación que se ha efectuado d</w:t>
      </w:r>
      <w:r w:rsidRPr="00E2397D">
        <w:rPr>
          <w:rFonts w:ascii="Verdana" w:eastAsia="Arial" w:hAnsi="Verdana" w:cs="Arial"/>
          <w:lang w:val="es-MX" w:eastAsia="es-ES" w:bidi="es-ES"/>
        </w:rPr>
        <w:t>el parágrafo del artículo 38 de la Ley 996 de 2005 es que prohíbe a los alcaldes, gobernadores, secretarios, gerentes y directores de las entidades del orden municipal, departamental o distrital celebrar convenios y contratos interadministrativos para la ejecución de recursos públicos.</w:t>
      </w:r>
    </w:p>
    <w:p w14:paraId="222473A6" w14:textId="77777777" w:rsidR="00916B6A" w:rsidRPr="00E2397D" w:rsidRDefault="00916B6A" w:rsidP="00916B6A">
      <w:pPr>
        <w:spacing w:after="0" w:line="276" w:lineRule="auto"/>
        <w:ind w:firstLine="709"/>
        <w:jc w:val="both"/>
      </w:pPr>
      <w:r w:rsidRPr="00E2397D">
        <w:rPr>
          <w:rFonts w:ascii="Verdana" w:eastAsia="Arial" w:hAnsi="Verdana" w:cs="Arial"/>
          <w:lang w:val="es-MX" w:eastAsia="es-ES" w:bidi="es-ES"/>
        </w:rPr>
        <w:t xml:space="preserve">No obstante, conviene señalar que, mediante auto de 4 de octubre del 2024, el Consejo de Estado, Sección Tercera, decretó medida de suspensión provisional parcial del </w:t>
      </w:r>
      <w:r w:rsidRPr="00E2397D">
        <w:rPr>
          <w:rFonts w:ascii="Verdana" w:hAnsi="Verdana"/>
        </w:rPr>
        <w:t xml:space="preserve">numeral 16.2 de la Circular Externa Única de 2022 </w:t>
      </w:r>
      <w:r w:rsidRPr="00E2397D">
        <w:rPr>
          <w:rFonts w:ascii="Verdana" w:hAnsi="Verdana"/>
        </w:rPr>
        <w:lastRenderedPageBreak/>
        <w:t>expedida por la Agencia Nacional de Contratación Pública -Colombia Compra Eficiente-, concretamente, respecto de los siguientes apartes normativos</w:t>
      </w:r>
      <w:r w:rsidRPr="00E2397D">
        <w:rPr>
          <w:rFonts w:ascii="Verdana" w:hAnsi="Verdana"/>
          <w:vertAlign w:val="superscript"/>
        </w:rPr>
        <w:footnoteReference w:id="26"/>
      </w:r>
      <w:r w:rsidRPr="00E2397D">
        <w:rPr>
          <w:rFonts w:ascii="Verdana" w:hAnsi="Verdana"/>
        </w:rPr>
        <w:t>:</w:t>
      </w:r>
      <w:r w:rsidRPr="00E2397D">
        <w:t xml:space="preserve"> </w:t>
      </w:r>
    </w:p>
    <w:p w14:paraId="6B7573F4" w14:textId="77777777" w:rsidR="00916B6A" w:rsidRPr="00E2397D" w:rsidRDefault="00916B6A" w:rsidP="00916B6A">
      <w:pPr>
        <w:spacing w:after="0" w:line="276" w:lineRule="auto"/>
        <w:ind w:firstLine="709"/>
        <w:jc w:val="both"/>
      </w:pPr>
    </w:p>
    <w:p w14:paraId="13EE50E1" w14:textId="77777777" w:rsidR="00916B6A" w:rsidRPr="00E2397D" w:rsidRDefault="00916B6A" w:rsidP="00916B6A">
      <w:pPr>
        <w:spacing w:after="0" w:line="240" w:lineRule="auto"/>
        <w:ind w:left="709" w:right="709"/>
        <w:jc w:val="both"/>
        <w:rPr>
          <w:rFonts w:ascii="Verdana" w:eastAsia="Calibri" w:hAnsi="Verdana" w:cs="Arial"/>
          <w:sz w:val="20"/>
          <w:szCs w:val="20"/>
        </w:rPr>
      </w:pPr>
      <w:r w:rsidRPr="00E2397D">
        <w:rPr>
          <w:rFonts w:ascii="Verdana" w:eastAsia="Calibri" w:hAnsi="Verdana" w:cs="Arial"/>
          <w:sz w:val="20"/>
          <w:szCs w:val="20"/>
          <w:lang w:val="es-MX"/>
        </w:rPr>
        <w:t>i)</w:t>
      </w:r>
      <w:r w:rsidRPr="00E2397D">
        <w:rPr>
          <w:rFonts w:ascii="Verdana" w:eastAsia="Calibri"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38A1772B" w14:textId="77777777" w:rsidR="00916B6A" w:rsidRPr="00E2397D" w:rsidRDefault="00916B6A" w:rsidP="00916B6A">
      <w:pPr>
        <w:spacing w:after="0" w:line="240" w:lineRule="auto"/>
        <w:ind w:left="709" w:right="709"/>
        <w:jc w:val="both"/>
        <w:rPr>
          <w:rFonts w:ascii="Verdana" w:eastAsia="Calibri" w:hAnsi="Verdana" w:cs="Arial"/>
          <w:sz w:val="20"/>
          <w:szCs w:val="20"/>
        </w:rPr>
      </w:pPr>
    </w:p>
    <w:p w14:paraId="256585A3" w14:textId="77777777" w:rsidR="00916B6A" w:rsidRPr="00E2397D" w:rsidRDefault="00916B6A" w:rsidP="00916B6A">
      <w:pPr>
        <w:spacing w:after="0" w:line="240" w:lineRule="auto"/>
        <w:ind w:left="709" w:right="709"/>
        <w:jc w:val="both"/>
        <w:rPr>
          <w:rFonts w:ascii="Verdana" w:hAnsi="Verdana"/>
          <w:sz w:val="20"/>
          <w:szCs w:val="20"/>
        </w:rPr>
      </w:pPr>
      <w:proofErr w:type="spellStart"/>
      <w:r w:rsidRPr="00E2397D">
        <w:rPr>
          <w:rFonts w:ascii="Verdana" w:hAnsi="Verdana"/>
          <w:sz w:val="20"/>
          <w:szCs w:val="20"/>
        </w:rPr>
        <w:t>ii</w:t>
      </w:r>
      <w:proofErr w:type="spellEnd"/>
      <w:r w:rsidRPr="00E2397D">
        <w:rPr>
          <w:rFonts w:ascii="Verdana" w:hAnsi="Verdana"/>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42C48FF6" w14:textId="77777777" w:rsidR="00916B6A" w:rsidRPr="00E2397D" w:rsidRDefault="00916B6A" w:rsidP="00916B6A">
      <w:pPr>
        <w:spacing w:after="0" w:line="276" w:lineRule="auto"/>
        <w:ind w:left="709" w:right="709"/>
        <w:jc w:val="both"/>
        <w:rPr>
          <w:rFonts w:ascii="Verdana" w:hAnsi="Verdana"/>
        </w:rPr>
      </w:pPr>
    </w:p>
    <w:p w14:paraId="09D3B0BB" w14:textId="77777777" w:rsidR="00916B6A" w:rsidRPr="00E2397D" w:rsidRDefault="00916B6A" w:rsidP="00916B6A">
      <w:pPr>
        <w:spacing w:after="120" w:line="276" w:lineRule="auto"/>
        <w:ind w:firstLine="709"/>
        <w:jc w:val="both"/>
        <w:rPr>
          <w:rFonts w:ascii="Verdana" w:eastAsia="Arial" w:hAnsi="Verdana" w:cs="Arial"/>
          <w:i/>
          <w:iCs/>
          <w:lang w:val="es-MX" w:eastAsia="es-ES" w:bidi="es-ES"/>
        </w:rPr>
      </w:pPr>
      <w:r w:rsidRPr="00E2397D">
        <w:rPr>
          <w:rFonts w:ascii="Verdana" w:eastAsia="Arial" w:hAnsi="Verdana" w:cs="Arial"/>
          <w:lang w:val="es-MX" w:eastAsia="es-ES" w:bidi="es-ES"/>
        </w:rPr>
        <w:t xml:space="preserve">De conformidad con los argumentos de dicha providencia, se parte de la distinción entre los conceptos </w:t>
      </w:r>
      <w:r w:rsidRPr="00E2397D">
        <w:rPr>
          <w:rFonts w:ascii="Verdana" w:eastAsia="Arial" w:hAnsi="Verdana" w:cs="Arial"/>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E2397D">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E2397D">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E2397D">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w:t>
      </w:r>
      <w:r w:rsidRPr="00E2397D">
        <w:rPr>
          <w:rFonts w:ascii="Verdana" w:eastAsia="Arial" w:hAnsi="Verdana" w:cs="Arial"/>
          <w:i/>
          <w:iCs/>
          <w:lang w:eastAsia="es-ES" w:bidi="es-ES"/>
        </w:rPr>
        <w:lastRenderedPageBreak/>
        <w:t xml:space="preserve">incorporó en la prohibición una categoría que no quedó comprendida expresa e inequívocamente en la ley”. </w:t>
      </w:r>
    </w:p>
    <w:p w14:paraId="192F99AD" w14:textId="77777777" w:rsidR="00916B6A" w:rsidRPr="00E2397D" w:rsidRDefault="00916B6A" w:rsidP="00916B6A">
      <w:pPr>
        <w:spacing w:after="120" w:line="276" w:lineRule="auto"/>
        <w:ind w:firstLine="709"/>
        <w:jc w:val="both"/>
        <w:rPr>
          <w:rFonts w:ascii="Verdana" w:eastAsia="Calibri" w:hAnsi="Verdana" w:cs="Arial"/>
          <w:lang w:val="es-MX"/>
        </w:rPr>
      </w:pPr>
      <w:r w:rsidRPr="00E2397D">
        <w:rPr>
          <w:rFonts w:ascii="Verdana" w:eastAsia="Arial" w:hAnsi="Verdana" w:cs="Arial"/>
          <w:lang w:val="es-MX" w:eastAsia="es-ES" w:bidi="es-ES"/>
        </w:rPr>
        <w:t xml:space="preserve">Bajo este contexto, esta Agencia debe manifestar que, si bien respeta y acata las decisiones proferidas por el Consejo de Estado, como es el caso del auto de suspensión provisional parcial del numeral </w:t>
      </w:r>
      <w:r w:rsidRPr="00E2397D">
        <w:rPr>
          <w:rFonts w:ascii="Verdana" w:eastAsia="Arial" w:hAnsi="Verdana" w:cs="Arial"/>
          <w:lang w:eastAsia="es-ES" w:bidi="es-ES"/>
        </w:rPr>
        <w:t>16.2 de la Circular Externa Única</w:t>
      </w:r>
      <w:r w:rsidRPr="00E2397D">
        <w:rPr>
          <w:rFonts w:ascii="Verdana" w:eastAsia="Arial" w:hAnsi="Verdana" w:cs="Arial"/>
          <w:lang w:val="es-MX" w:eastAsia="es-ES" w:bidi="es-ES"/>
        </w:rPr>
        <w:t xml:space="preserve">, no comparte los argumentos expuestos por dicha Corporación. Esto, en la medida que, a juicio de esta Entidad, señalar que la Ley de Garantías Electorales no aplica para el caso de los contratos interadministrativos deja sin efecto el propósito buscado por la norma, que no es otro que </w:t>
      </w:r>
      <w:r w:rsidRPr="00E2397D">
        <w:rPr>
          <w:rFonts w:ascii="Verdana" w:eastAsia="Times New Roman" w:hAnsi="Verdana" w:cs="Arial"/>
          <w:lang w:val="es-MX" w:eastAsia="es-CO"/>
        </w:rPr>
        <w:t xml:space="preserve">evitar cualquier tipo de arbitrariedad, de ventaja injustificada, de uso irregular de los recursos del Estado en las campañas políticas, o que </w:t>
      </w:r>
      <w:r w:rsidRPr="00E2397D">
        <w:rPr>
          <w:rFonts w:ascii="Verdana" w:eastAsia="Calibri" w:hAnsi="Verdana" w:cs="Arial"/>
          <w:lang w:val="es-MX"/>
        </w:rPr>
        <w:t xml:space="preserve">los recursos del Estado se ejecuten para lograr apoyos indebidos mediante la suscripción de contratos y/o convenios, que para efectos de la Ley de Garantías tienen la misma connotación y propósitos. </w:t>
      </w:r>
    </w:p>
    <w:p w14:paraId="52274DF9" w14:textId="77777777" w:rsidR="00916B6A" w:rsidRPr="00E2397D" w:rsidRDefault="00916B6A" w:rsidP="00916B6A">
      <w:pPr>
        <w:spacing w:after="120" w:line="276" w:lineRule="auto"/>
        <w:ind w:firstLine="709"/>
        <w:jc w:val="both"/>
        <w:rPr>
          <w:rFonts w:ascii="Verdana" w:eastAsia="Arial" w:hAnsi="Verdana" w:cs="Arial"/>
          <w:lang w:val="es-MX" w:eastAsia="es-ES" w:bidi="es-ES"/>
        </w:rPr>
      </w:pPr>
      <w:r w:rsidRPr="00E2397D">
        <w:rPr>
          <w:rFonts w:ascii="Verdana" w:eastAsia="Calibri" w:hAnsi="Verdana" w:cs="Arial"/>
        </w:rPr>
        <w:t xml:space="preserve">Conforme a lo anterior, si bien la Agencia es respetuosa de las providencias proferidas por las autoridades judiciales, es necesario expresar el desacuerdo con el decreto de medida cautelar de suspensión provisional y la oposición a que se declare la nulidad del numeral </w:t>
      </w:r>
      <w:r w:rsidRPr="00E2397D">
        <w:rPr>
          <w:rFonts w:ascii="Verdana" w:eastAsia="Arial" w:hAnsi="Verdana" w:cs="Arial"/>
          <w:lang w:eastAsia="es-ES" w:bidi="es-ES"/>
        </w:rPr>
        <w:t xml:space="preserve">16.2 de la Circular Externa Única. Al señalar que los contratos interadministrativos deberían estar sujetos a las restricciones consagradas en el parágrafo del artículo 38, la Agencia busca proteger la transparencia, igualdad e integridad del proceso electoral. Así las cosas, </w:t>
      </w:r>
      <w:r w:rsidRPr="00E2397D">
        <w:rPr>
          <w:rFonts w:ascii="Verdana" w:eastAsia="Calibri" w:hAnsi="Verdana" w:cs="Arial"/>
          <w:lang w:val="es-MX"/>
        </w:rPr>
        <w:t xml:space="preserve">a la fecha, se espera la decisión final respecto a la declaratoria de nulidad del numeral 16.2 de la Circular Externa Única que adopte el Consejo de Estado. </w:t>
      </w:r>
    </w:p>
    <w:p w14:paraId="48E73847" w14:textId="77777777" w:rsidR="00916B6A" w:rsidRDefault="00916B6A" w:rsidP="00916B6A">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que </w:t>
      </w:r>
      <w:r w:rsidRPr="00E2397D">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 xml:space="preserve">, 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Ahora bien, como se </w:t>
      </w:r>
      <w:r w:rsidRPr="00E2397D">
        <w:rPr>
          <w:rFonts w:ascii="Verdana" w:eastAsia="Times New Roman" w:hAnsi="Verdana" w:cs="Arial"/>
          <w:lang w:val="es-MX" w:eastAsia="es-CO"/>
        </w:rPr>
        <w:lastRenderedPageBreak/>
        <w:t>expuso anteriormente, para esta Agencia tal restricción también cobijaría a los contratos interadmin</w:t>
      </w:r>
      <w:r>
        <w:rPr>
          <w:rFonts w:ascii="Verdana" w:eastAsia="Times New Roman" w:hAnsi="Verdana" w:cs="Arial"/>
          <w:lang w:val="es-MX" w:eastAsia="es-CO"/>
        </w:rPr>
        <w:t xml:space="preserve">istrativos. </w:t>
      </w:r>
    </w:p>
    <w:p w14:paraId="6966C811" w14:textId="77777777" w:rsidR="00916B6A" w:rsidRDefault="00916B6A" w:rsidP="00916B6A">
      <w:pPr>
        <w:widowControl w:val="0"/>
        <w:autoSpaceDE w:val="0"/>
        <w:autoSpaceDN w:val="0"/>
        <w:spacing w:after="120" w:line="276" w:lineRule="auto"/>
        <w:ind w:firstLine="709"/>
        <w:jc w:val="both"/>
        <w:rPr>
          <w:rFonts w:ascii="Verdana" w:eastAsia="Calibri" w:hAnsi="Verdana" w:cs="Arial"/>
          <w:lang w:eastAsia="es-ES" w:bidi="es-ES"/>
        </w:rPr>
      </w:pPr>
      <w:bookmarkStart w:id="32" w:name="_Hlk77154098"/>
      <w:r w:rsidRPr="00896CCA">
        <w:rPr>
          <w:rFonts w:ascii="Verdana" w:eastAsia="Times New Roman" w:hAnsi="Verdana" w:cs="Arial"/>
          <w:bCs/>
          <w:lang w:val="es-ES" w:eastAsia="es-CO" w:bidi="es-ES"/>
        </w:rPr>
        <w:t>En todo caso</w:t>
      </w:r>
      <w:r w:rsidRPr="00896CCA">
        <w:rPr>
          <w:rFonts w:ascii="Verdana" w:eastAsia="Arial" w:hAnsi="Verdana" w:cs="Arial"/>
          <w:lang w:val="es-ES" w:eastAsia="es-ES" w:bidi="es-ES"/>
        </w:rPr>
        <w:t xml:space="preserve">, es importante resaltar que la Sala de Consulta y Servicio Civil del Consejo de Estado se ha pronunciado en el sentido de que </w:t>
      </w:r>
      <w:bookmarkStart w:id="33" w:name="_Hlk78820889"/>
      <w:r w:rsidRPr="00896CCA">
        <w:rPr>
          <w:rFonts w:ascii="Verdana" w:eastAsia="Arial" w:hAnsi="Verdana" w:cs="Arial"/>
          <w:lang w:val="es-ES" w:eastAsia="es-ES" w:bidi="es-ES"/>
        </w:rPr>
        <w:t>no se les aplica la restricción contemplada en el artículo 38 de la Ley de Garantías a los convenios o contratos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bookmarkEnd w:id="33"/>
      <w:r w:rsidRPr="00896CCA">
        <w:rPr>
          <w:rFonts w:ascii="Verdana" w:eastAsia="Arial" w:hAnsi="Verdana" w:cs="Arial"/>
          <w:vertAlign w:val="superscript"/>
          <w:lang w:val="es-ES" w:eastAsia="es-ES" w:bidi="es-ES"/>
        </w:rPr>
        <w:footnoteReference w:id="27"/>
      </w:r>
      <w:r w:rsidRPr="00896CCA">
        <w:rPr>
          <w:rFonts w:ascii="Verdana" w:eastAsia="Calibri" w:hAnsi="Verdana" w:cs="Arial"/>
          <w:lang w:eastAsia="es-ES" w:bidi="es-ES"/>
        </w:rPr>
        <w:t>.</w:t>
      </w:r>
      <w:bookmarkEnd w:id="32"/>
    </w:p>
    <w:p w14:paraId="182CF2BE" w14:textId="6212BAE3" w:rsidR="009816B6" w:rsidRDefault="00805B33" w:rsidP="009816B6">
      <w:pPr>
        <w:spacing w:before="120" w:after="120" w:line="276" w:lineRule="auto"/>
        <w:ind w:firstLine="708"/>
        <w:jc w:val="both"/>
        <w:rPr>
          <w:rFonts w:ascii="Verdana" w:eastAsia="Times New Roman" w:hAnsi="Verdana" w:cs="Arial"/>
          <w:lang w:eastAsia="x-none"/>
        </w:rPr>
      </w:pPr>
      <w:r w:rsidRPr="00805B33">
        <w:rPr>
          <w:rFonts w:ascii="Verdana" w:eastAsia="Times New Roman" w:hAnsi="Verdana" w:cs="Times New Roman"/>
          <w:lang w:eastAsia="es-MX"/>
        </w:rPr>
        <w:t>Finalmente y con el propósito de absolver</w:t>
      </w:r>
      <w:r w:rsidR="009816B6">
        <w:rPr>
          <w:rFonts w:ascii="Verdana" w:eastAsia="Times New Roman" w:hAnsi="Verdana" w:cs="Times New Roman"/>
          <w:lang w:eastAsia="es-MX"/>
        </w:rPr>
        <w:t xml:space="preserve"> sobre el particular de </w:t>
      </w:r>
      <w:r w:rsidRPr="00805B33">
        <w:rPr>
          <w:rFonts w:ascii="Verdana" w:eastAsia="Times New Roman" w:hAnsi="Verdana" w:cs="Times New Roman"/>
          <w:lang w:eastAsia="es-MX"/>
        </w:rPr>
        <w:t xml:space="preserve">la consulta, se debe partir de que las Personerías son órganos de control como lo enuncia el artículo 118 de la Constitución Política, que integran el Ministerio Público. Si bien gozan de autonomía administrativa y presupuestal, según la Ley 136 de 1994, artículo 168, y no son dependencias de la Alcaldía Municipal, la Ley de Garantías fue diseñada para garantizar la transparencia y la igualdad en la contienda electoral, evitando que </w:t>
      </w:r>
      <w:r w:rsidRPr="00805B33">
        <w:rPr>
          <w:rFonts w:ascii="Verdana" w:eastAsia="Times New Roman" w:hAnsi="Verdana" w:cs="Times New Roman"/>
          <w:i/>
          <w:iCs/>
          <w:lang w:eastAsia="es-MX"/>
        </w:rPr>
        <w:t>cualquier</w:t>
      </w:r>
      <w:r w:rsidRPr="00805B33">
        <w:rPr>
          <w:rFonts w:ascii="Verdana" w:eastAsia="Times New Roman" w:hAnsi="Verdana" w:cs="Times New Roman"/>
          <w:lang w:eastAsia="es-MX"/>
        </w:rPr>
        <w:t xml:space="preserve"> entidad que maneje recursos públicos pueda usarlos para inclinar la balanza política.</w:t>
      </w:r>
    </w:p>
    <w:p w14:paraId="1EDC8422" w14:textId="77777777" w:rsidR="009816B6" w:rsidRDefault="00805B33" w:rsidP="009816B6">
      <w:pPr>
        <w:spacing w:before="120" w:after="120" w:line="276" w:lineRule="auto"/>
        <w:ind w:firstLine="708"/>
        <w:jc w:val="both"/>
        <w:rPr>
          <w:rFonts w:ascii="Verdana" w:eastAsia="Times New Roman" w:hAnsi="Verdana" w:cs="Arial"/>
          <w:lang w:eastAsia="x-none"/>
        </w:rPr>
      </w:pPr>
      <w:r>
        <w:rPr>
          <w:rFonts w:ascii="Verdana" w:eastAsia="Times New Roman" w:hAnsi="Verdana" w:cs="Times New Roman"/>
          <w:lang w:eastAsia="es-MX"/>
        </w:rPr>
        <w:t>En este sentido</w:t>
      </w:r>
      <w:r w:rsidRPr="00805B33">
        <w:rPr>
          <w:rFonts w:ascii="Verdana" w:eastAsia="Times New Roman" w:hAnsi="Verdana" w:cs="Times New Roman"/>
          <w:lang w:eastAsia="es-MX"/>
        </w:rPr>
        <w:t>, la Ley 996 de 2005</w:t>
      </w:r>
      <w:r>
        <w:rPr>
          <w:rFonts w:ascii="Verdana" w:eastAsia="Times New Roman" w:hAnsi="Verdana" w:cs="Times New Roman"/>
          <w:lang w:eastAsia="es-MX"/>
        </w:rPr>
        <w:t xml:space="preserve">, establece dos prohibiciones </w:t>
      </w:r>
      <w:r w:rsidRPr="009816B6">
        <w:rPr>
          <w:rFonts w:ascii="Verdana" w:eastAsia="Times New Roman" w:hAnsi="Verdana" w:cs="Times New Roman"/>
          <w:i/>
          <w:iCs/>
          <w:lang w:eastAsia="es-MX"/>
        </w:rPr>
        <w:t>i)</w:t>
      </w:r>
      <w:r>
        <w:rPr>
          <w:rFonts w:ascii="Verdana" w:eastAsia="Times New Roman" w:hAnsi="Verdana" w:cs="Times New Roman"/>
          <w:lang w:eastAsia="es-MX"/>
        </w:rPr>
        <w:t xml:space="preserve"> de un lado</w:t>
      </w:r>
      <w:r w:rsidR="009816B6">
        <w:rPr>
          <w:rFonts w:ascii="Verdana" w:eastAsia="Times New Roman" w:hAnsi="Verdana" w:cs="Times New Roman"/>
          <w:lang w:eastAsia="es-MX"/>
        </w:rPr>
        <w:t>, la</w:t>
      </w:r>
      <w:r>
        <w:rPr>
          <w:rFonts w:ascii="Verdana" w:eastAsia="Times New Roman" w:hAnsi="Verdana" w:cs="Times New Roman"/>
          <w:lang w:eastAsia="es-MX"/>
        </w:rPr>
        <w:t xml:space="preserve"> </w:t>
      </w:r>
      <w:r w:rsidR="009816B6">
        <w:rPr>
          <w:rFonts w:ascii="Verdana" w:eastAsia="Times New Roman" w:hAnsi="Verdana" w:cs="Times New Roman"/>
          <w:lang w:eastAsia="es-MX"/>
        </w:rPr>
        <w:t>p</w:t>
      </w:r>
      <w:r w:rsidRPr="00805B33">
        <w:rPr>
          <w:rFonts w:ascii="Verdana" w:eastAsia="Times New Roman" w:hAnsi="Verdana" w:cs="Times New Roman"/>
          <w:lang w:eastAsia="es-MX"/>
        </w:rPr>
        <w:t xml:space="preserve">rohibición del </w:t>
      </w:r>
      <w:r w:rsidR="009816B6">
        <w:rPr>
          <w:rFonts w:ascii="Verdana" w:eastAsia="Times New Roman" w:hAnsi="Verdana" w:cs="Times New Roman"/>
          <w:lang w:eastAsia="es-MX"/>
        </w:rPr>
        <w:t>a</w:t>
      </w:r>
      <w:r w:rsidRPr="00805B33">
        <w:rPr>
          <w:rFonts w:ascii="Verdana" w:eastAsia="Times New Roman" w:hAnsi="Verdana" w:cs="Times New Roman"/>
          <w:lang w:eastAsia="es-MX"/>
        </w:rPr>
        <w:t>rtículo 33</w:t>
      </w:r>
      <w:r>
        <w:rPr>
          <w:rFonts w:ascii="Verdana" w:eastAsia="Times New Roman" w:hAnsi="Verdana" w:cs="Times New Roman"/>
          <w:lang w:eastAsia="es-MX"/>
        </w:rPr>
        <w:t>,</w:t>
      </w:r>
      <w:r w:rsidR="009816B6">
        <w:rPr>
          <w:rFonts w:ascii="Verdana" w:eastAsia="Times New Roman" w:hAnsi="Verdana" w:cs="Times New Roman"/>
          <w:lang w:eastAsia="es-MX"/>
        </w:rPr>
        <w:t xml:space="preserve"> donde se </w:t>
      </w:r>
      <w:r w:rsidRPr="00805B33">
        <w:rPr>
          <w:rFonts w:ascii="Verdana" w:eastAsia="Times New Roman" w:hAnsi="Verdana" w:cs="Times New Roman"/>
          <w:lang w:eastAsia="es-MX"/>
        </w:rPr>
        <w:t>prohíbe la contratación directa (salvo sus excepciones)</w:t>
      </w:r>
      <w:r w:rsidR="009816B6">
        <w:rPr>
          <w:rFonts w:ascii="Verdana" w:eastAsia="Times New Roman" w:hAnsi="Verdana" w:cs="Times New Roman"/>
          <w:lang w:eastAsia="es-MX"/>
        </w:rPr>
        <w:t>,</w:t>
      </w:r>
      <w:r w:rsidRPr="00805B33">
        <w:rPr>
          <w:rFonts w:ascii="Verdana" w:eastAsia="Times New Roman" w:hAnsi="Verdana" w:cs="Times New Roman"/>
          <w:lang w:eastAsia="es-MX"/>
        </w:rPr>
        <w:t xml:space="preserve"> durante los cuatro meses previos a la elección </w:t>
      </w:r>
      <w:r w:rsidRPr="00805B33">
        <w:rPr>
          <w:rFonts w:ascii="Verdana" w:eastAsia="Times New Roman" w:hAnsi="Verdana" w:cs="Times New Roman"/>
          <w:i/>
          <w:iCs/>
          <w:lang w:eastAsia="es-MX"/>
        </w:rPr>
        <w:t>presidencial</w:t>
      </w:r>
      <w:r w:rsidRPr="00805B33">
        <w:rPr>
          <w:rFonts w:ascii="Verdana" w:eastAsia="Times New Roman" w:hAnsi="Verdana" w:cs="Times New Roman"/>
          <w:lang w:eastAsia="es-MX"/>
        </w:rPr>
        <w:t>. Esta restricción aplica a "todas las entidades del Estado". La Personería Municipal, al ser una entidad estatal y un órgano autónomo de control, está sujeta a esta restricción.</w:t>
      </w:r>
      <w:r w:rsidR="009816B6">
        <w:rPr>
          <w:rFonts w:ascii="Verdana" w:eastAsia="Times New Roman" w:hAnsi="Verdana" w:cs="Times New Roman"/>
          <w:lang w:eastAsia="es-MX"/>
        </w:rPr>
        <w:t xml:space="preserve"> </w:t>
      </w:r>
      <w:proofErr w:type="spellStart"/>
      <w:r w:rsidR="009816B6" w:rsidRPr="009816B6">
        <w:rPr>
          <w:rFonts w:ascii="Verdana" w:eastAsia="Times New Roman" w:hAnsi="Verdana" w:cs="Times New Roman"/>
          <w:i/>
          <w:iCs/>
          <w:lang w:eastAsia="es-MX"/>
        </w:rPr>
        <w:t>ii</w:t>
      </w:r>
      <w:proofErr w:type="spellEnd"/>
      <w:r w:rsidR="009816B6" w:rsidRPr="009816B6">
        <w:rPr>
          <w:rFonts w:ascii="Verdana" w:eastAsia="Times New Roman" w:hAnsi="Verdana" w:cs="Times New Roman"/>
          <w:i/>
          <w:iCs/>
          <w:lang w:eastAsia="es-MX"/>
        </w:rPr>
        <w:t>)</w:t>
      </w:r>
      <w:r w:rsidR="009816B6">
        <w:rPr>
          <w:rFonts w:ascii="Verdana" w:eastAsia="Times New Roman" w:hAnsi="Verdana" w:cs="Times New Roman"/>
          <w:lang w:eastAsia="es-MX"/>
        </w:rPr>
        <w:t xml:space="preserve"> y de otro lado, se encuentra la p</w:t>
      </w:r>
      <w:r w:rsidRPr="00805B33">
        <w:rPr>
          <w:rFonts w:ascii="Verdana" w:eastAsia="Times New Roman" w:hAnsi="Verdana" w:cs="Times New Roman"/>
          <w:lang w:eastAsia="es-MX"/>
        </w:rPr>
        <w:t>rohibición del Parágrafo del Artículo 38</w:t>
      </w:r>
      <w:r w:rsidR="009816B6">
        <w:rPr>
          <w:rFonts w:ascii="Verdana" w:eastAsia="Times New Roman" w:hAnsi="Verdana" w:cs="Times New Roman"/>
          <w:lang w:eastAsia="es-MX"/>
        </w:rPr>
        <w:t xml:space="preserve">, allí se </w:t>
      </w:r>
      <w:r w:rsidRPr="00805B33">
        <w:rPr>
          <w:rFonts w:ascii="Verdana" w:eastAsia="Times New Roman" w:hAnsi="Verdana" w:cs="Times New Roman"/>
          <w:lang w:eastAsia="es-MX"/>
        </w:rPr>
        <w:t xml:space="preserve">prohíbe la celebración de convenios interadministrativos que ejecuten recursos públicos durante los cuatro meses previos a </w:t>
      </w:r>
      <w:r w:rsidRPr="00805B33">
        <w:rPr>
          <w:rFonts w:ascii="Verdana" w:eastAsia="Times New Roman" w:hAnsi="Verdana" w:cs="Times New Roman"/>
          <w:i/>
          <w:iCs/>
          <w:lang w:eastAsia="es-MX"/>
        </w:rPr>
        <w:t>cualquier</w:t>
      </w:r>
      <w:r w:rsidRPr="00805B33">
        <w:rPr>
          <w:rFonts w:ascii="Verdana" w:eastAsia="Times New Roman" w:hAnsi="Verdana" w:cs="Times New Roman"/>
          <w:lang w:eastAsia="es-MX"/>
        </w:rPr>
        <w:t xml:space="preserve"> tipo de elección nacional o territorial. </w:t>
      </w:r>
    </w:p>
    <w:p w14:paraId="5F79C909" w14:textId="77777777" w:rsidR="009816B6" w:rsidRDefault="00805B33" w:rsidP="009816B6">
      <w:pPr>
        <w:spacing w:before="120" w:after="120" w:line="276" w:lineRule="auto"/>
        <w:ind w:firstLine="708"/>
        <w:jc w:val="both"/>
        <w:rPr>
          <w:rFonts w:ascii="Verdana" w:eastAsia="Times New Roman" w:hAnsi="Verdana" w:cs="Arial"/>
          <w:lang w:eastAsia="x-none"/>
        </w:rPr>
      </w:pPr>
      <w:r w:rsidRPr="00805B33">
        <w:rPr>
          <w:rFonts w:ascii="Verdana" w:eastAsia="Times New Roman" w:hAnsi="Verdana" w:cs="Times New Roman"/>
          <w:lang w:eastAsia="es-MX"/>
        </w:rPr>
        <w:lastRenderedPageBreak/>
        <w:t xml:space="preserve">Esta prohibición se dirige explícitamente a "Gobernadores, Alcaldes Municipales y/o Distritales, Secretarios, Gerentes y directores de Entidades Descentralizadas". Aunque el Personero no está en esa lista taxativa, la prohibición recae </w:t>
      </w:r>
      <w:r w:rsidR="009816B6">
        <w:rPr>
          <w:rFonts w:ascii="Verdana" w:eastAsia="Times New Roman" w:hAnsi="Verdana" w:cs="Times New Roman"/>
          <w:lang w:eastAsia="es-MX"/>
        </w:rPr>
        <w:t xml:space="preserve">en dicho cargo al ser el director </w:t>
      </w:r>
      <w:r w:rsidRPr="00805B33">
        <w:rPr>
          <w:rFonts w:ascii="Verdana" w:eastAsia="Times New Roman" w:hAnsi="Verdana" w:cs="Times New Roman"/>
          <w:lang w:eastAsia="es-MX"/>
        </w:rPr>
        <w:t>, haciendo jurídicamente inviable que la Personería suscriba dichos convenios con ellas durante el periodo restrictivo.</w:t>
      </w:r>
    </w:p>
    <w:p w14:paraId="56718B58" w14:textId="77777777" w:rsidR="009816B6" w:rsidRDefault="00805B33" w:rsidP="009816B6">
      <w:pPr>
        <w:spacing w:before="120" w:after="120" w:line="276" w:lineRule="auto"/>
        <w:ind w:firstLine="708"/>
        <w:jc w:val="both"/>
        <w:rPr>
          <w:rFonts w:ascii="Verdana" w:eastAsia="Times New Roman" w:hAnsi="Verdana" w:cs="Arial"/>
          <w:lang w:eastAsia="x-none"/>
        </w:rPr>
      </w:pPr>
      <w:r w:rsidRPr="00805B33">
        <w:rPr>
          <w:rFonts w:ascii="Verdana" w:eastAsia="Times New Roman" w:hAnsi="Verdana" w:cs="Times New Roman"/>
          <w:lang w:eastAsia="es-MX"/>
        </w:rPr>
        <w:t xml:space="preserve">En conclusión, la autonomía de la Personería Municipal frente a la Alcaldía no la exime del cumplimiento de la Ley de Garantías Electorales. Como entidad estatal que maneja recursos públicos y posee la naturaleza de "órgano autónomo", la Personería está plenamente cobijada por las prohibiciones de los artículos 33 (en lo referente a contratación directa en </w:t>
      </w:r>
      <w:r w:rsidR="009816B6">
        <w:rPr>
          <w:rFonts w:ascii="Verdana" w:eastAsia="Times New Roman" w:hAnsi="Verdana" w:cs="Times New Roman"/>
          <w:lang w:eastAsia="es-MX"/>
        </w:rPr>
        <w:t xml:space="preserve">elecciones </w:t>
      </w:r>
      <w:r w:rsidRPr="00805B33">
        <w:rPr>
          <w:rFonts w:ascii="Verdana" w:eastAsia="Times New Roman" w:hAnsi="Verdana" w:cs="Times New Roman"/>
          <w:lang w:eastAsia="es-MX"/>
        </w:rPr>
        <w:t>presidenciales</w:t>
      </w:r>
      <w:r w:rsidR="009816B6">
        <w:rPr>
          <w:rFonts w:ascii="Verdana" w:eastAsia="Times New Roman" w:hAnsi="Verdana" w:cs="Times New Roman"/>
          <w:lang w:eastAsia="es-MX"/>
        </w:rPr>
        <w:t>, y la restricción del artículo</w:t>
      </w:r>
      <w:r w:rsidRPr="00805B33">
        <w:rPr>
          <w:rFonts w:ascii="Verdana" w:eastAsia="Times New Roman" w:hAnsi="Verdana" w:cs="Times New Roman"/>
          <w:lang w:eastAsia="es-MX"/>
        </w:rPr>
        <w:t xml:space="preserve"> 38</w:t>
      </w:r>
      <w:r w:rsidR="009816B6">
        <w:rPr>
          <w:rFonts w:ascii="Verdana" w:eastAsia="Times New Roman" w:hAnsi="Verdana" w:cs="Times New Roman"/>
          <w:lang w:eastAsia="es-MX"/>
        </w:rPr>
        <w:t xml:space="preserve">, </w:t>
      </w:r>
      <w:r w:rsidRPr="00805B33">
        <w:rPr>
          <w:rFonts w:ascii="Verdana" w:eastAsia="Times New Roman" w:hAnsi="Verdana" w:cs="Times New Roman"/>
          <w:lang w:eastAsia="es-MX"/>
        </w:rPr>
        <w:t>en lo referente a convenios interadministrativos en toda elección</w:t>
      </w:r>
      <w:r w:rsidR="009816B6">
        <w:rPr>
          <w:rFonts w:ascii="Verdana" w:eastAsia="Times New Roman" w:hAnsi="Verdana" w:cs="Times New Roman"/>
          <w:lang w:eastAsia="es-MX"/>
        </w:rPr>
        <w:t>,</w:t>
      </w:r>
      <w:r w:rsidRPr="00805B33">
        <w:rPr>
          <w:rFonts w:ascii="Verdana" w:eastAsia="Times New Roman" w:hAnsi="Verdana" w:cs="Times New Roman"/>
          <w:lang w:eastAsia="es-MX"/>
        </w:rPr>
        <w:t xml:space="preserve"> de la Ley 996 de 2005.</w:t>
      </w:r>
    </w:p>
    <w:p w14:paraId="5688C408" w14:textId="61A026CB" w:rsidR="00871B59" w:rsidRPr="009816B6" w:rsidRDefault="00916B6A" w:rsidP="009816B6">
      <w:pPr>
        <w:spacing w:before="120" w:after="120" w:line="276" w:lineRule="auto"/>
        <w:ind w:firstLine="708"/>
        <w:jc w:val="both"/>
        <w:rPr>
          <w:rFonts w:ascii="Verdana" w:eastAsia="Times New Roman" w:hAnsi="Verdana" w:cs="Arial"/>
          <w:lang w:eastAsia="x-none"/>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57D5526E"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2DC8298B" w14:textId="77777777" w:rsidR="00871B59" w:rsidRPr="00593A5F"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0ADA1ADE" w14:textId="77777777" w:rsidTr="002607A7">
        <w:trPr>
          <w:trHeight w:val="870"/>
        </w:trPr>
        <w:tc>
          <w:tcPr>
            <w:tcW w:w="8647" w:type="dxa"/>
          </w:tcPr>
          <w:p w14:paraId="211C9473" w14:textId="77777777" w:rsidR="009E35F8" w:rsidRPr="00377B05" w:rsidRDefault="009E35F8" w:rsidP="009E35F8">
            <w:pPr>
              <w:widowControl w:val="0"/>
              <w:numPr>
                <w:ilvl w:val="0"/>
                <w:numId w:val="8"/>
              </w:numPr>
              <w:autoSpaceDE w:val="0"/>
              <w:autoSpaceDN w:val="0"/>
              <w:spacing w:line="276" w:lineRule="auto"/>
              <w:jc w:val="both"/>
              <w:rPr>
                <w:rFonts w:ascii="Verdana" w:hAnsi="Verdana" w:cs="Arial"/>
                <w:lang w:val="es-ES"/>
              </w:rPr>
            </w:pPr>
            <w:r w:rsidRPr="00377B05">
              <w:rPr>
                <w:rFonts w:ascii="Verdana" w:hAnsi="Verdana" w:cs="Arial"/>
                <w:lang w:val="es-ES"/>
              </w:rPr>
              <w:t>Ley 996 de 2005: artículos 33 y 38 parágrafo.</w:t>
            </w:r>
          </w:p>
          <w:p w14:paraId="6077CC94" w14:textId="77777777" w:rsidR="009E35F8" w:rsidRDefault="009E35F8" w:rsidP="009E35F8">
            <w:pPr>
              <w:widowControl w:val="0"/>
              <w:numPr>
                <w:ilvl w:val="0"/>
                <w:numId w:val="8"/>
              </w:numPr>
              <w:autoSpaceDE w:val="0"/>
              <w:autoSpaceDN w:val="0"/>
              <w:spacing w:line="276" w:lineRule="auto"/>
              <w:jc w:val="both"/>
              <w:rPr>
                <w:rFonts w:ascii="Verdana" w:hAnsi="Verdana" w:cs="Arial"/>
                <w:lang w:val="es-ES"/>
              </w:rPr>
            </w:pPr>
            <w:r w:rsidRPr="00377B05">
              <w:rPr>
                <w:rFonts w:ascii="Verdana" w:hAnsi="Verdana" w:cs="Arial"/>
                <w:lang w:val="es-ES"/>
              </w:rPr>
              <w:t xml:space="preserve">Ley 1150 de 2007, Artículo 2, numeral 4. </w:t>
            </w:r>
          </w:p>
          <w:p w14:paraId="6EF02A92" w14:textId="77777777" w:rsidR="009E35F8" w:rsidRPr="0092765E" w:rsidRDefault="009E35F8" w:rsidP="009E35F8">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C-233 de 4 de abril de 2002, </w:t>
            </w:r>
            <w:proofErr w:type="spellStart"/>
            <w:r w:rsidRPr="0092765E">
              <w:rPr>
                <w:rFonts w:ascii="Verdana" w:hAnsi="Verdana" w:cs="Arial"/>
                <w:lang w:val="es-ES"/>
              </w:rPr>
              <w:t>Exp</w:t>
            </w:r>
            <w:proofErr w:type="spellEnd"/>
            <w:r w:rsidRPr="0092765E">
              <w:rPr>
                <w:rFonts w:ascii="Verdana" w:hAnsi="Verdana" w:cs="Arial"/>
                <w:lang w:val="es-ES"/>
              </w:rPr>
              <w:t>. D-3704.</w:t>
            </w:r>
          </w:p>
          <w:p w14:paraId="0E9E16F5" w14:textId="77777777" w:rsidR="009E35F8" w:rsidRPr="0092765E" w:rsidRDefault="009E35F8" w:rsidP="009E35F8">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lo Contencioso Administrativo, Sección Tercera, Sentencia de 20 de noviembre de 2001, </w:t>
            </w:r>
            <w:proofErr w:type="spellStart"/>
            <w:r w:rsidRPr="0092765E">
              <w:rPr>
                <w:rFonts w:ascii="Verdana" w:hAnsi="Verdana" w:cs="Arial"/>
                <w:lang w:val="es-ES"/>
              </w:rPr>
              <w:t>Exp</w:t>
            </w:r>
            <w:proofErr w:type="spellEnd"/>
            <w:r w:rsidRPr="0092765E">
              <w:rPr>
                <w:rFonts w:ascii="Verdana" w:hAnsi="Verdana" w:cs="Arial"/>
                <w:lang w:val="es-ES"/>
              </w:rPr>
              <w:t>. 2001-0130-01(PI).</w:t>
            </w:r>
          </w:p>
          <w:p w14:paraId="61E3687A" w14:textId="77777777" w:rsidR="009E35F8" w:rsidRPr="0092765E" w:rsidRDefault="009E35F8" w:rsidP="009E35F8">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lo Contencioso Administrativo, Sección Tercera, Sentencia de 22 de enero de 2002, </w:t>
            </w:r>
            <w:proofErr w:type="spellStart"/>
            <w:r w:rsidRPr="0092765E">
              <w:rPr>
                <w:rFonts w:ascii="Verdana" w:hAnsi="Verdana" w:cs="Arial"/>
                <w:lang w:val="es-ES"/>
              </w:rPr>
              <w:t>Exp</w:t>
            </w:r>
            <w:proofErr w:type="spellEnd"/>
            <w:r w:rsidRPr="0092765E">
              <w:rPr>
                <w:rFonts w:ascii="Verdana" w:hAnsi="Verdana" w:cs="Arial"/>
                <w:lang w:val="es-ES"/>
              </w:rPr>
              <w:t>. 2001-0148-01.</w:t>
            </w:r>
          </w:p>
          <w:p w14:paraId="6C2C085A" w14:textId="77777777" w:rsidR="009E35F8" w:rsidRPr="0092765E" w:rsidRDefault="009E35F8" w:rsidP="009E35F8">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C-551 de 9 de julio de 2003, </w:t>
            </w:r>
            <w:proofErr w:type="spellStart"/>
            <w:r w:rsidRPr="0092765E">
              <w:rPr>
                <w:rFonts w:ascii="Verdana" w:hAnsi="Verdana" w:cs="Arial"/>
                <w:lang w:val="es-ES"/>
              </w:rPr>
              <w:t>Exp</w:t>
            </w:r>
            <w:proofErr w:type="spellEnd"/>
            <w:r w:rsidRPr="0092765E">
              <w:rPr>
                <w:rFonts w:ascii="Verdana" w:hAnsi="Verdana" w:cs="Arial"/>
                <w:lang w:val="es-ES"/>
              </w:rPr>
              <w:t>. CRF-</w:t>
            </w:r>
            <w:r w:rsidRPr="0092765E">
              <w:rPr>
                <w:rFonts w:ascii="Verdana" w:hAnsi="Verdana" w:cs="Arial"/>
                <w:lang w:val="es-ES"/>
              </w:rPr>
              <w:lastRenderedPageBreak/>
              <w:t>001 de 9 de julio de 2003.</w:t>
            </w:r>
          </w:p>
          <w:p w14:paraId="70496472" w14:textId="77777777" w:rsidR="009E35F8" w:rsidRPr="0092765E" w:rsidRDefault="009E35F8" w:rsidP="009E35F8">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C-652 de 5 de agosto de 2003, </w:t>
            </w:r>
            <w:proofErr w:type="spellStart"/>
            <w:r w:rsidRPr="0092765E">
              <w:rPr>
                <w:rFonts w:ascii="Verdana" w:hAnsi="Verdana" w:cs="Arial"/>
                <w:lang w:val="es-ES"/>
              </w:rPr>
              <w:t>Exp</w:t>
            </w:r>
            <w:proofErr w:type="spellEnd"/>
            <w:r w:rsidRPr="0092765E">
              <w:rPr>
                <w:rFonts w:ascii="Verdana" w:hAnsi="Verdana" w:cs="Arial"/>
                <w:lang w:val="es-ES"/>
              </w:rPr>
              <w:t>. D-4330.</w:t>
            </w:r>
          </w:p>
          <w:p w14:paraId="4A9F5E14" w14:textId="77777777" w:rsidR="009E35F8" w:rsidRPr="0092765E" w:rsidRDefault="009E35F8" w:rsidP="009E35F8">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lo Contencioso Administrativo, Sección Primera, Sentencia de 3 de marzo de 2005, </w:t>
            </w:r>
            <w:proofErr w:type="spellStart"/>
            <w:r w:rsidRPr="0092765E">
              <w:rPr>
                <w:rFonts w:ascii="Verdana" w:hAnsi="Verdana" w:cs="Arial"/>
                <w:lang w:val="es-ES"/>
              </w:rPr>
              <w:t>Exp</w:t>
            </w:r>
            <w:proofErr w:type="spellEnd"/>
            <w:r w:rsidRPr="0092765E">
              <w:rPr>
                <w:rFonts w:ascii="Verdana" w:hAnsi="Verdana" w:cs="Arial"/>
                <w:lang w:val="es-ES"/>
              </w:rPr>
              <w:t>. 2004-00823-01(PI).</w:t>
            </w:r>
          </w:p>
          <w:p w14:paraId="5EE8F80F" w14:textId="77777777" w:rsidR="009E35F8" w:rsidRPr="0092765E" w:rsidRDefault="009E35F8" w:rsidP="009E35F8">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Corte Constitucional, Sentencia C-1153 de 11 de noviembre de 2005, M.P. Marco Gerardo Monroy Cabra.</w:t>
            </w:r>
          </w:p>
          <w:p w14:paraId="0942DC12" w14:textId="6DA13962" w:rsidR="009E35F8" w:rsidRPr="00AE10E4" w:rsidRDefault="009E35F8" w:rsidP="00AE10E4">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Consejo de Estado, Sala de Consulta y Servicio Civil, Concepto de 2 de febrero de 2006, Rad. 1712.</w:t>
            </w:r>
            <w:r w:rsidR="00AE10E4">
              <w:rPr>
                <w:rFonts w:ascii="Verdana" w:hAnsi="Verdana" w:cs="Arial"/>
                <w:lang w:val="es-ES"/>
              </w:rPr>
              <w:t xml:space="preserve"> </w:t>
            </w:r>
            <w:proofErr w:type="spellStart"/>
            <w:r w:rsidR="00AE10E4">
              <w:rPr>
                <w:rFonts w:ascii="Verdana" w:hAnsi="Verdana" w:cs="Arial"/>
                <w:lang w:val="es-ES"/>
              </w:rPr>
              <w:t>Comunicació</w:t>
            </w:r>
            <w:proofErr w:type="spellEnd"/>
          </w:p>
          <w:p w14:paraId="003563CD" w14:textId="77777777" w:rsidR="009E35F8" w:rsidRPr="0092765E" w:rsidRDefault="009E35F8" w:rsidP="009E35F8">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C-353 de 20 de mayo de 2009, </w:t>
            </w:r>
            <w:proofErr w:type="spellStart"/>
            <w:r w:rsidRPr="0092765E">
              <w:rPr>
                <w:rFonts w:ascii="Verdana" w:hAnsi="Verdana" w:cs="Arial"/>
                <w:lang w:val="es-ES"/>
              </w:rPr>
              <w:t>Exp</w:t>
            </w:r>
            <w:proofErr w:type="spellEnd"/>
            <w:r w:rsidRPr="0092765E">
              <w:rPr>
                <w:rFonts w:ascii="Verdana" w:hAnsi="Verdana" w:cs="Arial"/>
                <w:lang w:val="es-ES"/>
              </w:rPr>
              <w:t>. D-7518.</w:t>
            </w:r>
          </w:p>
          <w:p w14:paraId="1B42535E" w14:textId="77777777" w:rsidR="009E35F8" w:rsidRPr="0092765E" w:rsidRDefault="009E35F8" w:rsidP="009E35F8">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C-541 de 30 de junio de 2010, </w:t>
            </w:r>
            <w:proofErr w:type="spellStart"/>
            <w:r w:rsidRPr="0092765E">
              <w:rPr>
                <w:rFonts w:ascii="Verdana" w:hAnsi="Verdana" w:cs="Arial"/>
                <w:lang w:val="es-ES"/>
              </w:rPr>
              <w:t>Exp</w:t>
            </w:r>
            <w:proofErr w:type="spellEnd"/>
            <w:r w:rsidRPr="0092765E">
              <w:rPr>
                <w:rFonts w:ascii="Verdana" w:hAnsi="Verdana" w:cs="Arial"/>
                <w:lang w:val="es-ES"/>
              </w:rPr>
              <w:t>. D-7966.</w:t>
            </w:r>
          </w:p>
          <w:p w14:paraId="5A84F0D9" w14:textId="77777777" w:rsidR="009E35F8" w:rsidRPr="0092765E" w:rsidRDefault="009E35F8" w:rsidP="009E35F8">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lo Contencioso Administrativo, Sección Tercera, Sentencia de 3 de diciembre de 2007, </w:t>
            </w:r>
            <w:proofErr w:type="spellStart"/>
            <w:r w:rsidRPr="0092765E">
              <w:rPr>
                <w:rFonts w:ascii="Verdana" w:hAnsi="Verdana" w:cs="Arial"/>
                <w:lang w:val="es-ES"/>
              </w:rPr>
              <w:t>Exp</w:t>
            </w:r>
            <w:proofErr w:type="spellEnd"/>
            <w:r w:rsidRPr="0092765E">
              <w:rPr>
                <w:rFonts w:ascii="Verdana" w:hAnsi="Verdana" w:cs="Arial"/>
                <w:lang w:val="es-ES"/>
              </w:rPr>
              <w:t>. 24.715, 25.206, 25.409, 24.524, 27.834, 25.410, 26.105, 28.244, 31.447 (acumulados).</w:t>
            </w:r>
          </w:p>
          <w:p w14:paraId="3918A9CC" w14:textId="77777777" w:rsidR="009E35F8" w:rsidRPr="0092765E" w:rsidRDefault="009E35F8" w:rsidP="009E35F8">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Consulta y Servicio Civil, Concepto de 24 de julio de 2013, Rad. 2166, C.P. Álvaro </w:t>
            </w:r>
            <w:proofErr w:type="spellStart"/>
            <w:r w:rsidRPr="0092765E">
              <w:rPr>
                <w:rFonts w:ascii="Verdana" w:hAnsi="Verdana" w:cs="Arial"/>
                <w:lang w:val="es-ES"/>
              </w:rPr>
              <w:t>Namén</w:t>
            </w:r>
            <w:proofErr w:type="spellEnd"/>
            <w:r w:rsidRPr="0092765E">
              <w:rPr>
                <w:rFonts w:ascii="Verdana" w:hAnsi="Verdana" w:cs="Arial"/>
                <w:lang w:val="es-ES"/>
              </w:rPr>
              <w:t xml:space="preserve"> Vargas.</w:t>
            </w:r>
          </w:p>
          <w:p w14:paraId="0236BF58" w14:textId="77777777" w:rsidR="009E35F8" w:rsidRPr="0092765E" w:rsidRDefault="009E35F8" w:rsidP="009E35F8">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Consulta y Servicio Civil, Concepto de 2 de septiembre de 2013, Rad. 2168, C.P. Álvaro </w:t>
            </w:r>
            <w:proofErr w:type="spellStart"/>
            <w:r w:rsidRPr="0092765E">
              <w:rPr>
                <w:rFonts w:ascii="Verdana" w:hAnsi="Verdana" w:cs="Arial"/>
                <w:lang w:val="es-ES"/>
              </w:rPr>
              <w:t>Namén</w:t>
            </w:r>
            <w:proofErr w:type="spellEnd"/>
            <w:r w:rsidRPr="0092765E">
              <w:rPr>
                <w:rFonts w:ascii="Verdana" w:hAnsi="Verdana" w:cs="Arial"/>
                <w:lang w:val="es-ES"/>
              </w:rPr>
              <w:t xml:space="preserve"> Vargas.</w:t>
            </w:r>
          </w:p>
          <w:p w14:paraId="40E53CF3" w14:textId="77777777" w:rsidR="009E35F8" w:rsidRPr="0092765E" w:rsidRDefault="009E35F8" w:rsidP="009E35F8">
            <w:pPr>
              <w:widowControl w:val="0"/>
              <w:numPr>
                <w:ilvl w:val="0"/>
                <w:numId w:val="8"/>
              </w:numPr>
              <w:autoSpaceDE w:val="0"/>
              <w:autoSpaceDN w:val="0"/>
              <w:spacing w:line="276" w:lineRule="auto"/>
              <w:jc w:val="both"/>
              <w:rPr>
                <w:rFonts w:ascii="Verdana" w:hAnsi="Verdana" w:cs="Arial"/>
                <w:lang w:val="es-ES"/>
              </w:rPr>
            </w:pPr>
            <w:r w:rsidRPr="0092765E">
              <w:rPr>
                <w:rFonts w:ascii="Verdana" w:hAnsi="Verdana" w:cs="Arial"/>
                <w:lang w:val="es-ES"/>
              </w:rPr>
              <w:t>Consejo de Estado, Sala de Consulta y Servicio Civil, Concepto de 17 de febrero de 2015, Rad. 2269, C.P. William Zambrano Cetina.</w:t>
            </w:r>
          </w:p>
          <w:p w14:paraId="3D449377" w14:textId="356019EF" w:rsidR="00871B59" w:rsidRPr="00AC742F" w:rsidRDefault="009E35F8" w:rsidP="009E35F8">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92765E">
              <w:rPr>
                <w:rFonts w:ascii="Verdana" w:hAnsi="Verdana" w:cs="Arial"/>
                <w:lang w:val="es-ES"/>
              </w:rPr>
              <w:t xml:space="preserve">Consejo de Estado, Sala de Consulta y Servicio Civil, Concepto de 8 de mayo de 2018, Rad. 2382, C.P. Álvaro </w:t>
            </w:r>
            <w:proofErr w:type="spellStart"/>
            <w:r w:rsidRPr="0092765E">
              <w:rPr>
                <w:rFonts w:ascii="Verdana" w:hAnsi="Verdana" w:cs="Arial"/>
                <w:lang w:val="es-ES"/>
              </w:rPr>
              <w:t>Namén</w:t>
            </w:r>
            <w:proofErr w:type="spellEnd"/>
            <w:r w:rsidRPr="0092765E">
              <w:rPr>
                <w:rFonts w:ascii="Verdana" w:hAnsi="Verdana" w:cs="Arial"/>
                <w:lang w:val="es-ES"/>
              </w:rPr>
              <w:t xml:space="preserve"> Vargas.</w:t>
            </w:r>
          </w:p>
        </w:tc>
      </w:tr>
    </w:tbl>
    <w:p w14:paraId="6C4579EF"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063A402" w14:textId="77777777" w:rsidR="00871B59"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58DE972C" w14:textId="0E599B92" w:rsidR="009E35F8" w:rsidRPr="009E35F8" w:rsidRDefault="009E35F8" w:rsidP="009E35F8">
      <w:pPr>
        <w:widowControl w:val="0"/>
        <w:autoSpaceDE w:val="0"/>
        <w:autoSpaceDN w:val="0"/>
        <w:spacing w:after="0" w:line="276" w:lineRule="auto"/>
        <w:jc w:val="both"/>
        <w:rPr>
          <w:rFonts w:ascii="Verdana" w:hAnsi="Verdana" w:cs="Arial"/>
          <w:color w:val="000000" w:themeColor="text1"/>
          <w:shd w:val="clear" w:color="auto" w:fill="FFFFFF"/>
          <w:lang w:val="es-ES"/>
        </w:rPr>
      </w:pPr>
      <w:r w:rsidRPr="009E35F8">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w:t>
      </w:r>
      <w:r w:rsidRPr="009E35F8">
        <w:rPr>
          <w:rFonts w:ascii="Verdana" w:hAnsi="Verdana" w:cs="Arial"/>
          <w:shd w:val="clear" w:color="auto" w:fill="FFFFFF"/>
        </w:rPr>
        <w:lastRenderedPageBreak/>
        <w:t xml:space="preserve">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C-163 del 29 de marzo de 2022, C-180 del 21 de marzo de 2025, C-317 del 25 de abril de 2025, C-510 del 4 de junio de 2025, C -635 del 27 de junio de 2025 y C–750 de 17 de julio 2025, </w:t>
      </w:r>
      <w:r>
        <w:rPr>
          <w:rFonts w:ascii="Verdana" w:hAnsi="Verdana" w:cs="Arial"/>
          <w:shd w:val="clear" w:color="auto" w:fill="FFFFFF"/>
        </w:rPr>
        <w:t xml:space="preserve">C-1185 de 2025, </w:t>
      </w:r>
      <w:r w:rsidRPr="009E35F8">
        <w:rPr>
          <w:rFonts w:ascii="Verdana" w:eastAsia="Aptos" w:hAnsi="Verdana" w:cs="Arial"/>
          <w:shd w:val="clear" w:color="auto" w:fill="FFFFFF"/>
          <w:lang w:val="es-ES"/>
        </w:rPr>
        <w:t xml:space="preserve">entre otros. </w:t>
      </w:r>
      <w:r w:rsidRPr="009E35F8">
        <w:rPr>
          <w:rFonts w:ascii="Verdana" w:eastAsia="Calibri" w:hAnsi="Verdana" w:cs="Arial"/>
          <w:lang w:val="es-ES" w:eastAsia="es-ES_tradnl"/>
        </w:rPr>
        <w:t>Estos</w:t>
      </w:r>
      <w:r w:rsidRPr="009E35F8">
        <w:rPr>
          <w:rFonts w:ascii="Verdana" w:hAnsi="Verdana"/>
        </w:rPr>
        <w:t xml:space="preserve"> y otros conceptos se encuentran disponibles para consulta en el Sistema de relatoría de la Agencia, al cual se puede acceder a través del siguiente enlace:</w:t>
      </w:r>
      <w:r w:rsidRPr="009E35F8">
        <w:rPr>
          <w:rFonts w:ascii="Verdana" w:hAnsi="Verdana" w:cs="Arial"/>
          <w:shd w:val="clear" w:color="auto" w:fill="FFFFFF"/>
          <w:lang w:val="es-ES"/>
        </w:rPr>
        <w:t xml:space="preserve"> </w:t>
      </w:r>
      <w:r w:rsidRPr="009E35F8">
        <w:rPr>
          <w:rFonts w:ascii="Verdana" w:hAnsi="Verdana" w:cs="Arial"/>
          <w:color w:val="0563C1" w:themeColor="hyperlink"/>
          <w:u w:val="single"/>
          <w:shd w:val="clear" w:color="auto" w:fill="FFFFFF"/>
          <w:lang w:val="es-ES"/>
        </w:rPr>
        <w:t>https://relatoria.colombiacompra.gov.co /</w:t>
      </w:r>
      <w:proofErr w:type="spellStart"/>
      <w:r w:rsidRPr="009E35F8">
        <w:rPr>
          <w:rFonts w:ascii="Verdana" w:hAnsi="Verdana" w:cs="Arial"/>
          <w:color w:val="0563C1" w:themeColor="hyperlink"/>
          <w:u w:val="single"/>
          <w:shd w:val="clear" w:color="auto" w:fill="FFFFFF"/>
          <w:lang w:val="es-ES"/>
        </w:rPr>
        <w:t>busqueda</w:t>
      </w:r>
      <w:proofErr w:type="spellEnd"/>
      <w:r w:rsidRPr="009E35F8">
        <w:rPr>
          <w:rFonts w:ascii="Verdana" w:hAnsi="Verdana" w:cs="Arial"/>
          <w:color w:val="0563C1" w:themeColor="hyperlink"/>
          <w:u w:val="single"/>
          <w:shd w:val="clear" w:color="auto" w:fill="FFFFFF"/>
          <w:lang w:val="es-ES"/>
        </w:rPr>
        <w:t>/conceptos</w:t>
      </w:r>
    </w:p>
    <w:p w14:paraId="6E5A5B48" w14:textId="77777777" w:rsidR="009E35F8" w:rsidRPr="009E35F8" w:rsidRDefault="009E35F8" w:rsidP="009E35F8">
      <w:pPr>
        <w:pStyle w:val="Prrafodelista"/>
        <w:widowControl w:val="0"/>
        <w:autoSpaceDE w:val="0"/>
        <w:autoSpaceDN w:val="0"/>
        <w:spacing w:after="0" w:line="276" w:lineRule="auto"/>
        <w:ind w:left="6601"/>
        <w:jc w:val="both"/>
        <w:rPr>
          <w:rFonts w:ascii="Verdana" w:hAnsi="Verdana" w:cs="Arial"/>
          <w:color w:val="000000" w:themeColor="text1"/>
          <w:shd w:val="clear" w:color="auto" w:fill="FFFFFF"/>
        </w:rPr>
      </w:pPr>
    </w:p>
    <w:p w14:paraId="1B6CD35E" w14:textId="77777777" w:rsidR="009E35F8" w:rsidRPr="009E35F8" w:rsidRDefault="009E35F8" w:rsidP="009E35F8">
      <w:pPr>
        <w:widowControl w:val="0"/>
        <w:autoSpaceDE w:val="0"/>
        <w:autoSpaceDN w:val="0"/>
        <w:spacing w:after="0" w:line="276" w:lineRule="auto"/>
        <w:jc w:val="both"/>
        <w:rPr>
          <w:rFonts w:ascii="Verdana" w:hAnsi="Verdana"/>
        </w:rPr>
      </w:pPr>
      <w:r w:rsidRPr="009E35F8">
        <w:rPr>
          <w:rFonts w:ascii="Verdana" w:hAnsi="Verdana" w:cs="Arial"/>
          <w:color w:val="000000" w:themeColor="text1"/>
          <w:shd w:val="clear" w:color="auto" w:fill="FFFFFF"/>
        </w:rPr>
        <w:t xml:space="preserve">También, te contamos que ya publicamos la nueva </w:t>
      </w:r>
      <w:r w:rsidRPr="009E35F8">
        <w:rPr>
          <w:rFonts w:ascii="Verdana" w:hAnsi="Verdana" w:cs="Arial"/>
          <w:b/>
          <w:bCs/>
          <w:color w:val="000000" w:themeColor="text1"/>
          <w:shd w:val="clear" w:color="auto" w:fill="FFFFFF"/>
        </w:rPr>
        <w:t>Guía de Contratación Pública Sostenible y Socialmente Responsable</w:t>
      </w:r>
      <w:r w:rsidRPr="009E35F8">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9E35F8">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9E35F8">
        <w:rPr>
          <w:rFonts w:ascii="Verdana" w:hAnsi="Verdana"/>
        </w:rPr>
        <w:t>.</w:t>
      </w:r>
    </w:p>
    <w:p w14:paraId="38F57A84" w14:textId="77777777" w:rsidR="009E35F8" w:rsidRPr="009E35F8" w:rsidRDefault="009E35F8" w:rsidP="009E35F8">
      <w:pPr>
        <w:widowControl w:val="0"/>
        <w:autoSpaceDE w:val="0"/>
        <w:autoSpaceDN w:val="0"/>
        <w:spacing w:after="0" w:line="276" w:lineRule="auto"/>
        <w:jc w:val="both"/>
        <w:rPr>
          <w:rFonts w:ascii="Verdana" w:hAnsi="Verdana"/>
        </w:rPr>
      </w:pPr>
    </w:p>
    <w:p w14:paraId="3C69EABA" w14:textId="77777777" w:rsidR="009E35F8" w:rsidRPr="009E35F8" w:rsidRDefault="009E35F8" w:rsidP="009E35F8">
      <w:pPr>
        <w:widowControl w:val="0"/>
        <w:autoSpaceDE w:val="0"/>
        <w:autoSpaceDN w:val="0"/>
        <w:spacing w:after="0" w:line="276" w:lineRule="auto"/>
        <w:jc w:val="both"/>
        <w:rPr>
          <w:rFonts w:ascii="Verdana" w:hAnsi="Verdana" w:cs="Arial"/>
          <w:lang w:val="es-ES_tradnl"/>
        </w:rPr>
      </w:pPr>
      <w:r w:rsidRPr="009E35F8">
        <w:rPr>
          <w:rFonts w:ascii="Verdana" w:hAnsi="Verdana" w:cs="Arial"/>
        </w:rPr>
        <w:t xml:space="preserve">Este concepto tiene el alcance previsto en el artículo 28 del Código de Procedimiento Administrativo y de lo Contencioso Administrativo </w:t>
      </w:r>
      <w:r w:rsidRPr="009E35F8">
        <w:rPr>
          <w:rFonts w:ascii="Verdana" w:hAnsi="Verdana" w:cs="Arial"/>
          <w:lang w:val="es-ES_tradnl"/>
        </w:rPr>
        <w:t>y las expresiones aquí utilizadas con mayúscula inicial deben ser entendidas con el significado que les otorga el artículo 2.2.1.1.1.3.1. del Decreto 1082 de 2015.</w:t>
      </w:r>
    </w:p>
    <w:p w14:paraId="465EB411" w14:textId="77777777" w:rsidR="009E35F8" w:rsidRPr="009E35F8" w:rsidRDefault="009E35F8" w:rsidP="009E35F8">
      <w:pPr>
        <w:pStyle w:val="Prrafodelista"/>
        <w:spacing w:after="0" w:line="276" w:lineRule="auto"/>
        <w:ind w:left="6601"/>
        <w:rPr>
          <w:rFonts w:ascii="Verdana" w:eastAsia="Times New Roman" w:hAnsi="Verdana" w:cs="Arial"/>
          <w:lang w:eastAsia="es-CO"/>
        </w:rPr>
      </w:pPr>
    </w:p>
    <w:p w14:paraId="3A2EC97E" w14:textId="77777777" w:rsidR="009E35F8" w:rsidRPr="009E35F8" w:rsidRDefault="009E35F8" w:rsidP="009E35F8">
      <w:pPr>
        <w:spacing w:after="0" w:line="276" w:lineRule="auto"/>
        <w:rPr>
          <w:rFonts w:ascii="Verdana" w:hAnsi="Verdana"/>
          <w:noProof/>
        </w:rPr>
      </w:pPr>
      <w:r w:rsidRPr="009E35F8">
        <w:rPr>
          <w:rFonts w:ascii="Verdana" w:eastAsia="Times New Roman" w:hAnsi="Verdana" w:cs="Arial"/>
          <w:lang w:eastAsia="es-CO"/>
        </w:rPr>
        <w:t>Atentamente,</w:t>
      </w:r>
      <w:r w:rsidRPr="009E35F8">
        <w:rPr>
          <w:rFonts w:ascii="Verdana" w:hAnsi="Verdana" w:cs="Arial"/>
          <w:lang w:eastAsia="es-CO"/>
        </w:rPr>
        <w:t xml:space="preserve"> </w:t>
      </w:r>
    </w:p>
    <w:p w14:paraId="2C5BCD45" w14:textId="77777777" w:rsidR="009E35F8" w:rsidRDefault="009E35F8" w:rsidP="009E35F8">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ES"/>
        </w:rPr>
      </w:pPr>
    </w:p>
    <w:p w14:paraId="1552B358" w14:textId="77777777" w:rsidR="009E35F8" w:rsidRPr="00593A5F" w:rsidRDefault="009E35F8" w:rsidP="009E35F8">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ES"/>
        </w:rPr>
      </w:pPr>
    </w:p>
    <w:p w14:paraId="4997C701" w14:textId="77777777" w:rsidR="00871B59" w:rsidRPr="00593A5F" w:rsidRDefault="00871B59" w:rsidP="00871B59">
      <w:pPr>
        <w:widowControl w:val="0"/>
        <w:autoSpaceDE w:val="0"/>
        <w:autoSpaceDN w:val="0"/>
        <w:spacing w:after="0" w:line="276" w:lineRule="auto"/>
        <w:jc w:val="both"/>
        <w:rPr>
          <w:rFonts w:ascii="Verdana" w:hAnsi="Verdana" w:cs="Arial"/>
        </w:rPr>
      </w:pPr>
    </w:p>
    <w:p w14:paraId="3454CE2F" w14:textId="7A8C0AEC" w:rsidR="00871B59" w:rsidRPr="00593A5F" w:rsidRDefault="00A47E64" w:rsidP="00871B59">
      <w:pPr>
        <w:spacing w:line="276" w:lineRule="auto"/>
        <w:jc w:val="center"/>
        <w:rPr>
          <w:rFonts w:ascii="Verdana" w:hAnsi="Verdana" w:cs="Arial"/>
          <w:color w:val="000000"/>
          <w:lang w:val="es-ES_tradnl" w:eastAsia="es-CO"/>
        </w:rPr>
      </w:pPr>
      <w:r>
        <w:rPr>
          <w:noProof/>
        </w:rPr>
        <w:lastRenderedPageBreak/>
        <w:drawing>
          <wp:inline distT="0" distB="0" distL="0" distR="0" wp14:anchorId="698BFB24" wp14:editId="3A2E7436">
            <wp:extent cx="3278505" cy="1407405"/>
            <wp:effectExtent l="0" t="0" r="0" b="2540"/>
            <wp:docPr id="133665591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93127" cy="1413682"/>
                    </a:xfrm>
                    <a:prstGeom prst="rect">
                      <a:avLst/>
                    </a:prstGeom>
                    <a:noFill/>
                    <a:ln>
                      <a:noFill/>
                    </a:ln>
                  </pic:spPr>
                </pic:pic>
              </a:graphicData>
            </a:graphic>
          </wp:inline>
        </w:drawing>
      </w:r>
    </w:p>
    <w:p w14:paraId="726E1A0F" w14:textId="77777777" w:rsidR="00871B59" w:rsidRPr="00593A5F" w:rsidRDefault="00871B59" w:rsidP="00871B59">
      <w:pPr>
        <w:spacing w:after="0" w:line="240" w:lineRule="auto"/>
        <w:rPr>
          <w:rFonts w:ascii="Verdana" w:eastAsia="Times New Roman" w:hAnsi="Verdana" w:cs="Arial"/>
          <w:sz w:val="24"/>
          <w:szCs w:val="24"/>
          <w:lang w:eastAsia="es-ES"/>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7"/>
        <w:gridCol w:w="5544"/>
      </w:tblGrid>
      <w:tr w:rsidR="009E35F8" w:rsidRPr="00F3272B" w14:paraId="2913D350" w14:textId="77777777" w:rsidTr="00FB1A13">
        <w:trPr>
          <w:trHeight w:val="315"/>
        </w:trPr>
        <w:tc>
          <w:tcPr>
            <w:tcW w:w="893" w:type="dxa"/>
            <w:vAlign w:val="center"/>
            <w:hideMark/>
          </w:tcPr>
          <w:p w14:paraId="5A46FECB" w14:textId="77777777" w:rsidR="009E35F8" w:rsidRPr="00F3272B" w:rsidRDefault="009E35F8" w:rsidP="00FB1A13">
            <w:pPr>
              <w:spacing w:line="276" w:lineRule="auto"/>
              <w:contextualSpacing/>
              <w:rPr>
                <w:rFonts w:ascii="Verdana" w:hAnsi="Verdana" w:cs="Arial"/>
                <w:sz w:val="18"/>
                <w:szCs w:val="18"/>
                <w:lang w:val="es-ES" w:eastAsia="es-ES"/>
              </w:rPr>
            </w:pPr>
            <w:r w:rsidRPr="00F3272B">
              <w:rPr>
                <w:rFonts w:ascii="Verdana" w:hAnsi="Verdana" w:cs="Arial"/>
                <w:sz w:val="18"/>
                <w:szCs w:val="18"/>
                <w:lang w:val="es-ES" w:eastAsia="es-ES"/>
              </w:rPr>
              <w:t>Elaboró:</w:t>
            </w:r>
          </w:p>
        </w:tc>
        <w:tc>
          <w:tcPr>
            <w:tcW w:w="5628" w:type="dxa"/>
            <w:tcBorders>
              <w:top w:val="nil"/>
              <w:left w:val="nil"/>
              <w:bottom w:val="dotted" w:sz="4" w:space="0" w:color="7F7F7F" w:themeColor="text1" w:themeTint="80"/>
              <w:right w:val="nil"/>
            </w:tcBorders>
            <w:vAlign w:val="center"/>
            <w:hideMark/>
          </w:tcPr>
          <w:p w14:paraId="70A99985" w14:textId="77777777" w:rsidR="009E35F8" w:rsidRPr="00F3272B" w:rsidRDefault="009E35F8" w:rsidP="00FB1A13">
            <w:pPr>
              <w:spacing w:line="276" w:lineRule="auto"/>
              <w:contextualSpacing/>
              <w:rPr>
                <w:rStyle w:val="normaltextrun"/>
                <w:rFonts w:ascii="Verdana" w:eastAsia="Arial" w:hAnsi="Verdana" w:cs="Arial"/>
                <w:sz w:val="18"/>
                <w:szCs w:val="18"/>
              </w:rPr>
            </w:pPr>
            <w:r w:rsidRPr="00F3272B">
              <w:rPr>
                <w:rStyle w:val="normaltextrun"/>
                <w:rFonts w:ascii="Verdana" w:eastAsia="Arial" w:hAnsi="Verdana" w:cs="Arial"/>
                <w:sz w:val="18"/>
                <w:szCs w:val="18"/>
              </w:rPr>
              <w:t>Andrea del Pilar Garzón Sánchez.</w:t>
            </w:r>
          </w:p>
          <w:p w14:paraId="3573731C" w14:textId="77777777" w:rsidR="009E35F8" w:rsidRPr="00F3272B" w:rsidRDefault="009E35F8" w:rsidP="00FB1A13">
            <w:pPr>
              <w:spacing w:line="276" w:lineRule="auto"/>
              <w:contextualSpacing/>
              <w:rPr>
                <w:rFonts w:ascii="Verdana" w:eastAsia="Arial" w:hAnsi="Verdana" w:cs="Arial"/>
                <w:color w:val="7030A0"/>
                <w:sz w:val="18"/>
                <w:szCs w:val="18"/>
              </w:rPr>
            </w:pPr>
            <w:r w:rsidRPr="00F3272B">
              <w:rPr>
                <w:rStyle w:val="normaltextrun"/>
                <w:rFonts w:ascii="Verdana" w:eastAsia="Arial" w:hAnsi="Verdana" w:cs="Arial"/>
                <w:sz w:val="18"/>
                <w:szCs w:val="18"/>
              </w:rPr>
              <w:t>Contratista de la Subdirección de Gestión Contractual</w:t>
            </w:r>
          </w:p>
        </w:tc>
      </w:tr>
      <w:tr w:rsidR="009E35F8" w:rsidRPr="00F3272B" w14:paraId="67D00691" w14:textId="77777777" w:rsidTr="00FB1A13">
        <w:trPr>
          <w:trHeight w:val="330"/>
        </w:trPr>
        <w:tc>
          <w:tcPr>
            <w:tcW w:w="893" w:type="dxa"/>
            <w:vAlign w:val="center"/>
            <w:hideMark/>
          </w:tcPr>
          <w:p w14:paraId="789E6B3E" w14:textId="77777777" w:rsidR="009E35F8" w:rsidRPr="00F3272B" w:rsidRDefault="009E35F8" w:rsidP="00FB1A13">
            <w:pPr>
              <w:spacing w:line="276" w:lineRule="auto"/>
              <w:contextualSpacing/>
              <w:rPr>
                <w:rFonts w:ascii="Verdana" w:hAnsi="Verdana" w:cs="Arial"/>
                <w:sz w:val="18"/>
                <w:szCs w:val="18"/>
                <w:lang w:val="es-ES" w:eastAsia="es-ES"/>
              </w:rPr>
            </w:pPr>
            <w:r w:rsidRPr="00F3272B">
              <w:rPr>
                <w:rFonts w:ascii="Verdana" w:hAnsi="Verdana" w:cs="Arial"/>
                <w:sz w:val="18"/>
                <w:szCs w:val="18"/>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08518CA" w14:textId="77777777" w:rsidR="009E35F8" w:rsidRPr="00F3272B" w:rsidRDefault="009E35F8" w:rsidP="00FB1A13">
            <w:pPr>
              <w:pStyle w:val="paragraph"/>
              <w:spacing w:before="0" w:beforeAutospacing="0" w:after="0" w:afterAutospacing="0" w:line="276" w:lineRule="auto"/>
              <w:contextualSpacing/>
              <w:textAlignment w:val="baseline"/>
              <w:rPr>
                <w:rStyle w:val="normaltextrun"/>
                <w:rFonts w:ascii="Verdana" w:hAnsi="Verdana" w:cs="Arial"/>
                <w:sz w:val="18"/>
                <w:szCs w:val="18"/>
                <w:lang w:val="es-ES"/>
              </w:rPr>
            </w:pPr>
            <w:r w:rsidRPr="00F3272B">
              <w:rPr>
                <w:rStyle w:val="normaltextrun"/>
                <w:rFonts w:ascii="Verdana" w:hAnsi="Verdana" w:cs="Arial"/>
                <w:sz w:val="18"/>
                <w:szCs w:val="18"/>
                <w:lang w:val="es-ES"/>
              </w:rPr>
              <w:t xml:space="preserve">Diana Lucia Saavedra </w:t>
            </w:r>
          </w:p>
          <w:p w14:paraId="3D14F38C" w14:textId="77777777" w:rsidR="009E35F8" w:rsidRPr="00F3272B" w:rsidRDefault="009E35F8" w:rsidP="00FB1A13">
            <w:pPr>
              <w:pStyle w:val="paragraph"/>
              <w:spacing w:before="0" w:beforeAutospacing="0" w:after="0" w:afterAutospacing="0" w:line="276" w:lineRule="auto"/>
              <w:contextualSpacing/>
              <w:textAlignment w:val="baseline"/>
              <w:rPr>
                <w:rFonts w:ascii="Verdana" w:hAnsi="Verdana" w:cs="Segoe UI"/>
                <w:sz w:val="18"/>
                <w:szCs w:val="18"/>
              </w:rPr>
            </w:pPr>
            <w:r w:rsidRPr="00F3272B">
              <w:rPr>
                <w:rStyle w:val="normaltextrun"/>
                <w:rFonts w:ascii="Verdana" w:hAnsi="Verdana" w:cs="Arial"/>
                <w:sz w:val="18"/>
                <w:szCs w:val="18"/>
                <w:lang w:val="es-ES"/>
              </w:rPr>
              <w:t>Contratista de la Subdirección de Gestión Contractual</w:t>
            </w:r>
            <w:r w:rsidRPr="00F3272B">
              <w:rPr>
                <w:rStyle w:val="eop"/>
                <w:rFonts w:ascii="Verdana" w:hAnsi="Verdana" w:cs="Arial"/>
                <w:sz w:val="18"/>
                <w:szCs w:val="18"/>
              </w:rPr>
              <w:t> </w:t>
            </w:r>
          </w:p>
        </w:tc>
      </w:tr>
      <w:tr w:rsidR="009E35F8" w:rsidRPr="00F3272B" w14:paraId="6712B2C7" w14:textId="77777777" w:rsidTr="00FB1A13">
        <w:trPr>
          <w:trHeight w:val="300"/>
        </w:trPr>
        <w:tc>
          <w:tcPr>
            <w:tcW w:w="893" w:type="dxa"/>
            <w:vAlign w:val="center"/>
          </w:tcPr>
          <w:p w14:paraId="3298D82C" w14:textId="77777777" w:rsidR="009E35F8" w:rsidRPr="00F3272B" w:rsidRDefault="009E35F8" w:rsidP="00FB1A13">
            <w:pPr>
              <w:spacing w:line="276" w:lineRule="auto"/>
              <w:contextualSpacing/>
              <w:rPr>
                <w:rFonts w:ascii="Verdana" w:hAnsi="Verdana" w:cs="Arial"/>
                <w:sz w:val="18"/>
                <w:szCs w:val="18"/>
                <w:lang w:val="es-ES" w:eastAsia="es-ES"/>
              </w:rPr>
            </w:pPr>
            <w:r w:rsidRPr="00F3272B">
              <w:rPr>
                <w:rFonts w:ascii="Verdana" w:hAnsi="Verdana" w:cs="Arial"/>
                <w:sz w:val="18"/>
                <w:szCs w:val="18"/>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CA9CE40" w14:textId="77777777" w:rsidR="009E35F8" w:rsidRPr="00F3272B" w:rsidRDefault="009E35F8" w:rsidP="00FB1A13">
            <w:pPr>
              <w:spacing w:line="276" w:lineRule="auto"/>
              <w:contextualSpacing/>
              <w:rPr>
                <w:rFonts w:ascii="Verdana" w:eastAsia="Calibri" w:hAnsi="Verdana" w:cs="Arial"/>
                <w:sz w:val="18"/>
                <w:szCs w:val="18"/>
                <w:lang w:val="pt-BR" w:eastAsia="es-ES"/>
              </w:rPr>
            </w:pPr>
            <w:r w:rsidRPr="00F3272B">
              <w:rPr>
                <w:rFonts w:ascii="Verdana" w:eastAsia="Calibri" w:hAnsi="Verdana" w:cs="Arial"/>
                <w:sz w:val="18"/>
                <w:szCs w:val="18"/>
                <w:lang w:val="pt-BR" w:eastAsia="es-ES"/>
              </w:rPr>
              <w:t xml:space="preserve">Carolina Quintero </w:t>
            </w:r>
            <w:proofErr w:type="spellStart"/>
            <w:r w:rsidRPr="00F3272B">
              <w:rPr>
                <w:rFonts w:ascii="Verdana" w:eastAsia="Calibri" w:hAnsi="Verdana" w:cs="Arial"/>
                <w:sz w:val="18"/>
                <w:szCs w:val="18"/>
                <w:lang w:val="pt-BR" w:eastAsia="es-ES"/>
              </w:rPr>
              <w:t>Gacharná</w:t>
            </w:r>
            <w:proofErr w:type="spellEnd"/>
          </w:p>
          <w:p w14:paraId="095A44EB" w14:textId="77777777" w:rsidR="009E35F8" w:rsidRPr="00F3272B" w:rsidRDefault="009E35F8" w:rsidP="00FB1A13">
            <w:pPr>
              <w:spacing w:line="276" w:lineRule="auto"/>
              <w:contextualSpacing/>
              <w:rPr>
                <w:rFonts w:ascii="Verdana" w:eastAsia="Calibri" w:hAnsi="Verdana" w:cs="Arial"/>
                <w:sz w:val="18"/>
                <w:szCs w:val="18"/>
                <w:lang w:val="pt-BR" w:eastAsia="es-ES"/>
              </w:rPr>
            </w:pPr>
            <w:r w:rsidRPr="00F3272B">
              <w:rPr>
                <w:rFonts w:ascii="Verdana" w:eastAsia="Calibri" w:hAnsi="Verdana" w:cs="Arial"/>
                <w:sz w:val="18"/>
                <w:szCs w:val="18"/>
                <w:lang w:eastAsia="es-ES"/>
              </w:rPr>
              <w:t>Subdirectora</w:t>
            </w:r>
            <w:r w:rsidRPr="00F3272B">
              <w:rPr>
                <w:rFonts w:ascii="Verdana" w:eastAsia="Calibri" w:hAnsi="Verdana" w:cs="Arial"/>
                <w:sz w:val="18"/>
                <w:szCs w:val="18"/>
                <w:lang w:val="pt-BR" w:eastAsia="es-ES"/>
              </w:rPr>
              <w:t xml:space="preserve"> de </w:t>
            </w:r>
            <w:proofErr w:type="spellStart"/>
            <w:r w:rsidRPr="00F3272B">
              <w:rPr>
                <w:rFonts w:ascii="Verdana" w:eastAsia="Calibri" w:hAnsi="Verdana" w:cs="Arial"/>
                <w:sz w:val="18"/>
                <w:szCs w:val="18"/>
                <w:lang w:val="pt-BR" w:eastAsia="es-ES"/>
              </w:rPr>
              <w:t>Gestión</w:t>
            </w:r>
            <w:proofErr w:type="spellEnd"/>
            <w:r w:rsidRPr="00F3272B">
              <w:rPr>
                <w:rFonts w:ascii="Verdana" w:eastAsia="Calibri" w:hAnsi="Verdana" w:cs="Arial"/>
                <w:sz w:val="18"/>
                <w:szCs w:val="18"/>
                <w:lang w:val="pt-BR" w:eastAsia="es-ES"/>
              </w:rPr>
              <w:t xml:space="preserve"> </w:t>
            </w:r>
            <w:proofErr w:type="spellStart"/>
            <w:r w:rsidRPr="00F3272B">
              <w:rPr>
                <w:rFonts w:ascii="Verdana" w:eastAsia="Calibri" w:hAnsi="Verdana" w:cs="Arial"/>
                <w:sz w:val="18"/>
                <w:szCs w:val="18"/>
                <w:lang w:val="pt-BR" w:eastAsia="es-ES"/>
              </w:rPr>
              <w:t>Contractual</w:t>
            </w:r>
            <w:proofErr w:type="spellEnd"/>
            <w:r w:rsidRPr="00F3272B">
              <w:rPr>
                <w:rFonts w:ascii="Verdana" w:eastAsia="Calibri" w:hAnsi="Verdana" w:cs="Arial"/>
                <w:sz w:val="18"/>
                <w:szCs w:val="18"/>
                <w:lang w:val="pt-BR" w:eastAsia="es-ES"/>
              </w:rPr>
              <w:t xml:space="preserve"> ANCP – CCE</w:t>
            </w:r>
          </w:p>
        </w:tc>
      </w:tr>
    </w:tbl>
    <w:p w14:paraId="04EAA777" w14:textId="77777777" w:rsidR="5D8505AD" w:rsidRPr="00871B59" w:rsidRDefault="5D8505AD" w:rsidP="00871B59"/>
    <w:sectPr w:rsidR="5D8505AD" w:rsidRPr="00871B59" w:rsidSect="00E45F4B">
      <w:headerReference w:type="default" r:id="rId15"/>
      <w:footerReference w:type="default" r:id="rId16"/>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AD18EB" w14:textId="77777777" w:rsidR="00BF389B" w:rsidRDefault="00BF389B" w:rsidP="00B30448">
      <w:pPr>
        <w:spacing w:after="0" w:line="240" w:lineRule="auto"/>
      </w:pPr>
      <w:r>
        <w:separator/>
      </w:r>
    </w:p>
  </w:endnote>
  <w:endnote w:type="continuationSeparator" w:id="0">
    <w:p w14:paraId="2D577B48" w14:textId="77777777" w:rsidR="00BF389B" w:rsidRDefault="00BF389B" w:rsidP="00B30448">
      <w:pPr>
        <w:spacing w:after="0" w:line="240" w:lineRule="auto"/>
      </w:pPr>
      <w:r>
        <w:continuationSeparator/>
      </w:r>
    </w:p>
  </w:endnote>
  <w:endnote w:type="continuationNotice" w:id="1">
    <w:p w14:paraId="64DF4755" w14:textId="77777777" w:rsidR="00BF389B" w:rsidRDefault="00BF389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F1ADC" w14:textId="77777777" w:rsidR="000849D5" w:rsidRDefault="000849D5" w:rsidP="000849D5">
    <w:pPr>
      <w:spacing w:after="0"/>
      <w:rPr>
        <w:rFonts w:ascii="Verdana" w:hAnsi="Verdana"/>
        <w:b/>
        <w:bCs/>
        <w:sz w:val="20"/>
        <w:szCs w:val="20"/>
      </w:rPr>
    </w:pPr>
  </w:p>
  <w:p w14:paraId="6DD648B4"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50B018FA"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0EBB04C4"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37B293CB"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58DC9C40" w14:textId="77777777" w:rsidR="000849D5" w:rsidRPr="007D04B2" w:rsidRDefault="000849D5" w:rsidP="000849D5">
    <w:pPr>
      <w:pStyle w:val="Piedepgina"/>
    </w:pPr>
  </w:p>
  <w:p w14:paraId="2263245C"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06DCE0" w14:textId="77777777" w:rsidR="00BF389B" w:rsidRDefault="00BF389B" w:rsidP="00B30448">
      <w:pPr>
        <w:spacing w:after="0" w:line="240" w:lineRule="auto"/>
      </w:pPr>
      <w:r>
        <w:separator/>
      </w:r>
    </w:p>
  </w:footnote>
  <w:footnote w:type="continuationSeparator" w:id="0">
    <w:p w14:paraId="7E20A26E" w14:textId="77777777" w:rsidR="00BF389B" w:rsidRDefault="00BF389B" w:rsidP="00B30448">
      <w:pPr>
        <w:spacing w:after="0" w:line="240" w:lineRule="auto"/>
      </w:pPr>
      <w:r>
        <w:continuationSeparator/>
      </w:r>
    </w:p>
  </w:footnote>
  <w:footnote w:type="continuationNotice" w:id="1">
    <w:p w14:paraId="500336AE" w14:textId="77777777" w:rsidR="00BF389B" w:rsidRDefault="00BF389B">
      <w:pPr>
        <w:spacing w:after="0" w:line="240" w:lineRule="auto"/>
      </w:pPr>
    </w:p>
  </w:footnote>
  <w:footnote w:id="2">
    <w:p w14:paraId="22E7DE0C" w14:textId="77777777" w:rsidR="00916B6A" w:rsidRPr="009B20C5" w:rsidRDefault="00916B6A" w:rsidP="00916B6A">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El artículo 127 de la Constitución Política señala: </w:t>
      </w:r>
      <w:r>
        <w:rPr>
          <w:rFonts w:ascii="Verdana" w:hAnsi="Verdana" w:cs="Arial"/>
          <w:sz w:val="16"/>
          <w:szCs w:val="16"/>
        </w:rPr>
        <w:t>“</w:t>
      </w:r>
      <w:r w:rsidRPr="009B20C5">
        <w:rPr>
          <w:rFonts w:ascii="Verdana" w:hAnsi="Verdana" w:cs="Arial"/>
          <w:sz w:val="16"/>
          <w:szCs w:val="16"/>
        </w:rPr>
        <w:t xml:space="preserve">Los servidores públicos no podrán celebrar, por si o por interpuesta persona, o en representación de otro, contrato alguno con entidades públicas o con personas privadas que manejen o administren recursos públicos, salvo las excepciones legales. </w:t>
      </w:r>
    </w:p>
    <w:p w14:paraId="343E424F" w14:textId="77777777" w:rsidR="00916B6A" w:rsidRDefault="00916B6A" w:rsidP="00916B6A">
      <w:pPr>
        <w:pStyle w:val="Textonotapie"/>
        <w:ind w:firstLine="709"/>
        <w:jc w:val="both"/>
        <w:rPr>
          <w:rFonts w:ascii="Verdana" w:hAnsi="Verdana" w:cs="Arial"/>
          <w:sz w:val="16"/>
          <w:szCs w:val="16"/>
        </w:rPr>
      </w:pPr>
      <w:r w:rsidRPr="009B20C5">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r>
        <w:rPr>
          <w:rFonts w:ascii="Verdana" w:hAnsi="Verdana" w:cs="Arial"/>
          <w:sz w:val="16"/>
          <w:szCs w:val="16"/>
        </w:rPr>
        <w:t>”</w:t>
      </w:r>
      <w:r w:rsidRPr="009B20C5">
        <w:rPr>
          <w:rFonts w:ascii="Verdana" w:hAnsi="Verdana" w:cs="Arial"/>
          <w:sz w:val="16"/>
          <w:szCs w:val="16"/>
        </w:rPr>
        <w:t>.</w:t>
      </w:r>
    </w:p>
    <w:p w14:paraId="5382A345" w14:textId="77777777" w:rsidR="00916B6A" w:rsidRPr="009B20C5" w:rsidRDefault="00916B6A" w:rsidP="00916B6A">
      <w:pPr>
        <w:pStyle w:val="Textonotapie"/>
        <w:ind w:firstLine="709"/>
        <w:jc w:val="both"/>
        <w:rPr>
          <w:rFonts w:ascii="Verdana" w:hAnsi="Verdana" w:cs="Arial"/>
          <w:sz w:val="16"/>
          <w:szCs w:val="16"/>
        </w:rPr>
      </w:pPr>
    </w:p>
  </w:footnote>
  <w:footnote w:id="3">
    <w:p w14:paraId="55BE6E59" w14:textId="77777777" w:rsidR="00916B6A" w:rsidRPr="009B20C5" w:rsidRDefault="00916B6A" w:rsidP="00916B6A">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Gaceta del Congreso de la República No. 71 del 2005.</w:t>
      </w:r>
    </w:p>
    <w:p w14:paraId="059C35D6" w14:textId="77777777" w:rsidR="00916B6A" w:rsidRPr="009B20C5" w:rsidRDefault="00916B6A" w:rsidP="00916B6A">
      <w:pPr>
        <w:pStyle w:val="Textonotapie"/>
        <w:ind w:firstLine="709"/>
        <w:jc w:val="both"/>
        <w:rPr>
          <w:rFonts w:ascii="Verdana" w:hAnsi="Verdana" w:cs="Arial"/>
          <w:sz w:val="16"/>
          <w:szCs w:val="16"/>
        </w:rPr>
      </w:pPr>
    </w:p>
  </w:footnote>
  <w:footnote w:id="4">
    <w:p w14:paraId="54C9FCA0" w14:textId="77777777" w:rsidR="00916B6A" w:rsidRDefault="00916B6A" w:rsidP="00916B6A">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Corte Constitucional, Sentencia C- 1153 de 2005, M.P. Marco Gerardo Monroy Cabra.</w:t>
      </w:r>
    </w:p>
    <w:p w14:paraId="63ED7491" w14:textId="77777777" w:rsidR="00916B6A" w:rsidRPr="009B20C5" w:rsidRDefault="00916B6A" w:rsidP="00916B6A">
      <w:pPr>
        <w:pStyle w:val="Textonotapie"/>
        <w:ind w:firstLine="709"/>
        <w:jc w:val="both"/>
        <w:rPr>
          <w:rFonts w:ascii="Verdana" w:hAnsi="Verdana" w:cs="Arial"/>
          <w:sz w:val="16"/>
          <w:szCs w:val="16"/>
        </w:rPr>
      </w:pPr>
    </w:p>
  </w:footnote>
  <w:footnote w:id="5">
    <w:p w14:paraId="279DD4D7" w14:textId="77777777" w:rsidR="00916B6A" w:rsidRDefault="00916B6A" w:rsidP="00916B6A">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6CFB00BD" w14:textId="77777777" w:rsidR="00916B6A" w:rsidRPr="009B20C5" w:rsidRDefault="00916B6A" w:rsidP="00916B6A">
      <w:pPr>
        <w:pStyle w:val="Textonotapie"/>
        <w:ind w:firstLine="709"/>
        <w:jc w:val="both"/>
        <w:rPr>
          <w:rFonts w:ascii="Verdana" w:hAnsi="Verdana" w:cs="Arial"/>
          <w:sz w:val="16"/>
          <w:szCs w:val="16"/>
        </w:rPr>
      </w:pPr>
    </w:p>
  </w:footnote>
  <w:footnote w:id="6">
    <w:p w14:paraId="74583B2F" w14:textId="77777777" w:rsidR="00916B6A" w:rsidRDefault="00916B6A" w:rsidP="00916B6A">
      <w:pPr>
        <w:pStyle w:val="Textonotapie"/>
        <w:ind w:firstLine="709"/>
        <w:jc w:val="both"/>
        <w:rPr>
          <w:rFonts w:ascii="Verdana" w:hAnsi="Verdana" w:cs="Arial"/>
          <w:sz w:val="16"/>
          <w:szCs w:val="16"/>
          <w:lang w:val="es-CO"/>
        </w:rPr>
      </w:pPr>
      <w:r w:rsidRPr="009B20C5">
        <w:rPr>
          <w:rStyle w:val="Refdenotaalpie"/>
          <w:rFonts w:ascii="Verdana" w:hAnsi="Verdana" w:cs="Arial"/>
          <w:sz w:val="16"/>
          <w:szCs w:val="16"/>
        </w:rPr>
        <w:footnoteRef/>
      </w:r>
      <w:r w:rsidRPr="009B20C5">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77E362E5" w14:textId="77777777" w:rsidR="00916B6A" w:rsidRPr="009B20C5" w:rsidRDefault="00916B6A" w:rsidP="00916B6A">
      <w:pPr>
        <w:pStyle w:val="Textonotapie"/>
        <w:ind w:firstLine="709"/>
        <w:jc w:val="both"/>
        <w:rPr>
          <w:rFonts w:ascii="Verdana" w:hAnsi="Verdana" w:cs="Arial"/>
          <w:sz w:val="16"/>
          <w:szCs w:val="16"/>
          <w:lang w:val="es-CO"/>
        </w:rPr>
      </w:pPr>
    </w:p>
  </w:footnote>
  <w:footnote w:id="7">
    <w:p w14:paraId="6955EFE3" w14:textId="77777777" w:rsidR="00916B6A" w:rsidRDefault="00916B6A" w:rsidP="00916B6A">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de fecha 24 de julio de 2013, radicado 2166, Consejero Ponente: Álvaro Namén Vargas.  </w:t>
      </w:r>
    </w:p>
    <w:p w14:paraId="20E0CBAE" w14:textId="77777777" w:rsidR="00916B6A" w:rsidRPr="009B20C5" w:rsidRDefault="00916B6A" w:rsidP="00916B6A">
      <w:pPr>
        <w:pStyle w:val="Textonotapie"/>
        <w:ind w:firstLine="709"/>
        <w:jc w:val="both"/>
        <w:rPr>
          <w:rFonts w:ascii="Verdana" w:hAnsi="Verdana" w:cs="Arial"/>
          <w:sz w:val="16"/>
          <w:szCs w:val="16"/>
        </w:rPr>
      </w:pPr>
    </w:p>
  </w:footnote>
  <w:footnote w:id="8">
    <w:p w14:paraId="6AF2A17C" w14:textId="77777777" w:rsidR="00916B6A" w:rsidRPr="009B20C5" w:rsidRDefault="00916B6A" w:rsidP="00916B6A">
      <w:pPr>
        <w:spacing w:after="0" w:line="240" w:lineRule="auto"/>
        <w:ind w:firstLine="709"/>
        <w:jc w:val="both"/>
        <w:rPr>
          <w:rFonts w:ascii="Verdana" w:eastAsia="Times New Roman"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w:t>
      </w:r>
      <w:bookmarkStart w:id="4" w:name="33"/>
      <w:r>
        <w:rPr>
          <w:rFonts w:ascii="Verdana" w:eastAsia="Calibri" w:hAnsi="Verdana" w:cs="Arial"/>
          <w:bCs/>
          <w:color w:val="000000"/>
          <w:sz w:val="16"/>
          <w:szCs w:val="16"/>
        </w:rPr>
        <w:t>“</w:t>
      </w:r>
      <w:r w:rsidRPr="009B20C5">
        <w:rPr>
          <w:rFonts w:ascii="Verdana" w:eastAsia="Times New Roman" w:hAnsi="Verdana" w:cs="Arial"/>
          <w:sz w:val="16"/>
          <w:szCs w:val="16"/>
        </w:rPr>
        <w:t>Artículo 33. Restricciones a la contratación pública.</w:t>
      </w:r>
      <w:bookmarkEnd w:id="4"/>
      <w:r w:rsidRPr="009B20C5">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7929F2A0" w14:textId="77777777" w:rsidR="00916B6A" w:rsidRPr="009B20C5" w:rsidRDefault="00916B6A" w:rsidP="00916B6A">
      <w:pPr>
        <w:spacing w:after="0" w:line="240" w:lineRule="auto"/>
        <w:ind w:firstLine="709"/>
        <w:jc w:val="both"/>
        <w:rPr>
          <w:rFonts w:ascii="Verdana" w:eastAsia="Times New Roman" w:hAnsi="Verdana" w:cs="Arial"/>
          <w:sz w:val="16"/>
          <w:szCs w:val="16"/>
        </w:rPr>
      </w:pPr>
      <w:r w:rsidRPr="009B20C5">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color w:val="000000"/>
          <w:sz w:val="16"/>
          <w:szCs w:val="16"/>
        </w:rPr>
        <w:t>”</w:t>
      </w:r>
      <w:r w:rsidRPr="009B20C5">
        <w:rPr>
          <w:rFonts w:ascii="Verdana" w:eastAsia="Times New Roman" w:hAnsi="Verdana" w:cs="Arial"/>
          <w:sz w:val="16"/>
          <w:szCs w:val="16"/>
        </w:rPr>
        <w:t>.</w:t>
      </w:r>
    </w:p>
  </w:footnote>
  <w:footnote w:id="9">
    <w:p w14:paraId="594DE992" w14:textId="77777777" w:rsidR="00916B6A" w:rsidRDefault="00916B6A" w:rsidP="00916B6A">
      <w:pPr>
        <w:pStyle w:val="NormalWeb"/>
        <w:spacing w:after="0"/>
        <w:ind w:firstLine="709"/>
        <w:jc w:val="both"/>
        <w:rPr>
          <w:rFonts w:ascii="Verdana" w:hAnsi="Verdana" w:cs="Arial"/>
          <w:sz w:val="16"/>
          <w:szCs w:val="16"/>
        </w:rPr>
      </w:pPr>
    </w:p>
    <w:p w14:paraId="1D067336" w14:textId="77777777" w:rsidR="00916B6A" w:rsidRPr="009B20C5" w:rsidRDefault="00916B6A" w:rsidP="00916B6A">
      <w:pPr>
        <w:pStyle w:val="NormalWeb"/>
        <w:spacing w:after="0"/>
        <w:ind w:firstLine="709"/>
        <w:jc w:val="both"/>
        <w:rPr>
          <w:rFonts w:ascii="Verdana" w:hAnsi="Verdana" w:cs="Arial"/>
          <w:sz w:val="16"/>
          <w:szCs w:val="16"/>
          <w:lang w:val="es-MX"/>
        </w:rPr>
      </w:pPr>
      <w:r w:rsidRPr="009B20C5">
        <w:rPr>
          <w:rStyle w:val="Refdenotaalpie"/>
          <w:rFonts w:ascii="Verdana" w:hAnsi="Verdana" w:cs="Arial"/>
          <w:sz w:val="16"/>
          <w:szCs w:val="16"/>
        </w:rPr>
        <w:footnoteRef/>
      </w:r>
      <w:r w:rsidRPr="009B20C5">
        <w:rPr>
          <w:rFonts w:ascii="Verdana" w:hAnsi="Verdana" w:cs="Arial"/>
          <w:sz w:val="16"/>
          <w:szCs w:val="16"/>
        </w:rPr>
        <w:t xml:space="preserve"> </w:t>
      </w:r>
      <w:r>
        <w:rPr>
          <w:rFonts w:ascii="Verdana" w:eastAsia="Calibri" w:hAnsi="Verdana" w:cs="Arial"/>
          <w:bCs/>
          <w:color w:val="000000"/>
          <w:sz w:val="16"/>
          <w:szCs w:val="16"/>
        </w:rPr>
        <w:t>“</w:t>
      </w:r>
      <w:bookmarkStart w:id="5" w:name="38"/>
      <w:r w:rsidRPr="009B20C5">
        <w:rPr>
          <w:rFonts w:ascii="Verdana" w:hAnsi="Verdana" w:cs="Arial"/>
          <w:sz w:val="16"/>
          <w:szCs w:val="16"/>
          <w:lang w:val="es-MX"/>
        </w:rPr>
        <w:t>Artículo 38. Prohibiciones para los servidores públicos. A los empleados del Estado les está prohibido:</w:t>
      </w:r>
      <w:bookmarkEnd w:id="5"/>
    </w:p>
    <w:p w14:paraId="1B7EAB0C" w14:textId="77777777" w:rsidR="00916B6A" w:rsidRPr="009B20C5" w:rsidRDefault="00916B6A" w:rsidP="00916B6A">
      <w:pPr>
        <w:pStyle w:val="NormalWeb"/>
        <w:spacing w:after="0"/>
        <w:ind w:firstLine="709"/>
        <w:jc w:val="both"/>
        <w:rPr>
          <w:rFonts w:ascii="Verdana" w:hAnsi="Verdana" w:cs="Arial"/>
          <w:sz w:val="16"/>
          <w:szCs w:val="16"/>
          <w:lang w:val="es-MX"/>
        </w:rPr>
      </w:pPr>
      <w:r w:rsidRPr="009B20C5">
        <w:rPr>
          <w:rFonts w:ascii="Verdana" w:hAnsi="Verdana" w:cs="Arial"/>
          <w:sz w:val="16"/>
          <w:szCs w:val="16"/>
          <w:lang w:val="es-MX"/>
        </w:rPr>
        <w:t>[…]</w:t>
      </w:r>
    </w:p>
    <w:p w14:paraId="6574A953" w14:textId="77777777" w:rsidR="00916B6A" w:rsidRDefault="00916B6A" w:rsidP="00916B6A">
      <w:pPr>
        <w:pStyle w:val="NormalWeb"/>
        <w:spacing w:after="0"/>
        <w:ind w:firstLine="709"/>
        <w:jc w:val="both"/>
        <w:rPr>
          <w:rFonts w:ascii="Verdana" w:hAnsi="Verdana" w:cs="Arial"/>
          <w:sz w:val="16"/>
          <w:szCs w:val="16"/>
          <w:lang w:val="es-MX"/>
        </w:rPr>
      </w:pPr>
      <w:r w:rsidRPr="009B20C5">
        <w:rPr>
          <w:rStyle w:val="baj"/>
          <w:rFonts w:ascii="Verdana" w:hAnsi="Verdana" w:cs="Arial"/>
          <w:sz w:val="16"/>
          <w:szCs w:val="16"/>
          <w:lang w:val="es-MX"/>
        </w:rPr>
        <w:t>Parágrafo.</w:t>
      </w:r>
      <w:r w:rsidRPr="009B20C5">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color w:val="000000"/>
          <w:sz w:val="16"/>
          <w:szCs w:val="16"/>
        </w:rPr>
        <w:t>”</w:t>
      </w:r>
      <w:r w:rsidRPr="009B20C5">
        <w:rPr>
          <w:rFonts w:ascii="Verdana" w:hAnsi="Verdana" w:cs="Arial"/>
          <w:sz w:val="16"/>
          <w:szCs w:val="16"/>
          <w:lang w:val="es-MX"/>
        </w:rPr>
        <w:t>.</w:t>
      </w:r>
    </w:p>
    <w:p w14:paraId="4790B74F" w14:textId="77777777" w:rsidR="00916B6A" w:rsidRPr="009B20C5" w:rsidRDefault="00916B6A" w:rsidP="00916B6A">
      <w:pPr>
        <w:pStyle w:val="NormalWeb"/>
        <w:spacing w:after="0"/>
        <w:ind w:firstLine="709"/>
        <w:jc w:val="both"/>
        <w:rPr>
          <w:rFonts w:ascii="Verdana" w:hAnsi="Verdana" w:cs="Arial"/>
          <w:sz w:val="16"/>
          <w:szCs w:val="16"/>
          <w:lang w:val="es-MX"/>
        </w:rPr>
      </w:pPr>
    </w:p>
  </w:footnote>
  <w:footnote w:id="10">
    <w:p w14:paraId="15D52998" w14:textId="77777777" w:rsidR="00916B6A" w:rsidRDefault="00916B6A" w:rsidP="00916B6A">
      <w:pPr>
        <w:spacing w:after="0" w:line="240" w:lineRule="auto"/>
        <w:ind w:left="100" w:right="244"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17 de febrero de 2015. C.P. William Zambrano Cetina. Radicación No. 11001-03-06-000-2015-00164-00(2269).</w:t>
      </w:r>
    </w:p>
    <w:p w14:paraId="2DA9622B" w14:textId="77777777" w:rsidR="00916B6A" w:rsidRPr="009B20C5" w:rsidRDefault="00916B6A" w:rsidP="00916B6A">
      <w:pPr>
        <w:spacing w:after="0" w:line="240" w:lineRule="auto"/>
        <w:ind w:left="100" w:right="244" w:firstLine="709"/>
        <w:jc w:val="both"/>
        <w:rPr>
          <w:rFonts w:ascii="Verdana" w:hAnsi="Verdana" w:cs="Arial"/>
          <w:sz w:val="16"/>
          <w:szCs w:val="16"/>
          <w:lang w:val="es-ES"/>
        </w:rPr>
      </w:pPr>
    </w:p>
  </w:footnote>
  <w:footnote w:id="11">
    <w:p w14:paraId="5627DD11" w14:textId="77777777" w:rsidR="00916B6A" w:rsidRDefault="00916B6A" w:rsidP="00916B6A">
      <w:pPr>
        <w:pStyle w:val="Textonotapie"/>
        <w:ind w:right="51"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w:t>
      </w:r>
      <w:r w:rsidRPr="009B20C5">
        <w:rPr>
          <w:rFonts w:ascii="Verdana" w:hAnsi="Verdana" w:cs="Arial"/>
          <w:sz w:val="16"/>
          <w:szCs w:val="16"/>
          <w:lang w:val="es-ES"/>
        </w:rPr>
        <w:t xml:space="preserve">[25] </w:t>
      </w:r>
      <w:r w:rsidRPr="009B20C5">
        <w:rPr>
          <w:rFonts w:ascii="Verdana" w:hAnsi="Verdana" w:cs="Arial"/>
          <w:sz w:val="16"/>
          <w:szCs w:val="16"/>
        </w:rPr>
        <w:t>Cfr. Consejo de Estado. Sección Tercera. Sentencia de 3 de diciembre de 2007. Radicados: 24.715, 25.206, 25.409, 24.524, 27.834, 25.410, 26.105, 28.244, 31.447 -acumulados-.</w:t>
      </w:r>
    </w:p>
    <w:p w14:paraId="5258C006" w14:textId="77777777" w:rsidR="00916B6A" w:rsidRPr="009B20C5" w:rsidRDefault="00916B6A" w:rsidP="00916B6A">
      <w:pPr>
        <w:pStyle w:val="Textonotapie"/>
        <w:ind w:right="51" w:firstLine="709"/>
        <w:jc w:val="both"/>
        <w:rPr>
          <w:rFonts w:ascii="Verdana" w:hAnsi="Verdana" w:cs="Arial"/>
          <w:sz w:val="16"/>
          <w:szCs w:val="16"/>
        </w:rPr>
      </w:pPr>
    </w:p>
  </w:footnote>
  <w:footnote w:id="12">
    <w:p w14:paraId="31CB80C5" w14:textId="77777777" w:rsidR="00916B6A" w:rsidRDefault="00916B6A" w:rsidP="00916B6A">
      <w:pPr>
        <w:pStyle w:val="Textonotapie"/>
        <w:ind w:right="51"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w:t>
      </w:r>
      <w:bookmarkStart w:id="13" w:name="_Hlk74294506"/>
      <w:r w:rsidRPr="009B20C5">
        <w:rPr>
          <w:rFonts w:ascii="Verdana" w:hAnsi="Verdana" w:cs="Arial"/>
          <w:sz w:val="16"/>
          <w:szCs w:val="16"/>
          <w:lang w:val="es-ES"/>
        </w:rPr>
        <w:t xml:space="preserve">[26] </w:t>
      </w:r>
      <w:bookmarkEnd w:id="13"/>
      <w:r w:rsidRPr="009B20C5">
        <w:rPr>
          <w:rFonts w:ascii="Verdana" w:hAnsi="Verdana" w:cs="Arial"/>
          <w:sz w:val="16"/>
          <w:szCs w:val="16"/>
        </w:rPr>
        <w:t>Al respecto ver el concepto 1712 de 2 de febrero de 2006. Consejo de Estado Sala de Consulta y Servicio Civil.</w:t>
      </w:r>
    </w:p>
    <w:p w14:paraId="6717D031" w14:textId="77777777" w:rsidR="00916B6A" w:rsidRPr="009B20C5" w:rsidRDefault="00916B6A" w:rsidP="00916B6A">
      <w:pPr>
        <w:pStyle w:val="Textonotapie"/>
        <w:ind w:right="51" w:firstLine="709"/>
        <w:jc w:val="both"/>
        <w:rPr>
          <w:rFonts w:ascii="Verdana" w:hAnsi="Verdana" w:cs="Arial"/>
          <w:sz w:val="16"/>
          <w:szCs w:val="16"/>
        </w:rPr>
      </w:pPr>
    </w:p>
  </w:footnote>
  <w:footnote w:id="13">
    <w:p w14:paraId="179AE4B6" w14:textId="77777777" w:rsidR="00916B6A" w:rsidRPr="009B20C5" w:rsidRDefault="00916B6A" w:rsidP="00916B6A">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4">
    <w:p w14:paraId="2C44C5BA" w14:textId="77777777" w:rsidR="00916B6A" w:rsidRDefault="00916B6A" w:rsidP="00916B6A">
      <w:pPr>
        <w:pStyle w:val="Textonotapie"/>
        <w:ind w:firstLine="709"/>
        <w:jc w:val="both"/>
        <w:rPr>
          <w:rFonts w:ascii="Verdana" w:hAnsi="Verdana" w:cs="Arial"/>
          <w:sz w:val="16"/>
          <w:szCs w:val="16"/>
        </w:rPr>
      </w:pPr>
    </w:p>
    <w:p w14:paraId="65623F78" w14:textId="77777777" w:rsidR="00916B6A" w:rsidRPr="009B20C5" w:rsidRDefault="00916B6A" w:rsidP="00916B6A">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Fonts w:ascii="Verdana" w:hAnsi="Verdana" w:cs="Arial"/>
          <w:sz w:val="16"/>
          <w:szCs w:val="16"/>
        </w:rPr>
        <w:t xml:space="preserve"> </w:t>
      </w:r>
      <w:r w:rsidRPr="009B20C5">
        <w:rPr>
          <w:rFonts w:ascii="Verdana" w:hAnsi="Verdana" w:cs="Arial"/>
          <w:sz w:val="16"/>
          <w:szCs w:val="16"/>
          <w:lang w:val="es-ES"/>
        </w:rPr>
        <w:t>Artículo 2.</w:t>
      </w:r>
    </w:p>
  </w:footnote>
  <w:footnote w:id="15">
    <w:p w14:paraId="0529C2B4" w14:textId="77777777" w:rsidR="00916B6A" w:rsidRDefault="00916B6A" w:rsidP="00916B6A">
      <w:pPr>
        <w:pStyle w:val="Textonotapie"/>
        <w:ind w:firstLine="709"/>
        <w:jc w:val="both"/>
        <w:rPr>
          <w:rFonts w:ascii="Verdana" w:hAnsi="Verdana" w:cs="Arial"/>
          <w:sz w:val="16"/>
          <w:szCs w:val="16"/>
        </w:rPr>
      </w:pPr>
    </w:p>
    <w:p w14:paraId="2E1F1A48" w14:textId="77777777" w:rsidR="00916B6A" w:rsidRDefault="00916B6A" w:rsidP="00916B6A">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Fonts w:ascii="Verdana" w:hAnsi="Verdana" w:cs="Arial"/>
          <w:sz w:val="16"/>
          <w:szCs w:val="16"/>
        </w:rPr>
        <w:t xml:space="preserve"> </w:t>
      </w:r>
      <w:r w:rsidRPr="009B20C5">
        <w:rPr>
          <w:rFonts w:ascii="Verdana" w:hAnsi="Verdana" w:cs="Arial"/>
          <w:i/>
          <w:sz w:val="16"/>
          <w:szCs w:val="16"/>
          <w:lang w:val="es-ES"/>
        </w:rPr>
        <w:t>Ídem</w:t>
      </w:r>
      <w:r w:rsidRPr="009B20C5">
        <w:rPr>
          <w:rFonts w:ascii="Verdana" w:hAnsi="Verdana" w:cs="Arial"/>
          <w:sz w:val="16"/>
          <w:szCs w:val="16"/>
          <w:lang w:val="es-ES"/>
        </w:rPr>
        <w:t>.</w:t>
      </w:r>
    </w:p>
    <w:p w14:paraId="7A3FFA0B" w14:textId="77777777" w:rsidR="00916B6A" w:rsidRPr="009B20C5" w:rsidRDefault="00916B6A" w:rsidP="00916B6A">
      <w:pPr>
        <w:pStyle w:val="Textonotapie"/>
        <w:ind w:firstLine="709"/>
        <w:jc w:val="both"/>
        <w:rPr>
          <w:rFonts w:ascii="Verdana" w:hAnsi="Verdana" w:cs="Arial"/>
          <w:sz w:val="16"/>
          <w:szCs w:val="16"/>
          <w:lang w:val="es-ES"/>
        </w:rPr>
      </w:pPr>
    </w:p>
  </w:footnote>
  <w:footnote w:id="16">
    <w:p w14:paraId="0368798D" w14:textId="77777777" w:rsidR="00916B6A" w:rsidRPr="009B20C5" w:rsidRDefault="00916B6A" w:rsidP="00916B6A">
      <w:pPr>
        <w:pStyle w:val="Textonotapie"/>
        <w:jc w:val="both"/>
        <w:rPr>
          <w:rFonts w:ascii="Verdana" w:hAnsi="Verdana" w:cs="Arial"/>
          <w:sz w:val="16"/>
          <w:szCs w:val="16"/>
        </w:rPr>
      </w:pPr>
    </w:p>
    <w:p w14:paraId="5A0BCBF2" w14:textId="77777777" w:rsidR="00916B6A" w:rsidRDefault="00916B6A" w:rsidP="00916B6A">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Style w:val="Refdenotaalpie"/>
          <w:rFonts w:ascii="Verdana" w:hAnsi="Verdana" w:cs="Arial"/>
          <w:sz w:val="16"/>
          <w:szCs w:val="16"/>
        </w:rPr>
        <w:t xml:space="preserve"> </w:t>
      </w:r>
      <w:bookmarkStart w:id="18" w:name="_Hlk74297130"/>
      <w:r>
        <w:rPr>
          <w:rFonts w:ascii="Verdana" w:hAnsi="Verdana" w:cs="Arial"/>
          <w:sz w:val="16"/>
          <w:szCs w:val="16"/>
          <w:lang w:val="es-ES"/>
        </w:rPr>
        <w:t>“</w:t>
      </w:r>
      <w:bookmarkEnd w:id="18"/>
      <w:r w:rsidRPr="009B20C5">
        <w:rPr>
          <w:rFonts w:ascii="Verdana" w:hAnsi="Verdana" w:cs="Arial"/>
          <w:sz w:val="16"/>
          <w:szCs w:val="16"/>
          <w:lang w:val="es-ES"/>
        </w:rPr>
        <w:t>[…] A este respecto, cabe recordar que el artículo 860 del Código de Comercio regula la licitación en el derecho privado</w:t>
      </w:r>
      <w:r>
        <w:rPr>
          <w:rFonts w:ascii="Verdana" w:hAnsi="Verdana" w:cs="Arial"/>
          <w:sz w:val="16"/>
          <w:szCs w:val="16"/>
          <w:lang w:val="es-ES"/>
        </w:rPr>
        <w:t>”</w:t>
      </w:r>
      <w:r w:rsidRPr="009B20C5">
        <w:rPr>
          <w:rFonts w:ascii="Verdana" w:hAnsi="Verdana" w:cs="Arial"/>
          <w:sz w:val="16"/>
          <w:szCs w:val="16"/>
          <w:lang w:val="es-ES"/>
        </w:rPr>
        <w:t>.</w:t>
      </w:r>
    </w:p>
    <w:p w14:paraId="119BE5D3" w14:textId="77777777" w:rsidR="00916B6A" w:rsidRPr="009B20C5" w:rsidRDefault="00916B6A" w:rsidP="00916B6A">
      <w:pPr>
        <w:pStyle w:val="Textonotapie"/>
        <w:ind w:firstLine="709"/>
        <w:jc w:val="both"/>
        <w:rPr>
          <w:rFonts w:ascii="Verdana" w:hAnsi="Verdana" w:cs="Arial"/>
          <w:sz w:val="16"/>
          <w:szCs w:val="16"/>
          <w:lang w:val="es-ES"/>
        </w:rPr>
      </w:pPr>
      <w:r w:rsidRPr="009B20C5">
        <w:rPr>
          <w:rFonts w:ascii="Verdana" w:hAnsi="Verdana" w:cs="Arial"/>
          <w:sz w:val="16"/>
          <w:szCs w:val="16"/>
          <w:lang w:val="es-ES"/>
        </w:rPr>
        <w:t xml:space="preserve"> </w:t>
      </w:r>
    </w:p>
  </w:footnote>
  <w:footnote w:id="17">
    <w:p w14:paraId="24CC7A24" w14:textId="77777777" w:rsidR="00916B6A" w:rsidRPr="009B20C5" w:rsidRDefault="00916B6A" w:rsidP="00916B6A">
      <w:pPr>
        <w:shd w:val="clear" w:color="auto" w:fill="FFFFFF"/>
        <w:spacing w:after="0" w:line="240" w:lineRule="auto"/>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Style w:val="Refdenotaalpie"/>
          <w:rFonts w:ascii="Verdana" w:hAnsi="Verdana" w:cs="Arial"/>
          <w:sz w:val="16"/>
          <w:szCs w:val="16"/>
        </w:rPr>
        <w:t xml:space="preserve"> </w:t>
      </w:r>
      <w:r w:rsidRPr="009B20C5">
        <w:rPr>
          <w:rFonts w:ascii="Verdana" w:hAnsi="Verdana" w:cs="Arial"/>
          <w:sz w:val="16"/>
          <w:szCs w:val="16"/>
          <w:lang w:val="es-ES"/>
        </w:rPr>
        <w:t xml:space="preserve">Consejo de Estado. Sala de Consulta y Servicio Civil, Concepto de 8 de mayo de 2018. Radicación Número: 11001-03-06-000-2018-00095-00(2382). Consejero Ponente: Álvaro </w:t>
      </w:r>
      <w:r w:rsidRPr="009B20C5">
        <w:rPr>
          <w:rFonts w:ascii="Verdana" w:hAnsi="Verdana" w:cs="Arial"/>
          <w:sz w:val="16"/>
          <w:szCs w:val="16"/>
          <w:lang w:val="es-ES"/>
        </w:rPr>
        <w:t>Namén Vargas.</w:t>
      </w:r>
    </w:p>
  </w:footnote>
  <w:footnote w:id="18">
    <w:p w14:paraId="53766A2E" w14:textId="77777777" w:rsidR="00916B6A" w:rsidRDefault="00916B6A" w:rsidP="00916B6A">
      <w:pPr>
        <w:pStyle w:val="Textonotapie"/>
        <w:ind w:firstLine="709"/>
        <w:jc w:val="both"/>
        <w:rPr>
          <w:rFonts w:ascii="Verdana" w:hAnsi="Verdana" w:cs="Arial"/>
          <w:sz w:val="16"/>
          <w:szCs w:val="16"/>
        </w:rPr>
      </w:pPr>
    </w:p>
    <w:p w14:paraId="00D43BE9" w14:textId="77777777" w:rsidR="00916B6A" w:rsidRDefault="00916B6A" w:rsidP="00916B6A">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08 de mayo de 2018. Exp. 2.382. C.P. Álvaro Namén Vargas.</w:t>
      </w:r>
    </w:p>
    <w:p w14:paraId="690AFAE9" w14:textId="77777777" w:rsidR="00916B6A" w:rsidRPr="009B20C5" w:rsidRDefault="00916B6A" w:rsidP="00916B6A">
      <w:pPr>
        <w:pStyle w:val="Textonotapie"/>
        <w:ind w:firstLine="709"/>
        <w:jc w:val="both"/>
        <w:rPr>
          <w:rFonts w:ascii="Verdana" w:hAnsi="Verdana" w:cs="Arial"/>
          <w:sz w:val="16"/>
          <w:szCs w:val="16"/>
        </w:rPr>
      </w:pPr>
    </w:p>
  </w:footnote>
  <w:footnote w:id="19">
    <w:p w14:paraId="6548AF5C" w14:textId="77777777" w:rsidR="00916B6A" w:rsidRPr="009B20C5" w:rsidRDefault="00916B6A" w:rsidP="00916B6A">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0">
    <w:p w14:paraId="12C4A02C" w14:textId="77777777" w:rsidR="00916B6A" w:rsidRPr="00306ECD" w:rsidRDefault="00916B6A" w:rsidP="00916B6A">
      <w:pPr>
        <w:pStyle w:val="Textonotapie"/>
        <w:ind w:firstLine="709"/>
        <w:jc w:val="both"/>
        <w:rPr>
          <w:rFonts w:ascii="Verdana" w:hAnsi="Verdana" w:cs="Arial"/>
          <w:sz w:val="14"/>
          <w:szCs w:val="14"/>
        </w:rPr>
      </w:pPr>
      <w:r w:rsidRPr="00306ECD">
        <w:rPr>
          <w:rStyle w:val="Refdenotaalpie"/>
          <w:rFonts w:ascii="Verdana" w:hAnsi="Verdana" w:cs="Arial"/>
          <w:sz w:val="14"/>
          <w:szCs w:val="14"/>
        </w:rPr>
        <w:footnoteRef/>
      </w:r>
      <w:r w:rsidRPr="00306ECD">
        <w:rPr>
          <w:rFonts w:ascii="Verdana" w:hAnsi="Verdana" w:cs="Arial"/>
          <w:sz w:val="14"/>
          <w:szCs w:val="14"/>
        </w:rPr>
        <w:t xml:space="preserve"> Consejo de Estado. Sala de Consulta y Servicio Civil. Concepto de 20 de febrero de2006. Radicación 11001-03-06-000-2006-00023-00(1724). Consejero Ponente: Flavio Augusto Rodríguez Arce.</w:t>
      </w:r>
    </w:p>
    <w:p w14:paraId="1C4165EB" w14:textId="77777777" w:rsidR="00916B6A" w:rsidRPr="00306ECD" w:rsidRDefault="00916B6A" w:rsidP="00916B6A">
      <w:pPr>
        <w:pStyle w:val="Textonotapie"/>
        <w:ind w:firstLine="709"/>
        <w:jc w:val="both"/>
        <w:rPr>
          <w:rFonts w:ascii="Verdana" w:hAnsi="Verdana" w:cs="Arial"/>
          <w:sz w:val="14"/>
          <w:szCs w:val="14"/>
        </w:rPr>
      </w:pPr>
    </w:p>
  </w:footnote>
  <w:footnote w:id="21">
    <w:p w14:paraId="13EFA91D" w14:textId="77777777" w:rsidR="00916B6A" w:rsidRPr="00306ECD" w:rsidRDefault="00916B6A" w:rsidP="00916B6A">
      <w:pPr>
        <w:spacing w:after="0" w:line="240" w:lineRule="auto"/>
        <w:ind w:firstLine="709"/>
        <w:jc w:val="both"/>
        <w:rPr>
          <w:rFonts w:ascii="Verdana" w:hAnsi="Verdana" w:cs="Arial"/>
          <w:sz w:val="14"/>
          <w:szCs w:val="14"/>
        </w:rPr>
      </w:pPr>
      <w:r w:rsidRPr="00306ECD">
        <w:rPr>
          <w:rStyle w:val="Refdenotaalpie"/>
          <w:rFonts w:ascii="Verdana" w:hAnsi="Verdana" w:cs="Arial"/>
          <w:sz w:val="14"/>
          <w:szCs w:val="14"/>
        </w:rPr>
        <w:footnoteRef/>
      </w:r>
      <w:r w:rsidRPr="00306ECD">
        <w:rPr>
          <w:rFonts w:ascii="Verdana" w:hAnsi="Verdana" w:cs="Arial"/>
          <w:sz w:val="14"/>
          <w:szCs w:val="14"/>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6C376E9C" w14:textId="77777777" w:rsidR="00916B6A" w:rsidRPr="00306ECD" w:rsidRDefault="00916B6A" w:rsidP="00916B6A">
      <w:pPr>
        <w:spacing w:after="0" w:line="240" w:lineRule="auto"/>
        <w:ind w:firstLine="709"/>
        <w:jc w:val="both"/>
        <w:rPr>
          <w:rFonts w:ascii="Verdana" w:hAnsi="Verdana" w:cs="Arial"/>
          <w:sz w:val="14"/>
          <w:szCs w:val="14"/>
        </w:rPr>
      </w:pPr>
      <w:r w:rsidRPr="00306ECD">
        <w:rPr>
          <w:rFonts w:ascii="Verdana" w:hAnsi="Verdana" w:cs="Arial"/>
          <w:sz w:val="14"/>
          <w:szCs w:val="14"/>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306ECD">
        <w:rPr>
          <w:rFonts w:ascii="Verdana" w:hAnsi="Verdana" w:cs="Arial"/>
          <w:spacing w:val="-1"/>
          <w:sz w:val="14"/>
          <w:szCs w:val="14"/>
        </w:rPr>
        <w:t xml:space="preserve"> </w:t>
      </w:r>
      <w:r w:rsidRPr="00306ECD">
        <w:rPr>
          <w:rFonts w:ascii="Verdana" w:hAnsi="Verdana" w:cs="Arial"/>
          <w:sz w:val="14"/>
          <w:szCs w:val="14"/>
        </w:rPr>
        <w:t>Estatales”.</w:t>
      </w:r>
    </w:p>
    <w:p w14:paraId="259B55E7" w14:textId="77777777" w:rsidR="00916B6A" w:rsidRPr="00306ECD" w:rsidRDefault="00916B6A" w:rsidP="00916B6A">
      <w:pPr>
        <w:spacing w:after="0" w:line="240" w:lineRule="auto"/>
        <w:ind w:firstLine="709"/>
        <w:jc w:val="both"/>
        <w:rPr>
          <w:rFonts w:ascii="Verdana" w:hAnsi="Verdana" w:cs="Arial"/>
          <w:sz w:val="14"/>
          <w:szCs w:val="14"/>
        </w:rPr>
      </w:pPr>
    </w:p>
  </w:footnote>
  <w:footnote w:id="22">
    <w:p w14:paraId="533B42BA" w14:textId="77777777" w:rsidR="00916B6A" w:rsidRPr="00306ECD" w:rsidRDefault="00916B6A" w:rsidP="00916B6A">
      <w:pPr>
        <w:spacing w:after="0" w:line="240" w:lineRule="auto"/>
        <w:ind w:firstLine="709"/>
        <w:jc w:val="both"/>
        <w:rPr>
          <w:rFonts w:ascii="Verdana" w:hAnsi="Verdana" w:cs="Arial"/>
          <w:sz w:val="14"/>
          <w:szCs w:val="14"/>
        </w:rPr>
      </w:pPr>
      <w:r w:rsidRPr="00306ECD">
        <w:rPr>
          <w:rStyle w:val="Refdenotaalpie"/>
          <w:rFonts w:ascii="Verdana" w:hAnsi="Verdana" w:cs="Arial"/>
          <w:sz w:val="14"/>
          <w:szCs w:val="14"/>
        </w:rPr>
        <w:footnoteRef/>
      </w:r>
      <w:r w:rsidRPr="00306ECD">
        <w:rPr>
          <w:rFonts w:ascii="Verdana" w:hAnsi="Verdana" w:cs="Arial"/>
          <w:sz w:val="14"/>
          <w:szCs w:val="14"/>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306ECD">
        <w:rPr>
          <w:rFonts w:ascii="Verdana" w:hAnsi="Verdana" w:cs="Arial"/>
          <w:spacing w:val="-6"/>
          <w:sz w:val="14"/>
          <w:szCs w:val="14"/>
        </w:rPr>
        <w:t xml:space="preserve"> </w:t>
      </w:r>
      <w:r w:rsidRPr="00306ECD">
        <w:rPr>
          <w:rFonts w:ascii="Verdana" w:hAnsi="Verdana" w:cs="Arial"/>
          <w:sz w:val="14"/>
          <w:szCs w:val="14"/>
        </w:rPr>
        <w:t>artículo”.</w:t>
      </w:r>
    </w:p>
    <w:p w14:paraId="237BC22C" w14:textId="77777777" w:rsidR="00916B6A" w:rsidRPr="00306ECD" w:rsidRDefault="00916B6A" w:rsidP="00916B6A">
      <w:pPr>
        <w:spacing w:after="0" w:line="240" w:lineRule="auto"/>
        <w:ind w:firstLine="709"/>
        <w:jc w:val="both"/>
        <w:rPr>
          <w:rFonts w:ascii="Verdana" w:hAnsi="Verdana" w:cs="Arial"/>
          <w:sz w:val="14"/>
          <w:szCs w:val="14"/>
        </w:rPr>
      </w:pPr>
    </w:p>
  </w:footnote>
  <w:footnote w:id="23">
    <w:p w14:paraId="5DD4DB56" w14:textId="77777777" w:rsidR="00916B6A" w:rsidRPr="00306ECD" w:rsidRDefault="00916B6A" w:rsidP="00916B6A">
      <w:pPr>
        <w:pStyle w:val="Textonotapie"/>
        <w:ind w:firstLine="709"/>
        <w:jc w:val="both"/>
        <w:rPr>
          <w:rFonts w:ascii="Verdana" w:hAnsi="Verdana" w:cs="Arial"/>
          <w:sz w:val="14"/>
          <w:szCs w:val="14"/>
        </w:rPr>
      </w:pPr>
      <w:r w:rsidRPr="00306ECD">
        <w:rPr>
          <w:rStyle w:val="Refdenotaalpie"/>
          <w:rFonts w:ascii="Verdana" w:hAnsi="Verdana" w:cs="Arial"/>
          <w:sz w:val="14"/>
          <w:szCs w:val="14"/>
        </w:rPr>
        <w:footnoteRef/>
      </w:r>
      <w:r w:rsidRPr="00306ECD">
        <w:rPr>
          <w:rFonts w:ascii="Verdana" w:hAnsi="Verdana" w:cs="Arial"/>
          <w:sz w:val="14"/>
          <w:szCs w:val="14"/>
        </w:rPr>
        <w:t xml:space="preserve"> Lo anterior, salvo que se traten de organismos internacionales que se rijan por normas internacionales y se financien con cargo a recursos de esos organismos (Cfr. Colombia Compra Eficiente. Concepto C-559 del 31 de agosto de 2021). </w:t>
      </w:r>
    </w:p>
    <w:p w14:paraId="49EF6BC7" w14:textId="77777777" w:rsidR="00916B6A" w:rsidRPr="00306ECD" w:rsidRDefault="00916B6A" w:rsidP="00916B6A">
      <w:pPr>
        <w:pStyle w:val="Textonotapie"/>
        <w:ind w:firstLine="709"/>
        <w:jc w:val="both"/>
        <w:rPr>
          <w:rFonts w:ascii="Verdana" w:hAnsi="Verdana" w:cs="Arial"/>
          <w:sz w:val="14"/>
          <w:szCs w:val="14"/>
        </w:rPr>
      </w:pPr>
    </w:p>
  </w:footnote>
  <w:footnote w:id="24">
    <w:p w14:paraId="01067C9A" w14:textId="77777777" w:rsidR="00916B6A" w:rsidRPr="00306ECD" w:rsidRDefault="00916B6A" w:rsidP="00916B6A">
      <w:pPr>
        <w:pStyle w:val="Textonotapie"/>
        <w:ind w:firstLine="709"/>
        <w:jc w:val="both"/>
        <w:rPr>
          <w:rFonts w:ascii="Verdana" w:hAnsi="Verdana" w:cs="Arial"/>
          <w:sz w:val="14"/>
          <w:szCs w:val="14"/>
        </w:rPr>
      </w:pPr>
      <w:r w:rsidRPr="00306ECD">
        <w:rPr>
          <w:rStyle w:val="Refdenotaalpie"/>
          <w:rFonts w:ascii="Verdana" w:hAnsi="Verdana" w:cs="Arial"/>
          <w:sz w:val="14"/>
          <w:szCs w:val="14"/>
        </w:rPr>
        <w:footnoteRef/>
      </w:r>
      <w:r w:rsidRPr="00306ECD">
        <w:rPr>
          <w:rFonts w:ascii="Verdana" w:hAnsi="Verdana" w:cs="Arial"/>
          <w:sz w:val="14"/>
          <w:szCs w:val="14"/>
        </w:rPr>
        <w:t xml:space="preserve"> Es lo que sucede, por ejemplo, con el Decreto 092 de 2017, que en su desarrollo hace referencia tanto a los “contratos” como a los “convenios”. </w:t>
      </w:r>
    </w:p>
    <w:p w14:paraId="70E6C21C" w14:textId="77777777" w:rsidR="00916B6A" w:rsidRPr="00306ECD" w:rsidRDefault="00916B6A" w:rsidP="00916B6A">
      <w:pPr>
        <w:pStyle w:val="Textonotapie"/>
        <w:ind w:firstLine="709"/>
        <w:jc w:val="both"/>
        <w:rPr>
          <w:rFonts w:ascii="Verdana" w:hAnsi="Verdana" w:cs="Arial"/>
          <w:sz w:val="14"/>
          <w:szCs w:val="14"/>
        </w:rPr>
      </w:pPr>
    </w:p>
  </w:footnote>
  <w:footnote w:id="25">
    <w:p w14:paraId="5FB1A5C8" w14:textId="77777777" w:rsidR="00916B6A" w:rsidRPr="00306ECD" w:rsidRDefault="00916B6A" w:rsidP="00916B6A">
      <w:pPr>
        <w:pStyle w:val="Textonotapie"/>
        <w:ind w:firstLine="709"/>
        <w:jc w:val="both"/>
        <w:rPr>
          <w:rFonts w:ascii="Verdana" w:hAnsi="Verdana" w:cs="Arial"/>
          <w:sz w:val="14"/>
          <w:szCs w:val="14"/>
          <w:lang w:val="pt-BR"/>
        </w:rPr>
      </w:pPr>
      <w:r w:rsidRPr="00306ECD">
        <w:rPr>
          <w:rStyle w:val="Refdenotaalpie"/>
          <w:rFonts w:ascii="Verdana" w:hAnsi="Verdana" w:cs="Arial"/>
          <w:sz w:val="14"/>
          <w:szCs w:val="14"/>
        </w:rPr>
        <w:footnoteRef/>
      </w:r>
      <w:r w:rsidRPr="00306ECD">
        <w:rPr>
          <w:rFonts w:ascii="Verdana" w:hAnsi="Verdana" w:cs="Arial"/>
          <w:sz w:val="14"/>
          <w:szCs w:val="14"/>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w:t>
      </w:r>
      <w:r w:rsidRPr="00306ECD">
        <w:rPr>
          <w:rFonts w:ascii="Verdana" w:hAnsi="Verdana" w:cs="Arial"/>
          <w:sz w:val="14"/>
          <w:szCs w:val="14"/>
          <w:lang w:val="pt-BR"/>
        </w:rPr>
        <w:t>(Corte Constitucional. Sentencia C-671 de 2015. M.P. Alberto Rojas Ríos).</w:t>
      </w:r>
    </w:p>
    <w:p w14:paraId="3D31C764" w14:textId="77777777" w:rsidR="00916B6A" w:rsidRPr="00306ECD" w:rsidRDefault="00916B6A" w:rsidP="00916B6A">
      <w:pPr>
        <w:pStyle w:val="Textonotapie"/>
        <w:ind w:firstLine="709"/>
        <w:jc w:val="both"/>
        <w:rPr>
          <w:rFonts w:ascii="Verdana" w:hAnsi="Verdana" w:cs="Arial"/>
          <w:sz w:val="14"/>
          <w:szCs w:val="14"/>
          <w:lang w:val="pt-BR"/>
        </w:rPr>
      </w:pPr>
    </w:p>
  </w:footnote>
  <w:footnote w:id="26">
    <w:p w14:paraId="39BB2A16" w14:textId="77777777" w:rsidR="00916B6A" w:rsidRPr="00306ECD" w:rsidRDefault="00916B6A" w:rsidP="00916B6A">
      <w:pPr>
        <w:pStyle w:val="Textonotapie"/>
        <w:ind w:firstLine="709"/>
        <w:jc w:val="both"/>
        <w:rPr>
          <w:rFonts w:ascii="Verdana" w:hAnsi="Verdana" w:cs="Arial"/>
          <w:sz w:val="14"/>
          <w:szCs w:val="14"/>
          <w:lang w:val="es-CO"/>
        </w:rPr>
      </w:pPr>
      <w:r w:rsidRPr="00306ECD">
        <w:rPr>
          <w:rStyle w:val="Refdenotaalpie"/>
          <w:rFonts w:ascii="Verdana" w:hAnsi="Verdana"/>
          <w:sz w:val="14"/>
          <w:szCs w:val="14"/>
        </w:rPr>
        <w:footnoteRef/>
      </w:r>
      <w:r w:rsidRPr="00306ECD">
        <w:rPr>
          <w:rFonts w:ascii="Verdana" w:hAnsi="Verdana"/>
          <w:sz w:val="14"/>
          <w:szCs w:val="14"/>
          <w:lang w:val="es-CO"/>
        </w:rPr>
        <w:t xml:space="preserve"> </w:t>
      </w:r>
      <w:r w:rsidRPr="00306ECD">
        <w:rPr>
          <w:rFonts w:ascii="Verdana" w:hAnsi="Verdana" w:cs="Arial"/>
          <w:sz w:val="14"/>
          <w:szCs w:val="14"/>
          <w:lang w:val="es-CO"/>
        </w:rPr>
        <w:t xml:space="preserve">Consejo de Estado, Sección Tercera. Auto del 4 de octubre de 2024. </w:t>
      </w:r>
      <w:r w:rsidRPr="00306ECD">
        <w:rPr>
          <w:rFonts w:ascii="Verdana" w:hAnsi="Verdana" w:cs="Arial"/>
          <w:sz w:val="14"/>
          <w:szCs w:val="14"/>
          <w:lang w:val="es-CO"/>
        </w:rPr>
        <w:t>Exp. 70.313. C.P: Fredy Ibarra Martínez</w:t>
      </w:r>
    </w:p>
    <w:p w14:paraId="5C4A50E7" w14:textId="77777777" w:rsidR="00916B6A" w:rsidRPr="00306ECD" w:rsidRDefault="00916B6A" w:rsidP="00916B6A">
      <w:pPr>
        <w:pStyle w:val="Textonotapie"/>
        <w:ind w:firstLine="709"/>
        <w:jc w:val="both"/>
        <w:rPr>
          <w:rFonts w:ascii="Verdana" w:hAnsi="Verdana"/>
          <w:sz w:val="14"/>
          <w:szCs w:val="14"/>
          <w:lang w:val="es-CO"/>
        </w:rPr>
      </w:pPr>
    </w:p>
  </w:footnote>
  <w:footnote w:id="27">
    <w:p w14:paraId="2A0E8FA0" w14:textId="77777777" w:rsidR="00916B6A" w:rsidRPr="00306ECD" w:rsidRDefault="00916B6A" w:rsidP="00916B6A">
      <w:pPr>
        <w:pStyle w:val="Textonotapie"/>
        <w:ind w:firstLine="709"/>
        <w:jc w:val="both"/>
        <w:rPr>
          <w:rFonts w:ascii="Verdana" w:hAnsi="Verdana" w:cs="Arial"/>
          <w:sz w:val="14"/>
          <w:szCs w:val="14"/>
        </w:rPr>
      </w:pPr>
      <w:r w:rsidRPr="00306ECD">
        <w:rPr>
          <w:rStyle w:val="Refdenotaalpie"/>
          <w:rFonts w:ascii="Verdana" w:hAnsi="Verdana" w:cs="Arial"/>
          <w:sz w:val="14"/>
          <w:szCs w:val="14"/>
        </w:rPr>
        <w:footnoteRef/>
      </w:r>
      <w:r w:rsidRPr="00306ECD">
        <w:rPr>
          <w:rFonts w:ascii="Verdana" w:hAnsi="Verdana" w:cs="Arial"/>
          <w:sz w:val="14"/>
          <w:szCs w:val="14"/>
        </w:rPr>
        <w:t xml:space="preserve"> Consejo de Estado. Sala de Consulta y Servicio Civil. Concepto del 15 de noviembre de 2007. Expediente número 1863. Consejero Ponente: Luis Fernando Álvarez Jaramillo.</w:t>
      </w:r>
    </w:p>
    <w:p w14:paraId="0BA8C193" w14:textId="77777777" w:rsidR="00916B6A" w:rsidRPr="00306ECD" w:rsidRDefault="00916B6A" w:rsidP="00916B6A">
      <w:pPr>
        <w:pStyle w:val="Textonotapie"/>
        <w:ind w:firstLine="709"/>
        <w:jc w:val="both"/>
        <w:rPr>
          <w:rFonts w:ascii="Verdana" w:hAnsi="Verdana" w:cs="Arial"/>
          <w:sz w:val="14"/>
          <w:szCs w:val="14"/>
        </w:rPr>
      </w:pPr>
    </w:p>
    <w:p w14:paraId="6416CCB6" w14:textId="77777777" w:rsidR="00916B6A" w:rsidRPr="00306ECD" w:rsidRDefault="00916B6A" w:rsidP="00916B6A">
      <w:pPr>
        <w:pStyle w:val="Textonotapie"/>
        <w:ind w:firstLine="709"/>
        <w:jc w:val="both"/>
        <w:rPr>
          <w:rFonts w:ascii="Verdana" w:hAnsi="Verdana" w:cs="Arial"/>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C8E49A"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3EB628B8" wp14:editId="6D44EA57">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07DF0119" wp14:editId="1139C8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2F6BCFD" w14:textId="77777777" w:rsidR="00515FB5" w:rsidRDefault="00515FB5" w:rsidP="00515FB5">
    <w:pPr>
      <w:pStyle w:val="Encabezado"/>
    </w:pPr>
  </w:p>
  <w:p w14:paraId="3EBD15F8" w14:textId="77777777" w:rsidR="00515FB5" w:rsidRDefault="00515FB5" w:rsidP="00515FB5">
    <w:pPr>
      <w:pStyle w:val="Encabezado"/>
    </w:pPr>
  </w:p>
  <w:p w14:paraId="77009FAF" w14:textId="77777777" w:rsidR="00515FB5" w:rsidRDefault="00515FB5" w:rsidP="00515FB5">
    <w:pPr>
      <w:pStyle w:val="Encabezado"/>
    </w:pPr>
  </w:p>
  <w:p w14:paraId="6DFAFF8C" w14:textId="77777777" w:rsidR="00515FB5" w:rsidRPr="00AB7B56" w:rsidRDefault="00515FB5" w:rsidP="00515FB5">
    <w:pPr>
      <w:pStyle w:val="Encabezado"/>
    </w:pPr>
  </w:p>
  <w:p w14:paraId="512A8B2E"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jc w:val="left"/>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9126B28"/>
    <w:multiLevelType w:val="multilevel"/>
    <w:tmpl w:val="5EB4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0" w15:restartNumberingAfterBreak="0">
    <w:nsid w:val="4E7528FC"/>
    <w:multiLevelType w:val="multilevel"/>
    <w:tmpl w:val="17A456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3"/>
  </w:num>
  <w:num w:numId="4">
    <w:abstractNumId w:val="0"/>
  </w:num>
  <w:num w:numId="5">
    <w:abstractNumId w:val="9"/>
  </w:num>
  <w:num w:numId="6">
    <w:abstractNumId w:val="1"/>
  </w:num>
  <w:num w:numId="7">
    <w:abstractNumId w:val="5"/>
  </w:num>
  <w:num w:numId="8">
    <w:abstractNumId w:val="7"/>
  </w:num>
  <w:num w:numId="9">
    <w:abstractNumId w:val="4"/>
  </w:num>
  <w:num w:numId="10">
    <w:abstractNumId w:val="10"/>
  </w:num>
  <w:num w:numId="11">
    <w:abstractNumId w:val="8"/>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0B6"/>
    <w:rsid w:val="000016F3"/>
    <w:rsid w:val="000037AE"/>
    <w:rsid w:val="00005BB0"/>
    <w:rsid w:val="0001025F"/>
    <w:rsid w:val="0001222D"/>
    <w:rsid w:val="000135EB"/>
    <w:rsid w:val="00015D2B"/>
    <w:rsid w:val="00031584"/>
    <w:rsid w:val="00032A0E"/>
    <w:rsid w:val="00037347"/>
    <w:rsid w:val="000442CC"/>
    <w:rsid w:val="000556D4"/>
    <w:rsid w:val="000716AB"/>
    <w:rsid w:val="00082E4C"/>
    <w:rsid w:val="000849D5"/>
    <w:rsid w:val="0008528F"/>
    <w:rsid w:val="00096EE9"/>
    <w:rsid w:val="000A6E0C"/>
    <w:rsid w:val="000A7A56"/>
    <w:rsid w:val="000B1FF7"/>
    <w:rsid w:val="000B2513"/>
    <w:rsid w:val="000B4024"/>
    <w:rsid w:val="000C3C51"/>
    <w:rsid w:val="000C7262"/>
    <w:rsid w:val="000D2A7F"/>
    <w:rsid w:val="000D4FCE"/>
    <w:rsid w:val="0011037E"/>
    <w:rsid w:val="001363C7"/>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143B"/>
    <w:rsid w:val="001B21CA"/>
    <w:rsid w:val="001C04FC"/>
    <w:rsid w:val="001C25A3"/>
    <w:rsid w:val="001C5D03"/>
    <w:rsid w:val="001C7771"/>
    <w:rsid w:val="001D62FF"/>
    <w:rsid w:val="001F3F48"/>
    <w:rsid w:val="002000AA"/>
    <w:rsid w:val="00204109"/>
    <w:rsid w:val="00211E6E"/>
    <w:rsid w:val="00212A46"/>
    <w:rsid w:val="0021401D"/>
    <w:rsid w:val="002146B8"/>
    <w:rsid w:val="00215516"/>
    <w:rsid w:val="002527C2"/>
    <w:rsid w:val="00270443"/>
    <w:rsid w:val="00270EE2"/>
    <w:rsid w:val="00272972"/>
    <w:rsid w:val="00286491"/>
    <w:rsid w:val="002A0F8D"/>
    <w:rsid w:val="002B6E44"/>
    <w:rsid w:val="002B74B1"/>
    <w:rsid w:val="002E1DB5"/>
    <w:rsid w:val="002F6CCB"/>
    <w:rsid w:val="0030461E"/>
    <w:rsid w:val="003107A1"/>
    <w:rsid w:val="0032756A"/>
    <w:rsid w:val="00334EF8"/>
    <w:rsid w:val="00336408"/>
    <w:rsid w:val="00340DFB"/>
    <w:rsid w:val="0034404F"/>
    <w:rsid w:val="00356980"/>
    <w:rsid w:val="00367462"/>
    <w:rsid w:val="00371ECA"/>
    <w:rsid w:val="00372748"/>
    <w:rsid w:val="0037332A"/>
    <w:rsid w:val="0038151A"/>
    <w:rsid w:val="0039082A"/>
    <w:rsid w:val="00390C21"/>
    <w:rsid w:val="003A37BD"/>
    <w:rsid w:val="003B6D94"/>
    <w:rsid w:val="003C4C96"/>
    <w:rsid w:val="003C55E0"/>
    <w:rsid w:val="003F519B"/>
    <w:rsid w:val="0040544F"/>
    <w:rsid w:val="00406A19"/>
    <w:rsid w:val="0041222D"/>
    <w:rsid w:val="0041483E"/>
    <w:rsid w:val="00415369"/>
    <w:rsid w:val="00430492"/>
    <w:rsid w:val="00450BE7"/>
    <w:rsid w:val="00463A6C"/>
    <w:rsid w:val="0046741E"/>
    <w:rsid w:val="00472CC6"/>
    <w:rsid w:val="0048026E"/>
    <w:rsid w:val="004807A9"/>
    <w:rsid w:val="004813EE"/>
    <w:rsid w:val="00493278"/>
    <w:rsid w:val="004943D9"/>
    <w:rsid w:val="004A0E7B"/>
    <w:rsid w:val="004A3498"/>
    <w:rsid w:val="004B0C45"/>
    <w:rsid w:val="004C0AB2"/>
    <w:rsid w:val="004C1619"/>
    <w:rsid w:val="004C1A26"/>
    <w:rsid w:val="004C1CC9"/>
    <w:rsid w:val="004C3755"/>
    <w:rsid w:val="004C4485"/>
    <w:rsid w:val="004D11AF"/>
    <w:rsid w:val="00500DFA"/>
    <w:rsid w:val="005019AA"/>
    <w:rsid w:val="005021BB"/>
    <w:rsid w:val="005139E7"/>
    <w:rsid w:val="005147DA"/>
    <w:rsid w:val="00515FB5"/>
    <w:rsid w:val="0052365C"/>
    <w:rsid w:val="005271EB"/>
    <w:rsid w:val="005426DB"/>
    <w:rsid w:val="0055082B"/>
    <w:rsid w:val="00552503"/>
    <w:rsid w:val="00552B57"/>
    <w:rsid w:val="00557DA1"/>
    <w:rsid w:val="0056322C"/>
    <w:rsid w:val="005720B6"/>
    <w:rsid w:val="0058743A"/>
    <w:rsid w:val="005A4DB0"/>
    <w:rsid w:val="005A7B8E"/>
    <w:rsid w:val="005B012B"/>
    <w:rsid w:val="005B0C87"/>
    <w:rsid w:val="005D23F6"/>
    <w:rsid w:val="005D2FA8"/>
    <w:rsid w:val="005E2281"/>
    <w:rsid w:val="005E667C"/>
    <w:rsid w:val="005F077C"/>
    <w:rsid w:val="005F63D0"/>
    <w:rsid w:val="005F663F"/>
    <w:rsid w:val="005F7973"/>
    <w:rsid w:val="0061690E"/>
    <w:rsid w:val="00627361"/>
    <w:rsid w:val="0063017E"/>
    <w:rsid w:val="00631B28"/>
    <w:rsid w:val="00645B90"/>
    <w:rsid w:val="00650991"/>
    <w:rsid w:val="006511D7"/>
    <w:rsid w:val="00663D75"/>
    <w:rsid w:val="00670AEF"/>
    <w:rsid w:val="00675678"/>
    <w:rsid w:val="00677012"/>
    <w:rsid w:val="006825B4"/>
    <w:rsid w:val="00682AF2"/>
    <w:rsid w:val="006864DF"/>
    <w:rsid w:val="006A3C8A"/>
    <w:rsid w:val="006A7552"/>
    <w:rsid w:val="006B5953"/>
    <w:rsid w:val="006B7A81"/>
    <w:rsid w:val="006C4BAC"/>
    <w:rsid w:val="006C52F3"/>
    <w:rsid w:val="006E7F37"/>
    <w:rsid w:val="006F3B81"/>
    <w:rsid w:val="006F4F79"/>
    <w:rsid w:val="00705B37"/>
    <w:rsid w:val="00711FD9"/>
    <w:rsid w:val="00735062"/>
    <w:rsid w:val="00746BA5"/>
    <w:rsid w:val="00751D23"/>
    <w:rsid w:val="00770577"/>
    <w:rsid w:val="00777666"/>
    <w:rsid w:val="0078159B"/>
    <w:rsid w:val="00782E10"/>
    <w:rsid w:val="0078706B"/>
    <w:rsid w:val="00790836"/>
    <w:rsid w:val="00797131"/>
    <w:rsid w:val="007A3C1D"/>
    <w:rsid w:val="007B285D"/>
    <w:rsid w:val="007C6BC6"/>
    <w:rsid w:val="00801DCA"/>
    <w:rsid w:val="00805B33"/>
    <w:rsid w:val="00807D79"/>
    <w:rsid w:val="00813634"/>
    <w:rsid w:val="00822821"/>
    <w:rsid w:val="00831C29"/>
    <w:rsid w:val="00842FEF"/>
    <w:rsid w:val="008431EF"/>
    <w:rsid w:val="008468E0"/>
    <w:rsid w:val="008526E9"/>
    <w:rsid w:val="00863B82"/>
    <w:rsid w:val="00871B59"/>
    <w:rsid w:val="00877D03"/>
    <w:rsid w:val="00877E96"/>
    <w:rsid w:val="008806CA"/>
    <w:rsid w:val="008815E5"/>
    <w:rsid w:val="00887B37"/>
    <w:rsid w:val="008909B9"/>
    <w:rsid w:val="00891DFC"/>
    <w:rsid w:val="008B12B4"/>
    <w:rsid w:val="008B7914"/>
    <w:rsid w:val="008C5D2A"/>
    <w:rsid w:val="008C7AF4"/>
    <w:rsid w:val="008D529F"/>
    <w:rsid w:val="008D7267"/>
    <w:rsid w:val="008F5CC8"/>
    <w:rsid w:val="009061B8"/>
    <w:rsid w:val="0091008B"/>
    <w:rsid w:val="00911EA2"/>
    <w:rsid w:val="00916B6A"/>
    <w:rsid w:val="00916C7D"/>
    <w:rsid w:val="0092575D"/>
    <w:rsid w:val="009341DA"/>
    <w:rsid w:val="009430F9"/>
    <w:rsid w:val="009442E8"/>
    <w:rsid w:val="00946BD0"/>
    <w:rsid w:val="0095426C"/>
    <w:rsid w:val="00970087"/>
    <w:rsid w:val="00971074"/>
    <w:rsid w:val="009816B6"/>
    <w:rsid w:val="00983695"/>
    <w:rsid w:val="00995D86"/>
    <w:rsid w:val="009A5453"/>
    <w:rsid w:val="009B4D94"/>
    <w:rsid w:val="009C2871"/>
    <w:rsid w:val="009D3C33"/>
    <w:rsid w:val="009D7F3A"/>
    <w:rsid w:val="009E295D"/>
    <w:rsid w:val="009E35F8"/>
    <w:rsid w:val="009E4885"/>
    <w:rsid w:val="00A07DB6"/>
    <w:rsid w:val="00A10A73"/>
    <w:rsid w:val="00A170B3"/>
    <w:rsid w:val="00A223D5"/>
    <w:rsid w:val="00A37D1C"/>
    <w:rsid w:val="00A47E64"/>
    <w:rsid w:val="00A5453E"/>
    <w:rsid w:val="00A56F6C"/>
    <w:rsid w:val="00A76C8C"/>
    <w:rsid w:val="00A85F30"/>
    <w:rsid w:val="00A9099E"/>
    <w:rsid w:val="00A91FB7"/>
    <w:rsid w:val="00A9298F"/>
    <w:rsid w:val="00AA0351"/>
    <w:rsid w:val="00AA5F4A"/>
    <w:rsid w:val="00AB1984"/>
    <w:rsid w:val="00AB52B1"/>
    <w:rsid w:val="00AC4CB3"/>
    <w:rsid w:val="00AC780D"/>
    <w:rsid w:val="00AD036B"/>
    <w:rsid w:val="00AD1996"/>
    <w:rsid w:val="00AD4099"/>
    <w:rsid w:val="00AD4901"/>
    <w:rsid w:val="00AE10E4"/>
    <w:rsid w:val="00B02FE0"/>
    <w:rsid w:val="00B057B6"/>
    <w:rsid w:val="00B2575B"/>
    <w:rsid w:val="00B30448"/>
    <w:rsid w:val="00B34786"/>
    <w:rsid w:val="00B400EC"/>
    <w:rsid w:val="00B40162"/>
    <w:rsid w:val="00B41ACE"/>
    <w:rsid w:val="00B50156"/>
    <w:rsid w:val="00B518AD"/>
    <w:rsid w:val="00B60A96"/>
    <w:rsid w:val="00B678EC"/>
    <w:rsid w:val="00B76C94"/>
    <w:rsid w:val="00B772D0"/>
    <w:rsid w:val="00B836EA"/>
    <w:rsid w:val="00B84C05"/>
    <w:rsid w:val="00B91B81"/>
    <w:rsid w:val="00B97135"/>
    <w:rsid w:val="00BB3072"/>
    <w:rsid w:val="00BC7632"/>
    <w:rsid w:val="00BD48A9"/>
    <w:rsid w:val="00BD630F"/>
    <w:rsid w:val="00BD7EC6"/>
    <w:rsid w:val="00BE73FA"/>
    <w:rsid w:val="00BF389B"/>
    <w:rsid w:val="00BF6B4B"/>
    <w:rsid w:val="00C0174E"/>
    <w:rsid w:val="00C0511C"/>
    <w:rsid w:val="00C20ACF"/>
    <w:rsid w:val="00C22307"/>
    <w:rsid w:val="00C23469"/>
    <w:rsid w:val="00C30C62"/>
    <w:rsid w:val="00C371DF"/>
    <w:rsid w:val="00C42055"/>
    <w:rsid w:val="00C44B4C"/>
    <w:rsid w:val="00C46734"/>
    <w:rsid w:val="00C47A86"/>
    <w:rsid w:val="00C53220"/>
    <w:rsid w:val="00CA3347"/>
    <w:rsid w:val="00CC299A"/>
    <w:rsid w:val="00CD03E3"/>
    <w:rsid w:val="00CE6BDA"/>
    <w:rsid w:val="00D03DBE"/>
    <w:rsid w:val="00D072C0"/>
    <w:rsid w:val="00D34C82"/>
    <w:rsid w:val="00D3757A"/>
    <w:rsid w:val="00D504A9"/>
    <w:rsid w:val="00D5206D"/>
    <w:rsid w:val="00D7177D"/>
    <w:rsid w:val="00D81311"/>
    <w:rsid w:val="00DB201E"/>
    <w:rsid w:val="00DC0E68"/>
    <w:rsid w:val="00DD25ED"/>
    <w:rsid w:val="00DE0D6E"/>
    <w:rsid w:val="00E1610C"/>
    <w:rsid w:val="00E16D73"/>
    <w:rsid w:val="00E23E9E"/>
    <w:rsid w:val="00E25722"/>
    <w:rsid w:val="00E27F0A"/>
    <w:rsid w:val="00E4231E"/>
    <w:rsid w:val="00E4302C"/>
    <w:rsid w:val="00E44AC7"/>
    <w:rsid w:val="00E45F4B"/>
    <w:rsid w:val="00E60A16"/>
    <w:rsid w:val="00E72D20"/>
    <w:rsid w:val="00E82B6E"/>
    <w:rsid w:val="00E94258"/>
    <w:rsid w:val="00E96C18"/>
    <w:rsid w:val="00EA2E61"/>
    <w:rsid w:val="00EA7D7F"/>
    <w:rsid w:val="00EB02F4"/>
    <w:rsid w:val="00EB2FA2"/>
    <w:rsid w:val="00EB769A"/>
    <w:rsid w:val="00EC3A35"/>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4212C"/>
    <w:rsid w:val="00F53BE2"/>
    <w:rsid w:val="00F55684"/>
    <w:rsid w:val="00F64D5A"/>
    <w:rsid w:val="00F709CD"/>
    <w:rsid w:val="00F906F4"/>
    <w:rsid w:val="00FA0716"/>
    <w:rsid w:val="00FB4629"/>
    <w:rsid w:val="00FB6FB1"/>
    <w:rsid w:val="00FB7063"/>
    <w:rsid w:val="00FC7056"/>
    <w:rsid w:val="00FE1A00"/>
    <w:rsid w:val="024D7E2C"/>
    <w:rsid w:val="0D2EB883"/>
    <w:rsid w:val="0D8163B6"/>
    <w:rsid w:val="13A69650"/>
    <w:rsid w:val="18C10F1C"/>
    <w:rsid w:val="1BB32F19"/>
    <w:rsid w:val="1F2C3AF5"/>
    <w:rsid w:val="1F9252E4"/>
    <w:rsid w:val="1FF4886A"/>
    <w:rsid w:val="22D2584A"/>
    <w:rsid w:val="28751A95"/>
    <w:rsid w:val="29FA8189"/>
    <w:rsid w:val="2C00A012"/>
    <w:rsid w:val="2F421DDF"/>
    <w:rsid w:val="389994B3"/>
    <w:rsid w:val="3B30A011"/>
    <w:rsid w:val="3B93C128"/>
    <w:rsid w:val="3CFBE104"/>
    <w:rsid w:val="510454D8"/>
    <w:rsid w:val="521E120A"/>
    <w:rsid w:val="5D8505AD"/>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5ADFB6"/>
  <w15:docId w15:val="{2C677D90-2761-CC49-8040-53F2B846A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paragraph" w:styleId="Ttulo3">
    <w:name w:val="heading 3"/>
    <w:basedOn w:val="Normal"/>
    <w:link w:val="Ttulo3Car"/>
    <w:uiPriority w:val="9"/>
    <w:qFormat/>
    <w:rsid w:val="00916B6A"/>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link w:val="NormalWebCar"/>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1"/>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character" w:customStyle="1" w:styleId="NormalWebCar">
    <w:name w:val="Normal (Web) Car"/>
    <w:link w:val="NormalWeb"/>
    <w:uiPriority w:val="99"/>
    <w:locked/>
    <w:rsid w:val="00916B6A"/>
    <w:rPr>
      <w:rFonts w:ascii="Times New Roman" w:hAnsi="Times New Roman" w:cs="Times New Roman"/>
      <w:sz w:val="24"/>
      <w:szCs w:val="24"/>
    </w:rPr>
  </w:style>
  <w:style w:type="character" w:customStyle="1" w:styleId="baj">
    <w:name w:val="b_aj"/>
    <w:basedOn w:val="Fuentedeprrafopredeter"/>
    <w:rsid w:val="00916B6A"/>
  </w:style>
  <w:style w:type="character" w:customStyle="1" w:styleId="Ttulo3Car">
    <w:name w:val="Título 3 Car"/>
    <w:basedOn w:val="Fuentedeprrafopredeter"/>
    <w:link w:val="Ttulo3"/>
    <w:uiPriority w:val="9"/>
    <w:rsid w:val="00916B6A"/>
    <w:rPr>
      <w:rFonts w:ascii="Times New Roman" w:eastAsia="Times New Roman" w:hAnsi="Times New Roman" w:cs="Times New Roman"/>
      <w:b/>
      <w:bCs/>
      <w:sz w:val="27"/>
      <w:szCs w:val="27"/>
      <w:lang w:eastAsia="es-MX"/>
    </w:rPr>
  </w:style>
  <w:style w:type="character" w:customStyle="1" w:styleId="citation-91">
    <w:name w:val="citation-91"/>
    <w:basedOn w:val="Fuentedeprrafopredeter"/>
    <w:rsid w:val="00805B33"/>
  </w:style>
  <w:style w:type="character" w:customStyle="1" w:styleId="citation-90">
    <w:name w:val="citation-90"/>
    <w:basedOn w:val="Fuentedeprrafopredeter"/>
    <w:rsid w:val="00805B33"/>
  </w:style>
  <w:style w:type="character" w:customStyle="1" w:styleId="citation-89">
    <w:name w:val="citation-89"/>
    <w:basedOn w:val="Fuentedeprrafopredeter"/>
    <w:rsid w:val="00805B33"/>
  </w:style>
  <w:style w:type="character" w:customStyle="1" w:styleId="citation-88">
    <w:name w:val="citation-88"/>
    <w:basedOn w:val="Fuentedeprrafopredeter"/>
    <w:rsid w:val="00805B33"/>
  </w:style>
  <w:style w:type="character" w:customStyle="1" w:styleId="citation-87">
    <w:name w:val="citation-87"/>
    <w:basedOn w:val="Fuentedeprrafopredeter"/>
    <w:rsid w:val="00805B33"/>
  </w:style>
  <w:style w:type="character" w:customStyle="1" w:styleId="citation-86">
    <w:name w:val="citation-86"/>
    <w:basedOn w:val="Fuentedeprrafopredeter"/>
    <w:rsid w:val="00805B33"/>
  </w:style>
  <w:style w:type="character" w:customStyle="1" w:styleId="citation-85">
    <w:name w:val="citation-85"/>
    <w:basedOn w:val="Fuentedeprrafopredeter"/>
    <w:rsid w:val="00805B33"/>
  </w:style>
  <w:style w:type="character" w:customStyle="1" w:styleId="citation-84">
    <w:name w:val="citation-84"/>
    <w:basedOn w:val="Fuentedeprrafopredeter"/>
    <w:rsid w:val="00805B33"/>
  </w:style>
  <w:style w:type="character" w:customStyle="1" w:styleId="citation-83">
    <w:name w:val="citation-83"/>
    <w:basedOn w:val="Fuentedeprrafopredeter"/>
    <w:rsid w:val="00805B33"/>
  </w:style>
  <w:style w:type="character" w:customStyle="1" w:styleId="citation-82">
    <w:name w:val="citation-82"/>
    <w:basedOn w:val="Fuentedeprrafopredeter"/>
    <w:rsid w:val="00805B33"/>
  </w:style>
  <w:style w:type="character" w:customStyle="1" w:styleId="citation-81">
    <w:name w:val="citation-81"/>
    <w:basedOn w:val="Fuentedeprrafopredeter"/>
    <w:rsid w:val="00805B33"/>
  </w:style>
  <w:style w:type="character" w:customStyle="1" w:styleId="citation-80">
    <w:name w:val="citation-80"/>
    <w:basedOn w:val="Fuentedeprrafopredeter"/>
    <w:rsid w:val="00805B33"/>
  </w:style>
  <w:style w:type="character" w:customStyle="1" w:styleId="citation-79">
    <w:name w:val="citation-79"/>
    <w:basedOn w:val="Fuentedeprrafopredeter"/>
    <w:rsid w:val="00805B33"/>
  </w:style>
  <w:style w:type="character" w:customStyle="1" w:styleId="citation-78">
    <w:name w:val="citation-78"/>
    <w:basedOn w:val="Fuentedeprrafopredeter"/>
    <w:rsid w:val="00805B33"/>
  </w:style>
  <w:style w:type="character" w:customStyle="1" w:styleId="citation-122">
    <w:name w:val="citation-122"/>
    <w:basedOn w:val="Fuentedeprrafopredeter"/>
    <w:rsid w:val="00A47E64"/>
  </w:style>
  <w:style w:type="character" w:customStyle="1" w:styleId="citation-121">
    <w:name w:val="citation-121"/>
    <w:basedOn w:val="Fuentedeprrafopredeter"/>
    <w:rsid w:val="00A47E64"/>
  </w:style>
  <w:style w:type="character" w:customStyle="1" w:styleId="citation-120">
    <w:name w:val="citation-120"/>
    <w:basedOn w:val="Fuentedeprrafopredeter"/>
    <w:rsid w:val="00A47E64"/>
  </w:style>
  <w:style w:type="character" w:customStyle="1" w:styleId="citation-119">
    <w:name w:val="citation-119"/>
    <w:basedOn w:val="Fuentedeprrafopredeter"/>
    <w:rsid w:val="00A47E64"/>
  </w:style>
  <w:style w:type="character" w:customStyle="1" w:styleId="citation-118">
    <w:name w:val="citation-118"/>
    <w:basedOn w:val="Fuentedeprrafopredeter"/>
    <w:rsid w:val="00A47E64"/>
  </w:style>
  <w:style w:type="character" w:customStyle="1" w:styleId="citation-117">
    <w:name w:val="citation-117"/>
    <w:basedOn w:val="Fuentedeprrafopredeter"/>
    <w:rsid w:val="00A47E64"/>
  </w:style>
  <w:style w:type="character" w:customStyle="1" w:styleId="citation-116">
    <w:name w:val="citation-116"/>
    <w:basedOn w:val="Fuentedeprrafopredeter"/>
    <w:rsid w:val="00A47E64"/>
  </w:style>
  <w:style w:type="character" w:customStyle="1" w:styleId="citation-115">
    <w:name w:val="citation-115"/>
    <w:basedOn w:val="Fuentedeprrafopredeter"/>
    <w:rsid w:val="00A47E64"/>
  </w:style>
  <w:style w:type="character" w:customStyle="1" w:styleId="citation-114">
    <w:name w:val="citation-114"/>
    <w:basedOn w:val="Fuentedeprrafopredeter"/>
    <w:rsid w:val="00A47E64"/>
  </w:style>
  <w:style w:type="character" w:customStyle="1" w:styleId="citation-113">
    <w:name w:val="citation-113"/>
    <w:basedOn w:val="Fuentedeprrafopredeter"/>
    <w:rsid w:val="00A47E64"/>
  </w:style>
  <w:style w:type="character" w:customStyle="1" w:styleId="citation-112">
    <w:name w:val="citation-112"/>
    <w:basedOn w:val="Fuentedeprrafopredeter"/>
    <w:rsid w:val="00A47E64"/>
  </w:style>
  <w:style w:type="character" w:customStyle="1" w:styleId="citation-111">
    <w:name w:val="citation-111"/>
    <w:basedOn w:val="Fuentedeprrafopredeter"/>
    <w:rsid w:val="00A47E64"/>
  </w:style>
  <w:style w:type="character" w:customStyle="1" w:styleId="citation-110">
    <w:name w:val="citation-110"/>
    <w:basedOn w:val="Fuentedeprrafopredeter"/>
    <w:rsid w:val="00A47E64"/>
  </w:style>
  <w:style w:type="character" w:customStyle="1" w:styleId="citation-109">
    <w:name w:val="citation-109"/>
    <w:basedOn w:val="Fuentedeprrafopredeter"/>
    <w:rsid w:val="00A47E64"/>
  </w:style>
  <w:style w:type="character" w:customStyle="1" w:styleId="citation-108">
    <w:name w:val="citation-108"/>
    <w:basedOn w:val="Fuentedeprrafopredeter"/>
    <w:rsid w:val="00A47E64"/>
  </w:style>
  <w:style w:type="character" w:customStyle="1" w:styleId="citation-107">
    <w:name w:val="citation-107"/>
    <w:basedOn w:val="Fuentedeprrafopredeter"/>
    <w:rsid w:val="00A47E64"/>
  </w:style>
  <w:style w:type="character" w:customStyle="1" w:styleId="citation-106">
    <w:name w:val="citation-106"/>
    <w:basedOn w:val="Fuentedeprrafopredeter"/>
    <w:rsid w:val="00A47E64"/>
  </w:style>
  <w:style w:type="character" w:customStyle="1" w:styleId="citation-105">
    <w:name w:val="citation-105"/>
    <w:basedOn w:val="Fuentedeprrafopredeter"/>
    <w:rsid w:val="00A47E64"/>
  </w:style>
  <w:style w:type="character" w:customStyle="1" w:styleId="citation-104">
    <w:name w:val="citation-104"/>
    <w:basedOn w:val="Fuentedeprrafopredeter"/>
    <w:rsid w:val="00A47E64"/>
  </w:style>
  <w:style w:type="character" w:customStyle="1" w:styleId="citation-103">
    <w:name w:val="citation-103"/>
    <w:basedOn w:val="Fuentedeprrafopredeter"/>
    <w:rsid w:val="00A47E64"/>
  </w:style>
  <w:style w:type="character" w:customStyle="1" w:styleId="citation-102">
    <w:name w:val="citation-102"/>
    <w:basedOn w:val="Fuentedeprrafopredeter"/>
    <w:rsid w:val="00A47E64"/>
  </w:style>
  <w:style w:type="character" w:customStyle="1" w:styleId="citation-101">
    <w:name w:val="citation-101"/>
    <w:basedOn w:val="Fuentedeprrafopredeter"/>
    <w:rsid w:val="00A47E64"/>
  </w:style>
  <w:style w:type="character" w:customStyle="1" w:styleId="citation-100">
    <w:name w:val="citation-100"/>
    <w:basedOn w:val="Fuentedeprrafopredeter"/>
    <w:rsid w:val="00A47E64"/>
  </w:style>
  <w:style w:type="character" w:customStyle="1" w:styleId="citation-99">
    <w:name w:val="citation-99"/>
    <w:basedOn w:val="Fuentedeprrafopredeter"/>
    <w:rsid w:val="00A47E64"/>
  </w:style>
  <w:style w:type="character" w:customStyle="1" w:styleId="citation-98">
    <w:name w:val="citation-98"/>
    <w:basedOn w:val="Fuentedeprrafopredeter"/>
    <w:rsid w:val="00A47E64"/>
  </w:style>
  <w:style w:type="character" w:customStyle="1" w:styleId="citation-97">
    <w:name w:val="citation-97"/>
    <w:basedOn w:val="Fuentedeprrafopredeter"/>
    <w:rsid w:val="00A47E64"/>
  </w:style>
  <w:style w:type="character" w:customStyle="1" w:styleId="citation-96">
    <w:name w:val="citation-96"/>
    <w:basedOn w:val="Fuentedeprrafopredeter"/>
    <w:rsid w:val="00A47E64"/>
  </w:style>
  <w:style w:type="character" w:customStyle="1" w:styleId="citation-95">
    <w:name w:val="citation-95"/>
    <w:basedOn w:val="Fuentedeprrafopredeter"/>
    <w:rsid w:val="00A47E64"/>
  </w:style>
  <w:style w:type="character" w:customStyle="1" w:styleId="citation-94">
    <w:name w:val="citation-94"/>
    <w:basedOn w:val="Fuentedeprrafopredeter"/>
    <w:rsid w:val="00A47E64"/>
  </w:style>
  <w:style w:type="character" w:customStyle="1" w:styleId="citation-93">
    <w:name w:val="citation-93"/>
    <w:basedOn w:val="Fuentedeprrafopredeter"/>
    <w:rsid w:val="00A47E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ersoneria@personeriatulua.gov.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e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Props1.xml><?xml version="1.0" encoding="utf-8"?>
<ds:datastoreItem xmlns:ds="http://schemas.openxmlformats.org/officeDocument/2006/customXml" ds:itemID="{4D4AE48D-B7CF-4D16-8BD5-BCA232997B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3B8AE37-E1F3-4B08-98E9-52F0B3FA79CF}">
  <ds:schemaRefs>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9d85dbaf-23eb-4e57-a637-93dcacc8b1a1"/>
    <ds:schemaRef ds:uri="http://schemas.microsoft.com/office/2006/metadata/properties"/>
    <ds:schemaRef ds:uri="http://purl.org/dc/dcmitype/"/>
    <ds:schemaRef ds:uri="a6cb9e4b-f1d1-4245-83ec-6cad768d538a"/>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26</Pages>
  <Words>7790</Words>
  <Characters>42851</Characters>
  <Application>Microsoft Office Word</Application>
  <DocSecurity>0</DocSecurity>
  <Lines>357</Lines>
  <Paragraphs>101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Betty Elena Díaz Fernandez</cp:lastModifiedBy>
  <cp:revision>2</cp:revision>
  <dcterms:created xsi:type="dcterms:W3CDTF">2025-11-03T15:22:00Z</dcterms:created>
  <dcterms:modified xsi:type="dcterms:W3CDTF">2025-11-03T15:22:00Z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