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1F39FF" w14:textId="77777777" w:rsidR="00326E56" w:rsidRPr="001E5AD4" w:rsidRDefault="00326E56" w:rsidP="00326E56">
      <w:pPr>
        <w:snapToGrid w:val="0"/>
        <w:contextualSpacing/>
        <w:jc w:val="both"/>
        <w:rPr>
          <w:rFonts w:ascii="Verdana" w:eastAsia="Calibri" w:hAnsi="Verdana" w:cs="Arial"/>
          <w:b/>
          <w:bCs/>
          <w:lang w:val="es-ES" w:eastAsia="es-ES"/>
        </w:rPr>
      </w:pPr>
      <w:r w:rsidRPr="001E5AD4">
        <w:rPr>
          <w:rFonts w:ascii="Verdana" w:eastAsia="Calibri" w:hAnsi="Verdana" w:cs="Arial"/>
          <w:b/>
          <w:bCs/>
          <w:lang w:val="es-ES" w:eastAsia="es-ES"/>
        </w:rPr>
        <w:t>LEY DE GARANTÍAS ELECTORALES – Finalidad</w:t>
      </w:r>
    </w:p>
    <w:p w14:paraId="2F00A508" w14:textId="77777777" w:rsidR="00326E56" w:rsidRPr="001E5AD4" w:rsidRDefault="00326E56" w:rsidP="00326E56">
      <w:pPr>
        <w:snapToGrid w:val="0"/>
        <w:spacing w:after="0" w:line="240" w:lineRule="auto"/>
        <w:contextualSpacing/>
        <w:jc w:val="both"/>
        <w:rPr>
          <w:rFonts w:ascii="Verdana" w:eastAsia="Calibri" w:hAnsi="Verdana" w:cs="Arial"/>
          <w:sz w:val="20"/>
          <w:szCs w:val="20"/>
          <w:lang w:val="es-ES" w:eastAsia="es-ES"/>
        </w:rPr>
      </w:pPr>
    </w:p>
    <w:p w14:paraId="46C802FD" w14:textId="77777777" w:rsidR="00326E56" w:rsidRPr="001E5AD4" w:rsidRDefault="00326E56" w:rsidP="00326E56">
      <w:pPr>
        <w:tabs>
          <w:tab w:val="left" w:pos="426"/>
        </w:tabs>
        <w:snapToGrid w:val="0"/>
        <w:spacing w:after="0" w:line="240" w:lineRule="auto"/>
        <w:contextualSpacing/>
        <w:jc w:val="both"/>
        <w:rPr>
          <w:rFonts w:ascii="Verdana" w:eastAsia="Calibri" w:hAnsi="Verdana" w:cs="Arial"/>
          <w:sz w:val="20"/>
          <w:szCs w:val="20"/>
          <w:lang w:val="es-ES"/>
        </w:rPr>
      </w:pPr>
      <w:r w:rsidRPr="001E5AD4">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1E5AD4">
        <w:rPr>
          <w:rFonts w:ascii="Verdana" w:eastAsia="Calibri" w:hAnsi="Verdana" w:cs="Arial"/>
          <w:sz w:val="20"/>
          <w:szCs w:val="20"/>
          <w:lang w:val="es-ES"/>
        </w:rPr>
        <w:t xml:space="preserve"> </w:t>
      </w:r>
    </w:p>
    <w:p w14:paraId="02279103" w14:textId="77777777" w:rsidR="00326E56" w:rsidRPr="001E5AD4" w:rsidRDefault="00326E56" w:rsidP="00326E56">
      <w:pPr>
        <w:snapToGrid w:val="0"/>
        <w:spacing w:after="0" w:line="240" w:lineRule="auto"/>
        <w:contextualSpacing/>
        <w:jc w:val="both"/>
        <w:rPr>
          <w:rFonts w:ascii="Verdana" w:eastAsia="Calibri" w:hAnsi="Verdana" w:cs="Arial"/>
          <w:sz w:val="20"/>
          <w:szCs w:val="20"/>
          <w:lang w:val="es-ES" w:eastAsia="es-ES"/>
        </w:rPr>
      </w:pPr>
    </w:p>
    <w:p w14:paraId="42F2BF2F" w14:textId="77777777" w:rsidR="00326E56" w:rsidRPr="001E5AD4" w:rsidRDefault="00326E56" w:rsidP="00326E56">
      <w:pPr>
        <w:snapToGrid w:val="0"/>
        <w:contextualSpacing/>
        <w:jc w:val="both"/>
        <w:rPr>
          <w:rFonts w:ascii="Verdana" w:eastAsia="Calibri" w:hAnsi="Verdana" w:cs="Arial"/>
          <w:b/>
          <w:bCs/>
          <w:sz w:val="20"/>
          <w:szCs w:val="20"/>
          <w:lang w:val="es-ES" w:eastAsia="es-ES"/>
        </w:rPr>
      </w:pPr>
      <w:r w:rsidRPr="001E5AD4">
        <w:rPr>
          <w:rFonts w:ascii="Verdana" w:eastAsia="Calibri" w:hAnsi="Verdana" w:cs="Arial"/>
          <w:b/>
          <w:bCs/>
          <w:lang w:val="es-ES" w:eastAsia="es-ES"/>
        </w:rPr>
        <w:t>LEY DE GARANTÍAS ELECTORALES ‒ Restricciones ‒ Contratación ‒ Tipos de elección</w:t>
      </w:r>
    </w:p>
    <w:p w14:paraId="759D5686" w14:textId="77777777" w:rsidR="00326E56" w:rsidRPr="001E5AD4" w:rsidRDefault="00326E56" w:rsidP="00326E56">
      <w:pPr>
        <w:snapToGrid w:val="0"/>
        <w:spacing w:after="0" w:line="240" w:lineRule="auto"/>
        <w:contextualSpacing/>
        <w:jc w:val="both"/>
        <w:rPr>
          <w:rFonts w:ascii="Verdana" w:eastAsia="Calibri" w:hAnsi="Verdana" w:cs="Arial"/>
          <w:sz w:val="20"/>
          <w:szCs w:val="20"/>
          <w:lang w:val="es-ES" w:eastAsia="es-ES"/>
        </w:rPr>
      </w:pPr>
    </w:p>
    <w:p w14:paraId="300D4B77" w14:textId="77777777" w:rsidR="00326E56" w:rsidRDefault="00326E56" w:rsidP="00326E56">
      <w:pPr>
        <w:snapToGrid w:val="0"/>
        <w:spacing w:after="0" w:line="240" w:lineRule="auto"/>
        <w:contextualSpacing/>
        <w:jc w:val="both"/>
        <w:rPr>
          <w:rFonts w:ascii="Verdana" w:eastAsia="Calibri" w:hAnsi="Verdana" w:cs="Arial"/>
          <w:sz w:val="20"/>
          <w:szCs w:val="20"/>
          <w:lang w:val="es-ES"/>
        </w:rPr>
      </w:pPr>
      <w:r w:rsidRPr="001E5AD4">
        <w:rPr>
          <w:rFonts w:ascii="Verdana" w:eastAsia="Calibri" w:hAnsi="Verdana" w:cs="Arial"/>
          <w:sz w:val="20"/>
          <w:szCs w:val="20"/>
          <w:lang w:val="es-ES"/>
        </w:rPr>
        <w:t xml:space="preserve">Por un lado, el </w:t>
      </w:r>
      <w:r w:rsidRPr="001E5AD4">
        <w:rPr>
          <w:rFonts w:ascii="Verdana" w:eastAsia="Calibri" w:hAnsi="Verdana" w:cs="Arial"/>
          <w:i/>
          <w:iCs/>
          <w:sz w:val="20"/>
          <w:szCs w:val="20"/>
          <w:lang w:val="es-ES"/>
        </w:rPr>
        <w:t xml:space="preserve">artículo 33 </w:t>
      </w:r>
      <w:r w:rsidRPr="001E5AD4">
        <w:rPr>
          <w:rFonts w:ascii="Verdana" w:eastAsia="Calibri" w:hAnsi="Verdana" w:cs="Arial"/>
          <w:sz w:val="20"/>
          <w:szCs w:val="20"/>
          <w:lang w:val="es-ES"/>
        </w:rPr>
        <w:t xml:space="preserve">de la Ley 996 de 2005 prohíbe “[…] la contratación directa por parte de </w:t>
      </w:r>
      <w:r w:rsidRPr="001E5AD4">
        <w:rPr>
          <w:rFonts w:ascii="Verdana" w:eastAsia="Calibri" w:hAnsi="Verdana" w:cs="Arial"/>
          <w:i/>
          <w:iCs/>
          <w:sz w:val="20"/>
          <w:szCs w:val="20"/>
          <w:lang w:val="es-ES"/>
        </w:rPr>
        <w:t>todos los entes del Estado</w:t>
      </w:r>
      <w:r w:rsidRPr="001E5AD4">
        <w:rPr>
          <w:rFonts w:ascii="Verdana" w:eastAsia="Calibri" w:hAnsi="Verdana" w:cs="Arial"/>
          <w:sz w:val="20"/>
          <w:szCs w:val="20"/>
          <w:lang w:val="es-ES"/>
        </w:rPr>
        <w:t xml:space="preserve">” durante los cuatro (4) meses anteriores a las </w:t>
      </w:r>
      <w:r w:rsidRPr="001E5AD4">
        <w:rPr>
          <w:rFonts w:ascii="Verdana" w:eastAsia="Calibri" w:hAnsi="Verdana" w:cs="Arial"/>
          <w:i/>
          <w:iCs/>
          <w:sz w:val="20"/>
          <w:szCs w:val="20"/>
          <w:lang w:val="es-ES"/>
        </w:rPr>
        <w:t>elecciones presidenciales</w:t>
      </w:r>
      <w:r w:rsidRPr="001E5AD4">
        <w:rPr>
          <w:rFonts w:ascii="Verdana" w:eastAsia="Calibri"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0914E695" w14:textId="77777777" w:rsidR="00326E56" w:rsidRPr="001E5AD4" w:rsidRDefault="00326E56" w:rsidP="00326E56">
      <w:pPr>
        <w:snapToGrid w:val="0"/>
        <w:spacing w:after="0" w:line="240" w:lineRule="auto"/>
        <w:contextualSpacing/>
        <w:jc w:val="both"/>
        <w:rPr>
          <w:rFonts w:ascii="Verdana" w:eastAsia="Calibri" w:hAnsi="Verdana" w:cs="Arial"/>
          <w:sz w:val="20"/>
          <w:szCs w:val="20"/>
          <w:lang w:val="es-ES"/>
        </w:rPr>
      </w:pPr>
    </w:p>
    <w:p w14:paraId="01DE8726" w14:textId="77777777" w:rsidR="00326E56" w:rsidRPr="001E5AD4" w:rsidRDefault="00326E56" w:rsidP="00326E56">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1E5AD4">
        <w:rPr>
          <w:rFonts w:ascii="Verdana" w:eastAsia="Calibri" w:hAnsi="Verdana" w:cs="Arial"/>
          <w:sz w:val="20"/>
          <w:szCs w:val="20"/>
          <w:lang w:val="es-ES"/>
        </w:rPr>
        <w:t xml:space="preserve">Por otro lado, </w:t>
      </w:r>
      <w:r w:rsidRPr="001E5AD4">
        <w:rPr>
          <w:rFonts w:ascii="Verdana" w:eastAsia="Calibri" w:hAnsi="Verdana" w:cs="Arial"/>
          <w:i/>
          <w:iCs/>
          <w:sz w:val="20"/>
          <w:szCs w:val="20"/>
          <w:lang w:val="es-ES"/>
        </w:rPr>
        <w:t xml:space="preserve">el parágrafo del artículo 38 </w:t>
      </w:r>
      <w:r w:rsidRPr="001E5AD4">
        <w:rPr>
          <w:rFonts w:ascii="Verdana" w:eastAsia="Calibri" w:hAnsi="Verdana" w:cs="Arial"/>
          <w:sz w:val="20"/>
          <w:szCs w:val="20"/>
          <w:lang w:val="es-ES"/>
        </w:rPr>
        <w:t xml:space="preserve">de la Ley 996 de 2005 prevé una restricción, aplicable respecto de </w:t>
      </w:r>
      <w:r w:rsidRPr="001E5AD4">
        <w:rPr>
          <w:rFonts w:ascii="Verdana" w:eastAsia="Calibri" w:hAnsi="Verdana" w:cs="Arial"/>
          <w:i/>
          <w:iCs/>
          <w:sz w:val="20"/>
          <w:szCs w:val="20"/>
          <w:lang w:val="es-ES"/>
        </w:rPr>
        <w:t>cualquier tipo de contienda electoral</w:t>
      </w:r>
      <w:r w:rsidRPr="001E5AD4">
        <w:rPr>
          <w:rFonts w:ascii="Verdana" w:eastAsia="Calibri"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E5AD4">
        <w:rPr>
          <w:rFonts w:ascii="Verdana" w:eastAsia="Arial" w:hAnsi="Verdana" w:cs="Arial"/>
          <w:sz w:val="20"/>
          <w:szCs w:val="20"/>
          <w:lang w:val="es-ES" w:eastAsia="es-ES" w:bidi="es-ES"/>
        </w:rPr>
        <w:t xml:space="preserve"> </w:t>
      </w:r>
    </w:p>
    <w:p w14:paraId="50F365F1" w14:textId="77777777" w:rsidR="00326E56" w:rsidRPr="001E5AD4" w:rsidRDefault="00326E56" w:rsidP="00326E56">
      <w:pPr>
        <w:snapToGrid w:val="0"/>
        <w:spacing w:after="0" w:line="240" w:lineRule="auto"/>
        <w:contextualSpacing/>
        <w:jc w:val="both"/>
        <w:rPr>
          <w:rFonts w:ascii="Verdana" w:eastAsia="Calibri" w:hAnsi="Verdana" w:cs="Arial"/>
          <w:sz w:val="20"/>
          <w:szCs w:val="20"/>
          <w:lang w:val="es-ES" w:eastAsia="es-ES"/>
        </w:rPr>
      </w:pPr>
    </w:p>
    <w:p w14:paraId="249A9DAE" w14:textId="77777777" w:rsidR="00326E56" w:rsidRPr="001E5AD4" w:rsidRDefault="00326E56" w:rsidP="00326E56">
      <w:pPr>
        <w:snapToGrid w:val="0"/>
        <w:spacing w:after="0" w:line="240" w:lineRule="auto"/>
        <w:contextualSpacing/>
        <w:jc w:val="both"/>
        <w:rPr>
          <w:rFonts w:ascii="Verdana" w:eastAsia="Calibri" w:hAnsi="Verdana" w:cs="Arial"/>
          <w:b/>
          <w:bCs/>
          <w:lang w:val="es-ES" w:eastAsia="es-ES"/>
        </w:rPr>
      </w:pPr>
      <w:r w:rsidRPr="001E5AD4">
        <w:rPr>
          <w:rFonts w:ascii="Verdana" w:eastAsia="Calibri" w:hAnsi="Verdana" w:cs="Arial"/>
          <w:b/>
          <w:bCs/>
          <w:lang w:val="es-ES" w:eastAsia="es-ES"/>
        </w:rPr>
        <w:t>LEY DE GARANTÍAS ELECTORALES ‒ Artículo 33 ‒ Ámbito material</w:t>
      </w:r>
    </w:p>
    <w:p w14:paraId="5A9FDF7F" w14:textId="77777777" w:rsidR="00326E56" w:rsidRDefault="00326E56" w:rsidP="00326E56">
      <w:pPr>
        <w:snapToGrid w:val="0"/>
        <w:spacing w:after="0" w:line="240" w:lineRule="auto"/>
        <w:contextualSpacing/>
        <w:jc w:val="both"/>
        <w:rPr>
          <w:rFonts w:ascii="Verdana" w:eastAsia="Times New Roman" w:hAnsi="Verdana" w:cs="Arial"/>
          <w:sz w:val="20"/>
          <w:szCs w:val="20"/>
          <w:lang w:val="es-ES"/>
        </w:rPr>
      </w:pPr>
    </w:p>
    <w:p w14:paraId="424DE952" w14:textId="77777777" w:rsidR="00326E56" w:rsidRDefault="00326E56" w:rsidP="00326E56">
      <w:pPr>
        <w:snapToGrid w:val="0"/>
        <w:spacing w:after="0" w:line="240" w:lineRule="auto"/>
        <w:contextualSpacing/>
        <w:jc w:val="both"/>
        <w:rPr>
          <w:rFonts w:ascii="Verdana" w:eastAsia="Times New Roman" w:hAnsi="Verdana" w:cs="Arial"/>
          <w:sz w:val="20"/>
          <w:szCs w:val="20"/>
          <w:lang w:val="es-ES"/>
        </w:rPr>
      </w:pPr>
      <w:r w:rsidRPr="001E5AD4">
        <w:rPr>
          <w:rFonts w:ascii="Verdana" w:eastAsia="Times New Roman" w:hAnsi="Verdana" w:cs="Arial"/>
          <w:sz w:val="20"/>
          <w:szCs w:val="20"/>
          <w:lang w:val="es-ES"/>
        </w:rPr>
        <w:t xml:space="preserve">De lo anterior se desprende que la restricción aplica, sin perjuicio de las excepciones establecidas en la misma ley, para celebrar </w:t>
      </w:r>
      <w:r w:rsidRPr="001E5AD4">
        <w:rPr>
          <w:rFonts w:ascii="Verdana" w:eastAsia="Times New Roman" w:hAnsi="Verdana" w:cs="Arial"/>
          <w:i/>
          <w:iCs/>
          <w:sz w:val="20"/>
          <w:szCs w:val="20"/>
          <w:lang w:val="es-ES"/>
        </w:rPr>
        <w:t>cualquier contrato o convenio de forma directa</w:t>
      </w:r>
      <w:r w:rsidRPr="001E5AD4">
        <w:rPr>
          <w:rFonts w:ascii="Verdana" w:eastAsia="Times New Roman" w:hAnsi="Verdana" w:cs="Arial"/>
          <w:sz w:val="20"/>
          <w:szCs w:val="20"/>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4E6C7F1A" w14:textId="77777777" w:rsidR="003F6479" w:rsidRDefault="003F6479" w:rsidP="00326E56">
      <w:pPr>
        <w:snapToGrid w:val="0"/>
        <w:spacing w:after="0" w:line="240" w:lineRule="auto"/>
        <w:contextualSpacing/>
        <w:jc w:val="both"/>
        <w:rPr>
          <w:rFonts w:ascii="Verdana" w:eastAsia="Times New Roman" w:hAnsi="Verdana" w:cs="Arial"/>
          <w:sz w:val="20"/>
          <w:szCs w:val="20"/>
          <w:lang w:val="es-ES"/>
        </w:rPr>
      </w:pPr>
    </w:p>
    <w:p w14:paraId="5BCD0CEE" w14:textId="6475EC49" w:rsidR="003F6479" w:rsidRPr="003F6479" w:rsidRDefault="003F6479" w:rsidP="003F6479">
      <w:pPr>
        <w:snapToGrid w:val="0"/>
        <w:spacing w:after="0" w:line="240" w:lineRule="auto"/>
        <w:contextualSpacing/>
        <w:jc w:val="both"/>
        <w:rPr>
          <w:rFonts w:ascii="Verdana" w:eastAsia="Calibri" w:hAnsi="Verdana" w:cs="Arial"/>
          <w:b/>
          <w:bCs/>
          <w:lang w:val="es-ES" w:eastAsia="es-ES"/>
        </w:rPr>
      </w:pPr>
      <w:r w:rsidRPr="003F6479">
        <w:rPr>
          <w:rFonts w:ascii="Verdana" w:eastAsia="Calibri" w:hAnsi="Verdana" w:cs="Arial"/>
          <w:b/>
          <w:bCs/>
          <w:lang w:val="es-ES" w:eastAsia="es-ES"/>
        </w:rPr>
        <w:t>LEY DE GARANTÍAS ELECTORALES – Aplicación – Organismos internacionales</w:t>
      </w:r>
    </w:p>
    <w:p w14:paraId="1C8EBCB5" w14:textId="77777777" w:rsidR="003F6479" w:rsidRPr="003F6479" w:rsidRDefault="003F6479" w:rsidP="003F6479">
      <w:pPr>
        <w:snapToGrid w:val="0"/>
        <w:spacing w:after="0" w:line="240" w:lineRule="auto"/>
        <w:contextualSpacing/>
        <w:jc w:val="both"/>
        <w:rPr>
          <w:rFonts w:ascii="Verdana" w:eastAsia="Calibri" w:hAnsi="Verdana" w:cs="Arial"/>
          <w:sz w:val="20"/>
          <w:szCs w:val="20"/>
          <w:lang w:val="es-ES" w:eastAsia="es-ES"/>
        </w:rPr>
      </w:pPr>
    </w:p>
    <w:p w14:paraId="44710054" w14:textId="69BC189C" w:rsidR="003F6479" w:rsidRDefault="003F6479" w:rsidP="003F6479">
      <w:pPr>
        <w:snapToGrid w:val="0"/>
        <w:contextualSpacing/>
        <w:jc w:val="both"/>
        <w:rPr>
          <w:rFonts w:ascii="Verdana" w:eastAsia="Times New Roman" w:hAnsi="Verdana" w:cs="Arial"/>
          <w:sz w:val="20"/>
          <w:szCs w:val="20"/>
          <w:lang w:val="es-MX" w:eastAsia="x-none"/>
        </w:rPr>
      </w:pPr>
      <w:r w:rsidRPr="003F6479">
        <w:rPr>
          <w:rFonts w:ascii="Verdana" w:eastAsia="Arial" w:hAnsi="Verdana" w:cs="Arial"/>
          <w:bCs/>
          <w:color w:val="000000" w:themeColor="text1"/>
          <w:sz w:val="20"/>
          <w:szCs w:val="20"/>
          <w:lang w:val="es-ES"/>
        </w:rPr>
        <w:lastRenderedPageBreak/>
        <w:t xml:space="preserve">[…] </w:t>
      </w:r>
      <w:r w:rsidRPr="003F6479">
        <w:rPr>
          <w:rFonts w:ascii="Verdana" w:eastAsia="Times New Roman" w:hAnsi="Verdana" w:cs="Arial"/>
          <w:sz w:val="20"/>
          <w:szCs w:val="20"/>
          <w:lang w:val="es-MX" w:eastAsia="x-none"/>
        </w:rPr>
        <w:t xml:space="preserve">el </w:t>
      </w:r>
      <w:r w:rsidRPr="003F6479">
        <w:rPr>
          <w:rFonts w:ascii="Verdana" w:eastAsia="Times New Roman" w:hAnsi="Verdana" w:cs="Arial"/>
          <w:i/>
          <w:iCs/>
          <w:sz w:val="20"/>
          <w:szCs w:val="20"/>
          <w:lang w:val="es-MX" w:eastAsia="x-none"/>
        </w:rPr>
        <w:t>inciso primero</w:t>
      </w:r>
      <w:r w:rsidRPr="003F6479">
        <w:rPr>
          <w:rFonts w:ascii="Verdana" w:eastAsia="Times New Roman" w:hAnsi="Verdana" w:cs="Arial"/>
          <w:sz w:val="20"/>
          <w:szCs w:val="20"/>
          <w:lang w:val="es-MX" w:eastAsia="x-none"/>
        </w:rPr>
        <w:t xml:space="preserve"> del artículo 20 de la Ley 1150 de 2007, establece que los contratos o convenios se financien en su totalidad o en sumas iguales o superiores al cincuenta por ciento con fondos de dichos organismos, </w:t>
      </w:r>
      <w:r w:rsidRPr="003F6479">
        <w:rPr>
          <w:rFonts w:ascii="Verdana" w:eastAsia="Times New Roman" w:hAnsi="Verdana" w:cs="Arial"/>
          <w:i/>
          <w:iCs/>
          <w:sz w:val="20"/>
          <w:szCs w:val="20"/>
          <w:lang w:val="es-MX" w:eastAsia="x-none"/>
        </w:rPr>
        <w:t>pueden</w:t>
      </w:r>
      <w:r w:rsidRPr="003F6479">
        <w:rPr>
          <w:rFonts w:ascii="Verdana" w:eastAsia="Times New Roman" w:hAnsi="Verdana" w:cs="Arial"/>
          <w:sz w:val="20"/>
          <w:szCs w:val="20"/>
          <w:lang w:val="es-MX" w:eastAsia="x-none"/>
        </w:rPr>
        <w:t xml:space="preserve"> someterse a sus reglamentos. Por el contrario, cuando se trate de contratos que se financian con recursos del presupuesto general de la nación, las entidades </w:t>
      </w:r>
      <w:r w:rsidRPr="003F6479">
        <w:rPr>
          <w:rFonts w:ascii="Verdana" w:eastAsia="Times New Roman" w:hAnsi="Verdana" w:cs="Arial"/>
          <w:i/>
          <w:iCs/>
          <w:sz w:val="20"/>
          <w:szCs w:val="20"/>
          <w:lang w:val="es-MX" w:eastAsia="x-none"/>
        </w:rPr>
        <w:t>deberán</w:t>
      </w:r>
      <w:r w:rsidRPr="003F6479">
        <w:rPr>
          <w:rFonts w:ascii="Verdana" w:eastAsia="Times New Roman" w:hAnsi="Verdana" w:cs="Arial"/>
          <w:sz w:val="20"/>
          <w:szCs w:val="20"/>
          <w:lang w:val="es-MX" w:eastAsia="x-none"/>
        </w:rPr>
        <w:t xml:space="preserve"> necesariamente aplicar el Estatuto General de Contratación de la Administración Pública.</w:t>
      </w:r>
    </w:p>
    <w:p w14:paraId="00EAC1D8" w14:textId="77777777" w:rsidR="003F6479" w:rsidRPr="003F6479" w:rsidRDefault="003F6479" w:rsidP="003F6479">
      <w:pPr>
        <w:snapToGrid w:val="0"/>
        <w:spacing w:after="0" w:line="240" w:lineRule="auto"/>
        <w:contextualSpacing/>
        <w:jc w:val="both"/>
        <w:rPr>
          <w:rFonts w:ascii="Verdana" w:eastAsia="Times New Roman" w:hAnsi="Verdana" w:cs="Arial"/>
          <w:sz w:val="20"/>
          <w:szCs w:val="20"/>
          <w:lang w:val="es-MX" w:eastAsia="x-none"/>
        </w:rPr>
      </w:pPr>
    </w:p>
    <w:p w14:paraId="3E267347" w14:textId="77777777" w:rsidR="003F6479" w:rsidRPr="003F6479" w:rsidRDefault="003F6479" w:rsidP="003F6479">
      <w:pPr>
        <w:snapToGrid w:val="0"/>
        <w:spacing w:after="0" w:line="240" w:lineRule="auto"/>
        <w:contextualSpacing/>
        <w:jc w:val="both"/>
        <w:rPr>
          <w:rFonts w:ascii="Verdana" w:eastAsia="Times New Roman" w:hAnsi="Verdana" w:cs="Arial"/>
          <w:sz w:val="20"/>
          <w:szCs w:val="20"/>
          <w:lang w:val="es-MX"/>
        </w:rPr>
      </w:pPr>
      <w:r w:rsidRPr="003F6479">
        <w:rPr>
          <w:rFonts w:ascii="Verdana" w:eastAsia="Times New Roman" w:hAnsi="Verdana" w:cs="Arial"/>
          <w:sz w:val="20"/>
          <w:szCs w:val="20"/>
          <w:lang w:val="es-MX"/>
        </w:rPr>
        <w:t xml:space="preserve">En consecuencia, la restricción contemplada en el artículo 33 de la Ley de Garantías Electorales </w:t>
      </w:r>
      <w:r w:rsidRPr="003F6479">
        <w:rPr>
          <w:rFonts w:ascii="Verdana" w:eastAsia="Times New Roman" w:hAnsi="Verdana" w:cs="Arial"/>
          <w:i/>
          <w:iCs/>
          <w:sz w:val="20"/>
          <w:szCs w:val="20"/>
          <w:lang w:val="es-MX"/>
        </w:rPr>
        <w:t>no</w:t>
      </w:r>
      <w:r w:rsidRPr="003F6479">
        <w:rPr>
          <w:rFonts w:ascii="Verdana" w:eastAsia="Times New Roman" w:hAnsi="Verdana" w:cs="Arial"/>
          <w:sz w:val="20"/>
          <w:szCs w:val="20"/>
          <w:lang w:val="es-MX"/>
        </w:rPr>
        <w:t xml:space="preserve"> aplica a los contratos que son financiados en su totalidad o en sumas iguales o superiores al cincuenta por ciento con fondos de organismos de cooperación, asistencia o ayudas internacionales, y cuyo régimen sea el dispuesto en los reglamentos de tales organismos. Lo anterior, por cuanto en estos casos el artículo 20 de la Ley 1150 de 2007 autoriza la aplicación “integral” de los reglamentos de dichos organismos. </w:t>
      </w:r>
    </w:p>
    <w:p w14:paraId="3451DB2A" w14:textId="77777777" w:rsidR="003F6479" w:rsidRDefault="003F6479" w:rsidP="003F6479">
      <w:pPr>
        <w:snapToGrid w:val="0"/>
        <w:spacing w:after="0" w:line="240" w:lineRule="auto"/>
        <w:contextualSpacing/>
        <w:jc w:val="both"/>
        <w:rPr>
          <w:rFonts w:ascii="Verdana" w:eastAsia="Calibri" w:hAnsi="Verdana" w:cs="Arial"/>
          <w:sz w:val="20"/>
          <w:szCs w:val="20"/>
          <w:lang w:val="es-ES" w:eastAsia="es-ES"/>
        </w:rPr>
      </w:pPr>
    </w:p>
    <w:p w14:paraId="6318A4F7" w14:textId="491B3876" w:rsidR="003F6479" w:rsidRPr="003F6479" w:rsidRDefault="003F6479" w:rsidP="003F6479">
      <w:pPr>
        <w:snapToGrid w:val="0"/>
        <w:spacing w:after="0" w:line="240" w:lineRule="auto"/>
        <w:contextualSpacing/>
        <w:jc w:val="both"/>
        <w:rPr>
          <w:rFonts w:ascii="Verdana" w:eastAsia="Calibri" w:hAnsi="Verdana" w:cs="Arial"/>
          <w:b/>
          <w:bCs/>
          <w:sz w:val="20"/>
          <w:szCs w:val="20"/>
          <w:lang w:val="es-ES" w:eastAsia="es-ES"/>
        </w:rPr>
      </w:pPr>
      <w:r w:rsidRPr="003F6479">
        <w:rPr>
          <w:rFonts w:ascii="Verdana" w:eastAsia="Calibri" w:hAnsi="Verdana" w:cs="Arial"/>
          <w:b/>
          <w:bCs/>
          <w:sz w:val="20"/>
          <w:szCs w:val="20"/>
          <w:lang w:val="es-ES" w:eastAsia="es-ES"/>
        </w:rPr>
        <w:t>LEY DE GARANTÍAS ELECTORALES – Aplicación – Artículo 20 – Inciso segundo</w:t>
      </w:r>
    </w:p>
    <w:p w14:paraId="0EB599C2" w14:textId="77777777" w:rsidR="003F6479" w:rsidRPr="003F6479" w:rsidRDefault="003F6479" w:rsidP="003F6479">
      <w:pPr>
        <w:snapToGrid w:val="0"/>
        <w:spacing w:after="0" w:line="240" w:lineRule="auto"/>
        <w:contextualSpacing/>
        <w:jc w:val="both"/>
        <w:rPr>
          <w:rFonts w:ascii="Verdana" w:eastAsia="Times New Roman" w:hAnsi="Verdana" w:cs="Arial"/>
          <w:sz w:val="20"/>
          <w:szCs w:val="20"/>
          <w:lang w:val="es-MX"/>
        </w:rPr>
      </w:pPr>
    </w:p>
    <w:p w14:paraId="64213FAF" w14:textId="77777777" w:rsidR="003F6479" w:rsidRPr="003F6479" w:rsidRDefault="003F6479" w:rsidP="003F6479">
      <w:pPr>
        <w:snapToGrid w:val="0"/>
        <w:spacing w:after="0" w:line="240" w:lineRule="auto"/>
        <w:contextualSpacing/>
        <w:jc w:val="both"/>
        <w:rPr>
          <w:rFonts w:ascii="Verdana" w:eastAsia="Times New Roman" w:hAnsi="Verdana" w:cs="Arial"/>
          <w:sz w:val="20"/>
          <w:szCs w:val="20"/>
          <w:lang w:val="es-MX"/>
        </w:rPr>
      </w:pPr>
      <w:r w:rsidRPr="003F6479">
        <w:rPr>
          <w:rFonts w:ascii="Verdana" w:eastAsia="Times New Roman" w:hAnsi="Verdana" w:cs="Arial"/>
          <w:sz w:val="20"/>
          <w:szCs w:val="20"/>
          <w:lang w:val="es-MX"/>
        </w:rPr>
        <w:t xml:space="preserve">Por otra parte, </w:t>
      </w:r>
      <w:r w:rsidRPr="003F6479">
        <w:rPr>
          <w:rFonts w:ascii="Verdana" w:eastAsia="Calibri" w:hAnsi="Verdana" w:cs="Arial"/>
          <w:sz w:val="20"/>
          <w:szCs w:val="20"/>
          <w:lang w:val="es-ES"/>
        </w:rPr>
        <w:t xml:space="preserve">el </w:t>
      </w:r>
      <w:r w:rsidRPr="003F6479">
        <w:rPr>
          <w:rFonts w:ascii="Verdana" w:eastAsia="Calibri" w:hAnsi="Verdana" w:cs="Arial"/>
          <w:i/>
          <w:iCs/>
          <w:sz w:val="20"/>
          <w:szCs w:val="20"/>
          <w:lang w:val="es-ES"/>
        </w:rPr>
        <w:t>inciso segundo</w:t>
      </w:r>
      <w:r w:rsidRPr="003F6479">
        <w:rPr>
          <w:rFonts w:ascii="Verdana" w:eastAsia="Calibri" w:hAnsi="Verdana" w:cs="Arial"/>
          <w:sz w:val="20"/>
          <w:szCs w:val="20"/>
          <w:lang w:val="es-ES"/>
        </w:rPr>
        <w:t xml:space="preserve"> y el parágrafo primero </w:t>
      </w:r>
      <w:r w:rsidRPr="003F6479">
        <w:rPr>
          <w:rFonts w:ascii="Verdana" w:eastAsia="Times New Roman" w:hAnsi="Verdana" w:cs="Arial"/>
          <w:sz w:val="20"/>
          <w:szCs w:val="20"/>
          <w:lang w:val="es-MX" w:eastAsia="x-none"/>
        </w:rPr>
        <w:t>del artículo 20 de la Ley 1150 de 2007 señalan que</w:t>
      </w:r>
      <w:r w:rsidRPr="003F6479">
        <w:rPr>
          <w:rFonts w:ascii="Verdana" w:eastAsia="Times New Roman" w:hAnsi="Verdana" w:cs="Arial"/>
          <w:sz w:val="20"/>
          <w:szCs w:val="20"/>
          <w:lang w:eastAsia="x-none"/>
        </w:rPr>
        <w:t xml:space="preserve"> Los contratos o convenios celebrados con personas extranjeras de derecho público u organismos de derecho internacional cuyo objeto sea el desarrollo de programas de promoción, prevención y atención en salud; contratos y convenios necesarios para la operación de la OIT; contratos y convenios que se ejecuten en desarrollo del sistema integrado de monitoreo de cultivos ilícitos; contratos y convenios para la operación del programa mundial de alimentos; contratos y convenios para el desarrollo de programas de apoyo educativo a población desplazada y vulnerable adelantados por la Unesco y la OIM; los contratos o convenios financiados con fondos de los organismos multilaterales de crédito y entes gubernamentales extranjeros, podrán someterse a los reglamentos de tales entidades. De igual manera, los contratos o acuerdos celebrados con personas extranjeras de derecho público, podrán someterse a las reglas de tales organismos.</w:t>
      </w:r>
    </w:p>
    <w:p w14:paraId="689439C9" w14:textId="77777777" w:rsidR="003F6479" w:rsidRDefault="003F6479" w:rsidP="003F6479">
      <w:pPr>
        <w:snapToGrid w:val="0"/>
        <w:contextualSpacing/>
        <w:jc w:val="both"/>
        <w:rPr>
          <w:rFonts w:ascii="Verdana" w:eastAsia="Times New Roman" w:hAnsi="Verdana" w:cs="Arial"/>
          <w:sz w:val="20"/>
          <w:szCs w:val="20"/>
          <w:lang w:val="es-MX"/>
        </w:rPr>
      </w:pPr>
    </w:p>
    <w:p w14:paraId="6A95150E" w14:textId="61F0A91A" w:rsidR="003F6479" w:rsidRPr="003F6479" w:rsidRDefault="003F6479" w:rsidP="003F6479">
      <w:pPr>
        <w:snapToGrid w:val="0"/>
        <w:spacing w:after="0" w:line="240" w:lineRule="auto"/>
        <w:contextualSpacing/>
        <w:jc w:val="both"/>
        <w:rPr>
          <w:rFonts w:ascii="Verdana" w:hAnsi="Verdana" w:cs="Arial"/>
          <w:sz w:val="20"/>
          <w:szCs w:val="20"/>
          <w:lang w:val="es-ES"/>
        </w:rPr>
      </w:pPr>
      <w:r w:rsidRPr="003F6479">
        <w:rPr>
          <w:rFonts w:ascii="Verdana" w:eastAsia="Times New Roman" w:hAnsi="Verdana" w:cs="Arial"/>
          <w:sz w:val="20"/>
          <w:szCs w:val="20"/>
          <w:lang w:val="es-MX"/>
        </w:rPr>
        <w:t xml:space="preserve">En línea con lo </w:t>
      </w:r>
      <w:r w:rsidRPr="003F6479">
        <w:rPr>
          <w:rFonts w:ascii="Verdana" w:hAnsi="Verdana" w:cs="Arial"/>
          <w:sz w:val="20"/>
          <w:szCs w:val="20"/>
          <w:lang w:val="es-ES"/>
        </w:rPr>
        <w:t xml:space="preserve">anterior, el artículo 2.2.1.2.4.4.1. del Decreto 1082 de 2015 establece que </w:t>
      </w:r>
      <w:r w:rsidRPr="003F6479">
        <w:rPr>
          <w:rFonts w:ascii="Verdana" w:hAnsi="Verdana" w:cs="Arial"/>
          <w:sz w:val="20"/>
          <w:szCs w:val="20"/>
        </w:rPr>
        <w:t xml:space="preserve">los contratos o convenios financiados con fondos de los organismos multilaterales de crédito, entes gubernamentales extranjeros o personas extranjeras de derecho público, así como aquellos a los que se refiere el inciso 2 del artículo </w:t>
      </w:r>
      <w:r w:rsidRPr="003F6479">
        <w:rPr>
          <w:rFonts w:ascii="Verdana" w:hAnsi="Verdana"/>
          <w:sz w:val="20"/>
          <w:szCs w:val="20"/>
        </w:rPr>
        <w:t>20</w:t>
      </w:r>
      <w:r w:rsidRPr="003F6479">
        <w:rPr>
          <w:rFonts w:ascii="Verdana" w:hAnsi="Verdana" w:cs="Arial"/>
          <w:sz w:val="20"/>
          <w:szCs w:val="20"/>
        </w:rPr>
        <w:t xml:space="preserve"> de la Ley 1150 de 2007, se ejecutarán de conformidad con lo establecido en los tratados internacionales marco y complementarios, y en los convenios celebrados, o sus reglamentos, según sea el caso, sin que a ellos le sea aplicable el porcentaje de financiación señalado en el inciso primero del artículo</w:t>
      </w:r>
      <w:r w:rsidRPr="003F6479">
        <w:rPr>
          <w:rFonts w:ascii="Verdana" w:hAnsi="Verdana"/>
          <w:sz w:val="20"/>
          <w:szCs w:val="20"/>
        </w:rPr>
        <w:t xml:space="preserve"> 20</w:t>
      </w:r>
      <w:r w:rsidRPr="003F6479">
        <w:rPr>
          <w:rFonts w:ascii="Verdana" w:hAnsi="Verdana" w:cs="Arial"/>
          <w:sz w:val="20"/>
          <w:szCs w:val="20"/>
        </w:rPr>
        <w:t xml:space="preserve"> de la Ley 1150 de 2007.</w:t>
      </w:r>
      <w:r w:rsidRPr="003F6479">
        <w:rPr>
          <w:rFonts w:ascii="Verdana" w:hAnsi="Verdana" w:cs="Arial"/>
          <w:sz w:val="20"/>
          <w:szCs w:val="20"/>
          <w:lang w:val="es-ES"/>
        </w:rPr>
        <w:t xml:space="preserve"> </w:t>
      </w:r>
    </w:p>
    <w:p w14:paraId="45626FFF" w14:textId="77777777" w:rsidR="003F6479" w:rsidRDefault="003F6479" w:rsidP="003F6479">
      <w:pPr>
        <w:snapToGrid w:val="0"/>
        <w:contextualSpacing/>
        <w:jc w:val="both"/>
        <w:rPr>
          <w:rFonts w:ascii="Verdana" w:hAnsi="Verdana" w:cs="Arial"/>
          <w:sz w:val="20"/>
          <w:szCs w:val="20"/>
          <w:lang w:val="es-ES"/>
        </w:rPr>
      </w:pPr>
    </w:p>
    <w:p w14:paraId="7455BD48" w14:textId="1B2068D5" w:rsidR="003F6479" w:rsidRPr="003F6479" w:rsidRDefault="003F6479" w:rsidP="003F6479">
      <w:pPr>
        <w:snapToGrid w:val="0"/>
        <w:spacing w:after="0" w:line="240" w:lineRule="auto"/>
        <w:contextualSpacing/>
        <w:jc w:val="both"/>
        <w:rPr>
          <w:rFonts w:ascii="Verdana" w:hAnsi="Verdana" w:cs="Arial"/>
          <w:sz w:val="20"/>
          <w:szCs w:val="20"/>
          <w:lang w:val="es-ES"/>
        </w:rPr>
      </w:pPr>
      <w:r w:rsidRPr="003F6479">
        <w:rPr>
          <w:rFonts w:ascii="Verdana" w:hAnsi="Verdana" w:cs="Arial"/>
          <w:sz w:val="20"/>
          <w:szCs w:val="20"/>
          <w:lang w:val="es-ES"/>
        </w:rPr>
        <w:t xml:space="preserve">Con fundamento en dicha normativa, </w:t>
      </w:r>
      <w:r w:rsidRPr="003F6479">
        <w:rPr>
          <w:rFonts w:ascii="Verdana" w:eastAsia="Times New Roman" w:hAnsi="Verdana" w:cs="Arial"/>
          <w:sz w:val="20"/>
          <w:szCs w:val="20"/>
          <w:lang w:val="es-MX"/>
        </w:rPr>
        <w:t xml:space="preserve">la restricción contemplada en el artículo 33 </w:t>
      </w:r>
      <w:r w:rsidRPr="003F6479">
        <w:rPr>
          <w:rFonts w:ascii="Verdana" w:eastAsia="Times New Roman" w:hAnsi="Verdana" w:cs="Arial"/>
          <w:i/>
          <w:iCs/>
          <w:sz w:val="20"/>
          <w:szCs w:val="20"/>
          <w:lang w:val="es-MX"/>
        </w:rPr>
        <w:t>no</w:t>
      </w:r>
      <w:r w:rsidRPr="003F6479">
        <w:rPr>
          <w:rFonts w:ascii="Verdana" w:eastAsia="Times New Roman" w:hAnsi="Verdana" w:cs="Arial"/>
          <w:sz w:val="20"/>
          <w:szCs w:val="20"/>
          <w:lang w:val="es-MX"/>
        </w:rPr>
        <w:t xml:space="preserve"> aplica a los contratos o convenios a los que se refiere el inciso segundo y el parágrafo primero del artículo 20 de la Ley 1150 de 2007 cuando se sometan a los reglamentos de dichos organismos, incluyendo aquellos financiados </w:t>
      </w:r>
      <w:r w:rsidRPr="003F6479">
        <w:rPr>
          <w:rFonts w:ascii="Verdana" w:eastAsia="Times New Roman" w:hAnsi="Verdana" w:cs="Arial"/>
          <w:sz w:val="20"/>
          <w:szCs w:val="20"/>
          <w:lang w:eastAsia="x-none"/>
        </w:rPr>
        <w:t>con fondos de los organismos multilaterales de crédito y entes gubernamentales extranjeros</w:t>
      </w:r>
      <w:r w:rsidRPr="003F6479">
        <w:rPr>
          <w:rFonts w:ascii="Verdana" w:eastAsia="Times New Roman" w:hAnsi="Verdana" w:cs="Arial"/>
          <w:sz w:val="20"/>
          <w:szCs w:val="20"/>
          <w:lang w:val="es-MX"/>
        </w:rPr>
        <w:t>, sin importar el porcentaje de financiación.</w:t>
      </w:r>
    </w:p>
    <w:p w14:paraId="412F08CA" w14:textId="77777777" w:rsidR="003F6479" w:rsidRPr="001E5AD4" w:rsidRDefault="003F6479" w:rsidP="00326E56">
      <w:pPr>
        <w:snapToGrid w:val="0"/>
        <w:spacing w:after="0" w:line="240" w:lineRule="auto"/>
        <w:contextualSpacing/>
        <w:jc w:val="both"/>
        <w:rPr>
          <w:rFonts w:ascii="Verdana" w:eastAsia="Times New Roman" w:hAnsi="Verdana" w:cs="Arial"/>
          <w:sz w:val="20"/>
          <w:szCs w:val="20"/>
          <w:lang w:val="es-ES"/>
        </w:rPr>
      </w:pPr>
    </w:p>
    <w:p w14:paraId="47AB9FD3" w14:textId="77777777" w:rsidR="00326E56" w:rsidRDefault="00326E56" w:rsidP="005474F1">
      <w:pPr>
        <w:spacing w:after="0"/>
        <w:rPr>
          <w:rFonts w:ascii="Verdana" w:hAnsi="Verdana"/>
          <w:lang w:val="es-ES"/>
        </w:rPr>
      </w:pPr>
    </w:p>
    <w:p w14:paraId="1D30FD4A" w14:textId="34EEC941" w:rsidR="005474F1" w:rsidRPr="00FC6F34" w:rsidRDefault="005474F1" w:rsidP="005474F1">
      <w:pPr>
        <w:spacing w:after="0"/>
        <w:rPr>
          <w:rFonts w:ascii="Verdana" w:hAnsi="Verdana"/>
          <w:lang w:val="es-ES"/>
        </w:rPr>
      </w:pPr>
      <w:r w:rsidRPr="00FC6F34">
        <w:rPr>
          <w:rFonts w:ascii="Verdana" w:hAnsi="Verdana"/>
          <w:lang w:val="es-ES"/>
        </w:rPr>
        <w:t xml:space="preserve">Bogotá D.C., </w:t>
      </w:r>
      <w:r w:rsidR="00326E56">
        <w:rPr>
          <w:rFonts w:ascii="Verdana" w:hAnsi="Verdana"/>
          <w:lang w:val="es-ES"/>
        </w:rPr>
        <w:t>20 de octubre de 2025</w:t>
      </w:r>
      <w:r w:rsidRPr="00FC6F34">
        <w:rPr>
          <w:rFonts w:ascii="Verdana" w:hAnsi="Verdana"/>
          <w:lang w:val="es-ES"/>
        </w:rPr>
        <w:tab/>
      </w:r>
    </w:p>
    <w:p w14:paraId="7B71AE7C" w14:textId="06649704" w:rsidR="005474F1" w:rsidRPr="00FC6F34" w:rsidRDefault="00326E56" w:rsidP="005474F1">
      <w:pPr>
        <w:spacing w:after="0"/>
        <w:rPr>
          <w:rFonts w:ascii="Verdana" w:hAnsi="Verdana"/>
          <w:lang w:val="es-ES"/>
        </w:rPr>
      </w:pPr>
      <w:r>
        <w:rPr>
          <w:rFonts w:ascii="Verdana" w:hAnsi="Verdana"/>
          <w:noProof/>
          <w:lang w:val="es-ES"/>
        </w:rPr>
        <w:drawing>
          <wp:anchor distT="0" distB="0" distL="114300" distR="114300" simplePos="0" relativeHeight="251659264" behindDoc="0" locked="0" layoutInCell="1" allowOverlap="1" wp14:anchorId="012B05B5" wp14:editId="68C06479">
            <wp:simplePos x="0" y="0"/>
            <wp:positionH relativeFrom="column">
              <wp:posOffset>3097530</wp:posOffset>
            </wp:positionH>
            <wp:positionV relativeFrom="paragraph">
              <wp:posOffset>46355</wp:posOffset>
            </wp:positionV>
            <wp:extent cx="2386330" cy="673735"/>
            <wp:effectExtent l="0" t="0" r="1270" b="0"/>
            <wp:wrapSquare wrapText="bothSides"/>
            <wp:docPr id="12772651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7265107" name="Picture 127726510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86330" cy="673735"/>
                    </a:xfrm>
                    <a:prstGeom prst="rect">
                      <a:avLst/>
                    </a:prstGeom>
                  </pic:spPr>
                </pic:pic>
              </a:graphicData>
            </a:graphic>
            <wp14:sizeRelH relativeFrom="page">
              <wp14:pctWidth>0</wp14:pctWidth>
            </wp14:sizeRelH>
            <wp14:sizeRelV relativeFrom="page">
              <wp14:pctHeight>0</wp14:pctHeight>
            </wp14:sizeRelV>
          </wp:anchor>
        </w:drawing>
      </w:r>
    </w:p>
    <w:p w14:paraId="3ACF89D8" w14:textId="77777777" w:rsidR="005474F1" w:rsidRDefault="005474F1" w:rsidP="005474F1">
      <w:pPr>
        <w:spacing w:after="0" w:line="240" w:lineRule="auto"/>
        <w:rPr>
          <w:rFonts w:ascii="Verdana" w:eastAsia="Calibri" w:hAnsi="Verdana" w:cs="Arial"/>
          <w:color w:val="000000" w:themeColor="text1"/>
          <w:lang w:val="es-ES" w:eastAsia="es-ES"/>
        </w:rPr>
      </w:pPr>
      <w:bookmarkStart w:id="0" w:name="_Hlk143780582"/>
    </w:p>
    <w:p w14:paraId="79E1F7CE" w14:textId="77777777" w:rsidR="00326E56" w:rsidRDefault="00326E56" w:rsidP="005474F1">
      <w:pPr>
        <w:spacing w:after="0" w:line="240" w:lineRule="auto"/>
        <w:rPr>
          <w:rFonts w:ascii="Verdana" w:eastAsia="Calibri" w:hAnsi="Verdana" w:cs="Arial"/>
          <w:color w:val="000000" w:themeColor="text1"/>
          <w:lang w:val="es-ES" w:eastAsia="es-ES"/>
        </w:rPr>
      </w:pPr>
    </w:p>
    <w:p w14:paraId="533FCA80" w14:textId="151C4DD1" w:rsidR="005474F1" w:rsidRPr="00FC6F34" w:rsidRDefault="005474F1" w:rsidP="005474F1">
      <w:pPr>
        <w:spacing w:after="0" w:line="240" w:lineRule="auto"/>
        <w:rPr>
          <w:rFonts w:ascii="Verdana" w:hAnsi="Verdana"/>
          <w:lang w:val="es-ES"/>
        </w:rPr>
      </w:pPr>
      <w:r>
        <w:rPr>
          <w:rFonts w:ascii="Verdana" w:eastAsia="Calibri" w:hAnsi="Verdana" w:cs="Arial"/>
          <w:color w:val="000000" w:themeColor="text1"/>
          <w:lang w:val="es-ES" w:eastAsia="es-ES"/>
        </w:rPr>
        <w:t>Doct</w:t>
      </w:r>
      <w:r w:rsidRPr="00FC6F34">
        <w:rPr>
          <w:rFonts w:ascii="Verdana" w:eastAsia="Calibri" w:hAnsi="Verdana" w:cs="Arial"/>
          <w:color w:val="000000" w:themeColor="text1"/>
          <w:lang w:val="es-ES" w:eastAsia="es-ES"/>
        </w:rPr>
        <w:t>or</w:t>
      </w:r>
    </w:p>
    <w:p w14:paraId="5148694A" w14:textId="77777777" w:rsidR="005474F1" w:rsidRDefault="005474F1" w:rsidP="005474F1">
      <w:pPr>
        <w:spacing w:after="0"/>
        <w:rPr>
          <w:rFonts w:ascii="Verdana" w:eastAsia="Calibri" w:hAnsi="Verdana" w:cs="Arial"/>
          <w:b/>
          <w:color w:val="000000" w:themeColor="text1"/>
          <w:lang w:eastAsia="es-ES"/>
        </w:rPr>
      </w:pPr>
      <w:r w:rsidRPr="00E84C4E">
        <w:rPr>
          <w:rFonts w:ascii="Verdana" w:eastAsia="Calibri" w:hAnsi="Verdana" w:cs="Arial"/>
          <w:b/>
          <w:color w:val="000000" w:themeColor="text1"/>
          <w:lang w:eastAsia="es-ES"/>
        </w:rPr>
        <w:t>Sergio Alejandro Mazo Boh</w:t>
      </w:r>
      <w:r>
        <w:rPr>
          <w:rFonts w:ascii="Verdana" w:eastAsia="Calibri" w:hAnsi="Verdana" w:cs="Arial"/>
          <w:b/>
          <w:color w:val="000000" w:themeColor="text1"/>
          <w:lang w:eastAsia="es-ES"/>
        </w:rPr>
        <w:t>ó</w:t>
      </w:r>
      <w:r w:rsidRPr="00E84C4E">
        <w:rPr>
          <w:rFonts w:ascii="Verdana" w:eastAsia="Calibri" w:hAnsi="Verdana" w:cs="Arial"/>
          <w:b/>
          <w:color w:val="000000" w:themeColor="text1"/>
          <w:lang w:eastAsia="es-ES"/>
        </w:rPr>
        <w:t xml:space="preserve">rquez </w:t>
      </w:r>
    </w:p>
    <w:p w14:paraId="61FC1F16" w14:textId="77777777" w:rsidR="005474F1" w:rsidRPr="00E84C4E" w:rsidRDefault="005474F1" w:rsidP="005474F1">
      <w:pPr>
        <w:spacing w:after="0"/>
        <w:rPr>
          <w:rFonts w:ascii="Verdana" w:eastAsia="Calibri" w:hAnsi="Verdana" w:cs="Arial"/>
          <w:color w:val="000000" w:themeColor="text1"/>
          <w:lang w:eastAsia="es-ES"/>
        </w:rPr>
      </w:pPr>
      <w:r w:rsidRPr="00E84C4E">
        <w:rPr>
          <w:rFonts w:ascii="Verdana" w:eastAsia="Calibri" w:hAnsi="Verdana" w:cs="Arial"/>
          <w:color w:val="000000" w:themeColor="text1"/>
          <w:lang w:eastAsia="es-ES"/>
        </w:rPr>
        <w:t xml:space="preserve">Coordinador Grupo Interno de Trabajo Gestión Contractual </w:t>
      </w:r>
    </w:p>
    <w:p w14:paraId="20417BB7" w14:textId="77777777" w:rsidR="005474F1" w:rsidRDefault="005474F1" w:rsidP="005474F1">
      <w:pPr>
        <w:spacing w:after="0"/>
        <w:rPr>
          <w:rFonts w:ascii="Verdana" w:eastAsia="Calibri" w:hAnsi="Verdana" w:cs="Arial"/>
          <w:color w:val="000000" w:themeColor="text1"/>
          <w:lang w:eastAsia="es-ES"/>
        </w:rPr>
      </w:pPr>
      <w:r w:rsidRPr="00E84C4E">
        <w:rPr>
          <w:rFonts w:ascii="Verdana" w:eastAsia="Calibri" w:hAnsi="Verdana" w:cs="Arial"/>
          <w:color w:val="000000" w:themeColor="text1"/>
          <w:lang w:eastAsia="es-ES"/>
        </w:rPr>
        <w:t xml:space="preserve">Unidad Administrativa Especial Agencia Nacional </w:t>
      </w:r>
      <w:r>
        <w:rPr>
          <w:rFonts w:ascii="Verdana" w:eastAsia="Calibri" w:hAnsi="Verdana" w:cs="Arial"/>
          <w:color w:val="000000" w:themeColor="text1"/>
          <w:lang w:eastAsia="es-ES"/>
        </w:rPr>
        <w:t>d</w:t>
      </w:r>
      <w:r w:rsidRPr="00E84C4E">
        <w:rPr>
          <w:rFonts w:ascii="Verdana" w:eastAsia="Calibri" w:hAnsi="Verdana" w:cs="Arial"/>
          <w:color w:val="000000" w:themeColor="text1"/>
          <w:lang w:eastAsia="es-ES"/>
        </w:rPr>
        <w:t xml:space="preserve">e Defensa Jurídica </w:t>
      </w:r>
      <w:r>
        <w:rPr>
          <w:rFonts w:ascii="Verdana" w:eastAsia="Calibri" w:hAnsi="Verdana" w:cs="Arial"/>
          <w:color w:val="000000" w:themeColor="text1"/>
          <w:lang w:eastAsia="es-ES"/>
        </w:rPr>
        <w:t>d</w:t>
      </w:r>
      <w:r w:rsidRPr="00E84C4E">
        <w:rPr>
          <w:rFonts w:ascii="Verdana" w:eastAsia="Calibri" w:hAnsi="Verdana" w:cs="Arial"/>
          <w:color w:val="000000" w:themeColor="text1"/>
          <w:lang w:eastAsia="es-ES"/>
        </w:rPr>
        <w:t>el Estado</w:t>
      </w:r>
    </w:p>
    <w:p w14:paraId="281BFF49" w14:textId="07A46D6D" w:rsidR="001644A3" w:rsidRDefault="002050D8" w:rsidP="005474F1">
      <w:pPr>
        <w:spacing w:after="0"/>
        <w:rPr>
          <w:rFonts w:ascii="Verdana" w:eastAsia="Calibri" w:hAnsi="Verdana" w:cs="Arial"/>
          <w:color w:val="000000" w:themeColor="text1"/>
          <w:lang w:eastAsia="es-ES"/>
        </w:rPr>
      </w:pPr>
      <w:hyperlink r:id="rId11" w:history="1">
        <w:r w:rsidR="001644A3" w:rsidRPr="00A45FA0">
          <w:rPr>
            <w:rStyle w:val="Hipervnculo"/>
            <w:rFonts w:ascii="Verdana" w:eastAsia="Calibri" w:hAnsi="Verdana" w:cs="Arial"/>
            <w:lang w:eastAsia="es-ES"/>
          </w:rPr>
          <w:t>contratacion@defensajuridica.gov.co</w:t>
        </w:r>
      </w:hyperlink>
      <w:r w:rsidR="001644A3">
        <w:rPr>
          <w:rFonts w:ascii="Verdana" w:eastAsia="Calibri" w:hAnsi="Verdana" w:cs="Arial"/>
          <w:color w:val="000000" w:themeColor="text1"/>
          <w:lang w:eastAsia="es-ES"/>
        </w:rPr>
        <w:t xml:space="preserve"> </w:t>
      </w:r>
    </w:p>
    <w:p w14:paraId="0B33E477" w14:textId="77777777" w:rsidR="005474F1" w:rsidRPr="00F45408" w:rsidRDefault="005474F1" w:rsidP="005474F1">
      <w:pPr>
        <w:spacing w:after="0"/>
        <w:rPr>
          <w:rFonts w:ascii="Verdana" w:eastAsia="Calibri" w:hAnsi="Verdana" w:cs="Arial"/>
          <w:b/>
          <w:color w:val="000000" w:themeColor="text1"/>
          <w:lang w:eastAsia="es-ES"/>
        </w:rPr>
      </w:pPr>
      <w:r w:rsidRPr="00FC6F34">
        <w:rPr>
          <w:rFonts w:ascii="Verdana" w:hAnsi="Verdana"/>
          <w:lang w:val="es-ES"/>
        </w:rPr>
        <w:t>Bogotá D.C.</w:t>
      </w:r>
    </w:p>
    <w:p w14:paraId="60D0598F" w14:textId="77777777" w:rsidR="005474F1" w:rsidRPr="00FC6F34" w:rsidRDefault="005474F1" w:rsidP="005474F1">
      <w:pPr>
        <w:spacing w:after="0" w:line="240" w:lineRule="auto"/>
        <w:rPr>
          <w:rFonts w:ascii="Verdana" w:eastAsia="Calibri" w:hAnsi="Verdana" w:cs="Arial"/>
          <w:b/>
          <w:bCs/>
          <w:color w:val="000000" w:themeColor="text1"/>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5474F1" w:rsidRPr="00FC6F34" w14:paraId="52797BF8" w14:textId="77777777" w:rsidTr="00C733E6">
        <w:trPr>
          <w:trHeight w:val="300"/>
        </w:trPr>
        <w:tc>
          <w:tcPr>
            <w:tcW w:w="2410" w:type="dxa"/>
          </w:tcPr>
          <w:p w14:paraId="3408A2DC" w14:textId="77777777" w:rsidR="005474F1" w:rsidRPr="00FC6F34" w:rsidRDefault="005474F1" w:rsidP="00C733E6">
            <w:pPr>
              <w:ind w:left="-142"/>
              <w:jc w:val="both"/>
              <w:rPr>
                <w:rFonts w:ascii="Verdana" w:eastAsia="Calibri" w:hAnsi="Verdana" w:cs="Arial"/>
                <w:b/>
                <w:bCs/>
                <w:color w:val="000000" w:themeColor="text1"/>
                <w:lang w:val="es-ES" w:eastAsia="es-ES_tradnl"/>
              </w:rPr>
            </w:pPr>
          </w:p>
        </w:tc>
        <w:tc>
          <w:tcPr>
            <w:tcW w:w="6100" w:type="dxa"/>
          </w:tcPr>
          <w:p w14:paraId="6E4D1414" w14:textId="77777777" w:rsidR="005474F1" w:rsidRDefault="005474F1" w:rsidP="00C733E6">
            <w:pPr>
              <w:ind w:left="3"/>
              <w:jc w:val="both"/>
              <w:rPr>
                <w:rFonts w:ascii="Verdana" w:eastAsia="Calibri" w:hAnsi="Verdana" w:cs="Arial"/>
                <w:b/>
                <w:bCs/>
                <w:color w:val="000000" w:themeColor="text1"/>
                <w:lang w:val="es-ES" w:eastAsia="es-ES"/>
              </w:rPr>
            </w:pPr>
          </w:p>
          <w:p w14:paraId="4A5C9894" w14:textId="109B7EF8" w:rsidR="005474F1" w:rsidRPr="00FC6F34" w:rsidRDefault="005474F1" w:rsidP="00C733E6">
            <w:pPr>
              <w:ind w:left="3"/>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sidRPr="00F7769B">
              <w:rPr>
                <w:rFonts w:ascii="Verdana" w:eastAsia="Calibri" w:hAnsi="Verdana" w:cs="Arial"/>
                <w:b/>
                <w:bCs/>
                <w:color w:val="000000" w:themeColor="text1"/>
                <w:lang w:val="es-ES" w:eastAsia="es-ES"/>
              </w:rPr>
              <w:t>1337</w:t>
            </w:r>
            <w:r w:rsidRPr="00FC6F34">
              <w:rPr>
                <w:rFonts w:ascii="Verdana" w:eastAsia="Calibri" w:hAnsi="Verdana" w:cs="Arial"/>
                <w:b/>
                <w:bCs/>
                <w:color w:val="000000" w:themeColor="text1"/>
                <w:lang w:val="es-ES" w:eastAsia="es-ES"/>
              </w:rPr>
              <w:t xml:space="preserve"> de 2025</w:t>
            </w:r>
          </w:p>
          <w:p w14:paraId="5D564A9E" w14:textId="77777777" w:rsidR="005474F1" w:rsidRPr="00FC6F34" w:rsidRDefault="005474F1" w:rsidP="00C733E6">
            <w:pPr>
              <w:ind w:left="3"/>
              <w:jc w:val="both"/>
              <w:rPr>
                <w:rFonts w:ascii="Verdana" w:eastAsia="Calibri" w:hAnsi="Verdana" w:cs="Arial"/>
                <w:b/>
                <w:bCs/>
                <w:color w:val="000000" w:themeColor="text1"/>
                <w:lang w:val="es-ES" w:eastAsia="es-ES"/>
              </w:rPr>
            </w:pPr>
          </w:p>
        </w:tc>
      </w:tr>
      <w:tr w:rsidR="005474F1" w:rsidRPr="00FC6F34" w14:paraId="45FD16BF" w14:textId="77777777" w:rsidTr="00C733E6">
        <w:trPr>
          <w:trHeight w:val="300"/>
        </w:trPr>
        <w:tc>
          <w:tcPr>
            <w:tcW w:w="2410" w:type="dxa"/>
          </w:tcPr>
          <w:p w14:paraId="1995BA81" w14:textId="77777777" w:rsidR="005474F1" w:rsidRPr="00E84C4E" w:rsidRDefault="005474F1" w:rsidP="00C733E6">
            <w:pPr>
              <w:ind w:left="424" w:firstLine="142"/>
              <w:jc w:val="both"/>
              <w:rPr>
                <w:rFonts w:ascii="Verdana" w:eastAsia="Calibri" w:hAnsi="Verdana" w:cs="Arial"/>
                <w:color w:val="000000" w:themeColor="text1"/>
                <w:lang w:val="es-ES" w:eastAsia="es-ES_tradnl"/>
              </w:rPr>
            </w:pPr>
            <w:r w:rsidRPr="00E84C4E">
              <w:rPr>
                <w:rFonts w:ascii="Verdana" w:eastAsia="Calibri" w:hAnsi="Verdana" w:cs="Arial"/>
                <w:b/>
                <w:color w:val="000000" w:themeColor="text1"/>
                <w:lang w:val="es-ES" w:eastAsia="es-ES_tradnl"/>
              </w:rPr>
              <w:t>Temas:</w:t>
            </w:r>
            <w:r w:rsidRPr="00E84C4E">
              <w:rPr>
                <w:rFonts w:ascii="Verdana" w:eastAsia="Calibri" w:hAnsi="Verdana" w:cs="Arial"/>
                <w:color w:val="000000" w:themeColor="text1"/>
                <w:lang w:val="es-ES" w:eastAsia="es-ES_tradnl"/>
              </w:rPr>
              <w:t xml:space="preserve">                  </w:t>
            </w:r>
          </w:p>
        </w:tc>
        <w:tc>
          <w:tcPr>
            <w:tcW w:w="6100" w:type="dxa"/>
          </w:tcPr>
          <w:p w14:paraId="20209F70" w14:textId="34090985" w:rsidR="005474F1" w:rsidRPr="003F6479" w:rsidRDefault="005474F1" w:rsidP="003F6479">
            <w:pPr>
              <w:snapToGrid w:val="0"/>
              <w:contextualSpacing/>
              <w:jc w:val="both"/>
              <w:rPr>
                <w:rFonts w:ascii="Verdana" w:eastAsia="Calibri" w:hAnsi="Verdana" w:cs="Arial"/>
                <w:lang w:val="es-ES" w:eastAsia="es-ES"/>
              </w:rPr>
            </w:pPr>
            <w:r w:rsidRPr="00E84C4E">
              <w:rPr>
                <w:rFonts w:ascii="Verdana" w:eastAsia="Calibri" w:hAnsi="Verdana" w:cs="Arial"/>
                <w:lang w:val="es-ES" w:eastAsia="es-ES"/>
              </w:rPr>
              <w:t xml:space="preserve">LEY DE GARANTÍAS ELECTORALES – Finalidad / LEY DE GARANTÍAS ELECTORALES ‒ Restricciones ‒ Contratación ‒ Tipos de elección / LEY DE GARANTÍAS ELECTORALES ‒ Artículo 33 ‒ Ámbito material/ LEY DE GARANTÍAS ELECTORALES – Aplicación – </w:t>
            </w:r>
            <w:r>
              <w:rPr>
                <w:rFonts w:ascii="Verdana" w:eastAsia="Calibri" w:hAnsi="Verdana" w:cs="Arial"/>
                <w:lang w:val="es-ES" w:eastAsia="es-ES"/>
              </w:rPr>
              <w:t>Organismos internacionales</w:t>
            </w:r>
            <w:r w:rsidR="003F6479">
              <w:rPr>
                <w:rFonts w:ascii="Verdana" w:eastAsia="Calibri" w:hAnsi="Verdana" w:cs="Arial"/>
                <w:lang w:val="es-ES" w:eastAsia="es-ES"/>
              </w:rPr>
              <w:t xml:space="preserve"> / </w:t>
            </w:r>
            <w:r w:rsidR="003F6479" w:rsidRPr="00E84C4E">
              <w:rPr>
                <w:rFonts w:ascii="Verdana" w:eastAsia="Calibri" w:hAnsi="Verdana" w:cs="Arial"/>
                <w:lang w:val="es-ES" w:eastAsia="es-ES"/>
              </w:rPr>
              <w:t xml:space="preserve">LEY DE GARANTÍAS ELECTORALES – Aplicación – </w:t>
            </w:r>
            <w:r w:rsidR="003F6479">
              <w:rPr>
                <w:rFonts w:ascii="Verdana" w:eastAsia="Calibri" w:hAnsi="Verdana" w:cs="Arial"/>
                <w:lang w:val="es-ES" w:eastAsia="es-ES"/>
              </w:rPr>
              <w:t xml:space="preserve">Artículo 20 </w:t>
            </w:r>
            <w:r w:rsidR="003F6479" w:rsidRPr="00E84C4E">
              <w:rPr>
                <w:rFonts w:ascii="Verdana" w:eastAsia="Calibri" w:hAnsi="Verdana" w:cs="Arial"/>
                <w:lang w:val="es-ES" w:eastAsia="es-ES"/>
              </w:rPr>
              <w:t>–</w:t>
            </w:r>
            <w:r w:rsidR="003F6479">
              <w:rPr>
                <w:rFonts w:ascii="Verdana" w:eastAsia="Calibri" w:hAnsi="Verdana" w:cs="Arial"/>
                <w:lang w:val="es-ES" w:eastAsia="es-ES"/>
              </w:rPr>
              <w:t xml:space="preserve"> Inciso segundo</w:t>
            </w:r>
          </w:p>
          <w:p w14:paraId="1E91447C" w14:textId="77777777" w:rsidR="005474F1" w:rsidRPr="00E84C4E" w:rsidRDefault="005474F1" w:rsidP="00C733E6">
            <w:pPr>
              <w:spacing w:line="276" w:lineRule="auto"/>
              <w:jc w:val="both"/>
              <w:rPr>
                <w:rFonts w:ascii="Verdana" w:eastAsia="Calibri" w:hAnsi="Verdana" w:cs="Arial"/>
                <w:color w:val="000000" w:themeColor="text1"/>
                <w:lang w:val="es-ES" w:eastAsia="es-ES"/>
              </w:rPr>
            </w:pPr>
          </w:p>
        </w:tc>
      </w:tr>
      <w:tr w:rsidR="005474F1" w:rsidRPr="00FC6F34" w14:paraId="462E812F" w14:textId="77777777" w:rsidTr="00C733E6">
        <w:tc>
          <w:tcPr>
            <w:tcW w:w="2410" w:type="dxa"/>
          </w:tcPr>
          <w:p w14:paraId="195E8517" w14:textId="77777777" w:rsidR="005474F1" w:rsidRPr="00FC6F34" w:rsidRDefault="005474F1" w:rsidP="00C733E6">
            <w:pPr>
              <w:ind w:left="561"/>
              <w:jc w:val="both"/>
              <w:rPr>
                <w:rFonts w:ascii="Verdana" w:eastAsia="Calibri" w:hAnsi="Verdana" w:cs="Arial"/>
                <w:b/>
                <w:color w:val="000000" w:themeColor="text1"/>
                <w:lang w:val="es-ES" w:eastAsia="es-ES_tradnl"/>
              </w:rPr>
            </w:pPr>
            <w:r w:rsidRPr="00FC6F34">
              <w:rPr>
                <w:rFonts w:ascii="Verdana" w:eastAsia="Calibri" w:hAnsi="Verdana" w:cs="Arial"/>
                <w:b/>
                <w:color w:val="000000" w:themeColor="text1"/>
                <w:lang w:val="es-ES" w:eastAsia="es-ES_tradnl"/>
              </w:rPr>
              <w:t>Radicación:</w:t>
            </w:r>
            <w:r w:rsidRPr="00FC6F34">
              <w:rPr>
                <w:rFonts w:ascii="Verdana" w:eastAsia="Calibri" w:hAnsi="Verdana" w:cs="Arial"/>
                <w:color w:val="000000" w:themeColor="text1"/>
                <w:lang w:val="es-ES" w:eastAsia="es-ES_tradnl"/>
              </w:rPr>
              <w:t xml:space="preserve">              </w:t>
            </w:r>
          </w:p>
        </w:tc>
        <w:tc>
          <w:tcPr>
            <w:tcW w:w="6100" w:type="dxa"/>
          </w:tcPr>
          <w:p w14:paraId="5A2485D1" w14:textId="77777777" w:rsidR="005474F1" w:rsidRPr="00FC6F34" w:rsidRDefault="005474F1" w:rsidP="00C733E6">
            <w:pPr>
              <w:ind w:left="3"/>
              <w:jc w:val="both"/>
              <w:rPr>
                <w:rFonts w:ascii="Verdana" w:hAnsi="Verdana"/>
                <w:color w:val="000000"/>
                <w:lang w:val="es-ES"/>
              </w:rPr>
            </w:pPr>
            <w:r w:rsidRPr="00FC6F34">
              <w:rPr>
                <w:rFonts w:ascii="Verdana" w:eastAsia="Calibri" w:hAnsi="Verdana" w:cs="Arial"/>
                <w:color w:val="000000" w:themeColor="text1"/>
                <w:lang w:val="es-ES" w:eastAsia="es-ES"/>
              </w:rPr>
              <w:t xml:space="preserve">Respuesta a consulta con radicado No. </w:t>
            </w:r>
            <w:r w:rsidRPr="00E84C4E">
              <w:rPr>
                <w:rFonts w:ascii="Verdana" w:eastAsia="Calibri" w:hAnsi="Verdana" w:cs="Arial"/>
                <w:color w:val="000000" w:themeColor="text1"/>
                <w:lang w:val="es-ES" w:eastAsia="es-ES"/>
              </w:rPr>
              <w:t>1_2025_09_18_010252</w:t>
            </w:r>
          </w:p>
        </w:tc>
      </w:tr>
    </w:tbl>
    <w:p w14:paraId="011ED540" w14:textId="77777777" w:rsidR="005474F1" w:rsidRPr="00FC6F34" w:rsidRDefault="005474F1" w:rsidP="005474F1">
      <w:pPr>
        <w:spacing w:after="0" w:line="276" w:lineRule="auto"/>
        <w:jc w:val="both"/>
        <w:rPr>
          <w:rFonts w:ascii="Verdana" w:eastAsia="Calibri" w:hAnsi="Verdana" w:cs="Arial"/>
          <w:color w:val="000000" w:themeColor="text1"/>
          <w:lang w:val="es-ES" w:eastAsia="es-ES"/>
        </w:rPr>
      </w:pPr>
    </w:p>
    <w:p w14:paraId="16E79E51" w14:textId="77777777" w:rsidR="005474F1" w:rsidRPr="00FC6F34" w:rsidRDefault="005474F1" w:rsidP="005474F1">
      <w:pPr>
        <w:spacing w:after="0" w:line="276" w:lineRule="auto"/>
        <w:jc w:val="both"/>
        <w:rPr>
          <w:rFonts w:ascii="Verdana" w:eastAsia="Calibri" w:hAnsi="Verdana" w:cs="Arial"/>
          <w:color w:val="000000" w:themeColor="text1"/>
          <w:lang w:val="es-ES" w:eastAsia="es-ES"/>
        </w:rPr>
      </w:pPr>
    </w:p>
    <w:p w14:paraId="4EB14764" w14:textId="77777777" w:rsidR="005474F1" w:rsidRPr="00FC6F34" w:rsidRDefault="005474F1" w:rsidP="005474F1">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FC6F34">
        <w:rPr>
          <w:rFonts w:ascii="Verdana" w:eastAsia="Calibri" w:hAnsi="Verdana" w:cs="Arial"/>
          <w:color w:val="000000" w:themeColor="text1"/>
          <w:lang w:val="es-ES" w:eastAsia="es-ES"/>
        </w:rPr>
        <w:t xml:space="preserve"> seño</w:t>
      </w:r>
      <w:r>
        <w:rPr>
          <w:rFonts w:ascii="Verdana" w:eastAsia="Calibri" w:hAnsi="Verdana" w:cs="Arial"/>
          <w:color w:val="000000" w:themeColor="text1"/>
          <w:lang w:val="es-ES" w:eastAsia="es-ES"/>
        </w:rPr>
        <w:t>r</w:t>
      </w:r>
      <w:r w:rsidR="00CE50C5">
        <w:rPr>
          <w:rFonts w:ascii="Verdana" w:eastAsia="Calibri" w:hAnsi="Verdana" w:cs="Arial"/>
          <w:color w:val="000000" w:themeColor="text1"/>
          <w:lang w:val="es-ES" w:eastAsia="es-ES"/>
        </w:rPr>
        <w:t xml:space="preserve"> </w:t>
      </w:r>
      <w:r w:rsidRPr="0033658A">
        <w:rPr>
          <w:rFonts w:ascii="Verdana" w:eastAsia="Calibri" w:hAnsi="Verdana" w:cs="Arial"/>
          <w:color w:val="000000" w:themeColor="text1"/>
          <w:lang w:eastAsia="es-ES"/>
        </w:rPr>
        <w:t>Mazo</w:t>
      </w:r>
      <w:r w:rsidRPr="00FC6F34">
        <w:rPr>
          <w:rFonts w:ascii="Verdana" w:eastAsia="Calibri" w:hAnsi="Verdana" w:cs="Arial"/>
          <w:color w:val="000000" w:themeColor="text1"/>
          <w:lang w:val="es-ES" w:eastAsia="es-ES"/>
        </w:rPr>
        <w:t xml:space="preserve">: </w:t>
      </w:r>
    </w:p>
    <w:p w14:paraId="020CB4FD" w14:textId="77777777" w:rsidR="005474F1" w:rsidRPr="00FC6F34" w:rsidRDefault="005474F1" w:rsidP="005474F1">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3C880E0D" w14:textId="77777777" w:rsidR="005474F1" w:rsidRPr="00FC6F34" w:rsidRDefault="005474F1" w:rsidP="005474F1">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FC6F34">
        <w:rPr>
          <w:rFonts w:ascii="Verdana" w:hAnsi="Verdana" w:cs="Arial"/>
          <w:color w:val="000000" w:themeColor="text1"/>
          <w:lang w:val="es-ES"/>
        </w:rPr>
        <w:t xml:space="preserve">así como lo establecido en el artículo 4 de la Resolución 1707 de 2018 expedida por esta Entidad, </w:t>
      </w:r>
      <w:r w:rsidRPr="00FC6F34">
        <w:rPr>
          <w:rFonts w:ascii="Verdana" w:eastAsia="Calibri" w:hAnsi="Verdana" w:cs="Arial"/>
          <w:color w:val="000000" w:themeColor="text1"/>
          <w:lang w:val="es-ES" w:eastAsia="es-ES"/>
        </w:rPr>
        <w:t xml:space="preserve">la Agencia Nacional de Contratación Pública – Colombia Compra Eficiente– responde su solicitud de consulta de </w:t>
      </w:r>
      <w:proofErr w:type="gramStart"/>
      <w:r w:rsidRPr="00FC6F34">
        <w:rPr>
          <w:rFonts w:ascii="Verdana" w:eastAsia="Calibri" w:hAnsi="Verdana" w:cs="Arial"/>
          <w:color w:val="000000" w:themeColor="text1"/>
          <w:lang w:val="es-ES" w:eastAsia="es-ES"/>
        </w:rPr>
        <w:t xml:space="preserve">fecha  </w:t>
      </w:r>
      <w:r>
        <w:rPr>
          <w:rFonts w:ascii="Verdana" w:eastAsia="Calibri" w:hAnsi="Verdana" w:cs="Arial"/>
          <w:color w:val="000000" w:themeColor="text1"/>
          <w:lang w:val="es-ES" w:eastAsia="es-ES"/>
        </w:rPr>
        <w:t>18</w:t>
      </w:r>
      <w:proofErr w:type="gramEnd"/>
      <w:r>
        <w:rPr>
          <w:rFonts w:ascii="Verdana" w:eastAsia="Calibri" w:hAnsi="Verdana" w:cs="Arial"/>
          <w:color w:val="000000" w:themeColor="text1"/>
          <w:lang w:val="es-ES" w:eastAsia="es-ES"/>
        </w:rPr>
        <w:t xml:space="preserve"> </w:t>
      </w:r>
      <w:r w:rsidRPr="00FC6F34">
        <w:rPr>
          <w:rFonts w:ascii="Verdana" w:eastAsia="Calibri" w:hAnsi="Verdana" w:cs="Arial"/>
          <w:color w:val="000000" w:themeColor="text1"/>
          <w:lang w:val="es-ES" w:eastAsia="es-ES"/>
        </w:rPr>
        <w:t>de</w:t>
      </w:r>
      <w:r>
        <w:rPr>
          <w:rFonts w:ascii="Verdana" w:eastAsia="Calibri" w:hAnsi="Verdana" w:cs="Arial"/>
          <w:color w:val="000000" w:themeColor="text1"/>
          <w:lang w:val="es-ES" w:eastAsia="es-ES"/>
        </w:rPr>
        <w:t xml:space="preserve"> septiembre</w:t>
      </w:r>
      <w:r w:rsidRPr="00FC6F34">
        <w:rPr>
          <w:rFonts w:ascii="Verdana" w:eastAsia="Calibri" w:hAnsi="Verdana" w:cs="Arial"/>
          <w:color w:val="000000" w:themeColor="text1"/>
          <w:lang w:val="es-ES" w:eastAsia="es-ES"/>
        </w:rPr>
        <w:t xml:space="preserve"> de 2025, en la cual manifiesta lo siguiente: </w:t>
      </w:r>
    </w:p>
    <w:p w14:paraId="4A8FCEC8" w14:textId="77777777" w:rsidR="005474F1" w:rsidRPr="00FC6F34" w:rsidRDefault="005474F1" w:rsidP="005474F1">
      <w:pPr>
        <w:tabs>
          <w:tab w:val="left" w:pos="142"/>
          <w:tab w:val="left" w:pos="284"/>
        </w:tabs>
        <w:spacing w:after="0" w:line="276" w:lineRule="auto"/>
        <w:contextualSpacing/>
        <w:jc w:val="both"/>
        <w:rPr>
          <w:rFonts w:ascii="Verdana" w:eastAsia="Century Gothic" w:hAnsi="Verdana" w:cs="Century Gothic"/>
          <w:b/>
          <w:bCs/>
          <w:color w:val="000000" w:themeColor="text1"/>
          <w:lang w:val="es-ES"/>
        </w:rPr>
      </w:pPr>
    </w:p>
    <w:p w14:paraId="09FCB922" w14:textId="77777777" w:rsidR="005474F1" w:rsidRPr="00E84C4E" w:rsidRDefault="005474F1" w:rsidP="005474F1">
      <w:pPr>
        <w:spacing w:before="120" w:after="120"/>
        <w:ind w:left="709" w:right="709"/>
        <w:contextualSpacing/>
        <w:jc w:val="both"/>
        <w:rPr>
          <w:rFonts w:ascii="Verdana" w:eastAsia="Century Gothic" w:hAnsi="Verdana" w:cs="Century Gothic"/>
          <w:i/>
          <w:color w:val="000000" w:themeColor="text1"/>
          <w:sz w:val="20"/>
          <w:szCs w:val="20"/>
        </w:rPr>
      </w:pPr>
      <w:r w:rsidRPr="00FC6F34">
        <w:rPr>
          <w:rFonts w:ascii="Verdana" w:eastAsia="Century Gothic" w:hAnsi="Verdana" w:cs="Century Gothic"/>
          <w:i/>
          <w:iCs/>
          <w:color w:val="000000" w:themeColor="text1"/>
          <w:sz w:val="20"/>
          <w:szCs w:val="20"/>
          <w:lang w:val="es-ES"/>
        </w:rPr>
        <w:t>“</w:t>
      </w:r>
      <w:r w:rsidRPr="00E84C4E">
        <w:rPr>
          <w:rFonts w:ascii="Verdana" w:eastAsia="Century Gothic" w:hAnsi="Verdana" w:cs="Century Gothic"/>
          <w:i/>
          <w:color w:val="000000" w:themeColor="text1"/>
          <w:sz w:val="20"/>
          <w:szCs w:val="20"/>
        </w:rPr>
        <w:t xml:space="preserve">Por medio de la presente, nos permitimos solicitar concepto sobre la aplicación de la Ley 996 de 2005, especialmente las restricciones establecidas en el artículo 33 en lo referente a los procesos de contratación directa en los siguientes aspectos específicos: </w:t>
      </w:r>
    </w:p>
    <w:p w14:paraId="3F570519" w14:textId="77777777" w:rsidR="005474F1" w:rsidRPr="00E84C4E" w:rsidRDefault="005474F1" w:rsidP="005474F1">
      <w:pPr>
        <w:spacing w:before="120" w:after="120"/>
        <w:ind w:left="709" w:right="709"/>
        <w:contextualSpacing/>
        <w:jc w:val="both"/>
        <w:rPr>
          <w:rFonts w:ascii="Verdana" w:eastAsia="Century Gothic" w:hAnsi="Verdana" w:cs="Century Gothic"/>
          <w:i/>
          <w:color w:val="000000" w:themeColor="text1"/>
          <w:sz w:val="20"/>
          <w:szCs w:val="20"/>
        </w:rPr>
      </w:pPr>
      <w:r w:rsidRPr="00E84C4E">
        <w:rPr>
          <w:rFonts w:ascii="Verdana" w:eastAsia="Century Gothic" w:hAnsi="Verdana" w:cs="Century Gothic"/>
          <w:i/>
          <w:color w:val="000000" w:themeColor="text1"/>
          <w:sz w:val="20"/>
          <w:szCs w:val="20"/>
        </w:rPr>
        <w:t xml:space="preserve">¿Aplica dicha restricción a los contratos que se requiera celebrar mediante la causal del literal h) del artículo 2 de la Ley 1150 de 2007 para la </w:t>
      </w:r>
      <w:r w:rsidRPr="00E84C4E">
        <w:rPr>
          <w:rFonts w:ascii="Verdana" w:eastAsia="Century Gothic" w:hAnsi="Verdana" w:cs="Century Gothic"/>
          <w:i/>
          <w:color w:val="000000" w:themeColor="text1"/>
          <w:sz w:val="20"/>
          <w:szCs w:val="20"/>
        </w:rPr>
        <w:lastRenderedPageBreak/>
        <w:t xml:space="preserve">prestación de servicios profesionales y de apoyo a la gestión a través de los cuales se ejerce la representación judicial o extrajudicial del Estado en tribunales nacionales o extranjeros? </w:t>
      </w:r>
    </w:p>
    <w:p w14:paraId="086B6F52" w14:textId="77777777" w:rsidR="005474F1" w:rsidRPr="00E84C4E" w:rsidRDefault="005474F1" w:rsidP="005474F1">
      <w:pPr>
        <w:spacing w:before="120" w:after="120"/>
        <w:ind w:left="709" w:right="709"/>
        <w:contextualSpacing/>
        <w:jc w:val="both"/>
        <w:rPr>
          <w:rFonts w:ascii="Verdana" w:eastAsia="Century Gothic" w:hAnsi="Verdana" w:cs="Century Gothic"/>
          <w:i/>
          <w:color w:val="000000" w:themeColor="text1"/>
          <w:sz w:val="20"/>
          <w:szCs w:val="20"/>
        </w:rPr>
      </w:pPr>
      <w:r w:rsidRPr="00E84C4E">
        <w:rPr>
          <w:rFonts w:ascii="Verdana" w:eastAsia="Century Gothic" w:hAnsi="Verdana" w:cs="Century Gothic"/>
          <w:i/>
          <w:color w:val="000000" w:themeColor="text1"/>
          <w:sz w:val="20"/>
          <w:szCs w:val="20"/>
        </w:rPr>
        <w:t xml:space="preserve">¿La restricción del artículo 33 aplica igualmente a la contratación directa de peritos o expertos para presentar o contradecir dictámenes periciales, conforme al literal k) del artículo 2 de la Ley 1150 de 2007? </w:t>
      </w:r>
    </w:p>
    <w:p w14:paraId="1C9A4B19" w14:textId="77777777" w:rsidR="005474F1" w:rsidRPr="00E84C4E" w:rsidRDefault="005474F1" w:rsidP="005474F1">
      <w:pPr>
        <w:spacing w:before="120" w:after="120"/>
        <w:ind w:left="709" w:right="709"/>
        <w:contextualSpacing/>
        <w:jc w:val="both"/>
        <w:rPr>
          <w:rFonts w:ascii="Verdana" w:eastAsia="Century Gothic" w:hAnsi="Verdana" w:cs="Century Gothic"/>
          <w:i/>
          <w:color w:val="000000" w:themeColor="text1"/>
          <w:sz w:val="20"/>
          <w:szCs w:val="20"/>
        </w:rPr>
      </w:pPr>
      <w:r w:rsidRPr="00E84C4E">
        <w:rPr>
          <w:rFonts w:ascii="Verdana" w:eastAsia="Century Gothic" w:hAnsi="Verdana" w:cs="Century Gothic"/>
          <w:i/>
          <w:color w:val="000000" w:themeColor="text1"/>
          <w:sz w:val="20"/>
          <w:szCs w:val="20"/>
        </w:rPr>
        <w:t xml:space="preserve">¿Cómo se aplica la restricción contenida en la Ley 996 de 2005 a los contratos o convenios financiados total o parcialmente (al menos en un 50%) con fondos de organismos internacionales de cooperación o multilaterales de crédito, cuando se celebran bajo las condiciones y reglamentos propios de dichos organismos y cuya causal de contratación es directa? </w:t>
      </w:r>
    </w:p>
    <w:p w14:paraId="663FBB4C" w14:textId="77777777" w:rsidR="005474F1" w:rsidRPr="00E84C4E" w:rsidRDefault="005474F1" w:rsidP="005474F1">
      <w:pPr>
        <w:spacing w:before="120" w:after="120"/>
        <w:ind w:left="709" w:right="709"/>
        <w:contextualSpacing/>
        <w:jc w:val="both"/>
        <w:rPr>
          <w:rFonts w:ascii="Verdana" w:eastAsia="Century Gothic" w:hAnsi="Verdana" w:cs="Century Gothic"/>
          <w:i/>
          <w:color w:val="000000" w:themeColor="text1"/>
          <w:sz w:val="20"/>
          <w:szCs w:val="20"/>
        </w:rPr>
      </w:pPr>
      <w:r w:rsidRPr="00E84C4E">
        <w:rPr>
          <w:rFonts w:ascii="Verdana" w:eastAsia="Century Gothic" w:hAnsi="Verdana" w:cs="Century Gothic"/>
          <w:i/>
          <w:color w:val="000000" w:themeColor="text1"/>
          <w:sz w:val="20"/>
          <w:szCs w:val="20"/>
        </w:rPr>
        <w:t xml:space="preserve">En estos casos, cuando los contratos se someten a los reglamentos de dichos organismos, ¿pierde aplicación la restricción electoral para la contratación directa? </w:t>
      </w:r>
      <w:r>
        <w:rPr>
          <w:rFonts w:ascii="Verdana" w:eastAsia="Century Gothic" w:hAnsi="Verdana" w:cs="Century Gothic"/>
          <w:i/>
          <w:color w:val="000000" w:themeColor="text1"/>
          <w:sz w:val="20"/>
          <w:szCs w:val="20"/>
        </w:rPr>
        <w:t>[…]</w:t>
      </w:r>
      <w:r w:rsidRPr="00FC6F34">
        <w:rPr>
          <w:rFonts w:ascii="Verdana" w:hAnsi="Verdana"/>
          <w:i/>
          <w:iCs/>
          <w:sz w:val="20"/>
          <w:szCs w:val="20"/>
          <w:lang w:val="es-ES"/>
        </w:rPr>
        <w:t>”</w:t>
      </w:r>
    </w:p>
    <w:p w14:paraId="36013BCF" w14:textId="77777777" w:rsidR="005474F1" w:rsidRPr="00FC6F34" w:rsidRDefault="005474F1" w:rsidP="005474F1">
      <w:pPr>
        <w:spacing w:after="0" w:line="276" w:lineRule="auto"/>
        <w:ind w:right="709"/>
        <w:jc w:val="both"/>
        <w:rPr>
          <w:rFonts w:ascii="Verdana" w:eastAsia="Calibri" w:hAnsi="Verdana" w:cs="Arial"/>
          <w:lang w:val="es-ES"/>
        </w:rPr>
      </w:pPr>
    </w:p>
    <w:p w14:paraId="68604EEF" w14:textId="77777777" w:rsidR="005474F1" w:rsidRPr="00FC6F34" w:rsidRDefault="005474F1" w:rsidP="005474F1">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C6F34">
        <w:rPr>
          <w:lang w:val="es-ES"/>
        </w:rPr>
        <w:tab/>
      </w:r>
    </w:p>
    <w:p w14:paraId="51C125C1" w14:textId="77777777" w:rsidR="005474F1" w:rsidRPr="00FC6F34" w:rsidRDefault="005474F1" w:rsidP="005474F1">
      <w:pPr>
        <w:spacing w:after="0" w:line="276" w:lineRule="auto"/>
        <w:ind w:firstLine="709"/>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themeColor="text1"/>
          <w:lang w:val="es-ES" w:eastAsia="es-ES"/>
        </w:rPr>
        <w:t>los</w:t>
      </w:r>
      <w:r w:rsidRPr="00FC6F34">
        <w:rPr>
          <w:rFonts w:ascii="Verdana" w:eastAsia="Calibri" w:hAnsi="Verdana" w:cs="Arial"/>
          <w:color w:val="000000" w:themeColor="text1"/>
          <w:lang w:val="es-ES" w:eastAsia="es-ES"/>
        </w:rPr>
        <w:t xml:space="preserve"> problema</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jurídico</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de su consulta. </w:t>
      </w:r>
    </w:p>
    <w:p w14:paraId="79D22B69" w14:textId="77777777" w:rsidR="005474F1" w:rsidRPr="00FC6F34" w:rsidRDefault="005474F1" w:rsidP="005474F1">
      <w:pPr>
        <w:spacing w:after="0" w:line="276" w:lineRule="auto"/>
        <w:ind w:firstLine="709"/>
        <w:jc w:val="both"/>
        <w:rPr>
          <w:rFonts w:ascii="Verdana" w:eastAsia="Calibri" w:hAnsi="Verdana" w:cs="Arial"/>
          <w:color w:val="000000" w:themeColor="text1"/>
          <w:lang w:val="es-ES" w:eastAsia="es-ES"/>
        </w:rPr>
      </w:pPr>
    </w:p>
    <w:p w14:paraId="0ED8543B" w14:textId="77777777" w:rsidR="005474F1" w:rsidRPr="00FC6F34" w:rsidRDefault="005474F1" w:rsidP="005474F1">
      <w:pPr>
        <w:tabs>
          <w:tab w:val="left" w:pos="142"/>
          <w:tab w:val="left" w:pos="284"/>
        </w:tabs>
        <w:spacing w:after="0" w:line="276" w:lineRule="auto"/>
        <w:contextualSpacing/>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1.Problema planteado:</w:t>
      </w:r>
    </w:p>
    <w:p w14:paraId="1C24234B" w14:textId="77777777" w:rsidR="005474F1" w:rsidRPr="00FC6F34" w:rsidRDefault="005474F1" w:rsidP="005474F1">
      <w:pPr>
        <w:tabs>
          <w:tab w:val="left" w:pos="426"/>
        </w:tabs>
        <w:spacing w:after="0" w:line="276" w:lineRule="auto"/>
        <w:jc w:val="both"/>
        <w:rPr>
          <w:rFonts w:ascii="Verdana" w:eastAsia="Century Gothic" w:hAnsi="Verdana" w:cs="Century Gothic"/>
          <w:color w:val="000000" w:themeColor="text1"/>
          <w:lang w:val="es-ES"/>
        </w:rPr>
      </w:pPr>
    </w:p>
    <w:p w14:paraId="316AAF24" w14:textId="294F4B43" w:rsidR="005474F1" w:rsidRPr="00FC6F34" w:rsidRDefault="005474F1" w:rsidP="005474F1">
      <w:pPr>
        <w:spacing w:after="0" w:line="276" w:lineRule="auto"/>
        <w:jc w:val="both"/>
        <w:rPr>
          <w:rFonts w:ascii="Verdana" w:eastAsia="Century Gothic" w:hAnsi="Verdana" w:cs="Century Gothic"/>
          <w:color w:val="000000" w:themeColor="text1"/>
          <w:lang w:val="es-ES"/>
        </w:rPr>
      </w:pPr>
      <w:r w:rsidRPr="00FC6F34">
        <w:rPr>
          <w:rFonts w:ascii="Verdana" w:eastAsia="Century Gothic" w:hAnsi="Verdana" w:cs="Century Gothic"/>
          <w:color w:val="000000" w:themeColor="text1"/>
          <w:lang w:val="es-ES"/>
        </w:rPr>
        <w:t xml:space="preserve">De acuerdo con el contenido de su solicitud, esta Agencia resolverá </w:t>
      </w:r>
      <w:r>
        <w:rPr>
          <w:rFonts w:ascii="Verdana" w:eastAsia="Century Gothic" w:hAnsi="Verdana" w:cs="Century Gothic"/>
          <w:color w:val="000000" w:themeColor="text1"/>
          <w:lang w:val="es-ES"/>
        </w:rPr>
        <w:t>los</w:t>
      </w:r>
      <w:r w:rsidRPr="00FC6F34">
        <w:rPr>
          <w:rFonts w:ascii="Verdana" w:eastAsia="Century Gothic" w:hAnsi="Verdana" w:cs="Century Gothic"/>
          <w:color w:val="000000" w:themeColor="text1"/>
          <w:lang w:val="es-ES"/>
        </w:rPr>
        <w:t xml:space="preserve"> siguiente</w:t>
      </w:r>
      <w:r>
        <w:rPr>
          <w:rFonts w:ascii="Verdana" w:eastAsia="Century Gothic" w:hAnsi="Verdana" w:cs="Century Gothic"/>
          <w:color w:val="000000" w:themeColor="text1"/>
          <w:lang w:val="es-ES"/>
        </w:rPr>
        <w:t>s</w:t>
      </w:r>
      <w:r w:rsidRPr="00FC6F34">
        <w:rPr>
          <w:rFonts w:ascii="Verdana" w:eastAsia="Century Gothic" w:hAnsi="Verdana" w:cs="Century Gothic"/>
          <w:color w:val="000000" w:themeColor="text1"/>
          <w:lang w:val="es-ES"/>
        </w:rPr>
        <w:t xml:space="preserve"> problema</w:t>
      </w:r>
      <w:r>
        <w:rPr>
          <w:rFonts w:ascii="Verdana" w:eastAsia="Century Gothic" w:hAnsi="Verdana" w:cs="Century Gothic"/>
          <w:color w:val="000000" w:themeColor="text1"/>
          <w:lang w:val="es-ES"/>
        </w:rPr>
        <w:t>s</w:t>
      </w:r>
      <w:r w:rsidRPr="00FC6F34">
        <w:rPr>
          <w:rFonts w:ascii="Verdana" w:eastAsia="Century Gothic" w:hAnsi="Verdana" w:cs="Century Gothic"/>
          <w:color w:val="000000" w:themeColor="text1"/>
          <w:lang w:val="es-ES"/>
        </w:rPr>
        <w:t xml:space="preserve"> jurídico</w:t>
      </w:r>
      <w:r>
        <w:rPr>
          <w:rFonts w:ascii="Verdana" w:eastAsia="Century Gothic" w:hAnsi="Verdana" w:cs="Century Gothic"/>
          <w:color w:val="000000" w:themeColor="text1"/>
          <w:lang w:val="es-ES"/>
        </w:rPr>
        <w:t>s</w:t>
      </w:r>
      <w:r w:rsidRPr="00FC6F34">
        <w:rPr>
          <w:rFonts w:ascii="Verdana" w:eastAsia="Century Gothic" w:hAnsi="Verdana" w:cs="Century Gothic"/>
          <w:color w:val="000000" w:themeColor="text1"/>
          <w:lang w:val="es-ES"/>
        </w:rPr>
        <w:t xml:space="preserve">: </w:t>
      </w:r>
      <w:r>
        <w:rPr>
          <w:rFonts w:ascii="Verdana" w:eastAsia="Century Gothic" w:hAnsi="Verdana" w:cs="Century Gothic"/>
          <w:color w:val="000000" w:themeColor="text1"/>
          <w:lang w:val="es-ES"/>
        </w:rPr>
        <w:t xml:space="preserve">i) ¿Aplica la restricción establecida en el artículo 33 de la </w:t>
      </w:r>
      <w:r w:rsidR="3E41B8B8" w:rsidRPr="06953059">
        <w:rPr>
          <w:rFonts w:ascii="Verdana" w:eastAsia="Century Gothic" w:hAnsi="Verdana" w:cs="Century Gothic"/>
          <w:color w:val="000000" w:themeColor="text1"/>
          <w:lang w:val="es-ES"/>
        </w:rPr>
        <w:lastRenderedPageBreak/>
        <w:t>L</w:t>
      </w:r>
      <w:r w:rsidRPr="06953059">
        <w:rPr>
          <w:rFonts w:ascii="Verdana" w:eastAsia="Century Gothic" w:hAnsi="Verdana" w:cs="Century Gothic"/>
          <w:color w:val="000000" w:themeColor="text1"/>
          <w:lang w:val="es-ES"/>
        </w:rPr>
        <w:t>ey</w:t>
      </w:r>
      <w:r>
        <w:rPr>
          <w:rFonts w:ascii="Verdana" w:eastAsia="Century Gothic" w:hAnsi="Verdana" w:cs="Century Gothic"/>
          <w:color w:val="000000" w:themeColor="text1"/>
          <w:lang w:val="es-ES"/>
        </w:rPr>
        <w:t xml:space="preserve"> 996 de 2005 a los contratos que celebren las entidades en virtud de las causales del literal h) y k) del artículo 2 de la Ley 1150 de 2007? y </w:t>
      </w:r>
      <w:proofErr w:type="spellStart"/>
      <w:r>
        <w:rPr>
          <w:rFonts w:ascii="Verdana" w:eastAsia="Century Gothic" w:hAnsi="Verdana" w:cs="Century Gothic"/>
          <w:color w:val="000000" w:themeColor="text1"/>
          <w:lang w:val="es-ES"/>
        </w:rPr>
        <w:t>ii</w:t>
      </w:r>
      <w:proofErr w:type="spellEnd"/>
      <w:r>
        <w:rPr>
          <w:rFonts w:ascii="Verdana" w:eastAsia="Century Gothic" w:hAnsi="Verdana" w:cs="Century Gothic"/>
          <w:color w:val="000000" w:themeColor="text1"/>
          <w:lang w:val="es-ES"/>
        </w:rPr>
        <w:t xml:space="preserve">) ¿Cuál es el ámbito de aplicación de las restricciones de la Ley de Garantías Electorales a los contratos o convenios financiados por </w:t>
      </w:r>
      <w:r w:rsidRPr="00E84C4E">
        <w:rPr>
          <w:rFonts w:ascii="Verdana" w:eastAsia="Century Gothic" w:hAnsi="Verdana" w:cs="Century Gothic"/>
          <w:color w:val="000000" w:themeColor="text1"/>
          <w:lang w:val="es-ES"/>
        </w:rPr>
        <w:t xml:space="preserve">organismos internacionales de </w:t>
      </w:r>
      <w:r w:rsidR="00D015B4" w:rsidRPr="00E84C4E">
        <w:rPr>
          <w:rFonts w:ascii="Verdana" w:eastAsia="Century Gothic" w:hAnsi="Verdana" w:cs="Century Gothic"/>
          <w:color w:val="000000" w:themeColor="text1"/>
          <w:lang w:val="es-ES"/>
        </w:rPr>
        <w:t>cooperación</w:t>
      </w:r>
      <w:r w:rsidRPr="00E84C4E">
        <w:rPr>
          <w:rFonts w:ascii="Verdana" w:eastAsia="Century Gothic" w:hAnsi="Verdana" w:cs="Century Gothic"/>
          <w:color w:val="000000" w:themeColor="text1"/>
          <w:lang w:val="es-ES"/>
        </w:rPr>
        <w:t xml:space="preserve"> o multilaterales de </w:t>
      </w:r>
      <w:r w:rsidR="00D015B4" w:rsidRPr="00E84C4E">
        <w:rPr>
          <w:rFonts w:ascii="Verdana" w:eastAsia="Century Gothic" w:hAnsi="Verdana" w:cs="Century Gothic"/>
          <w:color w:val="000000" w:themeColor="text1"/>
          <w:lang w:val="es-ES"/>
        </w:rPr>
        <w:t>crédito</w:t>
      </w:r>
      <w:r w:rsidRPr="00E84C4E">
        <w:rPr>
          <w:rFonts w:ascii="Verdana" w:eastAsia="Century Gothic" w:hAnsi="Verdana" w:cs="Century Gothic"/>
          <w:color w:val="000000" w:themeColor="text1"/>
          <w:lang w:val="es-ES"/>
        </w:rPr>
        <w:t xml:space="preserve">? </w:t>
      </w:r>
    </w:p>
    <w:p w14:paraId="64CDC913" w14:textId="77777777" w:rsidR="005474F1" w:rsidRPr="00FC6F34" w:rsidRDefault="005474F1" w:rsidP="005474F1">
      <w:pPr>
        <w:spacing w:after="0" w:line="276" w:lineRule="auto"/>
        <w:jc w:val="both"/>
        <w:rPr>
          <w:rFonts w:ascii="Verdana" w:eastAsia="Calibri" w:hAnsi="Verdana" w:cs="Arial"/>
          <w:color w:val="000000" w:themeColor="text1"/>
          <w:lang w:val="es-ES"/>
        </w:rPr>
      </w:pPr>
    </w:p>
    <w:p w14:paraId="45A7C54E" w14:textId="77777777" w:rsidR="005474F1" w:rsidRPr="00FC6F34" w:rsidRDefault="005474F1" w:rsidP="005474F1">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2.Respuesta:</w:t>
      </w:r>
    </w:p>
    <w:p w14:paraId="50490E49" w14:textId="77777777" w:rsidR="005474F1" w:rsidRPr="00FC6F34" w:rsidRDefault="005474F1" w:rsidP="005474F1">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474F1" w:rsidRPr="00FC6F34" w14:paraId="26A35A3D" w14:textId="77777777" w:rsidTr="00C733E6">
        <w:tc>
          <w:tcPr>
            <w:tcW w:w="8828" w:type="dxa"/>
          </w:tcPr>
          <w:p w14:paraId="1DB5F544" w14:textId="77777777" w:rsidR="005474F1" w:rsidRDefault="005474F1" w:rsidP="64824BF7">
            <w:pPr>
              <w:spacing w:before="120" w:after="120" w:line="276" w:lineRule="auto"/>
              <w:jc w:val="both"/>
              <w:rPr>
                <w:rFonts w:ascii="Verdana" w:eastAsia="Calibri" w:hAnsi="Verdana" w:cs="Arial"/>
                <w:lang w:val="es-ES"/>
              </w:rPr>
            </w:pPr>
            <w:r>
              <w:rPr>
                <w:rFonts w:ascii="Verdana" w:eastAsia="Calibri" w:hAnsi="Verdana" w:cs="Arial"/>
                <w:color w:val="000000" w:themeColor="text1"/>
                <w:lang w:val="es-ES"/>
              </w:rPr>
              <w:t xml:space="preserve">i) </w:t>
            </w:r>
            <w:r w:rsidRPr="00FC6F34">
              <w:rPr>
                <w:rFonts w:ascii="Verdana" w:eastAsia="Calibri" w:hAnsi="Verdana" w:cs="Arial"/>
                <w:color w:val="000000" w:themeColor="text1"/>
                <w:lang w:val="es-ES"/>
              </w:rPr>
              <w:t>E</w:t>
            </w:r>
            <w:r w:rsidRPr="00FC6F34">
              <w:rPr>
                <w:rFonts w:ascii="Verdana" w:eastAsia="Calibri" w:hAnsi="Verdana" w:cs="Arial"/>
                <w:lang w:val="es-ES"/>
              </w:rPr>
              <w:t xml:space="preserve">l </w:t>
            </w:r>
            <w:r w:rsidRPr="00412D38">
              <w:rPr>
                <w:rFonts w:ascii="Verdana" w:eastAsia="Calibri" w:hAnsi="Verdana" w:cs="Arial"/>
                <w:i/>
                <w:iCs/>
                <w:lang w:val="es-ES"/>
              </w:rPr>
              <w:t>artículo 33</w:t>
            </w:r>
            <w:r w:rsidRPr="00FC6F34">
              <w:rPr>
                <w:rFonts w:ascii="Verdana" w:eastAsia="Calibri" w:hAnsi="Verdana" w:cs="Arial"/>
                <w:lang w:val="es-ES"/>
              </w:rPr>
              <w:t xml:space="preserve"> de la Ley 996 de 2005 prohíbe “[…] la contratación directa por parte de </w:t>
            </w:r>
            <w:r w:rsidRPr="00412D38">
              <w:rPr>
                <w:rFonts w:ascii="Verdana" w:eastAsia="Calibri" w:hAnsi="Verdana" w:cs="Arial"/>
                <w:lang w:val="es-ES"/>
              </w:rPr>
              <w:t>todos los entes del Estado</w:t>
            </w:r>
            <w:r w:rsidRPr="00FC6F34">
              <w:rPr>
                <w:rFonts w:ascii="Verdana" w:eastAsia="Calibri" w:hAnsi="Verdana" w:cs="Arial"/>
                <w:lang w:val="es-ES"/>
              </w:rPr>
              <w:t>”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688EF702" w14:textId="77777777" w:rsidR="005474F1" w:rsidRDefault="005474F1" w:rsidP="00C733E6">
            <w:pPr>
              <w:spacing w:line="276" w:lineRule="auto"/>
              <w:ind w:firstLine="708"/>
              <w:jc w:val="both"/>
              <w:rPr>
                <w:rFonts w:ascii="Verdana" w:eastAsia="Times New Roman" w:hAnsi="Verdana" w:cs="Arial"/>
                <w:lang w:val="es-ES"/>
              </w:rPr>
            </w:pPr>
            <w:r w:rsidRPr="00FC6F34">
              <w:rPr>
                <w:rFonts w:ascii="Verdana" w:eastAsia="Times New Roman" w:hAnsi="Verdana" w:cs="Arial"/>
                <w:lang w:val="es-ES"/>
              </w:rPr>
              <w:t xml:space="preserve">El ámbito material de esta prohibición está delimitado por la expresión </w:t>
            </w:r>
            <w:r w:rsidRPr="00FC6F34">
              <w:rPr>
                <w:rFonts w:ascii="Verdana" w:eastAsia="Calibri" w:hAnsi="Verdana" w:cs="Arial"/>
                <w:bCs/>
                <w:lang w:val="es-ES"/>
              </w:rPr>
              <w:t>“</w:t>
            </w:r>
            <w:r w:rsidRPr="00FC6F34">
              <w:rPr>
                <w:rFonts w:ascii="Verdana" w:eastAsia="Times New Roman" w:hAnsi="Verdana" w:cs="Arial"/>
                <w:lang w:val="es-ES"/>
              </w:rPr>
              <w:t>queda prohibida la contratación directa</w:t>
            </w:r>
            <w:r w:rsidRPr="00FC6F34">
              <w:rPr>
                <w:rFonts w:ascii="Verdana" w:eastAsia="Calibri" w:hAnsi="Verdana" w:cs="Arial"/>
                <w:lang w:val="es-ES"/>
              </w:rPr>
              <w:t>”</w:t>
            </w:r>
            <w:r w:rsidRPr="00FC6F34">
              <w:rPr>
                <w:rFonts w:ascii="Verdana" w:eastAsia="Times New Roman" w:hAnsi="Verdana" w:cs="Arial"/>
                <w:lang w:val="es-ES"/>
              </w:rPr>
              <w:t>.</w:t>
            </w:r>
            <w:r w:rsidRPr="00FC6F34">
              <w:rPr>
                <w:rFonts w:ascii="Verdana" w:eastAsia="Times New Roman" w:hAnsi="Verdana" w:cs="Arial"/>
                <w:lang w:val="es-ES" w:eastAsia="x-none"/>
              </w:rPr>
              <w:t xml:space="preserve"> De acuerdo con este concepto, la prohibición del artículo 33 de la Ley de Garantías Electorales se refiere a </w:t>
            </w:r>
            <w:r w:rsidRPr="00FC6F34">
              <w:rPr>
                <w:rFonts w:ascii="Verdana" w:eastAsia="Times New Roman" w:hAnsi="Verdana" w:cs="Arial"/>
                <w:sz w:val="19"/>
                <w:szCs w:val="19"/>
                <w:lang w:val="es-ES" w:eastAsia="en-GB"/>
              </w:rPr>
              <w:t>“</w:t>
            </w:r>
            <w:r w:rsidRPr="00FD1F46">
              <w:rPr>
                <w:rFonts w:ascii="Verdana" w:eastAsia="Times New Roman" w:hAnsi="Verdana" w:cs="Arial"/>
                <w:i/>
                <w:iCs/>
                <w:lang w:val="es-ES" w:eastAsia="x-none"/>
              </w:rPr>
              <w:t>cualquier</w:t>
            </w:r>
            <w:r w:rsidRPr="00FC6F34">
              <w:rPr>
                <w:rFonts w:ascii="Verdana" w:eastAsia="Times New Roman" w:hAnsi="Verdana" w:cs="Arial"/>
                <w:lang w:val="es-ES" w:eastAsia="x-none"/>
              </w:rPr>
              <w:t xml:space="preserve"> sistema que no implique convocatoria pública y posibilidad de pluralidad de oferentes</w:t>
            </w:r>
            <w:r w:rsidRPr="00FC6F34">
              <w:rPr>
                <w:rFonts w:ascii="Verdana" w:eastAsia="Times New Roman" w:hAnsi="Verdana" w:cs="Arial"/>
                <w:lang w:val="es-ES" w:eastAsia="en-GB"/>
              </w:rPr>
              <w:t>”</w:t>
            </w:r>
            <w:r>
              <w:rPr>
                <w:rFonts w:ascii="Verdana" w:eastAsia="Times New Roman" w:hAnsi="Verdana" w:cs="Arial"/>
                <w:lang w:val="es-ES" w:eastAsia="en-GB"/>
              </w:rPr>
              <w:t xml:space="preserve">. </w:t>
            </w:r>
            <w:r w:rsidRPr="00FC6F34">
              <w:rPr>
                <w:rFonts w:ascii="Verdana" w:eastAsia="Times New Roman" w:hAnsi="Verdana" w:cs="Arial"/>
                <w:lang w:val="es-ES"/>
              </w:rPr>
              <w:t>De lo anterior se desprende que la restricción aplica</w:t>
            </w:r>
            <w:r>
              <w:rPr>
                <w:rFonts w:ascii="Verdana" w:eastAsia="Times New Roman" w:hAnsi="Verdana" w:cs="Arial"/>
                <w:lang w:val="es-ES"/>
              </w:rPr>
              <w:t xml:space="preserve"> </w:t>
            </w:r>
            <w:r w:rsidRPr="00FC6F34">
              <w:rPr>
                <w:rFonts w:ascii="Verdana" w:eastAsia="Times New Roman" w:hAnsi="Verdana" w:cs="Arial"/>
                <w:lang w:val="es-ES"/>
              </w:rPr>
              <w:t xml:space="preserve">para celebrar </w:t>
            </w:r>
            <w:r w:rsidRPr="00FC6F34">
              <w:rPr>
                <w:rFonts w:ascii="Verdana" w:eastAsia="Times New Roman" w:hAnsi="Verdana" w:cs="Arial"/>
                <w:i/>
                <w:iCs/>
                <w:lang w:val="es-ES"/>
              </w:rPr>
              <w:t>cualquier contrato de forma directa</w:t>
            </w:r>
            <w:r w:rsidRPr="00FC6F34">
              <w:rPr>
                <w:rFonts w:ascii="Verdana" w:eastAsia="Times New Roman" w:hAnsi="Verdana" w:cs="Arial"/>
                <w:lang w:val="es-ES"/>
              </w:rPr>
              <w:t>, esto es, sin que exista un proceso abierto y competitivo. Por tanto,</w:t>
            </w:r>
            <w:r>
              <w:rPr>
                <w:rFonts w:ascii="Verdana" w:eastAsia="Times New Roman" w:hAnsi="Verdana" w:cs="Arial"/>
                <w:lang w:val="es-ES"/>
              </w:rPr>
              <w:t xml:space="preserve"> los procedimientos de selección que pretendan adelantar las Entidades Estatales mediante cualquiera de las causales de contratación directa establecidas en el artículo segundo de la Ley 1150 de 2007 estarán cubiertos por la prohibición establecida en el artículo 33 de la Ley de Garantías Electorales. </w:t>
            </w:r>
          </w:p>
          <w:p w14:paraId="4FA7089A" w14:textId="77777777" w:rsidR="005474F1" w:rsidRPr="00FC6F34" w:rsidRDefault="005474F1" w:rsidP="00C733E6">
            <w:pPr>
              <w:spacing w:before="120" w:after="120" w:line="276" w:lineRule="auto"/>
              <w:ind w:firstLine="708"/>
              <w:jc w:val="both"/>
              <w:rPr>
                <w:rFonts w:ascii="Verdana" w:eastAsia="Times New Roman" w:hAnsi="Verdana" w:cs="Arial"/>
                <w:lang w:val="es-ES"/>
              </w:rPr>
            </w:pPr>
            <w:r>
              <w:rPr>
                <w:rFonts w:ascii="Verdana" w:eastAsia="Times New Roman" w:hAnsi="Verdana" w:cs="Arial"/>
                <w:lang w:val="es-ES"/>
              </w:rPr>
              <w:t xml:space="preserve">En consecuencia, las entidades no podrán adelantar procesos mediante dicha modalidad para </w:t>
            </w:r>
            <w:proofErr w:type="gramStart"/>
            <w:r>
              <w:rPr>
                <w:rFonts w:ascii="Verdana" w:eastAsia="Times New Roman" w:hAnsi="Verdana" w:cs="Arial"/>
              </w:rPr>
              <w:t xml:space="preserve">contratar </w:t>
            </w:r>
            <w:r w:rsidRPr="00FD1F46">
              <w:rPr>
                <w:rFonts w:ascii="Verdana" w:eastAsia="Times New Roman" w:hAnsi="Verdana" w:cs="Arial"/>
              </w:rPr>
              <w:t xml:space="preserve"> la</w:t>
            </w:r>
            <w:proofErr w:type="gramEnd"/>
            <w:r w:rsidRPr="00FD1F46">
              <w:rPr>
                <w:rFonts w:ascii="Verdana" w:eastAsia="Times New Roman" w:hAnsi="Verdana" w:cs="Arial"/>
              </w:rPr>
              <w:t xml:space="preserve"> prestación de servicios profesionales y de apoyo a la gestión</w:t>
            </w:r>
            <w:r>
              <w:rPr>
                <w:rFonts w:ascii="Verdana" w:eastAsia="Times New Roman" w:hAnsi="Verdana" w:cs="Arial"/>
              </w:rPr>
              <w:t xml:space="preserve"> (causal del literal h), ni para l</w:t>
            </w:r>
            <w:r w:rsidRPr="00FD1F46">
              <w:rPr>
                <w:rFonts w:ascii="Verdana" w:eastAsia="Times New Roman" w:hAnsi="Verdana" w:cs="Arial"/>
              </w:rPr>
              <w:t xml:space="preserve">a selección </w:t>
            </w:r>
            <w:r>
              <w:rPr>
                <w:rFonts w:ascii="Verdana" w:eastAsia="Times New Roman" w:hAnsi="Verdana" w:cs="Arial"/>
              </w:rPr>
              <w:t xml:space="preserve">directa </w:t>
            </w:r>
            <w:r w:rsidRPr="00FD1F46">
              <w:rPr>
                <w:rFonts w:ascii="Verdana" w:eastAsia="Times New Roman" w:hAnsi="Verdana" w:cs="Arial"/>
              </w:rPr>
              <w:t>de peritos expertos o asesores técnicos para presentar o contradecir el dictamen pericial en procesos judiciales</w:t>
            </w:r>
            <w:r>
              <w:rPr>
                <w:rFonts w:ascii="Verdana" w:eastAsia="Times New Roman" w:hAnsi="Verdana" w:cs="Arial"/>
              </w:rPr>
              <w:t xml:space="preserve"> (causal del literal k)</w:t>
            </w:r>
            <w:r w:rsidRPr="00FD1F46">
              <w:rPr>
                <w:rFonts w:ascii="Verdana" w:eastAsia="Times New Roman" w:hAnsi="Verdana" w:cs="Arial"/>
              </w:rPr>
              <w:t>.</w:t>
            </w:r>
            <w:r>
              <w:rPr>
                <w:rFonts w:ascii="Verdana" w:eastAsia="Times New Roman" w:hAnsi="Verdana" w:cs="Arial"/>
                <w:lang w:val="es-ES"/>
              </w:rPr>
              <w:t xml:space="preserve"> En cualquier caso, </w:t>
            </w:r>
            <w:r w:rsidRPr="00FC6F34">
              <w:rPr>
                <w:rFonts w:ascii="Verdana" w:eastAsia="Times New Roman" w:hAnsi="Verdana" w:cs="Arial"/>
                <w:lang w:val="es-ES"/>
              </w:rPr>
              <w:t>no s</w:t>
            </w:r>
            <w:r>
              <w:rPr>
                <w:rFonts w:ascii="Verdana" w:eastAsia="Times New Roman" w:hAnsi="Verdana" w:cs="Arial"/>
                <w:lang w:val="es-ES"/>
              </w:rPr>
              <w:t>erán</w:t>
            </w:r>
            <w:r w:rsidRPr="00FC6F34">
              <w:rPr>
                <w:rFonts w:ascii="Verdana" w:eastAsia="Times New Roman" w:hAnsi="Verdana" w:cs="Arial"/>
                <w:lang w:val="es-ES"/>
              </w:rPr>
              <w:t xml:space="preserve"> materia de la prohibición las demás modalidades de selección previstas en la Ley 1150 de 2007, es decir, la licitación pública, el concurso de méritos, la selección abreviada y la mínima cuantía, razón por la cual en ese período </w:t>
            </w:r>
            <w:r w:rsidRPr="00FC6F34">
              <w:rPr>
                <w:rFonts w:ascii="Verdana" w:eastAsia="Times New Roman" w:hAnsi="Verdana" w:cs="Arial"/>
                <w:lang w:val="es-ES"/>
              </w:rPr>
              <w:lastRenderedPageBreak/>
              <w:t>preelectoral de que trata la disposición las entidades públicas pueden seguir contratando bajo estos sistemas</w:t>
            </w:r>
            <w:r>
              <w:rPr>
                <w:rFonts w:ascii="Verdana" w:eastAsia="Times New Roman" w:hAnsi="Verdana" w:cs="Arial"/>
                <w:lang w:val="es-ES"/>
              </w:rPr>
              <w:t xml:space="preserve"> para la satisfacción y atención de sus necesidades</w:t>
            </w:r>
            <w:r w:rsidRPr="00FC6F34">
              <w:rPr>
                <w:rFonts w:ascii="Verdana" w:eastAsia="Times New Roman" w:hAnsi="Verdana" w:cs="Arial"/>
                <w:lang w:val="es-ES"/>
              </w:rPr>
              <w:t>.</w:t>
            </w:r>
          </w:p>
          <w:p w14:paraId="5601E5F8" w14:textId="77777777" w:rsidR="005474F1" w:rsidRDefault="005474F1" w:rsidP="00C733E6">
            <w:pPr>
              <w:spacing w:after="120" w:line="276" w:lineRule="auto"/>
              <w:ind w:firstLine="735"/>
              <w:jc w:val="both"/>
              <w:rPr>
                <w:rFonts w:ascii="Verdana" w:eastAsia="Times New Roman" w:hAnsi="Verdana" w:cs="Arial"/>
                <w:lang w:val="es-MX" w:eastAsia="x-none"/>
              </w:rPr>
            </w:pPr>
            <w:proofErr w:type="spellStart"/>
            <w:r>
              <w:rPr>
                <w:rFonts w:ascii="Verdana" w:eastAsia="Arial" w:hAnsi="Verdana" w:cs="Arial"/>
                <w:bCs/>
                <w:color w:val="000000" w:themeColor="text1"/>
                <w:lang w:val="es-ES"/>
              </w:rPr>
              <w:t>ii</w:t>
            </w:r>
            <w:proofErr w:type="spellEnd"/>
            <w:r>
              <w:rPr>
                <w:rFonts w:ascii="Verdana" w:eastAsia="Arial" w:hAnsi="Verdana" w:cs="Arial"/>
                <w:bCs/>
                <w:color w:val="000000" w:themeColor="text1"/>
                <w:lang w:val="es-ES"/>
              </w:rPr>
              <w:t xml:space="preserve">) Con respecto al segundo problema jurídico planteado, </w:t>
            </w:r>
            <w:r>
              <w:rPr>
                <w:rFonts w:ascii="Verdana" w:eastAsia="Times New Roman" w:hAnsi="Verdana" w:cs="Arial"/>
                <w:lang w:val="es-MX" w:eastAsia="x-none"/>
              </w:rPr>
              <w:t>e</w:t>
            </w:r>
            <w:r w:rsidRPr="00B73308">
              <w:rPr>
                <w:rFonts w:ascii="Verdana" w:eastAsia="Times New Roman" w:hAnsi="Verdana" w:cs="Arial"/>
                <w:lang w:val="es-MX" w:eastAsia="x-none"/>
              </w:rPr>
              <w:t xml:space="preserve">l </w:t>
            </w:r>
            <w:r w:rsidRPr="00DF1455">
              <w:rPr>
                <w:rFonts w:ascii="Verdana" w:eastAsia="Times New Roman" w:hAnsi="Verdana" w:cs="Arial"/>
                <w:i/>
                <w:iCs/>
                <w:lang w:val="es-MX" w:eastAsia="x-none"/>
              </w:rPr>
              <w:t>inciso primero</w:t>
            </w:r>
            <w:r w:rsidRPr="00B73308">
              <w:rPr>
                <w:rFonts w:ascii="Verdana" w:eastAsia="Times New Roman" w:hAnsi="Verdana" w:cs="Arial"/>
                <w:lang w:val="es-MX" w:eastAsia="x-none"/>
              </w:rPr>
              <w:t xml:space="preserve"> del artículo 20 de la Ley 1150 de 2007, establece que</w:t>
            </w:r>
            <w:r>
              <w:rPr>
                <w:rFonts w:ascii="Verdana" w:eastAsia="Times New Roman" w:hAnsi="Verdana" w:cs="Arial"/>
                <w:lang w:val="es-MX" w:eastAsia="x-none"/>
              </w:rPr>
              <w:t xml:space="preserve"> los </w:t>
            </w:r>
            <w:r w:rsidRPr="00B73308">
              <w:rPr>
                <w:rFonts w:ascii="Verdana" w:eastAsia="Times New Roman" w:hAnsi="Verdana" w:cs="Arial"/>
                <w:lang w:val="es-MX" w:eastAsia="x-none"/>
              </w:rPr>
              <w:t xml:space="preserve">contratos </w:t>
            </w:r>
            <w:r>
              <w:rPr>
                <w:rFonts w:ascii="Verdana" w:eastAsia="Times New Roman" w:hAnsi="Verdana" w:cs="Arial"/>
                <w:lang w:val="es-MX" w:eastAsia="x-none"/>
              </w:rPr>
              <w:t xml:space="preserve">o convenios </w:t>
            </w:r>
            <w:r w:rsidRPr="00B73308">
              <w:rPr>
                <w:rFonts w:ascii="Verdana" w:eastAsia="Times New Roman" w:hAnsi="Verdana" w:cs="Arial"/>
                <w:lang w:val="es-MX" w:eastAsia="x-none"/>
              </w:rPr>
              <w:t>se financi</w:t>
            </w:r>
            <w:r>
              <w:rPr>
                <w:rFonts w:ascii="Verdana" w:eastAsia="Times New Roman" w:hAnsi="Verdana" w:cs="Arial"/>
                <w:lang w:val="es-MX" w:eastAsia="x-none"/>
              </w:rPr>
              <w:t>e</w:t>
            </w:r>
            <w:r w:rsidRPr="00B73308">
              <w:rPr>
                <w:rFonts w:ascii="Verdana" w:eastAsia="Times New Roman" w:hAnsi="Verdana" w:cs="Arial"/>
                <w:lang w:val="es-MX" w:eastAsia="x-none"/>
              </w:rPr>
              <w:t xml:space="preserve">n en su totalidad o en sumas iguales o superiores al cincuenta por ciento con fondos de </w:t>
            </w:r>
            <w:r>
              <w:rPr>
                <w:rFonts w:ascii="Verdana" w:eastAsia="Times New Roman" w:hAnsi="Verdana" w:cs="Arial"/>
                <w:lang w:val="es-MX" w:eastAsia="x-none"/>
              </w:rPr>
              <w:t>dichos</w:t>
            </w:r>
            <w:r w:rsidRPr="00B73308">
              <w:rPr>
                <w:rFonts w:ascii="Verdana" w:eastAsia="Times New Roman" w:hAnsi="Verdana" w:cs="Arial"/>
                <w:lang w:val="es-MX" w:eastAsia="x-none"/>
              </w:rPr>
              <w:t xml:space="preserve"> organismos, </w:t>
            </w:r>
            <w:r w:rsidRPr="00DF1455">
              <w:rPr>
                <w:rFonts w:ascii="Verdana" w:eastAsia="Times New Roman" w:hAnsi="Verdana" w:cs="Arial"/>
                <w:i/>
                <w:iCs/>
                <w:lang w:val="es-MX" w:eastAsia="x-none"/>
              </w:rPr>
              <w:t>pueden</w:t>
            </w:r>
            <w:r w:rsidRPr="00B73308">
              <w:rPr>
                <w:rFonts w:ascii="Verdana" w:eastAsia="Times New Roman" w:hAnsi="Verdana" w:cs="Arial"/>
                <w:lang w:val="es-MX" w:eastAsia="x-none"/>
              </w:rPr>
              <w:t xml:space="preserve"> someterse a</w:t>
            </w:r>
            <w:r>
              <w:rPr>
                <w:rFonts w:ascii="Verdana" w:eastAsia="Times New Roman" w:hAnsi="Verdana" w:cs="Arial"/>
                <w:lang w:val="es-MX" w:eastAsia="x-none"/>
              </w:rPr>
              <w:t xml:space="preserve"> sus reglamentos</w:t>
            </w:r>
            <w:r w:rsidRPr="00B73308">
              <w:rPr>
                <w:rFonts w:ascii="Verdana" w:eastAsia="Times New Roman" w:hAnsi="Verdana" w:cs="Arial"/>
                <w:lang w:val="es-MX" w:eastAsia="x-none"/>
              </w:rPr>
              <w:t>.</w:t>
            </w:r>
            <w:r>
              <w:rPr>
                <w:rFonts w:ascii="Verdana" w:eastAsia="Times New Roman" w:hAnsi="Verdana" w:cs="Arial"/>
                <w:lang w:val="es-MX" w:eastAsia="x-none"/>
              </w:rPr>
              <w:t xml:space="preserve"> Por el contrario</w:t>
            </w:r>
            <w:r w:rsidRPr="00B73308">
              <w:rPr>
                <w:rFonts w:ascii="Verdana" w:eastAsia="Times New Roman" w:hAnsi="Verdana" w:cs="Arial"/>
                <w:lang w:val="es-MX" w:eastAsia="x-none"/>
              </w:rPr>
              <w:t>,</w:t>
            </w:r>
            <w:r>
              <w:rPr>
                <w:rFonts w:ascii="Verdana" w:eastAsia="Times New Roman" w:hAnsi="Verdana" w:cs="Arial"/>
                <w:lang w:val="es-MX" w:eastAsia="x-none"/>
              </w:rPr>
              <w:t xml:space="preserve"> </w:t>
            </w:r>
            <w:r w:rsidRPr="00B73308">
              <w:rPr>
                <w:rFonts w:ascii="Verdana" w:eastAsia="Times New Roman" w:hAnsi="Verdana" w:cs="Arial"/>
                <w:lang w:val="es-MX" w:eastAsia="x-none"/>
              </w:rPr>
              <w:t xml:space="preserve">cuando se trate de contratos que se financian con recursos del presupuesto general de la nación, </w:t>
            </w:r>
            <w:r>
              <w:rPr>
                <w:rFonts w:ascii="Verdana" w:eastAsia="Times New Roman" w:hAnsi="Verdana" w:cs="Arial"/>
                <w:lang w:val="es-MX" w:eastAsia="x-none"/>
              </w:rPr>
              <w:t xml:space="preserve">las entidades </w:t>
            </w:r>
            <w:r w:rsidRPr="00F66EEE">
              <w:rPr>
                <w:rFonts w:ascii="Verdana" w:eastAsia="Times New Roman" w:hAnsi="Verdana" w:cs="Arial"/>
                <w:i/>
                <w:iCs/>
                <w:lang w:val="es-MX" w:eastAsia="x-none"/>
              </w:rPr>
              <w:t>deberán</w:t>
            </w:r>
            <w:r>
              <w:rPr>
                <w:rFonts w:ascii="Verdana" w:eastAsia="Times New Roman" w:hAnsi="Verdana" w:cs="Arial"/>
                <w:lang w:val="es-MX" w:eastAsia="x-none"/>
              </w:rPr>
              <w:t xml:space="preserve"> necesariamente </w:t>
            </w:r>
            <w:r w:rsidRPr="00B73308">
              <w:rPr>
                <w:rFonts w:ascii="Verdana" w:eastAsia="Times New Roman" w:hAnsi="Verdana" w:cs="Arial"/>
                <w:lang w:val="es-MX" w:eastAsia="x-none"/>
              </w:rPr>
              <w:t>aplicar el Estatuto General de Contratación</w:t>
            </w:r>
            <w:r>
              <w:rPr>
                <w:rFonts w:ascii="Verdana" w:eastAsia="Times New Roman" w:hAnsi="Verdana" w:cs="Arial"/>
                <w:lang w:val="es-MX" w:eastAsia="x-none"/>
              </w:rPr>
              <w:t xml:space="preserve"> de la Administración</w:t>
            </w:r>
            <w:r w:rsidRPr="00B73308">
              <w:rPr>
                <w:rFonts w:ascii="Verdana" w:eastAsia="Times New Roman" w:hAnsi="Verdana" w:cs="Arial"/>
                <w:lang w:val="es-MX" w:eastAsia="x-none"/>
              </w:rPr>
              <w:t xml:space="preserve"> Pública.</w:t>
            </w:r>
          </w:p>
          <w:p w14:paraId="21E035C2" w14:textId="60A5CA87" w:rsidR="005474F1" w:rsidRDefault="005474F1" w:rsidP="00C733E6">
            <w:pPr>
              <w:spacing w:before="120" w:line="276" w:lineRule="auto"/>
              <w:ind w:firstLine="694"/>
              <w:jc w:val="both"/>
              <w:rPr>
                <w:rFonts w:ascii="Verdana" w:eastAsia="Times New Roman" w:hAnsi="Verdana" w:cs="Arial"/>
                <w:lang w:val="es-MX"/>
              </w:rPr>
            </w:pPr>
            <w:r w:rsidRPr="44B3FB22">
              <w:rPr>
                <w:rFonts w:ascii="Verdana" w:eastAsia="Times New Roman" w:hAnsi="Verdana" w:cs="Arial"/>
                <w:lang w:val="es-MX"/>
              </w:rPr>
              <w:t>En</w:t>
            </w:r>
            <w:r>
              <w:rPr>
                <w:rFonts w:ascii="Verdana" w:eastAsia="Times New Roman" w:hAnsi="Verdana" w:cs="Arial"/>
                <w:lang w:val="es-MX"/>
              </w:rPr>
              <w:t xml:space="preserve"> consecuencia</w:t>
            </w:r>
            <w:r w:rsidRPr="44B3FB22">
              <w:rPr>
                <w:rFonts w:ascii="Verdana" w:eastAsia="Times New Roman" w:hAnsi="Verdana" w:cs="Arial"/>
                <w:lang w:val="es-MX"/>
              </w:rPr>
              <w:t>, la restricción contemplada en el artículo 33</w:t>
            </w:r>
            <w:r>
              <w:rPr>
                <w:rFonts w:ascii="Verdana" w:eastAsia="Times New Roman" w:hAnsi="Verdana" w:cs="Arial"/>
                <w:lang w:val="es-MX"/>
              </w:rPr>
              <w:t xml:space="preserve"> de la Ley de Garantías Electorales</w:t>
            </w:r>
            <w:r w:rsidRPr="44B3FB22">
              <w:rPr>
                <w:rFonts w:ascii="Verdana" w:eastAsia="Times New Roman" w:hAnsi="Verdana" w:cs="Arial"/>
                <w:lang w:val="es-MX"/>
              </w:rPr>
              <w:t xml:space="preserve"> </w:t>
            </w:r>
            <w:r w:rsidRPr="00DF1455">
              <w:rPr>
                <w:rFonts w:ascii="Verdana" w:eastAsia="Times New Roman" w:hAnsi="Verdana" w:cs="Arial"/>
                <w:i/>
                <w:iCs/>
                <w:lang w:val="es-MX"/>
              </w:rPr>
              <w:t>no</w:t>
            </w:r>
            <w:r w:rsidRPr="44B3FB22">
              <w:rPr>
                <w:rFonts w:ascii="Verdana" w:eastAsia="Times New Roman" w:hAnsi="Verdana" w:cs="Arial"/>
                <w:lang w:val="es-MX"/>
              </w:rPr>
              <w:t xml:space="preserve"> aplica a los contratos que son financiados en su totalidad o en sumas iguales o superiores al cincuenta por ciento con fondos de organismos de cooperación, asistencia o ayudas internacionales, y cuyo régimen sea el dispuesto en los reglamentos de tales organismos. Lo anterior, por cuanto en estos casos el artículo 20 de la Ley 1150 de 2007 autoriza</w:t>
            </w:r>
            <w:r>
              <w:rPr>
                <w:rFonts w:ascii="Verdana" w:eastAsia="Times New Roman" w:hAnsi="Verdana" w:cs="Arial"/>
                <w:lang w:val="es-MX"/>
              </w:rPr>
              <w:t xml:space="preserve"> la</w:t>
            </w:r>
            <w:r w:rsidRPr="44B3FB22">
              <w:rPr>
                <w:rFonts w:ascii="Verdana" w:eastAsia="Times New Roman" w:hAnsi="Verdana" w:cs="Arial"/>
                <w:lang w:val="es-MX"/>
              </w:rPr>
              <w:t xml:space="preserve"> aplica</w:t>
            </w:r>
            <w:r>
              <w:rPr>
                <w:rFonts w:ascii="Verdana" w:eastAsia="Times New Roman" w:hAnsi="Verdana" w:cs="Arial"/>
                <w:lang w:val="es-MX"/>
              </w:rPr>
              <w:t>ción</w:t>
            </w:r>
            <w:r w:rsidRPr="44B3FB22">
              <w:rPr>
                <w:rFonts w:ascii="Verdana" w:eastAsia="Times New Roman" w:hAnsi="Verdana" w:cs="Arial"/>
                <w:lang w:val="es-MX"/>
              </w:rPr>
              <w:t xml:space="preserve"> “integral” </w:t>
            </w:r>
            <w:r>
              <w:rPr>
                <w:rFonts w:ascii="Verdana" w:eastAsia="Times New Roman" w:hAnsi="Verdana" w:cs="Arial"/>
                <w:lang w:val="es-MX"/>
              </w:rPr>
              <w:t xml:space="preserve">de </w:t>
            </w:r>
            <w:r w:rsidRPr="44B3FB22">
              <w:rPr>
                <w:rFonts w:ascii="Verdana" w:eastAsia="Times New Roman" w:hAnsi="Verdana" w:cs="Arial"/>
                <w:lang w:val="es-MX"/>
              </w:rPr>
              <w:t>l</w:t>
            </w:r>
            <w:r>
              <w:rPr>
                <w:rFonts w:ascii="Verdana" w:eastAsia="Times New Roman" w:hAnsi="Verdana" w:cs="Arial"/>
                <w:lang w:val="es-MX"/>
              </w:rPr>
              <w:t>os</w:t>
            </w:r>
            <w:r w:rsidRPr="44B3FB22">
              <w:rPr>
                <w:rFonts w:ascii="Verdana" w:eastAsia="Times New Roman" w:hAnsi="Verdana" w:cs="Arial"/>
                <w:lang w:val="es-MX"/>
              </w:rPr>
              <w:t xml:space="preserve"> reglamento</w:t>
            </w:r>
            <w:r>
              <w:rPr>
                <w:rFonts w:ascii="Verdana" w:eastAsia="Times New Roman" w:hAnsi="Verdana" w:cs="Arial"/>
                <w:lang w:val="es-MX"/>
              </w:rPr>
              <w:t>s</w:t>
            </w:r>
            <w:r w:rsidRPr="44B3FB22">
              <w:rPr>
                <w:rFonts w:ascii="Verdana" w:eastAsia="Times New Roman" w:hAnsi="Verdana" w:cs="Arial"/>
                <w:lang w:val="es-MX"/>
              </w:rPr>
              <w:t xml:space="preserve"> de dichos organismos.</w:t>
            </w:r>
            <w:r>
              <w:rPr>
                <w:rFonts w:ascii="Verdana" w:eastAsia="Times New Roman" w:hAnsi="Verdana" w:cs="Arial"/>
                <w:lang w:val="es-MX"/>
              </w:rPr>
              <w:t xml:space="preserve"> </w:t>
            </w:r>
          </w:p>
          <w:p w14:paraId="317B2513" w14:textId="77777777" w:rsidR="005474F1" w:rsidRPr="00E92347" w:rsidRDefault="005474F1" w:rsidP="00C733E6">
            <w:pPr>
              <w:spacing w:before="120" w:line="276" w:lineRule="auto"/>
              <w:ind w:firstLine="694"/>
              <w:jc w:val="both"/>
              <w:rPr>
                <w:rFonts w:ascii="Verdana" w:eastAsia="Times New Roman" w:hAnsi="Verdana" w:cs="Arial"/>
                <w:lang w:val="es-MX"/>
              </w:rPr>
            </w:pPr>
            <w:r>
              <w:rPr>
                <w:rFonts w:ascii="Verdana" w:eastAsia="Times New Roman" w:hAnsi="Verdana" w:cs="Arial"/>
                <w:lang w:val="es-MX"/>
              </w:rPr>
              <w:t xml:space="preserve">Por otra parte, </w:t>
            </w:r>
            <w:r>
              <w:rPr>
                <w:rFonts w:ascii="Verdana" w:eastAsia="Calibri" w:hAnsi="Verdana" w:cs="Arial"/>
                <w:lang w:val="es-ES"/>
              </w:rPr>
              <w:t>e</w:t>
            </w:r>
            <w:r w:rsidRPr="00750B7D">
              <w:rPr>
                <w:rFonts w:ascii="Verdana" w:eastAsia="Calibri" w:hAnsi="Verdana" w:cs="Arial"/>
                <w:lang w:val="es-ES"/>
              </w:rPr>
              <w:t xml:space="preserve">l </w:t>
            </w:r>
            <w:r w:rsidRPr="00DF1455">
              <w:rPr>
                <w:rFonts w:ascii="Verdana" w:eastAsia="Calibri" w:hAnsi="Verdana" w:cs="Arial"/>
                <w:i/>
                <w:iCs/>
                <w:lang w:val="es-ES"/>
              </w:rPr>
              <w:t>inciso segundo</w:t>
            </w:r>
            <w:r w:rsidRPr="00750B7D">
              <w:rPr>
                <w:rFonts w:ascii="Verdana" w:eastAsia="Calibri" w:hAnsi="Verdana" w:cs="Arial"/>
                <w:lang w:val="es-ES"/>
              </w:rPr>
              <w:t xml:space="preserve"> </w:t>
            </w:r>
            <w:r>
              <w:rPr>
                <w:rFonts w:ascii="Verdana" w:eastAsia="Calibri" w:hAnsi="Verdana" w:cs="Arial"/>
                <w:lang w:val="es-ES"/>
              </w:rPr>
              <w:t xml:space="preserve">y el parágrafo primero </w:t>
            </w:r>
            <w:r w:rsidRPr="00750B7D">
              <w:rPr>
                <w:rFonts w:ascii="Verdana" w:eastAsia="Times New Roman" w:hAnsi="Verdana" w:cs="Arial"/>
                <w:lang w:val="es-MX" w:eastAsia="x-none"/>
              </w:rPr>
              <w:t>del artículo 20 de la Ley 1150 de 2007 señala</w:t>
            </w:r>
            <w:r>
              <w:rPr>
                <w:rFonts w:ascii="Verdana" w:eastAsia="Times New Roman" w:hAnsi="Verdana" w:cs="Arial"/>
                <w:lang w:val="es-MX" w:eastAsia="x-none"/>
              </w:rPr>
              <w:t>n</w:t>
            </w:r>
            <w:r w:rsidRPr="00750B7D">
              <w:rPr>
                <w:rFonts w:ascii="Verdana" w:eastAsia="Times New Roman" w:hAnsi="Verdana" w:cs="Arial"/>
                <w:lang w:val="es-MX" w:eastAsia="x-none"/>
              </w:rPr>
              <w:t xml:space="preserve"> que</w:t>
            </w:r>
            <w:r w:rsidRPr="00F66EEE">
              <w:rPr>
                <w:rFonts w:ascii="Verdana" w:eastAsia="Times New Roman" w:hAnsi="Verdana" w:cs="Arial"/>
                <w:sz w:val="21"/>
                <w:szCs w:val="21"/>
                <w:lang w:eastAsia="x-none"/>
              </w:rPr>
              <w:t xml:space="preserve"> Los contratos o convenios celebrados con personas extranjeras de derecho público u organismos de derecho internacional cuyo objeto sea el desarrollo de programas de promoción, prevención y atención en salud; contratos y convenios necesarios para la operación de la OIT; contratos y convenios </w:t>
            </w:r>
            <w:r w:rsidRPr="00E92347">
              <w:rPr>
                <w:rFonts w:ascii="Verdana" w:eastAsia="Times New Roman" w:hAnsi="Verdana" w:cs="Arial"/>
                <w:lang w:eastAsia="x-none"/>
              </w:rPr>
              <w:t>que se ejecuten en desarrollo del sistema integrado de monitoreo de cultivos ilícitos; contratos y convenios para la operación del programa mundial de alimentos; contratos y convenios para el desarrollo de programas de apoyo educativo a población desplazada y vulnerable adelantados por la Unesco y la OIM; los contratos o convenios financiados con fondos de los organismos multilaterales de crédito y entes gubernamentales extranjeros, podrán someterse a los reglamentos de tales entidades. De igual manera, los contratos o acuerdos celebrados con personas extranjeras de derecho público, podrán someterse a las reglas de tales organismos.</w:t>
            </w:r>
          </w:p>
          <w:p w14:paraId="5C4A1C52" w14:textId="77777777" w:rsidR="005474F1" w:rsidRPr="00FF364F" w:rsidRDefault="005474F1" w:rsidP="00C733E6">
            <w:pPr>
              <w:spacing w:before="120" w:line="276" w:lineRule="auto"/>
              <w:ind w:firstLine="694"/>
              <w:jc w:val="both"/>
              <w:rPr>
                <w:rFonts w:ascii="Verdana" w:hAnsi="Verdana" w:cs="Arial"/>
                <w:lang w:val="es-ES"/>
              </w:rPr>
            </w:pPr>
            <w:r w:rsidRPr="00E92347">
              <w:rPr>
                <w:rFonts w:ascii="Verdana" w:eastAsia="Times New Roman" w:hAnsi="Verdana" w:cs="Arial"/>
                <w:lang w:val="es-MX"/>
              </w:rPr>
              <w:t xml:space="preserve">En línea con lo </w:t>
            </w:r>
            <w:r w:rsidRPr="00E92347">
              <w:rPr>
                <w:rFonts w:ascii="Verdana" w:hAnsi="Verdana" w:cs="Arial"/>
                <w:lang w:val="es-ES"/>
              </w:rPr>
              <w:t xml:space="preserve">anterior, el artículo 2.2.1.2.4.4.1. del Decreto 1082 de 2015 establece que </w:t>
            </w:r>
            <w:r w:rsidRPr="00E92347">
              <w:rPr>
                <w:rFonts w:ascii="Verdana" w:hAnsi="Verdana" w:cs="Arial"/>
              </w:rPr>
              <w:t>los contratos o convenios financiados con fondos de los organismos multilaterales de crédito, entes gubernamentales extranjeros o personas extranjeras de</w:t>
            </w:r>
            <w:r w:rsidRPr="00FF364F">
              <w:rPr>
                <w:rFonts w:ascii="Verdana" w:hAnsi="Verdana" w:cs="Arial"/>
              </w:rPr>
              <w:t xml:space="preserve"> derecho público, así como aquellos a los que se refiere </w:t>
            </w:r>
            <w:r w:rsidRPr="00FF364F">
              <w:rPr>
                <w:rFonts w:ascii="Verdana" w:hAnsi="Verdana" w:cs="Arial"/>
              </w:rPr>
              <w:lastRenderedPageBreak/>
              <w:t xml:space="preserve">el inciso 2 del artículo </w:t>
            </w:r>
            <w:r w:rsidRPr="00750B7D">
              <w:rPr>
                <w:rFonts w:ascii="Verdana" w:hAnsi="Verdana"/>
              </w:rPr>
              <w:t>20</w:t>
            </w:r>
            <w:r w:rsidRPr="00FF364F">
              <w:rPr>
                <w:rFonts w:ascii="Verdana" w:hAnsi="Verdana" w:cs="Arial"/>
              </w:rPr>
              <w:t xml:space="preserve"> de la Ley 1150 de 2007, se ejecutarán de conformidad con lo establecido en los tratados internacionales marco y complementarios, y en los convenios celebrados, o sus reglamentos, según sea el caso, sin que a ellos le sea aplicable el porcentaje </w:t>
            </w:r>
            <w:r>
              <w:rPr>
                <w:rFonts w:ascii="Verdana" w:hAnsi="Verdana" w:cs="Arial"/>
              </w:rPr>
              <w:t xml:space="preserve">de financiación </w:t>
            </w:r>
            <w:r w:rsidRPr="00FF364F">
              <w:rPr>
                <w:rFonts w:ascii="Verdana" w:hAnsi="Verdana" w:cs="Arial"/>
              </w:rPr>
              <w:t>señalado en el inciso primero del artículo</w:t>
            </w:r>
            <w:r w:rsidRPr="00FF364F">
              <w:rPr>
                <w:rFonts w:ascii="Verdana" w:hAnsi="Verdana"/>
              </w:rPr>
              <w:t xml:space="preserve"> </w:t>
            </w:r>
            <w:r w:rsidRPr="00750B7D">
              <w:rPr>
                <w:rFonts w:ascii="Verdana" w:hAnsi="Verdana"/>
              </w:rPr>
              <w:t>20</w:t>
            </w:r>
            <w:r w:rsidRPr="00FF364F">
              <w:rPr>
                <w:rFonts w:ascii="Verdana" w:hAnsi="Verdana" w:cs="Arial"/>
              </w:rPr>
              <w:t xml:space="preserve"> de la Ley 1150 de 2007.</w:t>
            </w:r>
            <w:r w:rsidRPr="00FF364F">
              <w:rPr>
                <w:rFonts w:ascii="Verdana" w:hAnsi="Verdana" w:cs="Arial"/>
                <w:lang w:val="es-ES"/>
              </w:rPr>
              <w:t xml:space="preserve"> </w:t>
            </w:r>
          </w:p>
          <w:p w14:paraId="222D6E80" w14:textId="77777777" w:rsidR="005474F1" w:rsidRPr="00734736" w:rsidRDefault="005474F1" w:rsidP="00C733E6">
            <w:pPr>
              <w:spacing w:before="120" w:line="276" w:lineRule="auto"/>
              <w:ind w:firstLine="694"/>
              <w:jc w:val="both"/>
              <w:rPr>
                <w:rFonts w:ascii="Verdana" w:hAnsi="Verdana" w:cs="Arial"/>
                <w:lang w:val="es-ES"/>
              </w:rPr>
            </w:pPr>
            <w:r>
              <w:rPr>
                <w:rFonts w:ascii="Verdana" w:hAnsi="Verdana" w:cs="Arial"/>
                <w:lang w:val="es-ES"/>
              </w:rPr>
              <w:t xml:space="preserve">Con fundamento en dicha normativa, </w:t>
            </w:r>
            <w:r w:rsidRPr="44B3FB22">
              <w:rPr>
                <w:rFonts w:ascii="Verdana" w:eastAsia="Times New Roman" w:hAnsi="Verdana" w:cs="Arial"/>
                <w:lang w:val="es-MX"/>
              </w:rPr>
              <w:t xml:space="preserve">la restricción contemplada en el </w:t>
            </w:r>
            <w:r w:rsidRPr="004C642F">
              <w:rPr>
                <w:rFonts w:ascii="Verdana" w:eastAsia="Times New Roman" w:hAnsi="Verdana" w:cs="Arial"/>
                <w:lang w:val="es-MX"/>
              </w:rPr>
              <w:t xml:space="preserve">artículo 33 </w:t>
            </w:r>
            <w:r w:rsidRPr="00DF1455">
              <w:rPr>
                <w:rFonts w:ascii="Verdana" w:eastAsia="Times New Roman" w:hAnsi="Verdana" w:cs="Arial"/>
                <w:i/>
                <w:iCs/>
                <w:lang w:val="es-MX"/>
              </w:rPr>
              <w:t>no</w:t>
            </w:r>
            <w:r w:rsidRPr="004C642F">
              <w:rPr>
                <w:rFonts w:ascii="Verdana" w:eastAsia="Times New Roman" w:hAnsi="Verdana" w:cs="Arial"/>
                <w:lang w:val="es-MX"/>
              </w:rPr>
              <w:t xml:space="preserve"> aplica</w:t>
            </w:r>
            <w:r w:rsidRPr="44B3FB22">
              <w:rPr>
                <w:rFonts w:ascii="Verdana" w:eastAsia="Times New Roman" w:hAnsi="Verdana" w:cs="Arial"/>
                <w:lang w:val="es-MX"/>
              </w:rPr>
              <w:t xml:space="preserve"> a los contratos </w:t>
            </w:r>
            <w:r>
              <w:rPr>
                <w:rFonts w:ascii="Verdana" w:eastAsia="Times New Roman" w:hAnsi="Verdana" w:cs="Arial"/>
                <w:lang w:val="es-MX"/>
              </w:rPr>
              <w:t>o convenios a los que se refiere el inciso segundo y el parágrafo primero del artículo 20 de la Ley 1150 de 2007 cuando se sometan a los reglamentos de dichos organismos, incluyendo aquellos</w:t>
            </w:r>
            <w:r w:rsidRPr="44B3FB22">
              <w:rPr>
                <w:rFonts w:ascii="Verdana" w:eastAsia="Times New Roman" w:hAnsi="Verdana" w:cs="Arial"/>
                <w:lang w:val="es-MX"/>
              </w:rPr>
              <w:t xml:space="preserve"> financiados </w:t>
            </w:r>
            <w:r w:rsidRPr="004C642F">
              <w:rPr>
                <w:rFonts w:ascii="Verdana" w:eastAsia="Times New Roman" w:hAnsi="Verdana" w:cs="Arial"/>
                <w:lang w:eastAsia="x-none"/>
              </w:rPr>
              <w:t>con fondos de los organismos multilaterales de crédito y entes gubernamentales extranjeros</w:t>
            </w:r>
            <w:r>
              <w:rPr>
                <w:rFonts w:ascii="Verdana" w:eastAsia="Times New Roman" w:hAnsi="Verdana" w:cs="Arial"/>
                <w:lang w:val="es-MX"/>
              </w:rPr>
              <w:t>, sin importar el porcentaje de financiación.</w:t>
            </w:r>
          </w:p>
          <w:p w14:paraId="43F4EFE1" w14:textId="77777777" w:rsidR="005474F1" w:rsidRPr="00036A04" w:rsidRDefault="005474F1" w:rsidP="00C733E6">
            <w:pPr>
              <w:spacing w:before="120" w:after="120" w:line="276" w:lineRule="auto"/>
              <w:ind w:firstLine="708"/>
              <w:jc w:val="both"/>
              <w:rPr>
                <w:rFonts w:ascii="Verdana" w:eastAsia="Times New Roman" w:hAnsi="Verdana" w:cs="Arial"/>
                <w:bCs/>
                <w:lang w:val="es-ES" w:eastAsia="es-CO"/>
              </w:rPr>
            </w:pPr>
            <w:r w:rsidRPr="00FC6F34">
              <w:rPr>
                <w:rFonts w:ascii="Verdana" w:eastAsia="Arial" w:hAnsi="Verdana" w:cs="Arial"/>
                <w:color w:val="000000" w:themeColor="text1"/>
                <w:lang w:val="es-ES"/>
              </w:rPr>
              <w:t xml:space="preserve">Finalmente, es importante advertir que </w:t>
            </w:r>
            <w:r w:rsidRPr="00FC6F34">
              <w:rPr>
                <w:rFonts w:ascii="Verdana" w:eastAsia="Times New Roman" w:hAnsi="Verdana" w:cs="Arial"/>
                <w:lang w:val="es-ES"/>
              </w:rPr>
              <w:t xml:space="preserve">compete a cada </w:t>
            </w:r>
            <w:r>
              <w:rPr>
                <w:rFonts w:ascii="Verdana" w:eastAsia="Times New Roman" w:hAnsi="Verdana" w:cs="Arial"/>
                <w:lang w:val="es-ES"/>
              </w:rPr>
              <w:t>E</w:t>
            </w:r>
            <w:r w:rsidRPr="00FC6F34">
              <w:rPr>
                <w:rFonts w:ascii="Verdana" w:eastAsia="Times New Roman" w:hAnsi="Verdana" w:cs="Arial"/>
                <w:lang w:val="es-ES"/>
              </w:rPr>
              <w:t xml:space="preserve">ntidad </w:t>
            </w:r>
            <w:r>
              <w:rPr>
                <w:rFonts w:ascii="Verdana" w:eastAsia="Times New Roman" w:hAnsi="Verdana" w:cs="Arial"/>
                <w:lang w:val="es-ES"/>
              </w:rPr>
              <w:t>E</w:t>
            </w:r>
            <w:r w:rsidRPr="00FC6F34">
              <w:rPr>
                <w:rFonts w:ascii="Verdana" w:eastAsia="Times New Roman" w:hAnsi="Verdana" w:cs="Arial"/>
                <w:lang w:val="es-ES"/>
              </w:rPr>
              <w:t>statal que considera celebrar un contrato específico definir si este se enmarca</w:t>
            </w:r>
            <w:r>
              <w:rPr>
                <w:rFonts w:ascii="Verdana" w:eastAsia="Times New Roman" w:hAnsi="Verdana" w:cs="Arial"/>
                <w:lang w:val="es-ES"/>
              </w:rPr>
              <w:t xml:space="preserve"> en alguna de las prohibiciones de la Ley de Garantías Electorales</w:t>
            </w:r>
            <w:r w:rsidRPr="00FC6F34">
              <w:rPr>
                <w:rFonts w:ascii="Verdana" w:eastAsia="Times New Roman" w:hAnsi="Verdana" w:cs="Arial"/>
                <w:lang w:val="es-ES"/>
              </w:rPr>
              <w:t xml:space="preserve">. </w:t>
            </w: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tc>
      </w:tr>
    </w:tbl>
    <w:p w14:paraId="63C9A548" w14:textId="77777777" w:rsidR="005474F1" w:rsidRPr="00FC6F34" w:rsidRDefault="005474F1" w:rsidP="005474F1">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49D6B42A" w14:textId="77777777" w:rsidR="005474F1" w:rsidRPr="00FC6F34" w:rsidRDefault="005474F1" w:rsidP="005474F1">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3.Razones de la respuesta:</w:t>
      </w:r>
    </w:p>
    <w:p w14:paraId="4CCA9682" w14:textId="77777777" w:rsidR="005474F1" w:rsidRPr="00FC6F34" w:rsidRDefault="005474F1" w:rsidP="005474F1">
      <w:pPr>
        <w:spacing w:after="0" w:line="276" w:lineRule="auto"/>
        <w:jc w:val="both"/>
        <w:rPr>
          <w:rFonts w:ascii="Verdana" w:eastAsia="Calibri" w:hAnsi="Verdana" w:cs="Arial"/>
          <w:color w:val="000000" w:themeColor="text1"/>
          <w:lang w:val="es-ES"/>
        </w:rPr>
      </w:pPr>
    </w:p>
    <w:p w14:paraId="12FCDE9C" w14:textId="77777777" w:rsidR="005474F1" w:rsidRPr="00FC6F34" w:rsidRDefault="005474F1" w:rsidP="005474F1">
      <w:pPr>
        <w:tabs>
          <w:tab w:val="left" w:pos="426"/>
        </w:tabs>
        <w:spacing w:after="120" w:line="276" w:lineRule="auto"/>
        <w:jc w:val="both"/>
        <w:rPr>
          <w:rFonts w:ascii="Verdana" w:eastAsia="Times New Roman" w:hAnsi="Verdana" w:cs="Arial"/>
          <w:lang w:val="es-ES" w:eastAsia="es-CO"/>
        </w:rPr>
      </w:pPr>
      <w:bookmarkStart w:id="1" w:name="_Hlk102983874"/>
      <w:bookmarkStart w:id="2" w:name="_Hlk102388095"/>
      <w:r w:rsidRPr="00FC6F34">
        <w:rPr>
          <w:rFonts w:ascii="Verdana" w:eastAsia="Calibri" w:hAnsi="Verdana" w:cs="Arial"/>
          <w:color w:val="000000" w:themeColor="text1"/>
          <w:lang w:val="es-ES"/>
        </w:rPr>
        <w:t>i)</w:t>
      </w:r>
      <w:r w:rsidRPr="00FC6F34">
        <w:rPr>
          <w:rFonts w:ascii="Verdana" w:eastAsia="Verdana" w:hAnsi="Verdana" w:cs="Verdana"/>
          <w:lang w:val="es-ES"/>
        </w:rPr>
        <w:t xml:space="preserve"> </w:t>
      </w:r>
      <w:r w:rsidRPr="00FC6F34">
        <w:rPr>
          <w:rFonts w:ascii="Verdana" w:eastAsia="Calibri" w:hAnsi="Verdana" w:cs="Arial"/>
          <w:lang w:val="es-ES"/>
        </w:rPr>
        <w:t>El ordenamiento jurídico colombiano contempla medidas para evitar la obtención de beneficios personales en asuntos propios de la administración pública</w:t>
      </w:r>
      <w:r w:rsidRPr="00FC6F34">
        <w:rPr>
          <w:rFonts w:ascii="Verdana" w:eastAsia="Calibri" w:hAnsi="Verdana" w:cs="Arial"/>
          <w:i/>
          <w:lang w:val="es-ES"/>
        </w:rPr>
        <w:t xml:space="preserve">. </w:t>
      </w:r>
      <w:r w:rsidRPr="00FC6F34">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FC6F34">
        <w:rPr>
          <w:rFonts w:ascii="Verdana" w:hAnsi="Verdana"/>
          <w:vertAlign w:val="superscript"/>
          <w:lang w:val="es-ES"/>
        </w:rPr>
        <w:footnoteReference w:id="2"/>
      </w:r>
      <w:r w:rsidRPr="00FC6F34">
        <w:rPr>
          <w:rFonts w:ascii="Verdana" w:eastAsia="Calibri" w:hAnsi="Verdana" w:cs="Arial"/>
          <w:lang w:val="es-ES"/>
        </w:rPr>
        <w:t xml:space="preserve">. </w:t>
      </w:r>
    </w:p>
    <w:p w14:paraId="09F4B0EF" w14:textId="77777777" w:rsidR="005474F1" w:rsidRPr="00FC6F34" w:rsidRDefault="005474F1" w:rsidP="005474F1">
      <w:pPr>
        <w:tabs>
          <w:tab w:val="left" w:pos="426"/>
        </w:tabs>
        <w:spacing w:after="120" w:line="276" w:lineRule="auto"/>
        <w:ind w:firstLine="709"/>
        <w:jc w:val="both"/>
        <w:rPr>
          <w:rFonts w:ascii="Verdana" w:eastAsia="Calibri" w:hAnsi="Verdana" w:cs="Arial"/>
          <w:lang w:val="es-ES"/>
        </w:rPr>
      </w:pPr>
      <w:r w:rsidRPr="00FC6F34">
        <w:rPr>
          <w:rFonts w:ascii="Verdana" w:eastAsia="Times New Roman" w:hAnsi="Verdana" w:cs="Arial"/>
          <w:lang w:val="es-ES" w:eastAsia="es-CO"/>
        </w:rPr>
        <w:lastRenderedPageBreak/>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C6F34">
        <w:rPr>
          <w:rFonts w:ascii="Verdana" w:eastAsia="Times New Roman" w:hAnsi="Verdana" w:cs="Arial"/>
          <w:vertAlign w:val="superscript"/>
          <w:lang w:val="es-ES" w:eastAsia="es-CO"/>
        </w:rPr>
        <w:footnoteReference w:id="3"/>
      </w:r>
      <w:r w:rsidRPr="00FC6F34">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FC6F34">
        <w:rPr>
          <w:rFonts w:ascii="Verdana" w:eastAsia="Calibri" w:hAnsi="Verdana" w:cs="Arial"/>
          <w:lang w:val="es-ES"/>
        </w:rPr>
        <w:t xml:space="preserve"> </w:t>
      </w:r>
    </w:p>
    <w:p w14:paraId="0B348563" w14:textId="77777777" w:rsidR="005474F1" w:rsidRPr="00FC6F34" w:rsidRDefault="005474F1" w:rsidP="005474F1">
      <w:pPr>
        <w:tabs>
          <w:tab w:val="left" w:pos="426"/>
        </w:tabs>
        <w:spacing w:after="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78EDE228" w14:textId="77777777" w:rsidR="005474F1" w:rsidRPr="00FC6F34" w:rsidRDefault="005474F1" w:rsidP="005474F1">
      <w:pPr>
        <w:spacing w:after="0" w:line="276" w:lineRule="auto"/>
        <w:ind w:right="709"/>
        <w:jc w:val="both"/>
        <w:rPr>
          <w:rFonts w:ascii="Verdana" w:eastAsia="Times New Roman" w:hAnsi="Verdana" w:cs="Arial"/>
          <w:lang w:val="es-ES" w:eastAsia="es-CO"/>
        </w:rPr>
      </w:pPr>
    </w:p>
    <w:p w14:paraId="590A0567" w14:textId="77777777" w:rsidR="005474F1" w:rsidRPr="00FC6F34" w:rsidRDefault="005474F1" w:rsidP="005474F1">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707E1768" w14:textId="77777777" w:rsidR="005474F1" w:rsidRPr="00FC6F34" w:rsidRDefault="005474F1" w:rsidP="005474F1">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 </w:t>
      </w:r>
    </w:p>
    <w:p w14:paraId="3054EC90" w14:textId="77777777" w:rsidR="005474F1" w:rsidRPr="00FC6F34" w:rsidRDefault="005474F1" w:rsidP="005474F1">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FC6F34">
        <w:rPr>
          <w:rFonts w:ascii="Verdana" w:eastAsia="Calibri" w:hAnsi="Verdana" w:cs="Arial"/>
          <w:sz w:val="20"/>
          <w:szCs w:val="20"/>
          <w:vertAlign w:val="superscript"/>
          <w:lang w:val="es-ES"/>
        </w:rPr>
        <w:footnoteReference w:id="4"/>
      </w:r>
    </w:p>
    <w:p w14:paraId="45042CD9" w14:textId="77777777" w:rsidR="005474F1" w:rsidRPr="00FC6F34" w:rsidRDefault="005474F1" w:rsidP="005474F1">
      <w:pPr>
        <w:spacing w:after="0" w:line="276" w:lineRule="auto"/>
        <w:ind w:firstLine="709"/>
        <w:jc w:val="both"/>
        <w:rPr>
          <w:rFonts w:ascii="Verdana" w:eastAsia="Times New Roman" w:hAnsi="Verdana" w:cs="Arial"/>
          <w:lang w:val="es-ES" w:eastAsia="es-CO"/>
        </w:rPr>
      </w:pPr>
    </w:p>
    <w:p w14:paraId="4C39672F" w14:textId="77777777" w:rsidR="005474F1" w:rsidRPr="00FC6F34" w:rsidRDefault="005474F1" w:rsidP="005474F1">
      <w:pPr>
        <w:spacing w:after="0" w:line="276" w:lineRule="auto"/>
        <w:ind w:firstLine="709"/>
        <w:jc w:val="both"/>
        <w:rPr>
          <w:rFonts w:ascii="Verdana" w:eastAsia="Times New Roman" w:hAnsi="Verdana" w:cs="Arial"/>
          <w:lang w:val="es-ES" w:eastAsia="es-CO"/>
        </w:rPr>
      </w:pPr>
      <w:r w:rsidRPr="00FC6F34">
        <w:rPr>
          <w:rFonts w:ascii="Verdana" w:eastAsia="Times New Roman" w:hAnsi="Verdana" w:cs="Arial"/>
          <w:lang w:val="es-ES" w:eastAsia="es-CO"/>
        </w:rPr>
        <w:t xml:space="preserve">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w:t>
      </w:r>
      <w:r w:rsidRPr="00FC6F34">
        <w:rPr>
          <w:rFonts w:ascii="Verdana" w:eastAsia="Times New Roman" w:hAnsi="Verdana" w:cs="Arial"/>
          <w:lang w:val="es-ES" w:eastAsia="es-CO"/>
        </w:rPr>
        <w:lastRenderedPageBreak/>
        <w:t>normas prohibitivas, deben interpretarse restrictivamente. En efecto, la Sala de Consulta y Servicio Civil del Consejo de Estado, precisó:</w:t>
      </w:r>
    </w:p>
    <w:p w14:paraId="5138548F" w14:textId="77777777" w:rsidR="005474F1" w:rsidRPr="00FC6F34" w:rsidRDefault="005474F1" w:rsidP="005474F1">
      <w:pPr>
        <w:spacing w:after="0" w:line="276" w:lineRule="auto"/>
        <w:ind w:firstLine="709"/>
        <w:jc w:val="both"/>
        <w:rPr>
          <w:rFonts w:ascii="Verdana" w:eastAsia="Times New Roman" w:hAnsi="Verdana" w:cs="Arial"/>
          <w:lang w:val="es-ES" w:eastAsia="es-CO"/>
        </w:rPr>
      </w:pPr>
    </w:p>
    <w:p w14:paraId="7910CDA9" w14:textId="77777777" w:rsidR="005474F1" w:rsidRPr="00FC6F34" w:rsidRDefault="005474F1" w:rsidP="005474F1">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FC6F34">
        <w:rPr>
          <w:rFonts w:ascii="Verdana" w:eastAsia="Times New Roman" w:hAnsi="Verdana" w:cs="Arial"/>
          <w:sz w:val="20"/>
          <w:szCs w:val="20"/>
          <w:lang w:val="es-ES" w:eastAsia="es-CO"/>
        </w:rPr>
        <w:t>legis</w:t>
      </w:r>
      <w:proofErr w:type="spellEnd"/>
      <w:r w:rsidRPr="00FC6F34">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14AEB2D3" w14:textId="77777777" w:rsidR="005474F1" w:rsidRPr="00FC6F34" w:rsidRDefault="005474F1" w:rsidP="005474F1">
      <w:pPr>
        <w:spacing w:after="0" w:line="240" w:lineRule="auto"/>
        <w:ind w:right="709"/>
        <w:jc w:val="both"/>
        <w:rPr>
          <w:rFonts w:ascii="Verdana" w:eastAsia="Times New Roman" w:hAnsi="Verdana" w:cs="Arial"/>
          <w:lang w:val="es-ES" w:eastAsia="es-CO"/>
        </w:rPr>
      </w:pPr>
    </w:p>
    <w:p w14:paraId="0D0F07D2" w14:textId="77777777" w:rsidR="005474F1" w:rsidRPr="00FC6F34" w:rsidRDefault="005474F1" w:rsidP="005474F1">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La jurisprudencia de la Corte Constitucional</w:t>
      </w:r>
      <w:r w:rsidRPr="00FC6F34">
        <w:rPr>
          <w:rFonts w:ascii="Verdana" w:eastAsia="Times New Roman" w:hAnsi="Verdana" w:cs="Arial"/>
          <w:sz w:val="20"/>
          <w:szCs w:val="20"/>
          <w:vertAlign w:val="superscript"/>
          <w:lang w:val="es-ES" w:eastAsia="es-CO"/>
        </w:rPr>
        <w:footnoteReference w:id="5"/>
      </w:r>
      <w:r w:rsidRPr="00FC6F34">
        <w:rPr>
          <w:rFonts w:ascii="Verdana" w:eastAsia="Times New Roman" w:hAnsi="Verdana" w:cs="Arial"/>
          <w:sz w:val="20"/>
          <w:szCs w:val="20"/>
          <w:lang w:val="es-ES" w:eastAsia="es-CO"/>
        </w:rPr>
        <w:t> y del Consejo de Estado</w:t>
      </w:r>
      <w:r w:rsidRPr="00FC6F34">
        <w:rPr>
          <w:rFonts w:ascii="Verdana" w:eastAsia="Times New Roman" w:hAnsi="Verdana" w:cs="Arial"/>
          <w:sz w:val="20"/>
          <w:szCs w:val="20"/>
          <w:vertAlign w:val="superscript"/>
          <w:lang w:val="es-ES" w:eastAsia="es-CO"/>
        </w:rPr>
        <w:footnoteReference w:id="6"/>
      </w:r>
      <w:r w:rsidRPr="00FC6F34">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FC6F34">
        <w:rPr>
          <w:rFonts w:ascii="Verdana" w:eastAsia="Times New Roman" w:hAnsi="Verdana" w:cs="Arial"/>
          <w:sz w:val="20"/>
          <w:szCs w:val="20"/>
          <w:vertAlign w:val="superscript"/>
          <w:lang w:val="es-ES" w:eastAsia="es-CO"/>
        </w:rPr>
        <w:footnoteReference w:id="7"/>
      </w:r>
      <w:r w:rsidRPr="00FC6F34">
        <w:rPr>
          <w:rFonts w:ascii="Verdana" w:eastAsia="Times New Roman" w:hAnsi="Verdana" w:cs="Arial"/>
          <w:sz w:val="20"/>
          <w:szCs w:val="20"/>
          <w:lang w:val="es-ES" w:eastAsia="es-CO"/>
        </w:rPr>
        <w:t>.</w:t>
      </w:r>
    </w:p>
    <w:p w14:paraId="14ABBB7D" w14:textId="77777777" w:rsidR="005474F1" w:rsidRPr="00FC6F34" w:rsidRDefault="005474F1" w:rsidP="005474F1">
      <w:pPr>
        <w:spacing w:after="0" w:line="276" w:lineRule="auto"/>
        <w:jc w:val="both"/>
        <w:rPr>
          <w:rFonts w:ascii="Verdana" w:eastAsia="Calibri" w:hAnsi="Verdana" w:cs="Arial"/>
          <w:bCs/>
          <w:lang w:val="es-ES"/>
        </w:rPr>
      </w:pPr>
    </w:p>
    <w:p w14:paraId="1B4466BB" w14:textId="77777777" w:rsidR="005474F1" w:rsidRPr="00FC6F34" w:rsidRDefault="005474F1" w:rsidP="005474F1">
      <w:pPr>
        <w:spacing w:after="0" w:line="276" w:lineRule="auto"/>
        <w:ind w:firstLine="709"/>
        <w:jc w:val="both"/>
        <w:rPr>
          <w:rFonts w:ascii="Verdana" w:eastAsia="Arial" w:hAnsi="Verdana" w:cs="Arial"/>
          <w:lang w:val="es-ES" w:eastAsia="es-ES" w:bidi="es-ES"/>
        </w:rPr>
      </w:pPr>
      <w:r w:rsidRPr="00FC6F34">
        <w:rPr>
          <w:rFonts w:ascii="Verdana" w:eastAsia="Times New Roman" w:hAnsi="Verdana" w:cs="Arial"/>
          <w:lang w:val="es-ES" w:eastAsia="es-CO"/>
        </w:rPr>
        <w:t>De</w:t>
      </w:r>
      <w:r w:rsidRPr="00FC6F34">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2A25CFE1" w14:textId="77777777" w:rsidR="005474F1" w:rsidRPr="00FC6F34" w:rsidRDefault="005474F1" w:rsidP="005474F1">
      <w:pPr>
        <w:spacing w:before="120" w:after="120" w:line="276" w:lineRule="auto"/>
        <w:ind w:firstLine="708"/>
        <w:jc w:val="both"/>
        <w:rPr>
          <w:rFonts w:ascii="Verdana" w:eastAsia="Arial" w:hAnsi="Verdana" w:cs="Arial"/>
          <w:lang w:val="es-ES" w:eastAsia="es-ES" w:bidi="es-ES"/>
        </w:rPr>
      </w:pPr>
      <w:r>
        <w:rPr>
          <w:rFonts w:ascii="Verdana" w:eastAsia="Arial" w:hAnsi="Verdana" w:cs="Arial"/>
          <w:lang w:val="es-ES" w:eastAsia="es-ES" w:bidi="es-ES"/>
        </w:rPr>
        <w:t>En suma,</w:t>
      </w:r>
      <w:r w:rsidRPr="00FC6F34">
        <w:rPr>
          <w:rFonts w:ascii="Verdana" w:eastAsia="Arial" w:hAnsi="Verdana" w:cs="Arial"/>
          <w:lang w:val="es-ES" w:eastAsia="es-ES" w:bidi="es-ES"/>
        </w:rPr>
        <w:t xml:space="preserve"> </w:t>
      </w:r>
      <w:r>
        <w:rPr>
          <w:rFonts w:ascii="Verdana" w:eastAsia="Arial" w:hAnsi="Verdana" w:cs="Arial"/>
          <w:lang w:val="es-ES" w:eastAsia="es-ES" w:bidi="es-ES"/>
        </w:rPr>
        <w:t>l</w:t>
      </w:r>
      <w:r w:rsidRPr="00FC6F34">
        <w:rPr>
          <w:rFonts w:ascii="Verdana" w:eastAsia="Arial" w:hAnsi="Verdana" w:cs="Arial"/>
          <w:lang w:val="es-ES" w:eastAsia="es-ES" w:bidi="es-ES"/>
        </w:rPr>
        <w:t xml:space="preserve">as restricciones consagradas en la Ley de Garantías se dirigen a dos (2) tipos de campañas electorales diferenciadas: las presidenciales y las </w:t>
      </w:r>
      <w:r w:rsidRPr="00FC6F34">
        <w:rPr>
          <w:rFonts w:ascii="Verdana" w:eastAsia="Arial" w:hAnsi="Verdana" w:cs="Arial"/>
          <w:lang w:val="es-ES" w:eastAsia="es-ES" w:bidi="es-ES"/>
        </w:rPr>
        <w:lastRenderedPageBreak/>
        <w:t>que se adelanten para la elección de los demás cargos de elección popular, tanto a nivel nacional como territorial.</w:t>
      </w:r>
    </w:p>
    <w:p w14:paraId="07A4AA35" w14:textId="77777777" w:rsidR="005474F1" w:rsidRPr="00FC6F34" w:rsidRDefault="005474F1" w:rsidP="005474F1">
      <w:pPr>
        <w:spacing w:after="120" w:line="276" w:lineRule="auto"/>
        <w:ind w:firstLine="708"/>
        <w:jc w:val="both"/>
        <w:rPr>
          <w:rFonts w:ascii="Verdana" w:eastAsia="Calibri" w:hAnsi="Verdana" w:cs="Arial"/>
          <w:lang w:val="es-ES"/>
        </w:rPr>
      </w:pPr>
      <w:r w:rsidRPr="00FC6F34">
        <w:rPr>
          <w:rFonts w:ascii="Verdana" w:eastAsia="Calibri" w:hAnsi="Verdana" w:cs="Arial"/>
          <w:lang w:val="es-ES"/>
        </w:rPr>
        <w:t xml:space="preserve">Por un lado, el </w:t>
      </w:r>
      <w:r w:rsidRPr="00FC6F34">
        <w:rPr>
          <w:rFonts w:ascii="Verdana" w:eastAsia="Calibri" w:hAnsi="Verdana" w:cs="Arial"/>
          <w:i/>
          <w:iCs/>
          <w:lang w:val="es-ES"/>
        </w:rPr>
        <w:t xml:space="preserve">artículo 33 </w:t>
      </w:r>
      <w:r w:rsidRPr="00FC6F34">
        <w:rPr>
          <w:rFonts w:ascii="Verdana" w:eastAsia="Calibri" w:hAnsi="Verdana" w:cs="Arial"/>
          <w:lang w:val="es-ES"/>
        </w:rPr>
        <w:t xml:space="preserve">de la Ley 996 de 2005 prohíbe “[…] la contratación directa por parte de </w:t>
      </w:r>
      <w:r w:rsidRPr="00FC6F34">
        <w:rPr>
          <w:rFonts w:ascii="Verdana" w:eastAsia="Calibri" w:hAnsi="Verdana" w:cs="Arial"/>
          <w:i/>
          <w:iCs/>
          <w:lang w:val="es-ES"/>
        </w:rPr>
        <w:t>todos los entes del Estado</w:t>
      </w:r>
      <w:r w:rsidRPr="00FC6F34">
        <w:rPr>
          <w:rFonts w:ascii="Verdana" w:eastAsia="Calibri" w:hAnsi="Verdana" w:cs="Arial"/>
          <w:lang w:val="es-ES"/>
        </w:rPr>
        <w:t xml:space="preserve">” durante los cuatro (4) meses anteriores a las </w:t>
      </w:r>
      <w:r w:rsidRPr="00FC6F34">
        <w:rPr>
          <w:rFonts w:ascii="Verdana" w:eastAsia="Calibri" w:hAnsi="Verdana" w:cs="Arial"/>
          <w:i/>
          <w:iCs/>
          <w:lang w:val="es-ES"/>
        </w:rPr>
        <w:t>elecciones presidenciales</w:t>
      </w:r>
      <w:r w:rsidRPr="00FC6F34">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C6F34">
        <w:rPr>
          <w:rFonts w:ascii="Verdana" w:eastAsia="Calibri" w:hAnsi="Verdana" w:cs="Arial"/>
          <w:vertAlign w:val="superscript"/>
          <w:lang w:val="es-ES"/>
        </w:rPr>
        <w:footnoteReference w:id="8"/>
      </w:r>
      <w:r w:rsidRPr="00FC6F34">
        <w:rPr>
          <w:rFonts w:ascii="Verdana" w:eastAsia="Calibri" w:hAnsi="Verdana" w:cs="Arial"/>
          <w:lang w:val="es-ES"/>
        </w:rPr>
        <w:t>.</w:t>
      </w:r>
    </w:p>
    <w:p w14:paraId="532260F6" w14:textId="77777777" w:rsidR="005474F1" w:rsidRPr="00FC6F34" w:rsidRDefault="005474F1" w:rsidP="005474F1">
      <w:pPr>
        <w:widowControl w:val="0"/>
        <w:autoSpaceDE w:val="0"/>
        <w:autoSpaceDN w:val="0"/>
        <w:spacing w:after="120" w:line="276" w:lineRule="auto"/>
        <w:ind w:right="113" w:firstLine="709"/>
        <w:jc w:val="both"/>
        <w:rPr>
          <w:rFonts w:ascii="Verdana" w:eastAsia="Arial" w:hAnsi="Verdana" w:cs="Arial"/>
          <w:lang w:val="es-ES" w:eastAsia="es-ES" w:bidi="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xml:space="preserve">, que prohíbe a los gobernadores, alcaldes municipales o distritales, secretarios, gerentes y directores de entidades descentralizadas del orden municipal, departamental o distrital “[…] celebrar </w:t>
      </w:r>
      <w:r w:rsidRPr="00FD1F46">
        <w:rPr>
          <w:rFonts w:ascii="Verdana" w:eastAsia="Calibri" w:hAnsi="Verdana" w:cs="Arial"/>
          <w:i/>
          <w:iCs/>
          <w:lang w:val="es-ES"/>
        </w:rPr>
        <w:t>convenios interadministrativos</w:t>
      </w:r>
      <w:r w:rsidRPr="00FC6F34">
        <w:rPr>
          <w:rFonts w:ascii="Verdana" w:eastAsia="Calibri" w:hAnsi="Verdana" w:cs="Arial"/>
          <w:lang w:val="es-ES"/>
        </w:rPr>
        <w:t xml:space="preserve"> para la ejecución de recursos públicos, ni participar, promover y destinar recursos públicos de las entidades a su cargo, como tampoco de las que participen como miembros de sus juntas directivas, en o para reuniones de carácter proselitista”</w:t>
      </w:r>
      <w:r w:rsidRPr="00FC6F34">
        <w:rPr>
          <w:rFonts w:ascii="Verdana" w:eastAsia="Calibri" w:hAnsi="Verdana" w:cs="Arial"/>
          <w:vertAlign w:val="superscript"/>
          <w:lang w:val="es-ES"/>
        </w:rPr>
        <w:footnoteReference w:id="9"/>
      </w:r>
      <w:r w:rsidRPr="00FC6F34">
        <w:rPr>
          <w:rFonts w:ascii="Verdana" w:eastAsia="Calibri" w:hAnsi="Verdana" w:cs="Arial"/>
          <w:lang w:val="es-ES"/>
        </w:rPr>
        <w:t>.</w:t>
      </w:r>
      <w:r w:rsidRPr="00FC6F34">
        <w:rPr>
          <w:rFonts w:ascii="Verdana" w:eastAsia="Arial" w:hAnsi="Verdana" w:cs="Arial"/>
          <w:lang w:val="es-ES" w:eastAsia="es-ES" w:bidi="es-ES"/>
        </w:rPr>
        <w:t xml:space="preserve"> </w:t>
      </w:r>
    </w:p>
    <w:p w14:paraId="68EE8F90" w14:textId="77777777" w:rsidR="005474F1" w:rsidRPr="00FC6F34" w:rsidRDefault="005474F1" w:rsidP="005474F1">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FC6F34">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23066B1E" w14:textId="77777777" w:rsidR="005474F1" w:rsidRPr="00FC6F34" w:rsidRDefault="005474F1" w:rsidP="005474F1">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484835A4" w14:textId="77777777" w:rsidR="005474F1" w:rsidRPr="00FC6F34" w:rsidRDefault="005474F1" w:rsidP="005474F1">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FC6F34">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w:t>
      </w:r>
      <w:r w:rsidRPr="00FC6F34">
        <w:rPr>
          <w:rFonts w:ascii="Verdana" w:eastAsia="Arial" w:hAnsi="Verdana" w:cs="Arial"/>
          <w:sz w:val="20"/>
          <w:szCs w:val="20"/>
          <w:lang w:val="es-ES" w:eastAsia="es-ES" w:bidi="es-ES"/>
        </w:rPr>
        <w:lastRenderedPageBreak/>
        <w:t xml:space="preserve">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FC6F34">
        <w:rPr>
          <w:rFonts w:ascii="Verdana" w:eastAsia="Arial" w:hAnsi="Verdana" w:cs="Arial"/>
          <w:sz w:val="20"/>
          <w:szCs w:val="20"/>
          <w:lang w:val="es-ES" w:eastAsia="es-ES" w:bidi="es-ES"/>
        </w:rPr>
        <w:t>Presidente</w:t>
      </w:r>
      <w:proofErr w:type="gramEnd"/>
      <w:r w:rsidRPr="00FC6F34">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FC6F34">
        <w:rPr>
          <w:rFonts w:ascii="Verdana" w:eastAsia="Arial" w:hAnsi="Verdana" w:cs="Arial"/>
          <w:sz w:val="20"/>
          <w:szCs w:val="20"/>
          <w:vertAlign w:val="superscript"/>
          <w:lang w:val="es-ES" w:eastAsia="es-ES" w:bidi="es-ES"/>
        </w:rPr>
        <w:footnoteReference w:id="10"/>
      </w:r>
    </w:p>
    <w:p w14:paraId="153EA2F5" w14:textId="77777777" w:rsidR="005474F1" w:rsidRPr="00FC6F34" w:rsidRDefault="005474F1" w:rsidP="005474F1">
      <w:pPr>
        <w:widowControl w:val="0"/>
        <w:autoSpaceDE w:val="0"/>
        <w:autoSpaceDN w:val="0"/>
        <w:spacing w:after="0" w:line="276" w:lineRule="auto"/>
        <w:contextualSpacing/>
        <w:rPr>
          <w:rFonts w:ascii="Verdana" w:eastAsia="Arial" w:hAnsi="Verdana" w:cs="Arial"/>
          <w:lang w:val="es-ES" w:eastAsia="es-ES" w:bidi="es-ES"/>
        </w:rPr>
      </w:pPr>
    </w:p>
    <w:p w14:paraId="1EFE4455" w14:textId="77777777" w:rsidR="005474F1" w:rsidRPr="00FC6F34" w:rsidRDefault="005474F1" w:rsidP="005474F1">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FC6F34">
        <w:rPr>
          <w:rFonts w:ascii="Verdana" w:eastAsia="Arial" w:hAnsi="Verdana" w:cs="Arial"/>
          <w:i/>
          <w:lang w:val="es-ES" w:eastAsia="es-ES" w:bidi="es-ES"/>
        </w:rPr>
        <w:t>En primer lugar</w:t>
      </w:r>
      <w:r w:rsidRPr="00FC6F34">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C6F34">
        <w:rPr>
          <w:rFonts w:ascii="Verdana" w:eastAsia="Arial" w:hAnsi="Verdana" w:cs="Arial"/>
          <w:i/>
          <w:lang w:val="es-ES" w:eastAsia="es-ES" w:bidi="es-ES"/>
        </w:rPr>
        <w:t>En segundo lugar</w:t>
      </w:r>
      <w:r w:rsidRPr="00FC6F34">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1B90349E" w14:textId="77777777" w:rsidR="005474F1" w:rsidRPr="00FC6F34" w:rsidRDefault="005474F1" w:rsidP="005474F1">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las </w:t>
      </w:r>
      <w:r w:rsidRPr="00FC6F34">
        <w:rPr>
          <w:rFonts w:ascii="Verdana" w:eastAsia="Arial" w:hAnsi="Verdana" w:cs="Arial"/>
          <w:lang w:val="es-ES" w:eastAsia="es-ES" w:bidi="es-ES"/>
        </w:rPr>
        <w:lastRenderedPageBreak/>
        <w:t>autoridades allí mencionadas sólo deben aplicar las restricciones contenidas en el parágrafo del artículo 38.</w:t>
      </w:r>
    </w:p>
    <w:p w14:paraId="063F4CAC" w14:textId="77777777" w:rsidR="005474F1" w:rsidRPr="00FC6F34" w:rsidRDefault="005474F1" w:rsidP="005474F1">
      <w:pPr>
        <w:spacing w:after="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y el Vicepresidente de la República, ha perdido vigencia ante la prohibición de la reelección presidencial, restablecida por el Acto Legislativo 2 de 2015. Esto, excepto para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456D0999" w14:textId="77777777" w:rsidR="005474F1" w:rsidRPr="00FC6F34" w:rsidRDefault="005474F1" w:rsidP="005474F1">
      <w:pPr>
        <w:spacing w:after="0" w:line="276" w:lineRule="auto"/>
        <w:ind w:firstLine="709"/>
        <w:jc w:val="both"/>
        <w:rPr>
          <w:rFonts w:ascii="Verdana" w:eastAsia="Arial" w:hAnsi="Verdana" w:cs="Arial"/>
          <w:lang w:val="es-ES" w:eastAsia="es-ES" w:bidi="es-ES"/>
        </w:rPr>
      </w:pPr>
    </w:p>
    <w:p w14:paraId="03160562" w14:textId="77777777" w:rsidR="005474F1" w:rsidRPr="00FC6F34" w:rsidRDefault="005474F1" w:rsidP="005474F1">
      <w:pPr>
        <w:spacing w:after="120" w:line="276" w:lineRule="auto"/>
        <w:jc w:val="both"/>
        <w:rPr>
          <w:rFonts w:ascii="Verdana" w:eastAsia="Times New Roman" w:hAnsi="Verdana" w:cs="Arial"/>
          <w:bCs/>
          <w:lang w:val="es-ES" w:eastAsia="es-CO"/>
        </w:rPr>
      </w:pPr>
      <w:proofErr w:type="spellStart"/>
      <w:r w:rsidRPr="00FC6F34">
        <w:rPr>
          <w:rFonts w:ascii="Verdana" w:eastAsia="Calibri" w:hAnsi="Verdana" w:cs="Arial"/>
          <w:lang w:val="es-ES"/>
        </w:rPr>
        <w:t>ii</w:t>
      </w:r>
      <w:proofErr w:type="spellEnd"/>
      <w:r w:rsidRPr="00FC6F34">
        <w:rPr>
          <w:rFonts w:ascii="Verdana" w:eastAsia="Calibri" w:hAnsi="Verdana" w:cs="Arial"/>
          <w:lang w:val="es-ES"/>
        </w:rPr>
        <w:t xml:space="preserve">) </w:t>
      </w:r>
      <w:r w:rsidRPr="00FC6F34">
        <w:rPr>
          <w:rFonts w:ascii="Verdana" w:eastAsia="Arial" w:hAnsi="Verdana" w:cs="Arial"/>
          <w:lang w:val="es-ES" w:eastAsia="es-ES" w:bidi="es-ES"/>
        </w:rPr>
        <w:t xml:space="preserve">Ahora bien, </w:t>
      </w:r>
      <w:r w:rsidRPr="00FC6F34">
        <w:rPr>
          <w:rFonts w:ascii="Verdana" w:eastAsia="Calibri" w:hAnsi="Verdana" w:cs="Arial"/>
          <w:lang w:val="es-ES" w:eastAsia="es-ES" w:bidi="es-ES"/>
        </w:rPr>
        <w:t xml:space="preserve">para responder al problema jurídico planteado es necesario precisar el alcance de la prohibición </w:t>
      </w:r>
      <w:r w:rsidRPr="00FC6F34">
        <w:rPr>
          <w:rFonts w:ascii="Verdana" w:eastAsia="Arial" w:hAnsi="Verdana" w:cs="Arial"/>
          <w:lang w:val="es-ES" w:eastAsia="es-ES" w:bidi="es-ES"/>
        </w:rPr>
        <w:t>establecida en e</w:t>
      </w:r>
      <w:r w:rsidRPr="00FC6F34">
        <w:rPr>
          <w:rFonts w:ascii="Verdana" w:eastAsia="Calibri" w:hAnsi="Verdana" w:cs="Arial"/>
          <w:lang w:val="es-ES"/>
        </w:rPr>
        <w:t xml:space="preserve">l </w:t>
      </w:r>
      <w:r w:rsidRPr="00FC6F34">
        <w:rPr>
          <w:rFonts w:ascii="Verdana" w:eastAsia="Times New Roman" w:hAnsi="Verdana" w:cs="Arial"/>
          <w:lang w:val="es-ES"/>
        </w:rPr>
        <w:t xml:space="preserve">artículo 33 de la Ley 996 de 2005. El ámbito material de esta prohibición está delimitado por la expresión </w:t>
      </w:r>
      <w:r w:rsidRPr="00FC6F34">
        <w:rPr>
          <w:rFonts w:ascii="Verdana" w:eastAsia="Calibri" w:hAnsi="Verdana" w:cs="Arial"/>
          <w:bCs/>
          <w:lang w:val="es-ES"/>
        </w:rPr>
        <w:t>“</w:t>
      </w:r>
      <w:r w:rsidRPr="00FC6F34">
        <w:rPr>
          <w:rFonts w:ascii="Verdana" w:eastAsia="Times New Roman" w:hAnsi="Verdana" w:cs="Arial"/>
          <w:lang w:val="es-ES"/>
        </w:rPr>
        <w:t>queda prohibida la contratación directa</w:t>
      </w:r>
      <w:r w:rsidRPr="00FC6F34">
        <w:rPr>
          <w:rFonts w:ascii="Verdana" w:eastAsia="Calibri" w:hAnsi="Verdana" w:cs="Arial"/>
          <w:lang w:val="es-ES"/>
        </w:rPr>
        <w:t>”</w:t>
      </w:r>
      <w:r w:rsidRPr="00FC6F34">
        <w:rPr>
          <w:rFonts w:ascii="Verdana" w:eastAsia="Times New Roman" w:hAnsi="Verdana" w:cs="Arial"/>
          <w:lang w:val="es-ES"/>
        </w:rPr>
        <w:t xml:space="preserve">. </w:t>
      </w:r>
      <w:r w:rsidRPr="00FC6F34">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7ED9290F" w14:textId="77777777" w:rsidR="005474F1" w:rsidRPr="00FC6F34" w:rsidRDefault="005474F1" w:rsidP="005474F1">
      <w:pPr>
        <w:spacing w:after="0" w:line="240" w:lineRule="auto"/>
        <w:ind w:left="709" w:right="709"/>
        <w:jc w:val="both"/>
        <w:rPr>
          <w:rFonts w:ascii="Verdana" w:eastAsia="Calibri" w:hAnsi="Verdana" w:cs="Arial"/>
          <w:sz w:val="20"/>
          <w:szCs w:val="20"/>
          <w:lang w:val="es-ES"/>
        </w:rPr>
      </w:pPr>
      <w:r w:rsidRPr="00FC6F34">
        <w:rPr>
          <w:rFonts w:ascii="Verdana" w:eastAsia="Calibri" w:hAnsi="Verdana" w:cs="Arial"/>
          <w:sz w:val="20"/>
          <w:szCs w:val="20"/>
          <w:lang w:val="es-ES"/>
        </w:rPr>
        <w:t xml:space="preserve">“[…] Esta Sala ha entendido </w:t>
      </w:r>
      <w:proofErr w:type="gramStart"/>
      <w:r w:rsidRPr="00FC6F34">
        <w:rPr>
          <w:rFonts w:ascii="Verdana" w:eastAsia="Calibri" w:hAnsi="Verdana" w:cs="Arial"/>
          <w:sz w:val="20"/>
          <w:szCs w:val="20"/>
          <w:lang w:val="es-ES"/>
        </w:rPr>
        <w:t>que</w:t>
      </w:r>
      <w:proofErr w:type="gramEnd"/>
      <w:r w:rsidRPr="00FC6F34">
        <w:rPr>
          <w:rFonts w:ascii="Verdana" w:eastAsia="Calibri" w:hAnsi="Verdana" w:cs="Arial"/>
          <w:sz w:val="20"/>
          <w:szCs w:val="20"/>
          <w:lang w:val="es-ES"/>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C6F34">
        <w:rPr>
          <w:rFonts w:ascii="Verdana" w:eastAsia="Times New Roman" w:hAnsi="Verdana" w:cs="Arial"/>
          <w:sz w:val="20"/>
          <w:szCs w:val="20"/>
          <w:vertAlign w:val="superscript"/>
          <w:lang w:val="es-ES"/>
        </w:rPr>
        <w:footnoteReference w:id="11"/>
      </w:r>
      <w:r w:rsidRPr="00FC6F34">
        <w:rPr>
          <w:rFonts w:ascii="Verdana" w:eastAsia="Times New Roman" w:hAnsi="Verdana" w:cs="Arial"/>
          <w:sz w:val="20"/>
          <w:szCs w:val="20"/>
          <w:vertAlign w:val="superscript"/>
          <w:lang w:val="es-ES"/>
        </w:rPr>
        <w:t>.</w:t>
      </w:r>
      <w:r w:rsidRPr="00FC6F34">
        <w:rPr>
          <w:rFonts w:ascii="Verdana" w:eastAsia="Calibri"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C6F34">
        <w:rPr>
          <w:rFonts w:ascii="Verdana" w:eastAsia="Times New Roman" w:hAnsi="Verdana" w:cs="Arial"/>
          <w:sz w:val="20"/>
          <w:szCs w:val="20"/>
          <w:vertAlign w:val="superscript"/>
          <w:lang w:val="es-ES" w:eastAsia="es-CO"/>
        </w:rPr>
        <w:footnoteReference w:id="12"/>
      </w:r>
      <w:r w:rsidRPr="00FC6F34">
        <w:rPr>
          <w:rFonts w:ascii="Verdana" w:eastAsia="Calibri" w:hAnsi="Verdana" w:cs="Arial"/>
          <w:sz w:val="20"/>
          <w:szCs w:val="20"/>
          <w:lang w:val="es-ES"/>
        </w:rPr>
        <w:t xml:space="preserve"> .</w:t>
      </w:r>
    </w:p>
    <w:p w14:paraId="6C0927F3" w14:textId="77777777" w:rsidR="005474F1" w:rsidRPr="00FC6F34" w:rsidRDefault="005474F1" w:rsidP="005474F1">
      <w:pPr>
        <w:shd w:val="clear" w:color="auto" w:fill="FFFFFF" w:themeFill="background1"/>
        <w:spacing w:after="0" w:line="276" w:lineRule="auto"/>
        <w:ind w:firstLine="709"/>
        <w:jc w:val="both"/>
        <w:rPr>
          <w:rFonts w:ascii="Verdana" w:eastAsia="Times New Roman" w:hAnsi="Verdana" w:cs="Arial"/>
          <w:lang w:val="es-ES" w:eastAsia="x-none"/>
        </w:rPr>
      </w:pPr>
    </w:p>
    <w:p w14:paraId="364E7DA7" w14:textId="77777777" w:rsidR="005474F1" w:rsidRPr="00FC6F34" w:rsidRDefault="005474F1" w:rsidP="005474F1">
      <w:pPr>
        <w:spacing w:after="120" w:line="276" w:lineRule="auto"/>
        <w:ind w:firstLine="708"/>
        <w:jc w:val="both"/>
        <w:rPr>
          <w:rFonts w:ascii="Verdana" w:eastAsia="Times New Roman" w:hAnsi="Verdana" w:cs="Arial"/>
          <w:bCs/>
          <w:lang w:val="es-ES" w:eastAsia="x-none"/>
        </w:rPr>
      </w:pPr>
      <w:r w:rsidRPr="00FC6F34">
        <w:rPr>
          <w:rFonts w:ascii="Verdana" w:eastAsia="Times New Roman" w:hAnsi="Verdana" w:cs="Arial"/>
          <w:lang w:val="es-ES" w:eastAsia="x-none"/>
        </w:rPr>
        <w:lastRenderedPageBreak/>
        <w:t xml:space="preserve">De acuerdo con este concepto, la prohibición del artículo 33 de la Ley de Garantías Electorales se refiere a </w:t>
      </w:r>
      <w:r w:rsidRPr="00FC6F34">
        <w:rPr>
          <w:rFonts w:ascii="Verdana" w:eastAsia="Times New Roman" w:hAnsi="Verdana" w:cs="Arial"/>
          <w:sz w:val="19"/>
          <w:szCs w:val="19"/>
          <w:lang w:val="es-ES" w:eastAsia="en-GB"/>
        </w:rPr>
        <w:t>“</w:t>
      </w:r>
      <w:r w:rsidRPr="00FD1F46">
        <w:rPr>
          <w:rFonts w:ascii="Verdana" w:eastAsia="Times New Roman" w:hAnsi="Verdana" w:cs="Arial"/>
          <w:i/>
          <w:iCs/>
          <w:lang w:val="es-ES" w:eastAsia="x-none"/>
        </w:rPr>
        <w:t>cualquier</w:t>
      </w:r>
      <w:r w:rsidRPr="00FC6F34">
        <w:rPr>
          <w:rFonts w:ascii="Verdana" w:eastAsia="Times New Roman" w:hAnsi="Verdana" w:cs="Arial"/>
          <w:lang w:val="es-ES" w:eastAsia="x-none"/>
        </w:rPr>
        <w:t xml:space="preserve"> sistema que no implique convocatoria pública y posibilidad de pluralidad de oferentes</w:t>
      </w:r>
      <w:r w:rsidRPr="00FC6F34">
        <w:rPr>
          <w:rFonts w:ascii="Verdana" w:eastAsia="Times New Roman" w:hAnsi="Verdana" w:cs="Arial"/>
          <w:lang w:val="es-ES" w:eastAsia="en-GB"/>
        </w:rPr>
        <w:t>”</w:t>
      </w:r>
      <w:r w:rsidRPr="00FC6F34">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FC6F34">
        <w:rPr>
          <w:rFonts w:ascii="Verdana" w:eastAsia="Times New Roman" w:hAnsi="Verdana" w:cs="Arial"/>
          <w:lang w:val="es-ES"/>
        </w:rPr>
        <w:t>y la mínima cuantía</w:t>
      </w:r>
      <w:r w:rsidRPr="00FC6F34" w:rsidDel="00A85D9F">
        <w:rPr>
          <w:rFonts w:ascii="Verdana" w:eastAsia="Times New Roman" w:hAnsi="Verdana" w:cs="Arial"/>
          <w:lang w:val="es-ES" w:eastAsia="x-none"/>
        </w:rPr>
        <w:t xml:space="preserve"> </w:t>
      </w:r>
      <w:r w:rsidRPr="00FC6F34">
        <w:rPr>
          <w:rFonts w:ascii="Verdana" w:eastAsia="Times New Roman" w:hAnsi="Verdana" w:cs="Arial"/>
          <w:lang w:val="es-ES"/>
        </w:rPr>
        <w:t xml:space="preserve">u otros previstos en normas especiales. </w:t>
      </w:r>
      <w:r w:rsidRPr="00FC6F34">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FC6F34">
        <w:rPr>
          <w:rFonts w:ascii="Verdana" w:eastAsia="Times New Roman" w:hAnsi="Verdana" w:cs="Arial"/>
          <w:vertAlign w:val="superscript"/>
          <w:lang w:val="es-ES" w:eastAsia="x-none"/>
        </w:rPr>
        <w:footnoteReference w:id="13"/>
      </w:r>
      <w:r w:rsidRPr="00FC6F34">
        <w:rPr>
          <w:rFonts w:ascii="Verdana" w:eastAsia="Times New Roman" w:hAnsi="Verdana" w:cs="Arial"/>
          <w:lang w:val="es-ES" w:eastAsia="x-none"/>
        </w:rPr>
        <w:t xml:space="preserve"> y sistematizó las causales de contratación directa</w:t>
      </w:r>
      <w:r w:rsidRPr="00FC6F34">
        <w:rPr>
          <w:rFonts w:ascii="Verdana" w:eastAsia="Times New Roman" w:hAnsi="Verdana" w:cs="Arial"/>
          <w:vertAlign w:val="superscript"/>
          <w:lang w:val="es-ES" w:eastAsia="x-none"/>
        </w:rPr>
        <w:footnoteReference w:id="14"/>
      </w:r>
      <w:r w:rsidRPr="00FC6F34">
        <w:rPr>
          <w:rFonts w:ascii="Verdana" w:eastAsia="Times New Roman" w:hAnsi="Verdana" w:cs="Arial"/>
          <w:lang w:val="es-ES" w:eastAsia="x-none"/>
        </w:rPr>
        <w:t xml:space="preserve">, </w:t>
      </w:r>
      <w:r w:rsidRPr="00FC6F34">
        <w:rPr>
          <w:rFonts w:ascii="Verdana" w:eastAsia="Calibri"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7C374A8D" w14:textId="77777777" w:rsidR="005474F1" w:rsidRPr="00FC6F34" w:rsidRDefault="005474F1" w:rsidP="005474F1">
      <w:pPr>
        <w:spacing w:after="120" w:line="276" w:lineRule="auto"/>
        <w:ind w:firstLine="708"/>
        <w:jc w:val="both"/>
        <w:rPr>
          <w:rFonts w:ascii="Verdana" w:eastAsia="Times New Roman" w:hAnsi="Verdana" w:cs="Arial"/>
          <w:bCs/>
          <w:lang w:val="es-ES" w:eastAsia="es-CO"/>
        </w:rPr>
      </w:pPr>
      <w:r w:rsidRPr="00FC6F34">
        <w:rPr>
          <w:rFonts w:ascii="Verdana" w:eastAsia="Times New Roman" w:hAnsi="Verdana" w:cs="Arial"/>
          <w:bCs/>
          <w:lang w:val="es-ES" w:eastAsia="es-CO"/>
        </w:rPr>
        <w:t xml:space="preserve">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w:t>
      </w:r>
      <w:r>
        <w:rPr>
          <w:rFonts w:ascii="Verdana" w:eastAsia="Times New Roman" w:hAnsi="Verdana" w:cs="Arial"/>
          <w:bCs/>
          <w:lang w:val="es-ES" w:eastAsia="es-CO"/>
        </w:rPr>
        <w:t>G</w:t>
      </w:r>
      <w:r w:rsidRPr="00FC6F34">
        <w:rPr>
          <w:rFonts w:ascii="Verdana" w:eastAsia="Times New Roman" w:hAnsi="Verdana" w:cs="Arial"/>
          <w:bCs/>
          <w:lang w:val="es-ES" w:eastAsia="es-CO"/>
        </w:rPr>
        <w:t>eneral de Contratación de la Administración Pública</w:t>
      </w:r>
      <w:r w:rsidRPr="00FD1F46">
        <w:rPr>
          <w:rFonts w:ascii="Verdana" w:eastAsia="Times New Roman" w:hAnsi="Verdana" w:cs="Arial"/>
          <w:bCs/>
          <w:lang w:val="es-ES" w:eastAsia="es-CO"/>
        </w:rPr>
        <w:t>, sino también frente a las entidades que tengan un régimen especial de contratación.</w:t>
      </w:r>
      <w:r w:rsidRPr="00FC6F34">
        <w:rPr>
          <w:rFonts w:ascii="Verdana" w:eastAsia="Times New Roman" w:hAnsi="Verdana" w:cs="Arial"/>
          <w:bCs/>
          <w:lang w:val="es-ES" w:eastAsia="es-CO"/>
        </w:rPr>
        <w:t xml:space="preserve"> No obstante, luego de la expedición de Ley 1150 de 2007, el Consejo de Estado comenzó a delimitar con mayor precisión el término de “contratación directa”. </w:t>
      </w:r>
      <w:r w:rsidRPr="00FC6F34">
        <w:rPr>
          <w:rFonts w:ascii="Verdana" w:eastAsia="Times New Roman" w:hAnsi="Verdana" w:cs="Arial"/>
          <w:lang w:val="es-ES"/>
        </w:rPr>
        <w:t xml:space="preserve">Así, para la prohibición o restricción temporal contenida en su artículo 33, “contratación directa” es </w:t>
      </w:r>
      <w:r w:rsidRPr="00FD1F46">
        <w:rPr>
          <w:rFonts w:ascii="Verdana" w:eastAsia="Times New Roman" w:hAnsi="Verdana" w:cs="Arial"/>
          <w:i/>
          <w:iCs/>
          <w:lang w:val="es-ES"/>
        </w:rPr>
        <w:t>cualquier</w:t>
      </w:r>
      <w:r w:rsidRPr="00FC6F34">
        <w:rPr>
          <w:rFonts w:ascii="Verdana" w:eastAsia="Times New Roman" w:hAnsi="Verdana" w:cs="Arial"/>
          <w:lang w:val="es-ES"/>
        </w:rPr>
        <w:t xml:space="preserve"> sistema de selección o procedimiento de contratación utilizado por las entidades estatales que no incluya la convocatoria pública en alguna de sus etapas, ni permita la participación de una pluralidad de oferentes</w:t>
      </w:r>
      <w:r w:rsidRPr="00FC6F34">
        <w:rPr>
          <w:rFonts w:ascii="Verdana" w:eastAsia="Times New Roman" w:hAnsi="Verdana" w:cs="Arial"/>
          <w:vertAlign w:val="superscript"/>
          <w:lang w:val="es-ES" w:eastAsia="x-none"/>
        </w:rPr>
        <w:footnoteReference w:id="15"/>
      </w:r>
      <w:r w:rsidRPr="00FC6F34">
        <w:rPr>
          <w:rFonts w:ascii="Verdana" w:eastAsia="Times New Roman" w:hAnsi="Verdana" w:cs="Arial"/>
          <w:lang w:val="es-ES"/>
        </w:rPr>
        <w:t>.</w:t>
      </w:r>
      <w:r w:rsidRPr="00FC6F34">
        <w:rPr>
          <w:rFonts w:ascii="Verdana" w:eastAsia="Times New Roman" w:hAnsi="Verdana" w:cs="Arial"/>
          <w:vertAlign w:val="superscript"/>
          <w:lang w:val="es-ES" w:eastAsia="x-none"/>
        </w:rPr>
        <w:t xml:space="preserve"> </w:t>
      </w:r>
    </w:p>
    <w:p w14:paraId="70341016" w14:textId="77777777" w:rsidR="005474F1" w:rsidRPr="00FC6F34" w:rsidRDefault="005474F1" w:rsidP="005474F1">
      <w:pPr>
        <w:spacing w:after="0" w:line="276" w:lineRule="auto"/>
        <w:ind w:firstLine="708"/>
        <w:jc w:val="both"/>
        <w:rPr>
          <w:rFonts w:ascii="Verdana" w:eastAsia="Times New Roman" w:hAnsi="Verdana" w:cs="Arial"/>
          <w:lang w:val="es-ES"/>
        </w:rPr>
      </w:pPr>
      <w:r w:rsidRPr="00FC6F34">
        <w:rPr>
          <w:rFonts w:ascii="Verdana" w:eastAsia="Times New Roman" w:hAnsi="Verdana" w:cs="Arial"/>
          <w:lang w:val="es-ES"/>
        </w:rPr>
        <w:t xml:space="preserve">De lo anterior se desprende que la restricción aplica, sin perjuicio de las excepciones establecidas en la misma ley, para celebrar </w:t>
      </w:r>
      <w:r w:rsidRPr="00FC6F34">
        <w:rPr>
          <w:rFonts w:ascii="Verdana" w:eastAsia="Times New Roman" w:hAnsi="Verdana" w:cs="Arial"/>
          <w:i/>
          <w:iCs/>
          <w:lang w:val="es-ES"/>
        </w:rPr>
        <w:t>cualquier contrato de forma directa</w:t>
      </w:r>
      <w:r w:rsidRPr="00FC6F34">
        <w:rPr>
          <w:rFonts w:ascii="Verdana" w:eastAsia="Times New Roman" w:hAnsi="Verdana" w:cs="Arial"/>
          <w:lang w:val="es-ES"/>
        </w:rPr>
        <w:t>, esto es, sin que exista un proceso abierto y competitivo. Por tanto,</w:t>
      </w:r>
      <w:r>
        <w:rPr>
          <w:rFonts w:ascii="Verdana" w:eastAsia="Times New Roman" w:hAnsi="Verdana" w:cs="Arial"/>
          <w:lang w:val="es-ES"/>
        </w:rPr>
        <w:t xml:space="preserve"> los procedimientos de selección que pretendan adelantar las Entidades Estatales mediante cualquiera de las causales de contratación directa establecidas en el artículo segundo de la Ley 1150 de 2007 estarán cubiertos por la prohibición establecida en el artículo 33 de la Ley de Garantías Electorales. En consecuencia, las entidades no podrán adelantar procesos mediante dicha modalidad para </w:t>
      </w:r>
      <w:proofErr w:type="gramStart"/>
      <w:r>
        <w:rPr>
          <w:rFonts w:ascii="Verdana" w:eastAsia="Times New Roman" w:hAnsi="Verdana" w:cs="Arial"/>
        </w:rPr>
        <w:t xml:space="preserve">contratar </w:t>
      </w:r>
      <w:r w:rsidRPr="00FD1F46">
        <w:rPr>
          <w:rFonts w:ascii="Verdana" w:eastAsia="Times New Roman" w:hAnsi="Verdana" w:cs="Arial"/>
        </w:rPr>
        <w:t xml:space="preserve"> la</w:t>
      </w:r>
      <w:proofErr w:type="gramEnd"/>
      <w:r w:rsidRPr="00FD1F46">
        <w:rPr>
          <w:rFonts w:ascii="Verdana" w:eastAsia="Times New Roman" w:hAnsi="Verdana" w:cs="Arial"/>
        </w:rPr>
        <w:t xml:space="preserve"> prestación de servicios profesionales y de apoyo a la gestión</w:t>
      </w:r>
      <w:r>
        <w:rPr>
          <w:rFonts w:ascii="Verdana" w:eastAsia="Times New Roman" w:hAnsi="Verdana" w:cs="Arial"/>
        </w:rPr>
        <w:t xml:space="preserve"> (causal </w:t>
      </w:r>
      <w:r>
        <w:rPr>
          <w:rFonts w:ascii="Verdana" w:eastAsia="Times New Roman" w:hAnsi="Verdana" w:cs="Arial"/>
        </w:rPr>
        <w:lastRenderedPageBreak/>
        <w:t>del literal h), ni para l</w:t>
      </w:r>
      <w:r w:rsidRPr="00FD1F46">
        <w:rPr>
          <w:rFonts w:ascii="Verdana" w:eastAsia="Times New Roman" w:hAnsi="Verdana" w:cs="Arial"/>
        </w:rPr>
        <w:t xml:space="preserve">a selección </w:t>
      </w:r>
      <w:r>
        <w:rPr>
          <w:rFonts w:ascii="Verdana" w:eastAsia="Times New Roman" w:hAnsi="Verdana" w:cs="Arial"/>
        </w:rPr>
        <w:t xml:space="preserve">directa </w:t>
      </w:r>
      <w:r w:rsidRPr="00FD1F46">
        <w:rPr>
          <w:rFonts w:ascii="Verdana" w:eastAsia="Times New Roman" w:hAnsi="Verdana" w:cs="Arial"/>
        </w:rPr>
        <w:t>de peritos expertos o asesores técnicos para presentar o contradecir el dictamen pericial en procesos judiciales</w:t>
      </w:r>
      <w:r>
        <w:rPr>
          <w:rFonts w:ascii="Verdana" w:eastAsia="Times New Roman" w:hAnsi="Verdana" w:cs="Arial"/>
        </w:rPr>
        <w:t xml:space="preserve"> (causal del literal k)</w:t>
      </w:r>
      <w:r w:rsidRPr="00FD1F46">
        <w:rPr>
          <w:rFonts w:ascii="Verdana" w:eastAsia="Times New Roman" w:hAnsi="Verdana" w:cs="Arial"/>
        </w:rPr>
        <w:t>.</w:t>
      </w:r>
      <w:r>
        <w:rPr>
          <w:rFonts w:ascii="Verdana" w:eastAsia="Times New Roman" w:hAnsi="Verdana" w:cs="Arial"/>
          <w:lang w:val="es-ES"/>
        </w:rPr>
        <w:t xml:space="preserve"> En cualquier caso, </w:t>
      </w:r>
      <w:r w:rsidRPr="00FC6F34">
        <w:rPr>
          <w:rFonts w:ascii="Verdana" w:eastAsia="Times New Roman" w:hAnsi="Verdana" w:cs="Arial"/>
          <w:lang w:val="es-ES"/>
        </w:rPr>
        <w:t>no s</w:t>
      </w:r>
      <w:r>
        <w:rPr>
          <w:rFonts w:ascii="Verdana" w:eastAsia="Times New Roman" w:hAnsi="Verdana" w:cs="Arial"/>
          <w:lang w:val="es-ES"/>
        </w:rPr>
        <w:t>erán</w:t>
      </w:r>
      <w:r w:rsidRPr="00FC6F34">
        <w:rPr>
          <w:rFonts w:ascii="Verdana" w:eastAsia="Times New Roman" w:hAnsi="Verdana" w:cs="Arial"/>
          <w:lang w:val="es-ES"/>
        </w:rPr>
        <w:t xml:space="preserve">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r>
        <w:rPr>
          <w:rFonts w:ascii="Verdana" w:eastAsia="Times New Roman" w:hAnsi="Verdana" w:cs="Arial"/>
          <w:lang w:val="es-ES"/>
        </w:rPr>
        <w:t xml:space="preserve"> para la satisfacción y atención de sus necesidades</w:t>
      </w:r>
      <w:r w:rsidRPr="00FC6F34">
        <w:rPr>
          <w:rFonts w:ascii="Verdana" w:eastAsia="Times New Roman" w:hAnsi="Verdana" w:cs="Arial"/>
          <w:lang w:val="es-ES"/>
        </w:rPr>
        <w:t>.</w:t>
      </w:r>
    </w:p>
    <w:p w14:paraId="185A086B" w14:textId="77777777" w:rsidR="005474F1" w:rsidRPr="00FC6F34" w:rsidRDefault="005474F1" w:rsidP="005474F1">
      <w:pPr>
        <w:spacing w:after="0" w:line="276" w:lineRule="auto"/>
        <w:ind w:firstLine="708"/>
        <w:jc w:val="both"/>
        <w:rPr>
          <w:rFonts w:ascii="Verdana" w:eastAsia="Times New Roman" w:hAnsi="Verdana" w:cs="Arial"/>
          <w:lang w:val="es-ES"/>
        </w:rPr>
      </w:pPr>
    </w:p>
    <w:p w14:paraId="51019E0D" w14:textId="77777777" w:rsidR="005474F1" w:rsidRPr="00FC6F34" w:rsidRDefault="005474F1" w:rsidP="005474F1">
      <w:pPr>
        <w:spacing w:after="0" w:line="276" w:lineRule="auto"/>
        <w:jc w:val="both"/>
        <w:rPr>
          <w:rFonts w:ascii="Verdana" w:eastAsia="Times New Roman" w:hAnsi="Verdana" w:cs="Arial"/>
          <w:lang w:val="es-ES"/>
        </w:rPr>
      </w:pPr>
      <w:proofErr w:type="spellStart"/>
      <w:r w:rsidRPr="00FC6F34">
        <w:rPr>
          <w:rFonts w:ascii="Verdana" w:eastAsia="Times New Roman" w:hAnsi="Verdana" w:cs="Arial"/>
          <w:bCs/>
          <w:lang w:val="es-ES" w:eastAsia="es-CO"/>
        </w:rPr>
        <w:t>i</w:t>
      </w:r>
      <w:r>
        <w:rPr>
          <w:rFonts w:ascii="Verdana" w:eastAsia="Times New Roman" w:hAnsi="Verdana" w:cs="Arial"/>
          <w:bCs/>
          <w:lang w:val="es-ES" w:eastAsia="es-CO"/>
        </w:rPr>
        <w:t>ii</w:t>
      </w:r>
      <w:proofErr w:type="spellEnd"/>
      <w:r w:rsidRPr="00FC6F34">
        <w:rPr>
          <w:rFonts w:ascii="Verdana" w:eastAsia="Times New Roman" w:hAnsi="Verdana" w:cs="Arial"/>
          <w:bCs/>
          <w:lang w:val="es-ES" w:eastAsia="es-CO"/>
        </w:rPr>
        <w:t xml:space="preserve">) Con respecto a los </w:t>
      </w:r>
      <w:r w:rsidRPr="00FC6F34">
        <w:rPr>
          <w:rFonts w:ascii="Verdana" w:eastAsia="Times New Roman" w:hAnsi="Verdana" w:cs="Arial"/>
          <w:bCs/>
          <w:i/>
          <w:iCs/>
          <w:lang w:val="es-ES" w:eastAsia="es-CO"/>
        </w:rPr>
        <w:t>sujetos</w:t>
      </w:r>
      <w:r w:rsidRPr="00FC6F34">
        <w:rPr>
          <w:rFonts w:ascii="Verdana" w:eastAsia="Times New Roman" w:hAnsi="Verdana" w:cs="Arial"/>
          <w:bCs/>
          <w:lang w:val="es-ES" w:eastAsia="es-CO"/>
        </w:rPr>
        <w:t xml:space="preserve"> que se encuentran enmarcados en la prohibición del artículo 33, </w:t>
      </w:r>
      <w:r w:rsidRPr="00FC6F34">
        <w:rPr>
          <w:rFonts w:ascii="Verdana" w:eastAsia="Times New Roman" w:hAnsi="Verdana" w:cs="Arial"/>
          <w:lang w:val="es-ES"/>
        </w:rPr>
        <w:t>la Ley 996 de 2005 señala expresamente que son “</w:t>
      </w:r>
      <w:r w:rsidRPr="00FC6F34">
        <w:rPr>
          <w:rFonts w:ascii="Verdana" w:eastAsia="Times New Roman" w:hAnsi="Verdana" w:cs="Arial"/>
          <w:i/>
          <w:iCs/>
          <w:u w:val="single"/>
          <w:lang w:val="es-ES"/>
        </w:rPr>
        <w:t>todos</w:t>
      </w:r>
      <w:r w:rsidRPr="00FC6F34">
        <w:rPr>
          <w:rFonts w:ascii="Verdana" w:eastAsia="Times New Roman" w:hAnsi="Verdana" w:cs="Arial"/>
          <w:i/>
          <w:iCs/>
          <w:lang w:val="es-ES"/>
        </w:rPr>
        <w:t xml:space="preserve"> los entes del Estado</w:t>
      </w:r>
      <w:r w:rsidRPr="00FC6F34">
        <w:rPr>
          <w:rFonts w:ascii="Verdana" w:eastAsia="Times New Roman" w:hAnsi="Verdana" w:cs="Arial"/>
          <w:lang w:val="es-ES"/>
        </w:rPr>
        <w:t>” [énfasis propio]. Al respecto la Sala De Consulta y Servicio Civil del Consejo de Estado señaló lo siguiente:</w:t>
      </w:r>
    </w:p>
    <w:p w14:paraId="461946DE" w14:textId="77777777" w:rsidR="005474F1" w:rsidRPr="00FC6F34" w:rsidRDefault="005474F1" w:rsidP="005474F1">
      <w:pPr>
        <w:spacing w:after="0" w:line="276" w:lineRule="auto"/>
        <w:ind w:firstLine="708"/>
        <w:jc w:val="both"/>
        <w:rPr>
          <w:rFonts w:ascii="Verdana" w:eastAsia="Times New Roman" w:hAnsi="Verdana" w:cs="Arial"/>
          <w:lang w:val="es-ES"/>
        </w:rPr>
      </w:pPr>
    </w:p>
    <w:p w14:paraId="52C08CF0" w14:textId="77777777" w:rsidR="005474F1" w:rsidRPr="00FC6F34" w:rsidRDefault="005474F1" w:rsidP="005474F1">
      <w:pPr>
        <w:spacing w:after="0" w:line="240" w:lineRule="auto"/>
        <w:ind w:left="709" w:right="709"/>
        <w:jc w:val="both"/>
        <w:rPr>
          <w:rFonts w:ascii="Verdana" w:eastAsia="Times New Roman" w:hAnsi="Verdana" w:cs="Arial"/>
          <w:bCs/>
          <w:lang w:val="es-ES" w:eastAsia="es-CO"/>
        </w:rPr>
      </w:pPr>
      <w:r w:rsidRPr="00FC6F34">
        <w:rPr>
          <w:rFonts w:ascii="Verdana" w:eastAsia="Times New Roman" w:hAnsi="Verdana" w:cs="Arial"/>
          <w:bCs/>
          <w:sz w:val="20"/>
          <w:szCs w:val="20"/>
          <w:lang w:val="es-ES"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FC6F34">
        <w:rPr>
          <w:rStyle w:val="Refdenotaalpie"/>
          <w:rFonts w:ascii="Verdana" w:eastAsia="Times New Roman" w:hAnsi="Verdana" w:cs="Arial"/>
          <w:bCs/>
          <w:sz w:val="20"/>
          <w:szCs w:val="20"/>
          <w:lang w:val="es-ES" w:eastAsia="es-CO"/>
        </w:rPr>
        <w:footnoteReference w:id="16"/>
      </w:r>
      <w:r w:rsidRPr="00FC6F34">
        <w:rPr>
          <w:rFonts w:ascii="Verdana" w:eastAsia="Times New Roman" w:hAnsi="Verdana" w:cs="Arial"/>
          <w:bCs/>
          <w:sz w:val="20"/>
          <w:szCs w:val="20"/>
          <w:lang w:val="es-ES" w:eastAsia="es-CO"/>
        </w:rPr>
        <w:t>.</w:t>
      </w:r>
    </w:p>
    <w:p w14:paraId="3FEBA84E" w14:textId="77777777" w:rsidR="005474F1" w:rsidRPr="00FC6F34" w:rsidRDefault="005474F1" w:rsidP="005474F1">
      <w:pPr>
        <w:spacing w:before="240" w:line="276" w:lineRule="auto"/>
        <w:ind w:firstLine="708"/>
        <w:jc w:val="both"/>
        <w:rPr>
          <w:rFonts w:ascii="Verdana" w:hAnsi="Verdana" w:cs="Arial"/>
          <w:bCs/>
          <w:sz w:val="20"/>
          <w:szCs w:val="20"/>
          <w:lang w:val="es-ES" w:eastAsia="es-CO"/>
        </w:rPr>
      </w:pPr>
      <w:r w:rsidRPr="00FC6F34">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FC6F34">
        <w:rPr>
          <w:rFonts w:ascii="Verdana" w:hAnsi="Verdana"/>
          <w:lang w:val="es-ES"/>
        </w:rPr>
        <w:t xml:space="preserve"> </w:t>
      </w:r>
      <w:r w:rsidRPr="00FC6F34">
        <w:rPr>
          <w:rFonts w:ascii="Verdana" w:hAnsi="Verdana" w:cs="Arial"/>
          <w:bCs/>
          <w:lang w:val="es-ES" w:eastAsia="x-none"/>
        </w:rPr>
        <w:t>En efecto, tal como lo ha sostenido el Consejo de Estado, el vocablo “todos” utilizado por el legislador comprende</w:t>
      </w:r>
      <w:r w:rsidRPr="00FC6F34">
        <w:rPr>
          <w:rFonts w:ascii="Verdana" w:hAnsi="Verdana"/>
          <w:lang w:val="es-ES"/>
        </w:rPr>
        <w:t xml:space="preserve"> </w:t>
      </w:r>
      <w:r w:rsidRPr="00FC6F34">
        <w:rPr>
          <w:rFonts w:ascii="Verdana" w:hAnsi="Verdana" w:cs="Arial"/>
          <w:bCs/>
          <w:lang w:val="es-ES"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FC6F34">
        <w:rPr>
          <w:rStyle w:val="Refdenotaalpie"/>
          <w:rFonts w:ascii="Verdana" w:hAnsi="Verdana" w:cs="Arial"/>
          <w:bCs/>
          <w:sz w:val="20"/>
          <w:szCs w:val="20"/>
          <w:lang w:val="es-ES" w:eastAsia="x-none"/>
        </w:rPr>
        <w:footnoteReference w:id="17"/>
      </w:r>
      <w:r w:rsidRPr="00FC6F34">
        <w:rPr>
          <w:rFonts w:ascii="Verdana" w:hAnsi="Verdana" w:cs="Arial"/>
          <w:bCs/>
          <w:sz w:val="20"/>
          <w:szCs w:val="20"/>
          <w:lang w:val="es-ES" w:eastAsia="x-none"/>
        </w:rPr>
        <w:t>.</w:t>
      </w:r>
      <w:r w:rsidRPr="00FC6F34">
        <w:rPr>
          <w:rFonts w:ascii="Verdana" w:hAnsi="Verdana" w:cs="Arial"/>
          <w:bCs/>
          <w:sz w:val="20"/>
          <w:szCs w:val="20"/>
          <w:lang w:val="es-ES" w:eastAsia="es-CO"/>
        </w:rPr>
        <w:t>”</w:t>
      </w:r>
    </w:p>
    <w:p w14:paraId="4EA49F5D" w14:textId="77777777" w:rsidR="005474F1" w:rsidRDefault="005474F1" w:rsidP="005474F1">
      <w:pPr>
        <w:spacing w:after="0" w:line="276" w:lineRule="auto"/>
        <w:ind w:firstLine="709"/>
        <w:jc w:val="both"/>
        <w:rPr>
          <w:rFonts w:ascii="Verdana" w:eastAsia="Arial" w:hAnsi="Verdana" w:cs="Arial"/>
          <w:color w:val="000000" w:themeColor="text1"/>
          <w:lang w:val="es-ES"/>
        </w:rPr>
      </w:pPr>
      <w:r w:rsidRPr="00FC6F34">
        <w:rPr>
          <w:rFonts w:ascii="Verdana" w:eastAsia="Arial" w:hAnsi="Verdana" w:cs="Arial"/>
          <w:color w:val="000000" w:themeColor="text1"/>
          <w:lang w:val="es-ES"/>
        </w:rPr>
        <w:lastRenderedPageBreak/>
        <w:t xml:space="preserve">Por lo tanto, la restricción del artículo 33 prevista en la Ley 996 de 2005, teniendo en cuenta la finalidad de la ley de garantías electorales, cobija a </w:t>
      </w:r>
      <w:r w:rsidRPr="00FD1F46">
        <w:rPr>
          <w:rFonts w:ascii="Verdana" w:eastAsia="Arial" w:hAnsi="Verdana" w:cs="Arial"/>
          <w:i/>
          <w:iCs/>
          <w:color w:val="000000" w:themeColor="text1"/>
          <w:lang w:val="es-ES"/>
        </w:rPr>
        <w:t>cualquier ente público</w:t>
      </w:r>
      <w:r w:rsidRPr="00FC6F34">
        <w:rPr>
          <w:rFonts w:ascii="Verdana" w:eastAsia="Arial" w:hAnsi="Verdana" w:cs="Arial"/>
          <w:color w:val="000000" w:themeColor="text1"/>
          <w:lang w:val="es-ES"/>
        </w:rPr>
        <w:t xml:space="preserve">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1C828343" w14:textId="77777777" w:rsidR="005474F1" w:rsidRPr="00FC6F34" w:rsidRDefault="005474F1" w:rsidP="005474F1">
      <w:pPr>
        <w:spacing w:after="0" w:line="276" w:lineRule="auto"/>
        <w:ind w:firstLine="709"/>
        <w:jc w:val="both"/>
        <w:rPr>
          <w:rFonts w:ascii="Verdana" w:eastAsia="Arial" w:hAnsi="Verdana" w:cs="Arial"/>
          <w:bCs/>
          <w:color w:val="000000" w:themeColor="text1"/>
          <w:lang w:val="es-ES"/>
        </w:rPr>
      </w:pPr>
    </w:p>
    <w:p w14:paraId="55F257F6" w14:textId="77777777" w:rsidR="005474F1" w:rsidRPr="00FC6F34" w:rsidRDefault="005474F1" w:rsidP="005474F1">
      <w:pPr>
        <w:spacing w:line="276" w:lineRule="auto"/>
        <w:jc w:val="both"/>
        <w:rPr>
          <w:rFonts w:ascii="Verdana" w:hAnsi="Verdana" w:cs="Arial"/>
          <w:bCs/>
          <w:color w:val="000000" w:themeColor="text1"/>
          <w:lang w:val="es-ES"/>
        </w:rPr>
      </w:pPr>
      <w:proofErr w:type="spellStart"/>
      <w:r>
        <w:rPr>
          <w:rFonts w:ascii="Verdana" w:eastAsia="Arial" w:hAnsi="Verdana" w:cs="Arial"/>
          <w:bCs/>
          <w:color w:val="000000" w:themeColor="text1"/>
          <w:lang w:val="es-ES"/>
        </w:rPr>
        <w:t>iv</w:t>
      </w:r>
      <w:proofErr w:type="spellEnd"/>
      <w:r>
        <w:rPr>
          <w:rFonts w:ascii="Verdana" w:eastAsia="Arial" w:hAnsi="Verdana" w:cs="Arial"/>
          <w:bCs/>
          <w:color w:val="000000" w:themeColor="text1"/>
          <w:lang w:val="es-ES"/>
        </w:rPr>
        <w:t xml:space="preserve">) </w:t>
      </w:r>
      <w:r w:rsidRPr="00FC6F34">
        <w:rPr>
          <w:rFonts w:ascii="Verdana" w:eastAsia="Arial" w:hAnsi="Verdana" w:cs="Arial"/>
          <w:bCs/>
          <w:color w:val="000000" w:themeColor="text1"/>
          <w:lang w:val="es-ES"/>
        </w:rPr>
        <w:t xml:space="preserve">En este punto, </w:t>
      </w:r>
      <w:r>
        <w:rPr>
          <w:rFonts w:ascii="Verdana" w:eastAsia="Arial" w:hAnsi="Verdana" w:cs="Arial"/>
          <w:bCs/>
          <w:color w:val="000000" w:themeColor="text1"/>
          <w:lang w:val="es-ES"/>
        </w:rPr>
        <w:t>es importante resaltar que</w:t>
      </w:r>
      <w:r w:rsidRPr="00FC6F34">
        <w:rPr>
          <w:rFonts w:ascii="Verdana" w:eastAsia="Arial" w:hAnsi="Verdana" w:cs="Arial"/>
          <w:bCs/>
          <w:color w:val="000000" w:themeColor="text1"/>
          <w:lang w:val="es-ES"/>
        </w:rPr>
        <w:t xml:space="preserve">, en principio, todos los entes del Estado están cobijados por la prohibición para contratar directamente establecida en el artículo 33 de la Ley de Garantías Electorales. Sin embargo, </w:t>
      </w:r>
      <w:r w:rsidRPr="00FC6F34">
        <w:rPr>
          <w:rFonts w:ascii="Verdana" w:hAnsi="Verdana" w:cs="Arial"/>
          <w:bCs/>
          <w:color w:val="000000" w:themeColor="text1"/>
          <w:lang w:val="es-ES"/>
        </w:rPr>
        <w:t>el segundo inciso de la misma disposición consagró las excepciones aplicables a la prohibición de contratación directa</w:t>
      </w:r>
      <w:r>
        <w:rPr>
          <w:rFonts w:ascii="Verdana" w:hAnsi="Verdana" w:cs="Arial"/>
          <w:bCs/>
          <w:color w:val="000000" w:themeColor="text1"/>
          <w:lang w:val="es-ES"/>
        </w:rPr>
        <w:t xml:space="preserve"> allí establecida</w:t>
      </w:r>
      <w:r w:rsidRPr="00FC6F34">
        <w:rPr>
          <w:rFonts w:ascii="Verdana" w:hAnsi="Verdana" w:cs="Arial"/>
          <w:bCs/>
          <w:color w:val="000000" w:themeColor="text1"/>
          <w:lang w:val="es-ES"/>
        </w:rPr>
        <w:t xml:space="preserve">. </w:t>
      </w:r>
      <w:r>
        <w:rPr>
          <w:rFonts w:ascii="Verdana" w:hAnsi="Verdana" w:cs="Arial"/>
          <w:bCs/>
          <w:color w:val="000000" w:themeColor="text1"/>
          <w:lang w:val="es-ES"/>
        </w:rPr>
        <w:t>L</w:t>
      </w:r>
      <w:r w:rsidRPr="00FC6F34">
        <w:rPr>
          <w:rFonts w:ascii="Verdana" w:hAnsi="Verdana" w:cs="Arial"/>
          <w:bCs/>
          <w:color w:val="000000" w:themeColor="text1"/>
          <w:lang w:val="es-ES"/>
        </w:rPr>
        <w:t>as excepciones a la prohibición del artículo 33 de la norma mencionada son las siguientes:</w:t>
      </w:r>
    </w:p>
    <w:p w14:paraId="4D25622A" w14:textId="77777777" w:rsidR="005474F1" w:rsidRPr="00FC6F34" w:rsidRDefault="005474F1" w:rsidP="005474F1">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 xml:space="preserve">1) </w:t>
      </w:r>
      <w:r w:rsidRPr="00FC6F34">
        <w:rPr>
          <w:rFonts w:ascii="Verdana" w:hAnsi="Verdana" w:cs="Arial"/>
          <w:bCs/>
          <w:color w:val="000000" w:themeColor="text1"/>
          <w:lang w:val="es-ES"/>
        </w:rPr>
        <w:t>La contratación referente a la defensa y seguridad del Estado;</w:t>
      </w:r>
    </w:p>
    <w:p w14:paraId="2E33D161" w14:textId="77777777" w:rsidR="005474F1" w:rsidRPr="00FC6F34" w:rsidRDefault="005474F1" w:rsidP="005474F1">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2</w:t>
      </w:r>
      <w:r w:rsidRPr="00FC6F34">
        <w:rPr>
          <w:rFonts w:ascii="Verdana" w:hAnsi="Verdana" w:cs="Arial"/>
          <w:bCs/>
          <w:color w:val="000000" w:themeColor="text1"/>
          <w:lang w:val="es-ES"/>
        </w:rPr>
        <w:t>) Los contratos de crédito público;</w:t>
      </w:r>
    </w:p>
    <w:p w14:paraId="14F45434" w14:textId="77777777" w:rsidR="005474F1" w:rsidRPr="00FC6F34" w:rsidRDefault="005474F1" w:rsidP="005474F1">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3</w:t>
      </w:r>
      <w:r w:rsidRPr="00FC6F34">
        <w:rPr>
          <w:rFonts w:ascii="Verdana" w:hAnsi="Verdana" w:cs="Arial"/>
          <w:bCs/>
          <w:color w:val="000000" w:themeColor="text1"/>
          <w:lang w:val="es-ES"/>
        </w:rPr>
        <w:t xml:space="preserve">) Los contratos requeridos para cubrir las emergencias educativas, sanitarias y desastres; </w:t>
      </w:r>
    </w:p>
    <w:p w14:paraId="7C4EF9D2" w14:textId="77777777" w:rsidR="005474F1" w:rsidRPr="00FC6F34" w:rsidRDefault="005474F1" w:rsidP="005474F1">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4</w:t>
      </w:r>
      <w:r w:rsidRPr="00FC6F34">
        <w:rPr>
          <w:rFonts w:ascii="Verdana" w:hAnsi="Verdana" w:cs="Arial"/>
          <w:bCs/>
          <w:color w:val="000000" w:themeColor="text1"/>
          <w:lang w:val="es-ES"/>
        </w:rPr>
        <w:t>) La contratación para la reconstrucción de vías, puentes, carreteras, infraestructura energética y de comunicaciones, en caso de que hayan sido objeto de atentados, acciones terroristas, desastres naturales o casos de fuerza mayor y;</w:t>
      </w:r>
    </w:p>
    <w:p w14:paraId="7CD2F08F" w14:textId="77777777" w:rsidR="005474F1" w:rsidRPr="00FC6F34" w:rsidRDefault="005474F1" w:rsidP="005474F1">
      <w:pPr>
        <w:tabs>
          <w:tab w:val="left" w:pos="709"/>
        </w:tabs>
        <w:spacing w:before="120" w:line="276" w:lineRule="auto"/>
        <w:jc w:val="both"/>
        <w:rPr>
          <w:rFonts w:ascii="Verdana" w:hAnsi="Verdana" w:cs="Arial"/>
          <w:bCs/>
          <w:color w:val="000000" w:themeColor="text1"/>
          <w:lang w:val="es-ES"/>
        </w:rPr>
      </w:pPr>
      <w:r w:rsidRPr="00FC6F34">
        <w:rPr>
          <w:rFonts w:ascii="Verdana" w:hAnsi="Verdana" w:cs="Arial"/>
          <w:bCs/>
          <w:color w:val="000000" w:themeColor="text1"/>
          <w:lang w:val="es-ES"/>
        </w:rPr>
        <w:tab/>
      </w:r>
      <w:r>
        <w:rPr>
          <w:rFonts w:ascii="Verdana" w:hAnsi="Verdana" w:cs="Arial"/>
          <w:bCs/>
          <w:color w:val="000000" w:themeColor="text1"/>
          <w:lang w:val="es-ES"/>
        </w:rPr>
        <w:t>5</w:t>
      </w:r>
      <w:r w:rsidRPr="00FC6F34">
        <w:rPr>
          <w:rFonts w:ascii="Verdana" w:hAnsi="Verdana" w:cs="Arial"/>
          <w:bCs/>
          <w:color w:val="000000" w:themeColor="text1"/>
          <w:lang w:val="es-ES"/>
        </w:rPr>
        <w:t xml:space="preserve">) La contratación que deban realizar las entidades sanitarias y hospitalarias. </w:t>
      </w:r>
    </w:p>
    <w:p w14:paraId="4363A725" w14:textId="77777777" w:rsidR="005474F1" w:rsidRPr="00FC6F34" w:rsidRDefault="005474F1" w:rsidP="005474F1">
      <w:pPr>
        <w:spacing w:before="240" w:line="276" w:lineRule="auto"/>
        <w:ind w:firstLine="709"/>
        <w:jc w:val="both"/>
        <w:rPr>
          <w:rFonts w:ascii="Verdana" w:hAnsi="Verdana" w:cs="Arial"/>
          <w:lang w:val="es-ES" w:eastAsia="x-none"/>
        </w:rPr>
      </w:pPr>
      <w:r w:rsidRPr="00FC6F34">
        <w:rPr>
          <w:rFonts w:ascii="Verdana" w:hAnsi="Verdana" w:cs="Arial"/>
          <w:lang w:val="es-ES" w:eastAsia="x-none"/>
        </w:rPr>
        <w:t>Como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FC6F34">
        <w:rPr>
          <w:rFonts w:ascii="Verdana" w:hAnsi="Verdana" w:cs="Arial"/>
          <w:color w:val="000000" w:themeColor="text1"/>
          <w:vertAlign w:val="superscript"/>
          <w:lang w:val="es-ES" w:eastAsia="es-CO"/>
        </w:rPr>
        <w:t xml:space="preserve"> </w:t>
      </w:r>
      <w:r w:rsidRPr="00FC6F34">
        <w:rPr>
          <w:rFonts w:ascii="Verdana" w:hAnsi="Verdana" w:cs="Arial"/>
          <w:color w:val="000000" w:themeColor="text1"/>
          <w:vertAlign w:val="superscript"/>
          <w:lang w:val="es-ES" w:eastAsia="es-CO"/>
        </w:rPr>
        <w:lastRenderedPageBreak/>
        <w:footnoteReference w:id="18"/>
      </w:r>
      <w:r w:rsidRPr="00FC6F34">
        <w:rPr>
          <w:rFonts w:ascii="Verdana" w:hAnsi="Verdana" w:cs="Arial"/>
          <w:lang w:val="es-ES"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61100065" w14:textId="77777777" w:rsidR="005474F1" w:rsidRPr="00FC6F34" w:rsidRDefault="005474F1" w:rsidP="005474F1">
      <w:pPr>
        <w:tabs>
          <w:tab w:val="left" w:pos="426"/>
        </w:tabs>
        <w:spacing w:before="12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3DEC073F" w14:textId="77777777" w:rsidR="005474F1" w:rsidRPr="00FC6F34" w:rsidRDefault="005474F1" w:rsidP="005474F1">
      <w:pPr>
        <w:shd w:val="clear" w:color="auto" w:fill="FFFFFF"/>
        <w:ind w:left="709" w:right="709"/>
        <w:jc w:val="both"/>
        <w:rPr>
          <w:rFonts w:ascii="Verdana" w:hAnsi="Verdana" w:cs="Arial"/>
          <w:color w:val="000000" w:themeColor="text1"/>
          <w:sz w:val="20"/>
          <w:szCs w:val="20"/>
          <w:lang w:val="es-ES" w:eastAsia="es-CO"/>
        </w:rPr>
      </w:pPr>
      <w:r w:rsidRPr="00FC6F34">
        <w:rPr>
          <w:rFonts w:ascii="Verdana" w:hAnsi="Verdana" w:cs="Arial"/>
          <w:color w:val="000000" w:themeColor="text1"/>
          <w:sz w:val="20"/>
          <w:szCs w:val="20"/>
          <w:lang w:val="es-ES"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00FC6F34">
        <w:rPr>
          <w:rFonts w:ascii="Verdana" w:hAnsi="Verdana" w:cs="Arial"/>
          <w:color w:val="000000" w:themeColor="text1"/>
          <w:sz w:val="20"/>
          <w:szCs w:val="20"/>
          <w:vertAlign w:val="superscript"/>
          <w:lang w:val="es-ES" w:eastAsia="es-CO"/>
        </w:rPr>
        <w:footnoteReference w:id="19"/>
      </w:r>
      <w:r w:rsidRPr="00FC6F34">
        <w:rPr>
          <w:rFonts w:ascii="Verdana" w:hAnsi="Verdana" w:cs="Arial"/>
          <w:color w:val="000000" w:themeColor="text1"/>
          <w:sz w:val="20"/>
          <w:szCs w:val="20"/>
          <w:lang w:val="es-ES" w:eastAsia="es-CO"/>
        </w:rPr>
        <w:t xml:space="preserve">”. </w:t>
      </w:r>
    </w:p>
    <w:p w14:paraId="22DECC96" w14:textId="77777777" w:rsidR="005474F1" w:rsidRPr="00FC6F34" w:rsidRDefault="005474F1" w:rsidP="005474F1">
      <w:pPr>
        <w:tabs>
          <w:tab w:val="left" w:pos="426"/>
        </w:tabs>
        <w:spacing w:before="120" w:after="0" w:line="276" w:lineRule="auto"/>
        <w:ind w:firstLine="709"/>
        <w:jc w:val="both"/>
        <w:rPr>
          <w:rFonts w:ascii="Verdana" w:hAnsi="Verdana" w:cs="Arial"/>
          <w:color w:val="000000" w:themeColor="text1"/>
          <w:lang w:val="es-ES"/>
        </w:rPr>
      </w:pPr>
      <w:r w:rsidRPr="00FC6F34">
        <w:rPr>
          <w:rFonts w:ascii="Verdana" w:hAnsi="Verdana" w:cs="Arial"/>
          <w:bCs/>
          <w:color w:val="000000" w:themeColor="text1"/>
          <w:lang w:val="es-ES"/>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FC6F34">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w:t>
      </w:r>
    </w:p>
    <w:p w14:paraId="585B6205" w14:textId="77777777" w:rsidR="005474F1" w:rsidRPr="00FC6F34" w:rsidRDefault="005474F1" w:rsidP="005474F1">
      <w:pPr>
        <w:tabs>
          <w:tab w:val="left" w:pos="426"/>
        </w:tabs>
        <w:spacing w:after="0" w:line="276" w:lineRule="auto"/>
        <w:ind w:firstLine="709"/>
        <w:jc w:val="both"/>
        <w:rPr>
          <w:rFonts w:ascii="Verdana" w:hAnsi="Verdana" w:cs="Arial"/>
          <w:color w:val="000000" w:themeColor="text1"/>
          <w:lang w:val="es-ES"/>
        </w:rPr>
      </w:pPr>
    </w:p>
    <w:p w14:paraId="44CC3741" w14:textId="77777777" w:rsidR="005474F1" w:rsidRPr="00FC6F34" w:rsidRDefault="005474F1" w:rsidP="005474F1">
      <w:pPr>
        <w:tabs>
          <w:tab w:val="left" w:pos="426"/>
        </w:tabs>
        <w:spacing w:after="0"/>
        <w:ind w:right="709"/>
        <w:jc w:val="both"/>
        <w:rPr>
          <w:rFonts w:ascii="Verdana" w:hAnsi="Verdana" w:cs="Arial"/>
          <w:color w:val="000000" w:themeColor="text1"/>
          <w:sz w:val="20"/>
          <w:szCs w:val="20"/>
          <w:lang w:val="es-ES"/>
        </w:rPr>
      </w:pPr>
      <w:r w:rsidRPr="00FC6F34">
        <w:rPr>
          <w:rFonts w:ascii="Arial" w:hAnsi="Arial" w:cs="Arial"/>
          <w:color w:val="000000" w:themeColor="text1"/>
          <w:sz w:val="21"/>
          <w:szCs w:val="21"/>
          <w:lang w:val="es-ES"/>
        </w:rPr>
        <w:tab/>
      </w:r>
      <w:r w:rsidRPr="00FC6F34">
        <w:rPr>
          <w:rFonts w:ascii="Arial" w:hAnsi="Arial" w:cs="Arial"/>
          <w:color w:val="000000" w:themeColor="text1"/>
          <w:sz w:val="21"/>
          <w:szCs w:val="21"/>
          <w:lang w:val="es-ES"/>
        </w:rPr>
        <w:tab/>
        <w:t>“</w:t>
      </w:r>
      <w:r w:rsidRPr="00FC6F34">
        <w:rPr>
          <w:rFonts w:ascii="Verdana" w:hAnsi="Verdana" w:cs="Arial"/>
          <w:color w:val="000000" w:themeColor="text1"/>
          <w:sz w:val="20"/>
          <w:szCs w:val="20"/>
          <w:lang w:val="es-ES"/>
        </w:rPr>
        <w:t xml:space="preserve">[…] </w:t>
      </w:r>
      <w:r w:rsidRPr="00FC6F34">
        <w:rPr>
          <w:rFonts w:ascii="Verdana" w:hAnsi="Verdana" w:cs="Arial"/>
          <w:i/>
          <w:color w:val="000000" w:themeColor="text1"/>
          <w:sz w:val="20"/>
          <w:szCs w:val="20"/>
          <w:lang w:val="es-ES"/>
        </w:rPr>
        <w:t>Las excepciones aplicables a la restricción de contratación pública</w:t>
      </w:r>
    </w:p>
    <w:p w14:paraId="69707F7E" w14:textId="77777777" w:rsidR="005474F1" w:rsidRPr="00FC6F34" w:rsidRDefault="005474F1" w:rsidP="005474F1">
      <w:pPr>
        <w:spacing w:after="0"/>
        <w:ind w:left="709" w:right="709"/>
        <w:jc w:val="both"/>
        <w:rPr>
          <w:rFonts w:ascii="Verdana" w:hAnsi="Verdana" w:cs="Arial"/>
          <w:color w:val="000000" w:themeColor="text1"/>
          <w:sz w:val="20"/>
          <w:szCs w:val="20"/>
          <w:shd w:val="clear" w:color="auto" w:fill="FFFFFF"/>
          <w:lang w:val="es-ES"/>
        </w:rPr>
      </w:pPr>
      <w:r w:rsidRPr="00FC6F34">
        <w:rPr>
          <w:rFonts w:ascii="Verdana" w:hAnsi="Verdana" w:cs="Arial"/>
          <w:color w:val="000000" w:themeColor="text1"/>
          <w:sz w:val="20"/>
          <w:szCs w:val="20"/>
          <w:shd w:val="clear" w:color="auto" w:fill="FFFFFF"/>
          <w:lang w:val="es-ES"/>
        </w:rPr>
        <w:t>Ahora bien, las únicas excepciones a las disposiciones previstas en la Ley de Garantías se encuentran numeradas taxativamente en el último inciso del artículo 33 de la ley 996 de 2005[…]</w:t>
      </w:r>
      <w:r w:rsidRPr="00FC6F34">
        <w:rPr>
          <w:rFonts w:ascii="Verdana" w:hAnsi="Verdana" w:cs="Arial"/>
          <w:color w:val="000000" w:themeColor="text1"/>
          <w:sz w:val="20"/>
          <w:szCs w:val="20"/>
          <w:shd w:val="clear" w:color="auto" w:fill="FFFFFF"/>
          <w:vertAlign w:val="superscript"/>
          <w:lang w:val="es-ES"/>
        </w:rPr>
        <w:footnoteReference w:id="20"/>
      </w:r>
      <w:r w:rsidRPr="00FC6F34">
        <w:rPr>
          <w:rFonts w:ascii="Verdana" w:hAnsi="Verdana" w:cs="Arial"/>
          <w:color w:val="000000" w:themeColor="text1"/>
          <w:sz w:val="20"/>
          <w:szCs w:val="20"/>
          <w:shd w:val="clear" w:color="auto" w:fill="FFFFFF"/>
          <w:lang w:val="es-ES"/>
        </w:rPr>
        <w:t>.</w:t>
      </w:r>
    </w:p>
    <w:p w14:paraId="1BD7FE89" w14:textId="77777777" w:rsidR="005474F1" w:rsidRPr="00FC6F34" w:rsidRDefault="005474F1" w:rsidP="005474F1">
      <w:pPr>
        <w:spacing w:after="0"/>
        <w:ind w:left="709" w:right="709"/>
        <w:jc w:val="both"/>
        <w:rPr>
          <w:rFonts w:ascii="Verdana" w:hAnsi="Verdana" w:cs="Arial"/>
          <w:color w:val="000000" w:themeColor="text1"/>
          <w:sz w:val="20"/>
          <w:szCs w:val="20"/>
          <w:shd w:val="clear" w:color="auto" w:fill="FFFFFF"/>
          <w:lang w:val="es-ES"/>
        </w:rPr>
      </w:pPr>
    </w:p>
    <w:p w14:paraId="484C879D" w14:textId="77777777" w:rsidR="005474F1" w:rsidRDefault="005474F1" w:rsidP="005474F1">
      <w:pPr>
        <w:tabs>
          <w:tab w:val="left" w:pos="426"/>
        </w:tabs>
        <w:spacing w:after="0" w:line="276" w:lineRule="auto"/>
        <w:ind w:firstLine="709"/>
        <w:jc w:val="both"/>
        <w:rPr>
          <w:rFonts w:ascii="Verdana" w:hAnsi="Verdana" w:cs="Arial"/>
          <w:bCs/>
          <w:color w:val="000000" w:themeColor="text1"/>
          <w:lang w:val="es-ES"/>
        </w:rPr>
      </w:pPr>
      <w:r w:rsidRPr="00FC6F34">
        <w:rPr>
          <w:rFonts w:ascii="Verdana" w:hAnsi="Verdana" w:cs="Arial"/>
          <w:bCs/>
          <w:color w:val="000000" w:themeColor="text1"/>
          <w:lang w:val="es-ES"/>
        </w:rPr>
        <w:t>Lo anterior implica que las excepciones al artículo 33 en comento deben interpretarse y aplicarse de manera estricta. En otras palabras, no es factible hacer interpretaciones extensivas</w:t>
      </w:r>
      <w:r w:rsidRPr="00FC6F34">
        <w:rPr>
          <w:rFonts w:ascii="Verdana" w:hAnsi="Verdana" w:cs="Arial"/>
          <w:bCs/>
          <w:i/>
          <w:iCs/>
          <w:color w:val="000000" w:themeColor="text1"/>
          <w:lang w:val="es-ES"/>
        </w:rPr>
        <w:t xml:space="preserve"> </w:t>
      </w:r>
      <w:r w:rsidRPr="00FC6F34">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r>
        <w:rPr>
          <w:rFonts w:ascii="Verdana" w:hAnsi="Verdana" w:cs="Arial"/>
          <w:bCs/>
          <w:color w:val="000000" w:themeColor="text1"/>
          <w:lang w:val="es-ES"/>
        </w:rPr>
        <w:lastRenderedPageBreak/>
        <w:t xml:space="preserve">Corresponderá a cada entidad analizar y justificar en cada caso concreto si se configura alguna de las excepciones referidas. Cuando esto ocurra, podrá adelantar el proceso de </w:t>
      </w:r>
      <w:proofErr w:type="gramStart"/>
      <w:r>
        <w:rPr>
          <w:rFonts w:ascii="Verdana" w:hAnsi="Verdana" w:cs="Arial"/>
          <w:bCs/>
          <w:color w:val="000000" w:themeColor="text1"/>
          <w:lang w:val="es-ES"/>
        </w:rPr>
        <w:t>contratación</w:t>
      </w:r>
      <w:proofErr w:type="gramEnd"/>
      <w:r>
        <w:rPr>
          <w:rFonts w:ascii="Verdana" w:hAnsi="Verdana" w:cs="Arial"/>
          <w:bCs/>
          <w:color w:val="000000" w:themeColor="text1"/>
          <w:lang w:val="es-ES"/>
        </w:rPr>
        <w:t xml:space="preserve"> aunque se encuentre en curso el periodo de la prohibición. </w:t>
      </w:r>
    </w:p>
    <w:p w14:paraId="3AFB7491" w14:textId="77777777" w:rsidR="005474F1" w:rsidRPr="00FC6F34" w:rsidRDefault="005474F1" w:rsidP="005474F1">
      <w:pPr>
        <w:tabs>
          <w:tab w:val="left" w:pos="426"/>
        </w:tabs>
        <w:spacing w:after="0" w:line="276" w:lineRule="auto"/>
        <w:ind w:firstLine="709"/>
        <w:jc w:val="both"/>
        <w:rPr>
          <w:rFonts w:ascii="Verdana" w:hAnsi="Verdana" w:cs="Arial"/>
          <w:bCs/>
          <w:color w:val="000000" w:themeColor="text1"/>
          <w:lang w:val="es-ES"/>
        </w:rPr>
      </w:pPr>
    </w:p>
    <w:p w14:paraId="5BB3B30B" w14:textId="77777777" w:rsidR="005474F1" w:rsidRDefault="005474F1" w:rsidP="005474F1">
      <w:pPr>
        <w:spacing w:after="0" w:line="276" w:lineRule="auto"/>
        <w:jc w:val="both"/>
        <w:rPr>
          <w:rFonts w:ascii="Verdana" w:eastAsia="Times New Roman" w:hAnsi="Verdana" w:cs="Arial"/>
          <w:lang w:val="es-MX" w:eastAsia="x-none"/>
        </w:rPr>
      </w:pPr>
      <w:r>
        <w:rPr>
          <w:rFonts w:ascii="Verdana" w:eastAsia="Arial" w:hAnsi="Verdana" w:cs="Arial"/>
          <w:bCs/>
          <w:color w:val="000000" w:themeColor="text1"/>
          <w:lang w:val="es-ES"/>
        </w:rPr>
        <w:t xml:space="preserve">v) Con respecto al segundo problema jurídico planteado, </w:t>
      </w:r>
      <w:r>
        <w:rPr>
          <w:rFonts w:ascii="Verdana" w:eastAsia="Times New Roman" w:hAnsi="Verdana" w:cs="Arial"/>
          <w:lang w:val="es-MX" w:eastAsia="x-none"/>
        </w:rPr>
        <w:t>e</w:t>
      </w:r>
      <w:r w:rsidRPr="00B73308">
        <w:rPr>
          <w:rFonts w:ascii="Verdana" w:eastAsia="Times New Roman" w:hAnsi="Verdana" w:cs="Arial"/>
          <w:lang w:val="es-MX" w:eastAsia="x-none"/>
        </w:rPr>
        <w:t xml:space="preserve">l </w:t>
      </w:r>
      <w:r w:rsidRPr="00DF1455">
        <w:rPr>
          <w:rFonts w:ascii="Verdana" w:eastAsia="Times New Roman" w:hAnsi="Verdana" w:cs="Arial"/>
          <w:i/>
          <w:iCs/>
          <w:lang w:val="es-MX" w:eastAsia="x-none"/>
        </w:rPr>
        <w:t>inciso primero</w:t>
      </w:r>
      <w:r w:rsidRPr="00B73308">
        <w:rPr>
          <w:rFonts w:ascii="Verdana" w:eastAsia="Times New Roman" w:hAnsi="Verdana" w:cs="Arial"/>
          <w:lang w:val="es-MX" w:eastAsia="x-none"/>
        </w:rPr>
        <w:t xml:space="preserve"> del artículo 20 de la Ley 1150 de 2007, establece que</w:t>
      </w:r>
      <w:r>
        <w:rPr>
          <w:rFonts w:ascii="Verdana" w:eastAsia="Times New Roman" w:hAnsi="Verdana" w:cs="Arial"/>
          <w:lang w:val="es-MX" w:eastAsia="x-none"/>
        </w:rPr>
        <w:t>:</w:t>
      </w:r>
    </w:p>
    <w:p w14:paraId="17E89B12" w14:textId="77777777" w:rsidR="005474F1" w:rsidRDefault="005474F1" w:rsidP="005474F1">
      <w:pPr>
        <w:spacing w:after="0" w:line="276" w:lineRule="auto"/>
        <w:jc w:val="both"/>
        <w:rPr>
          <w:rFonts w:ascii="Verdana" w:eastAsia="Times New Roman" w:hAnsi="Verdana" w:cs="Arial"/>
          <w:lang w:val="es-MX" w:eastAsia="x-none"/>
        </w:rPr>
      </w:pPr>
    </w:p>
    <w:p w14:paraId="5191AE7F" w14:textId="77777777" w:rsidR="005474F1" w:rsidRPr="00F66EEE" w:rsidRDefault="005474F1" w:rsidP="005474F1">
      <w:pPr>
        <w:spacing w:after="240" w:line="240" w:lineRule="auto"/>
        <w:ind w:left="709" w:right="709"/>
        <w:jc w:val="both"/>
        <w:rPr>
          <w:rFonts w:ascii="Verdana" w:eastAsia="Times New Roman" w:hAnsi="Verdana" w:cs="Arial"/>
          <w:sz w:val="21"/>
          <w:szCs w:val="21"/>
          <w:lang w:eastAsia="x-none"/>
        </w:rPr>
      </w:pPr>
      <w:r>
        <w:rPr>
          <w:rFonts w:ascii="Verdana" w:eastAsia="Times New Roman" w:hAnsi="Verdana" w:cs="Arial"/>
          <w:sz w:val="21"/>
          <w:szCs w:val="21"/>
          <w:lang w:eastAsia="x-none"/>
        </w:rPr>
        <w:t>“</w:t>
      </w:r>
      <w:r w:rsidRPr="00F66EEE">
        <w:rPr>
          <w:rFonts w:ascii="Verdana" w:eastAsia="Times New Roman" w:hAnsi="Verdana" w:cs="Arial"/>
          <w:sz w:val="21"/>
          <w:szCs w:val="21"/>
          <w:lang w:eastAsia="x-none"/>
        </w:rPr>
        <w:t>Los contratos o convenios financiados en su totalidad o en sumas iguales o superiores al cincuenta por ciento (50%) con fondos de los organismos de cooperación, asistencia o ayudas internacionales, podrán someterse a los reglamentos de tales entidades. En caso contrario, se someterán a los procedimientos establecidos en la Ley 80 de 1993. Los recursos de contrapartida vinculados a estas operaciones podrán tener el mismo tratamiento</w:t>
      </w:r>
      <w:r>
        <w:rPr>
          <w:rFonts w:ascii="Verdana" w:eastAsia="Times New Roman" w:hAnsi="Verdana" w:cs="Arial"/>
          <w:sz w:val="21"/>
          <w:szCs w:val="21"/>
          <w:lang w:eastAsia="x-none"/>
        </w:rPr>
        <w:t>”</w:t>
      </w:r>
      <w:r w:rsidRPr="00F66EEE">
        <w:rPr>
          <w:rFonts w:ascii="Verdana" w:eastAsia="Times New Roman" w:hAnsi="Verdana" w:cs="Arial"/>
          <w:sz w:val="21"/>
          <w:szCs w:val="21"/>
          <w:lang w:eastAsia="x-none"/>
        </w:rPr>
        <w:t>.</w:t>
      </w:r>
    </w:p>
    <w:p w14:paraId="5CE01760" w14:textId="77777777" w:rsidR="005474F1" w:rsidRDefault="005474F1" w:rsidP="005474F1">
      <w:pPr>
        <w:spacing w:after="120" w:line="276" w:lineRule="auto"/>
        <w:ind w:firstLine="694"/>
        <w:jc w:val="both"/>
        <w:rPr>
          <w:rFonts w:ascii="Verdana" w:eastAsia="Times New Roman" w:hAnsi="Verdana" w:cs="Arial"/>
          <w:lang w:val="es-MX" w:eastAsia="x-none"/>
        </w:rPr>
      </w:pPr>
      <w:r>
        <w:rPr>
          <w:rFonts w:ascii="Verdana" w:eastAsia="Times New Roman" w:hAnsi="Verdana" w:cs="Arial"/>
          <w:lang w:val="es-MX" w:eastAsia="x-none"/>
        </w:rPr>
        <w:t xml:space="preserve">En virtud de esta norma </w:t>
      </w:r>
      <w:r w:rsidRPr="00B73308">
        <w:rPr>
          <w:rFonts w:ascii="Verdana" w:eastAsia="Times New Roman" w:hAnsi="Verdana" w:cs="Arial"/>
          <w:lang w:val="es-MX" w:eastAsia="x-none"/>
        </w:rPr>
        <w:t xml:space="preserve">siempre que </w:t>
      </w:r>
      <w:r>
        <w:rPr>
          <w:rFonts w:ascii="Verdana" w:eastAsia="Times New Roman" w:hAnsi="Verdana" w:cs="Arial"/>
          <w:lang w:val="es-MX" w:eastAsia="x-none"/>
        </w:rPr>
        <w:t xml:space="preserve">los </w:t>
      </w:r>
      <w:r w:rsidRPr="00B73308">
        <w:rPr>
          <w:rFonts w:ascii="Verdana" w:eastAsia="Times New Roman" w:hAnsi="Verdana" w:cs="Arial"/>
          <w:lang w:val="es-MX" w:eastAsia="x-none"/>
        </w:rPr>
        <w:t xml:space="preserve">contratos </w:t>
      </w:r>
      <w:r>
        <w:rPr>
          <w:rFonts w:ascii="Verdana" w:eastAsia="Times New Roman" w:hAnsi="Verdana" w:cs="Arial"/>
          <w:lang w:val="es-MX" w:eastAsia="x-none"/>
        </w:rPr>
        <w:t xml:space="preserve">o convenios </w:t>
      </w:r>
      <w:r w:rsidRPr="00B73308">
        <w:rPr>
          <w:rFonts w:ascii="Verdana" w:eastAsia="Times New Roman" w:hAnsi="Verdana" w:cs="Arial"/>
          <w:lang w:val="es-MX" w:eastAsia="x-none"/>
        </w:rPr>
        <w:t>se financi</w:t>
      </w:r>
      <w:r>
        <w:rPr>
          <w:rFonts w:ascii="Verdana" w:eastAsia="Times New Roman" w:hAnsi="Verdana" w:cs="Arial"/>
          <w:lang w:val="es-MX" w:eastAsia="x-none"/>
        </w:rPr>
        <w:t>e</w:t>
      </w:r>
      <w:r w:rsidRPr="00B73308">
        <w:rPr>
          <w:rFonts w:ascii="Verdana" w:eastAsia="Times New Roman" w:hAnsi="Verdana" w:cs="Arial"/>
          <w:lang w:val="es-MX" w:eastAsia="x-none"/>
        </w:rPr>
        <w:t xml:space="preserve">n en su totalidad o en sumas iguales o superiores al cincuenta por ciento con fondos de </w:t>
      </w:r>
      <w:r>
        <w:rPr>
          <w:rFonts w:ascii="Verdana" w:eastAsia="Times New Roman" w:hAnsi="Verdana" w:cs="Arial"/>
          <w:lang w:val="es-MX" w:eastAsia="x-none"/>
        </w:rPr>
        <w:t>dichos</w:t>
      </w:r>
      <w:r w:rsidRPr="00B73308">
        <w:rPr>
          <w:rFonts w:ascii="Verdana" w:eastAsia="Times New Roman" w:hAnsi="Verdana" w:cs="Arial"/>
          <w:lang w:val="es-MX" w:eastAsia="x-none"/>
        </w:rPr>
        <w:t xml:space="preserve"> organismos, </w:t>
      </w:r>
      <w:r w:rsidRPr="00DF1455">
        <w:rPr>
          <w:rFonts w:ascii="Verdana" w:eastAsia="Times New Roman" w:hAnsi="Verdana" w:cs="Arial"/>
          <w:i/>
          <w:iCs/>
          <w:lang w:val="es-MX" w:eastAsia="x-none"/>
        </w:rPr>
        <w:t>pueden</w:t>
      </w:r>
      <w:r w:rsidRPr="00B73308">
        <w:rPr>
          <w:rFonts w:ascii="Verdana" w:eastAsia="Times New Roman" w:hAnsi="Verdana" w:cs="Arial"/>
          <w:lang w:val="es-MX" w:eastAsia="x-none"/>
        </w:rPr>
        <w:t xml:space="preserve"> someterse a</w:t>
      </w:r>
      <w:r>
        <w:rPr>
          <w:rFonts w:ascii="Verdana" w:eastAsia="Times New Roman" w:hAnsi="Verdana" w:cs="Arial"/>
          <w:lang w:val="es-MX" w:eastAsia="x-none"/>
        </w:rPr>
        <w:t xml:space="preserve"> sus reglamentos</w:t>
      </w:r>
      <w:r w:rsidRPr="00B73308">
        <w:rPr>
          <w:rFonts w:ascii="Verdana" w:eastAsia="Times New Roman" w:hAnsi="Verdana" w:cs="Arial"/>
          <w:lang w:val="es-MX" w:eastAsia="x-none"/>
        </w:rPr>
        <w:t>.</w:t>
      </w:r>
      <w:r>
        <w:rPr>
          <w:rFonts w:ascii="Verdana" w:eastAsia="Times New Roman" w:hAnsi="Verdana" w:cs="Arial"/>
          <w:lang w:val="es-MX" w:eastAsia="x-none"/>
        </w:rPr>
        <w:t xml:space="preserve"> Por el contrario</w:t>
      </w:r>
      <w:r w:rsidRPr="00B73308">
        <w:rPr>
          <w:rFonts w:ascii="Verdana" w:eastAsia="Times New Roman" w:hAnsi="Verdana" w:cs="Arial"/>
          <w:lang w:val="es-MX" w:eastAsia="x-none"/>
        </w:rPr>
        <w:t>,</w:t>
      </w:r>
      <w:r>
        <w:rPr>
          <w:rFonts w:ascii="Verdana" w:eastAsia="Times New Roman" w:hAnsi="Verdana" w:cs="Arial"/>
          <w:lang w:val="es-MX" w:eastAsia="x-none"/>
        </w:rPr>
        <w:t xml:space="preserve"> </w:t>
      </w:r>
      <w:r w:rsidRPr="00B73308">
        <w:rPr>
          <w:rFonts w:ascii="Verdana" w:eastAsia="Times New Roman" w:hAnsi="Verdana" w:cs="Arial"/>
          <w:lang w:val="es-MX" w:eastAsia="x-none"/>
        </w:rPr>
        <w:t xml:space="preserve">cuando se trate de contratos que se financian con recursos del presupuesto general de la nación, </w:t>
      </w:r>
      <w:r>
        <w:rPr>
          <w:rFonts w:ascii="Verdana" w:eastAsia="Times New Roman" w:hAnsi="Verdana" w:cs="Arial"/>
          <w:lang w:val="es-MX" w:eastAsia="x-none"/>
        </w:rPr>
        <w:t xml:space="preserve">las entidades </w:t>
      </w:r>
      <w:r w:rsidRPr="00F66EEE">
        <w:rPr>
          <w:rFonts w:ascii="Verdana" w:eastAsia="Times New Roman" w:hAnsi="Verdana" w:cs="Arial"/>
          <w:i/>
          <w:iCs/>
          <w:lang w:val="es-MX" w:eastAsia="x-none"/>
        </w:rPr>
        <w:t>deberán</w:t>
      </w:r>
      <w:r>
        <w:rPr>
          <w:rFonts w:ascii="Verdana" w:eastAsia="Times New Roman" w:hAnsi="Verdana" w:cs="Arial"/>
          <w:lang w:val="es-MX" w:eastAsia="x-none"/>
        </w:rPr>
        <w:t xml:space="preserve"> necesariamente </w:t>
      </w:r>
      <w:r w:rsidRPr="00B73308">
        <w:rPr>
          <w:rFonts w:ascii="Verdana" w:eastAsia="Times New Roman" w:hAnsi="Verdana" w:cs="Arial"/>
          <w:lang w:val="es-MX" w:eastAsia="x-none"/>
        </w:rPr>
        <w:t>aplicar el Estatuto General de Contratación</w:t>
      </w:r>
      <w:r>
        <w:rPr>
          <w:rFonts w:ascii="Verdana" w:eastAsia="Times New Roman" w:hAnsi="Verdana" w:cs="Arial"/>
          <w:lang w:val="es-MX" w:eastAsia="x-none"/>
        </w:rPr>
        <w:t xml:space="preserve"> de la Administración</w:t>
      </w:r>
      <w:r w:rsidRPr="00B73308">
        <w:rPr>
          <w:rFonts w:ascii="Verdana" w:eastAsia="Times New Roman" w:hAnsi="Verdana" w:cs="Arial"/>
          <w:lang w:val="es-MX" w:eastAsia="x-none"/>
        </w:rPr>
        <w:t xml:space="preserve"> Pública.</w:t>
      </w:r>
    </w:p>
    <w:p w14:paraId="1BEDA487" w14:textId="77777777" w:rsidR="005474F1" w:rsidRDefault="005474F1" w:rsidP="005474F1">
      <w:pPr>
        <w:spacing w:before="120" w:after="0" w:line="276" w:lineRule="auto"/>
        <w:ind w:firstLine="694"/>
        <w:jc w:val="both"/>
        <w:rPr>
          <w:rFonts w:ascii="Verdana" w:eastAsia="Times New Roman" w:hAnsi="Verdana" w:cs="Arial"/>
          <w:lang w:val="es-MX"/>
        </w:rPr>
      </w:pPr>
      <w:r w:rsidRPr="44B3FB22">
        <w:rPr>
          <w:rFonts w:ascii="Verdana" w:eastAsia="Times New Roman" w:hAnsi="Verdana" w:cs="Arial"/>
          <w:lang w:val="es-MX"/>
        </w:rPr>
        <w:t>En</w:t>
      </w:r>
      <w:r>
        <w:rPr>
          <w:rFonts w:ascii="Verdana" w:eastAsia="Times New Roman" w:hAnsi="Verdana" w:cs="Arial"/>
          <w:lang w:val="es-MX"/>
        </w:rPr>
        <w:t xml:space="preserve"> consecuencia</w:t>
      </w:r>
      <w:r w:rsidRPr="44B3FB22">
        <w:rPr>
          <w:rFonts w:ascii="Verdana" w:eastAsia="Times New Roman" w:hAnsi="Verdana" w:cs="Arial"/>
          <w:lang w:val="es-MX"/>
        </w:rPr>
        <w:t>, la restricción contemplada en el artículo 33</w:t>
      </w:r>
      <w:r>
        <w:rPr>
          <w:rFonts w:ascii="Verdana" w:eastAsia="Times New Roman" w:hAnsi="Verdana" w:cs="Arial"/>
          <w:lang w:val="es-MX"/>
        </w:rPr>
        <w:t xml:space="preserve"> de la Ley de Garantías Electorales</w:t>
      </w:r>
      <w:r w:rsidRPr="44B3FB22">
        <w:rPr>
          <w:rFonts w:ascii="Verdana" w:eastAsia="Times New Roman" w:hAnsi="Verdana" w:cs="Arial"/>
          <w:lang w:val="es-MX"/>
        </w:rPr>
        <w:t xml:space="preserve"> </w:t>
      </w:r>
      <w:r w:rsidRPr="00DF1455">
        <w:rPr>
          <w:rFonts w:ascii="Verdana" w:eastAsia="Times New Roman" w:hAnsi="Verdana" w:cs="Arial"/>
          <w:i/>
          <w:iCs/>
          <w:lang w:val="es-MX"/>
        </w:rPr>
        <w:t>no</w:t>
      </w:r>
      <w:r w:rsidRPr="44B3FB22">
        <w:rPr>
          <w:rFonts w:ascii="Verdana" w:eastAsia="Times New Roman" w:hAnsi="Verdana" w:cs="Arial"/>
          <w:lang w:val="es-MX"/>
        </w:rPr>
        <w:t xml:space="preserve"> aplica a los contratos que son financiados en su totalidad o en sumas iguales o superiores al cincuenta por ciento con fondos de organismos de cooperación, asistencia o ayudas internacionales, y cuyo régimen sea el dispuesto en los reglamentos de tales organismos. Lo anterior, por cuanto en estos casos el artículo 20 de la Ley 1150 de 2007 autoriza</w:t>
      </w:r>
      <w:r>
        <w:rPr>
          <w:rFonts w:ascii="Verdana" w:eastAsia="Times New Roman" w:hAnsi="Verdana" w:cs="Arial"/>
          <w:lang w:val="es-MX"/>
        </w:rPr>
        <w:t xml:space="preserve"> la</w:t>
      </w:r>
      <w:r w:rsidRPr="44B3FB22">
        <w:rPr>
          <w:rFonts w:ascii="Verdana" w:eastAsia="Times New Roman" w:hAnsi="Verdana" w:cs="Arial"/>
          <w:lang w:val="es-MX"/>
        </w:rPr>
        <w:t xml:space="preserve"> aplica</w:t>
      </w:r>
      <w:r>
        <w:rPr>
          <w:rFonts w:ascii="Verdana" w:eastAsia="Times New Roman" w:hAnsi="Verdana" w:cs="Arial"/>
          <w:lang w:val="es-MX"/>
        </w:rPr>
        <w:t>ción</w:t>
      </w:r>
      <w:r w:rsidRPr="44B3FB22">
        <w:rPr>
          <w:rFonts w:ascii="Verdana" w:eastAsia="Times New Roman" w:hAnsi="Verdana" w:cs="Arial"/>
          <w:lang w:val="es-MX"/>
        </w:rPr>
        <w:t xml:space="preserve"> “</w:t>
      </w:r>
      <w:proofErr w:type="gramStart"/>
      <w:r w:rsidRPr="44B3FB22">
        <w:rPr>
          <w:rFonts w:ascii="Verdana" w:eastAsia="Times New Roman" w:hAnsi="Verdana" w:cs="Arial"/>
          <w:lang w:val="es-MX"/>
        </w:rPr>
        <w:t xml:space="preserve">integral” </w:t>
      </w:r>
      <w:r>
        <w:rPr>
          <w:rFonts w:ascii="Verdana" w:eastAsia="Times New Roman" w:hAnsi="Verdana" w:cs="Arial"/>
          <w:lang w:val="es-MX"/>
        </w:rPr>
        <w:t xml:space="preserve"> de</w:t>
      </w:r>
      <w:proofErr w:type="gramEnd"/>
      <w:r>
        <w:rPr>
          <w:rFonts w:ascii="Verdana" w:eastAsia="Times New Roman" w:hAnsi="Verdana" w:cs="Arial"/>
          <w:lang w:val="es-MX"/>
        </w:rPr>
        <w:t xml:space="preserve"> </w:t>
      </w:r>
      <w:r w:rsidRPr="44B3FB22">
        <w:rPr>
          <w:rFonts w:ascii="Verdana" w:eastAsia="Times New Roman" w:hAnsi="Verdana" w:cs="Arial"/>
          <w:lang w:val="es-MX"/>
        </w:rPr>
        <w:t>l</w:t>
      </w:r>
      <w:r>
        <w:rPr>
          <w:rFonts w:ascii="Verdana" w:eastAsia="Times New Roman" w:hAnsi="Verdana" w:cs="Arial"/>
          <w:lang w:val="es-MX"/>
        </w:rPr>
        <w:t>os</w:t>
      </w:r>
      <w:r w:rsidRPr="44B3FB22">
        <w:rPr>
          <w:rFonts w:ascii="Verdana" w:eastAsia="Times New Roman" w:hAnsi="Verdana" w:cs="Arial"/>
          <w:lang w:val="es-MX"/>
        </w:rPr>
        <w:t xml:space="preserve"> reglamento</w:t>
      </w:r>
      <w:r>
        <w:rPr>
          <w:rFonts w:ascii="Verdana" w:eastAsia="Times New Roman" w:hAnsi="Verdana" w:cs="Arial"/>
          <w:lang w:val="es-MX"/>
        </w:rPr>
        <w:t>s</w:t>
      </w:r>
      <w:r w:rsidRPr="44B3FB22">
        <w:rPr>
          <w:rFonts w:ascii="Verdana" w:eastAsia="Times New Roman" w:hAnsi="Verdana" w:cs="Arial"/>
          <w:lang w:val="es-MX"/>
        </w:rPr>
        <w:t xml:space="preserve"> de dichos organismos</w:t>
      </w:r>
      <w:r w:rsidRPr="44B3FB22">
        <w:rPr>
          <w:rStyle w:val="Refdenotaalpie"/>
          <w:rFonts w:ascii="Verdana" w:eastAsia="Times New Roman" w:hAnsi="Verdana" w:cs="Arial"/>
          <w:lang w:val="es-MX"/>
        </w:rPr>
        <w:footnoteReference w:id="21"/>
      </w:r>
      <w:r w:rsidRPr="44B3FB22">
        <w:rPr>
          <w:rFonts w:ascii="Verdana" w:eastAsia="Times New Roman" w:hAnsi="Verdana" w:cs="Arial"/>
          <w:lang w:val="es-MX"/>
        </w:rPr>
        <w:t>.</w:t>
      </w:r>
      <w:bookmarkStart w:id="3" w:name="2.2.1.2.4.4.1"/>
      <w:bookmarkEnd w:id="3"/>
      <w:r>
        <w:rPr>
          <w:rFonts w:ascii="Verdana" w:eastAsia="Times New Roman" w:hAnsi="Verdana" w:cs="Arial"/>
          <w:lang w:val="es-MX"/>
        </w:rPr>
        <w:t xml:space="preserve"> </w:t>
      </w:r>
    </w:p>
    <w:p w14:paraId="06CDA30B" w14:textId="77777777" w:rsidR="005474F1" w:rsidRDefault="005474F1" w:rsidP="005474F1">
      <w:pPr>
        <w:spacing w:before="120" w:after="0" w:line="276" w:lineRule="auto"/>
        <w:ind w:firstLine="694"/>
        <w:jc w:val="both"/>
        <w:rPr>
          <w:rFonts w:ascii="Verdana" w:eastAsia="Times New Roman" w:hAnsi="Verdana" w:cs="Arial"/>
          <w:lang w:val="es-MX" w:eastAsia="x-none"/>
        </w:rPr>
      </w:pPr>
      <w:r>
        <w:rPr>
          <w:rFonts w:ascii="Verdana" w:eastAsia="Times New Roman" w:hAnsi="Verdana" w:cs="Arial"/>
          <w:lang w:val="es-MX"/>
        </w:rPr>
        <w:t xml:space="preserve">Por otra parte, </w:t>
      </w:r>
      <w:r>
        <w:rPr>
          <w:rFonts w:ascii="Verdana" w:eastAsia="Calibri" w:hAnsi="Verdana" w:cs="Arial"/>
          <w:lang w:val="es-ES"/>
        </w:rPr>
        <w:t>e</w:t>
      </w:r>
      <w:r w:rsidRPr="00750B7D">
        <w:rPr>
          <w:rFonts w:ascii="Verdana" w:eastAsia="Calibri" w:hAnsi="Verdana" w:cs="Arial"/>
          <w:lang w:val="es-ES"/>
        </w:rPr>
        <w:t xml:space="preserve">l </w:t>
      </w:r>
      <w:r w:rsidRPr="00DF1455">
        <w:rPr>
          <w:rFonts w:ascii="Verdana" w:eastAsia="Calibri" w:hAnsi="Verdana" w:cs="Arial"/>
          <w:i/>
          <w:iCs/>
          <w:lang w:val="es-ES"/>
        </w:rPr>
        <w:t>inciso segundo</w:t>
      </w:r>
      <w:r w:rsidRPr="00750B7D">
        <w:rPr>
          <w:rFonts w:ascii="Verdana" w:eastAsia="Calibri" w:hAnsi="Verdana" w:cs="Arial"/>
          <w:lang w:val="es-ES"/>
        </w:rPr>
        <w:t xml:space="preserve"> </w:t>
      </w:r>
      <w:r>
        <w:rPr>
          <w:rFonts w:ascii="Verdana" w:eastAsia="Calibri" w:hAnsi="Verdana" w:cs="Arial"/>
          <w:lang w:val="es-ES"/>
        </w:rPr>
        <w:t xml:space="preserve">y el parágrafo primero </w:t>
      </w:r>
      <w:r w:rsidRPr="00750B7D">
        <w:rPr>
          <w:rFonts w:ascii="Verdana" w:eastAsia="Times New Roman" w:hAnsi="Verdana" w:cs="Arial"/>
          <w:lang w:val="es-MX" w:eastAsia="x-none"/>
        </w:rPr>
        <w:t>del artículo 20 de la Ley 1150 de 2007 señala</w:t>
      </w:r>
      <w:r>
        <w:rPr>
          <w:rFonts w:ascii="Verdana" w:eastAsia="Times New Roman" w:hAnsi="Verdana" w:cs="Arial"/>
          <w:lang w:val="es-MX" w:eastAsia="x-none"/>
        </w:rPr>
        <w:t>n</w:t>
      </w:r>
      <w:r w:rsidRPr="00750B7D">
        <w:rPr>
          <w:rFonts w:ascii="Verdana" w:eastAsia="Times New Roman" w:hAnsi="Verdana" w:cs="Arial"/>
          <w:lang w:val="es-MX" w:eastAsia="x-none"/>
        </w:rPr>
        <w:t xml:space="preserve"> que</w:t>
      </w:r>
      <w:r>
        <w:rPr>
          <w:rFonts w:ascii="Verdana" w:eastAsia="Times New Roman" w:hAnsi="Verdana" w:cs="Arial"/>
          <w:lang w:val="es-MX" w:eastAsia="x-none"/>
        </w:rPr>
        <w:t>:</w:t>
      </w:r>
    </w:p>
    <w:p w14:paraId="19F481DD" w14:textId="77777777" w:rsidR="005474F1" w:rsidRDefault="005474F1" w:rsidP="005474F1">
      <w:pPr>
        <w:spacing w:after="0" w:line="276" w:lineRule="auto"/>
        <w:ind w:firstLine="694"/>
        <w:jc w:val="both"/>
        <w:rPr>
          <w:rFonts w:ascii="Verdana" w:eastAsia="Times New Roman" w:hAnsi="Verdana" w:cs="Arial"/>
          <w:lang w:val="es-MX" w:eastAsia="x-none"/>
        </w:rPr>
      </w:pPr>
    </w:p>
    <w:p w14:paraId="5426BCD9" w14:textId="77777777" w:rsidR="005474F1" w:rsidRDefault="005474F1" w:rsidP="005474F1">
      <w:pPr>
        <w:spacing w:after="0" w:line="240" w:lineRule="auto"/>
        <w:ind w:left="709" w:right="709"/>
        <w:jc w:val="both"/>
        <w:rPr>
          <w:rFonts w:ascii="Verdana" w:eastAsia="Times New Roman" w:hAnsi="Verdana" w:cs="Arial"/>
          <w:sz w:val="21"/>
          <w:szCs w:val="21"/>
          <w:lang w:eastAsia="x-none"/>
        </w:rPr>
      </w:pPr>
      <w:r>
        <w:rPr>
          <w:rFonts w:ascii="Verdana" w:eastAsia="Times New Roman" w:hAnsi="Verdana" w:cs="Arial"/>
          <w:sz w:val="21"/>
          <w:szCs w:val="21"/>
          <w:lang w:eastAsia="x-none"/>
        </w:rPr>
        <w:t>“</w:t>
      </w:r>
      <w:r w:rsidRPr="00F66EEE">
        <w:rPr>
          <w:rFonts w:ascii="Verdana" w:eastAsia="Times New Roman" w:hAnsi="Verdana" w:cs="Arial"/>
          <w:sz w:val="21"/>
          <w:szCs w:val="21"/>
          <w:lang w:eastAsia="x-none"/>
        </w:rPr>
        <w:t xml:space="preserve">Los contratos o convenios celebrados con personas extranjeras de derecho público u organismos de derecho internacional cuyo objeto sea el desarrollo de programas de promoción, prevención y atención en salud; contratos y convenios necesarios para la operación de la OIT; </w:t>
      </w:r>
      <w:r w:rsidRPr="00F66EEE">
        <w:rPr>
          <w:rFonts w:ascii="Verdana" w:eastAsia="Times New Roman" w:hAnsi="Verdana" w:cs="Arial"/>
          <w:sz w:val="21"/>
          <w:szCs w:val="21"/>
          <w:lang w:eastAsia="x-none"/>
        </w:rPr>
        <w:lastRenderedPageBreak/>
        <w:t>contratos y convenios que se ejecuten en desarrollo del sistema integrado de monitoreo de cultivos ilícitos; contratos y convenios para la operación del programa mundial de alimentos; contratos y convenios para el desarrollo de programas de apoyo educativo a población desplazada y vulnerable adelantados por la Unesco y la OIM; los contratos o convenios financiados con fondos de los organismos multilaterales de crédito y entes gubernamentales extranjeros, podrán someterse a los reglamentos de tales entidades.</w:t>
      </w:r>
    </w:p>
    <w:p w14:paraId="6D27A832" w14:textId="77777777" w:rsidR="005474F1" w:rsidRPr="00F66EEE" w:rsidRDefault="005474F1" w:rsidP="005474F1">
      <w:pPr>
        <w:spacing w:before="120" w:after="0" w:line="240" w:lineRule="auto"/>
        <w:ind w:left="709" w:right="709"/>
        <w:jc w:val="both"/>
        <w:rPr>
          <w:rFonts w:ascii="Verdana" w:eastAsia="Times New Roman" w:hAnsi="Verdana" w:cs="Arial"/>
          <w:sz w:val="21"/>
          <w:szCs w:val="21"/>
          <w:lang w:val="es-MX" w:eastAsia="x-none"/>
        </w:rPr>
      </w:pPr>
      <w:r>
        <w:rPr>
          <w:rFonts w:ascii="Verdana" w:eastAsia="Times New Roman" w:hAnsi="Verdana" w:cs="Arial"/>
          <w:sz w:val="21"/>
          <w:szCs w:val="21"/>
          <w:lang w:eastAsia="x-none"/>
        </w:rPr>
        <w:t>[…]</w:t>
      </w:r>
    </w:p>
    <w:p w14:paraId="256C7E6D" w14:textId="77777777" w:rsidR="005474F1" w:rsidRPr="00F66EEE" w:rsidRDefault="005474F1" w:rsidP="005474F1">
      <w:pPr>
        <w:spacing w:before="120" w:after="0" w:line="240" w:lineRule="auto"/>
        <w:ind w:left="709" w:right="709"/>
        <w:jc w:val="both"/>
        <w:rPr>
          <w:rFonts w:ascii="Verdana" w:eastAsia="Times New Roman" w:hAnsi="Verdana" w:cs="Arial"/>
          <w:sz w:val="21"/>
          <w:szCs w:val="21"/>
          <w:lang w:eastAsia="x-none"/>
        </w:rPr>
      </w:pPr>
      <w:r w:rsidRPr="00F66EEE">
        <w:rPr>
          <w:rFonts w:ascii="Verdana" w:eastAsia="Times New Roman" w:hAnsi="Verdana" w:cs="Arial"/>
          <w:sz w:val="21"/>
          <w:szCs w:val="21"/>
          <w:lang w:eastAsia="x-none"/>
        </w:rPr>
        <w:t>Parágrafo 1. Los contratos o acuerdos celebrados con personas extranjeras de derecho público, podrán someterse a las reglas de tales organismos</w:t>
      </w:r>
      <w:r>
        <w:rPr>
          <w:rFonts w:ascii="Verdana" w:eastAsia="Times New Roman" w:hAnsi="Verdana" w:cs="Arial"/>
          <w:sz w:val="21"/>
          <w:szCs w:val="21"/>
          <w:lang w:eastAsia="x-none"/>
        </w:rPr>
        <w:t>”</w:t>
      </w:r>
      <w:r w:rsidRPr="00F66EEE">
        <w:rPr>
          <w:rFonts w:ascii="Verdana" w:eastAsia="Times New Roman" w:hAnsi="Verdana" w:cs="Arial"/>
          <w:sz w:val="21"/>
          <w:szCs w:val="21"/>
          <w:lang w:eastAsia="x-none"/>
        </w:rPr>
        <w:t>.</w:t>
      </w:r>
    </w:p>
    <w:p w14:paraId="4E3AE39A" w14:textId="77777777" w:rsidR="005474F1" w:rsidRDefault="005474F1" w:rsidP="005474F1">
      <w:pPr>
        <w:spacing w:before="120" w:after="0" w:line="276" w:lineRule="auto"/>
        <w:ind w:firstLine="694"/>
        <w:jc w:val="both"/>
        <w:rPr>
          <w:rFonts w:ascii="Verdana" w:eastAsia="Calibri" w:hAnsi="Verdana" w:cs="Arial"/>
          <w:lang w:val="es-ES"/>
        </w:rPr>
      </w:pPr>
      <w:r w:rsidRPr="00750B7D">
        <w:rPr>
          <w:rFonts w:ascii="Verdana" w:eastAsia="Times New Roman" w:hAnsi="Verdana" w:cs="Arial"/>
          <w:lang w:val="es-MX" w:eastAsia="x-none"/>
        </w:rPr>
        <w:t xml:space="preserve"> </w:t>
      </w:r>
      <w:r>
        <w:rPr>
          <w:rFonts w:ascii="Verdana" w:eastAsia="Times New Roman" w:hAnsi="Verdana" w:cs="Arial"/>
          <w:lang w:val="es-MX" w:eastAsia="x-none"/>
        </w:rPr>
        <w:t xml:space="preserve">Seún lo expuesto, </w:t>
      </w:r>
      <w:r>
        <w:rPr>
          <w:rFonts w:ascii="Verdana" w:eastAsia="Calibri" w:hAnsi="Verdana" w:cs="Arial"/>
          <w:lang w:val="es-ES"/>
        </w:rPr>
        <w:t>las entidades pueden optar por someter los siguientes</w:t>
      </w:r>
      <w:r w:rsidRPr="00AA020D">
        <w:rPr>
          <w:rFonts w:ascii="Verdana" w:eastAsia="Calibri" w:hAnsi="Verdana" w:cs="Arial"/>
          <w:lang w:val="es-ES"/>
        </w:rPr>
        <w:t xml:space="preserve"> contrato</w:t>
      </w:r>
      <w:r>
        <w:rPr>
          <w:rFonts w:ascii="Verdana" w:eastAsia="Calibri" w:hAnsi="Verdana" w:cs="Arial"/>
          <w:lang w:val="es-ES"/>
        </w:rPr>
        <w:t>s</w:t>
      </w:r>
      <w:r w:rsidRPr="00AA020D">
        <w:rPr>
          <w:rFonts w:ascii="Verdana" w:eastAsia="Calibri" w:hAnsi="Verdana" w:cs="Arial"/>
          <w:lang w:val="es-ES"/>
        </w:rPr>
        <w:t xml:space="preserve"> o convenio</w:t>
      </w:r>
      <w:r>
        <w:rPr>
          <w:rFonts w:ascii="Verdana" w:eastAsia="Calibri" w:hAnsi="Verdana" w:cs="Arial"/>
          <w:lang w:val="es-ES"/>
        </w:rPr>
        <w:t>s</w:t>
      </w:r>
      <w:r w:rsidRPr="00AA020D">
        <w:rPr>
          <w:rFonts w:ascii="Verdana" w:eastAsia="Calibri" w:hAnsi="Verdana" w:cs="Arial"/>
          <w:lang w:val="es-ES"/>
        </w:rPr>
        <w:t xml:space="preserve"> a los reglamentos de </w:t>
      </w:r>
      <w:r>
        <w:rPr>
          <w:rFonts w:ascii="Verdana" w:eastAsia="Calibri" w:hAnsi="Verdana" w:cs="Arial"/>
          <w:lang w:val="es-ES"/>
        </w:rPr>
        <w:t xml:space="preserve">los </w:t>
      </w:r>
      <w:r w:rsidRPr="00AA020D">
        <w:rPr>
          <w:rFonts w:ascii="Verdana" w:eastAsia="Calibri" w:hAnsi="Verdana" w:cs="Arial"/>
          <w:lang w:val="es-ES"/>
        </w:rPr>
        <w:t>organismos</w:t>
      </w:r>
      <w:r>
        <w:rPr>
          <w:rFonts w:ascii="Verdana" w:eastAsia="Calibri" w:hAnsi="Verdana" w:cs="Arial"/>
          <w:lang w:val="es-ES"/>
        </w:rPr>
        <w:t xml:space="preserve"> o entes internacionales</w:t>
      </w:r>
      <w:r w:rsidRPr="00AA020D">
        <w:rPr>
          <w:rFonts w:ascii="Verdana" w:eastAsia="Calibri" w:hAnsi="Verdana" w:cs="Arial"/>
          <w:lang w:val="es-ES"/>
        </w:rPr>
        <w:t>, independientemente del monto o porcentaje de los aportes de las partes</w:t>
      </w:r>
      <w:r w:rsidRPr="00750B7D">
        <w:rPr>
          <w:rFonts w:ascii="Verdana" w:eastAsia="Calibri" w:hAnsi="Verdana" w:cs="Arial"/>
          <w:lang w:val="es-ES"/>
        </w:rPr>
        <w:t>:</w:t>
      </w:r>
    </w:p>
    <w:p w14:paraId="443A7A24" w14:textId="77777777" w:rsidR="005474F1" w:rsidRPr="00DF1455" w:rsidRDefault="005474F1" w:rsidP="005474F1">
      <w:pPr>
        <w:spacing w:after="0" w:line="276" w:lineRule="auto"/>
        <w:jc w:val="both"/>
        <w:rPr>
          <w:rFonts w:ascii="Verdana" w:eastAsia="Times New Roman" w:hAnsi="Verdana" w:cs="Arial"/>
          <w:lang w:val="es-MX"/>
        </w:rPr>
      </w:pPr>
    </w:p>
    <w:p w14:paraId="126C7FD6" w14:textId="77777777" w:rsidR="005474F1" w:rsidRDefault="005474F1" w:rsidP="005474F1">
      <w:pPr>
        <w:pStyle w:val="Prrafodelista"/>
        <w:numPr>
          <w:ilvl w:val="0"/>
          <w:numId w:val="17"/>
        </w:numPr>
        <w:spacing w:after="0" w:line="276" w:lineRule="auto"/>
        <w:jc w:val="both"/>
        <w:rPr>
          <w:rFonts w:ascii="Verdana" w:hAnsi="Verdana"/>
        </w:rPr>
      </w:pPr>
      <w:r>
        <w:rPr>
          <w:rFonts w:ascii="Verdana" w:hAnsi="Verdana"/>
        </w:rPr>
        <w:t>L</w:t>
      </w:r>
      <w:r w:rsidRPr="00750B7D">
        <w:rPr>
          <w:rFonts w:ascii="Verdana" w:hAnsi="Verdana"/>
        </w:rPr>
        <w:t>os contratos o convenios celebrados con personas extranjeras de derecho público u organismos de derecho internacional cuyo objeto sea el desarrollo de programas de promoción, prevención y atención en salud;</w:t>
      </w:r>
    </w:p>
    <w:p w14:paraId="6770F687" w14:textId="77777777" w:rsidR="005474F1" w:rsidRDefault="005474F1" w:rsidP="005474F1">
      <w:pPr>
        <w:pStyle w:val="Prrafodelista"/>
        <w:numPr>
          <w:ilvl w:val="0"/>
          <w:numId w:val="17"/>
        </w:numPr>
        <w:spacing w:after="0" w:line="276" w:lineRule="auto"/>
        <w:jc w:val="both"/>
        <w:rPr>
          <w:rFonts w:ascii="Verdana" w:hAnsi="Verdana"/>
        </w:rPr>
      </w:pPr>
      <w:r>
        <w:rPr>
          <w:rFonts w:ascii="Verdana" w:hAnsi="Verdana"/>
        </w:rPr>
        <w:t>L</w:t>
      </w:r>
      <w:r w:rsidRPr="00750B7D">
        <w:rPr>
          <w:rFonts w:ascii="Verdana" w:hAnsi="Verdana"/>
        </w:rPr>
        <w:t xml:space="preserve">os contratos y convenios necesarios para la operación de la Organización Internacional del Trabajo; </w:t>
      </w:r>
    </w:p>
    <w:p w14:paraId="73AE8550" w14:textId="77777777" w:rsidR="005474F1" w:rsidRDefault="005474F1" w:rsidP="005474F1">
      <w:pPr>
        <w:pStyle w:val="Prrafodelista"/>
        <w:numPr>
          <w:ilvl w:val="0"/>
          <w:numId w:val="17"/>
        </w:numPr>
        <w:spacing w:after="0" w:line="276" w:lineRule="auto"/>
        <w:jc w:val="both"/>
        <w:rPr>
          <w:rFonts w:ascii="Verdana" w:hAnsi="Verdana"/>
        </w:rPr>
      </w:pPr>
      <w:r>
        <w:rPr>
          <w:rFonts w:ascii="Verdana" w:hAnsi="Verdana"/>
        </w:rPr>
        <w:t>L</w:t>
      </w:r>
      <w:r w:rsidRPr="00750B7D">
        <w:rPr>
          <w:rFonts w:ascii="Verdana" w:hAnsi="Verdana"/>
        </w:rPr>
        <w:t xml:space="preserve">os contratos y convenios que se ejecuten en desarrollo del sistema integrado de monitoreo de cultivos ilícitos; </w:t>
      </w:r>
    </w:p>
    <w:p w14:paraId="093D39F7" w14:textId="77777777" w:rsidR="005474F1" w:rsidRDefault="005474F1" w:rsidP="005474F1">
      <w:pPr>
        <w:pStyle w:val="Prrafodelista"/>
        <w:numPr>
          <w:ilvl w:val="0"/>
          <w:numId w:val="17"/>
        </w:numPr>
        <w:spacing w:after="0" w:line="276" w:lineRule="auto"/>
        <w:jc w:val="both"/>
        <w:rPr>
          <w:rFonts w:ascii="Verdana" w:hAnsi="Verdana"/>
        </w:rPr>
      </w:pPr>
      <w:r>
        <w:rPr>
          <w:rFonts w:ascii="Verdana" w:hAnsi="Verdana"/>
        </w:rPr>
        <w:t>L</w:t>
      </w:r>
      <w:r w:rsidRPr="00750B7D">
        <w:rPr>
          <w:rFonts w:ascii="Verdana" w:hAnsi="Verdana"/>
        </w:rPr>
        <w:t xml:space="preserve">os contratos y convenios para la operación del programa mundial de alimentos; </w:t>
      </w:r>
    </w:p>
    <w:p w14:paraId="0CE55B6D" w14:textId="77777777" w:rsidR="005474F1" w:rsidRDefault="005474F1" w:rsidP="005474F1">
      <w:pPr>
        <w:pStyle w:val="Prrafodelista"/>
        <w:numPr>
          <w:ilvl w:val="0"/>
          <w:numId w:val="17"/>
        </w:numPr>
        <w:spacing w:after="0" w:line="276" w:lineRule="auto"/>
        <w:jc w:val="both"/>
        <w:rPr>
          <w:rFonts w:ascii="Verdana" w:hAnsi="Verdana"/>
        </w:rPr>
      </w:pPr>
      <w:r>
        <w:rPr>
          <w:rFonts w:ascii="Verdana" w:hAnsi="Verdana"/>
        </w:rPr>
        <w:t>L</w:t>
      </w:r>
      <w:r w:rsidRPr="00750B7D">
        <w:rPr>
          <w:rFonts w:ascii="Verdana" w:hAnsi="Verdana"/>
        </w:rPr>
        <w:t xml:space="preserve">os contratos y convenios para el desarrollo de programas de apoyo educativo a población desplazada y vulnerable adelantados por la Unesco y la OIM; </w:t>
      </w:r>
    </w:p>
    <w:p w14:paraId="55F11BE5" w14:textId="77777777" w:rsidR="005474F1" w:rsidRPr="00750B7D" w:rsidRDefault="005474F1" w:rsidP="005474F1">
      <w:pPr>
        <w:pStyle w:val="Prrafodelista"/>
        <w:numPr>
          <w:ilvl w:val="0"/>
          <w:numId w:val="17"/>
        </w:numPr>
        <w:spacing w:after="0" w:line="276" w:lineRule="auto"/>
        <w:jc w:val="both"/>
        <w:rPr>
          <w:rFonts w:ascii="Verdana" w:hAnsi="Verdana"/>
        </w:rPr>
      </w:pPr>
      <w:r>
        <w:rPr>
          <w:rFonts w:ascii="Verdana" w:hAnsi="Verdana"/>
        </w:rPr>
        <w:t>L</w:t>
      </w:r>
      <w:r w:rsidRPr="00750B7D">
        <w:rPr>
          <w:rFonts w:ascii="Verdana" w:hAnsi="Verdana"/>
        </w:rPr>
        <w:t>os contratos o convenios financiados con fondos de los organismos multilaterales de crédito y entes gubernamentales extranjeros.</w:t>
      </w:r>
    </w:p>
    <w:p w14:paraId="1DC7FBFB" w14:textId="77777777" w:rsidR="005474F1" w:rsidRPr="00FF364F" w:rsidRDefault="005474F1" w:rsidP="005474F1">
      <w:pPr>
        <w:spacing w:before="120" w:after="0" w:line="276" w:lineRule="auto"/>
        <w:ind w:firstLine="694"/>
        <w:jc w:val="both"/>
        <w:rPr>
          <w:rFonts w:ascii="Verdana" w:hAnsi="Verdana" w:cs="Arial"/>
          <w:lang w:val="es-ES"/>
        </w:rPr>
      </w:pPr>
      <w:r>
        <w:rPr>
          <w:rFonts w:ascii="Verdana" w:eastAsia="Times New Roman" w:hAnsi="Verdana" w:cs="Arial"/>
          <w:lang w:val="es-MX"/>
        </w:rPr>
        <w:t xml:space="preserve">En línea </w:t>
      </w:r>
      <w:r w:rsidRPr="00FF364F">
        <w:rPr>
          <w:rFonts w:ascii="Verdana" w:eastAsia="Times New Roman" w:hAnsi="Verdana" w:cs="Arial"/>
          <w:lang w:val="es-MX"/>
        </w:rPr>
        <w:t xml:space="preserve">con lo </w:t>
      </w:r>
      <w:r w:rsidRPr="00FF364F">
        <w:rPr>
          <w:rFonts w:ascii="Verdana" w:hAnsi="Verdana" w:cs="Arial"/>
          <w:lang w:val="es-ES"/>
        </w:rPr>
        <w:t xml:space="preserve">anterior, el artículo 2.2.1.2.4.4.1. del Decreto 1082 de 2015 establece que </w:t>
      </w:r>
      <w:r w:rsidRPr="00FF364F">
        <w:rPr>
          <w:rFonts w:ascii="Verdana" w:hAnsi="Verdana" w:cs="Arial"/>
        </w:rPr>
        <w:t xml:space="preserve">los contratos o convenios financiados con fondos de los organismos multilaterales de crédito, entes gubernamentales extranjeros o personas extranjeras de derecho público, así como aquellos a los que se refiere el inciso 2 del artículo </w:t>
      </w:r>
      <w:r w:rsidRPr="00750B7D">
        <w:rPr>
          <w:rFonts w:ascii="Verdana" w:hAnsi="Verdana"/>
        </w:rPr>
        <w:t>20</w:t>
      </w:r>
      <w:r w:rsidRPr="00FF364F">
        <w:rPr>
          <w:rFonts w:ascii="Verdana" w:hAnsi="Verdana" w:cs="Arial"/>
        </w:rPr>
        <w:t xml:space="preserve"> de la Ley 1150 de 2007, se ejecutarán de conformidad con lo establecido en los tratados internacionales marco y complementarios, y en los convenios celebrados, o sus reglamentos, según sea el caso, sin que a </w:t>
      </w:r>
      <w:r w:rsidRPr="00FF364F">
        <w:rPr>
          <w:rFonts w:ascii="Verdana" w:hAnsi="Verdana" w:cs="Arial"/>
        </w:rPr>
        <w:lastRenderedPageBreak/>
        <w:t xml:space="preserve">ellos le sea aplicable el porcentaje </w:t>
      </w:r>
      <w:r>
        <w:rPr>
          <w:rFonts w:ascii="Verdana" w:hAnsi="Verdana" w:cs="Arial"/>
        </w:rPr>
        <w:t xml:space="preserve">de financiación </w:t>
      </w:r>
      <w:r w:rsidRPr="00FF364F">
        <w:rPr>
          <w:rFonts w:ascii="Verdana" w:hAnsi="Verdana" w:cs="Arial"/>
        </w:rPr>
        <w:t>señalado en el inciso primero del artículo</w:t>
      </w:r>
      <w:r w:rsidRPr="00FF364F">
        <w:rPr>
          <w:rFonts w:ascii="Verdana" w:hAnsi="Verdana"/>
        </w:rPr>
        <w:t xml:space="preserve"> </w:t>
      </w:r>
      <w:r w:rsidRPr="00750B7D">
        <w:rPr>
          <w:rFonts w:ascii="Verdana" w:hAnsi="Verdana"/>
        </w:rPr>
        <w:t>20</w:t>
      </w:r>
      <w:r w:rsidRPr="00FF364F">
        <w:rPr>
          <w:rFonts w:ascii="Verdana" w:hAnsi="Verdana" w:cs="Arial"/>
        </w:rPr>
        <w:t xml:space="preserve"> de la Ley 1150 de 2007.</w:t>
      </w:r>
      <w:r w:rsidRPr="00FF364F">
        <w:rPr>
          <w:rFonts w:ascii="Verdana" w:hAnsi="Verdana" w:cs="Arial"/>
          <w:lang w:val="es-ES"/>
        </w:rPr>
        <w:t xml:space="preserve"> </w:t>
      </w:r>
    </w:p>
    <w:p w14:paraId="1C1A9338" w14:textId="77777777" w:rsidR="005474F1" w:rsidRDefault="005474F1" w:rsidP="005474F1">
      <w:pPr>
        <w:spacing w:before="120" w:after="0" w:line="276" w:lineRule="auto"/>
        <w:ind w:firstLine="694"/>
        <w:jc w:val="both"/>
        <w:rPr>
          <w:rFonts w:ascii="Verdana" w:eastAsia="Times New Roman" w:hAnsi="Verdana" w:cs="Arial"/>
          <w:lang w:val="es-MX"/>
        </w:rPr>
      </w:pPr>
      <w:r>
        <w:rPr>
          <w:rFonts w:ascii="Verdana" w:hAnsi="Verdana" w:cs="Arial"/>
          <w:lang w:val="es-ES"/>
        </w:rPr>
        <w:t xml:space="preserve">Con fundamento en dicha normativa, </w:t>
      </w:r>
      <w:r w:rsidRPr="44B3FB22">
        <w:rPr>
          <w:rFonts w:ascii="Verdana" w:eastAsia="Times New Roman" w:hAnsi="Verdana" w:cs="Arial"/>
          <w:lang w:val="es-MX"/>
        </w:rPr>
        <w:t xml:space="preserve">la restricción contemplada en el </w:t>
      </w:r>
      <w:r w:rsidRPr="004C642F">
        <w:rPr>
          <w:rFonts w:ascii="Verdana" w:eastAsia="Times New Roman" w:hAnsi="Verdana" w:cs="Arial"/>
          <w:lang w:val="es-MX"/>
        </w:rPr>
        <w:t xml:space="preserve">artículo 33 </w:t>
      </w:r>
      <w:r w:rsidRPr="00DF1455">
        <w:rPr>
          <w:rFonts w:ascii="Verdana" w:eastAsia="Times New Roman" w:hAnsi="Verdana" w:cs="Arial"/>
          <w:i/>
          <w:iCs/>
          <w:lang w:val="es-MX"/>
        </w:rPr>
        <w:t>no</w:t>
      </w:r>
      <w:r w:rsidRPr="004C642F">
        <w:rPr>
          <w:rFonts w:ascii="Verdana" w:eastAsia="Times New Roman" w:hAnsi="Verdana" w:cs="Arial"/>
          <w:lang w:val="es-MX"/>
        </w:rPr>
        <w:t xml:space="preserve"> aplica</w:t>
      </w:r>
      <w:r w:rsidRPr="44B3FB22">
        <w:rPr>
          <w:rFonts w:ascii="Verdana" w:eastAsia="Times New Roman" w:hAnsi="Verdana" w:cs="Arial"/>
          <w:lang w:val="es-MX"/>
        </w:rPr>
        <w:t xml:space="preserve"> a los contratos </w:t>
      </w:r>
      <w:r>
        <w:rPr>
          <w:rFonts w:ascii="Verdana" w:eastAsia="Times New Roman" w:hAnsi="Verdana" w:cs="Arial"/>
          <w:lang w:val="es-MX"/>
        </w:rPr>
        <w:t>o convenios a los que se refiere el inciso segundo y el parágrafo primero del artículo 20 de la Ley 1150 de 2007 cuando se sometan a los reglamentos de dichos organismos, incluyendo aquellos</w:t>
      </w:r>
      <w:r w:rsidRPr="44B3FB22">
        <w:rPr>
          <w:rFonts w:ascii="Verdana" w:eastAsia="Times New Roman" w:hAnsi="Verdana" w:cs="Arial"/>
          <w:lang w:val="es-MX"/>
        </w:rPr>
        <w:t xml:space="preserve"> financiados </w:t>
      </w:r>
      <w:r w:rsidRPr="004C642F">
        <w:rPr>
          <w:rFonts w:ascii="Verdana" w:eastAsia="Times New Roman" w:hAnsi="Verdana" w:cs="Arial"/>
          <w:lang w:eastAsia="x-none"/>
        </w:rPr>
        <w:t>con fondos de los organismos multilaterales de crédito y entes gubernamentales extranjeros</w:t>
      </w:r>
      <w:r>
        <w:rPr>
          <w:rFonts w:ascii="Verdana" w:eastAsia="Times New Roman" w:hAnsi="Verdana" w:cs="Arial"/>
          <w:lang w:val="es-MX"/>
        </w:rPr>
        <w:t>, sin importar el porcentaje de financiación.</w:t>
      </w:r>
    </w:p>
    <w:p w14:paraId="428E8650" w14:textId="77777777" w:rsidR="005474F1" w:rsidRPr="00DF1455" w:rsidRDefault="005474F1" w:rsidP="005474F1">
      <w:pPr>
        <w:spacing w:after="0" w:line="276" w:lineRule="auto"/>
        <w:ind w:firstLine="694"/>
        <w:jc w:val="both"/>
        <w:rPr>
          <w:rFonts w:ascii="Verdana" w:hAnsi="Verdana" w:cs="Arial"/>
          <w:lang w:val="es-ES"/>
        </w:rPr>
      </w:pPr>
    </w:p>
    <w:p w14:paraId="70C38307" w14:textId="77777777" w:rsidR="005474F1" w:rsidRDefault="005474F1" w:rsidP="005474F1">
      <w:pPr>
        <w:spacing w:after="120" w:line="276" w:lineRule="auto"/>
        <w:jc w:val="both"/>
        <w:rPr>
          <w:rFonts w:ascii="Verdana" w:eastAsia="Arial" w:hAnsi="Verdana" w:cs="Arial"/>
          <w:bCs/>
          <w:color w:val="000000" w:themeColor="text1"/>
          <w:lang w:val="es-ES"/>
        </w:rPr>
      </w:pPr>
      <w:r>
        <w:rPr>
          <w:rFonts w:ascii="Verdana" w:eastAsia="Arial" w:hAnsi="Verdana" w:cs="Arial"/>
          <w:bCs/>
          <w:color w:val="000000" w:themeColor="text1"/>
          <w:lang w:val="es-ES"/>
        </w:rPr>
        <w:t xml:space="preserve">vi) Conforme con lo expuesto, las entidades que requieran adelantar procesos de contratación directa durante el periodo de garantías electorales deberán analizar, primero, si se configuran los supuestos establecidos en </w:t>
      </w:r>
      <w:r w:rsidRPr="00C16886">
        <w:rPr>
          <w:rFonts w:ascii="Verdana" w:eastAsia="Arial" w:hAnsi="Verdana" w:cs="Arial"/>
          <w:bCs/>
          <w:i/>
          <w:iCs/>
          <w:color w:val="000000" w:themeColor="text1"/>
          <w:lang w:val="es-ES"/>
        </w:rPr>
        <w:t>el artículo 33</w:t>
      </w:r>
      <w:r>
        <w:rPr>
          <w:rFonts w:ascii="Verdana" w:eastAsia="Arial" w:hAnsi="Verdana" w:cs="Arial"/>
          <w:bCs/>
          <w:color w:val="000000" w:themeColor="text1"/>
          <w:lang w:val="es-ES"/>
        </w:rPr>
        <w:t xml:space="preserve"> de la Ley 996 de 2005, es decir, si se trata de cualquier entidad pública que pretenda adelantar un proceso no competitivo. Adicionalmente, será pertinente analizar si se configura alguna de las excepciones previstas en la norma. De ser así, la entidad podrá llevar a cabo la contratación directa, a pesar de que haya iniciado el periodo de garantías electorales correspondiente al artículo 33 de la Ley 996 de 2005.</w:t>
      </w:r>
    </w:p>
    <w:p w14:paraId="178686D3" w14:textId="77777777" w:rsidR="005474F1" w:rsidRDefault="005474F1" w:rsidP="005474F1">
      <w:pPr>
        <w:spacing w:before="120" w:after="120" w:line="276" w:lineRule="auto"/>
        <w:jc w:val="both"/>
        <w:rPr>
          <w:rFonts w:ascii="Verdana" w:eastAsia="Arial" w:hAnsi="Verdana" w:cs="Arial"/>
          <w:bCs/>
          <w:color w:val="000000" w:themeColor="text1"/>
          <w:lang w:val="es-ES"/>
        </w:rPr>
      </w:pPr>
      <w:r>
        <w:rPr>
          <w:rFonts w:ascii="Verdana" w:eastAsia="Arial" w:hAnsi="Verdana" w:cs="Arial"/>
          <w:bCs/>
          <w:color w:val="000000" w:themeColor="text1"/>
          <w:lang w:val="es-ES"/>
        </w:rPr>
        <w:tab/>
        <w:t xml:space="preserve">Con respecto a la prohibición del </w:t>
      </w:r>
      <w:r w:rsidRPr="00C16886">
        <w:rPr>
          <w:rFonts w:ascii="Verdana" w:eastAsia="Arial" w:hAnsi="Verdana" w:cs="Arial"/>
          <w:bCs/>
          <w:i/>
          <w:iCs/>
          <w:color w:val="000000" w:themeColor="text1"/>
          <w:lang w:val="es-ES"/>
        </w:rPr>
        <w:t>parágrafo del artículo 38</w:t>
      </w:r>
      <w:r>
        <w:rPr>
          <w:rFonts w:ascii="Verdana" w:eastAsia="Arial" w:hAnsi="Verdana" w:cs="Arial"/>
          <w:bCs/>
          <w:color w:val="000000" w:themeColor="text1"/>
          <w:lang w:val="es-ES"/>
        </w:rPr>
        <w:t>, es necesario verificar si la contratación es llevada a cabo por “</w:t>
      </w:r>
      <w:r w:rsidRPr="000C77A8">
        <w:rPr>
          <w:rFonts w:ascii="Verdana" w:eastAsia="Arial" w:hAnsi="Verdana" w:cs="Arial"/>
          <w:bCs/>
          <w:color w:val="000000" w:themeColor="text1"/>
        </w:rPr>
        <w:t>Alcaldes, Gobernadores, Secretarios, Gerentes y Directores de las entidades del orden municipal, departamental o distrital</w:t>
      </w:r>
      <w:r>
        <w:rPr>
          <w:rFonts w:ascii="Verdana" w:eastAsia="Arial" w:hAnsi="Verdana" w:cs="Arial"/>
          <w:bCs/>
          <w:color w:val="000000" w:themeColor="text1"/>
        </w:rPr>
        <w:t xml:space="preserve">”, así </w:t>
      </w:r>
      <w:proofErr w:type="gramStart"/>
      <w:r>
        <w:rPr>
          <w:rFonts w:ascii="Verdana" w:eastAsia="Arial" w:hAnsi="Verdana" w:cs="Arial"/>
          <w:bCs/>
          <w:color w:val="000000" w:themeColor="text1"/>
        </w:rPr>
        <w:t>como</w:t>
      </w:r>
      <w:r w:rsidRPr="000C77A8">
        <w:rPr>
          <w:rFonts w:ascii="Verdana" w:eastAsia="Arial" w:hAnsi="Verdana" w:cs="Arial"/>
          <w:bCs/>
          <w:color w:val="000000" w:themeColor="text1"/>
        </w:rPr>
        <w:t> </w:t>
      </w:r>
      <w:r>
        <w:rPr>
          <w:rFonts w:ascii="Verdana" w:eastAsia="Arial" w:hAnsi="Verdana" w:cs="Arial"/>
          <w:bCs/>
          <w:color w:val="000000" w:themeColor="text1"/>
          <w:lang w:val="es-ES"/>
        </w:rPr>
        <w:t xml:space="preserve"> verificar</w:t>
      </w:r>
      <w:proofErr w:type="gramEnd"/>
      <w:r>
        <w:rPr>
          <w:rFonts w:ascii="Verdana" w:eastAsia="Arial" w:hAnsi="Verdana" w:cs="Arial"/>
          <w:bCs/>
          <w:color w:val="000000" w:themeColor="text1"/>
          <w:lang w:val="es-ES"/>
        </w:rPr>
        <w:t xml:space="preserve"> si lo que pretende adelantar es un convenio interadministrativo para la ejecución de recursos públicos. Cuando este sea el caso, operará la restricción señalada en el parágrafo y estará prohibido llevar a cabo la contratación en los cuatro meses anteriores a cualquier contienda electoral. Es importante resaltar que para esta prohibición la norma no contempló ninguna excepción, de modo que </w:t>
      </w:r>
      <w:proofErr w:type="gramStart"/>
      <w:r>
        <w:rPr>
          <w:rFonts w:ascii="Verdana" w:eastAsia="Arial" w:hAnsi="Verdana" w:cs="Arial"/>
          <w:bCs/>
          <w:color w:val="000000" w:themeColor="text1"/>
          <w:lang w:val="es-ES"/>
        </w:rPr>
        <w:t>aplicará</w:t>
      </w:r>
      <w:proofErr w:type="gramEnd"/>
      <w:r>
        <w:rPr>
          <w:rFonts w:ascii="Verdana" w:eastAsia="Arial" w:hAnsi="Verdana" w:cs="Arial"/>
          <w:bCs/>
          <w:color w:val="000000" w:themeColor="text1"/>
          <w:lang w:val="es-ES"/>
        </w:rPr>
        <w:t xml:space="preserve"> aunque se trate de entidades sanitarias u hospitalarias. </w:t>
      </w:r>
    </w:p>
    <w:p w14:paraId="1EEF1A0E" w14:textId="77777777" w:rsidR="005474F1" w:rsidRPr="00F66EEE" w:rsidRDefault="005474F1" w:rsidP="005474F1">
      <w:pPr>
        <w:spacing w:before="120" w:after="120" w:line="276" w:lineRule="auto"/>
        <w:ind w:firstLine="708"/>
        <w:jc w:val="both"/>
        <w:rPr>
          <w:rFonts w:ascii="Verdana" w:eastAsia="Arial" w:hAnsi="Verdana" w:cs="Arial"/>
          <w:bCs/>
          <w:color w:val="000000" w:themeColor="text1"/>
          <w:lang w:val="es-ES"/>
        </w:rPr>
      </w:pPr>
      <w:r>
        <w:rPr>
          <w:rFonts w:ascii="Verdana" w:eastAsia="Calibri" w:hAnsi="Verdana" w:cs="Arial"/>
          <w:lang w:val="es-ES"/>
        </w:rPr>
        <w:t xml:space="preserve">En suma, </w:t>
      </w:r>
      <w:r w:rsidRPr="00584759">
        <w:rPr>
          <w:rFonts w:ascii="Verdana" w:eastAsia="Calibri" w:hAnsi="Verdana" w:cs="Arial"/>
          <w:lang w:val="es-ES"/>
        </w:rPr>
        <w:t xml:space="preserve">corresponderá a cada </w:t>
      </w:r>
      <w:r>
        <w:rPr>
          <w:rFonts w:ascii="Verdana" w:eastAsia="Calibri" w:hAnsi="Verdana" w:cs="Arial"/>
          <w:lang w:val="es-ES"/>
        </w:rPr>
        <w:t>E</w:t>
      </w:r>
      <w:r w:rsidRPr="00584759">
        <w:rPr>
          <w:rFonts w:ascii="Verdana" w:eastAsia="Calibri" w:hAnsi="Verdana" w:cs="Arial"/>
          <w:lang w:val="es-ES"/>
        </w:rPr>
        <w:t xml:space="preserve">ntidad </w:t>
      </w:r>
      <w:r>
        <w:rPr>
          <w:rFonts w:ascii="Verdana" w:eastAsia="Calibri" w:hAnsi="Verdana" w:cs="Arial"/>
          <w:lang w:val="es-ES"/>
        </w:rPr>
        <w:t>E</w:t>
      </w:r>
      <w:r w:rsidRPr="00584759">
        <w:rPr>
          <w:rFonts w:ascii="Verdana" w:eastAsia="Calibri" w:hAnsi="Verdana" w:cs="Arial"/>
          <w:lang w:val="es-ES"/>
        </w:rPr>
        <w:t>statal</w:t>
      </w:r>
      <w:r>
        <w:rPr>
          <w:rFonts w:ascii="Verdana" w:eastAsia="Calibri" w:hAnsi="Verdana" w:cs="Arial"/>
          <w:lang w:val="es-ES"/>
        </w:rPr>
        <w:t xml:space="preserve"> </w:t>
      </w:r>
      <w:r w:rsidRPr="00584759">
        <w:rPr>
          <w:rFonts w:ascii="Verdana" w:eastAsia="Calibri" w:hAnsi="Verdana" w:cs="Arial"/>
          <w:lang w:val="es-ES"/>
        </w:rPr>
        <w:t>determinar la procedencia de celebrar un contrato estatal específico, para lo cual deberán tener en cuenta las prohibiciones establecidas en materia contractual en la Ley de Garantías Electorales, así como las excepciones que resulten procedentes, de acuerdo con lo explicado en las consideraciones de este concepto.</w:t>
      </w:r>
      <w:r>
        <w:rPr>
          <w:rFonts w:ascii="Verdana" w:eastAsia="Arial" w:hAnsi="Verdana" w:cs="Arial"/>
          <w:bCs/>
          <w:color w:val="000000" w:themeColor="text1"/>
          <w:lang w:val="es-ES"/>
        </w:rPr>
        <w:t xml:space="preserve"> </w:t>
      </w:r>
      <w:r>
        <w:rPr>
          <w:rFonts w:ascii="Verdana" w:hAnsi="Verdana" w:cs="Arial"/>
          <w:lang w:val="es-ES" w:eastAsia="es-CO"/>
        </w:rPr>
        <w:t>En cualquier caso, las entidades podrán considerar l</w:t>
      </w:r>
      <w:r w:rsidRPr="00FC6F34">
        <w:rPr>
          <w:rFonts w:ascii="Verdana" w:hAnsi="Verdana" w:cs="Arial"/>
          <w:lang w:val="es-ES" w:eastAsia="es-CO"/>
        </w:rPr>
        <w:t xml:space="preserve">a posibilidad </w:t>
      </w:r>
      <w:r>
        <w:rPr>
          <w:rFonts w:ascii="Verdana" w:hAnsi="Verdana" w:cs="Arial"/>
          <w:lang w:val="es-ES" w:eastAsia="es-CO"/>
        </w:rPr>
        <w:t>de adelantar procedimientos de selección mediante modalidades distintas a la contratación directa o implementar tipologías distintas a la contratación interadministrativa</w:t>
      </w:r>
      <w:r w:rsidRPr="00FC6F34">
        <w:rPr>
          <w:rFonts w:ascii="Verdana" w:hAnsi="Verdana" w:cs="Arial"/>
          <w:lang w:val="es-ES" w:eastAsia="es-CO"/>
        </w:rPr>
        <w:t xml:space="preserve">, </w:t>
      </w:r>
      <w:r>
        <w:rPr>
          <w:rFonts w:ascii="Verdana" w:hAnsi="Verdana" w:cs="Arial"/>
          <w:lang w:val="es-ES" w:eastAsia="es-CO"/>
        </w:rPr>
        <w:t xml:space="preserve">es decir, </w:t>
      </w:r>
      <w:r>
        <w:rPr>
          <w:rFonts w:ascii="Verdana" w:hAnsi="Verdana" w:cs="Arial"/>
          <w:lang w:val="es-ES" w:eastAsia="es-CO"/>
        </w:rPr>
        <w:lastRenderedPageBreak/>
        <w:t xml:space="preserve">podrán adelantar aquellas que </w:t>
      </w:r>
      <w:r w:rsidRPr="00FC6F34">
        <w:rPr>
          <w:rFonts w:ascii="Verdana" w:hAnsi="Verdana" w:cs="Arial"/>
          <w:lang w:val="es-ES" w:eastAsia="es-CO"/>
        </w:rPr>
        <w:t>no se encuentr</w:t>
      </w:r>
      <w:r>
        <w:rPr>
          <w:rFonts w:ascii="Verdana" w:hAnsi="Verdana" w:cs="Arial"/>
          <w:lang w:val="es-ES" w:eastAsia="es-CO"/>
        </w:rPr>
        <w:t>e</w:t>
      </w:r>
      <w:r w:rsidRPr="00FC6F34">
        <w:rPr>
          <w:rFonts w:ascii="Verdana" w:hAnsi="Verdana" w:cs="Arial"/>
          <w:lang w:val="es-ES" w:eastAsia="es-CO"/>
        </w:rPr>
        <w:t>n restringidas por el artículo 33</w:t>
      </w:r>
      <w:r>
        <w:rPr>
          <w:rFonts w:ascii="Verdana" w:hAnsi="Verdana" w:cs="Arial"/>
          <w:lang w:val="es-ES" w:eastAsia="es-CO"/>
        </w:rPr>
        <w:t xml:space="preserve"> o el parágrafo del artículo 38</w:t>
      </w:r>
      <w:r w:rsidRPr="00FC6F34">
        <w:rPr>
          <w:rFonts w:ascii="Verdana" w:hAnsi="Verdana" w:cs="Arial"/>
          <w:lang w:val="es-ES" w:eastAsia="es-CO"/>
        </w:rPr>
        <w:t xml:space="preserve"> de la Ley 996 de 2005.</w:t>
      </w:r>
    </w:p>
    <w:p w14:paraId="5B5E21F4" w14:textId="09A9BA26" w:rsidR="005474F1" w:rsidRPr="00545054" w:rsidRDefault="005474F1" w:rsidP="00545054">
      <w:pPr>
        <w:spacing w:after="120" w:line="276" w:lineRule="auto"/>
        <w:ind w:firstLine="708"/>
        <w:jc w:val="both"/>
        <w:rPr>
          <w:rFonts w:ascii="Verdana" w:eastAsia="Times New Roman" w:hAnsi="Verdana" w:cs="Arial"/>
          <w:bCs/>
          <w:lang w:val="es-ES" w:eastAsia="es-CO"/>
        </w:rPr>
      </w:pPr>
      <w:r w:rsidRPr="00FC6F34">
        <w:rPr>
          <w:rFonts w:ascii="Verdana" w:eastAsia="Arial" w:hAnsi="Verdana" w:cs="Arial"/>
          <w:color w:val="000000" w:themeColor="text1"/>
          <w:lang w:val="es-ES"/>
        </w:rPr>
        <w:t xml:space="preserve">Finalmente, es importante advertir que </w:t>
      </w:r>
      <w:r w:rsidRPr="00FC6F34">
        <w:rPr>
          <w:rFonts w:ascii="Verdana" w:eastAsia="Times New Roman" w:hAnsi="Verdana" w:cs="Arial"/>
          <w:lang w:val="es-ES"/>
        </w:rPr>
        <w:t xml:space="preserve">compete a cada </w:t>
      </w:r>
      <w:r>
        <w:rPr>
          <w:rFonts w:ascii="Verdana" w:eastAsia="Times New Roman" w:hAnsi="Verdana" w:cs="Arial"/>
          <w:lang w:val="es-ES"/>
        </w:rPr>
        <w:t>E</w:t>
      </w:r>
      <w:r w:rsidRPr="00FC6F34">
        <w:rPr>
          <w:rFonts w:ascii="Verdana" w:eastAsia="Times New Roman" w:hAnsi="Verdana" w:cs="Arial"/>
          <w:lang w:val="es-ES"/>
        </w:rPr>
        <w:t xml:space="preserve">ntidad </w:t>
      </w:r>
      <w:r>
        <w:rPr>
          <w:rFonts w:ascii="Verdana" w:eastAsia="Times New Roman" w:hAnsi="Verdana" w:cs="Arial"/>
          <w:lang w:val="es-ES"/>
        </w:rPr>
        <w:t>E</w:t>
      </w:r>
      <w:r w:rsidRPr="00FC6F34">
        <w:rPr>
          <w:rFonts w:ascii="Verdana" w:eastAsia="Times New Roman" w:hAnsi="Verdana" w:cs="Arial"/>
          <w:lang w:val="es-ES"/>
        </w:rPr>
        <w:t>statal que considera celebrar un contrato específico definir si este se enmarca</w:t>
      </w:r>
      <w:r>
        <w:rPr>
          <w:rFonts w:ascii="Verdana" w:eastAsia="Times New Roman" w:hAnsi="Verdana" w:cs="Arial"/>
          <w:lang w:val="es-ES"/>
        </w:rPr>
        <w:t xml:space="preserve"> en alguna de las prohibiciones de la Ley de Garantías Electorales</w:t>
      </w:r>
      <w:r w:rsidRPr="00FC6F34">
        <w:rPr>
          <w:rFonts w:ascii="Verdana" w:eastAsia="Times New Roman" w:hAnsi="Verdana" w:cs="Arial"/>
          <w:lang w:val="es-ES"/>
        </w:rPr>
        <w:t xml:space="preserve">. </w:t>
      </w: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bookmarkEnd w:id="1"/>
    <w:bookmarkEnd w:id="2"/>
    <w:p w14:paraId="45496A67" w14:textId="77777777" w:rsidR="005474F1" w:rsidRPr="00FC6F34" w:rsidRDefault="005474F1" w:rsidP="005474F1">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4.Referencias normativas, jurisprudenciales y otras fuentes:</w:t>
      </w:r>
    </w:p>
    <w:p w14:paraId="2C83C650" w14:textId="77777777" w:rsidR="005474F1" w:rsidRPr="00FC6F34" w:rsidRDefault="005474F1" w:rsidP="005474F1">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474F1" w:rsidRPr="00FC6F34" w14:paraId="3781AD87" w14:textId="77777777" w:rsidTr="00C733E6">
        <w:trPr>
          <w:trHeight w:val="870"/>
        </w:trPr>
        <w:tc>
          <w:tcPr>
            <w:tcW w:w="8647" w:type="dxa"/>
          </w:tcPr>
          <w:p w14:paraId="565BBD2F" w14:textId="77777777" w:rsidR="005474F1" w:rsidRPr="00FC6F34" w:rsidRDefault="005474F1" w:rsidP="00CE50C5">
            <w:pPr>
              <w:widowControl w:val="0"/>
              <w:numPr>
                <w:ilvl w:val="0"/>
                <w:numId w:val="16"/>
              </w:numPr>
              <w:autoSpaceDE w:val="0"/>
              <w:autoSpaceDN w:val="0"/>
              <w:spacing w:before="120" w:after="120"/>
              <w:jc w:val="both"/>
              <w:rPr>
                <w:rFonts w:ascii="Verdana" w:eastAsia="Arial MT" w:hAnsi="Verdana" w:cs="Arial"/>
                <w:lang w:val="es-ES" w:eastAsia="es-ES" w:bidi="es-ES"/>
              </w:rPr>
            </w:pPr>
            <w:r w:rsidRPr="00FC6F34">
              <w:rPr>
                <w:rFonts w:ascii="Verdana" w:eastAsia="Arial MT" w:hAnsi="Verdana" w:cs="Arial"/>
                <w:lang w:val="es-ES" w:eastAsia="es-ES" w:bidi="es-ES"/>
              </w:rPr>
              <w:t xml:space="preserve">Ley 80 de 1993, artículos 39, 41. </w:t>
            </w:r>
          </w:p>
          <w:p w14:paraId="187590EA" w14:textId="77777777" w:rsidR="005474F1" w:rsidRPr="00FC6F34" w:rsidRDefault="005474F1" w:rsidP="00C733E6">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Arial MT" w:hAnsi="Verdana" w:cs="Arial"/>
                <w:bCs/>
                <w:lang w:val="es-ES" w:eastAsia="es-ES" w:bidi="es-ES"/>
              </w:rPr>
              <w:t>Ley 996 de 2005: artículos 33 y 38.</w:t>
            </w:r>
          </w:p>
          <w:p w14:paraId="71451681" w14:textId="77777777" w:rsidR="005474F1" w:rsidRPr="00FC6F34" w:rsidRDefault="005474F1" w:rsidP="00C733E6">
            <w:pPr>
              <w:pStyle w:val="Prrafodelista"/>
              <w:widowControl w:val="0"/>
              <w:numPr>
                <w:ilvl w:val="0"/>
                <w:numId w:val="16"/>
              </w:numPr>
              <w:autoSpaceDE w:val="0"/>
              <w:autoSpaceDN w:val="0"/>
              <w:spacing w:before="120" w:after="120" w:line="276" w:lineRule="auto"/>
              <w:contextualSpacing w:val="0"/>
              <w:jc w:val="both"/>
              <w:rPr>
                <w:rFonts w:ascii="Verdana" w:hAnsi="Verdana" w:cs="Arial"/>
              </w:rPr>
            </w:pPr>
            <w:r w:rsidRPr="00FC6F34">
              <w:rPr>
                <w:rFonts w:ascii="Verdana" w:hAnsi="Verdana" w:cs="Arial"/>
              </w:rPr>
              <w:t>Ley 813 de 2003: artículos 8, 10, 11 y 12.</w:t>
            </w:r>
          </w:p>
          <w:p w14:paraId="027D473B" w14:textId="77777777" w:rsidR="005474F1" w:rsidRDefault="005474F1" w:rsidP="00C733E6">
            <w:pPr>
              <w:widowControl w:val="0"/>
              <w:numPr>
                <w:ilvl w:val="0"/>
                <w:numId w:val="16"/>
              </w:numPr>
              <w:autoSpaceDE w:val="0"/>
              <w:autoSpaceDN w:val="0"/>
              <w:spacing w:after="120"/>
              <w:jc w:val="both"/>
              <w:rPr>
                <w:rFonts w:ascii="Verdana" w:eastAsia="Arial MT" w:hAnsi="Verdana" w:cs="Arial"/>
                <w:lang w:val="es-ES" w:eastAsia="es-ES" w:bidi="es-ES"/>
              </w:rPr>
            </w:pPr>
            <w:r w:rsidRPr="00FC6F34">
              <w:rPr>
                <w:rFonts w:ascii="Verdana" w:eastAsia="Times New Roman" w:hAnsi="Verdana" w:cs="Times New Roman"/>
                <w:lang w:val="es-ES" w:eastAsia="es-MX"/>
              </w:rPr>
              <w:t>Ley 1150 de 2007</w:t>
            </w:r>
            <w:r>
              <w:rPr>
                <w:rFonts w:ascii="Verdana" w:eastAsia="Times New Roman" w:hAnsi="Verdana" w:cs="Times New Roman"/>
                <w:lang w:val="es-ES" w:eastAsia="es-MX"/>
              </w:rPr>
              <w:t>:</w:t>
            </w:r>
            <w:r w:rsidRPr="00FC6F34">
              <w:rPr>
                <w:rFonts w:ascii="Verdana" w:eastAsia="Times New Roman" w:hAnsi="Verdana" w:cs="Times New Roman"/>
                <w:lang w:val="es-ES" w:eastAsia="es-MX"/>
              </w:rPr>
              <w:t xml:space="preserve"> </w:t>
            </w:r>
            <w:r>
              <w:rPr>
                <w:rFonts w:ascii="Verdana" w:eastAsia="Arial MT" w:hAnsi="Verdana" w:cs="Arial"/>
                <w:lang w:val="es-ES" w:eastAsia="es-ES" w:bidi="es-ES"/>
              </w:rPr>
              <w:t>a</w:t>
            </w:r>
            <w:r w:rsidRPr="00FC6F34">
              <w:rPr>
                <w:rFonts w:ascii="Verdana" w:eastAsia="Arial MT" w:hAnsi="Verdana" w:cs="Arial"/>
                <w:lang w:val="es-ES" w:eastAsia="es-ES" w:bidi="es-ES"/>
              </w:rPr>
              <w:t>rtículo 2</w:t>
            </w:r>
            <w:r>
              <w:rPr>
                <w:rFonts w:ascii="Verdana" w:eastAsia="Arial MT" w:hAnsi="Verdana" w:cs="Arial"/>
                <w:lang w:val="es-ES" w:eastAsia="es-ES" w:bidi="es-ES"/>
              </w:rPr>
              <w:t xml:space="preserve"> y 20.</w:t>
            </w:r>
          </w:p>
          <w:p w14:paraId="1B22595C" w14:textId="77777777" w:rsidR="005474F1" w:rsidRPr="00E92347" w:rsidRDefault="005474F1" w:rsidP="00C733E6">
            <w:pPr>
              <w:widowControl w:val="0"/>
              <w:numPr>
                <w:ilvl w:val="0"/>
                <w:numId w:val="16"/>
              </w:numPr>
              <w:autoSpaceDE w:val="0"/>
              <w:autoSpaceDN w:val="0"/>
              <w:spacing w:after="120"/>
              <w:jc w:val="both"/>
              <w:rPr>
                <w:rFonts w:ascii="Verdana" w:eastAsia="Arial MT" w:hAnsi="Verdana" w:cs="Arial"/>
                <w:lang w:eastAsia="es-ES" w:bidi="es-ES"/>
              </w:rPr>
            </w:pPr>
            <w:r w:rsidRPr="00E92347">
              <w:rPr>
                <w:rFonts w:ascii="Verdana" w:eastAsia="Arial MT" w:hAnsi="Verdana" w:cs="Arial"/>
                <w:lang w:eastAsia="es-ES" w:bidi="es-ES"/>
              </w:rPr>
              <w:t>Agencia Nacional de Contratación </w:t>
            </w:r>
            <w:r>
              <w:rPr>
                <w:rFonts w:ascii="Verdana" w:eastAsia="Arial MT" w:hAnsi="Verdana" w:cs="Arial"/>
                <w:lang w:eastAsia="es-ES" w:bidi="es-ES"/>
              </w:rPr>
              <w:t xml:space="preserve">Pública – Colombia Compra Eficiente, </w:t>
            </w:r>
            <w:r w:rsidRPr="00E92347">
              <w:rPr>
                <w:rFonts w:ascii="Verdana" w:eastAsia="Arial MT" w:hAnsi="Verdana" w:cs="Arial"/>
                <w:lang w:eastAsia="es-ES" w:bidi="es-ES"/>
              </w:rPr>
              <w:t>Circular Externa 006 de 2025</w:t>
            </w:r>
            <w:r>
              <w:rPr>
                <w:rFonts w:ascii="Verdana" w:eastAsia="Arial MT" w:hAnsi="Verdana" w:cs="Arial"/>
                <w:lang w:eastAsia="es-ES" w:bidi="es-ES"/>
              </w:rPr>
              <w:t xml:space="preserve"> sobre la Ley de Garantías Electorales. Disponible en:</w:t>
            </w:r>
            <w:r>
              <w:t xml:space="preserve"> </w:t>
            </w:r>
            <w:hyperlink r:id="rId12" w:history="1">
              <w:r w:rsidRPr="007D3EA5">
                <w:rPr>
                  <w:rStyle w:val="Hipervnculo"/>
                  <w:rFonts w:ascii="Verdana" w:eastAsia="Arial MT" w:hAnsi="Verdana" w:cs="Arial"/>
                  <w:lang w:eastAsia="es-ES" w:bidi="es-ES"/>
                </w:rPr>
                <w:t>https://www.colombiacompra.gov.co/archivos/circular/circular-externa-006-de-2025</w:t>
              </w:r>
            </w:hyperlink>
            <w:r>
              <w:rPr>
                <w:rFonts w:ascii="Verdana" w:eastAsia="Arial MT" w:hAnsi="Verdana" w:cs="Arial"/>
                <w:lang w:eastAsia="es-ES" w:bidi="es-ES"/>
              </w:rPr>
              <w:t xml:space="preserve"> </w:t>
            </w:r>
          </w:p>
          <w:p w14:paraId="0FCAD75F" w14:textId="77777777" w:rsidR="005474F1" w:rsidRPr="00FC6F34" w:rsidRDefault="005474F1" w:rsidP="00C733E6">
            <w:pPr>
              <w:widowControl w:val="0"/>
              <w:numPr>
                <w:ilvl w:val="0"/>
                <w:numId w:val="16"/>
              </w:numPr>
              <w:autoSpaceDE w:val="0"/>
              <w:autoSpaceDN w:val="0"/>
              <w:spacing w:after="120"/>
              <w:jc w:val="both"/>
              <w:rPr>
                <w:rFonts w:ascii="Verdana" w:eastAsia="Calibri" w:hAnsi="Verdana" w:cs="Arial"/>
                <w:lang w:val="es-ES"/>
              </w:rPr>
            </w:pPr>
            <w:r w:rsidRPr="00FC6F34">
              <w:rPr>
                <w:rFonts w:ascii="Verdana" w:eastAsia="Calibri" w:hAnsi="Verdana" w:cs="Arial"/>
                <w:lang w:val="es-ES"/>
              </w:rPr>
              <w:t xml:space="preserve">Consejo de Estado, Sección Primera. Sentencia de 3 de marzo de 2005, </w:t>
            </w:r>
            <w:proofErr w:type="spellStart"/>
            <w:r w:rsidRPr="00FC6F34">
              <w:rPr>
                <w:rFonts w:ascii="Verdana" w:eastAsia="Calibri" w:hAnsi="Verdana" w:cs="Arial"/>
                <w:lang w:val="es-ES"/>
              </w:rPr>
              <w:t>Exp</w:t>
            </w:r>
            <w:proofErr w:type="spellEnd"/>
            <w:r w:rsidRPr="00FC6F34">
              <w:rPr>
                <w:rFonts w:ascii="Verdana" w:eastAsia="Calibri" w:hAnsi="Verdana" w:cs="Arial"/>
                <w:lang w:val="es-ES"/>
              </w:rPr>
              <w:t xml:space="preserve">. 2004-00823-01(PI). </w:t>
            </w:r>
          </w:p>
          <w:p w14:paraId="73B523C9" w14:textId="77777777" w:rsidR="005474F1" w:rsidRPr="00FC6F34" w:rsidRDefault="005474F1" w:rsidP="00C733E6">
            <w:pPr>
              <w:widowControl w:val="0"/>
              <w:numPr>
                <w:ilvl w:val="0"/>
                <w:numId w:val="16"/>
              </w:numPr>
              <w:autoSpaceDE w:val="0"/>
              <w:autoSpaceDN w:val="0"/>
              <w:spacing w:after="120"/>
              <w:jc w:val="both"/>
              <w:rPr>
                <w:rFonts w:ascii="Verdana" w:eastAsia="Calibri" w:hAnsi="Verdana" w:cs="Arial"/>
                <w:lang w:val="es-ES"/>
              </w:rPr>
            </w:pPr>
            <w:r w:rsidRPr="00FC6F34">
              <w:rPr>
                <w:rFonts w:ascii="Verdana" w:eastAsia="Calibri" w:hAnsi="Verdana" w:cs="Arial"/>
                <w:lang w:val="es-ES"/>
              </w:rPr>
              <w:t xml:space="preserve">Consejo de Estado, Sala de Consulta y Servicio Civil, Concepto de fecha 24 de julio de 2013, Rad. 2166, C. P. Álvaro Namén Vargas. </w:t>
            </w:r>
          </w:p>
          <w:p w14:paraId="072AD2C7" w14:textId="77777777" w:rsidR="005474F1" w:rsidRPr="00FC6F34" w:rsidRDefault="005474F1" w:rsidP="00C733E6">
            <w:pPr>
              <w:pStyle w:val="Prrafodelista"/>
              <w:numPr>
                <w:ilvl w:val="0"/>
                <w:numId w:val="16"/>
              </w:numPr>
              <w:spacing w:before="120" w:after="120" w:line="276" w:lineRule="auto"/>
              <w:contextualSpacing w:val="0"/>
              <w:jc w:val="both"/>
              <w:rPr>
                <w:rFonts w:ascii="Verdana" w:hAnsi="Verdana" w:cs="Arial"/>
              </w:rPr>
            </w:pPr>
            <w:r w:rsidRPr="00FC6F34">
              <w:rPr>
                <w:rFonts w:ascii="Verdana" w:eastAsia="Calibri" w:hAnsi="Verdana" w:cs="Arial"/>
              </w:rPr>
              <w:t>Consejo de Estado. Sala de Consulta y Servicio Civil. Concepto del 17 de febrero de 2015. C.P. William Zambrano Cetina. Radicación No. 11001-03-06-000-2015-00164-00(2269).</w:t>
            </w:r>
          </w:p>
          <w:p w14:paraId="10E4E068" w14:textId="77777777" w:rsidR="005474F1" w:rsidRPr="00FC6F34" w:rsidRDefault="005474F1" w:rsidP="00C733E6">
            <w:pPr>
              <w:pStyle w:val="Prrafodelista"/>
              <w:numPr>
                <w:ilvl w:val="0"/>
                <w:numId w:val="16"/>
              </w:numPr>
              <w:spacing w:before="120" w:after="120" w:line="276" w:lineRule="auto"/>
              <w:contextualSpacing w:val="0"/>
              <w:jc w:val="both"/>
              <w:rPr>
                <w:rFonts w:ascii="Verdana" w:hAnsi="Verdana" w:cs="Arial"/>
              </w:rPr>
            </w:pPr>
            <w:r w:rsidRPr="00FC6F34">
              <w:rPr>
                <w:rFonts w:ascii="Verdana" w:eastAsia="Calibri" w:hAnsi="Verdana" w:cs="Arial"/>
              </w:rPr>
              <w:t>Consejo de Estado, Sala de Consulta y Servicio Civil, Concepto de fecha 8 de mayo de 2018, No. 2382. C. P. Álvaro Namén Vargas.</w:t>
            </w:r>
          </w:p>
        </w:tc>
      </w:tr>
    </w:tbl>
    <w:p w14:paraId="04EAF348" w14:textId="77777777" w:rsidR="005474F1" w:rsidRPr="00FC6F34" w:rsidRDefault="005474F1" w:rsidP="005474F1">
      <w:pPr>
        <w:widowControl w:val="0"/>
        <w:autoSpaceDE w:val="0"/>
        <w:autoSpaceDN w:val="0"/>
        <w:spacing w:after="0" w:line="276" w:lineRule="auto"/>
        <w:jc w:val="both"/>
        <w:rPr>
          <w:rFonts w:ascii="Verdana" w:hAnsi="Verdana" w:cs="Arial"/>
          <w:color w:val="000000" w:themeColor="text1"/>
          <w:lang w:val="es-ES"/>
        </w:rPr>
      </w:pPr>
    </w:p>
    <w:p w14:paraId="4483BF76" w14:textId="77777777" w:rsidR="005474F1" w:rsidRPr="00FC6F34" w:rsidRDefault="005474F1" w:rsidP="005474F1">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5.Doctrina de la Agencia Nacional de Contratación Pública:</w:t>
      </w:r>
    </w:p>
    <w:p w14:paraId="0D54F573" w14:textId="77777777" w:rsidR="005474F1" w:rsidRPr="00FC6F34" w:rsidRDefault="005474F1" w:rsidP="005474F1">
      <w:pPr>
        <w:widowControl w:val="0"/>
        <w:autoSpaceDE w:val="0"/>
        <w:autoSpaceDN w:val="0"/>
        <w:spacing w:after="0" w:line="276" w:lineRule="auto"/>
        <w:jc w:val="both"/>
        <w:rPr>
          <w:rFonts w:ascii="Verdana" w:hAnsi="Verdana" w:cs="Arial"/>
          <w:color w:val="000000" w:themeColor="text1"/>
          <w:lang w:val="es-ES"/>
        </w:rPr>
      </w:pPr>
    </w:p>
    <w:p w14:paraId="0F58FF9E" w14:textId="77777777" w:rsidR="00CE50C5" w:rsidRDefault="005474F1" w:rsidP="00FD2E08">
      <w:pPr>
        <w:spacing w:after="0"/>
        <w:jc w:val="both"/>
        <w:rPr>
          <w:rFonts w:ascii="Arial" w:eastAsia="Calibri" w:hAnsi="Arial" w:cs="Arial"/>
          <w:b/>
          <w:bCs/>
          <w:color w:val="000000" w:themeColor="text1"/>
          <w:lang w:val="es-ES_tradnl"/>
        </w:rPr>
      </w:pPr>
      <w:r w:rsidRPr="00FC6F34">
        <w:rPr>
          <w:rFonts w:ascii="Verdana" w:eastAsia="Calibri" w:hAnsi="Verdana" w:cs="Arial"/>
          <w:lang w:val="es-ES"/>
        </w:rPr>
        <w:t xml:space="preserve">La Agencia Nacional de Contratación Pública – Colombia Compra Eficiente se ha referido </w:t>
      </w:r>
      <w:r w:rsidRPr="00FC6F34">
        <w:rPr>
          <w:rFonts w:ascii="Verdana" w:hAnsi="Verdana" w:cs="Arial"/>
          <w:shd w:val="clear" w:color="auto" w:fill="FFFFFF"/>
          <w:lang w:val="es-ES"/>
        </w:rPr>
        <w:t>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C -635 del 27 de junio de 2025, C–750 de 17 de julio 2025, C-729 del 15 de Julio de 2015 y C-273-A de 2025</w:t>
      </w:r>
      <w:r>
        <w:rPr>
          <w:rFonts w:ascii="Verdana" w:hAnsi="Verdana" w:cs="Arial"/>
          <w:shd w:val="clear" w:color="auto" w:fill="FFFFFF"/>
          <w:lang w:val="es-ES"/>
        </w:rPr>
        <w:t>, entre otros</w:t>
      </w:r>
      <w:r w:rsidRPr="00FC6F34">
        <w:rPr>
          <w:rFonts w:ascii="Verdana" w:hAnsi="Verdana" w:cs="Arial"/>
          <w:shd w:val="clear" w:color="auto" w:fill="FFFFFF"/>
          <w:lang w:val="es-ES"/>
        </w:rPr>
        <w:t>. Estos</w:t>
      </w:r>
      <w:r w:rsidRPr="00FC6F34">
        <w:rPr>
          <w:rFonts w:ascii="Verdana" w:hAnsi="Verdana"/>
          <w:lang w:val="es-ES"/>
        </w:rPr>
        <w:t xml:space="preserve"> y otros se encuentran disponibles para consulta en el Sistema de relatoría de la Agencia, al cual se puede acceder a través del siguiente enlace:</w:t>
      </w:r>
      <w:r w:rsidRPr="00FC6F34">
        <w:rPr>
          <w:rFonts w:ascii="Verdana" w:hAnsi="Verdana" w:cs="Arial"/>
          <w:shd w:val="clear" w:color="auto" w:fill="FFFFFF"/>
          <w:lang w:val="es-ES"/>
        </w:rPr>
        <w:t xml:space="preserve"> </w:t>
      </w:r>
      <w:hyperlink r:id="rId13" w:history="1">
        <w:r w:rsidRPr="00FC6F34">
          <w:rPr>
            <w:rFonts w:ascii="Verdana" w:hAnsi="Verdana" w:cs="Arial"/>
            <w:color w:val="0000FF"/>
            <w:u w:val="single"/>
            <w:shd w:val="clear" w:color="auto" w:fill="FFFFFF"/>
            <w:lang w:val="es-ES"/>
          </w:rPr>
          <w:t>https://relatoria.colombiacompra.gov.co/busqueda/concept os</w:t>
        </w:r>
      </w:hyperlink>
      <w:r w:rsidRPr="00FC6F34">
        <w:rPr>
          <w:rFonts w:ascii="Verdana" w:hAnsi="Verdana" w:cs="Arial"/>
          <w:shd w:val="clear" w:color="auto" w:fill="FFFFFF"/>
          <w:lang w:val="es-ES"/>
        </w:rPr>
        <w:t>.</w:t>
      </w:r>
      <w:r w:rsidRPr="00FC6F34">
        <w:rPr>
          <w:rFonts w:ascii="Verdana" w:hAnsi="Verdana" w:cs="Arial"/>
          <w:color w:val="FF0000"/>
          <w:shd w:val="clear" w:color="auto" w:fill="FFFFFF"/>
          <w:lang w:val="es-ES"/>
        </w:rPr>
        <w:t xml:space="preserve"> </w:t>
      </w:r>
      <w:r w:rsidRPr="00FC6F34">
        <w:rPr>
          <w:rFonts w:ascii="Verdana" w:hAnsi="Verdana" w:cs="Arial"/>
          <w:color w:val="000000" w:themeColor="text1"/>
          <w:shd w:val="clear" w:color="auto" w:fill="FFFFFF"/>
          <w:lang w:val="es-ES"/>
        </w:rPr>
        <w:t>  </w:t>
      </w:r>
    </w:p>
    <w:p w14:paraId="2EDA4D37" w14:textId="77777777" w:rsidR="00FD2E08" w:rsidRDefault="00FD2E08" w:rsidP="00CE50C5">
      <w:pPr>
        <w:spacing w:after="0"/>
        <w:jc w:val="both"/>
        <w:rPr>
          <w:rFonts w:ascii="Verdana" w:hAnsi="Verdana" w:cs="Arial"/>
          <w:lang w:val="es-ES"/>
        </w:rPr>
      </w:pPr>
    </w:p>
    <w:p w14:paraId="645304C5" w14:textId="01EC09F2" w:rsidR="005474F1" w:rsidRPr="00CE50C5" w:rsidRDefault="005474F1" w:rsidP="00CE50C5">
      <w:pPr>
        <w:spacing w:after="0"/>
        <w:jc w:val="both"/>
        <w:rPr>
          <w:rFonts w:ascii="Arial" w:eastAsia="Calibri" w:hAnsi="Arial" w:cs="Arial"/>
          <w:b/>
          <w:bCs/>
          <w:color w:val="000000" w:themeColor="text1"/>
          <w:lang w:val="es-ES_tradnl"/>
        </w:rPr>
      </w:pPr>
      <w:r w:rsidRPr="00FC6F3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FEAF87E" w14:textId="77777777" w:rsidR="005474F1" w:rsidRPr="00FC6F34" w:rsidRDefault="005474F1" w:rsidP="005474F1">
      <w:pPr>
        <w:widowControl w:val="0"/>
        <w:autoSpaceDE w:val="0"/>
        <w:autoSpaceDN w:val="0"/>
        <w:spacing w:after="0" w:line="276" w:lineRule="auto"/>
        <w:jc w:val="both"/>
        <w:rPr>
          <w:rFonts w:ascii="Verdana" w:hAnsi="Verdana" w:cs="Arial"/>
          <w:lang w:val="es-ES"/>
        </w:rPr>
      </w:pPr>
    </w:p>
    <w:p w14:paraId="544BEE70" w14:textId="6D0EA0B6" w:rsidR="005474F1" w:rsidRPr="00FC6F34" w:rsidRDefault="005474F1" w:rsidP="005474F1">
      <w:pPr>
        <w:spacing w:after="0" w:line="276" w:lineRule="auto"/>
        <w:rPr>
          <w:rFonts w:ascii="Verdana" w:hAnsi="Verdana" w:cs="Arial"/>
          <w:color w:val="000000" w:themeColor="text1"/>
          <w:lang w:val="es-ES" w:eastAsia="es-CO"/>
        </w:rPr>
      </w:pPr>
      <w:r w:rsidRPr="00FC6F34">
        <w:rPr>
          <w:rFonts w:ascii="Verdana" w:eastAsia="Times New Roman" w:hAnsi="Verdana" w:cs="Arial"/>
          <w:color w:val="000000" w:themeColor="text1"/>
          <w:lang w:val="es-ES" w:eastAsia="es-CO"/>
        </w:rPr>
        <w:t>Atentamente,</w:t>
      </w:r>
      <w:r w:rsidRPr="00FC6F34">
        <w:rPr>
          <w:rFonts w:ascii="Verdana" w:hAnsi="Verdana" w:cs="Arial"/>
          <w:color w:val="000000" w:themeColor="text1"/>
          <w:lang w:val="es-ES" w:eastAsia="es-CO"/>
        </w:rPr>
        <w:t xml:space="preserve"> </w:t>
      </w:r>
    </w:p>
    <w:p w14:paraId="0007116A" w14:textId="6485F3EF" w:rsidR="005474F1" w:rsidRPr="00FC6F34" w:rsidRDefault="00545054" w:rsidP="005474F1">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1312" behindDoc="0" locked="0" layoutInCell="1" allowOverlap="1" wp14:anchorId="270ECDDB" wp14:editId="7E4CF12D">
            <wp:simplePos x="0" y="0"/>
            <wp:positionH relativeFrom="column">
              <wp:posOffset>1254760</wp:posOffset>
            </wp:positionH>
            <wp:positionV relativeFrom="page">
              <wp:posOffset>6247552</wp:posOffset>
            </wp:positionV>
            <wp:extent cx="3510280" cy="1303020"/>
            <wp:effectExtent l="0" t="0" r="0" b="508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a:off x="0" y="0"/>
                      <a:ext cx="3510280" cy="1303020"/>
                    </a:xfrm>
                    <a:prstGeom prst="rect">
                      <a:avLst/>
                    </a:prstGeom>
                  </pic:spPr>
                </pic:pic>
              </a:graphicData>
            </a:graphic>
            <wp14:sizeRelH relativeFrom="page">
              <wp14:pctWidth>0</wp14:pctWidth>
            </wp14:sizeRelH>
            <wp14:sizeRelV relativeFrom="page">
              <wp14:pctHeight>0</wp14:pctHeight>
            </wp14:sizeRelV>
          </wp:anchor>
        </w:drawing>
      </w:r>
    </w:p>
    <w:p w14:paraId="2A33B101" w14:textId="1BD59E22" w:rsidR="005474F1" w:rsidRPr="00FC6F34" w:rsidRDefault="005474F1" w:rsidP="005474F1">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474F1" w:rsidRPr="005474F1" w14:paraId="14CF41FA" w14:textId="77777777" w:rsidTr="00C733E6">
        <w:trPr>
          <w:trHeight w:val="315"/>
        </w:trPr>
        <w:tc>
          <w:tcPr>
            <w:tcW w:w="893" w:type="dxa"/>
            <w:vAlign w:val="center"/>
            <w:hideMark/>
          </w:tcPr>
          <w:p w14:paraId="1C1A2E43" w14:textId="77777777" w:rsidR="005474F1" w:rsidRPr="005474F1" w:rsidRDefault="005474F1" w:rsidP="00C733E6">
            <w:pPr>
              <w:contextualSpacing/>
              <w:rPr>
                <w:rFonts w:ascii="Verdana" w:hAnsi="Verdana" w:cs="Arial"/>
                <w:sz w:val="15"/>
                <w:szCs w:val="15"/>
                <w:lang w:val="es-ES" w:eastAsia="es-ES"/>
              </w:rPr>
            </w:pPr>
            <w:r w:rsidRPr="005474F1">
              <w:rPr>
                <w:rFonts w:ascii="Verdana" w:hAnsi="Verdana" w:cs="Arial"/>
                <w:sz w:val="15"/>
                <w:szCs w:val="15"/>
                <w:lang w:val="es-ES" w:eastAsia="es-ES"/>
              </w:rPr>
              <w:t>Elaboró:</w:t>
            </w:r>
          </w:p>
        </w:tc>
        <w:tc>
          <w:tcPr>
            <w:tcW w:w="5628" w:type="dxa"/>
            <w:tcBorders>
              <w:top w:val="nil"/>
              <w:left w:val="nil"/>
              <w:bottom w:val="dotted" w:sz="4" w:space="0" w:color="7F7F7F" w:themeColor="text1" w:themeTint="80"/>
              <w:right w:val="nil"/>
            </w:tcBorders>
            <w:vAlign w:val="center"/>
            <w:hideMark/>
          </w:tcPr>
          <w:p w14:paraId="336D789D" w14:textId="77777777" w:rsidR="005474F1" w:rsidRPr="005474F1" w:rsidRDefault="005474F1" w:rsidP="00C733E6">
            <w:pPr>
              <w:contextualSpacing/>
              <w:rPr>
                <w:rFonts w:ascii="Verdana" w:eastAsia="Arial" w:hAnsi="Verdana" w:cs="Arial"/>
                <w:color w:val="000000" w:themeColor="text1"/>
                <w:sz w:val="15"/>
                <w:szCs w:val="15"/>
                <w:lang w:val="es-ES"/>
              </w:rPr>
            </w:pPr>
            <w:r w:rsidRPr="005474F1">
              <w:rPr>
                <w:rFonts w:ascii="Verdana" w:eastAsia="Arial" w:hAnsi="Verdana" w:cs="Arial"/>
                <w:color w:val="000000" w:themeColor="text1"/>
                <w:sz w:val="15"/>
                <w:szCs w:val="15"/>
                <w:lang w:val="es-ES"/>
              </w:rPr>
              <w:t>Anamaría Bonilla Prieto</w:t>
            </w:r>
          </w:p>
          <w:p w14:paraId="09B8E253" w14:textId="77777777" w:rsidR="005474F1" w:rsidRPr="005474F1" w:rsidRDefault="005474F1" w:rsidP="00C733E6">
            <w:pPr>
              <w:contextualSpacing/>
              <w:rPr>
                <w:rFonts w:ascii="Verdana" w:eastAsia="Arial" w:hAnsi="Verdana" w:cs="Arial"/>
                <w:sz w:val="15"/>
                <w:szCs w:val="15"/>
                <w:lang w:val="es-ES"/>
              </w:rPr>
            </w:pPr>
            <w:r w:rsidRPr="005474F1">
              <w:rPr>
                <w:rStyle w:val="normaltextrun"/>
                <w:rFonts w:ascii="Verdana" w:eastAsia="Arial" w:hAnsi="Verdana" w:cs="Arial"/>
                <w:color w:val="000000" w:themeColor="text1"/>
                <w:sz w:val="15"/>
                <w:szCs w:val="15"/>
                <w:lang w:val="es-ES"/>
              </w:rPr>
              <w:t xml:space="preserve">Contratista de la Subdirección </w:t>
            </w:r>
            <w:r w:rsidRPr="005474F1">
              <w:rPr>
                <w:rStyle w:val="normaltextrun"/>
                <w:rFonts w:ascii="Verdana" w:eastAsia="Arial" w:hAnsi="Verdana" w:cs="Arial"/>
                <w:sz w:val="15"/>
                <w:szCs w:val="15"/>
                <w:lang w:val="es-ES"/>
              </w:rPr>
              <w:t>de Gestión Contractual</w:t>
            </w:r>
          </w:p>
        </w:tc>
      </w:tr>
      <w:tr w:rsidR="005474F1" w:rsidRPr="005474F1" w14:paraId="1C65116A" w14:textId="77777777" w:rsidTr="00C733E6">
        <w:trPr>
          <w:trHeight w:val="330"/>
        </w:trPr>
        <w:tc>
          <w:tcPr>
            <w:tcW w:w="893" w:type="dxa"/>
            <w:vAlign w:val="center"/>
            <w:hideMark/>
          </w:tcPr>
          <w:p w14:paraId="6E22D3A8" w14:textId="77777777" w:rsidR="005474F1" w:rsidRPr="005474F1" w:rsidRDefault="005474F1" w:rsidP="00C733E6">
            <w:pPr>
              <w:contextualSpacing/>
              <w:rPr>
                <w:rFonts w:ascii="Verdana" w:hAnsi="Verdana" w:cs="Arial"/>
                <w:sz w:val="15"/>
                <w:szCs w:val="15"/>
                <w:lang w:val="es-ES" w:eastAsia="es-ES"/>
              </w:rPr>
            </w:pPr>
            <w:r w:rsidRPr="005474F1">
              <w:rPr>
                <w:rFonts w:ascii="Verdana" w:hAnsi="Verdana" w:cs="Arial"/>
                <w:sz w:val="15"/>
                <w:szCs w:val="15"/>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91ECAF1" w14:textId="77777777" w:rsidR="005474F1" w:rsidRPr="005474F1" w:rsidRDefault="005474F1" w:rsidP="00C733E6">
            <w:pPr>
              <w:spacing w:line="276" w:lineRule="auto"/>
              <w:contextualSpacing/>
              <w:textAlignment w:val="baseline"/>
              <w:rPr>
                <w:rFonts w:ascii="Verdana" w:eastAsia="Times New Roman" w:hAnsi="Verdana" w:cs="Arial"/>
                <w:sz w:val="15"/>
                <w:szCs w:val="15"/>
                <w:lang w:val="es-ES" w:eastAsia="es-ES_tradnl"/>
              </w:rPr>
            </w:pPr>
            <w:r w:rsidRPr="005474F1">
              <w:rPr>
                <w:rFonts w:ascii="Verdana" w:eastAsia="Times New Roman" w:hAnsi="Verdana" w:cs="Arial"/>
                <w:sz w:val="15"/>
                <w:szCs w:val="15"/>
                <w:lang w:val="es-ES" w:eastAsia="es-ES_tradnl"/>
              </w:rPr>
              <w:t>Alejandro Sarmiento Cantillo</w:t>
            </w:r>
          </w:p>
          <w:p w14:paraId="3D5C6395" w14:textId="77777777" w:rsidR="005474F1" w:rsidRPr="005474F1" w:rsidRDefault="005474F1" w:rsidP="00C733E6">
            <w:pPr>
              <w:pStyle w:val="paragraph"/>
              <w:spacing w:before="0" w:beforeAutospacing="0" w:after="0" w:afterAutospacing="0"/>
              <w:contextualSpacing/>
              <w:textAlignment w:val="baseline"/>
              <w:rPr>
                <w:rFonts w:ascii="Verdana" w:hAnsi="Verdana" w:cs="Segoe UI"/>
                <w:sz w:val="15"/>
                <w:szCs w:val="15"/>
                <w:lang w:val="es-ES"/>
              </w:rPr>
            </w:pPr>
            <w:r w:rsidRPr="005474F1">
              <w:rPr>
                <w:rFonts w:ascii="Verdana" w:hAnsi="Verdana" w:cs="Arial"/>
                <w:sz w:val="15"/>
                <w:szCs w:val="15"/>
                <w:lang w:val="es-ES"/>
              </w:rPr>
              <w:t xml:space="preserve">Gestor T1 – 15 </w:t>
            </w:r>
            <w:r w:rsidRPr="005474F1">
              <w:rPr>
                <w:rStyle w:val="normaltextrun"/>
                <w:rFonts w:ascii="Verdana" w:hAnsi="Verdana" w:cs="Arial"/>
                <w:sz w:val="15"/>
                <w:szCs w:val="15"/>
                <w:lang w:val="es-ES"/>
              </w:rPr>
              <w:t>de la Subdirección de Gestión Contractual</w:t>
            </w:r>
            <w:r w:rsidRPr="005474F1">
              <w:rPr>
                <w:rStyle w:val="eop"/>
                <w:rFonts w:ascii="Verdana" w:hAnsi="Verdana" w:cs="Arial"/>
                <w:sz w:val="15"/>
                <w:szCs w:val="15"/>
                <w:lang w:val="es-ES"/>
              </w:rPr>
              <w:t> </w:t>
            </w:r>
          </w:p>
        </w:tc>
      </w:tr>
      <w:tr w:rsidR="005474F1" w:rsidRPr="005474F1" w14:paraId="19CBB1DD" w14:textId="77777777" w:rsidTr="00C733E6">
        <w:trPr>
          <w:trHeight w:val="300"/>
        </w:trPr>
        <w:tc>
          <w:tcPr>
            <w:tcW w:w="893" w:type="dxa"/>
            <w:vAlign w:val="center"/>
          </w:tcPr>
          <w:p w14:paraId="6C59D184" w14:textId="77777777" w:rsidR="005474F1" w:rsidRPr="005474F1" w:rsidRDefault="005474F1" w:rsidP="00C733E6">
            <w:pPr>
              <w:contextualSpacing/>
              <w:rPr>
                <w:rFonts w:ascii="Verdana" w:hAnsi="Verdana" w:cs="Arial"/>
                <w:sz w:val="15"/>
                <w:szCs w:val="15"/>
                <w:lang w:val="es-ES" w:eastAsia="es-ES"/>
              </w:rPr>
            </w:pPr>
            <w:r w:rsidRPr="005474F1">
              <w:rPr>
                <w:rFonts w:ascii="Verdana" w:hAnsi="Verdana" w:cs="Arial"/>
                <w:sz w:val="15"/>
                <w:szCs w:val="15"/>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CC7B621" w14:textId="77777777" w:rsidR="005474F1" w:rsidRPr="005474F1" w:rsidRDefault="005474F1" w:rsidP="00C733E6">
            <w:pPr>
              <w:contextualSpacing/>
              <w:rPr>
                <w:rFonts w:ascii="Verdana" w:eastAsia="Calibri" w:hAnsi="Verdana" w:cs="Arial"/>
                <w:sz w:val="15"/>
                <w:szCs w:val="15"/>
                <w:lang w:val="es-ES" w:eastAsia="es-ES"/>
              </w:rPr>
            </w:pPr>
            <w:r w:rsidRPr="005474F1">
              <w:rPr>
                <w:rFonts w:ascii="Verdana" w:eastAsia="Calibri" w:hAnsi="Verdana" w:cs="Arial"/>
                <w:sz w:val="15"/>
                <w:szCs w:val="15"/>
                <w:lang w:val="es-ES" w:eastAsia="es-ES"/>
              </w:rPr>
              <w:t>Carolina Quintero Gacharná</w:t>
            </w:r>
          </w:p>
          <w:p w14:paraId="24A2EF86" w14:textId="77777777" w:rsidR="005474F1" w:rsidRPr="005474F1" w:rsidRDefault="005474F1" w:rsidP="00C733E6">
            <w:pPr>
              <w:contextualSpacing/>
              <w:rPr>
                <w:rFonts w:ascii="Verdana" w:eastAsia="Calibri" w:hAnsi="Verdana" w:cs="Arial"/>
                <w:sz w:val="15"/>
                <w:szCs w:val="15"/>
                <w:lang w:val="es-ES" w:eastAsia="es-ES"/>
              </w:rPr>
            </w:pPr>
            <w:r w:rsidRPr="005474F1">
              <w:rPr>
                <w:rFonts w:ascii="Verdana" w:eastAsia="Calibri" w:hAnsi="Verdana" w:cs="Arial"/>
                <w:sz w:val="15"/>
                <w:szCs w:val="15"/>
                <w:lang w:val="es-ES" w:eastAsia="es-ES"/>
              </w:rPr>
              <w:t>Subdirectora de Gestión Contractual ANCP – CCE</w:t>
            </w:r>
          </w:p>
        </w:tc>
      </w:tr>
      <w:bookmarkEnd w:id="0"/>
    </w:tbl>
    <w:p w14:paraId="0F293BF4" w14:textId="6BD1B842" w:rsidR="00127233" w:rsidRPr="005474F1" w:rsidRDefault="00127233" w:rsidP="005474F1"/>
    <w:sectPr w:rsidR="00127233" w:rsidRPr="005474F1"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0BA520" w14:textId="77777777" w:rsidR="00911AF0" w:rsidRDefault="00911AF0" w:rsidP="004A1847">
      <w:pPr>
        <w:spacing w:after="0" w:line="240" w:lineRule="auto"/>
      </w:pPr>
      <w:r>
        <w:separator/>
      </w:r>
    </w:p>
  </w:endnote>
  <w:endnote w:type="continuationSeparator" w:id="0">
    <w:p w14:paraId="67AAFF8B" w14:textId="77777777" w:rsidR="00911AF0" w:rsidRDefault="00911AF0" w:rsidP="004A1847">
      <w:pPr>
        <w:spacing w:after="0" w:line="240" w:lineRule="auto"/>
      </w:pPr>
      <w:r>
        <w:continuationSeparator/>
      </w:r>
    </w:p>
  </w:endnote>
  <w:endnote w:type="continuationNotice" w:id="1">
    <w:p w14:paraId="5B5B9A27" w14:textId="77777777" w:rsidR="00911AF0" w:rsidRDefault="00911AF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592915" w14:textId="77777777" w:rsidR="00911AF0" w:rsidRDefault="00911AF0" w:rsidP="004A1847">
      <w:pPr>
        <w:spacing w:after="0" w:line="240" w:lineRule="auto"/>
      </w:pPr>
      <w:r>
        <w:separator/>
      </w:r>
    </w:p>
  </w:footnote>
  <w:footnote w:type="continuationSeparator" w:id="0">
    <w:p w14:paraId="2C2C6509" w14:textId="77777777" w:rsidR="00911AF0" w:rsidRDefault="00911AF0" w:rsidP="004A1847">
      <w:pPr>
        <w:spacing w:after="0" w:line="240" w:lineRule="auto"/>
      </w:pPr>
      <w:r>
        <w:continuationSeparator/>
      </w:r>
    </w:p>
  </w:footnote>
  <w:footnote w:type="continuationNotice" w:id="1">
    <w:p w14:paraId="571047B1" w14:textId="77777777" w:rsidR="00911AF0" w:rsidRDefault="00911AF0">
      <w:pPr>
        <w:spacing w:after="0" w:line="240" w:lineRule="auto"/>
      </w:pPr>
    </w:p>
  </w:footnote>
  <w:footnote w:id="2">
    <w:p w14:paraId="2C59FB3C" w14:textId="77777777" w:rsidR="005474F1" w:rsidRPr="0016660C" w:rsidRDefault="005474F1" w:rsidP="005474F1">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3080990" w14:textId="77777777" w:rsidR="005474F1" w:rsidRPr="0016660C" w:rsidRDefault="005474F1" w:rsidP="005474F1">
      <w:pPr>
        <w:pStyle w:val="Textonotapie"/>
        <w:ind w:firstLine="709"/>
        <w:contextualSpacing/>
        <w:jc w:val="both"/>
        <w:rPr>
          <w:rFonts w:ascii="Verdana" w:hAnsi="Verdana" w:cs="Arial"/>
          <w:sz w:val="16"/>
          <w:szCs w:val="16"/>
        </w:rPr>
      </w:pPr>
      <w:r w:rsidRPr="0016660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366387D8" w14:textId="77777777" w:rsidR="005474F1" w:rsidRPr="0016660C" w:rsidRDefault="005474F1" w:rsidP="005474F1">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Gaceta del Congreso de la República No. 71 del 2005.</w:t>
      </w:r>
    </w:p>
  </w:footnote>
  <w:footnote w:id="4">
    <w:p w14:paraId="235F3B98" w14:textId="77777777" w:rsidR="005474F1" w:rsidRPr="0016660C" w:rsidRDefault="005474F1" w:rsidP="005474F1">
      <w:pPr>
        <w:pStyle w:val="Textonotapie"/>
        <w:ind w:firstLine="709"/>
        <w:contextualSpacing/>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 Sentencia C- 1153 de 2005, M.P. Marco Gerardo Monroy Cabra.</w:t>
      </w:r>
    </w:p>
  </w:footnote>
  <w:footnote w:id="5">
    <w:p w14:paraId="177DECB2" w14:textId="77777777" w:rsidR="005474F1" w:rsidRPr="0016660C" w:rsidRDefault="005474F1" w:rsidP="005474F1">
      <w:pPr>
        <w:pStyle w:val="Textonotapie"/>
        <w:ind w:firstLine="709"/>
        <w:contextualSpacing/>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54EE1E29" w14:textId="77777777" w:rsidR="005474F1" w:rsidRPr="0016660C" w:rsidRDefault="005474F1" w:rsidP="005474F1">
      <w:pPr>
        <w:pStyle w:val="Textonotapie"/>
        <w:ind w:firstLine="709"/>
        <w:contextualSpacing/>
        <w:jc w:val="both"/>
        <w:rPr>
          <w:rFonts w:ascii="Verdana" w:hAnsi="Verdana" w:cs="Arial"/>
          <w:sz w:val="16"/>
          <w:szCs w:val="16"/>
          <w:lang w:val="es-CO"/>
        </w:rPr>
      </w:pPr>
      <w:r w:rsidRPr="0016660C">
        <w:rPr>
          <w:rStyle w:val="Refdenotaalpie"/>
          <w:rFonts w:ascii="Verdana" w:hAnsi="Verdana" w:cs="Arial"/>
          <w:sz w:val="16"/>
          <w:szCs w:val="16"/>
        </w:rPr>
        <w:footnoteRef/>
      </w:r>
      <w:r w:rsidRPr="0016660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4E07FF42" w14:textId="77777777" w:rsidR="005474F1" w:rsidRPr="0016660C" w:rsidRDefault="005474F1" w:rsidP="005474F1">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de fecha 24 de julio de 2013, Rad. 2166, C. P. Álvaro Namén Vargas.  </w:t>
      </w:r>
    </w:p>
  </w:footnote>
  <w:footnote w:id="8">
    <w:p w14:paraId="23D86430" w14:textId="77777777" w:rsidR="005474F1" w:rsidRPr="0016660C" w:rsidRDefault="005474F1" w:rsidP="005474F1">
      <w:pPr>
        <w:spacing w:after="0" w:line="240" w:lineRule="auto"/>
        <w:ind w:firstLine="709"/>
        <w:contextualSpacing/>
        <w:jc w:val="both"/>
        <w:rPr>
          <w:rFonts w:ascii="Verdana" w:eastAsia="Times New Roman"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3F885DC7" w14:textId="77777777" w:rsidR="005474F1" w:rsidRPr="0016660C" w:rsidRDefault="005474F1" w:rsidP="005474F1">
      <w:pPr>
        <w:spacing w:after="0" w:line="240" w:lineRule="auto"/>
        <w:ind w:firstLine="709"/>
        <w:contextualSpacing/>
        <w:jc w:val="both"/>
        <w:rPr>
          <w:rFonts w:ascii="Verdana" w:eastAsia="Times New Roman" w:hAnsi="Verdana" w:cs="Arial"/>
          <w:sz w:val="16"/>
          <w:szCs w:val="16"/>
        </w:rPr>
      </w:pPr>
      <w:r w:rsidRPr="0016660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6660C">
        <w:rPr>
          <w:rFonts w:ascii="Verdana" w:eastAsia="Calibri" w:hAnsi="Verdana" w:cs="Arial"/>
          <w:color w:val="000000"/>
          <w:sz w:val="16"/>
          <w:szCs w:val="16"/>
        </w:rPr>
        <w:t>”</w:t>
      </w:r>
      <w:r w:rsidRPr="0016660C">
        <w:rPr>
          <w:rFonts w:ascii="Verdana" w:eastAsia="Times New Roman" w:hAnsi="Verdana" w:cs="Arial"/>
          <w:sz w:val="16"/>
          <w:szCs w:val="16"/>
        </w:rPr>
        <w:t>.</w:t>
      </w:r>
    </w:p>
  </w:footnote>
  <w:footnote w:id="9">
    <w:p w14:paraId="6D827B0D" w14:textId="77777777" w:rsidR="005474F1" w:rsidRPr="0016660C" w:rsidRDefault="005474F1" w:rsidP="005474F1">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hAnsi="Verdana" w:cs="Arial"/>
          <w:sz w:val="16"/>
          <w:szCs w:val="16"/>
          <w:lang w:val="es-MX"/>
        </w:rPr>
        <w:t>Artículo 38. Prohibiciones para los servidores públicos. A los empleados del Estado les está prohibido: […]</w:t>
      </w:r>
    </w:p>
    <w:p w14:paraId="41B780CF" w14:textId="77777777" w:rsidR="005474F1" w:rsidRPr="0016660C" w:rsidRDefault="005474F1" w:rsidP="005474F1">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baj"/>
          <w:rFonts w:ascii="Verdana" w:hAnsi="Verdana" w:cs="Arial"/>
          <w:sz w:val="16"/>
          <w:szCs w:val="16"/>
          <w:lang w:val="es-MX"/>
        </w:rPr>
        <w:t>Parágrafo.</w:t>
      </w:r>
      <w:r w:rsidRPr="0016660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6660C">
        <w:rPr>
          <w:rFonts w:ascii="Verdana" w:eastAsia="Calibri" w:hAnsi="Verdana" w:cs="Arial"/>
          <w:color w:val="000000"/>
          <w:sz w:val="16"/>
          <w:szCs w:val="16"/>
        </w:rPr>
        <w:t>”</w:t>
      </w:r>
      <w:r w:rsidRPr="0016660C">
        <w:rPr>
          <w:rFonts w:ascii="Verdana" w:hAnsi="Verdana" w:cs="Arial"/>
          <w:sz w:val="16"/>
          <w:szCs w:val="16"/>
          <w:lang w:val="es-MX"/>
        </w:rPr>
        <w:t>.</w:t>
      </w:r>
    </w:p>
  </w:footnote>
  <w:footnote w:id="10">
    <w:p w14:paraId="37D54C02" w14:textId="77777777" w:rsidR="005474F1" w:rsidRPr="0016660C" w:rsidRDefault="005474F1" w:rsidP="005474F1">
      <w:pPr>
        <w:spacing w:after="0" w:line="240" w:lineRule="auto"/>
        <w:ind w:left="100" w:right="244"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0CD1B528" w14:textId="77777777" w:rsidR="005474F1" w:rsidRPr="0016660C" w:rsidRDefault="005474F1" w:rsidP="005474F1">
      <w:pPr>
        <w:pStyle w:val="Textonotapie"/>
        <w:ind w:right="51"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[26] </w:t>
      </w:r>
      <w:r w:rsidRPr="0016660C">
        <w:rPr>
          <w:rFonts w:ascii="Verdana" w:hAnsi="Verdana" w:cs="Arial"/>
          <w:sz w:val="16"/>
          <w:szCs w:val="16"/>
        </w:rPr>
        <w:t>Al respecto ver el concepto 1712 de 2 de febrero de 2006. Consejo de Estado Sala de Consulta y Servicio Civil”.</w:t>
      </w:r>
    </w:p>
  </w:footnote>
  <w:footnote w:id="12">
    <w:p w14:paraId="641F7D7F" w14:textId="77777777" w:rsidR="005474F1" w:rsidRPr="0016660C" w:rsidRDefault="005474F1" w:rsidP="005474F1">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3">
    <w:p w14:paraId="271E534B" w14:textId="77777777" w:rsidR="005474F1" w:rsidRPr="0016660C" w:rsidRDefault="005474F1" w:rsidP="005474F1">
      <w:pPr>
        <w:pStyle w:val="Textonotapie"/>
        <w:ind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Artículo 2. </w:t>
      </w:r>
    </w:p>
  </w:footnote>
  <w:footnote w:id="14">
    <w:p w14:paraId="516E3C23" w14:textId="77777777" w:rsidR="005474F1" w:rsidRPr="0016660C" w:rsidRDefault="005474F1" w:rsidP="005474F1">
      <w:pPr>
        <w:pStyle w:val="Textonotapie"/>
        <w:ind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i/>
          <w:sz w:val="16"/>
          <w:szCs w:val="16"/>
          <w:lang w:val="es-ES"/>
        </w:rPr>
        <w:t>Ídem</w:t>
      </w:r>
      <w:r w:rsidRPr="0016660C">
        <w:rPr>
          <w:rFonts w:ascii="Verdana" w:hAnsi="Verdana" w:cs="Arial"/>
          <w:sz w:val="16"/>
          <w:szCs w:val="16"/>
          <w:lang w:val="es-ES"/>
        </w:rPr>
        <w:t>.</w:t>
      </w:r>
    </w:p>
  </w:footnote>
  <w:footnote w:id="15">
    <w:p w14:paraId="0D05E708" w14:textId="77777777" w:rsidR="005474F1" w:rsidRPr="0016660C" w:rsidRDefault="005474F1" w:rsidP="005474F1">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08 de mayo de 2018. Exp. 2.382. C.P. Álvaro Namén Vargas.</w:t>
      </w:r>
    </w:p>
  </w:footnote>
  <w:footnote w:id="16">
    <w:p w14:paraId="367CC8FE" w14:textId="77777777" w:rsidR="005474F1" w:rsidRPr="0016660C" w:rsidRDefault="005474F1" w:rsidP="005474F1">
      <w:pPr>
        <w:pStyle w:val="Textonotapie"/>
        <w:ind w:firstLine="708"/>
        <w:contextualSpacing/>
        <w:jc w:val="both"/>
        <w:rPr>
          <w:rFonts w:ascii="Verdana" w:hAnsi="Verdana"/>
          <w:sz w:val="16"/>
          <w:szCs w:val="16"/>
          <w:lang w:val="es-ES"/>
        </w:rPr>
      </w:pPr>
      <w:r w:rsidRPr="0016660C">
        <w:rPr>
          <w:rStyle w:val="Refdenotaalpie"/>
          <w:rFonts w:ascii="Verdana" w:hAnsi="Verdana"/>
          <w:sz w:val="16"/>
          <w:szCs w:val="16"/>
        </w:rPr>
        <w:footnoteRef/>
      </w:r>
      <w:r w:rsidRPr="0016660C">
        <w:rPr>
          <w:rFonts w:ascii="Verdana" w:hAnsi="Verdana"/>
          <w:sz w:val="16"/>
          <w:szCs w:val="16"/>
        </w:rPr>
        <w:t xml:space="preserve"> </w:t>
      </w:r>
      <w:r w:rsidRPr="0016660C">
        <w:rPr>
          <w:rFonts w:ascii="Verdana" w:eastAsia="Calibri" w:hAnsi="Verdana" w:cs="Arial"/>
          <w:sz w:val="16"/>
          <w:szCs w:val="16"/>
          <w:lang w:val="es-ES"/>
        </w:rPr>
        <w:t xml:space="preserve">Consejo de Estado, Sala de Consulta y Servicio Civil, Concepto de fecha 8 de mayo de 2018, No. </w:t>
      </w:r>
      <w:r w:rsidRPr="0016660C">
        <w:rPr>
          <w:rFonts w:ascii="Verdana" w:hAnsi="Verdana"/>
          <w:sz w:val="16"/>
          <w:szCs w:val="16"/>
          <w:lang w:val="es-CO"/>
        </w:rPr>
        <w:t>2382.</w:t>
      </w:r>
      <w:r w:rsidRPr="0016660C">
        <w:rPr>
          <w:rFonts w:ascii="Verdana" w:hAnsi="Verdana"/>
          <w:sz w:val="16"/>
          <w:szCs w:val="16"/>
        </w:rPr>
        <w:t xml:space="preserve"> </w:t>
      </w:r>
      <w:r w:rsidRPr="0016660C">
        <w:rPr>
          <w:rFonts w:ascii="Verdana" w:hAnsi="Verdana"/>
          <w:sz w:val="16"/>
          <w:szCs w:val="16"/>
          <w:lang w:val="es-CO"/>
        </w:rPr>
        <w:t>C. P. Álvaro Namén Vargas.</w:t>
      </w:r>
    </w:p>
  </w:footnote>
  <w:footnote w:id="17">
    <w:p w14:paraId="6C377CC1" w14:textId="77777777" w:rsidR="005474F1" w:rsidRPr="0016660C" w:rsidRDefault="005474F1" w:rsidP="005474F1">
      <w:pPr>
        <w:spacing w:after="0" w:line="240" w:lineRule="auto"/>
        <w:ind w:firstLine="709"/>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8">
    <w:p w14:paraId="27B9F911" w14:textId="77777777" w:rsidR="005474F1" w:rsidRPr="0016660C" w:rsidRDefault="005474F1" w:rsidP="005474F1">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Corte Constitucional. Sentencia C-1153 de 2005 M.P. Marco Gerardo Monroy Cabra. </w:t>
      </w:r>
    </w:p>
  </w:footnote>
  <w:footnote w:id="19">
    <w:p w14:paraId="2494CBE2" w14:textId="77777777" w:rsidR="005474F1" w:rsidRPr="0016660C" w:rsidRDefault="005474F1" w:rsidP="005474F1">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del 18 de febrero 2010. Rad. 11001-03-06-000-2010-00006-00 (1985). C.P. Enrique José Arboleda Perdomo.</w:t>
      </w:r>
    </w:p>
  </w:footnote>
  <w:footnote w:id="20">
    <w:p w14:paraId="7B5E543F" w14:textId="77777777" w:rsidR="005474F1" w:rsidRPr="0016660C" w:rsidRDefault="005474F1" w:rsidP="005474F1">
      <w:pPr>
        <w:pStyle w:val="Textonotapie"/>
        <w:ind w:firstLine="708"/>
        <w:contextualSpacing/>
        <w:jc w:val="both"/>
        <w:rPr>
          <w:rFonts w:ascii="Verdana" w:hAnsi="Verdana" w:cs="Arial"/>
          <w:color w:val="000000" w:themeColor="text1"/>
          <w:sz w:val="16"/>
          <w:szCs w:val="16"/>
        </w:rPr>
      </w:pPr>
      <w:r w:rsidRPr="0016660C">
        <w:rPr>
          <w:rStyle w:val="Refdenotaalpie"/>
          <w:rFonts w:ascii="Verdana" w:hAnsi="Verdana" w:cs="Arial"/>
          <w:color w:val="000000" w:themeColor="text1"/>
          <w:sz w:val="16"/>
          <w:szCs w:val="16"/>
        </w:rPr>
        <w:footnoteRef/>
      </w:r>
      <w:r w:rsidRPr="0016660C">
        <w:rPr>
          <w:rFonts w:ascii="Verdana" w:hAnsi="Verdana" w:cs="Arial"/>
          <w:color w:val="000000" w:themeColor="text1"/>
          <w:sz w:val="16"/>
          <w:szCs w:val="16"/>
        </w:rPr>
        <w:t xml:space="preserve"> Consejo de Estado. Sala de Consulta y Servicio Civil. Concepto del 02 de septiembre de 2013. Rad. 11001-03-06-000-2013-00412-00 (2168). C.P. Álvaro Namén Vargas.</w:t>
      </w:r>
    </w:p>
  </w:footnote>
  <w:footnote w:id="21">
    <w:p w14:paraId="6CD2E919" w14:textId="77777777" w:rsidR="005474F1" w:rsidRPr="00F521A9" w:rsidRDefault="005474F1" w:rsidP="005474F1">
      <w:pPr>
        <w:pStyle w:val="Textonotapie"/>
        <w:ind w:firstLine="708"/>
        <w:jc w:val="both"/>
        <w:rPr>
          <w:rFonts w:ascii="Verdana" w:hAnsi="Verdana"/>
          <w:sz w:val="16"/>
          <w:szCs w:val="16"/>
        </w:rPr>
      </w:pPr>
      <w:r w:rsidRPr="00F521A9">
        <w:rPr>
          <w:rStyle w:val="Refdenotaalpie"/>
          <w:rFonts w:ascii="Verdana" w:hAnsi="Verdana"/>
          <w:sz w:val="16"/>
          <w:szCs w:val="16"/>
        </w:rPr>
        <w:footnoteRef/>
      </w:r>
      <w:r w:rsidRPr="00F521A9">
        <w:rPr>
          <w:rFonts w:ascii="Verdana" w:hAnsi="Verdana"/>
          <w:sz w:val="16"/>
          <w:szCs w:val="16"/>
        </w:rPr>
        <w:t xml:space="preserve"> </w:t>
      </w:r>
      <w:r w:rsidRPr="00F521A9">
        <w:rPr>
          <w:rFonts w:ascii="Verdana" w:hAnsi="Verdana"/>
          <w:sz w:val="16"/>
          <w:szCs w:val="16"/>
          <w:lang w:val="es-ES"/>
        </w:rPr>
        <w:t xml:space="preserve">Para mayor información consulta el concepto </w:t>
      </w:r>
      <w:r w:rsidRPr="00F521A9">
        <w:rPr>
          <w:rFonts w:ascii="Verdana" w:hAnsi="Verdana"/>
          <w:sz w:val="16"/>
          <w:szCs w:val="16"/>
        </w:rPr>
        <w:t xml:space="preserve">C‒559 de 2021 en el siguiente enlace: </w:t>
      </w:r>
      <w:hyperlink r:id="rId1" w:history="1">
        <w:r w:rsidRPr="00F521A9">
          <w:rPr>
            <w:rStyle w:val="Hipervnculo"/>
            <w:rFonts w:ascii="Verdana" w:hAnsi="Verdana"/>
            <w:sz w:val="16"/>
            <w:szCs w:val="16"/>
          </w:rPr>
          <w:t>https://relatoria.colombiacompra.gov.co/conceptos/c-559-de-2021/</w:t>
        </w:r>
      </w:hyperlink>
      <w:r w:rsidRPr="00F521A9">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15.5pt;height:15.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E2439DD"/>
    <w:multiLevelType w:val="hybridMultilevel"/>
    <w:tmpl w:val="EF621908"/>
    <w:lvl w:ilvl="0" w:tplc="04090011">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1"/>
  </w:num>
  <w:num w:numId="3">
    <w:abstractNumId w:val="3"/>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3"/>
  </w:num>
  <w:num w:numId="7">
    <w:abstractNumId w:val="4"/>
  </w:num>
  <w:num w:numId="8">
    <w:abstractNumId w:val="12"/>
  </w:num>
  <w:num w:numId="9">
    <w:abstractNumId w:val="6"/>
  </w:num>
  <w:num w:numId="10">
    <w:abstractNumId w:val="11"/>
  </w:num>
  <w:num w:numId="11">
    <w:abstractNumId w:val="7"/>
  </w:num>
  <w:num w:numId="12">
    <w:abstractNumId w:val="0"/>
  </w:num>
  <w:num w:numId="13">
    <w:abstractNumId w:val="2"/>
  </w:num>
  <w:num w:numId="14">
    <w:abstractNumId w:val="14"/>
  </w:num>
  <w:num w:numId="15">
    <w:abstractNumId w:val="10"/>
  </w:num>
  <w:num w:numId="16">
    <w:abstractNumId w:val="9"/>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61B4"/>
    <w:rsid w:val="000A683E"/>
    <w:rsid w:val="000B19B9"/>
    <w:rsid w:val="000D0334"/>
    <w:rsid w:val="000E497D"/>
    <w:rsid w:val="000F6486"/>
    <w:rsid w:val="00125105"/>
    <w:rsid w:val="00127233"/>
    <w:rsid w:val="001644A3"/>
    <w:rsid w:val="001D0B49"/>
    <w:rsid w:val="001E4177"/>
    <w:rsid w:val="001F7DC6"/>
    <w:rsid w:val="002050D8"/>
    <w:rsid w:val="002421BB"/>
    <w:rsid w:val="0025796E"/>
    <w:rsid w:val="002707A2"/>
    <w:rsid w:val="00283F8C"/>
    <w:rsid w:val="002951A0"/>
    <w:rsid w:val="002962BC"/>
    <w:rsid w:val="002A093D"/>
    <w:rsid w:val="002A0DD0"/>
    <w:rsid w:val="002A49AC"/>
    <w:rsid w:val="002A64FD"/>
    <w:rsid w:val="002C7A84"/>
    <w:rsid w:val="002E4FD9"/>
    <w:rsid w:val="00304C2D"/>
    <w:rsid w:val="00322A85"/>
    <w:rsid w:val="00324168"/>
    <w:rsid w:val="00326E56"/>
    <w:rsid w:val="003448F4"/>
    <w:rsid w:val="003701DD"/>
    <w:rsid w:val="00374F5E"/>
    <w:rsid w:val="00377E3E"/>
    <w:rsid w:val="003A779E"/>
    <w:rsid w:val="003D0F4D"/>
    <w:rsid w:val="003D5B0D"/>
    <w:rsid w:val="003E0499"/>
    <w:rsid w:val="003F3941"/>
    <w:rsid w:val="003F6479"/>
    <w:rsid w:val="00406575"/>
    <w:rsid w:val="00414C74"/>
    <w:rsid w:val="0042722E"/>
    <w:rsid w:val="0044528D"/>
    <w:rsid w:val="00455C87"/>
    <w:rsid w:val="004A1847"/>
    <w:rsid w:val="004A305D"/>
    <w:rsid w:val="004F21C4"/>
    <w:rsid w:val="004F685F"/>
    <w:rsid w:val="0050699C"/>
    <w:rsid w:val="00511E6E"/>
    <w:rsid w:val="00545054"/>
    <w:rsid w:val="005474F1"/>
    <w:rsid w:val="005566E8"/>
    <w:rsid w:val="00574867"/>
    <w:rsid w:val="00591460"/>
    <w:rsid w:val="005C3777"/>
    <w:rsid w:val="005C5CDC"/>
    <w:rsid w:val="005D476C"/>
    <w:rsid w:val="006219F8"/>
    <w:rsid w:val="0062632C"/>
    <w:rsid w:val="006302F7"/>
    <w:rsid w:val="00656571"/>
    <w:rsid w:val="00665D70"/>
    <w:rsid w:val="006900D9"/>
    <w:rsid w:val="006A368B"/>
    <w:rsid w:val="006A760C"/>
    <w:rsid w:val="00706C16"/>
    <w:rsid w:val="00756841"/>
    <w:rsid w:val="007649AB"/>
    <w:rsid w:val="00771D0C"/>
    <w:rsid w:val="007833AC"/>
    <w:rsid w:val="007B268C"/>
    <w:rsid w:val="007B611A"/>
    <w:rsid w:val="007B7171"/>
    <w:rsid w:val="007C0C0F"/>
    <w:rsid w:val="007C3DC2"/>
    <w:rsid w:val="007E5497"/>
    <w:rsid w:val="00806F5F"/>
    <w:rsid w:val="00820278"/>
    <w:rsid w:val="00867F95"/>
    <w:rsid w:val="008843B6"/>
    <w:rsid w:val="00891928"/>
    <w:rsid w:val="00897A3A"/>
    <w:rsid w:val="008A446D"/>
    <w:rsid w:val="008D180B"/>
    <w:rsid w:val="008F0EA7"/>
    <w:rsid w:val="008F7244"/>
    <w:rsid w:val="00911AF0"/>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54BC6"/>
    <w:rsid w:val="00A75D40"/>
    <w:rsid w:val="00AB0ADB"/>
    <w:rsid w:val="00B00C0E"/>
    <w:rsid w:val="00B01B1A"/>
    <w:rsid w:val="00B22CE9"/>
    <w:rsid w:val="00B44A47"/>
    <w:rsid w:val="00B72CD3"/>
    <w:rsid w:val="00B72FFF"/>
    <w:rsid w:val="00BB37A8"/>
    <w:rsid w:val="00BB5783"/>
    <w:rsid w:val="00BC3D36"/>
    <w:rsid w:val="00BD3CCC"/>
    <w:rsid w:val="00BD7F72"/>
    <w:rsid w:val="00BF4A42"/>
    <w:rsid w:val="00C04FB3"/>
    <w:rsid w:val="00C260ED"/>
    <w:rsid w:val="00C330EB"/>
    <w:rsid w:val="00C43231"/>
    <w:rsid w:val="00C65A77"/>
    <w:rsid w:val="00C754BE"/>
    <w:rsid w:val="00C76B1C"/>
    <w:rsid w:val="00C868BC"/>
    <w:rsid w:val="00CB6357"/>
    <w:rsid w:val="00CB6584"/>
    <w:rsid w:val="00CC1305"/>
    <w:rsid w:val="00CC1B26"/>
    <w:rsid w:val="00CE50C5"/>
    <w:rsid w:val="00D015B4"/>
    <w:rsid w:val="00D3408D"/>
    <w:rsid w:val="00D423A2"/>
    <w:rsid w:val="00D520D8"/>
    <w:rsid w:val="00D63AC2"/>
    <w:rsid w:val="00D7383B"/>
    <w:rsid w:val="00D842FC"/>
    <w:rsid w:val="00DA231B"/>
    <w:rsid w:val="00DC39FC"/>
    <w:rsid w:val="00DE5272"/>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56164"/>
    <w:rsid w:val="00F5664F"/>
    <w:rsid w:val="00F666C4"/>
    <w:rsid w:val="00F76AFC"/>
    <w:rsid w:val="00FA47C0"/>
    <w:rsid w:val="00FB5DD1"/>
    <w:rsid w:val="00FC2B5D"/>
    <w:rsid w:val="00FD2E08"/>
    <w:rsid w:val="00FF1449"/>
    <w:rsid w:val="06953059"/>
    <w:rsid w:val="3E41B8B8"/>
    <w:rsid w:val="64824BF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474F1"/>
    <w:pPr>
      <w:spacing w:line="240" w:lineRule="exact"/>
    </w:pPr>
    <w:rPr>
      <w:vertAlign w:val="superscript"/>
    </w:rPr>
  </w:style>
  <w:style w:type="character" w:customStyle="1" w:styleId="baj">
    <w:name w:val="b_aj"/>
    <w:basedOn w:val="Fuentedeprrafopredeter"/>
    <w:rsid w:val="005474F1"/>
  </w:style>
  <w:style w:type="character" w:customStyle="1" w:styleId="NormalWebCar">
    <w:name w:val="Normal (Web) Car"/>
    <w:link w:val="NormalWeb"/>
    <w:uiPriority w:val="99"/>
    <w:locked/>
    <w:rsid w:val="005474F1"/>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474F1"/>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20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archivos/circular/circular-externa-006-de-2025"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ntratacion@defensajuridica.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conceptos/c-559-de-2021/"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17e9215d6ed9699c433ac2c9f66178f3">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dbf2f21e9ea19064595d3269ea08e1f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documentManagement/types"/>
    <ds:schemaRef ds:uri="http://schemas.microsoft.com/office/infopath/2007/PartnerControls"/>
    <ds:schemaRef ds:uri="http://schemas.microsoft.com/office/2006/metadata/properties"/>
    <ds:schemaRef ds:uri="http://purl.org/dc/elements/1.1/"/>
    <ds:schemaRef ds:uri="http://www.w3.org/XML/1998/namespace"/>
    <ds:schemaRef ds:uri="http://schemas.openxmlformats.org/package/2006/metadata/core-properties"/>
    <ds:schemaRef ds:uri="9d85dbaf-23eb-4e57-a637-93dcacc8b1a1"/>
    <ds:schemaRef ds:uri="http://purl.org/dc/dcmitype/"/>
    <ds:schemaRef ds:uri="a6cb9e4b-f1d1-4245-83ec-6cad768d538a"/>
    <ds:schemaRef ds:uri="http://purl.org/dc/terms/"/>
  </ds:schemaRefs>
</ds:datastoreItem>
</file>

<file path=customXml/itemProps2.xml><?xml version="1.0" encoding="utf-8"?>
<ds:datastoreItem xmlns:ds="http://schemas.openxmlformats.org/officeDocument/2006/customXml" ds:itemID="{56031F68-3A76-489F-A83C-A06DAFD3F7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21</Pages>
  <Words>7436</Words>
  <Characters>40904</Characters>
  <Application>Microsoft Office Word</Application>
  <DocSecurity>0</DocSecurity>
  <Lines>340</Lines>
  <Paragraphs>96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48244</CharactersWithSpaces>
  <SharedDoc>false</SharedDoc>
  <HLinks>
    <vt:vector size="24" baseType="variant">
      <vt:variant>
        <vt:i4>7209021</vt:i4>
      </vt:variant>
      <vt:variant>
        <vt:i4>6</vt:i4>
      </vt:variant>
      <vt:variant>
        <vt:i4>0</vt:i4>
      </vt:variant>
      <vt:variant>
        <vt:i4>5</vt:i4>
      </vt:variant>
      <vt:variant>
        <vt:lpwstr>https://relatoria.colombiacompra.gov.co/busqueda/concept os</vt:lpwstr>
      </vt:variant>
      <vt:variant>
        <vt:lpwstr/>
      </vt:variant>
      <vt:variant>
        <vt:i4>65542</vt:i4>
      </vt:variant>
      <vt:variant>
        <vt:i4>3</vt:i4>
      </vt:variant>
      <vt:variant>
        <vt:i4>0</vt:i4>
      </vt:variant>
      <vt:variant>
        <vt:i4>5</vt:i4>
      </vt:variant>
      <vt:variant>
        <vt:lpwstr>https://www.colombiacompra.gov.co/archivos/circular/circular-externa-006-de-2025</vt:lpwstr>
      </vt:variant>
      <vt:variant>
        <vt:lpwstr/>
      </vt:variant>
      <vt:variant>
        <vt:i4>4784189</vt:i4>
      </vt:variant>
      <vt:variant>
        <vt:i4>0</vt:i4>
      </vt:variant>
      <vt:variant>
        <vt:i4>0</vt:i4>
      </vt:variant>
      <vt:variant>
        <vt:i4>5</vt:i4>
      </vt:variant>
      <vt:variant>
        <vt:lpwstr>mailto:contratacion@defensajuridica.gov.co</vt:lpwstr>
      </vt:variant>
      <vt:variant>
        <vt:lpwstr/>
      </vt:variant>
      <vt:variant>
        <vt:i4>6160390</vt:i4>
      </vt:variant>
      <vt:variant>
        <vt:i4>0</vt:i4>
      </vt:variant>
      <vt:variant>
        <vt:i4>0</vt:i4>
      </vt:variant>
      <vt:variant>
        <vt:i4>5</vt:i4>
      </vt:variant>
      <vt:variant>
        <vt:lpwstr>https://relatoria.colombiacompra.gov.co/conceptos/c-559-de-2021/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2025-11-06T00:52:00Z</dcterms:created>
  <dcterms:modified xsi:type="dcterms:W3CDTF">2025-11-06T00:52:00Z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