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3F4BE7" w14:textId="4C48B747" w:rsidR="00BB6742" w:rsidRPr="00B47A78" w:rsidRDefault="00BB6742" w:rsidP="00BB6742">
      <w:pPr>
        <w:jc w:val="both"/>
        <w:rPr>
          <w:rFonts w:ascii="Verdana" w:eastAsia="Calibri" w:hAnsi="Verdana" w:cs="Arial"/>
          <w:b/>
          <w:color w:val="000000" w:themeColor="text1"/>
          <w:lang w:val="es-ES_tradnl"/>
        </w:rPr>
      </w:pPr>
      <w:bookmarkStart w:id="0" w:name="_Hlk143780582"/>
      <w:r w:rsidRPr="00B47A78">
        <w:rPr>
          <w:rFonts w:ascii="Verdana" w:eastAsia="Calibri" w:hAnsi="Verdana" w:cs="Arial"/>
          <w:b/>
          <w:color w:val="000000" w:themeColor="text1"/>
          <w:lang w:val="es-ES_tradnl"/>
        </w:rPr>
        <w:t xml:space="preserve">CAPACIDAD RESIDUAL – Concepto </w:t>
      </w:r>
    </w:p>
    <w:p w14:paraId="0B4BDD97" w14:textId="6D84D50D" w:rsidR="00BB6742" w:rsidRPr="00875359" w:rsidRDefault="00BB6742" w:rsidP="00BB6742">
      <w:pPr>
        <w:spacing w:after="120" w:line="276" w:lineRule="auto"/>
        <w:jc w:val="both"/>
        <w:rPr>
          <w:rFonts w:ascii="Verdana" w:eastAsia="Calibri" w:hAnsi="Verdana" w:cs="Arial"/>
          <w:lang w:val="es-MX"/>
        </w:rPr>
      </w:pPr>
      <w:r w:rsidRPr="00875359">
        <w:rPr>
          <w:rFonts w:ascii="Verdana" w:eastAsia="Calibri" w:hAnsi="Verdana" w:cs="Arial"/>
          <w:lang w:val="es-MX"/>
        </w:rPr>
        <w:t xml:space="preserve">De acuerdo con el artículo 2.2.1.1.1.3.1 del Decreto 1082 de 2015, la </w:t>
      </w:r>
      <w:r>
        <w:rPr>
          <w:rFonts w:ascii="Verdana" w:eastAsia="Calibri" w:hAnsi="Verdana" w:cs="Arial"/>
          <w:lang w:val="es-MX"/>
        </w:rPr>
        <w:t>C</w:t>
      </w:r>
      <w:r w:rsidRPr="00875359">
        <w:rPr>
          <w:rFonts w:ascii="Verdana" w:eastAsia="Calibri" w:hAnsi="Verdana" w:cs="Arial"/>
          <w:lang w:val="es-MX"/>
        </w:rPr>
        <w:t xml:space="preserve">apacidad </w:t>
      </w:r>
      <w:r>
        <w:rPr>
          <w:rFonts w:ascii="Verdana" w:eastAsia="Calibri" w:hAnsi="Verdana" w:cs="Arial"/>
          <w:lang w:val="es-MX"/>
        </w:rPr>
        <w:t>R</w:t>
      </w:r>
      <w:r w:rsidRPr="00875359">
        <w:rPr>
          <w:rFonts w:ascii="Verdana" w:eastAsia="Calibri" w:hAnsi="Verdana" w:cs="Arial"/>
          <w:lang w:val="es-MX"/>
        </w:rPr>
        <w:t xml:space="preserve">esidual es la aptitud de los oferentes para cumplir de manera oportuna y a cabalidad el objeto de un contrato de obra, sin que los demás compromisos contractuales que han adquirido afecten su habilidad de cumplir el objeto del contrato que está en proceso de selección. </w:t>
      </w:r>
      <w:r>
        <w:rPr>
          <w:rFonts w:ascii="Verdana" w:eastAsia="Calibri" w:hAnsi="Verdana" w:cs="Arial"/>
          <w:lang w:val="es-MX"/>
        </w:rPr>
        <w:t>E</w:t>
      </w:r>
      <w:r w:rsidRPr="00875359">
        <w:rPr>
          <w:rFonts w:ascii="Verdana" w:eastAsia="Calibri" w:hAnsi="Verdana" w:cs="Arial"/>
          <w:lang w:val="es-MX"/>
        </w:rPr>
        <w:t xml:space="preserve">l Consejo de Estado ha definido la capacidad residual como </w:t>
      </w:r>
      <w:r>
        <w:rPr>
          <w:rFonts w:ascii="Verdana" w:eastAsia="Calibri" w:hAnsi="Verdana" w:cs="Arial"/>
          <w:lang w:val="es-MX"/>
        </w:rPr>
        <w:t>“</w:t>
      </w:r>
      <w:r w:rsidRPr="00875359">
        <w:rPr>
          <w:rFonts w:ascii="Verdana" w:eastAsia="Calibri" w:hAnsi="Verdana" w:cs="Arial"/>
          <w:lang w:val="es-MX"/>
        </w:rPr>
        <w:t>la diferencia que existe entre el potencial de contratación que se tiene y los compromisos que haya adquirido y que se encuentren en ejecución, para la fecha de presentación de la oferta</w:t>
      </w:r>
      <w:r>
        <w:rPr>
          <w:rFonts w:ascii="Verdana" w:eastAsia="Calibri" w:hAnsi="Verdana" w:cs="Arial"/>
          <w:lang w:val="es-MX"/>
        </w:rPr>
        <w:t>”</w:t>
      </w:r>
      <w:r w:rsidRPr="00875359">
        <w:rPr>
          <w:rFonts w:ascii="Verdana" w:eastAsia="Calibri" w:hAnsi="Verdana" w:cs="Arial"/>
          <w:lang w:val="es-MX"/>
        </w:rPr>
        <w:t>.</w:t>
      </w:r>
    </w:p>
    <w:p w14:paraId="67733FAC" w14:textId="77777777" w:rsidR="00BB6742" w:rsidRPr="00B47A78" w:rsidRDefault="00BB6742" w:rsidP="00BB6742">
      <w:pPr>
        <w:jc w:val="both"/>
        <w:rPr>
          <w:rFonts w:ascii="Verdana" w:eastAsia="Calibri" w:hAnsi="Verdana" w:cs="Arial"/>
          <w:b/>
          <w:color w:val="000000" w:themeColor="text1"/>
          <w:lang w:val="es-ES_tradnl"/>
        </w:rPr>
      </w:pPr>
      <w:r w:rsidRPr="00B47A78">
        <w:rPr>
          <w:rFonts w:ascii="Verdana" w:eastAsia="Calibri" w:hAnsi="Verdana" w:cs="Arial"/>
          <w:b/>
          <w:color w:val="000000" w:themeColor="text1"/>
          <w:lang w:val="es-ES_tradnl"/>
        </w:rPr>
        <w:t xml:space="preserve">CÁLCULO DE LA CAPACIDAD RESIDUAL – Documentos requeridos – Cálculo </w:t>
      </w:r>
    </w:p>
    <w:p w14:paraId="32B4C3A2" w14:textId="77777777" w:rsidR="00B47A78" w:rsidRDefault="00B47A78" w:rsidP="00B47A78">
      <w:pPr>
        <w:spacing w:after="120" w:line="276" w:lineRule="auto"/>
        <w:jc w:val="both"/>
        <w:rPr>
          <w:rFonts w:ascii="Verdana" w:eastAsia="Calibri" w:hAnsi="Verdana" w:cs="Arial"/>
          <w:color w:val="000000"/>
          <w:lang w:val="es-MX" w:eastAsia="en-GB"/>
        </w:rPr>
      </w:pPr>
      <w:r>
        <w:rPr>
          <w:rFonts w:ascii="Verdana" w:eastAsia="Calibri" w:hAnsi="Verdana" w:cs="Arial"/>
          <w:color w:val="000000"/>
          <w:lang w:val="es-MX" w:eastAsia="en-GB"/>
        </w:rPr>
        <w:t xml:space="preserve">[…] </w:t>
      </w:r>
      <w:r w:rsidRPr="00896002">
        <w:rPr>
          <w:rFonts w:ascii="Verdana" w:eastAsia="Calibri" w:hAnsi="Verdana" w:cs="Arial"/>
          <w:color w:val="000000"/>
          <w:lang w:val="es-MX" w:eastAsia="en-GB"/>
        </w:rPr>
        <w:t xml:space="preserve">el artículo 2.2.1.1.1.6.4 del Decreto 1082 de 2015 dispone que las Entidades Estatales deberán calcular la Capacidad Residual conforme a la metodología definida por la Agencia Nacional de Contratación Pública – Colombia Compra Eficiente. Para tales fines, resulta necesario tener en cuenta los factores de: i) Experiencia –E–, </w:t>
      </w:r>
      <w:proofErr w:type="spellStart"/>
      <w:r w:rsidRPr="00896002">
        <w:rPr>
          <w:rFonts w:ascii="Verdana" w:eastAsia="Calibri" w:hAnsi="Verdana" w:cs="Arial"/>
          <w:color w:val="000000"/>
          <w:lang w:val="es-MX" w:eastAsia="en-GB"/>
        </w:rPr>
        <w:t>ii</w:t>
      </w:r>
      <w:proofErr w:type="spellEnd"/>
      <w:r w:rsidRPr="00896002">
        <w:rPr>
          <w:rFonts w:ascii="Verdana" w:eastAsia="Calibri" w:hAnsi="Verdana" w:cs="Arial"/>
          <w:color w:val="000000"/>
          <w:lang w:val="es-MX" w:eastAsia="en-GB"/>
        </w:rPr>
        <w:t xml:space="preserve">) Capacidad Financiera –CF–, </w:t>
      </w:r>
      <w:proofErr w:type="spellStart"/>
      <w:r w:rsidRPr="00896002">
        <w:rPr>
          <w:rFonts w:ascii="Verdana" w:eastAsia="Calibri" w:hAnsi="Verdana" w:cs="Arial"/>
          <w:color w:val="000000"/>
          <w:lang w:val="es-MX" w:eastAsia="en-GB"/>
        </w:rPr>
        <w:t>iii</w:t>
      </w:r>
      <w:proofErr w:type="spellEnd"/>
      <w:r w:rsidRPr="00896002">
        <w:rPr>
          <w:rFonts w:ascii="Verdana" w:eastAsia="Calibri" w:hAnsi="Verdana" w:cs="Arial"/>
          <w:color w:val="000000"/>
          <w:lang w:val="es-MX" w:eastAsia="en-GB"/>
        </w:rPr>
        <w:t xml:space="preserve">) Capacidad Técnica –CT–, </w:t>
      </w:r>
      <w:proofErr w:type="spellStart"/>
      <w:r w:rsidRPr="00896002">
        <w:rPr>
          <w:rFonts w:ascii="Verdana" w:eastAsia="Calibri" w:hAnsi="Verdana" w:cs="Arial"/>
          <w:color w:val="000000"/>
          <w:lang w:val="es-MX" w:eastAsia="en-GB"/>
        </w:rPr>
        <w:t>iv</w:t>
      </w:r>
      <w:proofErr w:type="spellEnd"/>
      <w:r w:rsidRPr="00896002">
        <w:rPr>
          <w:rFonts w:ascii="Verdana" w:eastAsia="Calibri" w:hAnsi="Verdana" w:cs="Arial"/>
          <w:color w:val="000000"/>
          <w:lang w:val="es-MX" w:eastAsia="en-GB"/>
        </w:rPr>
        <w:t>) Capacidad de Organización y v) los Saldos de los Contratos en Ejecución –SCE–</w:t>
      </w:r>
    </w:p>
    <w:p w14:paraId="5475EE8D" w14:textId="5BC1F956" w:rsidR="00B47A78" w:rsidRDefault="00B47A78" w:rsidP="00B47A78">
      <w:pPr>
        <w:spacing w:after="120" w:line="276" w:lineRule="auto"/>
        <w:jc w:val="both"/>
        <w:rPr>
          <w:rFonts w:ascii="Verdana" w:eastAsia="Calibri" w:hAnsi="Verdana" w:cs="Arial"/>
          <w:lang w:val="es-MX" w:eastAsia="en-GB"/>
        </w:rPr>
      </w:pPr>
      <w:r w:rsidRPr="00896002">
        <w:rPr>
          <w:rFonts w:ascii="Verdana" w:eastAsia="Calibri" w:hAnsi="Verdana" w:cs="Arial"/>
          <w:color w:val="000000"/>
          <w:lang w:val="es-MX" w:eastAsia="en-GB"/>
        </w:rPr>
        <w:t>De igual manera,</w:t>
      </w:r>
      <w:r>
        <w:rPr>
          <w:rFonts w:ascii="Verdana" w:eastAsia="Calibri" w:hAnsi="Verdana" w:cs="Arial"/>
          <w:color w:val="000000"/>
          <w:lang w:val="es-MX" w:eastAsia="en-GB"/>
        </w:rPr>
        <w:t xml:space="preserve"> el mencionado artículo</w:t>
      </w:r>
      <w:r w:rsidRPr="00896002">
        <w:rPr>
          <w:rFonts w:ascii="Verdana" w:eastAsia="Calibri" w:hAnsi="Verdana" w:cs="Arial"/>
          <w:color w:val="000000"/>
          <w:lang w:val="es-MX" w:eastAsia="en-GB"/>
        </w:rPr>
        <w:t xml:space="preserve"> </w:t>
      </w:r>
      <w:r w:rsidRPr="00896002">
        <w:rPr>
          <w:rFonts w:ascii="Verdana" w:eastAsia="Calibri" w:hAnsi="Verdana" w:cs="Arial"/>
          <w:lang w:val="es-MX" w:eastAsia="en-GB"/>
        </w:rPr>
        <w:t xml:space="preserve">establece que el interesado en celebrar contratos de obra pública acreditará su Capacidad Residual con los siguientes documentos: </w:t>
      </w:r>
    </w:p>
    <w:p w14:paraId="4B4D6778" w14:textId="77777777" w:rsidR="00B47A78" w:rsidRPr="00F34331" w:rsidRDefault="00B47A78" w:rsidP="00B47A78">
      <w:pPr>
        <w:shd w:val="clear" w:color="auto" w:fill="FFFFFF"/>
        <w:spacing w:after="0" w:line="240" w:lineRule="auto"/>
        <w:ind w:left="709" w:right="709"/>
        <w:contextualSpacing/>
        <w:jc w:val="both"/>
        <w:rPr>
          <w:rFonts w:ascii="Verdana" w:hAnsi="Verdana" w:cs="Arial"/>
          <w:sz w:val="20"/>
          <w:szCs w:val="20"/>
        </w:rPr>
      </w:pPr>
      <w:r w:rsidRPr="00F34331">
        <w:rPr>
          <w:rFonts w:ascii="Verdana" w:hAnsi="Verdana" w:cs="Arial"/>
          <w:sz w:val="20"/>
          <w:szCs w:val="20"/>
        </w:rPr>
        <w:t xml:space="preserve">“1. La lista de los </w:t>
      </w:r>
      <w:r w:rsidRPr="00E959F4">
        <w:rPr>
          <w:rFonts w:ascii="Verdana" w:hAnsi="Verdana" w:cs="Arial"/>
          <w:i/>
          <w:sz w:val="20"/>
          <w:szCs w:val="20"/>
        </w:rPr>
        <w:t>contratos de obras civiles</w:t>
      </w:r>
      <w:r w:rsidRPr="00F34331">
        <w:rPr>
          <w:rFonts w:ascii="Verdana" w:hAnsi="Verdana" w:cs="Arial"/>
          <w:sz w:val="20"/>
          <w:szCs w:val="20"/>
        </w:rPr>
        <w:t xml:space="preserve"> en ejecución suscritos con Entidades Estatales y con entidades privadas, así como el valor y plazo de tales contratos, incluyendo contratos de concesión y los contratos de obra suscritos con concesionarios.</w:t>
      </w:r>
    </w:p>
    <w:p w14:paraId="73875509" w14:textId="77777777" w:rsidR="00B47A78" w:rsidRPr="00F34331" w:rsidRDefault="00B47A78" w:rsidP="00B47A78">
      <w:pPr>
        <w:shd w:val="clear" w:color="auto" w:fill="FFFFFF"/>
        <w:spacing w:after="0" w:line="240" w:lineRule="auto"/>
        <w:ind w:left="709" w:right="709"/>
        <w:contextualSpacing/>
        <w:jc w:val="both"/>
        <w:rPr>
          <w:rFonts w:ascii="Verdana" w:hAnsi="Verdana" w:cs="Arial"/>
          <w:sz w:val="20"/>
          <w:szCs w:val="20"/>
        </w:rPr>
      </w:pPr>
    </w:p>
    <w:p w14:paraId="29D6306F" w14:textId="77777777" w:rsidR="00B47A78" w:rsidRPr="00F34331" w:rsidRDefault="00B47A78" w:rsidP="00B47A78">
      <w:pPr>
        <w:shd w:val="clear" w:color="auto" w:fill="FFFFFF"/>
        <w:spacing w:after="0" w:line="240" w:lineRule="auto"/>
        <w:ind w:left="709" w:right="709" w:firstLine="1"/>
        <w:contextualSpacing/>
        <w:jc w:val="both"/>
        <w:rPr>
          <w:rFonts w:ascii="Verdana" w:hAnsi="Verdana" w:cs="Arial"/>
          <w:sz w:val="20"/>
          <w:szCs w:val="20"/>
        </w:rPr>
      </w:pPr>
      <w:r w:rsidRPr="00F34331">
        <w:rPr>
          <w:rFonts w:ascii="Verdana" w:hAnsi="Verdana" w:cs="Arial"/>
          <w:sz w:val="20"/>
          <w:szCs w:val="20"/>
        </w:rPr>
        <w:t xml:space="preserve">2. La lista de los </w:t>
      </w:r>
      <w:r w:rsidRPr="00E959F4">
        <w:rPr>
          <w:rFonts w:ascii="Verdana" w:hAnsi="Verdana" w:cs="Arial"/>
          <w:i/>
          <w:sz w:val="20"/>
          <w:szCs w:val="20"/>
        </w:rPr>
        <w:t>contratos de obras civiles</w:t>
      </w:r>
      <w:r w:rsidRPr="00F34331">
        <w:rPr>
          <w:rFonts w:ascii="Verdana" w:hAnsi="Verdana" w:cs="Arial"/>
          <w:sz w:val="20"/>
          <w:szCs w:val="20"/>
        </w:rPr>
        <w:t xml:space="preserve">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190CD709" w14:textId="77777777" w:rsidR="00B47A78" w:rsidRDefault="00B47A78" w:rsidP="00B47A78">
      <w:pPr>
        <w:shd w:val="clear" w:color="auto" w:fill="FFFFFF"/>
        <w:spacing w:after="0" w:line="240" w:lineRule="auto"/>
        <w:ind w:left="709" w:right="709" w:firstLine="1"/>
        <w:contextualSpacing/>
        <w:jc w:val="both"/>
        <w:rPr>
          <w:rFonts w:ascii="Verdana" w:hAnsi="Verdana" w:cs="Arial"/>
          <w:sz w:val="20"/>
          <w:szCs w:val="20"/>
        </w:rPr>
      </w:pPr>
    </w:p>
    <w:p w14:paraId="1CA23D67" w14:textId="77777777" w:rsidR="00B47A78" w:rsidRPr="00F34331" w:rsidRDefault="00B47A78" w:rsidP="00B47A78">
      <w:pPr>
        <w:shd w:val="clear" w:color="auto" w:fill="FFFFFF"/>
        <w:spacing w:after="0" w:line="240" w:lineRule="auto"/>
        <w:ind w:left="709" w:right="709" w:firstLine="1"/>
        <w:contextualSpacing/>
        <w:jc w:val="both"/>
        <w:rPr>
          <w:rFonts w:ascii="Verdana" w:hAnsi="Verdana" w:cs="Arial"/>
          <w:sz w:val="20"/>
          <w:szCs w:val="20"/>
        </w:rPr>
      </w:pPr>
      <w:r w:rsidRPr="00F34331">
        <w:rPr>
          <w:rFonts w:ascii="Verdana" w:hAnsi="Verdana" w:cs="Arial"/>
          <w:sz w:val="20"/>
          <w:szCs w:val="20"/>
        </w:rPr>
        <w:t xml:space="preserve">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w:t>
      </w:r>
      <w:r w:rsidRPr="00F34331">
        <w:rPr>
          <w:rFonts w:ascii="Verdana" w:hAnsi="Verdana" w:cs="Arial"/>
          <w:sz w:val="20"/>
          <w:szCs w:val="20"/>
        </w:rPr>
        <w:lastRenderedPageBreak/>
        <w:t>ingreso operacional en los últimos cinco (5) años”.</w:t>
      </w:r>
      <w:r>
        <w:rPr>
          <w:rFonts w:ascii="Verdana" w:hAnsi="Verdana" w:cs="Arial"/>
          <w:sz w:val="20"/>
          <w:szCs w:val="20"/>
        </w:rPr>
        <w:t xml:space="preserve"> [Énfasis fuera del texto original]</w:t>
      </w:r>
    </w:p>
    <w:p w14:paraId="171A56B0" w14:textId="77777777" w:rsidR="00B47A78" w:rsidRDefault="00B47A78" w:rsidP="00B47A78">
      <w:pPr>
        <w:spacing w:after="0" w:line="276" w:lineRule="auto"/>
        <w:ind w:firstLine="709"/>
        <w:jc w:val="both"/>
        <w:rPr>
          <w:rFonts w:ascii="Verdana" w:eastAsia="Calibri" w:hAnsi="Verdana" w:cs="Arial"/>
          <w:lang w:val="es-MX" w:eastAsia="en-GB"/>
        </w:rPr>
      </w:pPr>
    </w:p>
    <w:p w14:paraId="2F0C8CAC" w14:textId="3C2C0A61" w:rsidR="00BB6742" w:rsidRPr="00B47A78" w:rsidRDefault="00BB6742" w:rsidP="00BB6742">
      <w:pPr>
        <w:jc w:val="both"/>
        <w:rPr>
          <w:rFonts w:ascii="Verdana" w:eastAsia="Calibri" w:hAnsi="Verdana" w:cs="Arial"/>
          <w:b/>
          <w:color w:val="000000" w:themeColor="text1"/>
          <w:lang w:val="es-ES_tradnl"/>
        </w:rPr>
      </w:pPr>
      <w:r w:rsidRPr="00B47A78">
        <w:rPr>
          <w:rFonts w:ascii="Verdana" w:eastAsia="Calibri" w:hAnsi="Verdana" w:cs="Arial"/>
          <w:b/>
          <w:color w:val="000000" w:themeColor="text1"/>
          <w:lang w:val="es-ES_tradnl"/>
        </w:rPr>
        <w:t>CÁLCULO DE LA CAPACIDAD RESIDUAL – Contratos de obra</w:t>
      </w:r>
    </w:p>
    <w:p w14:paraId="5119CD71" w14:textId="77777777" w:rsidR="00B47A78" w:rsidRDefault="00B47A78" w:rsidP="00B47A78">
      <w:pPr>
        <w:spacing w:after="120" w:line="276" w:lineRule="auto"/>
        <w:jc w:val="both"/>
        <w:rPr>
          <w:rFonts w:ascii="Verdana" w:eastAsia="Calibri" w:hAnsi="Verdana" w:cs="Arial"/>
        </w:rPr>
      </w:pPr>
      <w:r>
        <w:rPr>
          <w:rFonts w:ascii="Verdana" w:hAnsi="Verdana" w:cs="Arial"/>
        </w:rPr>
        <w:t>De esta forma, s</w:t>
      </w:r>
      <w:r w:rsidRPr="00FE755E">
        <w:rPr>
          <w:rFonts w:ascii="Verdana" w:hAnsi="Verdana"/>
        </w:rPr>
        <w:t>e concluye que los contratos que deben tenerse en cuenta para el cálculo de la experiencia del oferente en el marco de la Capacidad Residual son exclusivamente aquellos relacionados con la actividad de la construcción, es decir, los contratos de obra.</w:t>
      </w:r>
      <w:r>
        <w:rPr>
          <w:rFonts w:ascii="Verdana" w:hAnsi="Verdana"/>
        </w:rPr>
        <w:t xml:space="preserve"> </w:t>
      </w:r>
      <w:r w:rsidRPr="008C45F5">
        <w:rPr>
          <w:rFonts w:ascii="Verdana" w:eastAsia="Calibri" w:hAnsi="Verdana" w:cs="Arial"/>
        </w:rPr>
        <w:t xml:space="preserve">En este contexto, resulta oportuno precisar que, si bien es cierto la entidad estatal es la que debe calcular la capacidad residual de los proponentes, también lo es que estos últimos, como se referenció, tienen la carga de aportar los documentos para acreditar su </w:t>
      </w:r>
      <w:r>
        <w:rPr>
          <w:rFonts w:ascii="Verdana" w:eastAsia="Calibri" w:hAnsi="Verdana" w:cs="Arial"/>
        </w:rPr>
        <w:t>C</w:t>
      </w:r>
      <w:r w:rsidRPr="008C45F5">
        <w:rPr>
          <w:rFonts w:ascii="Verdana" w:eastAsia="Calibri" w:hAnsi="Verdana" w:cs="Arial"/>
        </w:rPr>
        <w:t xml:space="preserve">apacidad </w:t>
      </w:r>
      <w:r>
        <w:rPr>
          <w:rFonts w:ascii="Verdana" w:eastAsia="Calibri" w:hAnsi="Verdana" w:cs="Arial"/>
        </w:rPr>
        <w:t>R</w:t>
      </w:r>
      <w:r w:rsidRPr="008C45F5">
        <w:rPr>
          <w:rFonts w:ascii="Verdana" w:eastAsia="Calibri" w:hAnsi="Verdana" w:cs="Arial"/>
        </w:rPr>
        <w:t>esidual.</w:t>
      </w:r>
    </w:p>
    <w:p w14:paraId="61A62E84" w14:textId="65EB3E84" w:rsidR="00BB6742" w:rsidRDefault="00BB6742" w:rsidP="00E245AB">
      <w:pPr>
        <w:spacing w:after="0"/>
        <w:rPr>
          <w:rFonts w:ascii="Verdana" w:hAnsi="Verdana"/>
        </w:rPr>
      </w:pPr>
    </w:p>
    <w:p w14:paraId="0CCA3F53" w14:textId="45EBFFCF" w:rsidR="00B47A78" w:rsidRDefault="00B47A78" w:rsidP="00E245AB">
      <w:pPr>
        <w:spacing w:after="0"/>
        <w:rPr>
          <w:rFonts w:ascii="Verdana" w:hAnsi="Verdana"/>
        </w:rPr>
      </w:pPr>
    </w:p>
    <w:p w14:paraId="09C18BEF" w14:textId="6121FA3B" w:rsidR="00B47A78" w:rsidRDefault="00B47A78" w:rsidP="00E245AB">
      <w:pPr>
        <w:spacing w:after="0"/>
        <w:rPr>
          <w:rFonts w:ascii="Verdana" w:hAnsi="Verdana"/>
        </w:rPr>
      </w:pPr>
    </w:p>
    <w:p w14:paraId="6F89A24A" w14:textId="0E23F090" w:rsidR="00B47A78" w:rsidRDefault="00B47A78" w:rsidP="00E245AB">
      <w:pPr>
        <w:spacing w:after="0"/>
        <w:rPr>
          <w:rFonts w:ascii="Verdana" w:hAnsi="Verdana"/>
        </w:rPr>
      </w:pPr>
    </w:p>
    <w:p w14:paraId="13D08B93" w14:textId="42872FEA" w:rsidR="00B47A78" w:rsidRDefault="00B47A78" w:rsidP="00E245AB">
      <w:pPr>
        <w:spacing w:after="0"/>
        <w:rPr>
          <w:rFonts w:ascii="Verdana" w:hAnsi="Verdana"/>
        </w:rPr>
      </w:pPr>
    </w:p>
    <w:p w14:paraId="5745EF9C" w14:textId="31061814" w:rsidR="00B47A78" w:rsidRDefault="00B47A78" w:rsidP="00E245AB">
      <w:pPr>
        <w:spacing w:after="0"/>
        <w:rPr>
          <w:rFonts w:ascii="Verdana" w:hAnsi="Verdana"/>
        </w:rPr>
      </w:pPr>
    </w:p>
    <w:p w14:paraId="51D67A07" w14:textId="2C143250" w:rsidR="00B47A78" w:rsidRDefault="00B47A78" w:rsidP="00E245AB">
      <w:pPr>
        <w:spacing w:after="0"/>
        <w:rPr>
          <w:rFonts w:ascii="Verdana" w:hAnsi="Verdana"/>
        </w:rPr>
      </w:pPr>
    </w:p>
    <w:p w14:paraId="1DDB03C0" w14:textId="762BAAAC" w:rsidR="00B47A78" w:rsidRDefault="00B47A78" w:rsidP="00E245AB">
      <w:pPr>
        <w:spacing w:after="0"/>
        <w:rPr>
          <w:rFonts w:ascii="Verdana" w:hAnsi="Verdana"/>
        </w:rPr>
      </w:pPr>
    </w:p>
    <w:p w14:paraId="043F8518" w14:textId="13E19FE5" w:rsidR="00B47A78" w:rsidRDefault="00B47A78" w:rsidP="00E245AB">
      <w:pPr>
        <w:spacing w:after="0"/>
        <w:rPr>
          <w:rFonts w:ascii="Verdana" w:hAnsi="Verdana"/>
        </w:rPr>
      </w:pPr>
    </w:p>
    <w:p w14:paraId="51BFD42E" w14:textId="473BC732" w:rsidR="00B47A78" w:rsidRDefault="00B47A78" w:rsidP="00E245AB">
      <w:pPr>
        <w:spacing w:after="0"/>
        <w:rPr>
          <w:rFonts w:ascii="Verdana" w:hAnsi="Verdana"/>
        </w:rPr>
      </w:pPr>
    </w:p>
    <w:p w14:paraId="5B55A4E0" w14:textId="7FA30BCC" w:rsidR="00B47A78" w:rsidRDefault="00B47A78" w:rsidP="00E245AB">
      <w:pPr>
        <w:spacing w:after="0"/>
        <w:rPr>
          <w:rFonts w:ascii="Verdana" w:hAnsi="Verdana"/>
        </w:rPr>
      </w:pPr>
    </w:p>
    <w:p w14:paraId="2D089CED" w14:textId="3E7907D7" w:rsidR="00B47A78" w:rsidRDefault="00B47A78" w:rsidP="00E245AB">
      <w:pPr>
        <w:spacing w:after="0"/>
        <w:rPr>
          <w:rFonts w:ascii="Verdana" w:hAnsi="Verdana"/>
        </w:rPr>
      </w:pPr>
    </w:p>
    <w:p w14:paraId="442E917B" w14:textId="498FF55F" w:rsidR="00B47A78" w:rsidRDefault="00B47A78" w:rsidP="00E245AB">
      <w:pPr>
        <w:spacing w:after="0"/>
        <w:rPr>
          <w:rFonts w:ascii="Verdana" w:hAnsi="Verdana"/>
        </w:rPr>
      </w:pPr>
    </w:p>
    <w:p w14:paraId="32C5279C" w14:textId="508D6D4E" w:rsidR="00B47A78" w:rsidRDefault="00B47A78" w:rsidP="00E245AB">
      <w:pPr>
        <w:spacing w:after="0"/>
        <w:rPr>
          <w:rFonts w:ascii="Verdana" w:hAnsi="Verdana"/>
        </w:rPr>
      </w:pPr>
    </w:p>
    <w:p w14:paraId="5CA716CF" w14:textId="1122FC5D" w:rsidR="00B47A78" w:rsidRDefault="00B47A78" w:rsidP="00E245AB">
      <w:pPr>
        <w:spacing w:after="0"/>
        <w:rPr>
          <w:rFonts w:ascii="Verdana" w:hAnsi="Verdana"/>
        </w:rPr>
      </w:pPr>
    </w:p>
    <w:p w14:paraId="06382440" w14:textId="32D36206" w:rsidR="00B47A78" w:rsidRDefault="00B47A78" w:rsidP="00E245AB">
      <w:pPr>
        <w:spacing w:after="0"/>
        <w:rPr>
          <w:rFonts w:ascii="Verdana" w:hAnsi="Verdana"/>
        </w:rPr>
      </w:pPr>
    </w:p>
    <w:p w14:paraId="7264518D" w14:textId="0D99721B" w:rsidR="00B47A78" w:rsidRDefault="00B47A78" w:rsidP="00E245AB">
      <w:pPr>
        <w:spacing w:after="0"/>
        <w:rPr>
          <w:rFonts w:ascii="Verdana" w:hAnsi="Verdana"/>
        </w:rPr>
      </w:pPr>
    </w:p>
    <w:p w14:paraId="52BB2E3B" w14:textId="71E95EA7" w:rsidR="00B47A78" w:rsidRDefault="00B47A78" w:rsidP="00E245AB">
      <w:pPr>
        <w:spacing w:after="0"/>
        <w:rPr>
          <w:rFonts w:ascii="Verdana" w:hAnsi="Verdana"/>
        </w:rPr>
      </w:pPr>
    </w:p>
    <w:p w14:paraId="20E128FA" w14:textId="78EDBF7B" w:rsidR="00B47A78" w:rsidRDefault="00B47A78" w:rsidP="00E245AB">
      <w:pPr>
        <w:spacing w:after="0"/>
        <w:rPr>
          <w:rFonts w:ascii="Verdana" w:hAnsi="Verdana"/>
        </w:rPr>
      </w:pPr>
    </w:p>
    <w:p w14:paraId="53D7C885" w14:textId="18347374" w:rsidR="00B47A78" w:rsidRDefault="00B47A78" w:rsidP="00E245AB">
      <w:pPr>
        <w:spacing w:after="0"/>
        <w:rPr>
          <w:rFonts w:ascii="Verdana" w:hAnsi="Verdana"/>
        </w:rPr>
      </w:pPr>
    </w:p>
    <w:p w14:paraId="2F3DFA84" w14:textId="77C05777" w:rsidR="00B47A78" w:rsidRDefault="00B47A78" w:rsidP="00E245AB">
      <w:pPr>
        <w:spacing w:after="0"/>
        <w:rPr>
          <w:rFonts w:ascii="Verdana" w:hAnsi="Verdana"/>
        </w:rPr>
      </w:pPr>
    </w:p>
    <w:p w14:paraId="28E8754E" w14:textId="78E8FB96" w:rsidR="00B47A78" w:rsidRDefault="00B47A78" w:rsidP="00E245AB">
      <w:pPr>
        <w:spacing w:after="0"/>
        <w:rPr>
          <w:rFonts w:ascii="Verdana" w:hAnsi="Verdana"/>
        </w:rPr>
      </w:pPr>
    </w:p>
    <w:p w14:paraId="1D08A9EC" w14:textId="77777777" w:rsidR="00B47A78" w:rsidRDefault="00B47A78" w:rsidP="00E245AB">
      <w:pPr>
        <w:spacing w:after="0"/>
        <w:rPr>
          <w:rFonts w:ascii="Verdana" w:hAnsi="Verdana"/>
        </w:rPr>
      </w:pPr>
    </w:p>
    <w:p w14:paraId="7E1938DC" w14:textId="77777777" w:rsidR="00BB6742" w:rsidRDefault="00BB6742" w:rsidP="00E245AB">
      <w:pPr>
        <w:spacing w:after="0"/>
        <w:rPr>
          <w:rFonts w:ascii="Verdana" w:hAnsi="Verdana"/>
        </w:rPr>
      </w:pPr>
    </w:p>
    <w:p w14:paraId="3471FC1E" w14:textId="77777777" w:rsidR="00BB6742" w:rsidRDefault="00BB6742" w:rsidP="00E245AB">
      <w:pPr>
        <w:spacing w:after="0"/>
        <w:rPr>
          <w:rFonts w:ascii="Verdana" w:hAnsi="Verdana"/>
        </w:rPr>
      </w:pPr>
    </w:p>
    <w:p w14:paraId="58B57F00" w14:textId="77777777" w:rsidR="00BB6742" w:rsidRDefault="00BB6742" w:rsidP="00E245AB">
      <w:pPr>
        <w:spacing w:after="0"/>
        <w:rPr>
          <w:rFonts w:ascii="Verdana" w:hAnsi="Verdana"/>
        </w:rPr>
      </w:pPr>
    </w:p>
    <w:p w14:paraId="3DEFAEAA" w14:textId="77777777" w:rsidR="00BB6742" w:rsidRDefault="00BB6742" w:rsidP="00E245AB">
      <w:pPr>
        <w:spacing w:after="0"/>
        <w:rPr>
          <w:rFonts w:ascii="Verdana" w:hAnsi="Verdana"/>
        </w:rPr>
      </w:pPr>
    </w:p>
    <w:p w14:paraId="3FE2184B" w14:textId="45D600F6" w:rsidR="00E245AB" w:rsidRPr="0044528D" w:rsidRDefault="00BB6742" w:rsidP="00E245AB">
      <w:pPr>
        <w:spacing w:after="0"/>
        <w:rPr>
          <w:rFonts w:ascii="Verdana" w:hAnsi="Verdana"/>
        </w:rPr>
      </w:pPr>
      <w:r>
        <w:rPr>
          <w:rFonts w:ascii="Verdana" w:hAnsi="Verdana" w:cs="ArialMT"/>
          <w:noProof/>
        </w:rPr>
        <w:lastRenderedPageBreak/>
        <w:drawing>
          <wp:anchor distT="0" distB="0" distL="114300" distR="114300" simplePos="0" relativeHeight="251658240" behindDoc="0" locked="0" layoutInCell="1" allowOverlap="1" wp14:anchorId="5C8445D2" wp14:editId="17D0364B">
            <wp:simplePos x="0" y="0"/>
            <wp:positionH relativeFrom="column">
              <wp:posOffset>3220996</wp:posOffset>
            </wp:positionH>
            <wp:positionV relativeFrom="paragraph">
              <wp:posOffset>-113113</wp:posOffset>
            </wp:positionV>
            <wp:extent cx="2439638" cy="762387"/>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0">
                      <a:extLst>
                        <a:ext uri="{28A0092B-C50C-407E-A947-70E740481C1C}">
                          <a14:useLocalDpi xmlns:a14="http://schemas.microsoft.com/office/drawing/2010/main" val="0"/>
                        </a:ext>
                      </a:extLst>
                    </a:blip>
                    <a:stretch>
                      <a:fillRect/>
                    </a:stretch>
                  </pic:blipFill>
                  <pic:spPr>
                    <a:xfrm>
                      <a:off x="0" y="0"/>
                      <a:ext cx="2439638" cy="762387"/>
                    </a:xfrm>
                    <a:prstGeom prst="rect">
                      <a:avLst/>
                    </a:prstGeom>
                  </pic:spPr>
                </pic:pic>
              </a:graphicData>
            </a:graphic>
            <wp14:sizeRelH relativeFrom="page">
              <wp14:pctWidth>0</wp14:pctWidth>
            </wp14:sizeRelH>
            <wp14:sizeRelV relativeFrom="page">
              <wp14:pctHeight>0</wp14:pctHeight>
            </wp14:sizeRelV>
          </wp:anchor>
        </w:drawing>
      </w:r>
      <w:r w:rsidR="00897A3A" w:rsidRPr="0044528D">
        <w:rPr>
          <w:rFonts w:ascii="Verdana" w:hAnsi="Verdana"/>
        </w:rPr>
        <w:t xml:space="preserve">Bogotá D.C., </w:t>
      </w:r>
      <w:r>
        <w:rPr>
          <w:rFonts w:ascii="Verdana" w:hAnsi="Verdana"/>
        </w:rPr>
        <w:t xml:space="preserve">28 </w:t>
      </w:r>
      <w:proofErr w:type="gramStart"/>
      <w:r>
        <w:rPr>
          <w:rFonts w:ascii="Verdana" w:hAnsi="Verdana"/>
        </w:rPr>
        <w:t>Octubre</w:t>
      </w:r>
      <w:proofErr w:type="gramEnd"/>
      <w:r>
        <w:rPr>
          <w:rFonts w:ascii="Verdana" w:hAnsi="Verdana"/>
        </w:rPr>
        <w:t xml:space="preserve"> 2025</w:t>
      </w:r>
      <w:r w:rsidR="00891928" w:rsidRPr="0044528D">
        <w:rPr>
          <w:rFonts w:ascii="Verdana" w:hAnsi="Verdana"/>
        </w:rPr>
        <w:tab/>
      </w:r>
    </w:p>
    <w:p w14:paraId="5FCADBF9" w14:textId="63DDB7D2" w:rsidR="00E245AB" w:rsidRPr="0044528D" w:rsidRDefault="00E245AB" w:rsidP="00E245AB">
      <w:pPr>
        <w:spacing w:after="0"/>
        <w:rPr>
          <w:rFonts w:ascii="Verdana" w:hAnsi="Verdana"/>
        </w:rPr>
      </w:pPr>
    </w:p>
    <w:p w14:paraId="49629AF6" w14:textId="0DEB3890" w:rsidR="00EB7063" w:rsidRPr="004C713C" w:rsidRDefault="00EB7063" w:rsidP="00EB7063">
      <w:pPr>
        <w:spacing w:after="0" w:line="240" w:lineRule="auto"/>
        <w:jc w:val="both"/>
        <w:rPr>
          <w:rFonts w:ascii="Verdana" w:eastAsia="Calibri" w:hAnsi="Verdana" w:cs="Arial"/>
          <w:lang w:val="es-ES" w:eastAsia="es-ES"/>
        </w:rPr>
      </w:pPr>
      <w:r w:rsidRPr="004C713C">
        <w:rPr>
          <w:rFonts w:ascii="Verdana" w:eastAsia="Calibri" w:hAnsi="Verdana" w:cs="Arial"/>
          <w:lang w:val="es-ES" w:eastAsia="es-ES"/>
        </w:rPr>
        <w:t>Señor</w:t>
      </w:r>
      <w:r>
        <w:rPr>
          <w:rFonts w:ascii="Verdana" w:eastAsia="Calibri" w:hAnsi="Verdana" w:cs="Arial"/>
          <w:lang w:val="es-ES" w:eastAsia="es-ES"/>
        </w:rPr>
        <w:t>a</w:t>
      </w:r>
    </w:p>
    <w:p w14:paraId="66DFB8B7" w14:textId="4FC3FF24" w:rsidR="00EB7063" w:rsidRPr="004C713C" w:rsidRDefault="00EB7063" w:rsidP="00EB7063">
      <w:pPr>
        <w:spacing w:after="0" w:line="240" w:lineRule="auto"/>
        <w:rPr>
          <w:rFonts w:ascii="Verdana" w:eastAsia="Calibri" w:hAnsi="Verdana" w:cs="Arial"/>
          <w:b/>
          <w:lang w:val="es-ES" w:eastAsia="es-ES"/>
        </w:rPr>
      </w:pPr>
      <w:r>
        <w:rPr>
          <w:rFonts w:ascii="Verdana" w:eastAsia="Calibri" w:hAnsi="Verdana" w:cs="Arial"/>
          <w:b/>
          <w:lang w:val="es-ES" w:eastAsia="es-ES"/>
        </w:rPr>
        <w:t>Beatriz Eugenia Ramírez Restrepo</w:t>
      </w:r>
    </w:p>
    <w:p w14:paraId="2FBE2D28" w14:textId="2A5EB508" w:rsidR="00EB7063" w:rsidRPr="004C713C" w:rsidRDefault="003D1329" w:rsidP="00EB7063">
      <w:pPr>
        <w:spacing w:after="0" w:line="240" w:lineRule="auto"/>
        <w:rPr>
          <w:rFonts w:ascii="Verdana" w:hAnsi="Verdana" w:cs="ArialMT"/>
        </w:rPr>
      </w:pPr>
      <w:hyperlink r:id="rId11" w:history="1">
        <w:r w:rsidR="00EB7063" w:rsidRPr="00F375E2">
          <w:rPr>
            <w:rStyle w:val="Hipervnculo"/>
            <w:rFonts w:ascii="Verdana" w:hAnsi="Verdana" w:cs="ArialMT"/>
          </w:rPr>
          <w:t>beatrizrramirezr@gmail.com</w:t>
        </w:r>
      </w:hyperlink>
      <w:r w:rsidR="00EB7063">
        <w:rPr>
          <w:rFonts w:ascii="Verdana" w:hAnsi="Verdana" w:cs="ArialMT"/>
        </w:rPr>
        <w:t xml:space="preserve"> </w:t>
      </w:r>
      <w:r w:rsidR="00EB7063" w:rsidRPr="004C713C">
        <w:rPr>
          <w:rFonts w:ascii="Verdana" w:hAnsi="Verdana" w:cs="ArialMT"/>
        </w:rPr>
        <w:t xml:space="preserve">  </w:t>
      </w:r>
    </w:p>
    <w:p w14:paraId="2DD727DB" w14:textId="77777777" w:rsidR="00EB7063" w:rsidRPr="004C713C" w:rsidRDefault="00EB7063" w:rsidP="00EB7063">
      <w:pPr>
        <w:spacing w:after="0" w:line="240" w:lineRule="auto"/>
        <w:rPr>
          <w:rFonts w:ascii="Verdana" w:hAnsi="Verdana" w:cs="ArialMT"/>
        </w:rPr>
      </w:pPr>
      <w:r>
        <w:rPr>
          <w:rFonts w:ascii="Verdana" w:eastAsia="Calibri" w:hAnsi="Verdana" w:cs="Arial"/>
          <w:lang w:val="es-ES" w:eastAsia="es-ES"/>
        </w:rPr>
        <w:t>Pereira, Risaralda</w:t>
      </w:r>
    </w:p>
    <w:p w14:paraId="3220CB9C" w14:textId="77777777" w:rsidR="00EB7063" w:rsidRPr="006A2651" w:rsidRDefault="00EB7063" w:rsidP="00EB7063">
      <w:pPr>
        <w:spacing w:after="0" w:line="240" w:lineRule="auto"/>
        <w:rPr>
          <w:rFonts w:ascii="Verdana" w:eastAsia="Calibri" w:hAnsi="Verdana" w:cs="Arial"/>
          <w:b/>
          <w:bCs/>
          <w:color w:val="000000"/>
          <w:highlight w:val="yellow"/>
          <w:lang w:val="es-ES_tradnl" w:eastAsia="es-ES_tradnl"/>
        </w:rPr>
      </w:pPr>
    </w:p>
    <w:p w14:paraId="2F2FEB5A" w14:textId="77777777" w:rsidR="00EB7063" w:rsidRPr="006A2651" w:rsidRDefault="00EB7063" w:rsidP="00EB7063">
      <w:pPr>
        <w:spacing w:after="0" w:line="240" w:lineRule="auto"/>
        <w:rPr>
          <w:rFonts w:ascii="Verdana" w:eastAsia="Calibri" w:hAnsi="Verdana" w:cs="Arial"/>
          <w:b/>
          <w:bCs/>
          <w:color w:val="000000"/>
          <w:highlight w:val="yellow"/>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B7063" w:rsidRPr="006A2651" w14:paraId="2E8CC1F7" w14:textId="77777777" w:rsidTr="00EA2188">
        <w:trPr>
          <w:trHeight w:val="218"/>
        </w:trPr>
        <w:tc>
          <w:tcPr>
            <w:tcW w:w="2689" w:type="dxa"/>
          </w:tcPr>
          <w:p w14:paraId="5C64A0B4" w14:textId="77777777" w:rsidR="00EB7063" w:rsidRPr="006A2651" w:rsidRDefault="00EB7063" w:rsidP="00EA2188">
            <w:pPr>
              <w:jc w:val="both"/>
              <w:rPr>
                <w:rFonts w:ascii="Verdana" w:eastAsia="Calibri" w:hAnsi="Verdana" w:cs="Arial"/>
                <w:b/>
                <w:bCs/>
                <w:color w:val="7030A0"/>
                <w:highlight w:val="yellow"/>
                <w:lang w:val="es-ES_tradnl" w:eastAsia="es-ES_tradnl"/>
              </w:rPr>
            </w:pPr>
          </w:p>
        </w:tc>
        <w:tc>
          <w:tcPr>
            <w:tcW w:w="6100" w:type="dxa"/>
            <w:hideMark/>
          </w:tcPr>
          <w:p w14:paraId="1B75FE66" w14:textId="77777777" w:rsidR="00EB7063" w:rsidRPr="004C713C" w:rsidRDefault="00EB7063" w:rsidP="00EA2188">
            <w:pPr>
              <w:jc w:val="both"/>
              <w:rPr>
                <w:rFonts w:ascii="Verdana" w:eastAsia="Calibri" w:hAnsi="Verdana" w:cs="Arial"/>
                <w:b/>
                <w:bCs/>
                <w:lang w:val="es-ES" w:eastAsia="es-ES"/>
              </w:rPr>
            </w:pPr>
            <w:r w:rsidRPr="004C713C">
              <w:rPr>
                <w:rFonts w:ascii="Verdana" w:eastAsia="Calibri" w:hAnsi="Verdana" w:cs="Arial"/>
                <w:b/>
                <w:bCs/>
                <w:lang w:val="es-ES" w:eastAsia="es-ES"/>
              </w:rPr>
              <w:t>Concepto C-1</w:t>
            </w:r>
            <w:r>
              <w:rPr>
                <w:rFonts w:ascii="Verdana" w:eastAsia="Calibri" w:hAnsi="Verdana" w:cs="Arial"/>
                <w:b/>
                <w:bCs/>
                <w:lang w:val="es-ES" w:eastAsia="es-ES"/>
              </w:rPr>
              <w:t>349</w:t>
            </w:r>
            <w:r w:rsidRPr="004C713C">
              <w:rPr>
                <w:rFonts w:ascii="Verdana" w:eastAsia="Calibri" w:hAnsi="Verdana" w:cs="Arial"/>
                <w:b/>
                <w:bCs/>
                <w:lang w:val="es-ES" w:eastAsia="es-ES"/>
              </w:rPr>
              <w:t xml:space="preserve"> de 2025</w:t>
            </w:r>
          </w:p>
          <w:p w14:paraId="18AD3CD7" w14:textId="77777777" w:rsidR="00EB7063" w:rsidRPr="006A2651" w:rsidRDefault="00EB7063" w:rsidP="00EA2188">
            <w:pPr>
              <w:jc w:val="both"/>
              <w:rPr>
                <w:rFonts w:ascii="Verdana" w:eastAsia="Calibri" w:hAnsi="Verdana" w:cs="Arial"/>
                <w:b/>
                <w:bCs/>
                <w:highlight w:val="yellow"/>
                <w:lang w:val="es-ES" w:eastAsia="es-ES"/>
              </w:rPr>
            </w:pPr>
          </w:p>
          <w:p w14:paraId="4903B6E8" w14:textId="77777777" w:rsidR="00EB7063" w:rsidRPr="006A2651" w:rsidRDefault="00EB7063" w:rsidP="00EA2188">
            <w:pPr>
              <w:jc w:val="both"/>
              <w:rPr>
                <w:rFonts w:ascii="Verdana" w:eastAsia="Calibri" w:hAnsi="Verdana" w:cs="Arial"/>
                <w:b/>
                <w:bCs/>
                <w:highlight w:val="yellow"/>
                <w:lang w:val="es-ES" w:eastAsia="es-ES"/>
              </w:rPr>
            </w:pPr>
          </w:p>
        </w:tc>
      </w:tr>
      <w:tr w:rsidR="00EB7063" w:rsidRPr="006A2651" w14:paraId="34B29006" w14:textId="77777777" w:rsidTr="00EA2188">
        <w:trPr>
          <w:trHeight w:val="884"/>
        </w:trPr>
        <w:tc>
          <w:tcPr>
            <w:tcW w:w="2689" w:type="dxa"/>
            <w:hideMark/>
          </w:tcPr>
          <w:p w14:paraId="68F9F8D8" w14:textId="77777777" w:rsidR="00EB7063" w:rsidRPr="004C713C" w:rsidRDefault="00EB7063" w:rsidP="00EA2188">
            <w:pPr>
              <w:jc w:val="both"/>
              <w:rPr>
                <w:rFonts w:ascii="Verdana" w:eastAsia="Calibri" w:hAnsi="Verdana" w:cs="Arial"/>
                <w:color w:val="000000"/>
                <w:lang w:val="es-ES_tradnl" w:eastAsia="es-ES_tradnl"/>
              </w:rPr>
            </w:pPr>
            <w:r w:rsidRPr="004C713C">
              <w:rPr>
                <w:rFonts w:ascii="Verdana" w:eastAsia="Calibri" w:hAnsi="Verdana" w:cs="Arial"/>
                <w:b/>
                <w:color w:val="000000"/>
                <w:lang w:val="es-ES_tradnl" w:eastAsia="es-ES_tradnl"/>
              </w:rPr>
              <w:t>Temas:</w:t>
            </w:r>
            <w:r w:rsidRPr="004C713C">
              <w:rPr>
                <w:rFonts w:ascii="Verdana" w:eastAsia="Calibri" w:hAnsi="Verdana" w:cs="Arial"/>
                <w:color w:val="000000"/>
                <w:lang w:val="es-ES_tradnl" w:eastAsia="es-ES_tradnl"/>
              </w:rPr>
              <w:t xml:space="preserve">                   </w:t>
            </w:r>
          </w:p>
        </w:tc>
        <w:tc>
          <w:tcPr>
            <w:tcW w:w="6100" w:type="dxa"/>
            <w:hideMark/>
          </w:tcPr>
          <w:p w14:paraId="09B64623" w14:textId="0D84ACBC" w:rsidR="00EB7063" w:rsidRDefault="00EB7063" w:rsidP="00EA2188">
            <w:pPr>
              <w:jc w:val="both"/>
              <w:rPr>
                <w:rFonts w:ascii="Verdana" w:eastAsia="Calibri" w:hAnsi="Verdana" w:cs="Arial"/>
                <w:bCs/>
                <w:color w:val="000000" w:themeColor="text1"/>
                <w:lang w:val="es-ES_tradnl"/>
              </w:rPr>
            </w:pPr>
            <w:r w:rsidRPr="00DA204A">
              <w:rPr>
                <w:rFonts w:ascii="Verdana" w:eastAsia="Calibri" w:hAnsi="Verdana" w:cs="Arial"/>
                <w:bCs/>
                <w:color w:val="000000" w:themeColor="text1"/>
                <w:lang w:val="es-ES_tradnl"/>
              </w:rPr>
              <w:t xml:space="preserve">CAPACIDAD RESIDUAL – Concepto / CÁLCULO DE LA CAPACIDAD RESIDUAL – Documentos requeridos </w:t>
            </w:r>
            <w:r w:rsidR="00637AA7">
              <w:rPr>
                <w:rFonts w:ascii="Verdana" w:eastAsia="Calibri" w:hAnsi="Verdana" w:cs="Arial"/>
                <w:bCs/>
                <w:color w:val="000000" w:themeColor="text1"/>
                <w:lang w:val="es-ES_tradnl"/>
              </w:rPr>
              <w:t>–</w:t>
            </w:r>
            <w:r w:rsidRPr="00DA204A">
              <w:rPr>
                <w:rFonts w:ascii="Verdana" w:eastAsia="Calibri" w:hAnsi="Verdana" w:cs="Arial"/>
                <w:bCs/>
                <w:color w:val="000000" w:themeColor="text1"/>
                <w:lang w:val="es-ES_tradnl"/>
              </w:rPr>
              <w:t xml:space="preserve"> Cálculo</w:t>
            </w:r>
            <w:r w:rsidR="00C4772F">
              <w:rPr>
                <w:rFonts w:ascii="Verdana" w:eastAsia="Calibri" w:hAnsi="Verdana" w:cs="Arial"/>
                <w:bCs/>
                <w:color w:val="000000" w:themeColor="text1"/>
                <w:lang w:val="es-ES_tradnl"/>
              </w:rPr>
              <w:t xml:space="preserve"> / </w:t>
            </w:r>
            <w:r w:rsidR="00C4772F" w:rsidRPr="00DA204A">
              <w:rPr>
                <w:rFonts w:ascii="Verdana" w:eastAsia="Calibri" w:hAnsi="Verdana" w:cs="Arial"/>
                <w:bCs/>
                <w:color w:val="000000" w:themeColor="text1"/>
                <w:lang w:val="es-ES_tradnl"/>
              </w:rPr>
              <w:t>CÁLCULO DE LA CAPACIDAD RESIDUAL –</w:t>
            </w:r>
            <w:r w:rsidR="00C4772F">
              <w:rPr>
                <w:rFonts w:ascii="Verdana" w:eastAsia="Calibri" w:hAnsi="Verdana" w:cs="Arial"/>
                <w:bCs/>
                <w:color w:val="000000" w:themeColor="text1"/>
                <w:lang w:val="es-ES_tradnl"/>
              </w:rPr>
              <w:t xml:space="preserve"> Contratos de obra</w:t>
            </w:r>
          </w:p>
          <w:p w14:paraId="35E34FB6" w14:textId="77777777" w:rsidR="00BB6742" w:rsidRDefault="00BB6742" w:rsidP="00EA2188">
            <w:pPr>
              <w:jc w:val="both"/>
              <w:rPr>
                <w:rFonts w:ascii="Verdana" w:eastAsia="Calibri" w:hAnsi="Verdana" w:cs="Arial"/>
                <w:bCs/>
                <w:color w:val="000000" w:themeColor="text1"/>
                <w:lang w:val="es-ES_tradnl"/>
              </w:rPr>
            </w:pPr>
          </w:p>
          <w:p w14:paraId="58CC67AF" w14:textId="77777777" w:rsidR="00EB7063" w:rsidRPr="004C713C" w:rsidRDefault="00EB7063" w:rsidP="00EA2188">
            <w:pPr>
              <w:jc w:val="both"/>
              <w:rPr>
                <w:rFonts w:ascii="Verdana" w:eastAsia="Calibri" w:hAnsi="Verdana" w:cs="Arial"/>
                <w:lang w:val="es-ES" w:eastAsia="es-ES"/>
              </w:rPr>
            </w:pPr>
          </w:p>
        </w:tc>
      </w:tr>
      <w:tr w:rsidR="00EB7063" w14:paraId="00D82353" w14:textId="77777777" w:rsidTr="00EA2188">
        <w:tc>
          <w:tcPr>
            <w:tcW w:w="2689" w:type="dxa"/>
            <w:hideMark/>
          </w:tcPr>
          <w:p w14:paraId="414BFBCA" w14:textId="77777777" w:rsidR="00EB7063" w:rsidRPr="004C713C" w:rsidRDefault="00EB7063" w:rsidP="00EA2188">
            <w:pPr>
              <w:jc w:val="both"/>
              <w:rPr>
                <w:rFonts w:ascii="Verdana" w:eastAsia="Calibri" w:hAnsi="Verdana" w:cs="Arial"/>
                <w:b/>
                <w:color w:val="7030A0"/>
                <w:lang w:val="es-ES_tradnl" w:eastAsia="es-ES_tradnl"/>
              </w:rPr>
            </w:pPr>
            <w:r w:rsidRPr="004C713C">
              <w:rPr>
                <w:rFonts w:ascii="Verdana" w:eastAsia="Calibri" w:hAnsi="Verdana" w:cs="Arial"/>
                <w:b/>
                <w:lang w:val="es-ES_tradnl" w:eastAsia="es-ES_tradnl"/>
              </w:rPr>
              <w:t>Radicación:</w:t>
            </w:r>
            <w:r w:rsidRPr="004C713C">
              <w:rPr>
                <w:rFonts w:ascii="Verdana" w:eastAsia="Calibri" w:hAnsi="Verdana" w:cs="Arial"/>
                <w:lang w:val="es-ES_tradnl" w:eastAsia="es-ES_tradnl"/>
              </w:rPr>
              <w:t xml:space="preserve">               </w:t>
            </w:r>
          </w:p>
        </w:tc>
        <w:tc>
          <w:tcPr>
            <w:tcW w:w="6100" w:type="dxa"/>
          </w:tcPr>
          <w:p w14:paraId="1B074469" w14:textId="77777777" w:rsidR="00EB7063" w:rsidRPr="004C713C" w:rsidRDefault="00EB7063" w:rsidP="00EA2188">
            <w:pPr>
              <w:jc w:val="both"/>
              <w:rPr>
                <w:rFonts w:ascii="Verdana" w:eastAsia="Calibri" w:hAnsi="Verdana" w:cs="Arial"/>
                <w:lang w:val="es-ES_tradnl" w:eastAsia="es-ES_tradnl"/>
              </w:rPr>
            </w:pPr>
            <w:r w:rsidRPr="004C713C">
              <w:rPr>
                <w:rFonts w:ascii="Verdana" w:eastAsia="Calibri" w:hAnsi="Verdana" w:cs="Arial"/>
                <w:lang w:val="es-ES_tradnl" w:eastAsia="es-ES_tradnl"/>
              </w:rPr>
              <w:t xml:space="preserve">Respuesta a consulta con radicado No. </w:t>
            </w:r>
            <w:r w:rsidRPr="008728DF">
              <w:rPr>
                <w:rFonts w:ascii="Verdana" w:eastAsia="Calibri" w:hAnsi="Verdana" w:cs="Arial"/>
                <w:lang w:val="es-ES_tradnl" w:eastAsia="es-ES_tradnl"/>
              </w:rPr>
              <w:t>1_2025_09_19_010341</w:t>
            </w:r>
          </w:p>
        </w:tc>
      </w:tr>
    </w:tbl>
    <w:p w14:paraId="7ECFDCF3" w14:textId="77777777" w:rsidR="00EB7063" w:rsidRDefault="00EB7063" w:rsidP="00EB7063">
      <w:pPr>
        <w:spacing w:after="0" w:line="240" w:lineRule="auto"/>
        <w:jc w:val="both"/>
        <w:rPr>
          <w:rFonts w:ascii="Verdana" w:eastAsia="Calibri" w:hAnsi="Verdana" w:cs="Arial"/>
          <w:color w:val="000000"/>
          <w:lang w:val="es-ES_tradnl" w:eastAsia="es-ES_tradnl"/>
        </w:rPr>
      </w:pPr>
    </w:p>
    <w:p w14:paraId="075C4028" w14:textId="77777777" w:rsidR="00EB7063" w:rsidRDefault="00EB7063" w:rsidP="00EB7063">
      <w:pPr>
        <w:spacing w:after="0" w:line="240" w:lineRule="auto"/>
        <w:jc w:val="both"/>
        <w:rPr>
          <w:rFonts w:ascii="Verdana" w:eastAsia="Calibri" w:hAnsi="Verdana" w:cs="Arial"/>
          <w:color w:val="000000"/>
          <w:lang w:val="es-ES_tradnl" w:eastAsia="es-ES_tradnl"/>
        </w:rPr>
      </w:pPr>
    </w:p>
    <w:p w14:paraId="7915F081" w14:textId="77777777" w:rsidR="00EB7063" w:rsidRDefault="00EB7063" w:rsidP="00EB7063">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Ramírez,</w:t>
      </w:r>
    </w:p>
    <w:p w14:paraId="59B88AFC" w14:textId="77777777" w:rsidR="00EB7063" w:rsidRDefault="00EB7063" w:rsidP="00EB706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7B8C4C9" w14:textId="77777777" w:rsidR="00EB7063" w:rsidRDefault="00EB7063" w:rsidP="00EB7063">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 fecha 19 de </w:t>
      </w:r>
      <w:r w:rsidRPr="7D664DA9">
        <w:rPr>
          <w:rFonts w:ascii="Verdana" w:eastAsia="Calibri" w:hAnsi="Verdana" w:cs="Arial"/>
          <w:lang w:val="es-ES" w:eastAsia="es-ES"/>
        </w:rPr>
        <w:t>septiembre</w:t>
      </w:r>
      <w:r>
        <w:rPr>
          <w:rFonts w:ascii="Verdana" w:eastAsia="Calibri" w:hAnsi="Verdana" w:cs="Arial"/>
          <w:lang w:val="es-ES" w:eastAsia="es-ES"/>
        </w:rPr>
        <w:t xml:space="preserve"> de 2025, en la cual manifiesta lo siguiente: </w:t>
      </w:r>
    </w:p>
    <w:p w14:paraId="26620154" w14:textId="77777777" w:rsidR="00EB7063" w:rsidRDefault="00EB7063" w:rsidP="00EB706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8D9B0BC" w14:textId="77777777" w:rsidR="00EB7063" w:rsidRPr="008728DF" w:rsidRDefault="00EB7063" w:rsidP="00EB7063">
      <w:pPr>
        <w:autoSpaceDE w:val="0"/>
        <w:autoSpaceDN w:val="0"/>
        <w:adjustRightInd w:val="0"/>
        <w:spacing w:after="0" w:line="240" w:lineRule="auto"/>
        <w:ind w:left="993" w:right="616"/>
        <w:jc w:val="both"/>
        <w:rPr>
          <w:rFonts w:ascii="Verdana" w:hAnsi="Verdana" w:cs="Calibri"/>
          <w:color w:val="000000"/>
          <w:sz w:val="20"/>
          <w:szCs w:val="20"/>
        </w:rPr>
      </w:pPr>
      <w:proofErr w:type="gramStart"/>
      <w:r>
        <w:rPr>
          <w:rFonts w:ascii="Verdana" w:hAnsi="Verdana" w:cs="Calibri"/>
          <w:color w:val="000000"/>
          <w:sz w:val="20"/>
          <w:szCs w:val="20"/>
        </w:rPr>
        <w:t>“</w:t>
      </w:r>
      <w:r w:rsidRPr="004720AB">
        <w:rPr>
          <w:rFonts w:ascii="Verdana" w:hAnsi="Verdana" w:cs="Calibri"/>
          <w:color w:val="000000"/>
          <w:sz w:val="20"/>
          <w:szCs w:val="20"/>
        </w:rPr>
        <w:t xml:space="preserve"> </w:t>
      </w:r>
      <w:r w:rsidRPr="008728DF">
        <w:rPr>
          <w:rFonts w:ascii="Verdana" w:hAnsi="Verdana" w:cs="Calibri"/>
          <w:color w:val="000000"/>
          <w:sz w:val="20"/>
          <w:szCs w:val="20"/>
        </w:rPr>
        <w:t>Para</w:t>
      </w:r>
      <w:proofErr w:type="gramEnd"/>
      <w:r w:rsidRPr="008728DF">
        <w:rPr>
          <w:rFonts w:ascii="Verdana" w:hAnsi="Verdana" w:cs="Calibri"/>
          <w:color w:val="000000"/>
          <w:sz w:val="20"/>
          <w:szCs w:val="20"/>
        </w:rPr>
        <w:t xml:space="preserve"> los diferentes procesos, las Entidades solicitan a los proponentes información para el cálculo de la capacidad residual, entre los que figuran los contratos en ejecución que tengan los proponentes. Pregunta: ¿se debe indicar a la autoridad todos los contratos que tenga en ejecución un proponente incluyendo los contratos de interventoría?:</w:t>
      </w:r>
      <w:r>
        <w:rPr>
          <w:rFonts w:ascii="Verdana" w:hAnsi="Verdana"/>
          <w:sz w:val="20"/>
          <w:szCs w:val="20"/>
        </w:rPr>
        <w:t>”</w:t>
      </w:r>
    </w:p>
    <w:p w14:paraId="725DDF21" w14:textId="77777777" w:rsidR="00EB7063" w:rsidRPr="004720AB" w:rsidRDefault="00EB7063" w:rsidP="00EB7063">
      <w:pPr>
        <w:autoSpaceDE w:val="0"/>
        <w:autoSpaceDN w:val="0"/>
        <w:adjustRightInd w:val="0"/>
        <w:spacing w:after="0" w:line="276" w:lineRule="auto"/>
        <w:ind w:left="993" w:right="616"/>
        <w:jc w:val="both"/>
        <w:rPr>
          <w:rFonts w:ascii="Verdana" w:eastAsia="Century Gothic" w:hAnsi="Verdana" w:cs="Century Gothic"/>
          <w:b/>
          <w:sz w:val="20"/>
          <w:szCs w:val="20"/>
        </w:rPr>
      </w:pPr>
    </w:p>
    <w:p w14:paraId="1645F618" w14:textId="77777777" w:rsidR="00EB7063" w:rsidRDefault="00EB7063" w:rsidP="00EB7063">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Pr>
          <w:rFonts w:ascii="Verdana" w:eastAsia="Calibri" w:hAnsi="Verdana" w:cs="Arial"/>
          <w:color w:val="000000"/>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14FEA900" w14:textId="77777777" w:rsidR="00EB7063" w:rsidRDefault="00EB7063" w:rsidP="00EB7063">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08A613E9" w14:textId="77777777" w:rsidR="00EB7063" w:rsidRDefault="00EB7063" w:rsidP="00EB7063">
      <w:pPr>
        <w:spacing w:after="0" w:line="276" w:lineRule="auto"/>
        <w:ind w:firstLine="709"/>
        <w:jc w:val="both"/>
        <w:rPr>
          <w:rFonts w:ascii="Verdana" w:eastAsia="Calibri" w:hAnsi="Verdana" w:cs="Arial"/>
          <w:color w:val="000000"/>
          <w:lang w:val="es-ES" w:eastAsia="es-ES"/>
        </w:rPr>
      </w:pPr>
    </w:p>
    <w:p w14:paraId="665679E1" w14:textId="77777777" w:rsidR="00EB7063" w:rsidRDefault="00EB7063" w:rsidP="00EB706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1E8E9B56" w14:textId="77777777" w:rsidR="00EB7063" w:rsidRDefault="00EB7063" w:rsidP="00EB7063">
      <w:pPr>
        <w:tabs>
          <w:tab w:val="left" w:pos="426"/>
        </w:tabs>
        <w:spacing w:after="0" w:line="276" w:lineRule="auto"/>
        <w:jc w:val="both"/>
        <w:rPr>
          <w:rFonts w:ascii="Verdana" w:eastAsia="Century Gothic" w:hAnsi="Verdana" w:cs="Century Gothic"/>
          <w:lang w:val="es-ES"/>
        </w:rPr>
      </w:pPr>
    </w:p>
    <w:p w14:paraId="5FE9E99D" w14:textId="55739E7C" w:rsidR="00EB7063" w:rsidRDefault="00EB7063" w:rsidP="00EB7063">
      <w:pPr>
        <w:spacing w:after="0" w:line="276" w:lineRule="auto"/>
        <w:jc w:val="both"/>
        <w:rPr>
          <w:rFonts w:ascii="Verdana" w:eastAsia="Century Gothic" w:hAnsi="Verdana" w:cs="Century Gothic"/>
        </w:rPr>
      </w:pPr>
      <w:r>
        <w:rPr>
          <w:rFonts w:ascii="Verdana" w:eastAsia="Century Gothic" w:hAnsi="Verdana" w:cs="Century Gothic"/>
        </w:rPr>
        <w:t>De acuerdo con el contenido de su solicitud, esta Agencia resolverá el siguiente problema jurídico: ¿cuáles contratos en ejecución</w:t>
      </w:r>
      <w:r w:rsidR="00201B9D">
        <w:rPr>
          <w:rFonts w:ascii="Verdana" w:eastAsia="Century Gothic" w:hAnsi="Verdana" w:cs="Century Gothic"/>
        </w:rPr>
        <w:t xml:space="preserve"> debe</w:t>
      </w:r>
      <w:r w:rsidR="006731C6">
        <w:rPr>
          <w:rFonts w:ascii="Verdana" w:eastAsia="Century Gothic" w:hAnsi="Verdana" w:cs="Century Gothic"/>
        </w:rPr>
        <w:t>n</w:t>
      </w:r>
      <w:r w:rsidR="00201B9D">
        <w:rPr>
          <w:rFonts w:ascii="Verdana" w:eastAsia="Century Gothic" w:hAnsi="Verdana" w:cs="Century Gothic"/>
        </w:rPr>
        <w:t xml:space="preserve"> rep</w:t>
      </w:r>
      <w:r w:rsidR="00957096">
        <w:rPr>
          <w:rFonts w:ascii="Verdana" w:eastAsia="Century Gothic" w:hAnsi="Verdana" w:cs="Century Gothic"/>
        </w:rPr>
        <w:t>or</w:t>
      </w:r>
      <w:r w:rsidR="00201B9D">
        <w:rPr>
          <w:rFonts w:ascii="Verdana" w:eastAsia="Century Gothic" w:hAnsi="Verdana" w:cs="Century Gothic"/>
        </w:rPr>
        <w:t>tar los proponentes</w:t>
      </w:r>
      <w:r>
        <w:rPr>
          <w:rFonts w:ascii="Verdana" w:eastAsia="Century Gothic" w:hAnsi="Verdana" w:cs="Century Gothic"/>
        </w:rPr>
        <w:t xml:space="preserve"> para </w:t>
      </w:r>
      <w:r w:rsidR="00201B9D">
        <w:rPr>
          <w:rFonts w:ascii="Verdana" w:eastAsia="Century Gothic" w:hAnsi="Verdana" w:cs="Century Gothic"/>
        </w:rPr>
        <w:t>efectos de</w:t>
      </w:r>
      <w:r>
        <w:rPr>
          <w:rFonts w:ascii="Verdana" w:eastAsia="Century Gothic" w:hAnsi="Verdana" w:cs="Century Gothic"/>
        </w:rPr>
        <w:t xml:space="preserve"> acreditar su Capacidad Residual en los procesos de selección?</w:t>
      </w:r>
    </w:p>
    <w:p w14:paraId="2BB40ECB" w14:textId="77777777" w:rsidR="00EB7063" w:rsidRDefault="00EB7063" w:rsidP="00EB7063">
      <w:pPr>
        <w:spacing w:after="0" w:line="276" w:lineRule="auto"/>
        <w:jc w:val="both"/>
        <w:rPr>
          <w:rFonts w:ascii="Verdana" w:eastAsia="Calibri" w:hAnsi="Verdana" w:cs="Arial"/>
          <w:color w:val="7030A0"/>
          <w:lang w:val="es-ES"/>
        </w:rPr>
      </w:pPr>
    </w:p>
    <w:p w14:paraId="35A844A8" w14:textId="77777777" w:rsidR="00EB7063" w:rsidRDefault="00EB7063" w:rsidP="00EB706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135EC2BE" w14:textId="77777777" w:rsidR="00EB7063" w:rsidRDefault="00EB7063" w:rsidP="00EB706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B7063" w14:paraId="3DE93F8C" w14:textId="77777777" w:rsidTr="00EA2188">
        <w:tc>
          <w:tcPr>
            <w:tcW w:w="8828" w:type="dxa"/>
            <w:tcBorders>
              <w:top w:val="dotted" w:sz="4" w:space="0" w:color="auto"/>
              <w:left w:val="dotted" w:sz="4" w:space="0" w:color="auto"/>
              <w:bottom w:val="dotted" w:sz="4" w:space="0" w:color="auto"/>
              <w:right w:val="dotted" w:sz="4" w:space="0" w:color="auto"/>
            </w:tcBorders>
          </w:tcPr>
          <w:p w14:paraId="3561A11B" w14:textId="77777777" w:rsidR="00EB7063" w:rsidRDefault="00EB7063" w:rsidP="00E959F4">
            <w:pPr>
              <w:shd w:val="clear" w:color="auto" w:fill="FFFFFF"/>
              <w:spacing w:line="276" w:lineRule="auto"/>
              <w:contextualSpacing/>
              <w:jc w:val="both"/>
              <w:rPr>
                <w:rFonts w:ascii="Verdana" w:eastAsia="Calibri" w:hAnsi="Verdana" w:cs="Arial"/>
                <w:lang w:val="es-MX" w:eastAsia="en-GB"/>
              </w:rPr>
            </w:pPr>
            <w:r>
              <w:rPr>
                <w:rFonts w:ascii="Verdana" w:eastAsia="Calibri" w:hAnsi="Verdana" w:cs="Arial"/>
                <w:color w:val="000000"/>
                <w:lang w:val="es-MX" w:eastAsia="en-GB"/>
              </w:rPr>
              <w:t>E</w:t>
            </w:r>
            <w:r w:rsidRPr="00896002">
              <w:rPr>
                <w:rFonts w:ascii="Verdana" w:eastAsia="Calibri" w:hAnsi="Verdana" w:cs="Arial"/>
                <w:color w:val="000000"/>
                <w:lang w:val="es-MX" w:eastAsia="en-GB"/>
              </w:rPr>
              <w:t>l artículo 2.2.1.1.1.6.4 del Decreto 1082 de 2015 dispone que</w:t>
            </w:r>
            <w:r w:rsidRPr="00896002">
              <w:rPr>
                <w:rFonts w:ascii="Verdana" w:eastAsia="Calibri" w:hAnsi="Verdana" w:cs="Arial"/>
                <w:lang w:val="es-MX" w:eastAsia="en-GB"/>
              </w:rPr>
              <w:t xml:space="preserve"> el interesado en celebrar contratos de obra pública acreditará su Capacidad Residual con los siguientes documentos: </w:t>
            </w:r>
          </w:p>
          <w:p w14:paraId="7D6E577B" w14:textId="77777777" w:rsidR="00EB7063" w:rsidRDefault="00EB7063" w:rsidP="00EA2188">
            <w:pPr>
              <w:shd w:val="clear" w:color="auto" w:fill="FFFFFF"/>
              <w:ind w:firstLine="709"/>
              <w:contextualSpacing/>
              <w:jc w:val="both"/>
              <w:rPr>
                <w:rFonts w:ascii="Verdana" w:eastAsia="Calibri" w:hAnsi="Verdana" w:cs="Arial"/>
                <w:lang w:val="es-MX" w:eastAsia="en-GB"/>
              </w:rPr>
            </w:pPr>
          </w:p>
          <w:p w14:paraId="0D1EFF40" w14:textId="77777777" w:rsidR="00EB7063" w:rsidRPr="00F34331" w:rsidRDefault="00EB7063">
            <w:pPr>
              <w:shd w:val="clear" w:color="auto" w:fill="FFFFFF"/>
              <w:ind w:left="709" w:right="709"/>
              <w:contextualSpacing/>
              <w:jc w:val="both"/>
              <w:rPr>
                <w:rFonts w:ascii="Verdana" w:hAnsi="Verdana" w:cs="Arial"/>
                <w:sz w:val="20"/>
                <w:szCs w:val="20"/>
              </w:rPr>
            </w:pPr>
            <w:r w:rsidRPr="00F34331">
              <w:rPr>
                <w:rFonts w:ascii="Verdana" w:hAnsi="Verdana" w:cs="Arial"/>
                <w:sz w:val="20"/>
                <w:szCs w:val="20"/>
              </w:rPr>
              <w:t xml:space="preserve">“1. </w:t>
            </w:r>
            <w:r w:rsidRPr="00E959F4">
              <w:rPr>
                <w:rFonts w:ascii="Verdana" w:hAnsi="Verdana" w:cs="Arial"/>
                <w:i/>
                <w:sz w:val="20"/>
                <w:szCs w:val="20"/>
              </w:rPr>
              <w:t>La lista de los contratos de obras civiles</w:t>
            </w:r>
            <w:r w:rsidRPr="00F34331">
              <w:rPr>
                <w:rFonts w:ascii="Verdana" w:hAnsi="Verdana" w:cs="Arial"/>
                <w:sz w:val="20"/>
                <w:szCs w:val="20"/>
              </w:rPr>
              <w:t xml:space="preserve"> en ejecución suscritos con Entidades Estatales y con entidades privadas, así como el valor y plazo de tales contratos, incluyendo contratos de concesión y los contratos de obra suscritos con concesionarios.</w:t>
            </w:r>
          </w:p>
          <w:p w14:paraId="1C182B8F" w14:textId="77777777" w:rsidR="00DF7B5A" w:rsidRPr="00F34331" w:rsidRDefault="00DF7B5A" w:rsidP="00E959F4">
            <w:pPr>
              <w:shd w:val="clear" w:color="auto" w:fill="FFFFFF"/>
              <w:ind w:left="709" w:right="709"/>
              <w:contextualSpacing/>
              <w:jc w:val="both"/>
              <w:rPr>
                <w:rFonts w:ascii="Verdana" w:hAnsi="Verdana" w:cs="Arial"/>
                <w:sz w:val="20"/>
                <w:szCs w:val="20"/>
              </w:rPr>
            </w:pPr>
          </w:p>
          <w:p w14:paraId="7932ED93" w14:textId="77777777" w:rsidR="00EB7063" w:rsidRPr="00F34331" w:rsidRDefault="00EB7063">
            <w:pPr>
              <w:shd w:val="clear" w:color="auto" w:fill="FFFFFF"/>
              <w:ind w:left="709" w:right="709" w:firstLine="1"/>
              <w:contextualSpacing/>
              <w:jc w:val="both"/>
              <w:rPr>
                <w:rFonts w:ascii="Verdana" w:hAnsi="Verdana" w:cs="Arial"/>
                <w:sz w:val="20"/>
                <w:szCs w:val="20"/>
              </w:rPr>
            </w:pPr>
            <w:r w:rsidRPr="00F34331">
              <w:rPr>
                <w:rFonts w:ascii="Verdana" w:hAnsi="Verdana" w:cs="Arial"/>
                <w:sz w:val="20"/>
                <w:szCs w:val="20"/>
              </w:rPr>
              <w:t xml:space="preserve">2. La </w:t>
            </w:r>
            <w:r w:rsidRPr="00E959F4">
              <w:rPr>
                <w:rFonts w:ascii="Verdana" w:hAnsi="Verdana" w:cs="Arial"/>
                <w:i/>
                <w:sz w:val="20"/>
                <w:szCs w:val="20"/>
              </w:rPr>
              <w:t>lista de los contratos de obras civiles en ejecución</w:t>
            </w:r>
            <w:r w:rsidRPr="00F34331">
              <w:rPr>
                <w:rFonts w:ascii="Verdana" w:hAnsi="Verdana" w:cs="Arial"/>
                <w:sz w:val="20"/>
                <w:szCs w:val="20"/>
              </w:rPr>
              <w:t>,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43C3FFED" w14:textId="77777777" w:rsidR="00C5223A" w:rsidRPr="00F34331" w:rsidRDefault="00C5223A" w:rsidP="00E959F4">
            <w:pPr>
              <w:shd w:val="clear" w:color="auto" w:fill="FFFFFF"/>
              <w:ind w:left="709" w:right="709" w:firstLine="1"/>
              <w:contextualSpacing/>
              <w:jc w:val="both"/>
              <w:rPr>
                <w:rFonts w:ascii="Verdana" w:hAnsi="Verdana" w:cs="Arial"/>
                <w:sz w:val="20"/>
                <w:szCs w:val="20"/>
              </w:rPr>
            </w:pPr>
          </w:p>
          <w:p w14:paraId="31D10A81" w14:textId="2118BB7C" w:rsidR="00EB7063" w:rsidRPr="00F34331" w:rsidRDefault="00EB7063" w:rsidP="00E959F4">
            <w:pPr>
              <w:shd w:val="clear" w:color="auto" w:fill="FFFFFF"/>
              <w:ind w:left="709" w:right="709" w:firstLine="1"/>
              <w:contextualSpacing/>
              <w:jc w:val="both"/>
              <w:rPr>
                <w:rFonts w:ascii="Verdana" w:hAnsi="Verdana" w:cs="Arial"/>
                <w:sz w:val="20"/>
                <w:szCs w:val="20"/>
              </w:rPr>
            </w:pPr>
            <w:r w:rsidRPr="00F34331">
              <w:rPr>
                <w:rFonts w:ascii="Verdana" w:hAnsi="Verdana" w:cs="Arial"/>
                <w:sz w:val="20"/>
                <w:szCs w:val="20"/>
              </w:rPr>
              <w:t xml:space="preserve">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w:t>
            </w:r>
            <w:r w:rsidRPr="00F34331">
              <w:rPr>
                <w:rFonts w:ascii="Verdana" w:hAnsi="Verdana" w:cs="Arial"/>
                <w:sz w:val="20"/>
                <w:szCs w:val="20"/>
              </w:rPr>
              <w:lastRenderedPageBreak/>
              <w:t>adicional el estado de resultados del año en que el proponente obtuvo el mayor ingreso operacional en los últimos cinco (5) años”.</w:t>
            </w:r>
            <w:r w:rsidR="00E73C4D">
              <w:rPr>
                <w:rFonts w:ascii="Verdana" w:hAnsi="Verdana" w:cs="Arial"/>
                <w:sz w:val="20"/>
                <w:szCs w:val="20"/>
              </w:rPr>
              <w:t xml:space="preserve"> [énfasis fuera del texto original]</w:t>
            </w:r>
          </w:p>
          <w:p w14:paraId="3B8CB222" w14:textId="77777777" w:rsidR="00EB7063" w:rsidRDefault="00EB7063" w:rsidP="00EA2188">
            <w:pPr>
              <w:tabs>
                <w:tab w:val="left" w:pos="709"/>
                <w:tab w:val="left" w:pos="851"/>
              </w:tabs>
              <w:spacing w:line="276" w:lineRule="auto"/>
              <w:jc w:val="both"/>
              <w:rPr>
                <w:rFonts w:ascii="Verdana" w:eastAsia="Calibri" w:hAnsi="Verdana" w:cs="Arial"/>
              </w:rPr>
            </w:pPr>
          </w:p>
          <w:p w14:paraId="35B61C63" w14:textId="77A19774" w:rsidR="00EB7063" w:rsidRDefault="00EB7063" w:rsidP="00E959F4">
            <w:pPr>
              <w:tabs>
                <w:tab w:val="left" w:pos="709"/>
                <w:tab w:val="left" w:pos="851"/>
              </w:tabs>
              <w:spacing w:after="120" w:line="276" w:lineRule="auto"/>
              <w:ind w:firstLine="709"/>
              <w:jc w:val="both"/>
              <w:rPr>
                <w:rFonts w:ascii="Verdana" w:eastAsia="Calibri" w:hAnsi="Verdana" w:cs="Arial"/>
              </w:rPr>
            </w:pPr>
            <w:r>
              <w:rPr>
                <w:rFonts w:ascii="Verdana" w:eastAsia="Calibri" w:hAnsi="Verdana" w:cs="Arial"/>
                <w:color w:val="000000"/>
                <w:lang w:val="es-MX" w:eastAsia="en-GB"/>
              </w:rPr>
              <w:t>Por su parte,</w:t>
            </w:r>
            <w:r w:rsidRPr="00896002">
              <w:rPr>
                <w:rFonts w:ascii="Verdana" w:eastAsia="Calibri" w:hAnsi="Verdana" w:cs="Arial"/>
                <w:color w:val="000000"/>
                <w:lang w:val="es-MX" w:eastAsia="en-GB"/>
              </w:rPr>
              <w:t xml:space="preserve"> la Agencia Nacional de Contratación Pública – Colombia Compra Eficiente expidió la “Guía para Determinar y Verificar la Capacidad Residual del Proponente en los Procesos de Contratación de Obra Pública”.</w:t>
            </w:r>
            <w:r>
              <w:rPr>
                <w:rFonts w:ascii="Verdana" w:eastAsia="Calibri" w:hAnsi="Verdana" w:cs="Arial"/>
                <w:color w:val="000000"/>
                <w:lang w:val="es-MX" w:eastAsia="en-GB"/>
              </w:rPr>
              <w:t xml:space="preserve"> </w:t>
            </w:r>
            <w:r w:rsidRPr="00180BA4">
              <w:rPr>
                <w:rFonts w:ascii="Verdana" w:eastAsia="Calibri" w:hAnsi="Verdana" w:cs="Arial"/>
              </w:rPr>
              <w:t>En este documento se</w:t>
            </w:r>
            <w:r>
              <w:rPr>
                <w:rFonts w:ascii="Verdana" w:eastAsia="Calibri" w:hAnsi="Verdana" w:cs="Arial"/>
              </w:rPr>
              <w:t xml:space="preserve"> incluye en las definiciones generales, la definición de “Contrato en Ejecución” como sigue: </w:t>
            </w:r>
            <w:r w:rsidR="005F745A" w:rsidRPr="00E959F4">
              <w:rPr>
                <w:rFonts w:ascii="Verdana" w:hAnsi="Verdana"/>
              </w:rPr>
              <w:t>“</w:t>
            </w:r>
            <w:r w:rsidRPr="00E959F4">
              <w:rPr>
                <w:rFonts w:ascii="Verdana" w:hAnsi="Verdana"/>
              </w:rPr>
              <w:t xml:space="preserve">Son los contratos que a la fecha de presentación de la oferta obligan al proponente con Entidades Estatales y con entidades privadas para </w:t>
            </w:r>
            <w:r w:rsidRPr="00E959F4">
              <w:rPr>
                <w:rFonts w:ascii="Verdana" w:hAnsi="Verdana"/>
                <w:i/>
              </w:rPr>
              <w:t>ejecutar obras civiles</w:t>
            </w:r>
            <w:r w:rsidRPr="00E959F4">
              <w:rPr>
                <w:rFonts w:ascii="Verdana" w:hAnsi="Verdana"/>
              </w:rPr>
              <w:t>, incluyendo la ejecución de obras civiles en los contratos de concesión y los contratos de obra suscritos con concesionarios, incluyendo los contratos que se encuentren suspendidos y aquellos que no tengan acta de inicio. No se entenderá como Contratos en Ejecución los que se encuentren en etapa de liquidación o ya fueron liquidados</w:t>
            </w:r>
            <w:r w:rsidR="005F745A" w:rsidRPr="00E959F4">
              <w:rPr>
                <w:rFonts w:ascii="Verdana" w:hAnsi="Verdana"/>
              </w:rPr>
              <w:t>”</w:t>
            </w:r>
            <w:r w:rsidRPr="005F745A">
              <w:rPr>
                <w:rFonts w:ascii="Verdana" w:hAnsi="Verdana"/>
              </w:rPr>
              <w:t>.</w:t>
            </w:r>
            <w:r w:rsidR="00B66E94">
              <w:rPr>
                <w:rFonts w:ascii="Verdana" w:hAnsi="Verdana"/>
              </w:rPr>
              <w:t xml:space="preserve"> </w:t>
            </w:r>
            <w:r w:rsidR="00B66E94">
              <w:rPr>
                <w:rFonts w:ascii="Verdana" w:hAnsi="Verdana" w:cs="Arial"/>
                <w:sz w:val="20"/>
                <w:szCs w:val="20"/>
              </w:rPr>
              <w:t>[énfasis fuera del texto original]</w:t>
            </w:r>
          </w:p>
          <w:p w14:paraId="135AB9D2" w14:textId="74CA5ACF" w:rsidR="00EB7063" w:rsidRDefault="00EB7063" w:rsidP="00EA2188">
            <w:pPr>
              <w:spacing w:after="120" w:line="276" w:lineRule="auto"/>
              <w:ind w:firstLine="743"/>
              <w:jc w:val="both"/>
              <w:rPr>
                <w:rFonts w:ascii="Verdana" w:eastAsia="Calibri" w:hAnsi="Verdana" w:cs="Arial"/>
              </w:rPr>
            </w:pPr>
            <w:r>
              <w:rPr>
                <w:rFonts w:ascii="Verdana" w:eastAsia="Calibri" w:hAnsi="Verdana" w:cs="Arial"/>
              </w:rPr>
              <w:t xml:space="preserve">Adicionalmente, </w:t>
            </w:r>
            <w:r>
              <w:rPr>
                <w:rFonts w:ascii="Verdana" w:hAnsi="Verdana"/>
              </w:rPr>
              <w:t>tal y como lo explica el numeral 9.2 de la Guía</w:t>
            </w:r>
            <w:r>
              <w:rPr>
                <w:rFonts w:ascii="Verdana" w:hAnsi="Verdana" w:cs="Arial"/>
              </w:rPr>
              <w:t>, en el factor de</w:t>
            </w:r>
            <w:r w:rsidRPr="00C6127C">
              <w:rPr>
                <w:rFonts w:ascii="Verdana" w:hAnsi="Verdana" w:cs="Arial"/>
              </w:rPr>
              <w:t xml:space="preserve"> </w:t>
            </w:r>
            <w:r>
              <w:rPr>
                <w:rFonts w:ascii="Verdana" w:hAnsi="Verdana" w:cs="Arial"/>
              </w:rPr>
              <w:t>e</w:t>
            </w:r>
            <w:r w:rsidRPr="00C6127C">
              <w:rPr>
                <w:rFonts w:ascii="Verdana" w:hAnsi="Verdana" w:cs="Arial"/>
              </w:rPr>
              <w:t>xperiencia del oferente para propósitos de la Capacidad Residual es acreditada por medio de la relación entre</w:t>
            </w:r>
            <w:r>
              <w:rPr>
                <w:rFonts w:ascii="Verdana" w:hAnsi="Verdana" w:cs="Arial"/>
              </w:rPr>
              <w:t xml:space="preserve"> e</w:t>
            </w:r>
            <w:r w:rsidRPr="00C6127C">
              <w:rPr>
                <w:rFonts w:ascii="Verdana" w:hAnsi="Verdana" w:cs="Arial"/>
              </w:rPr>
              <w:t xml:space="preserve">l valor total en pesos de los contratos </w:t>
            </w:r>
            <w:r w:rsidRPr="008C536C">
              <w:rPr>
                <w:rFonts w:ascii="Verdana" w:hAnsi="Verdana" w:cs="Arial"/>
                <w:i/>
                <w:iCs/>
              </w:rPr>
              <w:t>relacionados con la actividad de la construcción</w:t>
            </w:r>
            <w:r w:rsidRPr="00C6127C">
              <w:rPr>
                <w:rFonts w:ascii="Verdana" w:hAnsi="Verdana" w:cs="Arial"/>
              </w:rPr>
              <w:t xml:space="preserve"> inscritos por el proponente en el RUP en el segmento 72 “Servicios de edificación, Construcción de Instalaciones y Mantenimiento” del Clasificador de Bienes y Servicios de las Naciones Unidas (UNSPSC)</w:t>
            </w:r>
            <w:r>
              <w:rPr>
                <w:rFonts w:ascii="Verdana" w:hAnsi="Verdana" w:cs="Arial"/>
              </w:rPr>
              <w:t xml:space="preserve"> y e</w:t>
            </w:r>
            <w:r w:rsidRPr="00211940">
              <w:rPr>
                <w:rFonts w:ascii="Verdana" w:hAnsi="Verdana" w:cs="Arial"/>
              </w:rPr>
              <w:t>l presupuesto oficial estimado del Proceso de Contratación</w:t>
            </w:r>
            <w:r>
              <w:rPr>
                <w:rFonts w:ascii="Verdana" w:hAnsi="Verdana" w:cs="Arial"/>
              </w:rPr>
              <w:t>. De esta forma, s</w:t>
            </w:r>
            <w:r w:rsidRPr="00FE755E">
              <w:rPr>
                <w:rFonts w:ascii="Verdana" w:hAnsi="Verdana"/>
              </w:rPr>
              <w:t>e concluye que los contratos que deben tenerse en cuenta para el cálculo de la experiencia del oferente en el marco de la Capacidad Residual son exclusivamente aquellos relacionados con la actividad de la construcción, es decir, los contratos de obra</w:t>
            </w:r>
            <w:r w:rsidR="002D70EC">
              <w:rPr>
                <w:rFonts w:ascii="Verdana" w:hAnsi="Verdana"/>
              </w:rPr>
              <w:t xml:space="preserve">, por lo que en el </w:t>
            </w:r>
            <w:r w:rsidR="0036636B">
              <w:rPr>
                <w:rFonts w:ascii="Verdana" w:hAnsi="Verdana"/>
              </w:rPr>
              <w:t>cálculo</w:t>
            </w:r>
            <w:r w:rsidR="002D70EC">
              <w:rPr>
                <w:rFonts w:ascii="Verdana" w:hAnsi="Verdana"/>
              </w:rPr>
              <w:t xml:space="preserve"> no </w:t>
            </w:r>
            <w:r w:rsidR="0036636B">
              <w:rPr>
                <w:rFonts w:ascii="Verdana" w:hAnsi="Verdana"/>
              </w:rPr>
              <w:t>se tendrán en cuenta los contratos de interventoría, los cuales corresponden a una tipología diferente</w:t>
            </w:r>
            <w:r w:rsidRPr="005F745A">
              <w:rPr>
                <w:rFonts w:ascii="Verdana" w:hAnsi="Verdana"/>
              </w:rPr>
              <w:t>.</w:t>
            </w:r>
          </w:p>
          <w:p w14:paraId="1A976ACF" w14:textId="77777777" w:rsidR="00EB7063" w:rsidRPr="00EC4C44" w:rsidRDefault="00EB7063" w:rsidP="00EA2188">
            <w:pPr>
              <w:widowControl w:val="0"/>
              <w:spacing w:after="120" w:line="276" w:lineRule="auto"/>
              <w:ind w:firstLine="708"/>
              <w:jc w:val="both"/>
              <w:rPr>
                <w:rFonts w:ascii="Verdana" w:eastAsia="Arial" w:hAnsi="Verdana" w:cs="Arial"/>
              </w:rPr>
            </w:pPr>
            <w:r>
              <w:rPr>
                <w:rFonts w:ascii="Verdana" w:eastAsia="Calibri" w:hAnsi="Verdana" w:cs="Times New Roman"/>
                <w:lang w:val="es-ES"/>
              </w:rPr>
              <w:t xml:space="preserve">Finalmente,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w:t>
            </w:r>
            <w:r>
              <w:rPr>
                <w:rFonts w:ascii="Verdana" w:eastAsia="Calibri" w:hAnsi="Verdana" w:cs="Times New Roman"/>
                <w:lang w:val="es-ES"/>
              </w:rPr>
              <w:lastRenderedPageBreak/>
              <w:t>Pública – Colombia Compra Eficiente, validar sus actuaciones.</w:t>
            </w:r>
          </w:p>
        </w:tc>
      </w:tr>
    </w:tbl>
    <w:p w14:paraId="3837A81D" w14:textId="77777777" w:rsidR="00EB7063" w:rsidRDefault="00EB7063" w:rsidP="00EB7063">
      <w:pPr>
        <w:tabs>
          <w:tab w:val="left" w:pos="142"/>
          <w:tab w:val="left" w:pos="284"/>
        </w:tabs>
        <w:spacing w:after="0" w:line="276" w:lineRule="auto"/>
        <w:jc w:val="both"/>
        <w:rPr>
          <w:rFonts w:ascii="Verdana" w:eastAsia="Century Gothic" w:hAnsi="Verdana" w:cs="Century Gothic"/>
          <w:b/>
          <w:bCs/>
          <w:lang w:val="es-ES"/>
        </w:rPr>
      </w:pPr>
    </w:p>
    <w:p w14:paraId="4A393A99" w14:textId="77777777" w:rsidR="00EB7063" w:rsidRDefault="00EB7063" w:rsidP="00EB706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1089E629" w14:textId="77777777" w:rsidR="00EB7063" w:rsidRDefault="00EB7063" w:rsidP="00EB7063">
      <w:pPr>
        <w:spacing w:after="0" w:line="276" w:lineRule="auto"/>
        <w:jc w:val="both"/>
        <w:rPr>
          <w:rFonts w:ascii="Verdana" w:eastAsia="Calibri" w:hAnsi="Verdana" w:cs="Arial"/>
          <w:color w:val="7030A0"/>
          <w:lang w:val="es-ES"/>
        </w:rPr>
      </w:pPr>
    </w:p>
    <w:p w14:paraId="154F7FEC" w14:textId="77777777" w:rsidR="00EB7063" w:rsidRDefault="00EB7063" w:rsidP="00EB7063">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25EB5016" w14:textId="77777777" w:rsidR="00EB7063" w:rsidRDefault="00EB7063" w:rsidP="00EB7063">
      <w:pPr>
        <w:spacing w:after="0" w:line="276" w:lineRule="auto"/>
        <w:jc w:val="both"/>
        <w:rPr>
          <w:rFonts w:ascii="Verdana" w:eastAsia="Calibri" w:hAnsi="Verdana" w:cs="Arial"/>
          <w:lang w:val="es-ES"/>
        </w:rPr>
      </w:pPr>
    </w:p>
    <w:p w14:paraId="4F6C1D2E" w14:textId="68C2FF16" w:rsidR="00EB7063" w:rsidRPr="00875359" w:rsidRDefault="00EB7063" w:rsidP="00E959F4">
      <w:pPr>
        <w:spacing w:after="120" w:line="276" w:lineRule="auto"/>
        <w:jc w:val="both"/>
        <w:rPr>
          <w:rFonts w:ascii="Verdana" w:eastAsia="Calibri" w:hAnsi="Verdana" w:cs="Arial"/>
          <w:lang w:val="es-MX"/>
        </w:rPr>
      </w:pPr>
      <w:r w:rsidRPr="00875359">
        <w:rPr>
          <w:rFonts w:ascii="Verdana" w:eastAsia="Calibri" w:hAnsi="Verdana" w:cs="Arial"/>
          <w:lang w:val="es-MX"/>
        </w:rPr>
        <w:t xml:space="preserve">De acuerdo con el artículo 2.2.1.1.1.3.1 del Decreto 1082 de 2015, la </w:t>
      </w:r>
      <w:r w:rsidR="00F12738">
        <w:rPr>
          <w:rFonts w:ascii="Verdana" w:eastAsia="Calibri" w:hAnsi="Verdana" w:cs="Arial"/>
          <w:lang w:val="es-MX"/>
        </w:rPr>
        <w:t>C</w:t>
      </w:r>
      <w:r w:rsidRPr="00875359">
        <w:rPr>
          <w:rFonts w:ascii="Verdana" w:eastAsia="Calibri" w:hAnsi="Verdana" w:cs="Arial"/>
          <w:lang w:val="es-MX"/>
        </w:rPr>
        <w:t xml:space="preserve">apacidad </w:t>
      </w:r>
      <w:r w:rsidR="00F12738">
        <w:rPr>
          <w:rFonts w:ascii="Verdana" w:eastAsia="Calibri" w:hAnsi="Verdana" w:cs="Arial"/>
          <w:lang w:val="es-MX"/>
        </w:rPr>
        <w:t>R</w:t>
      </w:r>
      <w:r w:rsidR="00F12738" w:rsidRPr="00875359">
        <w:rPr>
          <w:rFonts w:ascii="Verdana" w:eastAsia="Calibri" w:hAnsi="Verdana" w:cs="Arial"/>
          <w:lang w:val="es-MX"/>
        </w:rPr>
        <w:t>esidual</w:t>
      </w:r>
      <w:r w:rsidRPr="00875359">
        <w:rPr>
          <w:rFonts w:ascii="Verdana" w:eastAsia="Calibri" w:hAnsi="Verdana" w:cs="Arial"/>
          <w:lang w:val="es-MX"/>
        </w:rPr>
        <w:t xml:space="preserve"> es la aptitud de los oferentes para cumplir de manera oportuna y a cabalidad el objeto de un contrato de obra, sin que los demás compromisos contractuales que han adquirido afecten su habilidad de cumplir el objeto del contrato que está en proceso de selección</w:t>
      </w:r>
      <w:r w:rsidRPr="00875359">
        <w:rPr>
          <w:rFonts w:ascii="Verdana" w:eastAsia="Calibri" w:hAnsi="Verdana" w:cs="Arial"/>
          <w:vertAlign w:val="superscript"/>
          <w:lang w:val="es-MX"/>
        </w:rPr>
        <w:footnoteReference w:id="2"/>
      </w:r>
      <w:r w:rsidRPr="00875359">
        <w:rPr>
          <w:rFonts w:ascii="Verdana" w:eastAsia="Calibri" w:hAnsi="Verdana" w:cs="Arial"/>
          <w:lang w:val="es-MX"/>
        </w:rPr>
        <w:t xml:space="preserve">. </w:t>
      </w:r>
      <w:r w:rsidR="00D97904">
        <w:rPr>
          <w:rFonts w:ascii="Verdana" w:eastAsia="Calibri" w:hAnsi="Verdana" w:cs="Arial"/>
          <w:lang w:val="es-MX"/>
        </w:rPr>
        <w:t>E</w:t>
      </w:r>
      <w:r w:rsidRPr="00875359">
        <w:rPr>
          <w:rFonts w:ascii="Verdana" w:eastAsia="Calibri" w:hAnsi="Verdana" w:cs="Arial"/>
          <w:lang w:val="es-MX"/>
        </w:rPr>
        <w:t xml:space="preserve">l Consejo de Estado ha definido la capacidad residual como </w:t>
      </w:r>
      <w:r>
        <w:rPr>
          <w:rFonts w:ascii="Verdana" w:eastAsia="Calibri" w:hAnsi="Verdana" w:cs="Arial"/>
          <w:lang w:val="es-MX"/>
        </w:rPr>
        <w:t>“</w:t>
      </w:r>
      <w:r w:rsidRPr="00875359">
        <w:rPr>
          <w:rFonts w:ascii="Verdana" w:eastAsia="Calibri" w:hAnsi="Verdana" w:cs="Arial"/>
          <w:lang w:val="es-MX"/>
        </w:rPr>
        <w:t>la diferencia que existe entre el potencial de contratación que se tiene y los compromisos que haya adquirido y que se encuentren en ejecución, para la fecha de presentación de la oferta</w:t>
      </w:r>
      <w:r>
        <w:rPr>
          <w:rFonts w:ascii="Verdana" w:eastAsia="Calibri" w:hAnsi="Verdana" w:cs="Arial"/>
          <w:lang w:val="es-MX"/>
        </w:rPr>
        <w:t>”</w:t>
      </w:r>
      <w:r w:rsidRPr="00875359">
        <w:rPr>
          <w:rFonts w:ascii="Verdana" w:eastAsia="Calibri" w:hAnsi="Verdana" w:cs="Arial"/>
          <w:vertAlign w:val="superscript"/>
          <w:lang w:val="es-MX"/>
        </w:rPr>
        <w:footnoteReference w:id="3"/>
      </w:r>
      <w:r w:rsidRPr="00875359">
        <w:rPr>
          <w:rFonts w:ascii="Verdana" w:eastAsia="Calibri" w:hAnsi="Verdana" w:cs="Arial"/>
          <w:lang w:val="es-MX"/>
        </w:rPr>
        <w:t>.</w:t>
      </w:r>
    </w:p>
    <w:p w14:paraId="01A8489A" w14:textId="77777777" w:rsidR="00EB7063" w:rsidRPr="00896002" w:rsidRDefault="00EB7063" w:rsidP="00EB7063">
      <w:pPr>
        <w:spacing w:before="120" w:after="0" w:line="276" w:lineRule="auto"/>
        <w:ind w:firstLine="709"/>
        <w:jc w:val="both"/>
        <w:rPr>
          <w:rFonts w:ascii="Verdana" w:eastAsia="Calibri" w:hAnsi="Verdana" w:cs="Arial"/>
          <w:color w:val="000000"/>
          <w:lang w:val="es-MX" w:eastAsia="en-GB"/>
        </w:rPr>
      </w:pPr>
      <w:r w:rsidRPr="00896002">
        <w:rPr>
          <w:rFonts w:ascii="Verdana" w:eastAsia="Calibri" w:hAnsi="Verdana" w:cs="Arial"/>
          <w:color w:val="000000"/>
          <w:lang w:val="es-MX" w:eastAsia="en-GB"/>
        </w:rPr>
        <w:t xml:space="preserve">De esta manera, la Capacidad Residual se refiere a la suficiencia que tiene el proponente para asumir nuevas obligaciones que se derivan del contrato objeto del Proceso de Contratación, en relación con las obligaciones que ya adquirió frente a otros contratos. Por su parte, el artículo 6 de la Ley 1150 de 2007 dispone que la Capacidad Residual de los interesados en participar en procesos de selección para contratos de obra deberá ser igual o superior al que la entidad ha establecido en los pliegos de condiciones, en los siguientes términos: </w:t>
      </w:r>
    </w:p>
    <w:p w14:paraId="2FF5FC16" w14:textId="77777777" w:rsidR="00EB7063" w:rsidRPr="00896002" w:rsidRDefault="00EB7063" w:rsidP="00EB7063">
      <w:pPr>
        <w:spacing w:after="0" w:line="276" w:lineRule="auto"/>
        <w:ind w:firstLine="709"/>
        <w:jc w:val="both"/>
        <w:rPr>
          <w:rFonts w:ascii="Verdana" w:eastAsia="Calibri" w:hAnsi="Verdana" w:cs="Arial"/>
          <w:color w:val="000000"/>
          <w:lang w:val="es-MX" w:eastAsia="en-GB"/>
        </w:rPr>
      </w:pPr>
    </w:p>
    <w:p w14:paraId="0AD49E0E" w14:textId="77777777" w:rsidR="00EB7063" w:rsidRPr="000146E8" w:rsidRDefault="00EB7063" w:rsidP="00EB7063">
      <w:pPr>
        <w:spacing w:after="0" w:line="240" w:lineRule="auto"/>
        <w:ind w:left="709" w:right="709"/>
        <w:contextualSpacing/>
        <w:jc w:val="both"/>
        <w:rPr>
          <w:rFonts w:ascii="Verdana" w:eastAsia="Calibri" w:hAnsi="Verdana" w:cs="Arial"/>
          <w:color w:val="000000"/>
          <w:sz w:val="20"/>
          <w:szCs w:val="20"/>
          <w:lang w:val="es-MX" w:eastAsia="en-GB"/>
        </w:rPr>
      </w:pPr>
      <w:r w:rsidRPr="000146E8">
        <w:rPr>
          <w:rFonts w:ascii="Verdana" w:eastAsia="Calibri" w:hAnsi="Verdana" w:cs="Arial"/>
          <w:color w:val="000000"/>
          <w:sz w:val="20"/>
          <w:szCs w:val="20"/>
          <w:lang w:val="es-MX" w:eastAsia="en-GB"/>
        </w:rPr>
        <w:t>“Parágrafo 1°.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19C037B2" w14:textId="77777777" w:rsidR="00EB7063" w:rsidRPr="000146E8" w:rsidRDefault="00EB7063" w:rsidP="00EB7063">
      <w:pPr>
        <w:spacing w:after="0" w:line="240" w:lineRule="auto"/>
        <w:ind w:left="709" w:right="709"/>
        <w:contextualSpacing/>
        <w:jc w:val="both"/>
        <w:rPr>
          <w:rFonts w:ascii="Verdana" w:eastAsia="Calibri" w:hAnsi="Verdana" w:cs="Arial"/>
          <w:color w:val="000000"/>
          <w:sz w:val="20"/>
          <w:szCs w:val="20"/>
          <w:lang w:val="es-MX" w:eastAsia="en-GB"/>
        </w:rPr>
      </w:pPr>
    </w:p>
    <w:p w14:paraId="7E25771F" w14:textId="77777777" w:rsidR="00EB7063" w:rsidRPr="000146E8" w:rsidRDefault="00EB7063" w:rsidP="00EB7063">
      <w:pPr>
        <w:spacing w:after="0" w:line="240" w:lineRule="auto"/>
        <w:ind w:left="709" w:right="709"/>
        <w:contextualSpacing/>
        <w:jc w:val="both"/>
        <w:rPr>
          <w:rFonts w:ascii="Verdana" w:eastAsia="Calibri" w:hAnsi="Verdana" w:cs="Arial"/>
          <w:color w:val="000000"/>
          <w:sz w:val="20"/>
          <w:szCs w:val="20"/>
          <w:lang w:val="es-MX" w:eastAsia="en-GB"/>
        </w:rPr>
      </w:pPr>
      <w:r w:rsidRPr="000146E8">
        <w:rPr>
          <w:rFonts w:ascii="Verdana" w:eastAsia="Calibri" w:hAnsi="Verdana" w:cs="Arial"/>
          <w:color w:val="000000"/>
          <w:sz w:val="20"/>
          <w:szCs w:val="20"/>
          <w:lang w:val="es-MX" w:eastAsia="en-GB"/>
        </w:rPr>
        <w:lastRenderedPageBreak/>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7E57E571" w14:textId="77777777" w:rsidR="00EB7063" w:rsidRPr="00896002" w:rsidRDefault="00EB7063" w:rsidP="00EB7063">
      <w:pPr>
        <w:spacing w:after="0" w:line="276" w:lineRule="auto"/>
        <w:ind w:right="709"/>
        <w:jc w:val="both"/>
        <w:rPr>
          <w:rFonts w:ascii="Verdana" w:eastAsia="Calibri" w:hAnsi="Verdana" w:cs="Arial"/>
          <w:color w:val="000000"/>
          <w:lang w:val="es-MX" w:eastAsia="en-GB"/>
        </w:rPr>
      </w:pPr>
    </w:p>
    <w:p w14:paraId="0D0A2E58" w14:textId="77777777" w:rsidR="00EB7063" w:rsidRPr="00896002" w:rsidRDefault="00EB7063" w:rsidP="00EB7063">
      <w:pPr>
        <w:spacing w:after="120" w:line="276" w:lineRule="auto"/>
        <w:ind w:firstLine="709"/>
        <w:jc w:val="both"/>
        <w:rPr>
          <w:rFonts w:ascii="Verdana" w:eastAsia="Calibri" w:hAnsi="Verdana" w:cs="Arial"/>
          <w:color w:val="000000"/>
          <w:lang w:eastAsia="en-GB"/>
        </w:rPr>
      </w:pPr>
      <w:r w:rsidRPr="00896002">
        <w:rPr>
          <w:rFonts w:ascii="Verdana" w:eastAsia="Calibri" w:hAnsi="Verdana" w:cs="Arial"/>
          <w:color w:val="000000"/>
          <w:lang w:val="es-MX" w:eastAsia="en-GB"/>
        </w:rPr>
        <w:t xml:space="preserve">De acuerdo con </w:t>
      </w:r>
      <w:r w:rsidRPr="00896002">
        <w:rPr>
          <w:rFonts w:ascii="Verdana" w:eastAsia="Calibri" w:hAnsi="Verdana" w:cs="Arial"/>
          <w:color w:val="000000"/>
          <w:lang w:eastAsia="en-GB"/>
        </w:rPr>
        <w:t>el artículo 72 de la Ley 1682 de 2013, la “capacidad residual de contratación cuando se realicen contratos de obra pública se obtendrá de sustraer de la capacidad de contratación, el saldo del valor de los contratos en ejecución”. La “capacidad de contratación”, según se desprende de la misma disposición, “[…] se deberá calcular mediante la evaluación de los siguientes factores: Experiencia (E), Capacidad Financiera (CF), Capacidad Técnica (CT), y Capacidad de Organización (CO)”.</w:t>
      </w:r>
    </w:p>
    <w:p w14:paraId="5AA0970C" w14:textId="77777777" w:rsidR="00EB7063" w:rsidRPr="00896002" w:rsidRDefault="00EB7063" w:rsidP="00EB7063">
      <w:pPr>
        <w:spacing w:after="120" w:line="276" w:lineRule="auto"/>
        <w:ind w:firstLine="709"/>
        <w:jc w:val="both"/>
        <w:rPr>
          <w:rFonts w:ascii="Verdana" w:eastAsia="Calibri" w:hAnsi="Verdana" w:cs="Arial"/>
          <w:color w:val="000000"/>
          <w:lang w:val="es-MX" w:eastAsia="en-GB"/>
        </w:rPr>
      </w:pPr>
      <w:bookmarkStart w:id="1" w:name="_Hlk103608376"/>
      <w:r w:rsidRPr="00896002">
        <w:rPr>
          <w:rFonts w:ascii="Verdana" w:eastAsia="Calibri" w:hAnsi="Verdana" w:cs="Arial"/>
          <w:color w:val="000000"/>
          <w:lang w:val="es-MX" w:eastAsia="en-GB"/>
        </w:rPr>
        <w:t xml:space="preserve">Por su parte, el artículo 2.2.1.1.1.6.4 del Decreto 1082 de 2015 dispone que las Entidades Estatales deberán calcular la Capacidad Residual conforme a la metodología definida por la Agencia Nacional de Contratación Pública – Colombia Compra Eficiente. Para tales fines, resulta necesario tener en cuenta los factores de: i) Experiencia –E–, </w:t>
      </w:r>
      <w:proofErr w:type="spellStart"/>
      <w:r w:rsidRPr="00896002">
        <w:rPr>
          <w:rFonts w:ascii="Verdana" w:eastAsia="Calibri" w:hAnsi="Verdana" w:cs="Arial"/>
          <w:color w:val="000000"/>
          <w:lang w:val="es-MX" w:eastAsia="en-GB"/>
        </w:rPr>
        <w:t>ii</w:t>
      </w:r>
      <w:proofErr w:type="spellEnd"/>
      <w:r w:rsidRPr="00896002">
        <w:rPr>
          <w:rFonts w:ascii="Verdana" w:eastAsia="Calibri" w:hAnsi="Verdana" w:cs="Arial"/>
          <w:color w:val="000000"/>
          <w:lang w:val="es-MX" w:eastAsia="en-GB"/>
        </w:rPr>
        <w:t xml:space="preserve">) Capacidad Financiera –CF–, </w:t>
      </w:r>
      <w:proofErr w:type="spellStart"/>
      <w:r w:rsidRPr="00896002">
        <w:rPr>
          <w:rFonts w:ascii="Verdana" w:eastAsia="Calibri" w:hAnsi="Verdana" w:cs="Arial"/>
          <w:color w:val="000000"/>
          <w:lang w:val="es-MX" w:eastAsia="en-GB"/>
        </w:rPr>
        <w:t>iii</w:t>
      </w:r>
      <w:proofErr w:type="spellEnd"/>
      <w:r w:rsidRPr="00896002">
        <w:rPr>
          <w:rFonts w:ascii="Verdana" w:eastAsia="Calibri" w:hAnsi="Verdana" w:cs="Arial"/>
          <w:color w:val="000000"/>
          <w:lang w:val="es-MX" w:eastAsia="en-GB"/>
        </w:rPr>
        <w:t xml:space="preserve">) Capacidad Técnica –CT–, </w:t>
      </w:r>
      <w:proofErr w:type="spellStart"/>
      <w:r w:rsidRPr="00896002">
        <w:rPr>
          <w:rFonts w:ascii="Verdana" w:eastAsia="Calibri" w:hAnsi="Verdana" w:cs="Arial"/>
          <w:color w:val="000000"/>
          <w:lang w:val="es-MX" w:eastAsia="en-GB"/>
        </w:rPr>
        <w:t>iv</w:t>
      </w:r>
      <w:proofErr w:type="spellEnd"/>
      <w:r w:rsidRPr="00896002">
        <w:rPr>
          <w:rFonts w:ascii="Verdana" w:eastAsia="Calibri" w:hAnsi="Verdana" w:cs="Arial"/>
          <w:color w:val="000000"/>
          <w:lang w:val="es-MX" w:eastAsia="en-GB"/>
        </w:rPr>
        <w:t>) Capacidad de Organización y v) los Saldos de los Contratos en Ejecución –SCE–.</w:t>
      </w:r>
    </w:p>
    <w:p w14:paraId="5DCF8039" w14:textId="77777777" w:rsidR="00EB7063" w:rsidRDefault="00EB7063" w:rsidP="00E959F4">
      <w:pPr>
        <w:shd w:val="clear" w:color="auto" w:fill="FFFFFF"/>
        <w:spacing w:after="0" w:line="276" w:lineRule="auto"/>
        <w:ind w:firstLine="709"/>
        <w:contextualSpacing/>
        <w:jc w:val="both"/>
        <w:rPr>
          <w:rFonts w:ascii="Verdana" w:eastAsia="Calibri" w:hAnsi="Verdana" w:cs="Arial"/>
          <w:lang w:val="es-MX" w:eastAsia="en-GB"/>
        </w:rPr>
      </w:pPr>
      <w:r w:rsidRPr="00896002">
        <w:rPr>
          <w:rFonts w:ascii="Verdana" w:eastAsia="Calibri" w:hAnsi="Verdana" w:cs="Arial"/>
          <w:color w:val="000000"/>
          <w:lang w:val="es-MX" w:eastAsia="en-GB"/>
        </w:rPr>
        <w:t>De igual manera,</w:t>
      </w:r>
      <w:r>
        <w:rPr>
          <w:rFonts w:ascii="Verdana" w:eastAsia="Calibri" w:hAnsi="Verdana" w:cs="Arial"/>
          <w:color w:val="000000"/>
          <w:lang w:val="es-MX" w:eastAsia="en-GB"/>
        </w:rPr>
        <w:t xml:space="preserve"> el mencionado artículo</w:t>
      </w:r>
      <w:r w:rsidRPr="00896002">
        <w:rPr>
          <w:rFonts w:ascii="Verdana" w:eastAsia="Calibri" w:hAnsi="Verdana" w:cs="Arial"/>
          <w:color w:val="000000"/>
          <w:lang w:val="es-MX" w:eastAsia="en-GB"/>
        </w:rPr>
        <w:t xml:space="preserve"> </w:t>
      </w:r>
      <w:r w:rsidRPr="00896002">
        <w:rPr>
          <w:rFonts w:ascii="Verdana" w:eastAsia="Calibri" w:hAnsi="Verdana" w:cs="Arial"/>
          <w:lang w:val="es-MX" w:eastAsia="en-GB"/>
        </w:rPr>
        <w:t xml:space="preserve">establece que el interesado en celebrar contratos de obra pública acreditará su Capacidad Residual con los siguientes documentos: </w:t>
      </w:r>
      <w:bookmarkEnd w:id="1"/>
    </w:p>
    <w:p w14:paraId="7C76F4E1" w14:textId="77777777" w:rsidR="00EB7063" w:rsidRDefault="00EB7063" w:rsidP="00EB7063">
      <w:pPr>
        <w:shd w:val="clear" w:color="auto" w:fill="FFFFFF"/>
        <w:spacing w:after="0" w:line="240" w:lineRule="auto"/>
        <w:ind w:firstLine="709"/>
        <w:contextualSpacing/>
        <w:jc w:val="both"/>
        <w:rPr>
          <w:rFonts w:ascii="Verdana" w:eastAsia="Calibri" w:hAnsi="Verdana" w:cs="Arial"/>
          <w:lang w:val="es-MX" w:eastAsia="en-GB"/>
        </w:rPr>
      </w:pPr>
    </w:p>
    <w:p w14:paraId="7A9D4456" w14:textId="77777777" w:rsidR="00EB7063" w:rsidRPr="00F34331" w:rsidRDefault="00EB7063">
      <w:pPr>
        <w:shd w:val="clear" w:color="auto" w:fill="FFFFFF"/>
        <w:spacing w:after="0" w:line="240" w:lineRule="auto"/>
        <w:ind w:left="709" w:right="709"/>
        <w:contextualSpacing/>
        <w:jc w:val="both"/>
        <w:rPr>
          <w:rFonts w:ascii="Verdana" w:hAnsi="Verdana" w:cs="Arial"/>
          <w:sz w:val="20"/>
          <w:szCs w:val="20"/>
        </w:rPr>
      </w:pPr>
      <w:r w:rsidRPr="00F34331">
        <w:rPr>
          <w:rFonts w:ascii="Verdana" w:hAnsi="Verdana" w:cs="Arial"/>
          <w:sz w:val="20"/>
          <w:szCs w:val="20"/>
        </w:rPr>
        <w:t xml:space="preserve">“1. La lista de los </w:t>
      </w:r>
      <w:r w:rsidRPr="00E959F4">
        <w:rPr>
          <w:rFonts w:ascii="Verdana" w:hAnsi="Verdana" w:cs="Arial"/>
          <w:i/>
          <w:sz w:val="20"/>
          <w:szCs w:val="20"/>
        </w:rPr>
        <w:t>contratos de obras civiles</w:t>
      </w:r>
      <w:r w:rsidRPr="00F34331">
        <w:rPr>
          <w:rFonts w:ascii="Verdana" w:hAnsi="Verdana" w:cs="Arial"/>
          <w:sz w:val="20"/>
          <w:szCs w:val="20"/>
        </w:rPr>
        <w:t xml:space="preserve"> en ejecución suscritos con Entidades Estatales y con entidades privadas, así como el valor y plazo de tales contratos, incluyendo contratos de concesión y los contratos de obra suscritos con concesionarios.</w:t>
      </w:r>
    </w:p>
    <w:p w14:paraId="5ABDD279" w14:textId="77777777" w:rsidR="006B2F02" w:rsidRPr="00F34331" w:rsidRDefault="006B2F02" w:rsidP="00E959F4">
      <w:pPr>
        <w:shd w:val="clear" w:color="auto" w:fill="FFFFFF"/>
        <w:spacing w:after="0" w:line="240" w:lineRule="auto"/>
        <w:ind w:left="709" w:right="709"/>
        <w:contextualSpacing/>
        <w:jc w:val="both"/>
        <w:rPr>
          <w:rFonts w:ascii="Verdana" w:hAnsi="Verdana" w:cs="Arial"/>
          <w:sz w:val="20"/>
          <w:szCs w:val="20"/>
        </w:rPr>
      </w:pPr>
    </w:p>
    <w:p w14:paraId="7E5386F5" w14:textId="77777777" w:rsidR="00EB7063" w:rsidRPr="00F34331" w:rsidRDefault="00EB7063" w:rsidP="00E959F4">
      <w:pPr>
        <w:shd w:val="clear" w:color="auto" w:fill="FFFFFF"/>
        <w:spacing w:after="0" w:line="240" w:lineRule="auto"/>
        <w:ind w:left="709" w:right="709" w:firstLine="1"/>
        <w:contextualSpacing/>
        <w:jc w:val="both"/>
        <w:rPr>
          <w:rFonts w:ascii="Verdana" w:hAnsi="Verdana" w:cs="Arial"/>
          <w:sz w:val="20"/>
          <w:szCs w:val="20"/>
        </w:rPr>
      </w:pPr>
      <w:r w:rsidRPr="00F34331">
        <w:rPr>
          <w:rFonts w:ascii="Verdana" w:hAnsi="Verdana" w:cs="Arial"/>
          <w:sz w:val="20"/>
          <w:szCs w:val="20"/>
        </w:rPr>
        <w:t xml:space="preserve">2. La lista de los </w:t>
      </w:r>
      <w:r w:rsidRPr="00E959F4">
        <w:rPr>
          <w:rFonts w:ascii="Verdana" w:hAnsi="Verdana" w:cs="Arial"/>
          <w:i/>
          <w:sz w:val="20"/>
          <w:szCs w:val="20"/>
        </w:rPr>
        <w:t>contratos de obras civiles</w:t>
      </w:r>
      <w:r w:rsidRPr="00F34331">
        <w:rPr>
          <w:rFonts w:ascii="Verdana" w:hAnsi="Verdana" w:cs="Arial"/>
          <w:sz w:val="20"/>
          <w:szCs w:val="20"/>
        </w:rPr>
        <w:t xml:space="preserve">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47A3F592" w14:textId="77777777" w:rsidR="006B2F02" w:rsidRDefault="006B2F02">
      <w:pPr>
        <w:shd w:val="clear" w:color="auto" w:fill="FFFFFF"/>
        <w:spacing w:after="0" w:line="240" w:lineRule="auto"/>
        <w:ind w:left="709" w:right="709" w:firstLine="1"/>
        <w:contextualSpacing/>
        <w:jc w:val="both"/>
        <w:rPr>
          <w:rFonts w:ascii="Verdana" w:hAnsi="Verdana" w:cs="Arial"/>
          <w:sz w:val="20"/>
          <w:szCs w:val="20"/>
        </w:rPr>
      </w:pPr>
    </w:p>
    <w:p w14:paraId="656D5E9C" w14:textId="1948EDFE" w:rsidR="00EB7063" w:rsidRPr="00F34331" w:rsidRDefault="00EB7063" w:rsidP="00E959F4">
      <w:pPr>
        <w:shd w:val="clear" w:color="auto" w:fill="FFFFFF"/>
        <w:spacing w:after="0" w:line="240" w:lineRule="auto"/>
        <w:ind w:left="709" w:right="709" w:firstLine="1"/>
        <w:contextualSpacing/>
        <w:jc w:val="both"/>
        <w:rPr>
          <w:rFonts w:ascii="Verdana" w:hAnsi="Verdana" w:cs="Arial"/>
          <w:sz w:val="20"/>
          <w:szCs w:val="20"/>
        </w:rPr>
      </w:pPr>
      <w:r w:rsidRPr="00F34331">
        <w:rPr>
          <w:rFonts w:ascii="Verdana" w:hAnsi="Verdana" w:cs="Arial"/>
          <w:sz w:val="20"/>
          <w:szCs w:val="20"/>
        </w:rPr>
        <w:t xml:space="preserve">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w:t>
      </w:r>
      <w:r w:rsidRPr="00F34331">
        <w:rPr>
          <w:rFonts w:ascii="Verdana" w:hAnsi="Verdana" w:cs="Arial"/>
          <w:sz w:val="20"/>
          <w:szCs w:val="20"/>
        </w:rPr>
        <w:lastRenderedPageBreak/>
        <w:t>tener revisor fiscal. Si se trata de proponentes obligados a tener RUP, las Entidades Estatales solo deben solicitar como documento adicional el estado de resultados del año en que el proponente obtuvo el mayor ingreso operacional en los últimos cinco (5) años”.</w:t>
      </w:r>
      <w:r w:rsidR="006B2F02">
        <w:rPr>
          <w:rFonts w:ascii="Verdana" w:hAnsi="Verdana" w:cs="Arial"/>
          <w:sz w:val="20"/>
          <w:szCs w:val="20"/>
        </w:rPr>
        <w:t xml:space="preserve"> [Énfasis fuera del texto original]</w:t>
      </w:r>
    </w:p>
    <w:p w14:paraId="2FD37F62" w14:textId="77777777" w:rsidR="00EB7063" w:rsidRDefault="00EB7063" w:rsidP="00E959F4">
      <w:pPr>
        <w:spacing w:after="0" w:line="276" w:lineRule="auto"/>
        <w:ind w:firstLine="709"/>
        <w:jc w:val="both"/>
        <w:rPr>
          <w:rFonts w:ascii="Verdana" w:eastAsia="Calibri" w:hAnsi="Verdana" w:cs="Arial"/>
          <w:lang w:val="es-MX" w:eastAsia="en-GB"/>
        </w:rPr>
      </w:pPr>
    </w:p>
    <w:p w14:paraId="5FCA9DFA" w14:textId="77777777" w:rsidR="00EB7063" w:rsidRPr="000146E8" w:rsidRDefault="00EB7063" w:rsidP="004D76F6">
      <w:pPr>
        <w:spacing w:after="0" w:line="276" w:lineRule="auto"/>
        <w:ind w:firstLine="709"/>
        <w:jc w:val="both"/>
        <w:rPr>
          <w:rFonts w:ascii="Verdana" w:eastAsia="Calibri" w:hAnsi="Verdana" w:cs="Arial"/>
          <w:color w:val="000000"/>
          <w:lang w:val="es-MX" w:eastAsia="en-GB"/>
        </w:rPr>
      </w:pPr>
      <w:r w:rsidRPr="00896002">
        <w:rPr>
          <w:rFonts w:ascii="Verdana" w:eastAsia="Calibri" w:hAnsi="Verdana" w:cs="Arial"/>
          <w:color w:val="000000"/>
          <w:lang w:val="es-MX" w:eastAsia="en-GB"/>
        </w:rPr>
        <w:t>De conformidad con lo expuesto, la Agencia Nacional de Contratación Pública – Colombia Compra Eficiente expidió la “Guía para Determinar y Verificar la Capacidad Residual del Proponente en los Procesos de Contratación de Obra Pública”.</w:t>
      </w:r>
      <w:r>
        <w:rPr>
          <w:rFonts w:ascii="Verdana" w:eastAsia="Calibri" w:hAnsi="Verdana" w:cs="Arial"/>
          <w:color w:val="000000"/>
          <w:lang w:val="es-MX" w:eastAsia="en-GB"/>
        </w:rPr>
        <w:t xml:space="preserve"> </w:t>
      </w:r>
      <w:r w:rsidRPr="00180BA4">
        <w:rPr>
          <w:rFonts w:ascii="Verdana" w:eastAsia="Calibri" w:hAnsi="Verdana" w:cs="Arial"/>
        </w:rPr>
        <w:t xml:space="preserve">En este documento se establece, entre otras cuestiones, que a la entidad contratante le corresponde, primero, establecer la capacidad residual del proceso de contratación “CRPC” y, segundo, determinar si los proponentes cumplen con la capacidad </w:t>
      </w:r>
      <w:r w:rsidRPr="000146E8">
        <w:rPr>
          <w:rFonts w:ascii="Verdana" w:eastAsia="Calibri" w:hAnsi="Verdana" w:cs="Arial"/>
        </w:rPr>
        <w:t>residual del proceso de contratación, claro está, teniendo en cuenta la siguiente información aportada por el proponente:</w:t>
      </w:r>
      <w:r w:rsidRPr="000146E8">
        <w:rPr>
          <w:rFonts w:ascii="Verdana" w:eastAsia="Calibri" w:hAnsi="Verdana" w:cs="Arial"/>
          <w:color w:val="000000"/>
          <w:lang w:val="es-MX" w:eastAsia="en-GB"/>
        </w:rPr>
        <w:t xml:space="preserve"> </w:t>
      </w:r>
    </w:p>
    <w:p w14:paraId="4594C90C" w14:textId="77777777" w:rsidR="004D76F6" w:rsidRPr="000146E8" w:rsidRDefault="004D76F6" w:rsidP="00E959F4">
      <w:pPr>
        <w:spacing w:after="0" w:line="276" w:lineRule="auto"/>
        <w:ind w:firstLine="709"/>
        <w:jc w:val="both"/>
        <w:rPr>
          <w:rFonts w:ascii="Verdana" w:eastAsia="Calibri" w:hAnsi="Verdana" w:cs="Arial"/>
          <w:color w:val="000000"/>
          <w:lang w:val="es-MX" w:eastAsia="en-GB"/>
        </w:rPr>
      </w:pPr>
    </w:p>
    <w:p w14:paraId="7B1B75AE" w14:textId="7019798B" w:rsidR="00EB7063" w:rsidRPr="000146E8" w:rsidRDefault="006B2F02">
      <w:pPr>
        <w:spacing w:after="0" w:line="240" w:lineRule="auto"/>
        <w:ind w:left="709" w:right="709"/>
        <w:jc w:val="both"/>
        <w:rPr>
          <w:rFonts w:ascii="Verdana" w:hAnsi="Verdana"/>
          <w:sz w:val="20"/>
          <w:szCs w:val="20"/>
        </w:rPr>
      </w:pPr>
      <w:r>
        <w:rPr>
          <w:rFonts w:ascii="Verdana" w:hAnsi="Verdana"/>
          <w:sz w:val="20"/>
          <w:szCs w:val="20"/>
        </w:rPr>
        <w:t>“</w:t>
      </w:r>
      <w:r w:rsidR="00EB7063" w:rsidRPr="000146E8">
        <w:rPr>
          <w:rFonts w:ascii="Verdana" w:hAnsi="Verdana"/>
          <w:sz w:val="20"/>
          <w:szCs w:val="20"/>
        </w:rPr>
        <w:t xml:space="preserve">1. La lista de los Contratos en Ejecución, así como el valor y plazo de tales contratos. </w:t>
      </w:r>
    </w:p>
    <w:p w14:paraId="2DC050D7" w14:textId="77777777" w:rsidR="006B2F02" w:rsidRPr="00B94C93" w:rsidRDefault="006B2F02" w:rsidP="00E959F4">
      <w:pPr>
        <w:spacing w:after="0" w:line="240" w:lineRule="auto"/>
        <w:ind w:left="709" w:right="709"/>
        <w:jc w:val="both"/>
        <w:rPr>
          <w:rFonts w:ascii="Verdana" w:hAnsi="Verdana"/>
          <w:sz w:val="20"/>
          <w:szCs w:val="20"/>
        </w:rPr>
      </w:pPr>
    </w:p>
    <w:p w14:paraId="677E89B2" w14:textId="77777777" w:rsidR="00EB7063" w:rsidRPr="000146E8" w:rsidRDefault="00EB7063" w:rsidP="00E959F4">
      <w:pPr>
        <w:spacing w:after="0" w:line="240" w:lineRule="auto"/>
        <w:ind w:left="709" w:right="709" w:firstLine="1"/>
        <w:jc w:val="both"/>
        <w:rPr>
          <w:rFonts w:ascii="Verdana" w:hAnsi="Verdana"/>
          <w:sz w:val="20"/>
          <w:szCs w:val="20"/>
        </w:rPr>
      </w:pPr>
      <w:r w:rsidRPr="000146E8">
        <w:rPr>
          <w:rFonts w:ascii="Verdana" w:hAnsi="Verdana"/>
          <w:sz w:val="20"/>
          <w:szCs w:val="20"/>
        </w:rPr>
        <w:t xml:space="preserve">2. La lista de los Contratos en Ejecución, suscritos por sociedades, consorcios o uniones temporales, en los cuales el proponente tenga participación, así como el valor y plazo de tales contratos. </w:t>
      </w:r>
    </w:p>
    <w:p w14:paraId="7C756AAB" w14:textId="77777777" w:rsidR="00EB7063" w:rsidRPr="000146E8" w:rsidRDefault="00EB7063" w:rsidP="00E959F4">
      <w:pPr>
        <w:spacing w:after="0" w:line="240" w:lineRule="auto"/>
        <w:ind w:left="709" w:right="709" w:firstLine="1"/>
        <w:jc w:val="both"/>
        <w:rPr>
          <w:rFonts w:ascii="Verdana" w:hAnsi="Verdana"/>
          <w:sz w:val="20"/>
          <w:szCs w:val="20"/>
        </w:rPr>
      </w:pPr>
      <w:r w:rsidRPr="000146E8">
        <w:rPr>
          <w:rFonts w:ascii="Verdana" w:hAnsi="Verdana"/>
          <w:sz w:val="20"/>
          <w:szCs w:val="20"/>
        </w:rPr>
        <w:t xml:space="preserve">Nota: En caso de que los Contratos en Ejecución se encuentren suspendidos, esta circunstancia también deberá ser indicada de igual forma. </w:t>
      </w:r>
    </w:p>
    <w:p w14:paraId="736AA41E" w14:textId="77777777" w:rsidR="006B2F02" w:rsidRDefault="006B2F02" w:rsidP="00B94C93">
      <w:pPr>
        <w:spacing w:after="0" w:line="240" w:lineRule="auto"/>
        <w:ind w:left="709" w:right="709" w:firstLine="1"/>
        <w:jc w:val="both"/>
        <w:rPr>
          <w:rFonts w:ascii="Verdana" w:hAnsi="Verdana"/>
          <w:sz w:val="20"/>
          <w:szCs w:val="20"/>
        </w:rPr>
      </w:pPr>
    </w:p>
    <w:p w14:paraId="3F8A2FBC" w14:textId="6F8C461C" w:rsidR="00EB7063" w:rsidRDefault="00EB7063" w:rsidP="00B94C93">
      <w:pPr>
        <w:spacing w:after="0" w:line="240" w:lineRule="auto"/>
        <w:ind w:left="709" w:right="709" w:firstLine="1"/>
        <w:jc w:val="both"/>
        <w:rPr>
          <w:rFonts w:ascii="Verdana" w:hAnsi="Verdana"/>
          <w:sz w:val="20"/>
          <w:szCs w:val="20"/>
        </w:rPr>
      </w:pPr>
      <w:r w:rsidRPr="000146E8">
        <w:rPr>
          <w:rFonts w:ascii="Verdana" w:hAnsi="Verdana"/>
          <w:sz w:val="20"/>
          <w:szCs w:val="20"/>
        </w:rPr>
        <w:t>3. El estado de resultados auditado que contiene el mejor ingreso operacional de los últimos cinco (5) años y el balance general auditado del último año, suscrito por el interesado o su representante legal y el revisor fiscal si está obligado a tenerlo, o el auditor o contador si no está obligado a tener revisor fiscal. Si se trata de proponentes obligados a tener Registro Único de Proponentes (RUP), las Entidades Estatales solo deben solicitar como documento adicional el estado de resultados que contiene el mejor ingreso operacional de los últimos cinco (5) años puesto que la información de la liquidez se encuentra contenida en el RUP</w:t>
      </w:r>
      <w:r w:rsidR="006B2F02">
        <w:rPr>
          <w:rFonts w:ascii="Verdana" w:hAnsi="Verdana"/>
          <w:sz w:val="20"/>
          <w:szCs w:val="20"/>
        </w:rPr>
        <w:t>”</w:t>
      </w:r>
      <w:r w:rsidRPr="00B94C93">
        <w:rPr>
          <w:rFonts w:ascii="Verdana" w:hAnsi="Verdana"/>
          <w:sz w:val="20"/>
          <w:szCs w:val="20"/>
        </w:rPr>
        <w:t>.</w:t>
      </w:r>
      <w:r w:rsidRPr="00E959F4">
        <w:rPr>
          <w:rStyle w:val="Refdenotaalpie"/>
          <w:rFonts w:ascii="Verdana" w:hAnsi="Verdana"/>
          <w:sz w:val="20"/>
          <w:szCs w:val="20"/>
        </w:rPr>
        <w:footnoteReference w:id="4"/>
      </w:r>
    </w:p>
    <w:p w14:paraId="1B5712F3" w14:textId="77777777" w:rsidR="00B94C93" w:rsidRPr="00E959F4" w:rsidRDefault="00B94C93" w:rsidP="00E959F4">
      <w:pPr>
        <w:spacing w:after="0" w:line="276" w:lineRule="auto"/>
        <w:ind w:left="709" w:right="709" w:firstLine="1"/>
        <w:jc w:val="both"/>
        <w:rPr>
          <w:rFonts w:ascii="Verdana" w:hAnsi="Verdana"/>
          <w:sz w:val="20"/>
          <w:szCs w:val="20"/>
        </w:rPr>
      </w:pPr>
    </w:p>
    <w:p w14:paraId="335624D3" w14:textId="77777777" w:rsidR="00EB7063" w:rsidRDefault="00EB7063" w:rsidP="00E959F4">
      <w:pPr>
        <w:spacing w:after="0" w:line="276" w:lineRule="auto"/>
        <w:ind w:firstLine="708"/>
        <w:jc w:val="both"/>
        <w:rPr>
          <w:rFonts w:ascii="Verdana" w:eastAsia="Calibri" w:hAnsi="Verdana" w:cs="Arial"/>
          <w:color w:val="000000"/>
          <w:lang w:val="es-MX" w:eastAsia="en-GB"/>
        </w:rPr>
      </w:pPr>
      <w:r w:rsidRPr="000146E8">
        <w:rPr>
          <w:rFonts w:ascii="Verdana" w:hAnsi="Verdana"/>
        </w:rPr>
        <w:t xml:space="preserve">Adicionalmente, </w:t>
      </w:r>
      <w:r w:rsidRPr="000146E8">
        <w:rPr>
          <w:rFonts w:ascii="Verdana" w:eastAsia="Calibri" w:hAnsi="Verdana" w:cs="Arial"/>
          <w:color w:val="000000"/>
          <w:lang w:val="es-MX" w:eastAsia="en-GB"/>
        </w:rPr>
        <w:t xml:space="preserve">dentro de las definiciones generales, la Guía establece la definición de “Contrato en Ejecución” como: </w:t>
      </w:r>
    </w:p>
    <w:p w14:paraId="7E3BE739" w14:textId="77777777" w:rsidR="00B94C93" w:rsidRDefault="00B94C93" w:rsidP="00E959F4">
      <w:pPr>
        <w:spacing w:after="0" w:line="276" w:lineRule="auto"/>
        <w:ind w:left="709"/>
        <w:jc w:val="both"/>
        <w:rPr>
          <w:rFonts w:ascii="Verdana" w:hAnsi="Verdana"/>
          <w:sz w:val="20"/>
          <w:szCs w:val="20"/>
        </w:rPr>
      </w:pPr>
    </w:p>
    <w:p w14:paraId="0ACF9137" w14:textId="5CCD61C0" w:rsidR="00EB7063" w:rsidRDefault="006B2F02" w:rsidP="00E959F4">
      <w:pPr>
        <w:spacing w:after="0" w:line="240" w:lineRule="auto"/>
        <w:ind w:left="708" w:right="709"/>
        <w:jc w:val="both"/>
        <w:rPr>
          <w:rFonts w:ascii="Verdana" w:hAnsi="Verdana"/>
          <w:sz w:val="20"/>
          <w:szCs w:val="20"/>
        </w:rPr>
      </w:pPr>
      <w:r>
        <w:rPr>
          <w:rFonts w:ascii="Verdana" w:hAnsi="Verdana"/>
          <w:sz w:val="20"/>
          <w:szCs w:val="20"/>
        </w:rPr>
        <w:lastRenderedPageBreak/>
        <w:t>“</w:t>
      </w:r>
      <w:r w:rsidR="00EB7063" w:rsidRPr="000146E8">
        <w:rPr>
          <w:rFonts w:ascii="Verdana" w:hAnsi="Verdana"/>
          <w:sz w:val="20"/>
          <w:szCs w:val="20"/>
        </w:rPr>
        <w:t xml:space="preserve">Son los contratos que a la fecha de presentación de la oferta obligan al proponente con Entidades Estatales y con entidades privadas </w:t>
      </w:r>
      <w:r w:rsidR="00EB7063" w:rsidRPr="00E959F4">
        <w:rPr>
          <w:rFonts w:ascii="Verdana" w:hAnsi="Verdana"/>
          <w:i/>
          <w:sz w:val="20"/>
          <w:szCs w:val="20"/>
        </w:rPr>
        <w:t>para ejecutar obras civiles, incluyendo la ejecución de obras civiles en los contratos de concesión y los contratos de obra suscritos con concesionarios, incluyendo los contratos que se encuentren suspendidos y aquellos que no tengan acta de inicio</w:t>
      </w:r>
      <w:r w:rsidR="00EB7063" w:rsidRPr="000146E8">
        <w:rPr>
          <w:rFonts w:ascii="Verdana" w:hAnsi="Verdana"/>
          <w:sz w:val="20"/>
          <w:szCs w:val="20"/>
        </w:rPr>
        <w:t>. No se entenderá como Contratos en Ejecución los que se encuentren en etapa de liquidación o ya fueron liquidados</w:t>
      </w:r>
      <w:r>
        <w:rPr>
          <w:rFonts w:ascii="Verdana" w:hAnsi="Verdana"/>
          <w:sz w:val="20"/>
          <w:szCs w:val="20"/>
        </w:rPr>
        <w:t>”</w:t>
      </w:r>
      <w:r w:rsidR="00EB7063" w:rsidRPr="00E959F4">
        <w:rPr>
          <w:rFonts w:ascii="Verdana" w:hAnsi="Verdana"/>
          <w:sz w:val="20"/>
          <w:szCs w:val="20"/>
        </w:rPr>
        <w:t>.</w:t>
      </w:r>
      <w:r>
        <w:rPr>
          <w:rFonts w:ascii="Verdana" w:hAnsi="Verdana"/>
          <w:sz w:val="20"/>
          <w:szCs w:val="20"/>
        </w:rPr>
        <w:t xml:space="preserve"> </w:t>
      </w:r>
      <w:r>
        <w:rPr>
          <w:rFonts w:ascii="Verdana" w:hAnsi="Verdana" w:cs="Arial"/>
          <w:sz w:val="20"/>
          <w:szCs w:val="20"/>
        </w:rPr>
        <w:t>[Énfasis fuera del texto original]</w:t>
      </w:r>
    </w:p>
    <w:p w14:paraId="6C563451" w14:textId="77777777" w:rsidR="00B94C93" w:rsidRPr="00E959F4" w:rsidRDefault="00B94C93" w:rsidP="00E959F4">
      <w:pPr>
        <w:spacing w:after="0" w:line="240" w:lineRule="auto"/>
        <w:ind w:left="708" w:right="709"/>
        <w:jc w:val="both"/>
        <w:rPr>
          <w:rFonts w:ascii="Verdana" w:hAnsi="Verdana"/>
          <w:sz w:val="20"/>
          <w:szCs w:val="20"/>
        </w:rPr>
      </w:pPr>
    </w:p>
    <w:p w14:paraId="5802A74C" w14:textId="51915AC3" w:rsidR="00EB7063" w:rsidRDefault="00EB7063" w:rsidP="00EB7063">
      <w:pPr>
        <w:spacing w:after="120" w:line="276" w:lineRule="auto"/>
        <w:ind w:firstLine="708"/>
        <w:jc w:val="both"/>
        <w:rPr>
          <w:rFonts w:ascii="Verdana" w:eastAsia="Calibri" w:hAnsi="Verdana" w:cs="Arial"/>
        </w:rPr>
      </w:pPr>
      <w:r w:rsidRPr="00180BA4">
        <w:rPr>
          <w:rFonts w:ascii="Verdana" w:eastAsia="Calibri" w:hAnsi="Verdana" w:cs="Arial"/>
        </w:rPr>
        <w:t xml:space="preserve">Ahora bien, para lo primero, esto es, para establecer la </w:t>
      </w:r>
      <w:r w:rsidR="004E3E03">
        <w:rPr>
          <w:rFonts w:ascii="Verdana" w:eastAsia="Calibri" w:hAnsi="Verdana" w:cs="Arial"/>
        </w:rPr>
        <w:t>C</w:t>
      </w:r>
      <w:r w:rsidRPr="00180BA4">
        <w:rPr>
          <w:rFonts w:ascii="Verdana" w:eastAsia="Calibri" w:hAnsi="Verdana" w:cs="Arial"/>
        </w:rPr>
        <w:t xml:space="preserve">apacidad </w:t>
      </w:r>
      <w:r w:rsidR="004E3E03">
        <w:rPr>
          <w:rFonts w:ascii="Verdana" w:eastAsia="Calibri" w:hAnsi="Verdana" w:cs="Arial"/>
        </w:rPr>
        <w:t>R</w:t>
      </w:r>
      <w:r w:rsidR="004E3E03" w:rsidRPr="00180BA4">
        <w:rPr>
          <w:rFonts w:ascii="Verdana" w:eastAsia="Calibri" w:hAnsi="Verdana" w:cs="Arial"/>
        </w:rPr>
        <w:t xml:space="preserve">esidual </w:t>
      </w:r>
      <w:r w:rsidRPr="00180BA4">
        <w:rPr>
          <w:rFonts w:ascii="Verdana" w:eastAsia="Calibri" w:hAnsi="Verdana" w:cs="Arial"/>
        </w:rPr>
        <w:t xml:space="preserve">del proceso de contratación “CRPC”, se debe determinar si el plazo del contrato es superior a doce </w:t>
      </w:r>
      <w:r w:rsidR="004E3E03">
        <w:rPr>
          <w:rFonts w:ascii="Verdana" w:eastAsia="Calibri" w:hAnsi="Verdana" w:cs="Arial"/>
        </w:rPr>
        <w:t xml:space="preserve">(12) </w:t>
      </w:r>
      <w:r w:rsidRPr="00180BA4">
        <w:rPr>
          <w:rFonts w:ascii="Verdana" w:eastAsia="Calibri" w:hAnsi="Verdana" w:cs="Arial"/>
        </w:rPr>
        <w:t xml:space="preserve">meses. Si no lo es, la CRPC equivale al presupuesto oficial estimado del Proceso de Contratación menos el anticipo o pago anticipado cuando haya lugar. Si lo es, equivale a la proporción lineal de </w:t>
      </w:r>
      <w:r w:rsidR="004E3E03">
        <w:rPr>
          <w:rFonts w:ascii="Verdana" w:eastAsia="Calibri" w:hAnsi="Verdana" w:cs="Arial"/>
        </w:rPr>
        <w:t>doce (</w:t>
      </w:r>
      <w:r w:rsidRPr="00180BA4">
        <w:rPr>
          <w:rFonts w:ascii="Verdana" w:eastAsia="Calibri" w:hAnsi="Verdana" w:cs="Arial"/>
        </w:rPr>
        <w:t>12</w:t>
      </w:r>
      <w:r w:rsidR="004E3E03">
        <w:rPr>
          <w:rFonts w:ascii="Verdana" w:eastAsia="Calibri" w:hAnsi="Verdana" w:cs="Arial"/>
        </w:rPr>
        <w:t>)</w:t>
      </w:r>
      <w:r w:rsidRPr="00180BA4">
        <w:rPr>
          <w:rFonts w:ascii="Verdana" w:eastAsia="Calibri" w:hAnsi="Verdana" w:cs="Arial"/>
        </w:rPr>
        <w:t xml:space="preserve"> meses del presupuesto oficial estimado menos el anticipo o pago anticipado.</w:t>
      </w:r>
    </w:p>
    <w:p w14:paraId="78D8F0EA" w14:textId="37E10211" w:rsidR="00EB7063" w:rsidRPr="00180BA4" w:rsidRDefault="00EB7063" w:rsidP="00EB7063">
      <w:pPr>
        <w:spacing w:after="120" w:line="276" w:lineRule="auto"/>
        <w:ind w:firstLine="709"/>
        <w:jc w:val="both"/>
        <w:rPr>
          <w:rFonts w:ascii="Verdana" w:eastAsia="Calibri" w:hAnsi="Verdana" w:cs="Arial"/>
        </w:rPr>
      </w:pPr>
      <w:r w:rsidRPr="00180BA4">
        <w:rPr>
          <w:rFonts w:ascii="Verdana" w:eastAsia="Calibri" w:hAnsi="Verdana" w:cs="Arial"/>
        </w:rPr>
        <w:t xml:space="preserve">Para lo segundo, es decir, para verificar que cada proponente cumple con la CRPC, la entidad pública debe verificar que la </w:t>
      </w:r>
      <w:r w:rsidR="00221730">
        <w:rPr>
          <w:rFonts w:ascii="Verdana" w:eastAsia="Calibri" w:hAnsi="Verdana" w:cs="Arial"/>
        </w:rPr>
        <w:t>C</w:t>
      </w:r>
      <w:r w:rsidR="00221730" w:rsidRPr="00180BA4">
        <w:rPr>
          <w:rFonts w:ascii="Verdana" w:eastAsia="Calibri" w:hAnsi="Verdana" w:cs="Arial"/>
        </w:rPr>
        <w:t xml:space="preserve">apacidad </w:t>
      </w:r>
      <w:r w:rsidR="00221730">
        <w:rPr>
          <w:rFonts w:ascii="Verdana" w:eastAsia="Calibri" w:hAnsi="Verdana" w:cs="Arial"/>
        </w:rPr>
        <w:t>R</w:t>
      </w:r>
      <w:r w:rsidRPr="00180BA4">
        <w:rPr>
          <w:rFonts w:ascii="Verdana" w:eastAsia="Calibri" w:hAnsi="Verdana" w:cs="Arial"/>
        </w:rPr>
        <w:t xml:space="preserve">esidual del proponente “CRP” sea igual o superior a la capacidad referida en el párrafo precedente. De todas formas, previamente debe establecer la CRP, con fundamento en los siguientes factores: i) experiencia “E”; </w:t>
      </w:r>
      <w:proofErr w:type="spellStart"/>
      <w:r w:rsidRPr="00180BA4">
        <w:rPr>
          <w:rFonts w:ascii="Verdana" w:eastAsia="Calibri" w:hAnsi="Verdana" w:cs="Arial"/>
        </w:rPr>
        <w:t>ii</w:t>
      </w:r>
      <w:proofErr w:type="spellEnd"/>
      <w:r w:rsidRPr="00180BA4">
        <w:rPr>
          <w:rFonts w:ascii="Verdana" w:eastAsia="Calibri" w:hAnsi="Verdana" w:cs="Arial"/>
        </w:rPr>
        <w:t xml:space="preserve">) capacidad financiera “CF”; </w:t>
      </w:r>
      <w:proofErr w:type="spellStart"/>
      <w:r w:rsidRPr="00180BA4">
        <w:rPr>
          <w:rFonts w:ascii="Verdana" w:eastAsia="Calibri" w:hAnsi="Verdana" w:cs="Arial"/>
        </w:rPr>
        <w:t>iii</w:t>
      </w:r>
      <w:proofErr w:type="spellEnd"/>
      <w:r w:rsidRPr="00180BA4">
        <w:rPr>
          <w:rFonts w:ascii="Verdana" w:eastAsia="Calibri" w:hAnsi="Verdana" w:cs="Arial"/>
        </w:rPr>
        <w:t xml:space="preserve">) capacidad técnica “CT”, </w:t>
      </w:r>
      <w:proofErr w:type="spellStart"/>
      <w:r w:rsidRPr="00180BA4">
        <w:rPr>
          <w:rFonts w:ascii="Verdana" w:eastAsia="Calibri" w:hAnsi="Verdana" w:cs="Arial"/>
        </w:rPr>
        <w:t>iv</w:t>
      </w:r>
      <w:proofErr w:type="spellEnd"/>
      <w:r w:rsidRPr="00180BA4">
        <w:rPr>
          <w:rFonts w:ascii="Verdana" w:eastAsia="Calibri" w:hAnsi="Verdana" w:cs="Arial"/>
        </w:rPr>
        <w:t>) capacidad de organización “CO”; y v) los saldos de los contratos en ejecución “SCE”, según la siguiente fórmula:</w:t>
      </w:r>
    </w:p>
    <w:p w14:paraId="359F26D6" w14:textId="77777777" w:rsidR="00EB7063" w:rsidRPr="000F60AB" w:rsidRDefault="00EB7063" w:rsidP="00EB7063">
      <w:pPr>
        <w:pStyle w:val="Prrafodelista"/>
        <w:rPr>
          <w:rFonts w:ascii="Verdana" w:eastAsia="Calibri" w:hAnsi="Verdana" w:cs="Arial"/>
        </w:rPr>
      </w:pPr>
    </w:p>
    <w:p w14:paraId="35A1B3E3" w14:textId="77777777" w:rsidR="00EB7063" w:rsidRPr="000F60AB" w:rsidRDefault="00EB7063" w:rsidP="00EB7063">
      <w:pPr>
        <w:pStyle w:val="Prrafodelista"/>
        <w:rPr>
          <w:rFonts w:ascii="Verdana" w:eastAsia="Calibri" w:hAnsi="Verdana" w:cs="Arial"/>
        </w:rPr>
      </w:pPr>
      <w:r w:rsidRPr="000F60AB">
        <w:rPr>
          <w:rFonts w:ascii="Verdana" w:hAnsi="Verdana"/>
          <w:noProof/>
          <w:sz w:val="20"/>
        </w:rPr>
        <w:drawing>
          <wp:inline distT="0" distB="0" distL="0" distR="0" wp14:anchorId="48BCA037" wp14:editId="075B36A0">
            <wp:extent cx="4641315" cy="674846"/>
            <wp:effectExtent l="0" t="0" r="0" b="0"/>
            <wp:docPr id="5" name="image3.png"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descr="Icono&#10;&#10;Descripción generada automáticamente con confianza media"/>
                    <pic:cNvPicPr/>
                  </pic:nvPicPr>
                  <pic:blipFill>
                    <a:blip r:embed="rId12" cstate="print"/>
                    <a:stretch>
                      <a:fillRect/>
                    </a:stretch>
                  </pic:blipFill>
                  <pic:spPr>
                    <a:xfrm>
                      <a:off x="0" y="0"/>
                      <a:ext cx="4641315" cy="674846"/>
                    </a:xfrm>
                    <a:prstGeom prst="rect">
                      <a:avLst/>
                    </a:prstGeom>
                  </pic:spPr>
                </pic:pic>
              </a:graphicData>
            </a:graphic>
          </wp:inline>
        </w:drawing>
      </w:r>
    </w:p>
    <w:p w14:paraId="177EE4A2" w14:textId="77777777" w:rsidR="00EB7063" w:rsidRPr="000F60AB" w:rsidRDefault="00EB7063" w:rsidP="00EB7063">
      <w:pPr>
        <w:pStyle w:val="Prrafodelista"/>
        <w:rPr>
          <w:rFonts w:ascii="Verdana" w:eastAsia="Calibri" w:hAnsi="Verdana" w:cs="Arial"/>
        </w:rPr>
      </w:pPr>
    </w:p>
    <w:p w14:paraId="7A15D42B" w14:textId="77777777" w:rsidR="00EB7063" w:rsidRDefault="00EB7063" w:rsidP="00EB7063">
      <w:pPr>
        <w:spacing w:after="120" w:line="276" w:lineRule="auto"/>
        <w:ind w:firstLine="709"/>
        <w:jc w:val="both"/>
        <w:rPr>
          <w:rFonts w:ascii="Verdana" w:eastAsia="Calibri" w:hAnsi="Verdana" w:cs="Arial"/>
        </w:rPr>
      </w:pPr>
      <w:r w:rsidRPr="00180BA4">
        <w:rPr>
          <w:rFonts w:ascii="Verdana" w:eastAsia="Calibri" w:hAnsi="Verdana" w:cs="Arial"/>
        </w:rPr>
        <w:t xml:space="preserve">A cada uno de estos factores se les debe asignar el siguiente puntaje máximo: i) “E” 120; </w:t>
      </w:r>
      <w:proofErr w:type="spellStart"/>
      <w:r w:rsidRPr="00180BA4">
        <w:rPr>
          <w:rFonts w:ascii="Verdana" w:eastAsia="Calibri" w:hAnsi="Verdana" w:cs="Arial"/>
        </w:rPr>
        <w:t>ii</w:t>
      </w:r>
      <w:proofErr w:type="spellEnd"/>
      <w:r w:rsidRPr="00180BA4">
        <w:rPr>
          <w:rFonts w:ascii="Verdana" w:eastAsia="Calibri" w:hAnsi="Verdana" w:cs="Arial"/>
        </w:rPr>
        <w:t xml:space="preserve">) “CF” 40; y </w:t>
      </w:r>
      <w:proofErr w:type="spellStart"/>
      <w:r w:rsidRPr="00180BA4">
        <w:rPr>
          <w:rFonts w:ascii="Verdana" w:eastAsia="Calibri" w:hAnsi="Verdana" w:cs="Arial"/>
        </w:rPr>
        <w:t>iii</w:t>
      </w:r>
      <w:proofErr w:type="spellEnd"/>
      <w:r w:rsidRPr="00180BA4">
        <w:rPr>
          <w:rFonts w:ascii="Verdana" w:eastAsia="Calibri" w:hAnsi="Verdana" w:cs="Arial"/>
        </w:rPr>
        <w:t>) “CT” 40. La “CO” no tiene asignación de puntaje en la fórmula, por un lado, porque su unidad de medida es en pesos colombianos “COP” y, por el otro, debido a que el mismo constituye un factor multiplicador de los demás factores en la fórmula. A continuación, se explicará, en términos generales, cómo calcular cada factor</w:t>
      </w:r>
      <w:r>
        <w:rPr>
          <w:rFonts w:ascii="Verdana" w:eastAsia="Calibri" w:hAnsi="Verdana" w:cs="Arial"/>
        </w:rPr>
        <w:t>:</w:t>
      </w:r>
    </w:p>
    <w:p w14:paraId="3279741A" w14:textId="7425DF85" w:rsidR="00EB7063" w:rsidRDefault="00EB7063" w:rsidP="00EB7063">
      <w:pPr>
        <w:spacing w:after="120" w:line="276" w:lineRule="auto"/>
        <w:ind w:firstLine="709"/>
        <w:jc w:val="both"/>
        <w:rPr>
          <w:rFonts w:ascii="Verdana" w:eastAsia="Calibri" w:hAnsi="Verdana" w:cs="Arial"/>
        </w:rPr>
      </w:pPr>
      <w:r>
        <w:rPr>
          <w:rFonts w:ascii="Verdana" w:eastAsia="Calibri" w:hAnsi="Verdana" w:cs="Arial"/>
        </w:rPr>
        <w:t xml:space="preserve">i) </w:t>
      </w:r>
      <w:r w:rsidRPr="008C45F5">
        <w:rPr>
          <w:rFonts w:ascii="Verdana" w:eastAsia="Calibri" w:hAnsi="Verdana" w:cs="Arial"/>
          <w:i/>
          <w:iCs/>
        </w:rPr>
        <w:t xml:space="preserve">Capacidad financiera. </w:t>
      </w:r>
      <w:r w:rsidRPr="008C45F5">
        <w:rPr>
          <w:rFonts w:ascii="Verdana" w:eastAsia="Calibri" w:hAnsi="Verdana" w:cs="Arial"/>
        </w:rPr>
        <w:t xml:space="preserve">Se mide por el “índice de liquidez” y este, a su vez, corresponde al resultado de dividir el “activo corriente” sobre el “pasivo </w:t>
      </w:r>
      <w:r w:rsidRPr="008C45F5">
        <w:rPr>
          <w:rFonts w:ascii="Verdana" w:eastAsia="Calibri" w:hAnsi="Verdana" w:cs="Arial"/>
        </w:rPr>
        <w:lastRenderedPageBreak/>
        <w:t xml:space="preserve">corriente”. El resultado puede ser calificado entre </w:t>
      </w:r>
      <w:r w:rsidR="00221730">
        <w:rPr>
          <w:rFonts w:ascii="Verdana" w:eastAsia="Calibri" w:hAnsi="Verdana" w:cs="Arial"/>
        </w:rPr>
        <w:t>veinte (</w:t>
      </w:r>
      <w:r w:rsidRPr="008C45F5">
        <w:rPr>
          <w:rFonts w:ascii="Verdana" w:eastAsia="Calibri" w:hAnsi="Verdana" w:cs="Arial"/>
        </w:rPr>
        <w:t>20</w:t>
      </w:r>
      <w:r w:rsidR="00221730">
        <w:rPr>
          <w:rFonts w:ascii="Verdana" w:eastAsia="Calibri" w:hAnsi="Verdana" w:cs="Arial"/>
        </w:rPr>
        <w:t>)</w:t>
      </w:r>
      <w:r w:rsidRPr="008C45F5">
        <w:rPr>
          <w:rFonts w:ascii="Verdana" w:eastAsia="Calibri" w:hAnsi="Verdana" w:cs="Arial"/>
        </w:rPr>
        <w:t xml:space="preserve"> y cuarenta </w:t>
      </w:r>
      <w:r w:rsidR="00221730">
        <w:rPr>
          <w:rFonts w:ascii="Verdana" w:eastAsia="Calibri" w:hAnsi="Verdana" w:cs="Arial"/>
        </w:rPr>
        <w:t>(40)</w:t>
      </w:r>
      <w:r w:rsidRPr="008C45F5">
        <w:rPr>
          <w:rFonts w:ascii="Verdana" w:eastAsia="Calibri" w:hAnsi="Verdana" w:cs="Arial"/>
        </w:rPr>
        <w:t xml:space="preserve"> puntos, según se explica en la Guía.</w:t>
      </w:r>
    </w:p>
    <w:p w14:paraId="7867D44C" w14:textId="3466A94E" w:rsidR="00EB7063" w:rsidRDefault="00EB7063" w:rsidP="00EB7063">
      <w:pPr>
        <w:spacing w:after="120" w:line="276" w:lineRule="auto"/>
        <w:ind w:firstLine="709"/>
        <w:jc w:val="both"/>
        <w:rPr>
          <w:rFonts w:ascii="Verdana" w:eastAsia="Calibri" w:hAnsi="Verdana" w:cs="Arial"/>
        </w:rPr>
      </w:pPr>
      <w:proofErr w:type="spellStart"/>
      <w:r w:rsidRPr="008C45F5">
        <w:rPr>
          <w:rFonts w:ascii="Verdana" w:eastAsia="Calibri" w:hAnsi="Verdana" w:cs="Arial"/>
        </w:rPr>
        <w:t>ii</w:t>
      </w:r>
      <w:proofErr w:type="spellEnd"/>
      <w:r w:rsidRPr="008C45F5">
        <w:rPr>
          <w:rFonts w:ascii="Verdana" w:eastAsia="Calibri" w:hAnsi="Verdana" w:cs="Arial"/>
        </w:rPr>
        <w:t>)</w:t>
      </w:r>
      <w:r>
        <w:rPr>
          <w:rFonts w:ascii="Verdana" w:eastAsia="Calibri" w:hAnsi="Verdana" w:cs="Arial"/>
          <w:i/>
          <w:iCs/>
        </w:rPr>
        <w:t xml:space="preserve"> </w:t>
      </w:r>
      <w:r w:rsidRPr="008C45F5">
        <w:rPr>
          <w:rFonts w:ascii="Verdana" w:eastAsia="Calibri" w:hAnsi="Verdana" w:cs="Arial"/>
          <w:i/>
          <w:iCs/>
        </w:rPr>
        <w:t>Capacidad técnica.</w:t>
      </w:r>
      <w:r w:rsidRPr="008C45F5">
        <w:rPr>
          <w:rFonts w:ascii="Verdana" w:eastAsia="Calibri" w:hAnsi="Verdana" w:cs="Arial"/>
        </w:rPr>
        <w:t xml:space="preserve"> Se determina teniendo en cuenta el número de socios y profesionales de la arquitectura, ingeniería y geología vinculados mediante una relación laboral o contractual. El puntaje a asignar, según la Guía, oscila entre </w:t>
      </w:r>
      <w:r w:rsidR="00221730">
        <w:rPr>
          <w:rFonts w:ascii="Verdana" w:eastAsia="Calibri" w:hAnsi="Verdana" w:cs="Arial"/>
        </w:rPr>
        <w:t>veinte (</w:t>
      </w:r>
      <w:r w:rsidRPr="008C45F5">
        <w:rPr>
          <w:rFonts w:ascii="Verdana" w:eastAsia="Calibri" w:hAnsi="Verdana" w:cs="Arial"/>
        </w:rPr>
        <w:t>20</w:t>
      </w:r>
      <w:r w:rsidR="00221730">
        <w:rPr>
          <w:rFonts w:ascii="Verdana" w:eastAsia="Calibri" w:hAnsi="Verdana" w:cs="Arial"/>
        </w:rPr>
        <w:t>)</w:t>
      </w:r>
      <w:r w:rsidRPr="008C45F5">
        <w:rPr>
          <w:rFonts w:ascii="Verdana" w:eastAsia="Calibri" w:hAnsi="Verdana" w:cs="Arial"/>
        </w:rPr>
        <w:t xml:space="preserve"> y </w:t>
      </w:r>
      <w:r w:rsidR="00221730">
        <w:rPr>
          <w:rFonts w:ascii="Verdana" w:eastAsia="Calibri" w:hAnsi="Verdana" w:cs="Arial"/>
        </w:rPr>
        <w:t>cuarenta (</w:t>
      </w:r>
      <w:r w:rsidRPr="008C45F5">
        <w:rPr>
          <w:rFonts w:ascii="Verdana" w:eastAsia="Calibri" w:hAnsi="Verdana" w:cs="Arial"/>
        </w:rPr>
        <w:t>40</w:t>
      </w:r>
      <w:r w:rsidR="00221730">
        <w:rPr>
          <w:rFonts w:ascii="Verdana" w:eastAsia="Calibri" w:hAnsi="Verdana" w:cs="Arial"/>
        </w:rPr>
        <w:t>)</w:t>
      </w:r>
      <w:r w:rsidRPr="008C45F5">
        <w:rPr>
          <w:rFonts w:ascii="Verdana" w:eastAsia="Calibri" w:hAnsi="Verdana" w:cs="Arial"/>
        </w:rPr>
        <w:t xml:space="preserve"> puntos. Para tales fines, se aclara que el proponente debe diligenciar el Anexo 2 de la “Guía para Determinar y Verificar la Capacidad Residual del Proponente en los Procesos de Contratación de Obra Pública”</w:t>
      </w:r>
      <w:r>
        <w:rPr>
          <w:rFonts w:ascii="Verdana" w:eastAsia="Calibri" w:hAnsi="Verdana" w:cs="Arial"/>
        </w:rPr>
        <w:t>.</w:t>
      </w:r>
    </w:p>
    <w:p w14:paraId="4248530F" w14:textId="77777777" w:rsidR="00EB7063" w:rsidRPr="008C45F5" w:rsidRDefault="00EB7063" w:rsidP="00EB7063">
      <w:pPr>
        <w:spacing w:after="120" w:line="276" w:lineRule="auto"/>
        <w:ind w:firstLine="709"/>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w:t>
      </w:r>
      <w:r w:rsidRPr="008C45F5">
        <w:rPr>
          <w:rFonts w:ascii="Verdana" w:eastAsia="Calibri" w:hAnsi="Verdana" w:cs="Arial"/>
          <w:i/>
          <w:iCs/>
        </w:rPr>
        <w:t>Capacidad de organización.</w:t>
      </w:r>
      <w:r w:rsidRPr="008C45F5">
        <w:rPr>
          <w:rFonts w:ascii="Verdana" w:eastAsia="Calibri" w:hAnsi="Verdana" w:cs="Arial"/>
        </w:rPr>
        <w:t xml:space="preserve"> Corresponde a los ingresos operacionales, según el siguiente cuadro:</w:t>
      </w:r>
    </w:p>
    <w:p w14:paraId="6BA72C35" w14:textId="77777777" w:rsidR="00EB7063" w:rsidRPr="000F60AB" w:rsidRDefault="00EB7063" w:rsidP="00EB7063">
      <w:pPr>
        <w:pStyle w:val="Prrafodelista"/>
        <w:spacing w:after="120" w:line="276" w:lineRule="auto"/>
        <w:ind w:left="1440"/>
        <w:jc w:val="both"/>
        <w:rPr>
          <w:rFonts w:ascii="Verdana" w:eastAsia="Calibri" w:hAnsi="Verdana" w:cs="Arial"/>
          <w:color w:val="7030A0"/>
        </w:rPr>
      </w:pPr>
    </w:p>
    <w:tbl>
      <w:tblPr>
        <w:tblStyle w:val="Tablaconcuadrcula"/>
        <w:tblW w:w="7522" w:type="dxa"/>
        <w:tblInd w:w="1317" w:type="dxa"/>
        <w:tblLook w:val="04A0" w:firstRow="1" w:lastRow="0" w:firstColumn="1" w:lastColumn="0" w:noHBand="0" w:noVBand="1"/>
      </w:tblPr>
      <w:tblGrid>
        <w:gridCol w:w="2481"/>
        <w:gridCol w:w="5041"/>
      </w:tblGrid>
      <w:tr w:rsidR="00EB7063" w:rsidRPr="000F60AB" w14:paraId="1BCB1673" w14:textId="77777777" w:rsidTr="00EA2188">
        <w:tc>
          <w:tcPr>
            <w:tcW w:w="2481" w:type="dxa"/>
            <w:shd w:val="clear" w:color="auto" w:fill="4472C4" w:themeFill="accent1"/>
            <w:vAlign w:val="center"/>
          </w:tcPr>
          <w:p w14:paraId="0757CB38" w14:textId="77777777" w:rsidR="00EB7063" w:rsidRPr="00DE6FBD" w:rsidRDefault="00EB7063" w:rsidP="00EA2188">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Años de información financiera</w:t>
            </w:r>
          </w:p>
        </w:tc>
        <w:tc>
          <w:tcPr>
            <w:tcW w:w="5041" w:type="dxa"/>
            <w:shd w:val="clear" w:color="auto" w:fill="4472C4" w:themeFill="accent1"/>
            <w:vAlign w:val="center"/>
          </w:tcPr>
          <w:p w14:paraId="4E1BCE6D" w14:textId="77777777" w:rsidR="00EB7063" w:rsidRPr="00DE6FBD" w:rsidRDefault="00EB7063" w:rsidP="00EA2188">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Capacidad de Organización (CO)</w:t>
            </w:r>
          </w:p>
        </w:tc>
      </w:tr>
      <w:tr w:rsidR="00EB7063" w:rsidRPr="000F60AB" w14:paraId="255EF4D1" w14:textId="77777777" w:rsidTr="00EA2188">
        <w:tc>
          <w:tcPr>
            <w:tcW w:w="2481" w:type="dxa"/>
            <w:vAlign w:val="center"/>
          </w:tcPr>
          <w:p w14:paraId="5928EE00" w14:textId="77777777" w:rsidR="00EB7063" w:rsidRPr="00DE6FBD" w:rsidRDefault="00EB7063" w:rsidP="00EA218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Cinco (5) años o más</w:t>
            </w:r>
          </w:p>
        </w:tc>
        <w:tc>
          <w:tcPr>
            <w:tcW w:w="5041" w:type="dxa"/>
            <w:vAlign w:val="center"/>
          </w:tcPr>
          <w:p w14:paraId="123F66FF" w14:textId="77777777" w:rsidR="00EB7063" w:rsidRPr="00DE6FBD" w:rsidRDefault="00EB7063" w:rsidP="00EA218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Mayor ingreso operacional de los últimos cinco (5) años.</w:t>
            </w:r>
          </w:p>
        </w:tc>
      </w:tr>
      <w:tr w:rsidR="00EB7063" w:rsidRPr="000F60AB" w14:paraId="0DA7F340" w14:textId="77777777" w:rsidTr="00EA2188">
        <w:tc>
          <w:tcPr>
            <w:tcW w:w="2481" w:type="dxa"/>
            <w:vAlign w:val="center"/>
          </w:tcPr>
          <w:p w14:paraId="46E2C7E6" w14:textId="77777777" w:rsidR="00EB7063" w:rsidRPr="00DE6FBD" w:rsidRDefault="00EB7063" w:rsidP="00EA218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Entre uno (1) y cinco (5) años</w:t>
            </w:r>
          </w:p>
        </w:tc>
        <w:tc>
          <w:tcPr>
            <w:tcW w:w="5041" w:type="dxa"/>
            <w:vAlign w:val="center"/>
          </w:tcPr>
          <w:p w14:paraId="051B9175" w14:textId="77777777" w:rsidR="00EB7063" w:rsidRPr="00DE6FBD" w:rsidRDefault="00EB7063" w:rsidP="00EA218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Mayor ingreso operacional de los años de vida del oferente</w:t>
            </w:r>
          </w:p>
        </w:tc>
      </w:tr>
      <w:tr w:rsidR="00EB7063" w:rsidRPr="000F60AB" w14:paraId="5730CC6E" w14:textId="77777777" w:rsidTr="00EA2188">
        <w:tc>
          <w:tcPr>
            <w:tcW w:w="2481" w:type="dxa"/>
            <w:vAlign w:val="center"/>
          </w:tcPr>
          <w:p w14:paraId="7F2B8522" w14:textId="77777777" w:rsidR="00EB7063" w:rsidRPr="00DE6FBD" w:rsidRDefault="00EB7063" w:rsidP="00EA218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Menos de un (1) año</w:t>
            </w:r>
          </w:p>
        </w:tc>
        <w:tc>
          <w:tcPr>
            <w:tcW w:w="5041" w:type="dxa"/>
            <w:vAlign w:val="center"/>
          </w:tcPr>
          <w:p w14:paraId="439F73F8" w14:textId="77777777" w:rsidR="00EB7063" w:rsidRPr="00DE6FBD" w:rsidRDefault="00EB7063" w:rsidP="00EA2188">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 xml:space="preserve">USD 125.000 (Liquidados a la tasa de cambio determinada por el Ministerio de Comercio, Industria y Turismo cada 2 años para efectos del umbral del beneficio de las </w:t>
            </w:r>
            <w:proofErr w:type="spellStart"/>
            <w:r w:rsidRPr="00DE6FBD">
              <w:rPr>
                <w:rFonts w:ascii="Verdana" w:eastAsia="Calibri" w:hAnsi="Verdana" w:cs="Arial"/>
                <w:sz w:val="20"/>
                <w:szCs w:val="20"/>
                <w:lang w:val="es-CO"/>
              </w:rPr>
              <w:t>Mipyme</w:t>
            </w:r>
            <w:proofErr w:type="spellEnd"/>
            <w:r w:rsidRPr="00DE6FBD">
              <w:rPr>
                <w:rFonts w:ascii="Verdana" w:eastAsia="Calibri" w:hAnsi="Verdana" w:cs="Arial"/>
                <w:sz w:val="20"/>
                <w:szCs w:val="20"/>
                <w:lang w:val="es-CO"/>
              </w:rPr>
              <w:t>.)</w:t>
            </w:r>
          </w:p>
        </w:tc>
      </w:tr>
    </w:tbl>
    <w:p w14:paraId="061F81EA" w14:textId="77777777" w:rsidR="00EB7063" w:rsidRDefault="00EB7063" w:rsidP="00EB7063">
      <w:pPr>
        <w:spacing w:after="0" w:line="276" w:lineRule="auto"/>
        <w:jc w:val="both"/>
        <w:rPr>
          <w:rFonts w:ascii="Verdana" w:eastAsia="Calibri" w:hAnsi="Verdana" w:cs="Arial"/>
          <w:i/>
          <w:iCs/>
        </w:rPr>
      </w:pPr>
    </w:p>
    <w:p w14:paraId="01C79B58" w14:textId="00465729" w:rsidR="00EB7063" w:rsidRDefault="00EB7063" w:rsidP="00EB7063">
      <w:pPr>
        <w:spacing w:after="120" w:line="276" w:lineRule="auto"/>
        <w:ind w:firstLine="709"/>
        <w:jc w:val="both"/>
        <w:rPr>
          <w:rFonts w:ascii="Verdana" w:eastAsia="Calibri" w:hAnsi="Verdana" w:cs="Arial"/>
        </w:rPr>
      </w:pPr>
      <w:proofErr w:type="spellStart"/>
      <w:r>
        <w:rPr>
          <w:rFonts w:ascii="Verdana" w:eastAsia="Calibri" w:hAnsi="Verdana" w:cs="Arial"/>
          <w:i/>
          <w:iCs/>
        </w:rPr>
        <w:t>iv</w:t>
      </w:r>
      <w:proofErr w:type="spellEnd"/>
      <w:r>
        <w:rPr>
          <w:rFonts w:ascii="Verdana" w:eastAsia="Calibri" w:hAnsi="Verdana" w:cs="Arial"/>
          <w:i/>
          <w:iCs/>
        </w:rPr>
        <w:t xml:space="preserve">) </w:t>
      </w:r>
      <w:r w:rsidRPr="008C45F5">
        <w:rPr>
          <w:rFonts w:ascii="Verdana" w:eastAsia="Calibri" w:hAnsi="Verdana" w:cs="Arial"/>
          <w:i/>
          <w:iCs/>
        </w:rPr>
        <w:t xml:space="preserve">Saldos de los contratos en ejecución. </w:t>
      </w:r>
      <w:r w:rsidRPr="008C45F5">
        <w:rPr>
          <w:rFonts w:ascii="Verdana" w:eastAsia="Calibri" w:hAnsi="Verdana" w:cs="Arial"/>
        </w:rPr>
        <w:t xml:space="preserve">Debe hacerse linealmente y calculando una “ejecución diaria equivalente al valor del contrato dividido por el plazo del contrato expresado en días”. El resultado obtenido se debe multiplicar por el número de días pendientes para cumplir el plazo del contrato. Si el número de días por ejecutar un contrato es superior a </w:t>
      </w:r>
      <w:r w:rsidR="00221730">
        <w:rPr>
          <w:rFonts w:ascii="Verdana" w:eastAsia="Calibri" w:hAnsi="Verdana" w:cs="Arial"/>
        </w:rPr>
        <w:t>trecientos sesenta (</w:t>
      </w:r>
      <w:r w:rsidRPr="008C45F5">
        <w:rPr>
          <w:rFonts w:ascii="Verdana" w:eastAsia="Calibri" w:hAnsi="Verdana" w:cs="Arial"/>
        </w:rPr>
        <w:t>360</w:t>
      </w:r>
      <w:r w:rsidR="00221730">
        <w:rPr>
          <w:rFonts w:ascii="Verdana" w:eastAsia="Calibri" w:hAnsi="Verdana" w:cs="Arial"/>
        </w:rPr>
        <w:t>)</w:t>
      </w:r>
      <w:r w:rsidRPr="008C45F5">
        <w:rPr>
          <w:rFonts w:ascii="Verdana" w:eastAsia="Calibri" w:hAnsi="Verdana" w:cs="Arial"/>
        </w:rPr>
        <w:t xml:space="preserve"> días, solo se tendrá en cuenta la proporción lineal de </w:t>
      </w:r>
      <w:r w:rsidR="00221730">
        <w:rPr>
          <w:rFonts w:ascii="Verdana" w:eastAsia="Calibri" w:hAnsi="Verdana" w:cs="Arial"/>
        </w:rPr>
        <w:t>doce (</w:t>
      </w:r>
      <w:r w:rsidRPr="008C45F5">
        <w:rPr>
          <w:rFonts w:ascii="Verdana" w:eastAsia="Calibri" w:hAnsi="Verdana" w:cs="Arial"/>
        </w:rPr>
        <w:t>12</w:t>
      </w:r>
      <w:r w:rsidR="00221730">
        <w:rPr>
          <w:rFonts w:ascii="Verdana" w:eastAsia="Calibri" w:hAnsi="Verdana" w:cs="Arial"/>
        </w:rPr>
        <w:t>)</w:t>
      </w:r>
      <w:r w:rsidRPr="008C45F5">
        <w:rPr>
          <w:rFonts w:ascii="Verdana" w:eastAsia="Calibri" w:hAnsi="Verdana" w:cs="Arial"/>
        </w:rPr>
        <w:t xml:space="preserve"> meses.</w:t>
      </w:r>
    </w:p>
    <w:p w14:paraId="619F2E52" w14:textId="77777777" w:rsidR="00EB7063" w:rsidRDefault="00EB7063" w:rsidP="00EB7063">
      <w:pPr>
        <w:spacing w:after="120" w:line="276" w:lineRule="auto"/>
        <w:ind w:firstLine="743"/>
        <w:jc w:val="both"/>
        <w:rPr>
          <w:rFonts w:ascii="Verdana" w:eastAsia="Calibri" w:hAnsi="Verdana" w:cs="Arial"/>
        </w:rPr>
      </w:pPr>
      <w:r>
        <w:rPr>
          <w:rFonts w:ascii="Verdana" w:eastAsia="Calibri" w:hAnsi="Verdana" w:cs="Arial"/>
        </w:rPr>
        <w:t xml:space="preserve">v) </w:t>
      </w:r>
      <w:r w:rsidRPr="008C45F5">
        <w:rPr>
          <w:rFonts w:ascii="Verdana" w:eastAsia="Calibri" w:hAnsi="Verdana" w:cs="Arial"/>
          <w:i/>
          <w:iCs/>
        </w:rPr>
        <w:t>Experiencia.</w:t>
      </w:r>
      <w:r w:rsidRPr="008C45F5">
        <w:rPr>
          <w:rFonts w:ascii="Verdana" w:eastAsia="Calibri" w:hAnsi="Verdana" w:cs="Arial"/>
        </w:rPr>
        <w:t xml:space="preserve"> Para los efectos de la capacidad residual −no para la experiencia general que debe acreditar el contratista según la Matriz 1−, </w:t>
      </w:r>
      <w:r>
        <w:rPr>
          <w:rFonts w:ascii="Verdana" w:hAnsi="Verdana"/>
        </w:rPr>
        <w:t>tal y como lo explica el numeral 9.2 de la Guía</w:t>
      </w:r>
      <w:r w:rsidRPr="000F60AB">
        <w:rPr>
          <w:rFonts w:ascii="Verdana" w:hAnsi="Verdana" w:cs="Arial"/>
        </w:rPr>
        <w:t xml:space="preserve"> para Determinar y Verificar la Capacidad Residual del Proponente en los Procesos de Contratación de Obra Pública</w:t>
      </w:r>
      <w:r>
        <w:rPr>
          <w:rFonts w:ascii="Verdana" w:hAnsi="Verdana" w:cs="Arial"/>
        </w:rPr>
        <w:t>, l</w:t>
      </w:r>
      <w:r w:rsidRPr="00C6127C">
        <w:rPr>
          <w:rFonts w:ascii="Verdana" w:hAnsi="Verdana" w:cs="Arial"/>
        </w:rPr>
        <w:t xml:space="preserve">a </w:t>
      </w:r>
      <w:r>
        <w:rPr>
          <w:rFonts w:ascii="Verdana" w:hAnsi="Verdana" w:cs="Arial"/>
        </w:rPr>
        <w:t>e</w:t>
      </w:r>
      <w:r w:rsidRPr="00C6127C">
        <w:rPr>
          <w:rFonts w:ascii="Verdana" w:hAnsi="Verdana" w:cs="Arial"/>
        </w:rPr>
        <w:t>xperiencia del oferente para propósitos de la Capacidad Residual es acreditada por medio de la relación entre</w:t>
      </w:r>
      <w:r>
        <w:rPr>
          <w:rFonts w:ascii="Verdana" w:hAnsi="Verdana" w:cs="Arial"/>
        </w:rPr>
        <w:t xml:space="preserve"> e</w:t>
      </w:r>
      <w:r w:rsidRPr="00C6127C">
        <w:rPr>
          <w:rFonts w:ascii="Verdana" w:hAnsi="Verdana" w:cs="Arial"/>
        </w:rPr>
        <w:t xml:space="preserve">l valor total en pesos de los contratos </w:t>
      </w:r>
      <w:r w:rsidRPr="008C536C">
        <w:rPr>
          <w:rFonts w:ascii="Verdana" w:hAnsi="Verdana" w:cs="Arial"/>
          <w:i/>
          <w:iCs/>
        </w:rPr>
        <w:t>relacionados con la actividad de la construcción</w:t>
      </w:r>
      <w:r w:rsidRPr="00C6127C">
        <w:rPr>
          <w:rFonts w:ascii="Verdana" w:hAnsi="Verdana" w:cs="Arial"/>
        </w:rPr>
        <w:t xml:space="preserve"> inscritos por el proponente en el </w:t>
      </w:r>
      <w:r w:rsidRPr="00C6127C">
        <w:rPr>
          <w:rFonts w:ascii="Verdana" w:hAnsi="Verdana" w:cs="Arial"/>
        </w:rPr>
        <w:lastRenderedPageBreak/>
        <w:t>RUP en el segmento 72 “Servicios de edificación, Construcción de Instalaciones y Mantenimiento” del Clasificador de Bienes y Servicios de las Naciones Unidas (UNSPSC)</w:t>
      </w:r>
      <w:r>
        <w:rPr>
          <w:rFonts w:ascii="Verdana" w:hAnsi="Verdana" w:cs="Arial"/>
        </w:rPr>
        <w:t xml:space="preserve"> y e</w:t>
      </w:r>
      <w:r w:rsidRPr="00211940">
        <w:rPr>
          <w:rFonts w:ascii="Verdana" w:hAnsi="Verdana" w:cs="Arial"/>
        </w:rPr>
        <w:t>l presupuesto oficial estimado del Proceso de Contratación</w:t>
      </w:r>
      <w:r>
        <w:rPr>
          <w:rFonts w:ascii="Verdana" w:hAnsi="Verdana" w:cs="Arial"/>
        </w:rPr>
        <w:t xml:space="preserve">. </w:t>
      </w:r>
      <w:r w:rsidRPr="008C45F5">
        <w:rPr>
          <w:rFonts w:ascii="Verdana" w:eastAsia="Calibri" w:hAnsi="Verdana" w:cs="Arial"/>
        </w:rPr>
        <w:t>La relación indica el número de veces que el proponente ha ejecutado contratos equivalentes a la cuantía del proceso de contratación.</w:t>
      </w:r>
    </w:p>
    <w:p w14:paraId="32C0F834" w14:textId="32B7C49A" w:rsidR="00EB7063" w:rsidRDefault="00EB7063" w:rsidP="00EB7063">
      <w:pPr>
        <w:spacing w:after="120" w:line="276" w:lineRule="auto"/>
        <w:ind w:firstLine="709"/>
        <w:jc w:val="both"/>
        <w:rPr>
          <w:rFonts w:ascii="Verdana" w:eastAsia="Calibri" w:hAnsi="Verdana" w:cs="Arial"/>
        </w:rPr>
      </w:pPr>
      <w:r>
        <w:rPr>
          <w:rFonts w:ascii="Verdana" w:hAnsi="Verdana" w:cs="Arial"/>
        </w:rPr>
        <w:t>De esta forma, s</w:t>
      </w:r>
      <w:r w:rsidRPr="00FE755E">
        <w:rPr>
          <w:rFonts w:ascii="Verdana" w:hAnsi="Verdana"/>
        </w:rPr>
        <w:t>e concluye que los contratos que deben tenerse en cuenta para el cálculo de la experiencia del oferente en el marco de la Capacidad Residual son exclusivamente aquellos relacionados con la actividad de la construcción, es decir, los contratos de obra.</w:t>
      </w:r>
      <w:r>
        <w:rPr>
          <w:rFonts w:ascii="Verdana" w:hAnsi="Verdana"/>
        </w:rPr>
        <w:t xml:space="preserve"> </w:t>
      </w:r>
      <w:r w:rsidRPr="008C45F5">
        <w:rPr>
          <w:rFonts w:ascii="Verdana" w:eastAsia="Calibri" w:hAnsi="Verdana" w:cs="Arial"/>
        </w:rPr>
        <w:t xml:space="preserve">En este contexto, resulta oportuno precisar que, si bien es cierto la entidad estatal es la que debe calcular la capacidad residual de los proponentes, también lo es que estos últimos, como se referenció, tienen la carga de aportar los documentos para acreditar su </w:t>
      </w:r>
      <w:r w:rsidR="00221730">
        <w:rPr>
          <w:rFonts w:ascii="Verdana" w:eastAsia="Calibri" w:hAnsi="Verdana" w:cs="Arial"/>
        </w:rPr>
        <w:t>C</w:t>
      </w:r>
      <w:r w:rsidRPr="008C45F5">
        <w:rPr>
          <w:rFonts w:ascii="Verdana" w:eastAsia="Calibri" w:hAnsi="Verdana" w:cs="Arial"/>
        </w:rPr>
        <w:t xml:space="preserve">apacidad </w:t>
      </w:r>
      <w:r w:rsidR="00221730">
        <w:rPr>
          <w:rFonts w:ascii="Verdana" w:eastAsia="Calibri" w:hAnsi="Verdana" w:cs="Arial"/>
        </w:rPr>
        <w:t>R</w:t>
      </w:r>
      <w:r w:rsidR="00221730" w:rsidRPr="008C45F5">
        <w:rPr>
          <w:rFonts w:ascii="Verdana" w:eastAsia="Calibri" w:hAnsi="Verdana" w:cs="Arial"/>
        </w:rPr>
        <w:t>esidual</w:t>
      </w:r>
      <w:r w:rsidRPr="008C45F5">
        <w:rPr>
          <w:rFonts w:ascii="Verdana" w:eastAsia="Calibri" w:hAnsi="Verdana" w:cs="Arial"/>
        </w:rPr>
        <w:t>.</w:t>
      </w:r>
    </w:p>
    <w:p w14:paraId="2FFEA966" w14:textId="77777777" w:rsidR="00EB7063" w:rsidRDefault="00EB7063" w:rsidP="00E959F4">
      <w:pPr>
        <w:widowControl w:val="0"/>
        <w:spacing w:after="0" w:line="276" w:lineRule="auto"/>
        <w:ind w:firstLine="708"/>
        <w:jc w:val="both"/>
        <w:rPr>
          <w:rFonts w:ascii="Verdana" w:eastAsia="Arial" w:hAnsi="Verdana" w:cs="Arial"/>
        </w:rPr>
      </w:pPr>
      <w:r>
        <w:rPr>
          <w:rFonts w:ascii="Verdana" w:eastAsia="Calibri" w:hAnsi="Verdana" w:cs="Times New Roman"/>
          <w:lang w:val="es-ES"/>
        </w:rPr>
        <w:t>Finalmente,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57B584F8" w14:textId="77777777" w:rsidR="00EB7063" w:rsidRDefault="00EB7063" w:rsidP="00EB7063">
      <w:pPr>
        <w:widowControl w:val="0"/>
        <w:autoSpaceDE w:val="0"/>
        <w:autoSpaceDN w:val="0"/>
        <w:spacing w:after="0" w:line="276" w:lineRule="auto"/>
        <w:jc w:val="both"/>
        <w:rPr>
          <w:rFonts w:ascii="Verdana" w:hAnsi="Verdana" w:cs="Arial"/>
        </w:rPr>
      </w:pPr>
    </w:p>
    <w:p w14:paraId="69BB12E8" w14:textId="77777777" w:rsidR="00EB7063" w:rsidRDefault="00EB7063" w:rsidP="00EB706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48D12EF0" w14:textId="77777777" w:rsidR="00EB7063" w:rsidRDefault="00EB7063" w:rsidP="00EB7063">
      <w:pPr>
        <w:widowControl w:val="0"/>
        <w:autoSpaceDE w:val="0"/>
        <w:autoSpaceDN w:val="0"/>
        <w:spacing w:after="0" w:line="276" w:lineRule="auto"/>
        <w:jc w:val="both"/>
        <w:rPr>
          <w:rFonts w:ascii="Verdana" w:hAnsi="Verdana" w:cs="Arial"/>
        </w:rPr>
      </w:pPr>
    </w:p>
    <w:tbl>
      <w:tblPr>
        <w:tblStyle w:val="Tablaconcuadrcula"/>
        <w:tblW w:w="864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B7063" w14:paraId="05547155" w14:textId="77777777" w:rsidTr="00E959F4">
        <w:trPr>
          <w:trHeight w:val="870"/>
        </w:trPr>
        <w:tc>
          <w:tcPr>
            <w:tcW w:w="8647" w:type="dxa"/>
            <w:tcBorders>
              <w:top w:val="dotted" w:sz="4" w:space="0" w:color="auto"/>
              <w:left w:val="dotted" w:sz="4" w:space="0" w:color="auto"/>
              <w:bottom w:val="dotted" w:sz="4" w:space="0" w:color="auto"/>
              <w:right w:val="dotted" w:sz="4" w:space="0" w:color="auto"/>
            </w:tcBorders>
            <w:hideMark/>
          </w:tcPr>
          <w:p w14:paraId="29D49444" w14:textId="0476C6D6" w:rsidR="00EB7063" w:rsidRDefault="00EB7063" w:rsidP="00E959F4">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Ley 1150 de 2007, artículo 6, parágrafo 1</w:t>
            </w:r>
            <w:r w:rsidR="00221730" w:rsidRPr="00637AA7">
              <w:rPr>
                <w:rFonts w:ascii="Verdana" w:hAnsi="Verdana" w:cs="Arial"/>
              </w:rPr>
              <w:t>.</w:t>
            </w:r>
          </w:p>
          <w:p w14:paraId="5B48BEA8" w14:textId="7038AC8B" w:rsidR="00EB7063" w:rsidRPr="00B87EE2" w:rsidRDefault="00EB7063" w:rsidP="00E959F4">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Ley 1682 de 2013, artículo 72</w:t>
            </w:r>
            <w:r w:rsidR="00221730" w:rsidRPr="00637AA7">
              <w:rPr>
                <w:rFonts w:ascii="Verdana" w:hAnsi="Verdana" w:cs="Arial"/>
              </w:rPr>
              <w:t>.</w:t>
            </w:r>
          </w:p>
          <w:p w14:paraId="327AB974" w14:textId="77777777" w:rsidR="00221730" w:rsidRPr="00637AA7" w:rsidRDefault="00221730" w:rsidP="00E959F4">
            <w:pPr>
              <w:pStyle w:val="Prrafodelista"/>
              <w:widowControl w:val="0"/>
              <w:numPr>
                <w:ilvl w:val="0"/>
                <w:numId w:val="17"/>
              </w:numPr>
              <w:autoSpaceDE w:val="0"/>
              <w:autoSpaceDN w:val="0"/>
              <w:spacing w:line="276" w:lineRule="auto"/>
              <w:contextualSpacing w:val="0"/>
              <w:jc w:val="both"/>
              <w:rPr>
                <w:rFonts w:ascii="Verdana" w:hAnsi="Verdana" w:cs="Arial"/>
              </w:rPr>
            </w:pPr>
            <w:r w:rsidRPr="00637AA7">
              <w:rPr>
                <w:rFonts w:ascii="Verdana" w:hAnsi="Verdana" w:cs="Arial"/>
              </w:rPr>
              <w:t xml:space="preserve">Decreto 1082 de 2015, artículos </w:t>
            </w:r>
            <w:r w:rsidRPr="00637AA7">
              <w:rPr>
                <w:rFonts w:ascii="Verdana" w:eastAsia="Calibri" w:hAnsi="Verdana" w:cs="Arial"/>
                <w:lang w:val="es-MX"/>
              </w:rPr>
              <w:t xml:space="preserve">2.2.1.1.1.3.1., </w:t>
            </w:r>
            <w:r w:rsidRPr="00637AA7">
              <w:rPr>
                <w:rFonts w:ascii="Verdana" w:eastAsia="Calibri" w:hAnsi="Verdana" w:cs="Arial"/>
                <w:color w:val="000000"/>
                <w:lang w:val="es-MX" w:eastAsia="en-GB"/>
              </w:rPr>
              <w:t>2.2.1.1.1.6.4</w:t>
            </w:r>
            <w:r w:rsidRPr="00637AA7">
              <w:rPr>
                <w:rFonts w:ascii="Verdana" w:hAnsi="Verdana" w:cs="Arial"/>
              </w:rPr>
              <w:t xml:space="preserve">. </w:t>
            </w:r>
          </w:p>
          <w:p w14:paraId="10C71797" w14:textId="77777777" w:rsidR="00EB7063" w:rsidRDefault="00EB7063" w:rsidP="00E959F4">
            <w:pPr>
              <w:pStyle w:val="Prrafodelista"/>
              <w:numPr>
                <w:ilvl w:val="0"/>
                <w:numId w:val="17"/>
              </w:numPr>
              <w:spacing w:line="276" w:lineRule="auto"/>
              <w:contextualSpacing w:val="0"/>
              <w:rPr>
                <w:rFonts w:ascii="Verdana" w:hAnsi="Verdana" w:cs="Arial"/>
              </w:rPr>
            </w:pPr>
            <w:r w:rsidRPr="000F60AB">
              <w:rPr>
                <w:rFonts w:ascii="Verdana" w:hAnsi="Verdana" w:cs="Arial"/>
              </w:rPr>
              <w:t xml:space="preserve">Consejo de Estado. Sección Tercera. Providencia del 26 de junio de 2003. </w:t>
            </w:r>
            <w:proofErr w:type="spellStart"/>
            <w:r w:rsidRPr="000F60AB">
              <w:rPr>
                <w:rFonts w:ascii="Verdana" w:hAnsi="Verdana" w:cs="Arial"/>
              </w:rPr>
              <w:t>Exp</w:t>
            </w:r>
            <w:proofErr w:type="spellEnd"/>
            <w:r w:rsidRPr="000F60AB">
              <w:rPr>
                <w:rFonts w:ascii="Verdana" w:hAnsi="Verdana" w:cs="Arial"/>
              </w:rPr>
              <w:t>. 13.354.</w:t>
            </w:r>
          </w:p>
          <w:p w14:paraId="40E0A631" w14:textId="77777777" w:rsidR="00EB7063" w:rsidRPr="007E0D03" w:rsidRDefault="00EB7063" w:rsidP="00E959F4">
            <w:pPr>
              <w:pStyle w:val="Prrafodelista"/>
              <w:numPr>
                <w:ilvl w:val="0"/>
                <w:numId w:val="17"/>
              </w:numPr>
              <w:spacing w:line="276" w:lineRule="auto"/>
              <w:contextualSpacing w:val="0"/>
              <w:rPr>
                <w:rFonts w:ascii="Verdana" w:hAnsi="Verdana" w:cs="Arial"/>
              </w:rPr>
            </w:pPr>
            <w:r w:rsidRPr="007E0D03">
              <w:rPr>
                <w:rFonts w:ascii="Verdana" w:hAnsi="Verdana" w:cs="Arial"/>
              </w:rPr>
              <w:t xml:space="preserve">Guía para Determinar y Verificar la Capacidad Residual del Proponente en los Procesos de Contratación de Obra Pública. </w:t>
            </w:r>
            <w:r w:rsidRPr="00637AA7">
              <w:rPr>
                <w:rFonts w:ascii="Verdana" w:hAnsi="Verdana" w:cs="Arial"/>
              </w:rPr>
              <w:t>Disponible en:</w:t>
            </w:r>
            <w:r w:rsidRPr="00E959F4">
              <w:rPr>
                <w:rFonts w:ascii="Verdana" w:hAnsi="Verdana"/>
              </w:rPr>
              <w:t xml:space="preserve"> </w:t>
            </w:r>
            <w:hyperlink r:id="rId13" w:history="1">
              <w:r w:rsidRPr="00637AA7">
                <w:rPr>
                  <w:rStyle w:val="Hipervnculo"/>
                  <w:rFonts w:ascii="Verdana" w:hAnsi="Verdana" w:cs="Arial"/>
                </w:rPr>
                <w:t>https://www.colombiacompra.gov.co/wp-content/uploads/2024/08/2023-Guia-para-determinar-y-verificar-la-Capacidad-Residual-del-proponente-en-los-Procesos-de-Contratacion-de-obra-publica-CCE-REC-GI-22.pdf</w:t>
              </w:r>
            </w:hyperlink>
            <w:r w:rsidRPr="00637AA7">
              <w:rPr>
                <w:rFonts w:ascii="Verdana" w:hAnsi="Verdana" w:cs="Arial"/>
              </w:rPr>
              <w:t xml:space="preserve">  </w:t>
            </w:r>
          </w:p>
        </w:tc>
      </w:tr>
    </w:tbl>
    <w:p w14:paraId="138C80F4" w14:textId="77777777" w:rsidR="00EB7063" w:rsidRDefault="00EB7063" w:rsidP="00EB7063">
      <w:pPr>
        <w:widowControl w:val="0"/>
        <w:autoSpaceDE w:val="0"/>
        <w:autoSpaceDN w:val="0"/>
        <w:spacing w:after="0" w:line="276" w:lineRule="auto"/>
        <w:jc w:val="both"/>
        <w:rPr>
          <w:rFonts w:ascii="Verdana" w:hAnsi="Verdana" w:cs="Arial"/>
        </w:rPr>
      </w:pPr>
    </w:p>
    <w:p w14:paraId="103BD787" w14:textId="77777777" w:rsidR="00EB7063" w:rsidRDefault="00EB7063" w:rsidP="00EB706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lastRenderedPageBreak/>
        <w:t>Doctrina de la Agencia Nacional de Contratación Pública:</w:t>
      </w:r>
    </w:p>
    <w:p w14:paraId="62C80313" w14:textId="77777777" w:rsidR="00EB7063" w:rsidRDefault="00EB7063" w:rsidP="00EB7063">
      <w:pPr>
        <w:widowControl w:val="0"/>
        <w:autoSpaceDE w:val="0"/>
        <w:autoSpaceDN w:val="0"/>
        <w:spacing w:after="0" w:line="276" w:lineRule="auto"/>
        <w:jc w:val="both"/>
        <w:rPr>
          <w:rFonts w:ascii="Verdana" w:hAnsi="Verdana" w:cs="Arial"/>
        </w:rPr>
      </w:pPr>
    </w:p>
    <w:p w14:paraId="2E2AD01D" w14:textId="77777777" w:rsidR="00EB7063" w:rsidRDefault="00EB7063" w:rsidP="00EB7063">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lang w:val="es-ES"/>
        </w:rPr>
        <w:t xml:space="preserve">Sobre </w:t>
      </w:r>
      <w:r>
        <w:rPr>
          <w:rFonts w:ascii="Verdana" w:eastAsia="Aptos" w:hAnsi="Verdana" w:cs="Arial"/>
          <w:shd w:val="clear" w:color="auto" w:fill="FFFFFF"/>
          <w:lang w:val="es-ES"/>
        </w:rPr>
        <w:t>la capacidad residual</w:t>
      </w:r>
      <w:r w:rsidRPr="00286FF3">
        <w:rPr>
          <w:rFonts w:ascii="Verdana" w:eastAsia="Aptos" w:hAnsi="Verdana" w:cs="Arial"/>
          <w:shd w:val="clear" w:color="auto" w:fill="FFFFFF"/>
          <w:lang w:val="es-ES"/>
        </w:rPr>
        <w:t xml:space="preserve"> esta Subdirección se ha pronunciado en los conceptos</w:t>
      </w:r>
      <w:r>
        <w:rPr>
          <w:rFonts w:ascii="Verdana" w:eastAsia="Aptos" w:hAnsi="Verdana" w:cs="Arial"/>
          <w:shd w:val="clear" w:color="auto" w:fill="FFFFFF"/>
          <w:lang w:val="es-ES"/>
        </w:rPr>
        <w:t xml:space="preserve"> C-438 de 2025, C-486 de 2025, C-619 de 2025, C-1228 de </w:t>
      </w:r>
      <w:proofErr w:type="gramStart"/>
      <w:r>
        <w:rPr>
          <w:rFonts w:ascii="Verdana" w:eastAsia="Aptos" w:hAnsi="Verdana" w:cs="Arial"/>
          <w:shd w:val="clear" w:color="auto" w:fill="FFFFFF"/>
          <w:lang w:val="es-ES"/>
        </w:rPr>
        <w:t xml:space="preserve">2025,  </w:t>
      </w:r>
      <w:r w:rsidRPr="001A1DD4">
        <w:rPr>
          <w:rStyle w:val="normaltextrun"/>
          <w:rFonts w:ascii="Verdana" w:hAnsi="Verdana" w:cs="Arial"/>
          <w:shd w:val="clear" w:color="auto" w:fill="FFFFFF"/>
          <w:lang w:val="es-ES"/>
        </w:rPr>
        <w:t xml:space="preserve"> </w:t>
      </w:r>
      <w:proofErr w:type="gramEnd"/>
      <w:r w:rsidRPr="001A1DD4">
        <w:rPr>
          <w:rStyle w:val="normaltextrun"/>
          <w:rFonts w:ascii="Verdana" w:hAnsi="Verdana" w:cs="Arial"/>
          <w:shd w:val="clear" w:color="auto" w:fill="FFFFFF"/>
          <w:lang w:val="es-ES"/>
        </w:rPr>
        <w:t>entre otros. Es</w:t>
      </w:r>
      <w:r w:rsidRPr="001A1DD4">
        <w:rPr>
          <w:rFonts w:ascii="Verdana" w:hAnsi="Verdana"/>
        </w:rPr>
        <w:t>tos y otros conceptos</w:t>
      </w:r>
      <w:r>
        <w:rPr>
          <w:rFonts w:ascii="Verdana" w:hAnsi="Verdana"/>
        </w:rPr>
        <w:t xml:space="preserve">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4" w:history="1">
        <w:r w:rsidRPr="00637AA7">
          <w:rPr>
            <w:rStyle w:val="Hipervnculo"/>
            <w:rFonts w:ascii="Verdana" w:hAnsi="Verdana" w:cs="Arial"/>
            <w:shd w:val="clear" w:color="auto" w:fill="FFFFFF"/>
            <w:lang w:val="es-ES"/>
          </w:rPr>
          <w:t>https://relatoria.colombiacompra.gov.co/busqueda/conceptos</w:t>
        </w:r>
      </w:hyperlink>
      <w:r w:rsidRPr="00637AA7">
        <w:rPr>
          <w:rStyle w:val="normaltextrun"/>
          <w:rFonts w:ascii="Verdana" w:hAnsi="Verdana" w:cs="Arial"/>
          <w:color w:val="FF0000"/>
          <w:shd w:val="clear" w:color="auto" w:fill="FFFFFF"/>
          <w:lang w:val="es-ES"/>
        </w:rPr>
        <w:t xml:space="preserve">. </w:t>
      </w:r>
    </w:p>
    <w:p w14:paraId="3B7EA4B4" w14:textId="77777777" w:rsidR="00EB7063" w:rsidRDefault="00EB7063" w:rsidP="00EB706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48161C4" w14:textId="77777777" w:rsidR="00EB7063" w:rsidRPr="001205D1" w:rsidRDefault="00EB7063" w:rsidP="00EB7063">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xml:space="preserve">. </w:t>
      </w:r>
      <w:r w:rsidRPr="00637AA7">
        <w:rPr>
          <w:rFonts w:ascii="Verdana" w:hAnsi="Verdana"/>
          <w:color w:val="000000"/>
        </w:rPr>
        <w:t>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637AA7">
          <w:rPr>
            <w:rStyle w:val="Hipervnculo"/>
            <w:rFonts w:ascii="Verdana" w:hAnsi="Verdana"/>
          </w:rPr>
          <w:t>Guía de lineamientos de transparencia y selección objetiva para el departamento de La Guajira – Objetivo sexto constitucional de la Sentencia T-302 del 2017</w:t>
        </w:r>
      </w:hyperlink>
      <w:r w:rsidRPr="00637AA7">
        <w:rPr>
          <w:rFonts w:ascii="Verdana" w:hAnsi="Verdana"/>
          <w:color w:val="000000"/>
          <w:u w:val="single"/>
        </w:rPr>
        <w:t>".</w:t>
      </w:r>
    </w:p>
    <w:p w14:paraId="72903D8B" w14:textId="77777777" w:rsidR="00EB7063" w:rsidRDefault="00EB7063" w:rsidP="00EB7063">
      <w:pPr>
        <w:spacing w:after="0" w:line="276" w:lineRule="auto"/>
        <w:jc w:val="both"/>
        <w:rPr>
          <w:rFonts w:ascii="Verdana" w:hAnsi="Verdana"/>
        </w:rPr>
      </w:pPr>
    </w:p>
    <w:p w14:paraId="2295F72F" w14:textId="77777777" w:rsidR="00EB7063" w:rsidRDefault="00EB7063" w:rsidP="00EB7063">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6E3878F3" w14:textId="77777777" w:rsidR="00EB7063" w:rsidRDefault="00EB7063" w:rsidP="00EB7063">
      <w:pPr>
        <w:spacing w:after="0" w:line="276" w:lineRule="auto"/>
        <w:jc w:val="both"/>
        <w:rPr>
          <w:rFonts w:ascii="Verdana" w:hAnsi="Verdana"/>
        </w:rPr>
      </w:pPr>
    </w:p>
    <w:p w14:paraId="0784E8EF" w14:textId="77777777" w:rsidR="00EB7063" w:rsidRDefault="00EB7063" w:rsidP="00EB7063">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10E8C69C" w14:textId="77777777" w:rsidR="00EB7063" w:rsidRDefault="00EB7063" w:rsidP="00EB7063">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4D180179" w14:textId="77777777" w:rsidR="00EB7063" w:rsidRDefault="00EB7063" w:rsidP="00EB7063">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2CFD5EA4" w14:textId="77777777" w:rsidR="00EB7063" w:rsidRDefault="00EB7063" w:rsidP="00EB7063">
      <w:pPr>
        <w:widowControl w:val="0"/>
        <w:autoSpaceDE w:val="0"/>
        <w:autoSpaceDN w:val="0"/>
        <w:spacing w:after="0" w:line="276" w:lineRule="auto"/>
        <w:jc w:val="both"/>
        <w:rPr>
          <w:rFonts w:ascii="Verdana" w:hAnsi="Verdana" w:cs="Arial"/>
        </w:rPr>
      </w:pPr>
    </w:p>
    <w:p w14:paraId="0F2491B2" w14:textId="77777777" w:rsidR="00EB7063" w:rsidRDefault="00EB7063" w:rsidP="00EB7063">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08F62485" w14:textId="77777777" w:rsidR="00EB7063" w:rsidRDefault="00EB7063" w:rsidP="00EB7063">
      <w:pPr>
        <w:widowControl w:val="0"/>
        <w:autoSpaceDE w:val="0"/>
        <w:autoSpaceDN w:val="0"/>
        <w:spacing w:after="0" w:line="276" w:lineRule="auto"/>
        <w:jc w:val="both"/>
        <w:rPr>
          <w:rFonts w:ascii="Verdana" w:hAnsi="Verdana" w:cs="Arial"/>
        </w:rPr>
      </w:pPr>
    </w:p>
    <w:p w14:paraId="65E3C766" w14:textId="77777777" w:rsidR="00EB7063" w:rsidRDefault="00EB7063" w:rsidP="00EB7063">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6E658006" w14:textId="4751A29B" w:rsidR="00EB7063" w:rsidRDefault="00BB6742" w:rsidP="00EB7063">
      <w:pPr>
        <w:spacing w:line="276" w:lineRule="auto"/>
        <w:jc w:val="center"/>
        <w:rPr>
          <w:rFonts w:ascii="Verdana" w:hAnsi="Verdana" w:cs="Arial"/>
          <w:color w:val="000000"/>
          <w:lang w:val="es-ES_tradnl" w:eastAsia="es-CO"/>
        </w:rPr>
      </w:pPr>
      <w:r>
        <w:rPr>
          <w:noProof/>
        </w:rPr>
        <w:lastRenderedPageBreak/>
        <w:drawing>
          <wp:inline distT="0" distB="0" distL="0" distR="0" wp14:anchorId="21D80228" wp14:editId="76D776F2">
            <wp:extent cx="3768725" cy="1399540"/>
            <wp:effectExtent l="0" t="0" r="3175" b="0"/>
            <wp:docPr id="1" name="Imagen 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B7063" w14:paraId="7B85C0F3" w14:textId="77777777" w:rsidTr="00EA2188">
        <w:trPr>
          <w:trHeight w:val="315"/>
        </w:trPr>
        <w:tc>
          <w:tcPr>
            <w:tcW w:w="893" w:type="dxa"/>
            <w:vAlign w:val="center"/>
            <w:hideMark/>
          </w:tcPr>
          <w:p w14:paraId="46ED5C91" w14:textId="77777777" w:rsidR="00EB7063" w:rsidRDefault="00EB7063" w:rsidP="00EA2188">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B050038" w14:textId="77777777" w:rsidR="00EB7063" w:rsidRDefault="00EB7063" w:rsidP="00EA2188">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29E61A25" w14:textId="77777777" w:rsidR="00EB7063" w:rsidRDefault="00EB7063" w:rsidP="00EA2188">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EB7063" w14:paraId="67FC5484" w14:textId="77777777" w:rsidTr="00EA2188">
        <w:trPr>
          <w:trHeight w:val="330"/>
        </w:trPr>
        <w:tc>
          <w:tcPr>
            <w:tcW w:w="893" w:type="dxa"/>
            <w:vAlign w:val="center"/>
            <w:hideMark/>
          </w:tcPr>
          <w:p w14:paraId="55481D5E" w14:textId="77777777" w:rsidR="00EB7063" w:rsidRDefault="00EB7063" w:rsidP="00EA2188">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A9B78FD" w14:textId="77777777" w:rsidR="00EB7063" w:rsidRDefault="00EB7063" w:rsidP="00EA2188">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497D5395" w14:textId="77777777" w:rsidR="00EB7063" w:rsidRDefault="00EB7063" w:rsidP="00EA2188">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EB7063" w14:paraId="3EC0691A" w14:textId="77777777" w:rsidTr="00EA2188">
        <w:trPr>
          <w:trHeight w:val="300"/>
        </w:trPr>
        <w:tc>
          <w:tcPr>
            <w:tcW w:w="893" w:type="dxa"/>
            <w:vAlign w:val="center"/>
            <w:hideMark/>
          </w:tcPr>
          <w:p w14:paraId="5643408A" w14:textId="77777777" w:rsidR="00EB7063" w:rsidRDefault="00EB7063" w:rsidP="00EA2188">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D0FE03F" w14:textId="77777777" w:rsidR="00EB7063" w:rsidRDefault="00EB7063" w:rsidP="00EA2188">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151AC33B" w14:textId="77777777" w:rsidR="00EB7063" w:rsidRDefault="00EB7063" w:rsidP="00EA2188">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768CECE6" w14:textId="77777777" w:rsidR="00EB7063" w:rsidRPr="0044528D" w:rsidRDefault="00EB7063" w:rsidP="00EB7063">
      <w:pPr>
        <w:spacing w:after="0"/>
        <w:rPr>
          <w:rFonts w:ascii="Verdana" w:hAnsi="Verdana"/>
        </w:rPr>
      </w:pPr>
    </w:p>
    <w:p w14:paraId="17692752" w14:textId="77777777" w:rsidR="00EB7063" w:rsidRPr="00046945" w:rsidRDefault="00EB7063" w:rsidP="00EB7063">
      <w:pPr>
        <w:spacing w:after="0"/>
        <w:rPr>
          <w:rFonts w:ascii="Verdana" w:eastAsia="Times New Roman" w:hAnsi="Verdana" w:cs="Segoe UI"/>
          <w:sz w:val="18"/>
          <w:szCs w:val="18"/>
          <w:lang w:eastAsia="es-CO"/>
        </w:rPr>
      </w:pPr>
    </w:p>
    <w:p w14:paraId="381640B1" w14:textId="77777777" w:rsidR="00EB7063" w:rsidRPr="00046945" w:rsidRDefault="00EB7063" w:rsidP="00EB7063">
      <w:pPr>
        <w:spacing w:after="0"/>
        <w:rPr>
          <w:rFonts w:ascii="Verdana" w:eastAsia="Times New Roman" w:hAnsi="Verdana" w:cs="Segoe UI"/>
          <w:sz w:val="18"/>
          <w:szCs w:val="18"/>
          <w:lang w:eastAsia="es-CO"/>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5939E1" w14:textId="77777777" w:rsidR="009D7C8F" w:rsidRDefault="009D7C8F" w:rsidP="004A1847">
      <w:pPr>
        <w:spacing w:after="0" w:line="240" w:lineRule="auto"/>
      </w:pPr>
      <w:r>
        <w:separator/>
      </w:r>
    </w:p>
  </w:endnote>
  <w:endnote w:type="continuationSeparator" w:id="0">
    <w:p w14:paraId="79A8909C" w14:textId="77777777" w:rsidR="009D7C8F" w:rsidRDefault="009D7C8F" w:rsidP="004A1847">
      <w:pPr>
        <w:spacing w:after="0" w:line="240" w:lineRule="auto"/>
      </w:pPr>
      <w:r>
        <w:continuationSeparator/>
      </w:r>
    </w:p>
  </w:endnote>
  <w:endnote w:type="continuationNotice" w:id="1">
    <w:p w14:paraId="467F056A" w14:textId="77777777" w:rsidR="009D7C8F" w:rsidRDefault="009D7C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791EC" w14:textId="77777777" w:rsidR="009D7C8F" w:rsidRDefault="009D7C8F" w:rsidP="004A1847">
      <w:pPr>
        <w:spacing w:after="0" w:line="240" w:lineRule="auto"/>
      </w:pPr>
      <w:r>
        <w:separator/>
      </w:r>
    </w:p>
  </w:footnote>
  <w:footnote w:type="continuationSeparator" w:id="0">
    <w:p w14:paraId="4B388182" w14:textId="77777777" w:rsidR="009D7C8F" w:rsidRDefault="009D7C8F" w:rsidP="004A1847">
      <w:pPr>
        <w:spacing w:after="0" w:line="240" w:lineRule="auto"/>
      </w:pPr>
      <w:r>
        <w:continuationSeparator/>
      </w:r>
    </w:p>
  </w:footnote>
  <w:footnote w:type="continuationNotice" w:id="1">
    <w:p w14:paraId="47CD0A6F" w14:textId="77777777" w:rsidR="009D7C8F" w:rsidRDefault="009D7C8F">
      <w:pPr>
        <w:spacing w:after="0" w:line="240" w:lineRule="auto"/>
      </w:pPr>
    </w:p>
  </w:footnote>
  <w:footnote w:id="2">
    <w:p w14:paraId="63E25F75" w14:textId="07EA24B3" w:rsidR="00EB7063" w:rsidRPr="006A5BC1" w:rsidRDefault="00EB7063" w:rsidP="00EB7063">
      <w:pPr>
        <w:pStyle w:val="Textonotapie"/>
        <w:ind w:firstLine="709"/>
        <w:jc w:val="both"/>
        <w:rPr>
          <w:rFonts w:ascii="Verdana" w:eastAsia="Calibri" w:hAnsi="Verdana" w:cs="Arial"/>
          <w:color w:val="000000" w:themeColor="text1"/>
          <w:sz w:val="16"/>
          <w:szCs w:val="16"/>
        </w:rPr>
      </w:pPr>
      <w:r w:rsidRPr="006A5BC1">
        <w:rPr>
          <w:rStyle w:val="Refdenotaalpie"/>
          <w:rFonts w:ascii="Verdana" w:hAnsi="Verdana" w:cs="Arial"/>
          <w:color w:val="000000" w:themeColor="text1"/>
          <w:sz w:val="16"/>
          <w:szCs w:val="16"/>
        </w:rPr>
        <w:footnoteRef/>
      </w:r>
      <w:r w:rsidRPr="006A5BC1">
        <w:rPr>
          <w:rFonts w:ascii="Verdana" w:hAnsi="Verdana" w:cs="Arial"/>
          <w:color w:val="000000" w:themeColor="text1"/>
          <w:sz w:val="16"/>
          <w:szCs w:val="16"/>
        </w:rPr>
        <w:t xml:space="preserve"> </w:t>
      </w:r>
      <w:r w:rsidRPr="006A5BC1">
        <w:rPr>
          <w:rFonts w:ascii="Verdana" w:eastAsia="Calibri" w:hAnsi="Verdana" w:cs="Arial"/>
          <w:color w:val="000000" w:themeColor="text1"/>
          <w:sz w:val="16"/>
          <w:szCs w:val="16"/>
        </w:rPr>
        <w:t xml:space="preserve">Decreto 1082 de 2015: </w:t>
      </w:r>
      <w:r w:rsidR="00C4772F" w:rsidRPr="005E2EED">
        <w:rPr>
          <w:rFonts w:ascii="Verdana" w:eastAsia="Calibri" w:hAnsi="Verdana" w:cs="Arial"/>
          <w:color w:val="000000" w:themeColor="text1"/>
          <w:sz w:val="16"/>
          <w:szCs w:val="16"/>
        </w:rPr>
        <w:t>“</w:t>
      </w:r>
      <w:r w:rsidRPr="006A5BC1">
        <w:rPr>
          <w:rFonts w:ascii="Verdana" w:eastAsia="Calibri" w:hAnsi="Verdana" w:cs="Arial"/>
          <w:color w:val="000000" w:themeColor="text1"/>
          <w:sz w:val="16"/>
          <w:szCs w:val="16"/>
        </w:rPr>
        <w:t xml:space="preserve">Articulo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 </w:t>
      </w:r>
    </w:p>
    <w:p w14:paraId="7E74E93C" w14:textId="77777777" w:rsidR="00EB7063" w:rsidRPr="006A5BC1" w:rsidRDefault="00EB7063" w:rsidP="00EB7063">
      <w:pPr>
        <w:pStyle w:val="Textonotapie"/>
        <w:ind w:firstLine="709"/>
        <w:jc w:val="both"/>
        <w:rPr>
          <w:rFonts w:ascii="Verdana" w:eastAsia="Calibri" w:hAnsi="Verdana" w:cs="Arial"/>
          <w:color w:val="000000" w:themeColor="text1"/>
          <w:sz w:val="16"/>
          <w:szCs w:val="16"/>
        </w:rPr>
      </w:pPr>
      <w:r w:rsidRPr="006A5BC1">
        <w:rPr>
          <w:rFonts w:ascii="Verdana" w:eastAsia="Calibri" w:hAnsi="Verdana" w:cs="Arial"/>
          <w:color w:val="000000" w:themeColor="text1"/>
          <w:sz w:val="16"/>
          <w:szCs w:val="16"/>
        </w:rPr>
        <w:t>[…]</w:t>
      </w:r>
    </w:p>
    <w:p w14:paraId="06CC0F16" w14:textId="43BC1034" w:rsidR="00C4772F" w:rsidRPr="005E2EED" w:rsidRDefault="00EB7063" w:rsidP="005E2EED">
      <w:pPr>
        <w:pStyle w:val="Textonotapie"/>
        <w:ind w:firstLine="709"/>
        <w:jc w:val="both"/>
        <w:rPr>
          <w:rFonts w:ascii="Verdana" w:eastAsia="Calibri" w:hAnsi="Verdana" w:cs="Arial"/>
          <w:color w:val="000000" w:themeColor="text1"/>
          <w:sz w:val="16"/>
          <w:szCs w:val="16"/>
        </w:rPr>
      </w:pPr>
      <w:r w:rsidRPr="006A5BC1">
        <w:rPr>
          <w:rFonts w:ascii="Verdana" w:eastAsia="Calibri" w:hAnsi="Verdana" w:cs="Arial"/>
          <w:color w:val="000000" w:themeColor="text1"/>
          <w:sz w:val="16"/>
          <w:szCs w:val="16"/>
        </w:rPr>
        <w:t>Capacidad Residual o K de Contratación: Aptitud de un oferente para cumplir oportuna y cabalmente con el objeto de un contrato de obra, sin que sus otros compromisos contractuales afecten su habilidad de cumplir con el contrato que está en proceso de selección</w:t>
      </w:r>
      <w:r w:rsidR="00C4772F" w:rsidRPr="005E2EED">
        <w:rPr>
          <w:rFonts w:ascii="Verdana" w:eastAsia="Calibri" w:hAnsi="Verdana" w:cs="Arial"/>
          <w:color w:val="000000" w:themeColor="text1"/>
          <w:sz w:val="16"/>
          <w:szCs w:val="16"/>
        </w:rPr>
        <w:t>”</w:t>
      </w:r>
      <w:r w:rsidRPr="005E2EED">
        <w:rPr>
          <w:rFonts w:ascii="Verdana" w:eastAsia="Calibri" w:hAnsi="Verdana" w:cs="Arial"/>
          <w:color w:val="000000" w:themeColor="text1"/>
          <w:sz w:val="16"/>
          <w:szCs w:val="16"/>
        </w:rPr>
        <w:t>.</w:t>
      </w:r>
    </w:p>
    <w:p w14:paraId="6624ABEA" w14:textId="42A31E3E" w:rsidR="00EB7063" w:rsidRPr="006A5BC1" w:rsidRDefault="00EB7063" w:rsidP="00EB7063">
      <w:pPr>
        <w:pStyle w:val="Textonotapie"/>
        <w:ind w:firstLine="709"/>
        <w:jc w:val="both"/>
        <w:rPr>
          <w:rFonts w:ascii="Verdana" w:hAnsi="Verdana" w:cs="Arial"/>
          <w:color w:val="000000" w:themeColor="text1"/>
          <w:sz w:val="16"/>
          <w:szCs w:val="16"/>
          <w:lang w:val="es-CO"/>
        </w:rPr>
      </w:pPr>
      <w:r w:rsidRPr="006A5BC1">
        <w:rPr>
          <w:rFonts w:ascii="Verdana" w:hAnsi="Verdana" w:cs="Arial"/>
          <w:color w:val="000000" w:themeColor="text1"/>
          <w:sz w:val="16"/>
          <w:szCs w:val="16"/>
          <w:lang w:val="es-CO"/>
        </w:rPr>
        <w:t xml:space="preserve"> </w:t>
      </w:r>
    </w:p>
  </w:footnote>
  <w:footnote w:id="3">
    <w:p w14:paraId="27E4196F" w14:textId="77777777" w:rsidR="00EB7063" w:rsidRPr="005E2EED" w:rsidRDefault="00EB7063" w:rsidP="005E2EED">
      <w:pPr>
        <w:pStyle w:val="Textonotapie"/>
        <w:ind w:firstLine="709"/>
        <w:jc w:val="both"/>
        <w:rPr>
          <w:rFonts w:ascii="Verdana" w:eastAsia="Calibri" w:hAnsi="Verdana" w:cs="Arial"/>
          <w:color w:val="000000" w:themeColor="text1"/>
          <w:sz w:val="16"/>
          <w:szCs w:val="16"/>
        </w:rPr>
      </w:pPr>
      <w:r w:rsidRPr="006A5BC1">
        <w:rPr>
          <w:rFonts w:ascii="Verdana" w:eastAsia="Calibri" w:hAnsi="Verdana" w:cs="Arial"/>
          <w:color w:val="000000" w:themeColor="text1"/>
          <w:sz w:val="16"/>
          <w:szCs w:val="16"/>
          <w:vertAlign w:val="superscript"/>
        </w:rPr>
        <w:footnoteRef/>
      </w:r>
      <w:r w:rsidRPr="006A5BC1">
        <w:rPr>
          <w:rFonts w:ascii="Verdana" w:eastAsia="Calibri" w:hAnsi="Verdana" w:cs="Arial"/>
          <w:color w:val="000000" w:themeColor="text1"/>
          <w:sz w:val="16"/>
          <w:szCs w:val="16"/>
          <w:vertAlign w:val="superscript"/>
        </w:rPr>
        <w:t xml:space="preserve"> </w:t>
      </w:r>
      <w:r w:rsidRPr="006A5BC1">
        <w:rPr>
          <w:rFonts w:ascii="Verdana" w:eastAsia="Calibri" w:hAnsi="Verdana" w:cs="Arial"/>
          <w:color w:val="000000" w:themeColor="text1"/>
          <w:sz w:val="16"/>
          <w:szCs w:val="16"/>
        </w:rPr>
        <w:t xml:space="preserve">Consejo de Estado. Sección Tercera. Sentencia del 26 de junio de 2003. Rad. 13.354. C.P: María Elena Giraldo Gómez. </w:t>
      </w:r>
    </w:p>
    <w:p w14:paraId="6A1CB4A1" w14:textId="77777777" w:rsidR="00EB7063" w:rsidRPr="005E2EED" w:rsidRDefault="00EB7063" w:rsidP="00EB7063">
      <w:pPr>
        <w:pStyle w:val="Textonotapie"/>
        <w:ind w:firstLine="709"/>
        <w:jc w:val="both"/>
        <w:rPr>
          <w:rFonts w:ascii="Verdana" w:hAnsi="Verdana" w:cs="Arial"/>
          <w:color w:val="000000" w:themeColor="text1"/>
          <w:sz w:val="16"/>
          <w:szCs w:val="16"/>
          <w:lang w:val="es-CO"/>
        </w:rPr>
      </w:pPr>
    </w:p>
  </w:footnote>
  <w:footnote w:id="4">
    <w:p w14:paraId="74B0809A" w14:textId="31D7442B" w:rsidR="00EB7063" w:rsidRPr="00E959F4" w:rsidRDefault="00EB7063" w:rsidP="00E959F4">
      <w:pPr>
        <w:pStyle w:val="Textonotapie"/>
        <w:ind w:firstLine="708"/>
        <w:jc w:val="both"/>
        <w:rPr>
          <w:rFonts w:ascii="Verdana" w:hAnsi="Verdana"/>
          <w:sz w:val="16"/>
          <w:szCs w:val="16"/>
          <w:lang w:val="es-ES"/>
        </w:rPr>
      </w:pPr>
      <w:r w:rsidRPr="00E959F4">
        <w:rPr>
          <w:rStyle w:val="Refdenotaalpie"/>
          <w:rFonts w:ascii="Verdana" w:hAnsi="Verdana"/>
          <w:sz w:val="16"/>
          <w:szCs w:val="16"/>
        </w:rPr>
        <w:footnoteRef/>
      </w:r>
      <w:r w:rsidRPr="00E959F4">
        <w:rPr>
          <w:rFonts w:ascii="Verdana" w:hAnsi="Verdana"/>
          <w:sz w:val="16"/>
          <w:szCs w:val="16"/>
        </w:rPr>
        <w:t xml:space="preserve"> </w:t>
      </w:r>
      <w:r w:rsidR="00C4772F" w:rsidRPr="005E2EED">
        <w:rPr>
          <w:rFonts w:ascii="Verdana" w:hAnsi="Verdana"/>
          <w:sz w:val="16"/>
          <w:szCs w:val="16"/>
        </w:rPr>
        <w:t xml:space="preserve">Agencia Nacional de Contratación Pública – Colombia Compra Eficiente. </w:t>
      </w:r>
      <w:r w:rsidR="00C4772F" w:rsidRPr="00E959F4">
        <w:rPr>
          <w:rFonts w:ascii="Verdana" w:eastAsia="Calibri" w:hAnsi="Verdana" w:cs="Arial"/>
          <w:color w:val="000000"/>
          <w:sz w:val="16"/>
          <w:szCs w:val="16"/>
          <w:lang w:eastAsia="en-GB"/>
        </w:rPr>
        <w:t>Guía para Determinar y Verificar la Capacidad Residual del Proponente en los Procesos de Contratación de Obra Pública</w:t>
      </w:r>
      <w:r w:rsidR="00C4772F" w:rsidRPr="005E2EED">
        <w:rPr>
          <w:rFonts w:ascii="Verdana" w:hAnsi="Verdana"/>
          <w:sz w:val="16"/>
          <w:szCs w:val="16"/>
        </w:rPr>
        <w:t xml:space="preserve">. </w:t>
      </w:r>
      <w:r w:rsidR="005E2EED" w:rsidRPr="005E2EED">
        <w:rPr>
          <w:rFonts w:ascii="Verdana" w:hAnsi="Verdana"/>
          <w:sz w:val="16"/>
          <w:szCs w:val="16"/>
        </w:rPr>
        <w:t xml:space="preserve">Disponible en: </w:t>
      </w:r>
      <w:hyperlink r:id="rId1" w:history="1">
        <w:r w:rsidR="005E2EED" w:rsidRPr="005E2EED">
          <w:rPr>
            <w:rStyle w:val="Hipervnculo"/>
            <w:rFonts w:ascii="Verdana" w:hAnsi="Verdana"/>
            <w:sz w:val="16"/>
            <w:szCs w:val="16"/>
          </w:rPr>
          <w:t>https://www.colombiacompra.gov.co/wp-content/uploads/2024/08/2023-Guia-para-determinar-y-verificar-la-Capacidad-Residual-del-proponente-en-los-Procesos-de-Contratacion-de-obra-publica-CCE-REC-GI-22.pdf</w:t>
        </w:r>
      </w:hyperlink>
      <w:r w:rsidRPr="005E2EED">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01B9D"/>
    <w:rsid w:val="00221730"/>
    <w:rsid w:val="002421BB"/>
    <w:rsid w:val="0025796E"/>
    <w:rsid w:val="002707A2"/>
    <w:rsid w:val="00270893"/>
    <w:rsid w:val="002951A0"/>
    <w:rsid w:val="002962BC"/>
    <w:rsid w:val="002A093D"/>
    <w:rsid w:val="002A0DD0"/>
    <w:rsid w:val="002A49AC"/>
    <w:rsid w:val="002A64FD"/>
    <w:rsid w:val="002C7A84"/>
    <w:rsid w:val="002D70EC"/>
    <w:rsid w:val="002E4FD9"/>
    <w:rsid w:val="00322A85"/>
    <w:rsid w:val="00324168"/>
    <w:rsid w:val="003448F4"/>
    <w:rsid w:val="0036636B"/>
    <w:rsid w:val="00374F5E"/>
    <w:rsid w:val="00377E3E"/>
    <w:rsid w:val="003A779E"/>
    <w:rsid w:val="003D0F4D"/>
    <w:rsid w:val="003D1329"/>
    <w:rsid w:val="003D5B0D"/>
    <w:rsid w:val="003E0499"/>
    <w:rsid w:val="003F3941"/>
    <w:rsid w:val="00406575"/>
    <w:rsid w:val="00414C74"/>
    <w:rsid w:val="0042722E"/>
    <w:rsid w:val="0044528D"/>
    <w:rsid w:val="004A1847"/>
    <w:rsid w:val="004A305D"/>
    <w:rsid w:val="004D76F6"/>
    <w:rsid w:val="004E3E03"/>
    <w:rsid w:val="004F21C4"/>
    <w:rsid w:val="004F685F"/>
    <w:rsid w:val="005566E8"/>
    <w:rsid w:val="00574867"/>
    <w:rsid w:val="00591460"/>
    <w:rsid w:val="005C3777"/>
    <w:rsid w:val="005C5CDC"/>
    <w:rsid w:val="005D476C"/>
    <w:rsid w:val="005E2EED"/>
    <w:rsid w:val="005F745A"/>
    <w:rsid w:val="006219F8"/>
    <w:rsid w:val="006302F7"/>
    <w:rsid w:val="00634C43"/>
    <w:rsid w:val="00637AA7"/>
    <w:rsid w:val="00665D70"/>
    <w:rsid w:val="006731C6"/>
    <w:rsid w:val="006900D9"/>
    <w:rsid w:val="006A760C"/>
    <w:rsid w:val="006B2F02"/>
    <w:rsid w:val="00706C16"/>
    <w:rsid w:val="00756841"/>
    <w:rsid w:val="007649AB"/>
    <w:rsid w:val="00771D0C"/>
    <w:rsid w:val="007833AC"/>
    <w:rsid w:val="007B268C"/>
    <w:rsid w:val="007B7171"/>
    <w:rsid w:val="007C0C0F"/>
    <w:rsid w:val="007C3DC2"/>
    <w:rsid w:val="007E5497"/>
    <w:rsid w:val="00806F5F"/>
    <w:rsid w:val="00820278"/>
    <w:rsid w:val="008606A8"/>
    <w:rsid w:val="00867F95"/>
    <w:rsid w:val="008843B6"/>
    <w:rsid w:val="00891928"/>
    <w:rsid w:val="00897A3A"/>
    <w:rsid w:val="008A1CCC"/>
    <w:rsid w:val="008A446D"/>
    <w:rsid w:val="008D180B"/>
    <w:rsid w:val="008F0EA7"/>
    <w:rsid w:val="00923EEF"/>
    <w:rsid w:val="00924F17"/>
    <w:rsid w:val="009419F9"/>
    <w:rsid w:val="0095685E"/>
    <w:rsid w:val="00957096"/>
    <w:rsid w:val="00961B09"/>
    <w:rsid w:val="00965334"/>
    <w:rsid w:val="0097093E"/>
    <w:rsid w:val="009A0DFA"/>
    <w:rsid w:val="009B25A8"/>
    <w:rsid w:val="009B2D26"/>
    <w:rsid w:val="009C71FA"/>
    <w:rsid w:val="009C72E7"/>
    <w:rsid w:val="009D3058"/>
    <w:rsid w:val="009D7C8F"/>
    <w:rsid w:val="009F3A13"/>
    <w:rsid w:val="00A122D3"/>
    <w:rsid w:val="00A17F13"/>
    <w:rsid w:val="00A20739"/>
    <w:rsid w:val="00A33C78"/>
    <w:rsid w:val="00AB0ADB"/>
    <w:rsid w:val="00AC06BA"/>
    <w:rsid w:val="00AC36E2"/>
    <w:rsid w:val="00AF0D59"/>
    <w:rsid w:val="00B00C0E"/>
    <w:rsid w:val="00B01B1A"/>
    <w:rsid w:val="00B14142"/>
    <w:rsid w:val="00B44A47"/>
    <w:rsid w:val="00B47A78"/>
    <w:rsid w:val="00B66E94"/>
    <w:rsid w:val="00B72CD3"/>
    <w:rsid w:val="00B72FFF"/>
    <w:rsid w:val="00B94C93"/>
    <w:rsid w:val="00BB6742"/>
    <w:rsid w:val="00BC3D36"/>
    <w:rsid w:val="00BD7F72"/>
    <w:rsid w:val="00C04FB3"/>
    <w:rsid w:val="00C330EB"/>
    <w:rsid w:val="00C4772F"/>
    <w:rsid w:val="00C5223A"/>
    <w:rsid w:val="00C754BE"/>
    <w:rsid w:val="00C76B1C"/>
    <w:rsid w:val="00CB6357"/>
    <w:rsid w:val="00CC1B26"/>
    <w:rsid w:val="00D423A2"/>
    <w:rsid w:val="00D520D8"/>
    <w:rsid w:val="00D63AC2"/>
    <w:rsid w:val="00D7383B"/>
    <w:rsid w:val="00D825C8"/>
    <w:rsid w:val="00D97904"/>
    <w:rsid w:val="00DA231B"/>
    <w:rsid w:val="00DC39FC"/>
    <w:rsid w:val="00DF5254"/>
    <w:rsid w:val="00DF7B5A"/>
    <w:rsid w:val="00E16408"/>
    <w:rsid w:val="00E20894"/>
    <w:rsid w:val="00E2121D"/>
    <w:rsid w:val="00E245AB"/>
    <w:rsid w:val="00E2764C"/>
    <w:rsid w:val="00E27F2E"/>
    <w:rsid w:val="00E50AFE"/>
    <w:rsid w:val="00E73C4D"/>
    <w:rsid w:val="00E75C92"/>
    <w:rsid w:val="00E771DC"/>
    <w:rsid w:val="00E8772A"/>
    <w:rsid w:val="00E90F6B"/>
    <w:rsid w:val="00E92C27"/>
    <w:rsid w:val="00E959F4"/>
    <w:rsid w:val="00EA0E3D"/>
    <w:rsid w:val="00EB7063"/>
    <w:rsid w:val="00EC38A7"/>
    <w:rsid w:val="00EE1AA8"/>
    <w:rsid w:val="00F12738"/>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B7063"/>
    <w:rPr>
      <w:rFonts w:ascii="Geomanist Light" w:hAnsi="Geomanist Light"/>
      <w:lang w:val="es-ES"/>
    </w:rPr>
  </w:style>
  <w:style w:type="paragraph" w:customStyle="1" w:styleId="Appelnotedebasde">
    <w:name w:val="Appel note de bas de..."/>
    <w:basedOn w:val="Normal"/>
    <w:link w:val="Refdenotaalpie"/>
    <w:uiPriority w:val="99"/>
    <w:rsid w:val="00EB706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wp-content/uploads/2024/08/2023-Guia-para-determinar-y-verificar-la-Capacidad-Residual-del-proponente-en-los-Procesos-de-Contratacion-de-obra-publica-CCE-REC-GI-22.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eatrizrramirezr@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0" Type="http://schemas.openxmlformats.org/officeDocument/2006/relationships/image" Target="media/image2.tmp"/><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2023-Guia-para-determinar-y-verificar-la-Capacidad-Residual-del-proponente-en-los-Procesos-de-Contratacion-de-obra-publica-CCE-REC-GI-2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infopath/2007/PartnerControls"/>
    <ds:schemaRef ds:uri="http://schemas.microsoft.com/office/2006/documentManagement/types"/>
    <ds:schemaRef ds:uri="9d85dbaf-23eb-4e57-a637-93dcacc8b1a1"/>
    <ds:schemaRef ds:uri="http://purl.org/dc/terms/"/>
    <ds:schemaRef ds:uri="a6cb9e4b-f1d1-4245-83ec-6cad768d538a"/>
    <ds:schemaRef ds:uri="http://schemas.openxmlformats.org/package/2006/metadata/core-properties"/>
    <ds:schemaRef ds:uri="http://schemas.microsoft.com/office/2006/metadata/properties"/>
    <ds:schemaRef ds:uri="http://www.w3.org/XML/1998/namespace"/>
    <ds:schemaRef ds:uri="http://purl.org/dc/dcmitype/"/>
    <ds:schemaRef ds:uri="http://purl.org/dc/elements/1.1/"/>
  </ds:schemaRefs>
</ds:datastoreItem>
</file>

<file path=customXml/itemProps2.xml><?xml version="1.0" encoding="utf-8"?>
<ds:datastoreItem xmlns:ds="http://schemas.openxmlformats.org/officeDocument/2006/customXml" ds:itemID="{0A44F74E-934A-4D3F-80A6-86BB642377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13</Pages>
  <Words>3935</Words>
  <Characters>21648</Characters>
  <Application>Microsoft Office Word</Application>
  <DocSecurity>0</DocSecurity>
  <Lines>180</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2025-11-03T15:45:00Z</dcterms:created>
  <dcterms:modified xsi:type="dcterms:W3CDTF">2025-11-03T15:45:00Z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