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572A5" w14:textId="619675AA" w:rsidR="00AA5145" w:rsidRPr="00017078" w:rsidRDefault="00AA5145" w:rsidP="00AA5145">
      <w:pPr>
        <w:jc w:val="both"/>
        <w:rPr>
          <w:rFonts w:ascii="Verdana" w:hAnsi="Verdana"/>
          <w:b/>
          <w:bCs/>
          <w:lang w:val="es-MX"/>
        </w:rPr>
      </w:pPr>
      <w:bookmarkStart w:id="0" w:name="_Hlk143780582"/>
      <w:r w:rsidRPr="00017078">
        <w:rPr>
          <w:rFonts w:ascii="Verdana" w:hAnsi="Verdana"/>
          <w:b/>
          <w:bCs/>
          <w:lang w:val="es-ES_tradnl"/>
        </w:rPr>
        <w:t xml:space="preserve">DOCUMENTO TIPO DE CONVENIOS SOLIDARIOS </w:t>
      </w:r>
      <w:r w:rsidRPr="00017078">
        <w:rPr>
          <w:rFonts w:ascii="Verdana" w:hAnsi="Verdana"/>
          <w:b/>
          <w:bCs/>
          <w:lang w:val="es-MX"/>
        </w:rPr>
        <w:t>– Fundamento normativo</w:t>
      </w:r>
    </w:p>
    <w:p w14:paraId="696BBB9A" w14:textId="115EECCF" w:rsidR="00AA5145" w:rsidRPr="009F3CB8" w:rsidRDefault="00AA5145" w:rsidP="00AA5145">
      <w:pPr>
        <w:jc w:val="both"/>
        <w:rPr>
          <w:rFonts w:ascii="Verdana" w:hAnsi="Verdana"/>
          <w:sz w:val="20"/>
          <w:szCs w:val="20"/>
          <w:lang w:val="es-MX"/>
        </w:rPr>
      </w:pPr>
      <w:r w:rsidRPr="009F3CB8">
        <w:rPr>
          <w:rFonts w:ascii="Verdana" w:hAnsi="Verdana"/>
          <w:sz w:val="20"/>
          <w:szCs w:val="20"/>
        </w:rPr>
        <w:t xml:space="preserve">Con fundamento en la competencia prevista en el artículo 1 de la Ley 2022 de 2020, el 30 de junio de 2023 la Agencia Nacional de Contratación Pública </w:t>
      </w:r>
      <w:r w:rsidRPr="009F3CB8">
        <w:rPr>
          <w:rFonts w:ascii="Verdana" w:hAnsi="Verdana"/>
          <w:sz w:val="20"/>
          <w:szCs w:val="20"/>
          <w:lang w:val="es-ES"/>
        </w:rPr>
        <w:t>– Colombia Compra Eficiente</w:t>
      </w:r>
      <w:r w:rsidRPr="009F3CB8">
        <w:rPr>
          <w:rFonts w:ascii="Verdana" w:hAnsi="Verdana"/>
          <w:sz w:val="20"/>
          <w:szCs w:val="20"/>
        </w:rPr>
        <w:t xml:space="preserve"> expidió la Resolución 358 de 2023 “</w:t>
      </w:r>
      <w:hyperlink r:id="rId10" w:history="1">
        <w:r w:rsidRPr="009F3CB8">
          <w:rPr>
            <w:rStyle w:val="Hipervnculo"/>
            <w:rFonts w:ascii="Verdana" w:hAnsi="Verdana"/>
            <w:sz w:val="20"/>
            <w:szCs w:val="20"/>
          </w:rPr>
          <w:t>Por la cual se adopta el documento tipo para la contratación directa de convenios solidarios para la ejecución de obras hasta la menor cuantía con organismos de acción comunal”. </w:t>
        </w:r>
      </w:hyperlink>
      <w:r w:rsidRPr="009F3CB8">
        <w:rPr>
          <w:rFonts w:ascii="Verdana" w:hAnsi="Verdana"/>
          <w:sz w:val="20"/>
          <w:szCs w:val="20"/>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25016388" w14:textId="2F8176A6" w:rsidR="00AA5145" w:rsidRPr="00017078" w:rsidRDefault="00AA5145" w:rsidP="00AA5145">
      <w:pPr>
        <w:jc w:val="both"/>
        <w:rPr>
          <w:rFonts w:ascii="Verdana" w:hAnsi="Verdana"/>
          <w:b/>
          <w:bCs/>
        </w:rPr>
      </w:pPr>
      <w:r w:rsidRPr="00017078">
        <w:rPr>
          <w:rFonts w:ascii="Verdana" w:hAnsi="Verdana"/>
          <w:b/>
          <w:bCs/>
          <w:lang w:val="es-ES_tradnl"/>
        </w:rPr>
        <w:t xml:space="preserve">DOCUMENTO TIPO DE CONVENIOS SOLIDARIOS – Giro y manejo de los recursos – Cláusulas 7 y 8 – Minuta Tipo – Alternativas – Administración de los recursos – Entidad financiera </w:t>
      </w:r>
    </w:p>
    <w:p w14:paraId="53440D26" w14:textId="2AB052FB" w:rsidR="00AA5145" w:rsidRPr="00AB6EA9" w:rsidRDefault="00AA5145" w:rsidP="00AA5145">
      <w:pPr>
        <w:jc w:val="both"/>
        <w:rPr>
          <w:rFonts w:ascii="Verdana" w:hAnsi="Verdana"/>
          <w:bCs/>
          <w:sz w:val="20"/>
          <w:szCs w:val="20"/>
        </w:rPr>
      </w:pPr>
      <w:r w:rsidRPr="009F3CB8">
        <w:rPr>
          <w:rFonts w:ascii="Verdana" w:hAnsi="Verdana"/>
          <w:sz w:val="20"/>
          <w:szCs w:val="20"/>
          <w:lang w:val="es-ES_tradnl"/>
        </w:rPr>
        <w:t xml:space="preserve">El documento tipo para la contratación directa de convenios solidarios para la ejecución de obras hasta la menor cuantía con organismos de acción comunal, contempla tres (3) opciones para el giro de los recursos por parte de la Entidad Estatal, de acuerdo con la cláusula 7 de la Minuta Tipo. De esta manera, el giro de los recursos puede realizarse, según una de las siguientes opciones por la que opte la entidad estatal: i) a una cuenta de manejo conjunto a nombre del convenio – opción 1, ii) a un patrimonio autónomo irrevocable al nombre del convenio – opción 2, o iii) a cuenta bancaria a nombre del convenio – opción 3. </w:t>
      </w:r>
    </w:p>
    <w:p w14:paraId="02E17BBD" w14:textId="760BE5BB" w:rsidR="00AA5145" w:rsidRPr="00017078" w:rsidRDefault="00AA5145" w:rsidP="00AA5145">
      <w:pPr>
        <w:jc w:val="both"/>
        <w:rPr>
          <w:rFonts w:ascii="Verdana" w:hAnsi="Verdana"/>
          <w:b/>
          <w:bCs/>
          <w:lang w:val="es-ES_tradnl"/>
        </w:rPr>
      </w:pPr>
      <w:r w:rsidRPr="00017078">
        <w:rPr>
          <w:rFonts w:ascii="Verdana" w:hAnsi="Verdana"/>
          <w:b/>
          <w:bCs/>
          <w:lang w:val="es-ES_tradnl"/>
        </w:rPr>
        <w:t>DOCUMENTO TIPO DE CONVENIOS SOLIDARIOS – Giro y manejo de los recursos – Cláusulas 7 – Opción 3</w:t>
      </w:r>
    </w:p>
    <w:p w14:paraId="0E5CE0E9" w14:textId="028E32D3" w:rsidR="00AA5145" w:rsidRPr="00AB6EA9" w:rsidRDefault="00AA5145" w:rsidP="00AA5145">
      <w:pPr>
        <w:jc w:val="both"/>
        <w:rPr>
          <w:rFonts w:ascii="Verdana" w:hAnsi="Verdana"/>
          <w:sz w:val="20"/>
          <w:szCs w:val="20"/>
        </w:rPr>
      </w:pPr>
      <w:r w:rsidRPr="009F3CB8">
        <w:rPr>
          <w:rFonts w:ascii="Verdana" w:hAnsi="Verdana"/>
          <w:sz w:val="20"/>
          <w:szCs w:val="20"/>
        </w:rPr>
        <w:t xml:space="preserve">Los giros de los recursos que realice la Entidad Estatal deberán realizarse a cuenta bancaria a nombre del convenio que genere rendimientos financieros y sin posibilidad de sobregiro, en la que se dispondrá de los recursos únicamente de manera electrónica, por lo cual esta cuenta deberá contar con un mecanismo de autenticación dual, en la cual, el usuario preparador será asignado al OAC y el usuario aprobador será asignado al Interventor y/o Supervisor de la Entidad Estatal, por lo cual para cualquier disposición que se realice de los recursos se deberá contar siempre con la aprobación dual. </w:t>
      </w:r>
    </w:p>
    <w:p w14:paraId="07DDFD41" w14:textId="70DE096F" w:rsidR="00AA5145" w:rsidRPr="00017078" w:rsidRDefault="00AA5145" w:rsidP="00AA5145">
      <w:pPr>
        <w:jc w:val="both"/>
        <w:rPr>
          <w:rFonts w:ascii="Verdana" w:hAnsi="Verdana"/>
          <w:b/>
          <w:bCs/>
          <w:lang w:val="es-ES_tradnl"/>
        </w:rPr>
      </w:pPr>
      <w:r w:rsidRPr="00017078">
        <w:rPr>
          <w:rFonts w:ascii="Verdana" w:hAnsi="Verdana"/>
          <w:b/>
          <w:bCs/>
          <w:lang w:val="es-ES_tradnl"/>
        </w:rPr>
        <w:t>DOCUMENTO TIPO DE CONVENIOS SOLIDARIOS – Giro y manejo de los recursos – Cláusulas 8 – Opción 3</w:t>
      </w:r>
    </w:p>
    <w:p w14:paraId="6A494D6D" w14:textId="77777777" w:rsidR="00AA5145" w:rsidRPr="009F3CB8" w:rsidRDefault="00AA5145" w:rsidP="00AA5145">
      <w:pPr>
        <w:jc w:val="both"/>
        <w:rPr>
          <w:rFonts w:ascii="Verdana" w:hAnsi="Verdana"/>
          <w:sz w:val="20"/>
          <w:szCs w:val="20"/>
          <w:lang w:val="es-ES"/>
        </w:rPr>
      </w:pPr>
      <w:r w:rsidRPr="6E45D0FC">
        <w:rPr>
          <w:rFonts w:ascii="Verdana" w:hAnsi="Verdana"/>
          <w:sz w:val="20"/>
          <w:szCs w:val="20"/>
          <w:lang w:val="es-ES"/>
        </w:rPr>
        <w:t xml:space="preserve">Para la ejecución y manejo de los recursos del respectivo convenio solidario se deberá  aperturar una cuenta bancaria a nombre del convenio que genere rendimientos financieros y sin posibilidad de sobre giro, el manejo de esta cuenta será conjunta, para ello, se asignará un usuario al OAC denominado preparador y otro usuario asignado al Interventor o supervisor denominado aprobador, para la aprobación dual del uso de los recursos se deberá tener los respectivos soportes que justifiquen el desembolso. </w:t>
      </w:r>
    </w:p>
    <w:p w14:paraId="192C2BE3" w14:textId="77777777" w:rsidR="00AA5145" w:rsidRPr="009F3CB8" w:rsidRDefault="00AA5145" w:rsidP="00AA5145">
      <w:pPr>
        <w:jc w:val="both"/>
        <w:rPr>
          <w:rFonts w:ascii="Verdana" w:hAnsi="Verdana"/>
          <w:sz w:val="20"/>
          <w:szCs w:val="20"/>
        </w:rPr>
      </w:pPr>
    </w:p>
    <w:p w14:paraId="5F9203C8" w14:textId="16A52437" w:rsidR="00AA5145" w:rsidRPr="00017078" w:rsidRDefault="00AA5145" w:rsidP="00AA5145">
      <w:pPr>
        <w:jc w:val="both"/>
        <w:rPr>
          <w:rFonts w:ascii="Verdana" w:hAnsi="Verdana"/>
          <w:b/>
          <w:bCs/>
          <w:lang w:val="es-ES_tradnl"/>
        </w:rPr>
      </w:pPr>
      <w:r w:rsidRPr="00017078">
        <w:rPr>
          <w:rFonts w:ascii="Verdana" w:hAnsi="Verdana"/>
          <w:b/>
          <w:bCs/>
          <w:lang w:val="es-ES_tradnl"/>
        </w:rPr>
        <w:t>DOCUMENTO TIPO DE CONVENIOS SOLIDARIOS – Giro y manejo de los recursos</w:t>
      </w:r>
    </w:p>
    <w:p w14:paraId="688D151B" w14:textId="29B0AB0F" w:rsidR="00AA5145" w:rsidRPr="00AB6EA9" w:rsidRDefault="00AA5145" w:rsidP="00AB6EA9">
      <w:pPr>
        <w:jc w:val="both"/>
        <w:rPr>
          <w:rFonts w:ascii="Verdana" w:hAnsi="Verdana"/>
          <w:sz w:val="20"/>
          <w:szCs w:val="20"/>
          <w:lang w:val="es-ES_tradnl"/>
        </w:rPr>
      </w:pPr>
      <w:r w:rsidRPr="009F3CB8">
        <w:rPr>
          <w:rFonts w:ascii="Verdana" w:hAnsi="Verdana"/>
          <w:sz w:val="20"/>
          <w:szCs w:val="20"/>
        </w:rPr>
        <w:t>Finalmente, debe indicarse que, el numeral I. del parágrafo 1 de la Cláusula 8 de la Minuta Tipo, señala que la cuenta de manejo conjunto debe ser abierta en una entidad financiera autorizada por la Superintendencia Financiera. En este sentido, la entidad financiera puede ser seleccionada de forma discrecional por la entidad estatal, y en consecuencia para la apertura de la cuenta se observarán los requisitos particulares que exija la entidad financiera seleccionada y las condiciones establecidas en la Minuta Tipo de Convenio Solidario para la ejecución de obras adoptada por medio de la Resolución 358 de 2023.</w:t>
      </w:r>
    </w:p>
    <w:p w14:paraId="076FAA78" w14:textId="77777777" w:rsidR="00AA5145" w:rsidRPr="009F3CB8" w:rsidRDefault="00AA5145" w:rsidP="00AA5145">
      <w:pPr>
        <w:jc w:val="both"/>
        <w:rPr>
          <w:rFonts w:ascii="Verdana" w:hAnsi="Verdana" w:cs="Arial"/>
        </w:rPr>
      </w:pPr>
      <w:bookmarkStart w:id="1" w:name="_Hlk211616039"/>
      <w:r w:rsidRPr="009F3CB8">
        <w:rPr>
          <w:rFonts w:ascii="Verdana" w:hAnsi="Verdana" w:cs="Arial"/>
          <w:b/>
        </w:rPr>
        <w:t xml:space="preserve">SUPERVISIÓN – Noción ‒ </w:t>
      </w:r>
      <w:r w:rsidRPr="009F3CB8">
        <w:rPr>
          <w:rFonts w:ascii="Verdana" w:hAnsi="Verdana" w:cs="Arial"/>
          <w:b/>
          <w:bCs/>
        </w:rPr>
        <w:t xml:space="preserve">Ley 1474 de 2011 </w:t>
      </w:r>
    </w:p>
    <w:bookmarkEnd w:id="1"/>
    <w:p w14:paraId="1E218AF3" w14:textId="22DEF98F" w:rsidR="00AA5145" w:rsidRPr="00AB6EA9" w:rsidRDefault="00AA5145" w:rsidP="00AB6EA9">
      <w:pPr>
        <w:jc w:val="both"/>
        <w:rPr>
          <w:rFonts w:ascii="Verdana" w:hAnsi="Verdana" w:cs="Arial"/>
          <w:sz w:val="20"/>
          <w:szCs w:val="20"/>
        </w:rPr>
      </w:pPr>
      <w:r w:rsidRPr="009F3CB8">
        <w:rPr>
          <w:rFonts w:ascii="Verdana" w:hAnsi="Verdana" w:cs="Arial"/>
          <w:sz w:val="20"/>
          <w:szCs w:val="20"/>
        </w:rPr>
        <w:t>La Ley 1474 de 2011 enmarcó el seguimiento, control y vigilancia de la ejecución del contrato estatal dentro del principio de moralidad administrativa. El artículo 83 ibidem 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p>
    <w:p w14:paraId="07DC4DC5" w14:textId="77777777" w:rsidR="00AA5145" w:rsidRPr="00A32C27" w:rsidRDefault="00AA5145" w:rsidP="00AA5145">
      <w:pPr>
        <w:jc w:val="both"/>
        <w:rPr>
          <w:rFonts w:ascii="Verdana" w:hAnsi="Verdana" w:cs="Arial"/>
          <w:b/>
          <w:color w:val="000000" w:themeColor="text1"/>
        </w:rPr>
      </w:pPr>
      <w:r w:rsidRPr="00A32C27">
        <w:rPr>
          <w:rFonts w:ascii="Verdana" w:hAnsi="Verdana" w:cs="Arial"/>
          <w:b/>
          <w:color w:val="000000" w:themeColor="text1"/>
        </w:rPr>
        <w:t xml:space="preserve">SUPERVISIÓN – Características </w:t>
      </w:r>
    </w:p>
    <w:p w14:paraId="29A0289A" w14:textId="77777777" w:rsidR="00AA5145" w:rsidRPr="00A32C27" w:rsidRDefault="00AA5145" w:rsidP="00AA5145">
      <w:pPr>
        <w:jc w:val="both"/>
        <w:rPr>
          <w:rFonts w:ascii="Verdana" w:hAnsi="Verdana" w:cs="Arial"/>
          <w:color w:val="000000" w:themeColor="text1"/>
          <w:sz w:val="20"/>
          <w:szCs w:val="20"/>
        </w:rPr>
      </w:pPr>
      <w:r w:rsidRPr="00A32C27">
        <w:rPr>
          <w:rFonts w:ascii="Verdana" w:hAnsi="Verdana" w:cs="Arial"/>
          <w:color w:val="000000" w:themeColor="text1"/>
          <w:sz w:val="20"/>
          <w:szCs w:val="20"/>
        </w:rPr>
        <w:t>se infieren las siguientes características, en relación con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v) le es inherente el seguimiento técnico, administrativo, financiero, contable, y jurídico del contrato vigilado.</w:t>
      </w:r>
    </w:p>
    <w:p w14:paraId="004271F8" w14:textId="77777777" w:rsidR="00AA5145" w:rsidRPr="00A32C27" w:rsidRDefault="00AA5145" w:rsidP="00AA5145">
      <w:pPr>
        <w:rPr>
          <w:rFonts w:ascii="Verdana" w:hAnsi="Verdana"/>
        </w:rPr>
      </w:pPr>
    </w:p>
    <w:p w14:paraId="101AD84A" w14:textId="77777777" w:rsidR="00AA5145" w:rsidRDefault="00AA5145" w:rsidP="00AA5145">
      <w:pPr>
        <w:rPr>
          <w:rFonts w:ascii="Verdana" w:hAnsi="Verdana"/>
        </w:rPr>
      </w:pPr>
      <w:r>
        <w:rPr>
          <w:rFonts w:ascii="Verdana" w:hAnsi="Verdana"/>
        </w:rPr>
        <w:br w:type="page"/>
      </w:r>
    </w:p>
    <w:p w14:paraId="70E85444" w14:textId="77777777" w:rsidR="00AA5145" w:rsidRPr="0044528D" w:rsidRDefault="00AA5145" w:rsidP="00AA5145">
      <w:pPr>
        <w:rPr>
          <w:rFonts w:ascii="Verdana" w:hAnsi="Verdana"/>
        </w:rPr>
      </w:pPr>
      <w:r w:rsidRPr="0044528D">
        <w:rPr>
          <w:rFonts w:ascii="Verdana" w:hAnsi="Verdana"/>
        </w:rPr>
        <w:lastRenderedPageBreak/>
        <w:t xml:space="preserve">Bogotá D.C., [Día] </w:t>
      </w:r>
      <w:r w:rsidRPr="001511A0">
        <w:rPr>
          <w:rFonts w:ascii="Verdana" w:hAnsi="Verdana"/>
        </w:rPr>
        <w:t>[</w:t>
      </w:r>
      <w:proofErr w:type="spellStart"/>
      <w:r w:rsidRPr="001511A0">
        <w:rPr>
          <w:rFonts w:ascii="Verdana" w:hAnsi="Verdana"/>
        </w:rPr>
        <w:t>Mes.NombreCapitalizado</w:t>
      </w:r>
      <w:proofErr w:type="spellEnd"/>
      <w:r w:rsidRPr="001511A0">
        <w:rPr>
          <w:rFonts w:ascii="Verdana" w:hAnsi="Verdana"/>
        </w:rPr>
        <w:t xml:space="preserve">] </w:t>
      </w:r>
      <w:r w:rsidRPr="0044528D">
        <w:rPr>
          <w:rFonts w:ascii="Verdana" w:hAnsi="Verdana"/>
        </w:rPr>
        <w:t>[Año]</w:t>
      </w:r>
      <w:r w:rsidRPr="0044528D">
        <w:rPr>
          <w:rFonts w:ascii="Verdana" w:hAnsi="Verdana"/>
        </w:rPr>
        <w:tab/>
      </w:r>
    </w:p>
    <w:p w14:paraId="1BF5A48E" w14:textId="77777777" w:rsidR="00AA5145" w:rsidRDefault="00AA5145" w:rsidP="00AA5145">
      <w:pPr>
        <w:spacing w:after="0"/>
        <w:rPr>
          <w:rFonts w:ascii="Verdana" w:hAnsi="Verdana"/>
        </w:rPr>
      </w:pPr>
      <w:bookmarkStart w:id="2" w:name="_Hlk194589254"/>
      <w:r w:rsidRPr="0044528D">
        <w:rPr>
          <w:rFonts w:ascii="Verdana" w:hAnsi="Verdana"/>
        </w:rPr>
        <w:tab/>
      </w:r>
    </w:p>
    <w:p w14:paraId="39B69E33" w14:textId="1FF347F2" w:rsidR="00AA5145" w:rsidRPr="0044528D" w:rsidRDefault="00AA5145" w:rsidP="00AA5145">
      <w:pPr>
        <w:spacing w:after="0"/>
        <w:rPr>
          <w:rFonts w:ascii="Verdana" w:hAnsi="Verdana"/>
        </w:rPr>
      </w:pPr>
    </w:p>
    <w:p w14:paraId="2DDFD05D" w14:textId="7385570A" w:rsidR="00AA5145" w:rsidRDefault="00AB6EA9" w:rsidP="00AA5145">
      <w:pPr>
        <w:spacing w:after="0"/>
        <w:rPr>
          <w:rFonts w:ascii="Verdana" w:hAnsi="Verdana" w:cs="Arial"/>
        </w:rPr>
      </w:pPr>
      <w:r w:rsidRPr="007428FD">
        <w:rPr>
          <w:rFonts w:ascii="Verdana" w:hAnsi="Verdana" w:cs="Arial"/>
          <w:noProof/>
        </w:rPr>
        <w:drawing>
          <wp:anchor distT="0" distB="0" distL="114300" distR="114300" simplePos="0" relativeHeight="251657216" behindDoc="0" locked="0" layoutInCell="1" allowOverlap="1" wp14:anchorId="73FC1541" wp14:editId="45FE8C90">
            <wp:simplePos x="0" y="0"/>
            <wp:positionH relativeFrom="column">
              <wp:posOffset>3729990</wp:posOffset>
            </wp:positionH>
            <wp:positionV relativeFrom="paragraph">
              <wp:posOffset>6985</wp:posOffset>
            </wp:positionV>
            <wp:extent cx="2466975" cy="953770"/>
            <wp:effectExtent l="0" t="0" r="9525" b="0"/>
            <wp:wrapSquare wrapText="bothSides"/>
            <wp:docPr id="152432559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2559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466975" cy="953770"/>
                    </a:xfrm>
                    <a:prstGeom prst="rect">
                      <a:avLst/>
                    </a:prstGeom>
                  </pic:spPr>
                </pic:pic>
              </a:graphicData>
            </a:graphic>
            <wp14:sizeRelV relativeFrom="margin">
              <wp14:pctHeight>0</wp14:pctHeight>
            </wp14:sizeRelV>
          </wp:anchor>
        </w:drawing>
      </w:r>
      <w:r w:rsidR="00AA5145">
        <w:rPr>
          <w:rFonts w:ascii="Verdana" w:hAnsi="Verdana" w:cs="Arial"/>
        </w:rPr>
        <w:t>Doctora</w:t>
      </w:r>
    </w:p>
    <w:p w14:paraId="7E493E59" w14:textId="2C4F1790" w:rsidR="00AA5145" w:rsidRPr="00A32C27" w:rsidRDefault="00AA5145" w:rsidP="00AA5145">
      <w:pPr>
        <w:spacing w:after="0"/>
        <w:rPr>
          <w:rFonts w:ascii="Verdana" w:hAnsi="Verdana" w:cs="Arial"/>
          <w:b/>
          <w:bCs/>
        </w:rPr>
      </w:pPr>
      <w:r w:rsidRPr="00A32C27">
        <w:rPr>
          <w:rFonts w:ascii="Verdana" w:hAnsi="Verdana" w:cs="Arial"/>
          <w:b/>
          <w:bCs/>
        </w:rPr>
        <w:t>Lizeth Natalia Duran Acosta</w:t>
      </w:r>
    </w:p>
    <w:p w14:paraId="5AE9CFDF" w14:textId="77777777" w:rsidR="00AA5145" w:rsidRPr="00AA0F61" w:rsidRDefault="00AA5145" w:rsidP="00AA5145">
      <w:pPr>
        <w:spacing w:after="0"/>
        <w:rPr>
          <w:rFonts w:ascii="Verdana" w:hAnsi="Verdana" w:cs="Arial"/>
        </w:rPr>
      </w:pPr>
      <w:r w:rsidRPr="00A32C27">
        <w:rPr>
          <w:rFonts w:ascii="Verdana" w:hAnsi="Verdana" w:cs="Arial"/>
          <w:b/>
          <w:bCs/>
        </w:rPr>
        <w:t>Directora de recursos y herramientas del SND</w:t>
      </w:r>
    </w:p>
    <w:p w14:paraId="56D87B72" w14:textId="266999AD" w:rsidR="00AA5145" w:rsidRPr="00AA0F61" w:rsidRDefault="00AA5145" w:rsidP="00AA5145">
      <w:pPr>
        <w:spacing w:after="0"/>
        <w:rPr>
          <w:rFonts w:ascii="Verdana" w:hAnsi="Verdana" w:cs="Arial"/>
        </w:rPr>
      </w:pPr>
      <w:hyperlink r:id="rId12" w:history="1">
        <w:r w:rsidRPr="00AA0F61">
          <w:rPr>
            <w:rStyle w:val="Hipervnculo"/>
            <w:rFonts w:ascii="Verdana" w:hAnsi="Verdana" w:cs="Arial"/>
          </w:rPr>
          <w:t>sgd@mindeporte.gov.co</w:t>
        </w:r>
      </w:hyperlink>
      <w:r w:rsidRPr="00AA0F61">
        <w:rPr>
          <w:rFonts w:ascii="Verdana" w:hAnsi="Verdana" w:cs="Arial"/>
        </w:rPr>
        <w:t xml:space="preserve"> </w:t>
      </w:r>
    </w:p>
    <w:p w14:paraId="4A04B1A9" w14:textId="361FCEF3" w:rsidR="00AA5145" w:rsidRDefault="00AA5145" w:rsidP="00AA5145">
      <w:pPr>
        <w:spacing w:after="0"/>
        <w:rPr>
          <w:rFonts w:ascii="Verdana" w:hAnsi="Verdana" w:cs="Arial"/>
        </w:rPr>
      </w:pPr>
      <w:r>
        <w:rPr>
          <w:rFonts w:ascii="Verdana" w:hAnsi="Verdana" w:cs="Arial"/>
        </w:rPr>
        <w:t>Bogotá D.C</w:t>
      </w:r>
    </w:p>
    <w:p w14:paraId="312073CA" w14:textId="77777777" w:rsidR="00AA5145" w:rsidRDefault="00AA5145" w:rsidP="00AA5145">
      <w:pPr>
        <w:spacing w:after="0"/>
        <w:rPr>
          <w:rFonts w:ascii="Verdana" w:hAnsi="Verdana" w:cs="Arial"/>
        </w:rPr>
      </w:pPr>
    </w:p>
    <w:p w14:paraId="4506EC97" w14:textId="7BAE0B2C" w:rsidR="00AA5145" w:rsidRDefault="007428FD" w:rsidP="00AA5145">
      <w:pPr>
        <w:spacing w:after="0"/>
        <w:rPr>
          <w:rFonts w:ascii="Verdana" w:hAnsi="Verdana" w:cs="Arial"/>
        </w:rPr>
      </w:pPr>
      <w:r>
        <w:rPr>
          <w:rFonts w:ascii="Verdana" w:hAnsi="Verdana" w:cs="Arial"/>
        </w:rPr>
        <w:t xml:space="preserve"> </w:t>
      </w:r>
    </w:p>
    <w:p w14:paraId="2509E655" w14:textId="60AD4D8F" w:rsidR="007428FD" w:rsidRDefault="007428FD" w:rsidP="007428FD">
      <w:pPr>
        <w:spacing w:after="0"/>
        <w:jc w:val="right"/>
        <w:rPr>
          <w:rFonts w:ascii="Verdana" w:hAnsi="Verdana" w:cs="Arial"/>
        </w:rPr>
      </w:pPr>
    </w:p>
    <w:p w14:paraId="35AF3F63" w14:textId="77777777" w:rsidR="00AA5145" w:rsidRPr="00DD3F69" w:rsidRDefault="00AA5145" w:rsidP="00AA5145">
      <w:pPr>
        <w:spacing w:after="0"/>
        <w:rPr>
          <w:rFonts w:ascii="Verdana" w:hAnsi="Verdana" w:cs="Arial"/>
        </w:rPr>
      </w:pPr>
    </w:p>
    <w:p w14:paraId="1F1F8D56" w14:textId="6BE7BBA2" w:rsidR="00AA5145" w:rsidRPr="004565C9" w:rsidRDefault="00AA5145" w:rsidP="00AA5145">
      <w:pPr>
        <w:jc w:val="both"/>
        <w:rPr>
          <w:rFonts w:ascii="Verdana" w:hAnsi="Verdana" w:cs="Calibri"/>
          <w:b/>
          <w:bCs/>
          <w:lang w:eastAsia="es-CO"/>
        </w:rPr>
      </w:pPr>
      <w:r>
        <w:rPr>
          <w:rFonts w:ascii="Verdana" w:hAnsi="Verdana" w:cs="Arial"/>
        </w:rPr>
        <w:t xml:space="preserve">                            </w:t>
      </w:r>
      <w:r>
        <w:rPr>
          <w:rFonts w:ascii="Verdana" w:hAnsi="Verdana" w:cs="Arial"/>
          <w:b/>
          <w:bCs/>
        </w:rPr>
        <w:t xml:space="preserve">Concepto </w:t>
      </w:r>
      <w:r w:rsidRPr="004565C9">
        <w:rPr>
          <w:rFonts w:ascii="Verdana" w:hAnsi="Verdana" w:cs="Calibri"/>
          <w:b/>
          <w:bCs/>
          <w:lang w:eastAsia="es-CO"/>
        </w:rPr>
        <w:t>C-</w:t>
      </w:r>
      <w:r w:rsidR="00F87457">
        <w:rPr>
          <w:rFonts w:ascii="Verdana" w:hAnsi="Verdana" w:cs="Calibri"/>
          <w:b/>
          <w:bCs/>
          <w:lang w:eastAsia="es-CO"/>
        </w:rPr>
        <w:t xml:space="preserve"> 1351 </w:t>
      </w:r>
      <w:r w:rsidR="00FF6660">
        <w:rPr>
          <w:rFonts w:ascii="Verdana" w:hAnsi="Verdana" w:cs="Calibri"/>
          <w:b/>
          <w:bCs/>
          <w:lang w:eastAsia="es-CO"/>
        </w:rPr>
        <w:t>de 2025</w:t>
      </w:r>
    </w:p>
    <w:p w14:paraId="53832AD2" w14:textId="28A3E9FE" w:rsidR="00AA5145" w:rsidRPr="00FB524A" w:rsidRDefault="00AA5145" w:rsidP="00FB524A">
      <w:pPr>
        <w:ind w:left="2124"/>
        <w:jc w:val="both"/>
        <w:rPr>
          <w:rFonts w:ascii="Verdana" w:hAnsi="Verdana"/>
          <w:b/>
          <w:bCs/>
        </w:rPr>
      </w:pPr>
      <w:r w:rsidRPr="00DE6B2A">
        <w:rPr>
          <w:rFonts w:ascii="Verdana" w:hAnsi="Verdana"/>
          <w:b/>
          <w:bCs/>
          <w:lang w:val="es-MX"/>
        </w:rPr>
        <w:t>Temas:</w:t>
      </w:r>
      <w:r>
        <w:rPr>
          <w:rFonts w:ascii="Verdana" w:hAnsi="Verdana"/>
          <w:lang w:val="es-MX"/>
        </w:rPr>
        <w:t xml:space="preserve"> DOCUMENTO TIPO DE CONVENIOS SOLIDARIOS</w:t>
      </w:r>
      <w:r w:rsidRPr="008E7CED">
        <w:rPr>
          <w:rFonts w:ascii="Verdana" w:hAnsi="Verdana"/>
          <w:lang w:val="es-MX"/>
        </w:rPr>
        <w:t xml:space="preserve"> – </w:t>
      </w:r>
      <w:r>
        <w:rPr>
          <w:rFonts w:ascii="Verdana" w:hAnsi="Verdana"/>
          <w:lang w:val="es-MX"/>
        </w:rPr>
        <w:t>Fundamento normativo</w:t>
      </w:r>
      <w:r w:rsidRPr="008E7CED">
        <w:rPr>
          <w:rFonts w:ascii="Verdana" w:hAnsi="Verdana"/>
          <w:lang w:val="es-MX"/>
        </w:rPr>
        <w:t xml:space="preserve"> </w:t>
      </w:r>
      <w:r w:rsidRPr="00AE6CDB">
        <w:rPr>
          <w:rFonts w:ascii="Verdana" w:hAnsi="Verdana"/>
          <w:lang w:val="es-MX"/>
        </w:rPr>
        <w:t xml:space="preserve">/ </w:t>
      </w:r>
      <w:r w:rsidRPr="00AE6CDB">
        <w:rPr>
          <w:rFonts w:ascii="Verdana" w:hAnsi="Verdana"/>
          <w:lang w:val="es-ES_tradnl"/>
        </w:rPr>
        <w:t xml:space="preserve">DOCUMENTO TIPO DE CONVENIOS SOLIDARIOS – Giro y manejo de los recursos – Cláusulas 7 y 8 – Minuta Tipo – Alternativas – Administración de los recursos – Entidad financiera / DOCUMENTO TIPO DE CONVENIOS SOLIDARIOS – Giro y manejo de los recursos – Cláusulas 7 – Opción </w:t>
      </w:r>
      <w:r>
        <w:rPr>
          <w:rFonts w:ascii="Verdana" w:hAnsi="Verdana"/>
          <w:lang w:val="es-ES_tradnl"/>
        </w:rPr>
        <w:t>3</w:t>
      </w:r>
      <w:r w:rsidRPr="00AE6CDB">
        <w:rPr>
          <w:rFonts w:ascii="Verdana" w:hAnsi="Verdana"/>
          <w:lang w:val="es-ES_tradnl"/>
        </w:rPr>
        <w:t xml:space="preserve"> / DOCUMENTO TIPO DE CONVENIOS SOLIDARIOS – Giro y manejo de los recursos – Cláusulas 8 – Opción </w:t>
      </w:r>
      <w:r>
        <w:rPr>
          <w:rFonts w:ascii="Verdana" w:hAnsi="Verdana"/>
          <w:lang w:val="es-ES_tradnl"/>
        </w:rPr>
        <w:t>3</w:t>
      </w:r>
      <w:r w:rsidRPr="00AE6CDB">
        <w:rPr>
          <w:rFonts w:ascii="Verdana" w:hAnsi="Verdana"/>
          <w:lang w:val="es-ES_tradnl"/>
        </w:rPr>
        <w:t xml:space="preserve"> / DOCUMENTO TIPO DE CONVENIOS SOLIDARIOS – Giro y manejo de los recursos</w:t>
      </w:r>
      <w:r>
        <w:rPr>
          <w:rFonts w:ascii="Verdana" w:hAnsi="Verdana"/>
          <w:lang w:val="es-ES_tradnl"/>
        </w:rPr>
        <w:t xml:space="preserve"> /</w:t>
      </w:r>
      <w:r w:rsidRPr="00A32C27">
        <w:rPr>
          <w:rFonts w:ascii="Verdana" w:hAnsi="Verdana" w:cs="Arial"/>
          <w:b/>
        </w:rPr>
        <w:t xml:space="preserve"> </w:t>
      </w:r>
      <w:r w:rsidRPr="009F3CB8">
        <w:rPr>
          <w:rFonts w:ascii="Verdana" w:hAnsi="Verdana"/>
          <w:bCs/>
        </w:rPr>
        <w:t xml:space="preserve">SUPERVISIÓN – Noción ‒ Ley 1474 de 2011 </w:t>
      </w:r>
      <w:r>
        <w:rPr>
          <w:rFonts w:ascii="Verdana" w:hAnsi="Verdana"/>
          <w:bCs/>
        </w:rPr>
        <w:t xml:space="preserve"> /</w:t>
      </w:r>
      <w:r w:rsidRPr="00A32C27">
        <w:rPr>
          <w:rFonts w:ascii="Verdana" w:hAnsi="Verdana" w:cs="Arial"/>
          <w:b/>
          <w:color w:val="000000" w:themeColor="text1"/>
        </w:rPr>
        <w:t xml:space="preserve"> </w:t>
      </w:r>
      <w:r w:rsidRPr="00A32C27">
        <w:rPr>
          <w:rFonts w:ascii="Verdana" w:hAnsi="Verdana"/>
        </w:rPr>
        <w:t>SUPERVISIÓN – Características</w:t>
      </w:r>
      <w:r w:rsidRPr="00A32C27">
        <w:rPr>
          <w:rFonts w:ascii="Verdana" w:hAnsi="Verdana"/>
          <w:b/>
          <w:bCs/>
        </w:rPr>
        <w:t xml:space="preserve"> </w:t>
      </w:r>
    </w:p>
    <w:p w14:paraId="6A0EA0F0" w14:textId="77777777" w:rsidR="00AA5145" w:rsidRDefault="00AA5145" w:rsidP="00AA5145">
      <w:pPr>
        <w:ind w:left="2124"/>
        <w:jc w:val="both"/>
        <w:rPr>
          <w:rFonts w:ascii="Verdana" w:hAnsi="Verdana" w:cs="Calibri"/>
          <w:lang w:eastAsia="es-CO"/>
        </w:rPr>
      </w:pPr>
      <w:r w:rsidRPr="001B0CC7">
        <w:rPr>
          <w:rFonts w:ascii="Verdana" w:hAnsi="Verdana"/>
          <w:b/>
          <w:bCs/>
          <w:lang w:val="es-ES"/>
        </w:rPr>
        <w:t>Radicación:</w:t>
      </w:r>
      <w:r w:rsidRPr="00107EAC">
        <w:rPr>
          <w:rFonts w:ascii="Verdana" w:hAnsi="Verdana"/>
          <w:lang w:val="es-ES"/>
        </w:rPr>
        <w:t xml:space="preserve">  </w:t>
      </w:r>
      <w:r>
        <w:rPr>
          <w:rFonts w:ascii="Verdana" w:hAnsi="Verdana"/>
          <w:lang w:val="es-ES"/>
        </w:rPr>
        <w:t>Respuesta a la consulta Nro.</w:t>
      </w:r>
      <w:r w:rsidRPr="00107EAC">
        <w:rPr>
          <w:rFonts w:ascii="Verdana" w:hAnsi="Verdana"/>
          <w:lang w:val="es-ES"/>
        </w:rPr>
        <w:t xml:space="preserve"> </w:t>
      </w:r>
      <w:r w:rsidRPr="00B3377E">
        <w:rPr>
          <w:rFonts w:ascii="Verdana" w:hAnsi="Verdana" w:cs="Calibri"/>
          <w:lang w:eastAsia="es-CO"/>
        </w:rPr>
        <w:t>1_2025_0</w:t>
      </w:r>
      <w:r>
        <w:rPr>
          <w:rFonts w:ascii="Verdana" w:hAnsi="Verdana" w:cs="Calibri"/>
          <w:lang w:eastAsia="es-CO"/>
        </w:rPr>
        <w:t>9</w:t>
      </w:r>
      <w:r w:rsidRPr="00B3377E">
        <w:rPr>
          <w:rFonts w:ascii="Verdana" w:hAnsi="Verdana" w:cs="Calibri"/>
          <w:lang w:eastAsia="es-CO"/>
        </w:rPr>
        <w:t>_</w:t>
      </w:r>
      <w:r>
        <w:rPr>
          <w:rFonts w:ascii="Verdana" w:hAnsi="Verdana" w:cs="Calibri"/>
          <w:lang w:eastAsia="es-CO"/>
        </w:rPr>
        <w:t>22</w:t>
      </w:r>
      <w:r w:rsidRPr="00B3377E">
        <w:rPr>
          <w:rFonts w:ascii="Verdana" w:hAnsi="Verdana" w:cs="Calibri"/>
          <w:lang w:eastAsia="es-CO"/>
        </w:rPr>
        <w:t>_</w:t>
      </w:r>
      <w:r>
        <w:rPr>
          <w:rFonts w:ascii="Verdana" w:hAnsi="Verdana" w:cs="Calibri"/>
          <w:lang w:eastAsia="es-CO"/>
        </w:rPr>
        <w:t>010376</w:t>
      </w:r>
    </w:p>
    <w:p w14:paraId="4E41118B" w14:textId="77777777" w:rsidR="00AA5145" w:rsidRPr="00705C21" w:rsidRDefault="00AA5145" w:rsidP="00AA5145">
      <w:pPr>
        <w:ind w:left="2124"/>
        <w:jc w:val="both"/>
        <w:rPr>
          <w:rFonts w:ascii="Verdana" w:hAnsi="Verdana" w:cs="Calibri"/>
          <w:b/>
          <w:bCs/>
          <w:lang w:eastAsia="es-CO"/>
        </w:rPr>
      </w:pPr>
    </w:p>
    <w:p w14:paraId="314AF317" w14:textId="77777777" w:rsidR="00AA5145" w:rsidRDefault="00AA5145" w:rsidP="00AA5145">
      <w:pPr>
        <w:jc w:val="both"/>
        <w:rPr>
          <w:rFonts w:ascii="Verdana" w:hAnsi="Verdana" w:cs="Arial"/>
        </w:rPr>
      </w:pPr>
      <w:r>
        <w:rPr>
          <w:rFonts w:ascii="Verdana" w:hAnsi="Verdana" w:cs="Arial"/>
        </w:rPr>
        <w:t>Estimada Doctora Duran,</w:t>
      </w:r>
    </w:p>
    <w:p w14:paraId="235C7AEB" w14:textId="77777777" w:rsidR="00AA5145" w:rsidRDefault="00AA5145" w:rsidP="00AA5145">
      <w:pPr>
        <w:jc w:val="both"/>
        <w:rPr>
          <w:rFonts w:ascii="Verdana" w:hAnsi="Verdana" w:cs="Calibri"/>
          <w:color w:val="000000"/>
          <w:lang w:val="es-ES_tradnl" w:eastAsia="es-CO"/>
        </w:rPr>
      </w:pPr>
      <w:r>
        <w:rPr>
          <w:rFonts w:ascii="Verdana" w:hAnsi="Verdana" w:cs="Arial"/>
        </w:rPr>
        <w:t>E</w:t>
      </w:r>
      <w:r w:rsidRPr="00327DBF">
        <w:rPr>
          <w:rFonts w:ascii="Verdana" w:hAnsi="Verdana" w:cs="Calibri"/>
          <w:color w:val="000000"/>
          <w:lang w:val="es-ES_tradnl" w:eastAsia="es-CO"/>
        </w:rPr>
        <w:t xml:space="preserv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hAnsi="Verdana" w:cs="Calibri"/>
          <w:color w:val="000000"/>
          <w:lang w:val="es-ES_tradnl" w:eastAsia="es-CO"/>
        </w:rPr>
        <w:t>22</w:t>
      </w:r>
      <w:r w:rsidRPr="00327DBF">
        <w:rPr>
          <w:rFonts w:ascii="Verdana" w:hAnsi="Verdana" w:cs="Calibri"/>
          <w:color w:val="000000"/>
          <w:lang w:val="es-ES_tradnl" w:eastAsia="es-CO"/>
        </w:rPr>
        <w:t xml:space="preserve"> de</w:t>
      </w:r>
      <w:r>
        <w:rPr>
          <w:rFonts w:ascii="Verdana" w:hAnsi="Verdana" w:cs="Calibri"/>
          <w:color w:val="000000"/>
          <w:lang w:val="es-ES_tradnl" w:eastAsia="es-CO"/>
        </w:rPr>
        <w:t xml:space="preserve"> septiembre de </w:t>
      </w:r>
      <w:r w:rsidRPr="00327DBF">
        <w:rPr>
          <w:rFonts w:ascii="Verdana" w:hAnsi="Verdana" w:cs="Calibri"/>
          <w:color w:val="000000"/>
          <w:lang w:val="es-ES_tradnl" w:eastAsia="es-CO"/>
        </w:rPr>
        <w:t>2025, en la cual manifiesta lo siguiente:</w:t>
      </w:r>
    </w:p>
    <w:p w14:paraId="2DE460BD" w14:textId="77777777" w:rsidR="00AA5145" w:rsidRPr="00912E71" w:rsidRDefault="00AA5145" w:rsidP="00AA5145">
      <w:pPr>
        <w:jc w:val="both"/>
        <w:rPr>
          <w:rFonts w:ascii="Verdana" w:hAnsi="Verdana" w:cs="Calibri"/>
          <w:color w:val="000000"/>
          <w:lang w:val="es-ES_tradnl" w:eastAsia="es-CO"/>
        </w:rPr>
      </w:pPr>
    </w:p>
    <w:p w14:paraId="2D60048F" w14:textId="77777777" w:rsidR="00AA5145" w:rsidRPr="005F7080" w:rsidRDefault="00AA5145" w:rsidP="00AA5145">
      <w:pPr>
        <w:ind w:left="680" w:right="680"/>
        <w:jc w:val="both"/>
        <w:rPr>
          <w:rFonts w:ascii="Verdana" w:hAnsi="Verdana" w:cs="Calibri"/>
          <w:color w:val="000000"/>
          <w:sz w:val="20"/>
          <w:szCs w:val="20"/>
          <w:lang w:val="es-ES_tradnl" w:eastAsia="es-CO"/>
        </w:rPr>
      </w:pPr>
      <w:r>
        <w:rPr>
          <w:rFonts w:ascii="Verdana" w:hAnsi="Verdana" w:cs="Calibri"/>
          <w:color w:val="000000"/>
          <w:sz w:val="20"/>
          <w:szCs w:val="20"/>
          <w:lang w:val="es-ES_tradnl" w:eastAsia="es-CO"/>
        </w:rPr>
        <w:lastRenderedPageBreak/>
        <w:t>“</w:t>
      </w:r>
      <w:r w:rsidRPr="005F7080">
        <w:rPr>
          <w:rFonts w:ascii="Verdana" w:hAnsi="Verdana" w:cs="Calibri"/>
          <w:color w:val="000000"/>
          <w:sz w:val="20"/>
          <w:szCs w:val="20"/>
          <w:lang w:val="es-ES_tradnl" w:eastAsia="es-CO"/>
        </w:rPr>
        <w:t>¿Lo establecido en la minuta tipo respecto al rol del supervisor como usuario aprobador en la cuenta dual (Opción 3) resulta contrario a lo reglado por la Ley 1474 de 2011, en cuanto podría desnaturalizar su función de seguimiento y vigilancia, al asignarle una tarea que podría interpretarse como ordenación del pago?</w:t>
      </w:r>
      <w:r>
        <w:rPr>
          <w:rFonts w:ascii="Verdana" w:hAnsi="Verdana" w:cs="Calibri"/>
          <w:color w:val="000000"/>
          <w:sz w:val="20"/>
          <w:szCs w:val="20"/>
          <w:lang w:val="es-ES_tradnl" w:eastAsia="es-CO"/>
        </w:rPr>
        <w:t>” (…)</w:t>
      </w:r>
    </w:p>
    <w:p w14:paraId="579BA9E1" w14:textId="77777777" w:rsidR="00AA5145" w:rsidRDefault="00AA5145" w:rsidP="00AA5145">
      <w:pPr>
        <w:spacing w:after="0" w:line="276" w:lineRule="auto"/>
        <w:jc w:val="both"/>
        <w:textAlignment w:val="baseline"/>
        <w:rPr>
          <w:rFonts w:ascii="Verdana" w:hAnsi="Verdana" w:cs="Calibri"/>
          <w:color w:val="000000"/>
          <w:lang w:eastAsia="es-CO"/>
        </w:rPr>
      </w:pPr>
    </w:p>
    <w:p w14:paraId="09D104F8" w14:textId="77777777" w:rsidR="00AA5145" w:rsidRPr="009A726D" w:rsidRDefault="00AA5145" w:rsidP="00AA5145">
      <w:pPr>
        <w:spacing w:after="120" w:line="276" w:lineRule="auto"/>
        <w:ind w:firstLine="709"/>
        <w:jc w:val="both"/>
        <w:rPr>
          <w:rFonts w:ascii="Verdana" w:hAnsi="Verdana" w:cs="Arial"/>
          <w:color w:val="000000"/>
          <w:szCs w:val="24"/>
          <w:lang w:val="es-ES_tradnl" w:eastAsia="es-ES_tradnl"/>
        </w:rPr>
      </w:pPr>
      <w:r w:rsidRPr="009A726D">
        <w:rPr>
          <w:rFonts w:ascii="Verdana" w:hAnsi="Verdana" w:cs="Arial"/>
          <w:color w:val="000000"/>
          <w:lang w:val="es-ES" w:eastAsia="es-ES"/>
        </w:rPr>
        <w:t xml:space="preserve">De manera preliminar, resulta necesario precisar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A726D">
        <w:rPr>
          <w:rFonts w:ascii="Verdana" w:hAnsi="Verdana" w:cs="Arial"/>
          <w:color w:val="000000"/>
          <w:szCs w:val="24"/>
          <w:lang w:val="es-ES_tradnl" w:eastAsia="es-ES_tradnl"/>
        </w:rPr>
        <w:tab/>
      </w:r>
    </w:p>
    <w:p w14:paraId="32B8449C" w14:textId="77777777" w:rsidR="00AA5145" w:rsidRPr="009A726D" w:rsidRDefault="00AA5145" w:rsidP="00AA5145">
      <w:pPr>
        <w:spacing w:after="120" w:line="276" w:lineRule="auto"/>
        <w:ind w:firstLine="709"/>
        <w:jc w:val="both"/>
        <w:rPr>
          <w:rFonts w:ascii="Verdana" w:hAnsi="Verdana" w:cs="Arial"/>
          <w:lang w:val="es-ES" w:eastAsia="es-ES"/>
        </w:rPr>
      </w:pPr>
      <w:r w:rsidRPr="009A726D">
        <w:rPr>
          <w:rFonts w:ascii="Verdana"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22CD615" w14:textId="77777777" w:rsidR="00AA5145" w:rsidRPr="009A726D" w:rsidRDefault="00AA5145" w:rsidP="00AA5145">
      <w:pPr>
        <w:spacing w:after="0" w:line="276" w:lineRule="auto"/>
        <w:jc w:val="both"/>
        <w:rPr>
          <w:rFonts w:ascii="Verdana" w:hAnsi="Verdana" w:cs="Arial"/>
          <w:color w:val="000000"/>
          <w:lang w:val="es-ES" w:eastAsia="es-ES"/>
        </w:rPr>
      </w:pPr>
    </w:p>
    <w:p w14:paraId="6D1DD36B" w14:textId="77777777" w:rsidR="00AA5145" w:rsidRPr="009A726D" w:rsidRDefault="00AA5145" w:rsidP="00AA5145">
      <w:pPr>
        <w:numPr>
          <w:ilvl w:val="0"/>
          <w:numId w:val="16"/>
        </w:numPr>
        <w:tabs>
          <w:tab w:val="left" w:pos="142"/>
          <w:tab w:val="left" w:pos="284"/>
        </w:tabs>
        <w:spacing w:after="0" w:line="276" w:lineRule="auto"/>
        <w:ind w:left="0" w:firstLine="0"/>
        <w:contextualSpacing/>
        <w:jc w:val="both"/>
        <w:rPr>
          <w:rFonts w:ascii="Verdana" w:hAnsi="Verdana" w:cs="Century Gothic"/>
          <w:b/>
          <w:bCs/>
          <w:lang w:val="es-ES"/>
        </w:rPr>
      </w:pPr>
      <w:r w:rsidRPr="009A726D">
        <w:rPr>
          <w:rFonts w:ascii="Verdana" w:hAnsi="Verdana" w:cs="Century Gothic"/>
          <w:b/>
          <w:bCs/>
          <w:lang w:val="es-ES"/>
        </w:rPr>
        <w:t>Problema planteado:</w:t>
      </w:r>
    </w:p>
    <w:p w14:paraId="2C44B060" w14:textId="77777777" w:rsidR="00AA5145" w:rsidRPr="009A726D" w:rsidRDefault="00AA5145" w:rsidP="00AA5145">
      <w:pPr>
        <w:spacing w:after="0" w:line="240" w:lineRule="auto"/>
        <w:ind w:right="709"/>
        <w:jc w:val="both"/>
        <w:rPr>
          <w:rFonts w:ascii="Verdana" w:hAnsi="Verdana" w:cs="Century Gothic"/>
          <w:lang w:val="es-ES"/>
        </w:rPr>
      </w:pPr>
    </w:p>
    <w:p w14:paraId="622F1A21" w14:textId="77777777" w:rsidR="00AA5145" w:rsidRDefault="00AA5145" w:rsidP="00AA5145">
      <w:pPr>
        <w:spacing w:after="0" w:line="276" w:lineRule="auto"/>
        <w:jc w:val="both"/>
        <w:rPr>
          <w:rFonts w:ascii="Verdana" w:hAnsi="Verdana" w:cs="Century Gothic"/>
          <w:lang w:val="es-ES"/>
        </w:rPr>
      </w:pPr>
      <w:r w:rsidRPr="009A726D">
        <w:rPr>
          <w:rFonts w:ascii="Verdana" w:hAnsi="Verdana"/>
        </w:rPr>
        <w:t>De acuerdo con el contenido de su solicitud, esta Agencia resolverá el siguiente problema jurídico:</w:t>
      </w:r>
      <w:r w:rsidRPr="009A726D">
        <w:rPr>
          <w:rFonts w:ascii="Verdana" w:hAnsi="Verdana" w:cs="Century Gothic"/>
          <w:lang w:val="es-ES"/>
        </w:rPr>
        <w:t xml:space="preserve"> </w:t>
      </w:r>
      <w:r>
        <w:rPr>
          <w:rFonts w:ascii="Verdana" w:hAnsi="Verdana" w:cs="Century Gothic"/>
          <w:lang w:val="es-ES"/>
        </w:rPr>
        <w:t>¿Lo establecido en la opción 3 de la cláusula 7 del documento tipo de convenios solidarios resulta contrario a los establecido en la ley 1474 de 2011 por cuanto desnaturalizaría la función de los supervisores?</w:t>
      </w:r>
    </w:p>
    <w:p w14:paraId="440A5A3A" w14:textId="77777777" w:rsidR="00AA5145" w:rsidRDefault="00AA5145" w:rsidP="00AA5145">
      <w:pPr>
        <w:spacing w:after="0" w:line="276" w:lineRule="auto"/>
        <w:jc w:val="both"/>
        <w:rPr>
          <w:rFonts w:ascii="Verdana" w:hAnsi="Verdana" w:cs="Century Gothic"/>
          <w:lang w:val="es-ES"/>
        </w:rPr>
      </w:pPr>
    </w:p>
    <w:p w14:paraId="5C342EAC" w14:textId="77777777" w:rsidR="00AA5145" w:rsidRDefault="00AA5145" w:rsidP="00AA5145">
      <w:pPr>
        <w:spacing w:after="0" w:line="276" w:lineRule="auto"/>
        <w:jc w:val="both"/>
        <w:rPr>
          <w:rFonts w:ascii="Verdana" w:hAnsi="Verdana" w:cs="Century Gothic"/>
          <w:lang w:val="es-ES"/>
        </w:rPr>
      </w:pPr>
    </w:p>
    <w:p w14:paraId="58EF60E3" w14:textId="77777777" w:rsidR="00AA5145" w:rsidRDefault="00AA5145" w:rsidP="00AA5145">
      <w:pPr>
        <w:spacing w:after="0" w:line="276" w:lineRule="auto"/>
        <w:jc w:val="both"/>
        <w:rPr>
          <w:rFonts w:ascii="Verdana" w:hAnsi="Verdana" w:cs="Century Gothic"/>
          <w:lang w:val="es-ES"/>
        </w:rPr>
      </w:pPr>
    </w:p>
    <w:p w14:paraId="7264CD96" w14:textId="77777777" w:rsidR="00AA5145" w:rsidRDefault="00AA5145" w:rsidP="00AA5145">
      <w:pPr>
        <w:spacing w:after="0" w:line="276" w:lineRule="auto"/>
        <w:jc w:val="both"/>
        <w:rPr>
          <w:rFonts w:ascii="Verdana" w:hAnsi="Verdana" w:cs="Century Gothic"/>
          <w:b/>
          <w:bCs/>
          <w:lang w:val="es-ES"/>
        </w:rPr>
      </w:pPr>
      <w:r w:rsidRPr="00FA6B40">
        <w:rPr>
          <w:rFonts w:ascii="Verdana" w:hAnsi="Verdana" w:cs="Century Gothic"/>
          <w:b/>
          <w:bCs/>
          <w:lang w:val="es-ES"/>
        </w:rPr>
        <w:t xml:space="preserve">2. Respuesta: </w:t>
      </w:r>
    </w:p>
    <w:p w14:paraId="202FEDA1"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lang w:val="es-ES"/>
        </w:rPr>
      </w:pPr>
      <w:r>
        <w:rPr>
          <w:rFonts w:ascii="Verdana" w:hAnsi="Verdana" w:cs="Century Gothic"/>
          <w:lang w:val="es-ES"/>
        </w:rPr>
        <w:t xml:space="preserve">La minuta tipo de convenios solidarios establece para la ejecución y manejo de los recursos tres opciones de los cuales la Entidad Estatal que decida adelantar el proceso para la ejecución de una obra hasta la menor cuantía con un </w:t>
      </w:r>
      <w:r>
        <w:rPr>
          <w:rFonts w:ascii="Verdana" w:hAnsi="Verdana" w:cs="Century Gothic"/>
          <w:lang w:val="es-ES"/>
        </w:rPr>
        <w:lastRenderedPageBreak/>
        <w:t xml:space="preserve">organismo de acción comunal debe decidir una de estas para realizar el respectivo desembolso y el </w:t>
      </w:r>
      <w:proofErr w:type="gramStart"/>
      <w:r>
        <w:rPr>
          <w:rFonts w:ascii="Verdana" w:hAnsi="Verdana" w:cs="Century Gothic"/>
          <w:lang w:val="es-ES"/>
        </w:rPr>
        <w:t>manejo  de</w:t>
      </w:r>
      <w:proofErr w:type="gramEnd"/>
      <w:r>
        <w:rPr>
          <w:rFonts w:ascii="Verdana" w:hAnsi="Verdana" w:cs="Century Gothic"/>
          <w:lang w:val="es-ES"/>
        </w:rPr>
        <w:t xml:space="preserve"> los recursos en dinero. </w:t>
      </w:r>
    </w:p>
    <w:p w14:paraId="69BBEFF5"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lang w:val="es-ES"/>
        </w:rPr>
      </w:pPr>
    </w:p>
    <w:p w14:paraId="69F18C3A" w14:textId="77777777" w:rsidR="00AA5145" w:rsidRPr="0029410B"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Pr>
          <w:rFonts w:ascii="Verdana" w:hAnsi="Verdana" w:cs="Century Gothic"/>
          <w:bCs/>
        </w:rPr>
        <w:t xml:space="preserve">Ahora bien, la opción que usted refiere en su pregunta es la establecida en </w:t>
      </w:r>
      <w:r w:rsidRPr="0029410B">
        <w:rPr>
          <w:rFonts w:ascii="Verdana" w:hAnsi="Verdana" w:cs="Century Gothic"/>
          <w:bCs/>
        </w:rPr>
        <w:t xml:space="preserve">la Opción </w:t>
      </w:r>
      <w:r>
        <w:rPr>
          <w:rFonts w:ascii="Verdana" w:hAnsi="Verdana" w:cs="Century Gothic"/>
          <w:bCs/>
        </w:rPr>
        <w:t>3 de la Clausula 7</w:t>
      </w:r>
      <w:r w:rsidRPr="0029410B">
        <w:rPr>
          <w:rFonts w:ascii="Verdana" w:hAnsi="Verdana" w:cs="Century Gothic"/>
          <w:bCs/>
        </w:rPr>
        <w:t xml:space="preserve"> “Giro de los recursos” de la Minuta Tipo de Convenios Solidarios.</w:t>
      </w:r>
      <w:r w:rsidRPr="0029410B">
        <w:rPr>
          <w:rFonts w:ascii="Verdana" w:hAnsi="Verdana" w:cs="Century Gothic"/>
        </w:rPr>
        <w:t xml:space="preserve"> El inciso primero de esa opción, indica parámetros obligatorios que debe incluir la entidad que la escoja. De esta forma, el giro de los recursos se realizará </w:t>
      </w:r>
      <w:r w:rsidRPr="001C4BD0">
        <w:rPr>
          <w:rFonts w:ascii="Verdana" w:hAnsi="Verdana" w:cs="Century Gothic"/>
        </w:rPr>
        <w:t>a cuenta bancaria a nombre del convenio que genere rendimientos financieros y sin 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Estatal, por lo cual para cualquier disposición que se realice de los recursos se deberá contar siempre con la aprobación dual</w:t>
      </w:r>
      <w:r w:rsidRPr="0029410B">
        <w:rPr>
          <w:rFonts w:ascii="Verdana" w:hAnsi="Verdana" w:cs="Century Gothic"/>
        </w:rPr>
        <w:t>.</w:t>
      </w:r>
    </w:p>
    <w:p w14:paraId="729D816E" w14:textId="77777777" w:rsidR="00AA5145" w:rsidRPr="0029410B"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lang w:val="es-ES"/>
        </w:rPr>
      </w:pPr>
      <w:r w:rsidRPr="0029410B">
        <w:rPr>
          <w:rFonts w:ascii="Verdana" w:hAnsi="Verdana" w:cs="Century Gothic"/>
          <w:lang w:val="es-ES"/>
        </w:rPr>
        <w:t xml:space="preserve"> </w:t>
      </w:r>
    </w:p>
    <w:p w14:paraId="1F7B5C8A" w14:textId="77777777" w:rsidR="00AA5145" w:rsidRPr="0029410B"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sidRPr="0029410B">
        <w:rPr>
          <w:rFonts w:ascii="Verdana" w:hAnsi="Verdana" w:cs="Century Gothic"/>
        </w:rPr>
        <w:t xml:space="preserve">Así mismo, la opción señala que </w:t>
      </w:r>
      <w:r w:rsidRPr="00B03462">
        <w:rPr>
          <w:rFonts w:ascii="Verdana" w:hAnsi="Verdana" w:cs="Century Gothic"/>
        </w:rPr>
        <w:t>La Entidad Estatal puede indicar condiciones propias de los giros respecto de la disponibilidad de</w:t>
      </w:r>
      <w:r>
        <w:rPr>
          <w:rFonts w:ascii="Verdana" w:hAnsi="Verdana" w:cs="Century Gothic"/>
        </w:rPr>
        <w:t>l</w:t>
      </w:r>
      <w:r w:rsidRPr="00B03462">
        <w:rPr>
          <w:rFonts w:ascii="Verdana" w:hAnsi="Verdana" w:cs="Century Gothic"/>
        </w:rPr>
        <w:t xml:space="preserve"> PAC o Soportes que se requieran de la OAC para efectuar el giro de los recursos</w:t>
      </w:r>
      <w:r w:rsidRPr="0029410B">
        <w:rPr>
          <w:rFonts w:ascii="Verdana" w:hAnsi="Verdana" w:cs="Century Gothic"/>
        </w:rPr>
        <w:t>.</w:t>
      </w:r>
    </w:p>
    <w:p w14:paraId="5A99CC1C"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lang w:val="es-ES"/>
        </w:rPr>
      </w:pPr>
    </w:p>
    <w:p w14:paraId="59382DEE"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Pr>
          <w:rFonts w:ascii="Verdana" w:hAnsi="Verdana" w:cs="Century Gothic"/>
        </w:rPr>
        <w:t xml:space="preserve">En relación con lo anterior, </w:t>
      </w:r>
      <w:r w:rsidRPr="00FE147C">
        <w:rPr>
          <w:rFonts w:ascii="Verdana" w:hAnsi="Verdana" w:cs="Century Gothic"/>
        </w:rPr>
        <w:t xml:space="preserve">la cláusula 8 de la Minuta Tipo dispone de tres (3) alternativas para el manejo de los recursos, dependiendo de si se opta por la opción 1, 2 o 3 de la cláusula 7 para el giro de los recursos. Esto significa que la opción para el manejo de los recursos debe incluirse dependiendo de la opción de giro de recursos que se haya escogido. Estas opciones contienen unas condiciones que deben cumplirse y, en caso de que se opte por la opción </w:t>
      </w:r>
      <w:r>
        <w:rPr>
          <w:rFonts w:ascii="Verdana" w:hAnsi="Verdana" w:cs="Century Gothic"/>
        </w:rPr>
        <w:t>3</w:t>
      </w:r>
      <w:r w:rsidRPr="00FE147C">
        <w:rPr>
          <w:rFonts w:ascii="Verdana" w:hAnsi="Verdana" w:cs="Century Gothic"/>
        </w:rPr>
        <w:t xml:space="preserve"> de la cláusula 7 de la Minuta Tipo, que implica que se realicen giros de recursos a cuenta conjunta a nombre del convenio</w:t>
      </w:r>
      <w:r>
        <w:rPr>
          <w:rFonts w:ascii="Verdana" w:hAnsi="Verdana" w:cs="Century Gothic"/>
        </w:rPr>
        <w:t xml:space="preserve"> con manejo electrónico se debe elegir la opción 3 de la presenta cláusula. </w:t>
      </w:r>
    </w:p>
    <w:p w14:paraId="5B46E28B"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p>
    <w:p w14:paraId="496DDB97"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Pr>
          <w:rFonts w:ascii="Verdana" w:hAnsi="Verdana" w:cs="Century Gothic"/>
        </w:rPr>
        <w:t xml:space="preserve">La mitigacion de riesgos y la prevencion de actos de corrupción es sin duda alguna una de las acciones más importantes que deben realizar los administradores de los recursos públicos, para ello, el ordenamiento jurídico prevé de mecanismos tales como la supervisión e interventoría en los procesos contractuales por medio de los cuales se realiza el seguimiento técnico, administrativo, financiero, contable y jurídico sobre los contratos estatales. </w:t>
      </w:r>
    </w:p>
    <w:p w14:paraId="168E1BAE"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p>
    <w:p w14:paraId="64C8A44C"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Pr>
          <w:rFonts w:ascii="Verdana" w:hAnsi="Verdana" w:cs="Century Gothic"/>
        </w:rPr>
        <w:lastRenderedPageBreak/>
        <w:t xml:space="preserve">Así las cosas y conforme a  la pregunta objeto de consulta, es importante resaltar que la función del supervisor y/o interventor en lo referente al uso de los recursos en la cuenta conjunta, es la de verificar que se cumplan los requisitos o documentos soporte del desembolso tales como cuenta de cobro y/o factura emitida por el tercero que realiza el cobro, soporte de pago de seguridad social del prestador del bien o servicio que presenta la cuenta de cobro y/o factura, entre otros que pueda incluir la Entidad Estatal por medio de los cuales considera se deba contrastar la prestación efectiva de un bien o servicio por parte de terceros. </w:t>
      </w:r>
    </w:p>
    <w:p w14:paraId="0053D965"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p>
    <w:p w14:paraId="2BC7ACBE"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Pr>
          <w:rFonts w:ascii="Verdana" w:hAnsi="Verdana" w:cs="Century Gothic"/>
        </w:rPr>
        <w:t xml:space="preserve">Una vez el supervisor y/o interventor del convenio verifique la información aportada por el prestador del bien y/o servicio, lo que procede es que en el marco de sus funciones de vigilancia y control proceda aprobar la respectiva transferencia de los recursos que ya fueron desembolsados a la cuenta conjunta por parte del ordenador del gasto de la Entidad Estatal. </w:t>
      </w:r>
    </w:p>
    <w:p w14:paraId="263ABF95"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p>
    <w:p w14:paraId="36D46EBA"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r>
        <w:rPr>
          <w:rFonts w:ascii="Verdana" w:hAnsi="Verdana" w:cs="Century Gothic"/>
        </w:rPr>
        <w:t>En consecuencia, la labor de los supervisores e interventores en los convenios solidarios no desnaturaliza la función de esta toda vez que lo que se realiza es un seguimiento al cumplimiento de las obligaciones del convenio que se han estipulado previamente en la minuta tipo. Es pertinente también resaltar que, el ordenador del gasto previamente ya ha realizado los desembolsos de los recursos y estos se encuentran en la cuenta conjunta del convenio y el uso, manejo y disposición es conjunta en la cual interviene el respectivo OAC y la figura de vigilancia y control que haya estipulado la Entidad Estatal.</w:t>
      </w:r>
    </w:p>
    <w:p w14:paraId="0EA8A6DF" w14:textId="77777777" w:rsidR="00AA5145" w:rsidRPr="00FE147C"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lang w:val="es-MX"/>
        </w:rPr>
      </w:pPr>
    </w:p>
    <w:p w14:paraId="77166F8E" w14:textId="77777777" w:rsidR="00AA5145" w:rsidRDefault="00AA5145" w:rsidP="00AA5145">
      <w:pPr>
        <w:pBdr>
          <w:top w:val="single" w:sz="4" w:space="1" w:color="auto"/>
          <w:left w:val="single" w:sz="4" w:space="4" w:color="auto"/>
          <w:bottom w:val="single" w:sz="4" w:space="0" w:color="auto"/>
          <w:right w:val="single" w:sz="4" w:space="4" w:color="auto"/>
        </w:pBdr>
        <w:spacing w:after="0" w:line="276" w:lineRule="auto"/>
        <w:jc w:val="both"/>
        <w:rPr>
          <w:rFonts w:ascii="Verdana" w:hAnsi="Verdana" w:cs="Century Gothic"/>
        </w:rPr>
      </w:pPr>
    </w:p>
    <w:p w14:paraId="32C2A3C8" w14:textId="77777777" w:rsidR="00AA5145" w:rsidRPr="00FA6B40" w:rsidRDefault="00AA5145" w:rsidP="00AA5145">
      <w:pPr>
        <w:spacing w:after="0" w:line="276" w:lineRule="auto"/>
        <w:jc w:val="both"/>
        <w:rPr>
          <w:rFonts w:ascii="Verdana" w:hAnsi="Verdana" w:cs="Century Gothic"/>
          <w:b/>
          <w:bCs/>
          <w:lang w:val="es-ES"/>
        </w:rPr>
      </w:pPr>
    </w:p>
    <w:p w14:paraId="7011F99C" w14:textId="77777777" w:rsidR="00AA5145" w:rsidRDefault="00AA5145" w:rsidP="00AA5145">
      <w:pPr>
        <w:spacing w:after="0" w:line="276" w:lineRule="auto"/>
        <w:jc w:val="both"/>
        <w:rPr>
          <w:rFonts w:ascii="Verdana" w:hAnsi="Verdana" w:cs="Century Gothic"/>
          <w:lang w:val="es-ES"/>
        </w:rPr>
      </w:pPr>
      <w:r w:rsidRPr="00FA6B40">
        <w:rPr>
          <w:rFonts w:ascii="Verdana" w:hAnsi="Verdana" w:cs="Century Gothic"/>
          <w:b/>
          <w:bCs/>
          <w:lang w:val="es-ES"/>
        </w:rPr>
        <w:t>3. Razones de la respuesta</w:t>
      </w:r>
      <w:r>
        <w:rPr>
          <w:rFonts w:ascii="Verdana" w:hAnsi="Verdana" w:cs="Century Gothic"/>
          <w:lang w:val="es-ES"/>
        </w:rPr>
        <w:t xml:space="preserve">: </w:t>
      </w:r>
    </w:p>
    <w:p w14:paraId="7CA1BA39" w14:textId="77777777" w:rsidR="00AA5145" w:rsidRDefault="00AA5145" w:rsidP="00AA5145">
      <w:pPr>
        <w:spacing w:after="0" w:line="276" w:lineRule="auto"/>
        <w:jc w:val="both"/>
        <w:rPr>
          <w:rFonts w:ascii="Verdana" w:hAnsi="Verdana" w:cs="Century Gothic"/>
          <w:lang w:val="es-ES"/>
        </w:rPr>
      </w:pPr>
    </w:p>
    <w:p w14:paraId="637213EB" w14:textId="77777777" w:rsidR="00AA5145" w:rsidRDefault="00AA5145" w:rsidP="00AA5145">
      <w:pPr>
        <w:spacing w:after="0" w:line="276" w:lineRule="auto"/>
        <w:jc w:val="both"/>
        <w:rPr>
          <w:rFonts w:ascii="Verdana" w:hAnsi="Verdana" w:cs="Century Gothic"/>
          <w:lang w:val="es-ES"/>
        </w:rPr>
      </w:pPr>
      <w:r>
        <w:rPr>
          <w:rFonts w:ascii="Verdana" w:hAnsi="Verdana" w:cs="Century Gothic"/>
          <w:lang w:val="es-ES"/>
        </w:rPr>
        <w:t xml:space="preserve">Lo anterior se sustenta en las siguientes consideraciones: </w:t>
      </w:r>
    </w:p>
    <w:p w14:paraId="2A72F7E9" w14:textId="77777777" w:rsidR="00AA5145" w:rsidRDefault="00AA5145" w:rsidP="00AA5145">
      <w:pPr>
        <w:spacing w:after="0" w:line="276" w:lineRule="auto"/>
        <w:jc w:val="both"/>
        <w:rPr>
          <w:rFonts w:ascii="Verdana" w:hAnsi="Verdana" w:cs="Century Gothic"/>
          <w:lang w:val="es-ES"/>
        </w:rPr>
      </w:pPr>
    </w:p>
    <w:p w14:paraId="179D81CF" w14:textId="77777777" w:rsidR="00AA5145" w:rsidRPr="00E64194" w:rsidRDefault="00AA5145" w:rsidP="00AA5145">
      <w:pPr>
        <w:spacing w:after="0" w:line="276" w:lineRule="auto"/>
        <w:jc w:val="both"/>
        <w:rPr>
          <w:rFonts w:ascii="Verdana" w:hAnsi="Verdana" w:cs="Century Gothic"/>
          <w:lang w:val="es-ES"/>
        </w:rPr>
      </w:pPr>
      <w:r>
        <w:rPr>
          <w:rFonts w:ascii="Verdana" w:hAnsi="Verdana" w:cs="Century Gothic"/>
          <w:lang w:val="es-ES"/>
        </w:rPr>
        <w:t xml:space="preserve">Con </w:t>
      </w:r>
      <w:r w:rsidRPr="00E64194">
        <w:rPr>
          <w:rFonts w:ascii="Verdana" w:hAnsi="Verdana" w:cs="Century Gothic"/>
          <w:lang w:val="es-ES"/>
        </w:rPr>
        <w:t>fundamento en la competencia prevista en el artículo 1 de la Ley 2022 de 2020</w:t>
      </w:r>
      <w:r w:rsidRPr="00E64194">
        <w:rPr>
          <w:rFonts w:ascii="Verdana" w:hAnsi="Verdana" w:cs="Century Gothic"/>
          <w:vertAlign w:val="superscript"/>
          <w:lang w:val="es-ES"/>
        </w:rPr>
        <w:footnoteReference w:id="1"/>
      </w:r>
      <w:r w:rsidRPr="00E64194">
        <w:rPr>
          <w:rFonts w:ascii="Verdana" w:hAnsi="Verdana" w:cs="Century Gothic"/>
          <w:lang w:val="es-ES"/>
        </w:rPr>
        <w:t xml:space="preserve">, el 30 de junio de 2023 la Agencia Nacional de Contratación Pública – </w:t>
      </w:r>
      <w:r w:rsidRPr="00E64194">
        <w:rPr>
          <w:rFonts w:ascii="Verdana" w:hAnsi="Verdana" w:cs="Century Gothic"/>
          <w:lang w:val="es-ES"/>
        </w:rPr>
        <w:lastRenderedPageBreak/>
        <w:t>Colombia Compra Eficiente expidió la Resolución 358 de 2023 “</w:t>
      </w:r>
      <w:hyperlink r:id="rId13" w:history="1">
        <w:r w:rsidRPr="00E64194">
          <w:rPr>
            <w:rStyle w:val="Hipervnculo"/>
            <w:rFonts w:ascii="Verdana" w:hAnsi="Verdana" w:cs="Century Gothic"/>
            <w:lang w:val="es-ES"/>
          </w:rPr>
          <w:t>Por la cual se adopta el documento tipo para la contratación directa de convenios solidarios para la ejecución de obras hasta la menor cuantía con organismos de acción comunal”. </w:t>
        </w:r>
      </w:hyperlink>
      <w:r w:rsidRPr="00E64194">
        <w:rPr>
          <w:rFonts w:ascii="Verdana" w:hAnsi="Verdana" w:cs="Century Gothic"/>
          <w:lang w:val="es-ES"/>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1089A5B6" w14:textId="77777777" w:rsidR="00AA5145" w:rsidRDefault="00AA5145" w:rsidP="00AA5145">
      <w:pPr>
        <w:spacing w:after="0" w:line="276" w:lineRule="auto"/>
        <w:ind w:firstLine="708"/>
        <w:jc w:val="both"/>
        <w:rPr>
          <w:rFonts w:ascii="Verdana" w:hAnsi="Verdana" w:cs="Century Gothic"/>
          <w:lang w:val="es-ES"/>
        </w:rPr>
      </w:pPr>
    </w:p>
    <w:p w14:paraId="0BA703D9" w14:textId="77777777" w:rsidR="00AA5145" w:rsidRPr="00E64194" w:rsidRDefault="00AA5145" w:rsidP="00AA5145">
      <w:pPr>
        <w:spacing w:after="0" w:line="276" w:lineRule="auto"/>
        <w:ind w:firstLine="708"/>
        <w:jc w:val="both"/>
        <w:rPr>
          <w:rFonts w:ascii="Verdana" w:hAnsi="Verdana" w:cs="Century Gothic"/>
          <w:lang w:val="es-ES"/>
        </w:rPr>
      </w:pPr>
      <w:r w:rsidRPr="00E64194">
        <w:rPr>
          <w:rFonts w:ascii="Verdana" w:hAnsi="Verdana" w:cs="Century Gothic"/>
          <w:lang w:val="es-ES"/>
        </w:rPr>
        <w:t>El artículo 2 consagra que los documentos que se adoptan por medio de la Resolución contienen parámetros obligatorios para las entidades sometidas al Estatuto General de Contratación de la Administración Pública que adelanten procesos de selección bajo la modalidad de contratación directa para la celebración de convenios solidarios con organismos de acción comunal para la ejecución de obras hasta el monto de la menor cuantía</w:t>
      </w:r>
      <w:r w:rsidRPr="00E64194">
        <w:rPr>
          <w:rFonts w:ascii="Verdana" w:hAnsi="Verdana" w:cs="Century Gothic"/>
          <w:vertAlign w:val="superscript"/>
          <w:lang w:val="es-ES"/>
        </w:rPr>
        <w:footnoteReference w:id="2"/>
      </w:r>
      <w:r w:rsidRPr="00E64194">
        <w:rPr>
          <w:rFonts w:ascii="Verdana" w:hAnsi="Verdana" w:cs="Century Gothic"/>
          <w:lang w:val="es-ES"/>
        </w:rPr>
        <w:t xml:space="preserve">. Además, en este artículo se señala que componen ese documento tipo: i) Minuta tipo, ii) Anexo1 – Especificaciones técnicas, iii) Anexo 2 – Análisis del Sector y iv) Matriz de Riesgos. </w:t>
      </w:r>
    </w:p>
    <w:p w14:paraId="214B4F4F" w14:textId="77777777" w:rsidR="00AA5145" w:rsidRPr="00E64194" w:rsidRDefault="00AA5145" w:rsidP="00AA5145">
      <w:pPr>
        <w:spacing w:after="0" w:line="276" w:lineRule="auto"/>
        <w:jc w:val="both"/>
        <w:rPr>
          <w:rFonts w:ascii="Verdana" w:hAnsi="Verdana" w:cs="Century Gothic"/>
          <w:lang w:val="es-ES"/>
        </w:rPr>
      </w:pPr>
    </w:p>
    <w:p w14:paraId="612E5B5F" w14:textId="77777777" w:rsidR="00AA5145" w:rsidRPr="00E64194" w:rsidRDefault="00AA5145" w:rsidP="00AA5145">
      <w:pPr>
        <w:spacing w:after="0" w:line="276" w:lineRule="auto"/>
        <w:ind w:firstLine="708"/>
        <w:jc w:val="both"/>
        <w:rPr>
          <w:rFonts w:ascii="Verdana" w:hAnsi="Verdana" w:cs="Century Gothic"/>
          <w:bCs/>
          <w:lang w:val="es-ES_tradnl"/>
        </w:rPr>
      </w:pPr>
      <w:r w:rsidRPr="00E64194">
        <w:rPr>
          <w:rFonts w:ascii="Verdana" w:hAnsi="Verdana" w:cs="Century Gothic"/>
          <w:lang w:val="es-ES"/>
        </w:rPr>
        <w:t xml:space="preserve">El artículo 3 </w:t>
      </w:r>
      <w:r w:rsidRPr="00E64194">
        <w:rPr>
          <w:rFonts w:ascii="Verdana" w:hAnsi="Verdana" w:cs="Century Gothic"/>
          <w:bCs/>
          <w:lang w:val="es-ES_tradnl"/>
        </w:rPr>
        <w:t xml:space="preserve">dispone la inalterabilidad de los documentos tipo </w:t>
      </w:r>
      <w:r w:rsidRPr="00E64194">
        <w:rPr>
          <w:rFonts w:ascii="Verdana" w:hAnsi="Verdana" w:cs="Century Gothic"/>
          <w:lang w:val="es-ES"/>
        </w:rPr>
        <w:t>para la contratación directa de convenios solidarios para la ejecución de obras hasta la menor cuantía con organismos de acción comunal</w:t>
      </w:r>
      <w:r w:rsidRPr="00E64194">
        <w:rPr>
          <w:rFonts w:ascii="Verdana" w:hAnsi="Verdana" w:cs="Century Gothic"/>
          <w:bCs/>
          <w:lang w:val="es-ES_tradnl"/>
        </w:rPr>
        <w:t>. En consecuencia</w:t>
      </w:r>
      <w:bookmarkStart w:id="3" w:name="_Hlk64290904"/>
      <w:r w:rsidRPr="00E64194">
        <w:rPr>
          <w:rFonts w:ascii="Verdana" w:hAnsi="Verdana" w:cs="Century Gothic"/>
          <w:bCs/>
          <w:lang w:val="es-ES_tradnl"/>
        </w:rPr>
        <w:t>, las condiciones establecidas en los documentos que adopte la Agencia, en ejercicio del mandato establecido en el artículo 1 de la Ley 2022 de 2020, son de obligatorio cumplimiento para las entidades sometidas al Estatuto General de Contratación de la Administración Pública que adelanten procesos que deban regirse por su contenido y, salvo que se permita expresamente, podrán variarse algunos de los requisitos fijados en ellos.</w:t>
      </w:r>
      <w:bookmarkEnd w:id="3"/>
      <w:r w:rsidRPr="00E64194">
        <w:rPr>
          <w:rFonts w:ascii="Verdana" w:hAnsi="Verdana" w:cs="Century Gothic"/>
          <w:bCs/>
          <w:lang w:val="es-ES_tradnl"/>
        </w:rPr>
        <w:t xml:space="preserve"> </w:t>
      </w:r>
    </w:p>
    <w:p w14:paraId="4A7424E7" w14:textId="77777777" w:rsidR="00AA5145" w:rsidRPr="00E64194" w:rsidRDefault="00AA5145" w:rsidP="00AA5145">
      <w:pPr>
        <w:spacing w:after="0" w:line="276" w:lineRule="auto"/>
        <w:jc w:val="both"/>
        <w:rPr>
          <w:rFonts w:ascii="Verdana" w:hAnsi="Verdana" w:cs="Century Gothic"/>
          <w:bCs/>
          <w:lang w:val="es-ES_tradnl"/>
        </w:rPr>
      </w:pPr>
    </w:p>
    <w:p w14:paraId="64B88024" w14:textId="77777777" w:rsidR="00AA5145" w:rsidRPr="00E64194" w:rsidRDefault="00AA5145" w:rsidP="00AA5145">
      <w:pPr>
        <w:spacing w:after="0" w:line="276" w:lineRule="auto"/>
        <w:jc w:val="both"/>
        <w:rPr>
          <w:rFonts w:ascii="Verdana" w:hAnsi="Verdana" w:cs="Century Gothic"/>
          <w:bCs/>
          <w:lang w:val="es-ES_tradnl"/>
        </w:rPr>
      </w:pPr>
      <w:r w:rsidRPr="00E64194">
        <w:rPr>
          <w:rFonts w:ascii="Verdana" w:hAnsi="Verdana" w:cs="Century Gothic"/>
          <w:bCs/>
          <w:lang w:val="es-ES_tradnl"/>
        </w:rPr>
        <w:t xml:space="preserve">El artículo 4 consagra que la Resolución 358 del 30 de junio de 2023, rige a partir de su publicación y aplicará a la contratación directa de convenios solidarios para la ejecución de obras hasta la menor cuantía con Organismos de Acción Comunal. </w:t>
      </w:r>
    </w:p>
    <w:p w14:paraId="1518D732" w14:textId="77777777" w:rsidR="00AA5145" w:rsidRPr="00E64194" w:rsidRDefault="00AA5145" w:rsidP="00AA5145">
      <w:pPr>
        <w:spacing w:after="0" w:line="276" w:lineRule="auto"/>
        <w:jc w:val="both"/>
        <w:rPr>
          <w:rFonts w:ascii="Verdana" w:hAnsi="Verdana" w:cs="Century Gothic"/>
          <w:bCs/>
          <w:lang w:val="es-ES_tradnl"/>
        </w:rPr>
      </w:pPr>
    </w:p>
    <w:p w14:paraId="75046523" w14:textId="77777777" w:rsidR="00AA5145" w:rsidRPr="00E64194" w:rsidRDefault="00AA5145" w:rsidP="00AA5145">
      <w:pPr>
        <w:spacing w:after="0" w:line="276" w:lineRule="auto"/>
        <w:jc w:val="both"/>
        <w:rPr>
          <w:rFonts w:ascii="Verdana" w:hAnsi="Verdana" w:cs="Century Gothic"/>
          <w:bCs/>
          <w:lang w:val="es-ES"/>
        </w:rPr>
      </w:pPr>
      <w:r w:rsidRPr="00E64194">
        <w:rPr>
          <w:rFonts w:ascii="Verdana" w:hAnsi="Verdana" w:cs="Century Gothic"/>
          <w:bCs/>
          <w:lang w:val="es-ES_tradnl"/>
        </w:rPr>
        <w:t xml:space="preserve">Conforme al contenido de la Resolución 358 del 30 de junio de 2023, conviene precisar que los documentos tipo que se adoptan, son aquellos </w:t>
      </w:r>
      <w:r w:rsidRPr="00E64194">
        <w:rPr>
          <w:rFonts w:ascii="Verdana" w:hAnsi="Verdana" w:cs="Century Gothic"/>
          <w:lang w:val="es-ES"/>
        </w:rPr>
        <w:t>para la contratación directa de convenios solidarios para la ejecución de obras hasta la menor cuantía con Organismos de Acción Comunal, los cuales tiene como fundamento normativo el artículo 95 “Convenios solidarios” de la Ley 2166 de 2021</w:t>
      </w:r>
      <w:r w:rsidRPr="00E64194">
        <w:rPr>
          <w:rFonts w:ascii="Verdana" w:hAnsi="Verdana" w:cs="Century Gothic"/>
          <w:vertAlign w:val="superscript"/>
          <w:lang w:val="es-ES"/>
        </w:rPr>
        <w:footnoteReference w:id="3"/>
      </w:r>
      <w:r w:rsidRPr="00E64194">
        <w:rPr>
          <w:rFonts w:ascii="Verdana" w:hAnsi="Verdana" w:cs="Century Gothic"/>
          <w:lang w:val="es-ES"/>
        </w:rPr>
        <w:t>.</w:t>
      </w:r>
    </w:p>
    <w:p w14:paraId="44A8F6F6" w14:textId="77777777" w:rsidR="00AA5145" w:rsidRPr="00E64194" w:rsidRDefault="00AA5145" w:rsidP="00AA5145">
      <w:pPr>
        <w:spacing w:after="0" w:line="276" w:lineRule="auto"/>
        <w:jc w:val="both"/>
        <w:rPr>
          <w:rFonts w:ascii="Verdana" w:hAnsi="Verdana" w:cs="Century Gothic"/>
          <w:lang w:val="es-ES_tradnl"/>
        </w:rPr>
      </w:pPr>
    </w:p>
    <w:p w14:paraId="21170FF7" w14:textId="77777777" w:rsidR="00AA5145" w:rsidRPr="00E64194" w:rsidRDefault="00AA5145" w:rsidP="00AA5145">
      <w:pPr>
        <w:spacing w:after="0" w:line="276" w:lineRule="auto"/>
        <w:jc w:val="both"/>
        <w:rPr>
          <w:rFonts w:ascii="Verdana" w:hAnsi="Verdana" w:cs="Century Gothic"/>
          <w:bCs/>
        </w:rPr>
      </w:pPr>
      <w:r w:rsidRPr="00E64194">
        <w:rPr>
          <w:rFonts w:ascii="Verdana" w:hAnsi="Verdana" w:cs="Century Gothic"/>
          <w:lang w:val="es-ES_tradnl"/>
        </w:rPr>
        <w:t xml:space="preserve">El documento tipo para la contratación directa de convenios solidarios para la ejecución de obras hasta la menor cuantía con organismos de acción comunal, </w:t>
      </w:r>
      <w:bookmarkStart w:id="4" w:name="_Hlk145072611"/>
      <w:r w:rsidRPr="00E64194">
        <w:rPr>
          <w:rFonts w:ascii="Verdana" w:hAnsi="Verdana" w:cs="Century Gothic"/>
          <w:lang w:val="es-ES_tradnl"/>
        </w:rPr>
        <w:t xml:space="preserve">contempla tres (3) opciones para el giro de los recursos por parte de la Entidad Estatal, de acuerdo con la cláusula 7 de la Minuta Tipo. De esta manera, el giro de los recursos puede realizarse, según una de las siguientes opciones por la que opte la entidad estatal: i) a una cuenta de manejo conjunto a nombre del convenio – opción 1, ii) a un patrimonio autónomo irrevocable al nombre del convenio – opción 2, o iii) a cuenta bancaria a nombre del convenio – opción 3. </w:t>
      </w:r>
    </w:p>
    <w:p w14:paraId="0CCC2CFB" w14:textId="77777777" w:rsidR="00AA5145" w:rsidRPr="00E64194" w:rsidRDefault="00AA5145" w:rsidP="00AA5145">
      <w:pPr>
        <w:spacing w:after="0" w:line="276" w:lineRule="auto"/>
        <w:jc w:val="both"/>
        <w:rPr>
          <w:rFonts w:ascii="Verdana" w:hAnsi="Verdana" w:cs="Century Gothic"/>
          <w:bCs/>
          <w:lang w:val="es-ES"/>
        </w:rPr>
      </w:pPr>
    </w:p>
    <w:p w14:paraId="0FE66025" w14:textId="77777777" w:rsidR="00AA5145" w:rsidRPr="00E64194" w:rsidRDefault="00AA5145" w:rsidP="00AA5145">
      <w:pPr>
        <w:spacing w:after="0" w:line="276" w:lineRule="auto"/>
        <w:jc w:val="both"/>
        <w:rPr>
          <w:rFonts w:ascii="Verdana" w:hAnsi="Verdana" w:cs="Century Gothic"/>
          <w:bCs/>
        </w:rPr>
      </w:pPr>
      <w:r w:rsidRPr="00E64194">
        <w:rPr>
          <w:rFonts w:ascii="Verdana" w:hAnsi="Verdana" w:cs="Century Gothic"/>
          <w:bCs/>
          <w:lang w:val="es-ES"/>
        </w:rPr>
        <w:t xml:space="preserve">En relación con la solicitud, convine mencionar el alcance de la Opción 1 “Giro de los recursos” de la Minuta Tipo de Convenios Solidarios, que dispone lo siguiente: </w:t>
      </w:r>
    </w:p>
    <w:bookmarkEnd w:id="4"/>
    <w:p w14:paraId="14031F72" w14:textId="77777777" w:rsidR="00AA5145" w:rsidRPr="00E64194" w:rsidRDefault="00AA5145" w:rsidP="00AA5145">
      <w:pPr>
        <w:spacing w:after="0" w:line="276" w:lineRule="auto"/>
        <w:jc w:val="both"/>
        <w:rPr>
          <w:rFonts w:ascii="Verdana" w:hAnsi="Verdana" w:cs="Century Gothic"/>
          <w:lang w:val="es-ES_tradnl"/>
        </w:rPr>
      </w:pPr>
    </w:p>
    <w:p w14:paraId="56DA0E23" w14:textId="77777777" w:rsidR="00AA5145" w:rsidRPr="00E64194" w:rsidRDefault="00AA5145" w:rsidP="00AA5145">
      <w:pPr>
        <w:spacing w:after="0" w:line="276" w:lineRule="auto"/>
        <w:jc w:val="both"/>
        <w:rPr>
          <w:rFonts w:ascii="Verdana" w:hAnsi="Verdana" w:cs="Century Gothic"/>
          <w:b/>
          <w:bCs/>
        </w:rPr>
      </w:pPr>
      <w:r w:rsidRPr="00E64194">
        <w:rPr>
          <w:rFonts w:ascii="Verdana" w:hAnsi="Verdana" w:cs="Century Gothic"/>
          <w:b/>
          <w:bCs/>
        </w:rPr>
        <w:t xml:space="preserve">Opción </w:t>
      </w:r>
      <w:r>
        <w:rPr>
          <w:rFonts w:ascii="Verdana" w:hAnsi="Verdana" w:cs="Century Gothic"/>
          <w:b/>
          <w:bCs/>
        </w:rPr>
        <w:t>3</w:t>
      </w:r>
    </w:p>
    <w:p w14:paraId="065D37A0" w14:textId="77777777" w:rsidR="00AA5145" w:rsidRPr="00E64194" w:rsidRDefault="00AA5145" w:rsidP="00AA5145">
      <w:pPr>
        <w:spacing w:after="0" w:line="276" w:lineRule="auto"/>
        <w:jc w:val="both"/>
        <w:rPr>
          <w:rFonts w:ascii="Verdana" w:hAnsi="Verdana" w:cs="Century Gothic"/>
          <w:b/>
          <w:bCs/>
        </w:rPr>
      </w:pPr>
    </w:p>
    <w:p w14:paraId="412B9F9C" w14:textId="77777777" w:rsidR="00AA5145" w:rsidRPr="00EF143F" w:rsidRDefault="00AA5145" w:rsidP="00AA5145">
      <w:pPr>
        <w:spacing w:after="0" w:line="276" w:lineRule="auto"/>
        <w:jc w:val="both"/>
        <w:rPr>
          <w:rFonts w:ascii="Verdana" w:hAnsi="Verdana" w:cs="Century Gothic"/>
          <w:lang w:val="es-MX"/>
        </w:rPr>
      </w:pPr>
      <w:r w:rsidRPr="00EF143F">
        <w:rPr>
          <w:rFonts w:ascii="Verdana" w:hAnsi="Verdana" w:cs="Century Gothic"/>
          <w:lang w:val="es-MX"/>
        </w:rPr>
        <w:t>[Los giros de los recursos que realice la Entidad Estatal deberán realizarse a cuenta bancaria a nombre del convenio que genere rendimientos financieros y sin 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Estatal], por lo cual para cualquier disposición que se realice de los recursos se deberá contar siempre con la aprobación dual.</w:t>
      </w:r>
    </w:p>
    <w:p w14:paraId="4196FD23" w14:textId="77777777" w:rsidR="00AA5145" w:rsidRPr="00EF143F" w:rsidRDefault="00AA5145" w:rsidP="00AA5145">
      <w:pPr>
        <w:spacing w:after="0" w:line="276" w:lineRule="auto"/>
        <w:jc w:val="both"/>
        <w:rPr>
          <w:rFonts w:ascii="Verdana" w:hAnsi="Verdana" w:cs="Century Gothic"/>
          <w:lang w:val="es-MX"/>
        </w:rPr>
      </w:pPr>
    </w:p>
    <w:p w14:paraId="5879FCE8" w14:textId="77777777" w:rsidR="00AA5145" w:rsidRPr="00EF143F" w:rsidRDefault="00AA5145" w:rsidP="00AA5145">
      <w:pPr>
        <w:spacing w:after="0" w:line="276" w:lineRule="auto"/>
        <w:jc w:val="both"/>
        <w:rPr>
          <w:rFonts w:ascii="Verdana" w:hAnsi="Verdana" w:cs="Century Gothic"/>
          <w:lang w:val="es-MX"/>
        </w:rPr>
      </w:pPr>
      <w:r w:rsidRPr="00EF143F">
        <w:rPr>
          <w:rFonts w:ascii="Verdana" w:hAnsi="Verdana" w:cs="Century Gothic"/>
          <w:lang w:val="es-MX"/>
        </w:rPr>
        <w:lastRenderedPageBreak/>
        <w:t>[La Entidad Estatal puede indicar condiciones propias de los giros respecto de la disponibilidad de PAC o Soportes que se requieran de la OAC para efectuar el giro de los recursos]</w:t>
      </w:r>
    </w:p>
    <w:p w14:paraId="5AE83E46" w14:textId="77777777" w:rsidR="00AA5145" w:rsidRPr="00E64194" w:rsidRDefault="00AA5145" w:rsidP="00AA5145">
      <w:pPr>
        <w:spacing w:after="0" w:line="276" w:lineRule="auto"/>
        <w:jc w:val="both"/>
        <w:rPr>
          <w:rFonts w:ascii="Verdana" w:hAnsi="Verdana" w:cs="Century Gothic"/>
          <w:lang w:val="es-MX"/>
        </w:rPr>
      </w:pPr>
    </w:p>
    <w:p w14:paraId="1AA9F626" w14:textId="77777777" w:rsidR="00AA5145" w:rsidRPr="00E64194" w:rsidRDefault="00AA5145" w:rsidP="00AA5145">
      <w:pPr>
        <w:spacing w:after="0" w:line="276" w:lineRule="auto"/>
        <w:jc w:val="both"/>
        <w:rPr>
          <w:rFonts w:ascii="Verdana" w:hAnsi="Verdana" w:cs="Century Gothic"/>
          <w:lang w:val="es-ES"/>
        </w:rPr>
      </w:pPr>
      <w:r w:rsidRPr="00E64194">
        <w:rPr>
          <w:rFonts w:ascii="Verdana" w:hAnsi="Verdana" w:cs="Century Gothic"/>
          <w:lang w:val="es-ES"/>
        </w:rPr>
        <w:t xml:space="preserve">Como se aprecia, el inciso primero de la opción </w:t>
      </w:r>
      <w:r>
        <w:rPr>
          <w:rFonts w:ascii="Verdana" w:hAnsi="Verdana" w:cs="Century Gothic"/>
          <w:lang w:val="es-ES"/>
        </w:rPr>
        <w:t>3</w:t>
      </w:r>
      <w:r w:rsidRPr="00E64194">
        <w:rPr>
          <w:rFonts w:ascii="Verdana" w:hAnsi="Verdana" w:cs="Century Gothic"/>
          <w:lang w:val="es-ES"/>
        </w:rPr>
        <w:t xml:space="preserve"> indica parámetros obligatorios que debe incluir la entidad que acoja esa opción. De esta forma, el giro de los recursos se realizará en una </w:t>
      </w:r>
      <w:r>
        <w:rPr>
          <w:rFonts w:ascii="Verdana" w:hAnsi="Verdana" w:cs="Century Gothic"/>
          <w:lang w:val="es-ES"/>
        </w:rPr>
        <w:t xml:space="preserve">cuenta </w:t>
      </w:r>
      <w:r w:rsidRPr="00EF143F">
        <w:rPr>
          <w:rFonts w:ascii="Verdana" w:hAnsi="Verdana" w:cs="Century Gothic"/>
          <w:lang w:val="es-MX"/>
        </w:rPr>
        <w:t>bancaria a nombre del convenio que genere rendimientos financieros y sin 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Estatal], por lo cual para cualquier disposición que se realice de los recursos se deberá contar siempre con la aprobación dual</w:t>
      </w:r>
      <w:r w:rsidRPr="00E64194">
        <w:rPr>
          <w:rFonts w:ascii="Verdana" w:hAnsi="Verdana" w:cs="Century Gothic"/>
          <w:lang w:val="es-ES"/>
        </w:rPr>
        <w:t>.</w:t>
      </w:r>
    </w:p>
    <w:p w14:paraId="0554C6CE" w14:textId="77777777" w:rsidR="00AA5145" w:rsidRPr="00E64194" w:rsidRDefault="00AA5145" w:rsidP="00AA5145">
      <w:pPr>
        <w:spacing w:after="0" w:line="276" w:lineRule="auto"/>
        <w:jc w:val="both"/>
        <w:rPr>
          <w:rFonts w:ascii="Verdana" w:hAnsi="Verdana" w:cs="Century Gothic"/>
          <w:lang w:val="es-ES"/>
        </w:rPr>
      </w:pPr>
      <w:r w:rsidRPr="00E64194">
        <w:rPr>
          <w:rFonts w:ascii="Verdana" w:hAnsi="Verdana" w:cs="Century Gothic"/>
          <w:lang w:val="es-ES"/>
        </w:rPr>
        <w:t xml:space="preserve"> </w:t>
      </w:r>
    </w:p>
    <w:p w14:paraId="205B8CC1" w14:textId="77777777" w:rsidR="00AA5145" w:rsidRPr="00E64194" w:rsidRDefault="00AA5145" w:rsidP="00AA5145">
      <w:pPr>
        <w:spacing w:after="0" w:line="276" w:lineRule="auto"/>
        <w:jc w:val="both"/>
        <w:rPr>
          <w:rFonts w:ascii="Verdana" w:hAnsi="Verdana" w:cs="Century Gothic"/>
          <w:lang w:val="es-ES"/>
        </w:rPr>
      </w:pPr>
      <w:r>
        <w:rPr>
          <w:rFonts w:ascii="Verdana" w:hAnsi="Verdana" w:cs="Century Gothic"/>
          <w:lang w:val="es-ES"/>
        </w:rPr>
        <w:t>Por otra parte</w:t>
      </w:r>
      <w:r w:rsidRPr="00E64194">
        <w:rPr>
          <w:rFonts w:ascii="Verdana" w:hAnsi="Verdana" w:cs="Century Gothic"/>
          <w:lang w:val="es-ES"/>
        </w:rPr>
        <w:t xml:space="preserve">, el segundo inciso de la opción </w:t>
      </w:r>
      <w:r>
        <w:rPr>
          <w:rFonts w:ascii="Verdana" w:hAnsi="Verdana" w:cs="Century Gothic"/>
          <w:lang w:val="es-ES"/>
        </w:rPr>
        <w:t>3</w:t>
      </w:r>
      <w:r w:rsidRPr="00E64194">
        <w:rPr>
          <w:rFonts w:ascii="Verdana" w:hAnsi="Verdana" w:cs="Century Gothic"/>
          <w:lang w:val="es-ES"/>
        </w:rPr>
        <w:t xml:space="preserve"> dispone que la entidad </w:t>
      </w:r>
      <w:r w:rsidRPr="00E64194">
        <w:rPr>
          <w:rFonts w:ascii="Verdana" w:hAnsi="Verdana" w:cs="Century Gothic"/>
          <w:i/>
          <w:iCs/>
          <w:lang w:val="es-ES"/>
        </w:rPr>
        <w:t xml:space="preserve">podrá </w:t>
      </w:r>
      <w:r w:rsidRPr="00E64194">
        <w:rPr>
          <w:rFonts w:ascii="Verdana" w:hAnsi="Verdana" w:cs="Century Gothic"/>
          <w:lang w:val="es-ES"/>
        </w:rPr>
        <w:t xml:space="preserve">señalar opciones propias de los giros en relación con los siguientes aspectos: i) disponibilidad de Plan Anual de Caja – PAC, o ii) soportes que se requieran del Organismo de Acción Comunal OAC para efectuar el giro de los recursos. Este aspecto, es de aquellos que permite que la entidad </w:t>
      </w:r>
      <w:r w:rsidRPr="00E64194">
        <w:rPr>
          <w:rFonts w:ascii="Verdana" w:hAnsi="Verdana" w:cs="Century Gothic"/>
          <w:bCs/>
          <w:lang w:val="es-ES_tradnl"/>
        </w:rPr>
        <w:t xml:space="preserve">complemente o indique las condiciones que allí se permiten, sin embargo, solo es posible en relación con el PAC y soportes para el giro de los recursos. </w:t>
      </w:r>
    </w:p>
    <w:p w14:paraId="73337943" w14:textId="77777777" w:rsidR="00AA5145" w:rsidRPr="00E64194" w:rsidRDefault="00AA5145" w:rsidP="00AA5145">
      <w:pPr>
        <w:spacing w:after="0" w:line="276" w:lineRule="auto"/>
        <w:jc w:val="both"/>
        <w:rPr>
          <w:rFonts w:ascii="Verdana" w:hAnsi="Verdana" w:cs="Century Gothic"/>
          <w:lang w:val="es-ES"/>
        </w:rPr>
      </w:pPr>
    </w:p>
    <w:p w14:paraId="18C0058A" w14:textId="77777777" w:rsidR="00AA5145" w:rsidRPr="00E64194" w:rsidRDefault="00AA5145" w:rsidP="00AA5145">
      <w:pPr>
        <w:spacing w:after="0" w:line="276" w:lineRule="auto"/>
        <w:jc w:val="both"/>
        <w:rPr>
          <w:rFonts w:ascii="Verdana" w:hAnsi="Verdana" w:cs="Century Gothic"/>
          <w:lang w:val="es-ES"/>
        </w:rPr>
      </w:pPr>
      <w:r w:rsidRPr="00E64194">
        <w:rPr>
          <w:rFonts w:ascii="Verdana" w:hAnsi="Verdana" w:cs="Century Gothic"/>
          <w:lang w:val="es-ES"/>
        </w:rPr>
        <w:t xml:space="preserve">Por su parte, la cláusula 8 de la Minuta Tipo dispone de tres (3) alternativas para el manejo de los recursos, dependiendo de si se opta por la opción 1, 2 o 3 de la cláusula 7 para el giro de los recursos. Esto significa que la opción para el manejo de los recursos debe incluirse dependiendo de la opción de giro de recursos que se haya escogido. Estas opciones contienen unas condiciones que deben cumplirse y, en caso de que se opte por la opción </w:t>
      </w:r>
      <w:r>
        <w:rPr>
          <w:rFonts w:ascii="Verdana" w:hAnsi="Verdana" w:cs="Century Gothic"/>
          <w:lang w:val="es-ES"/>
        </w:rPr>
        <w:t>3</w:t>
      </w:r>
      <w:r w:rsidRPr="00E64194">
        <w:rPr>
          <w:rFonts w:ascii="Verdana" w:hAnsi="Verdana" w:cs="Century Gothic"/>
          <w:lang w:val="es-ES"/>
        </w:rPr>
        <w:t xml:space="preserve"> de la cláusula 7 de la Minuta Tipo, que implica que se realicen giros de recursos a cuenta conjunta a nombre del convenio, debe tenerse en cuenta -para efectos de su consulta-, el numeral I. que señala lo siguiente:</w:t>
      </w:r>
    </w:p>
    <w:p w14:paraId="19A13EE6" w14:textId="77777777" w:rsidR="00AA5145" w:rsidRPr="00E64194" w:rsidRDefault="00AA5145" w:rsidP="00AA5145">
      <w:pPr>
        <w:spacing w:after="0" w:line="276" w:lineRule="auto"/>
        <w:jc w:val="both"/>
        <w:rPr>
          <w:rFonts w:ascii="Verdana" w:hAnsi="Verdana" w:cs="Century Gothic"/>
          <w:lang w:val="es-ES"/>
        </w:rPr>
      </w:pPr>
    </w:p>
    <w:p w14:paraId="59F6C722" w14:textId="77777777" w:rsidR="00AA5145" w:rsidRPr="00E64194" w:rsidRDefault="00AA5145" w:rsidP="00AA5145">
      <w:pPr>
        <w:spacing w:after="0" w:line="276" w:lineRule="auto"/>
        <w:jc w:val="both"/>
        <w:rPr>
          <w:rFonts w:ascii="Verdana" w:hAnsi="Verdana" w:cs="Century Gothic"/>
        </w:rPr>
      </w:pPr>
      <w:r>
        <w:rPr>
          <w:rFonts w:ascii="Verdana" w:hAnsi="Verdana" w:cs="Century Gothic"/>
          <w:lang w:val="es-MX"/>
        </w:rPr>
        <w:t>I</w:t>
      </w:r>
      <w:r w:rsidRPr="00D40027">
        <w:rPr>
          <w:rFonts w:ascii="Verdana" w:hAnsi="Verdana" w:cs="Century Gothic"/>
          <w:lang w:val="es-MX"/>
        </w:rPr>
        <w:t>.</w:t>
      </w:r>
      <w:r w:rsidRPr="00D40027">
        <w:rPr>
          <w:rFonts w:ascii="Verdana" w:hAnsi="Verdana" w:cs="Century Gothic"/>
          <w:lang w:val="es-MX"/>
        </w:rPr>
        <w:tab/>
      </w:r>
      <w:r w:rsidRPr="00E64194">
        <w:rPr>
          <w:rFonts w:ascii="Verdana" w:hAnsi="Verdana" w:cs="Century Gothic"/>
          <w:lang w:val="es-MX"/>
        </w:rPr>
        <w:t xml:space="preserve">El manejo de los recursos del Convenio se hará mediante la apertura de una cuenta </w:t>
      </w:r>
      <w:r w:rsidRPr="00D55DF8">
        <w:rPr>
          <w:rFonts w:ascii="Verdana" w:hAnsi="Verdana" w:cs="Century Gothic"/>
          <w:lang w:val="es-MX"/>
        </w:rPr>
        <w:t xml:space="preserve">bancaria a nombre del convenio </w:t>
      </w:r>
      <w:r w:rsidRPr="00E64194">
        <w:rPr>
          <w:rFonts w:ascii="Verdana" w:hAnsi="Verdana" w:cs="Century Gothic"/>
          <w:lang w:val="es-MX"/>
        </w:rPr>
        <w:t xml:space="preserve">que genere rendimientos financieros </w:t>
      </w:r>
      <w:r w:rsidRPr="00D55DF8">
        <w:rPr>
          <w:rFonts w:ascii="Verdana" w:hAnsi="Verdana" w:cs="Century Gothic"/>
          <w:lang w:val="es-MX"/>
        </w:rPr>
        <w:t xml:space="preserve">y sin posibilidad </w:t>
      </w:r>
      <w:r w:rsidRPr="00E64194">
        <w:rPr>
          <w:rFonts w:ascii="Verdana" w:hAnsi="Verdana" w:cs="Century Gothic"/>
          <w:lang w:val="es-MX"/>
        </w:rPr>
        <w:t xml:space="preserve">de </w:t>
      </w:r>
      <w:r w:rsidRPr="00D55DF8">
        <w:rPr>
          <w:rFonts w:ascii="Verdana" w:hAnsi="Verdana" w:cs="Century Gothic"/>
          <w:lang w:val="es-MX"/>
        </w:rPr>
        <w:t xml:space="preserve">sobregiro, en la </w:t>
      </w:r>
      <w:r w:rsidRPr="00E64194">
        <w:rPr>
          <w:rFonts w:ascii="Verdana" w:hAnsi="Verdana" w:cs="Century Gothic"/>
          <w:lang w:val="es-MX"/>
        </w:rPr>
        <w:t xml:space="preserve">que se </w:t>
      </w:r>
      <w:r w:rsidRPr="00D55DF8">
        <w:rPr>
          <w:rFonts w:ascii="Verdana" w:hAnsi="Verdana" w:cs="Century Gothic"/>
          <w:lang w:val="es-MX"/>
        </w:rPr>
        <w:t>dispondrá de los recursos únicamente de manera electrónica, por lo cual esta cuenta deberá contar</w:t>
      </w:r>
      <w:r w:rsidRPr="00E64194">
        <w:rPr>
          <w:rFonts w:ascii="Verdana" w:hAnsi="Verdana" w:cs="Century Gothic"/>
          <w:lang w:val="es-MX"/>
        </w:rPr>
        <w:t xml:space="preserve"> con </w:t>
      </w:r>
      <w:r w:rsidRPr="00D55DF8">
        <w:rPr>
          <w:rFonts w:ascii="Verdana" w:hAnsi="Verdana" w:cs="Century Gothic"/>
          <w:lang w:val="es-MX"/>
        </w:rPr>
        <w:t xml:space="preserve">un mecanismo </w:t>
      </w:r>
      <w:r w:rsidRPr="00D55DF8">
        <w:rPr>
          <w:rFonts w:ascii="Verdana" w:hAnsi="Verdana" w:cs="Century Gothic"/>
          <w:lang w:val="es-MX"/>
        </w:rPr>
        <w:lastRenderedPageBreak/>
        <w:t>de autenticación dual, en el cual, el usuario preparador será asignado al</w:t>
      </w:r>
      <w:r w:rsidRPr="00E64194">
        <w:rPr>
          <w:rFonts w:ascii="Verdana" w:hAnsi="Verdana" w:cs="Century Gothic"/>
          <w:lang w:val="es-MX"/>
        </w:rPr>
        <w:t xml:space="preserve"> OAC</w:t>
      </w:r>
      <w:r w:rsidRPr="00D55DF8">
        <w:rPr>
          <w:rFonts w:ascii="Verdana" w:hAnsi="Verdana" w:cs="Century Gothic"/>
          <w:lang w:val="es-MX"/>
        </w:rPr>
        <w:t xml:space="preserve"> y el usuario aprobador será asignado al Interventor y/o Supervisor</w:t>
      </w:r>
      <w:r w:rsidRPr="00E64194">
        <w:rPr>
          <w:rFonts w:ascii="Verdana" w:hAnsi="Verdana" w:cs="Century Gothic"/>
          <w:lang w:val="es-MX"/>
        </w:rPr>
        <w:t xml:space="preserve"> de la Entidad Estatal</w:t>
      </w:r>
      <w:r w:rsidRPr="00D55DF8">
        <w:rPr>
          <w:rFonts w:ascii="Verdana" w:hAnsi="Verdana" w:cs="Century Gothic"/>
          <w:lang w:val="es-MX"/>
        </w:rPr>
        <w:t>, por lo cual para cualquier disposición que se realice de los recursos se deberá contar siempre con la aprobación dual</w:t>
      </w:r>
      <w:r w:rsidRPr="00E64194">
        <w:rPr>
          <w:rFonts w:ascii="Verdana" w:hAnsi="Verdana" w:cs="Century Gothic"/>
          <w:lang w:val="es-MX"/>
        </w:rPr>
        <w:t xml:space="preserve"> y debe tener los respectivos soportes que justifiquen el desembolso.</w:t>
      </w:r>
    </w:p>
    <w:p w14:paraId="6B424B6D" w14:textId="77777777" w:rsidR="00AA5145" w:rsidRDefault="00AA5145" w:rsidP="00AA5145">
      <w:pPr>
        <w:spacing w:after="0" w:line="276" w:lineRule="auto"/>
        <w:jc w:val="both"/>
        <w:rPr>
          <w:rFonts w:ascii="Verdana" w:hAnsi="Verdana" w:cs="Century Gothic"/>
          <w:lang w:val="es-MX"/>
        </w:rPr>
      </w:pPr>
    </w:p>
    <w:p w14:paraId="695479E6" w14:textId="77777777" w:rsidR="00AA5145" w:rsidRPr="00691ECE" w:rsidRDefault="00AA5145" w:rsidP="00AA5145">
      <w:pPr>
        <w:pStyle w:val="Sinespaciado"/>
        <w:spacing w:line="276" w:lineRule="auto"/>
        <w:jc w:val="both"/>
        <w:rPr>
          <w:rFonts w:ascii="Verdana" w:hAnsi="Verdana" w:cs="Arial"/>
          <w:color w:val="000000" w:themeColor="text1"/>
          <w:lang w:val="es-MX"/>
        </w:rPr>
      </w:pPr>
      <w:r>
        <w:rPr>
          <w:rFonts w:ascii="Verdana" w:hAnsi="Verdana" w:cs="Arial"/>
          <w:color w:val="000000" w:themeColor="text1"/>
        </w:rPr>
        <w:t>L</w:t>
      </w:r>
      <w:r w:rsidRPr="00691ECE">
        <w:rPr>
          <w:rFonts w:ascii="Verdana" w:hAnsi="Verdana" w:cs="Arial"/>
          <w:color w:val="000000" w:themeColor="text1"/>
        </w:rPr>
        <w:t xml:space="preserve">a Ley 1474 de 2011 enmarcó el seguimiento, control y vigilancia de la ejecución del contrato estatal dentro del principio de moralidad administrativa. El artículo 83 </w:t>
      </w:r>
      <w:r w:rsidRPr="00691ECE">
        <w:rPr>
          <w:rFonts w:ascii="Verdana" w:hAnsi="Verdana" w:cs="Arial"/>
          <w:i/>
          <w:iCs/>
          <w:color w:val="000000" w:themeColor="text1"/>
        </w:rPr>
        <w:t xml:space="preserve">ibidem </w:t>
      </w:r>
      <w:r w:rsidRPr="00691ECE">
        <w:rPr>
          <w:rFonts w:ascii="Verdana" w:hAnsi="Verdana" w:cs="Arial"/>
          <w:color w:val="000000" w:themeColor="text1"/>
        </w:rPr>
        <w:t xml:space="preserve">establece que </w:t>
      </w:r>
      <w:r>
        <w:rPr>
          <w:rFonts w:ascii="Verdana" w:hAnsi="Verdana" w:cs="Arial"/>
          <w:color w:val="000000" w:themeColor="text1"/>
        </w:rPr>
        <w:t>“</w:t>
      </w:r>
      <w:r w:rsidRPr="00691ECE">
        <w:rPr>
          <w:rFonts w:ascii="Verdana" w:hAnsi="Verdana" w:cs="Arial"/>
          <w:color w:val="000000" w:themeColor="text1"/>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r>
        <w:rPr>
          <w:rFonts w:ascii="Verdana" w:hAnsi="Verdana" w:cs="Arial"/>
          <w:color w:val="000000" w:themeColor="text1"/>
        </w:rPr>
        <w:t>”</w:t>
      </w:r>
      <w:r w:rsidRPr="00691ECE">
        <w:rPr>
          <w:rFonts w:ascii="Verdana" w:hAnsi="Verdana" w:cs="Arial"/>
          <w:color w:val="000000" w:themeColor="text1"/>
          <w:vertAlign w:val="superscript"/>
        </w:rPr>
        <w:footnoteReference w:id="4"/>
      </w:r>
      <w:r w:rsidRPr="00691ECE">
        <w:rPr>
          <w:rFonts w:ascii="Verdana" w:hAnsi="Verdana" w:cs="Arial"/>
          <w:color w:val="000000" w:themeColor="text1"/>
        </w:rPr>
        <w:t>. El legislador</w:t>
      </w:r>
      <w:r>
        <w:rPr>
          <w:rFonts w:ascii="Verdana" w:hAnsi="Verdana" w:cs="Arial"/>
          <w:color w:val="000000" w:themeColor="text1"/>
        </w:rPr>
        <w:t xml:space="preserve"> </w:t>
      </w:r>
      <w:r w:rsidRPr="00691ECE">
        <w:rPr>
          <w:rFonts w:ascii="Verdana" w:hAnsi="Verdana" w:cs="Arial"/>
          <w:color w:val="000000" w:themeColor="text1"/>
          <w:lang w:val="es-MX"/>
        </w:rPr>
        <w:t xml:space="preserve">además definió las nociones de </w:t>
      </w:r>
      <w:r w:rsidRPr="00691ECE">
        <w:rPr>
          <w:rFonts w:ascii="Verdana" w:hAnsi="Verdana" w:cs="Arial"/>
          <w:i/>
          <w:iCs/>
          <w:color w:val="000000" w:themeColor="text1"/>
          <w:lang w:val="es-MX"/>
        </w:rPr>
        <w:t>supervisión</w:t>
      </w:r>
      <w:r w:rsidRPr="00691ECE">
        <w:rPr>
          <w:rFonts w:ascii="Verdana" w:hAnsi="Verdana" w:cs="Arial"/>
          <w:color w:val="000000" w:themeColor="text1"/>
          <w:lang w:val="es-MX"/>
        </w:rPr>
        <w:t xml:space="preserve"> e </w:t>
      </w:r>
      <w:r w:rsidRPr="00691ECE">
        <w:rPr>
          <w:rFonts w:ascii="Verdana" w:hAnsi="Verdana" w:cs="Arial"/>
          <w:i/>
          <w:iCs/>
          <w:color w:val="000000" w:themeColor="text1"/>
          <w:lang w:val="es-MX"/>
        </w:rPr>
        <w:t>interventoría</w:t>
      </w:r>
      <w:r w:rsidRPr="00691ECE">
        <w:rPr>
          <w:rFonts w:ascii="Verdana" w:hAnsi="Verdana" w:cs="Arial"/>
          <w:color w:val="000000" w:themeColor="text1"/>
          <w:lang w:val="es-MX"/>
        </w:rPr>
        <w:t xml:space="preserve">, como mecanismos que pueden usar las entidades estatales para vigilar el contrato, en estos términos: </w:t>
      </w:r>
    </w:p>
    <w:p w14:paraId="68D55C92" w14:textId="77777777" w:rsidR="00AA5145" w:rsidRPr="00691ECE" w:rsidRDefault="00AA5145" w:rsidP="00AA5145">
      <w:pPr>
        <w:spacing w:after="0" w:line="276" w:lineRule="auto"/>
        <w:jc w:val="both"/>
        <w:rPr>
          <w:rFonts w:ascii="Verdana" w:hAnsi="Verdana" w:cs="Arial"/>
          <w:color w:val="000000" w:themeColor="text1"/>
          <w:lang w:val="es-MX"/>
        </w:rPr>
      </w:pPr>
    </w:p>
    <w:p w14:paraId="5C4D3C15" w14:textId="77777777" w:rsidR="00AA5145" w:rsidRPr="00691ECE" w:rsidRDefault="00AA5145" w:rsidP="00AA5145">
      <w:pPr>
        <w:spacing w:after="0" w:line="240" w:lineRule="auto"/>
        <w:ind w:left="709" w:right="709"/>
        <w:jc w:val="both"/>
        <w:rPr>
          <w:rFonts w:ascii="Verdana" w:hAnsi="Verdana" w:cs="Arial"/>
          <w:color w:val="000000" w:themeColor="text1"/>
          <w:sz w:val="20"/>
          <w:szCs w:val="20"/>
          <w:lang w:val="es-MX"/>
        </w:rPr>
      </w:pPr>
      <w:r w:rsidRPr="00691ECE">
        <w:rPr>
          <w:rFonts w:ascii="Verdana" w:hAnsi="Verdana" w:cs="Arial"/>
          <w:color w:val="000000" w:themeColor="text1"/>
          <w:sz w:val="20"/>
          <w:szCs w:val="20"/>
          <w:lang w:val="es-MX"/>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1A06D2D0" w14:textId="77777777" w:rsidR="00AA5145" w:rsidRPr="00691ECE" w:rsidRDefault="00AA5145" w:rsidP="00AA5145">
      <w:pPr>
        <w:spacing w:after="0" w:line="240" w:lineRule="auto"/>
        <w:ind w:left="709" w:right="709"/>
        <w:jc w:val="both"/>
        <w:rPr>
          <w:rFonts w:ascii="Verdana" w:hAnsi="Verdana" w:cs="Arial"/>
          <w:color w:val="000000" w:themeColor="text1"/>
          <w:sz w:val="20"/>
          <w:szCs w:val="20"/>
          <w:lang w:val="es-MX"/>
        </w:rPr>
      </w:pPr>
    </w:p>
    <w:p w14:paraId="12D23F98" w14:textId="77777777" w:rsidR="00AA5145" w:rsidRPr="00691ECE" w:rsidRDefault="00AA5145" w:rsidP="00AA5145">
      <w:pPr>
        <w:spacing w:after="0" w:line="240" w:lineRule="auto"/>
        <w:ind w:left="709" w:right="709"/>
        <w:jc w:val="both"/>
        <w:rPr>
          <w:rFonts w:ascii="Verdana" w:hAnsi="Verdana" w:cs="Arial"/>
          <w:color w:val="000000" w:themeColor="text1"/>
          <w:sz w:val="20"/>
          <w:szCs w:val="20"/>
          <w:lang w:val="es-MX"/>
        </w:rPr>
      </w:pPr>
      <w:r w:rsidRPr="00691ECE">
        <w:rPr>
          <w:rFonts w:ascii="Verdana" w:hAnsi="Verdana" w:cs="Arial"/>
          <w:color w:val="000000" w:themeColor="text1"/>
          <w:sz w:val="20"/>
          <w:szCs w:val="20"/>
          <w:lang w:val="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26DE6F61" w14:textId="77777777" w:rsidR="00AA5145" w:rsidRDefault="00AA5145" w:rsidP="00AA5145">
      <w:pPr>
        <w:spacing w:after="0" w:line="276" w:lineRule="auto"/>
        <w:jc w:val="both"/>
        <w:rPr>
          <w:rFonts w:ascii="Verdana" w:hAnsi="Verdana" w:cs="Century Gothic"/>
          <w:lang w:val="es-MX"/>
        </w:rPr>
      </w:pPr>
    </w:p>
    <w:p w14:paraId="3E63A8D1" w14:textId="77777777" w:rsidR="00AA5145" w:rsidRPr="00E64194" w:rsidRDefault="00AA5145" w:rsidP="00AA5145">
      <w:pPr>
        <w:spacing w:after="0" w:line="276" w:lineRule="auto"/>
        <w:jc w:val="both"/>
        <w:rPr>
          <w:rFonts w:ascii="Verdana" w:hAnsi="Verdana" w:cs="Century Gothic"/>
          <w:lang w:val="es-MX"/>
        </w:rPr>
      </w:pPr>
      <w:r>
        <w:rPr>
          <w:rFonts w:ascii="Verdana" w:hAnsi="Verdana" w:cs="Arial"/>
          <w:lang w:val="es-MX"/>
        </w:rPr>
        <w:t>Q</w:t>
      </w:r>
      <w:r w:rsidRPr="004C1083">
        <w:rPr>
          <w:rFonts w:ascii="Verdana" w:hAnsi="Verdana" w:cs="Arial"/>
        </w:rPr>
        <w:t>uien ejerza la vigilancia de la ejecución del contrato, ya sea mediante la supervisión o mediante la interventoría, puede hacer uso de las facultades previstas en el artículo 84 de la Ley 1474 de 2011 para efectuar el seguimiento al cumplimiento obligacional del contrato y estará sometido a los deberes y responsabilidades que implica el ejercicio de dicha actividad</w:t>
      </w:r>
      <w:r w:rsidRPr="004C1083">
        <w:rPr>
          <w:rFonts w:ascii="Verdana" w:hAnsi="Verdana" w:cs="Arial"/>
          <w:color w:val="000000" w:themeColor="text1"/>
          <w:vertAlign w:val="superscript"/>
        </w:rPr>
        <w:footnoteReference w:id="5"/>
      </w:r>
      <w:r w:rsidRPr="004C1083">
        <w:rPr>
          <w:rFonts w:ascii="Verdana" w:hAnsi="Verdana" w:cs="Arial"/>
        </w:rPr>
        <w:t>.</w:t>
      </w:r>
    </w:p>
    <w:p w14:paraId="105025D5" w14:textId="77777777" w:rsidR="00AA5145" w:rsidRDefault="00AA5145" w:rsidP="00AA5145">
      <w:pPr>
        <w:spacing w:after="0" w:line="276" w:lineRule="auto"/>
        <w:jc w:val="both"/>
        <w:rPr>
          <w:rFonts w:ascii="Verdana" w:hAnsi="Verdana" w:cs="Century Gothic"/>
        </w:rPr>
      </w:pPr>
    </w:p>
    <w:p w14:paraId="6DC80FED" w14:textId="77777777" w:rsidR="00AA5145" w:rsidRDefault="00AA5145" w:rsidP="00AA5145">
      <w:pPr>
        <w:tabs>
          <w:tab w:val="left" w:pos="142"/>
          <w:tab w:val="left" w:pos="284"/>
        </w:tabs>
        <w:spacing w:after="0" w:line="276" w:lineRule="auto"/>
        <w:jc w:val="both"/>
        <w:rPr>
          <w:rFonts w:ascii="Verdana" w:hAnsi="Verdana" w:cs="Century Gothic"/>
          <w:b/>
          <w:bCs/>
          <w:lang w:val="es-ES"/>
        </w:rPr>
      </w:pPr>
      <w:r>
        <w:rPr>
          <w:rFonts w:ascii="Verdana" w:hAnsi="Verdana" w:cs="Century Gothic"/>
          <w:b/>
          <w:bCs/>
          <w:lang w:val="es-ES"/>
        </w:rPr>
        <w:t xml:space="preserve">4. Referencias normativas, jurisprudenciales y otras fuentes: </w:t>
      </w:r>
    </w:p>
    <w:p w14:paraId="2F17F61A" w14:textId="77777777" w:rsidR="00AA5145" w:rsidRDefault="00AA5145" w:rsidP="00AA5145">
      <w:pPr>
        <w:tabs>
          <w:tab w:val="left" w:pos="142"/>
          <w:tab w:val="left" w:pos="284"/>
        </w:tabs>
        <w:spacing w:after="0" w:line="276" w:lineRule="auto"/>
        <w:jc w:val="both"/>
        <w:rPr>
          <w:rFonts w:ascii="Verdana" w:hAnsi="Verdana" w:cs="Century Gothic"/>
          <w:b/>
          <w:bCs/>
          <w:lang w:val="es-ES"/>
        </w:rPr>
      </w:pPr>
    </w:p>
    <w:bookmarkEnd w:id="0"/>
    <w:bookmarkEnd w:id="2"/>
    <w:p w14:paraId="454918CA" w14:textId="77777777" w:rsidR="00AA5145" w:rsidRDefault="00AA5145" w:rsidP="00AA5145">
      <w:pPr>
        <w:spacing w:after="0"/>
        <w:ind w:left="720"/>
        <w:contextualSpacing/>
        <w:jc w:val="both"/>
        <w:rPr>
          <w:rFonts w:ascii="Verdana" w:eastAsia="Calibri" w:hAnsi="Verdana" w:cs="Arial"/>
          <w:bCs/>
        </w:rPr>
      </w:pPr>
    </w:p>
    <w:p w14:paraId="2048D2F4" w14:textId="77777777" w:rsidR="00AA5145" w:rsidRDefault="00AA5145" w:rsidP="00AA5145">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after="255" w:line="276" w:lineRule="auto"/>
        <w:contextualSpacing/>
        <w:jc w:val="both"/>
        <w:rPr>
          <w:rFonts w:ascii="Verdana" w:hAnsi="Verdana" w:cs="Arial"/>
        </w:rPr>
      </w:pPr>
      <w:r>
        <w:rPr>
          <w:rFonts w:ascii="Verdana" w:eastAsia="Calibri" w:hAnsi="Verdana" w:cs="Arial"/>
          <w:lang w:val="es-ES_tradnl"/>
        </w:rPr>
        <w:t xml:space="preserve">Documentos Tipo para la contratación directa de convenios </w:t>
      </w:r>
      <w:proofErr w:type="gramStart"/>
      <w:r>
        <w:rPr>
          <w:rFonts w:ascii="Verdana" w:eastAsia="Calibri" w:hAnsi="Verdana" w:cs="Arial"/>
          <w:lang w:val="es-ES_tradnl"/>
        </w:rPr>
        <w:t>solidarios  disponible</w:t>
      </w:r>
      <w:proofErr w:type="gramEnd"/>
      <w:r>
        <w:rPr>
          <w:rFonts w:ascii="Verdana" w:eastAsia="Calibri" w:hAnsi="Verdana" w:cs="Arial"/>
          <w:lang w:val="es-ES_tradnl"/>
        </w:rPr>
        <w:t xml:space="preserve"> en: </w:t>
      </w:r>
      <w:hyperlink r:id="rId14" w:history="1">
        <w:r>
          <w:rPr>
            <w:rStyle w:val="Hipervnculo"/>
            <w:rFonts w:ascii="Verdana" w:eastAsia="Calibri" w:hAnsi="Verdana" w:cs="Arial"/>
            <w:lang w:val="es-ES_tradnl"/>
          </w:rPr>
          <w:t>https://www.colombiacompra.gov.co/content/documento-tipo-para-la-contratacion-directa-de-convenios-solidarios-para-la-ejecucion-de</w:t>
        </w:r>
      </w:hyperlink>
      <w:r>
        <w:rPr>
          <w:rFonts w:ascii="Verdana" w:eastAsia="Calibri" w:hAnsi="Verdana" w:cs="Arial"/>
          <w:lang w:val="es-ES_tradnl"/>
        </w:rPr>
        <w:t xml:space="preserve"> </w:t>
      </w:r>
    </w:p>
    <w:p w14:paraId="24D19EC1" w14:textId="77777777" w:rsidR="00AA5145" w:rsidRPr="005226B4" w:rsidRDefault="00AA5145" w:rsidP="00AA5145">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after="255" w:line="276" w:lineRule="auto"/>
        <w:contextualSpacing/>
        <w:jc w:val="both"/>
        <w:rPr>
          <w:rFonts w:ascii="Verdana" w:hAnsi="Verdana" w:cs="Arial"/>
        </w:rPr>
      </w:pPr>
      <w:r>
        <w:rPr>
          <w:rFonts w:ascii="Verdana" w:hAnsi="Verdana" w:cs="Arial"/>
          <w:spacing w:val="2"/>
          <w:lang w:eastAsia="es-CO"/>
        </w:rPr>
        <w:t xml:space="preserve">Resolución 358 de 2023. </w:t>
      </w:r>
      <w:r>
        <w:rPr>
          <w:rFonts w:ascii="Verdana" w:hAnsi="Verdana" w:cs="Arial"/>
        </w:rPr>
        <w:t xml:space="preserve">Disponible </w:t>
      </w:r>
      <w:r>
        <w:rPr>
          <w:rFonts w:ascii="Verdana" w:eastAsia="Calibri" w:hAnsi="Verdana" w:cs="Arial"/>
          <w:lang w:val="es-ES" w:eastAsia="es-ES"/>
        </w:rPr>
        <w:t xml:space="preserve">en el siguiente enlace: </w:t>
      </w:r>
      <w:hyperlink r:id="rId15" w:history="1">
        <w:r>
          <w:rPr>
            <w:rStyle w:val="Hipervnculo"/>
            <w:rFonts w:ascii="Verdana" w:eastAsia="Calibri" w:hAnsi="Verdana" w:cs="Arial"/>
            <w:lang w:val="es-ES" w:eastAsia="es-ES"/>
          </w:rPr>
          <w:t>https://www.colombiacompra.gov.co/content/documento-tipo-para-la-contratacion-directa-de-convenios-solidarios-para-la-ejecucion-de</w:t>
        </w:r>
      </w:hyperlink>
    </w:p>
    <w:p w14:paraId="18C409DD" w14:textId="77777777" w:rsidR="00AA5145" w:rsidRPr="0007334A" w:rsidRDefault="00AA5145" w:rsidP="00AA5145">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after="255" w:line="276" w:lineRule="auto"/>
        <w:contextualSpacing/>
        <w:jc w:val="both"/>
        <w:rPr>
          <w:rFonts w:ascii="Verdana" w:hAnsi="Verdana" w:cs="Century Gothic"/>
          <w:lang w:val="es-ES"/>
        </w:rPr>
      </w:pPr>
      <w:r w:rsidRPr="0007334A">
        <w:rPr>
          <w:rFonts w:ascii="Verdana" w:hAnsi="Verdana" w:cs="Century Gothic"/>
          <w:lang w:val="es-ES"/>
        </w:rPr>
        <w:t>Ley 1474 de 2014, articulo 83 y 84</w:t>
      </w:r>
    </w:p>
    <w:p w14:paraId="33BB1C28" w14:textId="77777777" w:rsidR="00AA5145" w:rsidRPr="0007334A" w:rsidRDefault="00AA5145" w:rsidP="00AA5145">
      <w:pPr>
        <w:tabs>
          <w:tab w:val="left" w:pos="142"/>
          <w:tab w:val="left" w:pos="284"/>
        </w:tabs>
        <w:spacing w:after="0" w:line="240" w:lineRule="auto"/>
        <w:ind w:right="709"/>
        <w:jc w:val="both"/>
        <w:rPr>
          <w:rFonts w:ascii="Verdana" w:hAnsi="Verdana" w:cs="Century Gothic"/>
          <w:lang w:val="es-ES"/>
        </w:rPr>
      </w:pPr>
    </w:p>
    <w:p w14:paraId="2C33FF34" w14:textId="77777777" w:rsidR="00AA5145" w:rsidRPr="005D645D" w:rsidRDefault="00AA5145" w:rsidP="00AA5145">
      <w:pPr>
        <w:tabs>
          <w:tab w:val="left" w:pos="142"/>
          <w:tab w:val="left" w:pos="284"/>
        </w:tabs>
        <w:spacing w:after="0" w:line="240" w:lineRule="auto"/>
        <w:ind w:right="709"/>
        <w:jc w:val="both"/>
        <w:rPr>
          <w:rFonts w:ascii="Verdana" w:hAnsi="Verdana" w:cs="Century Gothic"/>
          <w:b/>
          <w:bCs/>
          <w:i/>
          <w:iCs/>
        </w:rPr>
      </w:pPr>
      <w:r w:rsidRPr="005D645D">
        <w:rPr>
          <w:rFonts w:ascii="Verdana" w:hAnsi="Verdana" w:cs="Century Gothic"/>
          <w:b/>
          <w:bCs/>
          <w:i/>
          <w:iCs/>
        </w:rPr>
        <w:t xml:space="preserve">5. Doctrina de la Agencia Nacional de Contratación Pública: </w:t>
      </w:r>
    </w:p>
    <w:p w14:paraId="61D22B1B" w14:textId="77777777" w:rsidR="00AA5145" w:rsidRPr="005D645D" w:rsidRDefault="00AA5145" w:rsidP="00AA5145">
      <w:pPr>
        <w:tabs>
          <w:tab w:val="left" w:pos="142"/>
          <w:tab w:val="left" w:pos="284"/>
        </w:tabs>
        <w:spacing w:after="0" w:line="240" w:lineRule="auto"/>
        <w:ind w:right="709"/>
        <w:jc w:val="both"/>
        <w:rPr>
          <w:rFonts w:ascii="Verdana" w:hAnsi="Verdana" w:cs="Century Gothic"/>
          <w:b/>
          <w:bCs/>
          <w:i/>
          <w:iCs/>
        </w:rPr>
      </w:pPr>
    </w:p>
    <w:p w14:paraId="56CC9402" w14:textId="77777777" w:rsidR="00AA5145" w:rsidRPr="00F05275" w:rsidRDefault="00AA5145" w:rsidP="00AA5145">
      <w:pPr>
        <w:tabs>
          <w:tab w:val="left" w:pos="142"/>
          <w:tab w:val="left" w:pos="284"/>
          <w:tab w:val="left" w:pos="8080"/>
        </w:tabs>
        <w:spacing w:after="0" w:line="240" w:lineRule="auto"/>
        <w:jc w:val="both"/>
        <w:rPr>
          <w:rFonts w:ascii="Verdana" w:hAnsi="Verdana" w:cs="Century Gothic"/>
          <w:lang w:val="es-ES"/>
        </w:rPr>
      </w:pPr>
      <w:r w:rsidRPr="00F05275">
        <w:rPr>
          <w:rFonts w:ascii="Verdana" w:hAnsi="Verdana" w:cs="Century Gothic"/>
        </w:rPr>
        <w:t>L</w:t>
      </w:r>
      <w:r w:rsidRPr="00F05275">
        <w:rPr>
          <w:rFonts w:ascii="Verdana" w:hAnsi="Verdana" w:cs="Century Gothic"/>
          <w:lang w:val="es-ES"/>
        </w:rPr>
        <w:t xml:space="preserve">a Agencia Nacional de Contratación Pública – Colombia Compra Eficiente, se ha pronunciado sobre el giro y manejo de los recursos en los documentos tipo para la contratación directa de los convenios solidarios para la ejecución de obras </w:t>
      </w:r>
      <w:r w:rsidRPr="00F05275">
        <w:rPr>
          <w:rFonts w:ascii="Verdana" w:hAnsi="Verdana" w:cs="Century Gothic"/>
          <w:lang w:val="es-ES"/>
        </w:rPr>
        <w:lastRenderedPageBreak/>
        <w:t>hasta la menor cuantía con organismos de acción comunal en el concepto C-370 del 19 de septiembre de 2023</w:t>
      </w:r>
      <w:r>
        <w:rPr>
          <w:rFonts w:ascii="Verdana" w:hAnsi="Verdana" w:cs="Century Gothic"/>
          <w:lang w:val="es-ES"/>
        </w:rPr>
        <w:t>, en el concepto C-199 del 28 de marzo de 2025</w:t>
      </w:r>
    </w:p>
    <w:p w14:paraId="0156EB78" w14:textId="77777777" w:rsidR="00AA5145" w:rsidRPr="00F05275" w:rsidRDefault="00AA5145" w:rsidP="00AA5145">
      <w:pPr>
        <w:tabs>
          <w:tab w:val="left" w:pos="142"/>
          <w:tab w:val="left" w:pos="284"/>
          <w:tab w:val="left" w:pos="8080"/>
        </w:tabs>
        <w:spacing w:after="0" w:line="240" w:lineRule="auto"/>
        <w:jc w:val="both"/>
        <w:rPr>
          <w:rFonts w:ascii="Verdana" w:hAnsi="Verdana" w:cs="Century Gothic"/>
          <w:lang w:val="es-ES"/>
        </w:rPr>
      </w:pPr>
    </w:p>
    <w:p w14:paraId="7E940CCB" w14:textId="77777777" w:rsidR="00AA5145" w:rsidRDefault="00AA5145" w:rsidP="00AA5145">
      <w:pPr>
        <w:tabs>
          <w:tab w:val="left" w:pos="142"/>
          <w:tab w:val="left" w:pos="284"/>
          <w:tab w:val="left" w:pos="8080"/>
        </w:tabs>
        <w:spacing w:after="0" w:line="240" w:lineRule="auto"/>
        <w:jc w:val="both"/>
        <w:rPr>
          <w:rFonts w:ascii="Verdana" w:hAnsi="Verdana" w:cs="Century Gothic"/>
          <w:i/>
          <w:iCs/>
        </w:rPr>
      </w:pPr>
      <w:r w:rsidRPr="00F05275">
        <w:rPr>
          <w:rFonts w:ascii="Verdana" w:hAnsi="Verdana" w:cs="Century Gothic"/>
        </w:rPr>
        <w:t>Este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tooltip="Dirección URL original: https://relatoria.colombiacompra.gov.co/. Haga clic o pulse si confía en este vínculo." w:history="1">
        <w:r w:rsidRPr="00F05275">
          <w:rPr>
            <w:rStyle w:val="Hipervnculo"/>
            <w:rFonts w:ascii="Verdana" w:hAnsi="Verdana" w:cs="Century Gothic"/>
            <w:lang w:val="es-ES"/>
          </w:rPr>
          <w:t>https://relatoria.colombiacompra.gov.co/</w:t>
        </w:r>
      </w:hyperlink>
    </w:p>
    <w:p w14:paraId="10BBBC6A" w14:textId="77777777" w:rsidR="00AA5145" w:rsidRDefault="00AA5145" w:rsidP="00AA5145">
      <w:pPr>
        <w:tabs>
          <w:tab w:val="left" w:pos="142"/>
          <w:tab w:val="left" w:pos="284"/>
          <w:tab w:val="left" w:pos="8080"/>
        </w:tabs>
        <w:spacing w:after="0" w:line="240" w:lineRule="auto"/>
        <w:jc w:val="both"/>
        <w:rPr>
          <w:rFonts w:ascii="Verdana" w:hAnsi="Verdana" w:cs="Century Gothic"/>
          <w:i/>
          <w:iCs/>
        </w:rPr>
      </w:pPr>
    </w:p>
    <w:p w14:paraId="0D37E67C"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Por último, lo invitamos a seguirnos en las redes sociales en las cuales se difunde información institucional:</w:t>
      </w:r>
    </w:p>
    <w:p w14:paraId="3491CA76"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p>
    <w:p w14:paraId="5810D92C"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Twitter: </w:t>
      </w:r>
      <w:r w:rsidRPr="00F200E4">
        <w:rPr>
          <w:rFonts w:ascii="Verdana" w:hAnsi="Verdana" w:cs="Century Gothic"/>
          <w:u w:val="single"/>
        </w:rPr>
        <w:t>@colombiacompra</w:t>
      </w:r>
      <w:r w:rsidRPr="00F200E4">
        <w:rPr>
          <w:rFonts w:ascii="Verdana" w:hAnsi="Verdana" w:cs="Century Gothic"/>
        </w:rPr>
        <w:t xml:space="preserve"> </w:t>
      </w:r>
      <w:r>
        <w:rPr>
          <w:rFonts w:ascii="Verdana" w:hAnsi="Verdana" w:cs="Century Gothic"/>
        </w:rPr>
        <w:t xml:space="preserve"> </w:t>
      </w:r>
    </w:p>
    <w:p w14:paraId="196851B1"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Facebook: </w:t>
      </w:r>
      <w:proofErr w:type="spellStart"/>
      <w:r w:rsidRPr="00F200E4">
        <w:rPr>
          <w:rFonts w:ascii="Verdana" w:hAnsi="Verdana" w:cs="Century Gothic"/>
          <w:u w:val="single"/>
        </w:rPr>
        <w:t>ColombiaCompraEficiente</w:t>
      </w:r>
      <w:proofErr w:type="spellEnd"/>
      <w:r>
        <w:rPr>
          <w:rFonts w:ascii="Verdana" w:hAnsi="Verdana" w:cs="Century Gothic"/>
          <w:u w:val="single"/>
        </w:rPr>
        <w:t xml:space="preserve"> </w:t>
      </w:r>
    </w:p>
    <w:p w14:paraId="5212AB92"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LinkedIn: </w:t>
      </w:r>
      <w:r w:rsidRPr="00F200E4">
        <w:rPr>
          <w:rFonts w:ascii="Verdana" w:hAnsi="Verdana" w:cs="Century Gothic"/>
          <w:u w:val="single"/>
        </w:rPr>
        <w:t>Agencia Nacional de Contratación Pública - Colombia Compra Eficiente</w:t>
      </w:r>
      <w:r w:rsidRPr="00F200E4">
        <w:rPr>
          <w:rFonts w:ascii="Verdana" w:hAnsi="Verdana" w:cs="Century Gothic"/>
        </w:rPr>
        <w:t xml:space="preserve"> Instagram: </w:t>
      </w:r>
      <w:r w:rsidRPr="00F200E4">
        <w:rPr>
          <w:rFonts w:ascii="Verdana" w:hAnsi="Verdana" w:cs="Century Gothic"/>
          <w:u w:val="single"/>
        </w:rPr>
        <w:t>@colombiacompraeficiente_cce</w:t>
      </w:r>
      <w:r>
        <w:rPr>
          <w:rFonts w:ascii="Verdana" w:hAnsi="Verdana" w:cs="Century Gothic"/>
          <w:u w:val="single"/>
        </w:rPr>
        <w:t xml:space="preserve"> </w:t>
      </w:r>
    </w:p>
    <w:p w14:paraId="314CE9B0"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p>
    <w:p w14:paraId="6EADE31F"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lang w:val="es-ES_tradnl"/>
        </w:rPr>
      </w:pPr>
      <w:r w:rsidRPr="00F200E4">
        <w:rPr>
          <w:rFonts w:ascii="Verdana" w:hAnsi="Verdana" w:cs="Century Gothic"/>
        </w:rPr>
        <w:t xml:space="preserve">Este concepto tiene el alcance previsto en el artículo 28 del Código de Procedimiento Administrativo y de lo Contencioso Administrativo </w:t>
      </w:r>
      <w:r w:rsidRPr="00F200E4">
        <w:rPr>
          <w:rFonts w:ascii="Verdana" w:hAnsi="Verdana" w:cs="Century Gothic"/>
          <w:lang w:val="es-ES_tradnl"/>
        </w:rPr>
        <w:t>y las expresiones aquí utilizadas con mayúscula inicial deben ser entendidas con el significado que les otorga el artículo 2.2.1.1.1.3.1. del Decreto 1082 de 2015.</w:t>
      </w:r>
    </w:p>
    <w:p w14:paraId="1FEF0277"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p>
    <w:p w14:paraId="2F3E5FC8" w14:textId="77777777" w:rsidR="00AA5145" w:rsidRPr="00F200E4" w:rsidRDefault="00AA5145" w:rsidP="00AA5145">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Atentamente, </w:t>
      </w:r>
    </w:p>
    <w:p w14:paraId="5A000A45" w14:textId="77777777" w:rsidR="00AA5145" w:rsidRDefault="00AA5145" w:rsidP="00AA5145">
      <w:pPr>
        <w:tabs>
          <w:tab w:val="left" w:pos="142"/>
          <w:tab w:val="left" w:pos="284"/>
          <w:tab w:val="left" w:pos="8080"/>
        </w:tabs>
        <w:spacing w:after="0" w:line="240" w:lineRule="auto"/>
        <w:jc w:val="both"/>
        <w:rPr>
          <w:rFonts w:ascii="Verdana" w:hAnsi="Verdana" w:cs="Century Gothic"/>
        </w:rPr>
      </w:pPr>
    </w:p>
    <w:p w14:paraId="4E96D800" w14:textId="77777777" w:rsidR="00AA5145" w:rsidRDefault="00AA5145" w:rsidP="00AA5145">
      <w:pPr>
        <w:tabs>
          <w:tab w:val="left" w:pos="142"/>
          <w:tab w:val="left" w:pos="284"/>
          <w:tab w:val="left" w:pos="8080"/>
        </w:tabs>
        <w:spacing w:after="0" w:line="240" w:lineRule="auto"/>
        <w:jc w:val="both"/>
        <w:rPr>
          <w:rFonts w:ascii="Verdana" w:hAnsi="Verdana" w:cs="Century Gothic"/>
        </w:rPr>
      </w:pPr>
    </w:p>
    <w:p w14:paraId="0BE9572A" w14:textId="613D9864" w:rsidR="00AA5145" w:rsidRDefault="00131030" w:rsidP="00AA5145">
      <w:pPr>
        <w:tabs>
          <w:tab w:val="left" w:pos="142"/>
          <w:tab w:val="left" w:pos="284"/>
          <w:tab w:val="left" w:pos="8080"/>
        </w:tabs>
        <w:spacing w:after="0" w:line="240" w:lineRule="auto"/>
        <w:jc w:val="center"/>
        <w:rPr>
          <w:rFonts w:ascii="Verdana" w:hAnsi="Verdana" w:cs="Century Gothic"/>
        </w:rPr>
      </w:pPr>
      <w:r w:rsidRPr="002C3AD6">
        <w:rPr>
          <w:rFonts w:ascii="Century Gothic" w:hAnsi="Century Gothic"/>
          <w:noProof/>
        </w:rPr>
        <w:drawing>
          <wp:inline distT="0" distB="0" distL="0" distR="0" wp14:anchorId="130C2998" wp14:editId="54A469F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5EB95B6C" w14:textId="77777777" w:rsidR="00AA5145" w:rsidRDefault="00AA5145" w:rsidP="00AA5145">
      <w:pPr>
        <w:tabs>
          <w:tab w:val="left" w:pos="142"/>
          <w:tab w:val="left" w:pos="284"/>
          <w:tab w:val="left" w:pos="8080"/>
        </w:tabs>
        <w:spacing w:after="0" w:line="240" w:lineRule="auto"/>
        <w:jc w:val="both"/>
        <w:rPr>
          <w:rFonts w:ascii="Verdana" w:hAnsi="Verdana" w:cs="Century Gothic"/>
        </w:rPr>
      </w:pPr>
    </w:p>
    <w:p w14:paraId="07F52B69" w14:textId="77777777" w:rsidR="00AA5145" w:rsidRDefault="00AA5145" w:rsidP="00AA5145">
      <w:pPr>
        <w:tabs>
          <w:tab w:val="left" w:pos="142"/>
          <w:tab w:val="left" w:pos="284"/>
          <w:tab w:val="left" w:pos="8080"/>
        </w:tabs>
        <w:spacing w:after="0" w:line="240" w:lineRule="auto"/>
        <w:jc w:val="both"/>
        <w:rPr>
          <w:rFonts w:ascii="Verdana" w:hAnsi="Verdana" w:cs="Century Gothic"/>
        </w:rPr>
      </w:pPr>
    </w:p>
    <w:tbl>
      <w:tblPr>
        <w:tblW w:w="59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77"/>
        <w:gridCol w:w="4978"/>
      </w:tblGrid>
      <w:tr w:rsidR="00AA5145" w:rsidRPr="00B45B4E" w14:paraId="3E15A86A" w14:textId="77777777" w:rsidTr="00CE52C5">
        <w:trPr>
          <w:trHeight w:val="324"/>
        </w:trPr>
        <w:tc>
          <w:tcPr>
            <w:tcW w:w="977" w:type="dxa"/>
            <w:tcBorders>
              <w:top w:val="nil"/>
              <w:left w:val="nil"/>
              <w:bottom w:val="nil"/>
              <w:right w:val="nil"/>
            </w:tcBorders>
            <w:vAlign w:val="center"/>
            <w:hideMark/>
          </w:tcPr>
          <w:p w14:paraId="638F0135" w14:textId="77777777" w:rsidR="00AA5145" w:rsidRPr="00B45B4E" w:rsidRDefault="00AA5145" w:rsidP="00CE52C5">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978" w:type="dxa"/>
            <w:tcBorders>
              <w:top w:val="nil"/>
              <w:left w:val="nil"/>
              <w:bottom w:val="dotted" w:sz="6" w:space="0" w:color="7F7F7F" w:themeColor="text1" w:themeTint="80"/>
              <w:right w:val="nil"/>
            </w:tcBorders>
            <w:vAlign w:val="center"/>
            <w:hideMark/>
          </w:tcPr>
          <w:p w14:paraId="002E3296" w14:textId="77777777" w:rsidR="00AA5145" w:rsidRPr="00B45B4E" w:rsidRDefault="00AA5145" w:rsidP="00CE52C5">
            <w:pPr>
              <w:spacing w:after="0" w:line="240" w:lineRule="auto"/>
              <w:jc w:val="both"/>
              <w:rPr>
                <w:rFonts w:ascii="Verdana" w:hAnsi="Verdana" w:cs="Arial"/>
                <w:sz w:val="16"/>
                <w:szCs w:val="16"/>
              </w:rPr>
            </w:pPr>
            <w:proofErr w:type="spellStart"/>
            <w:r>
              <w:rPr>
                <w:rFonts w:ascii="Verdana" w:hAnsi="Verdana" w:cs="Arial"/>
                <w:sz w:val="16"/>
                <w:szCs w:val="16"/>
              </w:rPr>
              <w:t>Hector</w:t>
            </w:r>
            <w:proofErr w:type="spellEnd"/>
            <w:r>
              <w:rPr>
                <w:rFonts w:ascii="Verdana" w:hAnsi="Verdana" w:cs="Arial"/>
                <w:sz w:val="16"/>
                <w:szCs w:val="16"/>
              </w:rPr>
              <w:t xml:space="preserve"> Luis Quiñones </w:t>
            </w:r>
            <w:proofErr w:type="spellStart"/>
            <w:r>
              <w:rPr>
                <w:rFonts w:ascii="Verdana" w:hAnsi="Verdana" w:cs="Arial"/>
                <w:sz w:val="16"/>
                <w:szCs w:val="16"/>
              </w:rPr>
              <w:t>Quiñones</w:t>
            </w:r>
            <w:proofErr w:type="spellEnd"/>
          </w:p>
          <w:p w14:paraId="0757604A" w14:textId="77777777" w:rsidR="00AA5145" w:rsidRPr="00B45B4E" w:rsidRDefault="00AA5145" w:rsidP="00CE52C5">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w:t>
            </w:r>
            <w:r>
              <w:rPr>
                <w:rFonts w:ascii="Verdana" w:eastAsia="Calibri" w:hAnsi="Verdana" w:cs="Arial"/>
                <w:sz w:val="16"/>
                <w:szCs w:val="16"/>
              </w:rPr>
              <w:t>2</w:t>
            </w:r>
            <w:r w:rsidRPr="00B45B4E">
              <w:rPr>
                <w:rFonts w:ascii="Verdana" w:eastAsia="Calibri" w:hAnsi="Verdana" w:cs="Arial"/>
                <w:sz w:val="16"/>
                <w:szCs w:val="16"/>
              </w:rPr>
              <w:t xml:space="preserve"> de la Subdirección de Gestión Contractual</w:t>
            </w:r>
          </w:p>
        </w:tc>
      </w:tr>
      <w:tr w:rsidR="00AA5145" w:rsidRPr="00B45B4E" w14:paraId="7431BD68" w14:textId="77777777" w:rsidTr="00CE52C5">
        <w:trPr>
          <w:trHeight w:val="324"/>
        </w:trPr>
        <w:tc>
          <w:tcPr>
            <w:tcW w:w="977" w:type="dxa"/>
            <w:tcBorders>
              <w:top w:val="nil"/>
              <w:left w:val="nil"/>
              <w:bottom w:val="nil"/>
              <w:right w:val="nil"/>
            </w:tcBorders>
            <w:vAlign w:val="center"/>
            <w:hideMark/>
          </w:tcPr>
          <w:p w14:paraId="5FEAAED5" w14:textId="77777777" w:rsidR="00AA5145" w:rsidRPr="00B45B4E" w:rsidRDefault="00AA5145" w:rsidP="00CE52C5">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978" w:type="dxa"/>
            <w:tcBorders>
              <w:top w:val="dotted" w:sz="6" w:space="0" w:color="7F7F7F" w:themeColor="text1" w:themeTint="80"/>
              <w:left w:val="nil"/>
              <w:bottom w:val="dotted" w:sz="6" w:space="0" w:color="7F7F7F" w:themeColor="text1" w:themeTint="80"/>
              <w:right w:val="nil"/>
            </w:tcBorders>
            <w:vAlign w:val="center"/>
            <w:hideMark/>
          </w:tcPr>
          <w:p w14:paraId="4942051C" w14:textId="77777777" w:rsidR="00AA5145" w:rsidRPr="00B45B4E" w:rsidRDefault="00AA5145" w:rsidP="00CE52C5">
            <w:pPr>
              <w:spacing w:after="0" w:line="240" w:lineRule="auto"/>
              <w:jc w:val="both"/>
              <w:rPr>
                <w:rFonts w:ascii="Verdana" w:hAnsi="Verdana" w:cs="Arial"/>
                <w:sz w:val="16"/>
                <w:szCs w:val="16"/>
              </w:rPr>
            </w:pPr>
            <w:r>
              <w:rPr>
                <w:rFonts w:ascii="Verdana" w:hAnsi="Verdana" w:cs="Arial"/>
                <w:sz w:val="16"/>
                <w:szCs w:val="16"/>
              </w:rPr>
              <w:t>Juan David Cárdenas Cabeza</w:t>
            </w:r>
          </w:p>
          <w:p w14:paraId="04CAD3F3" w14:textId="77777777" w:rsidR="00AA5145" w:rsidRPr="00B45B4E" w:rsidRDefault="00AA5145" w:rsidP="00CE52C5">
            <w:pPr>
              <w:spacing w:after="0" w:line="240" w:lineRule="auto"/>
              <w:jc w:val="both"/>
              <w:rPr>
                <w:rFonts w:ascii="Verdana" w:hAnsi="Verdana" w:cs="Arial"/>
                <w:sz w:val="16"/>
                <w:szCs w:val="16"/>
              </w:rPr>
            </w:pPr>
            <w:r>
              <w:rPr>
                <w:rFonts w:ascii="Verdana" w:eastAsia="Calibri" w:hAnsi="Verdana" w:cs="Arial"/>
                <w:sz w:val="16"/>
                <w:szCs w:val="16"/>
              </w:rPr>
              <w:t>Contratista</w:t>
            </w:r>
            <w:r w:rsidRPr="00B45B4E">
              <w:rPr>
                <w:rFonts w:ascii="Verdana" w:eastAsia="Calibri" w:hAnsi="Verdana" w:cs="Arial"/>
                <w:sz w:val="16"/>
                <w:szCs w:val="16"/>
              </w:rPr>
              <w:t xml:space="preserve"> d</w:t>
            </w:r>
            <w:r>
              <w:rPr>
                <w:rFonts w:ascii="Verdana" w:eastAsia="Calibri" w:hAnsi="Verdana" w:cs="Arial"/>
                <w:sz w:val="16"/>
                <w:szCs w:val="16"/>
              </w:rPr>
              <w:t xml:space="preserve">e </w:t>
            </w:r>
            <w:r w:rsidRPr="00B45B4E">
              <w:rPr>
                <w:rFonts w:ascii="Verdana" w:eastAsia="Calibri" w:hAnsi="Verdana" w:cs="Arial"/>
                <w:sz w:val="16"/>
                <w:szCs w:val="16"/>
              </w:rPr>
              <w:t>la Subdirección de Gestión Contractual</w:t>
            </w:r>
          </w:p>
        </w:tc>
      </w:tr>
      <w:tr w:rsidR="00AA5145" w:rsidRPr="00B45B4E" w14:paraId="0A2D251B" w14:textId="77777777" w:rsidTr="00CE52C5">
        <w:trPr>
          <w:trHeight w:val="308"/>
        </w:trPr>
        <w:tc>
          <w:tcPr>
            <w:tcW w:w="977" w:type="dxa"/>
            <w:tcBorders>
              <w:top w:val="nil"/>
              <w:left w:val="nil"/>
              <w:bottom w:val="nil"/>
              <w:right w:val="nil"/>
            </w:tcBorders>
            <w:vAlign w:val="center"/>
            <w:hideMark/>
          </w:tcPr>
          <w:p w14:paraId="333C3E76" w14:textId="77777777" w:rsidR="00AA5145" w:rsidRPr="00B45B4E" w:rsidRDefault="00AA5145" w:rsidP="00CE52C5">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978" w:type="dxa"/>
            <w:tcBorders>
              <w:top w:val="dotted" w:sz="6" w:space="0" w:color="7F7F7F" w:themeColor="text1" w:themeTint="80"/>
              <w:left w:val="nil"/>
              <w:bottom w:val="dotted" w:sz="6" w:space="0" w:color="7F7F7F" w:themeColor="text1" w:themeTint="80"/>
              <w:right w:val="nil"/>
            </w:tcBorders>
            <w:vAlign w:val="center"/>
            <w:hideMark/>
          </w:tcPr>
          <w:p w14:paraId="2934FC20" w14:textId="77777777" w:rsidR="00AA5145" w:rsidRPr="00B45B4E" w:rsidRDefault="00AA5145" w:rsidP="00CE52C5">
            <w:pPr>
              <w:autoSpaceDE w:val="0"/>
              <w:autoSpaceDN w:val="0"/>
              <w:adjustRightInd w:val="0"/>
              <w:spacing w:after="0" w:line="240" w:lineRule="auto"/>
              <w:jc w:val="both"/>
              <w:rPr>
                <w:rFonts w:ascii="Verdana" w:eastAsia="Calibri" w:hAnsi="Verdana" w:cs="Arial"/>
                <w:sz w:val="16"/>
                <w:szCs w:val="16"/>
              </w:rPr>
            </w:pPr>
            <w:r>
              <w:rPr>
                <w:rFonts w:ascii="Verdana" w:eastAsia="Calibri" w:hAnsi="Verdana" w:cs="Arial"/>
                <w:sz w:val="16"/>
                <w:szCs w:val="16"/>
              </w:rPr>
              <w:t xml:space="preserve">Carolina Quintero </w:t>
            </w:r>
            <w:proofErr w:type="spellStart"/>
            <w:r>
              <w:rPr>
                <w:rFonts w:ascii="Verdana" w:eastAsia="Calibri" w:hAnsi="Verdana" w:cs="Arial"/>
                <w:sz w:val="16"/>
                <w:szCs w:val="16"/>
              </w:rPr>
              <w:t>Gacharná</w:t>
            </w:r>
            <w:proofErr w:type="spellEnd"/>
          </w:p>
          <w:p w14:paraId="70B9277F" w14:textId="77777777" w:rsidR="00AA5145" w:rsidRPr="00B45B4E" w:rsidRDefault="00AA5145" w:rsidP="00CE52C5">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00F53AEE" w14:textId="77777777" w:rsidR="00AA5145" w:rsidRPr="00FE5786" w:rsidRDefault="00AA5145" w:rsidP="00AA5145"/>
    <w:p w14:paraId="5AE25FD3" w14:textId="77777777" w:rsidR="00AA5145" w:rsidRPr="005D645D" w:rsidRDefault="00AA5145" w:rsidP="00AA5145">
      <w:pPr>
        <w:tabs>
          <w:tab w:val="left" w:pos="142"/>
          <w:tab w:val="left" w:pos="284"/>
          <w:tab w:val="left" w:pos="8080"/>
        </w:tabs>
        <w:spacing w:after="0" w:line="240" w:lineRule="auto"/>
        <w:jc w:val="both"/>
        <w:rPr>
          <w:rFonts w:ascii="Verdana" w:hAnsi="Verdana" w:cs="Century Gothic"/>
        </w:rPr>
      </w:pPr>
    </w:p>
    <w:sectPr w:rsidR="00AA5145" w:rsidRPr="005D645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554E9" w14:textId="77777777" w:rsidR="008042FE" w:rsidRDefault="008042FE" w:rsidP="004A1847">
      <w:pPr>
        <w:spacing w:after="0" w:line="240" w:lineRule="auto"/>
      </w:pPr>
      <w:r>
        <w:separator/>
      </w:r>
    </w:p>
  </w:endnote>
  <w:endnote w:type="continuationSeparator" w:id="0">
    <w:p w14:paraId="39B877E7" w14:textId="77777777" w:rsidR="008042FE" w:rsidRDefault="008042F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50369" w14:textId="77777777" w:rsidR="008042FE" w:rsidRDefault="008042FE" w:rsidP="004A1847">
      <w:pPr>
        <w:spacing w:after="0" w:line="240" w:lineRule="auto"/>
      </w:pPr>
      <w:r>
        <w:separator/>
      </w:r>
    </w:p>
  </w:footnote>
  <w:footnote w:type="continuationSeparator" w:id="0">
    <w:p w14:paraId="26CB430D" w14:textId="77777777" w:rsidR="008042FE" w:rsidRDefault="008042FE" w:rsidP="004A1847">
      <w:pPr>
        <w:spacing w:after="0" w:line="240" w:lineRule="auto"/>
      </w:pPr>
      <w:r>
        <w:continuationSeparator/>
      </w:r>
    </w:p>
  </w:footnote>
  <w:footnote w:id="1">
    <w:p w14:paraId="62D320B6" w14:textId="77777777" w:rsidR="00AA5145" w:rsidRPr="00D36753" w:rsidRDefault="00AA5145" w:rsidP="00AA5145">
      <w:pPr>
        <w:pStyle w:val="Textonotapie"/>
        <w:ind w:firstLine="709"/>
        <w:jc w:val="both"/>
        <w:rPr>
          <w:rFonts w:ascii="Verdana" w:hAnsi="Verdana" w:cs="Arial"/>
          <w:sz w:val="16"/>
          <w:szCs w:val="16"/>
        </w:rPr>
      </w:pPr>
      <w:r w:rsidRPr="00D36753">
        <w:rPr>
          <w:rStyle w:val="Refdenotaalpie"/>
          <w:rFonts w:ascii="Verdana" w:hAnsi="Verdana" w:cs="Arial"/>
          <w:sz w:val="16"/>
          <w:szCs w:val="16"/>
        </w:rPr>
        <w:footnoteRef/>
      </w:r>
      <w:r w:rsidRPr="00D36753">
        <w:rPr>
          <w:rFonts w:ascii="Verdana" w:hAnsi="Verdana" w:cs="Arial"/>
          <w:sz w:val="16"/>
          <w:szCs w:val="16"/>
        </w:rPr>
        <w:t xml:space="preserve"> Es importante señalar que los documentos tipo adoptados son obligatorios para las entidades estatales regidas por el Estatuto General de Contratación de la Administración Pública –EGCAP– que adelanten procesos de contratación mediante las modalidades de selección y objetos contractuales cobijados por alguno de los documentos tipo vigentes en los diferentes sectores. La obligatoriedad del contenido de los documentos tipo implica que las entidades estatales tengan que adelantar los procesos de contratación ciñéndose a las condiciones establecidas en los documentos tipo, sin que puedan variarse los requisitos fijados en ellos.</w:t>
      </w:r>
    </w:p>
  </w:footnote>
  <w:footnote w:id="2">
    <w:p w14:paraId="589ACECA" w14:textId="77777777" w:rsidR="00AA5145" w:rsidRPr="000F6451" w:rsidRDefault="00AA5145" w:rsidP="00AA5145">
      <w:pPr>
        <w:pStyle w:val="Textonotapie"/>
        <w:ind w:firstLine="709"/>
        <w:jc w:val="both"/>
        <w:rPr>
          <w:rFonts w:ascii="Verdana" w:hAnsi="Verdana" w:cs="Arial"/>
          <w:sz w:val="16"/>
          <w:szCs w:val="16"/>
          <w:lang w:val="es-CO"/>
        </w:rPr>
      </w:pPr>
      <w:r w:rsidRPr="000F6451">
        <w:rPr>
          <w:rStyle w:val="Refdenotaalpie"/>
          <w:rFonts w:ascii="Verdana" w:hAnsi="Verdana" w:cs="Arial"/>
          <w:sz w:val="16"/>
          <w:szCs w:val="16"/>
        </w:rPr>
        <w:footnoteRef/>
      </w:r>
      <w:r w:rsidRPr="000F6451">
        <w:rPr>
          <w:rFonts w:ascii="Verdana" w:hAnsi="Verdana" w:cs="Arial"/>
          <w:sz w:val="16"/>
          <w:szCs w:val="16"/>
        </w:rPr>
        <w:t xml:space="preserve"> En relación con el artículo 2. “Desarrollo e implementación de los documentos tipo” contenido en la Resolución 358 del 30 de junio de 2023, debe aclararse que respecto a la palabra subrayada “[…] la ejecución de obras hasta el </w:t>
      </w:r>
      <w:r w:rsidRPr="000F6451">
        <w:rPr>
          <w:rFonts w:ascii="Verdana" w:hAnsi="Verdana" w:cs="Arial"/>
          <w:i/>
          <w:iCs/>
          <w:sz w:val="16"/>
          <w:szCs w:val="16"/>
          <w:u w:val="single"/>
        </w:rPr>
        <w:t>momento</w:t>
      </w:r>
      <w:r w:rsidRPr="000F6451">
        <w:rPr>
          <w:rFonts w:ascii="Verdana" w:hAnsi="Verdana" w:cs="Arial"/>
          <w:sz w:val="16"/>
          <w:szCs w:val="16"/>
        </w:rPr>
        <w:t xml:space="preserve"> de la menor cuantía”, se cometió una impresión en la digitación, y esta palabra debe entenderse como </w:t>
      </w:r>
      <w:r w:rsidRPr="000F6451">
        <w:rPr>
          <w:rFonts w:ascii="Verdana" w:hAnsi="Verdana" w:cs="Arial"/>
          <w:i/>
          <w:iCs/>
          <w:sz w:val="16"/>
          <w:szCs w:val="16"/>
          <w:u w:val="single"/>
        </w:rPr>
        <w:t>monto</w:t>
      </w:r>
      <w:r w:rsidRPr="000F6451">
        <w:rPr>
          <w:rFonts w:ascii="Verdana" w:hAnsi="Verdana" w:cs="Arial"/>
          <w:sz w:val="16"/>
          <w:szCs w:val="16"/>
        </w:rPr>
        <w:t xml:space="preserve">. </w:t>
      </w:r>
    </w:p>
  </w:footnote>
  <w:footnote w:id="3">
    <w:p w14:paraId="45FC1212" w14:textId="77777777" w:rsidR="00AA5145" w:rsidRDefault="00AA5145" w:rsidP="00AA5145">
      <w:pPr>
        <w:pStyle w:val="Textonotapie"/>
        <w:ind w:firstLine="709"/>
        <w:jc w:val="both"/>
        <w:rPr>
          <w:rFonts w:ascii="Arial" w:hAnsi="Arial" w:cs="Arial"/>
          <w:b/>
          <w:bCs/>
          <w:sz w:val="19"/>
          <w:szCs w:val="19"/>
          <w:lang w:val="es-CO"/>
        </w:rPr>
      </w:pPr>
      <w:r w:rsidRPr="000F6451">
        <w:rPr>
          <w:rStyle w:val="Refdenotaalpie"/>
          <w:rFonts w:ascii="Verdana" w:hAnsi="Verdana" w:cs="Arial"/>
          <w:b/>
          <w:bCs/>
          <w:sz w:val="16"/>
          <w:szCs w:val="16"/>
        </w:rPr>
        <w:footnoteRef/>
      </w:r>
      <w:r w:rsidRPr="000F6451">
        <w:rPr>
          <w:rFonts w:ascii="Verdana" w:hAnsi="Verdana" w:cs="Arial"/>
          <w:b/>
          <w:bCs/>
          <w:sz w:val="16"/>
          <w:szCs w:val="16"/>
        </w:rPr>
        <w:t xml:space="preserve"> “</w:t>
      </w:r>
      <w:r w:rsidRPr="000F6451">
        <w:rPr>
          <w:rStyle w:val="Textoennegrita"/>
          <w:rFonts w:ascii="Verdana" w:hAnsi="Verdana" w:cs="Arial"/>
          <w:sz w:val="16"/>
          <w:szCs w:val="16"/>
          <w:shd w:val="clear" w:color="auto" w:fill="FFFFFF"/>
        </w:rPr>
        <w:t>Por la cual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y se dictan otras disposiciones”.</w:t>
      </w:r>
    </w:p>
  </w:footnote>
  <w:footnote w:id="4">
    <w:p w14:paraId="724E0B96"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vertAlign w:val="superscript"/>
        </w:rPr>
        <w:footnoteRef/>
      </w:r>
      <w:r w:rsidRPr="00CE4121">
        <w:rPr>
          <w:rFonts w:ascii="Verdana" w:hAnsi="Verdana" w:cs="Arial"/>
          <w:sz w:val="16"/>
          <w:szCs w:val="16"/>
        </w:rPr>
        <w:t xml:space="preserve"> </w:t>
      </w:r>
      <w:r>
        <w:rPr>
          <w:rFonts w:ascii="Verdana" w:hAnsi="Verdana" w:cs="Arial"/>
          <w:sz w:val="16"/>
          <w:szCs w:val="16"/>
        </w:rPr>
        <w:t>“</w:t>
      </w:r>
      <w:r w:rsidRPr="00CE4121">
        <w:rPr>
          <w:rFonts w:ascii="Verdana" w:hAnsi="Verdana" w:cs="Arial"/>
          <w:sz w:val="16"/>
          <w:szCs w:val="16"/>
        </w:rPr>
        <w:t xml:space="preserve">Artículo 83.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371F6B89"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rPr>
        <w:t xml:space="preserve">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4B6D2BEE"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w:t>
      </w:r>
    </w:p>
    <w:p w14:paraId="363B160A"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rPr>
        <w:t xml:space="preserve">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 </w:t>
      </w:r>
    </w:p>
    <w:p w14:paraId="13C9498A"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rPr>
        <w:t xml:space="preserve">El contrato de Interventoría será supervisado directamente por la entidad estatal. </w:t>
      </w:r>
    </w:p>
    <w:p w14:paraId="2C16E6AF"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rPr>
        <w:t xml:space="preserve">Parágrafo 1°. En adición a la obligación de contar con interventoría, teniendo en cuenta la capacidad de la entidad para asumir o no la respectiva supervisión en los contratos de obra a que se refiere el artículo 32 de la Ley 80 de 1993, los estudios previos de los contratos cuyo valor supere la menor cuantía de la entidad, con independencia de la modalidad de selección, se pronunciarán sobre la necesidad de contar con interventoría. </w:t>
      </w:r>
    </w:p>
    <w:p w14:paraId="059CA038" w14:textId="77777777" w:rsidR="00AA5145" w:rsidRDefault="00AA5145" w:rsidP="00AA5145">
      <w:pPr>
        <w:pStyle w:val="Textonotapie"/>
        <w:ind w:firstLine="709"/>
        <w:jc w:val="both"/>
      </w:pPr>
      <w:r w:rsidRPr="00CE4121">
        <w:rPr>
          <w:rFonts w:ascii="Verdana" w:hAnsi="Verdana" w:cs="Arial"/>
          <w:sz w:val="16"/>
          <w:szCs w:val="16"/>
        </w:rPr>
        <w:t>Parágrafo 2°. El Gobierno Nacional reglamentará la materia</w:t>
      </w:r>
      <w:r>
        <w:rPr>
          <w:rFonts w:ascii="Verdana" w:hAnsi="Verdana" w:cs="Arial"/>
          <w:sz w:val="16"/>
          <w:szCs w:val="16"/>
        </w:rPr>
        <w:t>”</w:t>
      </w:r>
      <w:r w:rsidRPr="00B61DB6">
        <w:rPr>
          <w:rFonts w:ascii="Verdana" w:hAnsi="Verdana" w:cs="Arial"/>
          <w:sz w:val="16"/>
          <w:szCs w:val="16"/>
        </w:rPr>
        <w:t>.</w:t>
      </w:r>
      <w:r w:rsidRPr="00CE4121">
        <w:rPr>
          <w:rFonts w:ascii="Verdana" w:hAnsi="Verdana" w:cs="Arial"/>
          <w:sz w:val="16"/>
          <w:szCs w:val="16"/>
        </w:rPr>
        <w:t xml:space="preserve">  </w:t>
      </w:r>
    </w:p>
  </w:footnote>
  <w:footnote w:id="5">
    <w:p w14:paraId="64BB333F" w14:textId="77777777" w:rsidR="00AA5145" w:rsidRPr="00CE4121" w:rsidRDefault="00AA5145" w:rsidP="00AA5145">
      <w:pPr>
        <w:pStyle w:val="Textonotapie"/>
        <w:ind w:firstLine="709"/>
        <w:jc w:val="both"/>
        <w:rPr>
          <w:rFonts w:ascii="Verdana" w:hAnsi="Verdana" w:cs="Arial"/>
          <w:sz w:val="16"/>
          <w:szCs w:val="16"/>
        </w:rPr>
      </w:pPr>
      <w:r w:rsidRPr="00CE4121">
        <w:rPr>
          <w:rFonts w:ascii="Verdana" w:hAnsi="Verdana" w:cs="Arial"/>
          <w:sz w:val="16"/>
          <w:szCs w:val="16"/>
          <w:vertAlign w:val="superscript"/>
        </w:rPr>
        <w:footnoteRef/>
      </w:r>
      <w:r w:rsidRPr="00CE4121">
        <w:rPr>
          <w:rFonts w:ascii="Verdana" w:hAnsi="Verdana" w:cs="Arial"/>
          <w:sz w:val="16"/>
          <w:szCs w:val="16"/>
        </w:rPr>
        <w:t xml:space="preserve"> </w:t>
      </w:r>
      <w:r>
        <w:rPr>
          <w:rFonts w:ascii="Verdana" w:hAnsi="Verdana" w:cs="Arial"/>
          <w:sz w:val="16"/>
          <w:szCs w:val="16"/>
        </w:rPr>
        <w:t>“</w:t>
      </w:r>
      <w:r w:rsidRPr="00CE4121">
        <w:rPr>
          <w:rFonts w:ascii="Verdana" w:hAnsi="Verdana" w:cs="Arial"/>
          <w:sz w:val="16"/>
          <w:szCs w:val="16"/>
        </w:rPr>
        <w:t xml:space="preserve">Artículo 84. Facultades y deberes de los supervisores y los interventores. La supervisión e interventoría contractual implica el seguimiento al ejercicio del cumplimiento obligacional por la entidad contratante sobre las obligaciones a cargo del contratista. </w:t>
      </w:r>
    </w:p>
    <w:p w14:paraId="7CA9ECD9" w14:textId="77777777" w:rsidR="00AA5145" w:rsidRDefault="00AA5145" w:rsidP="00AA5145">
      <w:pPr>
        <w:pStyle w:val="Textonotapie"/>
        <w:ind w:firstLine="709"/>
        <w:jc w:val="both"/>
      </w:pPr>
      <w:r w:rsidRPr="00CE4121">
        <w:rPr>
          <w:rFonts w:ascii="Verdana" w:hAnsi="Verdana" w:cs="Arial"/>
          <w:sz w:val="16"/>
          <w:szCs w:val="16"/>
        </w:rPr>
        <w:t xml:space="preserve">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w:t>
      </w:r>
      <w:r w:rsidRPr="00B61DB6">
        <w:rPr>
          <w:rFonts w:ascii="Verdana" w:hAnsi="Verdana" w:cs="Arial"/>
          <w:sz w:val="16"/>
          <w:szCs w:val="16"/>
        </w:rPr>
        <w:t>[…]</w:t>
      </w:r>
      <w:r>
        <w:rPr>
          <w:rFonts w:ascii="Verdana" w:hAnsi="Verdana" w:cs="Arial"/>
          <w:sz w:val="16"/>
          <w:szCs w:val="16"/>
        </w:rPr>
        <w:t>”</w:t>
      </w:r>
      <w:r w:rsidRPr="00B61DB6">
        <w:rPr>
          <w:rFonts w:ascii="Verdana" w:hAnsi="Verdana" w:cs="Arial"/>
          <w:sz w:val="16"/>
          <w:szCs w:val="16"/>
        </w:rPr>
        <w:t>.</w:t>
      </w:r>
      <w:r w:rsidRPr="00CE4121">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58740587">
    <w:abstractNumId w:val="0"/>
  </w:num>
  <w:num w:numId="17" w16cid:durableId="9049472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078"/>
    <w:rsid w:val="00046945"/>
    <w:rsid w:val="00061B2A"/>
    <w:rsid w:val="000620CE"/>
    <w:rsid w:val="00082362"/>
    <w:rsid w:val="000A683E"/>
    <w:rsid w:val="000B19B9"/>
    <w:rsid w:val="000B793A"/>
    <w:rsid w:val="000D0334"/>
    <w:rsid w:val="000F6486"/>
    <w:rsid w:val="00125105"/>
    <w:rsid w:val="00127233"/>
    <w:rsid w:val="00131030"/>
    <w:rsid w:val="001B3726"/>
    <w:rsid w:val="001E4177"/>
    <w:rsid w:val="001F7DC6"/>
    <w:rsid w:val="002329A6"/>
    <w:rsid w:val="00233E3C"/>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2429"/>
    <w:rsid w:val="004A305D"/>
    <w:rsid w:val="004F21C4"/>
    <w:rsid w:val="004F685F"/>
    <w:rsid w:val="00542991"/>
    <w:rsid w:val="005566E8"/>
    <w:rsid w:val="00574867"/>
    <w:rsid w:val="00591460"/>
    <w:rsid w:val="005C3777"/>
    <w:rsid w:val="005C5CDC"/>
    <w:rsid w:val="005D476C"/>
    <w:rsid w:val="006219F8"/>
    <w:rsid w:val="006302F7"/>
    <w:rsid w:val="00665D70"/>
    <w:rsid w:val="006900D9"/>
    <w:rsid w:val="006A760C"/>
    <w:rsid w:val="00706C16"/>
    <w:rsid w:val="007428FD"/>
    <w:rsid w:val="00756841"/>
    <w:rsid w:val="00757D27"/>
    <w:rsid w:val="007649AB"/>
    <w:rsid w:val="00771D0C"/>
    <w:rsid w:val="00774C0A"/>
    <w:rsid w:val="007833AC"/>
    <w:rsid w:val="007A7703"/>
    <w:rsid w:val="007B268C"/>
    <w:rsid w:val="007B7171"/>
    <w:rsid w:val="007B7F38"/>
    <w:rsid w:val="007C0C0F"/>
    <w:rsid w:val="007C3DC2"/>
    <w:rsid w:val="007E5497"/>
    <w:rsid w:val="008042FE"/>
    <w:rsid w:val="00806F5F"/>
    <w:rsid w:val="0080725A"/>
    <w:rsid w:val="00814EAC"/>
    <w:rsid w:val="00820278"/>
    <w:rsid w:val="00867F95"/>
    <w:rsid w:val="008843B6"/>
    <w:rsid w:val="00891928"/>
    <w:rsid w:val="00897A3A"/>
    <w:rsid w:val="008A446D"/>
    <w:rsid w:val="008D180B"/>
    <w:rsid w:val="008D1D26"/>
    <w:rsid w:val="008F0EA7"/>
    <w:rsid w:val="009133B6"/>
    <w:rsid w:val="00923EEF"/>
    <w:rsid w:val="009419F9"/>
    <w:rsid w:val="0095685E"/>
    <w:rsid w:val="00961B09"/>
    <w:rsid w:val="009632E9"/>
    <w:rsid w:val="00965334"/>
    <w:rsid w:val="0097093E"/>
    <w:rsid w:val="009A0DFA"/>
    <w:rsid w:val="009B25A8"/>
    <w:rsid w:val="009B2D26"/>
    <w:rsid w:val="009C71FA"/>
    <w:rsid w:val="009C72E7"/>
    <w:rsid w:val="009D3058"/>
    <w:rsid w:val="009F0E27"/>
    <w:rsid w:val="009F3A13"/>
    <w:rsid w:val="00A122D3"/>
    <w:rsid w:val="00A17F13"/>
    <w:rsid w:val="00A20739"/>
    <w:rsid w:val="00A33C78"/>
    <w:rsid w:val="00AA5145"/>
    <w:rsid w:val="00AB0ADB"/>
    <w:rsid w:val="00AB6EA9"/>
    <w:rsid w:val="00AC5684"/>
    <w:rsid w:val="00B00C0E"/>
    <w:rsid w:val="00B01B1A"/>
    <w:rsid w:val="00B44A47"/>
    <w:rsid w:val="00B72CD3"/>
    <w:rsid w:val="00B72FFF"/>
    <w:rsid w:val="00BC3D36"/>
    <w:rsid w:val="00BD7F72"/>
    <w:rsid w:val="00C04FB3"/>
    <w:rsid w:val="00C330EB"/>
    <w:rsid w:val="00C754BE"/>
    <w:rsid w:val="00C76B1C"/>
    <w:rsid w:val="00C8232F"/>
    <w:rsid w:val="00CB6357"/>
    <w:rsid w:val="00CC1B26"/>
    <w:rsid w:val="00CD4A07"/>
    <w:rsid w:val="00D423A2"/>
    <w:rsid w:val="00D448A1"/>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141B"/>
    <w:rsid w:val="00F24BDF"/>
    <w:rsid w:val="00F31EDC"/>
    <w:rsid w:val="00F462B3"/>
    <w:rsid w:val="00F5664F"/>
    <w:rsid w:val="00F666C4"/>
    <w:rsid w:val="00F76AFC"/>
    <w:rsid w:val="00F87457"/>
    <w:rsid w:val="00FA47C0"/>
    <w:rsid w:val="00FB524A"/>
    <w:rsid w:val="00FB5DD1"/>
    <w:rsid w:val="00FC2B5D"/>
    <w:rsid w:val="00FF1449"/>
    <w:rsid w:val="00FF6660"/>
    <w:rsid w:val="6E45D0FC"/>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Sinespaciado">
    <w:name w:val="No Spacing"/>
    <w:uiPriority w:val="1"/>
    <w:qFormat/>
    <w:rsid w:val="00AA5145"/>
    <w:pPr>
      <w:spacing w:after="0" w:line="240" w:lineRule="auto"/>
    </w:pPr>
    <w:rPr>
      <w:rFonts w:eastAsia="Times New Roman" w:cs="Times New Roman"/>
    </w:rPr>
  </w:style>
  <w:style w:type="character" w:styleId="Textoennegrita">
    <w:name w:val="Strong"/>
    <w:basedOn w:val="Fuentedeprrafopredeter"/>
    <w:uiPriority w:val="22"/>
    <w:qFormat/>
    <w:rsid w:val="00AA51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files_2020/02._resolucion_358_de_2023_dt_-_convenios_solidarios.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sgd@mindeporte.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colombiacompra.gov.co/content/documento-tipo-para-la-contratacion-directa-de-convenios-solidarios-para-la-ejecucion-de" TargetMode="External"/><Relationship Id="rId10" Type="http://schemas.openxmlformats.org/officeDocument/2006/relationships/hyperlink" Target="https://www.colombiacompra.gov.co/sites/cce_public/files/files_2020/02._resolucion_358_de_2023_dt_-_convenios_solidarios.pdf"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content/documento-tipo-para-la-contratacion-directa-de-convenios-solidarios-para-la-ejecucion-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03009D5-EC3E-415D-AC81-E3F67A5F1D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12</Pages>
  <Words>3874</Words>
  <Characters>20654</Characters>
  <Application>Microsoft Office Word</Application>
  <DocSecurity>0</DocSecurity>
  <Lines>449</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2025-11-05T22:06:00Z</dcterms:created>
  <dcterms:modified xsi:type="dcterms:W3CDTF">2025-11-05T22:06:00Z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