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B0BC69" w14:textId="77777777" w:rsidR="00E724E5" w:rsidRPr="00817382" w:rsidRDefault="00E724E5" w:rsidP="00E724E5">
      <w:pPr>
        <w:spacing w:after="0" w:line="240" w:lineRule="auto"/>
        <w:jc w:val="both"/>
        <w:rPr>
          <w:rFonts w:ascii="Verdana" w:eastAsia="Calibri" w:hAnsi="Verdana" w:cs="Arial"/>
          <w:b/>
          <w:color w:val="000000" w:themeColor="text1"/>
          <w:lang w:val="es-ES_tradnl"/>
        </w:rPr>
      </w:pPr>
      <w:r w:rsidRPr="00817382">
        <w:rPr>
          <w:rFonts w:ascii="Verdana" w:eastAsia="Calibri" w:hAnsi="Verdana" w:cs="Arial"/>
          <w:b/>
          <w:color w:val="000000" w:themeColor="text1"/>
          <w:lang w:val="es-ES_tradnl"/>
        </w:rPr>
        <w:t xml:space="preserve">EGCAP – Ámbito de aplicación – Entidades estatales </w:t>
      </w:r>
    </w:p>
    <w:p w14:paraId="1538C8F6" w14:textId="77777777" w:rsidR="00E724E5" w:rsidRPr="00817382" w:rsidRDefault="00E724E5" w:rsidP="00E724E5">
      <w:pPr>
        <w:spacing w:after="0" w:line="240" w:lineRule="auto"/>
        <w:jc w:val="both"/>
        <w:rPr>
          <w:rFonts w:ascii="Verdana" w:eastAsia="Calibri" w:hAnsi="Verdana" w:cs="Arial"/>
          <w:bCs/>
          <w:color w:val="000000" w:themeColor="text1"/>
          <w:sz w:val="20"/>
          <w:szCs w:val="20"/>
          <w:lang w:val="es-ES_tradnl"/>
        </w:rPr>
      </w:pPr>
    </w:p>
    <w:p w14:paraId="3713EF9E" w14:textId="77777777" w:rsidR="00C93F8F" w:rsidRPr="00C93F8F" w:rsidRDefault="00C93F8F" w:rsidP="00C93F8F">
      <w:pPr>
        <w:spacing w:after="0" w:line="240" w:lineRule="auto"/>
        <w:jc w:val="both"/>
        <w:rPr>
          <w:rFonts w:ascii="Verdana" w:eastAsia="Calibri" w:hAnsi="Verdana" w:cs="Arial"/>
          <w:bCs/>
          <w:color w:val="000000" w:themeColor="text1"/>
          <w:sz w:val="20"/>
          <w:szCs w:val="20"/>
          <w:lang w:eastAsia="es-ES_tradnl"/>
        </w:rPr>
      </w:pPr>
      <w:r w:rsidRPr="00C93F8F">
        <w:rPr>
          <w:rFonts w:ascii="Verdana" w:eastAsia="Calibri" w:hAnsi="Verdana" w:cs="Arial"/>
          <w:bCs/>
          <w:color w:val="000000" w:themeColor="text1"/>
          <w:sz w:val="20"/>
          <w:szCs w:val="20"/>
          <w:lang w:eastAsia="es-ES_tradnl"/>
        </w:rPr>
        <w:t>El ordenamiento jurídico colombiano contempla como categoría única la noción de “contratos estatales”, pero acepta la posibilidad de que dichos contratos tengan regímenes jurídicos diferenciados. En virtud de ello se afirma que hay contratos estatales sometidos al EGCAP (Leyes 80 de 1993, 1150 de 2007 y disposiciones complementarias) y contratos estatales sometidos a reglas especiales, usualmente al derecho privado.</w:t>
      </w:r>
    </w:p>
    <w:p w14:paraId="6700075A" w14:textId="77777777" w:rsidR="00C93F8F" w:rsidRPr="00817382" w:rsidRDefault="00C93F8F" w:rsidP="00E724E5">
      <w:pPr>
        <w:spacing w:after="0" w:line="240" w:lineRule="auto"/>
        <w:rPr>
          <w:rFonts w:ascii="Verdana" w:eastAsia="Geomanist Light" w:hAnsi="Verdana" w:cs="Arial"/>
          <w:color w:val="000000" w:themeColor="text1"/>
          <w:sz w:val="20"/>
          <w:szCs w:val="20"/>
          <w:lang w:val="es-ES_tradnl"/>
        </w:rPr>
      </w:pPr>
    </w:p>
    <w:p w14:paraId="7F2A48A6" w14:textId="77777777" w:rsidR="00E724E5" w:rsidRPr="00817382" w:rsidRDefault="00E724E5" w:rsidP="00E724E5">
      <w:pPr>
        <w:spacing w:after="0" w:line="240" w:lineRule="auto"/>
        <w:jc w:val="both"/>
        <w:rPr>
          <w:rFonts w:ascii="Verdana" w:eastAsia="Calibri" w:hAnsi="Verdana" w:cs="Arial"/>
          <w:b/>
          <w:lang w:val="es-ES_tradnl"/>
        </w:rPr>
      </w:pPr>
      <w:r w:rsidRPr="00817382">
        <w:rPr>
          <w:rFonts w:ascii="Verdana" w:eastAsia="Calibri" w:hAnsi="Verdana" w:cs="Arial"/>
          <w:b/>
          <w:lang w:val="es-ES_tradnl"/>
        </w:rPr>
        <w:t>ENTIDADES EXCEPTUADAS – Aplicación de normas de derecho público</w:t>
      </w:r>
    </w:p>
    <w:p w14:paraId="143203A4" w14:textId="77777777" w:rsidR="00E724E5" w:rsidRDefault="00E724E5" w:rsidP="00E724E5">
      <w:pPr>
        <w:spacing w:after="0" w:line="240" w:lineRule="auto"/>
        <w:jc w:val="both"/>
        <w:rPr>
          <w:rFonts w:ascii="Verdana" w:eastAsia="Calibri" w:hAnsi="Verdana" w:cs="Arial"/>
          <w:b/>
          <w:sz w:val="20"/>
          <w:szCs w:val="20"/>
          <w:lang w:val="es-ES_tradnl"/>
        </w:rPr>
      </w:pPr>
    </w:p>
    <w:p w14:paraId="414B99FD" w14:textId="113E6E4A" w:rsidR="00C93F8F" w:rsidRPr="00C93F8F" w:rsidRDefault="00C93F8F" w:rsidP="00E724E5">
      <w:pPr>
        <w:spacing w:after="0" w:line="240" w:lineRule="auto"/>
        <w:jc w:val="both"/>
        <w:rPr>
          <w:rFonts w:ascii="Verdana" w:eastAsia="Calibri" w:hAnsi="Verdana" w:cs="Arial"/>
          <w:bCs/>
          <w:sz w:val="20"/>
          <w:szCs w:val="20"/>
          <w:lang w:val="es-ES_tradnl"/>
        </w:rPr>
      </w:pPr>
      <w:r w:rsidRPr="00C93F8F">
        <w:rPr>
          <w:rFonts w:ascii="Verdana" w:eastAsia="Calibri" w:hAnsi="Verdana" w:cs="Arial"/>
          <w:bCs/>
          <w:sz w:val="20"/>
          <w:szCs w:val="20"/>
          <w:lang w:val="es-ES_tradnl"/>
        </w:rPr>
        <w:t>El régimen de derecho privado que, por regla general, caracteriza a los regímenes especiales no significa que no existan “dosis” de derecho público administrativo que tienen como fin último garantizar que los regímenes especiales de contratación también se ordenen hacia la consecución de los fines del Estado. Estas “dosis” de derecho administrativo encuentran su manifestación tanto en forma de reglas como de principios.</w:t>
      </w:r>
    </w:p>
    <w:p w14:paraId="0482520E" w14:textId="77777777" w:rsidR="00E724E5" w:rsidRPr="00817382" w:rsidRDefault="00E724E5" w:rsidP="00E724E5">
      <w:pPr>
        <w:spacing w:after="0" w:line="240" w:lineRule="auto"/>
        <w:jc w:val="both"/>
        <w:rPr>
          <w:rFonts w:ascii="Verdana" w:hAnsi="Verdana" w:cs="Arial"/>
          <w:color w:val="000000" w:themeColor="text1"/>
          <w:sz w:val="21"/>
          <w:szCs w:val="21"/>
          <w:lang w:val="es-ES_tradnl"/>
        </w:rPr>
      </w:pPr>
    </w:p>
    <w:p w14:paraId="169298F6" w14:textId="77777777" w:rsidR="00E724E5" w:rsidRPr="00817382" w:rsidRDefault="00E724E5" w:rsidP="00E724E5">
      <w:pPr>
        <w:spacing w:after="0" w:line="240" w:lineRule="auto"/>
        <w:jc w:val="both"/>
        <w:rPr>
          <w:rFonts w:ascii="Verdana" w:eastAsia="Calibri" w:hAnsi="Verdana" w:cs="Arial"/>
          <w:b/>
          <w:color w:val="000000" w:themeColor="text1"/>
          <w:lang w:val="es-ES_tradnl"/>
        </w:rPr>
      </w:pPr>
      <w:bookmarkStart w:id="0" w:name="_Hlk109118876"/>
      <w:r w:rsidRPr="00817382">
        <w:rPr>
          <w:rFonts w:ascii="Verdana" w:eastAsia="Calibri" w:hAnsi="Verdana" w:cs="Arial"/>
          <w:b/>
          <w:color w:val="000000" w:themeColor="text1"/>
          <w:lang w:val="es-ES_tradnl"/>
        </w:rPr>
        <w:t>CONTRATOS ESTATALES –</w:t>
      </w:r>
      <w:bookmarkEnd w:id="0"/>
      <w:r w:rsidRPr="00817382">
        <w:rPr>
          <w:rFonts w:ascii="Verdana" w:eastAsia="Calibri" w:hAnsi="Verdana" w:cs="Arial"/>
          <w:b/>
          <w:color w:val="000000" w:themeColor="text1"/>
          <w:lang w:val="es-ES_tradnl"/>
        </w:rPr>
        <w:t xml:space="preserve"> Régimen especial – Obligaciones transversales – Manual de contratación – Límites </w:t>
      </w:r>
    </w:p>
    <w:p w14:paraId="1102DFD9" w14:textId="77777777" w:rsidR="00E724E5" w:rsidRPr="00817382" w:rsidRDefault="00E724E5" w:rsidP="00E724E5">
      <w:pPr>
        <w:spacing w:after="0" w:line="240" w:lineRule="auto"/>
        <w:jc w:val="both"/>
        <w:rPr>
          <w:rFonts w:ascii="Verdana" w:eastAsia="Calibri" w:hAnsi="Verdana" w:cs="Arial"/>
          <w:b/>
          <w:color w:val="000000" w:themeColor="text1"/>
          <w:lang w:val="es-ES_tradnl"/>
        </w:rPr>
      </w:pPr>
    </w:p>
    <w:p w14:paraId="7B2B2931" w14:textId="246C9CC6" w:rsidR="00C93F8F" w:rsidRDefault="00C93F8F" w:rsidP="00C93F8F">
      <w:pPr>
        <w:spacing w:after="0" w:line="240" w:lineRule="auto"/>
        <w:jc w:val="both"/>
        <w:rPr>
          <w:rFonts w:ascii="Verdana" w:hAnsi="Verdana" w:cs="Arial"/>
          <w:color w:val="000000" w:themeColor="text1"/>
          <w:sz w:val="20"/>
          <w:szCs w:val="20"/>
        </w:rPr>
      </w:pPr>
      <w:r w:rsidRPr="00C93F8F">
        <w:rPr>
          <w:rFonts w:ascii="Verdana" w:hAnsi="Verdana" w:cs="Arial"/>
          <w:color w:val="000000" w:themeColor="text1"/>
          <w:sz w:val="20"/>
          <w:szCs w:val="20"/>
        </w:rPr>
        <w:t>Puede decirse que una de las reglas derivada de las normas de derecho público que irradian el régimen jurídico de las entidades exceptuadas del EGCAP,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725D8BCF" w14:textId="77777777" w:rsidR="00C93F8F" w:rsidRPr="00C93F8F" w:rsidRDefault="00C93F8F" w:rsidP="00C93F8F">
      <w:pPr>
        <w:spacing w:after="0" w:line="240" w:lineRule="auto"/>
        <w:jc w:val="both"/>
        <w:rPr>
          <w:rFonts w:ascii="Verdana" w:hAnsi="Verdana" w:cs="Arial"/>
          <w:color w:val="000000" w:themeColor="text1"/>
          <w:sz w:val="20"/>
          <w:szCs w:val="20"/>
        </w:rPr>
      </w:pPr>
    </w:p>
    <w:p w14:paraId="41D827A6" w14:textId="408E956C" w:rsidR="00C93F8F" w:rsidRPr="00C93F8F" w:rsidRDefault="00C93F8F" w:rsidP="1EEC3F27">
      <w:pPr>
        <w:spacing w:after="0" w:line="240" w:lineRule="auto"/>
        <w:jc w:val="both"/>
        <w:rPr>
          <w:rFonts w:ascii="Verdana" w:hAnsi="Verdana" w:cs="Arial"/>
          <w:color w:val="000000" w:themeColor="text1"/>
          <w:sz w:val="20"/>
          <w:szCs w:val="20"/>
          <w:lang w:val="es-ES"/>
        </w:rPr>
      </w:pPr>
      <w:r w:rsidRPr="1EEC3F27">
        <w:rPr>
          <w:rFonts w:ascii="Verdana" w:hAnsi="Verdana" w:cs="Arial"/>
          <w:color w:val="000000" w:themeColor="text1"/>
          <w:sz w:val="20"/>
          <w:szCs w:val="20"/>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 Ahora bien, dicha libertad es similar a la reconocida a los particulares por el derecho privado, pero no es idéntica a aquella, en la medida en que encuentra importantes limitantes.</w:t>
      </w:r>
    </w:p>
    <w:p w14:paraId="55E0C140" w14:textId="0BAD80D5" w:rsidR="00E724E5" w:rsidRPr="00817382" w:rsidRDefault="00E724E5" w:rsidP="00E724E5">
      <w:pPr>
        <w:spacing w:after="0" w:line="240" w:lineRule="auto"/>
        <w:jc w:val="both"/>
        <w:rPr>
          <w:rFonts w:ascii="Verdana" w:hAnsi="Verdana" w:cs="Arial"/>
          <w:color w:val="000000" w:themeColor="text1"/>
          <w:sz w:val="20"/>
          <w:szCs w:val="20"/>
          <w:lang w:val="es-ES_tradnl"/>
        </w:rPr>
      </w:pPr>
    </w:p>
    <w:p w14:paraId="22F1AE85" w14:textId="01168914" w:rsidR="00E724E5" w:rsidRPr="00817382" w:rsidRDefault="00E724E5" w:rsidP="00E724E5">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MANUALES DE CONTRATACIÓN</w:t>
      </w:r>
      <w:r w:rsidRPr="00817382">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Entidades exceptuadas</w:t>
      </w:r>
      <w:r w:rsidRPr="00817382">
        <w:rPr>
          <w:rFonts w:ascii="Verdana" w:eastAsia="Calibri" w:hAnsi="Verdana" w:cs="Arial"/>
          <w:b/>
          <w:color w:val="000000" w:themeColor="text1"/>
          <w:lang w:val="es-ES_tradnl"/>
        </w:rPr>
        <w:t xml:space="preserve"> – </w:t>
      </w:r>
      <w:r w:rsidR="007B1695">
        <w:rPr>
          <w:rFonts w:ascii="Verdana" w:eastAsia="Calibri" w:hAnsi="Verdana" w:cs="Arial"/>
          <w:b/>
          <w:color w:val="000000" w:themeColor="text1"/>
          <w:lang w:val="es-ES_tradnl"/>
        </w:rPr>
        <w:t>Marcas</w:t>
      </w:r>
    </w:p>
    <w:p w14:paraId="2CC0E834" w14:textId="77777777" w:rsidR="00E724E5" w:rsidRPr="00817382" w:rsidRDefault="00E724E5" w:rsidP="00E724E5">
      <w:pPr>
        <w:spacing w:after="0" w:line="240" w:lineRule="auto"/>
        <w:jc w:val="both"/>
        <w:rPr>
          <w:rFonts w:ascii="Verdana" w:hAnsi="Verdana" w:cs="Arial"/>
          <w:color w:val="000000" w:themeColor="text1"/>
          <w:sz w:val="20"/>
          <w:szCs w:val="20"/>
          <w:lang w:val="es-ES_tradnl"/>
        </w:rPr>
      </w:pPr>
    </w:p>
    <w:p w14:paraId="65346CE5" w14:textId="374BDCE9" w:rsidR="00E724E5" w:rsidRPr="00817382" w:rsidRDefault="009C0757" w:rsidP="009C0757">
      <w:pPr>
        <w:pStyle w:val="Sinespaciado"/>
        <w:jc w:val="both"/>
        <w:rPr>
          <w:rFonts w:ascii="Verdana" w:hAnsi="Verdana" w:cs="Arial"/>
          <w:color w:val="000000" w:themeColor="text1"/>
          <w:sz w:val="20"/>
          <w:szCs w:val="20"/>
          <w:lang w:val="es-ES_tradnl"/>
        </w:rPr>
      </w:pPr>
      <w:r w:rsidRPr="009C0757">
        <w:rPr>
          <w:rFonts w:ascii="Verdana" w:hAnsi="Verdana" w:cs="Arial"/>
          <w:color w:val="000000" w:themeColor="text1"/>
          <w:sz w:val="20"/>
          <w:szCs w:val="20"/>
          <w:lang w:val="es-CO"/>
        </w:rPr>
        <w:t xml:space="preserve">En este sentido, </w:t>
      </w:r>
      <w:r w:rsidRPr="009C0757">
        <w:rPr>
          <w:rFonts w:ascii="Verdana" w:hAnsi="Verdana" w:cs="Arial"/>
          <w:color w:val="000000" w:themeColor="text1"/>
          <w:sz w:val="20"/>
          <w:szCs w:val="20"/>
          <w:lang w:val="es-ES"/>
        </w:rPr>
        <w:t xml:space="preserve">frente a las consultas planteadas, se precisa </w:t>
      </w:r>
      <w:proofErr w:type="gramStart"/>
      <w:r w:rsidRPr="009C0757">
        <w:rPr>
          <w:rFonts w:ascii="Verdana" w:hAnsi="Verdana" w:cs="Arial"/>
          <w:color w:val="000000" w:themeColor="text1"/>
          <w:sz w:val="20"/>
          <w:szCs w:val="20"/>
          <w:lang w:val="es-ES"/>
        </w:rPr>
        <w:t>que</w:t>
      </w:r>
      <w:proofErr w:type="gramEnd"/>
      <w:r w:rsidRPr="009C0757">
        <w:rPr>
          <w:rFonts w:ascii="Verdana" w:hAnsi="Verdana" w:cs="Arial"/>
          <w:color w:val="000000" w:themeColor="text1"/>
          <w:sz w:val="20"/>
          <w:szCs w:val="20"/>
          <w:lang w:val="es-ES"/>
        </w:rPr>
        <w:t xml:space="preserve"> </w:t>
      </w:r>
      <w:r w:rsidRPr="009C0757">
        <w:rPr>
          <w:rFonts w:ascii="Verdana" w:hAnsi="Verdana" w:cs="Arial"/>
          <w:color w:val="000000" w:themeColor="text1"/>
          <w:sz w:val="20"/>
          <w:szCs w:val="20"/>
          <w:lang w:val="es-CO"/>
        </w:rPr>
        <w:t xml:space="preserve">en el marco de la autonomía reconocida a las entidades con régimen especial, estas cuentan con la facultad de definir los requisitos que se solicitaran a los proponentes en el marco de un proceso de contratación. Dicha autonomía les permite, entre otras cosas, establecer los requisitos que otorgarán puntaje dentro de sus procesos de contratación siempre que estos cumplan con el principio de selección objetiva. Además, podrán </w:t>
      </w:r>
      <w:r w:rsidRPr="009C0757">
        <w:rPr>
          <w:rFonts w:ascii="Verdana" w:hAnsi="Verdana" w:cs="Arial"/>
          <w:color w:val="000000" w:themeColor="text1"/>
          <w:sz w:val="20"/>
          <w:szCs w:val="20"/>
          <w:lang w:val="es-ES_tradnl"/>
        </w:rPr>
        <w:t xml:space="preserve">exigir marcas dentro de las especificaciones técnicas siempre que no estén prohibidas en acuerdos y tratados comerciales en las que sean destinatarios, pero garantizando el principio de proporcionalidad, que exige que dichos requisitos o condiciones sean razonables, es </w:t>
      </w:r>
      <w:r w:rsidRPr="009C0757">
        <w:rPr>
          <w:rFonts w:ascii="Verdana" w:hAnsi="Verdana" w:cs="Arial"/>
          <w:color w:val="000000" w:themeColor="text1"/>
          <w:sz w:val="20"/>
          <w:szCs w:val="20"/>
          <w:lang w:val="es-ES_tradnl"/>
        </w:rPr>
        <w:lastRenderedPageBreak/>
        <w:t>decir, que guarden congruencia con el objeto, necesidad de la contratación, alcance, valor, plazo del contrato, entre otros aspectos, que sean necesarios y no restrinjan injustificadamente la libre concurrencia y pluralidad de oferentes.</w:t>
      </w:r>
    </w:p>
    <w:p w14:paraId="27427438" w14:textId="77777777" w:rsidR="00E724E5" w:rsidRPr="00817382" w:rsidRDefault="00E724E5" w:rsidP="009C0757">
      <w:pPr>
        <w:spacing w:after="0" w:line="240" w:lineRule="auto"/>
        <w:jc w:val="both"/>
        <w:rPr>
          <w:rFonts w:ascii="Verdana" w:hAnsi="Verdana" w:cs="Arial"/>
          <w:color w:val="000000" w:themeColor="text1"/>
          <w:sz w:val="20"/>
          <w:szCs w:val="20"/>
          <w:lang w:val="es-ES_tradnl"/>
        </w:rPr>
      </w:pPr>
    </w:p>
    <w:p w14:paraId="3B7158D1"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066926EA"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0B06A272"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1892B52D"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4F3D36F2"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7A71B335"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76F4FB86"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2F624CE0"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692BF754"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56BC3611"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0D73213E" w14:textId="77777777" w:rsidR="00E724E5" w:rsidRDefault="00E724E5" w:rsidP="00E724E5">
      <w:pPr>
        <w:spacing w:after="0" w:line="240" w:lineRule="auto"/>
        <w:rPr>
          <w:rFonts w:ascii="Verdana" w:eastAsia="Geomanist Light" w:hAnsi="Verdana" w:cs="Arial"/>
          <w:color w:val="000000" w:themeColor="text1"/>
          <w:lang w:val="es-ES_tradnl"/>
        </w:rPr>
      </w:pPr>
    </w:p>
    <w:p w14:paraId="1799EAC4" w14:textId="77777777" w:rsidR="009C0757" w:rsidRDefault="009C0757" w:rsidP="00E724E5">
      <w:pPr>
        <w:spacing w:after="0" w:line="240" w:lineRule="auto"/>
        <w:rPr>
          <w:rFonts w:ascii="Verdana" w:eastAsia="Geomanist Light" w:hAnsi="Verdana" w:cs="Arial"/>
          <w:color w:val="000000" w:themeColor="text1"/>
          <w:lang w:val="es-ES_tradnl"/>
        </w:rPr>
      </w:pPr>
    </w:p>
    <w:p w14:paraId="76B094A6" w14:textId="77777777" w:rsidR="009C0757" w:rsidRDefault="009C0757" w:rsidP="00E724E5">
      <w:pPr>
        <w:spacing w:after="0" w:line="240" w:lineRule="auto"/>
        <w:rPr>
          <w:rFonts w:ascii="Verdana" w:eastAsia="Geomanist Light" w:hAnsi="Verdana" w:cs="Arial"/>
          <w:color w:val="000000" w:themeColor="text1"/>
          <w:lang w:val="es-ES_tradnl"/>
        </w:rPr>
      </w:pPr>
    </w:p>
    <w:p w14:paraId="0FAF10B3" w14:textId="77777777" w:rsidR="009C0757" w:rsidRDefault="009C0757" w:rsidP="00E724E5">
      <w:pPr>
        <w:spacing w:after="0" w:line="240" w:lineRule="auto"/>
        <w:rPr>
          <w:rFonts w:ascii="Verdana" w:eastAsia="Geomanist Light" w:hAnsi="Verdana" w:cs="Arial"/>
          <w:color w:val="000000" w:themeColor="text1"/>
          <w:lang w:val="es-ES_tradnl"/>
        </w:rPr>
      </w:pPr>
    </w:p>
    <w:p w14:paraId="57A8CD41" w14:textId="77777777" w:rsidR="009C0757" w:rsidRDefault="009C0757" w:rsidP="00E724E5">
      <w:pPr>
        <w:spacing w:after="0" w:line="240" w:lineRule="auto"/>
        <w:rPr>
          <w:rFonts w:ascii="Verdana" w:eastAsia="Geomanist Light" w:hAnsi="Verdana" w:cs="Arial"/>
          <w:color w:val="000000" w:themeColor="text1"/>
          <w:lang w:val="es-ES_tradnl"/>
        </w:rPr>
      </w:pPr>
    </w:p>
    <w:p w14:paraId="365F189E" w14:textId="77777777" w:rsidR="009C0757" w:rsidRDefault="009C0757" w:rsidP="00E724E5">
      <w:pPr>
        <w:spacing w:after="0" w:line="240" w:lineRule="auto"/>
        <w:rPr>
          <w:rFonts w:ascii="Verdana" w:eastAsia="Geomanist Light" w:hAnsi="Verdana" w:cs="Arial"/>
          <w:color w:val="000000" w:themeColor="text1"/>
          <w:lang w:val="es-ES_tradnl"/>
        </w:rPr>
      </w:pPr>
    </w:p>
    <w:p w14:paraId="3167E898" w14:textId="77777777" w:rsidR="009C0757" w:rsidRDefault="009C0757" w:rsidP="00E724E5">
      <w:pPr>
        <w:spacing w:after="0" w:line="240" w:lineRule="auto"/>
        <w:rPr>
          <w:rFonts w:ascii="Verdana" w:eastAsia="Geomanist Light" w:hAnsi="Verdana" w:cs="Arial"/>
          <w:color w:val="000000" w:themeColor="text1"/>
          <w:lang w:val="es-ES_tradnl"/>
        </w:rPr>
      </w:pPr>
    </w:p>
    <w:p w14:paraId="58428773" w14:textId="77777777" w:rsidR="009C0757" w:rsidRDefault="009C0757" w:rsidP="00E724E5">
      <w:pPr>
        <w:spacing w:after="0" w:line="240" w:lineRule="auto"/>
        <w:rPr>
          <w:rFonts w:ascii="Verdana" w:eastAsia="Geomanist Light" w:hAnsi="Verdana" w:cs="Arial"/>
          <w:color w:val="000000" w:themeColor="text1"/>
          <w:lang w:val="es-ES_tradnl"/>
        </w:rPr>
      </w:pPr>
    </w:p>
    <w:p w14:paraId="114A85BA" w14:textId="77777777" w:rsidR="009C0757" w:rsidRDefault="009C0757" w:rsidP="00E724E5">
      <w:pPr>
        <w:spacing w:after="0" w:line="240" w:lineRule="auto"/>
        <w:rPr>
          <w:rFonts w:ascii="Verdana" w:eastAsia="Geomanist Light" w:hAnsi="Verdana" w:cs="Arial"/>
          <w:color w:val="000000" w:themeColor="text1"/>
          <w:lang w:val="es-ES_tradnl"/>
        </w:rPr>
      </w:pPr>
    </w:p>
    <w:p w14:paraId="50EFB66D" w14:textId="77777777" w:rsidR="009C0757" w:rsidRDefault="009C0757" w:rsidP="00E724E5">
      <w:pPr>
        <w:spacing w:after="0" w:line="240" w:lineRule="auto"/>
        <w:rPr>
          <w:rFonts w:ascii="Verdana" w:eastAsia="Geomanist Light" w:hAnsi="Verdana" w:cs="Arial"/>
          <w:color w:val="000000" w:themeColor="text1"/>
          <w:lang w:val="es-ES_tradnl"/>
        </w:rPr>
      </w:pPr>
    </w:p>
    <w:p w14:paraId="1CF468F1" w14:textId="77777777" w:rsidR="009C0757" w:rsidRDefault="009C0757" w:rsidP="00E724E5">
      <w:pPr>
        <w:spacing w:after="0" w:line="240" w:lineRule="auto"/>
        <w:rPr>
          <w:rFonts w:ascii="Verdana" w:eastAsia="Geomanist Light" w:hAnsi="Verdana" w:cs="Arial"/>
          <w:color w:val="000000" w:themeColor="text1"/>
          <w:lang w:val="es-ES_tradnl"/>
        </w:rPr>
      </w:pPr>
    </w:p>
    <w:p w14:paraId="03D3014D" w14:textId="77777777" w:rsidR="009C0757" w:rsidRDefault="009C0757" w:rsidP="00E724E5">
      <w:pPr>
        <w:spacing w:after="0" w:line="240" w:lineRule="auto"/>
        <w:rPr>
          <w:rFonts w:ascii="Verdana" w:eastAsia="Geomanist Light" w:hAnsi="Verdana" w:cs="Arial"/>
          <w:color w:val="000000" w:themeColor="text1"/>
          <w:lang w:val="es-ES_tradnl"/>
        </w:rPr>
      </w:pPr>
    </w:p>
    <w:p w14:paraId="575FA65F" w14:textId="77777777" w:rsidR="009C0757" w:rsidRPr="00817382" w:rsidRDefault="009C0757" w:rsidP="00E724E5">
      <w:pPr>
        <w:spacing w:after="0" w:line="240" w:lineRule="auto"/>
        <w:rPr>
          <w:rFonts w:ascii="Verdana" w:eastAsia="Geomanist Light" w:hAnsi="Verdana" w:cs="Arial"/>
          <w:color w:val="000000" w:themeColor="text1"/>
          <w:lang w:val="es-ES_tradnl"/>
        </w:rPr>
      </w:pPr>
    </w:p>
    <w:p w14:paraId="14CEECB1"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615AF95F"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7A1D9EC1"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5D604BDF"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524B8A4B"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370548BF"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60C497A2"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1DD4EF04" w14:textId="77777777" w:rsidR="00E724E5" w:rsidRDefault="00E724E5" w:rsidP="3239A092">
      <w:pPr>
        <w:spacing w:after="0" w:line="240" w:lineRule="auto"/>
        <w:rPr>
          <w:rFonts w:ascii="Verdana" w:eastAsia="Geomanist Light" w:hAnsi="Verdana" w:cs="Arial"/>
          <w:color w:val="000000" w:themeColor="text1"/>
          <w:lang w:val="es-ES_tradnl"/>
        </w:rPr>
      </w:pPr>
    </w:p>
    <w:p w14:paraId="0F7E4E34" w14:textId="77777777" w:rsidR="00E724E5" w:rsidRDefault="00E724E5" w:rsidP="3239A092">
      <w:pPr>
        <w:spacing w:after="0" w:line="240" w:lineRule="auto"/>
        <w:rPr>
          <w:rFonts w:ascii="Verdana" w:eastAsia="Geomanist Light" w:hAnsi="Verdana" w:cs="Arial"/>
          <w:color w:val="000000" w:themeColor="text1"/>
          <w:lang w:val="es-ES_tradnl"/>
        </w:rPr>
      </w:pPr>
    </w:p>
    <w:p w14:paraId="0476F627" w14:textId="77777777" w:rsidR="00F23276" w:rsidRDefault="00F23276" w:rsidP="3239A092">
      <w:pPr>
        <w:spacing w:after="0" w:line="240" w:lineRule="auto"/>
        <w:rPr>
          <w:rFonts w:ascii="Verdana" w:eastAsia="Geomanist Light" w:hAnsi="Verdana" w:cs="Arial"/>
          <w:color w:val="000000" w:themeColor="text1"/>
          <w:lang w:val="es-ES_tradnl"/>
        </w:rPr>
      </w:pPr>
    </w:p>
    <w:p w14:paraId="1AB3CCC9" w14:textId="77777777" w:rsidR="00E724E5" w:rsidRDefault="00E724E5" w:rsidP="3239A092">
      <w:pPr>
        <w:spacing w:after="0" w:line="240" w:lineRule="auto"/>
        <w:rPr>
          <w:rFonts w:ascii="Verdana" w:eastAsia="Geomanist Light" w:hAnsi="Verdana" w:cs="Arial"/>
          <w:color w:val="000000" w:themeColor="text1"/>
          <w:lang w:val="es-ES_tradnl"/>
        </w:rPr>
      </w:pPr>
    </w:p>
    <w:p w14:paraId="3ED2021A" w14:textId="77777777" w:rsidR="00E724E5" w:rsidRDefault="00E724E5" w:rsidP="3239A092">
      <w:pPr>
        <w:spacing w:after="0" w:line="240" w:lineRule="auto"/>
        <w:rPr>
          <w:rFonts w:ascii="Verdana" w:eastAsia="Geomanist Light" w:hAnsi="Verdana" w:cs="Arial"/>
          <w:color w:val="000000" w:themeColor="text1"/>
          <w:lang w:val="es-ES_tradnl"/>
        </w:rPr>
      </w:pPr>
    </w:p>
    <w:p w14:paraId="469A5193" w14:textId="77777777" w:rsidR="00E724E5" w:rsidRDefault="00E724E5" w:rsidP="3239A092">
      <w:pPr>
        <w:spacing w:after="0" w:line="240" w:lineRule="auto"/>
        <w:rPr>
          <w:rFonts w:ascii="Verdana" w:eastAsia="Geomanist Light" w:hAnsi="Verdana" w:cs="Arial"/>
          <w:color w:val="000000" w:themeColor="text1"/>
          <w:lang w:val="es-ES_tradnl"/>
        </w:rPr>
      </w:pPr>
    </w:p>
    <w:p w14:paraId="6F8EB8A9" w14:textId="77777777" w:rsidR="00E724E5" w:rsidRDefault="00E724E5" w:rsidP="3239A092">
      <w:pPr>
        <w:spacing w:after="0" w:line="240" w:lineRule="auto"/>
        <w:rPr>
          <w:rFonts w:ascii="Verdana" w:eastAsia="Geomanist Light" w:hAnsi="Verdana" w:cs="Arial"/>
          <w:color w:val="000000" w:themeColor="text1"/>
          <w:lang w:val="es-ES_tradnl"/>
        </w:rPr>
      </w:pPr>
    </w:p>
    <w:p w14:paraId="619988BF" w14:textId="77777777" w:rsidR="00E724E5" w:rsidRPr="00E724E5" w:rsidRDefault="00E724E5" w:rsidP="3239A092">
      <w:pPr>
        <w:spacing w:after="0" w:line="240" w:lineRule="auto"/>
        <w:rPr>
          <w:rFonts w:ascii="Verdana" w:eastAsia="Geomanist Light" w:hAnsi="Verdana" w:cs="Arial"/>
          <w:color w:val="000000" w:themeColor="text1"/>
          <w:lang w:val="es-ES_tradnl"/>
        </w:rPr>
      </w:pPr>
    </w:p>
    <w:p w14:paraId="3B4908A4" w14:textId="77777777" w:rsidR="008642BC" w:rsidRDefault="008642BC" w:rsidP="00D97EF3">
      <w:pPr>
        <w:spacing w:after="0" w:line="240" w:lineRule="auto"/>
        <w:rPr>
          <w:rFonts w:ascii="Verdana" w:eastAsia="Geomanist Light" w:hAnsi="Verdana" w:cs="Arial"/>
          <w:color w:val="000000" w:themeColor="text1"/>
          <w:lang w:val="es-MX"/>
        </w:rPr>
      </w:pPr>
    </w:p>
    <w:p w14:paraId="45D605D1" w14:textId="71B9E981" w:rsidR="00D97EF3" w:rsidRDefault="00D97EF3" w:rsidP="00D97EF3">
      <w:pPr>
        <w:spacing w:after="0" w:line="240" w:lineRule="auto"/>
        <w:rPr>
          <w:rFonts w:ascii="Verdana" w:eastAsia="Geomanist Light" w:hAnsi="Verdana" w:cs="Arial"/>
          <w:color w:val="201F1E"/>
          <w:lang w:val="es-MX"/>
        </w:rPr>
      </w:pPr>
      <w:r w:rsidRPr="00A27102">
        <w:rPr>
          <w:rFonts w:ascii="Verdana" w:eastAsia="Geomanist Light" w:hAnsi="Verdana" w:cs="Arial"/>
          <w:color w:val="000000" w:themeColor="text1"/>
          <w:lang w:val="es-MX"/>
        </w:rPr>
        <w:lastRenderedPageBreak/>
        <w:t>Bogotá D.C., </w:t>
      </w:r>
      <w:r w:rsidR="007369CA">
        <w:rPr>
          <w:rFonts w:ascii="Verdana" w:eastAsia="Geomanist Light" w:hAnsi="Verdana" w:cs="Arial"/>
          <w:color w:val="201F1E"/>
          <w:lang w:val="es-MX"/>
        </w:rPr>
        <w:t>29 de octubre de 2025</w:t>
      </w:r>
    </w:p>
    <w:p w14:paraId="245AFC15" w14:textId="21F58FA9" w:rsidR="007369CA" w:rsidRPr="002E78B1" w:rsidRDefault="007369CA" w:rsidP="00D97EF3">
      <w:pPr>
        <w:spacing w:after="0" w:line="240" w:lineRule="auto"/>
        <w:rPr>
          <w:rFonts w:ascii="Verdana" w:eastAsia="Geomanist Light" w:hAnsi="Verdana" w:cs="Arial"/>
          <w:color w:val="201F1E"/>
          <w:lang w:val="es-MX"/>
        </w:rPr>
      </w:pPr>
    </w:p>
    <w:p w14:paraId="3EAA0575" w14:textId="1376195B" w:rsidR="00D97EF3" w:rsidRDefault="00D97EF3" w:rsidP="00D97EF3">
      <w:pPr>
        <w:spacing w:after="0" w:line="240" w:lineRule="auto"/>
        <w:jc w:val="right"/>
        <w:rPr>
          <w:rFonts w:ascii="Verdana" w:eastAsia="Calibri" w:hAnsi="Verdana" w:cs="Arial"/>
          <w:color w:val="000000"/>
          <w:lang w:val="es-ES_tradnl"/>
        </w:rPr>
      </w:pPr>
    </w:p>
    <w:p w14:paraId="1BA02DE0" w14:textId="649518BD" w:rsidR="00D97EF3" w:rsidRPr="00817382" w:rsidRDefault="000E7068" w:rsidP="00D97EF3">
      <w:pPr>
        <w:spacing w:after="0" w:line="240" w:lineRule="auto"/>
        <w:jc w:val="both"/>
        <w:rPr>
          <w:rFonts w:ascii="Verdana" w:eastAsia="Calibri" w:hAnsi="Verdana" w:cs="Arial"/>
          <w:color w:val="000000"/>
          <w:lang w:val="es-ES_tradnl"/>
        </w:rPr>
      </w:pPr>
      <w:r w:rsidRPr="007369CA">
        <w:rPr>
          <w:rFonts w:ascii="Verdana" w:eastAsia="Calibri" w:hAnsi="Verdana" w:cs="Arial"/>
          <w:noProof/>
          <w:color w:val="000000"/>
          <w:lang w:val="es-ES_tradnl"/>
        </w:rPr>
        <w:drawing>
          <wp:anchor distT="0" distB="0" distL="114300" distR="114300" simplePos="0" relativeHeight="251659264" behindDoc="0" locked="0" layoutInCell="1" allowOverlap="1" wp14:anchorId="4F8BD81E" wp14:editId="46E2FC67">
            <wp:simplePos x="0" y="0"/>
            <wp:positionH relativeFrom="margin">
              <wp:align>right</wp:align>
            </wp:positionH>
            <wp:positionV relativeFrom="paragraph">
              <wp:posOffset>6018</wp:posOffset>
            </wp:positionV>
            <wp:extent cx="2707005" cy="876300"/>
            <wp:effectExtent l="0" t="0" r="0" b="0"/>
            <wp:wrapSquare wrapText="bothSides"/>
            <wp:docPr id="3168465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07005" cy="876300"/>
                    </a:xfrm>
                    <a:prstGeom prst="rect">
                      <a:avLst/>
                    </a:prstGeom>
                    <a:noFill/>
                    <a:ln>
                      <a:noFill/>
                    </a:ln>
                  </pic:spPr>
                </pic:pic>
              </a:graphicData>
            </a:graphic>
            <wp14:sizeRelH relativeFrom="margin">
              <wp14:pctWidth>0</wp14:pctWidth>
            </wp14:sizeRelH>
          </wp:anchor>
        </w:drawing>
      </w:r>
    </w:p>
    <w:p w14:paraId="6B0CB214" w14:textId="77777777" w:rsidR="00D97EF3" w:rsidRPr="00817382" w:rsidRDefault="00D97EF3" w:rsidP="00D97EF3">
      <w:pPr>
        <w:spacing w:after="0" w:line="240" w:lineRule="auto"/>
        <w:jc w:val="both"/>
        <w:rPr>
          <w:rFonts w:ascii="Verdana" w:eastAsia="Calibri" w:hAnsi="Verdana" w:cs="Arial"/>
          <w:lang w:val="es-ES_tradnl" w:eastAsia="es-ES"/>
        </w:rPr>
      </w:pPr>
      <w:r w:rsidRPr="00817382">
        <w:rPr>
          <w:rFonts w:ascii="Verdana" w:eastAsia="Calibri" w:hAnsi="Verdana" w:cs="Arial"/>
          <w:lang w:val="es-ES_tradnl" w:eastAsia="es-ES"/>
        </w:rPr>
        <w:t>Señor</w:t>
      </w:r>
    </w:p>
    <w:p w14:paraId="6118A2F3" w14:textId="77777777" w:rsidR="00D97EF3" w:rsidRPr="00817382" w:rsidRDefault="00D97EF3" w:rsidP="00D97EF3">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Cristian David Villareal Prada</w:t>
      </w:r>
    </w:p>
    <w:p w14:paraId="09301D85" w14:textId="77777777" w:rsidR="00D97EF3" w:rsidRPr="00531711" w:rsidRDefault="00D97EF3" w:rsidP="00D97EF3">
      <w:pPr>
        <w:spacing w:after="0" w:line="240" w:lineRule="auto"/>
        <w:rPr>
          <w:rFonts w:ascii="Verdana" w:eastAsia="Calibri" w:hAnsi="Verdana" w:cs="Arial"/>
          <w:lang w:val="es-ES_tradnl" w:eastAsia="es-ES"/>
        </w:rPr>
      </w:pPr>
      <w:hyperlink r:id="rId11" w:history="1">
        <w:r w:rsidRPr="00531711">
          <w:rPr>
            <w:rStyle w:val="Hipervnculo"/>
            <w:rFonts w:ascii="Verdana" w:hAnsi="Verdana"/>
          </w:rPr>
          <w:t>judicante.contratos@electrohuila.co</w:t>
        </w:r>
      </w:hyperlink>
      <w:r w:rsidRPr="00531711">
        <w:rPr>
          <w:rFonts w:ascii="Verdana" w:hAnsi="Verdana"/>
        </w:rPr>
        <w:t xml:space="preserve"> </w:t>
      </w:r>
    </w:p>
    <w:p w14:paraId="15E9379C" w14:textId="77777777" w:rsidR="00D97EF3" w:rsidRPr="00817382" w:rsidRDefault="00D97EF3" w:rsidP="00D97EF3">
      <w:pPr>
        <w:spacing w:after="0" w:line="240" w:lineRule="auto"/>
        <w:rPr>
          <w:rFonts w:ascii="Verdana" w:eastAsia="Calibri" w:hAnsi="Verdana" w:cs="Arial"/>
          <w:lang w:val="es-ES_tradnl" w:eastAsia="es-ES"/>
        </w:rPr>
      </w:pPr>
      <w:r w:rsidRPr="00817382">
        <w:rPr>
          <w:rFonts w:ascii="Verdana" w:eastAsia="Geomanist Light" w:hAnsi="Verdana" w:cs="Arial"/>
          <w:color w:val="000000" w:themeColor="text1"/>
          <w:lang w:val="es-ES_tradnl"/>
        </w:rPr>
        <w:t>Bogotá D.C.</w:t>
      </w:r>
    </w:p>
    <w:p w14:paraId="2F07094E" w14:textId="77777777" w:rsidR="00D97EF3" w:rsidRPr="00817382" w:rsidRDefault="00D97EF3" w:rsidP="00D97EF3">
      <w:pPr>
        <w:spacing w:after="0" w:line="240" w:lineRule="auto"/>
        <w:rPr>
          <w:rFonts w:ascii="Verdana" w:eastAsia="Calibri" w:hAnsi="Verdana" w:cs="Arial"/>
          <w:b/>
          <w:bCs/>
          <w:color w:val="000000"/>
          <w:lang w:val="es-ES_tradnl" w:eastAsia="es-ES_tradnl"/>
        </w:rPr>
      </w:pPr>
    </w:p>
    <w:p w14:paraId="3BFCC091" w14:textId="77777777" w:rsidR="00D97EF3" w:rsidRPr="00817382" w:rsidRDefault="00D97EF3" w:rsidP="00D97EF3">
      <w:pPr>
        <w:spacing w:after="0" w:line="240" w:lineRule="auto"/>
        <w:rPr>
          <w:rFonts w:ascii="Verdana" w:eastAsia="Calibri" w:hAnsi="Verdana" w:cs="Arial"/>
          <w:b/>
          <w:bCs/>
          <w:color w:val="000000"/>
          <w:lang w:val="es-ES_tradnl" w:eastAsia="es-ES_tradnl"/>
        </w:rPr>
      </w:pPr>
    </w:p>
    <w:tbl>
      <w:tblPr>
        <w:tblStyle w:val="Tablaconcuadrcula"/>
        <w:tblW w:w="8789" w:type="dxa"/>
        <w:tblCellMar>
          <w:left w:w="0" w:type="dxa"/>
          <w:right w:w="0" w:type="dxa"/>
        </w:tblCellMar>
        <w:tblLook w:val="04A0" w:firstRow="1" w:lastRow="0" w:firstColumn="1" w:lastColumn="0" w:noHBand="0" w:noVBand="1"/>
      </w:tblPr>
      <w:tblGrid>
        <w:gridCol w:w="2689"/>
        <w:gridCol w:w="6100"/>
      </w:tblGrid>
      <w:tr w:rsidR="00D97EF3" w:rsidRPr="00817382" w14:paraId="5EEE57F0" w14:textId="77777777" w:rsidTr="00AA66B2">
        <w:trPr>
          <w:trHeight w:val="633"/>
        </w:trPr>
        <w:tc>
          <w:tcPr>
            <w:tcW w:w="2689" w:type="dxa"/>
          </w:tcPr>
          <w:p w14:paraId="6A743C3C" w14:textId="77777777" w:rsidR="00D97EF3" w:rsidRPr="00817382" w:rsidRDefault="00D97EF3" w:rsidP="00BE3615">
            <w:pPr>
              <w:jc w:val="both"/>
              <w:rPr>
                <w:rFonts w:ascii="Verdana" w:eastAsia="Calibri" w:hAnsi="Verdana" w:cs="Arial"/>
                <w:b/>
                <w:bCs/>
                <w:color w:val="7030A0"/>
                <w:lang w:val="es-ES_tradnl" w:eastAsia="es-ES_tradnl"/>
              </w:rPr>
            </w:pPr>
          </w:p>
        </w:tc>
        <w:tc>
          <w:tcPr>
            <w:tcW w:w="6100" w:type="dxa"/>
          </w:tcPr>
          <w:p w14:paraId="0837C788" w14:textId="77777777" w:rsidR="00D97EF3" w:rsidRPr="00817382" w:rsidRDefault="00D97EF3" w:rsidP="00BE3615">
            <w:pPr>
              <w:jc w:val="both"/>
              <w:rPr>
                <w:rFonts w:ascii="Verdana" w:eastAsia="Calibri" w:hAnsi="Verdana" w:cs="Arial"/>
                <w:b/>
                <w:bCs/>
                <w:color w:val="7030A0"/>
                <w:lang w:val="es-ES_tradnl" w:eastAsia="es-ES"/>
              </w:rPr>
            </w:pPr>
            <w:r w:rsidRPr="00817382">
              <w:rPr>
                <w:rFonts w:ascii="Verdana" w:eastAsia="Calibri" w:hAnsi="Verdana" w:cs="Arial"/>
                <w:b/>
                <w:bCs/>
                <w:lang w:val="es-ES_tradnl" w:eastAsia="es-ES"/>
              </w:rPr>
              <w:t>Concepto C – 1</w:t>
            </w:r>
            <w:r>
              <w:rPr>
                <w:rFonts w:ascii="Verdana" w:eastAsia="Calibri" w:hAnsi="Verdana" w:cs="Arial"/>
                <w:b/>
                <w:bCs/>
                <w:lang w:val="es-ES_tradnl" w:eastAsia="es-ES"/>
              </w:rPr>
              <w:t>357</w:t>
            </w:r>
            <w:r w:rsidRPr="00817382">
              <w:rPr>
                <w:rFonts w:ascii="Verdana" w:eastAsia="Calibri" w:hAnsi="Verdana" w:cs="Arial"/>
                <w:b/>
                <w:bCs/>
                <w:lang w:val="es-ES_tradnl" w:eastAsia="es-ES"/>
              </w:rPr>
              <w:t xml:space="preserve"> de 2025</w:t>
            </w:r>
          </w:p>
        </w:tc>
      </w:tr>
      <w:tr w:rsidR="00D97EF3" w:rsidRPr="00817382" w14:paraId="682E36F6" w14:textId="77777777" w:rsidTr="00AA66B2">
        <w:trPr>
          <w:trHeight w:val="884"/>
        </w:trPr>
        <w:tc>
          <w:tcPr>
            <w:tcW w:w="2689" w:type="dxa"/>
          </w:tcPr>
          <w:p w14:paraId="78B0807B" w14:textId="77777777" w:rsidR="00D97EF3" w:rsidRPr="00817382" w:rsidRDefault="00D97EF3" w:rsidP="00BE3615">
            <w:pPr>
              <w:jc w:val="both"/>
              <w:rPr>
                <w:rFonts w:ascii="Verdana" w:eastAsia="Calibri" w:hAnsi="Verdana" w:cs="Arial"/>
                <w:color w:val="000000"/>
                <w:lang w:val="es-ES_tradnl" w:eastAsia="es-ES_tradnl"/>
              </w:rPr>
            </w:pPr>
            <w:r w:rsidRPr="00817382">
              <w:rPr>
                <w:rFonts w:ascii="Verdana" w:eastAsia="Calibri" w:hAnsi="Verdana" w:cs="Arial"/>
                <w:b/>
                <w:color w:val="000000"/>
                <w:lang w:val="es-ES_tradnl" w:eastAsia="es-ES_tradnl"/>
              </w:rPr>
              <w:t>Temas:</w:t>
            </w:r>
            <w:r w:rsidRPr="00817382">
              <w:rPr>
                <w:rFonts w:ascii="Verdana" w:eastAsia="Calibri" w:hAnsi="Verdana" w:cs="Arial"/>
                <w:color w:val="000000"/>
                <w:lang w:val="es-ES_tradnl" w:eastAsia="es-ES_tradnl"/>
              </w:rPr>
              <w:t xml:space="preserve">                   </w:t>
            </w:r>
          </w:p>
        </w:tc>
        <w:tc>
          <w:tcPr>
            <w:tcW w:w="6100" w:type="dxa"/>
          </w:tcPr>
          <w:p w14:paraId="263DD6E9" w14:textId="77777777" w:rsidR="00D97EF3" w:rsidRPr="00817382" w:rsidRDefault="00D97EF3" w:rsidP="00BE3615">
            <w:pPr>
              <w:spacing w:line="276" w:lineRule="auto"/>
              <w:jc w:val="both"/>
              <w:rPr>
                <w:rFonts w:ascii="Verdana" w:eastAsia="Calibri" w:hAnsi="Verdana" w:cs="Arial"/>
                <w:lang w:val="es-ES_tradnl" w:eastAsia="es-ES"/>
              </w:rPr>
            </w:pPr>
            <w:r w:rsidRPr="00817382">
              <w:rPr>
                <w:rFonts w:ascii="Verdana" w:eastAsia="Calibri" w:hAnsi="Verdana" w:cs="Arial"/>
                <w:lang w:val="es-ES_tradnl" w:eastAsia="es-ES"/>
              </w:rPr>
              <w:t xml:space="preserve">EGCAP – Ámbito de aplicación – Entidades estatales / ENTIDADES EXCEPTUADAS – Aplicación de normas de derecho público / CONTRATOS ESTATALES – Régimen especial – Obligaciones transversales – Manual de contratación – Límites / </w:t>
            </w:r>
            <w:r w:rsidRPr="00C16797">
              <w:rPr>
                <w:rFonts w:ascii="Verdana" w:eastAsia="Calibri" w:hAnsi="Verdana" w:cs="Arial"/>
                <w:lang w:val="es-ES_tradnl" w:eastAsia="es-ES"/>
              </w:rPr>
              <w:t xml:space="preserve">MANUALES DE CONTRATACIÓN – Entidades exceptuadas – </w:t>
            </w:r>
            <w:r>
              <w:rPr>
                <w:rFonts w:ascii="Verdana" w:eastAsia="Calibri" w:hAnsi="Verdana" w:cs="Arial"/>
                <w:lang w:val="es-ES_tradnl" w:eastAsia="es-ES"/>
              </w:rPr>
              <w:t>Marcas</w:t>
            </w:r>
            <w:r w:rsidRPr="00C16797">
              <w:rPr>
                <w:rFonts w:ascii="Verdana" w:eastAsia="Calibri" w:hAnsi="Verdana" w:cs="Arial"/>
                <w:lang w:val="es-ES_tradnl" w:eastAsia="es-ES"/>
              </w:rPr>
              <w:t xml:space="preserve"> </w:t>
            </w:r>
          </w:p>
          <w:p w14:paraId="2D6A7599" w14:textId="77777777" w:rsidR="00D97EF3" w:rsidRPr="00817382" w:rsidRDefault="00D97EF3" w:rsidP="00BE3615">
            <w:pPr>
              <w:spacing w:line="276" w:lineRule="auto"/>
              <w:jc w:val="both"/>
              <w:rPr>
                <w:rFonts w:ascii="Verdana" w:eastAsia="Calibri" w:hAnsi="Verdana" w:cs="Arial"/>
                <w:lang w:val="es-ES_tradnl" w:eastAsia="es-ES"/>
              </w:rPr>
            </w:pPr>
            <w:r w:rsidRPr="00817382">
              <w:rPr>
                <w:rFonts w:ascii="Verdana" w:eastAsia="Calibri" w:hAnsi="Verdana" w:cs="Arial"/>
                <w:lang w:val="es-ES_tradnl" w:eastAsia="es-ES"/>
              </w:rPr>
              <w:t xml:space="preserve">  </w:t>
            </w:r>
          </w:p>
        </w:tc>
      </w:tr>
      <w:tr w:rsidR="00D97EF3" w:rsidRPr="00817382" w14:paraId="48380677" w14:textId="77777777" w:rsidTr="00AA66B2">
        <w:tc>
          <w:tcPr>
            <w:tcW w:w="2689" w:type="dxa"/>
          </w:tcPr>
          <w:p w14:paraId="4FFF670A" w14:textId="77777777" w:rsidR="00D97EF3" w:rsidRPr="00817382" w:rsidRDefault="00D97EF3" w:rsidP="00BE3615">
            <w:pPr>
              <w:jc w:val="both"/>
              <w:rPr>
                <w:rFonts w:ascii="Verdana" w:eastAsia="Calibri" w:hAnsi="Verdana" w:cs="Arial"/>
                <w:b/>
                <w:lang w:val="es-ES_tradnl" w:eastAsia="es-ES_tradnl"/>
              </w:rPr>
            </w:pPr>
            <w:r w:rsidRPr="00817382">
              <w:rPr>
                <w:rFonts w:ascii="Verdana" w:eastAsia="Calibri" w:hAnsi="Verdana" w:cs="Arial"/>
                <w:b/>
                <w:lang w:val="es-ES_tradnl" w:eastAsia="es-ES_tradnl"/>
              </w:rPr>
              <w:t>Radicación:</w:t>
            </w:r>
            <w:r w:rsidRPr="00817382">
              <w:rPr>
                <w:rFonts w:ascii="Verdana" w:eastAsia="Calibri" w:hAnsi="Verdana" w:cs="Arial"/>
                <w:lang w:val="es-ES_tradnl" w:eastAsia="es-ES_tradnl"/>
              </w:rPr>
              <w:t xml:space="preserve">               </w:t>
            </w:r>
          </w:p>
        </w:tc>
        <w:tc>
          <w:tcPr>
            <w:tcW w:w="6100" w:type="dxa"/>
          </w:tcPr>
          <w:p w14:paraId="1420C526" w14:textId="77777777" w:rsidR="00D97EF3" w:rsidRPr="00817382" w:rsidRDefault="00D97EF3" w:rsidP="00BE3615">
            <w:pPr>
              <w:spacing w:line="276" w:lineRule="auto"/>
              <w:jc w:val="both"/>
              <w:rPr>
                <w:rFonts w:ascii="Verdana" w:eastAsia="Calibri" w:hAnsi="Verdana" w:cs="Arial"/>
                <w:lang w:val="es-ES_tradnl" w:eastAsia="es-ES_tradnl"/>
              </w:rPr>
            </w:pPr>
            <w:r w:rsidRPr="00817382">
              <w:rPr>
                <w:rFonts w:ascii="Verdana" w:eastAsia="Calibri" w:hAnsi="Verdana" w:cs="Arial"/>
                <w:lang w:val="es-ES_tradnl" w:eastAsia="es-ES_tradnl"/>
              </w:rPr>
              <w:t xml:space="preserve">Respuesta a la consulta con radicado No. </w:t>
            </w:r>
            <w:r w:rsidRPr="00A852A6">
              <w:rPr>
                <w:rFonts w:ascii="Verdana" w:eastAsia="Calibri" w:hAnsi="Verdana" w:cs="Arial"/>
                <w:lang w:val="es-ES_tradnl" w:eastAsia="es-ES_tradnl"/>
              </w:rPr>
              <w:t>1_2025_09_22_010411</w:t>
            </w:r>
          </w:p>
        </w:tc>
      </w:tr>
    </w:tbl>
    <w:p w14:paraId="285CDDE5" w14:textId="77777777" w:rsidR="00D97EF3" w:rsidRPr="00817382" w:rsidRDefault="00D97EF3" w:rsidP="00D97EF3">
      <w:pPr>
        <w:spacing w:after="0" w:line="240" w:lineRule="auto"/>
        <w:jc w:val="both"/>
        <w:rPr>
          <w:rFonts w:ascii="Verdana" w:eastAsia="Calibri" w:hAnsi="Verdana" w:cs="Arial"/>
          <w:color w:val="000000"/>
          <w:lang w:val="es-ES_tradnl" w:eastAsia="es-ES_tradnl"/>
        </w:rPr>
      </w:pPr>
    </w:p>
    <w:p w14:paraId="0DB96BCB" w14:textId="77777777" w:rsidR="00D97EF3" w:rsidRPr="00817382" w:rsidRDefault="00D97EF3" w:rsidP="00D97EF3">
      <w:pPr>
        <w:spacing w:after="0" w:line="240" w:lineRule="auto"/>
        <w:jc w:val="both"/>
        <w:rPr>
          <w:rFonts w:ascii="Verdana" w:eastAsia="Calibri" w:hAnsi="Verdana" w:cs="Arial"/>
          <w:color w:val="000000"/>
          <w:lang w:val="es-ES_tradnl" w:eastAsia="es-ES_tradnl"/>
        </w:rPr>
      </w:pPr>
    </w:p>
    <w:p w14:paraId="1D68F6CE" w14:textId="77777777" w:rsidR="00D97EF3" w:rsidRPr="00817382" w:rsidRDefault="00D97EF3" w:rsidP="00D97EF3">
      <w:pPr>
        <w:spacing w:after="0" w:line="276" w:lineRule="auto"/>
        <w:jc w:val="both"/>
        <w:rPr>
          <w:rFonts w:ascii="Verdana" w:eastAsia="Calibri" w:hAnsi="Verdana" w:cs="Arial"/>
          <w:lang w:val="es-ES_tradnl" w:eastAsia="es-ES"/>
        </w:rPr>
      </w:pPr>
      <w:r w:rsidRPr="00817382">
        <w:rPr>
          <w:rFonts w:ascii="Verdana" w:eastAsia="Calibri" w:hAnsi="Verdana" w:cs="Arial"/>
          <w:lang w:val="es-ES_tradnl" w:eastAsia="es-ES"/>
        </w:rPr>
        <w:t>Estimad</w:t>
      </w:r>
      <w:r>
        <w:rPr>
          <w:rFonts w:ascii="Verdana" w:eastAsia="Calibri" w:hAnsi="Verdana" w:cs="Arial"/>
          <w:lang w:val="es-ES_tradnl" w:eastAsia="es-ES"/>
        </w:rPr>
        <w:t>o</w:t>
      </w:r>
      <w:r w:rsidRPr="00817382">
        <w:rPr>
          <w:rFonts w:ascii="Verdana" w:eastAsia="Calibri" w:hAnsi="Verdana" w:cs="Arial"/>
          <w:lang w:val="es-ES_tradnl" w:eastAsia="es-ES"/>
        </w:rPr>
        <w:t xml:space="preserve"> señor </w:t>
      </w:r>
      <w:r>
        <w:rPr>
          <w:rFonts w:ascii="Verdana" w:eastAsia="Calibri" w:hAnsi="Verdana" w:cs="Arial"/>
          <w:lang w:val="es-ES_tradnl" w:eastAsia="es-ES"/>
        </w:rPr>
        <w:t>Villareal</w:t>
      </w:r>
      <w:r w:rsidRPr="00817382">
        <w:rPr>
          <w:rFonts w:ascii="Verdana" w:eastAsia="Calibri" w:hAnsi="Verdana" w:cs="Arial"/>
          <w:lang w:val="es-ES_tradnl" w:eastAsia="es-ES"/>
        </w:rPr>
        <w:t xml:space="preserve">: </w:t>
      </w:r>
    </w:p>
    <w:p w14:paraId="5ED10F2E" w14:textId="77777777" w:rsidR="00D97EF3" w:rsidRPr="00817382" w:rsidRDefault="00D97EF3" w:rsidP="00D97EF3">
      <w:pPr>
        <w:tabs>
          <w:tab w:val="left" w:pos="3768"/>
        </w:tabs>
        <w:spacing w:after="0" w:line="276" w:lineRule="auto"/>
        <w:jc w:val="both"/>
        <w:rPr>
          <w:rFonts w:ascii="Verdana" w:eastAsia="Calibri" w:hAnsi="Verdana" w:cs="Arial"/>
          <w:color w:val="000000" w:themeColor="text1"/>
          <w:lang w:val="es-ES_tradnl" w:eastAsia="es-ES"/>
        </w:rPr>
      </w:pPr>
      <w:r w:rsidRPr="00817382">
        <w:rPr>
          <w:rFonts w:ascii="Verdana" w:eastAsia="Calibri" w:hAnsi="Verdana" w:cs="Arial"/>
          <w:color w:val="000000" w:themeColor="text1"/>
          <w:lang w:val="es-ES_tradnl" w:eastAsia="es-ES"/>
        </w:rPr>
        <w:tab/>
      </w:r>
    </w:p>
    <w:p w14:paraId="15404974" w14:textId="77777777" w:rsidR="00D97EF3" w:rsidRPr="00817382" w:rsidRDefault="00D97EF3" w:rsidP="00D97EF3">
      <w:pPr>
        <w:spacing w:after="0" w:line="276" w:lineRule="auto"/>
        <w:jc w:val="both"/>
        <w:rPr>
          <w:rFonts w:ascii="Verdana" w:eastAsia="Calibri" w:hAnsi="Verdana" w:cs="Arial"/>
          <w:color w:val="7030A0"/>
          <w:lang w:val="es-ES_tradnl" w:eastAsia="es-ES"/>
        </w:rPr>
      </w:pPr>
      <w:r w:rsidRPr="00817382">
        <w:rPr>
          <w:rFonts w:ascii="Verdana" w:eastAsia="Calibri" w:hAnsi="Verdana" w:cs="Arial"/>
          <w:color w:val="000000" w:themeColor="text1"/>
          <w:lang w:val="es-ES_tradnl" w:eastAsia="es-ES"/>
        </w:rPr>
        <w:t>En ejercicio de la competencia otorgada por los artículos 3, numeral 5º, y 11, numeral 8º, del Decreto Ley 4170 de 2011,</w:t>
      </w:r>
      <w:r w:rsidRPr="00817382">
        <w:rPr>
          <w:rFonts w:ascii="Verdana" w:eastAsia="Arial MT" w:hAnsi="Verdana" w:cs="Arial MT"/>
          <w:lang w:val="es-ES_tradnl" w:eastAsia="es-ES"/>
        </w:rPr>
        <w:t xml:space="preserve"> </w:t>
      </w:r>
      <w:r w:rsidRPr="00817382">
        <w:rPr>
          <w:rFonts w:ascii="Verdana" w:hAnsi="Verdana" w:cs="Arial"/>
          <w:lang w:val="es-ES_tradnl"/>
        </w:rPr>
        <w:t>así como lo establecido en</w:t>
      </w:r>
      <w:r w:rsidRPr="009B7F46">
        <w:rPr>
          <w:rFonts w:ascii="Verdana" w:hAnsi="Verdana" w:cs="Arial"/>
        </w:rPr>
        <w:t xml:space="preserve"> </w:t>
      </w:r>
      <w:r>
        <w:rPr>
          <w:rFonts w:ascii="Verdana" w:hAnsi="Verdana" w:cs="Arial"/>
        </w:rPr>
        <w:t xml:space="preserve">la </w:t>
      </w:r>
      <w:r w:rsidRPr="00A27102">
        <w:rPr>
          <w:rFonts w:ascii="Verdana" w:hAnsi="Verdana" w:cs="Arial"/>
        </w:rPr>
        <w:t>Resolución 469 de 2025 expedida por esta Entidad</w:t>
      </w:r>
      <w:r w:rsidRPr="00817382">
        <w:rPr>
          <w:rFonts w:ascii="Verdana" w:hAnsi="Verdana" w:cs="Arial"/>
          <w:lang w:val="es-ES_tradnl"/>
        </w:rPr>
        <w:t xml:space="preserve">, </w:t>
      </w:r>
      <w:r w:rsidRPr="00817382">
        <w:rPr>
          <w:rFonts w:ascii="Verdana" w:eastAsia="Calibri" w:hAnsi="Verdana" w:cs="Arial"/>
          <w:color w:val="000000" w:themeColor="text1"/>
          <w:lang w:val="es-ES_tradnl" w:eastAsia="es-ES"/>
        </w:rPr>
        <w:t xml:space="preserve">la Agencia Nacional de Contratación Pública – Colombia Compra Eficiente responde su solicitud de consulta de </w:t>
      </w:r>
      <w:r w:rsidRPr="00817382">
        <w:rPr>
          <w:rFonts w:ascii="Verdana" w:eastAsia="Calibri" w:hAnsi="Verdana" w:cs="Arial"/>
          <w:lang w:val="es-ES_tradnl" w:eastAsia="es-ES"/>
        </w:rPr>
        <w:t xml:space="preserve">fecha </w:t>
      </w:r>
      <w:r>
        <w:rPr>
          <w:rFonts w:ascii="Verdana" w:eastAsia="Calibri" w:hAnsi="Verdana" w:cs="Arial"/>
          <w:lang w:val="es-ES_tradnl" w:eastAsia="es-ES"/>
        </w:rPr>
        <w:t>22 de septiembre de 2025</w:t>
      </w:r>
      <w:r w:rsidRPr="00817382">
        <w:rPr>
          <w:rFonts w:ascii="Verdana" w:eastAsia="Calibri" w:hAnsi="Verdana" w:cs="Arial"/>
          <w:lang w:val="es-ES_tradnl" w:eastAsia="es-ES"/>
        </w:rPr>
        <w:t xml:space="preserve">, en la cual pregunta lo siguiente: </w:t>
      </w:r>
    </w:p>
    <w:p w14:paraId="5E4EB6A3" w14:textId="77777777" w:rsidR="00D97EF3" w:rsidRPr="00817382" w:rsidRDefault="00D97EF3" w:rsidP="00D97EF3">
      <w:pPr>
        <w:pStyle w:val="Prrafodelista"/>
        <w:tabs>
          <w:tab w:val="left" w:pos="142"/>
          <w:tab w:val="left" w:pos="284"/>
        </w:tabs>
        <w:spacing w:after="0" w:line="276" w:lineRule="auto"/>
        <w:ind w:left="0"/>
        <w:jc w:val="both"/>
        <w:rPr>
          <w:rFonts w:ascii="Verdana" w:eastAsia="Century Gothic" w:hAnsi="Verdana" w:cs="Century Gothic"/>
          <w:b/>
          <w:bCs/>
          <w:lang w:val="es-ES_tradnl"/>
        </w:rPr>
      </w:pPr>
    </w:p>
    <w:p w14:paraId="0CC180B5" w14:textId="77777777" w:rsidR="00D97EF3" w:rsidRDefault="00D97EF3" w:rsidP="00D97EF3">
      <w:pPr>
        <w:spacing w:after="0" w:line="240" w:lineRule="auto"/>
        <w:ind w:left="709" w:right="709"/>
        <w:jc w:val="both"/>
        <w:rPr>
          <w:rFonts w:ascii="Verdana" w:eastAsia="Century Gothic" w:hAnsi="Verdana" w:cs="Century Gothic"/>
          <w:sz w:val="20"/>
          <w:szCs w:val="20"/>
        </w:rPr>
      </w:pPr>
      <w:bookmarkStart w:id="1" w:name="_Hlk95313578"/>
      <w:r w:rsidRPr="3239A092">
        <w:rPr>
          <w:rFonts w:ascii="Verdana" w:eastAsia="Century Gothic" w:hAnsi="Verdana" w:cs="Century Gothic"/>
          <w:sz w:val="21"/>
          <w:szCs w:val="21"/>
          <w:lang w:val="es-ES"/>
        </w:rPr>
        <w:t>“</w:t>
      </w:r>
      <w:bookmarkEnd w:id="1"/>
      <w:r w:rsidRPr="00C847FE">
        <w:rPr>
          <w:rFonts w:ascii="Verdana" w:eastAsia="Century Gothic" w:hAnsi="Verdana" w:cs="Century Gothic"/>
          <w:sz w:val="20"/>
          <w:szCs w:val="20"/>
        </w:rPr>
        <w:t xml:space="preserve">1. En el marco de los procesos de selección de contratista adelantados por una entidad de régimen especial, me permito formular la siguiente pregunta: ¿es posible que una entidad de régimen exceptuado exija marcas específicas de bienes o productos a adquirir en un proceso de selección de contratistas? En caso de que la respuesta a la anterior pregunta sea positiva ¿puede la entidad de régimen especial en el marco de su naturaleza privada exigir marcas específicas de bienes o productos a adquirir así estén prohibidas en acuerdos y tratados comerciales suscritos por Colombia? </w:t>
      </w:r>
    </w:p>
    <w:p w14:paraId="76734C09" w14:textId="77777777" w:rsidR="00D97EF3" w:rsidRDefault="00D97EF3" w:rsidP="00D97EF3">
      <w:pPr>
        <w:spacing w:after="0" w:line="240" w:lineRule="auto"/>
        <w:ind w:left="709" w:right="709"/>
        <w:jc w:val="both"/>
        <w:rPr>
          <w:rFonts w:ascii="Verdana" w:eastAsia="Century Gothic" w:hAnsi="Verdana" w:cs="Century Gothic"/>
          <w:sz w:val="20"/>
          <w:szCs w:val="20"/>
        </w:rPr>
      </w:pPr>
    </w:p>
    <w:p w14:paraId="4038DC85" w14:textId="77777777" w:rsidR="00D97EF3" w:rsidRPr="00817382" w:rsidRDefault="00D97EF3" w:rsidP="00D97EF3">
      <w:pPr>
        <w:spacing w:after="0" w:line="240" w:lineRule="auto"/>
        <w:ind w:left="709" w:right="709"/>
        <w:jc w:val="both"/>
        <w:rPr>
          <w:rFonts w:ascii="Verdana" w:eastAsia="Century Gothic" w:hAnsi="Verdana" w:cs="Century Gothic"/>
          <w:sz w:val="21"/>
          <w:szCs w:val="21"/>
          <w:lang w:val="es-ES"/>
        </w:rPr>
      </w:pPr>
      <w:r w:rsidRPr="00C847FE">
        <w:rPr>
          <w:rFonts w:ascii="Verdana" w:eastAsia="Century Gothic" w:hAnsi="Verdana" w:cs="Century Gothic"/>
          <w:sz w:val="20"/>
          <w:szCs w:val="20"/>
        </w:rPr>
        <w:lastRenderedPageBreak/>
        <w:t xml:space="preserve">2. Teniendo en cuenta la aplicabilidad (o no) del artículo 88 de la ley 1474 de 2011 el cual modifica el numeral 2 del artículo 5° de la ley 1150 de 2007, me permito formular la siguiente pregunta: ¿Puede una entidad de régimen especial otorgar un puntaje adicional, al oferente </w:t>
      </w:r>
      <w:proofErr w:type="gramStart"/>
      <w:r w:rsidRPr="00C847FE">
        <w:rPr>
          <w:rFonts w:ascii="Verdana" w:eastAsia="Century Gothic" w:hAnsi="Verdana" w:cs="Century Gothic"/>
          <w:sz w:val="20"/>
          <w:szCs w:val="20"/>
        </w:rPr>
        <w:t>que</w:t>
      </w:r>
      <w:proofErr w:type="gramEnd"/>
      <w:r w:rsidRPr="00C847FE">
        <w:rPr>
          <w:rFonts w:ascii="Verdana" w:eastAsia="Century Gothic" w:hAnsi="Verdana" w:cs="Century Gothic"/>
          <w:sz w:val="20"/>
          <w:szCs w:val="20"/>
        </w:rPr>
        <w:t xml:space="preserve"> en el marco de un proceso de selección de un contratista de obra, ofrezca el menor plazo de entrega y puesta en operación de la obra?:</w:t>
      </w:r>
      <w:r>
        <w:rPr>
          <w:rFonts w:ascii="Verdana" w:eastAsia="Century Gothic" w:hAnsi="Verdana" w:cs="Century Gothic"/>
          <w:sz w:val="20"/>
          <w:szCs w:val="20"/>
        </w:rPr>
        <w:t>”</w:t>
      </w:r>
    </w:p>
    <w:p w14:paraId="6070BFD8" w14:textId="77777777" w:rsidR="00D97EF3" w:rsidRPr="00817382" w:rsidRDefault="00D97EF3" w:rsidP="00D97EF3">
      <w:pPr>
        <w:pStyle w:val="Prrafodelista"/>
        <w:tabs>
          <w:tab w:val="left" w:pos="142"/>
          <w:tab w:val="left" w:pos="284"/>
        </w:tabs>
        <w:spacing w:after="0" w:line="276" w:lineRule="auto"/>
        <w:ind w:left="0"/>
        <w:jc w:val="both"/>
        <w:rPr>
          <w:rFonts w:ascii="Verdana" w:eastAsia="Century Gothic" w:hAnsi="Verdana" w:cs="Century Gothic"/>
          <w:b/>
          <w:bCs/>
          <w:lang w:val="es-ES_tradnl"/>
        </w:rPr>
      </w:pPr>
    </w:p>
    <w:p w14:paraId="607CA007" w14:textId="77777777" w:rsidR="00D97EF3" w:rsidRPr="00817382" w:rsidRDefault="00D97EF3" w:rsidP="00D97EF3">
      <w:pPr>
        <w:spacing w:after="120" w:line="276" w:lineRule="auto"/>
        <w:ind w:firstLine="709"/>
        <w:jc w:val="both"/>
        <w:rPr>
          <w:rFonts w:ascii="Verdana" w:eastAsia="Calibri" w:hAnsi="Verdana" w:cs="Arial"/>
          <w:color w:val="000000"/>
          <w:lang w:val="es-ES" w:eastAsia="es-ES"/>
        </w:rPr>
      </w:pPr>
      <w:r w:rsidRPr="3239A092">
        <w:rPr>
          <w:rFonts w:ascii="Verdana" w:eastAsia="Calibri" w:hAnsi="Verdana" w:cs="Arial"/>
          <w:color w:val="000000" w:themeColor="text1"/>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14:paraId="28140F3A" w14:textId="77777777" w:rsidR="00D97EF3" w:rsidRPr="00817382" w:rsidRDefault="00D97EF3" w:rsidP="00D97EF3">
      <w:pPr>
        <w:spacing w:after="0" w:line="276" w:lineRule="auto"/>
        <w:ind w:firstLine="709"/>
        <w:jc w:val="both"/>
        <w:rPr>
          <w:rFonts w:ascii="Verdana" w:eastAsia="Calibri" w:hAnsi="Verdana" w:cs="Arial"/>
          <w:color w:val="000000"/>
          <w:lang w:val="es-ES_tradnl" w:eastAsia="es-ES"/>
        </w:rPr>
      </w:pPr>
      <w:r w:rsidRPr="00817382">
        <w:rPr>
          <w:rFonts w:ascii="Verdana" w:eastAsia="Calibri" w:hAnsi="Verdana" w:cs="Arial"/>
          <w:color w:val="000000"/>
          <w:lang w:val="es-ES_tradnl"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817382">
        <w:rPr>
          <w:rFonts w:ascii="Verdana" w:eastAsia="Calibri" w:hAnsi="Verdana" w:cs="Arial"/>
          <w:color w:val="7030A0"/>
          <w:lang w:val="es-ES_tradnl" w:eastAsia="es-ES"/>
        </w:rPr>
        <w:t xml:space="preserve"> </w:t>
      </w:r>
      <w:r w:rsidRPr="00817382">
        <w:rPr>
          <w:rFonts w:ascii="Verdana" w:eastAsia="Calibri" w:hAnsi="Verdana" w:cs="Arial"/>
          <w:color w:val="000000"/>
          <w:lang w:val="es-ES_tradnl" w:eastAsia="es-ES"/>
        </w:rPr>
        <w:t>problema</w:t>
      </w:r>
      <w:r w:rsidRPr="00817382">
        <w:rPr>
          <w:rFonts w:ascii="Verdana" w:eastAsia="Calibri" w:hAnsi="Verdana" w:cs="Arial"/>
          <w:color w:val="7030A0"/>
          <w:lang w:val="es-ES_tradnl" w:eastAsia="es-ES"/>
        </w:rPr>
        <w:t xml:space="preserve"> </w:t>
      </w:r>
      <w:r w:rsidRPr="00817382">
        <w:rPr>
          <w:rFonts w:ascii="Verdana" w:eastAsia="Calibri" w:hAnsi="Verdana" w:cs="Arial"/>
          <w:color w:val="000000"/>
          <w:lang w:val="es-ES_tradnl" w:eastAsia="es-ES"/>
        </w:rPr>
        <w:t>jurídico</w:t>
      </w:r>
      <w:r w:rsidRPr="00817382">
        <w:rPr>
          <w:rFonts w:ascii="Verdana" w:eastAsia="Calibri" w:hAnsi="Verdana" w:cs="Arial"/>
          <w:color w:val="7030A0"/>
          <w:lang w:val="es-ES_tradnl" w:eastAsia="es-ES"/>
        </w:rPr>
        <w:t xml:space="preserve"> </w:t>
      </w:r>
      <w:r w:rsidRPr="00817382">
        <w:rPr>
          <w:rFonts w:ascii="Verdana" w:eastAsia="Calibri" w:hAnsi="Verdana" w:cs="Arial"/>
          <w:color w:val="000000"/>
          <w:lang w:val="es-ES_tradnl" w:eastAsia="es-ES"/>
        </w:rPr>
        <w:t xml:space="preserve">de su consulta. </w:t>
      </w:r>
      <w:r w:rsidRPr="00817382">
        <w:rPr>
          <w:rFonts w:ascii="Verdana" w:eastAsia="Calibri" w:hAnsi="Verdana" w:cs="Arial"/>
          <w:lang w:val="es-ES_tradnl" w:eastAsia="es-ES"/>
        </w:rPr>
        <w:t xml:space="preserve"> </w:t>
      </w:r>
    </w:p>
    <w:p w14:paraId="2498E004" w14:textId="77777777" w:rsidR="00D97EF3" w:rsidRPr="00817382" w:rsidRDefault="00D97EF3" w:rsidP="00D97EF3">
      <w:pPr>
        <w:spacing w:after="0" w:line="276" w:lineRule="auto"/>
        <w:ind w:firstLine="708"/>
        <w:jc w:val="both"/>
        <w:rPr>
          <w:rFonts w:ascii="Verdana" w:eastAsia="Calibri" w:hAnsi="Verdana" w:cs="Arial"/>
          <w:lang w:val="es-ES_tradnl" w:eastAsia="es-ES"/>
        </w:rPr>
      </w:pPr>
    </w:p>
    <w:p w14:paraId="17D6B8EC" w14:textId="77777777" w:rsidR="00D97EF3" w:rsidRPr="00817382" w:rsidRDefault="00D97EF3" w:rsidP="00D97EF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lang w:val="es-ES_tradnl"/>
        </w:rPr>
      </w:pPr>
      <w:r w:rsidRPr="00817382">
        <w:rPr>
          <w:rFonts w:ascii="Verdana" w:eastAsia="Century Gothic" w:hAnsi="Verdana" w:cs="Century Gothic"/>
          <w:b/>
          <w:bCs/>
          <w:lang w:val="es-ES_tradnl"/>
        </w:rPr>
        <w:t>Problema planteado:</w:t>
      </w:r>
    </w:p>
    <w:p w14:paraId="2380E371" w14:textId="77777777" w:rsidR="00D97EF3" w:rsidRPr="00817382" w:rsidRDefault="00D97EF3" w:rsidP="00D97EF3">
      <w:pPr>
        <w:tabs>
          <w:tab w:val="left" w:pos="426"/>
        </w:tabs>
        <w:spacing w:after="0" w:line="276" w:lineRule="auto"/>
        <w:jc w:val="both"/>
        <w:rPr>
          <w:rFonts w:ascii="Verdana" w:eastAsia="Century Gothic" w:hAnsi="Verdana" w:cs="Century Gothic"/>
          <w:lang w:val="es-ES_tradnl"/>
        </w:rPr>
      </w:pPr>
    </w:p>
    <w:p w14:paraId="22A23840" w14:textId="77777777" w:rsidR="00D97EF3" w:rsidRPr="00817382" w:rsidRDefault="00D97EF3" w:rsidP="00D97EF3">
      <w:pPr>
        <w:spacing w:after="0" w:line="276" w:lineRule="auto"/>
        <w:jc w:val="both"/>
        <w:rPr>
          <w:rFonts w:ascii="Verdana" w:eastAsia="Century Gothic" w:hAnsi="Verdana" w:cs="Century Gothic"/>
          <w:lang w:val="es-ES_tradnl"/>
        </w:rPr>
      </w:pPr>
      <w:r w:rsidRPr="00817382">
        <w:rPr>
          <w:rFonts w:ascii="Verdana" w:eastAsia="Century Gothic" w:hAnsi="Verdana" w:cs="Century Gothic"/>
          <w:lang w:val="es-ES_tradnl"/>
        </w:rPr>
        <w:t xml:space="preserve">De acuerdo con el contenido de su solicitud, esta Agencia resolverá el siguiente problema jurídico: </w:t>
      </w:r>
      <w:r>
        <w:rPr>
          <w:rFonts w:ascii="Verdana" w:eastAsia="Century Gothic" w:hAnsi="Verdana" w:cs="Century Gothic"/>
          <w:lang w:val="es-ES_tradnl"/>
        </w:rPr>
        <w:t>¿pueden las entidades de régimen especial solicitar</w:t>
      </w:r>
      <w:r w:rsidRPr="004F7347">
        <w:rPr>
          <w:rFonts w:ascii="Verdana" w:eastAsia="Century Gothic" w:hAnsi="Verdana" w:cs="Century Gothic"/>
          <w:sz w:val="20"/>
          <w:szCs w:val="20"/>
        </w:rPr>
        <w:t xml:space="preserve"> </w:t>
      </w:r>
      <w:r w:rsidRPr="004F7347">
        <w:rPr>
          <w:rFonts w:ascii="Verdana" w:eastAsia="Century Gothic" w:hAnsi="Verdana" w:cs="Century Gothic"/>
        </w:rPr>
        <w:t xml:space="preserve">marcas específicas de bienes o productos a adquirir en un proceso de </w:t>
      </w:r>
      <w:r>
        <w:rPr>
          <w:rFonts w:ascii="Verdana" w:eastAsia="Century Gothic" w:hAnsi="Verdana" w:cs="Century Gothic"/>
        </w:rPr>
        <w:t>contratación y determinar requisitos de puntaje relacionados con el menor plazo de entrega y puesta en operación?</w:t>
      </w:r>
      <w:r w:rsidRPr="00817382">
        <w:rPr>
          <w:rFonts w:ascii="Verdana" w:eastAsia="Century Gothic" w:hAnsi="Verdana" w:cs="Century Gothic"/>
          <w:lang w:val="es-ES_tradnl"/>
        </w:rPr>
        <w:t xml:space="preserve">      </w:t>
      </w:r>
      <w:r w:rsidRPr="00817382">
        <w:rPr>
          <w:rFonts w:ascii="Verdana" w:eastAsia="Century Gothic" w:hAnsi="Verdana" w:cs="Century Gothic"/>
          <w:color w:val="7030A0"/>
          <w:lang w:val="es-ES_tradnl"/>
        </w:rPr>
        <w:t xml:space="preserve"> </w:t>
      </w:r>
    </w:p>
    <w:p w14:paraId="4454ACB1" w14:textId="77777777" w:rsidR="00D97EF3" w:rsidRPr="00817382" w:rsidRDefault="00D97EF3" w:rsidP="00D97EF3">
      <w:pPr>
        <w:spacing w:after="0" w:line="276" w:lineRule="auto"/>
        <w:jc w:val="both"/>
        <w:rPr>
          <w:rFonts w:ascii="Verdana" w:eastAsia="Calibri" w:hAnsi="Verdana" w:cs="Arial"/>
          <w:color w:val="7030A0"/>
          <w:lang w:val="es-ES_tradnl"/>
        </w:rPr>
      </w:pPr>
    </w:p>
    <w:p w14:paraId="7F71DA0A" w14:textId="77777777" w:rsidR="00D97EF3" w:rsidRPr="00817382" w:rsidRDefault="00D97EF3" w:rsidP="00D97E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ES_tradnl"/>
        </w:rPr>
      </w:pPr>
      <w:r w:rsidRPr="00817382">
        <w:rPr>
          <w:rFonts w:ascii="Verdana" w:eastAsia="Century Gothic" w:hAnsi="Verdana" w:cs="Century Gothic"/>
          <w:b/>
          <w:bCs/>
          <w:lang w:val="es-ES_tradnl"/>
        </w:rPr>
        <w:t>Respuesta:</w:t>
      </w:r>
    </w:p>
    <w:p w14:paraId="4DC6A65F" w14:textId="77777777" w:rsidR="00D97EF3" w:rsidRPr="00817382" w:rsidRDefault="00D97EF3" w:rsidP="00D97EF3">
      <w:pPr>
        <w:tabs>
          <w:tab w:val="left" w:pos="142"/>
          <w:tab w:val="left" w:pos="284"/>
        </w:tabs>
        <w:spacing w:after="0" w:line="276" w:lineRule="auto"/>
        <w:jc w:val="both"/>
        <w:rPr>
          <w:rFonts w:ascii="Verdana" w:eastAsia="Century Gothic" w:hAnsi="Verdana" w:cs="Century Gothic"/>
          <w:b/>
          <w:bCs/>
          <w:lang w:val="es-ES_tradnl"/>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97EF3" w:rsidRPr="00817382" w14:paraId="467F722D" w14:textId="77777777" w:rsidTr="00BE3615">
        <w:trPr>
          <w:jc w:val="center"/>
        </w:trPr>
        <w:tc>
          <w:tcPr>
            <w:tcW w:w="8828" w:type="dxa"/>
          </w:tcPr>
          <w:p w14:paraId="58E96459" w14:textId="77777777" w:rsidR="00D97EF3" w:rsidRPr="0040386C" w:rsidRDefault="00D97EF3" w:rsidP="00BE3615">
            <w:pPr>
              <w:spacing w:after="120" w:line="276" w:lineRule="auto"/>
              <w:jc w:val="both"/>
              <w:rPr>
                <w:rFonts w:ascii="Verdana" w:hAnsi="Verdana" w:cs="Arial"/>
                <w:bCs/>
                <w:lang w:val="es-ES"/>
              </w:rPr>
            </w:pPr>
            <w:bookmarkStart w:id="2" w:name="_Hlk171694685"/>
            <w:r>
              <w:rPr>
                <w:rFonts w:ascii="Verdana" w:hAnsi="Verdana" w:cs="Arial"/>
                <w:bCs/>
                <w:lang w:val="es-ES"/>
              </w:rPr>
              <w:t>L</w:t>
            </w:r>
            <w:r w:rsidRPr="0040386C">
              <w:rPr>
                <w:rFonts w:ascii="Verdana" w:hAnsi="Verdana" w:cs="Arial"/>
                <w:bCs/>
                <w:lang w:val="es-ES"/>
              </w:rPr>
              <w:t xml:space="preserve">as entidades estatales que cuenten con un régimen contractual excepcional al del EGCAP, esto es, regímenes especiales, “aplicarán en desarrollo de su actividad contractual […] los principios de la función administrativa y de la </w:t>
            </w:r>
            <w:r w:rsidRPr="0040386C">
              <w:rPr>
                <w:rFonts w:ascii="Verdana" w:hAnsi="Verdana" w:cs="Arial"/>
                <w:bCs/>
                <w:lang w:val="es-ES"/>
              </w:rPr>
              <w:lastRenderedPageBreak/>
              <w:t>gestión fiscal […] y estarán sometidas al régimen de inhabilidades e incompatibilidades previsto legalmente para la contratación estatal”. La interpretación más adecuada de esta disposición implica admitir que su ámbito de aplicación ampara los supuestos de las entidades que tienen, como regla general, un régimen especial de contratación</w:t>
            </w:r>
            <w:r>
              <w:rPr>
                <w:rFonts w:ascii="Verdana" w:hAnsi="Verdana" w:cs="Arial"/>
                <w:bCs/>
                <w:lang w:val="es-ES"/>
              </w:rPr>
              <w:t xml:space="preserve">. </w:t>
            </w:r>
          </w:p>
          <w:p w14:paraId="0CBBA25F" w14:textId="77777777" w:rsidR="00D97EF3" w:rsidRDefault="00D97EF3" w:rsidP="00BE3615">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Así, p</w:t>
            </w:r>
            <w:r w:rsidRPr="0040386C">
              <w:rPr>
                <w:rFonts w:ascii="Verdana" w:eastAsia="Calibri" w:hAnsi="Verdana" w:cs="Arial"/>
                <w:color w:val="000000" w:themeColor="text1"/>
              </w:rPr>
              <w:t>uede decirse que una de las reglas derivada de las normas de derecho público que irradian el régimen jurídico de las entidades exceptuadas del EGCAP,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1550C98A" w14:textId="77777777" w:rsidR="00D97EF3" w:rsidRPr="0040386C" w:rsidRDefault="00D97EF3" w:rsidP="00BE3615">
            <w:pPr>
              <w:spacing w:after="120" w:line="276" w:lineRule="auto"/>
              <w:ind w:firstLine="709"/>
              <w:jc w:val="both"/>
              <w:rPr>
                <w:rFonts w:ascii="Verdana" w:eastAsia="Calibri" w:hAnsi="Verdana" w:cs="Arial"/>
                <w:color w:val="000000" w:themeColor="text1"/>
                <w:lang w:val="es-ES"/>
              </w:rPr>
            </w:pPr>
            <w:r w:rsidRPr="0040386C">
              <w:rPr>
                <w:rFonts w:ascii="Verdana" w:eastAsia="Calibri" w:hAnsi="Verdana" w:cs="Arial"/>
                <w:color w:val="000000" w:themeColor="text1"/>
                <w:lang w:val="es-ES"/>
              </w:rPr>
              <w:t>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deben reflejar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los manuales diseñados por la entidad se deben indicar cuáles son sus procedimientos de selección y una descripción de cada uno de ellos, al igual que las etapas que los componen, los cuales deben estar alineados con la garantía de los principios de la función administrati</w:t>
            </w:r>
            <w:r>
              <w:rPr>
                <w:rFonts w:ascii="Verdana" w:eastAsia="Calibri" w:hAnsi="Verdana" w:cs="Arial"/>
                <w:color w:val="000000" w:themeColor="text1"/>
                <w:lang w:val="es-ES"/>
              </w:rPr>
              <w:t>va</w:t>
            </w:r>
            <w:r w:rsidRPr="0040386C">
              <w:rPr>
                <w:rFonts w:ascii="Verdana" w:eastAsia="Calibri" w:hAnsi="Verdana" w:cs="Arial"/>
                <w:color w:val="000000" w:themeColor="text1"/>
                <w:lang w:val="es-ES"/>
              </w:rPr>
              <w:t xml:space="preserve">. </w:t>
            </w:r>
          </w:p>
          <w:p w14:paraId="5750815B" w14:textId="77777777" w:rsidR="00D97EF3" w:rsidRPr="00817382" w:rsidRDefault="00D97EF3" w:rsidP="00BE3615">
            <w:pPr>
              <w:spacing w:after="120" w:line="276" w:lineRule="auto"/>
              <w:ind w:firstLine="709"/>
              <w:jc w:val="both"/>
              <w:rPr>
                <w:rFonts w:ascii="Verdana" w:eastAsia="Calibri" w:hAnsi="Verdana" w:cs="Arial"/>
                <w:color w:val="000000" w:themeColor="text1"/>
                <w:lang w:val="es-ES_tradnl"/>
              </w:rPr>
            </w:pPr>
            <w:r w:rsidRPr="0040386C">
              <w:rPr>
                <w:rFonts w:ascii="Verdana" w:eastAsia="Calibri" w:hAnsi="Verdana" w:cs="Arial"/>
                <w:color w:val="000000" w:themeColor="text1"/>
              </w:rPr>
              <w:t xml:space="preserve">En este sentido, </w:t>
            </w:r>
            <w:r w:rsidRPr="0040386C">
              <w:rPr>
                <w:rFonts w:ascii="Verdana" w:eastAsia="Calibri" w:hAnsi="Verdana" w:cs="Arial"/>
                <w:color w:val="000000" w:themeColor="text1"/>
                <w:lang w:val="es-ES"/>
              </w:rPr>
              <w:t>frente a</w:t>
            </w:r>
            <w:r>
              <w:rPr>
                <w:rFonts w:ascii="Verdana" w:eastAsia="Calibri" w:hAnsi="Verdana" w:cs="Arial"/>
                <w:color w:val="000000" w:themeColor="text1"/>
                <w:lang w:val="es-ES"/>
              </w:rPr>
              <w:t xml:space="preserve"> las consultas planteadas</w:t>
            </w:r>
            <w:r w:rsidRPr="0040386C">
              <w:rPr>
                <w:rFonts w:ascii="Verdana" w:eastAsia="Calibri" w:hAnsi="Verdana" w:cs="Arial"/>
                <w:color w:val="000000" w:themeColor="text1"/>
                <w:lang w:val="es-ES"/>
              </w:rPr>
              <w:t xml:space="preserve">, se precisa </w:t>
            </w:r>
            <w:proofErr w:type="gramStart"/>
            <w:r w:rsidRPr="0040386C">
              <w:rPr>
                <w:rFonts w:ascii="Verdana" w:eastAsia="Calibri" w:hAnsi="Verdana" w:cs="Arial"/>
                <w:color w:val="000000" w:themeColor="text1"/>
                <w:lang w:val="es-ES"/>
              </w:rPr>
              <w:t>que</w:t>
            </w:r>
            <w:proofErr w:type="gramEnd"/>
            <w:r w:rsidRPr="0040386C">
              <w:rPr>
                <w:rFonts w:ascii="Verdana" w:eastAsia="Calibri" w:hAnsi="Verdana" w:cs="Arial"/>
                <w:color w:val="000000" w:themeColor="text1"/>
                <w:lang w:val="es-ES"/>
              </w:rPr>
              <w:t xml:space="preserve"> </w:t>
            </w:r>
            <w:r w:rsidRPr="0040386C">
              <w:rPr>
                <w:rFonts w:ascii="Verdana" w:eastAsia="Calibri" w:hAnsi="Verdana" w:cs="Arial"/>
                <w:color w:val="000000" w:themeColor="text1"/>
              </w:rPr>
              <w:t>en el marco de la autonomía reconocida a las entidades con régimen especial, estas cuentan con la facultad de definir los</w:t>
            </w:r>
            <w:r>
              <w:rPr>
                <w:rFonts w:ascii="Verdana" w:eastAsia="Calibri" w:hAnsi="Verdana" w:cs="Arial"/>
                <w:color w:val="000000" w:themeColor="text1"/>
              </w:rPr>
              <w:t xml:space="preserve"> requisitos que se solicitaran a los proponentes en el marco de un proceso de contratación</w:t>
            </w:r>
            <w:r w:rsidRPr="0040386C">
              <w:rPr>
                <w:rFonts w:ascii="Verdana" w:eastAsia="Calibri" w:hAnsi="Verdana" w:cs="Arial"/>
                <w:color w:val="000000" w:themeColor="text1"/>
              </w:rPr>
              <w:t>. Dicha autonomía les permite, entre otras cosas,</w:t>
            </w:r>
            <w:r>
              <w:rPr>
                <w:rFonts w:ascii="Verdana" w:eastAsia="Calibri" w:hAnsi="Verdana" w:cs="Arial"/>
                <w:color w:val="000000" w:themeColor="text1"/>
              </w:rPr>
              <w:t xml:space="preserve"> establecer los requisitos que otorgarán puntaje dentro de sus procesos de contratación siempre que estos cumplan con el principio de selección objetiva. Además, podrán </w:t>
            </w:r>
            <w:r w:rsidRPr="00D6740F">
              <w:rPr>
                <w:rFonts w:ascii="Verdana" w:eastAsia="Calibri" w:hAnsi="Verdana" w:cs="Arial"/>
                <w:color w:val="000000" w:themeColor="text1"/>
                <w:lang w:val="es-ES_tradnl"/>
              </w:rPr>
              <w:t>exigir marcas</w:t>
            </w:r>
            <w:r>
              <w:rPr>
                <w:rFonts w:ascii="Verdana" w:eastAsia="Calibri" w:hAnsi="Verdana" w:cs="Arial"/>
                <w:color w:val="000000" w:themeColor="text1"/>
                <w:lang w:val="es-ES_tradnl"/>
              </w:rPr>
              <w:t xml:space="preserve"> dentro de las especificaciones técnicas</w:t>
            </w:r>
            <w:r w:rsidRPr="00D6740F">
              <w:rPr>
                <w:rFonts w:ascii="Verdana" w:eastAsia="Calibri" w:hAnsi="Verdana" w:cs="Arial"/>
                <w:color w:val="000000" w:themeColor="text1"/>
                <w:lang w:val="es-ES_tradnl"/>
              </w:rPr>
              <w:t xml:space="preserve"> si</w:t>
            </w:r>
            <w:r>
              <w:rPr>
                <w:rFonts w:ascii="Verdana" w:eastAsia="Calibri" w:hAnsi="Verdana" w:cs="Arial"/>
                <w:color w:val="000000" w:themeColor="text1"/>
                <w:lang w:val="es-ES_tradnl"/>
              </w:rPr>
              <w:t xml:space="preserve">empre que </w:t>
            </w:r>
            <w:r w:rsidRPr="00D6740F">
              <w:rPr>
                <w:rFonts w:ascii="Verdana" w:eastAsia="Calibri" w:hAnsi="Verdana" w:cs="Arial"/>
                <w:color w:val="000000" w:themeColor="text1"/>
                <w:lang w:val="es-ES_tradnl"/>
              </w:rPr>
              <w:t>no est</w:t>
            </w:r>
            <w:r>
              <w:rPr>
                <w:rFonts w:ascii="Verdana" w:eastAsia="Calibri" w:hAnsi="Verdana" w:cs="Arial"/>
                <w:color w:val="000000" w:themeColor="text1"/>
                <w:lang w:val="es-ES_tradnl"/>
              </w:rPr>
              <w:t>é</w:t>
            </w:r>
            <w:r w:rsidRPr="00D6740F">
              <w:rPr>
                <w:rFonts w:ascii="Verdana" w:eastAsia="Calibri" w:hAnsi="Verdana" w:cs="Arial"/>
                <w:color w:val="000000" w:themeColor="text1"/>
                <w:lang w:val="es-ES_tradnl"/>
              </w:rPr>
              <w:t xml:space="preserve">n prohibidas en acuerdos y tratados comerciales en las que sean destinatarios, pero garantizando el </w:t>
            </w:r>
            <w:r w:rsidRPr="00D6740F">
              <w:rPr>
                <w:rFonts w:ascii="Verdana" w:eastAsia="Calibri" w:hAnsi="Verdana" w:cs="Arial"/>
                <w:color w:val="000000" w:themeColor="text1"/>
                <w:lang w:val="es-ES_tradnl"/>
              </w:rPr>
              <w:lastRenderedPageBreak/>
              <w:t xml:space="preserve">principio de proporcionalidad, que exige que dichos requisitos o condiciones sean razonables, es decir, que guarden congruencia con el objeto, necesidad de la contratación, alcance, valor, plazo del contrato, entre otros aspectos, que sean necesarios y no restrinjan injustificadamente la libre concurrencia y pluralidad de oferentes. </w:t>
            </w:r>
          </w:p>
        </w:tc>
      </w:tr>
    </w:tbl>
    <w:p w14:paraId="224BF454" w14:textId="77777777" w:rsidR="00D97EF3" w:rsidRPr="00817382" w:rsidRDefault="00D97EF3" w:rsidP="00D97EF3">
      <w:pPr>
        <w:tabs>
          <w:tab w:val="left" w:pos="142"/>
          <w:tab w:val="left" w:pos="284"/>
        </w:tabs>
        <w:spacing w:after="0" w:line="276" w:lineRule="auto"/>
        <w:jc w:val="both"/>
        <w:rPr>
          <w:rFonts w:ascii="Verdana" w:eastAsia="Century Gothic" w:hAnsi="Verdana" w:cs="Century Gothic"/>
          <w:b/>
          <w:bCs/>
          <w:lang w:val="es-ES_tradnl"/>
        </w:rPr>
      </w:pPr>
    </w:p>
    <w:bookmarkEnd w:id="2"/>
    <w:p w14:paraId="56E8F509" w14:textId="77777777" w:rsidR="00D97EF3" w:rsidRPr="00817382" w:rsidRDefault="00D97EF3" w:rsidP="00D97E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ES_tradnl"/>
        </w:rPr>
      </w:pPr>
      <w:r w:rsidRPr="00817382">
        <w:rPr>
          <w:rFonts w:ascii="Verdana" w:eastAsia="Century Gothic" w:hAnsi="Verdana" w:cs="Century Gothic"/>
          <w:b/>
          <w:bCs/>
          <w:lang w:val="es-ES_tradnl"/>
        </w:rPr>
        <w:t>Razones de la respuesta:</w:t>
      </w:r>
    </w:p>
    <w:p w14:paraId="420D2ECA" w14:textId="77777777" w:rsidR="00D97EF3" w:rsidRPr="00817382" w:rsidRDefault="00D97EF3" w:rsidP="00D97EF3">
      <w:pPr>
        <w:spacing w:after="0" w:line="276" w:lineRule="auto"/>
        <w:jc w:val="both"/>
        <w:rPr>
          <w:rFonts w:ascii="Verdana" w:eastAsia="Calibri" w:hAnsi="Verdana" w:cs="Arial"/>
          <w:color w:val="7030A0"/>
          <w:lang w:val="es-ES_tradnl"/>
        </w:rPr>
      </w:pPr>
    </w:p>
    <w:p w14:paraId="0EC8D107" w14:textId="77777777" w:rsidR="00D97EF3" w:rsidRPr="00817382" w:rsidRDefault="00D97EF3" w:rsidP="00D97EF3">
      <w:pPr>
        <w:spacing w:after="0" w:line="276" w:lineRule="auto"/>
        <w:jc w:val="both"/>
        <w:rPr>
          <w:rFonts w:ascii="Verdana" w:eastAsia="Calibri" w:hAnsi="Verdana" w:cs="Arial"/>
          <w:lang w:val="es-ES_tradnl"/>
        </w:rPr>
      </w:pPr>
      <w:r w:rsidRPr="00817382">
        <w:rPr>
          <w:rFonts w:ascii="Verdana" w:eastAsia="Calibri" w:hAnsi="Verdana" w:cs="Arial"/>
          <w:lang w:val="es-ES_tradnl"/>
        </w:rPr>
        <w:t>Lo anterior se sustenta en las siguientes consideraciones:</w:t>
      </w:r>
    </w:p>
    <w:p w14:paraId="4907C49F" w14:textId="77777777" w:rsidR="00D97EF3" w:rsidRPr="00817382" w:rsidRDefault="00D97EF3" w:rsidP="00D97EF3">
      <w:pPr>
        <w:spacing w:after="0" w:line="276" w:lineRule="auto"/>
        <w:jc w:val="both"/>
        <w:rPr>
          <w:rFonts w:ascii="Verdana" w:eastAsia="Calibri" w:hAnsi="Verdana" w:cs="Arial"/>
          <w:lang w:val="es-ES_tradnl"/>
        </w:rPr>
      </w:pPr>
    </w:p>
    <w:p w14:paraId="4A0EE1C0" w14:textId="77777777" w:rsidR="00D97EF3" w:rsidRPr="0040386C" w:rsidRDefault="00D97EF3" w:rsidP="00D97EF3">
      <w:pPr>
        <w:spacing w:after="120" w:line="276" w:lineRule="auto"/>
        <w:jc w:val="both"/>
        <w:rPr>
          <w:rFonts w:ascii="Verdana" w:eastAsia="Calibri" w:hAnsi="Verdana" w:cs="Arial"/>
          <w:color w:val="000000" w:themeColor="text1"/>
        </w:rPr>
      </w:pPr>
      <w:r w:rsidRPr="0040386C">
        <w:rPr>
          <w:rFonts w:ascii="Verdana" w:eastAsia="Calibri" w:hAnsi="Verdana" w:cs="Arial"/>
          <w:color w:val="000000" w:themeColor="text1"/>
        </w:rPr>
        <w:t>El ordenamiento jurídico colombiano contempla como categoría única la noción de “contratos estatales”, pero acepta la posibilidad de que dichos contratos tengan regímenes jurídicos diferenciados. En virtud de ello se afirma que hay contratos estatales sometidos al EGCAP (Leyes 80 de 1993, 1150 de 2007 y disposiciones complementarias) y contratos estatales sometidos a reglas especiales, usualmente al derecho privado.</w:t>
      </w:r>
    </w:p>
    <w:p w14:paraId="37F7625C" w14:textId="77777777" w:rsidR="00D97EF3" w:rsidRPr="0040386C" w:rsidRDefault="00D97EF3" w:rsidP="00D97EF3">
      <w:pPr>
        <w:spacing w:after="0" w:line="276" w:lineRule="auto"/>
        <w:jc w:val="both"/>
        <w:rPr>
          <w:rFonts w:ascii="Verdana" w:hAnsi="Verdana" w:cs="Arial"/>
          <w:bCs/>
          <w:lang w:val="es-ES"/>
        </w:rPr>
      </w:pPr>
      <w:r w:rsidRPr="0040386C">
        <w:rPr>
          <w:rFonts w:ascii="Verdana" w:eastAsia="Calibri" w:hAnsi="Verdana" w:cs="Arial"/>
          <w:color w:val="000000" w:themeColor="text1"/>
        </w:rPr>
        <w:tab/>
      </w:r>
      <w:r w:rsidRPr="0040386C">
        <w:rPr>
          <w:rFonts w:ascii="Verdana" w:hAnsi="Verdana" w:cs="Arial"/>
          <w:bCs/>
          <w:lang w:val="es-ES"/>
        </w:rPr>
        <w:t>La decisión hito-fundadora</w:t>
      </w:r>
      <w:r w:rsidRPr="0040386C">
        <w:rPr>
          <w:rFonts w:ascii="Verdana" w:hAnsi="Verdana" w:cs="Arial"/>
          <w:bCs/>
          <w:vertAlign w:val="superscript"/>
          <w:lang w:val="es-ES"/>
        </w:rPr>
        <w:footnoteReference w:id="2"/>
      </w:r>
      <w:r w:rsidRPr="0040386C">
        <w:rPr>
          <w:rFonts w:ascii="Verdana" w:hAnsi="Verdana" w:cs="Arial"/>
          <w:bCs/>
          <w:lang w:val="es-ES"/>
        </w:rPr>
        <w:t xml:space="preserve"> en este sentido, de acuerdo con lo señalado por la doctrina</w:t>
      </w:r>
      <w:r w:rsidRPr="0040386C">
        <w:rPr>
          <w:rFonts w:ascii="Verdana" w:hAnsi="Verdana" w:cs="Arial"/>
          <w:bCs/>
          <w:vertAlign w:val="superscript"/>
          <w:lang w:val="es-ES"/>
        </w:rPr>
        <w:footnoteReference w:id="3"/>
      </w:r>
      <w:r w:rsidRPr="0040386C">
        <w:rPr>
          <w:rFonts w:ascii="Verdana" w:hAnsi="Verdana" w:cs="Arial"/>
          <w:bCs/>
          <w:lang w:val="es-ES"/>
        </w:rPr>
        <w:t>, es un auto del 20 de agosto de 1998 del Consejo de Estado, donde se señaló</w:t>
      </w:r>
      <w:r w:rsidRPr="0040386C">
        <w:rPr>
          <w:rFonts w:ascii="Verdana" w:hAnsi="Verdana" w:cs="Arial"/>
          <w:bCs/>
          <w:vertAlign w:val="superscript"/>
          <w:lang w:val="es-ES"/>
        </w:rPr>
        <w:footnoteReference w:id="4"/>
      </w:r>
      <w:r w:rsidRPr="0040386C">
        <w:rPr>
          <w:rFonts w:ascii="Verdana" w:hAnsi="Verdana" w:cs="Arial"/>
          <w:bCs/>
          <w:lang w:val="es-ES"/>
        </w:rPr>
        <w:t>:</w:t>
      </w:r>
    </w:p>
    <w:p w14:paraId="28853492" w14:textId="77777777" w:rsidR="00D97EF3" w:rsidRPr="0040386C" w:rsidRDefault="00D97EF3" w:rsidP="00D97EF3">
      <w:pPr>
        <w:spacing w:after="0" w:line="276" w:lineRule="auto"/>
        <w:jc w:val="both"/>
        <w:rPr>
          <w:rFonts w:ascii="Verdana" w:hAnsi="Verdana" w:cs="Arial"/>
          <w:bCs/>
          <w:lang w:val="es-ES"/>
        </w:rPr>
      </w:pPr>
    </w:p>
    <w:p w14:paraId="193E9404" w14:textId="77777777" w:rsidR="00D97EF3" w:rsidRPr="0040386C" w:rsidRDefault="00D97EF3" w:rsidP="00D97EF3">
      <w:pPr>
        <w:spacing w:after="0"/>
        <w:ind w:left="709" w:right="709"/>
        <w:jc w:val="both"/>
        <w:rPr>
          <w:rFonts w:ascii="Verdana" w:hAnsi="Verdana" w:cs="Arial"/>
          <w:sz w:val="20"/>
          <w:szCs w:val="20"/>
          <w:lang w:val="es-ES"/>
        </w:rPr>
      </w:pPr>
      <w:r w:rsidRPr="0040386C">
        <w:rPr>
          <w:rFonts w:ascii="Verdana" w:hAnsi="Verdana" w:cs="Arial"/>
          <w:sz w:val="20"/>
          <w:szCs w:val="20"/>
          <w:lang w:val="es-ES"/>
        </w:rPr>
        <w:t>“A juicio de la Sala es preciso reconocer que, en las diversas regulaciones normativas sobre contratación de la administración pública, es posible identificar dos grandes categorías de actos contractuales:</w:t>
      </w:r>
    </w:p>
    <w:p w14:paraId="10C1222A" w14:textId="77777777" w:rsidR="00D97EF3" w:rsidRPr="0040386C" w:rsidRDefault="00D97EF3" w:rsidP="00D97EF3">
      <w:pPr>
        <w:spacing w:after="0"/>
        <w:ind w:left="709" w:right="709"/>
        <w:jc w:val="both"/>
        <w:rPr>
          <w:rFonts w:ascii="Verdana" w:hAnsi="Verdana" w:cs="Arial"/>
          <w:bCs/>
          <w:sz w:val="20"/>
          <w:szCs w:val="20"/>
          <w:lang w:val="es-ES_tradnl"/>
        </w:rPr>
      </w:pPr>
    </w:p>
    <w:p w14:paraId="5C486E63" w14:textId="77777777" w:rsidR="00D97EF3" w:rsidRPr="0040386C" w:rsidRDefault="00D97EF3" w:rsidP="00D97EF3">
      <w:pPr>
        <w:spacing w:after="0"/>
        <w:ind w:left="709" w:right="709"/>
        <w:jc w:val="both"/>
        <w:rPr>
          <w:rFonts w:ascii="Verdana" w:hAnsi="Verdana" w:cs="Arial"/>
          <w:sz w:val="20"/>
          <w:szCs w:val="20"/>
          <w:lang w:val="es-ES"/>
        </w:rPr>
      </w:pPr>
      <w:r w:rsidRPr="0040386C">
        <w:rPr>
          <w:rFonts w:ascii="Verdana" w:hAnsi="Verdana" w:cs="Arial"/>
          <w:sz w:val="20"/>
          <w:szCs w:val="20"/>
          <w:lang w:val="es-ES"/>
        </w:rPr>
        <w:t xml:space="preserve">1ª Contratos estatales, propiamente dichos, que son aquellos que celebran las entidades públicas a que se refiere la ley 80 de 1993, y que por ende se regulan íntegramente por el régimen establecido en esta ley.  Por regla general, adquieren este carácter </w:t>
      </w:r>
      <w:proofErr w:type="gramStart"/>
      <w:r w:rsidRPr="0040386C">
        <w:rPr>
          <w:rFonts w:ascii="Verdana" w:hAnsi="Verdana" w:cs="Arial"/>
          <w:sz w:val="20"/>
          <w:szCs w:val="20"/>
          <w:lang w:val="es-ES"/>
        </w:rPr>
        <w:t>en razón del</w:t>
      </w:r>
      <w:proofErr w:type="gramEnd"/>
      <w:r w:rsidRPr="0040386C">
        <w:rPr>
          <w:rFonts w:ascii="Verdana" w:hAnsi="Verdana" w:cs="Arial"/>
          <w:sz w:val="20"/>
          <w:szCs w:val="20"/>
          <w:lang w:val="es-ES"/>
        </w:rPr>
        <w:t xml:space="preserve"> ente público contratante, es decir, se definen desde el punto de vista orgánico. Las controversias que se deriven de este tipo de contratos y de los procesos de ejecución o </w:t>
      </w:r>
      <w:r w:rsidRPr="0040386C">
        <w:rPr>
          <w:rFonts w:ascii="Verdana" w:hAnsi="Verdana" w:cs="Arial"/>
          <w:sz w:val="20"/>
          <w:szCs w:val="20"/>
          <w:lang w:val="es-ES"/>
        </w:rPr>
        <w:lastRenderedPageBreak/>
        <w:t>cumplimiento serán de conocimiento de la jurisdicción contenciosa administrativa.</w:t>
      </w:r>
    </w:p>
    <w:p w14:paraId="61BFB098" w14:textId="77777777" w:rsidR="00D97EF3" w:rsidRPr="0040386C" w:rsidRDefault="00D97EF3" w:rsidP="00D97EF3">
      <w:pPr>
        <w:spacing w:after="0"/>
        <w:ind w:left="709" w:right="709"/>
        <w:jc w:val="both"/>
        <w:rPr>
          <w:rFonts w:ascii="Verdana" w:hAnsi="Verdana" w:cs="Arial"/>
          <w:bCs/>
          <w:sz w:val="20"/>
          <w:szCs w:val="20"/>
          <w:lang w:val="es-ES_tradnl"/>
        </w:rPr>
      </w:pPr>
    </w:p>
    <w:p w14:paraId="11E68EE3" w14:textId="77777777" w:rsidR="00D97EF3" w:rsidRPr="0040386C" w:rsidRDefault="00D97EF3" w:rsidP="00D97EF3">
      <w:pPr>
        <w:spacing w:after="0"/>
        <w:ind w:left="709" w:right="709"/>
        <w:jc w:val="both"/>
        <w:rPr>
          <w:rFonts w:ascii="Verdana" w:hAnsi="Verdana" w:cs="Arial"/>
          <w:sz w:val="20"/>
          <w:szCs w:val="20"/>
          <w:lang w:val="es-ES"/>
        </w:rPr>
      </w:pPr>
      <w:r w:rsidRPr="0040386C">
        <w:rPr>
          <w:rFonts w:ascii="Verdana" w:hAnsi="Verdana" w:cs="Arial"/>
          <w:sz w:val="20"/>
          <w:szCs w:val="20"/>
          <w:lang w:val="es-ES"/>
        </w:rPr>
        <w:t xml:space="preserve">2ª Contratos especiales sujetos a un régimen legal propio. Por regla general, el juez a quien compete conocer de sus controversias es el juez administrativo, </w:t>
      </w:r>
      <w:proofErr w:type="gramStart"/>
      <w:r w:rsidRPr="0040386C">
        <w:rPr>
          <w:rFonts w:ascii="Verdana" w:hAnsi="Verdana" w:cs="Arial"/>
          <w:sz w:val="20"/>
          <w:szCs w:val="20"/>
          <w:lang w:val="es-ES"/>
        </w:rPr>
        <w:t>en razón de</w:t>
      </w:r>
      <w:proofErr w:type="gramEnd"/>
      <w:r w:rsidRPr="0040386C">
        <w:rPr>
          <w:rFonts w:ascii="Verdana" w:hAnsi="Verdana" w:cs="Arial"/>
          <w:sz w:val="20"/>
          <w:szCs w:val="20"/>
          <w:lang w:val="es-ES"/>
        </w:rPr>
        <w:t xml:space="preserve"> que su celebración y ejecución constituye una actividad reglada, es decir, es el ejercicio pleno de una función administrativa, de conformidad con el art. 82 del C.C.A. antes referido”.</w:t>
      </w:r>
    </w:p>
    <w:p w14:paraId="550461DF" w14:textId="77777777" w:rsidR="00D97EF3" w:rsidRPr="0040386C" w:rsidRDefault="00D97EF3" w:rsidP="00D97EF3">
      <w:pPr>
        <w:spacing w:after="0"/>
        <w:ind w:left="709" w:right="709"/>
        <w:jc w:val="both"/>
        <w:rPr>
          <w:rFonts w:ascii="Verdana" w:hAnsi="Verdana" w:cs="Arial"/>
          <w:sz w:val="21"/>
          <w:szCs w:val="21"/>
          <w:lang w:val="es-ES"/>
        </w:rPr>
      </w:pPr>
    </w:p>
    <w:p w14:paraId="242B85D3" w14:textId="77777777" w:rsidR="00D97EF3" w:rsidRPr="0040386C" w:rsidRDefault="00D97EF3" w:rsidP="00D97EF3">
      <w:pPr>
        <w:spacing w:after="120" w:line="276" w:lineRule="auto"/>
        <w:ind w:firstLine="709"/>
        <w:jc w:val="both"/>
        <w:rPr>
          <w:rFonts w:ascii="Verdana" w:hAnsi="Verdana" w:cs="Arial"/>
          <w:bCs/>
          <w:lang w:val="es-ES"/>
        </w:rPr>
      </w:pPr>
      <w:r w:rsidRPr="0040386C">
        <w:rPr>
          <w:rFonts w:ascii="Verdana" w:hAnsi="Verdana" w:cs="Arial"/>
          <w:bCs/>
          <w:lang w:val="es-ES"/>
        </w:rPr>
        <w:t>El Consejo de Estado identificó la existencia de un único tipo de contrato: el contrato estatal; pero dos grandes categorías que responden a su régimen jurídico: contrato estatal con un régimen jurídico de derecho público-administrativo y contrato estatal con un régimen jurídico especial, por regla general de derecho privado.</w:t>
      </w:r>
    </w:p>
    <w:p w14:paraId="34B9B304" w14:textId="77777777" w:rsidR="00D97EF3" w:rsidRPr="0040386C" w:rsidRDefault="00D97EF3" w:rsidP="00D97EF3">
      <w:pPr>
        <w:spacing w:after="120" w:line="276" w:lineRule="auto"/>
        <w:ind w:firstLine="709"/>
        <w:jc w:val="both"/>
        <w:rPr>
          <w:rFonts w:ascii="Verdana" w:hAnsi="Verdana" w:cs="Arial"/>
          <w:bCs/>
          <w:lang w:val="es-ES"/>
        </w:rPr>
      </w:pPr>
      <w:r w:rsidRPr="0040386C">
        <w:rPr>
          <w:rFonts w:ascii="Verdana" w:hAnsi="Verdana" w:cs="Arial"/>
          <w:bCs/>
          <w:lang w:val="es-ES"/>
        </w:rPr>
        <w:t xml:space="preserve">En este punto vale la pena resaltar que, en el ordenamiento jurídico colombiano, cuando se piensa en los regímenes especiales de contratación, se suele hacer referencia al régimen de determinadas entidades estatales. Tal sería el caso de las empresas de servicios públicos domiciliarios, de conformidad con el artículo 31 de la Ley 142 de 1994, de las entidades indicadas en el artículo 14 de la Ley 1150 de 2007, de las universidades estatales u oficiales, según el artículo 93 de la Ley 30 de 1993, etc. Esta afirmación, sin embargo, no pretende desconocer que dicho régimen especial se otorga justamente en consideración al especial tipo de actividades desplegadas por estas entidades. </w:t>
      </w:r>
    </w:p>
    <w:p w14:paraId="53155F3E" w14:textId="77777777" w:rsidR="00D97EF3" w:rsidRPr="0040386C" w:rsidRDefault="00D97EF3" w:rsidP="00D97EF3">
      <w:pPr>
        <w:spacing w:after="120" w:line="276" w:lineRule="auto"/>
        <w:ind w:firstLine="709"/>
        <w:jc w:val="both"/>
        <w:rPr>
          <w:rFonts w:ascii="Verdana" w:hAnsi="Verdana" w:cs="Arial"/>
          <w:bCs/>
          <w:lang w:val="es-ES"/>
        </w:rPr>
      </w:pPr>
      <w:r w:rsidRPr="0040386C">
        <w:rPr>
          <w:rFonts w:ascii="Verdana" w:hAnsi="Verdana" w:cs="Arial"/>
          <w:bCs/>
          <w:lang w:val="es-ES"/>
        </w:rPr>
        <w:t>Ahora bien, los regímenes especiales de contratación en el ordenamiento colombiano no se dan exclusivamente en atención a cierto tipo de sujetos –empresas industriales y comerciales del Estado (EICE), sociedades de economía mixta (SEM), empresas de servicios públicos domiciliarios (ESP), empresas sociales del estado (ESE), etc.–, sino también para cierto tipo de objetos contractuales. Este es el caso del régimen jurídico establecido en el artículo 66 de la Ley 1523 de 2012</w:t>
      </w:r>
      <w:r w:rsidRPr="0040386C">
        <w:rPr>
          <w:rFonts w:ascii="Verdana" w:hAnsi="Verdana" w:cs="Arial"/>
          <w:bCs/>
          <w:vertAlign w:val="superscript"/>
          <w:lang w:val="es-ES"/>
        </w:rPr>
        <w:footnoteReference w:id="5"/>
      </w:r>
      <w:r w:rsidRPr="0040386C">
        <w:rPr>
          <w:rFonts w:ascii="Verdana" w:hAnsi="Verdana" w:cs="Arial"/>
          <w:bCs/>
          <w:lang w:val="es-ES"/>
        </w:rPr>
        <w:t xml:space="preserve">, que establece un régimen especial de derecho privado debido a la consideración que merece el objeto a contratar. </w:t>
      </w:r>
    </w:p>
    <w:p w14:paraId="75F3AF9A" w14:textId="77777777" w:rsidR="00D97EF3" w:rsidRPr="0040386C" w:rsidRDefault="00D97EF3" w:rsidP="00D97EF3">
      <w:pPr>
        <w:spacing w:after="120" w:line="276" w:lineRule="auto"/>
        <w:ind w:firstLine="709"/>
        <w:jc w:val="both"/>
        <w:rPr>
          <w:rFonts w:ascii="Verdana" w:hAnsi="Verdana" w:cs="Arial"/>
          <w:bCs/>
          <w:lang w:val="es-ES"/>
        </w:rPr>
      </w:pPr>
      <w:r w:rsidRPr="0040386C">
        <w:rPr>
          <w:rFonts w:ascii="Verdana" w:hAnsi="Verdana" w:cs="Arial"/>
          <w:bCs/>
          <w:lang w:val="es-ES"/>
        </w:rPr>
        <w:lastRenderedPageBreak/>
        <w:t xml:space="preserve">Con base en lo indicado, se podría hacer una clasificación general entre regímenes especiales que atienden principalmente al sujeto, y regímenes especiales que atienden principalmente al objeto. Esta clasificación conceptual tiene como efecto práctico resaltar que unos y otros son regímenes especiales. Así, por ejemplo, tanto el régimen jurídico de las empresas industriales y comerciales del Estado en competencia o mercados regulados, como el régimen del artículo 66 de la Ley 1523 de 2012, son regímenes especiales a la luz del derecho de la contratación estatal. Por lo mismo, tanto uno como otro régimen están sometidos, en principio, al derecho privado, pero con algunas particularidades propias del derecho público. </w:t>
      </w:r>
    </w:p>
    <w:p w14:paraId="20A49E3C" w14:textId="77777777" w:rsidR="00D97EF3" w:rsidRPr="0040386C" w:rsidRDefault="00D97EF3" w:rsidP="00D97EF3">
      <w:pPr>
        <w:spacing w:after="0" w:line="276" w:lineRule="auto"/>
        <w:ind w:firstLine="709"/>
        <w:jc w:val="both"/>
        <w:rPr>
          <w:rFonts w:ascii="Verdana" w:hAnsi="Verdana" w:cs="Arial"/>
          <w:bCs/>
          <w:lang w:val="es-ES"/>
        </w:rPr>
      </w:pPr>
      <w:r w:rsidRPr="0040386C">
        <w:rPr>
          <w:rFonts w:ascii="Verdana" w:hAnsi="Verdana" w:cs="Arial"/>
          <w:bCs/>
          <w:lang w:val="es-ES"/>
        </w:rPr>
        <w:t>El régimen de derecho privado que, por regla general, caracteriza a los regímenes especiales no significa que no existan “dosis” de derecho público administrativo que tienen como fin último garantizar que los regímenes especiales de contratación también se ordenen hacia la consecución de los fines del Estado. Estas “dosis” de derecho administrativo encuentran su manifestación tanto en forma de reglas como de principios. En relación con este segundo tipo, esto es, principios de derecho público aplicables a regímenes especiales de contratación, la norma por antonomasia es el artículo 13 de la Ley 1150 de 2007, que preceptúa lo siguiente:</w:t>
      </w:r>
    </w:p>
    <w:p w14:paraId="66571DDD" w14:textId="77777777" w:rsidR="00D97EF3" w:rsidRPr="0040386C" w:rsidRDefault="00D97EF3" w:rsidP="00D97EF3">
      <w:pPr>
        <w:spacing w:after="0" w:line="276" w:lineRule="auto"/>
        <w:ind w:firstLine="709"/>
        <w:jc w:val="both"/>
        <w:rPr>
          <w:rFonts w:ascii="Verdana" w:hAnsi="Verdana" w:cs="Arial"/>
          <w:bCs/>
          <w:lang w:val="es-ES"/>
        </w:rPr>
      </w:pPr>
      <w:r w:rsidRPr="0040386C">
        <w:rPr>
          <w:rFonts w:ascii="Verdana" w:hAnsi="Verdana" w:cs="Arial"/>
          <w:bCs/>
          <w:lang w:val="es-ES"/>
        </w:rPr>
        <w:t xml:space="preserve"> </w:t>
      </w:r>
    </w:p>
    <w:p w14:paraId="37219EB9" w14:textId="77777777" w:rsidR="00D97EF3" w:rsidRPr="0040386C" w:rsidRDefault="00D97EF3" w:rsidP="00D97EF3">
      <w:pPr>
        <w:spacing w:after="0" w:line="240" w:lineRule="auto"/>
        <w:ind w:left="709" w:right="709"/>
        <w:jc w:val="both"/>
        <w:rPr>
          <w:rFonts w:ascii="Verdana" w:hAnsi="Verdana" w:cs="Arial"/>
          <w:bCs/>
          <w:sz w:val="20"/>
          <w:szCs w:val="20"/>
          <w:lang w:val="es-ES"/>
        </w:rPr>
      </w:pPr>
      <w:r w:rsidRPr="0040386C">
        <w:rPr>
          <w:rFonts w:ascii="Verdana" w:hAnsi="Verdana" w:cs="Arial"/>
          <w:bCs/>
          <w:sz w:val="20"/>
          <w:szCs w:val="20"/>
          <w:lang w:val="es-ES"/>
        </w:rPr>
        <w:t>“Artículo 13. Principios generales de la actividad contractual para entidades no sometidas al estatuto general de contratación de la administración pública.</w:t>
      </w:r>
      <w:r w:rsidRPr="0040386C">
        <w:rPr>
          <w:rFonts w:ascii="Verdana" w:hAnsi="Verdana" w:cs="Arial"/>
          <w:b/>
          <w:sz w:val="20"/>
          <w:szCs w:val="20"/>
          <w:lang w:val="es-ES"/>
        </w:rPr>
        <w:t xml:space="preserve"> </w:t>
      </w:r>
      <w:r w:rsidRPr="0040386C">
        <w:rPr>
          <w:rFonts w:ascii="Verdana" w:hAnsi="Verdana" w:cs="Arial"/>
          <w:bCs/>
          <w:sz w:val="20"/>
          <w:szCs w:val="20"/>
          <w:lang w:val="es-ES"/>
        </w:rPr>
        <w:t xml:space="preserve">Las entidades estatales que por disposición legal cuenten con un régimen contractual excepcional al del Estatuto General de Contratación de la Administración Pública, aplicarán en desarrollo de su actividad contractual, acorde con su régimen legal especial, los </w:t>
      </w:r>
      <w:r w:rsidRPr="0040386C">
        <w:rPr>
          <w:rFonts w:ascii="Verdana" w:hAnsi="Verdana" w:cs="Arial"/>
          <w:bCs/>
          <w:color w:val="000000" w:themeColor="text1"/>
          <w:sz w:val="20"/>
          <w:szCs w:val="20"/>
          <w:lang w:val="es-ES"/>
        </w:rPr>
        <w:t>principios de la función administrativa y de la gestión fiscal de que tratan los artículos </w:t>
      </w:r>
      <w:hyperlink r:id="rId12" w:anchor="209" w:history="1">
        <w:r w:rsidRPr="0040386C">
          <w:rPr>
            <w:rFonts w:ascii="Verdana" w:hAnsi="Verdana" w:cs="Arial"/>
            <w:bCs/>
            <w:color w:val="000000" w:themeColor="text1"/>
            <w:sz w:val="20"/>
            <w:szCs w:val="20"/>
            <w:lang w:val="es-ES"/>
          </w:rPr>
          <w:t>209</w:t>
        </w:r>
      </w:hyperlink>
      <w:r w:rsidRPr="0040386C">
        <w:rPr>
          <w:rFonts w:ascii="Verdana" w:hAnsi="Verdana" w:cs="Arial"/>
          <w:bCs/>
          <w:color w:val="000000" w:themeColor="text1"/>
          <w:sz w:val="20"/>
          <w:szCs w:val="20"/>
          <w:lang w:val="es-ES"/>
        </w:rPr>
        <w:t> y </w:t>
      </w:r>
      <w:hyperlink r:id="rId13" w:anchor="267" w:history="1">
        <w:r w:rsidRPr="0040386C">
          <w:rPr>
            <w:rFonts w:ascii="Verdana" w:hAnsi="Verdana" w:cs="Arial"/>
            <w:bCs/>
            <w:color w:val="000000" w:themeColor="text1"/>
            <w:sz w:val="20"/>
            <w:szCs w:val="20"/>
            <w:lang w:val="es-ES"/>
          </w:rPr>
          <w:t>267</w:t>
        </w:r>
      </w:hyperlink>
      <w:r w:rsidRPr="0040386C">
        <w:rPr>
          <w:rFonts w:ascii="Verdana" w:hAnsi="Verdana" w:cs="Arial"/>
          <w:bCs/>
          <w:color w:val="000000" w:themeColor="text1"/>
          <w:sz w:val="20"/>
          <w:szCs w:val="20"/>
          <w:lang w:val="es-ES"/>
        </w:rPr>
        <w:t xml:space="preserve"> de la Constitución Política, respectivamente según sea el caso y estarán sometidas al régimen de inhabilidades e incompatibilidades previsto legalmente </w:t>
      </w:r>
      <w:r w:rsidRPr="0040386C">
        <w:rPr>
          <w:rFonts w:ascii="Verdana" w:hAnsi="Verdana" w:cs="Arial"/>
          <w:bCs/>
          <w:sz w:val="20"/>
          <w:szCs w:val="20"/>
          <w:lang w:val="es-ES"/>
        </w:rPr>
        <w:t>para la contratación estatal”.</w:t>
      </w:r>
    </w:p>
    <w:p w14:paraId="1FD2E737" w14:textId="77777777" w:rsidR="00D97EF3" w:rsidRPr="0040386C" w:rsidRDefault="00D97EF3" w:rsidP="00D97EF3">
      <w:pPr>
        <w:spacing w:after="0"/>
        <w:ind w:left="708" w:right="758"/>
        <w:jc w:val="both"/>
        <w:rPr>
          <w:rFonts w:ascii="Verdana" w:hAnsi="Verdana" w:cs="Arial"/>
          <w:bCs/>
          <w:lang w:val="es-ES"/>
        </w:rPr>
      </w:pPr>
    </w:p>
    <w:p w14:paraId="78FCF1CF" w14:textId="77777777" w:rsidR="00D97EF3" w:rsidRPr="0040386C" w:rsidRDefault="00D97EF3" w:rsidP="00D97EF3">
      <w:pPr>
        <w:spacing w:after="120" w:line="276" w:lineRule="auto"/>
        <w:jc w:val="both"/>
        <w:rPr>
          <w:rFonts w:ascii="Verdana" w:hAnsi="Verdana" w:cs="Arial"/>
          <w:bCs/>
          <w:lang w:val="es-ES"/>
        </w:rPr>
      </w:pPr>
      <w:r w:rsidRPr="0040386C">
        <w:rPr>
          <w:rFonts w:ascii="Verdana" w:hAnsi="Verdana" w:cs="Arial"/>
          <w:bCs/>
          <w:lang w:val="es-ES"/>
        </w:rPr>
        <w:tab/>
        <w:t xml:space="preserve">De conformidad con lo establecido en este artículo, las entidades estatales que cuenten con un régimen contractual excepcional al del EGCAP, esto es, regímenes especiales, “aplicarán en desarrollo de su actividad contractual […] los principios de la función administrativa y de la gestión fiscal […] y estarán </w:t>
      </w:r>
      <w:r w:rsidRPr="0040386C">
        <w:rPr>
          <w:rFonts w:ascii="Verdana" w:hAnsi="Verdana" w:cs="Arial"/>
          <w:bCs/>
          <w:lang w:val="es-ES"/>
        </w:rPr>
        <w:lastRenderedPageBreak/>
        <w:t>sometidas al régimen de inhabilidades e incompatibilidades previsto legalmente para la contratación estatal”. La interpretación más adecuada de esta disposición implica admitir que su ámbito de aplicación ampara los supuestos de las entidades que tienen, como regla general, un régimen especial de contratación</w:t>
      </w:r>
      <w:r>
        <w:rPr>
          <w:rFonts w:ascii="Verdana" w:hAnsi="Verdana" w:cs="Arial"/>
          <w:bCs/>
          <w:lang w:val="es-ES"/>
        </w:rPr>
        <w:t xml:space="preserve">. </w:t>
      </w:r>
    </w:p>
    <w:p w14:paraId="1AD58152" w14:textId="77777777" w:rsidR="00D97EF3" w:rsidRPr="0040386C" w:rsidRDefault="00D97EF3" w:rsidP="00D97EF3">
      <w:pPr>
        <w:spacing w:after="120" w:line="276" w:lineRule="auto"/>
        <w:ind w:firstLine="709"/>
        <w:jc w:val="both"/>
        <w:rPr>
          <w:rFonts w:ascii="Verdana" w:eastAsia="Calibri" w:hAnsi="Verdana" w:cs="Arial"/>
          <w:color w:val="000000" w:themeColor="text1"/>
        </w:rPr>
      </w:pPr>
      <w:r w:rsidRPr="0040386C">
        <w:rPr>
          <w:rFonts w:ascii="Verdana" w:eastAsia="Calibri" w:hAnsi="Verdana" w:cs="Arial"/>
          <w:color w:val="000000" w:themeColor="text1"/>
        </w:rPr>
        <w:t>Puede decirse que una de las reglas derivada de las normas de derecho público que irradian el régimen jurídico de las entidades exceptuadas del EGCAP,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0BCEE8A8" w14:textId="77777777" w:rsidR="00D97EF3" w:rsidRPr="0040386C" w:rsidRDefault="00D97EF3" w:rsidP="1EEC3F27">
      <w:pPr>
        <w:spacing w:after="120" w:line="276" w:lineRule="auto"/>
        <w:ind w:firstLine="709"/>
        <w:jc w:val="both"/>
        <w:rPr>
          <w:rFonts w:ascii="Verdana" w:eastAsia="Calibri" w:hAnsi="Verdana" w:cs="Arial"/>
          <w:color w:val="000000" w:themeColor="text1"/>
          <w:lang w:val="es-ES"/>
        </w:rPr>
      </w:pPr>
      <w:r w:rsidRPr="1EEC3F27">
        <w:rPr>
          <w:rFonts w:ascii="Verdana" w:eastAsia="Calibri" w:hAnsi="Verdana" w:cs="Arial"/>
          <w:color w:val="000000" w:themeColor="text1"/>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1EEC3F27">
        <w:rPr>
          <w:rFonts w:ascii="Verdana" w:eastAsia="Calibri" w:hAnsi="Verdana" w:cs="Arial"/>
          <w:color w:val="000000" w:themeColor="text1"/>
          <w:vertAlign w:val="superscript"/>
          <w:lang w:val="es-ES"/>
        </w:rPr>
        <w:footnoteReference w:id="6"/>
      </w:r>
      <w:r w:rsidRPr="1EEC3F27">
        <w:rPr>
          <w:rFonts w:ascii="Verdana" w:eastAsia="Calibri" w:hAnsi="Verdana" w:cs="Arial"/>
          <w:color w:val="000000" w:themeColor="text1"/>
          <w:lang w:val="es-ES"/>
        </w:rPr>
        <w:t>. Ahora bien, dicha libertad es similar a la reconocida a los particulares por el derecho privado, pero no es idéntica a aquella, en la medida en que encuentra importantes limitantes.</w:t>
      </w:r>
    </w:p>
    <w:p w14:paraId="1BC01B8C" w14:textId="77777777" w:rsidR="00D97EF3" w:rsidRPr="0040386C" w:rsidRDefault="00D97EF3" w:rsidP="00D97EF3">
      <w:pPr>
        <w:spacing w:after="120" w:line="276" w:lineRule="auto"/>
        <w:ind w:firstLine="709"/>
        <w:jc w:val="both"/>
        <w:rPr>
          <w:rFonts w:ascii="Verdana" w:eastAsia="Calibri" w:hAnsi="Verdana" w:cs="Arial"/>
          <w:color w:val="000000" w:themeColor="text1"/>
          <w:lang w:val="es-ES"/>
        </w:rPr>
      </w:pPr>
      <w:r w:rsidRPr="0040386C">
        <w:rPr>
          <w:rFonts w:ascii="Verdana" w:eastAsia="Calibri" w:hAnsi="Verdana" w:cs="Arial"/>
          <w:color w:val="000000" w:themeColor="text1"/>
          <w:lang w:val="es-ES"/>
        </w:rPr>
        <w:t xml:space="preserve">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deben reflejar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los manuales diseñados por la entidad se deben indicar cuáles son sus procedimientos de selección y una descripción </w:t>
      </w:r>
      <w:r w:rsidRPr="0040386C">
        <w:rPr>
          <w:rFonts w:ascii="Verdana" w:eastAsia="Calibri" w:hAnsi="Verdana" w:cs="Arial"/>
          <w:color w:val="000000" w:themeColor="text1"/>
          <w:lang w:val="es-ES"/>
        </w:rPr>
        <w:lastRenderedPageBreak/>
        <w:t>de cada uno de ellos, al igual que las etapas que los componen, los cuales deben estar alineados con la garantía de los principios de la función administrativa</w:t>
      </w:r>
      <w:r w:rsidRPr="0040386C">
        <w:rPr>
          <w:rFonts w:ascii="Verdana" w:eastAsia="Calibri" w:hAnsi="Verdana" w:cs="Arial"/>
          <w:color w:val="000000" w:themeColor="text1"/>
          <w:vertAlign w:val="superscript"/>
          <w:lang w:val="es-ES"/>
        </w:rPr>
        <w:footnoteReference w:id="7"/>
      </w:r>
      <w:r w:rsidRPr="0040386C">
        <w:rPr>
          <w:rFonts w:ascii="Verdana" w:eastAsia="Calibri" w:hAnsi="Verdana" w:cs="Arial"/>
          <w:color w:val="000000" w:themeColor="text1"/>
          <w:lang w:val="es-ES"/>
        </w:rPr>
        <w:t xml:space="preserve">. </w:t>
      </w:r>
    </w:p>
    <w:p w14:paraId="33ED8B46" w14:textId="77777777" w:rsidR="00D97EF3" w:rsidRPr="0040386C" w:rsidRDefault="00D97EF3" w:rsidP="00D97EF3">
      <w:pPr>
        <w:spacing w:after="120" w:line="276" w:lineRule="auto"/>
        <w:ind w:firstLine="709"/>
        <w:jc w:val="both"/>
        <w:rPr>
          <w:rFonts w:ascii="Verdana" w:eastAsia="Calibri" w:hAnsi="Verdana" w:cs="Arial"/>
          <w:color w:val="000000" w:themeColor="text1"/>
          <w:lang w:val="es-ES"/>
        </w:rPr>
      </w:pPr>
      <w:r w:rsidRPr="0040386C">
        <w:rPr>
          <w:rFonts w:ascii="Verdana" w:eastAsia="Calibri" w:hAnsi="Verdana" w:cs="Arial"/>
          <w:color w:val="000000" w:themeColor="text1"/>
          <w:lang w:val="es-ES"/>
        </w:rPr>
        <w:t xml:space="preserve">De esta forma, las reglas establecidas en los manuales o reglamentos internos de contratación son muy importantes, toda vez que las entidades se obligan a cumplir su contenido. Además, tratándose de un acto administrativo, concretamente de un reglamento, le aplican los atributos propios de estos tipos de actos, entre otras cosas, la presunción de legalidad y la regla de </w:t>
      </w:r>
      <w:r w:rsidRPr="0040386C">
        <w:rPr>
          <w:rFonts w:ascii="Verdana" w:eastAsia="Calibri" w:hAnsi="Verdana" w:cs="Arial"/>
          <w:i/>
          <w:color w:val="000000" w:themeColor="text1"/>
          <w:lang w:val="es-ES"/>
        </w:rPr>
        <w:t>inderogabilidad singular del reglamento</w:t>
      </w:r>
      <w:r w:rsidRPr="0040386C">
        <w:rPr>
          <w:rFonts w:ascii="Verdana" w:eastAsia="Calibri" w:hAnsi="Verdana" w:cs="Arial"/>
          <w:i/>
          <w:color w:val="000000" w:themeColor="text1"/>
          <w:vertAlign w:val="superscript"/>
          <w:lang w:val="es-ES"/>
        </w:rPr>
        <w:footnoteReference w:id="8"/>
      </w:r>
      <w:r w:rsidRPr="0040386C">
        <w:rPr>
          <w:rFonts w:ascii="Verdana" w:eastAsia="Calibri" w:hAnsi="Verdana" w:cs="Arial"/>
          <w:color w:val="000000" w:themeColor="text1"/>
          <w:lang w:val="es-ES"/>
        </w:rPr>
        <w:t>. En tal sentido, su contenido vincula a la propia entidad que lo expidió y no puede desconocerlo a su capricho en casos específicos; sin perjuicio de la posibilidad de expedir un nuevo manual o de modificar el existente.</w:t>
      </w:r>
    </w:p>
    <w:p w14:paraId="3B04C5DC" w14:textId="77777777" w:rsidR="00D97EF3" w:rsidRPr="0040386C" w:rsidRDefault="00D97EF3" w:rsidP="00D97EF3">
      <w:pPr>
        <w:spacing w:after="120" w:line="276" w:lineRule="auto"/>
        <w:ind w:firstLine="709"/>
        <w:jc w:val="both"/>
        <w:rPr>
          <w:rFonts w:ascii="Verdana" w:eastAsia="Calibri" w:hAnsi="Verdana" w:cs="Arial"/>
          <w:color w:val="000000" w:themeColor="text1"/>
          <w:lang w:val="es-ES"/>
        </w:rPr>
      </w:pPr>
      <w:r w:rsidRPr="0040386C">
        <w:rPr>
          <w:rFonts w:ascii="Verdana" w:eastAsia="Calibri" w:hAnsi="Verdana" w:cs="Arial"/>
          <w:color w:val="000000" w:themeColor="text1"/>
          <w:lang w:val="es-ES"/>
        </w:rPr>
        <w:t>Así mismo,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14:paraId="41276310" w14:textId="77777777" w:rsidR="00D97EF3" w:rsidRPr="0040386C" w:rsidRDefault="00D97EF3" w:rsidP="00D97EF3">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Además</w:t>
      </w:r>
      <w:r w:rsidRPr="0040386C">
        <w:rPr>
          <w:rFonts w:ascii="Verdana" w:eastAsia="Calibri" w:hAnsi="Verdana" w:cs="Arial"/>
          <w:color w:val="000000" w:themeColor="text1"/>
          <w:lang w:val="es-ES"/>
        </w:rPr>
        <w:t xml:space="preserve">, existen ciertos contenidos determinados por el ordenamiento jurídico que no pueden ser modificados por los manuales internos, por tratarse de asuntos con reserva de ley. En este sentido, estos reglamentos internos de las entidades con régimen especial no pueden crear causales de inhabilidad o incompatibilidad, crear nuevos supuestos de conflictos de interés, prescribir requisitos de perfeccionamiento, tipologías contractuales, limitar la capacidad contractual establecida en la ley. En efecto, estos contenidos no pueden ser regulados o modificados por los manuales de contratación, ya que se trata de </w:t>
      </w:r>
      <w:r w:rsidRPr="0040386C">
        <w:rPr>
          <w:rFonts w:ascii="Verdana" w:eastAsia="Calibri" w:hAnsi="Verdana" w:cs="Arial"/>
          <w:color w:val="000000" w:themeColor="text1"/>
          <w:lang w:val="es-ES"/>
        </w:rPr>
        <w:lastRenderedPageBreak/>
        <w:t>aspectos con reserva de ley o con congelación en el rango de nivel legal, por lo que un acto administrativo no podría alterarlos</w:t>
      </w:r>
      <w:r w:rsidRPr="0040386C">
        <w:rPr>
          <w:rFonts w:ascii="Verdana" w:eastAsia="Calibri" w:hAnsi="Verdana" w:cs="Arial"/>
          <w:color w:val="000000" w:themeColor="text1"/>
          <w:vertAlign w:val="superscript"/>
          <w:lang w:val="es-ES_tradnl"/>
        </w:rPr>
        <w:footnoteReference w:id="9"/>
      </w:r>
      <w:r w:rsidRPr="0040386C">
        <w:rPr>
          <w:rFonts w:ascii="Verdana" w:eastAsia="Calibri" w:hAnsi="Verdana" w:cs="Arial"/>
          <w:color w:val="000000" w:themeColor="text1"/>
          <w:lang w:val="es-ES"/>
        </w:rPr>
        <w:t>.</w:t>
      </w:r>
    </w:p>
    <w:p w14:paraId="1F1023FF" w14:textId="77777777" w:rsidR="00D97EF3" w:rsidRPr="0040386C" w:rsidRDefault="00D97EF3" w:rsidP="00D97EF3">
      <w:pPr>
        <w:spacing w:after="120" w:line="276" w:lineRule="auto"/>
        <w:ind w:firstLine="709"/>
        <w:jc w:val="both"/>
        <w:rPr>
          <w:rFonts w:ascii="Verdana" w:eastAsia="Calibri" w:hAnsi="Verdana" w:cs="Arial"/>
          <w:color w:val="000000" w:themeColor="text1"/>
        </w:rPr>
      </w:pPr>
      <w:r w:rsidRPr="0040386C">
        <w:rPr>
          <w:rFonts w:ascii="Verdana" w:eastAsia="Calibri" w:hAnsi="Verdana" w:cs="Arial"/>
          <w:color w:val="000000" w:themeColor="text1"/>
          <w:lang w:val="es-ES"/>
        </w:rPr>
        <w:t>Sin perjuicio de lo anterior, existen múltiples contenidos que pueden ser objeto de regulación en el manual de contratación, por hacer parte del ámbito de configuración en desarrollo de su autonomía contractual, siempre que no contravengan la Constitución ni la ley. Por ejemplo, la definición de algunos requisitos de ejecución del contrato, con excepción de los que la ley imponga, la definición de si cierta actuación de la actividad contractual la debe realizar cierta dependencia de la entidad, establecer límites en cuanto a posibilidad de realizar adiciones, detallar los trámites internos que se surten al interior de la entidad y demás aspectos que hagan parte de su ámbito de configuración</w:t>
      </w:r>
      <w:r w:rsidRPr="0040386C">
        <w:rPr>
          <w:rFonts w:ascii="Verdana" w:eastAsia="Calibri" w:hAnsi="Verdana" w:cs="Arial"/>
          <w:color w:val="000000" w:themeColor="text1"/>
        </w:rPr>
        <w:t>.</w:t>
      </w:r>
      <w:r>
        <w:rPr>
          <w:rFonts w:ascii="Verdana" w:eastAsia="Calibri" w:hAnsi="Verdana" w:cs="Arial"/>
          <w:color w:val="000000" w:themeColor="text1"/>
        </w:rPr>
        <w:t xml:space="preserve"> </w:t>
      </w:r>
    </w:p>
    <w:p w14:paraId="4941B68B" w14:textId="77777777" w:rsidR="00D97EF3" w:rsidRDefault="00D97EF3" w:rsidP="00D97EF3">
      <w:pPr>
        <w:spacing w:after="120" w:line="276" w:lineRule="auto"/>
        <w:ind w:firstLine="709"/>
        <w:jc w:val="both"/>
        <w:rPr>
          <w:rFonts w:ascii="Verdana" w:eastAsia="Calibri" w:hAnsi="Verdana" w:cs="Arial"/>
          <w:color w:val="000000" w:themeColor="text1"/>
        </w:rPr>
      </w:pPr>
      <w:r w:rsidRPr="0040386C">
        <w:rPr>
          <w:rFonts w:ascii="Verdana" w:eastAsia="Calibri" w:hAnsi="Verdana" w:cs="Arial"/>
          <w:color w:val="000000" w:themeColor="text1"/>
        </w:rPr>
        <w:t xml:space="preserve">En este sentido, </w:t>
      </w:r>
      <w:r w:rsidRPr="0040386C">
        <w:rPr>
          <w:rFonts w:ascii="Verdana" w:eastAsia="Calibri" w:hAnsi="Verdana" w:cs="Arial"/>
          <w:color w:val="000000" w:themeColor="text1"/>
          <w:lang w:val="es-ES"/>
        </w:rPr>
        <w:t>frente a</w:t>
      </w:r>
      <w:r>
        <w:rPr>
          <w:rFonts w:ascii="Verdana" w:eastAsia="Calibri" w:hAnsi="Verdana" w:cs="Arial"/>
          <w:color w:val="000000" w:themeColor="text1"/>
          <w:lang w:val="es-ES"/>
        </w:rPr>
        <w:t xml:space="preserve"> las consultas planteadas</w:t>
      </w:r>
      <w:r w:rsidRPr="0040386C">
        <w:rPr>
          <w:rFonts w:ascii="Verdana" w:eastAsia="Calibri" w:hAnsi="Verdana" w:cs="Arial"/>
          <w:color w:val="000000" w:themeColor="text1"/>
          <w:lang w:val="es-ES"/>
        </w:rPr>
        <w:t xml:space="preserve">, se precisa </w:t>
      </w:r>
      <w:proofErr w:type="gramStart"/>
      <w:r w:rsidRPr="0040386C">
        <w:rPr>
          <w:rFonts w:ascii="Verdana" w:eastAsia="Calibri" w:hAnsi="Verdana" w:cs="Arial"/>
          <w:color w:val="000000" w:themeColor="text1"/>
          <w:lang w:val="es-ES"/>
        </w:rPr>
        <w:t>que</w:t>
      </w:r>
      <w:proofErr w:type="gramEnd"/>
      <w:r w:rsidRPr="0040386C">
        <w:rPr>
          <w:rFonts w:ascii="Verdana" w:eastAsia="Calibri" w:hAnsi="Verdana" w:cs="Arial"/>
          <w:color w:val="000000" w:themeColor="text1"/>
          <w:lang w:val="es-ES"/>
        </w:rPr>
        <w:t xml:space="preserve"> </w:t>
      </w:r>
      <w:r w:rsidRPr="0040386C">
        <w:rPr>
          <w:rFonts w:ascii="Verdana" w:eastAsia="Calibri" w:hAnsi="Verdana" w:cs="Arial"/>
          <w:color w:val="000000" w:themeColor="text1"/>
        </w:rPr>
        <w:t>en el marco de la autonomía reconocida a las entidades con régimen especial, estas cuentan con la facultad de definir los</w:t>
      </w:r>
      <w:r>
        <w:rPr>
          <w:rFonts w:ascii="Verdana" w:eastAsia="Calibri" w:hAnsi="Verdana" w:cs="Arial"/>
          <w:color w:val="000000" w:themeColor="text1"/>
        </w:rPr>
        <w:t xml:space="preserve"> requisitos que se solicitaran a los proponentes en el marco de un proceso de contratación</w:t>
      </w:r>
      <w:r w:rsidRPr="0040386C">
        <w:rPr>
          <w:rFonts w:ascii="Verdana" w:eastAsia="Calibri" w:hAnsi="Verdana" w:cs="Arial"/>
          <w:color w:val="000000" w:themeColor="text1"/>
        </w:rPr>
        <w:t>. Dicha autonomía les permite, entre otras cosas,</w:t>
      </w:r>
      <w:r>
        <w:rPr>
          <w:rFonts w:ascii="Verdana" w:eastAsia="Calibri" w:hAnsi="Verdana" w:cs="Arial"/>
          <w:color w:val="000000" w:themeColor="text1"/>
        </w:rPr>
        <w:t xml:space="preserve"> establecer los requisitos que otorgarán puntaje dentro de sus procesos de contratación siempre que estos cumplan con el principio de selección objetiva. Además, podrán </w:t>
      </w:r>
      <w:r w:rsidRPr="00D6740F">
        <w:rPr>
          <w:rFonts w:ascii="Verdana" w:eastAsia="Calibri" w:hAnsi="Verdana" w:cs="Arial"/>
          <w:color w:val="000000" w:themeColor="text1"/>
          <w:lang w:val="es-ES_tradnl"/>
        </w:rPr>
        <w:t>exigir marcas</w:t>
      </w:r>
      <w:r>
        <w:rPr>
          <w:rFonts w:ascii="Verdana" w:eastAsia="Calibri" w:hAnsi="Verdana" w:cs="Arial"/>
          <w:color w:val="000000" w:themeColor="text1"/>
          <w:lang w:val="es-ES_tradnl"/>
        </w:rPr>
        <w:t xml:space="preserve"> dentro de las especificaciones técnicas</w:t>
      </w:r>
      <w:r w:rsidRPr="00D6740F">
        <w:rPr>
          <w:rFonts w:ascii="Verdana" w:eastAsia="Calibri" w:hAnsi="Verdana" w:cs="Arial"/>
          <w:color w:val="000000" w:themeColor="text1"/>
          <w:lang w:val="es-ES_tradnl"/>
        </w:rPr>
        <w:t xml:space="preserve"> si</w:t>
      </w:r>
      <w:r>
        <w:rPr>
          <w:rFonts w:ascii="Verdana" w:eastAsia="Calibri" w:hAnsi="Verdana" w:cs="Arial"/>
          <w:color w:val="000000" w:themeColor="text1"/>
          <w:lang w:val="es-ES_tradnl"/>
        </w:rPr>
        <w:t xml:space="preserve">empre que </w:t>
      </w:r>
      <w:r w:rsidRPr="00D6740F">
        <w:rPr>
          <w:rFonts w:ascii="Verdana" w:eastAsia="Calibri" w:hAnsi="Verdana" w:cs="Arial"/>
          <w:color w:val="000000" w:themeColor="text1"/>
          <w:lang w:val="es-ES_tradnl"/>
        </w:rPr>
        <w:t>no est</w:t>
      </w:r>
      <w:r>
        <w:rPr>
          <w:rFonts w:ascii="Verdana" w:eastAsia="Calibri" w:hAnsi="Verdana" w:cs="Arial"/>
          <w:color w:val="000000" w:themeColor="text1"/>
          <w:lang w:val="es-ES_tradnl"/>
        </w:rPr>
        <w:t>é</w:t>
      </w:r>
      <w:r w:rsidRPr="00D6740F">
        <w:rPr>
          <w:rFonts w:ascii="Verdana" w:eastAsia="Calibri" w:hAnsi="Verdana" w:cs="Arial"/>
          <w:color w:val="000000" w:themeColor="text1"/>
          <w:lang w:val="es-ES_tradnl"/>
        </w:rPr>
        <w:t xml:space="preserve">n prohibidas en acuerdos y tratados comerciales en las que sean destinatarios, pero garantizando el principio de proporcionalidad, que exige que dichos requisitos o condiciones sean razonables, es decir, que guarden congruencia con el objeto, necesidad de la contratación, alcance, valor, plazo del contrato, entre otros aspectos, que sean necesarios y no restrinjan injustificadamente la libre concurrencia y pluralidad de oferentes. </w:t>
      </w:r>
    </w:p>
    <w:p w14:paraId="7904C237" w14:textId="77777777" w:rsidR="00D97EF3" w:rsidRPr="00024942" w:rsidRDefault="00D97EF3" w:rsidP="00D97EF3">
      <w:pPr>
        <w:spacing w:after="120" w:line="276" w:lineRule="auto"/>
        <w:ind w:firstLine="709"/>
        <w:jc w:val="both"/>
        <w:rPr>
          <w:rFonts w:ascii="Verdana" w:eastAsia="Calibri" w:hAnsi="Verdana" w:cs="Arial"/>
          <w:color w:val="000000" w:themeColor="text1"/>
        </w:rPr>
      </w:pPr>
      <w:r>
        <w:rPr>
          <w:rFonts w:ascii="Verdana" w:eastAsia="Arial" w:hAnsi="Verdana" w:cs="Arial"/>
          <w:lang w:val="es-ES"/>
        </w:rPr>
        <w:t>Si bien ni el EGCAP ni sus normas reglamentarias prohíben la exigencia de marcas en los procesos de contratación, en algunos tratados de libre comercio suscritos por Colombia se establece la prohibición de su exigencia. A modo de ejemplo, el Tratado de Libre Comercio suscrito entre Colombia y Estados Unidos establece que l</w:t>
      </w:r>
      <w:r>
        <w:rPr>
          <w:rFonts w:ascii="Verdana" w:eastAsia="Times New Roman" w:hAnsi="Verdana" w:cs="Arial"/>
          <w:lang w:eastAsia="es-CO"/>
        </w:rPr>
        <w:t xml:space="preserve">a entidad está obligada a no establecer condiciones técnicas que afecten la participación de los futuros proponentes. De este modo, la entidad debe: i) precisar la especificación técnica, en términos de desempeño y requisitos funcionales; y </w:t>
      </w:r>
      <w:proofErr w:type="spellStart"/>
      <w:r>
        <w:rPr>
          <w:rFonts w:ascii="Verdana" w:eastAsia="Times New Roman" w:hAnsi="Verdana" w:cs="Arial"/>
          <w:lang w:eastAsia="es-CO"/>
        </w:rPr>
        <w:t>ii</w:t>
      </w:r>
      <w:proofErr w:type="spellEnd"/>
      <w:r>
        <w:rPr>
          <w:rFonts w:ascii="Verdana" w:eastAsia="Times New Roman" w:hAnsi="Verdana" w:cs="Arial"/>
          <w:lang w:eastAsia="es-CO"/>
        </w:rPr>
        <w:t xml:space="preserve">) basar las condiciones del producto en estándares internacionales, cuando existan y sean aplicables a la entidad, excepto el uso de </w:t>
      </w:r>
      <w:r>
        <w:rPr>
          <w:rFonts w:ascii="Verdana" w:eastAsia="Times New Roman" w:hAnsi="Verdana" w:cs="Arial"/>
          <w:lang w:eastAsia="es-CO"/>
        </w:rPr>
        <w:lastRenderedPageBreak/>
        <w:t xml:space="preserve">un estándar internacional que no cumpla con los requerimientos del programa de la entidad o imponga una carga mayor que el empleo de un estándar nacional reconocido. Por tanto, se prohíben las marcas o nombres comerciales, salvo que no exista otra forma de precisar el bien requerido, pero con la condición de que se describa acompañado de la expresión </w:t>
      </w:r>
      <w:r>
        <w:rPr>
          <w:rFonts w:ascii="Verdana" w:eastAsia="Calibri" w:hAnsi="Verdana" w:cs="Arial"/>
          <w:lang w:val="es-ES"/>
        </w:rPr>
        <w:t>“</w:t>
      </w:r>
      <w:r>
        <w:rPr>
          <w:rFonts w:ascii="Verdana" w:eastAsia="Times New Roman" w:hAnsi="Verdana" w:cs="Arial"/>
          <w:lang w:eastAsia="es-CO"/>
        </w:rPr>
        <w:t>o equivalente</w:t>
      </w:r>
      <w:r>
        <w:rPr>
          <w:rFonts w:ascii="Verdana" w:eastAsia="Calibri" w:hAnsi="Verdana" w:cs="Arial"/>
          <w:color w:val="000000"/>
        </w:rPr>
        <w:t>”</w:t>
      </w:r>
      <w:r>
        <w:rPr>
          <w:rFonts w:ascii="Verdana" w:eastAsia="Times New Roman" w:hAnsi="Verdana" w:cs="Arial"/>
          <w:lang w:eastAsia="es-CO"/>
        </w:rPr>
        <w:t xml:space="preserve">. </w:t>
      </w:r>
      <w:r>
        <w:rPr>
          <w:rFonts w:ascii="Verdana" w:eastAsia="Times New Roman" w:hAnsi="Verdana" w:cs="Arial"/>
          <w:bCs/>
          <w:color w:val="000000"/>
          <w:lang w:val="es-ES" w:eastAsia="es-ES"/>
        </w:rPr>
        <w:t>Así mismo, no es posible un asesoramiento para la determinación de las especificaciones técnicas, si hay un interés comercial para participar en el proceso de contratación</w:t>
      </w:r>
      <w:r>
        <w:rPr>
          <w:rStyle w:val="Refdenotaalpie"/>
          <w:rFonts w:ascii="Verdana" w:hAnsi="Verdana"/>
        </w:rPr>
        <w:footnoteReference w:id="10"/>
      </w:r>
      <w:r>
        <w:rPr>
          <w:rFonts w:ascii="Verdana" w:eastAsia="Times New Roman" w:hAnsi="Verdana" w:cs="Arial"/>
          <w:bCs/>
          <w:color w:val="000000"/>
          <w:lang w:val="es-ES" w:eastAsia="es-ES"/>
        </w:rPr>
        <w:t>.</w:t>
      </w:r>
    </w:p>
    <w:p w14:paraId="469BC25F" w14:textId="77777777" w:rsidR="00D97EF3" w:rsidRDefault="00D97EF3" w:rsidP="00D97EF3">
      <w:pPr>
        <w:widowControl w:val="0"/>
        <w:autoSpaceDE w:val="0"/>
        <w:autoSpaceDN w:val="0"/>
        <w:spacing w:after="120" w:line="276" w:lineRule="auto"/>
        <w:ind w:right="108"/>
        <w:jc w:val="both"/>
        <w:rPr>
          <w:rFonts w:ascii="Verdana" w:eastAsia="Times New Roman" w:hAnsi="Verdana" w:cs="Arial"/>
          <w:bCs/>
          <w:color w:val="000000"/>
          <w:lang w:val="es-ES" w:eastAsia="es-ES"/>
        </w:rPr>
      </w:pPr>
      <w:r>
        <w:rPr>
          <w:rFonts w:ascii="Verdana" w:eastAsia="Times New Roman" w:hAnsi="Verdana" w:cs="Arial"/>
          <w:lang w:eastAsia="es-CO"/>
        </w:rPr>
        <w:tab/>
        <w:t>En otros tratados de libre comercio suscritos con Colombia se aplican estas mismas reglas de restricción de la exigencia de marcas</w:t>
      </w:r>
      <w:r>
        <w:rPr>
          <w:rStyle w:val="Refdenotaalpie"/>
          <w:rFonts w:ascii="Verdana" w:hAnsi="Verdana"/>
        </w:rPr>
        <w:footnoteReference w:id="11"/>
      </w:r>
      <w:r>
        <w:rPr>
          <w:rFonts w:ascii="Verdana" w:eastAsia="Times New Roman" w:hAnsi="Verdana" w:cs="Arial"/>
          <w:lang w:eastAsia="es-CO"/>
        </w:rPr>
        <w:t xml:space="preserve">. En principio, se niega la posibilidad de que en </w:t>
      </w:r>
      <w:r>
        <w:rPr>
          <w:rFonts w:ascii="Verdana" w:eastAsia="Times New Roman" w:hAnsi="Verdana" w:cs="Arial"/>
          <w:bCs/>
          <w:color w:val="000000"/>
          <w:lang w:val="es-ES" w:eastAsia="es-ES"/>
        </w:rPr>
        <w:t>determinadas circunstancias las entidades destinatarias de los acuerdos comerciales puedan adquirir productos de determinadas marcas, bajo la justificación de las calidades técnicas que esta posea. Lo que busca garantizarse es el principio de transparencia y de igualdad, a pesar de que la marca que establezca la entidad en el Proceso de Contratación sea la más acorde para el cumplimiento del objeto contractual.</w:t>
      </w:r>
    </w:p>
    <w:p w14:paraId="607CA33B" w14:textId="77777777" w:rsidR="00D97EF3" w:rsidRDefault="00D97EF3" w:rsidP="00D97EF3">
      <w:pPr>
        <w:widowControl w:val="0"/>
        <w:autoSpaceDE w:val="0"/>
        <w:autoSpaceDN w:val="0"/>
        <w:spacing w:after="120" w:line="276" w:lineRule="auto"/>
        <w:ind w:right="108"/>
        <w:jc w:val="both"/>
        <w:rPr>
          <w:rFonts w:ascii="Verdana" w:eastAsia="Times New Roman" w:hAnsi="Verdana" w:cs="Arial"/>
          <w:bCs/>
          <w:color w:val="000000"/>
          <w:lang w:val="es-ES" w:eastAsia="es-ES"/>
        </w:rPr>
      </w:pPr>
      <w:r>
        <w:rPr>
          <w:rFonts w:ascii="Verdana" w:eastAsia="Times New Roman" w:hAnsi="Verdana" w:cs="Arial"/>
          <w:bCs/>
          <w:color w:val="000000"/>
          <w:lang w:val="es-ES" w:eastAsia="es-ES"/>
        </w:rPr>
        <w:t xml:space="preserve"> </w:t>
      </w:r>
      <w:r>
        <w:rPr>
          <w:rFonts w:ascii="Verdana" w:eastAsia="Times New Roman" w:hAnsi="Verdana" w:cs="Arial"/>
          <w:bCs/>
          <w:color w:val="000000"/>
          <w:lang w:val="es-ES" w:eastAsia="es-ES"/>
        </w:rPr>
        <w:tab/>
        <w:t xml:space="preserve">Así las cosas, en los Procesos de Contratación que estén sujetos a ciertos tratados de libre comercio –de acuerdo con el ámbito de aplicación, valor del contrato, tipo de bien o servicio– deberá aplicarse la restricción de no exigir marcas, cuando en el correspondiente acuerdo comercial haya quedado pactada tal prohibición. En otras palabras, la prohibición de exigencia de marcas en la </w:t>
      </w:r>
      <w:r>
        <w:rPr>
          <w:rFonts w:ascii="Verdana" w:eastAsia="Times New Roman" w:hAnsi="Verdana" w:cs="Arial"/>
          <w:bCs/>
          <w:color w:val="000000"/>
          <w:lang w:val="es-ES" w:eastAsia="es-ES"/>
        </w:rPr>
        <w:lastRenderedPageBreak/>
        <w:t xml:space="preserve">configuración de los Pliegos de Condiciones debe tenerse en cuenta en aquellos procesos de contratación sujetos a acuerdos comerciales en los que se establezca dicha restricción. </w:t>
      </w:r>
    </w:p>
    <w:p w14:paraId="288EFDC7" w14:textId="77777777" w:rsidR="00D97EF3" w:rsidRDefault="00D97EF3" w:rsidP="00D97EF3">
      <w:pPr>
        <w:widowControl w:val="0"/>
        <w:autoSpaceDE w:val="0"/>
        <w:autoSpaceDN w:val="0"/>
        <w:spacing w:after="120" w:line="276" w:lineRule="auto"/>
        <w:ind w:right="108" w:firstLine="709"/>
        <w:jc w:val="both"/>
        <w:rPr>
          <w:rFonts w:ascii="Verdana" w:eastAsia="Times New Roman" w:hAnsi="Verdana" w:cs="Arial"/>
          <w:bCs/>
          <w:color w:val="000000"/>
          <w:lang w:val="es-ES" w:eastAsia="es-ES"/>
        </w:rPr>
      </w:pPr>
      <w:r>
        <w:rPr>
          <w:rFonts w:ascii="Verdana" w:eastAsia="Times New Roman" w:hAnsi="Verdana" w:cs="Arial"/>
          <w:bCs/>
          <w:color w:val="000000"/>
          <w:lang w:val="es-ES" w:eastAsia="es-ES"/>
        </w:rPr>
        <w:t xml:space="preserve">De esta forma, para las entidades de régimen especial, como se indicó, aunque hay libertad de configuración del manual de contratación, en ciertos aspectos estos </w:t>
      </w:r>
      <w:r w:rsidRPr="0040386C">
        <w:rPr>
          <w:rFonts w:ascii="Verdana" w:eastAsia="Calibri" w:hAnsi="Verdana" w:cs="Arial"/>
          <w:color w:val="000000" w:themeColor="text1"/>
          <w:lang w:val="es-ES"/>
        </w:rPr>
        <w:t xml:space="preserve">deben estar acordes, en cuanto </w:t>
      </w:r>
      <w:r>
        <w:rPr>
          <w:rFonts w:ascii="Verdana" w:eastAsia="Calibri" w:hAnsi="Verdana" w:cs="Arial"/>
          <w:color w:val="000000" w:themeColor="text1"/>
          <w:lang w:val="es-ES"/>
        </w:rPr>
        <w:t>ciertos a</w:t>
      </w:r>
      <w:r w:rsidRPr="0040386C">
        <w:rPr>
          <w:rFonts w:ascii="Verdana" w:eastAsia="Calibri" w:hAnsi="Verdana" w:cs="Arial"/>
          <w:color w:val="000000" w:themeColor="text1"/>
          <w:lang w:val="es-ES"/>
        </w:rPr>
        <w:t>spectos con los acuerdos comerciales suscritos por Colombia</w:t>
      </w:r>
      <w:r>
        <w:rPr>
          <w:rFonts w:ascii="Verdana" w:eastAsia="Calibri" w:hAnsi="Verdana" w:cs="Arial"/>
          <w:color w:val="000000" w:themeColor="text1"/>
          <w:lang w:val="es-ES"/>
        </w:rPr>
        <w:t>.</w:t>
      </w:r>
    </w:p>
    <w:p w14:paraId="10AA91FD" w14:textId="77777777" w:rsidR="00D97EF3" w:rsidRPr="00962D87" w:rsidRDefault="00D97EF3" w:rsidP="00D97EF3">
      <w:pPr>
        <w:widowControl w:val="0"/>
        <w:autoSpaceDE w:val="0"/>
        <w:autoSpaceDN w:val="0"/>
        <w:spacing w:after="120" w:line="276" w:lineRule="auto"/>
        <w:ind w:right="108" w:firstLine="709"/>
        <w:jc w:val="both"/>
        <w:rPr>
          <w:rFonts w:ascii="Verdana" w:eastAsia="Times New Roman" w:hAnsi="Verdana" w:cs="Arial"/>
          <w:bCs/>
          <w:color w:val="000000"/>
          <w:lang w:val="es-ES" w:eastAsia="es-ES"/>
        </w:rPr>
      </w:pPr>
      <w:r w:rsidRPr="76058E84">
        <w:rPr>
          <w:rFonts w:ascii="Verdana" w:hAnsi="Verdana" w:cs="Arial"/>
          <w:lang w:val="es-ES" w:eastAsia="es-ES"/>
        </w:rPr>
        <w:t xml:space="preserve">Al margen de la explicación precedente debe advertirse que el análisis requerido para resolver problemas específicos en torno a </w:t>
      </w:r>
      <w:r w:rsidRPr="76058E84">
        <w:rPr>
          <w:rFonts w:ascii="Verdana" w:eastAsia="Calibri" w:hAnsi="Verdana" w:cs="Arial"/>
          <w:color w:val="000000" w:themeColor="text1"/>
          <w:lang w:val="es-ES"/>
        </w:rPr>
        <w:t>la contratación de las entidades estatales</w:t>
      </w:r>
      <w:r w:rsidRPr="76058E84">
        <w:rPr>
          <w:rFonts w:ascii="Verdana" w:hAnsi="Verdana" w:cs="Arial"/>
          <w:lang w:val="es-ES" w:eastAsia="es-ES"/>
        </w:rPr>
        <w:t xml:space="preserve">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AAF5074" w14:textId="77777777" w:rsidR="00D97EF3" w:rsidRPr="00817382" w:rsidRDefault="00D97EF3" w:rsidP="00D97EF3">
      <w:pPr>
        <w:spacing w:before="120" w:after="0" w:line="276" w:lineRule="auto"/>
        <w:ind w:firstLine="709"/>
        <w:jc w:val="both"/>
        <w:rPr>
          <w:rFonts w:ascii="Verdana" w:hAnsi="Verdana" w:cs="Arial"/>
          <w:lang w:val="es-ES" w:eastAsia="es-ES"/>
        </w:rPr>
      </w:pPr>
      <w:r w:rsidRPr="76058E84">
        <w:rPr>
          <w:rFonts w:ascii="Verdana" w:hAnsi="Verdana" w:cs="Arial"/>
          <w:lang w:val="es-ES"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2AE5F2A" w14:textId="77777777" w:rsidR="00D97EF3" w:rsidRPr="00817382" w:rsidRDefault="00D97EF3" w:rsidP="00D97EF3">
      <w:pPr>
        <w:spacing w:after="0" w:line="276" w:lineRule="auto"/>
        <w:ind w:firstLine="709"/>
        <w:jc w:val="both"/>
        <w:rPr>
          <w:rFonts w:ascii="Verdana" w:hAnsi="Verdana" w:cs="Arial"/>
          <w:lang w:val="es-ES_tradnl" w:eastAsia="es-ES"/>
        </w:rPr>
      </w:pPr>
    </w:p>
    <w:p w14:paraId="66858CD2" w14:textId="77777777" w:rsidR="00D97EF3" w:rsidRPr="00817382" w:rsidRDefault="00D97EF3" w:rsidP="00D97E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ES_tradnl"/>
        </w:rPr>
      </w:pPr>
      <w:r w:rsidRPr="00817382">
        <w:rPr>
          <w:rFonts w:ascii="Verdana" w:eastAsia="Century Gothic" w:hAnsi="Verdana" w:cs="Century Gothic"/>
          <w:b/>
          <w:bCs/>
          <w:lang w:val="es-ES_tradnl"/>
        </w:rPr>
        <w:t>Referencias normativas:</w:t>
      </w:r>
    </w:p>
    <w:p w14:paraId="2C7847D4" w14:textId="77777777" w:rsidR="00D97EF3" w:rsidRPr="00817382" w:rsidRDefault="00D97EF3" w:rsidP="00D97EF3">
      <w:pPr>
        <w:widowControl w:val="0"/>
        <w:autoSpaceDE w:val="0"/>
        <w:autoSpaceDN w:val="0"/>
        <w:spacing w:after="0" w:line="276" w:lineRule="auto"/>
        <w:jc w:val="both"/>
        <w:rPr>
          <w:rFonts w:ascii="Verdana" w:hAnsi="Verdana" w:cs="Arial"/>
          <w:lang w:val="es-ES_tradn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97EF3" w:rsidRPr="00817382" w14:paraId="15025FCC" w14:textId="77777777" w:rsidTr="00BE3615">
        <w:trPr>
          <w:trHeight w:val="870"/>
          <w:jc w:val="center"/>
        </w:trPr>
        <w:tc>
          <w:tcPr>
            <w:tcW w:w="8647" w:type="dxa"/>
          </w:tcPr>
          <w:p w14:paraId="1D686D4E" w14:textId="77777777" w:rsidR="00D97EF3" w:rsidRPr="00817382" w:rsidRDefault="00D97EF3" w:rsidP="00BE361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lang w:val="es-ES_tradnl"/>
              </w:rPr>
            </w:pPr>
            <w:r w:rsidRPr="00817382">
              <w:rPr>
                <w:rFonts w:ascii="Verdana" w:hAnsi="Verdana" w:cs="Arial"/>
                <w:lang w:val="es-ES_tradnl"/>
              </w:rPr>
              <w:t>Ley 80 de 1993, artículos 2, 13, 32 y 40.</w:t>
            </w:r>
          </w:p>
          <w:p w14:paraId="4A360248" w14:textId="77777777" w:rsidR="00D97EF3" w:rsidRPr="00962D87" w:rsidRDefault="00D97EF3" w:rsidP="00BE361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lang w:val="es-ES_tradnl"/>
              </w:rPr>
            </w:pPr>
            <w:r w:rsidRPr="00817382">
              <w:rPr>
                <w:rFonts w:ascii="Verdana" w:hAnsi="Verdana" w:cs="Arial"/>
                <w:lang w:val="es-ES_tradnl"/>
              </w:rPr>
              <w:t>Ley 1150 de 2007, artículo 13.</w:t>
            </w:r>
          </w:p>
        </w:tc>
      </w:tr>
    </w:tbl>
    <w:p w14:paraId="1721CE35" w14:textId="77777777" w:rsidR="00D97EF3" w:rsidRPr="00817382" w:rsidRDefault="00D97EF3" w:rsidP="00D97EF3">
      <w:pPr>
        <w:widowControl w:val="0"/>
        <w:autoSpaceDE w:val="0"/>
        <w:autoSpaceDN w:val="0"/>
        <w:spacing w:after="0" w:line="276" w:lineRule="auto"/>
        <w:jc w:val="both"/>
        <w:rPr>
          <w:rFonts w:ascii="Verdana" w:hAnsi="Verdana" w:cs="Arial"/>
          <w:lang w:val="es-ES_tradnl"/>
        </w:rPr>
      </w:pPr>
    </w:p>
    <w:p w14:paraId="06F08A78" w14:textId="77777777" w:rsidR="00D97EF3" w:rsidRPr="00817382" w:rsidRDefault="00D97EF3" w:rsidP="00D97E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ES_tradnl"/>
        </w:rPr>
      </w:pPr>
      <w:r w:rsidRPr="00817382">
        <w:rPr>
          <w:rFonts w:ascii="Verdana" w:eastAsia="Century Gothic" w:hAnsi="Verdana" w:cs="Century Gothic"/>
          <w:b/>
          <w:bCs/>
          <w:lang w:val="es-ES_tradnl"/>
        </w:rPr>
        <w:t>Doctrina de la Agencia Nacional de Contratación Pública:</w:t>
      </w:r>
    </w:p>
    <w:p w14:paraId="54FCCE72" w14:textId="77777777" w:rsidR="00D97EF3" w:rsidRPr="00817382" w:rsidRDefault="00D97EF3" w:rsidP="00D97EF3">
      <w:pPr>
        <w:widowControl w:val="0"/>
        <w:autoSpaceDE w:val="0"/>
        <w:autoSpaceDN w:val="0"/>
        <w:spacing w:after="0" w:line="276" w:lineRule="auto"/>
        <w:jc w:val="both"/>
        <w:rPr>
          <w:rFonts w:ascii="Verdana" w:hAnsi="Verdana" w:cs="Arial"/>
          <w:lang w:val="es-ES_tradnl"/>
        </w:rPr>
      </w:pPr>
    </w:p>
    <w:p w14:paraId="0188D5BE" w14:textId="77777777" w:rsidR="00D97EF3" w:rsidRPr="00817382" w:rsidRDefault="00D97EF3" w:rsidP="00D97EF3">
      <w:pPr>
        <w:widowControl w:val="0"/>
        <w:autoSpaceDE w:val="0"/>
        <w:autoSpaceDN w:val="0"/>
        <w:spacing w:after="0" w:line="276" w:lineRule="auto"/>
        <w:jc w:val="both"/>
        <w:rPr>
          <w:rStyle w:val="normaltextrun"/>
          <w:rFonts w:ascii="Verdana" w:hAnsi="Verdana" w:cs="Arial"/>
          <w:shd w:val="clear" w:color="auto" w:fill="FFFFFF"/>
          <w:lang w:val="es-ES_tradnl"/>
        </w:rPr>
      </w:pPr>
      <w:r>
        <w:rPr>
          <w:rFonts w:ascii="Verdana" w:eastAsia="Calibri" w:hAnsi="Verdana" w:cs="Arial"/>
          <w:color w:val="000000" w:themeColor="text1"/>
          <w:lang w:val="es-ES" w:eastAsia="es-ES_tradnl"/>
        </w:rPr>
        <w:t xml:space="preserve">La Agencia Nacional de Contratación Pública – Colombia Compra Eficiente </w:t>
      </w:r>
      <w:r>
        <w:rPr>
          <w:rFonts w:ascii="Verdana" w:eastAsia="Arial" w:hAnsi="Verdana" w:cs="Arial"/>
          <w:lang w:val="es-ES" w:eastAsia="es-ES_tradnl"/>
        </w:rPr>
        <w:t xml:space="preserve">se ha </w:t>
      </w:r>
      <w:r>
        <w:rPr>
          <w:rFonts w:ascii="Verdana" w:eastAsia="Arial" w:hAnsi="Verdana" w:cs="Arial"/>
          <w:lang w:val="es-ES" w:eastAsia="es-ES_tradnl"/>
        </w:rPr>
        <w:lastRenderedPageBreak/>
        <w:t xml:space="preserve">pronunciado </w:t>
      </w:r>
      <w:r>
        <w:rPr>
          <w:rFonts w:ascii="Verdana" w:eastAsia="Times New Roman" w:hAnsi="Verdana" w:cs="Arial"/>
          <w:shd w:val="clear" w:color="auto" w:fill="FFFFFF"/>
          <w:lang w:val="es-ES"/>
        </w:rPr>
        <w:t xml:space="preserve">sobre el ámbito de aplicación del EGCAP y las entidades exceptuadas en los conceptos C-147 del 17 de marzo de 2020, C-157 del 17 de marzo de 2020, C-191 del 16 de marzo de 2020 y C-168 del 31 de marzo de 2020, C-158 del 3 de abril de 2020, C-717 del 21 de enero de 2022, C-004 del 22 de enero de 2024, C-459 del 18 de septiembre de 2024 y C-863 de 17 de diciembre de 2024, C-998 de 18 de diciembre 2024 y </w:t>
      </w:r>
      <w:r>
        <w:rPr>
          <w:rFonts w:ascii="Verdana" w:eastAsia="Times New Roman" w:hAnsi="Verdana" w:cs="Times New Roman"/>
          <w:lang w:val="es-ES"/>
        </w:rPr>
        <w:t xml:space="preserve">C-196 del 25 de marzo de 2025, C-336 del 24 de abril de 2025, C-706 del 15 de julio de 202, </w:t>
      </w:r>
      <w:r>
        <w:rPr>
          <w:rFonts w:ascii="Verdana" w:eastAsia="Times New Roman" w:hAnsi="Verdana" w:cs="Arial"/>
          <w:shd w:val="clear" w:color="auto" w:fill="FFFFFF"/>
          <w:lang w:val="es-ES"/>
        </w:rPr>
        <w:t>entre otros</w:t>
      </w:r>
      <w:r w:rsidRPr="00817382">
        <w:rPr>
          <w:rFonts w:ascii="Verdana" w:hAnsi="Verdana" w:cs="Arial"/>
          <w:shd w:val="clear" w:color="auto" w:fill="FFFFFF"/>
          <w:lang w:val="es-ES_tradnl"/>
        </w:rPr>
        <w:t xml:space="preserve"> Est</w:t>
      </w:r>
      <w:r>
        <w:rPr>
          <w:rFonts w:ascii="Verdana" w:hAnsi="Verdana" w:cs="Arial"/>
          <w:shd w:val="clear" w:color="auto" w:fill="FFFFFF"/>
          <w:lang w:val="es-ES_tradnl"/>
        </w:rPr>
        <w:t>e conceptos de las Subdirección</w:t>
      </w:r>
      <w:r w:rsidRPr="00817382">
        <w:rPr>
          <w:rFonts w:ascii="Verdana" w:hAnsi="Verdana" w:cs="Arial"/>
          <w:shd w:val="clear" w:color="auto" w:fill="FFFFFF"/>
          <w:lang w:val="es-ES_tradnl"/>
        </w:rPr>
        <w:t xml:space="preserve"> </w:t>
      </w:r>
      <w:r w:rsidRPr="00817382">
        <w:rPr>
          <w:rStyle w:val="normaltextrun"/>
          <w:rFonts w:ascii="Verdana" w:hAnsi="Verdana" w:cs="Arial"/>
          <w:shd w:val="clear" w:color="auto" w:fill="FFFFFF"/>
          <w:lang w:val="es-ES_tradnl"/>
        </w:rPr>
        <w:t xml:space="preserve">se encuentran disponibles para consulta en el Sistema de relatoría de la Agencia, al cual puede accederse a través del siguiente enlace: </w:t>
      </w:r>
      <w:hyperlink r:id="rId14" w:history="1">
        <w:r w:rsidRPr="00817382">
          <w:rPr>
            <w:rStyle w:val="Hipervnculo"/>
            <w:rFonts w:ascii="Verdana" w:hAnsi="Verdana" w:cs="Arial"/>
            <w:shd w:val="clear" w:color="auto" w:fill="FFFFFF"/>
            <w:lang w:val="es-ES_tradnl"/>
          </w:rPr>
          <w:t>https://relatoria.colombiacompra.gov.co/busqueda/conceptos</w:t>
        </w:r>
      </w:hyperlink>
      <w:r w:rsidRPr="00817382">
        <w:rPr>
          <w:rStyle w:val="normaltextrun"/>
          <w:rFonts w:ascii="Verdana" w:hAnsi="Verdana" w:cs="Arial"/>
          <w:shd w:val="clear" w:color="auto" w:fill="FFFFFF"/>
          <w:lang w:val="es-ES_tradnl"/>
        </w:rPr>
        <w:t xml:space="preserve">. </w:t>
      </w:r>
      <w:r w:rsidRPr="00817382">
        <w:rPr>
          <w:rStyle w:val="normaltextrun"/>
          <w:rFonts w:ascii="Verdana" w:hAnsi="Verdana" w:cs="Arial"/>
          <w:color w:val="FF0000"/>
          <w:shd w:val="clear" w:color="auto" w:fill="FFFFFF"/>
          <w:lang w:val="es-ES_tradnl"/>
        </w:rPr>
        <w:t xml:space="preserve"> </w:t>
      </w:r>
    </w:p>
    <w:p w14:paraId="797C83D5" w14:textId="77777777" w:rsidR="00D97EF3" w:rsidRPr="00817382" w:rsidRDefault="00D97EF3" w:rsidP="00D97EF3">
      <w:pPr>
        <w:widowControl w:val="0"/>
        <w:autoSpaceDE w:val="0"/>
        <w:autoSpaceDN w:val="0"/>
        <w:spacing w:after="0" w:line="276" w:lineRule="auto"/>
        <w:jc w:val="both"/>
        <w:rPr>
          <w:rFonts w:ascii="Verdana" w:hAnsi="Verdana" w:cs="Arial"/>
          <w:lang w:val="es-ES_tradnl"/>
        </w:rPr>
      </w:pPr>
    </w:p>
    <w:p w14:paraId="38DA69DB" w14:textId="77777777" w:rsidR="00D97EF3" w:rsidRPr="00817382" w:rsidRDefault="00D97EF3" w:rsidP="00D97EF3">
      <w:pPr>
        <w:widowControl w:val="0"/>
        <w:autoSpaceDE w:val="0"/>
        <w:autoSpaceDN w:val="0"/>
        <w:spacing w:after="0" w:line="276" w:lineRule="auto"/>
        <w:jc w:val="both"/>
        <w:rPr>
          <w:rFonts w:ascii="Verdana" w:hAnsi="Verdana" w:cs="Arial"/>
          <w:lang w:val="es-ES_tradnl"/>
        </w:rPr>
      </w:pPr>
      <w:r w:rsidRPr="00817382">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2E1BD618" w14:textId="77777777" w:rsidR="00D97EF3" w:rsidRPr="00817382" w:rsidRDefault="00D97EF3" w:rsidP="00D97EF3">
      <w:pPr>
        <w:widowControl w:val="0"/>
        <w:autoSpaceDE w:val="0"/>
        <w:autoSpaceDN w:val="0"/>
        <w:spacing w:after="0" w:line="276" w:lineRule="auto"/>
        <w:jc w:val="both"/>
        <w:rPr>
          <w:rFonts w:ascii="Verdana" w:hAnsi="Verdana" w:cs="Arial"/>
          <w:lang w:val="es-ES_tradnl"/>
        </w:rPr>
      </w:pPr>
    </w:p>
    <w:p w14:paraId="7CF120E5" w14:textId="77777777" w:rsidR="00D97EF3" w:rsidRPr="00817382" w:rsidRDefault="00D97EF3" w:rsidP="00D97EF3">
      <w:pPr>
        <w:spacing w:after="0" w:line="240" w:lineRule="auto"/>
        <w:rPr>
          <w:rFonts w:ascii="Verdana" w:hAnsi="Verdana" w:cs="Arial"/>
          <w:lang w:val="es-ES_tradnl" w:eastAsia="es-CO"/>
        </w:rPr>
      </w:pPr>
      <w:r w:rsidRPr="00817382">
        <w:rPr>
          <w:rFonts w:ascii="Verdana" w:eastAsia="Times New Roman" w:hAnsi="Verdana" w:cs="Arial"/>
          <w:lang w:val="es-ES_tradnl" w:eastAsia="es-CO"/>
        </w:rPr>
        <w:t>Atentamente,</w:t>
      </w:r>
      <w:r w:rsidRPr="00817382">
        <w:rPr>
          <w:rFonts w:ascii="Verdana" w:hAnsi="Verdana" w:cs="Arial"/>
          <w:lang w:val="es-ES_tradnl" w:eastAsia="es-CO"/>
        </w:rPr>
        <w:t xml:space="preserve"> </w:t>
      </w:r>
    </w:p>
    <w:p w14:paraId="4987EAA6" w14:textId="7A85849F" w:rsidR="00D97EF3" w:rsidRPr="00A27102" w:rsidRDefault="00D01713" w:rsidP="00D97EF3">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6F3DD167" wp14:editId="3197502F">
            <wp:extent cx="3670300" cy="1423554"/>
            <wp:effectExtent l="0" t="0" r="6350" b="571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891299" cy="1509270"/>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D97EF3" w:rsidRPr="00A27102" w14:paraId="60509E25" w14:textId="77777777" w:rsidTr="00AA66B2">
        <w:trPr>
          <w:trHeight w:val="315"/>
        </w:trPr>
        <w:tc>
          <w:tcPr>
            <w:tcW w:w="893" w:type="dxa"/>
            <w:vAlign w:val="center"/>
            <w:hideMark/>
          </w:tcPr>
          <w:p w14:paraId="7E41CD13" w14:textId="77777777" w:rsidR="00D97EF3" w:rsidRPr="00A27102" w:rsidRDefault="00D97EF3" w:rsidP="00BE3615">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D654BE3" w14:textId="77777777" w:rsidR="00D97EF3" w:rsidRPr="00A27102" w:rsidRDefault="00D97EF3" w:rsidP="00BE3615">
            <w:pPr>
              <w:contextualSpacing/>
              <w:rPr>
                <w:rFonts w:ascii="Verdana" w:hAnsi="Verdana"/>
                <w:sz w:val="16"/>
                <w:szCs w:val="16"/>
              </w:rPr>
            </w:pPr>
            <w:r w:rsidRPr="00A27102">
              <w:rPr>
                <w:rFonts w:ascii="Verdana" w:hAnsi="Verdana"/>
                <w:sz w:val="16"/>
                <w:szCs w:val="16"/>
              </w:rPr>
              <w:t>Tatiana Baquero Iguarán</w:t>
            </w:r>
          </w:p>
          <w:p w14:paraId="721D1236" w14:textId="77777777" w:rsidR="00D97EF3" w:rsidRPr="00A27102" w:rsidRDefault="00D97EF3" w:rsidP="00BE3615">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D97EF3" w:rsidRPr="00A27102" w14:paraId="48535078" w14:textId="77777777" w:rsidTr="00AA66B2">
        <w:trPr>
          <w:trHeight w:val="330"/>
        </w:trPr>
        <w:tc>
          <w:tcPr>
            <w:tcW w:w="893" w:type="dxa"/>
            <w:vAlign w:val="center"/>
            <w:hideMark/>
          </w:tcPr>
          <w:p w14:paraId="0FCFED73" w14:textId="77777777" w:rsidR="00D97EF3" w:rsidRPr="00A27102" w:rsidRDefault="00D97EF3" w:rsidP="00BE3615">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D51FDB" w14:textId="77777777" w:rsidR="00D97EF3" w:rsidRPr="00A27102" w:rsidRDefault="00D97EF3" w:rsidP="00BE3615">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2933EE8D" w14:textId="77777777" w:rsidR="00D97EF3" w:rsidRPr="00A27102" w:rsidRDefault="00D97EF3" w:rsidP="00BE3615">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D97EF3" w:rsidRPr="00A27102" w14:paraId="25A31740" w14:textId="77777777" w:rsidTr="00AA66B2">
        <w:trPr>
          <w:trHeight w:val="300"/>
        </w:trPr>
        <w:tc>
          <w:tcPr>
            <w:tcW w:w="893" w:type="dxa"/>
            <w:vAlign w:val="center"/>
          </w:tcPr>
          <w:p w14:paraId="3F42DCBE" w14:textId="77777777" w:rsidR="00D97EF3" w:rsidRPr="00A27102" w:rsidRDefault="00D97EF3" w:rsidP="00BE3615">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31B3400" w14:textId="77777777" w:rsidR="00D97EF3" w:rsidRPr="00A27102" w:rsidRDefault="00D97EF3" w:rsidP="00BE3615">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 xml:space="preserve">Carolina Quintero </w:t>
            </w:r>
            <w:proofErr w:type="spellStart"/>
            <w:r w:rsidRPr="00A27102">
              <w:rPr>
                <w:rFonts w:ascii="Verdana" w:eastAsia="Calibri" w:hAnsi="Verdana" w:cs="Arial"/>
                <w:sz w:val="16"/>
                <w:szCs w:val="16"/>
                <w:lang w:val="pt-BR" w:eastAsia="es-ES"/>
              </w:rPr>
              <w:t>Gacharná</w:t>
            </w:r>
            <w:proofErr w:type="spellEnd"/>
          </w:p>
          <w:p w14:paraId="45A6A8B6" w14:textId="77777777" w:rsidR="00D97EF3" w:rsidRPr="00A27102" w:rsidRDefault="00D97EF3" w:rsidP="00BE3615">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7154DB68" w14:textId="77777777" w:rsidR="007B1695" w:rsidRDefault="007B1695" w:rsidP="002E78B1">
      <w:pPr>
        <w:spacing w:after="0" w:line="240" w:lineRule="auto"/>
        <w:rPr>
          <w:rFonts w:ascii="Verdana" w:eastAsia="Geomanist Light" w:hAnsi="Verdana" w:cs="Arial"/>
          <w:color w:val="000000" w:themeColor="text1"/>
          <w:lang w:val="es-MX"/>
        </w:rPr>
      </w:pPr>
    </w:p>
    <w:sectPr w:rsidR="007B1695"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86BA0E" w14:textId="77777777" w:rsidR="00E014DE" w:rsidRDefault="00E014DE" w:rsidP="004A1847">
      <w:pPr>
        <w:spacing w:after="0" w:line="240" w:lineRule="auto"/>
      </w:pPr>
      <w:r>
        <w:separator/>
      </w:r>
    </w:p>
  </w:endnote>
  <w:endnote w:type="continuationSeparator" w:id="0">
    <w:p w14:paraId="359E3302" w14:textId="77777777" w:rsidR="00E014DE" w:rsidRDefault="00E014DE" w:rsidP="004A1847">
      <w:pPr>
        <w:spacing w:after="0" w:line="240" w:lineRule="auto"/>
      </w:pPr>
      <w:r>
        <w:continuationSeparator/>
      </w:r>
    </w:p>
  </w:endnote>
  <w:endnote w:type="continuationNotice" w:id="1">
    <w:p w14:paraId="54E8DFA8" w14:textId="77777777" w:rsidR="00E014DE" w:rsidRDefault="00E014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B70D3A" w14:textId="77777777" w:rsidR="00E014DE" w:rsidRDefault="00E014DE" w:rsidP="004A1847">
      <w:pPr>
        <w:spacing w:after="0" w:line="240" w:lineRule="auto"/>
      </w:pPr>
      <w:r>
        <w:separator/>
      </w:r>
    </w:p>
  </w:footnote>
  <w:footnote w:type="continuationSeparator" w:id="0">
    <w:p w14:paraId="6D58AFC4" w14:textId="77777777" w:rsidR="00E014DE" w:rsidRDefault="00E014DE" w:rsidP="004A1847">
      <w:pPr>
        <w:spacing w:after="0" w:line="240" w:lineRule="auto"/>
      </w:pPr>
      <w:r>
        <w:continuationSeparator/>
      </w:r>
    </w:p>
  </w:footnote>
  <w:footnote w:type="continuationNotice" w:id="1">
    <w:p w14:paraId="2641AA9E" w14:textId="77777777" w:rsidR="00E014DE" w:rsidRDefault="00E014DE">
      <w:pPr>
        <w:spacing w:after="0" w:line="240" w:lineRule="auto"/>
      </w:pPr>
    </w:p>
  </w:footnote>
  <w:footnote w:id="2">
    <w:p w14:paraId="065D2936" w14:textId="77777777" w:rsidR="00D97EF3" w:rsidRPr="00AD7D22" w:rsidRDefault="00D97EF3" w:rsidP="00D97EF3">
      <w:pPr>
        <w:pStyle w:val="Textonotapie"/>
        <w:ind w:firstLine="709"/>
        <w:jc w:val="both"/>
        <w:rPr>
          <w:rFonts w:ascii="Verdana" w:hAnsi="Verdana" w:cs="Arial"/>
          <w:color w:val="000000" w:themeColor="text1"/>
          <w:sz w:val="16"/>
          <w:szCs w:val="16"/>
        </w:rPr>
      </w:pPr>
      <w:r w:rsidRPr="00AD7D22">
        <w:rPr>
          <w:rStyle w:val="Refdenotaalpie"/>
          <w:rFonts w:ascii="Verdana" w:hAnsi="Verdana" w:cs="Arial"/>
          <w:color w:val="000000" w:themeColor="text1"/>
          <w:sz w:val="16"/>
          <w:szCs w:val="16"/>
        </w:rPr>
        <w:footnoteRef/>
      </w:r>
      <w:r w:rsidRPr="00AD7D22">
        <w:rPr>
          <w:rFonts w:ascii="Verdana" w:hAnsi="Verdana" w:cs="Arial"/>
          <w:color w:val="000000" w:themeColor="text1"/>
          <w:sz w:val="16"/>
          <w:szCs w:val="16"/>
        </w:rPr>
        <w:t xml:space="preserve"> MEDINA LÓPEZ, Diego Eduardo. El derecho de los jueces: obligatoriedad del precedente constitucional, análisis de sentencias y líneas jurisprudenciales y teoría del derecho judicial. Bogotá: Legis, 2006.</w:t>
      </w:r>
    </w:p>
    <w:p w14:paraId="3F02B470" w14:textId="77777777" w:rsidR="00D97EF3" w:rsidRPr="00AD7D22" w:rsidRDefault="00D97EF3" w:rsidP="00D97EF3">
      <w:pPr>
        <w:pStyle w:val="Textonotapie"/>
        <w:ind w:firstLine="709"/>
        <w:jc w:val="both"/>
        <w:rPr>
          <w:rFonts w:ascii="Verdana" w:hAnsi="Verdana" w:cs="Arial"/>
          <w:color w:val="000000" w:themeColor="text1"/>
          <w:sz w:val="16"/>
          <w:szCs w:val="16"/>
        </w:rPr>
      </w:pPr>
    </w:p>
  </w:footnote>
  <w:footnote w:id="3">
    <w:p w14:paraId="65D112E3" w14:textId="77777777" w:rsidR="00D97EF3" w:rsidRPr="00AD7D22" w:rsidRDefault="00D97EF3" w:rsidP="00D97EF3">
      <w:pPr>
        <w:pStyle w:val="Textonotapie"/>
        <w:ind w:firstLine="709"/>
        <w:jc w:val="both"/>
        <w:rPr>
          <w:rFonts w:ascii="Verdana" w:hAnsi="Verdana" w:cs="Arial"/>
          <w:color w:val="000000" w:themeColor="text1"/>
          <w:sz w:val="16"/>
          <w:szCs w:val="16"/>
        </w:rPr>
      </w:pPr>
      <w:r w:rsidRPr="00AD7D22">
        <w:rPr>
          <w:rStyle w:val="Refdenotaalpie"/>
          <w:rFonts w:ascii="Verdana" w:hAnsi="Verdana" w:cs="Arial"/>
          <w:color w:val="000000" w:themeColor="text1"/>
          <w:sz w:val="16"/>
          <w:szCs w:val="16"/>
        </w:rPr>
        <w:footnoteRef/>
      </w:r>
      <w:r w:rsidRPr="00AD7D22">
        <w:rPr>
          <w:rFonts w:ascii="Verdana" w:hAnsi="Verdana" w:cs="Arial"/>
          <w:color w:val="000000" w:themeColor="text1"/>
          <w:sz w:val="16"/>
          <w:szCs w:val="16"/>
        </w:rPr>
        <w:t xml:space="preserve"> EXPÓSITO VÉLEZ, Juan Carlos. Definición de los «Contratos Estatales». Contratos Estatales propiamente dichos y Contratos Estatales Especiales. Regulación del Contrato suscrito con entidades estatales. Jurisdicción Competente. En: Andrés Fernando Ospina Garzón. Los Grandes Fallos de la Jurisprudencia Administrativa Colombiana. Universidad Externado de Colombia, 2013. </w:t>
      </w:r>
    </w:p>
    <w:p w14:paraId="20CE8561" w14:textId="77777777" w:rsidR="00D97EF3" w:rsidRPr="00AD7D22" w:rsidRDefault="00D97EF3" w:rsidP="00D97EF3">
      <w:pPr>
        <w:pStyle w:val="Textonotapie"/>
        <w:ind w:firstLine="709"/>
        <w:jc w:val="both"/>
        <w:rPr>
          <w:rFonts w:ascii="Verdana" w:hAnsi="Verdana" w:cs="Arial"/>
          <w:color w:val="000000" w:themeColor="text1"/>
          <w:sz w:val="16"/>
          <w:szCs w:val="16"/>
        </w:rPr>
      </w:pPr>
    </w:p>
  </w:footnote>
  <w:footnote w:id="4">
    <w:p w14:paraId="2DDF97D5" w14:textId="77777777" w:rsidR="00D97EF3" w:rsidRPr="00AD7D22" w:rsidRDefault="00D97EF3" w:rsidP="00D97EF3">
      <w:pPr>
        <w:pStyle w:val="Textonotapie"/>
        <w:ind w:firstLine="709"/>
        <w:jc w:val="both"/>
        <w:rPr>
          <w:rFonts w:ascii="Verdana" w:hAnsi="Verdana" w:cs="Arial"/>
          <w:color w:val="000000" w:themeColor="text1"/>
          <w:sz w:val="16"/>
          <w:szCs w:val="16"/>
        </w:rPr>
      </w:pPr>
      <w:r w:rsidRPr="00AD7D22">
        <w:rPr>
          <w:rStyle w:val="Refdenotaalpie"/>
          <w:rFonts w:ascii="Verdana" w:hAnsi="Verdana" w:cs="Arial"/>
          <w:color w:val="000000" w:themeColor="text1"/>
          <w:sz w:val="16"/>
          <w:szCs w:val="16"/>
        </w:rPr>
        <w:footnoteRef/>
      </w:r>
      <w:r w:rsidRPr="00AD7D22">
        <w:rPr>
          <w:rFonts w:ascii="Verdana" w:hAnsi="Verdana" w:cs="Arial"/>
          <w:color w:val="000000" w:themeColor="text1"/>
          <w:sz w:val="16"/>
          <w:szCs w:val="16"/>
        </w:rPr>
        <w:t xml:space="preserve"> CONSEJO DE ESTADO. Sección Tercera. Auto del 20 de agosto de 1998. Exp. 14.202.  C.P. Juan de Dios Montes Bermúdez. </w:t>
      </w:r>
    </w:p>
  </w:footnote>
  <w:footnote w:id="5">
    <w:p w14:paraId="75D085B1" w14:textId="77777777" w:rsidR="00D97EF3" w:rsidRPr="00AD7D22" w:rsidRDefault="00D97EF3" w:rsidP="00D97EF3">
      <w:pPr>
        <w:pStyle w:val="Textonotapie"/>
        <w:ind w:firstLine="709"/>
        <w:jc w:val="both"/>
        <w:rPr>
          <w:rFonts w:ascii="Verdana" w:hAnsi="Verdana" w:cs="Arial"/>
          <w:color w:val="000000" w:themeColor="text1"/>
          <w:sz w:val="16"/>
          <w:szCs w:val="16"/>
        </w:rPr>
      </w:pPr>
      <w:r w:rsidRPr="00AD7D22">
        <w:rPr>
          <w:rStyle w:val="Refdenotaalpie"/>
          <w:rFonts w:ascii="Verdana" w:hAnsi="Verdana" w:cs="Arial"/>
          <w:color w:val="000000" w:themeColor="text1"/>
          <w:sz w:val="16"/>
          <w:szCs w:val="16"/>
        </w:rPr>
        <w:footnoteRef/>
      </w:r>
      <w:r w:rsidRPr="00AD7D22">
        <w:rPr>
          <w:rFonts w:ascii="Verdana" w:hAnsi="Verdana" w:cs="Arial"/>
          <w:color w:val="000000" w:themeColor="text1"/>
          <w:sz w:val="16"/>
          <w:szCs w:val="16"/>
        </w:rPr>
        <w:t xml:space="preserve"> </w:t>
      </w:r>
      <w:bookmarkStart w:id="3" w:name="66"/>
      <w:r>
        <w:rPr>
          <w:rFonts w:ascii="Verdana" w:hAnsi="Verdana" w:cs="Arial"/>
          <w:color w:val="000000" w:themeColor="text1"/>
          <w:sz w:val="16"/>
          <w:szCs w:val="16"/>
        </w:rPr>
        <w:t>“</w:t>
      </w:r>
      <w:r w:rsidRPr="00AD7D22">
        <w:rPr>
          <w:rFonts w:ascii="Verdana" w:hAnsi="Verdana" w:cs="Arial"/>
          <w:color w:val="000000" w:themeColor="text1"/>
          <w:sz w:val="16"/>
          <w:szCs w:val="16"/>
        </w:rPr>
        <w:t>Artículo 66. Medidas especiales de contratación.</w:t>
      </w:r>
      <w:bookmarkEnd w:id="3"/>
      <w:r w:rsidRPr="00AD7D22">
        <w:rPr>
          <w:rFonts w:ascii="Verdana" w:hAnsi="Verdana" w:cs="Arial"/>
          <w:color w:val="000000" w:themeColor="text1"/>
          <w:sz w:val="16"/>
          <w:szCs w:val="16"/>
        </w:rPr>
        <w:t> Salvo lo dispuesto para los contratos de empréstito interno y externo, los contratos que celebre la sociedad fiduciaria para la ejecución de los bienes, derechos e intereses del Fondo Nacional de Gestión del Riesgo o los celebrados por las entidades ejecutoras que reciban recursos provenientes de este fondo o los celebrados por las entidades territoriales y sus fondos de gestión del riesgo, relacionados directamente con las actividades de respuesta, de rehabilitación y reconstrucción de las zonas declaradas en situación de desastre o calamidad pública, se someterán a los requisitos y formalidades que exige la ley para la contratación entre particulares, con sujeción al régimen especial dispuesto en el artículo </w:t>
      </w:r>
      <w:hyperlink r:id="rId1" w:anchor="13" w:history="1">
        <w:r w:rsidRPr="00AD7D22">
          <w:rPr>
            <w:rStyle w:val="Hipervnculo"/>
            <w:rFonts w:ascii="Verdana" w:hAnsi="Verdana" w:cs="Arial"/>
            <w:color w:val="000000" w:themeColor="text1"/>
            <w:sz w:val="16"/>
            <w:szCs w:val="16"/>
          </w:rPr>
          <w:t>13</w:t>
        </w:r>
      </w:hyperlink>
      <w:r w:rsidRPr="00AD7D22">
        <w:rPr>
          <w:rFonts w:ascii="Verdana" w:hAnsi="Verdana" w:cs="Arial"/>
          <w:color w:val="000000" w:themeColor="text1"/>
          <w:sz w:val="16"/>
          <w:szCs w:val="16"/>
        </w:rPr>
        <w:t> de la Ley 1150 de 2007, y podrán contemplar cláusulas excepcionales de conformidad con lo dispuesto en los artículos </w:t>
      </w:r>
      <w:hyperlink r:id="rId2" w:anchor="14" w:history="1">
        <w:r w:rsidRPr="00AD7D22">
          <w:rPr>
            <w:rStyle w:val="Hipervnculo"/>
            <w:rFonts w:ascii="Verdana" w:hAnsi="Verdana" w:cs="Arial"/>
            <w:color w:val="000000" w:themeColor="text1"/>
            <w:sz w:val="16"/>
            <w:szCs w:val="16"/>
          </w:rPr>
          <w:t>14</w:t>
        </w:r>
      </w:hyperlink>
      <w:r w:rsidRPr="00AD7D22">
        <w:rPr>
          <w:rFonts w:ascii="Verdana" w:hAnsi="Verdana" w:cs="Arial"/>
          <w:color w:val="000000" w:themeColor="text1"/>
          <w:sz w:val="16"/>
          <w:szCs w:val="16"/>
        </w:rPr>
        <w:t> a </w:t>
      </w:r>
      <w:hyperlink r:id="rId3" w:anchor="18" w:history="1">
        <w:r w:rsidRPr="00AD7D22">
          <w:rPr>
            <w:rStyle w:val="Hipervnculo"/>
            <w:rFonts w:ascii="Verdana" w:hAnsi="Verdana" w:cs="Arial"/>
            <w:color w:val="000000" w:themeColor="text1"/>
            <w:sz w:val="16"/>
            <w:szCs w:val="16"/>
          </w:rPr>
          <w:t>18</w:t>
        </w:r>
      </w:hyperlink>
      <w:r w:rsidRPr="00AD7D22">
        <w:rPr>
          <w:rFonts w:ascii="Verdana" w:hAnsi="Verdana" w:cs="Arial"/>
          <w:color w:val="000000" w:themeColor="text1"/>
          <w:sz w:val="16"/>
          <w:szCs w:val="16"/>
        </w:rPr>
        <w:t> de la Ley 80 de 1993.</w:t>
      </w:r>
      <w:r w:rsidRPr="00AD7D22">
        <w:rPr>
          <w:rStyle w:val="baj"/>
          <w:rFonts w:ascii="Verdana" w:hAnsi="Verdana" w:cs="Arial"/>
          <w:color w:val="000000" w:themeColor="text1"/>
          <w:sz w:val="16"/>
          <w:szCs w:val="16"/>
        </w:rPr>
        <w:t>» PARÁGRAFO.</w:t>
      </w:r>
      <w:r w:rsidRPr="00AD7D22">
        <w:rPr>
          <w:rFonts w:ascii="Verdana" w:hAnsi="Verdana" w:cs="Arial"/>
          <w:color w:val="000000" w:themeColor="text1"/>
          <w:sz w:val="16"/>
          <w:szCs w:val="16"/>
        </w:rPr>
        <w:t> Los contratos celebrados por las entidades territoriales en virtud del artículo anterior se someterán al control fiscal dispuesto para los celebrados en el marco de la declaratoria de urgencia manifiesta contemplada en los artículos </w:t>
      </w:r>
      <w:hyperlink r:id="rId4" w:anchor="42" w:history="1">
        <w:r w:rsidRPr="00AD7D22">
          <w:rPr>
            <w:rStyle w:val="Hipervnculo"/>
            <w:rFonts w:ascii="Verdana" w:hAnsi="Verdana" w:cs="Arial"/>
            <w:color w:val="000000" w:themeColor="text1"/>
            <w:sz w:val="16"/>
            <w:szCs w:val="16"/>
          </w:rPr>
          <w:t>42</w:t>
        </w:r>
      </w:hyperlink>
      <w:r w:rsidRPr="00AD7D22">
        <w:rPr>
          <w:rFonts w:ascii="Verdana" w:hAnsi="Verdana" w:cs="Arial"/>
          <w:color w:val="000000" w:themeColor="text1"/>
          <w:sz w:val="16"/>
          <w:szCs w:val="16"/>
        </w:rPr>
        <w:t> y </w:t>
      </w:r>
      <w:hyperlink r:id="rId5" w:anchor="43" w:history="1">
        <w:r w:rsidRPr="00AD7D22">
          <w:rPr>
            <w:rStyle w:val="Hipervnculo"/>
            <w:rFonts w:ascii="Verdana" w:hAnsi="Verdana" w:cs="Arial"/>
            <w:color w:val="000000" w:themeColor="text1"/>
            <w:sz w:val="16"/>
            <w:szCs w:val="16"/>
          </w:rPr>
          <w:t>43</w:t>
        </w:r>
      </w:hyperlink>
      <w:r w:rsidRPr="00AD7D22">
        <w:rPr>
          <w:rFonts w:ascii="Verdana" w:hAnsi="Verdana" w:cs="Arial"/>
          <w:color w:val="000000" w:themeColor="text1"/>
          <w:sz w:val="16"/>
          <w:szCs w:val="16"/>
        </w:rPr>
        <w:t> de la Ley 80 de 1993 y demás normas que la modifiquen</w:t>
      </w:r>
      <w:r>
        <w:rPr>
          <w:rFonts w:ascii="Verdana" w:hAnsi="Verdana" w:cs="Arial"/>
          <w:color w:val="000000" w:themeColor="text1"/>
          <w:sz w:val="16"/>
          <w:szCs w:val="16"/>
        </w:rPr>
        <w:t>”</w:t>
      </w:r>
      <w:r w:rsidRPr="00AD7D22">
        <w:rPr>
          <w:rFonts w:ascii="Verdana" w:hAnsi="Verdana" w:cs="Arial"/>
          <w:color w:val="000000" w:themeColor="text1"/>
          <w:sz w:val="16"/>
          <w:szCs w:val="16"/>
        </w:rPr>
        <w:t>.</w:t>
      </w:r>
    </w:p>
  </w:footnote>
  <w:footnote w:id="6">
    <w:p w14:paraId="5BA5C3CC" w14:textId="77777777" w:rsidR="00D97EF3" w:rsidRPr="00AD7D22" w:rsidRDefault="00D97EF3" w:rsidP="00D97EF3">
      <w:pPr>
        <w:pStyle w:val="Textonotapie"/>
        <w:ind w:firstLine="708"/>
        <w:jc w:val="both"/>
        <w:rPr>
          <w:rFonts w:ascii="Verdana" w:hAnsi="Verdana" w:cs="Arial"/>
          <w:color w:val="000000" w:themeColor="text1"/>
          <w:sz w:val="16"/>
          <w:szCs w:val="16"/>
        </w:rPr>
      </w:pPr>
      <w:r w:rsidRPr="00AD7D22">
        <w:rPr>
          <w:rStyle w:val="Refdenotaalpie"/>
          <w:rFonts w:ascii="Verdana" w:hAnsi="Verdana" w:cs="Arial"/>
          <w:color w:val="000000" w:themeColor="text1"/>
          <w:sz w:val="16"/>
          <w:szCs w:val="16"/>
        </w:rPr>
        <w:footnoteRef/>
      </w:r>
      <w:r w:rsidRPr="00AD7D22">
        <w:rPr>
          <w:rFonts w:ascii="Verdana" w:hAnsi="Verdana" w:cs="Arial"/>
          <w:color w:val="000000" w:themeColor="text1"/>
          <w:sz w:val="16"/>
          <w:szCs w:val="16"/>
        </w:rPr>
        <w:t xml:space="preserve"> HINESTROSA FORERO, Fernando. Tratado de las Obligaciones II. De las fuentes de las obligaciones: el negocio jurídico. Volumen I. Bogotá: Universidad Externado de Colombia, 2015. p. 116.  </w:t>
      </w:r>
    </w:p>
    <w:p w14:paraId="0155438D" w14:textId="77777777" w:rsidR="00D97EF3" w:rsidRPr="00AD7D22" w:rsidRDefault="00D97EF3" w:rsidP="00D97EF3">
      <w:pPr>
        <w:pStyle w:val="Textonotapie"/>
        <w:ind w:firstLine="708"/>
        <w:jc w:val="both"/>
        <w:rPr>
          <w:rFonts w:ascii="Verdana" w:hAnsi="Verdana" w:cs="Arial"/>
          <w:color w:val="000000" w:themeColor="text1"/>
          <w:sz w:val="16"/>
          <w:szCs w:val="16"/>
        </w:rPr>
      </w:pPr>
    </w:p>
  </w:footnote>
  <w:footnote w:id="7">
    <w:p w14:paraId="3F0D34EA" w14:textId="77777777" w:rsidR="00D97EF3" w:rsidRPr="00AD7D22" w:rsidRDefault="00D97EF3" w:rsidP="00D97EF3">
      <w:pPr>
        <w:pStyle w:val="Textonotapie"/>
        <w:ind w:firstLine="708"/>
        <w:jc w:val="both"/>
        <w:rPr>
          <w:rFonts w:ascii="Verdana" w:hAnsi="Verdana" w:cs="Arial"/>
          <w:sz w:val="16"/>
          <w:szCs w:val="16"/>
        </w:rPr>
      </w:pPr>
      <w:r w:rsidRPr="00AD7D22">
        <w:rPr>
          <w:rStyle w:val="Refdenotaalpie"/>
          <w:rFonts w:ascii="Verdana" w:hAnsi="Verdana" w:cs="Arial"/>
          <w:sz w:val="16"/>
          <w:szCs w:val="16"/>
        </w:rPr>
        <w:footnoteRef/>
      </w:r>
      <w:r w:rsidRPr="00AD7D22">
        <w:rPr>
          <w:rFonts w:ascii="Verdana" w:hAnsi="Verdana" w:cs="Arial"/>
          <w:sz w:val="16"/>
          <w:szCs w:val="16"/>
        </w:rPr>
        <w:t xml:space="preserve"> Cfr. Colombia Compra Eficiente. Subdirección de Gestión Contractual. Concepto C-362 del 3 de julio de 2020. Pág. 9.</w:t>
      </w:r>
    </w:p>
    <w:p w14:paraId="78B3D3CA" w14:textId="77777777" w:rsidR="00D97EF3" w:rsidRPr="00AD7D22" w:rsidRDefault="00D97EF3" w:rsidP="00D97EF3">
      <w:pPr>
        <w:pStyle w:val="Textonotapie"/>
        <w:ind w:firstLine="708"/>
        <w:jc w:val="both"/>
        <w:rPr>
          <w:rFonts w:ascii="Verdana" w:hAnsi="Verdana" w:cs="Arial"/>
          <w:sz w:val="16"/>
          <w:szCs w:val="16"/>
        </w:rPr>
      </w:pPr>
    </w:p>
  </w:footnote>
  <w:footnote w:id="8">
    <w:p w14:paraId="25D0EF6F" w14:textId="77777777" w:rsidR="00D97EF3" w:rsidRPr="00AD7D22" w:rsidRDefault="00D97EF3" w:rsidP="00D97EF3">
      <w:pPr>
        <w:spacing w:after="0" w:line="240" w:lineRule="auto"/>
        <w:ind w:firstLine="708"/>
        <w:jc w:val="both"/>
        <w:rPr>
          <w:rFonts w:ascii="Verdana" w:hAnsi="Verdana" w:cs="Arial"/>
          <w:sz w:val="16"/>
          <w:szCs w:val="16"/>
        </w:rPr>
      </w:pPr>
      <w:r w:rsidRPr="00AD7D22">
        <w:rPr>
          <w:rStyle w:val="Refdenotaalpie"/>
          <w:rFonts w:ascii="Verdana" w:hAnsi="Verdana" w:cs="Arial"/>
          <w:sz w:val="16"/>
          <w:szCs w:val="16"/>
        </w:rPr>
        <w:footnoteRef/>
      </w:r>
      <w:r w:rsidRPr="00AD7D22">
        <w:rPr>
          <w:rFonts w:ascii="Verdana" w:hAnsi="Verdana" w:cs="Arial"/>
          <w:sz w:val="16"/>
          <w:szCs w:val="16"/>
        </w:rPr>
        <w:t xml:space="preserve"> “La</w:t>
      </w:r>
      <w:r w:rsidRPr="00AD7D22">
        <w:rPr>
          <w:rFonts w:ascii="Verdana" w:hAnsi="Verdana" w:cs="Arial"/>
          <w:spacing w:val="-12"/>
          <w:sz w:val="16"/>
          <w:szCs w:val="16"/>
        </w:rPr>
        <w:t xml:space="preserve"> </w:t>
      </w:r>
      <w:r w:rsidRPr="00AD7D22">
        <w:rPr>
          <w:rFonts w:ascii="Verdana" w:hAnsi="Verdana" w:cs="Arial"/>
          <w:sz w:val="16"/>
          <w:szCs w:val="16"/>
        </w:rPr>
        <w:t>fuerza</w:t>
      </w:r>
      <w:r w:rsidRPr="00AD7D22">
        <w:rPr>
          <w:rFonts w:ascii="Verdana" w:hAnsi="Verdana" w:cs="Arial"/>
          <w:spacing w:val="-12"/>
          <w:sz w:val="16"/>
          <w:szCs w:val="16"/>
        </w:rPr>
        <w:t xml:space="preserve"> </w:t>
      </w:r>
      <w:r w:rsidRPr="00AD7D22">
        <w:rPr>
          <w:rFonts w:ascii="Verdana" w:hAnsi="Verdana" w:cs="Arial"/>
          <w:sz w:val="16"/>
          <w:szCs w:val="16"/>
        </w:rPr>
        <w:t>vinculante</w:t>
      </w:r>
      <w:r w:rsidRPr="00AD7D22">
        <w:rPr>
          <w:rFonts w:ascii="Verdana" w:hAnsi="Verdana" w:cs="Arial"/>
          <w:spacing w:val="-12"/>
          <w:sz w:val="16"/>
          <w:szCs w:val="16"/>
        </w:rPr>
        <w:t xml:space="preserve"> </w:t>
      </w:r>
      <w:r w:rsidRPr="00AD7D22">
        <w:rPr>
          <w:rFonts w:ascii="Verdana" w:hAnsi="Verdana" w:cs="Arial"/>
          <w:sz w:val="16"/>
          <w:szCs w:val="16"/>
        </w:rPr>
        <w:t>de</w:t>
      </w:r>
      <w:r w:rsidRPr="00AD7D22">
        <w:rPr>
          <w:rFonts w:ascii="Verdana" w:hAnsi="Verdana" w:cs="Arial"/>
          <w:spacing w:val="-11"/>
          <w:sz w:val="16"/>
          <w:szCs w:val="16"/>
        </w:rPr>
        <w:t xml:space="preserve"> </w:t>
      </w:r>
      <w:r w:rsidRPr="00AD7D22">
        <w:rPr>
          <w:rFonts w:ascii="Verdana" w:hAnsi="Verdana" w:cs="Arial"/>
          <w:sz w:val="16"/>
          <w:szCs w:val="16"/>
        </w:rPr>
        <w:t>los</w:t>
      </w:r>
      <w:r w:rsidRPr="00AD7D22">
        <w:rPr>
          <w:rFonts w:ascii="Verdana" w:hAnsi="Verdana" w:cs="Arial"/>
          <w:spacing w:val="-12"/>
          <w:sz w:val="16"/>
          <w:szCs w:val="16"/>
        </w:rPr>
        <w:t xml:space="preserve"> </w:t>
      </w:r>
      <w:r w:rsidRPr="00AD7D22">
        <w:rPr>
          <w:rFonts w:ascii="Verdana" w:hAnsi="Verdana" w:cs="Arial"/>
          <w:sz w:val="16"/>
          <w:szCs w:val="16"/>
        </w:rPr>
        <w:t>reglamentos</w:t>
      </w:r>
      <w:r w:rsidRPr="00AD7D22">
        <w:rPr>
          <w:rFonts w:ascii="Verdana" w:hAnsi="Verdana" w:cs="Arial"/>
          <w:spacing w:val="-12"/>
          <w:sz w:val="16"/>
          <w:szCs w:val="16"/>
        </w:rPr>
        <w:t xml:space="preserve"> </w:t>
      </w:r>
      <w:r w:rsidRPr="00AD7D22">
        <w:rPr>
          <w:rFonts w:ascii="Verdana" w:hAnsi="Verdana" w:cs="Arial"/>
          <w:sz w:val="16"/>
          <w:szCs w:val="16"/>
        </w:rPr>
        <w:t>–tanto</w:t>
      </w:r>
      <w:r w:rsidRPr="00AD7D22">
        <w:rPr>
          <w:rFonts w:ascii="Verdana" w:hAnsi="Verdana" w:cs="Arial"/>
          <w:spacing w:val="-12"/>
          <w:sz w:val="16"/>
          <w:szCs w:val="16"/>
        </w:rPr>
        <w:t xml:space="preserve"> </w:t>
      </w:r>
      <w:r w:rsidRPr="00AD7D22">
        <w:rPr>
          <w:rFonts w:ascii="Verdana" w:hAnsi="Verdana" w:cs="Arial"/>
          <w:sz w:val="16"/>
          <w:szCs w:val="16"/>
        </w:rPr>
        <w:t>para</w:t>
      </w:r>
      <w:r w:rsidRPr="00AD7D22">
        <w:rPr>
          <w:rFonts w:ascii="Verdana" w:hAnsi="Verdana" w:cs="Arial"/>
          <w:spacing w:val="-12"/>
          <w:sz w:val="16"/>
          <w:szCs w:val="16"/>
        </w:rPr>
        <w:t xml:space="preserve"> </w:t>
      </w:r>
      <w:r w:rsidRPr="00AD7D22">
        <w:rPr>
          <w:rFonts w:ascii="Verdana" w:hAnsi="Verdana" w:cs="Arial"/>
          <w:sz w:val="16"/>
          <w:szCs w:val="16"/>
        </w:rPr>
        <w:t>los</w:t>
      </w:r>
      <w:r w:rsidRPr="00AD7D22">
        <w:rPr>
          <w:rFonts w:ascii="Verdana" w:hAnsi="Verdana" w:cs="Arial"/>
          <w:spacing w:val="-11"/>
          <w:sz w:val="16"/>
          <w:szCs w:val="16"/>
        </w:rPr>
        <w:t xml:space="preserve"> </w:t>
      </w:r>
      <w:r w:rsidRPr="00AD7D22">
        <w:rPr>
          <w:rFonts w:ascii="Verdana" w:hAnsi="Verdana" w:cs="Arial"/>
          <w:sz w:val="16"/>
          <w:szCs w:val="16"/>
        </w:rPr>
        <w:t>administrados</w:t>
      </w:r>
      <w:r w:rsidRPr="00AD7D22">
        <w:rPr>
          <w:rFonts w:ascii="Verdana" w:hAnsi="Verdana" w:cs="Arial"/>
          <w:spacing w:val="-12"/>
          <w:sz w:val="16"/>
          <w:szCs w:val="16"/>
        </w:rPr>
        <w:t xml:space="preserve"> </w:t>
      </w:r>
      <w:r w:rsidRPr="00AD7D22">
        <w:rPr>
          <w:rFonts w:ascii="Verdana" w:hAnsi="Verdana" w:cs="Arial"/>
          <w:sz w:val="16"/>
          <w:szCs w:val="16"/>
        </w:rPr>
        <w:t>como</w:t>
      </w:r>
      <w:r w:rsidRPr="00AD7D22">
        <w:rPr>
          <w:rFonts w:ascii="Verdana" w:hAnsi="Verdana" w:cs="Arial"/>
          <w:spacing w:val="-12"/>
          <w:sz w:val="16"/>
          <w:szCs w:val="16"/>
        </w:rPr>
        <w:t xml:space="preserve"> </w:t>
      </w:r>
      <w:r w:rsidRPr="00AD7D22">
        <w:rPr>
          <w:rFonts w:ascii="Verdana" w:hAnsi="Verdana" w:cs="Arial"/>
          <w:sz w:val="16"/>
          <w:szCs w:val="16"/>
        </w:rPr>
        <w:t>para</w:t>
      </w:r>
      <w:r w:rsidRPr="00AD7D22">
        <w:rPr>
          <w:rFonts w:ascii="Verdana" w:hAnsi="Verdana" w:cs="Arial"/>
          <w:spacing w:val="-12"/>
          <w:sz w:val="16"/>
          <w:szCs w:val="16"/>
        </w:rPr>
        <w:t xml:space="preserve"> </w:t>
      </w:r>
      <w:r w:rsidRPr="00AD7D22">
        <w:rPr>
          <w:rFonts w:ascii="Verdana" w:hAnsi="Verdana" w:cs="Arial"/>
          <w:sz w:val="16"/>
          <w:szCs w:val="16"/>
        </w:rPr>
        <w:t>la</w:t>
      </w:r>
      <w:r w:rsidRPr="00AD7D22">
        <w:rPr>
          <w:rFonts w:ascii="Verdana" w:hAnsi="Verdana" w:cs="Arial"/>
          <w:spacing w:val="-12"/>
          <w:sz w:val="16"/>
          <w:szCs w:val="16"/>
        </w:rPr>
        <w:t xml:space="preserve"> </w:t>
      </w:r>
      <w:r w:rsidRPr="00AD7D22">
        <w:rPr>
          <w:rFonts w:ascii="Verdana" w:hAnsi="Verdana" w:cs="Arial"/>
          <w:sz w:val="16"/>
          <w:szCs w:val="16"/>
        </w:rPr>
        <w:t>propia</w:t>
      </w:r>
      <w:r w:rsidRPr="00AD7D22">
        <w:rPr>
          <w:rFonts w:ascii="Verdana" w:hAnsi="Verdana" w:cs="Arial"/>
          <w:spacing w:val="-50"/>
          <w:sz w:val="16"/>
          <w:szCs w:val="16"/>
        </w:rPr>
        <w:t xml:space="preserve"> </w:t>
      </w:r>
      <w:r w:rsidRPr="00AD7D22">
        <w:rPr>
          <w:rFonts w:ascii="Verdana" w:hAnsi="Verdana" w:cs="Arial"/>
          <w:sz w:val="16"/>
          <w:szCs w:val="16"/>
        </w:rPr>
        <w:t>administración– surge del hecho de ser una norma jurídica, y de compartir la naturaleza del acto</w:t>
      </w:r>
      <w:r w:rsidRPr="00AD7D22">
        <w:rPr>
          <w:rFonts w:ascii="Verdana" w:hAnsi="Verdana" w:cs="Arial"/>
          <w:spacing w:val="1"/>
          <w:sz w:val="16"/>
          <w:szCs w:val="16"/>
        </w:rPr>
        <w:t xml:space="preserve"> </w:t>
      </w:r>
      <w:r w:rsidRPr="00AD7D22">
        <w:rPr>
          <w:rFonts w:ascii="Verdana" w:hAnsi="Verdana" w:cs="Arial"/>
          <w:sz w:val="16"/>
          <w:szCs w:val="16"/>
        </w:rPr>
        <w:t>administrativo,</w:t>
      </w:r>
      <w:r w:rsidRPr="00AD7D22">
        <w:rPr>
          <w:rFonts w:ascii="Verdana" w:hAnsi="Verdana" w:cs="Arial"/>
          <w:spacing w:val="-4"/>
          <w:sz w:val="16"/>
          <w:szCs w:val="16"/>
        </w:rPr>
        <w:t xml:space="preserve"> </w:t>
      </w:r>
      <w:r w:rsidRPr="00AD7D22">
        <w:rPr>
          <w:rFonts w:ascii="Verdana" w:hAnsi="Verdana" w:cs="Arial"/>
          <w:sz w:val="16"/>
          <w:szCs w:val="16"/>
        </w:rPr>
        <w:t>luego,</w:t>
      </w:r>
      <w:r w:rsidRPr="00AD7D22">
        <w:rPr>
          <w:rFonts w:ascii="Verdana" w:hAnsi="Verdana" w:cs="Arial"/>
          <w:spacing w:val="-4"/>
          <w:sz w:val="16"/>
          <w:szCs w:val="16"/>
        </w:rPr>
        <w:t xml:space="preserve"> </w:t>
      </w:r>
      <w:r w:rsidRPr="00AD7D22">
        <w:rPr>
          <w:rFonts w:ascii="Verdana" w:hAnsi="Verdana" w:cs="Arial"/>
          <w:sz w:val="16"/>
          <w:szCs w:val="16"/>
        </w:rPr>
        <w:t>de</w:t>
      </w:r>
      <w:r w:rsidRPr="00AD7D22">
        <w:rPr>
          <w:rFonts w:ascii="Verdana" w:hAnsi="Verdana" w:cs="Arial"/>
          <w:spacing w:val="-4"/>
          <w:sz w:val="16"/>
          <w:szCs w:val="16"/>
        </w:rPr>
        <w:t xml:space="preserve"> </w:t>
      </w:r>
      <w:r w:rsidRPr="00AD7D22">
        <w:rPr>
          <w:rFonts w:ascii="Verdana" w:hAnsi="Verdana" w:cs="Arial"/>
          <w:sz w:val="16"/>
          <w:szCs w:val="16"/>
        </w:rPr>
        <w:t>allí</w:t>
      </w:r>
      <w:r w:rsidRPr="00AD7D22">
        <w:rPr>
          <w:rFonts w:ascii="Verdana" w:hAnsi="Verdana" w:cs="Arial"/>
          <w:spacing w:val="-4"/>
          <w:sz w:val="16"/>
          <w:szCs w:val="16"/>
        </w:rPr>
        <w:t xml:space="preserve"> </w:t>
      </w:r>
      <w:r w:rsidRPr="00AD7D22">
        <w:rPr>
          <w:rFonts w:ascii="Verdana" w:hAnsi="Verdana" w:cs="Arial"/>
          <w:sz w:val="16"/>
          <w:szCs w:val="16"/>
        </w:rPr>
        <w:t>también</w:t>
      </w:r>
      <w:r w:rsidRPr="00AD7D22">
        <w:rPr>
          <w:rFonts w:ascii="Verdana" w:hAnsi="Verdana" w:cs="Arial"/>
          <w:spacing w:val="-4"/>
          <w:sz w:val="16"/>
          <w:szCs w:val="16"/>
        </w:rPr>
        <w:t xml:space="preserve"> </w:t>
      </w:r>
      <w:r w:rsidRPr="00AD7D22">
        <w:rPr>
          <w:rFonts w:ascii="Verdana" w:hAnsi="Verdana" w:cs="Arial"/>
          <w:sz w:val="16"/>
          <w:szCs w:val="16"/>
        </w:rPr>
        <w:t>se</w:t>
      </w:r>
      <w:r w:rsidRPr="00AD7D22">
        <w:rPr>
          <w:rFonts w:ascii="Verdana" w:hAnsi="Verdana" w:cs="Arial"/>
          <w:spacing w:val="-4"/>
          <w:sz w:val="16"/>
          <w:szCs w:val="16"/>
        </w:rPr>
        <w:t xml:space="preserve"> </w:t>
      </w:r>
      <w:r w:rsidRPr="00AD7D22">
        <w:rPr>
          <w:rFonts w:ascii="Verdana" w:hAnsi="Verdana" w:cs="Arial"/>
          <w:sz w:val="16"/>
          <w:szCs w:val="16"/>
        </w:rPr>
        <w:t>desprende</w:t>
      </w:r>
      <w:r w:rsidRPr="00AD7D22">
        <w:rPr>
          <w:rFonts w:ascii="Verdana" w:hAnsi="Verdana" w:cs="Arial"/>
          <w:spacing w:val="-4"/>
          <w:sz w:val="16"/>
          <w:szCs w:val="16"/>
        </w:rPr>
        <w:t xml:space="preserve"> </w:t>
      </w:r>
      <w:r w:rsidRPr="00AD7D22">
        <w:rPr>
          <w:rFonts w:ascii="Verdana" w:hAnsi="Verdana" w:cs="Arial"/>
          <w:sz w:val="16"/>
          <w:szCs w:val="16"/>
        </w:rPr>
        <w:t>que</w:t>
      </w:r>
      <w:r w:rsidRPr="00AD7D22">
        <w:rPr>
          <w:rFonts w:ascii="Verdana" w:hAnsi="Verdana" w:cs="Arial"/>
          <w:spacing w:val="-3"/>
          <w:sz w:val="16"/>
          <w:szCs w:val="16"/>
        </w:rPr>
        <w:t xml:space="preserve"> </w:t>
      </w:r>
      <w:r w:rsidRPr="00AD7D22">
        <w:rPr>
          <w:rFonts w:ascii="Verdana" w:hAnsi="Verdana" w:cs="Arial"/>
          <w:sz w:val="16"/>
          <w:szCs w:val="16"/>
        </w:rPr>
        <w:t>se</w:t>
      </w:r>
      <w:r w:rsidRPr="00AD7D22">
        <w:rPr>
          <w:rFonts w:ascii="Verdana" w:hAnsi="Verdana" w:cs="Arial"/>
          <w:spacing w:val="-4"/>
          <w:sz w:val="16"/>
          <w:szCs w:val="16"/>
        </w:rPr>
        <w:t xml:space="preserve"> </w:t>
      </w:r>
      <w:r w:rsidRPr="00AD7D22">
        <w:rPr>
          <w:rFonts w:ascii="Verdana" w:hAnsi="Verdana" w:cs="Arial"/>
          <w:sz w:val="16"/>
          <w:szCs w:val="16"/>
        </w:rPr>
        <w:t>presuman</w:t>
      </w:r>
      <w:r w:rsidRPr="00AD7D22">
        <w:rPr>
          <w:rFonts w:ascii="Verdana" w:hAnsi="Verdana" w:cs="Arial"/>
          <w:spacing w:val="-4"/>
          <w:sz w:val="16"/>
          <w:szCs w:val="16"/>
        </w:rPr>
        <w:t xml:space="preserve"> </w:t>
      </w:r>
      <w:r w:rsidRPr="00AD7D22">
        <w:rPr>
          <w:rFonts w:ascii="Verdana" w:hAnsi="Verdana" w:cs="Arial"/>
          <w:sz w:val="16"/>
          <w:szCs w:val="16"/>
        </w:rPr>
        <w:t>legales</w:t>
      </w:r>
      <w:r w:rsidRPr="00AD7D22">
        <w:rPr>
          <w:rFonts w:ascii="Verdana" w:hAnsi="Verdana" w:cs="Arial"/>
          <w:spacing w:val="-4"/>
          <w:sz w:val="16"/>
          <w:szCs w:val="16"/>
        </w:rPr>
        <w:t xml:space="preserve"> </w:t>
      </w:r>
      <w:r w:rsidRPr="00AD7D22">
        <w:rPr>
          <w:rFonts w:ascii="Verdana" w:hAnsi="Verdana" w:cs="Arial"/>
          <w:sz w:val="16"/>
          <w:szCs w:val="16"/>
        </w:rPr>
        <w:t>y</w:t>
      </w:r>
      <w:r w:rsidRPr="00AD7D22">
        <w:rPr>
          <w:rFonts w:ascii="Verdana" w:hAnsi="Verdana" w:cs="Arial"/>
          <w:spacing w:val="-4"/>
          <w:sz w:val="16"/>
          <w:szCs w:val="16"/>
        </w:rPr>
        <w:t xml:space="preserve"> </w:t>
      </w:r>
      <w:r w:rsidRPr="00AD7D22">
        <w:rPr>
          <w:rFonts w:ascii="Verdana" w:hAnsi="Verdana" w:cs="Arial"/>
          <w:sz w:val="16"/>
          <w:szCs w:val="16"/>
        </w:rPr>
        <w:t>sean</w:t>
      </w:r>
      <w:r w:rsidRPr="00AD7D22">
        <w:rPr>
          <w:rFonts w:ascii="Verdana" w:hAnsi="Verdana" w:cs="Arial"/>
          <w:spacing w:val="-4"/>
          <w:sz w:val="16"/>
          <w:szCs w:val="16"/>
        </w:rPr>
        <w:t xml:space="preserve"> </w:t>
      </w:r>
      <w:r w:rsidRPr="00AD7D22">
        <w:rPr>
          <w:rFonts w:ascii="Verdana" w:hAnsi="Verdana" w:cs="Arial"/>
          <w:sz w:val="16"/>
          <w:szCs w:val="16"/>
        </w:rPr>
        <w:t>ejecutorios.</w:t>
      </w:r>
    </w:p>
    <w:p w14:paraId="5B7E4353" w14:textId="77777777" w:rsidR="00D97EF3" w:rsidRPr="00AD7D22" w:rsidRDefault="00D97EF3" w:rsidP="00D97EF3">
      <w:pPr>
        <w:spacing w:after="0" w:line="240" w:lineRule="auto"/>
        <w:ind w:firstLine="708"/>
        <w:jc w:val="both"/>
        <w:rPr>
          <w:rFonts w:ascii="Verdana" w:hAnsi="Verdana" w:cs="Arial"/>
          <w:sz w:val="16"/>
          <w:szCs w:val="16"/>
        </w:rPr>
      </w:pPr>
      <w:r w:rsidRPr="00AD7D22">
        <w:rPr>
          <w:rFonts w:ascii="Verdana" w:hAnsi="Verdana" w:cs="Arial"/>
          <w:sz w:val="16"/>
          <w:szCs w:val="16"/>
        </w:rPr>
        <w:t>Por esta misma razón, la doctrina española –con especial fuerza– ha señalado que su</w:t>
      </w:r>
      <w:r w:rsidRPr="00AD7D22">
        <w:rPr>
          <w:rFonts w:ascii="Verdana" w:hAnsi="Verdana" w:cs="Arial"/>
          <w:spacing w:val="1"/>
          <w:sz w:val="16"/>
          <w:szCs w:val="16"/>
        </w:rPr>
        <w:t xml:space="preserve"> </w:t>
      </w:r>
      <w:r w:rsidRPr="00AD7D22">
        <w:rPr>
          <w:rFonts w:ascii="Verdana" w:hAnsi="Verdana" w:cs="Arial"/>
          <w:sz w:val="16"/>
          <w:szCs w:val="16"/>
        </w:rPr>
        <w:t>observancia</w:t>
      </w:r>
      <w:r w:rsidRPr="00AD7D22">
        <w:rPr>
          <w:rFonts w:ascii="Verdana" w:hAnsi="Verdana" w:cs="Arial"/>
          <w:spacing w:val="-5"/>
          <w:sz w:val="16"/>
          <w:szCs w:val="16"/>
        </w:rPr>
        <w:t xml:space="preserve"> </w:t>
      </w:r>
      <w:r w:rsidRPr="00AD7D22">
        <w:rPr>
          <w:rFonts w:ascii="Verdana" w:hAnsi="Verdana" w:cs="Arial"/>
          <w:sz w:val="16"/>
          <w:szCs w:val="16"/>
        </w:rPr>
        <w:t>no</w:t>
      </w:r>
      <w:r w:rsidRPr="00AD7D22">
        <w:rPr>
          <w:rFonts w:ascii="Verdana" w:hAnsi="Verdana" w:cs="Arial"/>
          <w:spacing w:val="-4"/>
          <w:sz w:val="16"/>
          <w:szCs w:val="16"/>
        </w:rPr>
        <w:t xml:space="preserve"> </w:t>
      </w:r>
      <w:r w:rsidRPr="00AD7D22">
        <w:rPr>
          <w:rFonts w:ascii="Verdana" w:hAnsi="Verdana" w:cs="Arial"/>
          <w:sz w:val="16"/>
          <w:szCs w:val="16"/>
        </w:rPr>
        <w:t>queda</w:t>
      </w:r>
      <w:r w:rsidRPr="00AD7D22">
        <w:rPr>
          <w:rFonts w:ascii="Verdana" w:hAnsi="Verdana" w:cs="Arial"/>
          <w:spacing w:val="-5"/>
          <w:sz w:val="16"/>
          <w:szCs w:val="16"/>
        </w:rPr>
        <w:t xml:space="preserve"> </w:t>
      </w:r>
      <w:r w:rsidRPr="00AD7D22">
        <w:rPr>
          <w:rFonts w:ascii="Verdana" w:hAnsi="Verdana" w:cs="Arial"/>
          <w:sz w:val="16"/>
          <w:szCs w:val="16"/>
        </w:rPr>
        <w:t>al</w:t>
      </w:r>
      <w:r w:rsidRPr="00AD7D22">
        <w:rPr>
          <w:rFonts w:ascii="Verdana" w:hAnsi="Verdana" w:cs="Arial"/>
          <w:spacing w:val="-4"/>
          <w:sz w:val="16"/>
          <w:szCs w:val="16"/>
        </w:rPr>
        <w:t xml:space="preserve"> </w:t>
      </w:r>
      <w:r w:rsidRPr="00AD7D22">
        <w:rPr>
          <w:rFonts w:ascii="Verdana" w:hAnsi="Verdana" w:cs="Arial"/>
          <w:sz w:val="16"/>
          <w:szCs w:val="16"/>
        </w:rPr>
        <w:t>capricho</w:t>
      </w:r>
      <w:r w:rsidRPr="00AD7D22">
        <w:rPr>
          <w:rFonts w:ascii="Verdana" w:hAnsi="Verdana" w:cs="Arial"/>
          <w:spacing w:val="-5"/>
          <w:sz w:val="16"/>
          <w:szCs w:val="16"/>
        </w:rPr>
        <w:t xml:space="preserve"> </w:t>
      </w:r>
      <w:r w:rsidRPr="00AD7D22">
        <w:rPr>
          <w:rFonts w:ascii="Verdana" w:hAnsi="Verdana" w:cs="Arial"/>
          <w:sz w:val="16"/>
          <w:szCs w:val="16"/>
        </w:rPr>
        <w:t>del</w:t>
      </w:r>
      <w:r w:rsidRPr="00AD7D22">
        <w:rPr>
          <w:rFonts w:ascii="Verdana" w:hAnsi="Verdana" w:cs="Arial"/>
          <w:spacing w:val="-4"/>
          <w:sz w:val="16"/>
          <w:szCs w:val="16"/>
        </w:rPr>
        <w:t xml:space="preserve"> </w:t>
      </w:r>
      <w:r w:rsidRPr="00AD7D22">
        <w:rPr>
          <w:rFonts w:ascii="Verdana" w:hAnsi="Verdana" w:cs="Arial"/>
          <w:sz w:val="16"/>
          <w:szCs w:val="16"/>
        </w:rPr>
        <w:t>órgano</w:t>
      </w:r>
      <w:r w:rsidRPr="00AD7D22">
        <w:rPr>
          <w:rFonts w:ascii="Verdana" w:hAnsi="Verdana" w:cs="Arial"/>
          <w:spacing w:val="-5"/>
          <w:sz w:val="16"/>
          <w:szCs w:val="16"/>
        </w:rPr>
        <w:t xml:space="preserve"> </w:t>
      </w:r>
      <w:r w:rsidRPr="00AD7D22">
        <w:rPr>
          <w:rFonts w:ascii="Verdana" w:hAnsi="Verdana" w:cs="Arial"/>
          <w:sz w:val="16"/>
          <w:szCs w:val="16"/>
        </w:rPr>
        <w:t>que</w:t>
      </w:r>
      <w:r w:rsidRPr="00AD7D22">
        <w:rPr>
          <w:rFonts w:ascii="Verdana" w:hAnsi="Verdana" w:cs="Arial"/>
          <w:spacing w:val="-4"/>
          <w:sz w:val="16"/>
          <w:szCs w:val="16"/>
        </w:rPr>
        <w:t xml:space="preserve"> </w:t>
      </w:r>
      <w:r w:rsidRPr="00AD7D22">
        <w:rPr>
          <w:rFonts w:ascii="Verdana" w:hAnsi="Verdana" w:cs="Arial"/>
          <w:sz w:val="16"/>
          <w:szCs w:val="16"/>
        </w:rPr>
        <w:t>la</w:t>
      </w:r>
      <w:r w:rsidRPr="00AD7D22">
        <w:rPr>
          <w:rFonts w:ascii="Verdana" w:hAnsi="Verdana" w:cs="Arial"/>
          <w:spacing w:val="-5"/>
          <w:sz w:val="16"/>
          <w:szCs w:val="16"/>
        </w:rPr>
        <w:t xml:space="preserve"> </w:t>
      </w:r>
      <w:r w:rsidRPr="00AD7D22">
        <w:rPr>
          <w:rFonts w:ascii="Verdana" w:hAnsi="Verdana" w:cs="Arial"/>
          <w:sz w:val="16"/>
          <w:szCs w:val="16"/>
        </w:rPr>
        <w:t>expidió,</w:t>
      </w:r>
      <w:r w:rsidRPr="00AD7D22">
        <w:rPr>
          <w:rFonts w:ascii="Verdana" w:hAnsi="Verdana" w:cs="Arial"/>
          <w:spacing w:val="-4"/>
          <w:sz w:val="16"/>
          <w:szCs w:val="16"/>
        </w:rPr>
        <w:t xml:space="preserve"> </w:t>
      </w:r>
      <w:r w:rsidRPr="00AD7D22">
        <w:rPr>
          <w:rFonts w:ascii="Verdana" w:hAnsi="Verdana" w:cs="Arial"/>
          <w:sz w:val="16"/>
          <w:szCs w:val="16"/>
        </w:rPr>
        <w:t>pues</w:t>
      </w:r>
      <w:r w:rsidRPr="00AD7D22">
        <w:rPr>
          <w:rFonts w:ascii="Verdana" w:hAnsi="Verdana" w:cs="Arial"/>
          <w:spacing w:val="-5"/>
          <w:sz w:val="16"/>
          <w:szCs w:val="16"/>
        </w:rPr>
        <w:t xml:space="preserve"> </w:t>
      </w:r>
      <w:r w:rsidRPr="00AD7D22">
        <w:rPr>
          <w:rFonts w:ascii="Verdana" w:hAnsi="Verdana" w:cs="Arial"/>
          <w:sz w:val="16"/>
          <w:szCs w:val="16"/>
        </w:rPr>
        <w:t>si</w:t>
      </w:r>
      <w:r w:rsidRPr="00AD7D22">
        <w:rPr>
          <w:rFonts w:ascii="Verdana" w:hAnsi="Verdana" w:cs="Arial"/>
          <w:spacing w:val="-4"/>
          <w:sz w:val="16"/>
          <w:szCs w:val="16"/>
        </w:rPr>
        <w:t xml:space="preserve"> </w:t>
      </w:r>
      <w:r w:rsidRPr="00AD7D22">
        <w:rPr>
          <w:rFonts w:ascii="Verdana" w:hAnsi="Verdana" w:cs="Arial"/>
          <w:sz w:val="16"/>
          <w:szCs w:val="16"/>
        </w:rPr>
        <w:t>quisiera</w:t>
      </w:r>
      <w:r w:rsidRPr="00AD7D22">
        <w:rPr>
          <w:rFonts w:ascii="Verdana" w:hAnsi="Verdana" w:cs="Arial"/>
          <w:spacing w:val="-5"/>
          <w:sz w:val="16"/>
          <w:szCs w:val="16"/>
        </w:rPr>
        <w:t xml:space="preserve"> </w:t>
      </w:r>
      <w:r w:rsidRPr="00AD7D22">
        <w:rPr>
          <w:rFonts w:ascii="Verdana" w:hAnsi="Verdana" w:cs="Arial"/>
          <w:sz w:val="16"/>
          <w:szCs w:val="16"/>
        </w:rPr>
        <w:t>él</w:t>
      </w:r>
      <w:r w:rsidRPr="00AD7D22">
        <w:rPr>
          <w:rFonts w:ascii="Verdana" w:hAnsi="Verdana" w:cs="Arial"/>
          <w:spacing w:val="-4"/>
          <w:sz w:val="16"/>
          <w:szCs w:val="16"/>
        </w:rPr>
        <w:t xml:space="preserve"> </w:t>
      </w:r>
      <w:r w:rsidRPr="00AD7D22">
        <w:rPr>
          <w:rFonts w:ascii="Verdana" w:hAnsi="Verdana" w:cs="Arial"/>
          <w:sz w:val="16"/>
          <w:szCs w:val="16"/>
        </w:rPr>
        <w:t>lo</w:t>
      </w:r>
      <w:r w:rsidRPr="00AD7D22">
        <w:rPr>
          <w:rFonts w:ascii="Verdana" w:hAnsi="Verdana" w:cs="Arial"/>
          <w:spacing w:val="-4"/>
          <w:sz w:val="16"/>
          <w:szCs w:val="16"/>
        </w:rPr>
        <w:t xml:space="preserve"> </w:t>
      </w:r>
      <w:r w:rsidRPr="00AD7D22">
        <w:rPr>
          <w:rFonts w:ascii="Verdana" w:hAnsi="Verdana" w:cs="Arial"/>
          <w:sz w:val="16"/>
          <w:szCs w:val="16"/>
        </w:rPr>
        <w:t>puede</w:t>
      </w:r>
      <w:r w:rsidRPr="00AD7D22">
        <w:rPr>
          <w:rFonts w:ascii="Verdana" w:hAnsi="Verdana" w:cs="Arial"/>
          <w:spacing w:val="-5"/>
          <w:sz w:val="16"/>
          <w:szCs w:val="16"/>
        </w:rPr>
        <w:t xml:space="preserve"> </w:t>
      </w:r>
      <w:r w:rsidRPr="00AD7D22">
        <w:rPr>
          <w:rFonts w:ascii="Verdana" w:hAnsi="Verdana" w:cs="Arial"/>
          <w:sz w:val="16"/>
          <w:szCs w:val="16"/>
        </w:rPr>
        <w:t>desconocer.</w:t>
      </w:r>
      <w:r w:rsidRPr="00AD7D22">
        <w:rPr>
          <w:rFonts w:ascii="Verdana" w:hAnsi="Verdana" w:cs="Arial"/>
          <w:spacing w:val="1"/>
          <w:sz w:val="16"/>
          <w:szCs w:val="16"/>
        </w:rPr>
        <w:t xml:space="preserve"> </w:t>
      </w:r>
      <w:r w:rsidRPr="00AD7D22">
        <w:rPr>
          <w:rFonts w:ascii="Verdana" w:hAnsi="Verdana" w:cs="Arial"/>
          <w:sz w:val="16"/>
          <w:szCs w:val="16"/>
        </w:rPr>
        <w:t>De algún modo, como acontece con todo acto administrativo, el acto cobra vida propia, y autonomía</w:t>
      </w:r>
      <w:r w:rsidRPr="00AD7D22">
        <w:rPr>
          <w:rFonts w:ascii="Verdana" w:hAnsi="Verdana" w:cs="Arial"/>
          <w:spacing w:val="1"/>
          <w:sz w:val="16"/>
          <w:szCs w:val="16"/>
        </w:rPr>
        <w:t xml:space="preserve"> </w:t>
      </w:r>
      <w:r w:rsidRPr="00AD7D22">
        <w:rPr>
          <w:rFonts w:ascii="Verdana" w:hAnsi="Verdana" w:cs="Arial"/>
          <w:sz w:val="16"/>
          <w:szCs w:val="16"/>
        </w:rPr>
        <w:t>en</w:t>
      </w:r>
      <w:r w:rsidRPr="00AD7D22">
        <w:rPr>
          <w:rFonts w:ascii="Verdana" w:hAnsi="Verdana" w:cs="Arial"/>
          <w:spacing w:val="-7"/>
          <w:sz w:val="16"/>
          <w:szCs w:val="16"/>
        </w:rPr>
        <w:t xml:space="preserve"> </w:t>
      </w:r>
      <w:r w:rsidRPr="00AD7D22">
        <w:rPr>
          <w:rFonts w:ascii="Verdana" w:hAnsi="Verdana" w:cs="Arial"/>
          <w:sz w:val="16"/>
          <w:szCs w:val="16"/>
        </w:rPr>
        <w:t>relación</w:t>
      </w:r>
      <w:r w:rsidRPr="00AD7D22">
        <w:rPr>
          <w:rFonts w:ascii="Verdana" w:hAnsi="Verdana" w:cs="Arial"/>
          <w:spacing w:val="-7"/>
          <w:sz w:val="16"/>
          <w:szCs w:val="16"/>
        </w:rPr>
        <w:t xml:space="preserve"> </w:t>
      </w:r>
      <w:r w:rsidRPr="00AD7D22">
        <w:rPr>
          <w:rFonts w:ascii="Verdana" w:hAnsi="Verdana" w:cs="Arial"/>
          <w:sz w:val="16"/>
          <w:szCs w:val="16"/>
        </w:rPr>
        <w:t>con</w:t>
      </w:r>
      <w:r w:rsidRPr="00AD7D22">
        <w:rPr>
          <w:rFonts w:ascii="Verdana" w:hAnsi="Verdana" w:cs="Arial"/>
          <w:spacing w:val="-6"/>
          <w:sz w:val="16"/>
          <w:szCs w:val="16"/>
        </w:rPr>
        <w:t xml:space="preserve"> </w:t>
      </w:r>
      <w:r w:rsidRPr="00AD7D22">
        <w:rPr>
          <w:rFonts w:ascii="Verdana" w:hAnsi="Verdana" w:cs="Arial"/>
          <w:sz w:val="16"/>
          <w:szCs w:val="16"/>
        </w:rPr>
        <w:t>su</w:t>
      </w:r>
      <w:r w:rsidRPr="00AD7D22">
        <w:rPr>
          <w:rFonts w:ascii="Verdana" w:hAnsi="Verdana" w:cs="Arial"/>
          <w:spacing w:val="-7"/>
          <w:sz w:val="16"/>
          <w:szCs w:val="16"/>
        </w:rPr>
        <w:t xml:space="preserve"> </w:t>
      </w:r>
      <w:r w:rsidRPr="00AD7D22">
        <w:rPr>
          <w:rFonts w:ascii="Verdana" w:hAnsi="Verdana" w:cs="Arial"/>
          <w:sz w:val="16"/>
          <w:szCs w:val="16"/>
        </w:rPr>
        <w:t>propio</w:t>
      </w:r>
      <w:r w:rsidRPr="00AD7D22">
        <w:rPr>
          <w:rFonts w:ascii="Verdana" w:hAnsi="Verdana" w:cs="Arial"/>
          <w:spacing w:val="-7"/>
          <w:sz w:val="16"/>
          <w:szCs w:val="16"/>
        </w:rPr>
        <w:t xml:space="preserve"> </w:t>
      </w:r>
      <w:r w:rsidRPr="00AD7D22">
        <w:rPr>
          <w:rFonts w:ascii="Verdana" w:hAnsi="Verdana" w:cs="Arial"/>
          <w:sz w:val="16"/>
          <w:szCs w:val="16"/>
        </w:rPr>
        <w:t>creador.</w:t>
      </w:r>
      <w:r w:rsidRPr="00AD7D22">
        <w:rPr>
          <w:rFonts w:ascii="Verdana" w:hAnsi="Verdana" w:cs="Arial"/>
          <w:spacing w:val="-6"/>
          <w:sz w:val="16"/>
          <w:szCs w:val="16"/>
        </w:rPr>
        <w:t xml:space="preserve"> </w:t>
      </w:r>
      <w:r w:rsidRPr="00AD7D22">
        <w:rPr>
          <w:rFonts w:ascii="Verdana" w:hAnsi="Verdana" w:cs="Arial"/>
          <w:sz w:val="16"/>
          <w:szCs w:val="16"/>
        </w:rPr>
        <w:t>A</w:t>
      </w:r>
      <w:r w:rsidRPr="00AD7D22">
        <w:rPr>
          <w:rFonts w:ascii="Verdana" w:hAnsi="Verdana" w:cs="Arial"/>
          <w:spacing w:val="-7"/>
          <w:sz w:val="16"/>
          <w:szCs w:val="16"/>
        </w:rPr>
        <w:t xml:space="preserve"> </w:t>
      </w:r>
      <w:r w:rsidRPr="00AD7D22">
        <w:rPr>
          <w:rFonts w:ascii="Verdana" w:hAnsi="Verdana" w:cs="Arial"/>
          <w:sz w:val="16"/>
          <w:szCs w:val="16"/>
        </w:rPr>
        <w:t>este</w:t>
      </w:r>
      <w:r w:rsidRPr="00AD7D22">
        <w:rPr>
          <w:rFonts w:ascii="Verdana" w:hAnsi="Verdana" w:cs="Arial"/>
          <w:spacing w:val="-6"/>
          <w:sz w:val="16"/>
          <w:szCs w:val="16"/>
        </w:rPr>
        <w:t xml:space="preserve"> </w:t>
      </w:r>
      <w:r w:rsidRPr="00AD7D22">
        <w:rPr>
          <w:rFonts w:ascii="Verdana" w:hAnsi="Verdana" w:cs="Arial"/>
          <w:sz w:val="16"/>
          <w:szCs w:val="16"/>
        </w:rPr>
        <w:t>último</w:t>
      </w:r>
      <w:r w:rsidRPr="00AD7D22">
        <w:rPr>
          <w:rFonts w:ascii="Verdana" w:hAnsi="Verdana" w:cs="Arial"/>
          <w:spacing w:val="-7"/>
          <w:sz w:val="16"/>
          <w:szCs w:val="16"/>
        </w:rPr>
        <w:t xml:space="preserve"> </w:t>
      </w:r>
      <w:r w:rsidRPr="00AD7D22">
        <w:rPr>
          <w:rFonts w:ascii="Verdana" w:hAnsi="Verdana" w:cs="Arial"/>
          <w:sz w:val="16"/>
          <w:szCs w:val="16"/>
        </w:rPr>
        <w:t>evento</w:t>
      </w:r>
      <w:r w:rsidRPr="00AD7D22">
        <w:rPr>
          <w:rFonts w:ascii="Verdana" w:hAnsi="Verdana" w:cs="Arial"/>
          <w:spacing w:val="-7"/>
          <w:sz w:val="16"/>
          <w:szCs w:val="16"/>
        </w:rPr>
        <w:t xml:space="preserve"> </w:t>
      </w:r>
      <w:r w:rsidRPr="00AD7D22">
        <w:rPr>
          <w:rFonts w:ascii="Verdana" w:hAnsi="Verdana" w:cs="Arial"/>
          <w:sz w:val="16"/>
          <w:szCs w:val="16"/>
        </w:rPr>
        <w:t>se</w:t>
      </w:r>
      <w:r w:rsidRPr="00AD7D22">
        <w:rPr>
          <w:rFonts w:ascii="Verdana" w:hAnsi="Verdana" w:cs="Arial"/>
          <w:spacing w:val="-6"/>
          <w:sz w:val="16"/>
          <w:szCs w:val="16"/>
        </w:rPr>
        <w:t xml:space="preserve"> </w:t>
      </w:r>
      <w:r w:rsidRPr="00AD7D22">
        <w:rPr>
          <w:rFonts w:ascii="Verdana" w:hAnsi="Verdana" w:cs="Arial"/>
          <w:sz w:val="16"/>
          <w:szCs w:val="16"/>
        </w:rPr>
        <w:t>le</w:t>
      </w:r>
      <w:r w:rsidRPr="00AD7D22">
        <w:rPr>
          <w:rFonts w:ascii="Verdana" w:hAnsi="Verdana" w:cs="Arial"/>
          <w:spacing w:val="-7"/>
          <w:sz w:val="16"/>
          <w:szCs w:val="16"/>
        </w:rPr>
        <w:t xml:space="preserve"> </w:t>
      </w:r>
      <w:r w:rsidRPr="00AD7D22">
        <w:rPr>
          <w:rFonts w:ascii="Verdana" w:hAnsi="Verdana" w:cs="Arial"/>
          <w:sz w:val="16"/>
          <w:szCs w:val="16"/>
        </w:rPr>
        <w:t>denomina</w:t>
      </w:r>
      <w:r w:rsidRPr="00AD7D22">
        <w:rPr>
          <w:rFonts w:ascii="Verdana" w:hAnsi="Verdana" w:cs="Arial"/>
          <w:spacing w:val="-6"/>
          <w:sz w:val="16"/>
          <w:szCs w:val="16"/>
        </w:rPr>
        <w:t xml:space="preserve"> </w:t>
      </w:r>
      <w:r w:rsidRPr="00AD7D22">
        <w:rPr>
          <w:rFonts w:ascii="Verdana" w:hAnsi="Verdana" w:cs="Arial"/>
          <w:sz w:val="16"/>
          <w:szCs w:val="16"/>
        </w:rPr>
        <w:t>la</w:t>
      </w:r>
      <w:r w:rsidRPr="00AD7D22">
        <w:rPr>
          <w:rFonts w:ascii="Verdana" w:hAnsi="Verdana" w:cs="Arial"/>
          <w:spacing w:val="-6"/>
          <w:sz w:val="16"/>
          <w:szCs w:val="16"/>
        </w:rPr>
        <w:t xml:space="preserve"> </w:t>
      </w:r>
      <w:r w:rsidRPr="00AD7D22">
        <w:rPr>
          <w:rFonts w:ascii="Verdana" w:hAnsi="Verdana" w:cs="Arial"/>
          <w:sz w:val="16"/>
          <w:szCs w:val="16"/>
        </w:rPr>
        <w:t>inderogabilidad</w:t>
      </w:r>
      <w:r w:rsidRPr="00AD7D22">
        <w:rPr>
          <w:rFonts w:ascii="Verdana" w:hAnsi="Verdana" w:cs="Arial"/>
          <w:spacing w:val="-6"/>
          <w:sz w:val="16"/>
          <w:szCs w:val="16"/>
        </w:rPr>
        <w:t xml:space="preserve"> </w:t>
      </w:r>
      <w:r w:rsidRPr="00AD7D22">
        <w:rPr>
          <w:rFonts w:ascii="Verdana" w:hAnsi="Verdana" w:cs="Arial"/>
          <w:sz w:val="16"/>
          <w:szCs w:val="16"/>
        </w:rPr>
        <w:t>singular</w:t>
      </w:r>
      <w:r w:rsidRPr="00AD7D22">
        <w:rPr>
          <w:rFonts w:ascii="Verdana" w:hAnsi="Verdana" w:cs="Arial"/>
          <w:spacing w:val="-6"/>
          <w:sz w:val="16"/>
          <w:szCs w:val="16"/>
        </w:rPr>
        <w:t xml:space="preserve"> </w:t>
      </w:r>
      <w:r w:rsidRPr="00AD7D22">
        <w:rPr>
          <w:rFonts w:ascii="Verdana" w:hAnsi="Verdana" w:cs="Arial"/>
          <w:sz w:val="16"/>
          <w:szCs w:val="16"/>
        </w:rPr>
        <w:t>del</w:t>
      </w:r>
      <w:r w:rsidRPr="00AD7D22">
        <w:rPr>
          <w:rFonts w:ascii="Verdana" w:hAnsi="Verdana" w:cs="Arial"/>
          <w:spacing w:val="1"/>
          <w:sz w:val="16"/>
          <w:szCs w:val="16"/>
        </w:rPr>
        <w:t xml:space="preserve"> </w:t>
      </w:r>
      <w:r w:rsidRPr="00AD7D22">
        <w:rPr>
          <w:rFonts w:ascii="Verdana" w:hAnsi="Verdana" w:cs="Arial"/>
          <w:sz w:val="16"/>
          <w:szCs w:val="16"/>
        </w:rPr>
        <w:t>reglamento,</w:t>
      </w:r>
      <w:r w:rsidRPr="00AD7D22">
        <w:rPr>
          <w:rFonts w:ascii="Verdana" w:hAnsi="Verdana" w:cs="Arial"/>
          <w:spacing w:val="-3"/>
          <w:sz w:val="16"/>
          <w:szCs w:val="16"/>
        </w:rPr>
        <w:t xml:space="preserve"> </w:t>
      </w:r>
      <w:r w:rsidRPr="00AD7D22">
        <w:rPr>
          <w:rFonts w:ascii="Verdana" w:hAnsi="Verdana" w:cs="Arial"/>
          <w:sz w:val="16"/>
          <w:szCs w:val="16"/>
        </w:rPr>
        <w:t>que</w:t>
      </w:r>
      <w:r w:rsidRPr="00AD7D22">
        <w:rPr>
          <w:rFonts w:ascii="Verdana" w:hAnsi="Verdana" w:cs="Arial"/>
          <w:spacing w:val="-2"/>
          <w:sz w:val="16"/>
          <w:szCs w:val="16"/>
        </w:rPr>
        <w:t xml:space="preserve"> </w:t>
      </w:r>
      <w:r w:rsidRPr="00AD7D22">
        <w:rPr>
          <w:rFonts w:ascii="Verdana" w:hAnsi="Verdana" w:cs="Arial"/>
          <w:sz w:val="16"/>
          <w:szCs w:val="16"/>
        </w:rPr>
        <w:t>no</w:t>
      </w:r>
      <w:r w:rsidRPr="00AD7D22">
        <w:rPr>
          <w:rFonts w:ascii="Verdana" w:hAnsi="Verdana" w:cs="Arial"/>
          <w:spacing w:val="-2"/>
          <w:sz w:val="16"/>
          <w:szCs w:val="16"/>
        </w:rPr>
        <w:t xml:space="preserve"> </w:t>
      </w:r>
      <w:r w:rsidRPr="00AD7D22">
        <w:rPr>
          <w:rFonts w:ascii="Verdana" w:hAnsi="Verdana" w:cs="Arial"/>
          <w:sz w:val="16"/>
          <w:szCs w:val="16"/>
        </w:rPr>
        <w:t>es</w:t>
      </w:r>
      <w:r w:rsidRPr="00AD7D22">
        <w:rPr>
          <w:rFonts w:ascii="Verdana" w:hAnsi="Verdana" w:cs="Arial"/>
          <w:spacing w:val="-2"/>
          <w:sz w:val="16"/>
          <w:szCs w:val="16"/>
        </w:rPr>
        <w:t xml:space="preserve"> </w:t>
      </w:r>
      <w:r w:rsidRPr="00AD7D22">
        <w:rPr>
          <w:rFonts w:ascii="Verdana" w:hAnsi="Verdana" w:cs="Arial"/>
          <w:sz w:val="16"/>
          <w:szCs w:val="16"/>
        </w:rPr>
        <w:t>otra</w:t>
      </w:r>
      <w:r w:rsidRPr="00AD7D22">
        <w:rPr>
          <w:rFonts w:ascii="Verdana" w:hAnsi="Verdana" w:cs="Arial"/>
          <w:spacing w:val="-2"/>
          <w:sz w:val="16"/>
          <w:szCs w:val="16"/>
        </w:rPr>
        <w:t xml:space="preserve"> </w:t>
      </w:r>
      <w:r w:rsidRPr="00AD7D22">
        <w:rPr>
          <w:rFonts w:ascii="Verdana" w:hAnsi="Verdana" w:cs="Arial"/>
          <w:sz w:val="16"/>
          <w:szCs w:val="16"/>
        </w:rPr>
        <w:t>cosa</w:t>
      </w:r>
      <w:r w:rsidRPr="00AD7D22">
        <w:rPr>
          <w:rFonts w:ascii="Verdana" w:hAnsi="Verdana" w:cs="Arial"/>
          <w:spacing w:val="-2"/>
          <w:sz w:val="16"/>
          <w:szCs w:val="16"/>
        </w:rPr>
        <w:t xml:space="preserve"> </w:t>
      </w:r>
      <w:r w:rsidRPr="00AD7D22">
        <w:rPr>
          <w:rFonts w:ascii="Verdana" w:hAnsi="Verdana" w:cs="Arial"/>
          <w:sz w:val="16"/>
          <w:szCs w:val="16"/>
        </w:rPr>
        <w:t>que</w:t>
      </w:r>
      <w:r w:rsidRPr="00AD7D22">
        <w:rPr>
          <w:rFonts w:ascii="Verdana" w:hAnsi="Verdana" w:cs="Arial"/>
          <w:spacing w:val="-2"/>
          <w:sz w:val="16"/>
          <w:szCs w:val="16"/>
        </w:rPr>
        <w:t xml:space="preserve"> </w:t>
      </w:r>
      <w:r w:rsidRPr="00AD7D22">
        <w:rPr>
          <w:rFonts w:ascii="Verdana" w:hAnsi="Verdana" w:cs="Arial"/>
          <w:sz w:val="16"/>
          <w:szCs w:val="16"/>
        </w:rPr>
        <w:t>la</w:t>
      </w:r>
      <w:r w:rsidRPr="00AD7D22">
        <w:rPr>
          <w:rFonts w:ascii="Verdana" w:hAnsi="Verdana" w:cs="Arial"/>
          <w:spacing w:val="-2"/>
          <w:sz w:val="16"/>
          <w:szCs w:val="16"/>
        </w:rPr>
        <w:t xml:space="preserve"> </w:t>
      </w:r>
      <w:r w:rsidRPr="00AD7D22">
        <w:rPr>
          <w:rFonts w:ascii="Verdana" w:hAnsi="Verdana" w:cs="Arial"/>
          <w:sz w:val="16"/>
          <w:szCs w:val="16"/>
        </w:rPr>
        <w:t>prohibición</w:t>
      </w:r>
      <w:r w:rsidRPr="00AD7D22">
        <w:rPr>
          <w:rFonts w:ascii="Verdana" w:hAnsi="Verdana" w:cs="Arial"/>
          <w:spacing w:val="-2"/>
          <w:sz w:val="16"/>
          <w:szCs w:val="16"/>
        </w:rPr>
        <w:t xml:space="preserve"> </w:t>
      </w:r>
      <w:r w:rsidRPr="00AD7D22">
        <w:rPr>
          <w:rFonts w:ascii="Verdana" w:hAnsi="Verdana" w:cs="Arial"/>
          <w:sz w:val="16"/>
          <w:szCs w:val="16"/>
        </w:rPr>
        <w:t>de</w:t>
      </w:r>
      <w:r w:rsidRPr="00AD7D22">
        <w:rPr>
          <w:rFonts w:ascii="Verdana" w:hAnsi="Verdana" w:cs="Arial"/>
          <w:spacing w:val="-2"/>
          <w:sz w:val="16"/>
          <w:szCs w:val="16"/>
        </w:rPr>
        <w:t xml:space="preserve"> </w:t>
      </w:r>
      <w:r w:rsidRPr="00AD7D22">
        <w:rPr>
          <w:rFonts w:ascii="Verdana" w:hAnsi="Verdana" w:cs="Arial"/>
          <w:sz w:val="16"/>
          <w:szCs w:val="16"/>
        </w:rPr>
        <w:t>insertarlo</w:t>
      </w:r>
      <w:r w:rsidRPr="00AD7D22">
        <w:rPr>
          <w:rFonts w:ascii="Verdana" w:hAnsi="Verdana" w:cs="Arial"/>
          <w:spacing w:val="-2"/>
          <w:sz w:val="16"/>
          <w:szCs w:val="16"/>
        </w:rPr>
        <w:t xml:space="preserve"> </w:t>
      </w:r>
      <w:r w:rsidRPr="00AD7D22">
        <w:rPr>
          <w:rFonts w:ascii="Verdana" w:hAnsi="Verdana" w:cs="Arial"/>
          <w:sz w:val="16"/>
          <w:szCs w:val="16"/>
        </w:rPr>
        <w:t>en</w:t>
      </w:r>
      <w:r w:rsidRPr="00AD7D22">
        <w:rPr>
          <w:rFonts w:ascii="Verdana" w:hAnsi="Verdana" w:cs="Arial"/>
          <w:spacing w:val="-3"/>
          <w:sz w:val="16"/>
          <w:szCs w:val="16"/>
        </w:rPr>
        <w:t xml:space="preserve"> </w:t>
      </w:r>
      <w:r w:rsidRPr="00AD7D22">
        <w:rPr>
          <w:rFonts w:ascii="Verdana" w:hAnsi="Verdana" w:cs="Arial"/>
          <w:sz w:val="16"/>
          <w:szCs w:val="16"/>
        </w:rPr>
        <w:t>un</w:t>
      </w:r>
      <w:r w:rsidRPr="00AD7D22">
        <w:rPr>
          <w:rFonts w:ascii="Verdana" w:hAnsi="Verdana" w:cs="Arial"/>
          <w:spacing w:val="-2"/>
          <w:sz w:val="16"/>
          <w:szCs w:val="16"/>
        </w:rPr>
        <w:t xml:space="preserve"> </w:t>
      </w:r>
      <w:r w:rsidRPr="00AD7D22">
        <w:rPr>
          <w:rFonts w:ascii="Verdana" w:hAnsi="Verdana" w:cs="Arial"/>
          <w:sz w:val="16"/>
          <w:szCs w:val="16"/>
        </w:rPr>
        <w:t>caso</w:t>
      </w:r>
      <w:r w:rsidRPr="00AD7D22">
        <w:rPr>
          <w:rFonts w:ascii="Verdana" w:hAnsi="Verdana" w:cs="Arial"/>
          <w:spacing w:val="-2"/>
          <w:sz w:val="16"/>
          <w:szCs w:val="16"/>
        </w:rPr>
        <w:t xml:space="preserve"> </w:t>
      </w:r>
      <w:r w:rsidRPr="00AD7D22">
        <w:rPr>
          <w:rFonts w:ascii="Verdana" w:hAnsi="Verdana" w:cs="Arial"/>
          <w:sz w:val="16"/>
          <w:szCs w:val="16"/>
        </w:rPr>
        <w:t>particular.</w:t>
      </w:r>
    </w:p>
    <w:p w14:paraId="15E9A45E" w14:textId="77777777" w:rsidR="00D97EF3" w:rsidRPr="00AD7D22" w:rsidRDefault="00D97EF3" w:rsidP="00D97EF3">
      <w:pPr>
        <w:spacing w:after="0" w:line="240" w:lineRule="auto"/>
        <w:ind w:firstLine="708"/>
        <w:jc w:val="both"/>
        <w:rPr>
          <w:rFonts w:ascii="Verdana" w:hAnsi="Verdana" w:cs="Arial"/>
          <w:sz w:val="16"/>
          <w:szCs w:val="16"/>
        </w:rPr>
      </w:pPr>
      <w:r w:rsidRPr="00AD7D22">
        <w:rPr>
          <w:rFonts w:ascii="Verdana" w:hAnsi="Verdana" w:cs="Arial"/>
          <w:sz w:val="16"/>
          <w:szCs w:val="16"/>
        </w:rPr>
        <w:t>Esta tesis –de absoluta razonabilidad–, protege tanto al ciudadano como al ordenamiento</w:t>
      </w:r>
      <w:r w:rsidRPr="00AD7D22">
        <w:rPr>
          <w:rFonts w:ascii="Verdana" w:hAnsi="Verdana" w:cs="Arial"/>
          <w:spacing w:val="1"/>
          <w:sz w:val="16"/>
          <w:szCs w:val="16"/>
        </w:rPr>
        <w:t xml:space="preserve"> </w:t>
      </w:r>
      <w:r w:rsidRPr="00AD7D22">
        <w:rPr>
          <w:rFonts w:ascii="Verdana" w:hAnsi="Verdana" w:cs="Arial"/>
          <w:sz w:val="16"/>
          <w:szCs w:val="16"/>
        </w:rPr>
        <w:t>jurídico en general, de la arbitrariedad de la administración, pues si se admitiera que pese a estar en</w:t>
      </w:r>
      <w:r w:rsidRPr="00AD7D22">
        <w:rPr>
          <w:rFonts w:ascii="Verdana" w:hAnsi="Verdana" w:cs="Arial"/>
          <w:spacing w:val="-50"/>
          <w:sz w:val="16"/>
          <w:szCs w:val="16"/>
        </w:rPr>
        <w:t xml:space="preserve"> </w:t>
      </w:r>
      <w:r w:rsidRPr="00AD7D22">
        <w:rPr>
          <w:rFonts w:ascii="Verdana" w:hAnsi="Verdana" w:cs="Arial"/>
          <w:sz w:val="16"/>
          <w:szCs w:val="16"/>
        </w:rPr>
        <w:t>vigencia</w:t>
      </w:r>
      <w:r w:rsidRPr="00AD7D22">
        <w:rPr>
          <w:rFonts w:ascii="Verdana" w:hAnsi="Verdana" w:cs="Arial"/>
          <w:spacing w:val="-10"/>
          <w:sz w:val="16"/>
          <w:szCs w:val="16"/>
        </w:rPr>
        <w:t xml:space="preserve"> </w:t>
      </w:r>
      <w:r w:rsidRPr="00AD7D22">
        <w:rPr>
          <w:rFonts w:ascii="Verdana" w:hAnsi="Verdana" w:cs="Arial"/>
          <w:sz w:val="16"/>
          <w:szCs w:val="16"/>
        </w:rPr>
        <w:t>un</w:t>
      </w:r>
      <w:r w:rsidRPr="00AD7D22">
        <w:rPr>
          <w:rFonts w:ascii="Verdana" w:hAnsi="Verdana" w:cs="Arial"/>
          <w:spacing w:val="-9"/>
          <w:sz w:val="16"/>
          <w:szCs w:val="16"/>
        </w:rPr>
        <w:t xml:space="preserve"> </w:t>
      </w:r>
      <w:r w:rsidRPr="00AD7D22">
        <w:rPr>
          <w:rFonts w:ascii="Verdana" w:hAnsi="Verdana" w:cs="Arial"/>
          <w:sz w:val="16"/>
          <w:szCs w:val="16"/>
        </w:rPr>
        <w:t>reglamento</w:t>
      </w:r>
      <w:r w:rsidRPr="00AD7D22">
        <w:rPr>
          <w:rFonts w:ascii="Verdana" w:hAnsi="Verdana" w:cs="Arial"/>
          <w:spacing w:val="-10"/>
          <w:sz w:val="16"/>
          <w:szCs w:val="16"/>
        </w:rPr>
        <w:t xml:space="preserve"> </w:t>
      </w:r>
      <w:r w:rsidRPr="00AD7D22">
        <w:rPr>
          <w:rFonts w:ascii="Verdana" w:hAnsi="Verdana" w:cs="Arial"/>
          <w:sz w:val="16"/>
          <w:szCs w:val="16"/>
        </w:rPr>
        <w:t>la</w:t>
      </w:r>
      <w:r w:rsidRPr="00AD7D22">
        <w:rPr>
          <w:rFonts w:ascii="Verdana" w:hAnsi="Verdana" w:cs="Arial"/>
          <w:spacing w:val="-9"/>
          <w:sz w:val="16"/>
          <w:szCs w:val="16"/>
        </w:rPr>
        <w:t xml:space="preserve"> </w:t>
      </w:r>
      <w:r w:rsidRPr="00AD7D22">
        <w:rPr>
          <w:rFonts w:ascii="Verdana" w:hAnsi="Verdana" w:cs="Arial"/>
          <w:sz w:val="16"/>
          <w:szCs w:val="16"/>
        </w:rPr>
        <w:t>propia</w:t>
      </w:r>
      <w:r w:rsidRPr="00AD7D22">
        <w:rPr>
          <w:rFonts w:ascii="Verdana" w:hAnsi="Verdana" w:cs="Arial"/>
          <w:spacing w:val="-10"/>
          <w:sz w:val="16"/>
          <w:szCs w:val="16"/>
        </w:rPr>
        <w:t xml:space="preserve"> </w:t>
      </w:r>
      <w:r w:rsidRPr="00AD7D22">
        <w:rPr>
          <w:rFonts w:ascii="Verdana" w:hAnsi="Verdana" w:cs="Arial"/>
          <w:sz w:val="16"/>
          <w:szCs w:val="16"/>
        </w:rPr>
        <w:t>administración</w:t>
      </w:r>
      <w:r w:rsidRPr="00AD7D22">
        <w:rPr>
          <w:rFonts w:ascii="Verdana" w:hAnsi="Verdana" w:cs="Arial"/>
          <w:spacing w:val="-9"/>
          <w:sz w:val="16"/>
          <w:szCs w:val="16"/>
        </w:rPr>
        <w:t xml:space="preserve"> </w:t>
      </w:r>
      <w:r w:rsidRPr="00AD7D22">
        <w:rPr>
          <w:rFonts w:ascii="Verdana" w:hAnsi="Verdana" w:cs="Arial"/>
          <w:sz w:val="16"/>
          <w:szCs w:val="16"/>
        </w:rPr>
        <w:t>que</w:t>
      </w:r>
      <w:r w:rsidRPr="00AD7D22">
        <w:rPr>
          <w:rFonts w:ascii="Verdana" w:hAnsi="Verdana" w:cs="Arial"/>
          <w:spacing w:val="-10"/>
          <w:sz w:val="16"/>
          <w:szCs w:val="16"/>
        </w:rPr>
        <w:t xml:space="preserve"> </w:t>
      </w:r>
      <w:r w:rsidRPr="00AD7D22">
        <w:rPr>
          <w:rFonts w:ascii="Verdana" w:hAnsi="Verdana" w:cs="Arial"/>
          <w:sz w:val="16"/>
          <w:szCs w:val="16"/>
        </w:rPr>
        <w:t>lo</w:t>
      </w:r>
      <w:r w:rsidRPr="00AD7D22">
        <w:rPr>
          <w:rFonts w:ascii="Verdana" w:hAnsi="Verdana" w:cs="Arial"/>
          <w:spacing w:val="-9"/>
          <w:sz w:val="16"/>
          <w:szCs w:val="16"/>
        </w:rPr>
        <w:t xml:space="preserve"> </w:t>
      </w:r>
      <w:r w:rsidRPr="00AD7D22">
        <w:rPr>
          <w:rFonts w:ascii="Verdana" w:hAnsi="Verdana" w:cs="Arial"/>
          <w:sz w:val="16"/>
          <w:szCs w:val="16"/>
        </w:rPr>
        <w:t>dictó</w:t>
      </w:r>
      <w:r w:rsidRPr="00AD7D22">
        <w:rPr>
          <w:rFonts w:ascii="Verdana" w:hAnsi="Verdana" w:cs="Arial"/>
          <w:spacing w:val="-10"/>
          <w:sz w:val="16"/>
          <w:szCs w:val="16"/>
        </w:rPr>
        <w:t xml:space="preserve"> </w:t>
      </w:r>
      <w:r w:rsidRPr="00AD7D22">
        <w:rPr>
          <w:rFonts w:ascii="Verdana" w:hAnsi="Verdana" w:cs="Arial"/>
          <w:sz w:val="16"/>
          <w:szCs w:val="16"/>
        </w:rPr>
        <w:t>lo</w:t>
      </w:r>
      <w:r w:rsidRPr="00AD7D22">
        <w:rPr>
          <w:rFonts w:ascii="Verdana" w:hAnsi="Verdana" w:cs="Arial"/>
          <w:spacing w:val="-9"/>
          <w:sz w:val="16"/>
          <w:szCs w:val="16"/>
        </w:rPr>
        <w:t xml:space="preserve"> </w:t>
      </w:r>
      <w:r w:rsidRPr="00AD7D22">
        <w:rPr>
          <w:rFonts w:ascii="Verdana" w:hAnsi="Verdana" w:cs="Arial"/>
          <w:sz w:val="16"/>
          <w:szCs w:val="16"/>
        </w:rPr>
        <w:t>pudiera</w:t>
      </w:r>
      <w:r w:rsidRPr="00AD7D22">
        <w:rPr>
          <w:rFonts w:ascii="Verdana" w:hAnsi="Verdana" w:cs="Arial"/>
          <w:spacing w:val="-10"/>
          <w:sz w:val="16"/>
          <w:szCs w:val="16"/>
        </w:rPr>
        <w:t xml:space="preserve"> </w:t>
      </w:r>
      <w:r w:rsidRPr="00AD7D22">
        <w:rPr>
          <w:rFonts w:ascii="Verdana" w:hAnsi="Verdana" w:cs="Arial"/>
          <w:sz w:val="16"/>
          <w:szCs w:val="16"/>
        </w:rPr>
        <w:t>inaplicar,</w:t>
      </w:r>
      <w:r w:rsidRPr="00AD7D22">
        <w:rPr>
          <w:rFonts w:ascii="Verdana" w:hAnsi="Verdana" w:cs="Arial"/>
          <w:spacing w:val="-9"/>
          <w:sz w:val="16"/>
          <w:szCs w:val="16"/>
        </w:rPr>
        <w:t xml:space="preserve"> </w:t>
      </w:r>
      <w:r w:rsidRPr="00AD7D22">
        <w:rPr>
          <w:rFonts w:ascii="Verdana" w:hAnsi="Verdana" w:cs="Arial"/>
          <w:sz w:val="16"/>
          <w:szCs w:val="16"/>
        </w:rPr>
        <w:t>aduciendo</w:t>
      </w:r>
      <w:r w:rsidRPr="00AD7D22">
        <w:rPr>
          <w:rFonts w:ascii="Verdana" w:hAnsi="Verdana" w:cs="Arial"/>
          <w:spacing w:val="-10"/>
          <w:sz w:val="16"/>
          <w:szCs w:val="16"/>
        </w:rPr>
        <w:t xml:space="preserve"> </w:t>
      </w:r>
      <w:r w:rsidRPr="00AD7D22">
        <w:rPr>
          <w:rFonts w:ascii="Verdana" w:hAnsi="Verdana" w:cs="Arial"/>
          <w:sz w:val="16"/>
          <w:szCs w:val="16"/>
        </w:rPr>
        <w:t>que</w:t>
      </w:r>
      <w:r w:rsidRPr="00AD7D22">
        <w:rPr>
          <w:rFonts w:ascii="Verdana" w:hAnsi="Verdana" w:cs="Arial"/>
          <w:spacing w:val="-9"/>
          <w:sz w:val="16"/>
          <w:szCs w:val="16"/>
        </w:rPr>
        <w:t xml:space="preserve"> </w:t>
      </w:r>
      <w:r w:rsidRPr="00AD7D22">
        <w:rPr>
          <w:rFonts w:ascii="Verdana" w:hAnsi="Verdana" w:cs="Arial"/>
          <w:sz w:val="16"/>
          <w:szCs w:val="16"/>
        </w:rPr>
        <w:t>si</w:t>
      </w:r>
      <w:r w:rsidRPr="00AD7D22">
        <w:rPr>
          <w:rFonts w:ascii="Verdana" w:hAnsi="Verdana" w:cs="Arial"/>
          <w:spacing w:val="-10"/>
          <w:sz w:val="16"/>
          <w:szCs w:val="16"/>
        </w:rPr>
        <w:t xml:space="preserve"> </w:t>
      </w:r>
      <w:r w:rsidRPr="00AD7D22">
        <w:rPr>
          <w:rFonts w:ascii="Verdana" w:hAnsi="Verdana" w:cs="Arial"/>
          <w:sz w:val="16"/>
          <w:szCs w:val="16"/>
        </w:rPr>
        <w:t>ella</w:t>
      </w:r>
      <w:r w:rsidRPr="00AD7D22">
        <w:rPr>
          <w:rFonts w:ascii="Verdana" w:hAnsi="Verdana" w:cs="Arial"/>
          <w:spacing w:val="1"/>
          <w:sz w:val="16"/>
          <w:szCs w:val="16"/>
        </w:rPr>
        <w:t xml:space="preserve"> </w:t>
      </w:r>
      <w:r w:rsidRPr="00AD7D22">
        <w:rPr>
          <w:rFonts w:ascii="Verdana" w:hAnsi="Verdana" w:cs="Arial"/>
          <w:sz w:val="16"/>
          <w:szCs w:val="16"/>
        </w:rPr>
        <w:t>lo</w:t>
      </w:r>
      <w:r w:rsidRPr="00AD7D22">
        <w:rPr>
          <w:rFonts w:ascii="Verdana" w:hAnsi="Verdana" w:cs="Arial"/>
          <w:spacing w:val="-13"/>
          <w:sz w:val="16"/>
          <w:szCs w:val="16"/>
        </w:rPr>
        <w:t xml:space="preserve"> </w:t>
      </w:r>
      <w:r w:rsidRPr="00AD7D22">
        <w:rPr>
          <w:rFonts w:ascii="Verdana" w:hAnsi="Verdana" w:cs="Arial"/>
          <w:sz w:val="16"/>
          <w:szCs w:val="16"/>
        </w:rPr>
        <w:t>produjo</w:t>
      </w:r>
      <w:r w:rsidRPr="00AD7D22">
        <w:rPr>
          <w:rFonts w:ascii="Verdana" w:hAnsi="Verdana" w:cs="Arial"/>
          <w:spacing w:val="-12"/>
          <w:sz w:val="16"/>
          <w:szCs w:val="16"/>
        </w:rPr>
        <w:t xml:space="preserve"> </w:t>
      </w:r>
      <w:r w:rsidRPr="00AD7D22">
        <w:rPr>
          <w:rFonts w:ascii="Verdana" w:hAnsi="Verdana" w:cs="Arial"/>
          <w:sz w:val="16"/>
          <w:szCs w:val="16"/>
        </w:rPr>
        <w:t>entonces</w:t>
      </w:r>
      <w:r w:rsidRPr="00AD7D22">
        <w:rPr>
          <w:rFonts w:ascii="Verdana" w:hAnsi="Verdana" w:cs="Arial"/>
          <w:spacing w:val="-12"/>
          <w:sz w:val="16"/>
          <w:szCs w:val="16"/>
        </w:rPr>
        <w:t xml:space="preserve"> </w:t>
      </w:r>
      <w:r w:rsidRPr="00AD7D22">
        <w:rPr>
          <w:rFonts w:ascii="Verdana" w:hAnsi="Verdana" w:cs="Arial"/>
          <w:sz w:val="16"/>
          <w:szCs w:val="16"/>
        </w:rPr>
        <w:t>cuenta</w:t>
      </w:r>
      <w:r w:rsidRPr="00AD7D22">
        <w:rPr>
          <w:rFonts w:ascii="Verdana" w:hAnsi="Verdana" w:cs="Arial"/>
          <w:spacing w:val="-12"/>
          <w:sz w:val="16"/>
          <w:szCs w:val="16"/>
        </w:rPr>
        <w:t xml:space="preserve"> </w:t>
      </w:r>
      <w:r w:rsidRPr="00AD7D22">
        <w:rPr>
          <w:rFonts w:ascii="Verdana" w:hAnsi="Verdana" w:cs="Arial"/>
          <w:sz w:val="16"/>
          <w:szCs w:val="16"/>
        </w:rPr>
        <w:t>con</w:t>
      </w:r>
      <w:r w:rsidRPr="00AD7D22">
        <w:rPr>
          <w:rFonts w:ascii="Verdana" w:hAnsi="Verdana" w:cs="Arial"/>
          <w:spacing w:val="-12"/>
          <w:sz w:val="16"/>
          <w:szCs w:val="16"/>
        </w:rPr>
        <w:t xml:space="preserve"> </w:t>
      </w:r>
      <w:r w:rsidRPr="00AD7D22">
        <w:rPr>
          <w:rFonts w:ascii="Verdana" w:hAnsi="Verdana" w:cs="Arial"/>
          <w:sz w:val="16"/>
          <w:szCs w:val="16"/>
        </w:rPr>
        <w:t>la</w:t>
      </w:r>
      <w:r w:rsidRPr="00AD7D22">
        <w:rPr>
          <w:rFonts w:ascii="Verdana" w:hAnsi="Verdana" w:cs="Arial"/>
          <w:spacing w:val="-12"/>
          <w:sz w:val="16"/>
          <w:szCs w:val="16"/>
        </w:rPr>
        <w:t xml:space="preserve"> </w:t>
      </w:r>
      <w:r w:rsidRPr="00AD7D22">
        <w:rPr>
          <w:rFonts w:ascii="Verdana" w:hAnsi="Verdana" w:cs="Arial"/>
          <w:sz w:val="16"/>
          <w:szCs w:val="16"/>
        </w:rPr>
        <w:t>autoridad</w:t>
      </w:r>
      <w:r w:rsidRPr="00AD7D22">
        <w:rPr>
          <w:rFonts w:ascii="Verdana" w:hAnsi="Verdana" w:cs="Arial"/>
          <w:spacing w:val="-12"/>
          <w:sz w:val="16"/>
          <w:szCs w:val="16"/>
        </w:rPr>
        <w:t xml:space="preserve"> </w:t>
      </w:r>
      <w:r w:rsidRPr="00AD7D22">
        <w:rPr>
          <w:rFonts w:ascii="Verdana" w:hAnsi="Verdana" w:cs="Arial"/>
          <w:sz w:val="16"/>
          <w:szCs w:val="16"/>
        </w:rPr>
        <w:t>para</w:t>
      </w:r>
      <w:r w:rsidRPr="00AD7D22">
        <w:rPr>
          <w:rFonts w:ascii="Verdana" w:hAnsi="Verdana" w:cs="Arial"/>
          <w:spacing w:val="-12"/>
          <w:sz w:val="16"/>
          <w:szCs w:val="16"/>
        </w:rPr>
        <w:t xml:space="preserve"> </w:t>
      </w:r>
      <w:r w:rsidRPr="00AD7D22">
        <w:rPr>
          <w:rFonts w:ascii="Verdana" w:hAnsi="Verdana" w:cs="Arial"/>
          <w:sz w:val="16"/>
          <w:szCs w:val="16"/>
        </w:rPr>
        <w:t>desconocerlo,</w:t>
      </w:r>
      <w:r w:rsidRPr="00AD7D22">
        <w:rPr>
          <w:rFonts w:ascii="Verdana" w:hAnsi="Verdana" w:cs="Arial"/>
          <w:spacing w:val="-12"/>
          <w:sz w:val="16"/>
          <w:szCs w:val="16"/>
        </w:rPr>
        <w:t xml:space="preserve"> </w:t>
      </w:r>
      <w:r w:rsidRPr="00AD7D22">
        <w:rPr>
          <w:rFonts w:ascii="Verdana" w:hAnsi="Verdana" w:cs="Arial"/>
          <w:sz w:val="16"/>
          <w:szCs w:val="16"/>
        </w:rPr>
        <w:t>los</w:t>
      </w:r>
      <w:r w:rsidRPr="00AD7D22">
        <w:rPr>
          <w:rFonts w:ascii="Verdana" w:hAnsi="Verdana" w:cs="Arial"/>
          <w:spacing w:val="-12"/>
          <w:sz w:val="16"/>
          <w:szCs w:val="16"/>
        </w:rPr>
        <w:t xml:space="preserve"> </w:t>
      </w:r>
      <w:r w:rsidRPr="00AD7D22">
        <w:rPr>
          <w:rFonts w:ascii="Verdana" w:hAnsi="Verdana" w:cs="Arial"/>
          <w:sz w:val="16"/>
          <w:szCs w:val="16"/>
        </w:rPr>
        <w:t>abusos</w:t>
      </w:r>
      <w:r w:rsidRPr="00AD7D22">
        <w:rPr>
          <w:rFonts w:ascii="Verdana" w:hAnsi="Verdana" w:cs="Arial"/>
          <w:spacing w:val="-12"/>
          <w:sz w:val="16"/>
          <w:szCs w:val="16"/>
        </w:rPr>
        <w:t xml:space="preserve"> </w:t>
      </w:r>
      <w:r w:rsidRPr="00AD7D22">
        <w:rPr>
          <w:rFonts w:ascii="Verdana" w:hAnsi="Verdana" w:cs="Arial"/>
          <w:sz w:val="16"/>
          <w:szCs w:val="16"/>
        </w:rPr>
        <w:t>y</w:t>
      </w:r>
      <w:r w:rsidRPr="00AD7D22">
        <w:rPr>
          <w:rFonts w:ascii="Verdana" w:hAnsi="Verdana" w:cs="Arial"/>
          <w:spacing w:val="-12"/>
          <w:sz w:val="16"/>
          <w:szCs w:val="16"/>
        </w:rPr>
        <w:t xml:space="preserve"> </w:t>
      </w:r>
      <w:r w:rsidRPr="00AD7D22">
        <w:rPr>
          <w:rFonts w:ascii="Verdana" w:hAnsi="Verdana" w:cs="Arial"/>
          <w:sz w:val="16"/>
          <w:szCs w:val="16"/>
        </w:rPr>
        <w:t>la</w:t>
      </w:r>
      <w:r w:rsidRPr="00AD7D22">
        <w:rPr>
          <w:rFonts w:ascii="Verdana" w:hAnsi="Verdana" w:cs="Arial"/>
          <w:spacing w:val="-12"/>
          <w:sz w:val="16"/>
          <w:szCs w:val="16"/>
        </w:rPr>
        <w:t xml:space="preserve"> </w:t>
      </w:r>
      <w:r w:rsidRPr="00AD7D22">
        <w:rPr>
          <w:rFonts w:ascii="Verdana" w:hAnsi="Verdana" w:cs="Arial"/>
          <w:sz w:val="16"/>
          <w:szCs w:val="16"/>
        </w:rPr>
        <w:t>violación</w:t>
      </w:r>
      <w:r w:rsidRPr="00AD7D22">
        <w:rPr>
          <w:rFonts w:ascii="Verdana" w:hAnsi="Verdana" w:cs="Arial"/>
          <w:spacing w:val="-12"/>
          <w:sz w:val="16"/>
          <w:szCs w:val="16"/>
        </w:rPr>
        <w:t xml:space="preserve"> </w:t>
      </w:r>
      <w:r w:rsidRPr="00AD7D22">
        <w:rPr>
          <w:rFonts w:ascii="Verdana" w:hAnsi="Verdana" w:cs="Arial"/>
          <w:sz w:val="16"/>
          <w:szCs w:val="16"/>
        </w:rPr>
        <w:t>a</w:t>
      </w:r>
      <w:r w:rsidRPr="00AD7D22">
        <w:rPr>
          <w:rFonts w:ascii="Verdana" w:hAnsi="Verdana" w:cs="Arial"/>
          <w:spacing w:val="-12"/>
          <w:sz w:val="16"/>
          <w:szCs w:val="16"/>
        </w:rPr>
        <w:t xml:space="preserve"> </w:t>
      </w:r>
      <w:r w:rsidRPr="00AD7D22">
        <w:rPr>
          <w:rFonts w:ascii="Verdana" w:hAnsi="Verdana" w:cs="Arial"/>
          <w:sz w:val="16"/>
          <w:szCs w:val="16"/>
        </w:rPr>
        <w:t>sus</w:t>
      </w:r>
      <w:r w:rsidRPr="00AD7D22">
        <w:rPr>
          <w:rFonts w:ascii="Verdana" w:hAnsi="Verdana" w:cs="Arial"/>
          <w:spacing w:val="-12"/>
          <w:sz w:val="16"/>
          <w:szCs w:val="16"/>
        </w:rPr>
        <w:t xml:space="preserve"> </w:t>
      </w:r>
      <w:r w:rsidRPr="00AD7D22">
        <w:rPr>
          <w:rFonts w:ascii="Verdana" w:hAnsi="Verdana" w:cs="Arial"/>
          <w:sz w:val="16"/>
          <w:szCs w:val="16"/>
        </w:rPr>
        <w:t>propias</w:t>
      </w:r>
      <w:r w:rsidRPr="00AD7D22">
        <w:rPr>
          <w:rFonts w:ascii="Verdana" w:hAnsi="Verdana" w:cs="Arial"/>
          <w:spacing w:val="1"/>
          <w:sz w:val="16"/>
          <w:szCs w:val="16"/>
        </w:rPr>
        <w:t xml:space="preserve"> </w:t>
      </w:r>
      <w:r w:rsidRPr="00AD7D22">
        <w:rPr>
          <w:rFonts w:ascii="Verdana" w:hAnsi="Verdana" w:cs="Arial"/>
          <w:sz w:val="16"/>
          <w:szCs w:val="16"/>
        </w:rPr>
        <w:t>reglas propiciaría el atropello y la corrupción”. (MARÍN CORTÉS, Fabián G. El reglamento como</w:t>
      </w:r>
      <w:r w:rsidRPr="00AD7D22">
        <w:rPr>
          <w:rFonts w:ascii="Verdana" w:hAnsi="Verdana" w:cs="Arial"/>
          <w:spacing w:val="1"/>
          <w:sz w:val="16"/>
          <w:szCs w:val="16"/>
        </w:rPr>
        <w:t xml:space="preserve"> </w:t>
      </w:r>
      <w:r w:rsidRPr="00AD7D22">
        <w:rPr>
          <w:rFonts w:ascii="Verdana" w:hAnsi="Verdana" w:cs="Arial"/>
          <w:sz w:val="16"/>
          <w:szCs w:val="16"/>
        </w:rPr>
        <w:t>fuente</w:t>
      </w:r>
      <w:r w:rsidRPr="00AD7D22">
        <w:rPr>
          <w:rFonts w:ascii="Verdana" w:hAnsi="Verdana" w:cs="Arial"/>
          <w:spacing w:val="-12"/>
          <w:sz w:val="16"/>
          <w:szCs w:val="16"/>
        </w:rPr>
        <w:t xml:space="preserve"> </w:t>
      </w:r>
      <w:r w:rsidRPr="00AD7D22">
        <w:rPr>
          <w:rFonts w:ascii="Verdana" w:hAnsi="Verdana" w:cs="Arial"/>
          <w:sz w:val="16"/>
          <w:szCs w:val="16"/>
        </w:rPr>
        <w:t>del</w:t>
      </w:r>
      <w:r w:rsidRPr="00AD7D22">
        <w:rPr>
          <w:rFonts w:ascii="Verdana" w:hAnsi="Verdana" w:cs="Arial"/>
          <w:spacing w:val="-12"/>
          <w:sz w:val="16"/>
          <w:szCs w:val="16"/>
        </w:rPr>
        <w:t xml:space="preserve"> </w:t>
      </w:r>
      <w:r w:rsidRPr="00AD7D22">
        <w:rPr>
          <w:rFonts w:ascii="Verdana" w:hAnsi="Verdana" w:cs="Arial"/>
          <w:sz w:val="16"/>
          <w:szCs w:val="16"/>
        </w:rPr>
        <w:t>derecho</w:t>
      </w:r>
      <w:r w:rsidRPr="00AD7D22">
        <w:rPr>
          <w:rFonts w:ascii="Verdana" w:hAnsi="Verdana" w:cs="Arial"/>
          <w:spacing w:val="-12"/>
          <w:sz w:val="16"/>
          <w:szCs w:val="16"/>
        </w:rPr>
        <w:t xml:space="preserve"> </w:t>
      </w:r>
      <w:r w:rsidRPr="00AD7D22">
        <w:rPr>
          <w:rFonts w:ascii="Verdana" w:hAnsi="Verdana" w:cs="Arial"/>
          <w:sz w:val="16"/>
          <w:szCs w:val="16"/>
        </w:rPr>
        <w:t>administrativo.</w:t>
      </w:r>
      <w:r w:rsidRPr="00AD7D22">
        <w:rPr>
          <w:rFonts w:ascii="Verdana" w:hAnsi="Verdana" w:cs="Arial"/>
          <w:spacing w:val="-11"/>
          <w:sz w:val="16"/>
          <w:szCs w:val="16"/>
        </w:rPr>
        <w:t xml:space="preserve"> </w:t>
      </w:r>
      <w:r w:rsidRPr="00AD7D22">
        <w:rPr>
          <w:rFonts w:ascii="Verdana" w:hAnsi="Verdana" w:cs="Arial"/>
          <w:sz w:val="16"/>
          <w:szCs w:val="16"/>
        </w:rPr>
        <w:t>En:</w:t>
      </w:r>
      <w:r w:rsidRPr="00AD7D22">
        <w:rPr>
          <w:rFonts w:ascii="Verdana" w:hAnsi="Verdana" w:cs="Arial"/>
          <w:spacing w:val="-12"/>
          <w:sz w:val="16"/>
          <w:szCs w:val="16"/>
        </w:rPr>
        <w:t xml:space="preserve"> </w:t>
      </w:r>
      <w:r w:rsidRPr="00AD7D22">
        <w:rPr>
          <w:rFonts w:ascii="Verdana" w:hAnsi="Verdana" w:cs="Arial"/>
          <w:sz w:val="16"/>
          <w:szCs w:val="16"/>
        </w:rPr>
        <w:t>Las</w:t>
      </w:r>
      <w:r w:rsidRPr="00AD7D22">
        <w:rPr>
          <w:rFonts w:ascii="Verdana" w:hAnsi="Verdana" w:cs="Arial"/>
          <w:spacing w:val="-12"/>
          <w:sz w:val="16"/>
          <w:szCs w:val="16"/>
        </w:rPr>
        <w:t xml:space="preserve"> </w:t>
      </w:r>
      <w:r w:rsidRPr="00AD7D22">
        <w:rPr>
          <w:rFonts w:ascii="Verdana" w:hAnsi="Verdana" w:cs="Arial"/>
          <w:sz w:val="16"/>
          <w:szCs w:val="16"/>
        </w:rPr>
        <w:t>fuentes</w:t>
      </w:r>
      <w:r w:rsidRPr="00AD7D22">
        <w:rPr>
          <w:rFonts w:ascii="Verdana" w:hAnsi="Verdana" w:cs="Arial"/>
          <w:spacing w:val="-11"/>
          <w:sz w:val="16"/>
          <w:szCs w:val="16"/>
        </w:rPr>
        <w:t xml:space="preserve"> </w:t>
      </w:r>
      <w:r w:rsidRPr="00AD7D22">
        <w:rPr>
          <w:rFonts w:ascii="Verdana" w:hAnsi="Verdana" w:cs="Arial"/>
          <w:sz w:val="16"/>
          <w:szCs w:val="16"/>
        </w:rPr>
        <w:t>del</w:t>
      </w:r>
      <w:r w:rsidRPr="00AD7D22">
        <w:rPr>
          <w:rFonts w:ascii="Verdana" w:hAnsi="Verdana" w:cs="Arial"/>
          <w:spacing w:val="-12"/>
          <w:sz w:val="16"/>
          <w:szCs w:val="16"/>
        </w:rPr>
        <w:t xml:space="preserve"> </w:t>
      </w:r>
      <w:r w:rsidRPr="00AD7D22">
        <w:rPr>
          <w:rFonts w:ascii="Verdana" w:hAnsi="Verdana" w:cs="Arial"/>
          <w:sz w:val="16"/>
          <w:szCs w:val="16"/>
        </w:rPr>
        <w:t>derecho</w:t>
      </w:r>
      <w:r w:rsidRPr="00AD7D22">
        <w:rPr>
          <w:rFonts w:ascii="Verdana" w:hAnsi="Verdana" w:cs="Arial"/>
          <w:spacing w:val="-12"/>
          <w:sz w:val="16"/>
          <w:szCs w:val="16"/>
        </w:rPr>
        <w:t xml:space="preserve"> </w:t>
      </w:r>
      <w:r w:rsidRPr="00AD7D22">
        <w:rPr>
          <w:rFonts w:ascii="Verdana" w:hAnsi="Verdana" w:cs="Arial"/>
          <w:sz w:val="16"/>
          <w:szCs w:val="16"/>
        </w:rPr>
        <w:t>administrativo.</w:t>
      </w:r>
      <w:r w:rsidRPr="00AD7D22">
        <w:rPr>
          <w:rFonts w:ascii="Verdana" w:hAnsi="Verdana" w:cs="Arial"/>
          <w:spacing w:val="-12"/>
          <w:sz w:val="16"/>
          <w:szCs w:val="16"/>
        </w:rPr>
        <w:t xml:space="preserve"> </w:t>
      </w:r>
      <w:r w:rsidRPr="00AD7D22">
        <w:rPr>
          <w:rFonts w:ascii="Verdana" w:hAnsi="Verdana" w:cs="Arial"/>
          <w:sz w:val="16"/>
          <w:szCs w:val="16"/>
        </w:rPr>
        <w:t>Texto</w:t>
      </w:r>
      <w:r w:rsidRPr="00AD7D22">
        <w:rPr>
          <w:rFonts w:ascii="Verdana" w:hAnsi="Verdana" w:cs="Arial"/>
          <w:spacing w:val="-11"/>
          <w:sz w:val="16"/>
          <w:szCs w:val="16"/>
        </w:rPr>
        <w:t xml:space="preserve"> </w:t>
      </w:r>
      <w:r w:rsidRPr="00AD7D22">
        <w:rPr>
          <w:rFonts w:ascii="Verdana" w:hAnsi="Verdana" w:cs="Arial"/>
          <w:sz w:val="16"/>
          <w:szCs w:val="16"/>
        </w:rPr>
        <w:t>inédito.</w:t>
      </w:r>
      <w:r w:rsidRPr="00AD7D22">
        <w:rPr>
          <w:rFonts w:ascii="Verdana" w:hAnsi="Verdana" w:cs="Arial"/>
          <w:spacing w:val="-12"/>
          <w:sz w:val="16"/>
          <w:szCs w:val="16"/>
        </w:rPr>
        <w:t xml:space="preserve"> </w:t>
      </w:r>
      <w:r w:rsidRPr="00AD7D22">
        <w:rPr>
          <w:rFonts w:ascii="Verdana" w:hAnsi="Verdana" w:cs="Arial"/>
          <w:sz w:val="16"/>
          <w:szCs w:val="16"/>
        </w:rPr>
        <w:t>2010.</w:t>
      </w:r>
      <w:r w:rsidRPr="00AD7D22">
        <w:rPr>
          <w:rFonts w:ascii="Verdana" w:hAnsi="Verdana" w:cs="Arial"/>
          <w:spacing w:val="-12"/>
          <w:sz w:val="16"/>
          <w:szCs w:val="16"/>
        </w:rPr>
        <w:t xml:space="preserve"> </w:t>
      </w:r>
      <w:r w:rsidRPr="00AD7D22">
        <w:rPr>
          <w:rFonts w:ascii="Verdana" w:hAnsi="Verdana" w:cs="Arial"/>
          <w:sz w:val="16"/>
          <w:szCs w:val="16"/>
        </w:rPr>
        <w:t>pp.</w:t>
      </w:r>
      <w:r w:rsidRPr="00AD7D22">
        <w:rPr>
          <w:rFonts w:ascii="Verdana" w:hAnsi="Verdana" w:cs="Arial"/>
          <w:spacing w:val="1"/>
          <w:sz w:val="16"/>
          <w:szCs w:val="16"/>
        </w:rPr>
        <w:t xml:space="preserve"> </w:t>
      </w:r>
      <w:r w:rsidRPr="00AD7D22">
        <w:rPr>
          <w:rFonts w:ascii="Verdana" w:hAnsi="Verdana" w:cs="Arial"/>
          <w:sz w:val="16"/>
          <w:szCs w:val="16"/>
        </w:rPr>
        <w:t>200-201).</w:t>
      </w:r>
    </w:p>
    <w:p w14:paraId="3F535C20" w14:textId="77777777" w:rsidR="00D97EF3" w:rsidRPr="00AD7D22" w:rsidRDefault="00D97EF3" w:rsidP="00D97EF3">
      <w:pPr>
        <w:spacing w:after="0" w:line="240" w:lineRule="auto"/>
        <w:ind w:firstLine="708"/>
        <w:jc w:val="both"/>
        <w:rPr>
          <w:rFonts w:ascii="Verdana" w:hAnsi="Verdana" w:cs="Arial"/>
          <w:sz w:val="16"/>
          <w:szCs w:val="16"/>
        </w:rPr>
      </w:pPr>
    </w:p>
  </w:footnote>
  <w:footnote w:id="9">
    <w:p w14:paraId="7C021761" w14:textId="77777777" w:rsidR="00D97EF3" w:rsidRPr="00AD7D22" w:rsidRDefault="00D97EF3" w:rsidP="00D97EF3">
      <w:pPr>
        <w:pStyle w:val="Textonotapie"/>
        <w:ind w:firstLine="708"/>
        <w:jc w:val="both"/>
        <w:rPr>
          <w:rFonts w:ascii="Verdana" w:hAnsi="Verdana" w:cs="Arial"/>
          <w:sz w:val="16"/>
          <w:szCs w:val="16"/>
        </w:rPr>
      </w:pPr>
      <w:r w:rsidRPr="00AD7D22">
        <w:rPr>
          <w:rStyle w:val="Refdenotaalpie"/>
          <w:rFonts w:ascii="Verdana" w:hAnsi="Verdana" w:cs="Arial"/>
          <w:sz w:val="16"/>
          <w:szCs w:val="16"/>
        </w:rPr>
        <w:footnoteRef/>
      </w:r>
      <w:r w:rsidRPr="00AD7D22">
        <w:rPr>
          <w:rFonts w:ascii="Verdana" w:hAnsi="Verdana" w:cs="Arial"/>
          <w:sz w:val="16"/>
          <w:szCs w:val="16"/>
        </w:rPr>
        <w:t xml:space="preserve"> Ibíd. </w:t>
      </w:r>
    </w:p>
    <w:p w14:paraId="7747E9AF" w14:textId="77777777" w:rsidR="00D97EF3" w:rsidRPr="00AD7D22" w:rsidRDefault="00D97EF3" w:rsidP="00D97EF3">
      <w:pPr>
        <w:pStyle w:val="Textonotapie"/>
        <w:ind w:firstLine="708"/>
        <w:jc w:val="both"/>
        <w:rPr>
          <w:rFonts w:ascii="Verdana" w:hAnsi="Verdana" w:cs="Arial"/>
          <w:sz w:val="16"/>
          <w:szCs w:val="16"/>
        </w:rPr>
      </w:pPr>
    </w:p>
  </w:footnote>
  <w:footnote w:id="10">
    <w:p w14:paraId="1CDCCBBF" w14:textId="77777777" w:rsidR="00D97EF3" w:rsidRDefault="00D97EF3" w:rsidP="00D97EF3">
      <w:pPr>
        <w:pStyle w:val="Textonotapie"/>
        <w:ind w:firstLine="708"/>
        <w:jc w:val="both"/>
        <w:rPr>
          <w:rFonts w:ascii="Verdana" w:hAnsi="Verdana" w:cs="Arial"/>
          <w:sz w:val="16"/>
          <w:szCs w:val="16"/>
        </w:rPr>
      </w:pPr>
      <w:r>
        <w:rPr>
          <w:rStyle w:val="Refdenotaalpie"/>
          <w:rFonts w:ascii="Verdana" w:hAnsi="Verdana"/>
          <w:sz w:val="16"/>
          <w:szCs w:val="16"/>
        </w:rPr>
        <w:footnoteRef/>
      </w:r>
      <w:r>
        <w:rPr>
          <w:rFonts w:ascii="Verdana" w:hAnsi="Verdana" w:cs="Arial"/>
          <w:sz w:val="16"/>
          <w:szCs w:val="16"/>
        </w:rPr>
        <w:t xml:space="preserve"> Estas reglas están contenidas en el Capítulo IX del Tratado de Libre Comercio entre Colombia y Estados Unidos, el cual dispone en el numerales 3 al 7 del artículo 9.6. con respecto a las especificaciones técnicas: </w:t>
      </w:r>
    </w:p>
    <w:p w14:paraId="5D812AE3" w14:textId="77777777" w:rsidR="00D97EF3" w:rsidRDefault="00D97EF3" w:rsidP="00D97EF3">
      <w:pPr>
        <w:pStyle w:val="Textonotapie"/>
        <w:ind w:firstLine="708"/>
        <w:jc w:val="both"/>
        <w:rPr>
          <w:rFonts w:ascii="Verdana" w:hAnsi="Verdana" w:cs="Arial"/>
          <w:sz w:val="16"/>
          <w:szCs w:val="16"/>
        </w:rPr>
      </w:pPr>
      <w:r>
        <w:rPr>
          <w:rFonts w:ascii="Verdana" w:eastAsia="Calibri" w:hAnsi="Verdana" w:cs="Arial"/>
          <w:sz w:val="16"/>
          <w:szCs w:val="16"/>
          <w:lang w:val="es-ES"/>
        </w:rPr>
        <w:t>“</w:t>
      </w:r>
      <w:r>
        <w:rPr>
          <w:rStyle w:val="nfasis"/>
          <w:rFonts w:ascii="Verdana" w:hAnsi="Verdana" w:cs="Arial"/>
          <w:sz w:val="16"/>
          <w:szCs w:val="16"/>
        </w:rPr>
        <w:t>Especificaciones Técnicas</w:t>
      </w:r>
    </w:p>
    <w:p w14:paraId="3F5731C3" w14:textId="77777777" w:rsidR="00D97EF3" w:rsidRDefault="00D97EF3" w:rsidP="00D97EF3">
      <w:pPr>
        <w:pStyle w:val="NormalWeb"/>
        <w:shd w:val="clear" w:color="auto" w:fill="FFFFFF"/>
        <w:spacing w:before="0" w:beforeAutospacing="0" w:after="0" w:afterAutospacing="0"/>
        <w:ind w:firstLine="708"/>
        <w:jc w:val="both"/>
        <w:rPr>
          <w:rFonts w:ascii="Verdana" w:hAnsi="Verdana" w:cs="Arial"/>
          <w:sz w:val="16"/>
          <w:szCs w:val="16"/>
        </w:rPr>
      </w:pPr>
      <w:r>
        <w:rPr>
          <w:rFonts w:ascii="Verdana" w:hAnsi="Verdana" w:cs="Arial"/>
          <w:sz w:val="16"/>
          <w:szCs w:val="16"/>
        </w:rPr>
        <w:t>3. Una entidad contratante no preparará, adoptará ni aplicará ninguna especificación técnica ni exigirá ningún procedimiento de evaluación de conformidad que tenga como propósito o efecto crear obstáculos innecesarios al comercio entre las Partes.</w:t>
      </w:r>
    </w:p>
    <w:p w14:paraId="0F1CE3E1" w14:textId="77777777" w:rsidR="00D97EF3" w:rsidRDefault="00D97EF3" w:rsidP="00D97EF3">
      <w:pPr>
        <w:pStyle w:val="NormalWeb"/>
        <w:shd w:val="clear" w:color="auto" w:fill="FFFFFF"/>
        <w:spacing w:before="0" w:beforeAutospacing="0" w:after="0" w:afterAutospacing="0"/>
        <w:ind w:firstLine="708"/>
        <w:jc w:val="both"/>
        <w:rPr>
          <w:rFonts w:ascii="Verdana" w:hAnsi="Verdana" w:cs="Arial"/>
          <w:sz w:val="16"/>
          <w:szCs w:val="16"/>
        </w:rPr>
      </w:pPr>
      <w:r>
        <w:rPr>
          <w:rFonts w:ascii="Verdana" w:hAnsi="Verdana" w:cs="Arial"/>
          <w:sz w:val="16"/>
          <w:szCs w:val="16"/>
        </w:rPr>
        <w:t>4 Al establecer cualquier especificación técnica para una mercancía o servicio a ser contratado, la entidad contratante deberá:</w:t>
      </w:r>
    </w:p>
    <w:p w14:paraId="625EE0A4" w14:textId="77777777" w:rsidR="00D97EF3" w:rsidRDefault="00D97EF3" w:rsidP="00D97EF3">
      <w:pPr>
        <w:pStyle w:val="NormalWeb"/>
        <w:shd w:val="clear" w:color="auto" w:fill="FFFFFF"/>
        <w:spacing w:before="0" w:beforeAutospacing="0" w:after="0" w:afterAutospacing="0"/>
        <w:ind w:firstLine="708"/>
        <w:jc w:val="both"/>
        <w:rPr>
          <w:rFonts w:ascii="Verdana" w:hAnsi="Verdana" w:cs="Arial"/>
          <w:sz w:val="16"/>
          <w:szCs w:val="16"/>
        </w:rPr>
      </w:pPr>
      <w:r>
        <w:rPr>
          <w:rFonts w:ascii="Verdana" w:hAnsi="Verdana" w:cs="Arial"/>
          <w:sz w:val="16"/>
          <w:szCs w:val="16"/>
        </w:rPr>
        <w:t>(a) precisar la especificación técnica, de ser apropiado, en términos de desempeño y requisitos funcionales, más que en términos de características de diseño o descriptivas; y</w:t>
      </w:r>
    </w:p>
    <w:p w14:paraId="6CDCCC5E" w14:textId="77777777" w:rsidR="00D97EF3" w:rsidRDefault="00D97EF3" w:rsidP="00D97EF3">
      <w:pPr>
        <w:pStyle w:val="NormalWeb"/>
        <w:shd w:val="clear" w:color="auto" w:fill="FFFFFF"/>
        <w:spacing w:before="0" w:beforeAutospacing="0" w:after="0" w:afterAutospacing="0"/>
        <w:ind w:firstLine="708"/>
        <w:jc w:val="both"/>
        <w:rPr>
          <w:rFonts w:ascii="Verdana" w:hAnsi="Verdana" w:cs="Arial"/>
          <w:sz w:val="16"/>
          <w:szCs w:val="16"/>
        </w:rPr>
      </w:pPr>
      <w:r>
        <w:rPr>
          <w:rFonts w:ascii="Verdana" w:hAnsi="Verdana" w:cs="Arial"/>
          <w:sz w:val="16"/>
          <w:szCs w:val="16"/>
        </w:rPr>
        <w:t>(b) basar la especificación técnica en estándares internacionales, cuando existan y sean aplicables a la entidad contratante, salvo que la utilización de un estándar internacional no satisfaga los requerimientos del programa de la entidad o imponga una carga mayor que el empleo de un estándar nacional reconocido.</w:t>
      </w:r>
    </w:p>
    <w:p w14:paraId="6D99155A" w14:textId="77777777" w:rsidR="00D97EF3" w:rsidRDefault="00D97EF3" w:rsidP="00D97EF3">
      <w:pPr>
        <w:pStyle w:val="NormalWeb"/>
        <w:shd w:val="clear" w:color="auto" w:fill="FFFFFF"/>
        <w:spacing w:before="0" w:beforeAutospacing="0" w:after="0" w:afterAutospacing="0"/>
        <w:ind w:firstLine="708"/>
        <w:jc w:val="both"/>
        <w:rPr>
          <w:rFonts w:ascii="Verdana" w:hAnsi="Verdana" w:cs="Arial"/>
          <w:sz w:val="16"/>
          <w:szCs w:val="16"/>
        </w:rPr>
      </w:pPr>
      <w:r>
        <w:rPr>
          <w:rFonts w:ascii="Verdana" w:hAnsi="Verdana" w:cs="Arial"/>
          <w:sz w:val="16"/>
          <w:szCs w:val="16"/>
        </w:rPr>
        <w:t>5. Una entidad contratante no establecerá ninguna especificación técnica que requiera o haga referencia a una determinada marca o nombre comercial, patente, derecho de autor, diseño o tipo, origen específico, productor o proveedor, salvo que no exista otra manera suficientemente precisa o comprensible de describir los requisitos de la contratación pública y siempre que, en tales casos, se incluya también en los documentos de contratación expresiones tales como "o equivalente".</w:t>
      </w:r>
    </w:p>
    <w:p w14:paraId="24D50A6B" w14:textId="77777777" w:rsidR="00D97EF3" w:rsidRDefault="00D97EF3" w:rsidP="00D97EF3">
      <w:pPr>
        <w:pStyle w:val="NormalWeb"/>
        <w:shd w:val="clear" w:color="auto" w:fill="FFFFFF"/>
        <w:spacing w:before="0" w:beforeAutospacing="0" w:after="0" w:afterAutospacing="0"/>
        <w:ind w:firstLine="708"/>
        <w:jc w:val="both"/>
        <w:rPr>
          <w:rFonts w:ascii="Verdana" w:hAnsi="Verdana" w:cs="Arial"/>
          <w:sz w:val="16"/>
          <w:szCs w:val="16"/>
        </w:rPr>
      </w:pPr>
      <w:r>
        <w:rPr>
          <w:rFonts w:ascii="Verdana" w:hAnsi="Verdana" w:cs="Arial"/>
          <w:sz w:val="16"/>
          <w:szCs w:val="16"/>
        </w:rPr>
        <w:t>6. Una entidad contratante no solicitará ni aceptará, de manera que pueda tener por efecto impedir la competencia, asesoramiento que pudiera utilizarse para preparar o adoptar cualquier especificación técnica para una contratación pública específica proveniente de cualquier persona que pueda tener interés comercial en esa contratación pública.</w:t>
      </w:r>
    </w:p>
  </w:footnote>
  <w:footnote w:id="11">
    <w:p w14:paraId="1BFD73EE" w14:textId="77777777" w:rsidR="00D97EF3" w:rsidRDefault="00D97EF3" w:rsidP="00D97EF3">
      <w:pPr>
        <w:pStyle w:val="Textonotapie"/>
        <w:ind w:firstLine="708"/>
        <w:jc w:val="both"/>
        <w:rPr>
          <w:rFonts w:ascii="Verdana" w:hAnsi="Verdana" w:cs="Arial"/>
          <w:sz w:val="16"/>
          <w:szCs w:val="16"/>
          <w:lang w:val="es-CO"/>
        </w:rPr>
      </w:pPr>
      <w:r>
        <w:rPr>
          <w:rStyle w:val="Refdenotaalpie"/>
          <w:rFonts w:ascii="Verdana" w:hAnsi="Verdana"/>
          <w:sz w:val="16"/>
          <w:szCs w:val="16"/>
        </w:rPr>
        <w:footnoteRef/>
      </w:r>
      <w:r>
        <w:rPr>
          <w:rFonts w:ascii="Verdana" w:hAnsi="Verdana" w:cs="Arial"/>
          <w:sz w:val="16"/>
          <w:szCs w:val="16"/>
        </w:rPr>
        <w:t xml:space="preserve"> En los tratados de Libre Comercio con AELC, Unión Europea, entre otros se establece la restricción para la exigencia de marcas en los procesos de contratación pública.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65pt;height:10.6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F8E"/>
    <w:rsid w:val="000073EF"/>
    <w:rsid w:val="00012297"/>
    <w:rsid w:val="00016A14"/>
    <w:rsid w:val="00016F78"/>
    <w:rsid w:val="00024942"/>
    <w:rsid w:val="00046945"/>
    <w:rsid w:val="00061B2A"/>
    <w:rsid w:val="0006468E"/>
    <w:rsid w:val="00082362"/>
    <w:rsid w:val="000861AC"/>
    <w:rsid w:val="000A466B"/>
    <w:rsid w:val="000A683E"/>
    <w:rsid w:val="000B19B9"/>
    <w:rsid w:val="000D0334"/>
    <w:rsid w:val="000E7068"/>
    <w:rsid w:val="000F59CB"/>
    <w:rsid w:val="000F62DA"/>
    <w:rsid w:val="000F6486"/>
    <w:rsid w:val="00106319"/>
    <w:rsid w:val="00110326"/>
    <w:rsid w:val="00125105"/>
    <w:rsid w:val="00127233"/>
    <w:rsid w:val="001431BA"/>
    <w:rsid w:val="00154158"/>
    <w:rsid w:val="001C1366"/>
    <w:rsid w:val="001C6DE9"/>
    <w:rsid w:val="001E4177"/>
    <w:rsid w:val="001F7DC6"/>
    <w:rsid w:val="002421BB"/>
    <w:rsid w:val="0025796E"/>
    <w:rsid w:val="002707A2"/>
    <w:rsid w:val="00272EFA"/>
    <w:rsid w:val="00287E28"/>
    <w:rsid w:val="002951A0"/>
    <w:rsid w:val="002952EA"/>
    <w:rsid w:val="002962BC"/>
    <w:rsid w:val="002A093D"/>
    <w:rsid w:val="002A0DD0"/>
    <w:rsid w:val="002A49AC"/>
    <w:rsid w:val="002A64FD"/>
    <w:rsid w:val="002C7A84"/>
    <w:rsid w:val="002D1B44"/>
    <w:rsid w:val="002E4FD9"/>
    <w:rsid w:val="002E673B"/>
    <w:rsid w:val="002E78B1"/>
    <w:rsid w:val="002F04BE"/>
    <w:rsid w:val="002F566B"/>
    <w:rsid w:val="003005D1"/>
    <w:rsid w:val="0032092F"/>
    <w:rsid w:val="00322A85"/>
    <w:rsid w:val="00324168"/>
    <w:rsid w:val="003448F4"/>
    <w:rsid w:val="003675F3"/>
    <w:rsid w:val="00374F5E"/>
    <w:rsid w:val="00377E3E"/>
    <w:rsid w:val="003A779E"/>
    <w:rsid w:val="003C4685"/>
    <w:rsid w:val="003D0F4D"/>
    <w:rsid w:val="003D5B0D"/>
    <w:rsid w:val="003E0499"/>
    <w:rsid w:val="003E5212"/>
    <w:rsid w:val="003E55FF"/>
    <w:rsid w:val="003F3941"/>
    <w:rsid w:val="0040386C"/>
    <w:rsid w:val="00405EE4"/>
    <w:rsid w:val="00406575"/>
    <w:rsid w:val="00414C74"/>
    <w:rsid w:val="0042722E"/>
    <w:rsid w:val="00431C19"/>
    <w:rsid w:val="0044528D"/>
    <w:rsid w:val="0044733C"/>
    <w:rsid w:val="004757AF"/>
    <w:rsid w:val="004A1847"/>
    <w:rsid w:val="004A305D"/>
    <w:rsid w:val="004D500A"/>
    <w:rsid w:val="004F21C4"/>
    <w:rsid w:val="004F685F"/>
    <w:rsid w:val="004F7347"/>
    <w:rsid w:val="00530AC2"/>
    <w:rsid w:val="00531711"/>
    <w:rsid w:val="00545F29"/>
    <w:rsid w:val="005563DD"/>
    <w:rsid w:val="005566E8"/>
    <w:rsid w:val="00561E87"/>
    <w:rsid w:val="00574867"/>
    <w:rsid w:val="00591460"/>
    <w:rsid w:val="005C3777"/>
    <w:rsid w:val="005C5CDC"/>
    <w:rsid w:val="005D476C"/>
    <w:rsid w:val="005E5877"/>
    <w:rsid w:val="006219F8"/>
    <w:rsid w:val="00622B6D"/>
    <w:rsid w:val="006302F7"/>
    <w:rsid w:val="0063406F"/>
    <w:rsid w:val="00665D70"/>
    <w:rsid w:val="00667952"/>
    <w:rsid w:val="006900D9"/>
    <w:rsid w:val="006A760C"/>
    <w:rsid w:val="00705101"/>
    <w:rsid w:val="00706C16"/>
    <w:rsid w:val="007138A2"/>
    <w:rsid w:val="00733A90"/>
    <w:rsid w:val="007369CA"/>
    <w:rsid w:val="00756841"/>
    <w:rsid w:val="007649AB"/>
    <w:rsid w:val="00771D0C"/>
    <w:rsid w:val="007833AC"/>
    <w:rsid w:val="00790AE5"/>
    <w:rsid w:val="00793F7B"/>
    <w:rsid w:val="007B1695"/>
    <w:rsid w:val="007B268C"/>
    <w:rsid w:val="007B7171"/>
    <w:rsid w:val="007C0C0F"/>
    <w:rsid w:val="007C3DC2"/>
    <w:rsid w:val="007C79D9"/>
    <w:rsid w:val="007E5497"/>
    <w:rsid w:val="007F7C8E"/>
    <w:rsid w:val="00806F5F"/>
    <w:rsid w:val="00820278"/>
    <w:rsid w:val="00852173"/>
    <w:rsid w:val="008642BC"/>
    <w:rsid w:val="00867F95"/>
    <w:rsid w:val="00882D7C"/>
    <w:rsid w:val="008843B6"/>
    <w:rsid w:val="00891928"/>
    <w:rsid w:val="00897A3A"/>
    <w:rsid w:val="008A446D"/>
    <w:rsid w:val="008A56F8"/>
    <w:rsid w:val="008B2EA6"/>
    <w:rsid w:val="008D180B"/>
    <w:rsid w:val="008E17E5"/>
    <w:rsid w:val="008F0EA7"/>
    <w:rsid w:val="00906A97"/>
    <w:rsid w:val="00923EEF"/>
    <w:rsid w:val="009415E7"/>
    <w:rsid w:val="009419F9"/>
    <w:rsid w:val="0095479D"/>
    <w:rsid w:val="0095685E"/>
    <w:rsid w:val="00961B09"/>
    <w:rsid w:val="00962D87"/>
    <w:rsid w:val="00965334"/>
    <w:rsid w:val="0097093E"/>
    <w:rsid w:val="0097568B"/>
    <w:rsid w:val="009A0DFA"/>
    <w:rsid w:val="009B25A8"/>
    <w:rsid w:val="009B2D26"/>
    <w:rsid w:val="009B7F46"/>
    <w:rsid w:val="009C0757"/>
    <w:rsid w:val="009C71FA"/>
    <w:rsid w:val="009C72E7"/>
    <w:rsid w:val="009D3058"/>
    <w:rsid w:val="009F3A13"/>
    <w:rsid w:val="00A122D3"/>
    <w:rsid w:val="00A17F13"/>
    <w:rsid w:val="00A20739"/>
    <w:rsid w:val="00A33C78"/>
    <w:rsid w:val="00A37E1D"/>
    <w:rsid w:val="00A476FF"/>
    <w:rsid w:val="00A5203D"/>
    <w:rsid w:val="00A53477"/>
    <w:rsid w:val="00A736AF"/>
    <w:rsid w:val="00A7736C"/>
    <w:rsid w:val="00A81E66"/>
    <w:rsid w:val="00A8325B"/>
    <w:rsid w:val="00A852A6"/>
    <w:rsid w:val="00AA66B2"/>
    <w:rsid w:val="00AB0ADB"/>
    <w:rsid w:val="00B00C0E"/>
    <w:rsid w:val="00B01B1A"/>
    <w:rsid w:val="00B064A8"/>
    <w:rsid w:val="00B2349F"/>
    <w:rsid w:val="00B3532F"/>
    <w:rsid w:val="00B44A47"/>
    <w:rsid w:val="00B455E6"/>
    <w:rsid w:val="00B72CD3"/>
    <w:rsid w:val="00B72FFF"/>
    <w:rsid w:val="00B8260D"/>
    <w:rsid w:val="00BC3D36"/>
    <w:rsid w:val="00BC654B"/>
    <w:rsid w:val="00BD5F71"/>
    <w:rsid w:val="00BD7F72"/>
    <w:rsid w:val="00BE7AD5"/>
    <w:rsid w:val="00C04FB3"/>
    <w:rsid w:val="00C200CA"/>
    <w:rsid w:val="00C262D5"/>
    <w:rsid w:val="00C330EB"/>
    <w:rsid w:val="00C754BE"/>
    <w:rsid w:val="00C76B1C"/>
    <w:rsid w:val="00C847FE"/>
    <w:rsid w:val="00C90BAD"/>
    <w:rsid w:val="00C93F8F"/>
    <w:rsid w:val="00CB6357"/>
    <w:rsid w:val="00CB6638"/>
    <w:rsid w:val="00CC1B26"/>
    <w:rsid w:val="00CC51D5"/>
    <w:rsid w:val="00CD5606"/>
    <w:rsid w:val="00CF78D5"/>
    <w:rsid w:val="00D01713"/>
    <w:rsid w:val="00D35D66"/>
    <w:rsid w:val="00D423A2"/>
    <w:rsid w:val="00D50F54"/>
    <w:rsid w:val="00D520D8"/>
    <w:rsid w:val="00D5224A"/>
    <w:rsid w:val="00D63AC2"/>
    <w:rsid w:val="00D6740F"/>
    <w:rsid w:val="00D7383B"/>
    <w:rsid w:val="00D97EF3"/>
    <w:rsid w:val="00DA231B"/>
    <w:rsid w:val="00DC39FC"/>
    <w:rsid w:val="00DF5254"/>
    <w:rsid w:val="00E014DE"/>
    <w:rsid w:val="00E16408"/>
    <w:rsid w:val="00E20894"/>
    <w:rsid w:val="00E245AB"/>
    <w:rsid w:val="00E2764C"/>
    <w:rsid w:val="00E27F2E"/>
    <w:rsid w:val="00E37A29"/>
    <w:rsid w:val="00E50AFE"/>
    <w:rsid w:val="00E724E5"/>
    <w:rsid w:val="00E75C92"/>
    <w:rsid w:val="00E771DC"/>
    <w:rsid w:val="00E8772A"/>
    <w:rsid w:val="00E90F6B"/>
    <w:rsid w:val="00E92C27"/>
    <w:rsid w:val="00EA0E3D"/>
    <w:rsid w:val="00EB72E9"/>
    <w:rsid w:val="00EC38A7"/>
    <w:rsid w:val="00EE1AA8"/>
    <w:rsid w:val="00F109CF"/>
    <w:rsid w:val="00F23276"/>
    <w:rsid w:val="00F24FDE"/>
    <w:rsid w:val="00F262D3"/>
    <w:rsid w:val="00F27CF8"/>
    <w:rsid w:val="00F31EDC"/>
    <w:rsid w:val="00F462B3"/>
    <w:rsid w:val="00F505B0"/>
    <w:rsid w:val="00F5664F"/>
    <w:rsid w:val="00F666C4"/>
    <w:rsid w:val="00F76AFC"/>
    <w:rsid w:val="00F923E5"/>
    <w:rsid w:val="00FA47C0"/>
    <w:rsid w:val="00FB1317"/>
    <w:rsid w:val="00FB5DD1"/>
    <w:rsid w:val="00FC2B5D"/>
    <w:rsid w:val="00FF1449"/>
    <w:rsid w:val="1EEC3F27"/>
    <w:rsid w:val="3239A092"/>
    <w:rsid w:val="56EA2E15"/>
    <w:rsid w:val="76058E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262D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262D3"/>
    <w:rPr>
      <w:rFonts w:ascii="Geomanist Light" w:hAnsi="Geomanist Light"/>
      <w:lang w:val="es-ES"/>
    </w:rPr>
  </w:style>
  <w:style w:type="paragraph" w:styleId="Sinespaciado">
    <w:name w:val="No Spacing"/>
    <w:aliases w:val="No Indent"/>
    <w:uiPriority w:val="3"/>
    <w:qFormat/>
    <w:rsid w:val="00F262D3"/>
    <w:pPr>
      <w:spacing w:after="0" w:line="240" w:lineRule="auto"/>
    </w:pPr>
    <w:rPr>
      <w:sz w:val="24"/>
      <w:lang w:val="es-MX"/>
    </w:rPr>
  </w:style>
  <w:style w:type="character" w:customStyle="1" w:styleId="baj">
    <w:name w:val="b_aj"/>
    <w:basedOn w:val="Fuentedeprrafopredeter"/>
    <w:rsid w:val="0040386C"/>
  </w:style>
  <w:style w:type="character" w:styleId="nfasis">
    <w:name w:val="Emphasis"/>
    <w:basedOn w:val="Fuentedeprrafopredeter"/>
    <w:uiPriority w:val="20"/>
    <w:qFormat/>
    <w:rsid w:val="0002494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about:blan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about:blan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dicante.contratos@electrohuila.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emf"/><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about:blank" TargetMode="External"/><Relationship Id="rId2" Type="http://schemas.openxmlformats.org/officeDocument/2006/relationships/hyperlink" Target="about:blank" TargetMode="External"/><Relationship Id="rId1" Type="http://schemas.openxmlformats.org/officeDocument/2006/relationships/hyperlink" Target="about:blank" TargetMode="External"/><Relationship Id="rId5" Type="http://schemas.openxmlformats.org/officeDocument/2006/relationships/hyperlink" Target="about:blank" TargetMode="External"/><Relationship Id="rId4"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infopath/2007/PartnerControls"/>
    <ds:schemaRef ds:uri="http://purl.org/dc/dcmitype/"/>
    <ds:schemaRef ds:uri="a6cb9e4b-f1d1-4245-83ec-6cad768d538a"/>
    <ds:schemaRef ds:uri="http://purl.org/dc/elements/1.1/"/>
    <ds:schemaRef ds:uri="http://schemas.microsoft.com/office/2006/metadata/properties"/>
    <ds:schemaRef ds:uri="9d85dbaf-23eb-4e57-a637-93dcacc8b1a1"/>
    <ds:schemaRef ds:uri="http://schemas.microsoft.com/office/2006/documentManagement/types"/>
    <ds:schemaRef ds:uri="http://purl.org/dc/term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46447E00-4800-4484-8E37-C55ED1BCCD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14</Pages>
  <Words>4226</Words>
  <Characters>23415</Characters>
  <Application>Microsoft Office Word</Application>
  <DocSecurity>0</DocSecurity>
  <Lines>487</Lines>
  <Paragraphs>90</Paragraphs>
  <ScaleCrop>false</ScaleCrop>
  <Company/>
  <LinksUpToDate>false</LinksUpToDate>
  <CharactersWithSpaces>27551</CharactersWithSpaces>
  <SharedDoc>false</SharedDoc>
  <HLinks>
    <vt:vector size="54" baseType="variant">
      <vt:variant>
        <vt:i4>7471218</vt:i4>
      </vt:variant>
      <vt:variant>
        <vt:i4>9</vt:i4>
      </vt:variant>
      <vt:variant>
        <vt:i4>0</vt:i4>
      </vt:variant>
      <vt:variant>
        <vt:i4>5</vt:i4>
      </vt:variant>
      <vt:variant>
        <vt:lpwstr>https://relatoria.colombiacompra.gov.co/busqueda/conceptos</vt:lpwstr>
      </vt:variant>
      <vt:variant>
        <vt:lpwstr/>
      </vt:variant>
      <vt:variant>
        <vt:i4>1638475</vt:i4>
      </vt:variant>
      <vt:variant>
        <vt:i4>6</vt:i4>
      </vt:variant>
      <vt:variant>
        <vt:i4>0</vt:i4>
      </vt:variant>
      <vt:variant>
        <vt:i4>5</vt:i4>
      </vt:variant>
      <vt:variant>
        <vt:lpwstr>about:blank</vt:lpwstr>
      </vt:variant>
      <vt:variant>
        <vt:lpwstr>267</vt:lpwstr>
      </vt:variant>
      <vt:variant>
        <vt:i4>2031691</vt:i4>
      </vt:variant>
      <vt:variant>
        <vt:i4>3</vt:i4>
      </vt:variant>
      <vt:variant>
        <vt:i4>0</vt:i4>
      </vt:variant>
      <vt:variant>
        <vt:i4>5</vt:i4>
      </vt:variant>
      <vt:variant>
        <vt:lpwstr>about:blank</vt:lpwstr>
      </vt:variant>
      <vt:variant>
        <vt:lpwstr>209</vt:lpwstr>
      </vt:variant>
      <vt:variant>
        <vt:i4>4128838</vt:i4>
      </vt:variant>
      <vt:variant>
        <vt:i4>0</vt:i4>
      </vt:variant>
      <vt:variant>
        <vt:i4>0</vt:i4>
      </vt:variant>
      <vt:variant>
        <vt:i4>5</vt:i4>
      </vt:variant>
      <vt:variant>
        <vt:lpwstr>mailto:judicante.contratos@electrohuila.co</vt:lpwstr>
      </vt:variant>
      <vt:variant>
        <vt:lpwstr/>
      </vt:variant>
      <vt:variant>
        <vt:i4>1835085</vt:i4>
      </vt:variant>
      <vt:variant>
        <vt:i4>12</vt:i4>
      </vt:variant>
      <vt:variant>
        <vt:i4>0</vt:i4>
      </vt:variant>
      <vt:variant>
        <vt:i4>5</vt:i4>
      </vt:variant>
      <vt:variant>
        <vt:lpwstr>about:blank</vt:lpwstr>
      </vt:variant>
      <vt:variant>
        <vt:lpwstr>43</vt:lpwstr>
      </vt:variant>
      <vt:variant>
        <vt:i4>1900621</vt:i4>
      </vt:variant>
      <vt:variant>
        <vt:i4>9</vt:i4>
      </vt:variant>
      <vt:variant>
        <vt:i4>0</vt:i4>
      </vt:variant>
      <vt:variant>
        <vt:i4>5</vt:i4>
      </vt:variant>
      <vt:variant>
        <vt:lpwstr>about:blank</vt:lpwstr>
      </vt:variant>
      <vt:variant>
        <vt:lpwstr>42</vt:lpwstr>
      </vt:variant>
      <vt:variant>
        <vt:i4>1507400</vt:i4>
      </vt:variant>
      <vt:variant>
        <vt:i4>6</vt:i4>
      </vt:variant>
      <vt:variant>
        <vt:i4>0</vt:i4>
      </vt:variant>
      <vt:variant>
        <vt:i4>5</vt:i4>
      </vt:variant>
      <vt:variant>
        <vt:lpwstr>about:blank</vt:lpwstr>
      </vt:variant>
      <vt:variant>
        <vt:lpwstr>18</vt:lpwstr>
      </vt:variant>
      <vt:variant>
        <vt:i4>1769544</vt:i4>
      </vt:variant>
      <vt:variant>
        <vt:i4>3</vt:i4>
      </vt:variant>
      <vt:variant>
        <vt:i4>0</vt:i4>
      </vt:variant>
      <vt:variant>
        <vt:i4>5</vt:i4>
      </vt:variant>
      <vt:variant>
        <vt:lpwstr>about:blank</vt:lpwstr>
      </vt:variant>
      <vt:variant>
        <vt:lpwstr>14</vt:lpwstr>
      </vt:variant>
      <vt:variant>
        <vt:i4>1835080</vt:i4>
      </vt:variant>
      <vt:variant>
        <vt:i4>0</vt:i4>
      </vt:variant>
      <vt:variant>
        <vt:i4>0</vt:i4>
      </vt:variant>
      <vt:variant>
        <vt:i4>5</vt:i4>
      </vt:variant>
      <vt:variant>
        <vt:lpwstr>about:blank</vt:lpwstr>
      </vt:variant>
      <vt:variant>
        <vt:lpwstr>13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2025-11-04T14:38:00Z</dcterms:created>
  <dcterms:modified xsi:type="dcterms:W3CDTF">2025-11-04T14:38:00Z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