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17D76" w14:textId="77777777" w:rsidR="003E466F" w:rsidRPr="003E466F" w:rsidRDefault="003E466F" w:rsidP="003E466F">
      <w:pPr>
        <w:spacing w:after="0" w:line="240" w:lineRule="auto"/>
        <w:jc w:val="both"/>
        <w:rPr>
          <w:rFonts w:ascii="Verdana" w:hAnsi="Verdana" w:cs="Arial"/>
          <w:b/>
          <w:color w:val="000000" w:themeColor="text1"/>
          <w:lang w:val="es-ES_tradnl"/>
        </w:rPr>
      </w:pPr>
      <w:r w:rsidRPr="003E466F">
        <w:rPr>
          <w:rFonts w:ascii="Verdana" w:hAnsi="Verdana" w:cs="Arial"/>
          <w:b/>
          <w:color w:val="000000" w:themeColor="text1"/>
          <w:lang w:val="es-ES_tradnl"/>
        </w:rPr>
        <w:t xml:space="preserve">EGCAP – Ámbito de aplicación – Entidades estatales </w:t>
      </w:r>
    </w:p>
    <w:p w14:paraId="6C46EBB6" w14:textId="77777777" w:rsidR="003E466F" w:rsidRPr="003E466F" w:rsidRDefault="003E466F" w:rsidP="003E466F">
      <w:pPr>
        <w:spacing w:after="0" w:line="240" w:lineRule="auto"/>
        <w:jc w:val="both"/>
        <w:rPr>
          <w:rFonts w:ascii="Verdana" w:hAnsi="Verdana" w:cs="Arial"/>
          <w:bCs/>
          <w:color w:val="000000" w:themeColor="text1"/>
          <w:sz w:val="20"/>
          <w:szCs w:val="20"/>
          <w:lang w:val="es-ES_tradnl"/>
        </w:rPr>
      </w:pPr>
    </w:p>
    <w:p w14:paraId="77CD88C5" w14:textId="77777777" w:rsidR="003E466F" w:rsidRPr="003E466F" w:rsidRDefault="003E466F" w:rsidP="003E466F">
      <w:pPr>
        <w:spacing w:after="0" w:line="240" w:lineRule="auto"/>
        <w:jc w:val="both"/>
        <w:rPr>
          <w:rFonts w:ascii="Verdana" w:hAnsi="Verdana" w:cs="Arial"/>
          <w:bCs/>
          <w:color w:val="000000" w:themeColor="text1"/>
          <w:sz w:val="20"/>
          <w:szCs w:val="20"/>
          <w:lang w:eastAsia="es-ES_tradnl"/>
        </w:rPr>
      </w:pPr>
      <w:r w:rsidRPr="003E466F">
        <w:rPr>
          <w:rFonts w:ascii="Verdana" w:hAnsi="Verdana" w:cs="Arial"/>
          <w:bCs/>
          <w:color w:val="000000" w:themeColor="text1"/>
          <w:sz w:val="20"/>
          <w:szCs w:val="20"/>
          <w:lang w:eastAsia="es-ES_tradnl"/>
        </w:rPr>
        <w:t>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2304DDE3" w14:textId="77777777" w:rsidR="003E466F" w:rsidRPr="003E466F" w:rsidRDefault="003E466F" w:rsidP="003E466F">
      <w:pPr>
        <w:spacing w:after="0" w:line="240" w:lineRule="auto"/>
        <w:rPr>
          <w:rFonts w:ascii="Verdana" w:eastAsia="Geomanist Light" w:hAnsi="Verdana" w:cs="Arial"/>
          <w:color w:val="000000" w:themeColor="text1"/>
          <w:sz w:val="20"/>
          <w:szCs w:val="20"/>
          <w:lang w:val="es-ES_tradnl"/>
        </w:rPr>
      </w:pPr>
    </w:p>
    <w:p w14:paraId="0CC10BBC" w14:textId="77777777" w:rsidR="003E466F" w:rsidRPr="003E466F" w:rsidRDefault="003E466F" w:rsidP="003E466F">
      <w:pPr>
        <w:spacing w:after="0" w:line="240" w:lineRule="auto"/>
        <w:jc w:val="both"/>
        <w:rPr>
          <w:rFonts w:ascii="Verdana" w:hAnsi="Verdana" w:cs="Arial"/>
          <w:b/>
          <w:lang w:val="es-ES_tradnl"/>
        </w:rPr>
      </w:pPr>
      <w:r w:rsidRPr="003E466F">
        <w:rPr>
          <w:rFonts w:ascii="Verdana" w:hAnsi="Verdana" w:cs="Arial"/>
          <w:b/>
          <w:lang w:val="es-ES_tradnl"/>
        </w:rPr>
        <w:t>ENTIDADES EXCEPTUADAS – Aplicación de normas de derecho público</w:t>
      </w:r>
    </w:p>
    <w:p w14:paraId="64EBDC99" w14:textId="77777777" w:rsidR="003E466F" w:rsidRPr="003E466F" w:rsidRDefault="003E466F" w:rsidP="003E466F">
      <w:pPr>
        <w:spacing w:after="0" w:line="240" w:lineRule="auto"/>
        <w:jc w:val="both"/>
        <w:rPr>
          <w:rFonts w:ascii="Verdana" w:hAnsi="Verdana" w:cs="Arial"/>
          <w:b/>
          <w:sz w:val="20"/>
          <w:szCs w:val="20"/>
          <w:lang w:val="es-ES_tradnl"/>
        </w:rPr>
      </w:pPr>
    </w:p>
    <w:p w14:paraId="477AC75A" w14:textId="77777777" w:rsidR="003E466F" w:rsidRPr="003E466F" w:rsidRDefault="003E466F" w:rsidP="003E466F">
      <w:pPr>
        <w:spacing w:after="0" w:line="240" w:lineRule="auto"/>
        <w:jc w:val="both"/>
        <w:rPr>
          <w:rFonts w:ascii="Verdana" w:hAnsi="Verdana" w:cs="Arial"/>
          <w:bCs/>
          <w:sz w:val="20"/>
          <w:szCs w:val="20"/>
          <w:lang w:val="es-ES_tradnl"/>
        </w:rPr>
      </w:pPr>
      <w:r w:rsidRPr="003E466F">
        <w:rPr>
          <w:rFonts w:ascii="Verdana" w:hAnsi="Verdana" w:cs="Arial"/>
          <w:bCs/>
          <w:sz w:val="20"/>
          <w:szCs w:val="20"/>
          <w:lang w:val="es-ES_tradnl"/>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 Estas “dosis” de derecho administrativo encuentran su manifestación tanto en forma de reglas como de principios.</w:t>
      </w:r>
    </w:p>
    <w:p w14:paraId="4C3EA581" w14:textId="77777777" w:rsidR="003E466F" w:rsidRPr="003E466F" w:rsidRDefault="003E466F" w:rsidP="003E466F">
      <w:pPr>
        <w:spacing w:after="0" w:line="240" w:lineRule="auto"/>
        <w:jc w:val="both"/>
        <w:rPr>
          <w:rFonts w:ascii="Verdana" w:eastAsiaTheme="minorHAnsi" w:hAnsi="Verdana" w:cs="Arial"/>
          <w:color w:val="000000" w:themeColor="text1"/>
          <w:sz w:val="21"/>
          <w:szCs w:val="21"/>
          <w:lang w:val="es-ES_tradnl"/>
        </w:rPr>
      </w:pPr>
    </w:p>
    <w:p w14:paraId="28F96CBE" w14:textId="77777777" w:rsidR="00BE59BE" w:rsidRPr="00BE59BE" w:rsidRDefault="00BE59BE" w:rsidP="00BE59BE">
      <w:pPr>
        <w:spacing w:after="0" w:line="240" w:lineRule="auto"/>
        <w:jc w:val="both"/>
        <w:rPr>
          <w:rFonts w:ascii="Verdana" w:hAnsi="Verdana" w:cs="Arial"/>
          <w:b/>
          <w:color w:val="000000" w:themeColor="text1"/>
          <w:lang w:val="es-ES_tradnl"/>
        </w:rPr>
      </w:pPr>
      <w:r w:rsidRPr="00BE59BE">
        <w:rPr>
          <w:rFonts w:ascii="Verdana" w:hAnsi="Verdana" w:cs="Arial"/>
          <w:b/>
          <w:color w:val="000000" w:themeColor="text1"/>
          <w:lang w:val="es-ES_tradnl"/>
        </w:rPr>
        <w:t xml:space="preserve">EGCAP – Ámbito de aplicación – Entidades estatales </w:t>
      </w:r>
    </w:p>
    <w:p w14:paraId="03CD6C66" w14:textId="77777777" w:rsidR="00BE59BE" w:rsidRPr="00BE59BE" w:rsidRDefault="00BE59BE" w:rsidP="00BE59BE">
      <w:pPr>
        <w:spacing w:after="0" w:line="240" w:lineRule="auto"/>
        <w:jc w:val="both"/>
        <w:rPr>
          <w:rFonts w:ascii="Verdana" w:hAnsi="Verdana" w:cs="Arial"/>
          <w:bCs/>
          <w:color w:val="000000" w:themeColor="text1"/>
          <w:sz w:val="20"/>
          <w:szCs w:val="20"/>
          <w:lang w:val="es-ES_tradnl"/>
        </w:rPr>
      </w:pPr>
    </w:p>
    <w:p w14:paraId="7AC44172" w14:textId="77777777" w:rsidR="00BE59BE" w:rsidRPr="00BE59BE" w:rsidRDefault="00BE59BE" w:rsidP="00BE59BE">
      <w:pPr>
        <w:spacing w:after="0" w:line="240" w:lineRule="auto"/>
        <w:jc w:val="both"/>
        <w:rPr>
          <w:rFonts w:ascii="Verdana" w:hAnsi="Verdana" w:cs="Arial"/>
          <w:bCs/>
          <w:color w:val="000000" w:themeColor="text1"/>
          <w:sz w:val="20"/>
          <w:szCs w:val="20"/>
          <w:lang w:eastAsia="es-ES_tradnl"/>
        </w:rPr>
      </w:pPr>
      <w:r w:rsidRPr="00BE59BE">
        <w:rPr>
          <w:rFonts w:ascii="Verdana" w:hAnsi="Verdana" w:cs="Arial"/>
          <w:bCs/>
          <w:color w:val="000000" w:themeColor="text1"/>
          <w:sz w:val="20"/>
          <w:szCs w:val="20"/>
          <w:lang w:eastAsia="es-ES_tradnl"/>
        </w:rPr>
        <w:t>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560F9BB0" w14:textId="77777777" w:rsidR="00BE59BE" w:rsidRPr="00BE59BE" w:rsidRDefault="00BE59BE" w:rsidP="00BE59BE">
      <w:pPr>
        <w:spacing w:after="0" w:line="240" w:lineRule="auto"/>
        <w:rPr>
          <w:rFonts w:ascii="Verdana" w:eastAsia="Geomanist Light" w:hAnsi="Verdana" w:cs="Arial"/>
          <w:color w:val="000000" w:themeColor="text1"/>
          <w:sz w:val="20"/>
          <w:szCs w:val="20"/>
          <w:lang w:val="es-ES_tradnl"/>
        </w:rPr>
      </w:pPr>
    </w:p>
    <w:p w14:paraId="2FD490B8" w14:textId="77777777" w:rsidR="00BE59BE" w:rsidRPr="00BE59BE" w:rsidRDefault="00BE59BE" w:rsidP="00BE59BE">
      <w:pPr>
        <w:spacing w:after="0" w:line="240" w:lineRule="auto"/>
        <w:jc w:val="both"/>
        <w:rPr>
          <w:rFonts w:ascii="Verdana" w:hAnsi="Verdana" w:cs="Arial"/>
          <w:b/>
          <w:lang w:val="es-ES_tradnl"/>
        </w:rPr>
      </w:pPr>
      <w:r w:rsidRPr="00BE59BE">
        <w:rPr>
          <w:rFonts w:ascii="Verdana" w:hAnsi="Verdana" w:cs="Arial"/>
          <w:b/>
          <w:lang w:val="es-ES_tradnl"/>
        </w:rPr>
        <w:t>ENTIDADES EXCEPTUADAS – Aplicación de normas de derecho público</w:t>
      </w:r>
    </w:p>
    <w:p w14:paraId="08C0BE43" w14:textId="77777777" w:rsidR="00BE59BE" w:rsidRPr="00BE59BE" w:rsidRDefault="00BE59BE" w:rsidP="00BE59BE">
      <w:pPr>
        <w:spacing w:after="0" w:line="240" w:lineRule="auto"/>
        <w:jc w:val="both"/>
        <w:rPr>
          <w:rFonts w:ascii="Verdana" w:hAnsi="Verdana" w:cs="Arial"/>
          <w:b/>
          <w:sz w:val="20"/>
          <w:szCs w:val="20"/>
          <w:lang w:val="es-ES_tradnl"/>
        </w:rPr>
      </w:pPr>
    </w:p>
    <w:p w14:paraId="654FB487" w14:textId="77777777" w:rsidR="00BE59BE" w:rsidRPr="00BE59BE" w:rsidRDefault="00BE59BE" w:rsidP="00BE59BE">
      <w:pPr>
        <w:spacing w:after="0" w:line="240" w:lineRule="auto"/>
        <w:jc w:val="both"/>
        <w:rPr>
          <w:rFonts w:ascii="Verdana" w:hAnsi="Verdana" w:cs="Arial"/>
          <w:bCs/>
          <w:sz w:val="20"/>
          <w:szCs w:val="20"/>
          <w:lang w:val="es-ES_tradnl"/>
        </w:rPr>
      </w:pPr>
      <w:r w:rsidRPr="00BE59BE">
        <w:rPr>
          <w:rFonts w:ascii="Verdana" w:hAnsi="Verdana" w:cs="Arial"/>
          <w:bCs/>
          <w:sz w:val="20"/>
          <w:szCs w:val="20"/>
          <w:lang w:val="es-ES_tradnl"/>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 Estas “dosis” de derecho administrativo encuentran su manifestación tanto en forma de reglas como de principios.</w:t>
      </w:r>
    </w:p>
    <w:p w14:paraId="3DCD94FB" w14:textId="77777777" w:rsidR="00BE59BE" w:rsidRPr="00BE59BE" w:rsidRDefault="00BE59BE" w:rsidP="00BE59BE">
      <w:pPr>
        <w:spacing w:after="0" w:line="240" w:lineRule="auto"/>
        <w:jc w:val="both"/>
        <w:rPr>
          <w:rFonts w:ascii="Verdana" w:eastAsiaTheme="minorHAnsi" w:hAnsi="Verdana" w:cs="Arial"/>
          <w:color w:val="000000" w:themeColor="text1"/>
          <w:sz w:val="21"/>
          <w:szCs w:val="21"/>
          <w:lang w:val="es-ES_tradnl"/>
        </w:rPr>
      </w:pPr>
    </w:p>
    <w:p w14:paraId="12D93747" w14:textId="77777777" w:rsidR="00BE59BE" w:rsidRPr="00BE59BE" w:rsidRDefault="00BE59BE" w:rsidP="00BE59BE">
      <w:pPr>
        <w:spacing w:after="0" w:line="240" w:lineRule="auto"/>
        <w:jc w:val="both"/>
        <w:rPr>
          <w:rFonts w:ascii="Verdana" w:hAnsi="Verdana" w:cs="Arial"/>
          <w:b/>
          <w:color w:val="000000" w:themeColor="text1"/>
          <w:lang w:val="es-ES_tradnl"/>
        </w:rPr>
      </w:pPr>
      <w:bookmarkStart w:id="0" w:name="_Hlk109118876"/>
      <w:r w:rsidRPr="00BE59BE">
        <w:rPr>
          <w:rFonts w:ascii="Verdana" w:hAnsi="Verdana" w:cs="Arial"/>
          <w:b/>
          <w:color w:val="000000" w:themeColor="text1"/>
          <w:lang w:val="es-ES_tradnl"/>
        </w:rPr>
        <w:t>CONTRATOS ESTATALES –</w:t>
      </w:r>
      <w:bookmarkEnd w:id="0"/>
      <w:r w:rsidRPr="00BE59BE">
        <w:rPr>
          <w:rFonts w:ascii="Verdana" w:hAnsi="Verdana" w:cs="Arial"/>
          <w:b/>
          <w:color w:val="000000" w:themeColor="text1"/>
          <w:lang w:val="es-ES_tradnl"/>
        </w:rPr>
        <w:t xml:space="preserve"> Régimen especial – Obligaciones transversales – Manual de contratación – Límites </w:t>
      </w:r>
    </w:p>
    <w:p w14:paraId="322A6D52" w14:textId="77777777" w:rsidR="00BE59BE" w:rsidRPr="00BE59BE" w:rsidRDefault="00BE59BE" w:rsidP="00BE59BE">
      <w:pPr>
        <w:spacing w:after="0" w:line="240" w:lineRule="auto"/>
        <w:jc w:val="both"/>
        <w:rPr>
          <w:rFonts w:ascii="Verdana" w:hAnsi="Verdana" w:cs="Arial"/>
          <w:b/>
          <w:color w:val="000000" w:themeColor="text1"/>
          <w:lang w:val="es-ES_tradnl"/>
        </w:rPr>
      </w:pPr>
    </w:p>
    <w:p w14:paraId="20B0A40E" w14:textId="77777777" w:rsidR="00BE59BE" w:rsidRPr="00BE59BE" w:rsidRDefault="00BE59BE" w:rsidP="00BE59BE">
      <w:pPr>
        <w:spacing w:after="0" w:line="240" w:lineRule="auto"/>
        <w:jc w:val="both"/>
        <w:rPr>
          <w:rFonts w:ascii="Verdana" w:eastAsiaTheme="minorHAnsi" w:hAnsi="Verdana" w:cs="Arial"/>
          <w:color w:val="000000" w:themeColor="text1"/>
          <w:sz w:val="20"/>
          <w:szCs w:val="20"/>
        </w:rPr>
      </w:pPr>
      <w:r w:rsidRPr="00BE59BE">
        <w:rPr>
          <w:rFonts w:ascii="Verdana" w:eastAsiaTheme="minorHAnsi" w:hAnsi="Verdana" w:cs="Arial"/>
          <w:color w:val="000000" w:themeColor="text1"/>
          <w:sz w:val="20"/>
          <w:szCs w:val="20"/>
        </w:rPr>
        <w:t>Puede decirse que una de las reglas derivada de las normas de derecho público que irradian el régimen jurídico de las entidades exceptuadas del EGCAP,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33926895" w14:textId="77777777" w:rsidR="00BE59BE" w:rsidRPr="00BE59BE" w:rsidRDefault="00BE59BE" w:rsidP="00BE59BE">
      <w:pPr>
        <w:spacing w:after="0" w:line="240" w:lineRule="auto"/>
        <w:jc w:val="both"/>
        <w:rPr>
          <w:rFonts w:ascii="Verdana" w:eastAsiaTheme="minorHAnsi" w:hAnsi="Verdana" w:cs="Arial"/>
          <w:color w:val="000000" w:themeColor="text1"/>
          <w:sz w:val="20"/>
          <w:szCs w:val="20"/>
        </w:rPr>
      </w:pPr>
    </w:p>
    <w:p w14:paraId="12C2D826" w14:textId="77777777" w:rsidR="00BE59BE" w:rsidRPr="00BE59BE" w:rsidRDefault="00BE59BE" w:rsidP="59482D25">
      <w:pPr>
        <w:spacing w:after="0" w:line="240" w:lineRule="auto"/>
        <w:jc w:val="both"/>
        <w:rPr>
          <w:rFonts w:ascii="Verdana" w:eastAsiaTheme="minorEastAsia" w:hAnsi="Verdana" w:cs="Arial"/>
          <w:color w:val="000000" w:themeColor="text1"/>
          <w:sz w:val="20"/>
          <w:szCs w:val="20"/>
          <w:lang w:val="es-ES"/>
        </w:rPr>
      </w:pPr>
      <w:r w:rsidRPr="59482D25">
        <w:rPr>
          <w:rFonts w:ascii="Verdana" w:eastAsiaTheme="minorEastAsia" w:hAnsi="Verdana" w:cs="Arial"/>
          <w:color w:val="000000" w:themeColor="text1"/>
          <w:sz w:val="20"/>
          <w:szCs w:val="20"/>
          <w:lang w:val="es-ES"/>
        </w:rPr>
        <w:t xml:space="preserve">Sobre este punto particular es preciso destacar que, las entidades estatales sometidas a regímenes especiales de derecho privado tienen una amplia libertad de configuración del contenido del manual de contratación. Esta libertad se deriva del principio de </w:t>
      </w:r>
      <w:r w:rsidRPr="59482D25">
        <w:rPr>
          <w:rFonts w:ascii="Verdana" w:eastAsiaTheme="minorEastAsia" w:hAnsi="Verdana" w:cs="Arial"/>
          <w:color w:val="000000" w:themeColor="text1"/>
          <w:sz w:val="20"/>
          <w:szCs w:val="20"/>
          <w:lang w:val="es-ES"/>
        </w:rPr>
        <w:lastRenderedPageBreak/>
        <w:t>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w:t>
      </w:r>
    </w:p>
    <w:p w14:paraId="57EAF03C" w14:textId="77777777" w:rsidR="00BE59BE" w:rsidRPr="00BE59BE" w:rsidRDefault="00BE59BE" w:rsidP="00BE59BE">
      <w:pPr>
        <w:spacing w:after="0" w:line="240" w:lineRule="auto"/>
        <w:jc w:val="both"/>
        <w:rPr>
          <w:rFonts w:ascii="Verdana" w:eastAsiaTheme="minorHAnsi" w:hAnsi="Verdana" w:cs="Arial"/>
          <w:color w:val="000000" w:themeColor="text1"/>
          <w:sz w:val="20"/>
          <w:szCs w:val="20"/>
          <w:lang w:val="es-ES_tradnl"/>
        </w:rPr>
      </w:pPr>
    </w:p>
    <w:p w14:paraId="5A56266E" w14:textId="77777777" w:rsidR="006D19B9" w:rsidRDefault="006D19B9" w:rsidP="006D19B9">
      <w:pPr>
        <w:spacing w:line="276" w:lineRule="auto"/>
        <w:jc w:val="both"/>
        <w:rPr>
          <w:rFonts w:ascii="Verdana" w:hAnsi="Verdana" w:cs="Arial"/>
          <w:b/>
          <w:bCs/>
          <w:lang w:val="es-ES" w:eastAsia="es-ES"/>
        </w:rPr>
      </w:pPr>
      <w:r w:rsidRPr="006D19B9">
        <w:rPr>
          <w:rFonts w:ascii="Verdana" w:hAnsi="Verdana" w:cs="Arial"/>
          <w:b/>
          <w:bCs/>
          <w:lang w:val="es-ES" w:eastAsia="es-ES"/>
        </w:rPr>
        <w:t xml:space="preserve">LIQUIDACIÓN – Definición – Objetivo </w:t>
      </w:r>
    </w:p>
    <w:p w14:paraId="0192245F" w14:textId="0256A40F" w:rsidR="00C31131" w:rsidRDefault="00C31131" w:rsidP="00C31131">
      <w:pPr>
        <w:spacing w:line="240" w:lineRule="auto"/>
        <w:jc w:val="both"/>
        <w:rPr>
          <w:rFonts w:ascii="Verdana" w:hAnsi="Verdana" w:cs="Arial"/>
          <w:sz w:val="20"/>
          <w:szCs w:val="20"/>
          <w:lang w:val="es-ES_tradnl" w:eastAsia="es-ES"/>
        </w:rPr>
      </w:pPr>
      <w:r w:rsidRPr="00C31131">
        <w:rPr>
          <w:rFonts w:ascii="Verdana" w:hAnsi="Verdana" w:cs="Arial"/>
          <w:sz w:val="20"/>
          <w:szCs w:val="20"/>
          <w:lang w:val="es-ES_tradnl" w:eastAsia="es-ES"/>
        </w:rPr>
        <w:t xml:space="preserve">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C31131">
        <w:rPr>
          <w:rFonts w:ascii="Verdana" w:hAnsi="Verdana" w:cs="Arial"/>
          <w:i/>
          <w:iCs/>
          <w:sz w:val="20"/>
          <w:szCs w:val="20"/>
          <w:lang w:val="es-ES_tradnl" w:eastAsia="es-ES"/>
        </w:rPr>
        <w:t>liquidar</w:t>
      </w:r>
      <w:r w:rsidRPr="00C31131">
        <w:rPr>
          <w:rFonts w:ascii="Verdana" w:hAnsi="Verdana" w:cs="Arial"/>
          <w:sz w:val="20"/>
          <w:szCs w:val="20"/>
          <w:lang w:val="es-ES_tradnl" w:eastAsia="es-ES"/>
        </w:rPr>
        <w:t xml:space="preserve"> supone un ajuste en relación con las cuentas y el estado de cumplimiento del contrato estatal y, por el otro, que la </w:t>
      </w:r>
      <w:r w:rsidRPr="00C31131">
        <w:rPr>
          <w:rFonts w:ascii="Verdana" w:hAnsi="Verdana" w:cs="Arial"/>
          <w:i/>
          <w:iCs/>
          <w:sz w:val="20"/>
          <w:szCs w:val="20"/>
          <w:lang w:val="es-ES_tradnl" w:eastAsia="es-ES"/>
        </w:rPr>
        <w:t>liquidación</w:t>
      </w:r>
      <w:r w:rsidRPr="00C31131">
        <w:rPr>
          <w:rFonts w:ascii="Verdana" w:hAnsi="Verdana" w:cs="Arial"/>
          <w:sz w:val="20"/>
          <w:szCs w:val="20"/>
          <w:lang w:val="es-ES_tradnl" w:eastAsia="es-ES"/>
        </w:rPr>
        <w:t xml:space="preserve"> debe incluir el análisis de las condiciones de calidad y oportunidad en la entrega de los bienes, obras o servicios, así como el balance económico y el comportamiento financiero del negocio. </w:t>
      </w:r>
    </w:p>
    <w:p w14:paraId="4FF2CBCA" w14:textId="77777777" w:rsidR="00C31131" w:rsidRPr="00C31131" w:rsidRDefault="00C31131" w:rsidP="00C31131">
      <w:pPr>
        <w:spacing w:after="0" w:line="240" w:lineRule="auto"/>
        <w:jc w:val="both"/>
        <w:rPr>
          <w:rFonts w:ascii="Verdana" w:hAnsi="Verdana" w:cs="Arial"/>
          <w:sz w:val="20"/>
          <w:szCs w:val="20"/>
          <w:lang w:val="es-ES_tradnl" w:eastAsia="es-ES"/>
        </w:rPr>
      </w:pPr>
    </w:p>
    <w:p w14:paraId="039C61FB" w14:textId="77777777" w:rsidR="006D19B9" w:rsidRDefault="006D19B9" w:rsidP="006D19B9">
      <w:pPr>
        <w:spacing w:line="276" w:lineRule="auto"/>
        <w:jc w:val="both"/>
        <w:rPr>
          <w:rFonts w:ascii="Verdana" w:hAnsi="Verdana" w:cs="Arial"/>
          <w:b/>
          <w:bCs/>
          <w:lang w:val="es-ES" w:eastAsia="es-ES"/>
        </w:rPr>
      </w:pPr>
      <w:r w:rsidRPr="006D19B9">
        <w:rPr>
          <w:rFonts w:ascii="Verdana" w:hAnsi="Verdana" w:cs="Arial"/>
          <w:b/>
          <w:bCs/>
          <w:lang w:val="es-ES" w:eastAsia="es-ES"/>
        </w:rPr>
        <w:t xml:space="preserve">LIQUIDACIÓN BILATERAL – Naturaleza </w:t>
      </w:r>
    </w:p>
    <w:p w14:paraId="08A11A9C" w14:textId="24C74AA7" w:rsidR="00C31131" w:rsidRPr="00C31131" w:rsidRDefault="00660822" w:rsidP="00C31131">
      <w:pPr>
        <w:spacing w:line="240" w:lineRule="auto"/>
        <w:jc w:val="both"/>
        <w:rPr>
          <w:rFonts w:ascii="Verdana" w:hAnsi="Verdana" w:cs="Arial"/>
          <w:sz w:val="20"/>
          <w:szCs w:val="20"/>
          <w:lang w:eastAsia="es-ES"/>
        </w:rPr>
      </w:pPr>
      <w:r>
        <w:rPr>
          <w:rFonts w:ascii="Verdana" w:hAnsi="Verdana" w:cs="Arial"/>
          <w:sz w:val="20"/>
          <w:szCs w:val="20"/>
          <w:lang w:val="es-ES" w:eastAsia="es-ES" w:bidi="es-ES"/>
        </w:rPr>
        <w:t>L</w:t>
      </w:r>
      <w:r w:rsidR="00C31131" w:rsidRPr="00C31131">
        <w:rPr>
          <w:rFonts w:ascii="Verdana" w:hAnsi="Verdana" w:cs="Arial"/>
          <w:sz w:val="20"/>
          <w:szCs w:val="20"/>
          <w:lang w:val="es-ES" w:eastAsia="es-ES" w:bidi="es-ES"/>
        </w:rPr>
        <w:t>a liquidación bilateral se trata de un negocio jurídico, en el que las partes del contrato estatal, en ejercicio de la autonomía de la voluntad, regulan la finalización de su relación y disponen de los intereses que emanan de ella.</w:t>
      </w:r>
      <w:r w:rsidR="00C31131" w:rsidRPr="00C31131">
        <w:rPr>
          <w:rFonts w:ascii="Verdana" w:hAnsi="Verdana" w:cs="Arial"/>
          <w:sz w:val="20"/>
          <w:szCs w:val="20"/>
          <w:lang w:eastAsia="es-ES"/>
        </w:rPr>
        <w:t xml:space="preserve"> Dicho acuerdo reviste un carácter negocial, en la medida en que implica manifestaciones recíprocas dirigidas a producir efectos jurídicos concretos frente a las prestaciones mutuas de la relación contractual. </w:t>
      </w:r>
    </w:p>
    <w:p w14:paraId="2E705A30" w14:textId="27F2F533" w:rsidR="00660822" w:rsidRPr="00C31131" w:rsidRDefault="00C31131" w:rsidP="00660822">
      <w:pPr>
        <w:spacing w:line="240" w:lineRule="auto"/>
        <w:jc w:val="both"/>
        <w:rPr>
          <w:rFonts w:ascii="Verdana" w:hAnsi="Verdana" w:cs="Arial"/>
          <w:sz w:val="20"/>
          <w:szCs w:val="20"/>
          <w:lang w:val="es-ES" w:eastAsia="es-ES" w:bidi="es-ES"/>
        </w:rPr>
      </w:pPr>
      <w:r w:rsidRPr="00C31131">
        <w:rPr>
          <w:rFonts w:ascii="Verdana" w:hAnsi="Verdana" w:cs="Arial"/>
          <w:sz w:val="20"/>
          <w:szCs w:val="20"/>
          <w:lang w:eastAsia="es-ES"/>
        </w:rPr>
        <w:t xml:space="preserve">Sobre el particular, el Consejo de Estado ha manifestado de manera reiterada que “Cuando dicha liquidación se lleva a cabo de manera bilateral, configura </w:t>
      </w:r>
      <w:r w:rsidRPr="00C31131">
        <w:rPr>
          <w:rFonts w:ascii="Verdana" w:hAnsi="Verdana" w:cs="Arial"/>
          <w:i/>
          <w:iCs/>
          <w:sz w:val="20"/>
          <w:szCs w:val="20"/>
          <w:lang w:eastAsia="es-ES"/>
        </w:rPr>
        <w:t>un negocio jurídico</w:t>
      </w:r>
      <w:r w:rsidRPr="00C31131">
        <w:rPr>
          <w:rFonts w:ascii="Verdana" w:hAnsi="Verdana" w:cs="Arial"/>
          <w:sz w:val="20"/>
          <w:szCs w:val="20"/>
          <w:lang w:eastAsia="es-ES"/>
        </w:rPr>
        <w:t xml:space="preserve"> que surge de la manifestación de voluntad de las partes, quienes al suscribir la respectiva acta consienten en que ese corte de cuentas corresponde a la realidad de la ejecución contractual y, por ello, se pueden declarar a paz y salvo una vez satisfechas las obligaciones que se deriven directamente de ese trabajo conjunto de liquidación”. </w:t>
      </w:r>
      <w:r w:rsidRPr="00C31131">
        <w:rPr>
          <w:rFonts w:ascii="Verdana" w:hAnsi="Verdana" w:cs="Arial"/>
          <w:sz w:val="20"/>
          <w:szCs w:val="20"/>
          <w:lang w:val="es-ES" w:eastAsia="es-ES" w:bidi="es-ES"/>
        </w:rPr>
        <w:t xml:space="preserve"> </w:t>
      </w:r>
    </w:p>
    <w:p w14:paraId="2F624CE0" w14:textId="0A372B38" w:rsidR="00E724E5" w:rsidRPr="00E366C1" w:rsidRDefault="006D19B9" w:rsidP="00E366C1">
      <w:pPr>
        <w:spacing w:line="276" w:lineRule="auto"/>
        <w:jc w:val="both"/>
        <w:rPr>
          <w:rFonts w:ascii="Verdana" w:hAnsi="Verdana" w:cs="Arial"/>
          <w:b/>
          <w:bCs/>
          <w:lang w:val="es-ES_tradnl" w:eastAsia="es-ES"/>
        </w:rPr>
      </w:pPr>
      <w:r w:rsidRPr="006D19B9">
        <w:rPr>
          <w:rFonts w:ascii="Verdana" w:hAnsi="Verdana" w:cs="Arial"/>
          <w:b/>
          <w:bCs/>
          <w:lang w:val="es-ES" w:eastAsia="es-ES"/>
        </w:rPr>
        <w:t xml:space="preserve">ENTIDADES DE RÉGIMEN ESPECIAL – Liquidación bilateral – Plazo – Caducidad </w:t>
      </w:r>
    </w:p>
    <w:p w14:paraId="66E81539" w14:textId="77777777" w:rsidR="00660822" w:rsidRDefault="00660822" w:rsidP="00660822">
      <w:pPr>
        <w:spacing w:line="240" w:lineRule="auto"/>
        <w:jc w:val="both"/>
        <w:rPr>
          <w:rFonts w:ascii="Verdana" w:eastAsia="Times New Roman" w:hAnsi="Verdana" w:cs="Arial"/>
          <w:sz w:val="20"/>
          <w:szCs w:val="20"/>
          <w:lang w:val="es-ES"/>
        </w:rPr>
      </w:pPr>
      <w:r>
        <w:rPr>
          <w:rFonts w:ascii="Verdana" w:eastAsia="Times New Roman" w:hAnsi="Verdana" w:cs="Arial"/>
          <w:color w:val="000000"/>
          <w:sz w:val="20"/>
          <w:szCs w:val="20"/>
          <w:lang w:val="es-ES" w:eastAsia="es-ES_tradnl"/>
        </w:rPr>
        <w:t>L</w:t>
      </w:r>
      <w:r w:rsidRPr="00660822">
        <w:rPr>
          <w:rFonts w:ascii="Verdana" w:eastAsia="Times New Roman" w:hAnsi="Verdana" w:cs="Arial"/>
          <w:color w:val="000000"/>
          <w:sz w:val="20"/>
          <w:szCs w:val="20"/>
          <w:lang w:val="es-ES" w:eastAsia="es-ES_tradnl"/>
        </w:rPr>
        <w:t xml:space="preserve">a liquidación bilateral de las entidades de régimen especial </w:t>
      </w:r>
      <w:r w:rsidRPr="00660822">
        <w:rPr>
          <w:rFonts w:ascii="Verdana" w:eastAsia="Times New Roman" w:hAnsi="Verdana" w:cs="Arial"/>
          <w:sz w:val="20"/>
          <w:szCs w:val="20"/>
          <w:lang w:val="es-ES_tradnl" w:eastAsia="es-ES_tradnl"/>
        </w:rPr>
        <w:t xml:space="preserve">deberá realizarse dentro del plazo previsto </w:t>
      </w:r>
      <w:r w:rsidRPr="00660822">
        <w:rPr>
          <w:rFonts w:ascii="Verdana" w:eastAsia="Times New Roman" w:hAnsi="Verdana" w:cs="Arial"/>
          <w:sz w:val="20"/>
          <w:szCs w:val="20"/>
          <w:lang w:val="es-ES" w:eastAsia="es-ES"/>
        </w:rPr>
        <w:t xml:space="preserve">que “acuerden las partes”, el cual, en principio, debe estar recogido en el contrato, al ser este el acto jurídico bilateral en el que se consigna originalmente la voluntad de las partes. </w:t>
      </w:r>
      <w:r w:rsidRPr="00660822">
        <w:rPr>
          <w:rFonts w:ascii="Verdana" w:eastAsia="Times New Roman" w:hAnsi="Verdana" w:cs="Arial"/>
          <w:sz w:val="20"/>
          <w:szCs w:val="20"/>
          <w:lang w:val="es-ES"/>
        </w:rPr>
        <w:t xml:space="preserve">Por lo tanto, las partes, en desarrollo de la autonomía de la voluntad que les asiste, están habilitadas para pactar el término, o en su defecto, acudir al plazo que se estableció en el Manual de Contratación de la Entidad. </w:t>
      </w:r>
    </w:p>
    <w:p w14:paraId="751E3F6D" w14:textId="0FF28BC1" w:rsidR="00660822" w:rsidRPr="00660822" w:rsidRDefault="00660822" w:rsidP="00660822">
      <w:pPr>
        <w:spacing w:after="0" w:line="240" w:lineRule="auto"/>
        <w:jc w:val="both"/>
        <w:rPr>
          <w:rFonts w:ascii="Verdana" w:eastAsia="Times New Roman" w:hAnsi="Verdana" w:cs="Arial"/>
          <w:sz w:val="20"/>
          <w:szCs w:val="20"/>
          <w:lang w:val="es-ES"/>
        </w:rPr>
      </w:pPr>
      <w:r w:rsidRPr="00660822">
        <w:rPr>
          <w:rFonts w:ascii="Verdana" w:eastAsia="Times New Roman" w:hAnsi="Verdana" w:cs="Arial"/>
          <w:color w:val="000000"/>
          <w:sz w:val="20"/>
          <w:szCs w:val="20"/>
          <w:bdr w:val="none" w:sz="0" w:space="0" w:color="auto" w:frame="1"/>
          <w:shd w:val="clear" w:color="auto" w:fill="FFFFFF"/>
          <w:lang w:val="es-ES" w:eastAsia="es-ES_tradnl"/>
        </w:rPr>
        <w:t xml:space="preserve">En todo caso, </w:t>
      </w:r>
      <w:r w:rsidRPr="00660822">
        <w:rPr>
          <w:rFonts w:ascii="Verdana" w:eastAsia="Times New Roman" w:hAnsi="Verdana" w:cs="Arial"/>
          <w:color w:val="000000"/>
          <w:sz w:val="20"/>
          <w:szCs w:val="20"/>
          <w:bdr w:val="none" w:sz="0" w:space="0" w:color="auto" w:frame="1"/>
          <w:shd w:val="clear" w:color="auto" w:fill="FFFFFF"/>
          <w:lang w:eastAsia="es-ES_tradnl"/>
        </w:rPr>
        <w:t>si la liquidación bilateral no se realizó dentro del plazo establecido en el contrato, las partes, en ejercicio de la autonomía de la voluntad y considerando que la liquidación bilateral constituye un negocio jurídico, podrán efectuarla en cualquier momento, siempre que se encuentren dentro del término de caducidad del medio de control de controversias contractuales y no se contraríe lo dispuesto en el Manual de Contratación de la entidad.</w:t>
      </w:r>
    </w:p>
    <w:p w14:paraId="02DEAB68" w14:textId="77777777" w:rsidR="00660822" w:rsidRDefault="00660822" w:rsidP="00660822">
      <w:pPr>
        <w:tabs>
          <w:tab w:val="left" w:pos="709"/>
        </w:tabs>
        <w:spacing w:after="0" w:line="240" w:lineRule="auto"/>
        <w:jc w:val="both"/>
        <w:rPr>
          <w:rFonts w:ascii="Verdana" w:eastAsia="Times New Roman" w:hAnsi="Verdana" w:cs="Arial"/>
          <w:sz w:val="20"/>
          <w:szCs w:val="20"/>
          <w:lang w:val="es-ES"/>
        </w:rPr>
      </w:pPr>
    </w:p>
    <w:p w14:paraId="2C36595A" w14:textId="2FDD9732" w:rsidR="00660822" w:rsidRPr="00660822" w:rsidRDefault="00660822" w:rsidP="00660822">
      <w:pPr>
        <w:tabs>
          <w:tab w:val="left" w:pos="709"/>
        </w:tabs>
        <w:spacing w:line="240" w:lineRule="auto"/>
        <w:jc w:val="both"/>
        <w:rPr>
          <w:rFonts w:ascii="Verdana" w:hAnsi="Verdana" w:cs="Arial"/>
          <w:color w:val="000000"/>
          <w:sz w:val="20"/>
          <w:szCs w:val="20"/>
          <w:lang w:val="es-ES_tradnl"/>
        </w:rPr>
      </w:pPr>
      <w:r w:rsidRPr="00660822">
        <w:rPr>
          <w:rFonts w:ascii="Verdana" w:eastAsia="Times New Roman" w:hAnsi="Verdana" w:cs="Arial"/>
          <w:color w:val="000000"/>
          <w:sz w:val="20"/>
          <w:szCs w:val="20"/>
          <w:bdr w:val="none" w:sz="0" w:space="0" w:color="auto" w:frame="1"/>
          <w:shd w:val="clear" w:color="auto" w:fill="FFFFFF"/>
          <w:lang w:eastAsia="es-ES_tradnl"/>
        </w:rPr>
        <w:lastRenderedPageBreak/>
        <w:t xml:space="preserve">Por su parte, es pertinente señalar </w:t>
      </w:r>
      <w:proofErr w:type="gramStart"/>
      <w:r w:rsidRPr="00660822">
        <w:rPr>
          <w:rFonts w:ascii="Verdana" w:eastAsia="Times New Roman" w:hAnsi="Verdana" w:cs="Arial"/>
          <w:color w:val="000000"/>
          <w:sz w:val="20"/>
          <w:szCs w:val="20"/>
          <w:bdr w:val="none" w:sz="0" w:space="0" w:color="auto" w:frame="1"/>
          <w:shd w:val="clear" w:color="auto" w:fill="FFFFFF"/>
          <w:lang w:eastAsia="es-ES_tradnl"/>
        </w:rPr>
        <w:t>que</w:t>
      </w:r>
      <w:proofErr w:type="gramEnd"/>
      <w:r w:rsidRPr="00660822">
        <w:rPr>
          <w:rFonts w:ascii="Verdana" w:eastAsia="Times New Roman" w:hAnsi="Verdana" w:cs="Arial"/>
          <w:color w:val="000000"/>
          <w:sz w:val="20"/>
          <w:szCs w:val="20"/>
          <w:bdr w:val="none" w:sz="0" w:space="0" w:color="auto" w:frame="1"/>
          <w:shd w:val="clear" w:color="auto" w:fill="FFFFFF"/>
          <w:lang w:eastAsia="es-ES_tradnl"/>
        </w:rPr>
        <w:t xml:space="preserve"> aunque las </w:t>
      </w:r>
      <w:r w:rsidRPr="00660822">
        <w:rPr>
          <w:rFonts w:ascii="Verdana" w:eastAsia="Times New Roman" w:hAnsi="Verdana" w:cs="Arial"/>
          <w:i/>
          <w:iCs/>
          <w:color w:val="000000"/>
          <w:sz w:val="20"/>
          <w:szCs w:val="20"/>
          <w:bdr w:val="none" w:sz="0" w:space="0" w:color="auto" w:frame="1"/>
          <w:shd w:val="clear" w:color="auto" w:fill="FFFFFF"/>
          <w:lang w:eastAsia="es-ES_tradnl"/>
        </w:rPr>
        <w:t>entidades de régimen exceptuado</w:t>
      </w:r>
      <w:r w:rsidRPr="00660822">
        <w:rPr>
          <w:rFonts w:ascii="Verdana" w:eastAsia="Times New Roman" w:hAnsi="Verdana" w:cs="Arial"/>
          <w:color w:val="000000"/>
          <w:sz w:val="20"/>
          <w:szCs w:val="20"/>
          <w:bdr w:val="none" w:sz="0" w:space="0" w:color="auto" w:frame="1"/>
          <w:shd w:val="clear" w:color="auto" w:fill="FFFFFF"/>
          <w:lang w:eastAsia="es-ES_tradnl"/>
        </w:rPr>
        <w:t xml:space="preserve"> no están obligadas a aplicar el artículo 60 de la Ley 80 de 1993 ni </w:t>
      </w:r>
      <w:r w:rsidRPr="00660822">
        <w:rPr>
          <w:rFonts w:ascii="Verdana" w:hAnsi="Verdana" w:cs="Arial"/>
          <w:color w:val="000000"/>
          <w:sz w:val="20"/>
          <w:szCs w:val="20"/>
          <w:lang w:val="es-ES_tradnl"/>
        </w:rPr>
        <w:t xml:space="preserve">el artículo 11 de la Ley 1150 de 2007, el término de caducidad del medio de control de controversias contractuales tiene carácter transversal y, por tanto, aplica a todas las entidades al margen de que estén o no sometidas al Estatuto General de Contratación de la Administración Pública. </w:t>
      </w:r>
    </w:p>
    <w:p w14:paraId="692BF754" w14:textId="18946F28" w:rsidR="00E724E5" w:rsidRPr="00660822" w:rsidRDefault="00660822" w:rsidP="00660822">
      <w:pPr>
        <w:spacing w:after="0" w:line="240" w:lineRule="auto"/>
        <w:jc w:val="both"/>
        <w:rPr>
          <w:rFonts w:ascii="Verdana" w:eastAsia="Geomanist Light" w:hAnsi="Verdana" w:cs="Arial"/>
          <w:color w:val="000000" w:themeColor="text1"/>
          <w:sz w:val="20"/>
          <w:szCs w:val="20"/>
          <w:lang w:val="es-ES_tradnl"/>
        </w:rPr>
      </w:pPr>
      <w:r w:rsidRPr="00660822">
        <w:rPr>
          <w:rFonts w:ascii="Verdana" w:hAnsi="Verdana" w:cs="Arial"/>
          <w:color w:val="000000"/>
          <w:sz w:val="20"/>
          <w:szCs w:val="20"/>
          <w:lang w:val="es-ES_tradnl"/>
        </w:rPr>
        <w:t xml:space="preserve">De esta manera, si en un </w:t>
      </w:r>
      <w:r w:rsidRPr="00660822">
        <w:rPr>
          <w:rFonts w:ascii="Verdana" w:hAnsi="Verdana" w:cs="Arial"/>
          <w:i/>
          <w:iCs/>
          <w:color w:val="000000"/>
          <w:sz w:val="20"/>
          <w:szCs w:val="20"/>
          <w:lang w:val="es-ES_tradnl"/>
        </w:rPr>
        <w:t>contrato de régimen exceptuado</w:t>
      </w:r>
      <w:r w:rsidRPr="00660822">
        <w:rPr>
          <w:rFonts w:ascii="Verdana" w:hAnsi="Verdana" w:cs="Arial"/>
          <w:color w:val="000000"/>
          <w:sz w:val="20"/>
          <w:szCs w:val="20"/>
          <w:lang w:val="es-ES_tradnl"/>
        </w:rPr>
        <w:t xml:space="preserve"> se pacta la liquidación de mutuo acuerdo, la caducidad se computará conforme al numeral </w:t>
      </w:r>
      <w:proofErr w:type="spellStart"/>
      <w:r w:rsidRPr="00660822">
        <w:rPr>
          <w:rFonts w:ascii="Verdana" w:hAnsi="Verdana" w:cs="Arial"/>
          <w:color w:val="000000"/>
          <w:sz w:val="20"/>
          <w:szCs w:val="20"/>
          <w:lang w:val="es-ES_tradnl"/>
        </w:rPr>
        <w:t>iii</w:t>
      </w:r>
      <w:proofErr w:type="spellEnd"/>
      <w:r w:rsidRPr="00660822">
        <w:rPr>
          <w:rFonts w:ascii="Verdana" w:hAnsi="Verdana" w:cs="Arial"/>
          <w:color w:val="000000"/>
          <w:sz w:val="20"/>
          <w:szCs w:val="20"/>
          <w:lang w:val="es-ES_tradnl"/>
        </w:rPr>
        <w:t>) d</w:t>
      </w:r>
      <w:r w:rsidRPr="00660822">
        <w:rPr>
          <w:rFonts w:ascii="Verdana" w:eastAsia="Times New Roman" w:hAnsi="Verdana" w:cs="Arial"/>
          <w:color w:val="000000"/>
          <w:sz w:val="20"/>
          <w:szCs w:val="20"/>
          <w:bdr w:val="none" w:sz="0" w:space="0" w:color="auto" w:frame="1"/>
          <w:shd w:val="clear" w:color="auto" w:fill="FFFFFF"/>
          <w:lang w:eastAsia="es-ES_tradnl"/>
        </w:rPr>
        <w:t>el literal j) del artículo 164.2 del Código de Procedimiento Administrativo y Contencioso Administrativo. Dado que la oportunidad para demandar corresponde a un aspecto procesal del derecho de acción, es independiente de que el régimen sustantivo de la liquidación derive o no del EGCAP.</w:t>
      </w:r>
      <w:r w:rsidRPr="00660822">
        <w:rPr>
          <w:rFonts w:ascii="Verdana" w:hAnsi="Verdana" w:cs="Arial"/>
          <w:color w:val="000000"/>
          <w:sz w:val="20"/>
          <w:szCs w:val="20"/>
          <w:lang w:val="es-ES_tradnl"/>
        </w:rPr>
        <w:t xml:space="preserve"> Así, </w:t>
      </w:r>
      <w:r w:rsidRPr="00660822">
        <w:rPr>
          <w:rFonts w:ascii="Verdana" w:eastAsia="Times New Roman" w:hAnsi="Verdana" w:cs="Arial"/>
          <w:color w:val="000000"/>
          <w:sz w:val="20"/>
          <w:szCs w:val="20"/>
          <w:bdr w:val="none" w:sz="0" w:space="0" w:color="auto" w:frame="1"/>
          <w:shd w:val="clear" w:color="auto" w:fill="FFFFFF"/>
          <w:lang w:val="es-ES" w:eastAsia="es-ES_tradnl"/>
        </w:rPr>
        <w:t>en caso controversia en relación con la liquidación del contrato deberá dirimirse ante la jurisdicción contenciosa administrativa, salvo los casos establecidos en la Ley.</w:t>
      </w:r>
      <w:r w:rsidRPr="00660822">
        <w:rPr>
          <w:rFonts w:ascii="Verdana" w:hAnsi="Verdana" w:cs="Arial"/>
          <w:color w:val="000000"/>
          <w:sz w:val="20"/>
          <w:szCs w:val="20"/>
          <w:lang w:val="es-ES_tradnl"/>
        </w:rPr>
        <w:t xml:space="preserve">       </w:t>
      </w:r>
      <w:r w:rsidRPr="00660822">
        <w:rPr>
          <w:rFonts w:ascii="Verdana" w:eastAsia="Times New Roman" w:hAnsi="Verdana" w:cs="Arial"/>
          <w:color w:val="000000"/>
          <w:sz w:val="20"/>
          <w:szCs w:val="20"/>
          <w:bdr w:val="none" w:sz="0" w:space="0" w:color="auto" w:frame="1"/>
          <w:shd w:val="clear" w:color="auto" w:fill="FFFFFF"/>
          <w:lang w:eastAsia="es-ES_tradnl"/>
        </w:rPr>
        <w:t xml:space="preserve"> </w:t>
      </w:r>
    </w:p>
    <w:p w14:paraId="56BC361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0D73213E"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14CEECB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615AF95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A1D9EC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D604BD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24B8A4B"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370548B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60C497A2"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1DD4EF04" w14:textId="77777777" w:rsidR="00E724E5" w:rsidRDefault="00E724E5" w:rsidP="3239A092">
      <w:pPr>
        <w:spacing w:after="0" w:line="240" w:lineRule="auto"/>
        <w:rPr>
          <w:rFonts w:ascii="Verdana" w:eastAsia="Geomanist Light" w:hAnsi="Verdana" w:cs="Arial"/>
          <w:color w:val="000000" w:themeColor="text1"/>
          <w:lang w:val="es-ES_tradnl"/>
        </w:rPr>
      </w:pPr>
    </w:p>
    <w:p w14:paraId="0F7E4E34" w14:textId="77777777" w:rsidR="00E724E5" w:rsidRDefault="00E724E5" w:rsidP="3239A092">
      <w:pPr>
        <w:spacing w:after="0" w:line="240" w:lineRule="auto"/>
        <w:rPr>
          <w:rFonts w:ascii="Verdana" w:eastAsia="Geomanist Light" w:hAnsi="Verdana" w:cs="Arial"/>
          <w:color w:val="000000" w:themeColor="text1"/>
          <w:lang w:val="es-ES_tradnl"/>
        </w:rPr>
      </w:pPr>
    </w:p>
    <w:p w14:paraId="1AB3CCC9" w14:textId="77777777" w:rsidR="00E724E5" w:rsidRDefault="00E724E5" w:rsidP="3239A092">
      <w:pPr>
        <w:spacing w:after="0" w:line="240" w:lineRule="auto"/>
        <w:rPr>
          <w:rFonts w:ascii="Verdana" w:eastAsia="Geomanist Light" w:hAnsi="Verdana" w:cs="Arial"/>
          <w:color w:val="000000" w:themeColor="text1"/>
          <w:lang w:val="es-ES_tradnl"/>
        </w:rPr>
      </w:pPr>
    </w:p>
    <w:p w14:paraId="3ED2021A" w14:textId="77777777" w:rsidR="00E724E5" w:rsidRDefault="00E724E5" w:rsidP="3239A092">
      <w:pPr>
        <w:spacing w:after="0" w:line="240" w:lineRule="auto"/>
        <w:rPr>
          <w:rFonts w:ascii="Verdana" w:eastAsia="Geomanist Light" w:hAnsi="Verdana" w:cs="Arial"/>
          <w:color w:val="000000" w:themeColor="text1"/>
          <w:lang w:val="es-ES_tradnl"/>
        </w:rPr>
      </w:pPr>
    </w:p>
    <w:p w14:paraId="469A5193" w14:textId="77777777" w:rsidR="00E724E5" w:rsidRDefault="00E724E5" w:rsidP="3239A092">
      <w:pPr>
        <w:spacing w:after="0" w:line="240" w:lineRule="auto"/>
        <w:rPr>
          <w:rFonts w:ascii="Verdana" w:eastAsia="Geomanist Light" w:hAnsi="Verdana" w:cs="Arial"/>
          <w:color w:val="000000" w:themeColor="text1"/>
          <w:lang w:val="es-ES_tradnl"/>
        </w:rPr>
      </w:pPr>
    </w:p>
    <w:p w14:paraId="6F8EB8A9" w14:textId="77777777" w:rsidR="00E724E5" w:rsidRDefault="00E724E5" w:rsidP="3239A092">
      <w:pPr>
        <w:spacing w:after="0" w:line="240" w:lineRule="auto"/>
        <w:rPr>
          <w:rFonts w:ascii="Verdana" w:eastAsia="Geomanist Light" w:hAnsi="Verdana" w:cs="Arial"/>
          <w:color w:val="000000" w:themeColor="text1"/>
          <w:lang w:val="es-ES_tradnl"/>
        </w:rPr>
      </w:pPr>
    </w:p>
    <w:p w14:paraId="5BFB8B9D" w14:textId="77777777" w:rsidR="00F46E11" w:rsidRDefault="00F46E11" w:rsidP="3239A092">
      <w:pPr>
        <w:spacing w:after="0" w:line="240" w:lineRule="auto"/>
        <w:rPr>
          <w:rFonts w:ascii="Verdana" w:eastAsia="Geomanist Light" w:hAnsi="Verdana" w:cs="Arial"/>
          <w:color w:val="000000" w:themeColor="text1"/>
          <w:lang w:val="es-ES_tradnl"/>
        </w:rPr>
      </w:pPr>
    </w:p>
    <w:p w14:paraId="04E91654" w14:textId="77777777" w:rsidR="00F46E11" w:rsidRDefault="00F46E11" w:rsidP="3239A092">
      <w:pPr>
        <w:spacing w:after="0" w:line="240" w:lineRule="auto"/>
        <w:rPr>
          <w:rFonts w:ascii="Verdana" w:eastAsia="Geomanist Light" w:hAnsi="Verdana" w:cs="Arial"/>
          <w:color w:val="000000" w:themeColor="text1"/>
          <w:lang w:val="es-ES_tradnl"/>
        </w:rPr>
      </w:pPr>
    </w:p>
    <w:p w14:paraId="107B35CD" w14:textId="77777777" w:rsidR="00F46E11" w:rsidRDefault="00F46E11" w:rsidP="3239A092">
      <w:pPr>
        <w:spacing w:after="0" w:line="240" w:lineRule="auto"/>
        <w:rPr>
          <w:rFonts w:ascii="Verdana" w:eastAsia="Geomanist Light" w:hAnsi="Verdana" w:cs="Arial"/>
          <w:color w:val="000000" w:themeColor="text1"/>
          <w:lang w:val="es-ES_tradnl"/>
        </w:rPr>
      </w:pPr>
    </w:p>
    <w:p w14:paraId="5C5807BA" w14:textId="77777777" w:rsidR="00F46E11" w:rsidRDefault="00F46E11" w:rsidP="3239A092">
      <w:pPr>
        <w:spacing w:after="0" w:line="240" w:lineRule="auto"/>
        <w:rPr>
          <w:rFonts w:ascii="Verdana" w:eastAsia="Geomanist Light" w:hAnsi="Verdana" w:cs="Arial"/>
          <w:color w:val="000000" w:themeColor="text1"/>
          <w:lang w:val="es-ES_tradnl"/>
        </w:rPr>
      </w:pPr>
    </w:p>
    <w:p w14:paraId="3C303B9C" w14:textId="77777777" w:rsidR="00F46E11" w:rsidRDefault="00F46E11" w:rsidP="3239A092">
      <w:pPr>
        <w:spacing w:after="0" w:line="240" w:lineRule="auto"/>
        <w:rPr>
          <w:rFonts w:ascii="Verdana" w:eastAsia="Geomanist Light" w:hAnsi="Verdana" w:cs="Arial"/>
          <w:color w:val="000000" w:themeColor="text1"/>
          <w:lang w:val="es-ES_tradnl"/>
        </w:rPr>
      </w:pPr>
    </w:p>
    <w:p w14:paraId="395BA362" w14:textId="77777777" w:rsidR="00F46E11" w:rsidRDefault="00F46E11" w:rsidP="3239A092">
      <w:pPr>
        <w:spacing w:after="0" w:line="240" w:lineRule="auto"/>
        <w:rPr>
          <w:rFonts w:ascii="Verdana" w:eastAsia="Geomanist Light" w:hAnsi="Verdana" w:cs="Arial"/>
          <w:color w:val="000000" w:themeColor="text1"/>
          <w:lang w:val="es-ES_tradnl"/>
        </w:rPr>
      </w:pPr>
    </w:p>
    <w:p w14:paraId="590BF1B8" w14:textId="77777777" w:rsidR="00F46E11" w:rsidRDefault="00F46E11" w:rsidP="3239A092">
      <w:pPr>
        <w:spacing w:after="0" w:line="240" w:lineRule="auto"/>
        <w:rPr>
          <w:rFonts w:ascii="Verdana" w:eastAsia="Geomanist Light" w:hAnsi="Verdana" w:cs="Arial"/>
          <w:color w:val="000000" w:themeColor="text1"/>
          <w:lang w:val="es-ES_tradnl"/>
        </w:rPr>
      </w:pPr>
    </w:p>
    <w:p w14:paraId="56506AC4" w14:textId="77777777" w:rsidR="00F46E11" w:rsidRDefault="00F46E11" w:rsidP="3239A092">
      <w:pPr>
        <w:spacing w:after="0" w:line="240" w:lineRule="auto"/>
        <w:rPr>
          <w:rFonts w:ascii="Verdana" w:eastAsia="Geomanist Light" w:hAnsi="Verdana" w:cs="Arial"/>
          <w:color w:val="000000" w:themeColor="text1"/>
          <w:lang w:val="es-ES_tradnl"/>
        </w:rPr>
      </w:pPr>
    </w:p>
    <w:p w14:paraId="619988BF" w14:textId="77777777" w:rsidR="00E724E5" w:rsidRPr="00E724E5" w:rsidRDefault="00E724E5" w:rsidP="3239A092">
      <w:pPr>
        <w:spacing w:after="0" w:line="240" w:lineRule="auto"/>
        <w:rPr>
          <w:rFonts w:ascii="Verdana" w:eastAsia="Geomanist Light" w:hAnsi="Verdana" w:cs="Arial"/>
          <w:color w:val="000000" w:themeColor="text1"/>
          <w:lang w:val="es-ES_tradnl"/>
        </w:rPr>
      </w:pPr>
    </w:p>
    <w:p w14:paraId="5807643D" w14:textId="77777777" w:rsidR="00931ABB" w:rsidRDefault="00931ABB" w:rsidP="00D97EF3">
      <w:pPr>
        <w:spacing w:after="0" w:line="240" w:lineRule="auto"/>
        <w:rPr>
          <w:rFonts w:ascii="Verdana" w:eastAsia="Geomanist Light" w:hAnsi="Verdana" w:cs="Arial"/>
          <w:color w:val="000000" w:themeColor="text1"/>
          <w:lang w:val="es-MX"/>
        </w:rPr>
      </w:pPr>
    </w:p>
    <w:p w14:paraId="7839003E" w14:textId="77777777" w:rsidR="00835517" w:rsidRDefault="00835517" w:rsidP="00D97EF3">
      <w:pPr>
        <w:spacing w:after="0" w:line="240" w:lineRule="auto"/>
        <w:rPr>
          <w:rFonts w:ascii="Verdana" w:eastAsia="Geomanist Light" w:hAnsi="Verdana" w:cs="Arial"/>
          <w:color w:val="000000" w:themeColor="text1"/>
          <w:lang w:val="es-MX"/>
        </w:rPr>
      </w:pPr>
    </w:p>
    <w:p w14:paraId="6716160E" w14:textId="77777777" w:rsidR="00E366C1" w:rsidRDefault="00E366C1" w:rsidP="00D97EF3">
      <w:pPr>
        <w:spacing w:after="0" w:line="240" w:lineRule="auto"/>
        <w:rPr>
          <w:rFonts w:ascii="Verdana" w:eastAsia="Geomanist Light" w:hAnsi="Verdana" w:cs="Arial"/>
          <w:color w:val="000000" w:themeColor="text1"/>
          <w:lang w:val="es-MX"/>
        </w:rPr>
      </w:pPr>
    </w:p>
    <w:p w14:paraId="5421C310" w14:textId="77777777" w:rsidR="00E366C1" w:rsidRDefault="00E366C1" w:rsidP="00D97EF3">
      <w:pPr>
        <w:spacing w:after="0" w:line="240" w:lineRule="auto"/>
        <w:rPr>
          <w:rFonts w:ascii="Verdana" w:eastAsia="Geomanist Light" w:hAnsi="Verdana" w:cs="Arial"/>
          <w:color w:val="000000" w:themeColor="text1"/>
          <w:lang w:val="es-MX"/>
        </w:rPr>
      </w:pPr>
    </w:p>
    <w:p w14:paraId="38616C69" w14:textId="77777777" w:rsidR="002A38E9" w:rsidRDefault="002A38E9" w:rsidP="002A38E9">
      <w:pPr>
        <w:spacing w:after="0" w:line="240" w:lineRule="auto"/>
        <w:rPr>
          <w:rFonts w:ascii="Verdana" w:eastAsia="Geomanist Light" w:hAnsi="Verdana" w:cs="Arial"/>
          <w:color w:val="000000" w:themeColor="text1"/>
          <w:lang w:val="es-MX"/>
        </w:rPr>
      </w:pPr>
    </w:p>
    <w:p w14:paraId="40676E3A" w14:textId="373EB449" w:rsidR="002A38E9" w:rsidRPr="002A38E9" w:rsidRDefault="002A38E9" w:rsidP="002A38E9">
      <w:pPr>
        <w:spacing w:after="0" w:line="240" w:lineRule="auto"/>
        <w:rPr>
          <w:rFonts w:ascii="Verdana" w:eastAsia="Geomanist Light" w:hAnsi="Verdana" w:cs="Arial"/>
          <w:color w:val="201F1E"/>
          <w:lang w:val="es-MX"/>
        </w:rPr>
      </w:pPr>
      <w:r w:rsidRPr="002A38E9">
        <w:rPr>
          <w:rFonts w:ascii="Verdana" w:eastAsia="Geomanist Light" w:hAnsi="Verdana" w:cs="Arial"/>
          <w:color w:val="000000" w:themeColor="text1"/>
          <w:lang w:val="es-MX"/>
        </w:rPr>
        <w:lastRenderedPageBreak/>
        <w:t>Bogotá D.C., </w:t>
      </w:r>
      <w:r w:rsidR="00F704CE">
        <w:rPr>
          <w:rFonts w:ascii="Verdana" w:eastAsia="Geomanist Light" w:hAnsi="Verdana" w:cs="Arial"/>
          <w:color w:val="201F1E"/>
          <w:lang w:val="es-MX"/>
        </w:rPr>
        <w:t>30 de octubre de 2025</w:t>
      </w:r>
    </w:p>
    <w:p w14:paraId="5AFC7957" w14:textId="77777777" w:rsidR="002A38E9" w:rsidRPr="002A38E9" w:rsidRDefault="002A38E9" w:rsidP="002A38E9">
      <w:pPr>
        <w:spacing w:after="0" w:line="240" w:lineRule="auto"/>
        <w:jc w:val="right"/>
        <w:rPr>
          <w:rFonts w:ascii="Verdana" w:hAnsi="Verdana" w:cs="Arial"/>
          <w:color w:val="000000"/>
          <w:lang w:val="es-ES_tradnl"/>
        </w:rPr>
      </w:pPr>
    </w:p>
    <w:p w14:paraId="22C7E961" w14:textId="173A724C" w:rsidR="002A38E9" w:rsidRPr="002A38E9" w:rsidRDefault="00F704CE" w:rsidP="00F704CE">
      <w:pPr>
        <w:spacing w:after="0" w:line="240" w:lineRule="auto"/>
        <w:jc w:val="right"/>
        <w:rPr>
          <w:rFonts w:ascii="Verdana" w:hAnsi="Verdana" w:cs="Arial"/>
          <w:color w:val="000000"/>
          <w:lang w:val="es-ES_tradnl"/>
        </w:rPr>
      </w:pPr>
      <w:r w:rsidRPr="00F704CE">
        <w:rPr>
          <w:rFonts w:ascii="Verdana" w:hAnsi="Verdana" w:cs="Arial"/>
          <w:noProof/>
          <w:color w:val="000000"/>
          <w:lang w:val="es-ES_tradnl"/>
        </w:rPr>
        <w:drawing>
          <wp:inline distT="0" distB="0" distL="0" distR="0" wp14:anchorId="59BFEAD9" wp14:editId="106E0754">
            <wp:extent cx="2590800" cy="982980"/>
            <wp:effectExtent l="0" t="0" r="0" b="7620"/>
            <wp:docPr id="15955515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90800" cy="982980"/>
                    </a:xfrm>
                    <a:prstGeom prst="rect">
                      <a:avLst/>
                    </a:prstGeom>
                    <a:noFill/>
                    <a:ln>
                      <a:noFill/>
                    </a:ln>
                  </pic:spPr>
                </pic:pic>
              </a:graphicData>
            </a:graphic>
          </wp:inline>
        </w:drawing>
      </w:r>
    </w:p>
    <w:p w14:paraId="6A5101DB" w14:textId="77777777" w:rsidR="002A38E9" w:rsidRPr="002A38E9" w:rsidRDefault="002A38E9" w:rsidP="002A38E9">
      <w:pPr>
        <w:spacing w:after="0" w:line="240" w:lineRule="auto"/>
        <w:jc w:val="both"/>
        <w:rPr>
          <w:rFonts w:ascii="Verdana" w:hAnsi="Verdana" w:cs="Arial"/>
          <w:lang w:val="es-ES_tradnl" w:eastAsia="es-ES"/>
        </w:rPr>
      </w:pPr>
      <w:r w:rsidRPr="002A38E9">
        <w:rPr>
          <w:rFonts w:ascii="Verdana" w:hAnsi="Verdana" w:cs="Arial"/>
          <w:lang w:val="es-ES_tradnl" w:eastAsia="es-ES"/>
        </w:rPr>
        <w:t>Señora</w:t>
      </w:r>
    </w:p>
    <w:p w14:paraId="40C123AC" w14:textId="77777777" w:rsidR="002A38E9" w:rsidRPr="002A38E9" w:rsidRDefault="002A38E9" w:rsidP="002A38E9">
      <w:pPr>
        <w:spacing w:after="0" w:line="240" w:lineRule="auto"/>
        <w:jc w:val="both"/>
        <w:rPr>
          <w:rFonts w:ascii="Verdana" w:hAnsi="Verdana" w:cs="Arial"/>
          <w:b/>
          <w:bCs/>
          <w:lang w:val="es-ES_tradnl" w:eastAsia="es-ES"/>
        </w:rPr>
      </w:pPr>
      <w:r w:rsidRPr="002A38E9">
        <w:rPr>
          <w:rFonts w:ascii="Verdana" w:hAnsi="Verdana" w:cs="Arial"/>
          <w:b/>
          <w:bCs/>
          <w:lang w:val="es-ES_tradnl" w:eastAsia="es-ES"/>
        </w:rPr>
        <w:t xml:space="preserve">Natalia María Ramírez Martínez </w:t>
      </w:r>
    </w:p>
    <w:p w14:paraId="4C8253A7" w14:textId="77777777" w:rsidR="002A38E9" w:rsidRPr="002A38E9" w:rsidRDefault="002A38E9" w:rsidP="002A38E9">
      <w:pPr>
        <w:spacing w:after="0" w:line="240" w:lineRule="auto"/>
        <w:rPr>
          <w:rFonts w:ascii="Verdana" w:hAnsi="Verdana" w:cs="Arial"/>
          <w:b/>
          <w:bCs/>
          <w:lang w:val="es-ES_tradnl" w:eastAsia="es-ES_tradnl"/>
        </w:rPr>
      </w:pPr>
      <w:r w:rsidRPr="002A38E9">
        <w:rPr>
          <w:rFonts w:ascii="Verdana" w:hAnsi="Verdana" w:cs="Arial"/>
          <w:b/>
          <w:bCs/>
          <w:lang w:eastAsia="es-ES_tradnl"/>
        </w:rPr>
        <w:t>Directora de Bosques, Biodiversidad y Servicios Ecosistémicos</w:t>
      </w:r>
    </w:p>
    <w:p w14:paraId="3ED00329" w14:textId="77777777" w:rsidR="002A38E9" w:rsidRPr="002A38E9" w:rsidRDefault="002A38E9" w:rsidP="002A38E9">
      <w:pPr>
        <w:spacing w:after="0" w:line="240" w:lineRule="auto"/>
        <w:rPr>
          <w:rFonts w:ascii="Verdana" w:hAnsi="Verdana"/>
          <w:b/>
          <w:bCs/>
        </w:rPr>
      </w:pPr>
      <w:r w:rsidRPr="002A38E9">
        <w:rPr>
          <w:rFonts w:ascii="Verdana" w:hAnsi="Verdana"/>
          <w:b/>
          <w:bCs/>
        </w:rPr>
        <w:t>Ministerio de Ambiente y Desarrollo Sostenible</w:t>
      </w:r>
    </w:p>
    <w:p w14:paraId="4D161F66" w14:textId="77777777" w:rsidR="002A38E9" w:rsidRPr="002A38E9" w:rsidRDefault="002A38E9" w:rsidP="002A38E9">
      <w:pPr>
        <w:spacing w:after="0" w:line="240" w:lineRule="auto"/>
        <w:rPr>
          <w:rFonts w:ascii="Verdana" w:hAnsi="Verdana"/>
        </w:rPr>
      </w:pPr>
      <w:hyperlink r:id="rId12" w:history="1">
        <w:r w:rsidRPr="002A38E9">
          <w:rPr>
            <w:rFonts w:ascii="Verdana" w:hAnsi="Verdana"/>
            <w:color w:val="0000FF"/>
            <w:u w:val="single"/>
          </w:rPr>
          <w:t>vicepoliticas@minambiente.gov.co</w:t>
        </w:r>
      </w:hyperlink>
      <w:r w:rsidRPr="002A38E9">
        <w:rPr>
          <w:rFonts w:ascii="Verdana" w:hAnsi="Verdana"/>
        </w:rPr>
        <w:t xml:space="preserve"> </w:t>
      </w:r>
    </w:p>
    <w:p w14:paraId="64BF6E49" w14:textId="77777777" w:rsidR="002A38E9" w:rsidRPr="002A38E9" w:rsidRDefault="002A38E9" w:rsidP="002A38E9">
      <w:pPr>
        <w:spacing w:after="0" w:line="240" w:lineRule="auto"/>
        <w:rPr>
          <w:rFonts w:ascii="Verdana" w:hAnsi="Verdana" w:cs="Arial"/>
          <w:lang w:val="es-ES_tradnl" w:eastAsia="es-ES"/>
        </w:rPr>
      </w:pPr>
      <w:hyperlink r:id="rId13" w:history="1">
        <w:r w:rsidRPr="002A38E9">
          <w:rPr>
            <w:rFonts w:ascii="Verdana" w:hAnsi="Verdana"/>
            <w:color w:val="0000FF"/>
            <w:u w:val="single"/>
          </w:rPr>
          <w:t>sosagiraldo@gmail.com</w:t>
        </w:r>
      </w:hyperlink>
      <w:r w:rsidRPr="002A38E9">
        <w:rPr>
          <w:rFonts w:ascii="Verdana" w:hAnsi="Verdana"/>
        </w:rPr>
        <w:t xml:space="preserve"> </w:t>
      </w:r>
    </w:p>
    <w:p w14:paraId="1EF6C562" w14:textId="77777777" w:rsidR="002A38E9" w:rsidRPr="002A38E9" w:rsidRDefault="002A38E9" w:rsidP="002A38E9">
      <w:pPr>
        <w:spacing w:after="0" w:line="240" w:lineRule="auto"/>
        <w:rPr>
          <w:rFonts w:ascii="Verdana" w:hAnsi="Verdana" w:cs="Arial"/>
          <w:lang w:val="es-ES_tradnl" w:eastAsia="es-ES"/>
        </w:rPr>
      </w:pPr>
      <w:r w:rsidRPr="002A38E9">
        <w:rPr>
          <w:rFonts w:ascii="Verdana" w:eastAsia="Geomanist Light" w:hAnsi="Verdana" w:cs="Arial"/>
          <w:color w:val="000000" w:themeColor="text1"/>
          <w:lang w:val="es-ES_tradnl"/>
        </w:rPr>
        <w:t>Bogotá D.C.</w:t>
      </w:r>
    </w:p>
    <w:p w14:paraId="7BFEF26D" w14:textId="77777777" w:rsidR="002A38E9" w:rsidRPr="002A38E9" w:rsidRDefault="002A38E9" w:rsidP="002A38E9">
      <w:pPr>
        <w:spacing w:after="0" w:line="240" w:lineRule="auto"/>
        <w:rPr>
          <w:rFonts w:ascii="Verdana" w:hAnsi="Verdana" w:cs="Arial"/>
          <w:b/>
          <w:bCs/>
          <w:color w:val="000000"/>
          <w:lang w:val="es-ES_tradnl" w:eastAsia="es-ES_tradnl"/>
        </w:rPr>
      </w:pPr>
    </w:p>
    <w:p w14:paraId="7EA737C7" w14:textId="77777777" w:rsidR="002A38E9" w:rsidRPr="002A38E9" w:rsidRDefault="002A38E9" w:rsidP="002A38E9">
      <w:pPr>
        <w:spacing w:after="0" w:line="240" w:lineRule="auto"/>
        <w:rPr>
          <w:rFonts w:ascii="Verdana" w:hAnsi="Verdana" w:cs="Arial"/>
          <w:b/>
          <w:bCs/>
          <w:color w:val="000000"/>
          <w:lang w:val="es-ES_tradnl"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2A38E9" w:rsidRPr="002A38E9" w14:paraId="4A5DFCDA" w14:textId="77777777" w:rsidTr="00BE3615">
        <w:trPr>
          <w:trHeight w:val="633"/>
        </w:trPr>
        <w:tc>
          <w:tcPr>
            <w:tcW w:w="2689" w:type="dxa"/>
          </w:tcPr>
          <w:p w14:paraId="7013DAFB" w14:textId="77777777" w:rsidR="002A38E9" w:rsidRPr="002A38E9" w:rsidRDefault="002A38E9" w:rsidP="002A38E9">
            <w:pPr>
              <w:jc w:val="both"/>
              <w:rPr>
                <w:rFonts w:ascii="Verdana" w:hAnsi="Verdana" w:cs="Arial"/>
                <w:b/>
                <w:bCs/>
                <w:color w:val="7030A0"/>
                <w:lang w:val="es-ES_tradnl" w:eastAsia="es-ES_tradnl"/>
              </w:rPr>
            </w:pPr>
          </w:p>
        </w:tc>
        <w:tc>
          <w:tcPr>
            <w:tcW w:w="6100" w:type="dxa"/>
          </w:tcPr>
          <w:p w14:paraId="44C4BB9B" w14:textId="77777777" w:rsidR="002A38E9" w:rsidRPr="002A38E9" w:rsidRDefault="002A38E9" w:rsidP="002A38E9">
            <w:pPr>
              <w:jc w:val="both"/>
              <w:rPr>
                <w:rFonts w:ascii="Verdana" w:hAnsi="Verdana" w:cs="Arial"/>
                <w:b/>
                <w:bCs/>
                <w:color w:val="7030A0"/>
                <w:lang w:val="es-ES_tradnl" w:eastAsia="es-ES"/>
              </w:rPr>
            </w:pPr>
            <w:r w:rsidRPr="002A38E9">
              <w:rPr>
                <w:rFonts w:ascii="Verdana" w:hAnsi="Verdana" w:cs="Arial"/>
                <w:b/>
                <w:bCs/>
                <w:lang w:val="es-ES_tradnl" w:eastAsia="es-ES"/>
              </w:rPr>
              <w:t>Concepto C – 1364 de 2025</w:t>
            </w:r>
          </w:p>
        </w:tc>
      </w:tr>
      <w:tr w:rsidR="002A38E9" w:rsidRPr="002A38E9" w14:paraId="05527FBB" w14:textId="77777777" w:rsidTr="00BE3615">
        <w:trPr>
          <w:trHeight w:val="884"/>
        </w:trPr>
        <w:tc>
          <w:tcPr>
            <w:tcW w:w="2689" w:type="dxa"/>
          </w:tcPr>
          <w:p w14:paraId="12BA2558" w14:textId="77777777" w:rsidR="002A38E9" w:rsidRPr="002A38E9" w:rsidRDefault="002A38E9" w:rsidP="002A38E9">
            <w:pPr>
              <w:jc w:val="both"/>
              <w:rPr>
                <w:rFonts w:ascii="Verdana" w:hAnsi="Verdana" w:cs="Arial"/>
                <w:color w:val="000000"/>
                <w:lang w:val="es-ES_tradnl" w:eastAsia="es-ES_tradnl"/>
              </w:rPr>
            </w:pPr>
            <w:r w:rsidRPr="002A38E9">
              <w:rPr>
                <w:rFonts w:ascii="Verdana" w:hAnsi="Verdana" w:cs="Arial"/>
                <w:b/>
                <w:color w:val="000000"/>
                <w:lang w:val="es-ES_tradnl" w:eastAsia="es-ES_tradnl"/>
              </w:rPr>
              <w:t>Temas:</w:t>
            </w:r>
            <w:r w:rsidRPr="002A38E9">
              <w:rPr>
                <w:rFonts w:ascii="Verdana" w:hAnsi="Verdana" w:cs="Arial"/>
                <w:color w:val="000000"/>
                <w:lang w:val="es-ES_tradnl" w:eastAsia="es-ES_tradnl"/>
              </w:rPr>
              <w:t xml:space="preserve">                   </w:t>
            </w:r>
          </w:p>
        </w:tc>
        <w:tc>
          <w:tcPr>
            <w:tcW w:w="6100" w:type="dxa"/>
          </w:tcPr>
          <w:p w14:paraId="0A3754E6" w14:textId="77777777" w:rsidR="002A38E9" w:rsidRPr="002A38E9" w:rsidRDefault="002A38E9" w:rsidP="002A38E9">
            <w:pPr>
              <w:spacing w:line="276" w:lineRule="auto"/>
              <w:jc w:val="both"/>
              <w:rPr>
                <w:rFonts w:ascii="Verdana" w:hAnsi="Verdana" w:cs="Arial"/>
                <w:lang w:val="es-ES_tradnl" w:eastAsia="es-ES"/>
              </w:rPr>
            </w:pPr>
            <w:r w:rsidRPr="002A38E9">
              <w:rPr>
                <w:rFonts w:ascii="Verdana" w:hAnsi="Verdana" w:cs="Arial"/>
                <w:lang w:val="es-ES_tradnl" w:eastAsia="es-ES"/>
              </w:rPr>
              <w:t xml:space="preserve">EGCAP – Ámbito de aplicación – Entidades estatales / ENTIDADES EXCEPTUADAS – Aplicación de normas de derecho público / CONTRATOS ESTATALES – Régimen especial – Obligaciones transversales – Manual de contratación – Límites / </w:t>
            </w:r>
            <w:r w:rsidRPr="002A38E9">
              <w:rPr>
                <w:rFonts w:ascii="Verdana" w:hAnsi="Verdana" w:cs="Arial"/>
                <w:lang w:val="es-ES" w:eastAsia="es-ES"/>
              </w:rPr>
              <w:t xml:space="preserve">LIQUIDACIÓN – Definición – Objetivo / LIQUIDACIÓN BILATERAL – Naturaleza / ENTIDADES DE RÉGIMEN ESPECIAL – Liquidación bilateral – Plazo – Caducidad </w:t>
            </w:r>
          </w:p>
          <w:p w14:paraId="07C0AA50" w14:textId="77777777" w:rsidR="002A38E9" w:rsidRPr="002A38E9" w:rsidRDefault="002A38E9" w:rsidP="002A38E9">
            <w:pPr>
              <w:spacing w:line="276" w:lineRule="auto"/>
              <w:jc w:val="both"/>
              <w:rPr>
                <w:rFonts w:ascii="Verdana" w:hAnsi="Verdana" w:cs="Arial"/>
                <w:lang w:val="es-ES_tradnl" w:eastAsia="es-ES"/>
              </w:rPr>
            </w:pPr>
            <w:r w:rsidRPr="002A38E9">
              <w:rPr>
                <w:rFonts w:ascii="Verdana" w:hAnsi="Verdana" w:cs="Arial"/>
                <w:lang w:val="es-ES_tradnl" w:eastAsia="es-ES"/>
              </w:rPr>
              <w:t xml:space="preserve">  </w:t>
            </w:r>
          </w:p>
        </w:tc>
      </w:tr>
      <w:tr w:rsidR="002A38E9" w:rsidRPr="002A38E9" w14:paraId="7E7A6BFB" w14:textId="77777777" w:rsidTr="00BE3615">
        <w:tc>
          <w:tcPr>
            <w:tcW w:w="2689" w:type="dxa"/>
          </w:tcPr>
          <w:p w14:paraId="48FAD30B" w14:textId="77777777" w:rsidR="002A38E9" w:rsidRPr="002A38E9" w:rsidRDefault="002A38E9" w:rsidP="002A38E9">
            <w:pPr>
              <w:jc w:val="both"/>
              <w:rPr>
                <w:rFonts w:ascii="Verdana" w:hAnsi="Verdana" w:cs="Arial"/>
                <w:b/>
                <w:lang w:val="es-ES_tradnl" w:eastAsia="es-ES_tradnl"/>
              </w:rPr>
            </w:pPr>
            <w:r w:rsidRPr="002A38E9">
              <w:rPr>
                <w:rFonts w:ascii="Verdana" w:hAnsi="Verdana" w:cs="Arial"/>
                <w:b/>
                <w:lang w:val="es-ES_tradnl" w:eastAsia="es-ES_tradnl"/>
              </w:rPr>
              <w:t>Radicación:</w:t>
            </w:r>
            <w:r w:rsidRPr="002A38E9">
              <w:rPr>
                <w:rFonts w:ascii="Verdana" w:hAnsi="Verdana" w:cs="Arial"/>
                <w:lang w:val="es-ES_tradnl" w:eastAsia="es-ES_tradnl"/>
              </w:rPr>
              <w:t xml:space="preserve">               </w:t>
            </w:r>
          </w:p>
        </w:tc>
        <w:tc>
          <w:tcPr>
            <w:tcW w:w="6100" w:type="dxa"/>
          </w:tcPr>
          <w:p w14:paraId="597F29FB" w14:textId="77777777" w:rsidR="002A38E9" w:rsidRPr="002A38E9" w:rsidRDefault="002A38E9" w:rsidP="002A38E9">
            <w:pPr>
              <w:spacing w:line="276" w:lineRule="auto"/>
              <w:jc w:val="both"/>
              <w:rPr>
                <w:rFonts w:ascii="Verdana" w:hAnsi="Verdana" w:cs="Arial"/>
                <w:lang w:val="es-ES_tradnl" w:eastAsia="es-ES_tradnl"/>
              </w:rPr>
            </w:pPr>
            <w:r w:rsidRPr="002A38E9">
              <w:rPr>
                <w:rFonts w:ascii="Verdana" w:hAnsi="Verdana" w:cs="Arial"/>
                <w:lang w:val="es-ES_tradnl" w:eastAsia="es-ES_tradnl"/>
              </w:rPr>
              <w:t>Respuesta a las consultas con radicado Nos. 1_2025_09_23_010465 y 1_2025_09_25_010592</w:t>
            </w:r>
          </w:p>
        </w:tc>
      </w:tr>
    </w:tbl>
    <w:p w14:paraId="398D684E" w14:textId="77777777" w:rsidR="002A38E9" w:rsidRPr="002A38E9" w:rsidRDefault="002A38E9" w:rsidP="002A38E9">
      <w:pPr>
        <w:spacing w:after="0" w:line="240" w:lineRule="auto"/>
        <w:jc w:val="both"/>
        <w:rPr>
          <w:rFonts w:ascii="Verdana" w:hAnsi="Verdana" w:cs="Arial"/>
          <w:color w:val="000000"/>
          <w:lang w:val="es-ES_tradnl" w:eastAsia="es-ES_tradnl"/>
        </w:rPr>
      </w:pPr>
    </w:p>
    <w:p w14:paraId="00E75660" w14:textId="77777777" w:rsidR="002A38E9" w:rsidRPr="002A38E9" w:rsidRDefault="002A38E9" w:rsidP="002A38E9">
      <w:pPr>
        <w:spacing w:after="0" w:line="240" w:lineRule="auto"/>
        <w:jc w:val="both"/>
        <w:rPr>
          <w:rFonts w:ascii="Verdana" w:hAnsi="Verdana" w:cs="Arial"/>
          <w:color w:val="000000"/>
          <w:lang w:val="es-ES_tradnl" w:eastAsia="es-ES_tradnl"/>
        </w:rPr>
      </w:pPr>
    </w:p>
    <w:p w14:paraId="45E952C7" w14:textId="77777777" w:rsidR="002A38E9" w:rsidRPr="002A38E9" w:rsidRDefault="002A38E9" w:rsidP="002A38E9">
      <w:pPr>
        <w:spacing w:after="0" w:line="276" w:lineRule="auto"/>
        <w:jc w:val="both"/>
        <w:rPr>
          <w:rFonts w:ascii="Verdana" w:hAnsi="Verdana" w:cs="Arial"/>
          <w:lang w:val="es-ES_tradnl" w:eastAsia="es-ES"/>
        </w:rPr>
      </w:pPr>
      <w:r w:rsidRPr="002A38E9">
        <w:rPr>
          <w:rFonts w:ascii="Verdana" w:hAnsi="Verdana" w:cs="Arial"/>
          <w:lang w:val="es-ES_tradnl" w:eastAsia="es-ES"/>
        </w:rPr>
        <w:t xml:space="preserve">Estimada señora Ramírez: </w:t>
      </w:r>
    </w:p>
    <w:p w14:paraId="23197516" w14:textId="77777777" w:rsidR="002A38E9" w:rsidRPr="002A38E9" w:rsidRDefault="002A38E9" w:rsidP="002A38E9">
      <w:pPr>
        <w:tabs>
          <w:tab w:val="left" w:pos="3768"/>
        </w:tabs>
        <w:spacing w:after="0" w:line="276" w:lineRule="auto"/>
        <w:jc w:val="both"/>
        <w:rPr>
          <w:rFonts w:ascii="Verdana" w:hAnsi="Verdana" w:cs="Arial"/>
          <w:color w:val="000000" w:themeColor="text1"/>
          <w:lang w:val="es-ES_tradnl" w:eastAsia="es-ES"/>
        </w:rPr>
      </w:pPr>
      <w:r w:rsidRPr="002A38E9">
        <w:rPr>
          <w:rFonts w:ascii="Verdana" w:hAnsi="Verdana" w:cs="Arial"/>
          <w:color w:val="000000" w:themeColor="text1"/>
          <w:lang w:val="es-ES_tradnl" w:eastAsia="es-ES"/>
        </w:rPr>
        <w:tab/>
      </w:r>
    </w:p>
    <w:p w14:paraId="22AD954D" w14:textId="77777777" w:rsidR="002A38E9" w:rsidRPr="002A38E9" w:rsidRDefault="002A38E9" w:rsidP="002A38E9">
      <w:pPr>
        <w:spacing w:after="0" w:line="276" w:lineRule="auto"/>
        <w:jc w:val="both"/>
        <w:rPr>
          <w:rFonts w:ascii="Verdana" w:hAnsi="Verdana" w:cs="Arial"/>
          <w:color w:val="7030A0"/>
          <w:lang w:val="es-ES_tradnl" w:eastAsia="es-ES"/>
        </w:rPr>
      </w:pPr>
      <w:r w:rsidRPr="002A38E9">
        <w:rPr>
          <w:rFonts w:ascii="Verdana" w:hAnsi="Verdana" w:cs="Arial"/>
          <w:color w:val="000000" w:themeColor="text1"/>
          <w:lang w:val="es-ES_tradnl" w:eastAsia="es-ES"/>
        </w:rPr>
        <w:t>En ejercicio de la competencia otorgada por los artículos 3, numeral 5º, y 11, numeral 8º, del Decreto Ley 4170 de 2011,</w:t>
      </w:r>
      <w:r w:rsidRPr="002A38E9">
        <w:rPr>
          <w:rFonts w:ascii="Verdana" w:eastAsia="Arial MT" w:hAnsi="Verdana" w:cs="Arial MT"/>
          <w:lang w:val="es-ES_tradnl" w:eastAsia="es-ES"/>
        </w:rPr>
        <w:t xml:space="preserve"> </w:t>
      </w:r>
      <w:r w:rsidRPr="002A38E9">
        <w:rPr>
          <w:rFonts w:ascii="Verdana" w:hAnsi="Verdana" w:cs="Arial"/>
          <w:lang w:val="es-ES_tradnl"/>
        </w:rPr>
        <w:t>así como lo establecido en</w:t>
      </w:r>
      <w:r w:rsidRPr="002A38E9">
        <w:rPr>
          <w:rFonts w:ascii="Verdana" w:hAnsi="Verdana" w:cs="Arial"/>
        </w:rPr>
        <w:t xml:space="preserve"> la Resolución 469 de 2025 expedida por esta Entidad</w:t>
      </w:r>
      <w:r w:rsidRPr="002A38E9">
        <w:rPr>
          <w:rFonts w:ascii="Verdana" w:hAnsi="Verdana" w:cs="Arial"/>
          <w:lang w:val="es-ES_tradnl"/>
        </w:rPr>
        <w:t xml:space="preserve">, </w:t>
      </w:r>
      <w:r w:rsidRPr="002A38E9">
        <w:rPr>
          <w:rFonts w:ascii="Verdana" w:hAnsi="Verdana" w:cs="Arial"/>
          <w:color w:val="000000" w:themeColor="text1"/>
          <w:lang w:val="es-ES_tradnl" w:eastAsia="es-ES"/>
        </w:rPr>
        <w:t xml:space="preserve">la Agencia Nacional de Contratación Pública – Colombia Compra Eficiente responde su solicitud de consulta de </w:t>
      </w:r>
      <w:r w:rsidRPr="002A38E9">
        <w:rPr>
          <w:rFonts w:ascii="Verdana" w:hAnsi="Verdana" w:cs="Arial"/>
          <w:lang w:val="es-ES_tradnl" w:eastAsia="es-ES"/>
        </w:rPr>
        <w:t xml:space="preserve">fecha 23 de septiembre de 2025, en la cual pregunta lo siguiente: </w:t>
      </w:r>
    </w:p>
    <w:p w14:paraId="7845694F" w14:textId="77777777" w:rsidR="002A38E9" w:rsidRPr="002A38E9" w:rsidRDefault="002A38E9" w:rsidP="002A38E9">
      <w:pPr>
        <w:tabs>
          <w:tab w:val="left" w:pos="142"/>
          <w:tab w:val="left" w:pos="284"/>
        </w:tabs>
        <w:spacing w:after="0" w:line="276" w:lineRule="auto"/>
        <w:contextualSpacing/>
        <w:jc w:val="both"/>
        <w:rPr>
          <w:rFonts w:ascii="Verdana" w:eastAsia="Century Gothic" w:hAnsi="Verdana" w:cs="Century Gothic"/>
          <w:b/>
          <w:bCs/>
          <w:lang w:val="es-ES_tradnl"/>
        </w:rPr>
      </w:pPr>
    </w:p>
    <w:p w14:paraId="19E600B3" w14:textId="77777777" w:rsidR="002A38E9" w:rsidRPr="002A38E9" w:rsidRDefault="002A38E9" w:rsidP="002A38E9">
      <w:pPr>
        <w:spacing w:after="0" w:line="240" w:lineRule="auto"/>
        <w:ind w:left="709" w:right="709"/>
        <w:jc w:val="both"/>
        <w:rPr>
          <w:rFonts w:ascii="Verdana" w:eastAsia="Century Gothic" w:hAnsi="Verdana" w:cs="Century Gothic"/>
          <w:sz w:val="20"/>
          <w:szCs w:val="20"/>
        </w:rPr>
      </w:pPr>
      <w:bookmarkStart w:id="1" w:name="_Hlk95313578"/>
      <w:r w:rsidRPr="002A38E9">
        <w:rPr>
          <w:rFonts w:ascii="Verdana" w:eastAsia="Century Gothic" w:hAnsi="Verdana" w:cs="Century Gothic"/>
          <w:sz w:val="20"/>
          <w:szCs w:val="20"/>
          <w:lang w:val="es-ES"/>
        </w:rPr>
        <w:lastRenderedPageBreak/>
        <w:t>“</w:t>
      </w:r>
      <w:bookmarkEnd w:id="1"/>
      <w:r w:rsidRPr="002A38E9">
        <w:rPr>
          <w:rFonts w:ascii="Verdana" w:eastAsia="Century Gothic" w:hAnsi="Verdana" w:cs="Century Gothic"/>
          <w:sz w:val="20"/>
          <w:szCs w:val="20"/>
        </w:rPr>
        <w:t xml:space="preserve">Con base en las funciones propias de la Agencia Nacional de Contratación pública Colombia Compra Eficiente comedidamente acudo a sus oficios buscando respuesta frente a lo siguiente: ¿En los contratos estatales regidos por el derecho privado quien es el juez competente y cuál es el término de caducidad de la acción? </w:t>
      </w:r>
    </w:p>
    <w:p w14:paraId="27B59664" w14:textId="77777777" w:rsidR="002A38E9" w:rsidRPr="002A38E9" w:rsidRDefault="002A38E9" w:rsidP="002A38E9">
      <w:pPr>
        <w:spacing w:after="0" w:line="240" w:lineRule="auto"/>
        <w:ind w:left="709" w:right="709"/>
        <w:jc w:val="both"/>
        <w:rPr>
          <w:rFonts w:ascii="Verdana" w:eastAsia="Century Gothic" w:hAnsi="Verdana" w:cs="Century Gothic"/>
          <w:sz w:val="20"/>
          <w:szCs w:val="20"/>
        </w:rPr>
      </w:pPr>
    </w:p>
    <w:p w14:paraId="7C57391D" w14:textId="77777777" w:rsidR="002A38E9" w:rsidRPr="002A38E9" w:rsidRDefault="002A38E9" w:rsidP="002A38E9">
      <w:pPr>
        <w:spacing w:after="0" w:line="240" w:lineRule="auto"/>
        <w:ind w:left="709" w:right="709"/>
        <w:jc w:val="both"/>
        <w:rPr>
          <w:rFonts w:ascii="Verdana" w:eastAsia="Century Gothic" w:hAnsi="Verdana" w:cs="Century Gothic"/>
          <w:sz w:val="20"/>
          <w:szCs w:val="20"/>
          <w:lang w:val="es-ES"/>
        </w:rPr>
      </w:pPr>
      <w:r w:rsidRPr="002A38E9">
        <w:rPr>
          <w:rFonts w:ascii="Verdana" w:eastAsia="Century Gothic" w:hAnsi="Verdana" w:cs="Century Gothic"/>
          <w:sz w:val="20"/>
          <w:szCs w:val="20"/>
        </w:rPr>
        <w:t xml:space="preserve">Si un contrato regido por derecho privado estipuló un término de liquidación de seis (6) meses y no se procedió en dicho lapso con la liquidación pactada en el convenio, ¿Es competente la entidad para suscribir un acta de liquidación de mutuo acuerdo?” </w:t>
      </w:r>
    </w:p>
    <w:p w14:paraId="393715FB" w14:textId="77777777" w:rsidR="002A38E9" w:rsidRPr="002A38E9" w:rsidRDefault="002A38E9" w:rsidP="002A38E9">
      <w:pPr>
        <w:tabs>
          <w:tab w:val="left" w:pos="142"/>
          <w:tab w:val="left" w:pos="284"/>
        </w:tabs>
        <w:spacing w:after="0" w:line="276" w:lineRule="auto"/>
        <w:contextualSpacing/>
        <w:jc w:val="both"/>
        <w:rPr>
          <w:rFonts w:ascii="Verdana" w:eastAsia="Century Gothic" w:hAnsi="Verdana" w:cs="Century Gothic"/>
          <w:b/>
          <w:bCs/>
          <w:lang w:val="es-ES_tradnl"/>
        </w:rPr>
      </w:pPr>
    </w:p>
    <w:p w14:paraId="11530F2F" w14:textId="77777777" w:rsidR="002A38E9" w:rsidRPr="002A38E9" w:rsidRDefault="002A38E9" w:rsidP="002A38E9">
      <w:pPr>
        <w:spacing w:after="120" w:line="276" w:lineRule="auto"/>
        <w:ind w:firstLine="709"/>
        <w:jc w:val="both"/>
        <w:rPr>
          <w:rFonts w:ascii="Verdana" w:hAnsi="Verdana" w:cs="Arial"/>
          <w:color w:val="000000"/>
          <w:lang w:val="es-ES" w:eastAsia="es-ES"/>
        </w:rPr>
      </w:pPr>
      <w:r w:rsidRPr="002A38E9">
        <w:rPr>
          <w:rFonts w:ascii="Verdana"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A38E9">
        <w:tab/>
      </w:r>
    </w:p>
    <w:p w14:paraId="3A7A3F1D" w14:textId="77777777" w:rsidR="002A38E9" w:rsidRPr="002A38E9" w:rsidRDefault="002A38E9" w:rsidP="002A38E9">
      <w:pPr>
        <w:spacing w:after="0" w:line="276" w:lineRule="auto"/>
        <w:ind w:firstLine="709"/>
        <w:jc w:val="both"/>
        <w:rPr>
          <w:rFonts w:ascii="Verdana" w:hAnsi="Verdana" w:cs="Arial"/>
          <w:color w:val="000000"/>
          <w:lang w:val="es-ES_tradnl" w:eastAsia="es-ES"/>
        </w:rPr>
      </w:pPr>
      <w:r w:rsidRPr="002A38E9">
        <w:rPr>
          <w:rFonts w:ascii="Verdana"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2A38E9">
        <w:rPr>
          <w:rFonts w:ascii="Verdana" w:hAnsi="Verdana" w:cs="Arial"/>
          <w:color w:val="7030A0"/>
          <w:lang w:val="es-ES_tradnl" w:eastAsia="es-ES"/>
        </w:rPr>
        <w:t xml:space="preserve"> </w:t>
      </w:r>
      <w:r w:rsidRPr="002A38E9">
        <w:rPr>
          <w:rFonts w:ascii="Verdana" w:hAnsi="Verdana" w:cs="Arial"/>
          <w:color w:val="000000"/>
          <w:lang w:val="es-ES_tradnl" w:eastAsia="es-ES"/>
        </w:rPr>
        <w:t>problema</w:t>
      </w:r>
      <w:r w:rsidRPr="002A38E9">
        <w:rPr>
          <w:rFonts w:ascii="Verdana" w:hAnsi="Verdana" w:cs="Arial"/>
          <w:color w:val="7030A0"/>
          <w:lang w:val="es-ES_tradnl" w:eastAsia="es-ES"/>
        </w:rPr>
        <w:t xml:space="preserve"> </w:t>
      </w:r>
      <w:r w:rsidRPr="002A38E9">
        <w:rPr>
          <w:rFonts w:ascii="Verdana" w:hAnsi="Verdana" w:cs="Arial"/>
          <w:color w:val="000000"/>
          <w:lang w:val="es-ES_tradnl" w:eastAsia="es-ES"/>
        </w:rPr>
        <w:t>jurídico</w:t>
      </w:r>
      <w:r w:rsidRPr="002A38E9">
        <w:rPr>
          <w:rFonts w:ascii="Verdana" w:hAnsi="Verdana" w:cs="Arial"/>
          <w:color w:val="7030A0"/>
          <w:lang w:val="es-ES_tradnl" w:eastAsia="es-ES"/>
        </w:rPr>
        <w:t xml:space="preserve"> </w:t>
      </w:r>
      <w:r w:rsidRPr="002A38E9">
        <w:rPr>
          <w:rFonts w:ascii="Verdana" w:hAnsi="Verdana" w:cs="Arial"/>
          <w:color w:val="000000"/>
          <w:lang w:val="es-ES_tradnl" w:eastAsia="es-ES"/>
        </w:rPr>
        <w:t xml:space="preserve">de su consulta. </w:t>
      </w:r>
      <w:r w:rsidRPr="002A38E9">
        <w:rPr>
          <w:rFonts w:ascii="Verdana" w:hAnsi="Verdana" w:cs="Arial"/>
          <w:lang w:val="es-ES_tradnl" w:eastAsia="es-ES"/>
        </w:rPr>
        <w:t xml:space="preserve"> </w:t>
      </w:r>
    </w:p>
    <w:p w14:paraId="7ED4087C" w14:textId="77777777" w:rsidR="002A38E9" w:rsidRPr="002A38E9" w:rsidRDefault="002A38E9" w:rsidP="002A38E9">
      <w:pPr>
        <w:spacing w:after="0" w:line="276" w:lineRule="auto"/>
        <w:ind w:firstLine="708"/>
        <w:jc w:val="both"/>
        <w:rPr>
          <w:rFonts w:ascii="Verdana" w:hAnsi="Verdana" w:cs="Arial"/>
          <w:lang w:val="es-ES_tradnl" w:eastAsia="es-ES"/>
        </w:rPr>
      </w:pPr>
    </w:p>
    <w:p w14:paraId="27566BCB" w14:textId="77777777" w:rsidR="002A38E9" w:rsidRPr="002A38E9" w:rsidRDefault="002A38E9" w:rsidP="002A38E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_tradnl"/>
        </w:rPr>
      </w:pPr>
      <w:r w:rsidRPr="002A38E9">
        <w:rPr>
          <w:rFonts w:ascii="Verdana" w:eastAsia="Century Gothic" w:hAnsi="Verdana" w:cs="Century Gothic"/>
          <w:b/>
          <w:bCs/>
          <w:lang w:val="es-ES_tradnl"/>
        </w:rPr>
        <w:t>Problema planteado:</w:t>
      </w:r>
    </w:p>
    <w:p w14:paraId="39721035" w14:textId="77777777" w:rsidR="002A38E9" w:rsidRPr="002A38E9" w:rsidRDefault="002A38E9" w:rsidP="002A38E9">
      <w:pPr>
        <w:tabs>
          <w:tab w:val="left" w:pos="426"/>
        </w:tabs>
        <w:spacing w:after="0" w:line="276" w:lineRule="auto"/>
        <w:jc w:val="both"/>
        <w:rPr>
          <w:rFonts w:ascii="Verdana" w:eastAsia="Century Gothic" w:hAnsi="Verdana" w:cs="Century Gothic"/>
          <w:lang w:val="es-ES_tradnl"/>
        </w:rPr>
      </w:pPr>
    </w:p>
    <w:p w14:paraId="67E48357" w14:textId="77777777" w:rsidR="002A38E9" w:rsidRPr="002A38E9" w:rsidRDefault="002A38E9" w:rsidP="002A38E9">
      <w:pPr>
        <w:spacing w:after="0" w:line="276" w:lineRule="auto"/>
        <w:jc w:val="both"/>
        <w:rPr>
          <w:rFonts w:ascii="Verdana" w:eastAsia="Century Gothic" w:hAnsi="Verdana" w:cs="Century Gothic"/>
          <w:lang w:val="es-ES_tradnl"/>
        </w:rPr>
      </w:pPr>
      <w:r w:rsidRPr="002A38E9">
        <w:rPr>
          <w:rFonts w:ascii="Verdana" w:eastAsia="Century Gothic" w:hAnsi="Verdana" w:cs="Century Gothic"/>
          <w:lang w:val="es-ES_tradnl"/>
        </w:rPr>
        <w:t>De acuerdo con el contenido de su solicitud, esta Agencia resolverá el siguiente problema jurídico: i) ¿Cuál es el plazo previsto para la liquidación bilateral en las entidades de régimen especial</w:t>
      </w:r>
      <w:r w:rsidRPr="002A38E9">
        <w:rPr>
          <w:rFonts w:ascii="Verdana" w:eastAsia="Century Gothic" w:hAnsi="Verdana" w:cs="Century Gothic"/>
        </w:rPr>
        <w:t>?</w:t>
      </w:r>
      <w:r w:rsidRPr="002A38E9">
        <w:rPr>
          <w:rFonts w:ascii="Verdana" w:eastAsia="Century Gothic" w:hAnsi="Verdana" w:cs="Century Gothic"/>
          <w:lang w:val="es-ES_tradnl"/>
        </w:rPr>
        <w:t xml:space="preserve">, y </w:t>
      </w:r>
      <w:proofErr w:type="spellStart"/>
      <w:r w:rsidRPr="002A38E9">
        <w:rPr>
          <w:rFonts w:ascii="Verdana" w:eastAsia="Century Gothic" w:hAnsi="Verdana" w:cs="Century Gothic"/>
          <w:lang w:val="es-ES_tradnl"/>
        </w:rPr>
        <w:t>ii</w:t>
      </w:r>
      <w:proofErr w:type="spellEnd"/>
      <w:r w:rsidRPr="002A38E9">
        <w:rPr>
          <w:rFonts w:ascii="Verdana" w:eastAsia="Century Gothic" w:hAnsi="Verdana" w:cs="Century Gothic"/>
          <w:lang w:val="es-ES_tradnl"/>
        </w:rPr>
        <w:t xml:space="preserve">) ¿Cuál es el término previsto para la caducidad de la acción de los contratos de entidades de régimen especial?  </w:t>
      </w:r>
      <w:r w:rsidRPr="002A38E9">
        <w:rPr>
          <w:rFonts w:ascii="Verdana" w:eastAsia="Century Gothic" w:hAnsi="Verdana" w:cs="Century Gothic"/>
          <w:color w:val="7030A0"/>
          <w:lang w:val="es-ES_tradnl"/>
        </w:rPr>
        <w:t xml:space="preserve"> </w:t>
      </w:r>
    </w:p>
    <w:p w14:paraId="448F8263" w14:textId="77777777" w:rsidR="002A38E9" w:rsidRPr="002A38E9" w:rsidRDefault="002A38E9" w:rsidP="002A38E9">
      <w:pPr>
        <w:spacing w:after="0" w:line="276" w:lineRule="auto"/>
        <w:jc w:val="both"/>
        <w:rPr>
          <w:rFonts w:ascii="Verdana" w:hAnsi="Verdana" w:cs="Arial"/>
          <w:color w:val="7030A0"/>
          <w:lang w:val="es-ES_tradnl"/>
        </w:rPr>
      </w:pPr>
    </w:p>
    <w:p w14:paraId="5089EB60" w14:textId="77777777" w:rsidR="002A38E9" w:rsidRPr="002A38E9" w:rsidRDefault="002A38E9" w:rsidP="002A38E9">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2A38E9">
        <w:rPr>
          <w:rFonts w:ascii="Verdana" w:eastAsia="Century Gothic" w:hAnsi="Verdana" w:cs="Century Gothic"/>
          <w:b/>
          <w:bCs/>
          <w:lang w:val="es-ES_tradnl"/>
        </w:rPr>
        <w:t>Respuesta:</w:t>
      </w:r>
    </w:p>
    <w:p w14:paraId="5617B2CA" w14:textId="77777777" w:rsidR="002A38E9" w:rsidRPr="002A38E9" w:rsidRDefault="002A38E9" w:rsidP="002A38E9">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A38E9" w:rsidRPr="002A38E9" w14:paraId="11B01CB1" w14:textId="77777777" w:rsidTr="00BE3615">
        <w:trPr>
          <w:jc w:val="center"/>
        </w:trPr>
        <w:tc>
          <w:tcPr>
            <w:tcW w:w="8828" w:type="dxa"/>
          </w:tcPr>
          <w:p w14:paraId="6632E551" w14:textId="77777777" w:rsidR="002A38E9" w:rsidRPr="002A38E9" w:rsidRDefault="002A38E9" w:rsidP="002A38E9">
            <w:pPr>
              <w:spacing w:after="120" w:line="276" w:lineRule="auto"/>
              <w:jc w:val="both"/>
              <w:rPr>
                <w:rFonts w:ascii="Verdana" w:eastAsia="Times New Roman" w:hAnsi="Verdana" w:cs="Arial"/>
                <w:color w:val="000000"/>
                <w:szCs w:val="24"/>
                <w:lang w:eastAsia="es-ES_tradnl"/>
              </w:rPr>
            </w:pPr>
            <w:bookmarkStart w:id="2" w:name="_Hlk171694685"/>
            <w:r w:rsidRPr="002A38E9">
              <w:rPr>
                <w:rFonts w:ascii="Verdana" w:hAnsi="Verdana" w:cs="Arial"/>
                <w:color w:val="000000" w:themeColor="text1"/>
                <w:lang w:val="es-ES_tradnl"/>
              </w:rPr>
              <w:lastRenderedPageBreak/>
              <w:t>i.</w:t>
            </w:r>
            <w:r w:rsidRPr="002A38E9">
              <w:rPr>
                <w:rFonts w:ascii="Verdana" w:eastAsia="Times New Roman" w:hAnsi="Verdana" w:cs="Arial"/>
                <w:color w:val="000000"/>
                <w:szCs w:val="24"/>
                <w:lang w:val="es-ES_tradnl" w:eastAsia="es-ES_tradnl"/>
              </w:rPr>
              <w:t xml:space="preserve"> La liquidación del contrato es una institución regulada en el Estatuto General de Contratación de la Administración Pública, pero no significa que no pueda estipularse por parte de las entidades de régimen especial, pues el principio de la autonomía de la voluntad posibilita que se pacte la liquidación de los contratos. En efecto, </w:t>
            </w:r>
            <w:r w:rsidRPr="002A38E9">
              <w:rPr>
                <w:rFonts w:ascii="Verdana" w:eastAsia="Times New Roman" w:hAnsi="Verdana" w:cs="Arial"/>
                <w:color w:val="000000"/>
                <w:szCs w:val="24"/>
                <w:lang w:val="es-MX" w:eastAsia="es-ES_tradnl"/>
              </w:rPr>
              <w:t>esta Agencia ha señalado que</w:t>
            </w:r>
            <w:r w:rsidRPr="002A38E9">
              <w:rPr>
                <w:rFonts w:ascii="Verdana" w:eastAsia="Times New Roman" w:hAnsi="Verdana" w:cs="Arial"/>
                <w:color w:val="000000"/>
                <w:szCs w:val="24"/>
                <w:lang w:val="es-ES_tradnl" w:eastAsia="es-ES_tradnl" w:bidi="es-ES"/>
              </w:rPr>
              <w:t xml:space="preserve"> la liquidación bilateral se trata de un negocio jurídico, en el que las partes del contrato estatal, en ejercicio de la autonomía de la voluntad, regulan la finalización de su relación y disponen de los intereses que emanan de ella</w:t>
            </w:r>
            <w:r w:rsidRPr="002A38E9">
              <w:rPr>
                <w:rFonts w:ascii="Verdana" w:eastAsia="Times New Roman" w:hAnsi="Verdana" w:cs="Arial"/>
                <w:color w:val="000000"/>
                <w:szCs w:val="24"/>
                <w:vertAlign w:val="superscript"/>
                <w:lang w:val="es-ES_tradnl" w:eastAsia="es-ES_tradnl" w:bidi="es-ES"/>
              </w:rPr>
              <w:footnoteReference w:id="2"/>
            </w:r>
            <w:r w:rsidRPr="002A38E9">
              <w:rPr>
                <w:rFonts w:ascii="Verdana" w:eastAsia="Times New Roman" w:hAnsi="Verdana" w:cs="Arial"/>
                <w:color w:val="000000"/>
                <w:szCs w:val="24"/>
                <w:lang w:val="es-ES_tradnl" w:eastAsia="es-ES_tradnl" w:bidi="es-ES"/>
              </w:rPr>
              <w:t>.</w:t>
            </w:r>
            <w:r w:rsidRPr="002A38E9">
              <w:rPr>
                <w:rFonts w:ascii="Verdana" w:eastAsia="Times New Roman" w:hAnsi="Verdana" w:cs="Arial"/>
                <w:color w:val="000000"/>
                <w:szCs w:val="24"/>
                <w:lang w:eastAsia="es-ES_tradnl"/>
              </w:rPr>
              <w:t xml:space="preserve"> Dicho acuerdo reviste un carácter negocial, en la medida en que implica manifestaciones recíprocas dirigidas a producir efectos jurídicos concretos frente a las prestaciones mutuas de la relación contractual. </w:t>
            </w:r>
          </w:p>
          <w:p w14:paraId="499450E2" w14:textId="77777777" w:rsidR="002A38E9" w:rsidRPr="002A38E9" w:rsidRDefault="002A38E9" w:rsidP="002A38E9">
            <w:pPr>
              <w:spacing w:after="120" w:line="276" w:lineRule="auto"/>
              <w:ind w:firstLine="708"/>
              <w:jc w:val="both"/>
              <w:rPr>
                <w:rFonts w:ascii="Verdana" w:eastAsia="Times New Roman" w:hAnsi="Verdana" w:cs="Arial"/>
                <w:lang w:val="es-ES"/>
              </w:rPr>
            </w:pPr>
            <w:r w:rsidRPr="002A38E9">
              <w:rPr>
                <w:rFonts w:ascii="Verdana" w:eastAsia="Times New Roman" w:hAnsi="Verdana" w:cs="Arial"/>
                <w:color w:val="000000"/>
                <w:sz w:val="21"/>
                <w:szCs w:val="21"/>
                <w:lang w:val="es-ES" w:eastAsia="es-ES_tradnl"/>
              </w:rPr>
              <w:t>En este contexto,</w:t>
            </w:r>
            <w:r w:rsidRPr="002A38E9">
              <w:rPr>
                <w:rFonts w:ascii="Verdana" w:eastAsia="Times New Roman" w:hAnsi="Verdana" w:cs="Arial"/>
                <w:color w:val="000000"/>
                <w:szCs w:val="24"/>
                <w:lang w:val="es-ES_tradnl" w:eastAsia="es-ES_tradnl"/>
              </w:rPr>
              <w:t xml:space="preserve"> </w:t>
            </w:r>
            <w:r w:rsidRPr="002A38E9">
              <w:rPr>
                <w:rFonts w:ascii="Verdana" w:eastAsia="Times New Roman" w:hAnsi="Verdana" w:cs="Arial"/>
                <w:color w:val="000000"/>
                <w:sz w:val="21"/>
                <w:szCs w:val="21"/>
                <w:lang w:val="es-ES" w:eastAsia="es-ES_tradnl"/>
              </w:rPr>
              <w:t xml:space="preserve">la liquidación bilateral de las entidades de régimen especial </w:t>
            </w:r>
            <w:r w:rsidRPr="002A38E9">
              <w:rPr>
                <w:rFonts w:ascii="Verdana" w:eastAsia="Times New Roman" w:hAnsi="Verdana" w:cs="Arial"/>
                <w:szCs w:val="24"/>
                <w:lang w:val="es-ES_tradnl" w:eastAsia="es-ES_tradnl"/>
              </w:rPr>
              <w:t xml:space="preserve">deberá realizarse dentro del plazo previsto </w:t>
            </w:r>
            <w:r w:rsidRPr="002A38E9">
              <w:rPr>
                <w:rFonts w:ascii="Verdana" w:eastAsia="Times New Roman" w:hAnsi="Verdana" w:cs="Arial"/>
                <w:lang w:val="es-ES" w:eastAsia="es-ES"/>
              </w:rPr>
              <w:t xml:space="preserve">que “acuerden las partes”, el cual, en principio, debe estar recogido en el contrato, al ser este el acto jurídico bilateral en el que se consigna originalmente la voluntad de las partes. </w:t>
            </w:r>
            <w:r w:rsidRPr="002A38E9">
              <w:rPr>
                <w:rFonts w:ascii="Verdana" w:eastAsia="Times New Roman" w:hAnsi="Verdana" w:cs="Arial"/>
                <w:lang w:val="es-ES"/>
              </w:rPr>
              <w:t xml:space="preserve">Por lo tanto, las partes, en desarrollo de la autonomía de la voluntad que les asiste, están habilitadas para pactar el término, o en su defecto, acudir al plazo que se estableció en el Manual de Contratación de la Entidad. </w:t>
            </w:r>
          </w:p>
          <w:p w14:paraId="59EFBCA0" w14:textId="77777777" w:rsidR="002A38E9" w:rsidRPr="002A38E9" w:rsidRDefault="002A38E9" w:rsidP="002A38E9">
            <w:pPr>
              <w:spacing w:after="120" w:line="276" w:lineRule="auto"/>
              <w:ind w:firstLine="743"/>
              <w:jc w:val="both"/>
              <w:rPr>
                <w:rFonts w:ascii="Verdana" w:eastAsia="Times New Roman" w:hAnsi="Verdana" w:cs="Arial"/>
                <w:color w:val="000000"/>
                <w:szCs w:val="24"/>
                <w:lang w:eastAsia="es-ES_tradnl"/>
              </w:rPr>
            </w:pPr>
            <w:r w:rsidRPr="002A38E9">
              <w:rPr>
                <w:rFonts w:ascii="Verdana" w:eastAsia="Times New Roman" w:hAnsi="Verdana" w:cs="Arial"/>
                <w:color w:val="000000"/>
                <w:bdr w:val="none" w:sz="0" w:space="0" w:color="auto" w:frame="1"/>
                <w:shd w:val="clear" w:color="auto" w:fill="FFFFFF"/>
                <w:lang w:val="es-ES" w:eastAsia="es-ES_tradnl"/>
              </w:rPr>
              <w:t xml:space="preserve">En todo caso, </w:t>
            </w:r>
            <w:r w:rsidRPr="002A38E9">
              <w:rPr>
                <w:rFonts w:ascii="Verdana" w:eastAsia="Times New Roman" w:hAnsi="Verdana" w:cs="Arial"/>
                <w:color w:val="000000"/>
                <w:bdr w:val="none" w:sz="0" w:space="0" w:color="auto" w:frame="1"/>
                <w:shd w:val="clear" w:color="auto" w:fill="FFFFFF"/>
                <w:lang w:eastAsia="es-ES_tradnl"/>
              </w:rPr>
              <w:t>si la liquidación bilateral no se realizó dentro del plazo establecido en el contrato, las partes, en ejercicio de la autonomía de la voluntad y considerando que la liquidación bilateral constituye un negocio jurídico, podrán efectuarla en cualquier momento, siempre que se encuentren dentro del término de caducidad del medio de control de controversias contractuales y no se contraríe lo dispuesto en el Manual de Contratación de la entidad.</w:t>
            </w:r>
          </w:p>
          <w:p w14:paraId="5D242DC0" w14:textId="77777777" w:rsidR="002A38E9" w:rsidRPr="002A38E9" w:rsidRDefault="002A38E9" w:rsidP="002A38E9">
            <w:pPr>
              <w:tabs>
                <w:tab w:val="left" w:pos="709"/>
              </w:tabs>
              <w:spacing w:after="120" w:line="276" w:lineRule="auto"/>
              <w:jc w:val="both"/>
              <w:rPr>
                <w:rFonts w:ascii="Verdana" w:hAnsi="Verdana" w:cs="Arial"/>
                <w:color w:val="000000"/>
                <w:sz w:val="20"/>
                <w:szCs w:val="20"/>
                <w:lang w:val="es-ES_tradnl"/>
              </w:rPr>
            </w:pPr>
            <w:proofErr w:type="spellStart"/>
            <w:r w:rsidRPr="002A38E9">
              <w:rPr>
                <w:rFonts w:ascii="Verdana" w:eastAsia="Times New Roman" w:hAnsi="Verdana" w:cs="Arial"/>
                <w:lang w:val="es-ES"/>
              </w:rPr>
              <w:t>ii</w:t>
            </w:r>
            <w:proofErr w:type="spellEnd"/>
            <w:r w:rsidRPr="002A38E9">
              <w:rPr>
                <w:rFonts w:ascii="Verdana" w:eastAsia="Times New Roman" w:hAnsi="Verdana" w:cs="Arial"/>
                <w:lang w:val="es-ES"/>
              </w:rPr>
              <w:t xml:space="preserve">. </w:t>
            </w:r>
            <w:r w:rsidRPr="002A38E9">
              <w:rPr>
                <w:rFonts w:ascii="Verdana" w:eastAsia="Times New Roman" w:hAnsi="Verdana" w:cs="Arial"/>
                <w:color w:val="000000"/>
                <w:bdr w:val="none" w:sz="0" w:space="0" w:color="auto" w:frame="1"/>
                <w:shd w:val="clear" w:color="auto" w:fill="FFFFFF"/>
                <w:lang w:eastAsia="es-ES_tradnl"/>
              </w:rPr>
              <w:t xml:space="preserve">Por su parte, es pertinente señalar </w:t>
            </w:r>
            <w:proofErr w:type="gramStart"/>
            <w:r w:rsidRPr="002A38E9">
              <w:rPr>
                <w:rFonts w:ascii="Verdana" w:eastAsia="Times New Roman" w:hAnsi="Verdana" w:cs="Arial"/>
                <w:color w:val="000000"/>
                <w:bdr w:val="none" w:sz="0" w:space="0" w:color="auto" w:frame="1"/>
                <w:shd w:val="clear" w:color="auto" w:fill="FFFFFF"/>
                <w:lang w:eastAsia="es-ES_tradnl"/>
              </w:rPr>
              <w:t>que</w:t>
            </w:r>
            <w:proofErr w:type="gramEnd"/>
            <w:r w:rsidRPr="002A38E9">
              <w:rPr>
                <w:rFonts w:ascii="Verdana" w:eastAsia="Times New Roman" w:hAnsi="Verdana" w:cs="Arial"/>
                <w:color w:val="000000"/>
                <w:bdr w:val="none" w:sz="0" w:space="0" w:color="auto" w:frame="1"/>
                <w:shd w:val="clear" w:color="auto" w:fill="FFFFFF"/>
                <w:lang w:eastAsia="es-ES_tradnl"/>
              </w:rPr>
              <w:t xml:space="preserve"> aunque las </w:t>
            </w:r>
            <w:r w:rsidRPr="002A38E9">
              <w:rPr>
                <w:rFonts w:ascii="Verdana" w:eastAsia="Times New Roman" w:hAnsi="Verdana" w:cs="Arial"/>
                <w:i/>
                <w:iCs/>
                <w:color w:val="000000"/>
                <w:bdr w:val="none" w:sz="0" w:space="0" w:color="auto" w:frame="1"/>
                <w:shd w:val="clear" w:color="auto" w:fill="FFFFFF"/>
                <w:lang w:eastAsia="es-ES_tradnl"/>
              </w:rPr>
              <w:t>entidades de régimen exceptuado</w:t>
            </w:r>
            <w:r w:rsidRPr="002A38E9">
              <w:rPr>
                <w:rFonts w:ascii="Verdana" w:eastAsia="Times New Roman" w:hAnsi="Verdana" w:cs="Arial"/>
                <w:color w:val="000000"/>
                <w:bdr w:val="none" w:sz="0" w:space="0" w:color="auto" w:frame="1"/>
                <w:shd w:val="clear" w:color="auto" w:fill="FFFFFF"/>
                <w:lang w:eastAsia="es-ES_tradnl"/>
              </w:rPr>
              <w:t xml:space="preserve"> no están obligadas a aplicar el artículo 60 de la Ley 80 de 1993 ni </w:t>
            </w:r>
            <w:r w:rsidRPr="002A38E9">
              <w:rPr>
                <w:rFonts w:ascii="Verdana" w:hAnsi="Verdana" w:cs="Arial"/>
                <w:color w:val="000000"/>
                <w:lang w:val="es-ES_tradnl"/>
              </w:rPr>
              <w:t xml:space="preserve">el artículo 11 de la Ley 1150 de 2007, el término de caducidad del medio de control de controversias contractuales tiene carácter transversal y, por tanto, aplica a todas las entidades al margen de que estén o no sometidas al Estatuto General de Contratación de la Administración Pública. </w:t>
            </w:r>
          </w:p>
          <w:p w14:paraId="4FFC009B" w14:textId="77777777" w:rsidR="002A38E9" w:rsidRPr="002A38E9" w:rsidRDefault="002A38E9" w:rsidP="002A38E9">
            <w:pPr>
              <w:spacing w:after="120" w:line="276" w:lineRule="auto"/>
              <w:ind w:firstLine="709"/>
              <w:jc w:val="both"/>
              <w:rPr>
                <w:rFonts w:ascii="Verdana" w:eastAsia="Times New Roman" w:hAnsi="Verdana" w:cs="Arial"/>
                <w:color w:val="000000"/>
                <w:lang w:val="es-ES_tradnl"/>
              </w:rPr>
            </w:pPr>
            <w:r w:rsidRPr="002A38E9">
              <w:rPr>
                <w:rFonts w:ascii="Verdana" w:hAnsi="Verdana" w:cs="Arial"/>
                <w:color w:val="000000"/>
                <w:lang w:val="es-ES_tradnl"/>
              </w:rPr>
              <w:t xml:space="preserve">De esta manera, si en un </w:t>
            </w:r>
            <w:r w:rsidRPr="002A38E9">
              <w:rPr>
                <w:rFonts w:ascii="Verdana" w:hAnsi="Verdana" w:cs="Arial"/>
                <w:i/>
                <w:iCs/>
                <w:color w:val="000000"/>
                <w:lang w:val="es-ES_tradnl"/>
              </w:rPr>
              <w:t>contrato de régimen exceptuado</w:t>
            </w:r>
            <w:r w:rsidRPr="002A38E9">
              <w:rPr>
                <w:rFonts w:ascii="Verdana" w:hAnsi="Verdana" w:cs="Arial"/>
                <w:color w:val="000000"/>
                <w:lang w:val="es-ES_tradnl"/>
              </w:rPr>
              <w:t xml:space="preserve"> se pacta la liquidación de mutuo acuerdo, la caducidad se computará conforme al numeral </w:t>
            </w:r>
            <w:proofErr w:type="spellStart"/>
            <w:r w:rsidRPr="002A38E9">
              <w:rPr>
                <w:rFonts w:ascii="Verdana" w:hAnsi="Verdana" w:cs="Arial"/>
                <w:color w:val="000000"/>
                <w:lang w:val="es-ES_tradnl"/>
              </w:rPr>
              <w:t>iii</w:t>
            </w:r>
            <w:proofErr w:type="spellEnd"/>
            <w:r w:rsidRPr="002A38E9">
              <w:rPr>
                <w:rFonts w:ascii="Verdana" w:hAnsi="Verdana" w:cs="Arial"/>
                <w:color w:val="000000"/>
                <w:lang w:val="es-ES_tradnl"/>
              </w:rPr>
              <w:t>) d</w:t>
            </w:r>
            <w:r w:rsidRPr="002A38E9">
              <w:rPr>
                <w:rFonts w:ascii="Verdana" w:eastAsia="Times New Roman" w:hAnsi="Verdana" w:cs="Arial"/>
                <w:color w:val="000000"/>
                <w:bdr w:val="none" w:sz="0" w:space="0" w:color="auto" w:frame="1"/>
                <w:shd w:val="clear" w:color="auto" w:fill="FFFFFF"/>
                <w:lang w:eastAsia="es-ES_tradnl"/>
              </w:rPr>
              <w:t xml:space="preserve">el literal j) del artículo 164.2 del Código de Procedimiento Administrativo </w:t>
            </w:r>
            <w:r w:rsidRPr="002A38E9">
              <w:rPr>
                <w:rFonts w:ascii="Verdana" w:eastAsia="Times New Roman" w:hAnsi="Verdana" w:cs="Arial"/>
                <w:color w:val="000000"/>
                <w:bdr w:val="none" w:sz="0" w:space="0" w:color="auto" w:frame="1"/>
                <w:shd w:val="clear" w:color="auto" w:fill="FFFFFF"/>
                <w:lang w:eastAsia="es-ES_tradnl"/>
              </w:rPr>
              <w:lastRenderedPageBreak/>
              <w:t>y Contencioso Administrativo. Dado que la oportunidad para demandar corresponde a un aspecto procesal del derecho de acción, es independiente de que el régimen sustantivo de la liquidación derive o no del EGCAP.</w:t>
            </w:r>
            <w:r w:rsidRPr="002A38E9">
              <w:rPr>
                <w:rFonts w:ascii="Verdana" w:hAnsi="Verdana" w:cs="Arial"/>
                <w:color w:val="000000"/>
                <w:lang w:val="es-ES_tradnl"/>
              </w:rPr>
              <w:t xml:space="preserve"> Así, </w:t>
            </w:r>
            <w:r w:rsidRPr="002A38E9">
              <w:rPr>
                <w:rFonts w:ascii="Verdana" w:eastAsia="Times New Roman" w:hAnsi="Verdana" w:cs="Arial"/>
                <w:color w:val="000000"/>
                <w:bdr w:val="none" w:sz="0" w:space="0" w:color="auto" w:frame="1"/>
                <w:shd w:val="clear" w:color="auto" w:fill="FFFFFF"/>
                <w:lang w:val="es-ES" w:eastAsia="es-ES_tradnl"/>
              </w:rPr>
              <w:t>en caso controversia en relación con la liquidación del contrato deberá dirimirse ante la jurisdicción contenciosa administrativa, salvo los casos establecidos en la Ley.</w:t>
            </w:r>
            <w:r w:rsidRPr="002A38E9">
              <w:rPr>
                <w:rFonts w:ascii="Verdana" w:hAnsi="Verdana" w:cs="Arial"/>
                <w:color w:val="000000"/>
                <w:lang w:val="es-ES_tradnl"/>
              </w:rPr>
              <w:t xml:space="preserve">       </w:t>
            </w:r>
            <w:r w:rsidRPr="002A38E9">
              <w:rPr>
                <w:rFonts w:ascii="Verdana" w:eastAsia="Times New Roman" w:hAnsi="Verdana" w:cs="Arial"/>
                <w:color w:val="000000"/>
                <w:bdr w:val="none" w:sz="0" w:space="0" w:color="auto" w:frame="1"/>
                <w:shd w:val="clear" w:color="auto" w:fill="FFFFFF"/>
                <w:lang w:eastAsia="es-ES_tradnl"/>
              </w:rPr>
              <w:t xml:space="preserve"> </w:t>
            </w:r>
          </w:p>
        </w:tc>
      </w:tr>
    </w:tbl>
    <w:p w14:paraId="2C4978BC" w14:textId="77777777" w:rsidR="002A38E9" w:rsidRPr="002A38E9" w:rsidRDefault="002A38E9" w:rsidP="002A38E9">
      <w:pPr>
        <w:tabs>
          <w:tab w:val="left" w:pos="142"/>
          <w:tab w:val="left" w:pos="284"/>
        </w:tabs>
        <w:spacing w:after="0" w:line="276" w:lineRule="auto"/>
        <w:jc w:val="both"/>
        <w:rPr>
          <w:rFonts w:ascii="Verdana" w:eastAsia="Century Gothic" w:hAnsi="Verdana" w:cs="Century Gothic"/>
          <w:b/>
          <w:bCs/>
          <w:lang w:val="es-ES_tradnl"/>
        </w:rPr>
      </w:pPr>
    </w:p>
    <w:bookmarkEnd w:id="2"/>
    <w:p w14:paraId="19A9943F" w14:textId="77777777" w:rsidR="002A38E9" w:rsidRPr="002A38E9" w:rsidRDefault="002A38E9" w:rsidP="002A38E9">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2A38E9">
        <w:rPr>
          <w:rFonts w:ascii="Verdana" w:eastAsia="Century Gothic" w:hAnsi="Verdana" w:cs="Century Gothic"/>
          <w:b/>
          <w:bCs/>
          <w:lang w:val="es-ES_tradnl"/>
        </w:rPr>
        <w:t>Razones de la respuesta:</w:t>
      </w:r>
    </w:p>
    <w:p w14:paraId="19A90776" w14:textId="77777777" w:rsidR="002A38E9" w:rsidRPr="002A38E9" w:rsidRDefault="002A38E9" w:rsidP="002A38E9">
      <w:pPr>
        <w:spacing w:after="0" w:line="276" w:lineRule="auto"/>
        <w:jc w:val="both"/>
        <w:rPr>
          <w:rFonts w:ascii="Verdana" w:hAnsi="Verdana" w:cs="Arial"/>
          <w:color w:val="7030A0"/>
          <w:lang w:val="es-ES_tradnl"/>
        </w:rPr>
      </w:pPr>
    </w:p>
    <w:p w14:paraId="048FF3CA" w14:textId="77777777" w:rsidR="002A38E9" w:rsidRPr="002A38E9" w:rsidRDefault="002A38E9" w:rsidP="002A38E9">
      <w:pPr>
        <w:spacing w:after="0" w:line="276" w:lineRule="auto"/>
        <w:jc w:val="both"/>
        <w:rPr>
          <w:rFonts w:ascii="Verdana" w:hAnsi="Verdana" w:cs="Arial"/>
          <w:lang w:val="es-ES_tradnl"/>
        </w:rPr>
      </w:pPr>
      <w:r w:rsidRPr="002A38E9">
        <w:rPr>
          <w:rFonts w:ascii="Verdana" w:hAnsi="Verdana" w:cs="Arial"/>
          <w:lang w:val="es-ES_tradnl"/>
        </w:rPr>
        <w:t>Lo anterior se sustenta en las siguientes consideraciones:</w:t>
      </w:r>
    </w:p>
    <w:p w14:paraId="21884F85" w14:textId="77777777" w:rsidR="002A38E9" w:rsidRPr="002A38E9" w:rsidRDefault="002A38E9" w:rsidP="002A38E9">
      <w:pPr>
        <w:spacing w:after="0" w:line="276" w:lineRule="auto"/>
        <w:jc w:val="both"/>
        <w:rPr>
          <w:rFonts w:ascii="Verdana" w:hAnsi="Verdana" w:cs="Arial"/>
          <w:lang w:val="es-ES_tradnl"/>
        </w:rPr>
      </w:pPr>
    </w:p>
    <w:p w14:paraId="055F7192" w14:textId="77777777" w:rsidR="002A38E9" w:rsidRPr="002A38E9" w:rsidRDefault="002A38E9" w:rsidP="002A38E9">
      <w:pPr>
        <w:spacing w:after="120" w:line="276" w:lineRule="auto"/>
        <w:jc w:val="both"/>
        <w:rPr>
          <w:rFonts w:ascii="Verdana" w:hAnsi="Verdana" w:cs="Arial"/>
          <w:color w:val="000000" w:themeColor="text1"/>
        </w:rPr>
      </w:pPr>
      <w:r w:rsidRPr="002A38E9">
        <w:rPr>
          <w:rFonts w:ascii="Verdana" w:hAnsi="Verdana" w:cs="Arial"/>
          <w:color w:val="000000" w:themeColor="text1"/>
        </w:rPr>
        <w:t>i. 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39948FC2" w14:textId="77777777" w:rsidR="002A38E9" w:rsidRPr="002A38E9" w:rsidRDefault="002A38E9" w:rsidP="002A38E9">
      <w:pPr>
        <w:spacing w:after="0" w:line="276" w:lineRule="auto"/>
        <w:jc w:val="both"/>
        <w:rPr>
          <w:rFonts w:ascii="Verdana" w:hAnsi="Verdana" w:cs="Arial"/>
          <w:bCs/>
          <w:lang w:val="es-ES"/>
        </w:rPr>
      </w:pPr>
      <w:r w:rsidRPr="002A38E9">
        <w:rPr>
          <w:rFonts w:ascii="Verdana" w:hAnsi="Verdana" w:cs="Arial"/>
          <w:color w:val="000000" w:themeColor="text1"/>
        </w:rPr>
        <w:tab/>
      </w:r>
      <w:r w:rsidRPr="002A38E9">
        <w:rPr>
          <w:rFonts w:ascii="Verdana" w:hAnsi="Verdana" w:cs="Arial"/>
          <w:bCs/>
          <w:lang w:val="es-ES"/>
        </w:rPr>
        <w:t>La decisión hito-fundadora</w:t>
      </w:r>
      <w:r w:rsidRPr="002A38E9">
        <w:rPr>
          <w:rFonts w:ascii="Verdana" w:hAnsi="Verdana" w:cs="Arial"/>
          <w:bCs/>
          <w:vertAlign w:val="superscript"/>
          <w:lang w:val="es-ES"/>
        </w:rPr>
        <w:footnoteReference w:id="3"/>
      </w:r>
      <w:r w:rsidRPr="002A38E9">
        <w:rPr>
          <w:rFonts w:ascii="Verdana" w:hAnsi="Verdana" w:cs="Arial"/>
          <w:bCs/>
          <w:lang w:val="es-ES"/>
        </w:rPr>
        <w:t xml:space="preserve"> en este sentido, de acuerdo con lo señalado por la doctrina</w:t>
      </w:r>
      <w:r w:rsidRPr="002A38E9">
        <w:rPr>
          <w:rFonts w:ascii="Verdana" w:hAnsi="Verdana" w:cs="Arial"/>
          <w:bCs/>
          <w:vertAlign w:val="superscript"/>
          <w:lang w:val="es-ES"/>
        </w:rPr>
        <w:footnoteReference w:id="4"/>
      </w:r>
      <w:r w:rsidRPr="002A38E9">
        <w:rPr>
          <w:rFonts w:ascii="Verdana" w:hAnsi="Verdana" w:cs="Arial"/>
          <w:bCs/>
          <w:lang w:val="es-ES"/>
        </w:rPr>
        <w:t>, es un auto del 20 de agosto de 1998 del Consejo de Estado, donde se señaló</w:t>
      </w:r>
      <w:r w:rsidRPr="002A38E9">
        <w:rPr>
          <w:rFonts w:ascii="Verdana" w:hAnsi="Verdana" w:cs="Arial"/>
          <w:bCs/>
          <w:vertAlign w:val="superscript"/>
          <w:lang w:val="es-ES"/>
        </w:rPr>
        <w:footnoteReference w:id="5"/>
      </w:r>
      <w:r w:rsidRPr="002A38E9">
        <w:rPr>
          <w:rFonts w:ascii="Verdana" w:hAnsi="Verdana" w:cs="Arial"/>
          <w:bCs/>
          <w:lang w:val="es-ES"/>
        </w:rPr>
        <w:t>:</w:t>
      </w:r>
    </w:p>
    <w:p w14:paraId="135BD547" w14:textId="77777777" w:rsidR="002A38E9" w:rsidRPr="002A38E9" w:rsidRDefault="002A38E9" w:rsidP="002A38E9">
      <w:pPr>
        <w:spacing w:after="0" w:line="276" w:lineRule="auto"/>
        <w:jc w:val="both"/>
        <w:rPr>
          <w:rFonts w:ascii="Verdana" w:hAnsi="Verdana" w:cs="Arial"/>
          <w:bCs/>
          <w:lang w:val="es-ES"/>
        </w:rPr>
      </w:pPr>
    </w:p>
    <w:p w14:paraId="4511C96D" w14:textId="77777777" w:rsidR="002A38E9" w:rsidRPr="002A38E9" w:rsidRDefault="002A38E9" w:rsidP="002A38E9">
      <w:pPr>
        <w:spacing w:after="0"/>
        <w:ind w:left="709" w:right="709"/>
        <w:jc w:val="both"/>
        <w:rPr>
          <w:rFonts w:ascii="Verdana" w:hAnsi="Verdana" w:cs="Arial"/>
          <w:sz w:val="20"/>
          <w:szCs w:val="20"/>
          <w:lang w:val="es-ES"/>
        </w:rPr>
      </w:pPr>
      <w:r w:rsidRPr="002A38E9">
        <w:rPr>
          <w:rFonts w:ascii="Verdana" w:hAnsi="Verdana" w:cs="Arial"/>
          <w:sz w:val="20"/>
          <w:szCs w:val="20"/>
          <w:lang w:val="es-ES"/>
        </w:rPr>
        <w:t>“A juicio de la Sala es preciso reconocer que, en las diversas regulaciones normativas sobre contratación de la administración pública, es posible identificar dos grandes categorías de actos contractuales:</w:t>
      </w:r>
    </w:p>
    <w:p w14:paraId="5669431F" w14:textId="77777777" w:rsidR="002A38E9" w:rsidRPr="002A38E9" w:rsidRDefault="002A38E9" w:rsidP="002A38E9">
      <w:pPr>
        <w:spacing w:after="0"/>
        <w:ind w:left="709" w:right="709"/>
        <w:jc w:val="both"/>
        <w:rPr>
          <w:rFonts w:ascii="Verdana" w:hAnsi="Verdana" w:cs="Arial"/>
          <w:bCs/>
          <w:sz w:val="20"/>
          <w:szCs w:val="20"/>
          <w:lang w:val="es-ES_tradnl"/>
        </w:rPr>
      </w:pPr>
    </w:p>
    <w:p w14:paraId="1F40E504" w14:textId="77777777" w:rsidR="002A38E9" w:rsidRPr="002A38E9" w:rsidRDefault="002A38E9" w:rsidP="002A38E9">
      <w:pPr>
        <w:spacing w:after="0"/>
        <w:ind w:left="709" w:right="709"/>
        <w:jc w:val="both"/>
        <w:rPr>
          <w:rFonts w:ascii="Verdana" w:hAnsi="Verdana" w:cs="Arial"/>
          <w:sz w:val="20"/>
          <w:szCs w:val="20"/>
          <w:lang w:val="es-ES"/>
        </w:rPr>
      </w:pPr>
      <w:r w:rsidRPr="002A38E9">
        <w:rPr>
          <w:rFonts w:ascii="Verdana" w:hAnsi="Verdana" w:cs="Arial"/>
          <w:sz w:val="20"/>
          <w:szCs w:val="20"/>
          <w:lang w:val="es-ES"/>
        </w:rPr>
        <w:t xml:space="preserve">1ª Contratos estatales, propiamente dichos, que son aquellos que celebran las entidades públicas a que se refiere la ley 80 de 1993, y que por ende se regulan íntegramente por el régimen establecido en esta ley.  Por regla general, adquieren este carácter </w:t>
      </w:r>
      <w:proofErr w:type="gramStart"/>
      <w:r w:rsidRPr="002A38E9">
        <w:rPr>
          <w:rFonts w:ascii="Verdana" w:hAnsi="Verdana" w:cs="Arial"/>
          <w:sz w:val="20"/>
          <w:szCs w:val="20"/>
          <w:lang w:val="es-ES"/>
        </w:rPr>
        <w:t>en razón del</w:t>
      </w:r>
      <w:proofErr w:type="gramEnd"/>
      <w:r w:rsidRPr="002A38E9">
        <w:rPr>
          <w:rFonts w:ascii="Verdana" w:hAnsi="Verdana" w:cs="Arial"/>
          <w:sz w:val="20"/>
          <w:szCs w:val="20"/>
          <w:lang w:val="es-ES"/>
        </w:rPr>
        <w:t xml:space="preserve"> ente público contratante, es decir, se definen desde el punto de vista orgánico. Las controversias que </w:t>
      </w:r>
      <w:r w:rsidRPr="002A38E9">
        <w:rPr>
          <w:rFonts w:ascii="Verdana" w:hAnsi="Verdana" w:cs="Arial"/>
          <w:sz w:val="20"/>
          <w:szCs w:val="20"/>
          <w:lang w:val="es-ES"/>
        </w:rPr>
        <w:lastRenderedPageBreak/>
        <w:t>se deriven de este tipo de contratos y de los procesos de ejecución o cumplimiento serán de conocimiento de la jurisdicción contenciosa administrativa.</w:t>
      </w:r>
    </w:p>
    <w:p w14:paraId="179E7B62" w14:textId="77777777" w:rsidR="002A38E9" w:rsidRPr="002A38E9" w:rsidRDefault="002A38E9" w:rsidP="002A38E9">
      <w:pPr>
        <w:spacing w:after="0"/>
        <w:ind w:left="709" w:right="709"/>
        <w:jc w:val="both"/>
        <w:rPr>
          <w:rFonts w:ascii="Verdana" w:hAnsi="Verdana" w:cs="Arial"/>
          <w:bCs/>
          <w:sz w:val="20"/>
          <w:szCs w:val="20"/>
          <w:lang w:val="es-ES_tradnl"/>
        </w:rPr>
      </w:pPr>
    </w:p>
    <w:p w14:paraId="35F02988" w14:textId="77777777" w:rsidR="002A38E9" w:rsidRPr="002A38E9" w:rsidRDefault="002A38E9" w:rsidP="002A38E9">
      <w:pPr>
        <w:spacing w:after="0"/>
        <w:ind w:left="709" w:right="709"/>
        <w:jc w:val="both"/>
        <w:rPr>
          <w:rFonts w:ascii="Verdana" w:hAnsi="Verdana" w:cs="Arial"/>
          <w:sz w:val="20"/>
          <w:szCs w:val="20"/>
          <w:lang w:val="es-ES"/>
        </w:rPr>
      </w:pPr>
      <w:r w:rsidRPr="002A38E9">
        <w:rPr>
          <w:rFonts w:ascii="Verdana" w:hAnsi="Verdana" w:cs="Arial"/>
          <w:sz w:val="20"/>
          <w:szCs w:val="20"/>
          <w:lang w:val="es-ES"/>
        </w:rPr>
        <w:t xml:space="preserve">2ª Contratos especiales sujetos a un régimen legal propio. Por regla general, el juez a quien compete conocer de sus controversias es el juez administrativo, </w:t>
      </w:r>
      <w:proofErr w:type="gramStart"/>
      <w:r w:rsidRPr="002A38E9">
        <w:rPr>
          <w:rFonts w:ascii="Verdana" w:hAnsi="Verdana" w:cs="Arial"/>
          <w:sz w:val="20"/>
          <w:szCs w:val="20"/>
          <w:lang w:val="es-ES"/>
        </w:rPr>
        <w:t>en razón de</w:t>
      </w:r>
      <w:proofErr w:type="gramEnd"/>
      <w:r w:rsidRPr="002A38E9">
        <w:rPr>
          <w:rFonts w:ascii="Verdana" w:hAnsi="Verdana" w:cs="Arial"/>
          <w:sz w:val="20"/>
          <w:szCs w:val="20"/>
          <w:lang w:val="es-ES"/>
        </w:rPr>
        <w:t xml:space="preserve"> que su celebración y ejecución constituye una actividad reglada, es decir, es el ejercicio pleno de una función administrativa, de conformidad con el art. 82 del C.C.A. antes referido”.</w:t>
      </w:r>
    </w:p>
    <w:p w14:paraId="59761275" w14:textId="77777777" w:rsidR="002A38E9" w:rsidRPr="002A38E9" w:rsidRDefault="002A38E9" w:rsidP="002A38E9">
      <w:pPr>
        <w:spacing w:after="0"/>
        <w:ind w:left="709" w:right="709"/>
        <w:jc w:val="both"/>
        <w:rPr>
          <w:rFonts w:ascii="Verdana" w:hAnsi="Verdana" w:cs="Arial"/>
          <w:sz w:val="21"/>
          <w:szCs w:val="21"/>
          <w:lang w:val="es-ES"/>
        </w:rPr>
      </w:pPr>
    </w:p>
    <w:p w14:paraId="21AEFA5B" w14:textId="77777777" w:rsidR="002A38E9" w:rsidRPr="002A38E9" w:rsidRDefault="002A38E9" w:rsidP="002A38E9">
      <w:pPr>
        <w:spacing w:after="120" w:line="276" w:lineRule="auto"/>
        <w:ind w:firstLine="709"/>
        <w:jc w:val="both"/>
        <w:rPr>
          <w:rFonts w:ascii="Verdana" w:hAnsi="Verdana" w:cs="Arial"/>
          <w:bCs/>
          <w:lang w:val="es-ES"/>
        </w:rPr>
      </w:pPr>
      <w:r w:rsidRPr="002A38E9">
        <w:rPr>
          <w:rFonts w:ascii="Verdana" w:hAnsi="Verdana" w:cs="Arial"/>
          <w:bCs/>
          <w:lang w:val="es-ES"/>
        </w:rPr>
        <w:t>El Consejo de Estado identificó la existencia de un único tipo de contrato: el contrato estatal; pero dos grandes categorías que responden a su régimen jurídico: contrato estatal con un régimen jurídico de derecho público-administrativo y contrato estatal con un régimen jurídico especial, por regla general de derecho privado.</w:t>
      </w:r>
    </w:p>
    <w:p w14:paraId="50C74575" w14:textId="77777777" w:rsidR="002A38E9" w:rsidRPr="002A38E9" w:rsidRDefault="002A38E9" w:rsidP="002A38E9">
      <w:pPr>
        <w:spacing w:after="120" w:line="276" w:lineRule="auto"/>
        <w:ind w:firstLine="709"/>
        <w:jc w:val="both"/>
        <w:rPr>
          <w:rFonts w:ascii="Verdana" w:hAnsi="Verdana" w:cs="Arial"/>
          <w:bCs/>
          <w:lang w:val="es-ES"/>
        </w:rPr>
      </w:pPr>
      <w:r w:rsidRPr="002A38E9">
        <w:rPr>
          <w:rFonts w:ascii="Verdana" w:hAnsi="Verdana" w:cs="Arial"/>
          <w:bCs/>
          <w:lang w:val="es-ES"/>
        </w:rPr>
        <w:t xml:space="preserve">En este punto vale la pena resaltar que, en el ordenamiento jurídico colombiano, cuando se piensa en los regímenes especiales de contratación, se suele hacer referencia al régimen de determinadas entidades estatales. Tal sería el caso de las empresas de servicios públicos domiciliarios, de conformidad con el artículo 31 de la Ley 142 de 1994, de las entidades indicadas en el artículo 14 de la Ley 1150 de 2007, de las universidades estatales u oficiales, según el artículo 93 de la Ley 30 de 1993, etc. Esta afirmación, sin embargo, no pretende desconocer que dicho régimen especial se otorga justamente en consideración al especial tipo de actividades desplegadas por estas entidades. </w:t>
      </w:r>
    </w:p>
    <w:p w14:paraId="07C06F86" w14:textId="77777777" w:rsidR="002A38E9" w:rsidRPr="002A38E9" w:rsidRDefault="002A38E9" w:rsidP="002A38E9">
      <w:pPr>
        <w:spacing w:after="120" w:line="276" w:lineRule="auto"/>
        <w:ind w:firstLine="709"/>
        <w:jc w:val="both"/>
        <w:rPr>
          <w:rFonts w:ascii="Verdana" w:hAnsi="Verdana" w:cs="Arial"/>
          <w:bCs/>
          <w:lang w:val="es-ES"/>
        </w:rPr>
      </w:pPr>
      <w:r w:rsidRPr="002A38E9">
        <w:rPr>
          <w:rFonts w:ascii="Verdana" w:hAnsi="Verdana" w:cs="Arial"/>
          <w:bCs/>
          <w:lang w:val="es-ES"/>
        </w:rPr>
        <w:t>Ahora bien, los regímenes especiales de contratación en el ordenamiento colombiano no se dan exclusivamente en atención a cierto tipo de sujetos –empresas industriales y comerciales del Estado (EICE), sociedades de economía mixta (SEM), empresas de servicios públicos domiciliarios (ESP), empresas sociales del estado (ESE), etc.–, sino también para cierto tipo de objetos contractuales. Este es el caso del régimen jurídico establecido en el artículo 66 de la Ley 1523 de 2012</w:t>
      </w:r>
      <w:r w:rsidRPr="002A38E9">
        <w:rPr>
          <w:rFonts w:ascii="Verdana" w:hAnsi="Verdana" w:cs="Arial"/>
          <w:bCs/>
          <w:vertAlign w:val="superscript"/>
          <w:lang w:val="es-ES"/>
        </w:rPr>
        <w:footnoteReference w:id="6"/>
      </w:r>
      <w:r w:rsidRPr="002A38E9">
        <w:rPr>
          <w:rFonts w:ascii="Verdana" w:hAnsi="Verdana" w:cs="Arial"/>
          <w:bCs/>
          <w:lang w:val="es-ES"/>
        </w:rPr>
        <w:t xml:space="preserve">, que establece un régimen especial de derecho privado debido a la consideración que merece el objeto a contratar. </w:t>
      </w:r>
    </w:p>
    <w:p w14:paraId="7C832F3C" w14:textId="77777777" w:rsidR="002A38E9" w:rsidRPr="002A38E9" w:rsidRDefault="002A38E9" w:rsidP="002A38E9">
      <w:pPr>
        <w:spacing w:after="120" w:line="276" w:lineRule="auto"/>
        <w:ind w:firstLine="709"/>
        <w:jc w:val="both"/>
        <w:rPr>
          <w:rFonts w:ascii="Verdana" w:hAnsi="Verdana" w:cs="Arial"/>
          <w:bCs/>
          <w:lang w:val="es-ES"/>
        </w:rPr>
      </w:pPr>
      <w:r w:rsidRPr="002A38E9">
        <w:rPr>
          <w:rFonts w:ascii="Verdana" w:hAnsi="Verdana" w:cs="Arial"/>
          <w:bCs/>
          <w:lang w:val="es-ES"/>
        </w:rPr>
        <w:lastRenderedPageBreak/>
        <w:t xml:space="preserve">Con base en lo indicado, se podría hacer una clasificación general entre regímenes especiales que atienden principalmente al sujeto, y regímenes especiales que atienden principalmente al objeto. Esta clasificación conceptual tiene como efecto práctico resaltar que unos y otros son regímenes especiales. Así, por ejemplo, tanto el régimen jurídico de las empresas industriales y comerciales del Estado en competencia o mercados regulados, como el régimen del artículo 66 de la Ley 1523 de 2012, son regímenes especiales a la luz del derecho de la contratación estatal. Por lo mismo, tanto uno como otro régimen están sometidos, en principio, al derecho privado, pero con algunas particularidades propias del derecho público. </w:t>
      </w:r>
    </w:p>
    <w:p w14:paraId="4FB7FC8B" w14:textId="77777777" w:rsidR="002A38E9" w:rsidRPr="002A38E9" w:rsidRDefault="002A38E9" w:rsidP="002A38E9">
      <w:pPr>
        <w:spacing w:after="0" w:line="276" w:lineRule="auto"/>
        <w:ind w:firstLine="709"/>
        <w:jc w:val="both"/>
        <w:rPr>
          <w:rFonts w:ascii="Verdana" w:hAnsi="Verdana" w:cs="Arial"/>
          <w:bCs/>
          <w:lang w:val="es-ES"/>
        </w:rPr>
      </w:pPr>
      <w:r w:rsidRPr="002A38E9">
        <w:rPr>
          <w:rFonts w:ascii="Verdana" w:hAnsi="Verdana" w:cs="Arial"/>
          <w:bCs/>
          <w:lang w:val="es-ES"/>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 Estas “dosis” 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que preceptúa lo siguiente:</w:t>
      </w:r>
    </w:p>
    <w:p w14:paraId="60604220" w14:textId="77777777" w:rsidR="002A38E9" w:rsidRPr="002A38E9" w:rsidRDefault="002A38E9" w:rsidP="002A38E9">
      <w:pPr>
        <w:spacing w:after="0" w:line="276" w:lineRule="auto"/>
        <w:ind w:firstLine="709"/>
        <w:jc w:val="both"/>
        <w:rPr>
          <w:rFonts w:ascii="Verdana" w:hAnsi="Verdana" w:cs="Arial"/>
          <w:bCs/>
          <w:lang w:val="es-ES"/>
        </w:rPr>
      </w:pPr>
      <w:r w:rsidRPr="002A38E9">
        <w:rPr>
          <w:rFonts w:ascii="Verdana" w:hAnsi="Verdana" w:cs="Arial"/>
          <w:bCs/>
          <w:lang w:val="es-ES"/>
        </w:rPr>
        <w:t xml:space="preserve"> </w:t>
      </w:r>
    </w:p>
    <w:p w14:paraId="67D5B976" w14:textId="77777777" w:rsidR="002A38E9" w:rsidRPr="002A38E9" w:rsidRDefault="002A38E9" w:rsidP="002A38E9">
      <w:pPr>
        <w:spacing w:after="0" w:line="240" w:lineRule="auto"/>
        <w:ind w:left="709" w:right="709"/>
        <w:jc w:val="both"/>
        <w:rPr>
          <w:rFonts w:ascii="Verdana" w:hAnsi="Verdana" w:cs="Arial"/>
          <w:bCs/>
          <w:sz w:val="20"/>
          <w:szCs w:val="20"/>
          <w:lang w:val="es-ES"/>
        </w:rPr>
      </w:pPr>
      <w:r w:rsidRPr="002A38E9">
        <w:rPr>
          <w:rFonts w:ascii="Verdana" w:hAnsi="Verdana" w:cs="Arial"/>
          <w:bCs/>
          <w:sz w:val="20"/>
          <w:szCs w:val="20"/>
          <w:lang w:val="es-ES"/>
        </w:rPr>
        <w:t>“Artículo 13. Principios generales de la actividad contractual para entidades no sometidas al estatuto general de contratación de la administración pública.</w:t>
      </w:r>
      <w:r w:rsidRPr="002A38E9">
        <w:rPr>
          <w:rFonts w:ascii="Verdana" w:hAnsi="Verdana" w:cs="Arial"/>
          <w:b/>
          <w:sz w:val="20"/>
          <w:szCs w:val="20"/>
          <w:lang w:val="es-ES"/>
        </w:rPr>
        <w:t xml:space="preserve"> </w:t>
      </w:r>
      <w:r w:rsidRPr="002A38E9">
        <w:rPr>
          <w:rFonts w:ascii="Verdana" w:hAnsi="Verdana" w:cs="Arial"/>
          <w:bCs/>
          <w:sz w:val="20"/>
          <w:szCs w:val="20"/>
          <w:lang w:val="es-ES"/>
        </w:rPr>
        <w:t xml:space="preserve">Las entidades estatales que por disposición legal cuenten con un régimen contractual excepcional al del Estatuto General de Contratación de la Administración Pública, aplicarán en desarrollo de su actividad contractual, acorde con su régimen legal especial, los </w:t>
      </w:r>
      <w:r w:rsidRPr="002A38E9">
        <w:rPr>
          <w:rFonts w:ascii="Verdana" w:hAnsi="Verdana" w:cs="Arial"/>
          <w:bCs/>
          <w:color w:val="000000" w:themeColor="text1"/>
          <w:sz w:val="20"/>
          <w:szCs w:val="20"/>
          <w:lang w:val="es-ES"/>
        </w:rPr>
        <w:t>principios de la función administrativa y de la gestión fiscal de que tratan los artículos </w:t>
      </w:r>
      <w:hyperlink r:id="rId14" w:anchor="209" w:history="1">
        <w:r w:rsidRPr="002A38E9">
          <w:rPr>
            <w:rFonts w:ascii="Verdana" w:hAnsi="Verdana" w:cs="Arial"/>
            <w:bCs/>
            <w:color w:val="000000" w:themeColor="text1"/>
            <w:sz w:val="20"/>
            <w:szCs w:val="20"/>
            <w:lang w:val="es-ES"/>
          </w:rPr>
          <w:t>209</w:t>
        </w:r>
      </w:hyperlink>
      <w:r w:rsidRPr="002A38E9">
        <w:rPr>
          <w:rFonts w:ascii="Verdana" w:hAnsi="Verdana" w:cs="Arial"/>
          <w:bCs/>
          <w:color w:val="000000" w:themeColor="text1"/>
          <w:sz w:val="20"/>
          <w:szCs w:val="20"/>
          <w:lang w:val="es-ES"/>
        </w:rPr>
        <w:t> y </w:t>
      </w:r>
      <w:hyperlink r:id="rId15" w:anchor="267" w:history="1">
        <w:r w:rsidRPr="002A38E9">
          <w:rPr>
            <w:rFonts w:ascii="Verdana" w:hAnsi="Verdana" w:cs="Arial"/>
            <w:bCs/>
            <w:color w:val="000000" w:themeColor="text1"/>
            <w:sz w:val="20"/>
            <w:szCs w:val="20"/>
            <w:lang w:val="es-ES"/>
          </w:rPr>
          <w:t>267</w:t>
        </w:r>
      </w:hyperlink>
      <w:r w:rsidRPr="002A38E9">
        <w:rPr>
          <w:rFonts w:ascii="Verdana" w:hAnsi="Verdana" w:cs="Arial"/>
          <w:bCs/>
          <w:color w:val="000000" w:themeColor="text1"/>
          <w:sz w:val="20"/>
          <w:szCs w:val="20"/>
          <w:lang w:val="es-ES"/>
        </w:rPr>
        <w:t xml:space="preserve"> de la Constitución Política, respectivamente según sea el caso y estarán sometidas al régimen de inhabilidades e incompatibilidades previsto legalmente </w:t>
      </w:r>
      <w:r w:rsidRPr="002A38E9">
        <w:rPr>
          <w:rFonts w:ascii="Verdana" w:hAnsi="Verdana" w:cs="Arial"/>
          <w:bCs/>
          <w:sz w:val="20"/>
          <w:szCs w:val="20"/>
          <w:lang w:val="es-ES"/>
        </w:rPr>
        <w:t>para la contratación estatal”.</w:t>
      </w:r>
    </w:p>
    <w:p w14:paraId="0D38DD08" w14:textId="77777777" w:rsidR="002A38E9" w:rsidRPr="002A38E9" w:rsidRDefault="002A38E9" w:rsidP="002A38E9">
      <w:pPr>
        <w:spacing w:after="0"/>
        <w:ind w:left="708" w:right="758"/>
        <w:jc w:val="both"/>
        <w:rPr>
          <w:rFonts w:ascii="Verdana" w:hAnsi="Verdana" w:cs="Arial"/>
          <w:bCs/>
          <w:lang w:val="es-ES"/>
        </w:rPr>
      </w:pPr>
    </w:p>
    <w:p w14:paraId="5984245E" w14:textId="77777777" w:rsidR="002A38E9" w:rsidRPr="002A38E9" w:rsidRDefault="002A38E9" w:rsidP="002A38E9">
      <w:pPr>
        <w:spacing w:after="120" w:line="276" w:lineRule="auto"/>
        <w:jc w:val="both"/>
        <w:rPr>
          <w:rFonts w:ascii="Verdana" w:hAnsi="Verdana" w:cs="Arial"/>
          <w:bCs/>
          <w:lang w:val="es-ES"/>
        </w:rPr>
      </w:pPr>
      <w:r w:rsidRPr="002A38E9">
        <w:rPr>
          <w:rFonts w:ascii="Verdana" w:hAnsi="Verdana" w:cs="Arial"/>
          <w:bCs/>
          <w:lang w:val="es-ES"/>
        </w:rPr>
        <w:tab/>
        <w:t xml:space="preserve">De conformidad con lo establecido en este artículo, las entidades estatales que cuenten con un régimen contractual excepcional al del EGCAP, esto es, regímenes especiales, “aplicarán en desarrollo de su actividad contractual […] </w:t>
      </w:r>
      <w:r w:rsidRPr="002A38E9">
        <w:rPr>
          <w:rFonts w:ascii="Verdana" w:hAnsi="Verdana" w:cs="Arial"/>
          <w:bCs/>
          <w:lang w:val="es-ES"/>
        </w:rPr>
        <w:lastRenderedPageBreak/>
        <w:t xml:space="preserve">los principios de la función administrativa y de la gestión fiscal […] y estarán sometidas al régimen de inhabilidades e incompatibilidades previsto legalmente para la contratación estatal”. La interpretación más adecuada de esta disposición implica admitir que su ámbito de aplicación ampara los supuestos de las entidades que tienen, como regla general, un régimen especial de contratación. </w:t>
      </w:r>
    </w:p>
    <w:p w14:paraId="3D740749" w14:textId="77777777" w:rsidR="002A38E9" w:rsidRPr="002A38E9" w:rsidRDefault="002A38E9" w:rsidP="002A38E9">
      <w:pPr>
        <w:spacing w:after="120" w:line="276" w:lineRule="auto"/>
        <w:ind w:firstLine="709"/>
        <w:jc w:val="both"/>
        <w:rPr>
          <w:rFonts w:ascii="Verdana" w:hAnsi="Verdana" w:cs="Arial"/>
          <w:color w:val="000000" w:themeColor="text1"/>
        </w:rPr>
      </w:pPr>
      <w:r w:rsidRPr="002A38E9">
        <w:rPr>
          <w:rFonts w:ascii="Verdana" w:hAnsi="Verdana" w:cs="Arial"/>
          <w:color w:val="000000" w:themeColor="text1"/>
        </w:rPr>
        <w:t>Puede decirse que una de las reglas derivada de las normas de derecho público que irradian el régimen jurídico de las entidades exceptuadas del EGCAP,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27484CE5" w14:textId="77777777" w:rsidR="002A38E9" w:rsidRPr="002A38E9" w:rsidRDefault="002A38E9" w:rsidP="002A38E9">
      <w:pPr>
        <w:spacing w:after="120" w:line="276" w:lineRule="auto"/>
        <w:ind w:firstLine="709"/>
        <w:jc w:val="both"/>
        <w:rPr>
          <w:rFonts w:ascii="Verdana" w:hAnsi="Verdana" w:cs="Arial"/>
          <w:color w:val="000000" w:themeColor="text1"/>
          <w:lang w:val="es-ES"/>
        </w:rPr>
      </w:pPr>
      <w:r w:rsidRPr="002A38E9">
        <w:rPr>
          <w:rFonts w:ascii="Verdana" w:hAnsi="Verdana" w:cs="Arial"/>
          <w:color w:val="000000" w:themeColor="text1"/>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2A38E9">
        <w:rPr>
          <w:rFonts w:ascii="Verdana" w:hAnsi="Verdana" w:cs="Arial"/>
          <w:color w:val="000000" w:themeColor="text1"/>
          <w:vertAlign w:val="superscript"/>
          <w:lang w:val="es-ES"/>
        </w:rPr>
        <w:footnoteReference w:id="7"/>
      </w:r>
      <w:r w:rsidRPr="002A38E9">
        <w:rPr>
          <w:rFonts w:ascii="Verdana" w:hAnsi="Verdana" w:cs="Arial"/>
          <w:color w:val="000000" w:themeColor="text1"/>
          <w:lang w:val="es-ES"/>
        </w:rPr>
        <w:t>. Ahora bien, dicha libertad es similar a la reconocida a los particulares por el derecho privado, pero no es idéntica a aquella, en la medida en que encuentra importantes limitantes.</w:t>
      </w:r>
    </w:p>
    <w:p w14:paraId="1BBAAAB6" w14:textId="77777777" w:rsidR="002A38E9" w:rsidRPr="002A38E9" w:rsidRDefault="002A38E9" w:rsidP="002A38E9">
      <w:pPr>
        <w:spacing w:after="120" w:line="276" w:lineRule="auto"/>
        <w:ind w:firstLine="709"/>
        <w:jc w:val="both"/>
        <w:rPr>
          <w:rFonts w:ascii="Verdana" w:hAnsi="Verdana" w:cs="Arial"/>
          <w:color w:val="000000" w:themeColor="text1"/>
          <w:lang w:val="es-ES"/>
        </w:rPr>
      </w:pPr>
      <w:r w:rsidRPr="002A38E9">
        <w:rPr>
          <w:rFonts w:ascii="Verdana" w:hAnsi="Verdana" w:cs="Arial"/>
          <w:color w:val="000000" w:themeColor="text1"/>
          <w:lang w:val="es-ES"/>
        </w:rPr>
        <w:t xml:space="preserve">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w:t>
      </w:r>
      <w:r w:rsidRPr="002A38E9">
        <w:rPr>
          <w:rFonts w:ascii="Verdana" w:hAnsi="Verdana" w:cs="Arial"/>
          <w:color w:val="000000" w:themeColor="text1"/>
          <w:lang w:val="es-ES"/>
        </w:rPr>
        <w:lastRenderedPageBreak/>
        <w:t>de cada uno de ellos, al igual que las etapas que los componen, los cuales deben estar alineados con la garantía de los principios de la función administrativa</w:t>
      </w:r>
      <w:r w:rsidRPr="002A38E9">
        <w:rPr>
          <w:rFonts w:ascii="Verdana" w:hAnsi="Verdana" w:cs="Arial"/>
          <w:color w:val="000000" w:themeColor="text1"/>
          <w:vertAlign w:val="superscript"/>
          <w:lang w:val="es-ES"/>
        </w:rPr>
        <w:footnoteReference w:id="8"/>
      </w:r>
      <w:r w:rsidRPr="002A38E9">
        <w:rPr>
          <w:rFonts w:ascii="Verdana" w:hAnsi="Verdana" w:cs="Arial"/>
          <w:color w:val="000000" w:themeColor="text1"/>
          <w:lang w:val="es-ES"/>
        </w:rPr>
        <w:t xml:space="preserve">. </w:t>
      </w:r>
    </w:p>
    <w:p w14:paraId="6333C076" w14:textId="77777777" w:rsidR="002A38E9" w:rsidRPr="002A38E9" w:rsidRDefault="002A38E9" w:rsidP="002A38E9">
      <w:pPr>
        <w:spacing w:after="120" w:line="276" w:lineRule="auto"/>
        <w:ind w:firstLine="709"/>
        <w:jc w:val="both"/>
        <w:rPr>
          <w:rFonts w:ascii="Verdana" w:hAnsi="Verdana" w:cs="Arial"/>
          <w:color w:val="000000" w:themeColor="text1"/>
          <w:lang w:val="es-ES"/>
        </w:rPr>
      </w:pPr>
      <w:r w:rsidRPr="002A38E9">
        <w:rPr>
          <w:rFonts w:ascii="Verdana" w:hAnsi="Verdana" w:cs="Arial"/>
          <w:color w:val="000000" w:themeColor="text1"/>
          <w:lang w:val="es-ES"/>
        </w:rPr>
        <w:t xml:space="preserve">De esta forma, 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w:t>
      </w:r>
      <w:r w:rsidRPr="002A38E9">
        <w:rPr>
          <w:rFonts w:ascii="Verdana" w:hAnsi="Verdana" w:cs="Arial"/>
          <w:i/>
          <w:color w:val="000000" w:themeColor="text1"/>
          <w:lang w:val="es-ES"/>
        </w:rPr>
        <w:t>inderogabilidad singular del reglamento</w:t>
      </w:r>
      <w:r w:rsidRPr="002A38E9">
        <w:rPr>
          <w:rFonts w:ascii="Verdana" w:hAnsi="Verdana" w:cs="Arial"/>
          <w:i/>
          <w:color w:val="000000" w:themeColor="text1"/>
          <w:vertAlign w:val="superscript"/>
          <w:lang w:val="es-ES"/>
        </w:rPr>
        <w:footnoteReference w:id="9"/>
      </w:r>
      <w:r w:rsidRPr="002A38E9">
        <w:rPr>
          <w:rFonts w:ascii="Verdana" w:hAnsi="Verdana" w:cs="Arial"/>
          <w:color w:val="000000" w:themeColor="text1"/>
          <w:lang w:val="es-ES"/>
        </w:rPr>
        <w:t>. En tal sentido, su contenido vincula a la propia entidad que lo expidió y no puede desconocerlo a su capricho en casos específicos; sin perjuicio de la posibilidad de expedir un nuevo manual o de modificar el existente.</w:t>
      </w:r>
    </w:p>
    <w:p w14:paraId="536B5F7C" w14:textId="77777777" w:rsidR="002A38E9" w:rsidRPr="002A38E9" w:rsidRDefault="002A38E9" w:rsidP="002A38E9">
      <w:pPr>
        <w:spacing w:after="120" w:line="276" w:lineRule="auto"/>
        <w:ind w:firstLine="709"/>
        <w:jc w:val="both"/>
        <w:rPr>
          <w:rFonts w:ascii="Verdana" w:hAnsi="Verdana" w:cs="Arial"/>
          <w:color w:val="000000" w:themeColor="text1"/>
          <w:lang w:val="es-ES"/>
        </w:rPr>
      </w:pPr>
      <w:r w:rsidRPr="002A38E9">
        <w:rPr>
          <w:rFonts w:ascii="Verdana" w:hAnsi="Verdana" w:cs="Arial"/>
          <w:color w:val="000000" w:themeColor="text1"/>
          <w:lang w:val="es-ES"/>
        </w:rPr>
        <w:t>Así mismo,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593AF21C" w14:textId="77777777" w:rsidR="002A38E9" w:rsidRPr="002A38E9" w:rsidRDefault="002A38E9" w:rsidP="002A38E9">
      <w:pPr>
        <w:spacing w:after="120" w:line="276" w:lineRule="auto"/>
        <w:ind w:firstLine="709"/>
        <w:jc w:val="both"/>
        <w:rPr>
          <w:rFonts w:ascii="Verdana" w:hAnsi="Verdana" w:cs="Arial"/>
          <w:color w:val="000000" w:themeColor="text1"/>
          <w:lang w:val="es-ES"/>
        </w:rPr>
      </w:pPr>
      <w:r w:rsidRPr="002A38E9">
        <w:rPr>
          <w:rFonts w:ascii="Verdana" w:hAnsi="Verdana" w:cs="Arial"/>
          <w:color w:val="000000" w:themeColor="text1"/>
          <w:lang w:val="es-ES"/>
        </w:rPr>
        <w:t xml:space="preserve">Además,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w:t>
      </w:r>
      <w:r w:rsidRPr="002A38E9">
        <w:rPr>
          <w:rFonts w:ascii="Verdana" w:hAnsi="Verdana" w:cs="Arial"/>
          <w:color w:val="000000" w:themeColor="text1"/>
          <w:lang w:val="es-ES"/>
        </w:rPr>
        <w:lastRenderedPageBreak/>
        <w:t>aspectos con reserva de ley o con congelación en el rango de nivel legal, por lo que un acto administrativo no podría alterarlos</w:t>
      </w:r>
      <w:r w:rsidRPr="002A38E9">
        <w:rPr>
          <w:rFonts w:ascii="Verdana" w:hAnsi="Verdana" w:cs="Arial"/>
          <w:color w:val="000000" w:themeColor="text1"/>
          <w:vertAlign w:val="superscript"/>
          <w:lang w:val="es-ES_tradnl"/>
        </w:rPr>
        <w:footnoteReference w:id="10"/>
      </w:r>
      <w:r w:rsidRPr="002A38E9">
        <w:rPr>
          <w:rFonts w:ascii="Verdana" w:hAnsi="Verdana" w:cs="Arial"/>
          <w:color w:val="000000" w:themeColor="text1"/>
          <w:lang w:val="es-ES"/>
        </w:rPr>
        <w:t>.</w:t>
      </w:r>
    </w:p>
    <w:p w14:paraId="456702C0" w14:textId="77777777" w:rsidR="002A38E9" w:rsidRPr="002A38E9" w:rsidRDefault="002A38E9" w:rsidP="002A38E9">
      <w:pPr>
        <w:spacing w:after="120" w:line="276" w:lineRule="auto"/>
        <w:ind w:firstLine="709"/>
        <w:jc w:val="both"/>
        <w:rPr>
          <w:rFonts w:ascii="Verdana" w:hAnsi="Verdana" w:cs="Arial"/>
          <w:color w:val="000000" w:themeColor="text1"/>
        </w:rPr>
      </w:pPr>
      <w:r w:rsidRPr="002A38E9">
        <w:rPr>
          <w:rFonts w:ascii="Verdana" w:hAnsi="Verdana" w:cs="Arial"/>
          <w:color w:val="000000" w:themeColor="text1"/>
          <w:lang w:val="es-ES"/>
        </w:rPr>
        <w:t>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w:t>
      </w:r>
      <w:r w:rsidRPr="002A38E9">
        <w:rPr>
          <w:rFonts w:ascii="Verdana" w:hAnsi="Verdana" w:cs="Arial"/>
          <w:color w:val="000000" w:themeColor="text1"/>
        </w:rPr>
        <w:t xml:space="preserve">. </w:t>
      </w:r>
    </w:p>
    <w:p w14:paraId="1BE14CC7" w14:textId="77777777" w:rsidR="002A38E9" w:rsidRPr="002A38E9" w:rsidRDefault="002A38E9" w:rsidP="002A38E9">
      <w:pPr>
        <w:spacing w:after="0" w:line="276" w:lineRule="auto"/>
        <w:jc w:val="both"/>
        <w:rPr>
          <w:rFonts w:ascii="Verdana" w:eastAsia="Times New Roman" w:hAnsi="Verdana" w:cs="Arial"/>
          <w:color w:val="000000"/>
          <w:lang w:val="es-ES"/>
        </w:rPr>
      </w:pPr>
      <w:proofErr w:type="spellStart"/>
      <w:r w:rsidRPr="002A38E9">
        <w:rPr>
          <w:rFonts w:ascii="Verdana" w:hAnsi="Verdana" w:cs="Arial"/>
          <w:color w:val="000000" w:themeColor="text1"/>
        </w:rPr>
        <w:t>ii</w:t>
      </w:r>
      <w:proofErr w:type="spellEnd"/>
      <w:r w:rsidRPr="002A38E9">
        <w:rPr>
          <w:rFonts w:ascii="Verdana" w:hAnsi="Verdana" w:cs="Arial"/>
          <w:color w:val="000000" w:themeColor="text1"/>
        </w:rPr>
        <w:t xml:space="preserve">. </w:t>
      </w:r>
      <w:r w:rsidRPr="002A38E9">
        <w:rPr>
          <w:rFonts w:ascii="Verdana" w:eastAsia="Times New Roman" w:hAnsi="Verdana" w:cs="Arial"/>
          <w:color w:val="000000"/>
          <w:lang w:val="es-ES"/>
        </w:rP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2A38E9">
        <w:rPr>
          <w:rFonts w:ascii="Verdana" w:eastAsia="Times New Roman" w:hAnsi="Verdana" w:cs="Arial"/>
          <w:color w:val="000000"/>
          <w:vertAlign w:val="superscript"/>
          <w:lang w:val="es-ES"/>
        </w:rPr>
        <w:footnoteReference w:id="11"/>
      </w:r>
      <w:r w:rsidRPr="002A38E9">
        <w:rPr>
          <w:rFonts w:ascii="Verdana" w:eastAsia="Times New Roman" w:hAnsi="Verdana" w:cs="Arial"/>
          <w:color w:val="000000"/>
          <w:lang w:val="es-ES"/>
        </w:rPr>
        <w:t>. En armonía con lo anterior, la doctrina ha definido la liquidación de la siguiente manera:</w:t>
      </w:r>
    </w:p>
    <w:p w14:paraId="2D4B3DA5" w14:textId="77777777" w:rsidR="002A38E9" w:rsidRPr="002A38E9" w:rsidRDefault="002A38E9" w:rsidP="002A38E9">
      <w:pPr>
        <w:spacing w:after="0" w:line="276" w:lineRule="auto"/>
        <w:jc w:val="both"/>
        <w:rPr>
          <w:rFonts w:ascii="Verdana" w:eastAsia="Times New Roman" w:hAnsi="Verdana" w:cs="Arial"/>
          <w:color w:val="000000"/>
          <w:lang w:val="es-ES_tradnl"/>
        </w:rPr>
      </w:pPr>
    </w:p>
    <w:p w14:paraId="3A88A421" w14:textId="77777777" w:rsidR="002A38E9" w:rsidRPr="002A38E9" w:rsidRDefault="002A38E9" w:rsidP="002A38E9">
      <w:pPr>
        <w:spacing w:after="0" w:line="240" w:lineRule="auto"/>
        <w:ind w:left="709" w:right="758"/>
        <w:jc w:val="both"/>
        <w:rPr>
          <w:rFonts w:ascii="Verdana" w:eastAsia="Times New Roman" w:hAnsi="Verdana" w:cs="Arial"/>
          <w:sz w:val="20"/>
          <w:szCs w:val="20"/>
          <w:lang w:val="es-MX"/>
        </w:rPr>
      </w:pPr>
      <w:r w:rsidRPr="002A38E9">
        <w:rPr>
          <w:rFonts w:ascii="Verdana" w:eastAsia="Times New Roman" w:hAnsi="Verdana" w:cs="Arial"/>
          <w:i/>
          <w:iCs/>
          <w:color w:val="000000"/>
          <w:sz w:val="20"/>
          <w:szCs w:val="20"/>
          <w:lang w:val="es-ES_tradnl"/>
        </w:rPr>
        <w:t>“</w:t>
      </w:r>
      <w:r w:rsidRPr="002A38E9">
        <w:rPr>
          <w:rFonts w:ascii="Verdana" w:eastAsia="Times New Roman"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w:t>
      </w:r>
      <w:r w:rsidRPr="002A38E9">
        <w:rPr>
          <w:rFonts w:ascii="Verdana" w:eastAsia="Times New Roman" w:hAnsi="Verdana" w:cs="Arial"/>
          <w:sz w:val="20"/>
          <w:szCs w:val="20"/>
          <w:lang w:val="es-MX"/>
        </w:rPr>
        <w:lastRenderedPageBreak/>
        <w:t xml:space="preserve">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2A38E9">
        <w:rPr>
          <w:rFonts w:ascii="Verdana" w:eastAsia="Times New Roman" w:hAnsi="Verdana" w:cs="Arial"/>
          <w:sz w:val="20"/>
          <w:szCs w:val="20"/>
          <w:lang w:val="es-MX"/>
        </w:rPr>
        <w:t>ii</w:t>
      </w:r>
      <w:proofErr w:type="spellEnd"/>
      <w:r w:rsidRPr="002A38E9">
        <w:rPr>
          <w:rFonts w:ascii="Verdana" w:eastAsia="Times New Roman"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2A38E9">
        <w:rPr>
          <w:rFonts w:ascii="Verdana" w:eastAsia="Times New Roman" w:hAnsi="Verdana" w:cs="Arial"/>
          <w:sz w:val="20"/>
          <w:szCs w:val="20"/>
          <w:vertAlign w:val="superscript"/>
          <w:lang w:val="es-MX"/>
        </w:rPr>
        <w:footnoteReference w:id="12"/>
      </w:r>
      <w:r w:rsidRPr="002A38E9">
        <w:rPr>
          <w:rFonts w:ascii="Verdana" w:eastAsia="Times New Roman" w:hAnsi="Verdana" w:cs="Arial"/>
          <w:sz w:val="20"/>
          <w:szCs w:val="20"/>
          <w:lang w:val="es-MX"/>
        </w:rPr>
        <w:t>.</w:t>
      </w:r>
    </w:p>
    <w:p w14:paraId="270D60E1" w14:textId="77777777" w:rsidR="002A38E9" w:rsidRPr="002A38E9" w:rsidRDefault="002A38E9" w:rsidP="002A38E9">
      <w:pPr>
        <w:spacing w:after="0" w:line="276" w:lineRule="auto"/>
        <w:jc w:val="both"/>
        <w:rPr>
          <w:rFonts w:ascii="Verdana" w:eastAsia="Times New Roman" w:hAnsi="Verdana" w:cs="Arial"/>
          <w:color w:val="000000"/>
          <w:lang w:val="es-ES_tradnl"/>
        </w:rPr>
      </w:pPr>
    </w:p>
    <w:p w14:paraId="474A57E0" w14:textId="77777777" w:rsidR="002A38E9" w:rsidRPr="002A38E9" w:rsidRDefault="002A38E9" w:rsidP="002A38E9">
      <w:pPr>
        <w:spacing w:after="120" w:line="276" w:lineRule="auto"/>
        <w:ind w:firstLine="709"/>
        <w:jc w:val="both"/>
        <w:rPr>
          <w:rFonts w:ascii="Verdana" w:eastAsia="Times New Roman" w:hAnsi="Verdana" w:cs="Arial"/>
          <w:color w:val="000000"/>
          <w:szCs w:val="24"/>
          <w:lang w:val="es-ES_tradnl" w:eastAsia="es-ES_tradnl"/>
        </w:rPr>
      </w:pPr>
      <w:r w:rsidRPr="002A38E9">
        <w:rPr>
          <w:rFonts w:ascii="Verdana" w:eastAsia="Times New Roman" w:hAnsi="Verdana" w:cs="Arial"/>
          <w:color w:val="000000"/>
          <w:szCs w:val="24"/>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2A38E9">
        <w:rPr>
          <w:rFonts w:ascii="Verdana" w:eastAsia="Times New Roman" w:hAnsi="Verdana" w:cs="Arial"/>
          <w:i/>
          <w:iCs/>
          <w:color w:val="000000"/>
          <w:szCs w:val="24"/>
          <w:lang w:val="es-ES_tradnl" w:eastAsia="es-ES_tradnl"/>
        </w:rPr>
        <w:t>liquidar</w:t>
      </w:r>
      <w:r w:rsidRPr="002A38E9">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2A38E9">
        <w:rPr>
          <w:rFonts w:ascii="Verdana" w:eastAsia="Times New Roman" w:hAnsi="Verdana" w:cs="Arial"/>
          <w:i/>
          <w:iCs/>
          <w:color w:val="000000"/>
          <w:szCs w:val="24"/>
          <w:lang w:val="es-ES_tradnl" w:eastAsia="es-ES_tradnl"/>
        </w:rPr>
        <w:t>liquidación</w:t>
      </w:r>
      <w:r w:rsidRPr="002A38E9">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2A38E9">
        <w:rPr>
          <w:rFonts w:ascii="Verdana" w:eastAsia="Times New Roman" w:hAnsi="Verdana" w:cs="Arial"/>
          <w:color w:val="000000"/>
          <w:szCs w:val="24"/>
          <w:vertAlign w:val="superscript"/>
          <w:lang w:val="es-ES_tradnl" w:eastAsia="es-ES_tradnl"/>
        </w:rPr>
        <w:footnoteReference w:id="13"/>
      </w:r>
      <w:r w:rsidRPr="002A38E9">
        <w:rPr>
          <w:rFonts w:ascii="Verdana" w:eastAsia="Times New Roman" w:hAnsi="Verdana" w:cs="Arial"/>
          <w:color w:val="000000"/>
          <w:szCs w:val="24"/>
          <w:lang w:val="es-ES_tradnl" w:eastAsia="es-ES_tradnl"/>
        </w:rPr>
        <w:t xml:space="preserve">. </w:t>
      </w:r>
    </w:p>
    <w:p w14:paraId="0A1A18CD" w14:textId="77777777" w:rsidR="002A38E9" w:rsidRPr="002A38E9" w:rsidRDefault="002A38E9" w:rsidP="002A38E9">
      <w:pPr>
        <w:widowControl w:val="0"/>
        <w:autoSpaceDE w:val="0"/>
        <w:autoSpaceDN w:val="0"/>
        <w:spacing w:after="120" w:line="276" w:lineRule="auto"/>
        <w:ind w:right="108" w:firstLine="709"/>
        <w:jc w:val="both"/>
        <w:rPr>
          <w:rFonts w:ascii="Verdana" w:eastAsiaTheme="minorHAnsi" w:hAnsi="Verdana" w:cstheme="minorBidi"/>
          <w:sz w:val="16"/>
          <w:szCs w:val="16"/>
        </w:rPr>
      </w:pPr>
      <w:r w:rsidRPr="002A38E9">
        <w:rPr>
          <w:rFonts w:ascii="Verdana" w:eastAsia="Times New Roman" w:hAnsi="Verdana" w:cs="Arial"/>
          <w:color w:val="000000"/>
          <w:szCs w:val="24"/>
          <w:lang w:val="es-ES_tradnl" w:eastAsia="es-ES_tradnl"/>
        </w:rPr>
        <w:t xml:space="preserve">Ahora bien, la liquidación del contrato es una institución regulada en el Estatuto General de Contratación de la Administración Pública, pero no significa que no pueda estipularse por parte de las entidades de régimen especial, pues el principio de la autonomía de la voluntad posibilita que se pacte la liquidación de los contratos. En efecto, </w:t>
      </w:r>
      <w:r w:rsidRPr="002A38E9">
        <w:rPr>
          <w:rFonts w:ascii="Verdana" w:eastAsia="Arial" w:hAnsi="Verdana" w:cs="Arial"/>
          <w:lang w:val="es-MX" w:eastAsia="es-ES" w:bidi="es-ES"/>
        </w:rPr>
        <w:t>esta Agencia ha señalado que</w:t>
      </w:r>
      <w:r w:rsidRPr="002A38E9">
        <w:rPr>
          <w:rFonts w:ascii="Verdana" w:eastAsia="Arial" w:hAnsi="Verdana" w:cs="Arial"/>
          <w:lang w:val="es-ES" w:eastAsia="es-ES" w:bidi="es-ES"/>
        </w:rPr>
        <w:t xml:space="preserve"> la liquidación bilateral se trata de un negocio jurídico, en el que las partes del contrato estatal, en ejercicio de la autonomía de la voluntad, regulan la finalización de su relación y disponen de los intereses que emanan de ella</w:t>
      </w:r>
      <w:r w:rsidRPr="002A38E9">
        <w:rPr>
          <w:rFonts w:ascii="Verdana" w:eastAsia="Arial" w:hAnsi="Verdana" w:cs="Arial"/>
          <w:vertAlign w:val="superscript"/>
          <w:lang w:val="es-ES" w:eastAsia="es-ES" w:bidi="es-ES"/>
        </w:rPr>
        <w:footnoteReference w:id="14"/>
      </w:r>
      <w:r w:rsidRPr="002A38E9">
        <w:rPr>
          <w:rFonts w:ascii="Verdana" w:eastAsia="Arial" w:hAnsi="Verdana" w:cs="Arial"/>
          <w:lang w:val="es-ES" w:eastAsia="es-ES" w:bidi="es-ES"/>
        </w:rPr>
        <w:t>.</w:t>
      </w:r>
      <w:r w:rsidRPr="002A38E9">
        <w:rPr>
          <w:rFonts w:asciiTheme="minorHAnsi" w:eastAsiaTheme="minorHAnsi" w:hAnsiTheme="minorHAnsi" w:cstheme="minorBidi"/>
        </w:rPr>
        <w:t xml:space="preserve"> </w:t>
      </w:r>
      <w:r w:rsidRPr="002A38E9">
        <w:rPr>
          <w:rFonts w:ascii="Verdana" w:eastAsia="Arial" w:hAnsi="Verdana" w:cs="Arial"/>
          <w:lang w:eastAsia="es-ES" w:bidi="es-ES"/>
        </w:rPr>
        <w:t xml:space="preserve">Dicho acuerdo reviste un carácter negocial, en la medida en que implica manifestaciones recíprocas dirigidas a producir efectos jurídicos concretos frente a las prestaciones mutuas de la relación contractual. </w:t>
      </w:r>
    </w:p>
    <w:p w14:paraId="26361D95" w14:textId="77777777" w:rsidR="002A38E9" w:rsidRPr="002A38E9" w:rsidRDefault="002A38E9" w:rsidP="002A38E9">
      <w:pPr>
        <w:widowControl w:val="0"/>
        <w:autoSpaceDE w:val="0"/>
        <w:autoSpaceDN w:val="0"/>
        <w:spacing w:after="120" w:line="276" w:lineRule="auto"/>
        <w:ind w:right="108" w:firstLine="709"/>
        <w:jc w:val="both"/>
        <w:rPr>
          <w:rFonts w:ascii="Verdana" w:eastAsia="Arial" w:hAnsi="Verdana" w:cs="Arial"/>
          <w:lang w:val="es-ES" w:eastAsia="es-ES" w:bidi="es-ES"/>
        </w:rPr>
      </w:pPr>
      <w:r w:rsidRPr="002A38E9">
        <w:rPr>
          <w:rFonts w:ascii="Verdana" w:eastAsia="Arial" w:hAnsi="Verdana" w:cs="Arial"/>
          <w:lang w:eastAsia="es-ES" w:bidi="es-ES"/>
        </w:rPr>
        <w:t xml:space="preserve">Sobre el particular, el Consejo de Estado ha manifestado de manera reiterada que “Cuando dicha liquidación se lleva a cabo de manera bilateral, </w:t>
      </w:r>
      <w:r w:rsidRPr="002A38E9">
        <w:rPr>
          <w:rFonts w:ascii="Verdana" w:eastAsia="Arial" w:hAnsi="Verdana" w:cs="Arial"/>
          <w:lang w:eastAsia="es-ES" w:bidi="es-ES"/>
        </w:rPr>
        <w:lastRenderedPageBreak/>
        <w:t xml:space="preserve">configura </w:t>
      </w:r>
      <w:r w:rsidRPr="002A38E9">
        <w:rPr>
          <w:rFonts w:ascii="Verdana" w:eastAsia="Arial" w:hAnsi="Verdana" w:cs="Arial"/>
          <w:i/>
          <w:iCs/>
          <w:lang w:eastAsia="es-ES" w:bidi="es-ES"/>
        </w:rPr>
        <w:t>un negocio jurídico</w:t>
      </w:r>
      <w:r w:rsidRPr="002A38E9">
        <w:rPr>
          <w:rFonts w:ascii="Verdana" w:eastAsia="Arial" w:hAnsi="Verdana" w:cs="Arial"/>
          <w:lang w:eastAsia="es-ES" w:bidi="es-ES"/>
        </w:rPr>
        <w:t xml:space="preserve"> que surge de la manifestación de voluntad de las partes, quienes al suscribir la respectiva acta consienten en que ese corte de cuentas corresponde a la realidad de la ejecución contractual y, por ello, se pueden declarar a paz y salvo una vez satisfechas las obligaciones que se deriven directamente de ese trabajo conjunto de liquidación</w:t>
      </w:r>
      <w:r w:rsidRPr="002A38E9">
        <w:rPr>
          <w:rFonts w:ascii="Verdana" w:eastAsia="Arial" w:hAnsi="Verdana" w:cs="Arial"/>
          <w:vertAlign w:val="superscript"/>
          <w:lang w:eastAsia="es-ES" w:bidi="es-ES"/>
        </w:rPr>
        <w:footnoteReference w:id="15"/>
      </w:r>
      <w:r w:rsidRPr="002A38E9">
        <w:rPr>
          <w:rFonts w:ascii="Verdana" w:eastAsia="Arial" w:hAnsi="Verdana" w:cs="Arial"/>
          <w:lang w:eastAsia="es-ES" w:bidi="es-ES"/>
        </w:rPr>
        <w:t xml:space="preserve">”. </w:t>
      </w:r>
      <w:r w:rsidRPr="002A38E9">
        <w:rPr>
          <w:rFonts w:ascii="Verdana" w:eastAsia="Arial" w:hAnsi="Verdana" w:cs="Arial"/>
          <w:lang w:val="es-ES" w:eastAsia="es-ES" w:bidi="es-ES"/>
        </w:rPr>
        <w:t xml:space="preserve"> </w:t>
      </w:r>
    </w:p>
    <w:p w14:paraId="05199DF2" w14:textId="77777777" w:rsidR="002A38E9" w:rsidRPr="002A38E9" w:rsidRDefault="002A38E9" w:rsidP="002A38E9">
      <w:pPr>
        <w:widowControl w:val="0"/>
        <w:autoSpaceDE w:val="0"/>
        <w:autoSpaceDN w:val="0"/>
        <w:spacing w:after="120" w:line="276" w:lineRule="auto"/>
        <w:ind w:right="108" w:firstLine="709"/>
        <w:jc w:val="both"/>
        <w:rPr>
          <w:rFonts w:ascii="Verdana" w:eastAsiaTheme="minorHAnsi" w:hAnsi="Verdana" w:cstheme="minorBidi"/>
          <w:sz w:val="16"/>
          <w:szCs w:val="16"/>
        </w:rPr>
      </w:pPr>
      <w:r w:rsidRPr="002A38E9">
        <w:rPr>
          <w:rFonts w:ascii="Verdana" w:eastAsia="Arial" w:hAnsi="Verdana" w:cs="Arial"/>
          <w:lang w:val="es-ES" w:eastAsia="es-ES" w:bidi="es-ES"/>
        </w:rPr>
        <w:t>Aunado a lo anterior, la liquidación bilateral tiene efectos de título ejecutivo, transaccionales, puesto que las declaraciones y expresiones incorporadas en la correspondiente acta son reconocidas y protegidas por el ordenamiento jurídico, siempre y cuando no sean contrarias a la Constitución Política, la ley, el orden público, la moral y las buenas costumbres, y los principios y finalidades del Estatuto General de la Contratación de la Administración Pública y de la buena administración.</w:t>
      </w:r>
      <w:r w:rsidRPr="002A38E9">
        <w:rPr>
          <w:rFonts w:ascii="Verdana" w:eastAsia="Times New Roman" w:hAnsi="Verdana" w:cs="Arial"/>
          <w:color w:val="000000"/>
          <w:bdr w:val="none" w:sz="0" w:space="0" w:color="auto" w:frame="1"/>
          <w:shd w:val="clear" w:color="auto" w:fill="FFFFFF"/>
          <w:lang w:val="es-ES" w:eastAsia="es-ES_tradnl"/>
        </w:rPr>
        <w:t xml:space="preserve"> </w:t>
      </w:r>
      <w:r w:rsidRPr="002A38E9">
        <w:rPr>
          <w:rFonts w:ascii="Verdana" w:eastAsia="Arial" w:hAnsi="Verdana" w:cs="Arial"/>
          <w:lang w:val="es-ES" w:eastAsia="es-ES" w:bidi="es-ES"/>
        </w:rPr>
        <w:t xml:space="preserve">En ese sentido, </w:t>
      </w:r>
      <w:bookmarkStart w:id="4" w:name="_Hlk82568853"/>
      <w:r w:rsidRPr="002A38E9">
        <w:rPr>
          <w:rFonts w:ascii="Verdana" w:eastAsia="Arial" w:hAnsi="Verdana" w:cs="Arial"/>
          <w:lang w:val="es-ES" w:eastAsia="es-ES" w:bidi="es-ES"/>
        </w:rPr>
        <w:t>la liquidación bilateral puede considerarse como una forma alternativa de resolver los conflictos o controversias que surjan a partir de la determinación de las prestaciones comunes a que las partes contractuales puedan o no tener derecho luego de haberse ejecutado el contrato, esto es, como una manera de evitar futuros litigios frente a los mismos asuntos</w:t>
      </w:r>
      <w:bookmarkEnd w:id="4"/>
      <w:r w:rsidRPr="002A38E9">
        <w:rPr>
          <w:rFonts w:ascii="Verdana" w:eastAsiaTheme="minorHAnsi" w:hAnsi="Verdana" w:cs="Arial"/>
          <w:color w:val="201F1E"/>
          <w:bdr w:val="none" w:sz="0" w:space="0" w:color="auto" w:frame="1"/>
          <w:vertAlign w:val="superscript"/>
          <w:lang w:val="es-ES" w:eastAsia="es-CO" w:bidi="es-ES"/>
        </w:rPr>
        <w:footnoteReference w:id="16"/>
      </w:r>
    </w:p>
    <w:p w14:paraId="42CD04F6" w14:textId="77777777" w:rsidR="002A38E9" w:rsidRPr="002A38E9" w:rsidRDefault="002A38E9" w:rsidP="002A38E9">
      <w:pPr>
        <w:tabs>
          <w:tab w:val="left" w:pos="709"/>
        </w:tabs>
        <w:spacing w:after="120" w:line="276" w:lineRule="auto"/>
        <w:ind w:firstLine="709"/>
        <w:jc w:val="both"/>
        <w:rPr>
          <w:rFonts w:ascii="Verdana" w:eastAsia="Times New Roman" w:hAnsi="Verdana" w:cs="Arial"/>
          <w:color w:val="000000"/>
          <w:lang w:val="es-ES_tradnl"/>
        </w:rPr>
      </w:pPr>
      <w:r w:rsidRPr="002A38E9">
        <w:rPr>
          <w:rFonts w:ascii="Verdana" w:eastAsia="Times New Roman" w:hAnsi="Verdana" w:cs="Arial"/>
          <w:color w:val="000000"/>
          <w:lang w:val="es-ES_tradnl"/>
        </w:rPr>
        <w:t>Así pues, las entidades de régimen especial pueden estipular la liquidación bilateral, donde el contratista puede solicitar que se adelante su trámite. Sin embargo, es responsabilidad de la entidad estatal convocarlo para adelantar la liquidación de común acuerdo o notificarlo para que se presente a realizarla</w:t>
      </w:r>
      <w:r w:rsidRPr="002A38E9">
        <w:rPr>
          <w:rFonts w:ascii="Verdana" w:eastAsia="Times New Roman" w:hAnsi="Verdana" w:cs="Arial"/>
          <w:color w:val="000000"/>
          <w:vertAlign w:val="superscript"/>
          <w:lang w:val="es-ES_tradnl"/>
        </w:rPr>
        <w:footnoteReference w:id="17"/>
      </w:r>
      <w:r w:rsidRPr="002A38E9">
        <w:rPr>
          <w:rFonts w:ascii="Verdana" w:eastAsia="Times New Roman" w:hAnsi="Verdana" w:cs="Arial"/>
          <w:color w:val="000000"/>
          <w:lang w:val="es-ES_tradnl"/>
        </w:rPr>
        <w:t xml:space="preserve">, de manera que el contrato pueda liquidarse bilateralmente, bien sea en el plazo previsto acordado por las partes, o el supletivo en el manual, según corresponda. </w:t>
      </w:r>
      <w:r w:rsidRPr="002A38E9">
        <w:rPr>
          <w:rFonts w:ascii="Verdana" w:eastAsia="Times New Roman" w:hAnsi="Verdana" w:cs="Arial"/>
          <w:color w:val="000000"/>
          <w:lang w:val="es-ES_tradnl"/>
        </w:rPr>
        <w:lastRenderedPageBreak/>
        <w:t>Esta liquidación bilateral puede ser total o parcial</w:t>
      </w:r>
      <w:r w:rsidRPr="002A38E9">
        <w:rPr>
          <w:rFonts w:ascii="Verdana" w:eastAsia="Times New Roman" w:hAnsi="Verdana" w:cs="Arial"/>
          <w:iCs/>
          <w:color w:val="000000"/>
          <w:vertAlign w:val="superscript"/>
          <w:lang w:val="es-ES_tradnl"/>
        </w:rPr>
        <w:footnoteReference w:id="18"/>
      </w:r>
      <w:r w:rsidRPr="002A38E9">
        <w:rPr>
          <w:rFonts w:ascii="Verdana" w:eastAsia="Times New Roman" w:hAnsi="Verdana" w:cs="Arial"/>
          <w:color w:val="000000"/>
          <w:lang w:val="es-ES_tradnl"/>
        </w:rPr>
        <w:t xml:space="preserve">, y </w:t>
      </w:r>
      <w:r w:rsidRPr="002A38E9">
        <w:rPr>
          <w:rFonts w:ascii="Verdana" w:eastAsia="Times New Roman" w:hAnsi="Verdana" w:cs="Arial"/>
          <w:iCs/>
          <w:color w:val="000000"/>
          <w:lang w:val="es-ES_tradnl"/>
        </w:rPr>
        <w:t>el documento que la contiene presta mérito ejecutivo, siempre que se satisfagan los elementos para considerarlo como tal</w:t>
      </w:r>
      <w:r w:rsidRPr="002A38E9">
        <w:rPr>
          <w:rFonts w:ascii="Verdana" w:eastAsia="Times New Roman" w:hAnsi="Verdana" w:cs="Arial"/>
          <w:color w:val="000000"/>
          <w:lang w:val="es-ES_tradnl"/>
        </w:rPr>
        <w:t>.</w:t>
      </w:r>
    </w:p>
    <w:p w14:paraId="4E44261C" w14:textId="77777777" w:rsidR="002A38E9" w:rsidRPr="002A38E9" w:rsidRDefault="002A38E9" w:rsidP="002A38E9">
      <w:pPr>
        <w:spacing w:after="120" w:line="276" w:lineRule="auto"/>
        <w:ind w:firstLine="708"/>
        <w:jc w:val="both"/>
        <w:rPr>
          <w:rFonts w:ascii="Verdana" w:eastAsia="Times New Roman" w:hAnsi="Verdana" w:cs="Arial"/>
          <w:lang w:val="es-ES"/>
        </w:rPr>
      </w:pPr>
      <w:r w:rsidRPr="002A38E9">
        <w:rPr>
          <w:rFonts w:ascii="Verdana" w:eastAsia="Times New Roman" w:hAnsi="Verdana" w:cs="Arial"/>
          <w:color w:val="000000"/>
          <w:sz w:val="21"/>
          <w:szCs w:val="21"/>
          <w:lang w:val="es-ES" w:eastAsia="es-ES_tradnl"/>
        </w:rPr>
        <w:t>En este contexto,</w:t>
      </w:r>
      <w:r w:rsidRPr="002A38E9">
        <w:rPr>
          <w:rFonts w:ascii="Verdana" w:eastAsia="Times New Roman" w:hAnsi="Verdana" w:cs="Arial"/>
          <w:color w:val="000000"/>
          <w:szCs w:val="24"/>
          <w:lang w:val="es-ES_tradnl" w:eastAsia="es-ES_tradnl"/>
        </w:rPr>
        <w:t xml:space="preserve"> </w:t>
      </w:r>
      <w:r w:rsidRPr="002A38E9">
        <w:rPr>
          <w:rFonts w:ascii="Verdana" w:eastAsia="Times New Roman" w:hAnsi="Verdana" w:cs="Arial"/>
          <w:color w:val="000000"/>
          <w:sz w:val="21"/>
          <w:szCs w:val="21"/>
          <w:lang w:val="es-ES" w:eastAsia="es-ES_tradnl"/>
        </w:rPr>
        <w:t xml:space="preserve">la liquidación </w:t>
      </w:r>
      <w:r w:rsidRPr="002A38E9">
        <w:rPr>
          <w:rFonts w:ascii="Verdana" w:eastAsia="Times New Roman" w:hAnsi="Verdana" w:cs="Arial"/>
          <w:szCs w:val="24"/>
          <w:lang w:val="es-ES_tradnl" w:eastAsia="es-ES_tradnl"/>
        </w:rPr>
        <w:t xml:space="preserve">bilateral deberá realizarse dentro del plazo previsto </w:t>
      </w:r>
      <w:r w:rsidRPr="002A38E9">
        <w:rPr>
          <w:rFonts w:ascii="Verdana" w:eastAsia="Times New Roman" w:hAnsi="Verdana" w:cs="Arial"/>
          <w:lang w:val="es-ES" w:eastAsia="es-ES"/>
        </w:rPr>
        <w:t xml:space="preserve">que “acuerden las partes”, el cual, en principio, debe estar recogido en el contrato, al ser este el acto jurídico bilateral en el que se consigna originalmente la voluntad de las partes. </w:t>
      </w:r>
      <w:r w:rsidRPr="002A38E9">
        <w:rPr>
          <w:rFonts w:ascii="Verdana" w:eastAsia="Times New Roman" w:hAnsi="Verdana" w:cs="Arial"/>
          <w:lang w:val="es-ES"/>
        </w:rPr>
        <w:t xml:space="preserve">Por lo tanto, las partes, en desarrollo de la autonomía de la voluntad que les asiste, están habilitadas para pactar el término, o en su defecto, acudir al plazo que se estableció en el Manual de Contratación de la Entidad. </w:t>
      </w:r>
    </w:p>
    <w:p w14:paraId="2776EAB9" w14:textId="77777777" w:rsidR="002A38E9" w:rsidRPr="002A38E9" w:rsidRDefault="002A38E9" w:rsidP="002A38E9">
      <w:pPr>
        <w:tabs>
          <w:tab w:val="left" w:pos="709"/>
        </w:tabs>
        <w:spacing w:after="0" w:line="276" w:lineRule="auto"/>
        <w:ind w:firstLine="567"/>
        <w:jc w:val="both"/>
        <w:rPr>
          <w:rFonts w:ascii="Verdana" w:hAnsi="Verdana" w:cs="Arial"/>
          <w:color w:val="000000"/>
          <w:lang w:val="es-ES_tradnl"/>
        </w:rPr>
      </w:pPr>
      <w:r w:rsidRPr="002A38E9">
        <w:rPr>
          <w:rFonts w:ascii="Verdana" w:eastAsia="Times New Roman" w:hAnsi="Verdana" w:cs="Arial"/>
          <w:color w:val="000000"/>
          <w:bdr w:val="none" w:sz="0" w:space="0" w:color="auto" w:frame="1"/>
          <w:shd w:val="clear" w:color="auto" w:fill="FFFFFF"/>
          <w:lang w:val="es-ES" w:eastAsia="es-ES_tradnl"/>
        </w:rPr>
        <w:t xml:space="preserve">En todo caso, </w:t>
      </w:r>
      <w:r w:rsidRPr="002A38E9">
        <w:rPr>
          <w:rFonts w:ascii="Verdana" w:eastAsia="Times New Roman" w:hAnsi="Verdana" w:cs="Arial"/>
          <w:color w:val="000000"/>
          <w:bdr w:val="none" w:sz="0" w:space="0" w:color="auto" w:frame="1"/>
          <w:shd w:val="clear" w:color="auto" w:fill="FFFFFF"/>
          <w:lang w:eastAsia="es-ES_tradnl"/>
        </w:rPr>
        <w:t>si la liquidación bilateral no se realizó dentro del plazo establecido en el contrato, las partes, en ejercicio de la autonomía de la voluntad y considerando que la liquidación bilateral constituye un negocio jurídico, podrán efectuarla en cualquier momento, siempre que se encuentren dentro del término de caducidad del medio de control de controversias contractuales y no se contraríe lo dispuesto en el Manual de Contratación de la entidad</w:t>
      </w:r>
      <w:r w:rsidRPr="002A38E9">
        <w:rPr>
          <w:rFonts w:ascii="Verdana" w:hAnsi="Verdana" w:cs="Arial"/>
          <w:color w:val="000000"/>
          <w:vertAlign w:val="superscript"/>
          <w:lang w:val="es-ES_tradnl"/>
        </w:rPr>
        <w:footnoteReference w:id="19"/>
      </w:r>
      <w:r w:rsidRPr="002A38E9">
        <w:rPr>
          <w:rFonts w:ascii="Verdana" w:eastAsia="Times New Roman" w:hAnsi="Verdana" w:cs="Arial"/>
          <w:color w:val="000000"/>
          <w:bdr w:val="none" w:sz="0" w:space="0" w:color="auto" w:frame="1"/>
          <w:shd w:val="clear" w:color="auto" w:fill="FFFFFF"/>
          <w:lang w:val="es-ES" w:eastAsia="es-ES_tradnl"/>
        </w:rPr>
        <w:t xml:space="preserve">. </w:t>
      </w:r>
      <w:r w:rsidRPr="002A38E9">
        <w:rPr>
          <w:rFonts w:ascii="Verdana" w:hAnsi="Verdana" w:cs="Arial"/>
          <w:color w:val="000000"/>
          <w:lang w:val="es-ES_tradnl"/>
        </w:rPr>
        <w:t>Como explica la doctrina, la liquidación bilateral puede pactarse en los contratos de régimen especial, sin perjuicio de lo regulado en el respectivo manual de contratación; razón por la cual:</w:t>
      </w:r>
    </w:p>
    <w:p w14:paraId="181779ED" w14:textId="77777777" w:rsidR="002A38E9" w:rsidRPr="002A38E9" w:rsidRDefault="002A38E9" w:rsidP="002A38E9">
      <w:pPr>
        <w:tabs>
          <w:tab w:val="left" w:pos="709"/>
        </w:tabs>
        <w:spacing w:after="0" w:line="276" w:lineRule="auto"/>
        <w:jc w:val="both"/>
        <w:rPr>
          <w:rFonts w:ascii="Verdana" w:hAnsi="Verdana" w:cs="Arial"/>
          <w:color w:val="000000"/>
          <w:lang w:val="es-ES_tradnl"/>
        </w:rPr>
      </w:pPr>
    </w:p>
    <w:p w14:paraId="57AD2DD9" w14:textId="77777777" w:rsidR="002A38E9" w:rsidRPr="002A38E9" w:rsidRDefault="002A38E9" w:rsidP="002A38E9">
      <w:pPr>
        <w:tabs>
          <w:tab w:val="left" w:pos="709"/>
        </w:tabs>
        <w:spacing w:after="0" w:line="240" w:lineRule="auto"/>
        <w:ind w:left="709" w:right="709"/>
        <w:jc w:val="both"/>
        <w:rPr>
          <w:rFonts w:ascii="Verdana" w:hAnsi="Verdana" w:cs="Arial"/>
          <w:color w:val="000000"/>
          <w:sz w:val="20"/>
          <w:szCs w:val="20"/>
          <w:lang w:val="es-ES_tradnl"/>
        </w:rPr>
      </w:pPr>
      <w:r w:rsidRPr="002A38E9">
        <w:rPr>
          <w:rFonts w:ascii="Verdana" w:hAnsi="Verdana" w:cs="Arial"/>
          <w:color w:val="000000"/>
          <w:sz w:val="20"/>
          <w:szCs w:val="20"/>
          <w:lang w:val="es-ES_tradnl"/>
        </w:rPr>
        <w:t>“[…] resulta válido que estas pacten en sus contratos la carga de liquidarlos, independientemente de si utilizan o no un procedimiento distinto al establecido en los artículos</w:t>
      </w:r>
      <w:r w:rsidRPr="002A38E9">
        <w:rPr>
          <w:rFonts w:ascii="Verdana" w:eastAsia="Times New Roman" w:hAnsi="Verdana" w:cs="Arial"/>
          <w:color w:val="000000"/>
          <w:sz w:val="20"/>
          <w:szCs w:val="20"/>
          <w:bdr w:val="none" w:sz="0" w:space="0" w:color="auto" w:frame="1"/>
          <w:shd w:val="clear" w:color="auto" w:fill="FFFFFF"/>
          <w:lang w:eastAsia="es-ES_tradnl"/>
        </w:rPr>
        <w:t xml:space="preserve"> 60 de la Ley 80 de 1993 y </w:t>
      </w:r>
      <w:r w:rsidRPr="002A38E9">
        <w:rPr>
          <w:rFonts w:ascii="Verdana" w:hAnsi="Verdana" w:cs="Arial"/>
          <w:color w:val="000000"/>
          <w:sz w:val="20"/>
          <w:szCs w:val="20"/>
          <w:lang w:val="es-ES_tradnl"/>
        </w:rPr>
        <w:t xml:space="preserve">11 de la Ley 1150 de 2007, siempre y cuando cuenten con la anuencia del contratista; es decir, con la expresión de su consentimiento al firmar el contrato, pues </w:t>
      </w:r>
      <w:r w:rsidRPr="002A38E9">
        <w:rPr>
          <w:rFonts w:ascii="Verdana" w:hAnsi="Verdana" w:cs="Arial"/>
          <w:i/>
          <w:iCs/>
          <w:color w:val="000000"/>
          <w:sz w:val="20"/>
          <w:szCs w:val="20"/>
          <w:lang w:val="es-ES_tradnl"/>
        </w:rPr>
        <w:t>la liquidación</w:t>
      </w:r>
      <w:r w:rsidRPr="002A38E9">
        <w:rPr>
          <w:rFonts w:ascii="Verdana" w:hAnsi="Verdana" w:cs="Arial"/>
          <w:color w:val="000000"/>
          <w:sz w:val="20"/>
          <w:szCs w:val="20"/>
          <w:lang w:val="es-ES_tradnl"/>
        </w:rPr>
        <w:t xml:space="preserve"> […] </w:t>
      </w:r>
      <w:r w:rsidRPr="002A38E9">
        <w:rPr>
          <w:rFonts w:ascii="Verdana" w:hAnsi="Verdana" w:cs="Arial"/>
          <w:i/>
          <w:iCs/>
          <w:color w:val="000000"/>
          <w:sz w:val="20"/>
          <w:szCs w:val="20"/>
          <w:lang w:val="es-ES_tradnl"/>
        </w:rPr>
        <w:t xml:space="preserve">no es una figura privativa de la contratación estatal sometida al Estatuto General de Contratación de la Administración Pública, sino que puede incorporarse, como cláusula accidental, a los contratos de las entidades con un régimen de contratación especial, pudiendo, a su vez, el reglamento interno de las entidades </w:t>
      </w:r>
      <w:r w:rsidRPr="002A38E9">
        <w:rPr>
          <w:rFonts w:ascii="Verdana" w:hAnsi="Verdana" w:cs="Arial"/>
          <w:i/>
          <w:iCs/>
          <w:color w:val="000000"/>
          <w:sz w:val="20"/>
          <w:szCs w:val="20"/>
          <w:lang w:val="es-ES_tradnl"/>
        </w:rPr>
        <w:lastRenderedPageBreak/>
        <w:t>exceptuadas, regular de otra manera el procedimiento para liquidación, e incluso, los plazos para hacerlo bilateralmente, siempre que no excedan los términos consagrados en el artículo 164 de la Ley 1437 de 2011</w:t>
      </w:r>
      <w:r w:rsidRPr="002A38E9">
        <w:rPr>
          <w:rFonts w:ascii="Verdana" w:hAnsi="Verdana" w:cs="Arial"/>
          <w:color w:val="000000"/>
          <w:sz w:val="20"/>
          <w:szCs w:val="20"/>
          <w:lang w:val="es-ES_tradnl"/>
        </w:rPr>
        <w:t>”</w:t>
      </w:r>
      <w:r w:rsidRPr="002A38E9">
        <w:rPr>
          <w:rFonts w:ascii="Verdana" w:hAnsi="Verdana" w:cs="Arial"/>
          <w:color w:val="000000"/>
          <w:sz w:val="20"/>
          <w:szCs w:val="20"/>
          <w:vertAlign w:val="superscript"/>
          <w:lang w:val="es-ES_tradnl"/>
        </w:rPr>
        <w:footnoteReference w:id="20"/>
      </w:r>
      <w:r w:rsidRPr="002A38E9">
        <w:rPr>
          <w:rFonts w:ascii="Verdana" w:hAnsi="Verdana" w:cs="Arial"/>
          <w:color w:val="000000"/>
          <w:sz w:val="20"/>
          <w:szCs w:val="20"/>
          <w:lang w:val="es-ES_tradnl"/>
        </w:rPr>
        <w:t xml:space="preserve"> (Énfasis fuera de texto). </w:t>
      </w:r>
    </w:p>
    <w:p w14:paraId="29C4B2E1" w14:textId="77777777" w:rsidR="002A38E9" w:rsidRPr="002A38E9" w:rsidRDefault="002A38E9" w:rsidP="002A38E9">
      <w:pPr>
        <w:spacing w:after="120" w:line="276" w:lineRule="auto"/>
        <w:ind w:firstLine="705"/>
        <w:jc w:val="both"/>
        <w:rPr>
          <w:rFonts w:ascii="Verdana" w:eastAsia="Times New Roman" w:hAnsi="Verdana" w:cs="Arial"/>
          <w:color w:val="000000"/>
          <w:bdr w:val="none" w:sz="0" w:space="0" w:color="auto" w:frame="1"/>
          <w:shd w:val="clear" w:color="auto" w:fill="FFFFFF"/>
          <w:lang w:val="es-ES" w:eastAsia="es-ES_tradnl"/>
        </w:rPr>
      </w:pPr>
    </w:p>
    <w:p w14:paraId="7A0F1B6E" w14:textId="77777777" w:rsidR="002A38E9" w:rsidRPr="002A38E9" w:rsidRDefault="002A38E9" w:rsidP="002A38E9">
      <w:pPr>
        <w:tabs>
          <w:tab w:val="left" w:pos="709"/>
        </w:tabs>
        <w:spacing w:after="120" w:line="276" w:lineRule="auto"/>
        <w:jc w:val="both"/>
        <w:rPr>
          <w:rFonts w:ascii="Verdana" w:hAnsi="Verdana" w:cs="Arial"/>
          <w:color w:val="000000"/>
          <w:sz w:val="20"/>
          <w:szCs w:val="20"/>
          <w:lang w:val="es-ES_tradnl"/>
        </w:rPr>
      </w:pPr>
      <w:r w:rsidRPr="002A38E9">
        <w:rPr>
          <w:rFonts w:ascii="Verdana" w:eastAsia="Times New Roman" w:hAnsi="Verdana" w:cs="Arial"/>
          <w:color w:val="000000"/>
          <w:bdr w:val="none" w:sz="0" w:space="0" w:color="auto" w:frame="1"/>
          <w:shd w:val="clear" w:color="auto" w:fill="FFFFFF"/>
          <w:lang w:eastAsia="es-ES_tradnl"/>
        </w:rPr>
        <w:tab/>
        <w:t xml:space="preserve">Por su parte, es pertinente señalar </w:t>
      </w:r>
      <w:proofErr w:type="gramStart"/>
      <w:r w:rsidRPr="002A38E9">
        <w:rPr>
          <w:rFonts w:ascii="Verdana" w:eastAsia="Times New Roman" w:hAnsi="Verdana" w:cs="Arial"/>
          <w:color w:val="000000"/>
          <w:bdr w:val="none" w:sz="0" w:space="0" w:color="auto" w:frame="1"/>
          <w:shd w:val="clear" w:color="auto" w:fill="FFFFFF"/>
          <w:lang w:eastAsia="es-ES_tradnl"/>
        </w:rPr>
        <w:t>que</w:t>
      </w:r>
      <w:proofErr w:type="gramEnd"/>
      <w:r w:rsidRPr="002A38E9">
        <w:rPr>
          <w:rFonts w:ascii="Verdana" w:eastAsia="Times New Roman" w:hAnsi="Verdana" w:cs="Arial"/>
          <w:color w:val="000000"/>
          <w:bdr w:val="none" w:sz="0" w:space="0" w:color="auto" w:frame="1"/>
          <w:shd w:val="clear" w:color="auto" w:fill="FFFFFF"/>
          <w:lang w:eastAsia="es-ES_tradnl"/>
        </w:rPr>
        <w:t xml:space="preserve"> aunque las </w:t>
      </w:r>
      <w:r w:rsidRPr="002A38E9">
        <w:rPr>
          <w:rFonts w:ascii="Verdana" w:eastAsia="Times New Roman" w:hAnsi="Verdana" w:cs="Arial"/>
          <w:i/>
          <w:iCs/>
          <w:color w:val="000000"/>
          <w:bdr w:val="none" w:sz="0" w:space="0" w:color="auto" w:frame="1"/>
          <w:shd w:val="clear" w:color="auto" w:fill="FFFFFF"/>
          <w:lang w:eastAsia="es-ES_tradnl"/>
        </w:rPr>
        <w:t>entidades de régimen exceptuado</w:t>
      </w:r>
      <w:r w:rsidRPr="002A38E9">
        <w:rPr>
          <w:rFonts w:ascii="Verdana" w:eastAsia="Times New Roman" w:hAnsi="Verdana" w:cs="Arial"/>
          <w:color w:val="000000"/>
          <w:bdr w:val="none" w:sz="0" w:space="0" w:color="auto" w:frame="1"/>
          <w:shd w:val="clear" w:color="auto" w:fill="FFFFFF"/>
          <w:lang w:eastAsia="es-ES_tradnl"/>
        </w:rPr>
        <w:t xml:space="preserve"> no están obligadas a aplicar el artículo 60 de la Ley 80 de 1993 ni </w:t>
      </w:r>
      <w:r w:rsidRPr="002A38E9">
        <w:rPr>
          <w:rFonts w:ascii="Verdana" w:hAnsi="Verdana" w:cs="Arial"/>
          <w:color w:val="000000"/>
          <w:lang w:val="es-ES_tradnl"/>
        </w:rPr>
        <w:t xml:space="preserve">el artículo 11 de la Ley 1150 de 2007, el término de caducidad del medio de control de controversias contractuales tiene carácter transversal y, por tanto, aplica a todas las entidades al margen de que estén o no sometidas al Estatuto General de Contratación de la Administración Pública. </w:t>
      </w:r>
    </w:p>
    <w:p w14:paraId="309C45EB" w14:textId="77777777" w:rsidR="002A38E9" w:rsidRPr="002A38E9" w:rsidRDefault="002A38E9" w:rsidP="002A38E9">
      <w:pPr>
        <w:spacing w:after="120" w:line="276" w:lineRule="auto"/>
        <w:ind w:firstLine="709"/>
        <w:jc w:val="both"/>
        <w:rPr>
          <w:rFonts w:ascii="Verdana" w:eastAsia="Times New Roman" w:hAnsi="Verdana" w:cs="Arial"/>
          <w:color w:val="000000"/>
          <w:lang w:val="es-ES_tradnl"/>
        </w:rPr>
      </w:pPr>
      <w:r w:rsidRPr="002A38E9">
        <w:rPr>
          <w:rFonts w:ascii="Verdana" w:hAnsi="Verdana" w:cs="Arial"/>
          <w:color w:val="000000"/>
          <w:lang w:val="es-ES_tradnl"/>
        </w:rPr>
        <w:t xml:space="preserve">De esta manera, si en un </w:t>
      </w:r>
      <w:r w:rsidRPr="002A38E9">
        <w:rPr>
          <w:rFonts w:ascii="Verdana" w:hAnsi="Verdana" w:cs="Arial"/>
          <w:i/>
          <w:iCs/>
          <w:color w:val="000000"/>
          <w:lang w:val="es-ES_tradnl"/>
        </w:rPr>
        <w:t>contrato de régimen exceptuado</w:t>
      </w:r>
      <w:r w:rsidRPr="002A38E9">
        <w:rPr>
          <w:rFonts w:ascii="Verdana" w:hAnsi="Verdana" w:cs="Arial"/>
          <w:color w:val="000000"/>
          <w:lang w:val="es-ES_tradnl"/>
        </w:rPr>
        <w:t xml:space="preserve"> se pacta la liquidación de mutuo acuerdo, la caducidad se computará conforme al numeral </w:t>
      </w:r>
      <w:proofErr w:type="spellStart"/>
      <w:r w:rsidRPr="002A38E9">
        <w:rPr>
          <w:rFonts w:ascii="Verdana" w:hAnsi="Verdana" w:cs="Arial"/>
          <w:color w:val="000000"/>
          <w:lang w:val="es-ES_tradnl"/>
        </w:rPr>
        <w:t>iii</w:t>
      </w:r>
      <w:proofErr w:type="spellEnd"/>
      <w:r w:rsidRPr="002A38E9">
        <w:rPr>
          <w:rFonts w:ascii="Verdana" w:hAnsi="Verdana" w:cs="Arial"/>
          <w:color w:val="000000"/>
          <w:lang w:val="es-ES_tradnl"/>
        </w:rPr>
        <w:t>) d</w:t>
      </w:r>
      <w:r w:rsidRPr="002A38E9">
        <w:rPr>
          <w:rFonts w:ascii="Verdana" w:eastAsia="Times New Roman" w:hAnsi="Verdana" w:cs="Arial"/>
          <w:color w:val="000000"/>
          <w:bdr w:val="none" w:sz="0" w:space="0" w:color="auto" w:frame="1"/>
          <w:shd w:val="clear" w:color="auto" w:fill="FFFFFF"/>
          <w:lang w:eastAsia="es-ES_tradnl"/>
        </w:rPr>
        <w:t>el literal j) del artículo 164.2 del Código de Procedimiento Administrativo y Contencioso Administrativo. Dado que la oportunidad para demandar corresponde a un aspecto procesal del derecho de acción, es independiente de que el régimen sustantivo de la liquidación derive o no del EGCAP.</w:t>
      </w:r>
      <w:r w:rsidRPr="002A38E9">
        <w:rPr>
          <w:rFonts w:ascii="Verdana" w:hAnsi="Verdana" w:cs="Arial"/>
          <w:color w:val="000000"/>
          <w:lang w:val="es-ES_tradnl"/>
        </w:rPr>
        <w:t xml:space="preserve"> Así, </w:t>
      </w:r>
      <w:r w:rsidRPr="002A38E9">
        <w:rPr>
          <w:rFonts w:ascii="Verdana" w:eastAsia="Times New Roman" w:hAnsi="Verdana" w:cs="Arial"/>
          <w:color w:val="000000"/>
          <w:bdr w:val="none" w:sz="0" w:space="0" w:color="auto" w:frame="1"/>
          <w:shd w:val="clear" w:color="auto" w:fill="FFFFFF"/>
          <w:lang w:val="es-ES" w:eastAsia="es-ES_tradnl"/>
        </w:rPr>
        <w:t>en caso controversia en relación con la liquidación del contrato deberá dirimirse ante la jurisdicción contenciosa administrativa, salvo los casos establecidos en la Ley</w:t>
      </w:r>
      <w:r w:rsidRPr="002A38E9">
        <w:rPr>
          <w:rFonts w:ascii="Verdana" w:eastAsia="Times New Roman" w:hAnsi="Verdana" w:cs="Arial"/>
          <w:color w:val="000000"/>
          <w:bdr w:val="none" w:sz="0" w:space="0" w:color="auto" w:frame="1"/>
          <w:shd w:val="clear" w:color="auto" w:fill="FFFFFF"/>
          <w:vertAlign w:val="superscript"/>
          <w:lang w:val="es-ES" w:eastAsia="es-ES_tradnl"/>
        </w:rPr>
        <w:footnoteReference w:id="21"/>
      </w:r>
      <w:r w:rsidRPr="002A38E9">
        <w:rPr>
          <w:rFonts w:ascii="Verdana" w:eastAsia="Times New Roman" w:hAnsi="Verdana" w:cs="Arial"/>
          <w:color w:val="000000"/>
          <w:bdr w:val="none" w:sz="0" w:space="0" w:color="auto" w:frame="1"/>
          <w:shd w:val="clear" w:color="auto" w:fill="FFFFFF"/>
          <w:lang w:val="es-ES" w:eastAsia="es-ES_tradnl"/>
        </w:rPr>
        <w:t>.</w:t>
      </w:r>
      <w:r w:rsidRPr="002A38E9">
        <w:rPr>
          <w:rFonts w:ascii="Verdana" w:hAnsi="Verdana" w:cs="Arial"/>
          <w:color w:val="000000"/>
          <w:lang w:val="es-ES_tradnl"/>
        </w:rPr>
        <w:t xml:space="preserve">       </w:t>
      </w:r>
      <w:r w:rsidRPr="002A38E9">
        <w:rPr>
          <w:rFonts w:ascii="Verdana" w:eastAsia="Times New Roman" w:hAnsi="Verdana" w:cs="Arial"/>
          <w:color w:val="000000"/>
          <w:bdr w:val="none" w:sz="0" w:space="0" w:color="auto" w:frame="1"/>
          <w:shd w:val="clear" w:color="auto" w:fill="FFFFFF"/>
          <w:lang w:eastAsia="es-ES_tradnl"/>
        </w:rPr>
        <w:t xml:space="preserve"> </w:t>
      </w:r>
    </w:p>
    <w:p w14:paraId="7633250E" w14:textId="77777777" w:rsidR="002A38E9" w:rsidRPr="002A38E9" w:rsidRDefault="002A38E9" w:rsidP="002A38E9">
      <w:pPr>
        <w:spacing w:after="120" w:line="276" w:lineRule="auto"/>
        <w:ind w:firstLine="705"/>
        <w:jc w:val="both"/>
        <w:rPr>
          <w:rFonts w:ascii="Verdana" w:eastAsia="Times New Roman" w:hAnsi="Verdana" w:cs="Arial"/>
          <w:color w:val="000000"/>
          <w:bdr w:val="none" w:sz="0" w:space="0" w:color="auto" w:frame="1"/>
          <w:shd w:val="clear" w:color="auto" w:fill="FFFFFF"/>
          <w:lang w:val="es-ES" w:eastAsia="es-ES_tradnl"/>
        </w:rPr>
      </w:pPr>
      <w:r w:rsidRPr="002A38E9">
        <w:rPr>
          <w:rFonts w:ascii="Verdana" w:hAnsi="Verdana" w:cs="Arial"/>
          <w:color w:val="000000" w:themeColor="text1"/>
        </w:rPr>
        <w:t xml:space="preserve">En todo caso, el análisis requerido para demandar oportunamente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w:t>
      </w:r>
      <w:r w:rsidRPr="002A38E9">
        <w:rPr>
          <w:rFonts w:ascii="Verdana" w:hAnsi="Verdana" w:cs="Arial"/>
          <w:color w:val="000000" w:themeColor="text1"/>
        </w:rPr>
        <w:lastRenderedPageBreak/>
        <w:t>situaciones particulares corresponde a los interesados adoptar la decisión correspondiente y, en caso de conflicto, a las autoridades judiciales, fiscales y disciplinarias.</w:t>
      </w:r>
    </w:p>
    <w:p w14:paraId="23217E60" w14:textId="77777777" w:rsidR="002A38E9" w:rsidRPr="002A38E9" w:rsidRDefault="002A38E9" w:rsidP="002A38E9">
      <w:pPr>
        <w:tabs>
          <w:tab w:val="left" w:pos="709"/>
        </w:tabs>
        <w:spacing w:after="120" w:line="276" w:lineRule="auto"/>
        <w:ind w:firstLine="709"/>
        <w:jc w:val="both"/>
        <w:rPr>
          <w:rFonts w:ascii="Verdana" w:hAnsi="Verdana" w:cs="Arial"/>
          <w:color w:val="000000" w:themeColor="text1"/>
        </w:rPr>
      </w:pPr>
      <w:r w:rsidRPr="002A38E9">
        <w:rPr>
          <w:rFonts w:ascii="Verdana" w:hAnsi="Verdana" w:cs="Arial"/>
          <w:color w:val="000000" w:themeColor="text1"/>
        </w:rPr>
        <w:t>Dentro de este marco, la entidad contratante definirá en cada caso concreto lo relacionado con el tema objeto de consulta. Al tratarse de un análisis que debe realizarse en el proceso específico, la Agencia no puede definir un criterio universal y absoluto,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procesal, sin que sea atribución de Colombia Compra Eficiente validar sus actuaciones</w:t>
      </w:r>
    </w:p>
    <w:p w14:paraId="56F9FF1E" w14:textId="77777777" w:rsidR="002A38E9" w:rsidRPr="002A38E9" w:rsidRDefault="002A38E9" w:rsidP="002A38E9">
      <w:pPr>
        <w:spacing w:after="0" w:line="276" w:lineRule="auto"/>
        <w:ind w:firstLine="709"/>
        <w:jc w:val="both"/>
        <w:rPr>
          <w:rFonts w:ascii="Verdana" w:hAnsi="Verdana" w:cs="Arial"/>
          <w:lang w:val="es-ES_tradnl" w:eastAsia="es-ES"/>
        </w:rPr>
      </w:pPr>
    </w:p>
    <w:p w14:paraId="4FBCFE5C" w14:textId="77777777" w:rsidR="002A38E9" w:rsidRPr="002A38E9" w:rsidRDefault="002A38E9" w:rsidP="002A38E9">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2A38E9">
        <w:rPr>
          <w:rFonts w:ascii="Verdana" w:eastAsia="Century Gothic" w:hAnsi="Verdana" w:cs="Century Gothic"/>
          <w:b/>
          <w:bCs/>
          <w:lang w:val="es-ES_tradnl"/>
        </w:rPr>
        <w:t>Referencias normativas:</w:t>
      </w:r>
    </w:p>
    <w:p w14:paraId="2076EECF" w14:textId="77777777" w:rsidR="002A38E9" w:rsidRPr="002A38E9" w:rsidRDefault="002A38E9" w:rsidP="002A38E9">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A38E9" w:rsidRPr="002A38E9" w14:paraId="44B4F936" w14:textId="77777777" w:rsidTr="00BE3615">
        <w:trPr>
          <w:trHeight w:val="870"/>
          <w:jc w:val="center"/>
        </w:trPr>
        <w:tc>
          <w:tcPr>
            <w:tcW w:w="8647" w:type="dxa"/>
          </w:tcPr>
          <w:p w14:paraId="0DB43772" w14:textId="77777777" w:rsidR="002A38E9" w:rsidRPr="002A38E9" w:rsidRDefault="002A38E9" w:rsidP="002A38E9">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A38E9">
              <w:rPr>
                <w:rFonts w:ascii="Verdana" w:hAnsi="Verdana" w:cs="Arial"/>
                <w:lang w:val="es-ES_tradnl"/>
              </w:rPr>
              <w:t>Ley 80 de 1993, artículos 2, 13, 32 y 40</w:t>
            </w:r>
          </w:p>
          <w:p w14:paraId="55BFC563" w14:textId="77777777" w:rsidR="002A38E9" w:rsidRPr="002A38E9" w:rsidRDefault="002A38E9" w:rsidP="002A38E9">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A38E9">
              <w:rPr>
                <w:rFonts w:ascii="Verdana" w:hAnsi="Verdana" w:cs="Arial"/>
                <w:lang w:val="es-ES_tradnl"/>
              </w:rPr>
              <w:t>Ley 1150 de 2007, artículo 13</w:t>
            </w:r>
          </w:p>
          <w:p w14:paraId="390450EA" w14:textId="77777777" w:rsidR="002A38E9" w:rsidRPr="002A38E9" w:rsidRDefault="002A38E9" w:rsidP="002A38E9">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A38E9">
              <w:rPr>
                <w:rFonts w:ascii="Verdana" w:hAnsi="Verdana" w:cs="Arial"/>
              </w:rPr>
              <w:t>Ley 1437 de 2022, artículo 105</w:t>
            </w:r>
          </w:p>
          <w:p w14:paraId="75A0F4B3" w14:textId="77777777" w:rsidR="002A38E9" w:rsidRPr="002A38E9" w:rsidRDefault="002A38E9" w:rsidP="002A38E9">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A38E9">
              <w:rPr>
                <w:rFonts w:ascii="Verdana" w:hAnsi="Verdana" w:cs="Arial"/>
                <w:color w:val="000000" w:themeColor="text1"/>
                <w:lang w:val="es-ES"/>
              </w:rPr>
              <w:t xml:space="preserve">CONSEJO DE ESTADO. Sección Tercera. Auto del 20 de agosto de 1998. </w:t>
            </w:r>
            <w:proofErr w:type="spellStart"/>
            <w:r w:rsidRPr="002A38E9">
              <w:rPr>
                <w:rFonts w:ascii="Verdana" w:hAnsi="Verdana" w:cs="Arial"/>
                <w:color w:val="000000" w:themeColor="text1"/>
                <w:lang w:val="es-ES"/>
              </w:rPr>
              <w:t>Exp</w:t>
            </w:r>
            <w:proofErr w:type="spellEnd"/>
            <w:r w:rsidRPr="002A38E9">
              <w:rPr>
                <w:rFonts w:ascii="Verdana" w:hAnsi="Verdana" w:cs="Arial"/>
                <w:color w:val="000000" w:themeColor="text1"/>
                <w:lang w:val="es-ES"/>
              </w:rPr>
              <w:t>. 14.202.  C.P. Juan de Dios Montes Bermúdez.</w:t>
            </w:r>
          </w:p>
          <w:p w14:paraId="3AD8731C" w14:textId="77777777" w:rsidR="002A38E9" w:rsidRPr="002A38E9" w:rsidRDefault="002A38E9" w:rsidP="002A38E9">
            <w:pPr>
              <w:widowControl w:val="0"/>
              <w:numPr>
                <w:ilvl w:val="0"/>
                <w:numId w:val="17"/>
              </w:numPr>
              <w:autoSpaceDE w:val="0"/>
              <w:autoSpaceDN w:val="0"/>
              <w:spacing w:after="120" w:line="276" w:lineRule="auto"/>
              <w:ind w:left="714" w:hanging="357"/>
              <w:jc w:val="both"/>
              <w:rPr>
                <w:rFonts w:ascii="Verdana" w:hAnsi="Verdana" w:cs="Arial"/>
                <w:lang w:val="es-ES"/>
              </w:rPr>
            </w:pPr>
            <w:r w:rsidRPr="002A38E9">
              <w:rPr>
                <w:rFonts w:ascii="Verdana" w:hAnsi="Verdana" w:cs="Arial"/>
                <w:lang w:val="es-ES"/>
              </w:rPr>
              <w:t xml:space="preserve">Consejo de Estado. Sección Tercera. Subsección C. Sentencia del 20 de octubre de 2014, C.P: Enrique Gil Botero.  </w:t>
            </w:r>
            <w:proofErr w:type="spellStart"/>
            <w:r w:rsidRPr="002A38E9">
              <w:rPr>
                <w:rFonts w:ascii="Verdana" w:hAnsi="Verdana" w:cs="Arial"/>
                <w:lang w:val="es-ES"/>
              </w:rPr>
              <w:t>Exp</w:t>
            </w:r>
            <w:proofErr w:type="spellEnd"/>
            <w:r w:rsidRPr="002A38E9">
              <w:rPr>
                <w:rFonts w:ascii="Verdana" w:hAnsi="Verdana" w:cs="Arial"/>
                <w:lang w:val="es-ES"/>
              </w:rPr>
              <w:t>. 27.777</w:t>
            </w:r>
          </w:p>
          <w:p w14:paraId="1CC4CB39" w14:textId="77777777" w:rsidR="002A38E9" w:rsidRPr="002A38E9" w:rsidRDefault="002A38E9" w:rsidP="002A38E9">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A38E9">
              <w:rPr>
                <w:rFonts w:ascii="Verdana" w:hAnsi="Verdana" w:cs="Arial"/>
              </w:rPr>
              <w:t xml:space="preserve">Sección Tercera, Subsección A, Sentencia del 20 de mayo de 2024, radicado No. 58.879, </w:t>
            </w:r>
            <w:proofErr w:type="gramStart"/>
            <w:r w:rsidRPr="002A38E9">
              <w:rPr>
                <w:rFonts w:ascii="Verdana" w:hAnsi="Verdana" w:cs="Arial"/>
              </w:rPr>
              <w:t>Consejera</w:t>
            </w:r>
            <w:proofErr w:type="gramEnd"/>
            <w:r w:rsidRPr="002A38E9">
              <w:rPr>
                <w:rFonts w:ascii="Verdana" w:hAnsi="Verdana" w:cs="Arial"/>
              </w:rPr>
              <w:t xml:space="preserve"> Ponente: María Adriana Marín.</w:t>
            </w:r>
          </w:p>
        </w:tc>
      </w:tr>
    </w:tbl>
    <w:p w14:paraId="6DC96C99" w14:textId="77777777" w:rsidR="002A38E9" w:rsidRPr="002A38E9" w:rsidRDefault="002A38E9" w:rsidP="002A38E9">
      <w:pPr>
        <w:widowControl w:val="0"/>
        <w:autoSpaceDE w:val="0"/>
        <w:autoSpaceDN w:val="0"/>
        <w:spacing w:after="0" w:line="276" w:lineRule="auto"/>
        <w:jc w:val="both"/>
        <w:rPr>
          <w:rFonts w:ascii="Verdana" w:hAnsi="Verdana" w:cs="Arial"/>
          <w:lang w:val="es-ES_tradnl"/>
        </w:rPr>
      </w:pPr>
    </w:p>
    <w:p w14:paraId="63581D92" w14:textId="77777777" w:rsidR="002A38E9" w:rsidRPr="002A38E9" w:rsidRDefault="002A38E9" w:rsidP="002A38E9">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2A38E9">
        <w:rPr>
          <w:rFonts w:ascii="Verdana" w:eastAsia="Century Gothic" w:hAnsi="Verdana" w:cs="Century Gothic"/>
          <w:b/>
          <w:bCs/>
          <w:lang w:val="es-ES_tradnl"/>
        </w:rPr>
        <w:t>Doctrina de la Agencia Nacional de Contratación Pública:</w:t>
      </w:r>
    </w:p>
    <w:p w14:paraId="46734AC5" w14:textId="77777777" w:rsidR="002A38E9" w:rsidRPr="002A38E9" w:rsidRDefault="002A38E9" w:rsidP="002A38E9">
      <w:pPr>
        <w:widowControl w:val="0"/>
        <w:autoSpaceDE w:val="0"/>
        <w:autoSpaceDN w:val="0"/>
        <w:spacing w:after="0" w:line="276" w:lineRule="auto"/>
        <w:jc w:val="both"/>
        <w:rPr>
          <w:rFonts w:ascii="Verdana" w:hAnsi="Verdana" w:cs="Arial"/>
          <w:lang w:val="es-ES_tradnl"/>
        </w:rPr>
      </w:pPr>
    </w:p>
    <w:p w14:paraId="50085483" w14:textId="77777777" w:rsidR="002A38E9" w:rsidRPr="002A38E9" w:rsidRDefault="002A38E9" w:rsidP="002A38E9">
      <w:pPr>
        <w:widowControl w:val="0"/>
        <w:autoSpaceDE w:val="0"/>
        <w:autoSpaceDN w:val="0"/>
        <w:spacing w:after="0" w:line="276" w:lineRule="auto"/>
        <w:jc w:val="both"/>
        <w:rPr>
          <w:rFonts w:ascii="Verdana" w:hAnsi="Verdana" w:cs="Arial"/>
          <w:shd w:val="clear" w:color="auto" w:fill="FFFFFF"/>
          <w:lang w:val="es-ES_tradnl"/>
        </w:rPr>
      </w:pPr>
      <w:r w:rsidRPr="002A38E9">
        <w:rPr>
          <w:rFonts w:ascii="Verdana" w:hAnsi="Verdana" w:cs="Arial"/>
          <w:shd w:val="clear" w:color="auto" w:fill="FFFFFF"/>
        </w:rPr>
        <w:t xml:space="preserve">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 C-510 del 4 de junio de 2025, C-605 del 27 de junio de 2025, C-889 del 15 de agosto de 2025, C-913 </w:t>
      </w:r>
      <w:r w:rsidRPr="002A38E9">
        <w:rPr>
          <w:rFonts w:ascii="Verdana" w:hAnsi="Verdana" w:cs="Arial"/>
          <w:shd w:val="clear" w:color="auto" w:fill="FFFFFF"/>
        </w:rPr>
        <w:lastRenderedPageBreak/>
        <w:t>del 19 de agosto de 2025, entre otros</w:t>
      </w:r>
      <w:r w:rsidRPr="002A38E9">
        <w:rPr>
          <w:rFonts w:ascii="Verdana" w:eastAsia="Aptos" w:hAnsi="Verdana" w:cs="Arial"/>
          <w:shd w:val="clear" w:color="auto" w:fill="FFFFFF"/>
          <w:lang w:val="es-ES"/>
        </w:rPr>
        <w:t xml:space="preserve">. En torno a la liquidación de entidades de régimen especial de contratación en los Concepto C-968 del 12 de diciembre de 2024 y C-1285 del 14 de octubre de 2025. </w:t>
      </w:r>
      <w:r w:rsidRPr="002A38E9">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6" w:history="1">
        <w:r w:rsidRPr="002A38E9">
          <w:rPr>
            <w:rFonts w:ascii="Verdana" w:hAnsi="Verdana" w:cs="Arial"/>
            <w:color w:val="0000FF"/>
            <w:u w:val="single"/>
            <w:shd w:val="clear" w:color="auto" w:fill="FFFFFF"/>
            <w:lang w:val="es-ES_tradnl"/>
          </w:rPr>
          <w:t>https://relatoria.colombiacompra.gov.co/busqueda/conceptos</w:t>
        </w:r>
      </w:hyperlink>
      <w:r w:rsidRPr="002A38E9">
        <w:rPr>
          <w:rFonts w:ascii="Verdana" w:hAnsi="Verdana" w:cs="Arial"/>
          <w:shd w:val="clear" w:color="auto" w:fill="FFFFFF"/>
          <w:lang w:val="es-ES_tradnl"/>
        </w:rPr>
        <w:t xml:space="preserve">. </w:t>
      </w:r>
      <w:r w:rsidRPr="002A38E9">
        <w:rPr>
          <w:rFonts w:ascii="Verdana" w:hAnsi="Verdana" w:cs="Arial"/>
          <w:color w:val="FF0000"/>
          <w:shd w:val="clear" w:color="auto" w:fill="FFFFFF"/>
          <w:lang w:val="es-ES_tradnl"/>
        </w:rPr>
        <w:t xml:space="preserve"> </w:t>
      </w:r>
    </w:p>
    <w:p w14:paraId="6A9F0379" w14:textId="77777777" w:rsidR="002A38E9" w:rsidRPr="002A38E9" w:rsidRDefault="002A38E9" w:rsidP="002A38E9">
      <w:pPr>
        <w:widowControl w:val="0"/>
        <w:autoSpaceDE w:val="0"/>
        <w:autoSpaceDN w:val="0"/>
        <w:spacing w:after="0" w:line="276" w:lineRule="auto"/>
        <w:jc w:val="both"/>
        <w:rPr>
          <w:rFonts w:ascii="Verdana" w:hAnsi="Verdana" w:cs="Arial"/>
          <w:lang w:val="es-ES_tradnl"/>
        </w:rPr>
      </w:pPr>
    </w:p>
    <w:p w14:paraId="715529A6" w14:textId="77777777" w:rsidR="002A38E9" w:rsidRPr="002A38E9" w:rsidRDefault="002A38E9" w:rsidP="002A38E9">
      <w:pPr>
        <w:widowControl w:val="0"/>
        <w:autoSpaceDE w:val="0"/>
        <w:autoSpaceDN w:val="0"/>
        <w:spacing w:after="0" w:line="276" w:lineRule="auto"/>
        <w:jc w:val="both"/>
        <w:rPr>
          <w:rFonts w:ascii="Verdana" w:hAnsi="Verdana" w:cs="Arial"/>
          <w:lang w:val="es-ES_tradnl"/>
        </w:rPr>
      </w:pPr>
      <w:r w:rsidRPr="002A38E9">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B2BA656" w14:textId="77777777" w:rsidR="002A38E9" w:rsidRPr="002A38E9" w:rsidRDefault="002A38E9" w:rsidP="002A38E9">
      <w:pPr>
        <w:widowControl w:val="0"/>
        <w:autoSpaceDE w:val="0"/>
        <w:autoSpaceDN w:val="0"/>
        <w:spacing w:after="0" w:line="276" w:lineRule="auto"/>
        <w:jc w:val="both"/>
        <w:rPr>
          <w:rFonts w:ascii="Verdana" w:hAnsi="Verdana" w:cs="Arial"/>
          <w:lang w:val="es-ES_tradnl"/>
        </w:rPr>
      </w:pPr>
    </w:p>
    <w:p w14:paraId="049913C7" w14:textId="77777777" w:rsidR="002A38E9" w:rsidRPr="002A38E9" w:rsidRDefault="002A38E9" w:rsidP="002A38E9">
      <w:pPr>
        <w:spacing w:after="0" w:line="240" w:lineRule="auto"/>
        <w:rPr>
          <w:rFonts w:ascii="Verdana" w:hAnsi="Verdana" w:cs="Arial"/>
          <w:lang w:val="es-ES_tradnl" w:eastAsia="es-CO"/>
        </w:rPr>
      </w:pPr>
      <w:r w:rsidRPr="002A38E9">
        <w:rPr>
          <w:rFonts w:ascii="Verdana" w:eastAsia="Times New Roman" w:hAnsi="Verdana" w:cs="Arial"/>
          <w:lang w:val="es-ES_tradnl" w:eastAsia="es-CO"/>
        </w:rPr>
        <w:t>Atentamente,</w:t>
      </w:r>
      <w:r w:rsidRPr="002A38E9">
        <w:rPr>
          <w:rFonts w:ascii="Verdana" w:hAnsi="Verdana" w:cs="Arial"/>
          <w:lang w:val="es-ES_tradnl" w:eastAsia="es-CO"/>
        </w:rPr>
        <w:t xml:space="preserve"> </w:t>
      </w:r>
    </w:p>
    <w:p w14:paraId="7F98675F" w14:textId="65B154DC" w:rsidR="002A38E9" w:rsidRPr="002A38E9" w:rsidRDefault="00BF7226" w:rsidP="002A38E9">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5F115B74" wp14:editId="37EE61AF">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891299" cy="1509270"/>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2A38E9" w:rsidRPr="002A38E9" w14:paraId="11F89FBF" w14:textId="77777777" w:rsidTr="00BE3615">
        <w:trPr>
          <w:trHeight w:val="315"/>
        </w:trPr>
        <w:tc>
          <w:tcPr>
            <w:tcW w:w="893" w:type="dxa"/>
            <w:vAlign w:val="center"/>
            <w:hideMark/>
          </w:tcPr>
          <w:p w14:paraId="14C29C8D" w14:textId="77777777" w:rsidR="002A38E9" w:rsidRPr="002A38E9" w:rsidRDefault="002A38E9" w:rsidP="002A38E9">
            <w:pPr>
              <w:contextualSpacing/>
              <w:rPr>
                <w:rFonts w:ascii="Verdana" w:hAnsi="Verdana" w:cs="Arial"/>
                <w:sz w:val="16"/>
                <w:szCs w:val="16"/>
                <w:lang w:val="es-ES" w:eastAsia="es-ES"/>
              </w:rPr>
            </w:pPr>
            <w:r w:rsidRPr="002A38E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8FC9C93" w14:textId="77777777" w:rsidR="002A38E9" w:rsidRPr="002A38E9" w:rsidRDefault="002A38E9" w:rsidP="002A38E9">
            <w:pPr>
              <w:contextualSpacing/>
              <w:rPr>
                <w:rFonts w:ascii="Verdana" w:hAnsi="Verdana"/>
                <w:sz w:val="16"/>
                <w:szCs w:val="16"/>
              </w:rPr>
            </w:pPr>
            <w:r w:rsidRPr="002A38E9">
              <w:rPr>
                <w:rFonts w:ascii="Verdana" w:hAnsi="Verdana"/>
                <w:sz w:val="16"/>
                <w:szCs w:val="16"/>
              </w:rPr>
              <w:t>Tatiana Baquero Iguarán</w:t>
            </w:r>
          </w:p>
          <w:p w14:paraId="5E0F7497" w14:textId="77777777" w:rsidR="002A38E9" w:rsidRPr="002A38E9" w:rsidRDefault="002A38E9" w:rsidP="002A38E9">
            <w:pPr>
              <w:contextualSpacing/>
              <w:rPr>
                <w:rFonts w:ascii="Verdana" w:eastAsia="Arial" w:hAnsi="Verdana" w:cs="Arial"/>
                <w:sz w:val="16"/>
                <w:szCs w:val="16"/>
              </w:rPr>
            </w:pPr>
            <w:r w:rsidRPr="002A38E9">
              <w:rPr>
                <w:rFonts w:ascii="Verdana" w:hAnsi="Verdana"/>
                <w:sz w:val="16"/>
                <w:szCs w:val="16"/>
              </w:rPr>
              <w:t>Contratista de la Subdirección de Gestión Contractual</w:t>
            </w:r>
          </w:p>
        </w:tc>
      </w:tr>
      <w:tr w:rsidR="002A38E9" w:rsidRPr="002A38E9" w14:paraId="10334330" w14:textId="77777777" w:rsidTr="00BE3615">
        <w:trPr>
          <w:trHeight w:val="330"/>
        </w:trPr>
        <w:tc>
          <w:tcPr>
            <w:tcW w:w="893" w:type="dxa"/>
            <w:vAlign w:val="center"/>
            <w:hideMark/>
          </w:tcPr>
          <w:p w14:paraId="0A152287" w14:textId="77777777" w:rsidR="002A38E9" w:rsidRPr="002A38E9" w:rsidRDefault="002A38E9" w:rsidP="002A38E9">
            <w:pPr>
              <w:contextualSpacing/>
              <w:rPr>
                <w:rFonts w:ascii="Verdana" w:hAnsi="Verdana" w:cs="Arial"/>
                <w:sz w:val="16"/>
                <w:szCs w:val="16"/>
                <w:lang w:val="es-ES" w:eastAsia="es-ES"/>
              </w:rPr>
            </w:pPr>
            <w:r w:rsidRPr="002A38E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7DA5B19" w14:textId="77777777" w:rsidR="002A38E9" w:rsidRPr="002A38E9" w:rsidRDefault="002A38E9" w:rsidP="002A38E9">
            <w:pPr>
              <w:spacing w:before="100" w:beforeAutospacing="1" w:afterAutospacing="1"/>
              <w:contextualSpacing/>
              <w:textAlignment w:val="baseline"/>
              <w:rPr>
                <w:rFonts w:ascii="Verdana" w:eastAsia="Times New Roman" w:hAnsi="Verdana" w:cs="Arial"/>
                <w:sz w:val="16"/>
                <w:szCs w:val="16"/>
                <w:lang w:val="es-ES" w:eastAsia="es-ES_tradnl"/>
              </w:rPr>
            </w:pPr>
            <w:r w:rsidRPr="002A38E9">
              <w:rPr>
                <w:rFonts w:ascii="Verdana" w:eastAsia="Times New Roman" w:hAnsi="Verdana" w:cs="Arial"/>
                <w:sz w:val="16"/>
                <w:szCs w:val="16"/>
                <w:lang w:val="es-ES" w:eastAsia="es-ES_tradnl"/>
              </w:rPr>
              <w:t>Alejandro Sarmiento Cantillo</w:t>
            </w:r>
          </w:p>
          <w:p w14:paraId="3EE5C7EA" w14:textId="77777777" w:rsidR="002A38E9" w:rsidRPr="002A38E9" w:rsidRDefault="002A38E9" w:rsidP="002A38E9">
            <w:pPr>
              <w:contextualSpacing/>
              <w:textAlignment w:val="baseline"/>
              <w:rPr>
                <w:rFonts w:ascii="Verdana" w:eastAsia="Times New Roman" w:hAnsi="Verdana" w:cs="Segoe UI"/>
                <w:sz w:val="16"/>
                <w:szCs w:val="16"/>
                <w:lang w:eastAsia="es-ES_tradnl"/>
              </w:rPr>
            </w:pPr>
            <w:r w:rsidRPr="002A38E9">
              <w:rPr>
                <w:rFonts w:ascii="Verdana" w:eastAsia="Times New Roman" w:hAnsi="Verdana" w:cs="Arial"/>
                <w:sz w:val="16"/>
                <w:szCs w:val="16"/>
                <w:lang w:val="es-ES" w:eastAsia="es-ES_tradnl"/>
              </w:rPr>
              <w:t>Gestor T1 ‒ 15 de la Subdirección de Gestión Contractual</w:t>
            </w:r>
            <w:r w:rsidRPr="002A38E9">
              <w:rPr>
                <w:rFonts w:ascii="Verdana" w:eastAsia="Times New Roman" w:hAnsi="Verdana" w:cs="Arial"/>
                <w:sz w:val="16"/>
                <w:szCs w:val="16"/>
                <w:lang w:eastAsia="es-ES_tradnl"/>
              </w:rPr>
              <w:t> </w:t>
            </w:r>
          </w:p>
        </w:tc>
      </w:tr>
      <w:tr w:rsidR="002A38E9" w:rsidRPr="002A38E9" w14:paraId="104353B1" w14:textId="77777777" w:rsidTr="00BE3615">
        <w:trPr>
          <w:trHeight w:val="300"/>
        </w:trPr>
        <w:tc>
          <w:tcPr>
            <w:tcW w:w="893" w:type="dxa"/>
            <w:vAlign w:val="center"/>
          </w:tcPr>
          <w:p w14:paraId="19A5407D" w14:textId="77777777" w:rsidR="002A38E9" w:rsidRPr="002A38E9" w:rsidRDefault="002A38E9" w:rsidP="002A38E9">
            <w:pPr>
              <w:contextualSpacing/>
              <w:rPr>
                <w:rFonts w:ascii="Verdana" w:hAnsi="Verdana" w:cs="Arial"/>
                <w:sz w:val="16"/>
                <w:szCs w:val="16"/>
                <w:lang w:val="es-ES" w:eastAsia="es-ES"/>
              </w:rPr>
            </w:pPr>
            <w:r w:rsidRPr="002A38E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A7A9CA" w14:textId="77777777" w:rsidR="002A38E9" w:rsidRPr="002A38E9" w:rsidRDefault="002A38E9" w:rsidP="002A38E9">
            <w:pPr>
              <w:contextualSpacing/>
              <w:rPr>
                <w:rFonts w:ascii="Verdana" w:hAnsi="Verdana" w:cs="Arial"/>
                <w:sz w:val="16"/>
                <w:szCs w:val="16"/>
                <w:lang w:val="pt-BR" w:eastAsia="es-ES"/>
              </w:rPr>
            </w:pPr>
            <w:r w:rsidRPr="002A38E9">
              <w:rPr>
                <w:rFonts w:ascii="Verdana" w:hAnsi="Verdana" w:cs="Arial"/>
                <w:sz w:val="16"/>
                <w:szCs w:val="16"/>
                <w:lang w:val="pt-BR" w:eastAsia="es-ES"/>
              </w:rPr>
              <w:t xml:space="preserve">Carolina Quintero </w:t>
            </w:r>
            <w:proofErr w:type="spellStart"/>
            <w:r w:rsidRPr="002A38E9">
              <w:rPr>
                <w:rFonts w:ascii="Verdana" w:hAnsi="Verdana" w:cs="Arial"/>
                <w:sz w:val="16"/>
                <w:szCs w:val="16"/>
                <w:lang w:val="pt-BR" w:eastAsia="es-ES"/>
              </w:rPr>
              <w:t>Gacharná</w:t>
            </w:r>
            <w:proofErr w:type="spellEnd"/>
          </w:p>
          <w:p w14:paraId="022994EF" w14:textId="77777777" w:rsidR="002A38E9" w:rsidRPr="002A38E9" w:rsidRDefault="002A38E9" w:rsidP="002A38E9">
            <w:pPr>
              <w:contextualSpacing/>
              <w:rPr>
                <w:rFonts w:ascii="Verdana" w:hAnsi="Verdana" w:cs="Arial"/>
                <w:sz w:val="16"/>
                <w:szCs w:val="16"/>
                <w:lang w:val="pt-BR" w:eastAsia="es-ES"/>
              </w:rPr>
            </w:pPr>
            <w:r w:rsidRPr="002A38E9">
              <w:rPr>
                <w:rFonts w:ascii="Verdana" w:hAnsi="Verdana" w:cs="Arial"/>
                <w:sz w:val="16"/>
                <w:szCs w:val="16"/>
                <w:lang w:eastAsia="es-ES"/>
              </w:rPr>
              <w:t>Subdirectora</w:t>
            </w:r>
            <w:r w:rsidRPr="002A38E9">
              <w:rPr>
                <w:rFonts w:ascii="Verdana" w:hAnsi="Verdana" w:cs="Arial"/>
                <w:sz w:val="16"/>
                <w:szCs w:val="16"/>
                <w:lang w:val="pt-BR" w:eastAsia="es-ES"/>
              </w:rPr>
              <w:t xml:space="preserve"> de Gestión Contratual ANCP – CCE</w:t>
            </w:r>
          </w:p>
        </w:tc>
      </w:tr>
    </w:tbl>
    <w:p w14:paraId="01EE6FFE" w14:textId="77777777" w:rsidR="002A38E9" w:rsidRPr="002A38E9" w:rsidRDefault="002A38E9" w:rsidP="002A38E9"/>
    <w:p w14:paraId="334B20B7" w14:textId="77777777" w:rsidR="002A38E9" w:rsidRPr="002A38E9" w:rsidRDefault="002A38E9" w:rsidP="002A38E9"/>
    <w:p w14:paraId="6432E439" w14:textId="77777777" w:rsidR="002A38E9" w:rsidRPr="002A38E9" w:rsidRDefault="002A38E9" w:rsidP="002A38E9">
      <w:pPr>
        <w:spacing w:after="0" w:line="240" w:lineRule="auto"/>
        <w:rPr>
          <w:rFonts w:ascii="Verdana" w:eastAsia="Geomanist Light" w:hAnsi="Verdana" w:cs="Arial"/>
          <w:color w:val="000000" w:themeColor="text1"/>
          <w:lang w:val="es-MX"/>
        </w:rPr>
      </w:pPr>
    </w:p>
    <w:p w14:paraId="0F6A4417" w14:textId="77777777" w:rsidR="002A38E9" w:rsidRPr="002A38E9" w:rsidRDefault="002A38E9" w:rsidP="002A38E9">
      <w:pPr>
        <w:spacing w:line="259" w:lineRule="auto"/>
        <w:rPr>
          <w:rFonts w:asciiTheme="minorHAnsi" w:eastAsiaTheme="minorHAnsi" w:hAnsiTheme="minorHAnsi" w:cstheme="minorBidi"/>
        </w:rPr>
      </w:pPr>
    </w:p>
    <w:p w14:paraId="3AA85733" w14:textId="77777777" w:rsidR="00835517" w:rsidRDefault="00835517" w:rsidP="00D97EF3">
      <w:pPr>
        <w:spacing w:after="0" w:line="240" w:lineRule="auto"/>
        <w:rPr>
          <w:rFonts w:ascii="Verdana" w:eastAsia="Geomanist Light" w:hAnsi="Verdana" w:cs="Arial"/>
          <w:color w:val="000000" w:themeColor="text1"/>
          <w:lang w:val="es-MX"/>
        </w:rPr>
      </w:pPr>
    </w:p>
    <w:sectPr w:rsidR="00835517"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30928" w14:textId="77777777" w:rsidR="00932077" w:rsidRDefault="00932077" w:rsidP="004A1847">
      <w:pPr>
        <w:spacing w:after="0" w:line="240" w:lineRule="auto"/>
      </w:pPr>
      <w:r>
        <w:separator/>
      </w:r>
    </w:p>
  </w:endnote>
  <w:endnote w:type="continuationSeparator" w:id="0">
    <w:p w14:paraId="2BC01BED" w14:textId="77777777" w:rsidR="00932077" w:rsidRDefault="00932077" w:rsidP="004A1847">
      <w:pPr>
        <w:spacing w:after="0" w:line="240" w:lineRule="auto"/>
      </w:pPr>
      <w:r>
        <w:continuationSeparator/>
      </w:r>
    </w:p>
  </w:endnote>
  <w:endnote w:type="continuationNotice" w:id="1">
    <w:p w14:paraId="77B19A45" w14:textId="77777777" w:rsidR="00932077" w:rsidRDefault="009320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E38FD" w14:textId="77777777" w:rsidR="00932077" w:rsidRDefault="00932077" w:rsidP="004A1847">
      <w:pPr>
        <w:spacing w:after="0" w:line="240" w:lineRule="auto"/>
      </w:pPr>
      <w:r>
        <w:separator/>
      </w:r>
    </w:p>
  </w:footnote>
  <w:footnote w:type="continuationSeparator" w:id="0">
    <w:p w14:paraId="44E7BE7A" w14:textId="77777777" w:rsidR="00932077" w:rsidRDefault="00932077" w:rsidP="004A1847">
      <w:pPr>
        <w:spacing w:after="0" w:line="240" w:lineRule="auto"/>
      </w:pPr>
      <w:r>
        <w:continuationSeparator/>
      </w:r>
    </w:p>
  </w:footnote>
  <w:footnote w:type="continuationNotice" w:id="1">
    <w:p w14:paraId="077A80A4" w14:textId="77777777" w:rsidR="00932077" w:rsidRDefault="00932077">
      <w:pPr>
        <w:spacing w:after="0" w:line="240" w:lineRule="auto"/>
      </w:pPr>
    </w:p>
  </w:footnote>
  <w:footnote w:id="2">
    <w:p w14:paraId="46B9F5A3" w14:textId="77777777" w:rsidR="002A38E9" w:rsidRPr="00986DEE" w:rsidRDefault="002A38E9" w:rsidP="002A38E9">
      <w:pPr>
        <w:pStyle w:val="Textonotapie"/>
        <w:ind w:firstLine="709"/>
        <w:jc w:val="both"/>
        <w:rPr>
          <w:rFonts w:ascii="Verdana" w:hAnsi="Verdana"/>
          <w:sz w:val="16"/>
          <w:szCs w:val="16"/>
          <w:lang w:val="es-CO"/>
        </w:rPr>
      </w:pPr>
      <w:r>
        <w:rPr>
          <w:rStyle w:val="Refdenotaalpie"/>
        </w:rPr>
        <w:footnoteRef/>
      </w:r>
      <w:r>
        <w:t xml:space="preserve"> </w:t>
      </w:r>
      <w:r w:rsidRPr="00DA6F45">
        <w:rPr>
          <w:rFonts w:ascii="Verdana" w:hAnsi="Verdana"/>
          <w:sz w:val="16"/>
          <w:szCs w:val="16"/>
        </w:rPr>
        <w:t xml:space="preserve">Conceptos </w:t>
      </w:r>
      <w:r>
        <w:rPr>
          <w:rFonts w:ascii="Verdana" w:hAnsi="Verdana"/>
          <w:sz w:val="16"/>
          <w:szCs w:val="16"/>
        </w:rPr>
        <w:t>C</w:t>
      </w:r>
      <w:r w:rsidRPr="00DA6F45">
        <w:rPr>
          <w:rFonts w:ascii="Verdana" w:hAnsi="Verdana"/>
          <w:sz w:val="16"/>
          <w:szCs w:val="16"/>
        </w:rPr>
        <w:t>-494 del 17 de septiembre de 2021, C-759 del 11 de noviembre de 2022.</w:t>
      </w:r>
    </w:p>
  </w:footnote>
  <w:footnote w:id="3">
    <w:p w14:paraId="67113BB0" w14:textId="77777777" w:rsidR="002A38E9" w:rsidRPr="00AD7D22" w:rsidRDefault="002A38E9" w:rsidP="002A38E9">
      <w:pPr>
        <w:pStyle w:val="Textonotapie"/>
        <w:ind w:firstLine="709"/>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MEDINA LÓPEZ, Diego Eduardo. El derecho de los jueces: obligatoriedad del precedente constitucional, análisis de sentencias y líneas jurisprudenciales y teoría del derecho judicial. Bogotá: Legis, 2006.</w:t>
      </w:r>
    </w:p>
    <w:p w14:paraId="1B2BC819" w14:textId="77777777" w:rsidR="002A38E9" w:rsidRPr="00AD7D22" w:rsidRDefault="002A38E9" w:rsidP="002A38E9">
      <w:pPr>
        <w:pStyle w:val="Textonotapie"/>
        <w:ind w:firstLine="709"/>
        <w:jc w:val="both"/>
        <w:rPr>
          <w:rFonts w:ascii="Verdana" w:hAnsi="Verdana" w:cs="Arial"/>
          <w:color w:val="000000" w:themeColor="text1"/>
          <w:sz w:val="16"/>
          <w:szCs w:val="16"/>
        </w:rPr>
      </w:pPr>
    </w:p>
  </w:footnote>
  <w:footnote w:id="4">
    <w:p w14:paraId="79A835E7" w14:textId="77777777" w:rsidR="002A38E9" w:rsidRPr="00AD7D22" w:rsidRDefault="002A38E9" w:rsidP="002A38E9">
      <w:pPr>
        <w:pStyle w:val="Textonotapie"/>
        <w:ind w:firstLine="709"/>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EXPÓSITO VÉLEZ, Juan Carlos. Definición de los «Contratos Estatales». Contratos Estatales propiamente dichos y Contratos Estatales Especiales. Regulación del Contrato suscrito con entidades estatales. Jurisdicción Competente. En: Andrés Fernando Ospina Garzón. Los Grandes Fallos de la Jurisprudencia Administrativa Colombiana. Universidad Externado de Colombia, 2013. </w:t>
      </w:r>
    </w:p>
    <w:p w14:paraId="4528E26B" w14:textId="77777777" w:rsidR="002A38E9" w:rsidRPr="00AD7D22" w:rsidRDefault="002A38E9" w:rsidP="002A38E9">
      <w:pPr>
        <w:pStyle w:val="Textonotapie"/>
        <w:ind w:firstLine="709"/>
        <w:jc w:val="both"/>
        <w:rPr>
          <w:rFonts w:ascii="Verdana" w:hAnsi="Verdana" w:cs="Arial"/>
          <w:color w:val="000000" w:themeColor="text1"/>
          <w:sz w:val="16"/>
          <w:szCs w:val="16"/>
        </w:rPr>
      </w:pPr>
    </w:p>
  </w:footnote>
  <w:footnote w:id="5">
    <w:p w14:paraId="4C82F451" w14:textId="77777777" w:rsidR="002A38E9" w:rsidRPr="00AD7D22" w:rsidRDefault="002A38E9" w:rsidP="002A38E9">
      <w:pPr>
        <w:pStyle w:val="Textonotapie"/>
        <w:ind w:firstLine="709"/>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CONSEJO DE ESTADO. Sección Tercera. Auto del 20 de agosto de 1998. </w:t>
      </w:r>
      <w:r w:rsidRPr="00AD7D22">
        <w:rPr>
          <w:rFonts w:ascii="Verdana" w:hAnsi="Verdana" w:cs="Arial"/>
          <w:color w:val="000000" w:themeColor="text1"/>
          <w:sz w:val="16"/>
          <w:szCs w:val="16"/>
        </w:rPr>
        <w:t xml:space="preserve">Exp. 14.202.  C.P. Juan de Dios Montes Bermúdez. </w:t>
      </w:r>
    </w:p>
  </w:footnote>
  <w:footnote w:id="6">
    <w:p w14:paraId="56E3B246" w14:textId="77777777" w:rsidR="002A38E9" w:rsidRPr="00AD7D22" w:rsidRDefault="002A38E9" w:rsidP="002A38E9">
      <w:pPr>
        <w:pStyle w:val="Textonotapie"/>
        <w:ind w:firstLine="709"/>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w:t>
      </w:r>
      <w:bookmarkStart w:id="3" w:name="66"/>
      <w:r>
        <w:rPr>
          <w:rFonts w:ascii="Verdana" w:hAnsi="Verdana" w:cs="Arial"/>
          <w:color w:val="000000" w:themeColor="text1"/>
          <w:sz w:val="16"/>
          <w:szCs w:val="16"/>
        </w:rPr>
        <w:t>“</w:t>
      </w:r>
      <w:r w:rsidRPr="00AD7D22">
        <w:rPr>
          <w:rFonts w:ascii="Verdana" w:hAnsi="Verdana" w:cs="Arial"/>
          <w:color w:val="000000" w:themeColor="text1"/>
          <w:sz w:val="16"/>
          <w:szCs w:val="16"/>
        </w:rPr>
        <w:t>Artículo 66. Medidas especiales de contratación.</w:t>
      </w:r>
      <w:bookmarkEnd w:id="3"/>
      <w:r w:rsidRPr="00AD7D22">
        <w:rPr>
          <w:rFonts w:ascii="Verdana" w:hAnsi="Verdana" w:cs="Arial"/>
          <w:color w:val="000000" w:themeColor="text1"/>
          <w:sz w:val="16"/>
          <w:szCs w:val="16"/>
        </w:rPr>
        <w:t>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w:t>
      </w:r>
      <w:hyperlink r:id="rId1" w:anchor="13" w:history="1">
        <w:r w:rsidRPr="00AD7D22">
          <w:rPr>
            <w:rStyle w:val="Hipervnculo"/>
            <w:rFonts w:ascii="Verdana" w:hAnsi="Verdana" w:cs="Arial"/>
            <w:color w:val="000000" w:themeColor="text1"/>
            <w:sz w:val="16"/>
            <w:szCs w:val="16"/>
          </w:rPr>
          <w:t>13</w:t>
        </w:r>
      </w:hyperlink>
      <w:r w:rsidRPr="00AD7D22">
        <w:rPr>
          <w:rFonts w:ascii="Verdana" w:hAnsi="Verdana" w:cs="Arial"/>
          <w:color w:val="000000" w:themeColor="text1"/>
          <w:sz w:val="16"/>
          <w:szCs w:val="16"/>
        </w:rPr>
        <w:t> de la Ley 1150 de 2007, y podrán contemplar cláusulas excepcionales de conformidad con lo dispuesto en los artículos </w:t>
      </w:r>
      <w:hyperlink r:id="rId2" w:anchor="14" w:history="1">
        <w:r w:rsidRPr="00AD7D22">
          <w:rPr>
            <w:rStyle w:val="Hipervnculo"/>
            <w:rFonts w:ascii="Verdana" w:hAnsi="Verdana" w:cs="Arial"/>
            <w:color w:val="000000" w:themeColor="text1"/>
            <w:sz w:val="16"/>
            <w:szCs w:val="16"/>
          </w:rPr>
          <w:t>14</w:t>
        </w:r>
      </w:hyperlink>
      <w:r w:rsidRPr="00AD7D22">
        <w:rPr>
          <w:rFonts w:ascii="Verdana" w:hAnsi="Verdana" w:cs="Arial"/>
          <w:color w:val="000000" w:themeColor="text1"/>
          <w:sz w:val="16"/>
          <w:szCs w:val="16"/>
        </w:rPr>
        <w:t> a </w:t>
      </w:r>
      <w:hyperlink r:id="rId3" w:anchor="18" w:history="1">
        <w:r w:rsidRPr="00AD7D22">
          <w:rPr>
            <w:rStyle w:val="Hipervnculo"/>
            <w:rFonts w:ascii="Verdana" w:hAnsi="Verdana" w:cs="Arial"/>
            <w:color w:val="000000" w:themeColor="text1"/>
            <w:sz w:val="16"/>
            <w:szCs w:val="16"/>
          </w:rPr>
          <w:t>18</w:t>
        </w:r>
      </w:hyperlink>
      <w:r w:rsidRPr="00AD7D22">
        <w:rPr>
          <w:rFonts w:ascii="Verdana" w:hAnsi="Verdana" w:cs="Arial"/>
          <w:color w:val="000000" w:themeColor="text1"/>
          <w:sz w:val="16"/>
          <w:szCs w:val="16"/>
        </w:rPr>
        <w:t> de la Ley 80 de 1993.</w:t>
      </w:r>
      <w:r w:rsidRPr="00AD7D22">
        <w:rPr>
          <w:rStyle w:val="baj"/>
          <w:rFonts w:ascii="Verdana" w:hAnsi="Verdana" w:cs="Arial"/>
          <w:color w:val="000000" w:themeColor="text1"/>
          <w:sz w:val="16"/>
          <w:szCs w:val="16"/>
        </w:rPr>
        <w:t>» PARÁGRAFO.</w:t>
      </w:r>
      <w:r w:rsidRPr="00AD7D22">
        <w:rPr>
          <w:rFonts w:ascii="Verdana" w:hAnsi="Verdana" w:cs="Arial"/>
          <w:color w:val="000000" w:themeColor="text1"/>
          <w:sz w:val="16"/>
          <w:szCs w:val="16"/>
        </w:rPr>
        <w:t> Los contratos celebrados por las entidades territoriales en virtud del artículo anterior se someterán al control fiscal dispuesto para los celebrados en el marco de la declaratoria de urgencia manifiesta contemplada en los artículos </w:t>
      </w:r>
      <w:hyperlink r:id="rId4" w:anchor="42" w:history="1">
        <w:r w:rsidRPr="00AD7D22">
          <w:rPr>
            <w:rStyle w:val="Hipervnculo"/>
            <w:rFonts w:ascii="Verdana" w:hAnsi="Verdana" w:cs="Arial"/>
            <w:color w:val="000000" w:themeColor="text1"/>
            <w:sz w:val="16"/>
            <w:szCs w:val="16"/>
          </w:rPr>
          <w:t>42</w:t>
        </w:r>
      </w:hyperlink>
      <w:r w:rsidRPr="00AD7D22">
        <w:rPr>
          <w:rFonts w:ascii="Verdana" w:hAnsi="Verdana" w:cs="Arial"/>
          <w:color w:val="000000" w:themeColor="text1"/>
          <w:sz w:val="16"/>
          <w:szCs w:val="16"/>
        </w:rPr>
        <w:t> y </w:t>
      </w:r>
      <w:hyperlink r:id="rId5" w:anchor="43" w:history="1">
        <w:r w:rsidRPr="00AD7D22">
          <w:rPr>
            <w:rStyle w:val="Hipervnculo"/>
            <w:rFonts w:ascii="Verdana" w:hAnsi="Verdana" w:cs="Arial"/>
            <w:color w:val="000000" w:themeColor="text1"/>
            <w:sz w:val="16"/>
            <w:szCs w:val="16"/>
          </w:rPr>
          <w:t>43</w:t>
        </w:r>
      </w:hyperlink>
      <w:r w:rsidRPr="00AD7D22">
        <w:rPr>
          <w:rFonts w:ascii="Verdana" w:hAnsi="Verdana" w:cs="Arial"/>
          <w:color w:val="000000" w:themeColor="text1"/>
          <w:sz w:val="16"/>
          <w:szCs w:val="16"/>
        </w:rPr>
        <w:t> de la Ley 80 de 1993 y demás normas que la modifiquen</w:t>
      </w:r>
      <w:r>
        <w:rPr>
          <w:rFonts w:ascii="Verdana" w:hAnsi="Verdana" w:cs="Arial"/>
          <w:color w:val="000000" w:themeColor="text1"/>
          <w:sz w:val="16"/>
          <w:szCs w:val="16"/>
        </w:rPr>
        <w:t>”</w:t>
      </w:r>
      <w:r w:rsidRPr="00AD7D22">
        <w:rPr>
          <w:rFonts w:ascii="Verdana" w:hAnsi="Verdana" w:cs="Arial"/>
          <w:color w:val="000000" w:themeColor="text1"/>
          <w:sz w:val="16"/>
          <w:szCs w:val="16"/>
        </w:rPr>
        <w:t>.</w:t>
      </w:r>
    </w:p>
  </w:footnote>
  <w:footnote w:id="7">
    <w:p w14:paraId="783B0204" w14:textId="77777777" w:rsidR="002A38E9" w:rsidRPr="00AD7D22" w:rsidRDefault="002A38E9" w:rsidP="002A38E9">
      <w:pPr>
        <w:pStyle w:val="Textonotapie"/>
        <w:ind w:firstLine="708"/>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p w14:paraId="0AC94473" w14:textId="77777777" w:rsidR="002A38E9" w:rsidRPr="00AD7D22" w:rsidRDefault="002A38E9" w:rsidP="002A38E9">
      <w:pPr>
        <w:pStyle w:val="Textonotapie"/>
        <w:ind w:firstLine="708"/>
        <w:jc w:val="both"/>
        <w:rPr>
          <w:rFonts w:ascii="Verdana" w:hAnsi="Verdana" w:cs="Arial"/>
          <w:color w:val="000000" w:themeColor="text1"/>
          <w:sz w:val="16"/>
          <w:szCs w:val="16"/>
        </w:rPr>
      </w:pPr>
    </w:p>
  </w:footnote>
  <w:footnote w:id="8">
    <w:p w14:paraId="66539FF4" w14:textId="77777777" w:rsidR="002A38E9" w:rsidRPr="00AD7D22" w:rsidRDefault="002A38E9" w:rsidP="002A38E9">
      <w:pPr>
        <w:pStyle w:val="Textonotapie"/>
        <w:ind w:firstLine="708"/>
        <w:jc w:val="both"/>
        <w:rPr>
          <w:rFonts w:ascii="Verdana" w:hAnsi="Verdana" w:cs="Arial"/>
          <w:sz w:val="16"/>
          <w:szCs w:val="16"/>
        </w:rPr>
      </w:pPr>
      <w:r w:rsidRPr="00AD7D22">
        <w:rPr>
          <w:rStyle w:val="Refdenotaalpie"/>
          <w:rFonts w:ascii="Verdana" w:hAnsi="Verdana" w:cs="Arial"/>
          <w:sz w:val="16"/>
          <w:szCs w:val="16"/>
        </w:rPr>
        <w:footnoteRef/>
      </w:r>
      <w:r w:rsidRPr="00AD7D22">
        <w:rPr>
          <w:rFonts w:ascii="Verdana" w:hAnsi="Verdana" w:cs="Arial"/>
          <w:sz w:val="16"/>
          <w:szCs w:val="16"/>
        </w:rPr>
        <w:t xml:space="preserve"> Cfr. Colombia Compra Eficiente. Subdirección de Gestión Contractual. Concepto C-362 del 3 de julio de 2020. Pág. 9.</w:t>
      </w:r>
    </w:p>
    <w:p w14:paraId="312C4BFA" w14:textId="77777777" w:rsidR="002A38E9" w:rsidRPr="00AD7D22" w:rsidRDefault="002A38E9" w:rsidP="002A38E9">
      <w:pPr>
        <w:pStyle w:val="Textonotapie"/>
        <w:ind w:firstLine="708"/>
        <w:jc w:val="both"/>
        <w:rPr>
          <w:rFonts w:ascii="Verdana" w:hAnsi="Verdana" w:cs="Arial"/>
          <w:sz w:val="16"/>
          <w:szCs w:val="16"/>
        </w:rPr>
      </w:pPr>
    </w:p>
  </w:footnote>
  <w:footnote w:id="9">
    <w:p w14:paraId="0B6B84B9" w14:textId="77777777" w:rsidR="002A38E9" w:rsidRPr="00AD7D22" w:rsidRDefault="002A38E9" w:rsidP="002A38E9">
      <w:pPr>
        <w:spacing w:after="0" w:line="240" w:lineRule="auto"/>
        <w:ind w:firstLine="708"/>
        <w:jc w:val="both"/>
        <w:rPr>
          <w:rFonts w:ascii="Verdana" w:hAnsi="Verdana" w:cs="Arial"/>
          <w:sz w:val="16"/>
          <w:szCs w:val="16"/>
        </w:rPr>
      </w:pPr>
      <w:r w:rsidRPr="00AD7D22">
        <w:rPr>
          <w:rStyle w:val="Refdenotaalpie"/>
          <w:rFonts w:ascii="Verdana" w:hAnsi="Verdana" w:cs="Arial"/>
          <w:sz w:val="16"/>
          <w:szCs w:val="16"/>
        </w:rPr>
        <w:footnoteRef/>
      </w:r>
      <w:r w:rsidRPr="00AD7D22">
        <w:rPr>
          <w:rFonts w:ascii="Verdana" w:hAnsi="Verdana" w:cs="Arial"/>
          <w:sz w:val="16"/>
          <w:szCs w:val="16"/>
        </w:rPr>
        <w:t xml:space="preserve"> “La</w:t>
      </w:r>
      <w:r w:rsidRPr="00AD7D22">
        <w:rPr>
          <w:rFonts w:ascii="Verdana" w:hAnsi="Verdana" w:cs="Arial"/>
          <w:spacing w:val="-12"/>
          <w:sz w:val="16"/>
          <w:szCs w:val="16"/>
        </w:rPr>
        <w:t xml:space="preserve"> </w:t>
      </w:r>
      <w:r w:rsidRPr="00AD7D22">
        <w:rPr>
          <w:rFonts w:ascii="Verdana" w:hAnsi="Verdana" w:cs="Arial"/>
          <w:sz w:val="16"/>
          <w:szCs w:val="16"/>
        </w:rPr>
        <w:t>fuerza</w:t>
      </w:r>
      <w:r w:rsidRPr="00AD7D22">
        <w:rPr>
          <w:rFonts w:ascii="Verdana" w:hAnsi="Verdana" w:cs="Arial"/>
          <w:spacing w:val="-12"/>
          <w:sz w:val="16"/>
          <w:szCs w:val="16"/>
        </w:rPr>
        <w:t xml:space="preserve"> </w:t>
      </w:r>
      <w:r w:rsidRPr="00AD7D22">
        <w:rPr>
          <w:rFonts w:ascii="Verdana" w:hAnsi="Verdana" w:cs="Arial"/>
          <w:sz w:val="16"/>
          <w:szCs w:val="16"/>
        </w:rPr>
        <w:t>vinculante</w:t>
      </w:r>
      <w:r w:rsidRPr="00AD7D22">
        <w:rPr>
          <w:rFonts w:ascii="Verdana" w:hAnsi="Verdana" w:cs="Arial"/>
          <w:spacing w:val="-12"/>
          <w:sz w:val="16"/>
          <w:szCs w:val="16"/>
        </w:rPr>
        <w:t xml:space="preserve"> </w:t>
      </w:r>
      <w:r w:rsidRPr="00AD7D22">
        <w:rPr>
          <w:rFonts w:ascii="Verdana" w:hAnsi="Verdana" w:cs="Arial"/>
          <w:sz w:val="16"/>
          <w:szCs w:val="16"/>
        </w:rPr>
        <w:t>de</w:t>
      </w:r>
      <w:r w:rsidRPr="00AD7D22">
        <w:rPr>
          <w:rFonts w:ascii="Verdana" w:hAnsi="Verdana" w:cs="Arial"/>
          <w:spacing w:val="-11"/>
          <w:sz w:val="16"/>
          <w:szCs w:val="16"/>
        </w:rPr>
        <w:t xml:space="preserve"> </w:t>
      </w:r>
      <w:r w:rsidRPr="00AD7D22">
        <w:rPr>
          <w:rFonts w:ascii="Verdana" w:hAnsi="Verdana" w:cs="Arial"/>
          <w:sz w:val="16"/>
          <w:szCs w:val="16"/>
        </w:rPr>
        <w:t>los</w:t>
      </w:r>
      <w:r w:rsidRPr="00AD7D22">
        <w:rPr>
          <w:rFonts w:ascii="Verdana" w:hAnsi="Verdana" w:cs="Arial"/>
          <w:spacing w:val="-12"/>
          <w:sz w:val="16"/>
          <w:szCs w:val="16"/>
        </w:rPr>
        <w:t xml:space="preserve"> </w:t>
      </w:r>
      <w:r w:rsidRPr="00AD7D22">
        <w:rPr>
          <w:rFonts w:ascii="Verdana" w:hAnsi="Verdana" w:cs="Arial"/>
          <w:sz w:val="16"/>
          <w:szCs w:val="16"/>
        </w:rPr>
        <w:t>reglamentos</w:t>
      </w:r>
      <w:r w:rsidRPr="00AD7D22">
        <w:rPr>
          <w:rFonts w:ascii="Verdana" w:hAnsi="Verdana" w:cs="Arial"/>
          <w:spacing w:val="-12"/>
          <w:sz w:val="16"/>
          <w:szCs w:val="16"/>
        </w:rPr>
        <w:t xml:space="preserve"> </w:t>
      </w:r>
      <w:r w:rsidRPr="00AD7D22">
        <w:rPr>
          <w:rFonts w:ascii="Verdana" w:hAnsi="Verdana" w:cs="Arial"/>
          <w:sz w:val="16"/>
          <w:szCs w:val="16"/>
        </w:rPr>
        <w:t>–tanto</w:t>
      </w:r>
      <w:r w:rsidRPr="00AD7D22">
        <w:rPr>
          <w:rFonts w:ascii="Verdana" w:hAnsi="Verdana" w:cs="Arial"/>
          <w:spacing w:val="-12"/>
          <w:sz w:val="16"/>
          <w:szCs w:val="16"/>
        </w:rPr>
        <w:t xml:space="preserve"> </w:t>
      </w:r>
      <w:r w:rsidRPr="00AD7D22">
        <w:rPr>
          <w:rFonts w:ascii="Verdana" w:hAnsi="Verdana" w:cs="Arial"/>
          <w:sz w:val="16"/>
          <w:szCs w:val="16"/>
        </w:rPr>
        <w:t>para</w:t>
      </w:r>
      <w:r w:rsidRPr="00AD7D22">
        <w:rPr>
          <w:rFonts w:ascii="Verdana" w:hAnsi="Verdana" w:cs="Arial"/>
          <w:spacing w:val="-12"/>
          <w:sz w:val="16"/>
          <w:szCs w:val="16"/>
        </w:rPr>
        <w:t xml:space="preserve"> </w:t>
      </w:r>
      <w:r w:rsidRPr="00AD7D22">
        <w:rPr>
          <w:rFonts w:ascii="Verdana" w:hAnsi="Verdana" w:cs="Arial"/>
          <w:sz w:val="16"/>
          <w:szCs w:val="16"/>
        </w:rPr>
        <w:t>los</w:t>
      </w:r>
      <w:r w:rsidRPr="00AD7D22">
        <w:rPr>
          <w:rFonts w:ascii="Verdana" w:hAnsi="Verdana" w:cs="Arial"/>
          <w:spacing w:val="-11"/>
          <w:sz w:val="16"/>
          <w:szCs w:val="16"/>
        </w:rPr>
        <w:t xml:space="preserve"> </w:t>
      </w:r>
      <w:r w:rsidRPr="00AD7D22">
        <w:rPr>
          <w:rFonts w:ascii="Verdana" w:hAnsi="Verdana" w:cs="Arial"/>
          <w:sz w:val="16"/>
          <w:szCs w:val="16"/>
        </w:rPr>
        <w:t>administrados</w:t>
      </w:r>
      <w:r w:rsidRPr="00AD7D22">
        <w:rPr>
          <w:rFonts w:ascii="Verdana" w:hAnsi="Verdana" w:cs="Arial"/>
          <w:spacing w:val="-12"/>
          <w:sz w:val="16"/>
          <w:szCs w:val="16"/>
        </w:rPr>
        <w:t xml:space="preserve"> </w:t>
      </w:r>
      <w:r w:rsidRPr="00AD7D22">
        <w:rPr>
          <w:rFonts w:ascii="Verdana" w:hAnsi="Verdana" w:cs="Arial"/>
          <w:sz w:val="16"/>
          <w:szCs w:val="16"/>
        </w:rPr>
        <w:t>como</w:t>
      </w:r>
      <w:r w:rsidRPr="00AD7D22">
        <w:rPr>
          <w:rFonts w:ascii="Verdana" w:hAnsi="Verdana" w:cs="Arial"/>
          <w:spacing w:val="-12"/>
          <w:sz w:val="16"/>
          <w:szCs w:val="16"/>
        </w:rPr>
        <w:t xml:space="preserve"> </w:t>
      </w:r>
      <w:r w:rsidRPr="00AD7D22">
        <w:rPr>
          <w:rFonts w:ascii="Verdana" w:hAnsi="Verdana" w:cs="Arial"/>
          <w:sz w:val="16"/>
          <w:szCs w:val="16"/>
        </w:rPr>
        <w:t>para</w:t>
      </w:r>
      <w:r w:rsidRPr="00AD7D22">
        <w:rPr>
          <w:rFonts w:ascii="Verdana" w:hAnsi="Verdana" w:cs="Arial"/>
          <w:spacing w:val="-12"/>
          <w:sz w:val="16"/>
          <w:szCs w:val="16"/>
        </w:rPr>
        <w:t xml:space="preserve"> </w:t>
      </w:r>
      <w:r w:rsidRPr="00AD7D22">
        <w:rPr>
          <w:rFonts w:ascii="Verdana" w:hAnsi="Verdana" w:cs="Arial"/>
          <w:sz w:val="16"/>
          <w:szCs w:val="16"/>
        </w:rPr>
        <w:t>la</w:t>
      </w:r>
      <w:r w:rsidRPr="00AD7D22">
        <w:rPr>
          <w:rFonts w:ascii="Verdana" w:hAnsi="Verdana" w:cs="Arial"/>
          <w:spacing w:val="-12"/>
          <w:sz w:val="16"/>
          <w:szCs w:val="16"/>
        </w:rPr>
        <w:t xml:space="preserve"> </w:t>
      </w:r>
      <w:r w:rsidRPr="00AD7D22">
        <w:rPr>
          <w:rFonts w:ascii="Verdana" w:hAnsi="Verdana" w:cs="Arial"/>
          <w:sz w:val="16"/>
          <w:szCs w:val="16"/>
        </w:rPr>
        <w:t>propia</w:t>
      </w:r>
      <w:r w:rsidRPr="00AD7D22">
        <w:rPr>
          <w:rFonts w:ascii="Verdana" w:hAnsi="Verdana" w:cs="Arial"/>
          <w:spacing w:val="-50"/>
          <w:sz w:val="16"/>
          <w:szCs w:val="16"/>
        </w:rPr>
        <w:t xml:space="preserve"> </w:t>
      </w:r>
      <w:r w:rsidRPr="00AD7D22">
        <w:rPr>
          <w:rFonts w:ascii="Verdana" w:hAnsi="Verdana" w:cs="Arial"/>
          <w:sz w:val="16"/>
          <w:szCs w:val="16"/>
        </w:rPr>
        <w:t>administración– surge del hecho de ser una norma jurídica, y de compartir la naturaleza del acto</w:t>
      </w:r>
      <w:r w:rsidRPr="00AD7D22">
        <w:rPr>
          <w:rFonts w:ascii="Verdana" w:hAnsi="Verdana" w:cs="Arial"/>
          <w:spacing w:val="1"/>
          <w:sz w:val="16"/>
          <w:szCs w:val="16"/>
        </w:rPr>
        <w:t xml:space="preserve"> </w:t>
      </w:r>
      <w:r w:rsidRPr="00AD7D22">
        <w:rPr>
          <w:rFonts w:ascii="Verdana" w:hAnsi="Verdana" w:cs="Arial"/>
          <w:sz w:val="16"/>
          <w:szCs w:val="16"/>
        </w:rPr>
        <w:t>administrativo,</w:t>
      </w:r>
      <w:r w:rsidRPr="00AD7D22">
        <w:rPr>
          <w:rFonts w:ascii="Verdana" w:hAnsi="Verdana" w:cs="Arial"/>
          <w:spacing w:val="-4"/>
          <w:sz w:val="16"/>
          <w:szCs w:val="16"/>
        </w:rPr>
        <w:t xml:space="preserve"> </w:t>
      </w:r>
      <w:r w:rsidRPr="00AD7D22">
        <w:rPr>
          <w:rFonts w:ascii="Verdana" w:hAnsi="Verdana" w:cs="Arial"/>
          <w:sz w:val="16"/>
          <w:szCs w:val="16"/>
        </w:rPr>
        <w:t>luego,</w:t>
      </w:r>
      <w:r w:rsidRPr="00AD7D22">
        <w:rPr>
          <w:rFonts w:ascii="Verdana" w:hAnsi="Verdana" w:cs="Arial"/>
          <w:spacing w:val="-4"/>
          <w:sz w:val="16"/>
          <w:szCs w:val="16"/>
        </w:rPr>
        <w:t xml:space="preserve"> </w:t>
      </w:r>
      <w:r w:rsidRPr="00AD7D22">
        <w:rPr>
          <w:rFonts w:ascii="Verdana" w:hAnsi="Verdana" w:cs="Arial"/>
          <w:sz w:val="16"/>
          <w:szCs w:val="16"/>
        </w:rPr>
        <w:t>de</w:t>
      </w:r>
      <w:r w:rsidRPr="00AD7D22">
        <w:rPr>
          <w:rFonts w:ascii="Verdana" w:hAnsi="Verdana" w:cs="Arial"/>
          <w:spacing w:val="-4"/>
          <w:sz w:val="16"/>
          <w:szCs w:val="16"/>
        </w:rPr>
        <w:t xml:space="preserve"> </w:t>
      </w:r>
      <w:r w:rsidRPr="00AD7D22">
        <w:rPr>
          <w:rFonts w:ascii="Verdana" w:hAnsi="Verdana" w:cs="Arial"/>
          <w:sz w:val="16"/>
          <w:szCs w:val="16"/>
        </w:rPr>
        <w:t>allí</w:t>
      </w:r>
      <w:r w:rsidRPr="00AD7D22">
        <w:rPr>
          <w:rFonts w:ascii="Verdana" w:hAnsi="Verdana" w:cs="Arial"/>
          <w:spacing w:val="-4"/>
          <w:sz w:val="16"/>
          <w:szCs w:val="16"/>
        </w:rPr>
        <w:t xml:space="preserve"> </w:t>
      </w:r>
      <w:r w:rsidRPr="00AD7D22">
        <w:rPr>
          <w:rFonts w:ascii="Verdana" w:hAnsi="Verdana" w:cs="Arial"/>
          <w:sz w:val="16"/>
          <w:szCs w:val="16"/>
        </w:rPr>
        <w:t>también</w:t>
      </w:r>
      <w:r w:rsidRPr="00AD7D22">
        <w:rPr>
          <w:rFonts w:ascii="Verdana" w:hAnsi="Verdana" w:cs="Arial"/>
          <w:spacing w:val="-4"/>
          <w:sz w:val="16"/>
          <w:szCs w:val="16"/>
        </w:rPr>
        <w:t xml:space="preserve"> </w:t>
      </w:r>
      <w:r w:rsidRPr="00AD7D22">
        <w:rPr>
          <w:rFonts w:ascii="Verdana" w:hAnsi="Verdana" w:cs="Arial"/>
          <w:sz w:val="16"/>
          <w:szCs w:val="16"/>
        </w:rPr>
        <w:t>se</w:t>
      </w:r>
      <w:r w:rsidRPr="00AD7D22">
        <w:rPr>
          <w:rFonts w:ascii="Verdana" w:hAnsi="Verdana" w:cs="Arial"/>
          <w:spacing w:val="-4"/>
          <w:sz w:val="16"/>
          <w:szCs w:val="16"/>
        </w:rPr>
        <w:t xml:space="preserve"> </w:t>
      </w:r>
      <w:r w:rsidRPr="00AD7D22">
        <w:rPr>
          <w:rFonts w:ascii="Verdana" w:hAnsi="Verdana" w:cs="Arial"/>
          <w:sz w:val="16"/>
          <w:szCs w:val="16"/>
        </w:rPr>
        <w:t>desprende</w:t>
      </w:r>
      <w:r w:rsidRPr="00AD7D22">
        <w:rPr>
          <w:rFonts w:ascii="Verdana" w:hAnsi="Verdana" w:cs="Arial"/>
          <w:spacing w:val="-4"/>
          <w:sz w:val="16"/>
          <w:szCs w:val="16"/>
        </w:rPr>
        <w:t xml:space="preserve"> </w:t>
      </w:r>
      <w:r w:rsidRPr="00AD7D22">
        <w:rPr>
          <w:rFonts w:ascii="Verdana" w:hAnsi="Verdana" w:cs="Arial"/>
          <w:sz w:val="16"/>
          <w:szCs w:val="16"/>
        </w:rPr>
        <w:t>que</w:t>
      </w:r>
      <w:r w:rsidRPr="00AD7D22">
        <w:rPr>
          <w:rFonts w:ascii="Verdana" w:hAnsi="Verdana" w:cs="Arial"/>
          <w:spacing w:val="-3"/>
          <w:sz w:val="16"/>
          <w:szCs w:val="16"/>
        </w:rPr>
        <w:t xml:space="preserve"> </w:t>
      </w:r>
      <w:r w:rsidRPr="00AD7D22">
        <w:rPr>
          <w:rFonts w:ascii="Verdana" w:hAnsi="Verdana" w:cs="Arial"/>
          <w:sz w:val="16"/>
          <w:szCs w:val="16"/>
        </w:rPr>
        <w:t>se</w:t>
      </w:r>
      <w:r w:rsidRPr="00AD7D22">
        <w:rPr>
          <w:rFonts w:ascii="Verdana" w:hAnsi="Verdana" w:cs="Arial"/>
          <w:spacing w:val="-4"/>
          <w:sz w:val="16"/>
          <w:szCs w:val="16"/>
        </w:rPr>
        <w:t xml:space="preserve"> </w:t>
      </w:r>
      <w:r w:rsidRPr="00AD7D22">
        <w:rPr>
          <w:rFonts w:ascii="Verdana" w:hAnsi="Verdana" w:cs="Arial"/>
          <w:sz w:val="16"/>
          <w:szCs w:val="16"/>
        </w:rPr>
        <w:t>presuman</w:t>
      </w:r>
      <w:r w:rsidRPr="00AD7D22">
        <w:rPr>
          <w:rFonts w:ascii="Verdana" w:hAnsi="Verdana" w:cs="Arial"/>
          <w:spacing w:val="-4"/>
          <w:sz w:val="16"/>
          <w:szCs w:val="16"/>
        </w:rPr>
        <w:t xml:space="preserve"> </w:t>
      </w:r>
      <w:r w:rsidRPr="00AD7D22">
        <w:rPr>
          <w:rFonts w:ascii="Verdana" w:hAnsi="Verdana" w:cs="Arial"/>
          <w:sz w:val="16"/>
          <w:szCs w:val="16"/>
        </w:rPr>
        <w:t>legales</w:t>
      </w:r>
      <w:r w:rsidRPr="00AD7D22">
        <w:rPr>
          <w:rFonts w:ascii="Verdana" w:hAnsi="Verdana" w:cs="Arial"/>
          <w:spacing w:val="-4"/>
          <w:sz w:val="16"/>
          <w:szCs w:val="16"/>
        </w:rPr>
        <w:t xml:space="preserve"> </w:t>
      </w:r>
      <w:r w:rsidRPr="00AD7D22">
        <w:rPr>
          <w:rFonts w:ascii="Verdana" w:hAnsi="Verdana" w:cs="Arial"/>
          <w:sz w:val="16"/>
          <w:szCs w:val="16"/>
        </w:rPr>
        <w:t>y</w:t>
      </w:r>
      <w:r w:rsidRPr="00AD7D22">
        <w:rPr>
          <w:rFonts w:ascii="Verdana" w:hAnsi="Verdana" w:cs="Arial"/>
          <w:spacing w:val="-4"/>
          <w:sz w:val="16"/>
          <w:szCs w:val="16"/>
        </w:rPr>
        <w:t xml:space="preserve"> </w:t>
      </w:r>
      <w:r w:rsidRPr="00AD7D22">
        <w:rPr>
          <w:rFonts w:ascii="Verdana" w:hAnsi="Verdana" w:cs="Arial"/>
          <w:sz w:val="16"/>
          <w:szCs w:val="16"/>
        </w:rPr>
        <w:t>sean</w:t>
      </w:r>
      <w:r w:rsidRPr="00AD7D22">
        <w:rPr>
          <w:rFonts w:ascii="Verdana" w:hAnsi="Verdana" w:cs="Arial"/>
          <w:spacing w:val="-4"/>
          <w:sz w:val="16"/>
          <w:szCs w:val="16"/>
        </w:rPr>
        <w:t xml:space="preserve"> </w:t>
      </w:r>
      <w:r w:rsidRPr="00AD7D22">
        <w:rPr>
          <w:rFonts w:ascii="Verdana" w:hAnsi="Verdana" w:cs="Arial"/>
          <w:sz w:val="16"/>
          <w:szCs w:val="16"/>
        </w:rPr>
        <w:t>ejecutorios.</w:t>
      </w:r>
    </w:p>
    <w:p w14:paraId="36CF6AF3" w14:textId="77777777" w:rsidR="002A38E9" w:rsidRPr="00AD7D22" w:rsidRDefault="002A38E9" w:rsidP="002A38E9">
      <w:pPr>
        <w:spacing w:after="0" w:line="240" w:lineRule="auto"/>
        <w:ind w:firstLine="708"/>
        <w:jc w:val="both"/>
        <w:rPr>
          <w:rFonts w:ascii="Verdana" w:hAnsi="Verdana" w:cs="Arial"/>
          <w:sz w:val="16"/>
          <w:szCs w:val="16"/>
        </w:rPr>
      </w:pPr>
      <w:r w:rsidRPr="00AD7D22">
        <w:rPr>
          <w:rFonts w:ascii="Verdana" w:hAnsi="Verdana" w:cs="Arial"/>
          <w:sz w:val="16"/>
          <w:szCs w:val="16"/>
        </w:rPr>
        <w:t>Por esta misma razón, la doctrina española –con especial fuerza– ha señalado que su</w:t>
      </w:r>
      <w:r w:rsidRPr="00AD7D22">
        <w:rPr>
          <w:rFonts w:ascii="Verdana" w:hAnsi="Verdana" w:cs="Arial"/>
          <w:spacing w:val="1"/>
          <w:sz w:val="16"/>
          <w:szCs w:val="16"/>
        </w:rPr>
        <w:t xml:space="preserve"> </w:t>
      </w:r>
      <w:r w:rsidRPr="00AD7D22">
        <w:rPr>
          <w:rFonts w:ascii="Verdana" w:hAnsi="Verdana" w:cs="Arial"/>
          <w:sz w:val="16"/>
          <w:szCs w:val="16"/>
        </w:rPr>
        <w:t>observancia</w:t>
      </w:r>
      <w:r w:rsidRPr="00AD7D22">
        <w:rPr>
          <w:rFonts w:ascii="Verdana" w:hAnsi="Verdana" w:cs="Arial"/>
          <w:spacing w:val="-5"/>
          <w:sz w:val="16"/>
          <w:szCs w:val="16"/>
        </w:rPr>
        <w:t xml:space="preserve"> </w:t>
      </w:r>
      <w:r w:rsidRPr="00AD7D22">
        <w:rPr>
          <w:rFonts w:ascii="Verdana" w:hAnsi="Verdana" w:cs="Arial"/>
          <w:sz w:val="16"/>
          <w:szCs w:val="16"/>
        </w:rPr>
        <w:t>no</w:t>
      </w:r>
      <w:r w:rsidRPr="00AD7D22">
        <w:rPr>
          <w:rFonts w:ascii="Verdana" w:hAnsi="Verdana" w:cs="Arial"/>
          <w:spacing w:val="-4"/>
          <w:sz w:val="16"/>
          <w:szCs w:val="16"/>
        </w:rPr>
        <w:t xml:space="preserve"> </w:t>
      </w:r>
      <w:r w:rsidRPr="00AD7D22">
        <w:rPr>
          <w:rFonts w:ascii="Verdana" w:hAnsi="Verdana" w:cs="Arial"/>
          <w:sz w:val="16"/>
          <w:szCs w:val="16"/>
        </w:rPr>
        <w:t>queda</w:t>
      </w:r>
      <w:r w:rsidRPr="00AD7D22">
        <w:rPr>
          <w:rFonts w:ascii="Verdana" w:hAnsi="Verdana" w:cs="Arial"/>
          <w:spacing w:val="-5"/>
          <w:sz w:val="16"/>
          <w:szCs w:val="16"/>
        </w:rPr>
        <w:t xml:space="preserve"> </w:t>
      </w:r>
      <w:r w:rsidRPr="00AD7D22">
        <w:rPr>
          <w:rFonts w:ascii="Verdana" w:hAnsi="Verdana" w:cs="Arial"/>
          <w:sz w:val="16"/>
          <w:szCs w:val="16"/>
        </w:rPr>
        <w:t>al</w:t>
      </w:r>
      <w:r w:rsidRPr="00AD7D22">
        <w:rPr>
          <w:rFonts w:ascii="Verdana" w:hAnsi="Verdana" w:cs="Arial"/>
          <w:spacing w:val="-4"/>
          <w:sz w:val="16"/>
          <w:szCs w:val="16"/>
        </w:rPr>
        <w:t xml:space="preserve"> </w:t>
      </w:r>
      <w:r w:rsidRPr="00AD7D22">
        <w:rPr>
          <w:rFonts w:ascii="Verdana" w:hAnsi="Verdana" w:cs="Arial"/>
          <w:sz w:val="16"/>
          <w:szCs w:val="16"/>
        </w:rPr>
        <w:t>capricho</w:t>
      </w:r>
      <w:r w:rsidRPr="00AD7D22">
        <w:rPr>
          <w:rFonts w:ascii="Verdana" w:hAnsi="Verdana" w:cs="Arial"/>
          <w:spacing w:val="-5"/>
          <w:sz w:val="16"/>
          <w:szCs w:val="16"/>
        </w:rPr>
        <w:t xml:space="preserve"> </w:t>
      </w:r>
      <w:r w:rsidRPr="00AD7D22">
        <w:rPr>
          <w:rFonts w:ascii="Verdana" w:hAnsi="Verdana" w:cs="Arial"/>
          <w:sz w:val="16"/>
          <w:szCs w:val="16"/>
        </w:rPr>
        <w:t>del</w:t>
      </w:r>
      <w:r w:rsidRPr="00AD7D22">
        <w:rPr>
          <w:rFonts w:ascii="Verdana" w:hAnsi="Verdana" w:cs="Arial"/>
          <w:spacing w:val="-4"/>
          <w:sz w:val="16"/>
          <w:szCs w:val="16"/>
        </w:rPr>
        <w:t xml:space="preserve"> </w:t>
      </w:r>
      <w:r w:rsidRPr="00AD7D22">
        <w:rPr>
          <w:rFonts w:ascii="Verdana" w:hAnsi="Verdana" w:cs="Arial"/>
          <w:sz w:val="16"/>
          <w:szCs w:val="16"/>
        </w:rPr>
        <w:t>órgano</w:t>
      </w:r>
      <w:r w:rsidRPr="00AD7D22">
        <w:rPr>
          <w:rFonts w:ascii="Verdana" w:hAnsi="Verdana" w:cs="Arial"/>
          <w:spacing w:val="-5"/>
          <w:sz w:val="16"/>
          <w:szCs w:val="16"/>
        </w:rPr>
        <w:t xml:space="preserve"> </w:t>
      </w:r>
      <w:r w:rsidRPr="00AD7D22">
        <w:rPr>
          <w:rFonts w:ascii="Verdana" w:hAnsi="Verdana" w:cs="Arial"/>
          <w:sz w:val="16"/>
          <w:szCs w:val="16"/>
        </w:rPr>
        <w:t>que</w:t>
      </w:r>
      <w:r w:rsidRPr="00AD7D22">
        <w:rPr>
          <w:rFonts w:ascii="Verdana" w:hAnsi="Verdana" w:cs="Arial"/>
          <w:spacing w:val="-4"/>
          <w:sz w:val="16"/>
          <w:szCs w:val="16"/>
        </w:rPr>
        <w:t xml:space="preserve"> </w:t>
      </w:r>
      <w:r w:rsidRPr="00AD7D22">
        <w:rPr>
          <w:rFonts w:ascii="Verdana" w:hAnsi="Verdana" w:cs="Arial"/>
          <w:sz w:val="16"/>
          <w:szCs w:val="16"/>
        </w:rPr>
        <w:t>la</w:t>
      </w:r>
      <w:r w:rsidRPr="00AD7D22">
        <w:rPr>
          <w:rFonts w:ascii="Verdana" w:hAnsi="Verdana" w:cs="Arial"/>
          <w:spacing w:val="-5"/>
          <w:sz w:val="16"/>
          <w:szCs w:val="16"/>
        </w:rPr>
        <w:t xml:space="preserve"> </w:t>
      </w:r>
      <w:r w:rsidRPr="00AD7D22">
        <w:rPr>
          <w:rFonts w:ascii="Verdana" w:hAnsi="Verdana" w:cs="Arial"/>
          <w:sz w:val="16"/>
          <w:szCs w:val="16"/>
        </w:rPr>
        <w:t>expidió,</w:t>
      </w:r>
      <w:r w:rsidRPr="00AD7D22">
        <w:rPr>
          <w:rFonts w:ascii="Verdana" w:hAnsi="Verdana" w:cs="Arial"/>
          <w:spacing w:val="-4"/>
          <w:sz w:val="16"/>
          <w:szCs w:val="16"/>
        </w:rPr>
        <w:t xml:space="preserve"> </w:t>
      </w:r>
      <w:r w:rsidRPr="00AD7D22">
        <w:rPr>
          <w:rFonts w:ascii="Verdana" w:hAnsi="Verdana" w:cs="Arial"/>
          <w:sz w:val="16"/>
          <w:szCs w:val="16"/>
        </w:rPr>
        <w:t>pues</w:t>
      </w:r>
      <w:r w:rsidRPr="00AD7D22">
        <w:rPr>
          <w:rFonts w:ascii="Verdana" w:hAnsi="Verdana" w:cs="Arial"/>
          <w:spacing w:val="-5"/>
          <w:sz w:val="16"/>
          <w:szCs w:val="16"/>
        </w:rPr>
        <w:t xml:space="preserve"> </w:t>
      </w:r>
      <w:r w:rsidRPr="00AD7D22">
        <w:rPr>
          <w:rFonts w:ascii="Verdana" w:hAnsi="Verdana" w:cs="Arial"/>
          <w:sz w:val="16"/>
          <w:szCs w:val="16"/>
        </w:rPr>
        <w:t>si</w:t>
      </w:r>
      <w:r w:rsidRPr="00AD7D22">
        <w:rPr>
          <w:rFonts w:ascii="Verdana" w:hAnsi="Verdana" w:cs="Arial"/>
          <w:spacing w:val="-4"/>
          <w:sz w:val="16"/>
          <w:szCs w:val="16"/>
        </w:rPr>
        <w:t xml:space="preserve"> </w:t>
      </w:r>
      <w:r w:rsidRPr="00AD7D22">
        <w:rPr>
          <w:rFonts w:ascii="Verdana" w:hAnsi="Verdana" w:cs="Arial"/>
          <w:sz w:val="16"/>
          <w:szCs w:val="16"/>
        </w:rPr>
        <w:t>quisiera</w:t>
      </w:r>
      <w:r w:rsidRPr="00AD7D22">
        <w:rPr>
          <w:rFonts w:ascii="Verdana" w:hAnsi="Verdana" w:cs="Arial"/>
          <w:spacing w:val="-5"/>
          <w:sz w:val="16"/>
          <w:szCs w:val="16"/>
        </w:rPr>
        <w:t xml:space="preserve"> </w:t>
      </w:r>
      <w:r w:rsidRPr="00AD7D22">
        <w:rPr>
          <w:rFonts w:ascii="Verdana" w:hAnsi="Verdana" w:cs="Arial"/>
          <w:sz w:val="16"/>
          <w:szCs w:val="16"/>
        </w:rPr>
        <w:t>él</w:t>
      </w:r>
      <w:r w:rsidRPr="00AD7D22">
        <w:rPr>
          <w:rFonts w:ascii="Verdana" w:hAnsi="Verdana" w:cs="Arial"/>
          <w:spacing w:val="-4"/>
          <w:sz w:val="16"/>
          <w:szCs w:val="16"/>
        </w:rPr>
        <w:t xml:space="preserve"> </w:t>
      </w:r>
      <w:r w:rsidRPr="00AD7D22">
        <w:rPr>
          <w:rFonts w:ascii="Verdana" w:hAnsi="Verdana" w:cs="Arial"/>
          <w:sz w:val="16"/>
          <w:szCs w:val="16"/>
        </w:rPr>
        <w:t>lo</w:t>
      </w:r>
      <w:r w:rsidRPr="00AD7D22">
        <w:rPr>
          <w:rFonts w:ascii="Verdana" w:hAnsi="Verdana" w:cs="Arial"/>
          <w:spacing w:val="-4"/>
          <w:sz w:val="16"/>
          <w:szCs w:val="16"/>
        </w:rPr>
        <w:t xml:space="preserve"> </w:t>
      </w:r>
      <w:r w:rsidRPr="00AD7D22">
        <w:rPr>
          <w:rFonts w:ascii="Verdana" w:hAnsi="Verdana" w:cs="Arial"/>
          <w:sz w:val="16"/>
          <w:szCs w:val="16"/>
        </w:rPr>
        <w:t>puede</w:t>
      </w:r>
      <w:r w:rsidRPr="00AD7D22">
        <w:rPr>
          <w:rFonts w:ascii="Verdana" w:hAnsi="Verdana" w:cs="Arial"/>
          <w:spacing w:val="-5"/>
          <w:sz w:val="16"/>
          <w:szCs w:val="16"/>
        </w:rPr>
        <w:t xml:space="preserve"> </w:t>
      </w:r>
      <w:r w:rsidRPr="00AD7D22">
        <w:rPr>
          <w:rFonts w:ascii="Verdana" w:hAnsi="Verdana" w:cs="Arial"/>
          <w:sz w:val="16"/>
          <w:szCs w:val="16"/>
        </w:rPr>
        <w:t>desconocer.</w:t>
      </w:r>
      <w:r w:rsidRPr="00AD7D22">
        <w:rPr>
          <w:rFonts w:ascii="Verdana" w:hAnsi="Verdana" w:cs="Arial"/>
          <w:spacing w:val="1"/>
          <w:sz w:val="16"/>
          <w:szCs w:val="16"/>
        </w:rPr>
        <w:t xml:space="preserve"> </w:t>
      </w:r>
      <w:r w:rsidRPr="00AD7D22">
        <w:rPr>
          <w:rFonts w:ascii="Verdana" w:hAnsi="Verdana" w:cs="Arial"/>
          <w:sz w:val="16"/>
          <w:szCs w:val="16"/>
        </w:rPr>
        <w:t>De algún modo, como acontece con todo acto administrativo, el acto cobra vida propia, y autonomía</w:t>
      </w:r>
      <w:r w:rsidRPr="00AD7D22">
        <w:rPr>
          <w:rFonts w:ascii="Verdana" w:hAnsi="Verdana" w:cs="Arial"/>
          <w:spacing w:val="1"/>
          <w:sz w:val="16"/>
          <w:szCs w:val="16"/>
        </w:rPr>
        <w:t xml:space="preserve"> </w:t>
      </w:r>
      <w:r w:rsidRPr="00AD7D22">
        <w:rPr>
          <w:rFonts w:ascii="Verdana" w:hAnsi="Verdana" w:cs="Arial"/>
          <w:sz w:val="16"/>
          <w:szCs w:val="16"/>
        </w:rPr>
        <w:t>en</w:t>
      </w:r>
      <w:r w:rsidRPr="00AD7D22">
        <w:rPr>
          <w:rFonts w:ascii="Verdana" w:hAnsi="Verdana" w:cs="Arial"/>
          <w:spacing w:val="-7"/>
          <w:sz w:val="16"/>
          <w:szCs w:val="16"/>
        </w:rPr>
        <w:t xml:space="preserve"> </w:t>
      </w:r>
      <w:r w:rsidRPr="00AD7D22">
        <w:rPr>
          <w:rFonts w:ascii="Verdana" w:hAnsi="Verdana" w:cs="Arial"/>
          <w:sz w:val="16"/>
          <w:szCs w:val="16"/>
        </w:rPr>
        <w:t>relación</w:t>
      </w:r>
      <w:r w:rsidRPr="00AD7D22">
        <w:rPr>
          <w:rFonts w:ascii="Verdana" w:hAnsi="Verdana" w:cs="Arial"/>
          <w:spacing w:val="-7"/>
          <w:sz w:val="16"/>
          <w:szCs w:val="16"/>
        </w:rPr>
        <w:t xml:space="preserve"> </w:t>
      </w:r>
      <w:r w:rsidRPr="00AD7D22">
        <w:rPr>
          <w:rFonts w:ascii="Verdana" w:hAnsi="Verdana" w:cs="Arial"/>
          <w:sz w:val="16"/>
          <w:szCs w:val="16"/>
        </w:rPr>
        <w:t>con</w:t>
      </w:r>
      <w:r w:rsidRPr="00AD7D22">
        <w:rPr>
          <w:rFonts w:ascii="Verdana" w:hAnsi="Verdana" w:cs="Arial"/>
          <w:spacing w:val="-6"/>
          <w:sz w:val="16"/>
          <w:szCs w:val="16"/>
        </w:rPr>
        <w:t xml:space="preserve"> </w:t>
      </w:r>
      <w:r w:rsidRPr="00AD7D22">
        <w:rPr>
          <w:rFonts w:ascii="Verdana" w:hAnsi="Verdana" w:cs="Arial"/>
          <w:sz w:val="16"/>
          <w:szCs w:val="16"/>
        </w:rPr>
        <w:t>su</w:t>
      </w:r>
      <w:r w:rsidRPr="00AD7D22">
        <w:rPr>
          <w:rFonts w:ascii="Verdana" w:hAnsi="Verdana" w:cs="Arial"/>
          <w:spacing w:val="-7"/>
          <w:sz w:val="16"/>
          <w:szCs w:val="16"/>
        </w:rPr>
        <w:t xml:space="preserve"> </w:t>
      </w:r>
      <w:r w:rsidRPr="00AD7D22">
        <w:rPr>
          <w:rFonts w:ascii="Verdana" w:hAnsi="Verdana" w:cs="Arial"/>
          <w:sz w:val="16"/>
          <w:szCs w:val="16"/>
        </w:rPr>
        <w:t>propio</w:t>
      </w:r>
      <w:r w:rsidRPr="00AD7D22">
        <w:rPr>
          <w:rFonts w:ascii="Verdana" w:hAnsi="Verdana" w:cs="Arial"/>
          <w:spacing w:val="-7"/>
          <w:sz w:val="16"/>
          <w:szCs w:val="16"/>
        </w:rPr>
        <w:t xml:space="preserve"> </w:t>
      </w:r>
      <w:r w:rsidRPr="00AD7D22">
        <w:rPr>
          <w:rFonts w:ascii="Verdana" w:hAnsi="Verdana" w:cs="Arial"/>
          <w:sz w:val="16"/>
          <w:szCs w:val="16"/>
        </w:rPr>
        <w:t>creador.</w:t>
      </w:r>
      <w:r w:rsidRPr="00AD7D22">
        <w:rPr>
          <w:rFonts w:ascii="Verdana" w:hAnsi="Verdana" w:cs="Arial"/>
          <w:spacing w:val="-6"/>
          <w:sz w:val="16"/>
          <w:szCs w:val="16"/>
        </w:rPr>
        <w:t xml:space="preserve"> </w:t>
      </w:r>
      <w:r w:rsidRPr="00AD7D22">
        <w:rPr>
          <w:rFonts w:ascii="Verdana" w:hAnsi="Verdana" w:cs="Arial"/>
          <w:sz w:val="16"/>
          <w:szCs w:val="16"/>
        </w:rPr>
        <w:t>A</w:t>
      </w:r>
      <w:r w:rsidRPr="00AD7D22">
        <w:rPr>
          <w:rFonts w:ascii="Verdana" w:hAnsi="Verdana" w:cs="Arial"/>
          <w:spacing w:val="-7"/>
          <w:sz w:val="16"/>
          <w:szCs w:val="16"/>
        </w:rPr>
        <w:t xml:space="preserve"> </w:t>
      </w:r>
      <w:r w:rsidRPr="00AD7D22">
        <w:rPr>
          <w:rFonts w:ascii="Verdana" w:hAnsi="Verdana" w:cs="Arial"/>
          <w:sz w:val="16"/>
          <w:szCs w:val="16"/>
        </w:rPr>
        <w:t>este</w:t>
      </w:r>
      <w:r w:rsidRPr="00AD7D22">
        <w:rPr>
          <w:rFonts w:ascii="Verdana" w:hAnsi="Verdana" w:cs="Arial"/>
          <w:spacing w:val="-6"/>
          <w:sz w:val="16"/>
          <w:szCs w:val="16"/>
        </w:rPr>
        <w:t xml:space="preserve"> </w:t>
      </w:r>
      <w:r w:rsidRPr="00AD7D22">
        <w:rPr>
          <w:rFonts w:ascii="Verdana" w:hAnsi="Verdana" w:cs="Arial"/>
          <w:sz w:val="16"/>
          <w:szCs w:val="16"/>
        </w:rPr>
        <w:t>último</w:t>
      </w:r>
      <w:r w:rsidRPr="00AD7D22">
        <w:rPr>
          <w:rFonts w:ascii="Verdana" w:hAnsi="Verdana" w:cs="Arial"/>
          <w:spacing w:val="-7"/>
          <w:sz w:val="16"/>
          <w:szCs w:val="16"/>
        </w:rPr>
        <w:t xml:space="preserve"> </w:t>
      </w:r>
      <w:r w:rsidRPr="00AD7D22">
        <w:rPr>
          <w:rFonts w:ascii="Verdana" w:hAnsi="Verdana" w:cs="Arial"/>
          <w:sz w:val="16"/>
          <w:szCs w:val="16"/>
        </w:rPr>
        <w:t>evento</w:t>
      </w:r>
      <w:r w:rsidRPr="00AD7D22">
        <w:rPr>
          <w:rFonts w:ascii="Verdana" w:hAnsi="Verdana" w:cs="Arial"/>
          <w:spacing w:val="-7"/>
          <w:sz w:val="16"/>
          <w:szCs w:val="16"/>
        </w:rPr>
        <w:t xml:space="preserve"> </w:t>
      </w:r>
      <w:r w:rsidRPr="00AD7D22">
        <w:rPr>
          <w:rFonts w:ascii="Verdana" w:hAnsi="Verdana" w:cs="Arial"/>
          <w:sz w:val="16"/>
          <w:szCs w:val="16"/>
        </w:rPr>
        <w:t>se</w:t>
      </w:r>
      <w:r w:rsidRPr="00AD7D22">
        <w:rPr>
          <w:rFonts w:ascii="Verdana" w:hAnsi="Verdana" w:cs="Arial"/>
          <w:spacing w:val="-6"/>
          <w:sz w:val="16"/>
          <w:szCs w:val="16"/>
        </w:rPr>
        <w:t xml:space="preserve"> </w:t>
      </w:r>
      <w:r w:rsidRPr="00AD7D22">
        <w:rPr>
          <w:rFonts w:ascii="Verdana" w:hAnsi="Verdana" w:cs="Arial"/>
          <w:sz w:val="16"/>
          <w:szCs w:val="16"/>
        </w:rPr>
        <w:t>le</w:t>
      </w:r>
      <w:r w:rsidRPr="00AD7D22">
        <w:rPr>
          <w:rFonts w:ascii="Verdana" w:hAnsi="Verdana" w:cs="Arial"/>
          <w:spacing w:val="-7"/>
          <w:sz w:val="16"/>
          <w:szCs w:val="16"/>
        </w:rPr>
        <w:t xml:space="preserve"> </w:t>
      </w:r>
      <w:r w:rsidRPr="00AD7D22">
        <w:rPr>
          <w:rFonts w:ascii="Verdana" w:hAnsi="Verdana" w:cs="Arial"/>
          <w:sz w:val="16"/>
          <w:szCs w:val="16"/>
        </w:rPr>
        <w:t>denomina</w:t>
      </w:r>
      <w:r w:rsidRPr="00AD7D22">
        <w:rPr>
          <w:rFonts w:ascii="Verdana" w:hAnsi="Verdana" w:cs="Arial"/>
          <w:spacing w:val="-6"/>
          <w:sz w:val="16"/>
          <w:szCs w:val="16"/>
        </w:rPr>
        <w:t xml:space="preserve"> </w:t>
      </w:r>
      <w:r w:rsidRPr="00AD7D22">
        <w:rPr>
          <w:rFonts w:ascii="Verdana" w:hAnsi="Verdana" w:cs="Arial"/>
          <w:sz w:val="16"/>
          <w:szCs w:val="16"/>
        </w:rPr>
        <w:t>la</w:t>
      </w:r>
      <w:r w:rsidRPr="00AD7D22">
        <w:rPr>
          <w:rFonts w:ascii="Verdana" w:hAnsi="Verdana" w:cs="Arial"/>
          <w:spacing w:val="-6"/>
          <w:sz w:val="16"/>
          <w:szCs w:val="16"/>
        </w:rPr>
        <w:t xml:space="preserve"> </w:t>
      </w:r>
      <w:r w:rsidRPr="00AD7D22">
        <w:rPr>
          <w:rFonts w:ascii="Verdana" w:hAnsi="Verdana" w:cs="Arial"/>
          <w:sz w:val="16"/>
          <w:szCs w:val="16"/>
        </w:rPr>
        <w:t>inderogabilidad</w:t>
      </w:r>
      <w:r w:rsidRPr="00AD7D22">
        <w:rPr>
          <w:rFonts w:ascii="Verdana" w:hAnsi="Verdana" w:cs="Arial"/>
          <w:spacing w:val="-6"/>
          <w:sz w:val="16"/>
          <w:szCs w:val="16"/>
        </w:rPr>
        <w:t xml:space="preserve"> </w:t>
      </w:r>
      <w:r w:rsidRPr="00AD7D22">
        <w:rPr>
          <w:rFonts w:ascii="Verdana" w:hAnsi="Verdana" w:cs="Arial"/>
          <w:sz w:val="16"/>
          <w:szCs w:val="16"/>
        </w:rPr>
        <w:t>singular</w:t>
      </w:r>
      <w:r w:rsidRPr="00AD7D22">
        <w:rPr>
          <w:rFonts w:ascii="Verdana" w:hAnsi="Verdana" w:cs="Arial"/>
          <w:spacing w:val="-6"/>
          <w:sz w:val="16"/>
          <w:szCs w:val="16"/>
        </w:rPr>
        <w:t xml:space="preserve"> </w:t>
      </w:r>
      <w:r w:rsidRPr="00AD7D22">
        <w:rPr>
          <w:rFonts w:ascii="Verdana" w:hAnsi="Verdana" w:cs="Arial"/>
          <w:sz w:val="16"/>
          <w:szCs w:val="16"/>
        </w:rPr>
        <w:t>del</w:t>
      </w:r>
      <w:r w:rsidRPr="00AD7D22">
        <w:rPr>
          <w:rFonts w:ascii="Verdana" w:hAnsi="Verdana" w:cs="Arial"/>
          <w:spacing w:val="1"/>
          <w:sz w:val="16"/>
          <w:szCs w:val="16"/>
        </w:rPr>
        <w:t xml:space="preserve"> </w:t>
      </w:r>
      <w:r w:rsidRPr="00AD7D22">
        <w:rPr>
          <w:rFonts w:ascii="Verdana" w:hAnsi="Verdana" w:cs="Arial"/>
          <w:sz w:val="16"/>
          <w:szCs w:val="16"/>
        </w:rPr>
        <w:t>reglamento,</w:t>
      </w:r>
      <w:r w:rsidRPr="00AD7D22">
        <w:rPr>
          <w:rFonts w:ascii="Verdana" w:hAnsi="Verdana" w:cs="Arial"/>
          <w:spacing w:val="-3"/>
          <w:sz w:val="16"/>
          <w:szCs w:val="16"/>
        </w:rPr>
        <w:t xml:space="preserve"> </w:t>
      </w:r>
      <w:r w:rsidRPr="00AD7D22">
        <w:rPr>
          <w:rFonts w:ascii="Verdana" w:hAnsi="Verdana" w:cs="Arial"/>
          <w:sz w:val="16"/>
          <w:szCs w:val="16"/>
        </w:rPr>
        <w:t>que</w:t>
      </w:r>
      <w:r w:rsidRPr="00AD7D22">
        <w:rPr>
          <w:rFonts w:ascii="Verdana" w:hAnsi="Verdana" w:cs="Arial"/>
          <w:spacing w:val="-2"/>
          <w:sz w:val="16"/>
          <w:szCs w:val="16"/>
        </w:rPr>
        <w:t xml:space="preserve"> </w:t>
      </w:r>
      <w:r w:rsidRPr="00AD7D22">
        <w:rPr>
          <w:rFonts w:ascii="Verdana" w:hAnsi="Verdana" w:cs="Arial"/>
          <w:sz w:val="16"/>
          <w:szCs w:val="16"/>
        </w:rPr>
        <w:t>no</w:t>
      </w:r>
      <w:r w:rsidRPr="00AD7D22">
        <w:rPr>
          <w:rFonts w:ascii="Verdana" w:hAnsi="Verdana" w:cs="Arial"/>
          <w:spacing w:val="-2"/>
          <w:sz w:val="16"/>
          <w:szCs w:val="16"/>
        </w:rPr>
        <w:t xml:space="preserve"> </w:t>
      </w:r>
      <w:r w:rsidRPr="00AD7D22">
        <w:rPr>
          <w:rFonts w:ascii="Verdana" w:hAnsi="Verdana" w:cs="Arial"/>
          <w:sz w:val="16"/>
          <w:szCs w:val="16"/>
        </w:rPr>
        <w:t>es</w:t>
      </w:r>
      <w:r w:rsidRPr="00AD7D22">
        <w:rPr>
          <w:rFonts w:ascii="Verdana" w:hAnsi="Verdana" w:cs="Arial"/>
          <w:spacing w:val="-2"/>
          <w:sz w:val="16"/>
          <w:szCs w:val="16"/>
        </w:rPr>
        <w:t xml:space="preserve"> </w:t>
      </w:r>
      <w:r w:rsidRPr="00AD7D22">
        <w:rPr>
          <w:rFonts w:ascii="Verdana" w:hAnsi="Verdana" w:cs="Arial"/>
          <w:sz w:val="16"/>
          <w:szCs w:val="16"/>
        </w:rPr>
        <w:t>otra</w:t>
      </w:r>
      <w:r w:rsidRPr="00AD7D22">
        <w:rPr>
          <w:rFonts w:ascii="Verdana" w:hAnsi="Verdana" w:cs="Arial"/>
          <w:spacing w:val="-2"/>
          <w:sz w:val="16"/>
          <w:szCs w:val="16"/>
        </w:rPr>
        <w:t xml:space="preserve"> </w:t>
      </w:r>
      <w:r w:rsidRPr="00AD7D22">
        <w:rPr>
          <w:rFonts w:ascii="Verdana" w:hAnsi="Verdana" w:cs="Arial"/>
          <w:sz w:val="16"/>
          <w:szCs w:val="16"/>
        </w:rPr>
        <w:t>cosa</w:t>
      </w:r>
      <w:r w:rsidRPr="00AD7D22">
        <w:rPr>
          <w:rFonts w:ascii="Verdana" w:hAnsi="Verdana" w:cs="Arial"/>
          <w:spacing w:val="-2"/>
          <w:sz w:val="16"/>
          <w:szCs w:val="16"/>
        </w:rPr>
        <w:t xml:space="preserve"> </w:t>
      </w:r>
      <w:r w:rsidRPr="00AD7D22">
        <w:rPr>
          <w:rFonts w:ascii="Verdana" w:hAnsi="Verdana" w:cs="Arial"/>
          <w:sz w:val="16"/>
          <w:szCs w:val="16"/>
        </w:rPr>
        <w:t>que</w:t>
      </w:r>
      <w:r w:rsidRPr="00AD7D22">
        <w:rPr>
          <w:rFonts w:ascii="Verdana" w:hAnsi="Verdana" w:cs="Arial"/>
          <w:spacing w:val="-2"/>
          <w:sz w:val="16"/>
          <w:szCs w:val="16"/>
        </w:rPr>
        <w:t xml:space="preserve"> </w:t>
      </w:r>
      <w:r w:rsidRPr="00AD7D22">
        <w:rPr>
          <w:rFonts w:ascii="Verdana" w:hAnsi="Verdana" w:cs="Arial"/>
          <w:sz w:val="16"/>
          <w:szCs w:val="16"/>
        </w:rPr>
        <w:t>la</w:t>
      </w:r>
      <w:r w:rsidRPr="00AD7D22">
        <w:rPr>
          <w:rFonts w:ascii="Verdana" w:hAnsi="Verdana" w:cs="Arial"/>
          <w:spacing w:val="-2"/>
          <w:sz w:val="16"/>
          <w:szCs w:val="16"/>
        </w:rPr>
        <w:t xml:space="preserve"> </w:t>
      </w:r>
      <w:r w:rsidRPr="00AD7D22">
        <w:rPr>
          <w:rFonts w:ascii="Verdana" w:hAnsi="Verdana" w:cs="Arial"/>
          <w:sz w:val="16"/>
          <w:szCs w:val="16"/>
        </w:rPr>
        <w:t>prohibición</w:t>
      </w:r>
      <w:r w:rsidRPr="00AD7D22">
        <w:rPr>
          <w:rFonts w:ascii="Verdana" w:hAnsi="Verdana" w:cs="Arial"/>
          <w:spacing w:val="-2"/>
          <w:sz w:val="16"/>
          <w:szCs w:val="16"/>
        </w:rPr>
        <w:t xml:space="preserve"> </w:t>
      </w:r>
      <w:r w:rsidRPr="00AD7D22">
        <w:rPr>
          <w:rFonts w:ascii="Verdana" w:hAnsi="Verdana" w:cs="Arial"/>
          <w:sz w:val="16"/>
          <w:szCs w:val="16"/>
        </w:rPr>
        <w:t>de</w:t>
      </w:r>
      <w:r w:rsidRPr="00AD7D22">
        <w:rPr>
          <w:rFonts w:ascii="Verdana" w:hAnsi="Verdana" w:cs="Arial"/>
          <w:spacing w:val="-2"/>
          <w:sz w:val="16"/>
          <w:szCs w:val="16"/>
        </w:rPr>
        <w:t xml:space="preserve"> </w:t>
      </w:r>
      <w:r w:rsidRPr="00AD7D22">
        <w:rPr>
          <w:rFonts w:ascii="Verdana" w:hAnsi="Verdana" w:cs="Arial"/>
          <w:sz w:val="16"/>
          <w:szCs w:val="16"/>
        </w:rPr>
        <w:t>insertarlo</w:t>
      </w:r>
      <w:r w:rsidRPr="00AD7D22">
        <w:rPr>
          <w:rFonts w:ascii="Verdana" w:hAnsi="Verdana" w:cs="Arial"/>
          <w:spacing w:val="-2"/>
          <w:sz w:val="16"/>
          <w:szCs w:val="16"/>
        </w:rPr>
        <w:t xml:space="preserve"> </w:t>
      </w:r>
      <w:r w:rsidRPr="00AD7D22">
        <w:rPr>
          <w:rFonts w:ascii="Verdana" w:hAnsi="Verdana" w:cs="Arial"/>
          <w:sz w:val="16"/>
          <w:szCs w:val="16"/>
        </w:rPr>
        <w:t>en</w:t>
      </w:r>
      <w:r w:rsidRPr="00AD7D22">
        <w:rPr>
          <w:rFonts w:ascii="Verdana" w:hAnsi="Verdana" w:cs="Arial"/>
          <w:spacing w:val="-3"/>
          <w:sz w:val="16"/>
          <w:szCs w:val="16"/>
        </w:rPr>
        <w:t xml:space="preserve"> </w:t>
      </w:r>
      <w:r w:rsidRPr="00AD7D22">
        <w:rPr>
          <w:rFonts w:ascii="Verdana" w:hAnsi="Verdana" w:cs="Arial"/>
          <w:sz w:val="16"/>
          <w:szCs w:val="16"/>
        </w:rPr>
        <w:t>un</w:t>
      </w:r>
      <w:r w:rsidRPr="00AD7D22">
        <w:rPr>
          <w:rFonts w:ascii="Verdana" w:hAnsi="Verdana" w:cs="Arial"/>
          <w:spacing w:val="-2"/>
          <w:sz w:val="16"/>
          <w:szCs w:val="16"/>
        </w:rPr>
        <w:t xml:space="preserve"> </w:t>
      </w:r>
      <w:r w:rsidRPr="00AD7D22">
        <w:rPr>
          <w:rFonts w:ascii="Verdana" w:hAnsi="Verdana" w:cs="Arial"/>
          <w:sz w:val="16"/>
          <w:szCs w:val="16"/>
        </w:rPr>
        <w:t>caso</w:t>
      </w:r>
      <w:r w:rsidRPr="00AD7D22">
        <w:rPr>
          <w:rFonts w:ascii="Verdana" w:hAnsi="Verdana" w:cs="Arial"/>
          <w:spacing w:val="-2"/>
          <w:sz w:val="16"/>
          <w:szCs w:val="16"/>
        </w:rPr>
        <w:t xml:space="preserve"> </w:t>
      </w:r>
      <w:r w:rsidRPr="00AD7D22">
        <w:rPr>
          <w:rFonts w:ascii="Verdana" w:hAnsi="Verdana" w:cs="Arial"/>
          <w:sz w:val="16"/>
          <w:szCs w:val="16"/>
        </w:rPr>
        <w:t>particular.</w:t>
      </w:r>
    </w:p>
    <w:p w14:paraId="4E46B987" w14:textId="77777777" w:rsidR="002A38E9" w:rsidRPr="00AD7D22" w:rsidRDefault="002A38E9" w:rsidP="002A38E9">
      <w:pPr>
        <w:spacing w:after="0" w:line="240" w:lineRule="auto"/>
        <w:ind w:firstLine="708"/>
        <w:jc w:val="both"/>
        <w:rPr>
          <w:rFonts w:ascii="Verdana" w:hAnsi="Verdana" w:cs="Arial"/>
          <w:sz w:val="16"/>
          <w:szCs w:val="16"/>
        </w:rPr>
      </w:pPr>
      <w:r w:rsidRPr="00AD7D22">
        <w:rPr>
          <w:rFonts w:ascii="Verdana" w:hAnsi="Verdana" w:cs="Arial"/>
          <w:sz w:val="16"/>
          <w:szCs w:val="16"/>
        </w:rPr>
        <w:t>Esta tesis –de absoluta razonabilidad–, protege tanto al ciudadano como al ordenamiento</w:t>
      </w:r>
      <w:r w:rsidRPr="00AD7D22">
        <w:rPr>
          <w:rFonts w:ascii="Verdana" w:hAnsi="Verdana" w:cs="Arial"/>
          <w:spacing w:val="1"/>
          <w:sz w:val="16"/>
          <w:szCs w:val="16"/>
        </w:rPr>
        <w:t xml:space="preserve"> </w:t>
      </w:r>
      <w:r w:rsidRPr="00AD7D22">
        <w:rPr>
          <w:rFonts w:ascii="Verdana" w:hAnsi="Verdana" w:cs="Arial"/>
          <w:sz w:val="16"/>
          <w:szCs w:val="16"/>
        </w:rPr>
        <w:t>jurídico en general, de la arbitrariedad de la administración, pues si se admitiera que pese a estar en</w:t>
      </w:r>
      <w:r w:rsidRPr="00AD7D22">
        <w:rPr>
          <w:rFonts w:ascii="Verdana" w:hAnsi="Verdana" w:cs="Arial"/>
          <w:spacing w:val="-50"/>
          <w:sz w:val="16"/>
          <w:szCs w:val="16"/>
        </w:rPr>
        <w:t xml:space="preserve"> </w:t>
      </w:r>
      <w:r w:rsidRPr="00AD7D22">
        <w:rPr>
          <w:rFonts w:ascii="Verdana" w:hAnsi="Verdana" w:cs="Arial"/>
          <w:sz w:val="16"/>
          <w:szCs w:val="16"/>
        </w:rPr>
        <w:t>vigencia</w:t>
      </w:r>
      <w:r w:rsidRPr="00AD7D22">
        <w:rPr>
          <w:rFonts w:ascii="Verdana" w:hAnsi="Verdana" w:cs="Arial"/>
          <w:spacing w:val="-10"/>
          <w:sz w:val="16"/>
          <w:szCs w:val="16"/>
        </w:rPr>
        <w:t xml:space="preserve"> </w:t>
      </w:r>
      <w:r w:rsidRPr="00AD7D22">
        <w:rPr>
          <w:rFonts w:ascii="Verdana" w:hAnsi="Verdana" w:cs="Arial"/>
          <w:sz w:val="16"/>
          <w:szCs w:val="16"/>
        </w:rPr>
        <w:t>un</w:t>
      </w:r>
      <w:r w:rsidRPr="00AD7D22">
        <w:rPr>
          <w:rFonts w:ascii="Verdana" w:hAnsi="Verdana" w:cs="Arial"/>
          <w:spacing w:val="-9"/>
          <w:sz w:val="16"/>
          <w:szCs w:val="16"/>
        </w:rPr>
        <w:t xml:space="preserve"> </w:t>
      </w:r>
      <w:r w:rsidRPr="00AD7D22">
        <w:rPr>
          <w:rFonts w:ascii="Verdana" w:hAnsi="Verdana" w:cs="Arial"/>
          <w:sz w:val="16"/>
          <w:szCs w:val="16"/>
        </w:rPr>
        <w:t>reglamento</w:t>
      </w:r>
      <w:r w:rsidRPr="00AD7D22">
        <w:rPr>
          <w:rFonts w:ascii="Verdana" w:hAnsi="Verdana" w:cs="Arial"/>
          <w:spacing w:val="-10"/>
          <w:sz w:val="16"/>
          <w:szCs w:val="16"/>
        </w:rPr>
        <w:t xml:space="preserve"> </w:t>
      </w:r>
      <w:r w:rsidRPr="00AD7D22">
        <w:rPr>
          <w:rFonts w:ascii="Verdana" w:hAnsi="Verdana" w:cs="Arial"/>
          <w:sz w:val="16"/>
          <w:szCs w:val="16"/>
        </w:rPr>
        <w:t>la</w:t>
      </w:r>
      <w:r w:rsidRPr="00AD7D22">
        <w:rPr>
          <w:rFonts w:ascii="Verdana" w:hAnsi="Verdana" w:cs="Arial"/>
          <w:spacing w:val="-9"/>
          <w:sz w:val="16"/>
          <w:szCs w:val="16"/>
        </w:rPr>
        <w:t xml:space="preserve"> </w:t>
      </w:r>
      <w:r w:rsidRPr="00AD7D22">
        <w:rPr>
          <w:rFonts w:ascii="Verdana" w:hAnsi="Verdana" w:cs="Arial"/>
          <w:sz w:val="16"/>
          <w:szCs w:val="16"/>
        </w:rPr>
        <w:t>propia</w:t>
      </w:r>
      <w:r w:rsidRPr="00AD7D22">
        <w:rPr>
          <w:rFonts w:ascii="Verdana" w:hAnsi="Verdana" w:cs="Arial"/>
          <w:spacing w:val="-10"/>
          <w:sz w:val="16"/>
          <w:szCs w:val="16"/>
        </w:rPr>
        <w:t xml:space="preserve"> </w:t>
      </w:r>
      <w:r w:rsidRPr="00AD7D22">
        <w:rPr>
          <w:rFonts w:ascii="Verdana" w:hAnsi="Verdana" w:cs="Arial"/>
          <w:sz w:val="16"/>
          <w:szCs w:val="16"/>
        </w:rPr>
        <w:t>administración</w:t>
      </w:r>
      <w:r w:rsidRPr="00AD7D22">
        <w:rPr>
          <w:rFonts w:ascii="Verdana" w:hAnsi="Verdana" w:cs="Arial"/>
          <w:spacing w:val="-9"/>
          <w:sz w:val="16"/>
          <w:szCs w:val="16"/>
        </w:rPr>
        <w:t xml:space="preserve"> </w:t>
      </w:r>
      <w:r w:rsidRPr="00AD7D22">
        <w:rPr>
          <w:rFonts w:ascii="Verdana" w:hAnsi="Verdana" w:cs="Arial"/>
          <w:sz w:val="16"/>
          <w:szCs w:val="16"/>
        </w:rPr>
        <w:t>que</w:t>
      </w:r>
      <w:r w:rsidRPr="00AD7D22">
        <w:rPr>
          <w:rFonts w:ascii="Verdana" w:hAnsi="Verdana" w:cs="Arial"/>
          <w:spacing w:val="-10"/>
          <w:sz w:val="16"/>
          <w:szCs w:val="16"/>
        </w:rPr>
        <w:t xml:space="preserve"> </w:t>
      </w:r>
      <w:r w:rsidRPr="00AD7D22">
        <w:rPr>
          <w:rFonts w:ascii="Verdana" w:hAnsi="Verdana" w:cs="Arial"/>
          <w:sz w:val="16"/>
          <w:szCs w:val="16"/>
        </w:rPr>
        <w:t>lo</w:t>
      </w:r>
      <w:r w:rsidRPr="00AD7D22">
        <w:rPr>
          <w:rFonts w:ascii="Verdana" w:hAnsi="Verdana" w:cs="Arial"/>
          <w:spacing w:val="-9"/>
          <w:sz w:val="16"/>
          <w:szCs w:val="16"/>
        </w:rPr>
        <w:t xml:space="preserve"> </w:t>
      </w:r>
      <w:r w:rsidRPr="00AD7D22">
        <w:rPr>
          <w:rFonts w:ascii="Verdana" w:hAnsi="Verdana" w:cs="Arial"/>
          <w:sz w:val="16"/>
          <w:szCs w:val="16"/>
        </w:rPr>
        <w:t>dictó</w:t>
      </w:r>
      <w:r w:rsidRPr="00AD7D22">
        <w:rPr>
          <w:rFonts w:ascii="Verdana" w:hAnsi="Verdana" w:cs="Arial"/>
          <w:spacing w:val="-10"/>
          <w:sz w:val="16"/>
          <w:szCs w:val="16"/>
        </w:rPr>
        <w:t xml:space="preserve"> </w:t>
      </w:r>
      <w:r w:rsidRPr="00AD7D22">
        <w:rPr>
          <w:rFonts w:ascii="Verdana" w:hAnsi="Verdana" w:cs="Arial"/>
          <w:sz w:val="16"/>
          <w:szCs w:val="16"/>
        </w:rPr>
        <w:t>lo</w:t>
      </w:r>
      <w:r w:rsidRPr="00AD7D22">
        <w:rPr>
          <w:rFonts w:ascii="Verdana" w:hAnsi="Verdana" w:cs="Arial"/>
          <w:spacing w:val="-9"/>
          <w:sz w:val="16"/>
          <w:szCs w:val="16"/>
        </w:rPr>
        <w:t xml:space="preserve"> </w:t>
      </w:r>
      <w:r w:rsidRPr="00AD7D22">
        <w:rPr>
          <w:rFonts w:ascii="Verdana" w:hAnsi="Verdana" w:cs="Arial"/>
          <w:sz w:val="16"/>
          <w:szCs w:val="16"/>
        </w:rPr>
        <w:t>pudiera</w:t>
      </w:r>
      <w:r w:rsidRPr="00AD7D22">
        <w:rPr>
          <w:rFonts w:ascii="Verdana" w:hAnsi="Verdana" w:cs="Arial"/>
          <w:spacing w:val="-10"/>
          <w:sz w:val="16"/>
          <w:szCs w:val="16"/>
        </w:rPr>
        <w:t xml:space="preserve"> </w:t>
      </w:r>
      <w:r w:rsidRPr="00AD7D22">
        <w:rPr>
          <w:rFonts w:ascii="Verdana" w:hAnsi="Verdana" w:cs="Arial"/>
          <w:sz w:val="16"/>
          <w:szCs w:val="16"/>
        </w:rPr>
        <w:t>inaplicar,</w:t>
      </w:r>
      <w:r w:rsidRPr="00AD7D22">
        <w:rPr>
          <w:rFonts w:ascii="Verdana" w:hAnsi="Verdana" w:cs="Arial"/>
          <w:spacing w:val="-9"/>
          <w:sz w:val="16"/>
          <w:szCs w:val="16"/>
        </w:rPr>
        <w:t xml:space="preserve"> </w:t>
      </w:r>
      <w:r w:rsidRPr="00AD7D22">
        <w:rPr>
          <w:rFonts w:ascii="Verdana" w:hAnsi="Verdana" w:cs="Arial"/>
          <w:sz w:val="16"/>
          <w:szCs w:val="16"/>
        </w:rPr>
        <w:t>aduciendo</w:t>
      </w:r>
      <w:r w:rsidRPr="00AD7D22">
        <w:rPr>
          <w:rFonts w:ascii="Verdana" w:hAnsi="Verdana" w:cs="Arial"/>
          <w:spacing w:val="-10"/>
          <w:sz w:val="16"/>
          <w:szCs w:val="16"/>
        </w:rPr>
        <w:t xml:space="preserve"> </w:t>
      </w:r>
      <w:r w:rsidRPr="00AD7D22">
        <w:rPr>
          <w:rFonts w:ascii="Verdana" w:hAnsi="Verdana" w:cs="Arial"/>
          <w:sz w:val="16"/>
          <w:szCs w:val="16"/>
        </w:rPr>
        <w:t>que</w:t>
      </w:r>
      <w:r w:rsidRPr="00AD7D22">
        <w:rPr>
          <w:rFonts w:ascii="Verdana" w:hAnsi="Verdana" w:cs="Arial"/>
          <w:spacing w:val="-9"/>
          <w:sz w:val="16"/>
          <w:szCs w:val="16"/>
        </w:rPr>
        <w:t xml:space="preserve"> </w:t>
      </w:r>
      <w:r w:rsidRPr="00AD7D22">
        <w:rPr>
          <w:rFonts w:ascii="Verdana" w:hAnsi="Verdana" w:cs="Arial"/>
          <w:sz w:val="16"/>
          <w:szCs w:val="16"/>
        </w:rPr>
        <w:t>si</w:t>
      </w:r>
      <w:r w:rsidRPr="00AD7D22">
        <w:rPr>
          <w:rFonts w:ascii="Verdana" w:hAnsi="Verdana" w:cs="Arial"/>
          <w:spacing w:val="-10"/>
          <w:sz w:val="16"/>
          <w:szCs w:val="16"/>
        </w:rPr>
        <w:t xml:space="preserve"> </w:t>
      </w:r>
      <w:r w:rsidRPr="00AD7D22">
        <w:rPr>
          <w:rFonts w:ascii="Verdana" w:hAnsi="Verdana" w:cs="Arial"/>
          <w:sz w:val="16"/>
          <w:szCs w:val="16"/>
        </w:rPr>
        <w:t>ella</w:t>
      </w:r>
      <w:r w:rsidRPr="00AD7D22">
        <w:rPr>
          <w:rFonts w:ascii="Verdana" w:hAnsi="Verdana" w:cs="Arial"/>
          <w:spacing w:val="1"/>
          <w:sz w:val="16"/>
          <w:szCs w:val="16"/>
        </w:rPr>
        <w:t xml:space="preserve"> </w:t>
      </w:r>
      <w:r w:rsidRPr="00AD7D22">
        <w:rPr>
          <w:rFonts w:ascii="Verdana" w:hAnsi="Verdana" w:cs="Arial"/>
          <w:sz w:val="16"/>
          <w:szCs w:val="16"/>
        </w:rPr>
        <w:t>lo</w:t>
      </w:r>
      <w:r w:rsidRPr="00AD7D22">
        <w:rPr>
          <w:rFonts w:ascii="Verdana" w:hAnsi="Verdana" w:cs="Arial"/>
          <w:spacing w:val="-13"/>
          <w:sz w:val="16"/>
          <w:szCs w:val="16"/>
        </w:rPr>
        <w:t xml:space="preserve"> </w:t>
      </w:r>
      <w:r w:rsidRPr="00AD7D22">
        <w:rPr>
          <w:rFonts w:ascii="Verdana" w:hAnsi="Verdana" w:cs="Arial"/>
          <w:sz w:val="16"/>
          <w:szCs w:val="16"/>
        </w:rPr>
        <w:t>produjo</w:t>
      </w:r>
      <w:r w:rsidRPr="00AD7D22">
        <w:rPr>
          <w:rFonts w:ascii="Verdana" w:hAnsi="Verdana" w:cs="Arial"/>
          <w:spacing w:val="-12"/>
          <w:sz w:val="16"/>
          <w:szCs w:val="16"/>
        </w:rPr>
        <w:t xml:space="preserve"> </w:t>
      </w:r>
      <w:r w:rsidRPr="00AD7D22">
        <w:rPr>
          <w:rFonts w:ascii="Verdana" w:hAnsi="Verdana" w:cs="Arial"/>
          <w:sz w:val="16"/>
          <w:szCs w:val="16"/>
        </w:rPr>
        <w:t>entonces</w:t>
      </w:r>
      <w:r w:rsidRPr="00AD7D22">
        <w:rPr>
          <w:rFonts w:ascii="Verdana" w:hAnsi="Verdana" w:cs="Arial"/>
          <w:spacing w:val="-12"/>
          <w:sz w:val="16"/>
          <w:szCs w:val="16"/>
        </w:rPr>
        <w:t xml:space="preserve"> </w:t>
      </w:r>
      <w:r w:rsidRPr="00AD7D22">
        <w:rPr>
          <w:rFonts w:ascii="Verdana" w:hAnsi="Verdana" w:cs="Arial"/>
          <w:sz w:val="16"/>
          <w:szCs w:val="16"/>
        </w:rPr>
        <w:t>cuenta</w:t>
      </w:r>
      <w:r w:rsidRPr="00AD7D22">
        <w:rPr>
          <w:rFonts w:ascii="Verdana" w:hAnsi="Verdana" w:cs="Arial"/>
          <w:spacing w:val="-12"/>
          <w:sz w:val="16"/>
          <w:szCs w:val="16"/>
        </w:rPr>
        <w:t xml:space="preserve"> </w:t>
      </w:r>
      <w:r w:rsidRPr="00AD7D22">
        <w:rPr>
          <w:rFonts w:ascii="Verdana" w:hAnsi="Verdana" w:cs="Arial"/>
          <w:sz w:val="16"/>
          <w:szCs w:val="16"/>
        </w:rPr>
        <w:t>con</w:t>
      </w:r>
      <w:r w:rsidRPr="00AD7D22">
        <w:rPr>
          <w:rFonts w:ascii="Verdana" w:hAnsi="Verdana" w:cs="Arial"/>
          <w:spacing w:val="-12"/>
          <w:sz w:val="16"/>
          <w:szCs w:val="16"/>
        </w:rPr>
        <w:t xml:space="preserve"> </w:t>
      </w:r>
      <w:r w:rsidRPr="00AD7D22">
        <w:rPr>
          <w:rFonts w:ascii="Verdana" w:hAnsi="Verdana" w:cs="Arial"/>
          <w:sz w:val="16"/>
          <w:szCs w:val="16"/>
        </w:rPr>
        <w:t>la</w:t>
      </w:r>
      <w:r w:rsidRPr="00AD7D22">
        <w:rPr>
          <w:rFonts w:ascii="Verdana" w:hAnsi="Verdana" w:cs="Arial"/>
          <w:spacing w:val="-12"/>
          <w:sz w:val="16"/>
          <w:szCs w:val="16"/>
        </w:rPr>
        <w:t xml:space="preserve"> </w:t>
      </w:r>
      <w:r w:rsidRPr="00AD7D22">
        <w:rPr>
          <w:rFonts w:ascii="Verdana" w:hAnsi="Verdana" w:cs="Arial"/>
          <w:sz w:val="16"/>
          <w:szCs w:val="16"/>
        </w:rPr>
        <w:t>autoridad</w:t>
      </w:r>
      <w:r w:rsidRPr="00AD7D22">
        <w:rPr>
          <w:rFonts w:ascii="Verdana" w:hAnsi="Verdana" w:cs="Arial"/>
          <w:spacing w:val="-12"/>
          <w:sz w:val="16"/>
          <w:szCs w:val="16"/>
        </w:rPr>
        <w:t xml:space="preserve"> </w:t>
      </w:r>
      <w:r w:rsidRPr="00AD7D22">
        <w:rPr>
          <w:rFonts w:ascii="Verdana" w:hAnsi="Verdana" w:cs="Arial"/>
          <w:sz w:val="16"/>
          <w:szCs w:val="16"/>
        </w:rPr>
        <w:t>para</w:t>
      </w:r>
      <w:r w:rsidRPr="00AD7D22">
        <w:rPr>
          <w:rFonts w:ascii="Verdana" w:hAnsi="Verdana" w:cs="Arial"/>
          <w:spacing w:val="-12"/>
          <w:sz w:val="16"/>
          <w:szCs w:val="16"/>
        </w:rPr>
        <w:t xml:space="preserve"> </w:t>
      </w:r>
      <w:r w:rsidRPr="00AD7D22">
        <w:rPr>
          <w:rFonts w:ascii="Verdana" w:hAnsi="Verdana" w:cs="Arial"/>
          <w:sz w:val="16"/>
          <w:szCs w:val="16"/>
        </w:rPr>
        <w:t>desconocerlo,</w:t>
      </w:r>
      <w:r w:rsidRPr="00AD7D22">
        <w:rPr>
          <w:rFonts w:ascii="Verdana" w:hAnsi="Verdana" w:cs="Arial"/>
          <w:spacing w:val="-12"/>
          <w:sz w:val="16"/>
          <w:szCs w:val="16"/>
        </w:rPr>
        <w:t xml:space="preserve"> </w:t>
      </w:r>
      <w:r w:rsidRPr="00AD7D22">
        <w:rPr>
          <w:rFonts w:ascii="Verdana" w:hAnsi="Verdana" w:cs="Arial"/>
          <w:sz w:val="16"/>
          <w:szCs w:val="16"/>
        </w:rPr>
        <w:t>los</w:t>
      </w:r>
      <w:r w:rsidRPr="00AD7D22">
        <w:rPr>
          <w:rFonts w:ascii="Verdana" w:hAnsi="Verdana" w:cs="Arial"/>
          <w:spacing w:val="-12"/>
          <w:sz w:val="16"/>
          <w:szCs w:val="16"/>
        </w:rPr>
        <w:t xml:space="preserve"> </w:t>
      </w:r>
      <w:r w:rsidRPr="00AD7D22">
        <w:rPr>
          <w:rFonts w:ascii="Verdana" w:hAnsi="Verdana" w:cs="Arial"/>
          <w:sz w:val="16"/>
          <w:szCs w:val="16"/>
        </w:rPr>
        <w:t>abusos</w:t>
      </w:r>
      <w:r w:rsidRPr="00AD7D22">
        <w:rPr>
          <w:rFonts w:ascii="Verdana" w:hAnsi="Verdana" w:cs="Arial"/>
          <w:spacing w:val="-12"/>
          <w:sz w:val="16"/>
          <w:szCs w:val="16"/>
        </w:rPr>
        <w:t xml:space="preserve"> </w:t>
      </w:r>
      <w:r w:rsidRPr="00AD7D22">
        <w:rPr>
          <w:rFonts w:ascii="Verdana" w:hAnsi="Verdana" w:cs="Arial"/>
          <w:sz w:val="16"/>
          <w:szCs w:val="16"/>
        </w:rPr>
        <w:t>y</w:t>
      </w:r>
      <w:r w:rsidRPr="00AD7D22">
        <w:rPr>
          <w:rFonts w:ascii="Verdana" w:hAnsi="Verdana" w:cs="Arial"/>
          <w:spacing w:val="-12"/>
          <w:sz w:val="16"/>
          <w:szCs w:val="16"/>
        </w:rPr>
        <w:t xml:space="preserve"> </w:t>
      </w:r>
      <w:r w:rsidRPr="00AD7D22">
        <w:rPr>
          <w:rFonts w:ascii="Verdana" w:hAnsi="Verdana" w:cs="Arial"/>
          <w:sz w:val="16"/>
          <w:szCs w:val="16"/>
        </w:rPr>
        <w:t>la</w:t>
      </w:r>
      <w:r w:rsidRPr="00AD7D22">
        <w:rPr>
          <w:rFonts w:ascii="Verdana" w:hAnsi="Verdana" w:cs="Arial"/>
          <w:spacing w:val="-12"/>
          <w:sz w:val="16"/>
          <w:szCs w:val="16"/>
        </w:rPr>
        <w:t xml:space="preserve"> </w:t>
      </w:r>
      <w:r w:rsidRPr="00AD7D22">
        <w:rPr>
          <w:rFonts w:ascii="Verdana" w:hAnsi="Verdana" w:cs="Arial"/>
          <w:sz w:val="16"/>
          <w:szCs w:val="16"/>
        </w:rPr>
        <w:t>violación</w:t>
      </w:r>
      <w:r w:rsidRPr="00AD7D22">
        <w:rPr>
          <w:rFonts w:ascii="Verdana" w:hAnsi="Verdana" w:cs="Arial"/>
          <w:spacing w:val="-12"/>
          <w:sz w:val="16"/>
          <w:szCs w:val="16"/>
        </w:rPr>
        <w:t xml:space="preserve"> </w:t>
      </w:r>
      <w:r w:rsidRPr="00AD7D22">
        <w:rPr>
          <w:rFonts w:ascii="Verdana" w:hAnsi="Verdana" w:cs="Arial"/>
          <w:sz w:val="16"/>
          <w:szCs w:val="16"/>
        </w:rPr>
        <w:t>a</w:t>
      </w:r>
      <w:r w:rsidRPr="00AD7D22">
        <w:rPr>
          <w:rFonts w:ascii="Verdana" w:hAnsi="Verdana" w:cs="Arial"/>
          <w:spacing w:val="-12"/>
          <w:sz w:val="16"/>
          <w:szCs w:val="16"/>
        </w:rPr>
        <w:t xml:space="preserve"> </w:t>
      </w:r>
      <w:r w:rsidRPr="00AD7D22">
        <w:rPr>
          <w:rFonts w:ascii="Verdana" w:hAnsi="Verdana" w:cs="Arial"/>
          <w:sz w:val="16"/>
          <w:szCs w:val="16"/>
        </w:rPr>
        <w:t>sus</w:t>
      </w:r>
      <w:r w:rsidRPr="00AD7D22">
        <w:rPr>
          <w:rFonts w:ascii="Verdana" w:hAnsi="Verdana" w:cs="Arial"/>
          <w:spacing w:val="-12"/>
          <w:sz w:val="16"/>
          <w:szCs w:val="16"/>
        </w:rPr>
        <w:t xml:space="preserve"> </w:t>
      </w:r>
      <w:r w:rsidRPr="00AD7D22">
        <w:rPr>
          <w:rFonts w:ascii="Verdana" w:hAnsi="Verdana" w:cs="Arial"/>
          <w:sz w:val="16"/>
          <w:szCs w:val="16"/>
        </w:rPr>
        <w:t>propias</w:t>
      </w:r>
      <w:r w:rsidRPr="00AD7D22">
        <w:rPr>
          <w:rFonts w:ascii="Verdana" w:hAnsi="Verdana" w:cs="Arial"/>
          <w:spacing w:val="1"/>
          <w:sz w:val="16"/>
          <w:szCs w:val="16"/>
        </w:rPr>
        <w:t xml:space="preserve"> </w:t>
      </w:r>
      <w:r w:rsidRPr="00AD7D22">
        <w:rPr>
          <w:rFonts w:ascii="Verdana" w:hAnsi="Verdana" w:cs="Arial"/>
          <w:sz w:val="16"/>
          <w:szCs w:val="16"/>
        </w:rPr>
        <w:t>reglas propiciaría el atropello y la corrupción”. (MARÍN CORTÉS, Fabián G. El reglamento como</w:t>
      </w:r>
      <w:r w:rsidRPr="00AD7D22">
        <w:rPr>
          <w:rFonts w:ascii="Verdana" w:hAnsi="Verdana" w:cs="Arial"/>
          <w:spacing w:val="1"/>
          <w:sz w:val="16"/>
          <w:szCs w:val="16"/>
        </w:rPr>
        <w:t xml:space="preserve"> </w:t>
      </w:r>
      <w:r w:rsidRPr="00AD7D22">
        <w:rPr>
          <w:rFonts w:ascii="Verdana" w:hAnsi="Verdana" w:cs="Arial"/>
          <w:sz w:val="16"/>
          <w:szCs w:val="16"/>
        </w:rPr>
        <w:t>fuente</w:t>
      </w:r>
      <w:r w:rsidRPr="00AD7D22">
        <w:rPr>
          <w:rFonts w:ascii="Verdana" w:hAnsi="Verdana" w:cs="Arial"/>
          <w:spacing w:val="-12"/>
          <w:sz w:val="16"/>
          <w:szCs w:val="16"/>
        </w:rPr>
        <w:t xml:space="preserve"> </w:t>
      </w:r>
      <w:r w:rsidRPr="00AD7D22">
        <w:rPr>
          <w:rFonts w:ascii="Verdana" w:hAnsi="Verdana" w:cs="Arial"/>
          <w:sz w:val="16"/>
          <w:szCs w:val="16"/>
        </w:rPr>
        <w:t>del</w:t>
      </w:r>
      <w:r w:rsidRPr="00AD7D22">
        <w:rPr>
          <w:rFonts w:ascii="Verdana" w:hAnsi="Verdana" w:cs="Arial"/>
          <w:spacing w:val="-12"/>
          <w:sz w:val="16"/>
          <w:szCs w:val="16"/>
        </w:rPr>
        <w:t xml:space="preserve"> </w:t>
      </w:r>
      <w:r w:rsidRPr="00AD7D22">
        <w:rPr>
          <w:rFonts w:ascii="Verdana" w:hAnsi="Verdana" w:cs="Arial"/>
          <w:sz w:val="16"/>
          <w:szCs w:val="16"/>
        </w:rPr>
        <w:t>derecho</w:t>
      </w:r>
      <w:r w:rsidRPr="00AD7D22">
        <w:rPr>
          <w:rFonts w:ascii="Verdana" w:hAnsi="Verdana" w:cs="Arial"/>
          <w:spacing w:val="-12"/>
          <w:sz w:val="16"/>
          <w:szCs w:val="16"/>
        </w:rPr>
        <w:t xml:space="preserve"> </w:t>
      </w:r>
      <w:r w:rsidRPr="00AD7D22">
        <w:rPr>
          <w:rFonts w:ascii="Verdana" w:hAnsi="Verdana" w:cs="Arial"/>
          <w:sz w:val="16"/>
          <w:szCs w:val="16"/>
        </w:rPr>
        <w:t>administrativo.</w:t>
      </w:r>
      <w:r w:rsidRPr="00AD7D22">
        <w:rPr>
          <w:rFonts w:ascii="Verdana" w:hAnsi="Verdana" w:cs="Arial"/>
          <w:spacing w:val="-11"/>
          <w:sz w:val="16"/>
          <w:szCs w:val="16"/>
        </w:rPr>
        <w:t xml:space="preserve"> </w:t>
      </w:r>
      <w:r w:rsidRPr="00AD7D22">
        <w:rPr>
          <w:rFonts w:ascii="Verdana" w:hAnsi="Verdana" w:cs="Arial"/>
          <w:sz w:val="16"/>
          <w:szCs w:val="16"/>
        </w:rPr>
        <w:t>En:</w:t>
      </w:r>
      <w:r w:rsidRPr="00AD7D22">
        <w:rPr>
          <w:rFonts w:ascii="Verdana" w:hAnsi="Verdana" w:cs="Arial"/>
          <w:spacing w:val="-12"/>
          <w:sz w:val="16"/>
          <w:szCs w:val="16"/>
        </w:rPr>
        <w:t xml:space="preserve"> </w:t>
      </w:r>
      <w:r w:rsidRPr="00AD7D22">
        <w:rPr>
          <w:rFonts w:ascii="Verdana" w:hAnsi="Verdana" w:cs="Arial"/>
          <w:sz w:val="16"/>
          <w:szCs w:val="16"/>
        </w:rPr>
        <w:t>Las</w:t>
      </w:r>
      <w:r w:rsidRPr="00AD7D22">
        <w:rPr>
          <w:rFonts w:ascii="Verdana" w:hAnsi="Verdana" w:cs="Arial"/>
          <w:spacing w:val="-12"/>
          <w:sz w:val="16"/>
          <w:szCs w:val="16"/>
        </w:rPr>
        <w:t xml:space="preserve"> </w:t>
      </w:r>
      <w:r w:rsidRPr="00AD7D22">
        <w:rPr>
          <w:rFonts w:ascii="Verdana" w:hAnsi="Verdana" w:cs="Arial"/>
          <w:sz w:val="16"/>
          <w:szCs w:val="16"/>
        </w:rPr>
        <w:t>fuentes</w:t>
      </w:r>
      <w:r w:rsidRPr="00AD7D22">
        <w:rPr>
          <w:rFonts w:ascii="Verdana" w:hAnsi="Verdana" w:cs="Arial"/>
          <w:spacing w:val="-11"/>
          <w:sz w:val="16"/>
          <w:szCs w:val="16"/>
        </w:rPr>
        <w:t xml:space="preserve"> </w:t>
      </w:r>
      <w:r w:rsidRPr="00AD7D22">
        <w:rPr>
          <w:rFonts w:ascii="Verdana" w:hAnsi="Verdana" w:cs="Arial"/>
          <w:sz w:val="16"/>
          <w:szCs w:val="16"/>
        </w:rPr>
        <w:t>del</w:t>
      </w:r>
      <w:r w:rsidRPr="00AD7D22">
        <w:rPr>
          <w:rFonts w:ascii="Verdana" w:hAnsi="Verdana" w:cs="Arial"/>
          <w:spacing w:val="-12"/>
          <w:sz w:val="16"/>
          <w:szCs w:val="16"/>
        </w:rPr>
        <w:t xml:space="preserve"> </w:t>
      </w:r>
      <w:r w:rsidRPr="00AD7D22">
        <w:rPr>
          <w:rFonts w:ascii="Verdana" w:hAnsi="Verdana" w:cs="Arial"/>
          <w:sz w:val="16"/>
          <w:szCs w:val="16"/>
        </w:rPr>
        <w:t>derecho</w:t>
      </w:r>
      <w:r w:rsidRPr="00AD7D22">
        <w:rPr>
          <w:rFonts w:ascii="Verdana" w:hAnsi="Verdana" w:cs="Arial"/>
          <w:spacing w:val="-12"/>
          <w:sz w:val="16"/>
          <w:szCs w:val="16"/>
        </w:rPr>
        <w:t xml:space="preserve"> </w:t>
      </w:r>
      <w:r w:rsidRPr="00AD7D22">
        <w:rPr>
          <w:rFonts w:ascii="Verdana" w:hAnsi="Verdana" w:cs="Arial"/>
          <w:sz w:val="16"/>
          <w:szCs w:val="16"/>
        </w:rPr>
        <w:t>administrativo.</w:t>
      </w:r>
      <w:r w:rsidRPr="00AD7D22">
        <w:rPr>
          <w:rFonts w:ascii="Verdana" w:hAnsi="Verdana" w:cs="Arial"/>
          <w:spacing w:val="-12"/>
          <w:sz w:val="16"/>
          <w:szCs w:val="16"/>
        </w:rPr>
        <w:t xml:space="preserve"> </w:t>
      </w:r>
      <w:r w:rsidRPr="00AD7D22">
        <w:rPr>
          <w:rFonts w:ascii="Verdana" w:hAnsi="Verdana" w:cs="Arial"/>
          <w:sz w:val="16"/>
          <w:szCs w:val="16"/>
        </w:rPr>
        <w:t>Texto</w:t>
      </w:r>
      <w:r w:rsidRPr="00AD7D22">
        <w:rPr>
          <w:rFonts w:ascii="Verdana" w:hAnsi="Verdana" w:cs="Arial"/>
          <w:spacing w:val="-11"/>
          <w:sz w:val="16"/>
          <w:szCs w:val="16"/>
        </w:rPr>
        <w:t xml:space="preserve"> </w:t>
      </w:r>
      <w:r w:rsidRPr="00AD7D22">
        <w:rPr>
          <w:rFonts w:ascii="Verdana" w:hAnsi="Verdana" w:cs="Arial"/>
          <w:sz w:val="16"/>
          <w:szCs w:val="16"/>
        </w:rPr>
        <w:t>inédito.</w:t>
      </w:r>
      <w:r w:rsidRPr="00AD7D22">
        <w:rPr>
          <w:rFonts w:ascii="Verdana" w:hAnsi="Verdana" w:cs="Arial"/>
          <w:spacing w:val="-12"/>
          <w:sz w:val="16"/>
          <w:szCs w:val="16"/>
        </w:rPr>
        <w:t xml:space="preserve"> </w:t>
      </w:r>
      <w:r w:rsidRPr="00AD7D22">
        <w:rPr>
          <w:rFonts w:ascii="Verdana" w:hAnsi="Verdana" w:cs="Arial"/>
          <w:sz w:val="16"/>
          <w:szCs w:val="16"/>
        </w:rPr>
        <w:t>2010.</w:t>
      </w:r>
      <w:r w:rsidRPr="00AD7D22">
        <w:rPr>
          <w:rFonts w:ascii="Verdana" w:hAnsi="Verdana" w:cs="Arial"/>
          <w:spacing w:val="-12"/>
          <w:sz w:val="16"/>
          <w:szCs w:val="16"/>
        </w:rPr>
        <w:t xml:space="preserve"> </w:t>
      </w:r>
      <w:r w:rsidRPr="00AD7D22">
        <w:rPr>
          <w:rFonts w:ascii="Verdana" w:hAnsi="Verdana" w:cs="Arial"/>
          <w:sz w:val="16"/>
          <w:szCs w:val="16"/>
        </w:rPr>
        <w:t>pp.</w:t>
      </w:r>
      <w:r w:rsidRPr="00AD7D22">
        <w:rPr>
          <w:rFonts w:ascii="Verdana" w:hAnsi="Verdana" w:cs="Arial"/>
          <w:spacing w:val="1"/>
          <w:sz w:val="16"/>
          <w:szCs w:val="16"/>
        </w:rPr>
        <w:t xml:space="preserve"> </w:t>
      </w:r>
      <w:r w:rsidRPr="00AD7D22">
        <w:rPr>
          <w:rFonts w:ascii="Verdana" w:hAnsi="Verdana" w:cs="Arial"/>
          <w:sz w:val="16"/>
          <w:szCs w:val="16"/>
        </w:rPr>
        <w:t>200-201).</w:t>
      </w:r>
    </w:p>
    <w:p w14:paraId="0A48544D" w14:textId="77777777" w:rsidR="002A38E9" w:rsidRPr="00AD7D22" w:rsidRDefault="002A38E9" w:rsidP="002A38E9">
      <w:pPr>
        <w:spacing w:after="0" w:line="240" w:lineRule="auto"/>
        <w:ind w:firstLine="708"/>
        <w:jc w:val="both"/>
        <w:rPr>
          <w:rFonts w:ascii="Verdana" w:hAnsi="Verdana" w:cs="Arial"/>
          <w:sz w:val="16"/>
          <w:szCs w:val="16"/>
        </w:rPr>
      </w:pPr>
    </w:p>
  </w:footnote>
  <w:footnote w:id="10">
    <w:p w14:paraId="13D6C2CD" w14:textId="77777777" w:rsidR="002A38E9" w:rsidRPr="00AD7D22" w:rsidRDefault="002A38E9" w:rsidP="002A38E9">
      <w:pPr>
        <w:pStyle w:val="Textonotapie"/>
        <w:ind w:firstLine="708"/>
        <w:jc w:val="both"/>
        <w:rPr>
          <w:rFonts w:ascii="Verdana" w:hAnsi="Verdana" w:cs="Arial"/>
          <w:sz w:val="16"/>
          <w:szCs w:val="16"/>
        </w:rPr>
      </w:pPr>
      <w:r w:rsidRPr="00AD7D22">
        <w:rPr>
          <w:rStyle w:val="Refdenotaalpie"/>
          <w:rFonts w:ascii="Verdana" w:hAnsi="Verdana" w:cs="Arial"/>
          <w:sz w:val="16"/>
          <w:szCs w:val="16"/>
        </w:rPr>
        <w:footnoteRef/>
      </w:r>
      <w:r w:rsidRPr="00AD7D22">
        <w:rPr>
          <w:rFonts w:ascii="Verdana" w:hAnsi="Verdana" w:cs="Arial"/>
          <w:sz w:val="16"/>
          <w:szCs w:val="16"/>
        </w:rPr>
        <w:t xml:space="preserve"> </w:t>
      </w:r>
      <w:r w:rsidRPr="00AD7D22">
        <w:rPr>
          <w:rFonts w:ascii="Verdana" w:hAnsi="Verdana" w:cs="Arial"/>
          <w:sz w:val="16"/>
          <w:szCs w:val="16"/>
        </w:rPr>
        <w:t xml:space="preserve">Ibíd. </w:t>
      </w:r>
    </w:p>
    <w:p w14:paraId="30FBE81F" w14:textId="77777777" w:rsidR="002A38E9" w:rsidRPr="00AD7D22" w:rsidRDefault="002A38E9" w:rsidP="002A38E9">
      <w:pPr>
        <w:pStyle w:val="Textonotapie"/>
        <w:ind w:firstLine="708"/>
        <w:jc w:val="both"/>
        <w:rPr>
          <w:rFonts w:ascii="Verdana" w:hAnsi="Verdana" w:cs="Arial"/>
          <w:sz w:val="16"/>
          <w:szCs w:val="16"/>
        </w:rPr>
      </w:pPr>
    </w:p>
  </w:footnote>
  <w:footnote w:id="11">
    <w:p w14:paraId="4B04C933" w14:textId="77777777" w:rsidR="002A38E9" w:rsidRPr="00E13584" w:rsidRDefault="002A38E9" w:rsidP="002A38E9">
      <w:pPr>
        <w:pStyle w:val="Textonotapie"/>
        <w:ind w:firstLine="708"/>
        <w:jc w:val="both"/>
        <w:rPr>
          <w:rFonts w:ascii="Verdana" w:hAnsi="Verdana"/>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E13584">
        <w:rPr>
          <w:rFonts w:ascii="Verdana" w:hAnsi="Verdana" w:cs="Arial"/>
          <w:color w:val="000000"/>
          <w:sz w:val="16"/>
          <w:szCs w:val="16"/>
          <w:shd w:val="clear" w:color="auto" w:fill="FFFFFF"/>
        </w:rPr>
        <w:t>” (</w:t>
      </w:r>
      <w:r w:rsidRPr="00E13584">
        <w:rPr>
          <w:rFonts w:ascii="Verdana" w:hAnsi="Verdana" w:cs="Arial"/>
          <w:color w:val="000000"/>
          <w:sz w:val="16"/>
          <w:szCs w:val="16"/>
        </w:rPr>
        <w:t>EXPOSITO, Juan Carlos. Forma y contenido del contrato estatal. Bogotá: Universidad Externado de Colombia, p. 89 y 90).</w:t>
      </w:r>
    </w:p>
  </w:footnote>
  <w:footnote w:id="12">
    <w:p w14:paraId="11A77E80" w14:textId="77777777" w:rsidR="002A38E9" w:rsidRPr="00E13584" w:rsidRDefault="002A38E9" w:rsidP="002A38E9">
      <w:pPr>
        <w:pStyle w:val="Textonotapie"/>
        <w:ind w:firstLine="708"/>
        <w:jc w:val="both"/>
        <w:rPr>
          <w:rFonts w:ascii="Verdana" w:hAnsi="Verdana" w:cs="Arial"/>
          <w:color w:val="000000"/>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13">
    <w:p w14:paraId="61ACA73A" w14:textId="77777777" w:rsidR="002A38E9" w:rsidRPr="000048E3" w:rsidRDefault="002A38E9" w:rsidP="002A38E9">
      <w:pPr>
        <w:spacing w:after="0" w:line="240" w:lineRule="auto"/>
        <w:ind w:firstLine="708"/>
        <w:jc w:val="both"/>
        <w:rPr>
          <w:rFonts w:ascii="Verdana" w:hAnsi="Verdana" w:cs="Arial"/>
          <w:color w:val="000000"/>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Consejo </w:t>
      </w:r>
      <w:r>
        <w:rPr>
          <w:rFonts w:ascii="Verdana" w:hAnsi="Verdana" w:cs="Arial"/>
          <w:color w:val="000000"/>
          <w:sz w:val="16"/>
          <w:szCs w:val="16"/>
        </w:rPr>
        <w:t>d</w:t>
      </w:r>
      <w:r w:rsidRPr="00E13584">
        <w:rPr>
          <w:rFonts w:ascii="Verdana" w:hAnsi="Verdana" w:cs="Arial"/>
          <w:color w:val="000000"/>
          <w:sz w:val="16"/>
          <w:szCs w:val="16"/>
        </w:rPr>
        <w:t>e Estado. Sección Tercera. Subsección C. Sentencia del 20 de octubre de 2014, C.P: Enrique Gil Botero.</w:t>
      </w:r>
      <w:r w:rsidRPr="00E13584">
        <w:rPr>
          <w:sz w:val="16"/>
          <w:szCs w:val="16"/>
        </w:rPr>
        <w:t xml:space="preserve"> </w:t>
      </w:r>
      <w:r>
        <w:rPr>
          <w:rFonts w:ascii="Verdana" w:hAnsi="Verdana" w:cs="Arial"/>
          <w:color w:val="000000"/>
          <w:sz w:val="16"/>
          <w:szCs w:val="16"/>
        </w:rPr>
        <w:t xml:space="preserve"> </w:t>
      </w:r>
      <w:r>
        <w:rPr>
          <w:rFonts w:ascii="Verdana" w:hAnsi="Verdana" w:cs="Arial"/>
          <w:color w:val="000000"/>
          <w:sz w:val="16"/>
          <w:szCs w:val="16"/>
        </w:rPr>
        <w:t>Exp. 27.777</w:t>
      </w:r>
      <w:r w:rsidRPr="00E13584">
        <w:rPr>
          <w:rFonts w:ascii="Verdana" w:hAnsi="Verdana" w:cs="Arial"/>
          <w:color w:val="000000"/>
          <w:sz w:val="16"/>
          <w:szCs w:val="16"/>
        </w:rPr>
        <w:t>.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14">
    <w:p w14:paraId="379834C9" w14:textId="77777777" w:rsidR="002A38E9" w:rsidRPr="00986DEE" w:rsidRDefault="002A38E9" w:rsidP="002A38E9">
      <w:pPr>
        <w:pStyle w:val="Textonotapie"/>
        <w:ind w:firstLine="709"/>
        <w:jc w:val="both"/>
        <w:rPr>
          <w:rFonts w:ascii="Verdana" w:hAnsi="Verdana"/>
          <w:sz w:val="16"/>
          <w:szCs w:val="16"/>
          <w:lang w:val="es-CO"/>
        </w:rPr>
      </w:pPr>
      <w:r>
        <w:rPr>
          <w:rStyle w:val="Refdenotaalpie"/>
        </w:rPr>
        <w:footnoteRef/>
      </w:r>
      <w:r>
        <w:t xml:space="preserve"> </w:t>
      </w:r>
      <w:r w:rsidRPr="00DA6F45">
        <w:rPr>
          <w:rFonts w:ascii="Verdana" w:hAnsi="Verdana"/>
          <w:sz w:val="16"/>
          <w:szCs w:val="16"/>
        </w:rPr>
        <w:t xml:space="preserve">Conceptos </w:t>
      </w:r>
      <w:r>
        <w:rPr>
          <w:rFonts w:ascii="Verdana" w:hAnsi="Verdana"/>
          <w:sz w:val="16"/>
          <w:szCs w:val="16"/>
        </w:rPr>
        <w:t>C</w:t>
      </w:r>
      <w:r w:rsidRPr="00DA6F45">
        <w:rPr>
          <w:rFonts w:ascii="Verdana" w:hAnsi="Verdana"/>
          <w:sz w:val="16"/>
          <w:szCs w:val="16"/>
        </w:rPr>
        <w:t>-494 del 17 de septiembre de 2021, C-759 del 11 de noviembre de 2022.</w:t>
      </w:r>
    </w:p>
  </w:footnote>
  <w:footnote w:id="15">
    <w:p w14:paraId="652DDF41" w14:textId="77777777" w:rsidR="002A38E9" w:rsidRPr="002D50CA" w:rsidRDefault="002A38E9" w:rsidP="002A38E9">
      <w:pPr>
        <w:pStyle w:val="Textonotapie"/>
        <w:ind w:firstLine="709"/>
        <w:jc w:val="both"/>
        <w:rPr>
          <w:lang w:val="es-CO"/>
        </w:rPr>
      </w:pPr>
      <w:r>
        <w:rPr>
          <w:rStyle w:val="Refdenotaalpie"/>
        </w:rPr>
        <w:footnoteRef/>
      </w:r>
      <w:r>
        <w:t xml:space="preserve"> </w:t>
      </w:r>
      <w:r w:rsidRPr="0027107E">
        <w:rPr>
          <w:rFonts w:ascii="Verdana" w:hAnsi="Verdana" w:cs="Arial"/>
          <w:color w:val="000000"/>
          <w:sz w:val="16"/>
          <w:szCs w:val="16"/>
        </w:rPr>
        <w:t xml:space="preserve">Sección Tercera, Subsección </w:t>
      </w:r>
      <w:r>
        <w:rPr>
          <w:rFonts w:ascii="Verdana" w:hAnsi="Verdana" w:cs="Arial"/>
          <w:color w:val="000000"/>
          <w:sz w:val="16"/>
          <w:szCs w:val="16"/>
        </w:rPr>
        <w:t>A</w:t>
      </w:r>
      <w:r w:rsidRPr="0027107E">
        <w:rPr>
          <w:rFonts w:ascii="Verdana" w:hAnsi="Verdana" w:cs="Arial"/>
          <w:color w:val="000000"/>
          <w:sz w:val="16"/>
          <w:szCs w:val="16"/>
        </w:rPr>
        <w:t>, Sentencia del 2</w:t>
      </w:r>
      <w:r>
        <w:rPr>
          <w:rFonts w:ascii="Verdana" w:hAnsi="Verdana" w:cs="Arial"/>
          <w:color w:val="000000"/>
          <w:sz w:val="16"/>
          <w:szCs w:val="16"/>
        </w:rPr>
        <w:t>0</w:t>
      </w:r>
      <w:r w:rsidRPr="0027107E">
        <w:rPr>
          <w:rFonts w:ascii="Verdana" w:hAnsi="Verdana" w:cs="Arial"/>
          <w:color w:val="000000"/>
          <w:sz w:val="16"/>
          <w:szCs w:val="16"/>
        </w:rPr>
        <w:t xml:space="preserve"> de </w:t>
      </w:r>
      <w:r>
        <w:rPr>
          <w:rFonts w:ascii="Verdana" w:hAnsi="Verdana" w:cs="Arial"/>
          <w:color w:val="000000"/>
          <w:sz w:val="16"/>
          <w:szCs w:val="16"/>
        </w:rPr>
        <w:t>mayo</w:t>
      </w:r>
      <w:r w:rsidRPr="0027107E">
        <w:rPr>
          <w:rFonts w:ascii="Verdana" w:hAnsi="Verdana" w:cs="Arial"/>
          <w:color w:val="000000"/>
          <w:sz w:val="16"/>
          <w:szCs w:val="16"/>
        </w:rPr>
        <w:t xml:space="preserve"> de 20</w:t>
      </w:r>
      <w:r>
        <w:rPr>
          <w:rFonts w:ascii="Verdana" w:hAnsi="Verdana" w:cs="Arial"/>
          <w:color w:val="000000"/>
          <w:sz w:val="16"/>
          <w:szCs w:val="16"/>
        </w:rPr>
        <w:t>24</w:t>
      </w:r>
      <w:r w:rsidRPr="0027107E">
        <w:rPr>
          <w:rFonts w:ascii="Verdana" w:hAnsi="Verdana" w:cs="Arial"/>
          <w:color w:val="000000"/>
          <w:sz w:val="16"/>
          <w:szCs w:val="16"/>
        </w:rPr>
        <w:t xml:space="preserve">, radicado No. </w:t>
      </w:r>
      <w:r>
        <w:rPr>
          <w:rFonts w:ascii="Verdana" w:hAnsi="Verdana" w:cs="Arial"/>
          <w:color w:val="000000"/>
          <w:sz w:val="16"/>
          <w:szCs w:val="16"/>
        </w:rPr>
        <w:t>58.879</w:t>
      </w:r>
      <w:r w:rsidRPr="0027107E">
        <w:rPr>
          <w:rFonts w:ascii="Verdana" w:hAnsi="Verdana" w:cs="Arial"/>
          <w:color w:val="000000"/>
          <w:sz w:val="16"/>
          <w:szCs w:val="16"/>
        </w:rPr>
        <w:t xml:space="preserve">, </w:t>
      </w:r>
      <w:r w:rsidRPr="0027107E">
        <w:rPr>
          <w:rFonts w:ascii="Verdana" w:hAnsi="Verdana" w:cs="Arial"/>
          <w:color w:val="000000"/>
          <w:sz w:val="16"/>
          <w:szCs w:val="16"/>
        </w:rPr>
        <w:t>Consejer</w:t>
      </w:r>
      <w:r>
        <w:rPr>
          <w:rFonts w:ascii="Verdana" w:hAnsi="Verdana" w:cs="Arial"/>
          <w:color w:val="000000"/>
          <w:sz w:val="16"/>
          <w:szCs w:val="16"/>
        </w:rPr>
        <w:t>a</w:t>
      </w:r>
      <w:r w:rsidRPr="0027107E">
        <w:rPr>
          <w:rFonts w:ascii="Verdana" w:hAnsi="Verdana" w:cs="Arial"/>
          <w:color w:val="000000"/>
          <w:sz w:val="16"/>
          <w:szCs w:val="16"/>
        </w:rPr>
        <w:t xml:space="preserve"> Ponente</w:t>
      </w:r>
      <w:r>
        <w:rPr>
          <w:rFonts w:ascii="Verdana" w:hAnsi="Verdana" w:cs="Arial"/>
          <w:color w:val="000000"/>
          <w:sz w:val="16"/>
          <w:szCs w:val="16"/>
        </w:rPr>
        <w:t>:</w:t>
      </w:r>
      <w:r w:rsidRPr="0027107E">
        <w:rPr>
          <w:rFonts w:ascii="Verdana" w:hAnsi="Verdana" w:cs="Arial"/>
          <w:color w:val="000000"/>
          <w:sz w:val="16"/>
          <w:szCs w:val="16"/>
        </w:rPr>
        <w:t xml:space="preserve"> </w:t>
      </w:r>
      <w:r>
        <w:rPr>
          <w:rFonts w:ascii="Verdana" w:hAnsi="Verdana" w:cs="Arial"/>
          <w:color w:val="000000"/>
          <w:sz w:val="16"/>
          <w:szCs w:val="16"/>
        </w:rPr>
        <w:t>María Adriana Marín</w:t>
      </w:r>
      <w:r w:rsidRPr="0027107E">
        <w:rPr>
          <w:rFonts w:ascii="Verdana" w:hAnsi="Verdana" w:cs="Arial"/>
          <w:color w:val="000000"/>
          <w:sz w:val="16"/>
          <w:szCs w:val="16"/>
        </w:rPr>
        <w:t>.</w:t>
      </w:r>
    </w:p>
  </w:footnote>
  <w:footnote w:id="16">
    <w:p w14:paraId="2BDAB175" w14:textId="77777777" w:rsidR="002A38E9" w:rsidRPr="00685275" w:rsidRDefault="002A38E9" w:rsidP="002A38E9">
      <w:pPr>
        <w:ind w:firstLine="709"/>
        <w:jc w:val="both"/>
        <w:rPr>
          <w:rFonts w:ascii="Arial" w:hAnsi="Arial" w:cs="Arial"/>
          <w:color w:val="201F1E"/>
          <w:sz w:val="20"/>
          <w:szCs w:val="20"/>
          <w:bdr w:val="none" w:sz="0" w:space="0" w:color="auto" w:frame="1"/>
          <w:lang w:val="es-ES" w:eastAsia="es-CO"/>
        </w:rPr>
      </w:pPr>
      <w:r w:rsidRPr="00685275">
        <w:rPr>
          <w:rStyle w:val="Refdenotaalpie"/>
          <w:rFonts w:ascii="Arial" w:hAnsi="Arial" w:cs="Arial"/>
          <w:sz w:val="20"/>
          <w:szCs w:val="20"/>
        </w:rPr>
        <w:footnoteRef/>
      </w:r>
      <w:r w:rsidRPr="00685275">
        <w:rPr>
          <w:rFonts w:ascii="Arial" w:hAnsi="Arial" w:cs="Arial"/>
          <w:sz w:val="20"/>
          <w:szCs w:val="20"/>
        </w:rPr>
        <w:t xml:space="preserve"> </w:t>
      </w:r>
      <w:r w:rsidRPr="004D62C0">
        <w:rPr>
          <w:rFonts w:ascii="Verdana" w:hAnsi="Verdana" w:cs="Arial"/>
          <w:sz w:val="16"/>
          <w:szCs w:val="16"/>
        </w:rPr>
        <w:t>L</w:t>
      </w:r>
      <w:r w:rsidRPr="004D62C0">
        <w:rPr>
          <w:rFonts w:ascii="Verdana" w:hAnsi="Verdana" w:cs="Arial"/>
          <w:sz w:val="16"/>
          <w:szCs w:val="16"/>
          <w:lang w:val="es-ES"/>
        </w:rPr>
        <w:t xml:space="preserve">a liquidación del contrato también ha sido considerada por la doctrina como un procedimiento y un mecanismo de solución de controversias. En este sentido, véase: Samuel Yong Serrano, </w:t>
      </w:r>
      <w:r w:rsidRPr="004D62C0">
        <w:rPr>
          <w:rFonts w:ascii="Verdana" w:hAnsi="Verdana" w:cs="Arial"/>
          <w:i/>
          <w:iCs/>
          <w:sz w:val="16"/>
          <w:szCs w:val="16"/>
          <w:lang w:val="es-ES"/>
        </w:rPr>
        <w:t>El contrato estatal en el contexto de la nueva legislación</w:t>
      </w:r>
      <w:r w:rsidRPr="004D62C0">
        <w:rPr>
          <w:rFonts w:ascii="Verdana" w:hAnsi="Verdana" w:cs="Arial"/>
          <w:sz w:val="16"/>
          <w:szCs w:val="16"/>
          <w:lang w:val="es-ES"/>
        </w:rPr>
        <w:t xml:space="preserve">, 4ª ed., Grupo editorial Ibáñez, Bogotá, 2015, p. 298; </w:t>
      </w:r>
      <w:r w:rsidRPr="004D62C0">
        <w:rPr>
          <w:rFonts w:ascii="Verdana" w:hAnsi="Verdana" w:cs="Arial"/>
          <w:sz w:val="16"/>
          <w:szCs w:val="16"/>
          <w:lang w:val="es-ES_tradnl"/>
        </w:rPr>
        <w:t xml:space="preserve">Francisco Cuello Duarte, </w:t>
      </w:r>
      <w:r w:rsidRPr="004D62C0">
        <w:rPr>
          <w:rFonts w:ascii="Verdana" w:hAnsi="Verdana" w:cs="Arial"/>
          <w:i/>
          <w:iCs/>
          <w:sz w:val="16"/>
          <w:szCs w:val="16"/>
          <w:lang w:val="es-ES_tradnl"/>
        </w:rPr>
        <w:t xml:space="preserve">Contratos de la administración Pública, </w:t>
      </w:r>
      <w:r w:rsidRPr="004D62C0">
        <w:rPr>
          <w:rFonts w:ascii="Verdana" w:hAnsi="Verdana" w:cs="Arial"/>
          <w:sz w:val="16"/>
          <w:szCs w:val="16"/>
          <w:lang w:val="es-ES_tradnl"/>
        </w:rPr>
        <w:t xml:space="preserve">Tercera edición. </w:t>
      </w:r>
      <w:r w:rsidRPr="004D62C0">
        <w:rPr>
          <w:rFonts w:ascii="Verdana" w:hAnsi="Verdana" w:cs="Arial"/>
          <w:sz w:val="16"/>
          <w:szCs w:val="16"/>
          <w:lang w:val="es-ES_tradnl"/>
        </w:rPr>
        <w:t xml:space="preserve">Ecoe Ediciones, Bogotá, 2009, p. 270; Aída Patricia Hernández Silva, «La liquidación del contrato estatal», </w:t>
      </w:r>
      <w:r w:rsidRPr="004D62C0">
        <w:rPr>
          <w:rFonts w:ascii="Verdana" w:hAnsi="Verdana" w:cs="Arial"/>
          <w:i/>
          <w:iCs/>
          <w:sz w:val="16"/>
          <w:szCs w:val="16"/>
          <w:lang w:val="es-ES_tradnl"/>
        </w:rPr>
        <w:t>en Revista digital de Derecho administrativo</w:t>
      </w:r>
      <w:r w:rsidRPr="004D62C0">
        <w:rPr>
          <w:rFonts w:ascii="Verdana" w:hAnsi="Verdana" w:cs="Arial"/>
          <w:sz w:val="16"/>
          <w:szCs w:val="16"/>
          <w:lang w:val="es-ES_tradnl"/>
        </w:rPr>
        <w:t xml:space="preserve">, Universidad Externado, número 1. 2009, p. 1; Juan Ángel Palacio Hincapié, </w:t>
      </w:r>
      <w:r w:rsidRPr="004D62C0">
        <w:rPr>
          <w:rFonts w:ascii="Verdana" w:hAnsi="Verdana" w:cs="Arial"/>
          <w:i/>
          <w:iCs/>
          <w:sz w:val="16"/>
          <w:szCs w:val="16"/>
          <w:lang w:val="es-ES_tradnl"/>
        </w:rPr>
        <w:t>La contratación de las entidades estatales</w:t>
      </w:r>
      <w:r w:rsidRPr="004D62C0">
        <w:rPr>
          <w:rFonts w:ascii="Verdana" w:hAnsi="Verdana" w:cs="Arial"/>
          <w:sz w:val="16"/>
          <w:szCs w:val="16"/>
          <w:lang w:val="es-ES_tradnl"/>
        </w:rPr>
        <w:t xml:space="preserve">, 5ª ed., Medellín, Librería Jurídica Sánchez, 2005, pp. 335, 338 y 339, y Juan Carlos Expósito Vélez, «La liquidación bilateral de los contratos estatales: un mecanismo alternativo de solución de conflictos», </w:t>
      </w:r>
      <w:r w:rsidRPr="004D62C0">
        <w:rPr>
          <w:rFonts w:ascii="Verdana" w:hAnsi="Verdana" w:cs="Arial"/>
          <w:i/>
          <w:iCs/>
          <w:sz w:val="16"/>
          <w:szCs w:val="16"/>
          <w:lang w:val="es-ES_tradnl"/>
        </w:rPr>
        <w:t xml:space="preserve">en Revista digital de Derecho administrativo, </w:t>
      </w:r>
      <w:r w:rsidRPr="004D62C0">
        <w:rPr>
          <w:rFonts w:ascii="Verdana" w:hAnsi="Verdana" w:cs="Arial"/>
          <w:sz w:val="16"/>
          <w:szCs w:val="16"/>
          <w:lang w:val="es-ES_tradnl"/>
        </w:rPr>
        <w:t>Universidad Externado, número 1. 2009.</w:t>
      </w:r>
    </w:p>
  </w:footnote>
  <w:footnote w:id="17">
    <w:p w14:paraId="7FD69E1B" w14:textId="77777777" w:rsidR="002A38E9" w:rsidRPr="000048E3" w:rsidRDefault="002A38E9" w:rsidP="002A38E9">
      <w:pPr>
        <w:pStyle w:val="Textonotapie"/>
        <w:ind w:firstLine="708"/>
        <w:jc w:val="both"/>
        <w:rPr>
          <w:rFonts w:ascii="Verdana" w:hAnsi="Verdana" w:cs="Arial"/>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COLOMBIA COMPRA EFICIENTE. Guía para la Liquidación de los Procesos de Contratación. página 5, disponible en: </w:t>
      </w:r>
      <w:hyperlink r:id="rId6" w:history="1">
        <w:r w:rsidRPr="00E13584">
          <w:rPr>
            <w:rStyle w:val="Hipervnculo"/>
            <w:rFonts w:ascii="Verdana" w:hAnsi="Verdana" w:cs="Arial"/>
            <w:sz w:val="16"/>
            <w:szCs w:val="16"/>
          </w:rPr>
          <w:t>https://www.colombiacompra.gov.co/sites/cce_public/files/cce_documents/cce_guia_liquidacion_procesos.pdf</w:t>
        </w:r>
      </w:hyperlink>
      <w:r w:rsidRPr="00E13584">
        <w:rPr>
          <w:rFonts w:ascii="Verdana" w:hAnsi="Verdana" w:cs="Arial"/>
          <w:sz w:val="16"/>
          <w:szCs w:val="16"/>
        </w:rPr>
        <w:t xml:space="preserve"> </w:t>
      </w:r>
    </w:p>
  </w:footnote>
  <w:footnote w:id="18">
    <w:p w14:paraId="677C7262" w14:textId="77777777" w:rsidR="002A38E9" w:rsidRPr="00E13584" w:rsidRDefault="002A38E9" w:rsidP="002A38E9">
      <w:pPr>
        <w:pStyle w:val="Textonotapie"/>
        <w:ind w:firstLine="708"/>
        <w:jc w:val="both"/>
        <w:rPr>
          <w:rFonts w:ascii="Verdana" w:hAnsi="Verdana"/>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9">
    <w:p w14:paraId="2C3D0E1E" w14:textId="77777777" w:rsidR="002A38E9" w:rsidRPr="008846CC" w:rsidRDefault="002A38E9" w:rsidP="002A38E9">
      <w:pPr>
        <w:pStyle w:val="Textonotapie"/>
        <w:ind w:firstLine="709"/>
        <w:jc w:val="both"/>
        <w:rPr>
          <w:lang w:val="es-CO"/>
        </w:rPr>
      </w:pPr>
      <w:r>
        <w:rPr>
          <w:rStyle w:val="Refdenotaalpie"/>
        </w:rPr>
        <w:footnoteRef/>
      </w:r>
      <w:r>
        <w:t xml:space="preserve"> </w:t>
      </w:r>
      <w:r>
        <w:rPr>
          <w:rFonts w:ascii="Verdana" w:hAnsi="Verdana"/>
          <w:sz w:val="16"/>
          <w:szCs w:val="16"/>
        </w:rPr>
        <w:t>S</w:t>
      </w:r>
      <w:r w:rsidRPr="008D5BCF">
        <w:rPr>
          <w:rFonts w:ascii="Verdana" w:hAnsi="Verdana"/>
          <w:sz w:val="16"/>
          <w:szCs w:val="16"/>
        </w:rPr>
        <w:t xml:space="preserve">obre este aspecto </w:t>
      </w:r>
      <w:r w:rsidRPr="008D5BCF">
        <w:rPr>
          <w:rFonts w:ascii="Verdana" w:hAnsi="Verdana"/>
          <w:sz w:val="16"/>
          <w:szCs w:val="16"/>
          <w:lang w:val="es-CO"/>
        </w:rPr>
        <w:t xml:space="preserve">el Consejo de Estado ha precisado que </w:t>
      </w:r>
      <w:r>
        <w:rPr>
          <w:rFonts w:ascii="Verdana" w:hAnsi="Verdana"/>
          <w:sz w:val="16"/>
          <w:szCs w:val="16"/>
          <w:lang w:val="es-CO"/>
        </w:rPr>
        <w:t>“</w:t>
      </w:r>
      <w:r w:rsidRPr="008D5BCF">
        <w:rPr>
          <w:rFonts w:ascii="Verdana" w:hAnsi="Verdana"/>
          <w:sz w:val="16"/>
          <w:szCs w:val="16"/>
          <w:lang w:val="es-CO"/>
        </w:rPr>
        <w:t xml:space="preserve">Como negocio jurídico sujeto al derecho privado, las partes podrán suscribir este tipo de acuerdos incluso por fuera del término de caducidad de la acción respectiva, toda vez que nada se opone a que obligaciones </w:t>
      </w:r>
      <w:r w:rsidRPr="008D5BCF">
        <w:rPr>
          <w:rFonts w:ascii="Verdana" w:hAnsi="Verdana"/>
          <w:sz w:val="16"/>
          <w:szCs w:val="16"/>
        </w:rPr>
        <w:t>naturales, es decir, que carecen de la posibilidad de reclamación en sede judicial, sean reconocidas por las partes del contrato. Este tipo de acuerdos serán ley para las partes (art. 1602 del CC) y, cuando terminen extrajudicialmente un litigio pendiente o precavan un litigio eventual, tendrán una naturaleza de transacción (art. 2469 del CC), es decir, producirá efectos de cosa juzgada en última instancia (art. 2483 del CC)</w:t>
      </w:r>
      <w:r>
        <w:rPr>
          <w:rFonts w:ascii="Verdana" w:hAnsi="Verdana"/>
          <w:sz w:val="16"/>
          <w:szCs w:val="16"/>
        </w:rPr>
        <w:t>”</w:t>
      </w:r>
      <w:r w:rsidRPr="008D5BCF">
        <w:rPr>
          <w:rFonts w:ascii="Verdana" w:hAnsi="Verdana"/>
          <w:sz w:val="16"/>
          <w:szCs w:val="16"/>
        </w:rPr>
        <w:t>.</w:t>
      </w:r>
      <w:r>
        <w:t xml:space="preserve"> </w:t>
      </w:r>
      <w:r>
        <w:rPr>
          <w:lang w:val="es-CO"/>
        </w:rPr>
        <w:t xml:space="preserve"> </w:t>
      </w:r>
      <w:r w:rsidRPr="00AD7D22">
        <w:rPr>
          <w:rFonts w:ascii="Verdana" w:hAnsi="Verdana" w:cs="Arial"/>
          <w:color w:val="000000" w:themeColor="text1"/>
          <w:sz w:val="16"/>
          <w:szCs w:val="16"/>
        </w:rPr>
        <w:t xml:space="preserve">CONSEJO DE ESTADO. Sección Tercera. </w:t>
      </w:r>
      <w:r>
        <w:rPr>
          <w:rFonts w:ascii="Verdana" w:hAnsi="Verdana" w:cs="Arial"/>
          <w:color w:val="000000" w:themeColor="text1"/>
          <w:sz w:val="16"/>
          <w:szCs w:val="16"/>
        </w:rPr>
        <w:t>Sentencia del 17 de junio de 2024</w:t>
      </w:r>
      <w:r w:rsidRPr="00AD7D22">
        <w:rPr>
          <w:rFonts w:ascii="Verdana" w:hAnsi="Verdana" w:cs="Arial"/>
          <w:color w:val="000000" w:themeColor="text1"/>
          <w:sz w:val="16"/>
          <w:szCs w:val="16"/>
        </w:rPr>
        <w:t xml:space="preserve">. </w:t>
      </w:r>
      <w:r w:rsidRPr="00AD7D22">
        <w:rPr>
          <w:rFonts w:ascii="Verdana" w:hAnsi="Verdana" w:cs="Arial"/>
          <w:color w:val="000000" w:themeColor="text1"/>
          <w:sz w:val="16"/>
          <w:szCs w:val="16"/>
        </w:rPr>
        <w:t xml:space="preserve">Exp. </w:t>
      </w:r>
      <w:r>
        <w:rPr>
          <w:rFonts w:ascii="Verdana" w:hAnsi="Verdana" w:cs="Arial"/>
          <w:color w:val="000000" w:themeColor="text1"/>
          <w:sz w:val="16"/>
          <w:szCs w:val="16"/>
        </w:rPr>
        <w:t>44.807</w:t>
      </w:r>
      <w:r w:rsidRPr="00AD7D22">
        <w:rPr>
          <w:rFonts w:ascii="Verdana" w:hAnsi="Verdana" w:cs="Arial"/>
          <w:color w:val="000000" w:themeColor="text1"/>
          <w:sz w:val="16"/>
          <w:szCs w:val="16"/>
        </w:rPr>
        <w:t xml:space="preserve">.  C.P. </w:t>
      </w:r>
      <w:r>
        <w:rPr>
          <w:rFonts w:ascii="Verdana" w:hAnsi="Verdana" w:cs="Arial"/>
          <w:color w:val="000000" w:themeColor="text1"/>
          <w:sz w:val="16"/>
          <w:szCs w:val="16"/>
        </w:rPr>
        <w:t xml:space="preserve">William Barrera Muñoz. </w:t>
      </w:r>
    </w:p>
  </w:footnote>
  <w:footnote w:id="20">
    <w:p w14:paraId="3D5359AF" w14:textId="77777777" w:rsidR="002A38E9" w:rsidRPr="0027107E" w:rsidRDefault="002A38E9" w:rsidP="002A38E9">
      <w:pPr>
        <w:pStyle w:val="Textonotapie"/>
        <w:ind w:firstLine="708"/>
        <w:jc w:val="both"/>
        <w:rPr>
          <w:rFonts w:ascii="Verdana" w:hAnsi="Verdana"/>
          <w:sz w:val="16"/>
          <w:szCs w:val="16"/>
          <w:lang w:val="es-CO"/>
        </w:rPr>
      </w:pPr>
      <w:r w:rsidRPr="0027107E">
        <w:rPr>
          <w:rStyle w:val="Refdenotaalpie"/>
          <w:rFonts w:ascii="Verdana" w:hAnsi="Verdana"/>
          <w:sz w:val="16"/>
          <w:szCs w:val="16"/>
        </w:rPr>
        <w:footnoteRef/>
      </w:r>
      <w:r w:rsidRPr="0027107E">
        <w:rPr>
          <w:rFonts w:ascii="Verdana" w:hAnsi="Verdana"/>
          <w:sz w:val="16"/>
          <w:szCs w:val="16"/>
        </w:rPr>
        <w:t xml:space="preserve"> DÍAZ DÍEZ, Cristian Andrés. La liquidación. Serie: Las Cláusulas del Contrato Estatal. Medellín: Librería Jurídica Sánchez y Centro de Estudios de Derecho Administrativo –CEDA–, 2013. pp. 107-108.</w:t>
      </w:r>
    </w:p>
  </w:footnote>
  <w:footnote w:id="21">
    <w:p w14:paraId="41A45EAC" w14:textId="77777777" w:rsidR="002A38E9" w:rsidRPr="009979F0" w:rsidRDefault="002A38E9" w:rsidP="002A38E9">
      <w:pPr>
        <w:pStyle w:val="Textonotapie"/>
        <w:ind w:firstLine="709"/>
        <w:jc w:val="both"/>
        <w:rPr>
          <w:rFonts w:ascii="Verdana" w:hAnsi="Verdana"/>
          <w:sz w:val="16"/>
          <w:szCs w:val="16"/>
          <w:lang w:val="es-CO"/>
        </w:rPr>
      </w:pPr>
      <w:r>
        <w:rPr>
          <w:rStyle w:val="Refdenotaalpie"/>
        </w:rPr>
        <w:footnoteRef/>
      </w:r>
      <w:r>
        <w:t xml:space="preserve"> </w:t>
      </w:r>
      <w:bookmarkStart w:id="5" w:name="105"/>
      <w:r w:rsidRPr="009979F0">
        <w:rPr>
          <w:rFonts w:ascii="Verdana" w:hAnsi="Verdana"/>
          <w:sz w:val="16"/>
          <w:szCs w:val="16"/>
        </w:rPr>
        <w:t xml:space="preserve">Ley 1437 de 2022. </w:t>
      </w:r>
      <w:r w:rsidRPr="009979F0">
        <w:rPr>
          <w:rFonts w:ascii="Verdana" w:hAnsi="Verdana"/>
          <w:sz w:val="16"/>
          <w:szCs w:val="16"/>
          <w:lang w:val="es-CO"/>
        </w:rPr>
        <w:t>ARTÍCULO 105. EXCEPCIONES.</w:t>
      </w:r>
      <w:bookmarkEnd w:id="5"/>
      <w:r w:rsidRPr="009979F0">
        <w:rPr>
          <w:rFonts w:ascii="Verdana" w:hAnsi="Verdana"/>
          <w:sz w:val="16"/>
          <w:szCs w:val="16"/>
          <w:lang w:val="es-CO"/>
        </w:rPr>
        <w:t> La Jurisdicción de lo Contencioso Administrativo no conocerá de los siguientes asuntos:</w:t>
      </w:r>
    </w:p>
    <w:p w14:paraId="59D0CCFE" w14:textId="77777777" w:rsidR="002A38E9" w:rsidRPr="009979F0" w:rsidRDefault="002A38E9" w:rsidP="002A38E9">
      <w:pPr>
        <w:pStyle w:val="Textonotapie"/>
        <w:ind w:firstLine="709"/>
        <w:jc w:val="both"/>
        <w:rPr>
          <w:rFonts w:ascii="Verdana" w:hAnsi="Verdana"/>
          <w:sz w:val="16"/>
          <w:szCs w:val="16"/>
          <w:lang w:val="es-CO"/>
        </w:rPr>
      </w:pPr>
      <w:r w:rsidRPr="009979F0">
        <w:rPr>
          <w:rFonts w:ascii="Verdana" w:hAnsi="Verdana"/>
          <w:sz w:val="16"/>
          <w:szCs w:val="16"/>
          <w:lang w:val="es-CO"/>
        </w:rPr>
        <w:t>1. Las controversias relativas a la responsabilidad extracontractual y a los contratos celebrados por entidades públicas que tengan el carácter de instituciones financieras, aseguradoras, intermediarios de seguros o intermediarios de valores vigilados por la Superintendencia Financiera, cuando correspondan al giro ordinario de los negocios de dichas entidades, incluyendo los procesos ejecutivos.</w:t>
      </w:r>
    </w:p>
    <w:p w14:paraId="3A550451" w14:textId="77777777" w:rsidR="002A38E9" w:rsidRPr="009979F0" w:rsidRDefault="002A38E9" w:rsidP="002A38E9">
      <w:pPr>
        <w:pStyle w:val="Textonotapie"/>
        <w:ind w:firstLine="709"/>
        <w:jc w:val="both"/>
        <w:rPr>
          <w:rFonts w:ascii="Verdana" w:hAnsi="Verdana"/>
          <w:sz w:val="16"/>
          <w:szCs w:val="16"/>
          <w:lang w:val="es-CO"/>
        </w:rPr>
      </w:pPr>
      <w:r w:rsidRPr="009979F0">
        <w:rPr>
          <w:rFonts w:ascii="Verdana" w:hAnsi="Verdana"/>
          <w:sz w:val="16"/>
          <w:szCs w:val="16"/>
          <w:lang w:val="es-CO"/>
        </w:rPr>
        <w:t>2. Las decisiones proferidas por autoridades administrativas en ejercicio de funciones jurisdiccionales, sin perjuicio de las competencias en materia de recursos contra dichas decisiones atribuidas a esta jurisdicción. Las decisiones que una autoridad administrativa adopte en ejercicio de la función jurisdiccional estarán identificadas con la expresión que corresponde hacer a los jueces precediendo la parte resolutiva de sus sentencias y deberán ser adoptadas en un proveído independiente que no podrá mezclarse con decisiones que correspondan al ejercicio de función administrativa, las cuales, si tienen relación con el mismo asunto, deberán constar en acto administrativo separado.</w:t>
      </w:r>
    </w:p>
    <w:p w14:paraId="6A935B4F" w14:textId="77777777" w:rsidR="002A38E9" w:rsidRPr="009979F0" w:rsidRDefault="002A38E9" w:rsidP="002A38E9">
      <w:pPr>
        <w:pStyle w:val="Textonotapie"/>
        <w:ind w:firstLine="709"/>
        <w:jc w:val="both"/>
        <w:rPr>
          <w:rFonts w:ascii="Verdana" w:hAnsi="Verdana"/>
          <w:sz w:val="16"/>
          <w:szCs w:val="16"/>
          <w:lang w:val="es-CO"/>
        </w:rPr>
      </w:pPr>
      <w:r w:rsidRPr="009979F0">
        <w:rPr>
          <w:rFonts w:ascii="Verdana" w:hAnsi="Verdana"/>
          <w:sz w:val="16"/>
          <w:szCs w:val="16"/>
          <w:lang w:val="es-CO"/>
        </w:rPr>
        <w:t>3. Las decisiones proferidas en juicios de policía regulados especialmente por la ley.</w:t>
      </w:r>
    </w:p>
    <w:p w14:paraId="3222D545" w14:textId="77777777" w:rsidR="002A38E9" w:rsidRPr="009979F0" w:rsidRDefault="002A38E9" w:rsidP="002A38E9">
      <w:pPr>
        <w:pStyle w:val="Textonotapie"/>
        <w:ind w:firstLine="709"/>
        <w:jc w:val="both"/>
        <w:rPr>
          <w:lang w:val="es-CO"/>
        </w:rPr>
      </w:pPr>
      <w:r w:rsidRPr="009979F0">
        <w:rPr>
          <w:rFonts w:ascii="Verdana" w:hAnsi="Verdana"/>
          <w:sz w:val="16"/>
          <w:szCs w:val="16"/>
          <w:lang w:val="es-CO"/>
        </w:rPr>
        <w:t>4. Los conflictos de carácter laboral surgidos entre las entidades públicas y sus trabajadores oficiales.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F8E"/>
    <w:rsid w:val="000073EF"/>
    <w:rsid w:val="00016A14"/>
    <w:rsid w:val="00016F78"/>
    <w:rsid w:val="00024942"/>
    <w:rsid w:val="00046945"/>
    <w:rsid w:val="00061B2A"/>
    <w:rsid w:val="0006468E"/>
    <w:rsid w:val="00082362"/>
    <w:rsid w:val="000861AC"/>
    <w:rsid w:val="000A466B"/>
    <w:rsid w:val="000A683E"/>
    <w:rsid w:val="000B19B9"/>
    <w:rsid w:val="000B3172"/>
    <w:rsid w:val="000D0334"/>
    <w:rsid w:val="000F59CB"/>
    <w:rsid w:val="000F62DA"/>
    <w:rsid w:val="000F6486"/>
    <w:rsid w:val="00106319"/>
    <w:rsid w:val="001076F0"/>
    <w:rsid w:val="00110326"/>
    <w:rsid w:val="00125105"/>
    <w:rsid w:val="00127233"/>
    <w:rsid w:val="001431BA"/>
    <w:rsid w:val="00154158"/>
    <w:rsid w:val="00173318"/>
    <w:rsid w:val="001C6DE9"/>
    <w:rsid w:val="001E4177"/>
    <w:rsid w:val="001F7DC6"/>
    <w:rsid w:val="002421BB"/>
    <w:rsid w:val="00255942"/>
    <w:rsid w:val="0025796E"/>
    <w:rsid w:val="00260408"/>
    <w:rsid w:val="002707A2"/>
    <w:rsid w:val="00272EFA"/>
    <w:rsid w:val="00287E28"/>
    <w:rsid w:val="002951A0"/>
    <w:rsid w:val="002952EA"/>
    <w:rsid w:val="002962BC"/>
    <w:rsid w:val="002A093D"/>
    <w:rsid w:val="002A0DD0"/>
    <w:rsid w:val="002A38E9"/>
    <w:rsid w:val="002A49AC"/>
    <w:rsid w:val="002A64FD"/>
    <w:rsid w:val="002C7A84"/>
    <w:rsid w:val="002D1B44"/>
    <w:rsid w:val="002E4FD9"/>
    <w:rsid w:val="002E673B"/>
    <w:rsid w:val="002E78B1"/>
    <w:rsid w:val="002F04BE"/>
    <w:rsid w:val="003005D1"/>
    <w:rsid w:val="0032092F"/>
    <w:rsid w:val="00322A85"/>
    <w:rsid w:val="00324168"/>
    <w:rsid w:val="003448F4"/>
    <w:rsid w:val="003675F3"/>
    <w:rsid w:val="00374F5E"/>
    <w:rsid w:val="00377E3E"/>
    <w:rsid w:val="003A779E"/>
    <w:rsid w:val="003C025D"/>
    <w:rsid w:val="003C4685"/>
    <w:rsid w:val="003D0F4D"/>
    <w:rsid w:val="003D5B0D"/>
    <w:rsid w:val="003E0499"/>
    <w:rsid w:val="003E466F"/>
    <w:rsid w:val="003E55FF"/>
    <w:rsid w:val="003F3941"/>
    <w:rsid w:val="00400F07"/>
    <w:rsid w:val="0040386C"/>
    <w:rsid w:val="00405EE4"/>
    <w:rsid w:val="00406575"/>
    <w:rsid w:val="00414C74"/>
    <w:rsid w:val="0042722E"/>
    <w:rsid w:val="004310CC"/>
    <w:rsid w:val="00431C19"/>
    <w:rsid w:val="0044528D"/>
    <w:rsid w:val="0044733C"/>
    <w:rsid w:val="004757AF"/>
    <w:rsid w:val="004A1847"/>
    <w:rsid w:val="004A305D"/>
    <w:rsid w:val="004A5D60"/>
    <w:rsid w:val="004D500A"/>
    <w:rsid w:val="004F21C4"/>
    <w:rsid w:val="004F2DBA"/>
    <w:rsid w:val="004F685F"/>
    <w:rsid w:val="004F7347"/>
    <w:rsid w:val="00530AC2"/>
    <w:rsid w:val="00531711"/>
    <w:rsid w:val="00545F29"/>
    <w:rsid w:val="005563DD"/>
    <w:rsid w:val="005566E8"/>
    <w:rsid w:val="00561E87"/>
    <w:rsid w:val="00566BBD"/>
    <w:rsid w:val="00574867"/>
    <w:rsid w:val="00591460"/>
    <w:rsid w:val="005C3777"/>
    <w:rsid w:val="005C5CDC"/>
    <w:rsid w:val="005D476C"/>
    <w:rsid w:val="005E5877"/>
    <w:rsid w:val="00617658"/>
    <w:rsid w:val="006219F8"/>
    <w:rsid w:val="00622B6D"/>
    <w:rsid w:val="006302F7"/>
    <w:rsid w:val="0063406F"/>
    <w:rsid w:val="00660822"/>
    <w:rsid w:val="00660EA8"/>
    <w:rsid w:val="00665D70"/>
    <w:rsid w:val="00667952"/>
    <w:rsid w:val="006900D9"/>
    <w:rsid w:val="006A760C"/>
    <w:rsid w:val="006D19B9"/>
    <w:rsid w:val="00705101"/>
    <w:rsid w:val="00706C16"/>
    <w:rsid w:val="007138A2"/>
    <w:rsid w:val="00733A90"/>
    <w:rsid w:val="00746311"/>
    <w:rsid w:val="00756841"/>
    <w:rsid w:val="007649AB"/>
    <w:rsid w:val="00771D0C"/>
    <w:rsid w:val="007833AC"/>
    <w:rsid w:val="00793F7B"/>
    <w:rsid w:val="007B1695"/>
    <w:rsid w:val="007B268C"/>
    <w:rsid w:val="007B7171"/>
    <w:rsid w:val="007C0C0F"/>
    <w:rsid w:val="007C3DC2"/>
    <w:rsid w:val="007C79D9"/>
    <w:rsid w:val="007E5497"/>
    <w:rsid w:val="007F7C8E"/>
    <w:rsid w:val="00806F5F"/>
    <w:rsid w:val="00820278"/>
    <w:rsid w:val="00835517"/>
    <w:rsid w:val="00852173"/>
    <w:rsid w:val="00867F95"/>
    <w:rsid w:val="00882D7C"/>
    <w:rsid w:val="008843B6"/>
    <w:rsid w:val="008846CC"/>
    <w:rsid w:val="00891928"/>
    <w:rsid w:val="00897A3A"/>
    <w:rsid w:val="008A446D"/>
    <w:rsid w:val="008A56F8"/>
    <w:rsid w:val="008B2EA6"/>
    <w:rsid w:val="008D180B"/>
    <w:rsid w:val="008D5BCF"/>
    <w:rsid w:val="008F0EA7"/>
    <w:rsid w:val="00905317"/>
    <w:rsid w:val="009057CF"/>
    <w:rsid w:val="00917125"/>
    <w:rsid w:val="00923EEF"/>
    <w:rsid w:val="00931ABB"/>
    <w:rsid w:val="00932077"/>
    <w:rsid w:val="009415E7"/>
    <w:rsid w:val="009419F9"/>
    <w:rsid w:val="0095479D"/>
    <w:rsid w:val="0095685E"/>
    <w:rsid w:val="00961B09"/>
    <w:rsid w:val="00962D87"/>
    <w:rsid w:val="00965334"/>
    <w:rsid w:val="0097093E"/>
    <w:rsid w:val="0097568B"/>
    <w:rsid w:val="009979F0"/>
    <w:rsid w:val="009A0DFA"/>
    <w:rsid w:val="009B25A8"/>
    <w:rsid w:val="009B2D26"/>
    <w:rsid w:val="009B7F46"/>
    <w:rsid w:val="009C71FA"/>
    <w:rsid w:val="009C72E7"/>
    <w:rsid w:val="009D3058"/>
    <w:rsid w:val="009F3A13"/>
    <w:rsid w:val="00A122D3"/>
    <w:rsid w:val="00A17F13"/>
    <w:rsid w:val="00A20739"/>
    <w:rsid w:val="00A33C78"/>
    <w:rsid w:val="00A37E1D"/>
    <w:rsid w:val="00A476FF"/>
    <w:rsid w:val="00A5203D"/>
    <w:rsid w:val="00A53477"/>
    <w:rsid w:val="00A736AF"/>
    <w:rsid w:val="00A81E66"/>
    <w:rsid w:val="00A852A6"/>
    <w:rsid w:val="00AB0ADB"/>
    <w:rsid w:val="00AD4086"/>
    <w:rsid w:val="00B00C0E"/>
    <w:rsid w:val="00B01B1A"/>
    <w:rsid w:val="00B064A8"/>
    <w:rsid w:val="00B20BA6"/>
    <w:rsid w:val="00B3532F"/>
    <w:rsid w:val="00B44A47"/>
    <w:rsid w:val="00B57B54"/>
    <w:rsid w:val="00B72CD3"/>
    <w:rsid w:val="00B72FFF"/>
    <w:rsid w:val="00B8260D"/>
    <w:rsid w:val="00BC3D36"/>
    <w:rsid w:val="00BD5F71"/>
    <w:rsid w:val="00BD7F72"/>
    <w:rsid w:val="00BE16CA"/>
    <w:rsid w:val="00BE59BE"/>
    <w:rsid w:val="00BE7AD5"/>
    <w:rsid w:val="00BF7226"/>
    <w:rsid w:val="00C04E6B"/>
    <w:rsid w:val="00C04FB3"/>
    <w:rsid w:val="00C200CA"/>
    <w:rsid w:val="00C262D5"/>
    <w:rsid w:val="00C31131"/>
    <w:rsid w:val="00C330EB"/>
    <w:rsid w:val="00C45133"/>
    <w:rsid w:val="00C754BE"/>
    <w:rsid w:val="00C76B1C"/>
    <w:rsid w:val="00C847FE"/>
    <w:rsid w:val="00C90BAD"/>
    <w:rsid w:val="00C94E63"/>
    <w:rsid w:val="00CB6357"/>
    <w:rsid w:val="00CB6638"/>
    <w:rsid w:val="00CC1B26"/>
    <w:rsid w:val="00CC51D5"/>
    <w:rsid w:val="00CD5606"/>
    <w:rsid w:val="00CF1851"/>
    <w:rsid w:val="00CF78D5"/>
    <w:rsid w:val="00D35D66"/>
    <w:rsid w:val="00D423A2"/>
    <w:rsid w:val="00D50F54"/>
    <w:rsid w:val="00D520D8"/>
    <w:rsid w:val="00D5224A"/>
    <w:rsid w:val="00D63AC2"/>
    <w:rsid w:val="00D6740F"/>
    <w:rsid w:val="00D7383B"/>
    <w:rsid w:val="00D94E63"/>
    <w:rsid w:val="00D97EF3"/>
    <w:rsid w:val="00DA231B"/>
    <w:rsid w:val="00DC39FC"/>
    <w:rsid w:val="00DF5254"/>
    <w:rsid w:val="00E16408"/>
    <w:rsid w:val="00E20894"/>
    <w:rsid w:val="00E245AB"/>
    <w:rsid w:val="00E2764C"/>
    <w:rsid w:val="00E27F2E"/>
    <w:rsid w:val="00E366C1"/>
    <w:rsid w:val="00E37A29"/>
    <w:rsid w:val="00E50AFE"/>
    <w:rsid w:val="00E57695"/>
    <w:rsid w:val="00E724E5"/>
    <w:rsid w:val="00E75C92"/>
    <w:rsid w:val="00E771DC"/>
    <w:rsid w:val="00E8772A"/>
    <w:rsid w:val="00E90F6B"/>
    <w:rsid w:val="00E92C27"/>
    <w:rsid w:val="00EA0E3D"/>
    <w:rsid w:val="00EB72E9"/>
    <w:rsid w:val="00EC38A7"/>
    <w:rsid w:val="00EE0053"/>
    <w:rsid w:val="00EE1AA8"/>
    <w:rsid w:val="00F109CF"/>
    <w:rsid w:val="00F22E63"/>
    <w:rsid w:val="00F262D3"/>
    <w:rsid w:val="00F27CF8"/>
    <w:rsid w:val="00F31EDC"/>
    <w:rsid w:val="00F462B3"/>
    <w:rsid w:val="00F46E11"/>
    <w:rsid w:val="00F505B0"/>
    <w:rsid w:val="00F5664F"/>
    <w:rsid w:val="00F666C4"/>
    <w:rsid w:val="00F704CE"/>
    <w:rsid w:val="00F76AFC"/>
    <w:rsid w:val="00F923E5"/>
    <w:rsid w:val="00FA47C0"/>
    <w:rsid w:val="00FB5DD1"/>
    <w:rsid w:val="00FC2B5D"/>
    <w:rsid w:val="00FF1449"/>
    <w:rsid w:val="3239A092"/>
    <w:rsid w:val="56EA2E15"/>
    <w:rsid w:val="59482D25"/>
    <w:rsid w:val="76058E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0CC"/>
    <w:pPr>
      <w:spacing w:line="25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F262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62D3"/>
    <w:rPr>
      <w:rFonts w:ascii="Geomanist Light" w:hAnsi="Geomanist Light"/>
      <w:lang w:val="es-ES"/>
    </w:rPr>
  </w:style>
  <w:style w:type="paragraph" w:styleId="Sinespaciado">
    <w:name w:val="No Spacing"/>
    <w:aliases w:val="No Indent"/>
    <w:uiPriority w:val="3"/>
    <w:qFormat/>
    <w:rsid w:val="00F262D3"/>
    <w:pPr>
      <w:spacing w:after="0" w:line="240" w:lineRule="auto"/>
    </w:pPr>
    <w:rPr>
      <w:sz w:val="24"/>
      <w:lang w:val="es-MX"/>
    </w:rPr>
  </w:style>
  <w:style w:type="character" w:customStyle="1" w:styleId="baj">
    <w:name w:val="b_aj"/>
    <w:basedOn w:val="Fuentedeprrafopredeter"/>
    <w:rsid w:val="0040386C"/>
  </w:style>
  <w:style w:type="character" w:styleId="nfasis">
    <w:name w:val="Emphasis"/>
    <w:basedOn w:val="Fuentedeprrafopredeter"/>
    <w:uiPriority w:val="20"/>
    <w:qFormat/>
    <w:rsid w:val="00024942"/>
    <w:rPr>
      <w:i/>
      <w:iCs/>
    </w:rPr>
  </w:style>
  <w:style w:type="table" w:customStyle="1" w:styleId="Tablaconcuadrcula1">
    <w:name w:val="Tabla con cuadrícula1"/>
    <w:basedOn w:val="Tablanormal"/>
    <w:next w:val="Tablaconcuadrcula"/>
    <w:uiPriority w:val="39"/>
    <w:qFormat/>
    <w:rsid w:val="002A38E9"/>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sagiraldo@gmail.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vicepoliticas@minambiente.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about:blank"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about:blank" TargetMode="External"/><Relationship Id="rId2" Type="http://schemas.openxmlformats.org/officeDocument/2006/relationships/hyperlink" Target="about:blank" TargetMode="External"/><Relationship Id="rId1" Type="http://schemas.openxmlformats.org/officeDocument/2006/relationships/hyperlink" Target="about:blank" TargetMode="External"/><Relationship Id="rId6" Type="http://schemas.openxmlformats.org/officeDocument/2006/relationships/hyperlink" Target="https://www.colombiacompra.gov.co/sites/cce_public/files/cce_documents/cce_guia_liquidacion_procesos.pdf" TargetMode="External"/><Relationship Id="rId5" Type="http://schemas.openxmlformats.org/officeDocument/2006/relationships/hyperlink" Target="about:blank" TargetMode="External"/><Relationship Id="rId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180A14B-7D2A-47FB-BCE6-19AFB83E5666}">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openxmlformats.org/package/2006/metadata/core-properties"/>
    <ds:schemaRef ds:uri="http://purl.org/dc/elements/1.1/"/>
    <ds:schemaRef ds:uri="http://schemas.microsoft.com/office/infopath/2007/PartnerControls"/>
    <ds:schemaRef ds:uri="http://www.w3.org/XML/1998/namespace"/>
    <ds:schemaRef ds:uri="http://schemas.microsoft.com/office/2006/metadata/properties"/>
    <ds:schemaRef ds:uri="http://purl.org/dc/terms/"/>
    <ds:schemaRef ds:uri="http://schemas.microsoft.com/office/2006/documentManagement/types"/>
    <ds:schemaRef ds:uri="9d85dbaf-23eb-4e57-a637-93dcacc8b1a1"/>
    <ds:schemaRef ds:uri="a6cb9e4b-f1d1-4245-83ec-6cad768d538a"/>
    <ds:schemaRef ds:uri="http://purl.org/dc/dcmitype/"/>
  </ds:schemaRefs>
</ds:datastoreItem>
</file>

<file path=customXml/itemProps4.xml><?xml version="1.0" encoding="utf-8"?>
<ds:datastoreItem xmlns:ds="http://schemas.openxmlformats.org/officeDocument/2006/customXml" ds:itemID="{8379279A-C3B5-4851-B75E-C1ED67696B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18</Pages>
  <Words>5677</Words>
  <Characters>30602</Characters>
  <Application>Microsoft Office Word</Application>
  <DocSecurity>0</DocSecurity>
  <Lines>612</Lines>
  <Paragraphs>123</Paragraphs>
  <ScaleCrop>false</ScaleCrop>
  <Company/>
  <LinksUpToDate>false</LinksUpToDate>
  <CharactersWithSpaces>36156</CharactersWithSpaces>
  <SharedDoc>false</SharedDoc>
  <HLinks>
    <vt:vector size="66" baseType="variant">
      <vt:variant>
        <vt:i4>7471218</vt:i4>
      </vt:variant>
      <vt:variant>
        <vt:i4>12</vt:i4>
      </vt:variant>
      <vt:variant>
        <vt:i4>0</vt:i4>
      </vt:variant>
      <vt:variant>
        <vt:i4>5</vt:i4>
      </vt:variant>
      <vt:variant>
        <vt:lpwstr>https://relatoria.colombiacompra.gov.co/busqueda/conceptos</vt:lpwstr>
      </vt:variant>
      <vt:variant>
        <vt:lpwstr/>
      </vt:variant>
      <vt:variant>
        <vt:i4>1638475</vt:i4>
      </vt:variant>
      <vt:variant>
        <vt:i4>9</vt:i4>
      </vt:variant>
      <vt:variant>
        <vt:i4>0</vt:i4>
      </vt:variant>
      <vt:variant>
        <vt:i4>5</vt:i4>
      </vt:variant>
      <vt:variant>
        <vt:lpwstr>about:blank</vt:lpwstr>
      </vt:variant>
      <vt:variant>
        <vt:lpwstr>267</vt:lpwstr>
      </vt:variant>
      <vt:variant>
        <vt:i4>2031691</vt:i4>
      </vt:variant>
      <vt:variant>
        <vt:i4>6</vt:i4>
      </vt:variant>
      <vt:variant>
        <vt:i4>0</vt:i4>
      </vt:variant>
      <vt:variant>
        <vt:i4>5</vt:i4>
      </vt:variant>
      <vt:variant>
        <vt:lpwstr>about:blank</vt:lpwstr>
      </vt:variant>
      <vt:variant>
        <vt:lpwstr>209</vt:lpwstr>
      </vt:variant>
      <vt:variant>
        <vt:i4>1048621</vt:i4>
      </vt:variant>
      <vt:variant>
        <vt:i4>3</vt:i4>
      </vt:variant>
      <vt:variant>
        <vt:i4>0</vt:i4>
      </vt:variant>
      <vt:variant>
        <vt:i4>5</vt:i4>
      </vt:variant>
      <vt:variant>
        <vt:lpwstr>mailto:sosagiraldo@gmail.com</vt:lpwstr>
      </vt:variant>
      <vt:variant>
        <vt:lpwstr/>
      </vt:variant>
      <vt:variant>
        <vt:i4>7405596</vt:i4>
      </vt:variant>
      <vt:variant>
        <vt:i4>0</vt:i4>
      </vt:variant>
      <vt:variant>
        <vt:i4>0</vt:i4>
      </vt:variant>
      <vt:variant>
        <vt:i4>5</vt:i4>
      </vt:variant>
      <vt:variant>
        <vt:lpwstr>mailto:vicepoliticas@minambiente.gov.co</vt:lpwstr>
      </vt:variant>
      <vt:variant>
        <vt:lpwstr/>
      </vt:variant>
      <vt:variant>
        <vt:i4>8257615</vt:i4>
      </vt:variant>
      <vt:variant>
        <vt:i4>15</vt:i4>
      </vt:variant>
      <vt:variant>
        <vt:i4>0</vt:i4>
      </vt:variant>
      <vt:variant>
        <vt:i4>5</vt:i4>
      </vt:variant>
      <vt:variant>
        <vt:lpwstr>https://www.colombiacompra.gov.co/sites/cce_public/files/cce_documents/cce_guia_liquidacion_procesos.pdf</vt:lpwstr>
      </vt:variant>
      <vt:variant>
        <vt:lpwstr/>
      </vt:variant>
      <vt:variant>
        <vt:i4>1835085</vt:i4>
      </vt:variant>
      <vt:variant>
        <vt:i4>12</vt:i4>
      </vt:variant>
      <vt:variant>
        <vt:i4>0</vt:i4>
      </vt:variant>
      <vt:variant>
        <vt:i4>5</vt:i4>
      </vt:variant>
      <vt:variant>
        <vt:lpwstr>about:blank</vt:lpwstr>
      </vt:variant>
      <vt:variant>
        <vt:lpwstr>43</vt:lpwstr>
      </vt:variant>
      <vt:variant>
        <vt:i4>1900621</vt:i4>
      </vt:variant>
      <vt:variant>
        <vt:i4>9</vt:i4>
      </vt:variant>
      <vt:variant>
        <vt:i4>0</vt:i4>
      </vt:variant>
      <vt:variant>
        <vt:i4>5</vt:i4>
      </vt:variant>
      <vt:variant>
        <vt:lpwstr>about:blank</vt:lpwstr>
      </vt:variant>
      <vt:variant>
        <vt:lpwstr>42</vt:lpwstr>
      </vt:variant>
      <vt:variant>
        <vt:i4>1507400</vt:i4>
      </vt:variant>
      <vt:variant>
        <vt:i4>6</vt:i4>
      </vt:variant>
      <vt:variant>
        <vt:i4>0</vt:i4>
      </vt:variant>
      <vt:variant>
        <vt:i4>5</vt:i4>
      </vt:variant>
      <vt:variant>
        <vt:lpwstr>about:blank</vt:lpwstr>
      </vt:variant>
      <vt:variant>
        <vt:lpwstr>18</vt:lpwstr>
      </vt:variant>
      <vt:variant>
        <vt:i4>1769544</vt:i4>
      </vt:variant>
      <vt:variant>
        <vt:i4>3</vt:i4>
      </vt:variant>
      <vt:variant>
        <vt:i4>0</vt:i4>
      </vt:variant>
      <vt:variant>
        <vt:i4>5</vt:i4>
      </vt:variant>
      <vt:variant>
        <vt:lpwstr>about:blank</vt:lpwstr>
      </vt:variant>
      <vt:variant>
        <vt:lpwstr>14</vt:lpwstr>
      </vt:variant>
      <vt:variant>
        <vt:i4>1835080</vt:i4>
      </vt:variant>
      <vt:variant>
        <vt:i4>0</vt:i4>
      </vt:variant>
      <vt:variant>
        <vt:i4>0</vt:i4>
      </vt:variant>
      <vt:variant>
        <vt:i4>5</vt:i4>
      </vt:variant>
      <vt:variant>
        <vt:lpwstr>about:blank</vt:lpwstr>
      </vt:variant>
      <vt:variant>
        <vt:lpwstr>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2025-11-04T14:56:00Z</dcterms:created>
  <dcterms:modified xsi:type="dcterms:W3CDTF">2025-11-04T14:56:00Z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