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8C1FB" w14:textId="77777777" w:rsidR="006923E5" w:rsidRDefault="006923E5" w:rsidP="00871B59">
      <w:pPr>
        <w:spacing w:after="0" w:line="240" w:lineRule="auto"/>
        <w:jc w:val="both"/>
        <w:rPr>
          <w:rFonts w:ascii="Verdana" w:eastAsia="Calibri" w:hAnsi="Verdana" w:cs="Arial"/>
          <w:lang w:val="es-ES" w:eastAsia="es-ES"/>
        </w:rPr>
      </w:pPr>
    </w:p>
    <w:p w14:paraId="4536C462" w14:textId="77777777" w:rsidR="006923E5" w:rsidRPr="006923E5" w:rsidRDefault="006923E5" w:rsidP="006923E5">
      <w:pPr>
        <w:spacing w:before="100" w:beforeAutospacing="1" w:after="100" w:afterAutospacing="1" w:line="240" w:lineRule="auto"/>
        <w:jc w:val="both"/>
        <w:rPr>
          <w:rFonts w:ascii="Verdana" w:eastAsia="Times New Roman" w:hAnsi="Verdana" w:cs="Times New Roman"/>
          <w:b/>
          <w:bCs/>
          <w:lang w:eastAsia="es-MX"/>
        </w:rPr>
      </w:pPr>
      <w:r w:rsidRPr="006923E5">
        <w:rPr>
          <w:rFonts w:ascii="Verdana" w:eastAsia="Times New Roman" w:hAnsi="Verdana" w:cs="Times New Roman"/>
          <w:b/>
          <w:bCs/>
          <w:lang w:eastAsia="es-MX"/>
        </w:rPr>
        <w:t xml:space="preserve">INHABILIDADES E INCOMPATIBILIDADES – Concepto – finalidad </w:t>
      </w:r>
    </w:p>
    <w:p w14:paraId="266E5256" w14:textId="4EB0B3FF" w:rsidR="006923E5" w:rsidRPr="006923E5" w:rsidRDefault="006923E5" w:rsidP="00F318A5">
      <w:pPr>
        <w:spacing w:before="100" w:beforeAutospacing="1" w:after="0" w:line="240" w:lineRule="auto"/>
        <w:jc w:val="both"/>
        <w:rPr>
          <w:rFonts w:ascii="Verdana" w:eastAsia="Times New Roman" w:hAnsi="Verdana" w:cs="Times New Roman"/>
          <w:lang w:eastAsia="es-MX"/>
        </w:rPr>
      </w:pPr>
      <w:r w:rsidRPr="006923E5">
        <w:rPr>
          <w:rFonts w:ascii="Verdana" w:eastAsia="Times New Roman" w:hAnsi="Verdana" w:cs="Times New Roman"/>
          <w:lang w:eastAsia="es-MX"/>
        </w:rPr>
        <w:t>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7159630A" w14:textId="2A9FC762" w:rsidR="006923E5" w:rsidRPr="006923E5" w:rsidRDefault="00F318A5" w:rsidP="00F318A5">
      <w:pPr>
        <w:spacing w:before="100" w:beforeAutospacing="1" w:after="0" w:line="240" w:lineRule="auto"/>
        <w:jc w:val="both"/>
        <w:rPr>
          <w:rFonts w:ascii="Verdana" w:eastAsia="Times New Roman" w:hAnsi="Verdana" w:cs="Times New Roman"/>
          <w:lang w:eastAsia="es-MX"/>
        </w:rPr>
      </w:pPr>
      <w:r>
        <w:rPr>
          <w:rFonts w:ascii="Verdana" w:eastAsia="Times New Roman" w:hAnsi="Verdana" w:cs="Times New Roman"/>
          <w:lang w:eastAsia="es-MX"/>
        </w:rPr>
        <w:t xml:space="preserve">La </w:t>
      </w:r>
      <w:r w:rsidR="006923E5" w:rsidRPr="006923E5">
        <w:rPr>
          <w:rFonts w:ascii="Verdana" w:eastAsia="Times New Roman" w:hAnsi="Verdana" w:cs="Times New Roman"/>
          <w:lang w:eastAsia="es-MX"/>
        </w:rPr>
        <w:t>consagración legal de las incompatibilidades e inhabilidades en materia contractual, no es sino desarrollo del Principio de Moralidad que la Constitución Política consagra como uno de los rectores de la Función Administrativa</w:t>
      </w:r>
      <w:r>
        <w:rPr>
          <w:rFonts w:ascii="Verdana" w:eastAsia="Times New Roman" w:hAnsi="Verdana" w:cs="Times New Roman"/>
          <w:lang w:eastAsia="es-MX"/>
        </w:rPr>
        <w:t>.</w:t>
      </w:r>
    </w:p>
    <w:p w14:paraId="3047B7CA" w14:textId="31BAA74E" w:rsidR="00F318A5" w:rsidRDefault="006923E5" w:rsidP="006923E5">
      <w:pPr>
        <w:spacing w:before="100" w:beforeAutospacing="1" w:after="100" w:afterAutospacing="1" w:line="240" w:lineRule="auto"/>
        <w:jc w:val="both"/>
        <w:rPr>
          <w:rFonts w:ascii="Verdana" w:eastAsia="Times New Roman" w:hAnsi="Verdana" w:cs="Times New Roman"/>
          <w:b/>
          <w:bCs/>
          <w:lang w:eastAsia="es-MX"/>
        </w:rPr>
      </w:pPr>
      <w:r w:rsidRPr="006923E5">
        <w:rPr>
          <w:rFonts w:ascii="Verdana" w:eastAsia="Times New Roman" w:hAnsi="Verdana" w:cs="Times New Roman"/>
          <w:b/>
          <w:bCs/>
          <w:lang w:eastAsia="es-MX"/>
        </w:rPr>
        <w:t>RÉGIMEN DE INHABILIDADES – Fuentes</w:t>
      </w:r>
      <w:r w:rsidR="00F318A5">
        <w:rPr>
          <w:rFonts w:ascii="Verdana" w:eastAsia="Times New Roman" w:hAnsi="Verdana" w:cs="Times New Roman"/>
          <w:b/>
          <w:bCs/>
          <w:lang w:eastAsia="es-MX"/>
        </w:rPr>
        <w:t xml:space="preserve"> - </w:t>
      </w:r>
      <w:r w:rsidR="00F318A5" w:rsidRPr="006923E5">
        <w:rPr>
          <w:rFonts w:ascii="Verdana" w:eastAsia="Times New Roman" w:hAnsi="Verdana" w:cs="Times New Roman"/>
          <w:b/>
          <w:bCs/>
          <w:lang w:eastAsia="es-MX"/>
        </w:rPr>
        <w:t>Interpretación restrictiva</w:t>
      </w:r>
    </w:p>
    <w:p w14:paraId="0D396083" w14:textId="58D2F682" w:rsidR="006923E5" w:rsidRPr="006923E5" w:rsidRDefault="006923E5" w:rsidP="00F318A5">
      <w:pPr>
        <w:spacing w:before="100" w:beforeAutospacing="1" w:after="0" w:line="240" w:lineRule="auto"/>
        <w:jc w:val="both"/>
        <w:rPr>
          <w:rFonts w:ascii="Verdana" w:eastAsia="Times New Roman" w:hAnsi="Verdana" w:cs="Times New Roman"/>
          <w:lang w:eastAsia="es-MX"/>
        </w:rPr>
      </w:pPr>
      <w:r w:rsidRPr="006923E5">
        <w:rPr>
          <w:rFonts w:ascii="Verdana" w:eastAsia="Times New Roman" w:hAnsi="Verdana" w:cs="Times New Roman"/>
          <w:lang w:eastAsia="es-MX"/>
        </w:rPr>
        <w:t xml:space="preserve"> Las fuentes han sido clasificadas en dos (2) grupos: i) inhabilidades- sanción [...] que surgen como consecuencia de un proceso </w:t>
      </w:r>
      <w:proofErr w:type="gramStart"/>
      <w:r w:rsidRPr="006923E5">
        <w:rPr>
          <w:rFonts w:ascii="Verdana" w:eastAsia="Times New Roman" w:hAnsi="Verdana" w:cs="Times New Roman"/>
          <w:lang w:eastAsia="es-MX"/>
        </w:rPr>
        <w:t>sancionatorio .</w:t>
      </w:r>
      <w:proofErr w:type="gramEnd"/>
      <w:r w:rsidRPr="006923E5">
        <w:rPr>
          <w:rFonts w:ascii="Verdana" w:eastAsia="Times New Roman" w:hAnsi="Verdana" w:cs="Times New Roman"/>
          <w:lang w:eastAsia="es-MX"/>
        </w:rPr>
        <w:t xml:space="preserve"> </w:t>
      </w:r>
      <w:proofErr w:type="spellStart"/>
      <w:r w:rsidRPr="006923E5">
        <w:rPr>
          <w:rFonts w:ascii="Verdana" w:eastAsia="Times New Roman" w:hAnsi="Verdana" w:cs="Times New Roman"/>
          <w:lang w:eastAsia="es-MX"/>
        </w:rPr>
        <w:t>ii</w:t>
      </w:r>
      <w:proofErr w:type="spellEnd"/>
      <w:r w:rsidRPr="006923E5">
        <w:rPr>
          <w:rFonts w:ascii="Verdana" w:eastAsia="Times New Roman" w:hAnsi="Verdana" w:cs="Times New Roman"/>
          <w:lang w:eastAsia="es-MX"/>
        </w:rPr>
        <w:t>) inhabilidades-requisito [...] aquellas que no devienen de un proceso sancionatorio, sino de condiciones propias de la persona y garantizan la moralidad, la imparcialidad, la eficacia y la transparencia.</w:t>
      </w:r>
    </w:p>
    <w:p w14:paraId="71641E33" w14:textId="28E777A0" w:rsidR="00F318A5" w:rsidRPr="006923E5" w:rsidRDefault="006923E5" w:rsidP="00F318A5">
      <w:pPr>
        <w:spacing w:before="100" w:beforeAutospacing="1" w:after="0" w:line="240" w:lineRule="auto"/>
        <w:jc w:val="both"/>
        <w:rPr>
          <w:rFonts w:ascii="Verdana" w:eastAsia="Times New Roman" w:hAnsi="Verdana" w:cs="Times New Roman"/>
          <w:lang w:eastAsia="es-MX"/>
        </w:rPr>
      </w:pPr>
      <w:r w:rsidRPr="006923E5">
        <w:rPr>
          <w:rFonts w:ascii="Verdana" w:eastAsia="Times New Roman" w:hAnsi="Verdana" w:cs="Times New Roman"/>
          <w:lang w:eastAsia="es-MX"/>
        </w:rPr>
        <w:t>[E]l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00F318A5">
        <w:rPr>
          <w:rFonts w:ascii="Verdana" w:eastAsia="Times New Roman" w:hAnsi="Verdana" w:cs="Times New Roman"/>
          <w:lang w:eastAsia="es-MX"/>
        </w:rPr>
        <w:t xml:space="preserve"> </w:t>
      </w:r>
      <w:r w:rsidRPr="006923E5">
        <w:rPr>
          <w:rFonts w:ascii="Verdana" w:eastAsia="Times New Roman" w:hAnsi="Verdana" w:cs="Times New Roman"/>
          <w:lang w:eastAsia="es-MX"/>
        </w:rPr>
        <w:t>La ley prohíbe que el pariente (la hermana) contrate con la entidad (el municipio). Sin embargo, la ley no prohíbe expresamente que un contratista (la empresa de transporte) vincule laboralmente a los parientes de los servidores públicos de la entidad contratante.</w:t>
      </w:r>
    </w:p>
    <w:p w14:paraId="19D9CA89" w14:textId="77777777" w:rsidR="00F318A5" w:rsidRDefault="006923E5" w:rsidP="006923E5">
      <w:pPr>
        <w:spacing w:before="100" w:beforeAutospacing="1" w:after="100" w:afterAutospacing="1" w:line="240" w:lineRule="auto"/>
        <w:jc w:val="both"/>
        <w:rPr>
          <w:rFonts w:ascii="Verdana" w:eastAsia="Times New Roman" w:hAnsi="Verdana" w:cs="Times New Roman"/>
          <w:lang w:eastAsia="es-MX"/>
        </w:rPr>
      </w:pPr>
      <w:r w:rsidRPr="006923E5">
        <w:rPr>
          <w:rFonts w:ascii="Verdana" w:eastAsia="Times New Roman" w:hAnsi="Verdana" w:cs="Times New Roman"/>
          <w:b/>
          <w:bCs/>
          <w:lang w:eastAsia="es-MX"/>
        </w:rPr>
        <w:t>INHABILIDAD DE PARIENTE DE SERVIDOR PÚBLICO – Extensión a la persona jurídica</w:t>
      </w:r>
      <w:r w:rsidRPr="006923E5">
        <w:rPr>
          <w:rFonts w:ascii="Verdana" w:eastAsia="Times New Roman" w:hAnsi="Verdana" w:cs="Times New Roman"/>
          <w:lang w:eastAsia="es-MX"/>
        </w:rPr>
        <w:t xml:space="preserve"> </w:t>
      </w:r>
    </w:p>
    <w:p w14:paraId="0EF6CB40" w14:textId="4393D832" w:rsidR="006923E5" w:rsidRPr="006923E5" w:rsidRDefault="006923E5" w:rsidP="006923E5">
      <w:pPr>
        <w:spacing w:before="100" w:beforeAutospacing="1" w:after="100" w:afterAutospacing="1" w:line="240" w:lineRule="auto"/>
        <w:jc w:val="both"/>
        <w:rPr>
          <w:rFonts w:ascii="Verdana" w:eastAsia="Times New Roman" w:hAnsi="Verdana" w:cs="Times New Roman"/>
          <w:lang w:eastAsia="es-MX"/>
        </w:rPr>
      </w:pPr>
      <w:r w:rsidRPr="006923E5">
        <w:rPr>
          <w:rFonts w:ascii="Verdana" w:eastAsia="Times New Roman" w:hAnsi="Verdana" w:cs="Times New Roman"/>
          <w:lang w:eastAsia="es-MX"/>
        </w:rPr>
        <w:t>[S]i la hermana del concejal funge como la representante legal, o miembro de la junta directiva de la empresa de transporte. la inhabilidad de la hermana sí afectaría a la persona jurídica – contratista, y el contrato de la empresa con el municipio estaría viciado de nulidad absoluta</w:t>
      </w:r>
    </w:p>
    <w:p w14:paraId="15CB69CD" w14:textId="77777777" w:rsidR="006923E5" w:rsidRPr="006923E5" w:rsidRDefault="006923E5" w:rsidP="006923E5">
      <w:pPr>
        <w:pStyle w:val="Textoindependiente"/>
        <w:spacing w:before="1"/>
        <w:jc w:val="both"/>
        <w:rPr>
          <w:rFonts w:ascii="Verdana" w:hAnsi="Verdana"/>
        </w:rPr>
      </w:pPr>
    </w:p>
    <w:p w14:paraId="7EEADAAF" w14:textId="77777777" w:rsidR="006923E5" w:rsidRDefault="006923E5" w:rsidP="006923E5">
      <w:pPr>
        <w:pStyle w:val="Textoindependiente"/>
        <w:spacing w:before="1"/>
        <w:rPr>
          <w:rFonts w:ascii="Verdana" w:hAnsi="Verdana"/>
        </w:rPr>
      </w:pPr>
    </w:p>
    <w:p w14:paraId="52785B9A" w14:textId="329A0D1E" w:rsidR="006923E5" w:rsidRPr="006923E5" w:rsidRDefault="006923E5" w:rsidP="006923E5">
      <w:pPr>
        <w:pStyle w:val="Textoindependiente"/>
        <w:spacing w:before="1"/>
        <w:rPr>
          <w:rFonts w:ascii="Verdana" w:hAnsi="Verdana"/>
        </w:rPr>
      </w:pPr>
      <w:r w:rsidRPr="006923E5">
        <w:rPr>
          <w:rFonts w:ascii="Verdana" w:hAnsi="Verdana"/>
          <w:noProof/>
        </w:rPr>
        <w:drawing>
          <wp:anchor distT="0" distB="0" distL="0" distR="0" simplePos="0" relativeHeight="251659264" behindDoc="0" locked="0" layoutInCell="1" allowOverlap="1" wp14:anchorId="4E8A2BE1" wp14:editId="25C2317A">
            <wp:simplePos x="0" y="0"/>
            <wp:positionH relativeFrom="page">
              <wp:posOffset>4291965</wp:posOffset>
            </wp:positionH>
            <wp:positionV relativeFrom="paragraph">
              <wp:posOffset>-1250</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400300" cy="615950"/>
                    </a:xfrm>
                    <a:prstGeom prst="rect">
                      <a:avLst/>
                    </a:prstGeom>
                  </pic:spPr>
                </pic:pic>
              </a:graphicData>
            </a:graphic>
          </wp:anchor>
        </w:drawing>
      </w:r>
      <w:r w:rsidR="00C82386">
        <w:rPr>
          <w:rFonts w:ascii="Verdana" w:hAnsi="Verdana"/>
        </w:rPr>
        <w:t>Bogotá D.C.,</w:t>
      </w:r>
      <w:r w:rsidRPr="006923E5">
        <w:rPr>
          <w:rFonts w:ascii="Verdana" w:hAnsi="Verdana"/>
        </w:rPr>
        <w:t>04</w:t>
      </w:r>
      <w:r w:rsidRPr="006923E5">
        <w:rPr>
          <w:rFonts w:ascii="Verdana" w:hAnsi="Verdana"/>
          <w:spacing w:val="-7"/>
        </w:rPr>
        <w:t xml:space="preserve"> </w:t>
      </w:r>
      <w:proofErr w:type="gramStart"/>
      <w:r w:rsidRPr="006923E5">
        <w:rPr>
          <w:rFonts w:ascii="Verdana" w:hAnsi="Verdana"/>
        </w:rPr>
        <w:t>Noviembre</w:t>
      </w:r>
      <w:proofErr w:type="gramEnd"/>
      <w:r w:rsidRPr="006923E5">
        <w:rPr>
          <w:rFonts w:ascii="Verdana" w:hAnsi="Verdana"/>
          <w:spacing w:val="-12"/>
        </w:rPr>
        <w:t xml:space="preserve"> </w:t>
      </w:r>
      <w:r w:rsidRPr="006923E5">
        <w:rPr>
          <w:rFonts w:ascii="Verdana" w:hAnsi="Verdana"/>
          <w:spacing w:val="-4"/>
        </w:rPr>
        <w:t>2025</w:t>
      </w:r>
    </w:p>
    <w:p w14:paraId="3367382A" w14:textId="3DB1EE6A" w:rsidR="006923E5" w:rsidRDefault="006923E5" w:rsidP="00871B59">
      <w:pPr>
        <w:spacing w:after="0" w:line="240" w:lineRule="auto"/>
        <w:jc w:val="both"/>
        <w:rPr>
          <w:rFonts w:ascii="Verdana" w:eastAsia="Calibri" w:hAnsi="Verdana" w:cs="Arial"/>
          <w:lang w:val="es-ES" w:eastAsia="es-ES"/>
        </w:rPr>
      </w:pPr>
    </w:p>
    <w:p w14:paraId="7FBBB3F7" w14:textId="344E1ACF" w:rsidR="00871B59" w:rsidRPr="00B379B2" w:rsidRDefault="00871B59" w:rsidP="00871B59">
      <w:pPr>
        <w:spacing w:after="0" w:line="240" w:lineRule="auto"/>
        <w:jc w:val="both"/>
        <w:rPr>
          <w:rFonts w:ascii="Verdana" w:eastAsia="Calibri" w:hAnsi="Verdana" w:cs="Arial"/>
          <w:lang w:val="es-ES" w:eastAsia="es-ES"/>
        </w:rPr>
      </w:pPr>
      <w:r w:rsidRPr="00B379B2">
        <w:rPr>
          <w:rFonts w:ascii="Verdana" w:eastAsia="Calibri" w:hAnsi="Verdana" w:cs="Arial"/>
          <w:lang w:val="es-ES" w:eastAsia="es-ES"/>
        </w:rPr>
        <w:t>Señor</w:t>
      </w:r>
    </w:p>
    <w:p w14:paraId="5EF3FDBE" w14:textId="45A60A02" w:rsidR="00871B59" w:rsidRPr="00B379B2" w:rsidRDefault="00C3125F" w:rsidP="00871B59">
      <w:pPr>
        <w:spacing w:after="0" w:line="240" w:lineRule="auto"/>
        <w:rPr>
          <w:rFonts w:ascii="Verdana" w:eastAsia="Calibri" w:hAnsi="Verdana" w:cs="Arial"/>
          <w:b/>
          <w:lang w:val="es-ES_tradnl" w:eastAsia="es-ES_tradnl"/>
        </w:rPr>
      </w:pPr>
      <w:r w:rsidRPr="00B379B2">
        <w:rPr>
          <w:rFonts w:ascii="Verdana" w:eastAsia="Calibri" w:hAnsi="Verdana" w:cs="Arial"/>
          <w:b/>
          <w:lang w:val="es-ES_tradnl" w:eastAsia="es-ES_tradnl"/>
        </w:rPr>
        <w:t xml:space="preserve">Abilio Flores Herrera </w:t>
      </w:r>
    </w:p>
    <w:p w14:paraId="515A5B55" w14:textId="2BD3C720" w:rsidR="00871B59" w:rsidRPr="00B379B2" w:rsidRDefault="00E33271" w:rsidP="00871B59">
      <w:pPr>
        <w:spacing w:after="0" w:line="240" w:lineRule="auto"/>
        <w:rPr>
          <w:rFonts w:ascii="Verdana" w:eastAsia="Calibri" w:hAnsi="Verdana" w:cs="Arial"/>
          <w:u w:val="single"/>
          <w:lang w:val="es-ES" w:eastAsia="es-ES"/>
        </w:rPr>
      </w:pPr>
      <w:hyperlink r:id="rId12" w:history="1">
        <w:r w:rsidR="00C3125F" w:rsidRPr="00B379B2">
          <w:rPr>
            <w:rStyle w:val="Hipervnculo"/>
            <w:rFonts w:ascii="Verdana" w:eastAsia="Calibri" w:hAnsi="Verdana" w:cs="Arial"/>
            <w:lang w:val="es-ES" w:eastAsia="es-ES"/>
          </w:rPr>
          <w:t>abilioflorez123@gmail.com</w:t>
        </w:r>
      </w:hyperlink>
      <w:r w:rsidR="00C3125F" w:rsidRPr="00B379B2">
        <w:rPr>
          <w:rFonts w:ascii="Verdana" w:eastAsia="Calibri" w:hAnsi="Verdana" w:cs="Arial"/>
          <w:u w:val="single"/>
          <w:lang w:val="es-ES" w:eastAsia="es-ES"/>
        </w:rPr>
        <w:t xml:space="preserve"> </w:t>
      </w:r>
    </w:p>
    <w:p w14:paraId="126EA8A5" w14:textId="77777777" w:rsidR="00871B59" w:rsidRPr="00B379B2" w:rsidRDefault="00871B59" w:rsidP="00871B59">
      <w:pPr>
        <w:spacing w:after="0" w:line="240" w:lineRule="auto"/>
        <w:rPr>
          <w:rFonts w:ascii="Verdana" w:eastAsia="Calibri" w:hAnsi="Verdana" w:cs="Arial"/>
          <w:b/>
          <w:bCs/>
          <w:lang w:val="es-ES" w:eastAsia="es-ES"/>
        </w:rPr>
      </w:pPr>
      <w:r w:rsidRPr="00B379B2">
        <w:rPr>
          <w:rFonts w:ascii="Verdana" w:eastAsia="Calibri" w:hAnsi="Verdana" w:cs="Arial"/>
          <w:lang w:val="es-ES" w:eastAsia="es-ES"/>
        </w:rPr>
        <w:t>Chía, Cundinamarca</w:t>
      </w:r>
    </w:p>
    <w:p w14:paraId="3A487079" w14:textId="77777777" w:rsidR="00871B59" w:rsidRPr="00B379B2" w:rsidRDefault="00871B59" w:rsidP="00871B59">
      <w:pPr>
        <w:spacing w:after="0" w:line="240" w:lineRule="auto"/>
        <w:rPr>
          <w:rFonts w:ascii="Verdana" w:eastAsia="Calibri" w:hAnsi="Verdana" w:cs="Arial"/>
          <w:b/>
          <w:bCs/>
          <w:color w:val="000000"/>
          <w:lang w:val="es-ES_tradnl" w:eastAsia="es-ES_tradnl"/>
        </w:rPr>
      </w:pPr>
    </w:p>
    <w:p w14:paraId="080FA415" w14:textId="77777777" w:rsidR="00871B59" w:rsidRPr="00B379B2"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B379B2" w14:paraId="1222B1B4" w14:textId="77777777" w:rsidTr="002607A7">
        <w:trPr>
          <w:trHeight w:val="884"/>
        </w:trPr>
        <w:tc>
          <w:tcPr>
            <w:tcW w:w="2689" w:type="dxa"/>
          </w:tcPr>
          <w:p w14:paraId="5B16701A" w14:textId="77777777" w:rsidR="00871B59" w:rsidRPr="00B379B2" w:rsidRDefault="00871B59" w:rsidP="002607A7">
            <w:pPr>
              <w:jc w:val="both"/>
              <w:rPr>
                <w:rFonts w:ascii="Verdana" w:eastAsia="Calibri" w:hAnsi="Verdana" w:cs="Arial"/>
                <w:b/>
                <w:bCs/>
                <w:color w:val="7030A0"/>
                <w:lang w:val="es-ES_tradnl" w:eastAsia="es-ES_tradnl"/>
              </w:rPr>
            </w:pPr>
          </w:p>
        </w:tc>
        <w:tc>
          <w:tcPr>
            <w:tcW w:w="6100" w:type="dxa"/>
          </w:tcPr>
          <w:p w14:paraId="06D77150" w14:textId="4BE54544" w:rsidR="00871B59" w:rsidRPr="00B379B2" w:rsidRDefault="00871B59" w:rsidP="002607A7">
            <w:pPr>
              <w:jc w:val="both"/>
              <w:rPr>
                <w:rFonts w:ascii="Verdana" w:eastAsia="Calibri" w:hAnsi="Verdana" w:cs="Arial"/>
                <w:b/>
                <w:bCs/>
                <w:color w:val="7030A0"/>
                <w:lang w:val="es-ES" w:eastAsia="es-ES"/>
              </w:rPr>
            </w:pPr>
            <w:r w:rsidRPr="00B379B2">
              <w:rPr>
                <w:rFonts w:ascii="Verdana" w:eastAsia="Calibri" w:hAnsi="Verdana" w:cs="Arial"/>
                <w:b/>
                <w:bCs/>
                <w:lang w:val="es-ES" w:eastAsia="es-ES"/>
              </w:rPr>
              <w:t xml:space="preserve">Concepto C- </w:t>
            </w:r>
            <w:r w:rsidR="00C3125F" w:rsidRPr="00B379B2">
              <w:rPr>
                <w:rFonts w:ascii="Verdana" w:eastAsia="Calibri" w:hAnsi="Verdana" w:cs="Arial"/>
                <w:b/>
                <w:bCs/>
                <w:lang w:val="es-ES" w:eastAsia="es-ES"/>
              </w:rPr>
              <w:t>1367</w:t>
            </w:r>
            <w:r w:rsidRPr="00B379B2">
              <w:rPr>
                <w:rFonts w:ascii="Verdana" w:eastAsia="Calibri" w:hAnsi="Verdana" w:cs="Arial"/>
                <w:b/>
                <w:bCs/>
                <w:color w:val="7030A0"/>
                <w:lang w:val="es-ES" w:eastAsia="es-ES"/>
              </w:rPr>
              <w:t xml:space="preserve"> </w:t>
            </w:r>
            <w:r w:rsidRPr="00B379B2">
              <w:rPr>
                <w:rFonts w:ascii="Verdana" w:eastAsia="Calibri" w:hAnsi="Verdana" w:cs="Arial"/>
                <w:b/>
                <w:bCs/>
                <w:lang w:val="es-ES" w:eastAsia="es-ES"/>
              </w:rPr>
              <w:t>de</w:t>
            </w:r>
            <w:r w:rsidR="00C3125F" w:rsidRPr="00B379B2">
              <w:rPr>
                <w:rFonts w:ascii="Verdana" w:eastAsia="Calibri" w:hAnsi="Verdana" w:cs="Arial"/>
                <w:b/>
                <w:bCs/>
                <w:lang w:val="es-ES" w:eastAsia="es-ES"/>
              </w:rPr>
              <w:t xml:space="preserve"> 2025</w:t>
            </w:r>
          </w:p>
        </w:tc>
      </w:tr>
      <w:tr w:rsidR="00871B59" w:rsidRPr="00B379B2" w14:paraId="37EEA610" w14:textId="77777777" w:rsidTr="002607A7">
        <w:trPr>
          <w:trHeight w:val="884"/>
        </w:trPr>
        <w:tc>
          <w:tcPr>
            <w:tcW w:w="2689" w:type="dxa"/>
          </w:tcPr>
          <w:p w14:paraId="5807FD3D" w14:textId="77777777" w:rsidR="00871B59" w:rsidRPr="00B379B2" w:rsidRDefault="00871B59" w:rsidP="002607A7">
            <w:pPr>
              <w:jc w:val="both"/>
              <w:rPr>
                <w:rFonts w:ascii="Verdana" w:eastAsia="Calibri" w:hAnsi="Verdana" w:cs="Arial"/>
                <w:color w:val="000000"/>
                <w:lang w:val="es-ES_tradnl" w:eastAsia="es-ES_tradnl"/>
              </w:rPr>
            </w:pPr>
            <w:r w:rsidRPr="00B379B2">
              <w:rPr>
                <w:rFonts w:ascii="Verdana" w:eastAsia="Calibri" w:hAnsi="Verdana" w:cs="Arial"/>
                <w:b/>
                <w:color w:val="000000"/>
                <w:lang w:val="es-ES_tradnl" w:eastAsia="es-ES_tradnl"/>
              </w:rPr>
              <w:t>Temas:</w:t>
            </w:r>
            <w:r w:rsidRPr="00B379B2">
              <w:rPr>
                <w:rFonts w:ascii="Verdana" w:eastAsia="Calibri" w:hAnsi="Verdana" w:cs="Arial"/>
                <w:color w:val="000000"/>
                <w:lang w:val="es-ES_tradnl" w:eastAsia="es-ES_tradnl"/>
              </w:rPr>
              <w:t xml:space="preserve">                   </w:t>
            </w:r>
          </w:p>
        </w:tc>
        <w:tc>
          <w:tcPr>
            <w:tcW w:w="6100" w:type="dxa"/>
          </w:tcPr>
          <w:p w14:paraId="458AE580" w14:textId="603E4CE8" w:rsidR="00871B59" w:rsidRPr="00AB3CE9" w:rsidRDefault="00AB3CE9" w:rsidP="00AB3CE9">
            <w:pPr>
              <w:jc w:val="both"/>
              <w:rPr>
                <w:rFonts w:ascii="Verdana" w:eastAsia="Calibri" w:hAnsi="Verdana" w:cs="Arial"/>
                <w:color w:val="000000" w:themeColor="text1"/>
                <w:lang w:val="es-ES" w:eastAsia="es-ES"/>
              </w:rPr>
            </w:pPr>
            <w:r w:rsidRPr="00DF1634">
              <w:rPr>
                <w:rFonts w:ascii="Verdana" w:eastAsia="Calibri" w:hAnsi="Verdana" w:cs="Arial"/>
                <w:color w:val="000000" w:themeColor="text1"/>
                <w:lang w:val="es-ES" w:eastAsia="es-ES"/>
              </w:rPr>
              <w:t xml:space="preserve">INHABILIDADES E INCOMPATIBILIDADES – </w:t>
            </w:r>
            <w:r w:rsidRPr="00DF1634">
              <w:rPr>
                <w:rFonts w:ascii="Verdana" w:eastAsia="Calibri" w:hAnsi="Verdana" w:cs="Arial"/>
                <w:color w:val="000000" w:themeColor="text1"/>
                <w:lang w:val="es-ES" w:eastAsia="es-ES"/>
              </w:rPr>
              <w:tab/>
              <w:t xml:space="preserve">Límites a la capacidad – Régimen / INHABILIDADES E   INCOMPATIBILIDADES – Concepto / INHABILIDADES E INCOMPATIBILIDADES – Interpretación restrictiva </w:t>
            </w:r>
          </w:p>
          <w:p w14:paraId="7C933F41" w14:textId="77777777" w:rsidR="00871B59" w:rsidRPr="00B379B2" w:rsidRDefault="00871B59" w:rsidP="002607A7">
            <w:pPr>
              <w:spacing w:line="276" w:lineRule="auto"/>
              <w:jc w:val="both"/>
              <w:rPr>
                <w:rFonts w:ascii="Verdana" w:eastAsia="Calibri" w:hAnsi="Verdana" w:cs="Arial"/>
                <w:lang w:val="es-ES" w:eastAsia="es-ES"/>
              </w:rPr>
            </w:pPr>
          </w:p>
        </w:tc>
      </w:tr>
      <w:tr w:rsidR="00871B59" w:rsidRPr="00B379B2" w14:paraId="08E0FFC5" w14:textId="77777777" w:rsidTr="002607A7">
        <w:tc>
          <w:tcPr>
            <w:tcW w:w="2689" w:type="dxa"/>
          </w:tcPr>
          <w:p w14:paraId="59657A9E" w14:textId="77777777" w:rsidR="00871B59" w:rsidRPr="00AB3CE9" w:rsidRDefault="00871B59" w:rsidP="00C3125F">
            <w:pPr>
              <w:jc w:val="both"/>
              <w:rPr>
                <w:rFonts w:ascii="Verdana" w:hAnsi="Verdana"/>
                <w:b/>
                <w:bCs/>
              </w:rPr>
            </w:pPr>
            <w:r w:rsidRPr="00AB3CE9">
              <w:rPr>
                <w:rFonts w:ascii="Verdana" w:hAnsi="Verdana"/>
                <w:b/>
                <w:bCs/>
              </w:rPr>
              <w:t xml:space="preserve">Radicación:               </w:t>
            </w:r>
          </w:p>
        </w:tc>
        <w:tc>
          <w:tcPr>
            <w:tcW w:w="6100" w:type="dxa"/>
          </w:tcPr>
          <w:p w14:paraId="251DF231" w14:textId="6F557FAE" w:rsidR="00871B59" w:rsidRPr="00B379B2" w:rsidRDefault="00871B59" w:rsidP="00C3125F">
            <w:pPr>
              <w:jc w:val="both"/>
              <w:rPr>
                <w:rFonts w:ascii="Verdana" w:hAnsi="Verdana"/>
              </w:rPr>
            </w:pPr>
            <w:r w:rsidRPr="00B379B2">
              <w:rPr>
                <w:rFonts w:ascii="Verdana" w:hAnsi="Verdana"/>
              </w:rPr>
              <w:t>Respuesta a consulta con radicado No.</w:t>
            </w:r>
            <w:r w:rsidR="00C3125F" w:rsidRPr="00B379B2">
              <w:rPr>
                <w:rFonts w:ascii="Verdana" w:hAnsi="Verdana"/>
              </w:rPr>
              <w:t xml:space="preserve"> 1_2025_09_23_010477</w:t>
            </w:r>
          </w:p>
        </w:tc>
      </w:tr>
    </w:tbl>
    <w:p w14:paraId="3AC0E45C" w14:textId="77777777" w:rsidR="00871B59" w:rsidRPr="00B379B2" w:rsidRDefault="00871B59" w:rsidP="00871B59">
      <w:pPr>
        <w:spacing w:after="0" w:line="240" w:lineRule="auto"/>
        <w:jc w:val="both"/>
        <w:rPr>
          <w:rFonts w:ascii="Verdana" w:eastAsia="Calibri" w:hAnsi="Verdana" w:cs="Arial"/>
          <w:color w:val="000000"/>
          <w:lang w:val="es-ES_tradnl" w:eastAsia="es-ES_tradnl"/>
        </w:rPr>
      </w:pPr>
    </w:p>
    <w:p w14:paraId="15057551" w14:textId="77777777" w:rsidR="00871B59" w:rsidRPr="00B379B2" w:rsidRDefault="00871B59" w:rsidP="00871B59">
      <w:pPr>
        <w:spacing w:after="0" w:line="240" w:lineRule="auto"/>
        <w:jc w:val="both"/>
        <w:rPr>
          <w:rFonts w:ascii="Verdana" w:eastAsia="Calibri" w:hAnsi="Verdana" w:cs="Arial"/>
          <w:color w:val="000000" w:themeColor="text1"/>
          <w:lang w:val="es-ES_tradnl" w:eastAsia="es-ES_tradnl"/>
        </w:rPr>
      </w:pPr>
    </w:p>
    <w:p w14:paraId="0D725A61" w14:textId="1B06DEF0" w:rsidR="00871B59" w:rsidRPr="00B379B2" w:rsidRDefault="00871B59" w:rsidP="00871B59">
      <w:pPr>
        <w:spacing w:after="0" w:line="276" w:lineRule="auto"/>
        <w:jc w:val="both"/>
        <w:rPr>
          <w:rFonts w:ascii="Verdana" w:eastAsia="Calibri" w:hAnsi="Verdana" w:cs="Arial"/>
          <w:color w:val="000000" w:themeColor="text1"/>
          <w:lang w:val="es-ES" w:eastAsia="es-ES"/>
        </w:rPr>
      </w:pPr>
      <w:r w:rsidRPr="00B379B2">
        <w:rPr>
          <w:rFonts w:ascii="Verdana" w:eastAsia="Calibri" w:hAnsi="Verdana" w:cs="Arial"/>
          <w:color w:val="000000" w:themeColor="text1"/>
          <w:lang w:val="es-ES" w:eastAsia="es-ES"/>
        </w:rPr>
        <w:t>Estimado señor</w:t>
      </w:r>
      <w:r w:rsidR="00C3125F" w:rsidRPr="00B379B2">
        <w:rPr>
          <w:rFonts w:ascii="Verdana" w:eastAsia="Calibri" w:hAnsi="Verdana" w:cs="Arial"/>
          <w:color w:val="000000" w:themeColor="text1"/>
          <w:lang w:val="es-ES" w:eastAsia="es-ES"/>
        </w:rPr>
        <w:t xml:space="preserve"> Flores:  </w:t>
      </w:r>
      <w:r w:rsidRPr="00B379B2">
        <w:rPr>
          <w:rFonts w:ascii="Verdana" w:eastAsia="Calibri" w:hAnsi="Verdana" w:cs="Arial"/>
          <w:color w:val="000000" w:themeColor="text1"/>
          <w:lang w:val="es-ES" w:eastAsia="es-ES"/>
        </w:rPr>
        <w:t xml:space="preserve"> </w:t>
      </w:r>
    </w:p>
    <w:p w14:paraId="7701E652" w14:textId="77777777" w:rsidR="00871B59" w:rsidRPr="00B379B2" w:rsidRDefault="00871B59" w:rsidP="00871B59">
      <w:pPr>
        <w:tabs>
          <w:tab w:val="left" w:pos="3768"/>
        </w:tabs>
        <w:spacing w:after="0" w:line="276" w:lineRule="auto"/>
        <w:jc w:val="both"/>
        <w:rPr>
          <w:rFonts w:ascii="Verdana" w:eastAsia="Calibri" w:hAnsi="Verdana" w:cs="Arial"/>
          <w:color w:val="000000" w:themeColor="text1"/>
          <w:lang w:val="es-ES" w:eastAsia="es-ES"/>
        </w:rPr>
      </w:pPr>
      <w:r w:rsidRPr="00B379B2">
        <w:rPr>
          <w:rFonts w:ascii="Verdana" w:eastAsia="Calibri" w:hAnsi="Verdana" w:cs="Arial"/>
          <w:color w:val="000000" w:themeColor="text1"/>
          <w:lang w:val="es-ES" w:eastAsia="es-ES"/>
        </w:rPr>
        <w:tab/>
      </w:r>
    </w:p>
    <w:p w14:paraId="1EEDC2A4" w14:textId="4FA91C04" w:rsidR="00871B59" w:rsidRPr="00B379B2" w:rsidRDefault="00871B59" w:rsidP="00871B59">
      <w:pPr>
        <w:spacing w:after="0" w:line="276" w:lineRule="auto"/>
        <w:jc w:val="both"/>
        <w:rPr>
          <w:rFonts w:ascii="Verdana" w:eastAsia="Calibri" w:hAnsi="Verdana" w:cs="Arial"/>
          <w:color w:val="000000" w:themeColor="text1"/>
          <w:lang w:val="es-ES" w:eastAsia="es-ES"/>
        </w:rPr>
      </w:pPr>
      <w:r w:rsidRPr="00B379B2">
        <w:rPr>
          <w:rFonts w:ascii="Verdana" w:eastAsia="Calibri" w:hAnsi="Verdana" w:cs="Arial"/>
          <w:color w:val="000000" w:themeColor="text1"/>
          <w:lang w:val="es-ES" w:eastAsia="es-ES"/>
        </w:rPr>
        <w:t>En ejercicio de la competencia otorgada por los artículos 3, numeral 5º, y 11, numeral 8º, del Decreto Ley 4170 de 2011,</w:t>
      </w:r>
      <w:r w:rsidRPr="00B379B2">
        <w:rPr>
          <w:rFonts w:ascii="Verdana" w:eastAsia="Arial MT" w:hAnsi="Verdana" w:cs="Arial MT"/>
          <w:lang w:val="es-ES" w:eastAsia="es-ES"/>
        </w:rPr>
        <w:t xml:space="preserve"> </w:t>
      </w:r>
      <w:r w:rsidRPr="00B379B2">
        <w:rPr>
          <w:rFonts w:ascii="Verdana" w:hAnsi="Verdana" w:cs="Arial"/>
        </w:rPr>
        <w:t xml:space="preserve">así como lo establecido en el artículo 4 de la Resolución 1707 de 2018 expedida por esta Entidad, </w:t>
      </w:r>
      <w:r w:rsidRPr="00B379B2">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C3125F" w:rsidRPr="00B379B2">
        <w:rPr>
          <w:rFonts w:ascii="Verdana" w:eastAsia="Calibri" w:hAnsi="Verdana" w:cs="Arial"/>
          <w:color w:val="000000" w:themeColor="text1"/>
          <w:lang w:val="es-ES" w:eastAsia="es-ES"/>
        </w:rPr>
        <w:t xml:space="preserve">23 </w:t>
      </w:r>
      <w:r w:rsidRPr="00B379B2">
        <w:rPr>
          <w:rFonts w:ascii="Verdana" w:eastAsia="Calibri" w:hAnsi="Verdana" w:cs="Arial"/>
          <w:color w:val="000000" w:themeColor="text1"/>
          <w:lang w:val="es-ES" w:eastAsia="es-ES"/>
        </w:rPr>
        <w:t xml:space="preserve">de </w:t>
      </w:r>
      <w:r w:rsidR="00C3125F" w:rsidRPr="00B379B2">
        <w:rPr>
          <w:rFonts w:ascii="Verdana" w:eastAsia="Calibri" w:hAnsi="Verdana" w:cs="Arial"/>
          <w:color w:val="000000" w:themeColor="text1"/>
          <w:lang w:val="es-ES" w:eastAsia="es-ES"/>
        </w:rPr>
        <w:t>septiembre</w:t>
      </w:r>
      <w:r w:rsidRPr="00B379B2">
        <w:rPr>
          <w:rFonts w:ascii="Verdana" w:eastAsia="Calibri" w:hAnsi="Verdana" w:cs="Arial"/>
          <w:color w:val="000000" w:themeColor="text1"/>
          <w:lang w:val="es-ES" w:eastAsia="es-ES"/>
        </w:rPr>
        <w:t xml:space="preserve"> de 20</w:t>
      </w:r>
      <w:r w:rsidR="00C3125F" w:rsidRPr="00B379B2">
        <w:rPr>
          <w:rFonts w:ascii="Verdana" w:eastAsia="Calibri" w:hAnsi="Verdana" w:cs="Arial"/>
          <w:color w:val="000000" w:themeColor="text1"/>
          <w:lang w:val="es-ES" w:eastAsia="es-ES"/>
        </w:rPr>
        <w:t>25</w:t>
      </w:r>
      <w:r w:rsidRPr="00B379B2">
        <w:rPr>
          <w:rFonts w:ascii="Verdana" w:eastAsia="Calibri" w:hAnsi="Verdana" w:cs="Arial"/>
          <w:color w:val="000000" w:themeColor="text1"/>
          <w:lang w:val="es-ES" w:eastAsia="es-ES"/>
        </w:rPr>
        <w:t>, en la cual manifiesta lo siguiente:</w:t>
      </w:r>
      <w:r w:rsidR="00C3125F" w:rsidRPr="00B379B2">
        <w:rPr>
          <w:rFonts w:ascii="Verdana" w:eastAsia="Calibri" w:hAnsi="Verdana" w:cs="Arial"/>
          <w:color w:val="000000" w:themeColor="text1"/>
          <w:lang w:val="es-ES" w:eastAsia="es-ES"/>
        </w:rPr>
        <w:t xml:space="preserve"> </w:t>
      </w:r>
    </w:p>
    <w:p w14:paraId="2250C1CE" w14:textId="77777777" w:rsidR="00871B59" w:rsidRPr="00B379B2"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0F27C678" w14:textId="129BAD8A" w:rsidR="00871B59" w:rsidRPr="00AB3CE9" w:rsidRDefault="00871B59" w:rsidP="00871B59">
      <w:pPr>
        <w:spacing w:after="0" w:line="240" w:lineRule="auto"/>
        <w:ind w:left="709" w:right="709"/>
        <w:jc w:val="both"/>
        <w:rPr>
          <w:rFonts w:ascii="Verdana" w:eastAsia="Century Gothic" w:hAnsi="Verdana" w:cs="Century Gothic"/>
          <w:color w:val="7030A0"/>
          <w:sz w:val="20"/>
          <w:szCs w:val="20"/>
          <w:lang w:val="es-ES"/>
        </w:rPr>
      </w:pPr>
      <w:bookmarkStart w:id="0" w:name="_Hlk95313578"/>
      <w:bookmarkStart w:id="1" w:name="OLE_LINK2"/>
      <w:r w:rsidRPr="00AB3CE9">
        <w:rPr>
          <w:rFonts w:ascii="Verdana" w:eastAsia="Century Gothic" w:hAnsi="Verdana" w:cs="Century Gothic"/>
          <w:color w:val="7030A0"/>
          <w:sz w:val="20"/>
          <w:szCs w:val="20"/>
          <w:lang w:val="es-ES"/>
        </w:rPr>
        <w:t>“</w:t>
      </w:r>
      <w:bookmarkEnd w:id="0"/>
      <w:r w:rsidR="00C3125F" w:rsidRPr="00AB3CE9">
        <w:rPr>
          <w:rFonts w:ascii="Verdana" w:hAnsi="Verdana"/>
          <w:sz w:val="20"/>
          <w:szCs w:val="20"/>
        </w:rPr>
        <w:t>El municipio contrato con una empresa de transporte escolar, la empresa contrato a una hermana de un concejal. hay alguna inhabilidad muchas gracias”</w:t>
      </w:r>
    </w:p>
    <w:bookmarkEnd w:id="1"/>
    <w:p w14:paraId="03F599C7" w14:textId="77777777" w:rsidR="00871B59" w:rsidRPr="00B379B2"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001912E8" w14:textId="77777777" w:rsidR="00871B59" w:rsidRPr="00B379B2" w:rsidRDefault="00871B59" w:rsidP="00871B59">
      <w:pPr>
        <w:spacing w:after="120" w:line="276" w:lineRule="auto"/>
        <w:ind w:firstLine="709"/>
        <w:jc w:val="both"/>
        <w:rPr>
          <w:rFonts w:ascii="Verdana" w:eastAsia="Calibri" w:hAnsi="Verdana" w:cs="Arial"/>
          <w:color w:val="000000"/>
          <w:lang w:val="es-ES_tradnl" w:eastAsia="es-ES_tradnl"/>
        </w:rPr>
      </w:pPr>
      <w:r w:rsidRPr="00B379B2">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B379B2">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379B2">
        <w:rPr>
          <w:rFonts w:ascii="Verdana" w:eastAsia="Calibri" w:hAnsi="Verdana" w:cs="Arial"/>
          <w:color w:val="000000"/>
          <w:lang w:val="es-ES_tradnl" w:eastAsia="es-ES_tradnl"/>
        </w:rPr>
        <w:tab/>
      </w:r>
    </w:p>
    <w:p w14:paraId="5CF6F6D1" w14:textId="584354A5" w:rsidR="00871B59" w:rsidRPr="00B379B2" w:rsidRDefault="00871B59" w:rsidP="00871B59">
      <w:pPr>
        <w:spacing w:after="0" w:line="276" w:lineRule="auto"/>
        <w:ind w:firstLine="709"/>
        <w:jc w:val="both"/>
        <w:rPr>
          <w:rFonts w:ascii="Verdana" w:eastAsia="Calibri" w:hAnsi="Verdana" w:cs="Arial"/>
          <w:color w:val="000000"/>
          <w:lang w:val="es-ES" w:eastAsia="es-ES"/>
        </w:rPr>
      </w:pPr>
      <w:r w:rsidRPr="00B379B2">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B379B2">
        <w:rPr>
          <w:rFonts w:ascii="Verdana" w:eastAsia="Calibri" w:hAnsi="Verdana" w:cs="Arial"/>
          <w:color w:val="7030A0"/>
          <w:lang w:val="es-ES" w:eastAsia="es-ES"/>
        </w:rPr>
        <w:t xml:space="preserve"> </w:t>
      </w:r>
      <w:r w:rsidRPr="00B379B2">
        <w:rPr>
          <w:rFonts w:ascii="Verdana" w:eastAsia="Calibri" w:hAnsi="Verdana" w:cs="Arial"/>
          <w:color w:val="000000"/>
          <w:lang w:val="es-ES" w:eastAsia="es-ES"/>
        </w:rPr>
        <w:t>jurídico</w:t>
      </w:r>
      <w:r w:rsidR="00C3125F" w:rsidRPr="00B379B2">
        <w:rPr>
          <w:rFonts w:ascii="Verdana" w:eastAsia="Calibri" w:hAnsi="Verdana" w:cs="Arial"/>
          <w:color w:val="7030A0"/>
          <w:lang w:val="es-ES" w:eastAsia="es-ES"/>
        </w:rPr>
        <w:t xml:space="preserve"> </w:t>
      </w:r>
      <w:r w:rsidRPr="00B379B2">
        <w:rPr>
          <w:rFonts w:ascii="Verdana" w:eastAsia="Calibri" w:hAnsi="Verdana" w:cs="Arial"/>
          <w:color w:val="000000"/>
          <w:lang w:val="es-ES" w:eastAsia="es-ES"/>
        </w:rPr>
        <w:t>de su consulta.</w:t>
      </w:r>
      <w:r w:rsidR="00C3125F" w:rsidRPr="00B379B2">
        <w:rPr>
          <w:rFonts w:ascii="Verdana" w:eastAsia="Calibri" w:hAnsi="Verdana" w:cs="Arial"/>
          <w:color w:val="000000"/>
          <w:lang w:val="es-ES" w:eastAsia="es-ES"/>
        </w:rPr>
        <w:t xml:space="preserve"> </w:t>
      </w:r>
    </w:p>
    <w:p w14:paraId="09679409" w14:textId="77777777" w:rsidR="00871B59" w:rsidRPr="00B379B2" w:rsidRDefault="00871B59" w:rsidP="00871B59">
      <w:pPr>
        <w:spacing w:after="0" w:line="276" w:lineRule="auto"/>
        <w:ind w:firstLine="709"/>
        <w:jc w:val="both"/>
        <w:rPr>
          <w:rFonts w:ascii="Verdana" w:eastAsia="Calibri" w:hAnsi="Verdana" w:cs="Arial"/>
          <w:color w:val="000000"/>
          <w:lang w:val="es-ES" w:eastAsia="es-ES"/>
        </w:rPr>
      </w:pPr>
    </w:p>
    <w:p w14:paraId="65A6D1CB" w14:textId="77777777" w:rsidR="00871B59" w:rsidRPr="00B379B2"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B379B2">
        <w:rPr>
          <w:rFonts w:ascii="Verdana" w:eastAsia="Century Gothic" w:hAnsi="Verdana" w:cs="Century Gothic"/>
          <w:b/>
          <w:bCs/>
          <w:lang w:val="es-ES"/>
        </w:rPr>
        <w:t>Problema planteado:</w:t>
      </w:r>
    </w:p>
    <w:p w14:paraId="4BCB3F3F" w14:textId="77777777" w:rsidR="00871B59" w:rsidRPr="00B379B2" w:rsidRDefault="00871B59" w:rsidP="00871B59">
      <w:pPr>
        <w:tabs>
          <w:tab w:val="left" w:pos="426"/>
        </w:tabs>
        <w:spacing w:after="0" w:line="276" w:lineRule="auto"/>
        <w:jc w:val="both"/>
        <w:rPr>
          <w:rFonts w:ascii="Verdana" w:eastAsia="Century Gothic" w:hAnsi="Verdana" w:cs="Century Gothic"/>
          <w:lang w:val="es-ES"/>
        </w:rPr>
      </w:pPr>
    </w:p>
    <w:p w14:paraId="4F46404F" w14:textId="612FFDCF" w:rsidR="00871B59" w:rsidRPr="000B3A1F" w:rsidRDefault="00871B59" w:rsidP="1F9252E4">
      <w:pPr>
        <w:spacing w:after="0" w:line="276" w:lineRule="auto"/>
        <w:jc w:val="both"/>
        <w:rPr>
          <w:rFonts w:ascii="Verdana" w:eastAsia="Century Gothic" w:hAnsi="Verdana" w:cs="Century Gothic"/>
        </w:rPr>
      </w:pPr>
      <w:r w:rsidRPr="00B379B2">
        <w:rPr>
          <w:rFonts w:ascii="Verdana" w:eastAsia="Century Gothic" w:hAnsi="Verdana" w:cs="Century Gothic"/>
          <w:color w:val="000000" w:themeColor="text1"/>
        </w:rPr>
        <w:t xml:space="preserve">De acuerdo con el contenido de su solicitud, esta Agencia resolverá </w:t>
      </w:r>
      <w:proofErr w:type="gramStart"/>
      <w:r w:rsidRPr="00B379B2">
        <w:rPr>
          <w:rFonts w:ascii="Verdana" w:eastAsia="Century Gothic" w:hAnsi="Verdana" w:cs="Century Gothic"/>
          <w:color w:val="000000" w:themeColor="text1"/>
        </w:rPr>
        <w:t>el  siguiente</w:t>
      </w:r>
      <w:proofErr w:type="gramEnd"/>
      <w:r w:rsidRPr="00B379B2">
        <w:rPr>
          <w:rFonts w:ascii="Verdana" w:eastAsia="Century Gothic" w:hAnsi="Verdana" w:cs="Century Gothic"/>
          <w:color w:val="000000" w:themeColor="text1"/>
        </w:rPr>
        <w:t xml:space="preserve"> problema jurídic</w:t>
      </w:r>
      <w:r w:rsidR="00C3125F" w:rsidRPr="00B379B2">
        <w:rPr>
          <w:rFonts w:ascii="Verdana" w:eastAsia="Century Gothic" w:hAnsi="Verdana" w:cs="Century Gothic"/>
          <w:color w:val="000000" w:themeColor="text1"/>
        </w:rPr>
        <w:t>o</w:t>
      </w:r>
      <w:r w:rsidRPr="00B379B2">
        <w:rPr>
          <w:rFonts w:ascii="Verdana" w:eastAsia="Century Gothic" w:hAnsi="Verdana" w:cs="Century Gothic"/>
          <w:color w:val="000000" w:themeColor="text1"/>
        </w:rPr>
        <w:t xml:space="preserve">: </w:t>
      </w:r>
      <w:r w:rsidR="00382553" w:rsidRPr="000B3A1F">
        <w:rPr>
          <w:rFonts w:ascii="Verdana" w:eastAsia="Century Gothic" w:hAnsi="Verdana" w:cs="Century Gothic"/>
          <w:color w:val="000000" w:themeColor="text1"/>
        </w:rPr>
        <w:t>¿</w:t>
      </w:r>
      <w:r w:rsidR="000B3A1F" w:rsidRPr="000B3A1F">
        <w:rPr>
          <w:rFonts w:ascii="Verdana" w:hAnsi="Verdana"/>
        </w:rPr>
        <w:t>La inhabilidad que tiene la hermana de un concejal para contratar directamente con el municipio, se extiende a la empresa que la contrata como empleada?</w:t>
      </w:r>
    </w:p>
    <w:p w14:paraId="551DEA2B" w14:textId="77777777" w:rsidR="00871B59" w:rsidRPr="00B379B2" w:rsidRDefault="00871B59" w:rsidP="00871B59">
      <w:pPr>
        <w:spacing w:after="0" w:line="276" w:lineRule="auto"/>
        <w:jc w:val="both"/>
        <w:rPr>
          <w:rFonts w:ascii="Verdana" w:eastAsia="Calibri" w:hAnsi="Verdana" w:cs="Arial"/>
          <w:color w:val="7030A0"/>
          <w:lang w:val="es-ES"/>
        </w:rPr>
      </w:pPr>
    </w:p>
    <w:p w14:paraId="77AD5ACB" w14:textId="77777777" w:rsidR="00871B59" w:rsidRPr="00B379B2"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B379B2">
        <w:rPr>
          <w:rFonts w:ascii="Verdana" w:eastAsia="Century Gothic" w:hAnsi="Verdana" w:cs="Century Gothic"/>
          <w:b/>
          <w:bCs/>
          <w:lang w:val="es-ES"/>
        </w:rPr>
        <w:t>Respuesta:</w:t>
      </w:r>
    </w:p>
    <w:p w14:paraId="50812285" w14:textId="77777777" w:rsidR="00871B59" w:rsidRPr="00B379B2"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B379B2" w14:paraId="3C65B2FF" w14:textId="77777777" w:rsidTr="002607A7">
        <w:tc>
          <w:tcPr>
            <w:tcW w:w="8828" w:type="dxa"/>
          </w:tcPr>
          <w:p w14:paraId="522605C0" w14:textId="77777777" w:rsidR="001377CA" w:rsidRDefault="001377CA" w:rsidP="000B3A1F">
            <w:pPr>
              <w:spacing w:after="120" w:line="276" w:lineRule="auto"/>
              <w:jc w:val="both"/>
              <w:rPr>
                <w:rFonts w:ascii="Verdana" w:hAnsi="Verdana"/>
              </w:rPr>
            </w:pPr>
            <w:r w:rsidRPr="00616AD8">
              <w:rPr>
                <w:rFonts w:ascii="Verdana" w:hAnsi="Verdana"/>
              </w:rPr>
              <w:t>Para determinar si existe inhabilidad en el caso en concreto, elevado a través de la consulta, es necesario remitirse al artículo 1 de la Ley 1148 de 2007, en donde se establece que: “</w:t>
            </w:r>
            <w:r w:rsidRPr="00616AD8">
              <w:rPr>
                <w:rFonts w:ascii="Verdana" w:hAnsi="Verdana" w:cs="Arial"/>
                <w:color w:val="333333"/>
                <w:shd w:val="clear" w:color="auto" w:fill="FFFFFF"/>
              </w:rPr>
              <w:t xml:space="preserve">Tratándose de concejales de municipios de cuarta, quinta y sexta categoría, las prohibiciones establecidas en el presente artículo se aplicarán únicamente para los cónyuges o compañeros permanentes y parientes hasta el segundo grado de consanguinidad, primero de afinidad o único civil”, Así mismo en el parágrafo precedente establece: </w:t>
            </w:r>
            <w:r w:rsidRPr="00616AD8">
              <w:rPr>
                <w:rFonts w:ascii="Verdana" w:hAnsi="Verdana"/>
              </w:rPr>
              <w:t>“</w:t>
            </w:r>
            <w:r w:rsidRPr="00616AD8">
              <w:rPr>
                <w:rFonts w:ascii="Verdana" w:hAnsi="Verdana" w:cs="Arial"/>
                <w:color w:val="333333"/>
                <w:shd w:val="clear" w:color="auto" w:fill="FFFFFF"/>
              </w:rPr>
              <w:t xml:space="preserve">no podrán ser contratistas del respectivo departamento, distrito o municipio, o de sus </w:t>
            </w:r>
            <w:r w:rsidRPr="00616AD8">
              <w:rPr>
                <w:rFonts w:ascii="Verdana" w:hAnsi="Verdana" w:cs="Arial"/>
                <w:color w:val="333333"/>
                <w:shd w:val="clear" w:color="auto" w:fill="FFFFFF"/>
              </w:rPr>
              <w:lastRenderedPageBreak/>
              <w:t>entidades descentralizadas, ni directa, ni indirectamente”.</w:t>
            </w:r>
            <w:r w:rsidRPr="00616AD8">
              <w:rPr>
                <w:rFonts w:ascii="Verdana" w:hAnsi="Verdana"/>
              </w:rPr>
              <w:t xml:space="preserve"> Esta norma basa la restricción en dos factores concurrentes: de un lado, el vínculo de parentesco y de otro, el cargo de elección popular. </w:t>
            </w:r>
          </w:p>
          <w:p w14:paraId="17B78798" w14:textId="77777777" w:rsidR="001377CA" w:rsidRDefault="001377CA" w:rsidP="001377CA">
            <w:pPr>
              <w:spacing w:after="120" w:line="276" w:lineRule="auto"/>
              <w:ind w:firstLine="708"/>
              <w:jc w:val="both"/>
              <w:rPr>
                <w:rFonts w:ascii="Verdana" w:hAnsi="Verdana"/>
              </w:rPr>
            </w:pPr>
            <w:r>
              <w:rPr>
                <w:rFonts w:ascii="Verdana" w:eastAsia="Times New Roman" w:hAnsi="Verdana" w:cs="Times New Roman"/>
                <w:lang w:eastAsia="es-MX"/>
              </w:rPr>
              <w:t>E</w:t>
            </w:r>
            <w:r w:rsidRPr="00D32DB2">
              <w:rPr>
                <w:rFonts w:ascii="Verdana" w:eastAsia="Times New Roman" w:hAnsi="Verdana" w:cs="Times New Roman"/>
                <w:lang w:eastAsia="es-MX"/>
              </w:rPr>
              <w:t xml:space="preserve">n cuanto </w:t>
            </w:r>
            <w:r>
              <w:rPr>
                <w:rFonts w:ascii="Verdana" w:eastAsia="Times New Roman" w:hAnsi="Verdana"/>
                <w:lang w:eastAsia="es-MX"/>
              </w:rPr>
              <w:t>al</w:t>
            </w:r>
            <w:r w:rsidRPr="00D32DB2">
              <w:rPr>
                <w:rFonts w:ascii="Verdana" w:eastAsia="Times New Roman" w:hAnsi="Verdana" w:cs="Times New Roman"/>
                <w:lang w:eastAsia="es-MX"/>
              </w:rPr>
              <w:t xml:space="preserve"> vínculo de parentesco</w:t>
            </w:r>
            <w:r>
              <w:rPr>
                <w:rFonts w:ascii="Verdana" w:eastAsia="Times New Roman" w:hAnsi="Verdana"/>
                <w:lang w:eastAsia="es-MX"/>
              </w:rPr>
              <w:t xml:space="preserve"> del caso elevado en la consulta se tiene que se trata de un vínculo de parentesco en </w:t>
            </w:r>
            <w:r w:rsidRPr="00D32DB2">
              <w:rPr>
                <w:rFonts w:ascii="Verdana" w:eastAsia="Times New Roman" w:hAnsi="Verdana" w:cs="Times New Roman"/>
                <w:lang w:eastAsia="es-MX"/>
              </w:rPr>
              <w:t xml:space="preserve">segundo grado de consanguinidad </w:t>
            </w:r>
            <w:r>
              <w:rPr>
                <w:rFonts w:ascii="Verdana" w:eastAsia="Times New Roman" w:hAnsi="Verdana"/>
                <w:lang w:eastAsia="es-MX"/>
              </w:rPr>
              <w:t>–</w:t>
            </w:r>
            <w:r w:rsidRPr="00D32DB2">
              <w:rPr>
                <w:rFonts w:ascii="Verdana" w:eastAsia="Times New Roman" w:hAnsi="Verdana" w:cs="Times New Roman"/>
                <w:lang w:eastAsia="es-MX"/>
              </w:rPr>
              <w:t xml:space="preserve"> </w:t>
            </w:r>
            <w:r>
              <w:rPr>
                <w:rFonts w:ascii="Verdana" w:eastAsia="Times New Roman" w:hAnsi="Verdana"/>
                <w:lang w:eastAsia="es-MX"/>
              </w:rPr>
              <w:t>“</w:t>
            </w:r>
            <w:r w:rsidRPr="00D32DB2">
              <w:rPr>
                <w:rFonts w:ascii="Verdana" w:eastAsia="Times New Roman" w:hAnsi="Verdana" w:cs="Times New Roman"/>
                <w:lang w:eastAsia="es-MX"/>
              </w:rPr>
              <w:t>hermana</w:t>
            </w:r>
            <w:r>
              <w:rPr>
                <w:rFonts w:ascii="Verdana" w:eastAsia="Times New Roman" w:hAnsi="Verdana"/>
                <w:lang w:eastAsia="es-MX"/>
              </w:rPr>
              <w:t>”,</w:t>
            </w:r>
            <w:r w:rsidRPr="00D32DB2">
              <w:rPr>
                <w:rFonts w:ascii="Verdana" w:eastAsia="Times New Roman" w:hAnsi="Verdana" w:cs="Times New Roman"/>
                <w:lang w:eastAsia="es-MX"/>
              </w:rPr>
              <w:t xml:space="preserve"> entre un servidor público </w:t>
            </w:r>
            <w:r>
              <w:rPr>
                <w:rFonts w:ascii="Verdana" w:eastAsia="Times New Roman" w:hAnsi="Verdana" w:cs="Times New Roman"/>
                <w:lang w:eastAsia="es-MX"/>
              </w:rPr>
              <w:t>“</w:t>
            </w:r>
            <w:r w:rsidRPr="00D32DB2">
              <w:rPr>
                <w:rFonts w:ascii="Verdana" w:eastAsia="Times New Roman" w:hAnsi="Verdana" w:cs="Times New Roman"/>
                <w:lang w:eastAsia="es-MX"/>
              </w:rPr>
              <w:t>el concejal y un particular</w:t>
            </w:r>
            <w:r>
              <w:rPr>
                <w:rFonts w:ascii="Verdana" w:eastAsia="Times New Roman" w:hAnsi="Verdana" w:cs="Times New Roman"/>
                <w:lang w:eastAsia="es-MX"/>
              </w:rPr>
              <w:t>”</w:t>
            </w:r>
            <w:r w:rsidRPr="00D32DB2">
              <w:rPr>
                <w:rFonts w:ascii="Verdana" w:eastAsia="Times New Roman" w:hAnsi="Verdana" w:cs="Times New Roman"/>
                <w:lang w:eastAsia="es-MX"/>
              </w:rPr>
              <w:t>,</w:t>
            </w:r>
            <w:r>
              <w:rPr>
                <w:rFonts w:ascii="Verdana" w:eastAsia="Times New Roman" w:hAnsi="Verdana"/>
                <w:lang w:eastAsia="es-MX"/>
              </w:rPr>
              <w:t xml:space="preserve"> vinculo se encuadra </w:t>
            </w:r>
            <w:r>
              <w:rPr>
                <w:rFonts w:ascii="Verdana" w:eastAsia="Times New Roman" w:hAnsi="Verdana" w:cs="Times New Roman"/>
                <w:lang w:eastAsia="es-MX"/>
              </w:rPr>
              <w:t xml:space="preserve">dentro de </w:t>
            </w:r>
            <w:r w:rsidRPr="00D32DB2">
              <w:rPr>
                <w:rFonts w:ascii="Verdana" w:eastAsia="Times New Roman" w:hAnsi="Verdana" w:cs="Times New Roman"/>
                <w:lang w:eastAsia="es-MX"/>
              </w:rPr>
              <w:t>las inhabilidades</w:t>
            </w:r>
            <w:r>
              <w:rPr>
                <w:rFonts w:ascii="Verdana" w:eastAsia="Times New Roman" w:hAnsi="Verdana"/>
                <w:lang w:eastAsia="es-MX"/>
              </w:rPr>
              <w:t xml:space="preserve"> del </w:t>
            </w:r>
            <w:r w:rsidRPr="00616AD8">
              <w:rPr>
                <w:rFonts w:ascii="Verdana" w:hAnsi="Verdana"/>
              </w:rPr>
              <w:t>artículo 1 de la Ley 1148 de 2007</w:t>
            </w:r>
            <w:r w:rsidRPr="00D32DB2">
              <w:rPr>
                <w:rFonts w:ascii="Verdana" w:eastAsia="Times New Roman" w:hAnsi="Verdana" w:cs="Times New Roman"/>
                <w:lang w:eastAsia="es-MX"/>
              </w:rPr>
              <w:t xml:space="preserve">. Asimismo, </w:t>
            </w:r>
            <w:r>
              <w:rPr>
                <w:rFonts w:ascii="Verdana" w:eastAsia="Times New Roman" w:hAnsi="Verdana" w:cs="Times New Roman"/>
                <w:lang w:eastAsia="es-MX"/>
              </w:rPr>
              <w:t xml:space="preserve">la figura de </w:t>
            </w:r>
            <w:r w:rsidRPr="00D32DB2">
              <w:rPr>
                <w:rFonts w:ascii="Verdana" w:eastAsia="Times New Roman" w:hAnsi="Verdana" w:cs="Times New Roman"/>
                <w:lang w:eastAsia="es-MX"/>
              </w:rPr>
              <w:t>concejal es un servidor público sobre el cual recaen dichas prohibiciones.</w:t>
            </w:r>
            <w:r>
              <w:rPr>
                <w:rFonts w:ascii="Verdana" w:hAnsi="Verdana"/>
              </w:rPr>
              <w:t xml:space="preserve"> En este sentido,</w:t>
            </w:r>
            <w:r w:rsidRPr="00D32DB2">
              <w:rPr>
                <w:rFonts w:ascii="Verdana" w:eastAsia="Times New Roman" w:hAnsi="Verdana" w:cs="Times New Roman"/>
                <w:lang w:eastAsia="es-MX"/>
              </w:rPr>
              <w:t xml:space="preserve"> el sujeto de la inhabilidad </w:t>
            </w:r>
            <w:r>
              <w:rPr>
                <w:rFonts w:ascii="Verdana" w:eastAsia="Times New Roman" w:hAnsi="Verdana" w:cs="Times New Roman"/>
                <w:lang w:eastAsia="es-MX"/>
              </w:rPr>
              <w:t xml:space="preserve">recae </w:t>
            </w:r>
            <w:r w:rsidRPr="00D32DB2">
              <w:rPr>
                <w:rFonts w:ascii="Verdana" w:eastAsia="Times New Roman" w:hAnsi="Verdana" w:cs="Times New Roman"/>
                <w:lang w:eastAsia="es-MX"/>
              </w:rPr>
              <w:t xml:space="preserve">sobre la hermana del concejal. Esto significa que </w:t>
            </w:r>
            <w:r w:rsidRPr="00D32DB2">
              <w:rPr>
                <w:rFonts w:ascii="Verdana" w:eastAsia="Times New Roman" w:hAnsi="Verdana" w:cs="Times New Roman"/>
                <w:i/>
                <w:iCs/>
                <w:lang w:eastAsia="es-MX"/>
              </w:rPr>
              <w:t>ella</w:t>
            </w:r>
            <w:r w:rsidRPr="00D32DB2">
              <w:rPr>
                <w:rFonts w:ascii="Verdana" w:eastAsia="Times New Roman" w:hAnsi="Verdana" w:cs="Times New Roman"/>
                <w:lang w:eastAsia="es-MX"/>
              </w:rPr>
              <w:t xml:space="preserve"> no puede celebrar contratos </w:t>
            </w:r>
            <w:r w:rsidRPr="00D32DB2">
              <w:rPr>
                <w:rFonts w:ascii="Verdana" w:eastAsia="Times New Roman" w:hAnsi="Verdana" w:cs="Times New Roman"/>
                <w:i/>
                <w:iCs/>
                <w:lang w:eastAsia="es-MX"/>
              </w:rPr>
              <w:t>directamente</w:t>
            </w:r>
            <w:r w:rsidRPr="00D32DB2">
              <w:rPr>
                <w:rFonts w:ascii="Verdana" w:eastAsia="Times New Roman" w:hAnsi="Verdana" w:cs="Times New Roman"/>
                <w:lang w:eastAsia="es-MX"/>
              </w:rPr>
              <w:t xml:space="preserve"> con el municipio.</w:t>
            </w:r>
          </w:p>
          <w:p w14:paraId="76D99AD2" w14:textId="77777777" w:rsidR="001377CA" w:rsidRDefault="001377CA" w:rsidP="001377CA">
            <w:pPr>
              <w:spacing w:after="120" w:line="276" w:lineRule="auto"/>
              <w:ind w:firstLine="708"/>
              <w:jc w:val="both"/>
              <w:rPr>
                <w:rFonts w:ascii="Verdana" w:hAnsi="Verdana"/>
              </w:rPr>
            </w:pPr>
            <w:r>
              <w:rPr>
                <w:rFonts w:ascii="Verdana" w:eastAsia="Times New Roman" w:hAnsi="Verdana" w:cs="Times New Roman"/>
                <w:lang w:eastAsia="es-MX"/>
              </w:rPr>
              <w:t>A</w:t>
            </w:r>
            <w:r w:rsidRPr="00D32DB2">
              <w:rPr>
                <w:rFonts w:ascii="Verdana" w:eastAsia="Times New Roman" w:hAnsi="Verdana" w:cs="Times New Roman"/>
                <w:lang w:eastAsia="es-MX"/>
              </w:rPr>
              <w:t>nalizando la situación concreta</w:t>
            </w:r>
            <w:r>
              <w:rPr>
                <w:rFonts w:ascii="Verdana" w:eastAsia="Times New Roman" w:hAnsi="Verdana" w:cs="Times New Roman"/>
                <w:lang w:eastAsia="es-MX"/>
              </w:rPr>
              <w:t xml:space="preserve"> expuesta en la consulta</w:t>
            </w:r>
            <w:r w:rsidRPr="00D32DB2">
              <w:rPr>
                <w:rFonts w:ascii="Verdana" w:eastAsia="Times New Roman" w:hAnsi="Verdana" w:cs="Times New Roman"/>
                <w:lang w:eastAsia="es-MX"/>
              </w:rPr>
              <w:t xml:space="preserve">, la hermana del concejal no está celebrando un contrato con el municipio. Quien tiene la relación contractual con el municipio es la empresa de transporte escolar. La hermana, a su vez, es contratada por </w:t>
            </w:r>
            <w:r w:rsidRPr="00D32DB2">
              <w:rPr>
                <w:rFonts w:ascii="Verdana" w:eastAsia="Times New Roman" w:hAnsi="Verdana" w:cs="Times New Roman"/>
                <w:i/>
                <w:iCs/>
                <w:lang w:eastAsia="es-MX"/>
              </w:rPr>
              <w:t>dicha empresa</w:t>
            </w:r>
            <w:r w:rsidRPr="00D32DB2">
              <w:rPr>
                <w:rFonts w:ascii="Verdana" w:eastAsia="Times New Roman" w:hAnsi="Verdana" w:cs="Times New Roman"/>
                <w:lang w:eastAsia="es-MX"/>
              </w:rPr>
              <w:t>.</w:t>
            </w:r>
            <w:r>
              <w:rPr>
                <w:rFonts w:ascii="Verdana" w:hAnsi="Verdana"/>
              </w:rPr>
              <w:t xml:space="preserve"> Así las cosas, </w:t>
            </w:r>
            <w:r w:rsidRPr="00D32DB2">
              <w:rPr>
                <w:rFonts w:ascii="Verdana" w:eastAsia="Times New Roman" w:hAnsi="Verdana" w:cs="Times New Roman"/>
                <w:lang w:eastAsia="es-MX"/>
              </w:rPr>
              <w:t xml:space="preserve">se debe aplicar el principio de interpretación restrictiva. Como se estableció en los apartados anteriores del texto, las inhabilidades son de interpretación restrictiva y no pueden aplicarse por analogía ni de forma extensiva. La ley prohíbe que el </w:t>
            </w:r>
            <w:r w:rsidRPr="00D32DB2">
              <w:rPr>
                <w:rFonts w:ascii="Verdana" w:eastAsia="Times New Roman" w:hAnsi="Verdana" w:cs="Times New Roman"/>
                <w:i/>
                <w:iCs/>
                <w:lang w:eastAsia="es-MX"/>
              </w:rPr>
              <w:t>pariente</w:t>
            </w:r>
            <w:r w:rsidRPr="00D32DB2">
              <w:rPr>
                <w:rFonts w:ascii="Verdana" w:eastAsia="Times New Roman" w:hAnsi="Verdana" w:cs="Times New Roman"/>
                <w:lang w:eastAsia="es-MX"/>
              </w:rPr>
              <w:t xml:space="preserve"> (la hermana) contrate con la </w:t>
            </w:r>
            <w:r w:rsidRPr="00D32DB2">
              <w:rPr>
                <w:rFonts w:ascii="Verdana" w:eastAsia="Times New Roman" w:hAnsi="Verdana" w:cs="Times New Roman"/>
                <w:i/>
                <w:iCs/>
                <w:lang w:eastAsia="es-MX"/>
              </w:rPr>
              <w:t>entidad</w:t>
            </w:r>
            <w:r w:rsidRPr="00D32DB2">
              <w:rPr>
                <w:rFonts w:ascii="Verdana" w:eastAsia="Times New Roman" w:hAnsi="Verdana" w:cs="Times New Roman"/>
                <w:lang w:eastAsia="es-MX"/>
              </w:rPr>
              <w:t xml:space="preserve"> (el municipio). Sin embargo, la ley no prohíbe expresamente que un </w:t>
            </w:r>
            <w:r w:rsidRPr="00D32DB2">
              <w:rPr>
                <w:rFonts w:ascii="Verdana" w:eastAsia="Times New Roman" w:hAnsi="Verdana" w:cs="Times New Roman"/>
                <w:i/>
                <w:iCs/>
                <w:lang w:eastAsia="es-MX"/>
              </w:rPr>
              <w:t>contratista</w:t>
            </w:r>
            <w:r w:rsidRPr="00D32DB2">
              <w:rPr>
                <w:rFonts w:ascii="Verdana" w:eastAsia="Times New Roman" w:hAnsi="Verdana" w:cs="Times New Roman"/>
                <w:lang w:eastAsia="es-MX"/>
              </w:rPr>
              <w:t xml:space="preserve"> (la empresa de transporte) vincule laboralmente a los parientes de los servidores públicos de la entidad contratante. Extender la inhabilidad de la hermana a la empresa por el solo hecho de contratarla sería una interpretación extensiva que viola el principio </w:t>
            </w:r>
            <w:r w:rsidRPr="00D32DB2">
              <w:rPr>
                <w:rFonts w:ascii="Verdana" w:eastAsia="Times New Roman" w:hAnsi="Verdana" w:cs="Times New Roman"/>
                <w:i/>
                <w:iCs/>
                <w:lang w:eastAsia="es-MX"/>
              </w:rPr>
              <w:t xml:space="preserve">pro </w:t>
            </w:r>
            <w:proofErr w:type="spellStart"/>
            <w:r w:rsidRPr="00D32DB2">
              <w:rPr>
                <w:rFonts w:ascii="Verdana" w:eastAsia="Times New Roman" w:hAnsi="Verdana" w:cs="Times New Roman"/>
                <w:i/>
                <w:iCs/>
                <w:lang w:eastAsia="es-MX"/>
              </w:rPr>
              <w:t>libertate</w:t>
            </w:r>
            <w:proofErr w:type="spellEnd"/>
            <w:r w:rsidRPr="00D32DB2">
              <w:rPr>
                <w:rFonts w:ascii="Verdana" w:eastAsia="Times New Roman" w:hAnsi="Verdana" w:cs="Times New Roman"/>
                <w:lang w:eastAsia="es-MX"/>
              </w:rPr>
              <w:t xml:space="preserve"> y el principio de legalidad.</w:t>
            </w:r>
          </w:p>
          <w:p w14:paraId="15156ADE" w14:textId="77777777" w:rsidR="001377CA" w:rsidRDefault="001377CA" w:rsidP="001377CA">
            <w:pPr>
              <w:spacing w:after="120" w:line="276" w:lineRule="auto"/>
              <w:ind w:firstLine="708"/>
              <w:jc w:val="both"/>
              <w:rPr>
                <w:rFonts w:ascii="Verdana" w:eastAsia="Times New Roman" w:hAnsi="Verdana" w:cs="Times New Roman"/>
                <w:lang w:eastAsia="es-MX"/>
              </w:rPr>
            </w:pPr>
            <w:r w:rsidRPr="00D32DB2">
              <w:rPr>
                <w:rFonts w:ascii="Verdana" w:eastAsia="Times New Roman" w:hAnsi="Verdana" w:cs="Times New Roman"/>
                <w:lang w:eastAsia="es-MX"/>
              </w:rPr>
              <w:t>Al aplicar los principios del texto al caso consultado, se concluye que no se configura una inhabilidad que afecte la validez del contrato entre el municipio y la empresa de transporte. La relación contractual de la hermana es con un tercero (la empresa), no con la entidad estatal.</w:t>
            </w:r>
            <w:r>
              <w:rPr>
                <w:rFonts w:ascii="Verdana" w:hAnsi="Verdana"/>
              </w:rPr>
              <w:t xml:space="preserve"> No </w:t>
            </w:r>
            <w:proofErr w:type="gramStart"/>
            <w:r>
              <w:rPr>
                <w:rFonts w:ascii="Verdana" w:hAnsi="Verdana"/>
              </w:rPr>
              <w:t>obstante</w:t>
            </w:r>
            <w:proofErr w:type="gramEnd"/>
            <w:r>
              <w:rPr>
                <w:rFonts w:ascii="Verdana" w:hAnsi="Verdana"/>
              </w:rPr>
              <w:t xml:space="preserve"> vale la pena aclarar que </w:t>
            </w:r>
            <w:r w:rsidRPr="00D32DB2">
              <w:rPr>
                <w:rFonts w:ascii="Verdana" w:eastAsia="Times New Roman" w:hAnsi="Verdana" w:cs="Times New Roman"/>
                <w:lang w:eastAsia="es-MX"/>
              </w:rPr>
              <w:t>si la hermana del concejal fu</w:t>
            </w:r>
            <w:r>
              <w:rPr>
                <w:rFonts w:ascii="Verdana" w:eastAsia="Times New Roman" w:hAnsi="Verdana" w:cs="Times New Roman"/>
                <w:lang w:eastAsia="es-MX"/>
              </w:rPr>
              <w:t>nge como</w:t>
            </w:r>
            <w:r w:rsidRPr="00D32DB2">
              <w:rPr>
                <w:rFonts w:ascii="Verdana" w:eastAsia="Times New Roman" w:hAnsi="Verdana" w:cs="Times New Roman"/>
                <w:lang w:eastAsia="es-MX"/>
              </w:rPr>
              <w:t xml:space="preserve"> la representante legal, o miembro de la junta directiva de la empresa de transporte. la inhabilidad de la hermana sí </w:t>
            </w:r>
            <w:r>
              <w:rPr>
                <w:rFonts w:ascii="Verdana" w:eastAsia="Times New Roman" w:hAnsi="Verdana" w:cs="Times New Roman"/>
                <w:lang w:eastAsia="es-MX"/>
              </w:rPr>
              <w:t xml:space="preserve">afectaría </w:t>
            </w:r>
            <w:r w:rsidRPr="00D32DB2">
              <w:rPr>
                <w:rFonts w:ascii="Verdana" w:eastAsia="Times New Roman" w:hAnsi="Verdana" w:cs="Times New Roman"/>
                <w:lang w:eastAsia="es-MX"/>
              </w:rPr>
              <w:t>a la persona jurídica</w:t>
            </w:r>
            <w:r>
              <w:rPr>
                <w:rFonts w:ascii="Verdana" w:eastAsia="Times New Roman" w:hAnsi="Verdana" w:cs="Times New Roman"/>
                <w:lang w:eastAsia="es-MX"/>
              </w:rPr>
              <w:t xml:space="preserve"> – contratista,</w:t>
            </w:r>
            <w:r w:rsidRPr="00D32DB2">
              <w:rPr>
                <w:rFonts w:ascii="Verdana" w:eastAsia="Times New Roman" w:hAnsi="Verdana" w:cs="Times New Roman"/>
                <w:lang w:eastAsia="es-MX"/>
              </w:rPr>
              <w:t xml:space="preserve"> y el contrato de la empresa con el municipio estaría viciado de nulidad absoluta. </w:t>
            </w:r>
          </w:p>
          <w:p w14:paraId="05161D10" w14:textId="10081548" w:rsidR="00871B59" w:rsidRPr="00AB3CE9" w:rsidRDefault="00AB3CE9" w:rsidP="00AB3CE9">
            <w:pPr>
              <w:spacing w:after="120" w:line="276" w:lineRule="auto"/>
              <w:ind w:firstLine="708"/>
              <w:jc w:val="both"/>
              <w:rPr>
                <w:rFonts w:ascii="Verdana" w:hAnsi="Verdana"/>
              </w:rPr>
            </w:pPr>
            <w:r w:rsidRPr="005E35C1">
              <w:rPr>
                <w:rFonts w:ascii="Verdana" w:hAnsi="Verdana"/>
              </w:rPr>
              <w:lastRenderedPageBreak/>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tc>
      </w:tr>
    </w:tbl>
    <w:p w14:paraId="2490C5B8" w14:textId="77777777" w:rsidR="00871B59" w:rsidRPr="00B379B2"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0FDD897" w14:textId="77777777" w:rsidR="00871B59" w:rsidRPr="00B379B2"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B379B2">
        <w:rPr>
          <w:rFonts w:ascii="Verdana" w:eastAsia="Century Gothic" w:hAnsi="Verdana" w:cs="Century Gothic"/>
          <w:b/>
          <w:bCs/>
          <w:lang w:val="es-ES"/>
        </w:rPr>
        <w:t>Razones de la respuesta:</w:t>
      </w:r>
    </w:p>
    <w:p w14:paraId="056B1444" w14:textId="77777777" w:rsidR="00871B59" w:rsidRPr="00B379B2" w:rsidRDefault="00871B59" w:rsidP="00871B59">
      <w:pPr>
        <w:spacing w:after="0" w:line="276" w:lineRule="auto"/>
        <w:jc w:val="both"/>
        <w:rPr>
          <w:rFonts w:ascii="Verdana" w:eastAsia="Calibri" w:hAnsi="Verdana" w:cs="Arial"/>
          <w:color w:val="7030A0"/>
          <w:lang w:val="es-ES"/>
        </w:rPr>
      </w:pPr>
    </w:p>
    <w:p w14:paraId="77F52E65" w14:textId="77777777" w:rsidR="00871B59" w:rsidRPr="00B379B2" w:rsidRDefault="00871B59" w:rsidP="00871B59">
      <w:pPr>
        <w:spacing w:after="0" w:line="276" w:lineRule="auto"/>
        <w:jc w:val="both"/>
        <w:rPr>
          <w:rFonts w:ascii="Verdana" w:eastAsia="Calibri" w:hAnsi="Verdana" w:cs="Arial"/>
          <w:lang w:val="es-ES"/>
        </w:rPr>
      </w:pPr>
      <w:r w:rsidRPr="00B379B2">
        <w:rPr>
          <w:rFonts w:ascii="Verdana" w:eastAsia="Calibri" w:hAnsi="Verdana" w:cs="Arial"/>
          <w:lang w:val="es-ES"/>
        </w:rPr>
        <w:t xml:space="preserve">Lo anterior se sustenta en las siguientes consideraciones: </w:t>
      </w:r>
    </w:p>
    <w:p w14:paraId="1401D3A7" w14:textId="77777777" w:rsidR="00983695" w:rsidRPr="00B379B2" w:rsidRDefault="00983695" w:rsidP="00983695">
      <w:pPr>
        <w:spacing w:after="0" w:line="276" w:lineRule="auto"/>
        <w:jc w:val="both"/>
        <w:rPr>
          <w:rFonts w:ascii="Verdana" w:eastAsia="Calibri" w:hAnsi="Verdana" w:cs="Arial"/>
          <w:color w:val="7030A0"/>
          <w:lang w:val="es-ES"/>
        </w:rPr>
      </w:pPr>
    </w:p>
    <w:p w14:paraId="460BDD19" w14:textId="3CEFAF54" w:rsidR="00D32DB2" w:rsidRPr="00B379B2" w:rsidRDefault="001377CA" w:rsidP="00D32DB2">
      <w:pPr>
        <w:widowControl w:val="0"/>
        <w:autoSpaceDE w:val="0"/>
        <w:autoSpaceDN w:val="0"/>
        <w:spacing w:after="120" w:line="276" w:lineRule="auto"/>
        <w:jc w:val="both"/>
        <w:rPr>
          <w:rFonts w:ascii="Verdana" w:hAnsi="Verdana" w:cs="Arial"/>
        </w:rPr>
      </w:pPr>
      <w:r>
        <w:rPr>
          <w:rFonts w:ascii="Verdana" w:hAnsi="Verdana" w:cs="Arial"/>
          <w:lang w:val="es-ES"/>
        </w:rPr>
        <w:t>E</w:t>
      </w:r>
      <w:r w:rsidR="00D32DB2" w:rsidRPr="00B379B2">
        <w:rPr>
          <w:rFonts w:ascii="Verdana" w:hAnsi="Verdana" w:cs="Arial"/>
        </w:rPr>
        <w:t>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consagradas por el ordenamiento jurídico.</w:t>
      </w:r>
    </w:p>
    <w:p w14:paraId="502DE2D2" w14:textId="77777777" w:rsidR="00D32DB2" w:rsidRPr="00B379B2" w:rsidRDefault="00D32DB2" w:rsidP="00D32DB2">
      <w:pPr>
        <w:spacing w:after="120" w:line="276" w:lineRule="auto"/>
        <w:ind w:firstLine="360"/>
        <w:jc w:val="both"/>
        <w:rPr>
          <w:rFonts w:ascii="Verdana" w:hAnsi="Verdana" w:cs="Arial"/>
        </w:rPr>
      </w:pPr>
      <w:r w:rsidRPr="00B379B2">
        <w:rPr>
          <w:rFonts w:ascii="Verdana" w:hAnsi="Verdana" w:cs="Arial"/>
        </w:rPr>
        <w:tab/>
        <w:t>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B379B2">
        <w:rPr>
          <w:rStyle w:val="Refdenotaalpie"/>
          <w:rFonts w:ascii="Verdana" w:hAnsi="Verdana" w:cs="Arial"/>
        </w:rPr>
        <w:footnoteReference w:id="2"/>
      </w:r>
      <w:r w:rsidRPr="00B379B2">
        <w:rPr>
          <w:rFonts w:ascii="Verdana" w:hAnsi="Verdana" w:cs="Arial"/>
        </w:rPr>
        <w:t>.</w:t>
      </w:r>
    </w:p>
    <w:p w14:paraId="0B636ADC" w14:textId="77777777" w:rsidR="00D32DB2" w:rsidRPr="00B379B2" w:rsidRDefault="00D32DB2" w:rsidP="00D32DB2">
      <w:pPr>
        <w:spacing w:after="0" w:line="276" w:lineRule="auto"/>
        <w:ind w:firstLine="360"/>
        <w:jc w:val="both"/>
        <w:rPr>
          <w:rFonts w:ascii="Verdana" w:hAnsi="Verdana" w:cs="Arial"/>
        </w:rPr>
      </w:pPr>
      <w:r w:rsidRPr="00B379B2">
        <w:rPr>
          <w:rFonts w:ascii="Verdana" w:hAnsi="Verdana" w:cs="Arial"/>
        </w:rPr>
        <w:tab/>
        <w:t>La consagración de limitaciones que afectan la capacidad jurídica para contratar desarrolla los principios de la función administrativa consagrados en el artículo 209 de la Constitución Política, con especial énfasis el de moralidad. Así lo entiende el Consejo de Estado:</w:t>
      </w:r>
    </w:p>
    <w:p w14:paraId="000721DD" w14:textId="77777777" w:rsidR="00D32DB2" w:rsidRPr="00B379B2" w:rsidRDefault="00D32DB2" w:rsidP="00D32DB2">
      <w:pPr>
        <w:pStyle w:val="Prrafodelista"/>
        <w:spacing w:after="0" w:line="276" w:lineRule="auto"/>
        <w:jc w:val="both"/>
        <w:rPr>
          <w:rFonts w:ascii="Verdana" w:hAnsi="Verdana" w:cs="Arial"/>
        </w:rPr>
      </w:pPr>
    </w:p>
    <w:p w14:paraId="2CAAC7A5" w14:textId="77777777" w:rsidR="00D32DB2" w:rsidRPr="00B379B2" w:rsidRDefault="00D32DB2" w:rsidP="00D32DB2">
      <w:pPr>
        <w:pStyle w:val="Prrafodelista"/>
        <w:spacing w:after="0" w:line="240" w:lineRule="auto"/>
        <w:ind w:left="709" w:right="709"/>
        <w:jc w:val="both"/>
        <w:rPr>
          <w:rFonts w:ascii="Verdana" w:hAnsi="Verdana" w:cs="Arial"/>
        </w:rPr>
      </w:pPr>
      <w:r w:rsidRPr="00B379B2">
        <w:rPr>
          <w:rFonts w:ascii="Verdana" w:hAnsi="Verdana" w:cs="Arial"/>
        </w:rPr>
        <w:t>“De manera primordial en esta reflexión debe advertirse que la consagración legal de las incompatibilidades e inhabilidades</w:t>
      </w:r>
      <w:r w:rsidRPr="00B379B2">
        <w:rPr>
          <w:rFonts w:ascii="Verdana" w:hAnsi="Verdana"/>
        </w:rPr>
        <w:t xml:space="preserve"> </w:t>
      </w:r>
      <w:r w:rsidRPr="00B379B2">
        <w:rPr>
          <w:rFonts w:ascii="Verdana" w:hAnsi="Verdana" w:cs="Arial"/>
        </w:rPr>
        <w:t xml:space="preserve">en materia contractual, no es sino desarrollo del Principio de Moralidad que la Constitución Política consagra como uno de los rectores de </w:t>
      </w:r>
      <w:r w:rsidRPr="00B379B2">
        <w:rPr>
          <w:rFonts w:ascii="Verdana" w:hAnsi="Verdana" w:cs="Arial"/>
        </w:rPr>
        <w:lastRenderedPageBreak/>
        <w:t>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2EB9CCCD" w14:textId="77777777" w:rsidR="00D32DB2" w:rsidRPr="00B379B2" w:rsidRDefault="00D32DB2" w:rsidP="00D32DB2">
      <w:pPr>
        <w:pStyle w:val="Prrafodelista"/>
        <w:spacing w:after="0" w:line="240" w:lineRule="auto"/>
        <w:ind w:left="709" w:right="709"/>
        <w:jc w:val="both"/>
        <w:rPr>
          <w:rFonts w:ascii="Verdana" w:hAnsi="Verdana" w:cs="Arial"/>
        </w:rPr>
      </w:pPr>
    </w:p>
    <w:p w14:paraId="28F29D01" w14:textId="77777777" w:rsidR="00D32DB2" w:rsidRPr="00B379B2" w:rsidRDefault="00D32DB2" w:rsidP="00D32DB2">
      <w:pPr>
        <w:pStyle w:val="Prrafodelista"/>
        <w:spacing w:after="0" w:line="240" w:lineRule="auto"/>
        <w:ind w:left="709" w:right="709"/>
        <w:jc w:val="both"/>
        <w:rPr>
          <w:rFonts w:ascii="Verdana" w:hAnsi="Verdana" w:cs="Arial"/>
        </w:rPr>
      </w:pPr>
      <w:r w:rsidRPr="00B379B2">
        <w:rPr>
          <w:rFonts w:ascii="Verdana" w:hAnsi="Verdana" w:cs="Arial"/>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B379B2">
        <w:rPr>
          <w:rStyle w:val="Refdenotaalpie"/>
          <w:rFonts w:ascii="Verdana" w:hAnsi="Verdana" w:cs="Arial"/>
        </w:rPr>
        <w:footnoteReference w:id="3"/>
      </w:r>
    </w:p>
    <w:p w14:paraId="7E7E029B" w14:textId="77777777" w:rsidR="00D32DB2" w:rsidRPr="00B379B2" w:rsidRDefault="00D32DB2" w:rsidP="00D32DB2">
      <w:pPr>
        <w:pStyle w:val="Prrafodelista"/>
        <w:spacing w:after="0" w:line="240" w:lineRule="auto"/>
        <w:ind w:left="1491" w:right="357"/>
        <w:jc w:val="both"/>
        <w:rPr>
          <w:rFonts w:ascii="Verdana" w:hAnsi="Verdana" w:cs="Arial"/>
        </w:rPr>
      </w:pPr>
    </w:p>
    <w:p w14:paraId="4336ECF1" w14:textId="77777777" w:rsidR="00D32DB2" w:rsidRPr="00B379B2" w:rsidRDefault="00D32DB2" w:rsidP="00D32DB2">
      <w:pPr>
        <w:spacing w:after="120" w:line="276" w:lineRule="auto"/>
        <w:ind w:firstLine="708"/>
        <w:jc w:val="both"/>
        <w:rPr>
          <w:rFonts w:ascii="Verdana" w:hAnsi="Verdana" w:cs="Arial"/>
        </w:rPr>
      </w:pPr>
      <w:r w:rsidRPr="00B379B2">
        <w:rPr>
          <w:rFonts w:ascii="Verdana" w:hAnsi="Verdana" w:cs="Arial"/>
        </w:rPr>
        <w:t>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w:t>
      </w:r>
    </w:p>
    <w:p w14:paraId="2D2CC453" w14:textId="77777777" w:rsidR="00D32DB2" w:rsidRPr="00B379B2" w:rsidRDefault="00D32DB2" w:rsidP="00D32DB2">
      <w:pPr>
        <w:spacing w:after="120" w:line="276" w:lineRule="auto"/>
        <w:ind w:firstLine="360"/>
        <w:jc w:val="both"/>
        <w:rPr>
          <w:rFonts w:ascii="Verdana" w:hAnsi="Verdana" w:cs="Arial"/>
        </w:rPr>
      </w:pPr>
      <w:r w:rsidRPr="00B379B2">
        <w:rPr>
          <w:rFonts w:ascii="Verdana" w:hAnsi="Verdana" w:cs="Arial"/>
        </w:rPr>
        <w:tab/>
        <w:t xml:space="preserve">Además, la Corte Constitucional señala que, el legislador tiene la competencia para determinar qué hechos o situaciones generan inhabilidad para contratar, pues este régimen es un aspecto propio del Estatuto General de Contratación de la Administración Pública – en adelante EGCAP –, cuya </w:t>
      </w:r>
      <w:r w:rsidRPr="00B379B2">
        <w:rPr>
          <w:rFonts w:ascii="Verdana" w:hAnsi="Verdana" w:cs="Arial"/>
        </w:rPr>
        <w:lastRenderedPageBreak/>
        <w:t>expedición compete al Congreso de la República a la luz del artículo 150 de la Constitución Política, y que en esta materia rige el principio de legalidad.</w:t>
      </w:r>
      <w:r w:rsidRPr="00B379B2">
        <w:rPr>
          <w:rStyle w:val="Refdenotaalpie"/>
          <w:rFonts w:ascii="Verdana" w:hAnsi="Verdana" w:cs="Arial"/>
        </w:rPr>
        <w:footnoteReference w:id="4"/>
      </w:r>
    </w:p>
    <w:p w14:paraId="297477C6" w14:textId="77777777" w:rsidR="00D32DB2" w:rsidRPr="00B379B2" w:rsidRDefault="00D32DB2" w:rsidP="00D32DB2">
      <w:pPr>
        <w:spacing w:after="120" w:line="276" w:lineRule="auto"/>
        <w:ind w:firstLine="360"/>
        <w:jc w:val="both"/>
        <w:rPr>
          <w:rFonts w:ascii="Verdana" w:hAnsi="Verdana" w:cs="Arial"/>
        </w:rPr>
      </w:pPr>
      <w:r w:rsidRPr="00B379B2">
        <w:rPr>
          <w:rFonts w:ascii="Verdana" w:hAnsi="Verdana" w:cs="Arial"/>
        </w:rPr>
        <w:tab/>
        <w:t xml:space="preserve">Ahora bien, conviene también distinguir las fuentes de las inhabilidades, las cuales han sido clasificadas en dos (2) grupos: i) inhabilidades- sanción y </w:t>
      </w:r>
      <w:proofErr w:type="spellStart"/>
      <w:r w:rsidRPr="00B379B2">
        <w:rPr>
          <w:rFonts w:ascii="Verdana" w:hAnsi="Verdana" w:cs="Arial"/>
        </w:rPr>
        <w:t>ii</w:t>
      </w:r>
      <w:proofErr w:type="spellEnd"/>
      <w:r w:rsidRPr="00B379B2">
        <w:rPr>
          <w:rFonts w:ascii="Verdana" w:hAnsi="Verdana" w:cs="Arial"/>
        </w:rPr>
        <w:t xml:space="preserve">) inhabilidades-requisito. En el </w:t>
      </w:r>
      <w:r w:rsidRPr="00B379B2">
        <w:rPr>
          <w:rFonts w:ascii="Verdana" w:hAnsi="Verdana" w:cs="Arial"/>
          <w:i/>
          <w:iCs/>
        </w:rPr>
        <w:t>primer grupo</w:t>
      </w:r>
      <w:r w:rsidRPr="00B379B2">
        <w:rPr>
          <w:rFonts w:ascii="Verdana" w:hAnsi="Verdana" w:cs="Arial"/>
        </w:rPr>
        <w:t xml:space="preserve"> se encuentran las inhabilidades que surgen como consecuencia de un proceso sancionatorio, en los ámbitos penal, disciplinario, contravencional o de pérdida de investidura. En el </w:t>
      </w:r>
      <w:r w:rsidRPr="00B379B2">
        <w:rPr>
          <w:rFonts w:ascii="Verdana" w:hAnsi="Verdana" w:cs="Arial"/>
          <w:i/>
          <w:iCs/>
        </w:rPr>
        <w:t>segundo grupo</w:t>
      </w:r>
      <w:r w:rsidRPr="00B379B2">
        <w:rPr>
          <w:rFonts w:ascii="Verdana" w:hAnsi="Verdana" w:cs="Arial"/>
        </w:rPr>
        <w:t xml:space="preserve"> están aquellas que no devienen de un proceso sancionatorio, sino de condiciones propias de la persona y garantizan la moralidad, la imparcialidad, la eficacia y la transparencia</w:t>
      </w:r>
      <w:r w:rsidRPr="00B379B2">
        <w:rPr>
          <w:rStyle w:val="Refdenotaalpie"/>
          <w:rFonts w:ascii="Verdana" w:hAnsi="Verdana" w:cs="Arial"/>
        </w:rPr>
        <w:footnoteReference w:id="5"/>
      </w:r>
      <w:r w:rsidRPr="00B379B2">
        <w:rPr>
          <w:rFonts w:ascii="Verdana" w:hAnsi="Verdana" w:cs="Arial"/>
        </w:rPr>
        <w:t>.</w:t>
      </w:r>
    </w:p>
    <w:p w14:paraId="7423B5AD" w14:textId="77777777" w:rsidR="00D32DB2" w:rsidRPr="00B379B2" w:rsidRDefault="00D32DB2" w:rsidP="00D32DB2">
      <w:pPr>
        <w:spacing w:after="120" w:line="276" w:lineRule="auto"/>
        <w:ind w:firstLine="360"/>
        <w:jc w:val="both"/>
        <w:rPr>
          <w:rFonts w:ascii="Verdana" w:hAnsi="Verdana" w:cs="Arial"/>
        </w:rPr>
      </w:pPr>
      <w:r w:rsidRPr="00B379B2">
        <w:rPr>
          <w:rFonts w:ascii="Verdana" w:hAnsi="Verdana" w:cs="Arial"/>
        </w:rPr>
        <w:tab/>
        <w:t xml:space="preserve">Seguidamente,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B379B2">
        <w:rPr>
          <w:rFonts w:ascii="Verdana" w:hAnsi="Verdana" w:cs="Arial"/>
          <w:i/>
          <w:iCs/>
        </w:rPr>
        <w:t>restrictiva</w:t>
      </w:r>
      <w:r w:rsidRPr="00B379B2">
        <w:rPr>
          <w:rStyle w:val="Refdenotaalpie"/>
          <w:rFonts w:ascii="Verdana" w:hAnsi="Verdana" w:cs="Arial"/>
        </w:rPr>
        <w:footnoteReference w:id="6"/>
      </w:r>
      <w:r w:rsidRPr="00B379B2">
        <w:rPr>
          <w:rFonts w:ascii="Verdana" w:hAnsi="Verdana" w:cs="Arial"/>
        </w:rPr>
        <w:t>,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18FDAA62" w14:textId="77777777" w:rsidR="00D32DB2" w:rsidRPr="00B379B2" w:rsidRDefault="00D32DB2" w:rsidP="00D32DB2">
      <w:pPr>
        <w:spacing w:after="120" w:line="276" w:lineRule="auto"/>
        <w:ind w:firstLine="360"/>
        <w:jc w:val="both"/>
        <w:rPr>
          <w:rFonts w:ascii="Verdana" w:hAnsi="Verdana" w:cs="Arial"/>
        </w:rPr>
      </w:pPr>
      <w:r w:rsidRPr="00B379B2">
        <w:rPr>
          <w:rFonts w:ascii="Verdana" w:hAnsi="Verdana" w:cs="Arial"/>
        </w:rPr>
        <w:tab/>
        <w:t>En efecto, el máximo tribunal constitucional ha indicado que, al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B379B2">
        <w:rPr>
          <w:rStyle w:val="Refdenotaalpie"/>
          <w:rFonts w:ascii="Verdana" w:hAnsi="Verdana" w:cs="Arial"/>
        </w:rPr>
        <w:footnoteReference w:id="7"/>
      </w:r>
      <w:r w:rsidRPr="00B379B2">
        <w:rPr>
          <w:rFonts w:ascii="Verdana" w:hAnsi="Verdana" w:cs="Arial"/>
        </w:rPr>
        <w:t>. Por su parte, el Consejo de Estado ha acogido también este criterio, considerando –</w:t>
      </w:r>
      <w:r w:rsidRPr="00B379B2">
        <w:rPr>
          <w:rFonts w:ascii="Verdana" w:hAnsi="Verdana" w:cs="Arial"/>
        </w:rPr>
        <w:lastRenderedPageBreak/>
        <w:t>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B379B2">
        <w:rPr>
          <w:rStyle w:val="Refdenotaalpie"/>
          <w:rFonts w:ascii="Verdana" w:hAnsi="Verdana" w:cs="Arial"/>
        </w:rPr>
        <w:footnoteReference w:id="8"/>
      </w:r>
      <w:r w:rsidRPr="00B379B2">
        <w:rPr>
          <w:rFonts w:ascii="Verdana" w:hAnsi="Verdana" w:cs="Arial"/>
        </w:rPr>
        <w:t>.</w:t>
      </w:r>
    </w:p>
    <w:p w14:paraId="567E20BB" w14:textId="77777777" w:rsidR="00D32DB2" w:rsidRPr="00B379B2" w:rsidRDefault="00D32DB2" w:rsidP="00D32DB2">
      <w:pPr>
        <w:spacing w:after="120" w:line="276" w:lineRule="auto"/>
        <w:ind w:firstLine="708"/>
        <w:jc w:val="both"/>
        <w:rPr>
          <w:rFonts w:ascii="Verdana" w:hAnsi="Verdana" w:cs="Arial"/>
        </w:rPr>
      </w:pPr>
      <w:r w:rsidRPr="00B379B2">
        <w:rPr>
          <w:rFonts w:ascii="Verdana" w:hAnsi="Verdana" w:cs="Arial"/>
        </w:rPr>
        <w:t xml:space="preserve">Como se aprecia, el principio pro </w:t>
      </w:r>
      <w:proofErr w:type="spellStart"/>
      <w:r w:rsidRPr="00B379B2">
        <w:rPr>
          <w:rFonts w:ascii="Verdana" w:hAnsi="Verdana" w:cs="Arial"/>
        </w:rPr>
        <w:t>libertate</w:t>
      </w:r>
      <w:proofErr w:type="spellEnd"/>
      <w:r w:rsidRPr="00B379B2">
        <w:rPr>
          <w:rFonts w:ascii="Verdana" w:hAnsi="Verdana" w:cs="Arial"/>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3FBA8970" w14:textId="77777777" w:rsidR="00D32DB2" w:rsidRPr="00B379B2" w:rsidRDefault="00D32DB2" w:rsidP="00D32DB2">
      <w:pPr>
        <w:spacing w:after="120" w:line="276" w:lineRule="auto"/>
        <w:ind w:firstLine="708"/>
        <w:jc w:val="both"/>
        <w:rPr>
          <w:rFonts w:ascii="Verdana" w:hAnsi="Verdana"/>
        </w:rPr>
      </w:pPr>
      <w:r w:rsidRPr="00B379B2">
        <w:rPr>
          <w:rFonts w:ascii="Verdana" w:hAnsi="Verdana"/>
        </w:rPr>
        <w:t xml:space="preserve">En este sentido, el régimen de inhabilidades protege los principios de transparencia, moralidad e imparcialidad en la contratación estatal. Con este fin, la ley determina de forma restrictiva los vínculos de parentesco permitidos dentro de una misma entidad pública. </w:t>
      </w:r>
    </w:p>
    <w:p w14:paraId="40CECA40" w14:textId="6DAFB271" w:rsidR="00616AD8" w:rsidRDefault="00D32DB2" w:rsidP="00616AD8">
      <w:pPr>
        <w:spacing w:after="120" w:line="276" w:lineRule="auto"/>
        <w:ind w:firstLine="708"/>
        <w:jc w:val="both"/>
        <w:rPr>
          <w:rFonts w:ascii="Verdana" w:hAnsi="Verdana"/>
        </w:rPr>
      </w:pPr>
      <w:r w:rsidRPr="00616AD8">
        <w:rPr>
          <w:rFonts w:ascii="Verdana" w:hAnsi="Verdana"/>
        </w:rPr>
        <w:t>Para determinar si existe inhabilidad en el caso en concreto, elevado a través de la consulta, es necesario remitirse</w:t>
      </w:r>
      <w:r w:rsidR="00EC7B2F" w:rsidRPr="00616AD8">
        <w:rPr>
          <w:rFonts w:ascii="Verdana" w:hAnsi="Verdana"/>
        </w:rPr>
        <w:t xml:space="preserve"> </w:t>
      </w:r>
      <w:r w:rsidR="002419EE" w:rsidRPr="00616AD8">
        <w:rPr>
          <w:rFonts w:ascii="Verdana" w:hAnsi="Verdana"/>
        </w:rPr>
        <w:t>al artículo 1 de la Ley 1148 de 2007, en donde se establece que:</w:t>
      </w:r>
      <w:r w:rsidR="00616AD8" w:rsidRPr="00616AD8">
        <w:rPr>
          <w:rFonts w:ascii="Verdana" w:hAnsi="Verdana"/>
        </w:rPr>
        <w:t xml:space="preserve"> </w:t>
      </w:r>
      <w:r w:rsidR="002419EE" w:rsidRPr="00616AD8">
        <w:rPr>
          <w:rFonts w:ascii="Verdana" w:hAnsi="Verdana"/>
        </w:rPr>
        <w:t>“</w:t>
      </w:r>
      <w:r w:rsidR="00616AD8" w:rsidRPr="00616AD8">
        <w:rPr>
          <w:rFonts w:ascii="Verdana" w:hAnsi="Verdana" w:cs="Arial"/>
          <w:color w:val="333333"/>
          <w:shd w:val="clear" w:color="auto" w:fill="FFFFFF"/>
        </w:rPr>
        <w:t xml:space="preserve">Tratándose de concejales de municipios de cuarta, quinta y sexta categoría, las prohibiciones establecidas en el presente artículo se aplicarán únicamente para los cónyuges o compañeros permanentes y parientes hasta el segundo grado de consanguinidad, primero de afinidad o único civil”, Así mismo en el parágrafo precedente establece: </w:t>
      </w:r>
      <w:r w:rsidR="00616AD8" w:rsidRPr="00616AD8">
        <w:rPr>
          <w:rFonts w:ascii="Verdana" w:hAnsi="Verdana"/>
        </w:rPr>
        <w:t>“</w:t>
      </w:r>
      <w:r w:rsidR="00616AD8" w:rsidRPr="00616AD8">
        <w:rPr>
          <w:rFonts w:ascii="Verdana" w:hAnsi="Verdana" w:cs="Arial"/>
          <w:color w:val="333333"/>
          <w:shd w:val="clear" w:color="auto" w:fill="FFFFFF"/>
        </w:rPr>
        <w:t>no podrán ser contratistas del respectivo departamento, distrito o municipio, o de sus entidades descentralizadas, ni directa, ni indirectamente”.</w:t>
      </w:r>
      <w:r w:rsidR="00616AD8" w:rsidRPr="00616AD8">
        <w:rPr>
          <w:rFonts w:ascii="Verdana" w:hAnsi="Verdana"/>
        </w:rPr>
        <w:t xml:space="preserve"> </w:t>
      </w:r>
      <w:r w:rsidR="002419EE" w:rsidRPr="00616AD8">
        <w:rPr>
          <w:rFonts w:ascii="Verdana" w:hAnsi="Verdana"/>
        </w:rPr>
        <w:t xml:space="preserve">Esta norma basa la restricción en dos factores concurrentes: de un lado, el vínculo de parentesco y de otro, el cargo de elección popular. </w:t>
      </w:r>
    </w:p>
    <w:p w14:paraId="3696778D" w14:textId="77777777" w:rsidR="00530714" w:rsidRDefault="00616AD8" w:rsidP="00530714">
      <w:pPr>
        <w:spacing w:after="120" w:line="276" w:lineRule="auto"/>
        <w:ind w:firstLine="708"/>
        <w:jc w:val="both"/>
        <w:rPr>
          <w:rFonts w:ascii="Verdana" w:hAnsi="Verdana"/>
        </w:rPr>
      </w:pPr>
      <w:r>
        <w:rPr>
          <w:rFonts w:ascii="Verdana" w:eastAsia="Times New Roman" w:hAnsi="Verdana" w:cs="Times New Roman"/>
          <w:lang w:eastAsia="es-MX"/>
        </w:rPr>
        <w:t>E</w:t>
      </w:r>
      <w:r w:rsidR="00D32DB2" w:rsidRPr="00D32DB2">
        <w:rPr>
          <w:rFonts w:ascii="Verdana" w:eastAsia="Times New Roman" w:hAnsi="Verdana" w:cs="Times New Roman"/>
          <w:lang w:eastAsia="es-MX"/>
        </w:rPr>
        <w:t xml:space="preserve">n cuanto </w:t>
      </w:r>
      <w:r w:rsidR="00552DCE">
        <w:rPr>
          <w:rFonts w:ascii="Verdana" w:eastAsia="Times New Roman" w:hAnsi="Verdana"/>
          <w:lang w:eastAsia="es-MX"/>
        </w:rPr>
        <w:t>al</w:t>
      </w:r>
      <w:r w:rsidR="00D32DB2" w:rsidRPr="00D32DB2">
        <w:rPr>
          <w:rFonts w:ascii="Verdana" w:eastAsia="Times New Roman" w:hAnsi="Verdana" w:cs="Times New Roman"/>
          <w:lang w:eastAsia="es-MX"/>
        </w:rPr>
        <w:t xml:space="preserve"> vínculo de parentesco</w:t>
      </w:r>
      <w:r>
        <w:rPr>
          <w:rFonts w:ascii="Verdana" w:eastAsia="Times New Roman" w:hAnsi="Verdana"/>
          <w:lang w:eastAsia="es-MX"/>
        </w:rPr>
        <w:t xml:space="preserve"> del caso elevado en la consulta</w:t>
      </w:r>
      <w:r w:rsidR="00552DCE">
        <w:rPr>
          <w:rFonts w:ascii="Verdana" w:eastAsia="Times New Roman" w:hAnsi="Verdana"/>
          <w:lang w:eastAsia="es-MX"/>
        </w:rPr>
        <w:t xml:space="preserve"> se tiene que </w:t>
      </w:r>
      <w:r w:rsidR="007B10F3">
        <w:rPr>
          <w:rFonts w:ascii="Verdana" w:eastAsia="Times New Roman" w:hAnsi="Verdana"/>
          <w:lang w:eastAsia="es-MX"/>
        </w:rPr>
        <w:t xml:space="preserve">se trata de un vínculo de parentesco en </w:t>
      </w:r>
      <w:r w:rsidR="00D32DB2" w:rsidRPr="00D32DB2">
        <w:rPr>
          <w:rFonts w:ascii="Verdana" w:eastAsia="Times New Roman" w:hAnsi="Verdana" w:cs="Times New Roman"/>
          <w:lang w:eastAsia="es-MX"/>
        </w:rPr>
        <w:t xml:space="preserve">segundo grado de consanguinidad </w:t>
      </w:r>
      <w:r w:rsidR="00552DCE">
        <w:rPr>
          <w:rFonts w:ascii="Verdana" w:eastAsia="Times New Roman" w:hAnsi="Verdana"/>
          <w:lang w:eastAsia="es-MX"/>
        </w:rPr>
        <w:lastRenderedPageBreak/>
        <w:t>–</w:t>
      </w:r>
      <w:r w:rsidR="00D32DB2" w:rsidRPr="00D32DB2">
        <w:rPr>
          <w:rFonts w:ascii="Verdana" w:eastAsia="Times New Roman" w:hAnsi="Verdana" w:cs="Times New Roman"/>
          <w:lang w:eastAsia="es-MX"/>
        </w:rPr>
        <w:t xml:space="preserve"> </w:t>
      </w:r>
      <w:r w:rsidR="007B10F3">
        <w:rPr>
          <w:rFonts w:ascii="Verdana" w:eastAsia="Times New Roman" w:hAnsi="Verdana"/>
          <w:lang w:eastAsia="es-MX"/>
        </w:rPr>
        <w:t>“</w:t>
      </w:r>
      <w:r w:rsidR="00D32DB2" w:rsidRPr="00D32DB2">
        <w:rPr>
          <w:rFonts w:ascii="Verdana" w:eastAsia="Times New Roman" w:hAnsi="Verdana" w:cs="Times New Roman"/>
          <w:lang w:eastAsia="es-MX"/>
        </w:rPr>
        <w:t>hermana</w:t>
      </w:r>
      <w:r w:rsidR="007B10F3">
        <w:rPr>
          <w:rFonts w:ascii="Verdana" w:eastAsia="Times New Roman" w:hAnsi="Verdana"/>
          <w:lang w:eastAsia="es-MX"/>
        </w:rPr>
        <w:t>”</w:t>
      </w:r>
      <w:r w:rsidR="00552DCE">
        <w:rPr>
          <w:rFonts w:ascii="Verdana" w:eastAsia="Times New Roman" w:hAnsi="Verdana"/>
          <w:lang w:eastAsia="es-MX"/>
        </w:rPr>
        <w:t>,</w:t>
      </w:r>
      <w:r w:rsidR="00D32DB2" w:rsidRPr="00D32DB2">
        <w:rPr>
          <w:rFonts w:ascii="Verdana" w:eastAsia="Times New Roman" w:hAnsi="Verdana" w:cs="Times New Roman"/>
          <w:lang w:eastAsia="es-MX"/>
        </w:rPr>
        <w:t xml:space="preserve"> entre un servidor público </w:t>
      </w:r>
      <w:r w:rsidR="00530714">
        <w:rPr>
          <w:rFonts w:ascii="Verdana" w:eastAsia="Times New Roman" w:hAnsi="Verdana" w:cs="Times New Roman"/>
          <w:lang w:eastAsia="es-MX"/>
        </w:rPr>
        <w:t>“</w:t>
      </w:r>
      <w:r w:rsidR="00D32DB2" w:rsidRPr="00D32DB2">
        <w:rPr>
          <w:rFonts w:ascii="Verdana" w:eastAsia="Times New Roman" w:hAnsi="Verdana" w:cs="Times New Roman"/>
          <w:lang w:eastAsia="es-MX"/>
        </w:rPr>
        <w:t>el concejal y un particular</w:t>
      </w:r>
      <w:r w:rsidR="00530714">
        <w:rPr>
          <w:rFonts w:ascii="Verdana" w:eastAsia="Times New Roman" w:hAnsi="Verdana" w:cs="Times New Roman"/>
          <w:lang w:eastAsia="es-MX"/>
        </w:rPr>
        <w:t>”</w:t>
      </w:r>
      <w:r w:rsidR="00D32DB2" w:rsidRPr="00D32DB2">
        <w:rPr>
          <w:rFonts w:ascii="Verdana" w:eastAsia="Times New Roman" w:hAnsi="Verdana" w:cs="Times New Roman"/>
          <w:lang w:eastAsia="es-MX"/>
        </w:rPr>
        <w:t>,</w:t>
      </w:r>
      <w:r w:rsidR="007B10F3">
        <w:rPr>
          <w:rFonts w:ascii="Verdana" w:eastAsia="Times New Roman" w:hAnsi="Verdana"/>
          <w:lang w:eastAsia="es-MX"/>
        </w:rPr>
        <w:t xml:space="preserve"> vinculo</w:t>
      </w:r>
      <w:r w:rsidR="00530714">
        <w:rPr>
          <w:rFonts w:ascii="Verdana" w:eastAsia="Times New Roman" w:hAnsi="Verdana"/>
          <w:lang w:eastAsia="es-MX"/>
        </w:rPr>
        <w:t xml:space="preserve"> se encuadra </w:t>
      </w:r>
      <w:r w:rsidR="00530714">
        <w:rPr>
          <w:rFonts w:ascii="Verdana" w:eastAsia="Times New Roman" w:hAnsi="Verdana" w:cs="Times New Roman"/>
          <w:lang w:eastAsia="es-MX"/>
        </w:rPr>
        <w:t xml:space="preserve">dentro de </w:t>
      </w:r>
      <w:r w:rsidR="00D32DB2" w:rsidRPr="00D32DB2">
        <w:rPr>
          <w:rFonts w:ascii="Verdana" w:eastAsia="Times New Roman" w:hAnsi="Verdana" w:cs="Times New Roman"/>
          <w:lang w:eastAsia="es-MX"/>
        </w:rPr>
        <w:t>las inhabilidades</w:t>
      </w:r>
      <w:r w:rsidR="007B10F3">
        <w:rPr>
          <w:rFonts w:ascii="Verdana" w:eastAsia="Times New Roman" w:hAnsi="Verdana"/>
          <w:lang w:eastAsia="es-MX"/>
        </w:rPr>
        <w:t xml:space="preserve"> del </w:t>
      </w:r>
      <w:r w:rsidRPr="00616AD8">
        <w:rPr>
          <w:rFonts w:ascii="Verdana" w:hAnsi="Verdana"/>
        </w:rPr>
        <w:t>artículo 1 de la Ley 1148 de 2007</w:t>
      </w:r>
      <w:r w:rsidR="00D32DB2" w:rsidRPr="00D32DB2">
        <w:rPr>
          <w:rFonts w:ascii="Verdana" w:eastAsia="Times New Roman" w:hAnsi="Verdana" w:cs="Times New Roman"/>
          <w:lang w:eastAsia="es-MX"/>
        </w:rPr>
        <w:t xml:space="preserve">. Asimismo, </w:t>
      </w:r>
      <w:r w:rsidR="00530714">
        <w:rPr>
          <w:rFonts w:ascii="Verdana" w:eastAsia="Times New Roman" w:hAnsi="Verdana" w:cs="Times New Roman"/>
          <w:lang w:eastAsia="es-MX"/>
        </w:rPr>
        <w:t xml:space="preserve">la figura de </w:t>
      </w:r>
      <w:r w:rsidR="00D32DB2" w:rsidRPr="00D32DB2">
        <w:rPr>
          <w:rFonts w:ascii="Verdana" w:eastAsia="Times New Roman" w:hAnsi="Verdana" w:cs="Times New Roman"/>
          <w:lang w:eastAsia="es-MX"/>
        </w:rPr>
        <w:t>concejal es un servidor público sobre el cual recaen dichas prohibiciones.</w:t>
      </w:r>
      <w:r w:rsidR="00530714">
        <w:rPr>
          <w:rFonts w:ascii="Verdana" w:hAnsi="Verdana"/>
        </w:rPr>
        <w:t xml:space="preserve"> En este sentido,</w:t>
      </w:r>
      <w:r w:rsidR="00D32DB2" w:rsidRPr="00D32DB2">
        <w:rPr>
          <w:rFonts w:ascii="Verdana" w:eastAsia="Times New Roman" w:hAnsi="Verdana" w:cs="Times New Roman"/>
          <w:lang w:eastAsia="es-MX"/>
        </w:rPr>
        <w:t xml:space="preserve"> el sujeto de la inhabilidad </w:t>
      </w:r>
      <w:r w:rsidR="00530714">
        <w:rPr>
          <w:rFonts w:ascii="Verdana" w:eastAsia="Times New Roman" w:hAnsi="Verdana" w:cs="Times New Roman"/>
          <w:lang w:eastAsia="es-MX"/>
        </w:rPr>
        <w:t xml:space="preserve">recae </w:t>
      </w:r>
      <w:r w:rsidR="00D32DB2" w:rsidRPr="00D32DB2">
        <w:rPr>
          <w:rFonts w:ascii="Verdana" w:eastAsia="Times New Roman" w:hAnsi="Verdana" w:cs="Times New Roman"/>
          <w:lang w:eastAsia="es-MX"/>
        </w:rPr>
        <w:t xml:space="preserve">sobre la hermana del concejal. Esto significa que </w:t>
      </w:r>
      <w:r w:rsidR="00D32DB2" w:rsidRPr="00D32DB2">
        <w:rPr>
          <w:rFonts w:ascii="Verdana" w:eastAsia="Times New Roman" w:hAnsi="Verdana" w:cs="Times New Roman"/>
          <w:i/>
          <w:iCs/>
          <w:lang w:eastAsia="es-MX"/>
        </w:rPr>
        <w:t>ella</w:t>
      </w:r>
      <w:r w:rsidR="00D32DB2" w:rsidRPr="00D32DB2">
        <w:rPr>
          <w:rFonts w:ascii="Verdana" w:eastAsia="Times New Roman" w:hAnsi="Verdana" w:cs="Times New Roman"/>
          <w:lang w:eastAsia="es-MX"/>
        </w:rPr>
        <w:t xml:space="preserve"> no puede celebrar contratos </w:t>
      </w:r>
      <w:r w:rsidR="00D32DB2" w:rsidRPr="00D32DB2">
        <w:rPr>
          <w:rFonts w:ascii="Verdana" w:eastAsia="Times New Roman" w:hAnsi="Verdana" w:cs="Times New Roman"/>
          <w:i/>
          <w:iCs/>
          <w:lang w:eastAsia="es-MX"/>
        </w:rPr>
        <w:t>directamente</w:t>
      </w:r>
      <w:r w:rsidR="00D32DB2" w:rsidRPr="00D32DB2">
        <w:rPr>
          <w:rFonts w:ascii="Verdana" w:eastAsia="Times New Roman" w:hAnsi="Verdana" w:cs="Times New Roman"/>
          <w:lang w:eastAsia="es-MX"/>
        </w:rPr>
        <w:t xml:space="preserve"> con el municipio.</w:t>
      </w:r>
    </w:p>
    <w:p w14:paraId="07671EF1" w14:textId="77777777" w:rsidR="001377CA" w:rsidRDefault="00530714" w:rsidP="001377CA">
      <w:pPr>
        <w:spacing w:after="120" w:line="276" w:lineRule="auto"/>
        <w:ind w:firstLine="708"/>
        <w:jc w:val="both"/>
        <w:rPr>
          <w:rFonts w:ascii="Verdana" w:hAnsi="Verdana"/>
        </w:rPr>
      </w:pPr>
      <w:r>
        <w:rPr>
          <w:rFonts w:ascii="Verdana" w:eastAsia="Times New Roman" w:hAnsi="Verdana" w:cs="Times New Roman"/>
          <w:lang w:eastAsia="es-MX"/>
        </w:rPr>
        <w:t>A</w:t>
      </w:r>
      <w:r w:rsidR="00D32DB2" w:rsidRPr="00D32DB2">
        <w:rPr>
          <w:rFonts w:ascii="Verdana" w:eastAsia="Times New Roman" w:hAnsi="Verdana" w:cs="Times New Roman"/>
          <w:lang w:eastAsia="es-MX"/>
        </w:rPr>
        <w:t>nalizando la situación concreta</w:t>
      </w:r>
      <w:r w:rsidR="001377CA">
        <w:rPr>
          <w:rFonts w:ascii="Verdana" w:eastAsia="Times New Roman" w:hAnsi="Verdana" w:cs="Times New Roman"/>
          <w:lang w:eastAsia="es-MX"/>
        </w:rPr>
        <w:t xml:space="preserve"> expuesta en la consulta</w:t>
      </w:r>
      <w:r w:rsidR="00D32DB2" w:rsidRPr="00D32DB2">
        <w:rPr>
          <w:rFonts w:ascii="Verdana" w:eastAsia="Times New Roman" w:hAnsi="Verdana" w:cs="Times New Roman"/>
          <w:lang w:eastAsia="es-MX"/>
        </w:rPr>
        <w:t xml:space="preserve">, la hermana del concejal no está celebrando un contrato con el municipio. Quien tiene la relación contractual con el municipio es la empresa de transporte escolar. La hermana, a su vez, es contratada por </w:t>
      </w:r>
      <w:r w:rsidR="00D32DB2" w:rsidRPr="00D32DB2">
        <w:rPr>
          <w:rFonts w:ascii="Verdana" w:eastAsia="Times New Roman" w:hAnsi="Verdana" w:cs="Times New Roman"/>
          <w:i/>
          <w:iCs/>
          <w:lang w:eastAsia="es-MX"/>
        </w:rPr>
        <w:t>dicha empresa</w:t>
      </w:r>
      <w:r w:rsidR="00D32DB2" w:rsidRPr="00D32DB2">
        <w:rPr>
          <w:rFonts w:ascii="Verdana" w:eastAsia="Times New Roman" w:hAnsi="Verdana" w:cs="Times New Roman"/>
          <w:lang w:eastAsia="es-MX"/>
        </w:rPr>
        <w:t>.</w:t>
      </w:r>
      <w:r w:rsidR="001377CA">
        <w:rPr>
          <w:rFonts w:ascii="Verdana" w:hAnsi="Verdana"/>
        </w:rPr>
        <w:t xml:space="preserve"> Así las cosas, </w:t>
      </w:r>
      <w:r w:rsidR="00D32DB2" w:rsidRPr="00D32DB2">
        <w:rPr>
          <w:rFonts w:ascii="Verdana" w:eastAsia="Times New Roman" w:hAnsi="Verdana" w:cs="Times New Roman"/>
          <w:lang w:eastAsia="es-MX"/>
        </w:rPr>
        <w:t xml:space="preserve">se debe aplicar el principio de interpretación restrictiva. Como se estableció en los apartados anteriores del texto, las inhabilidades son de interpretación restrictiva y no pueden aplicarse por analogía ni de forma extensiva. La ley prohíbe que el </w:t>
      </w:r>
      <w:r w:rsidR="00D32DB2" w:rsidRPr="00D32DB2">
        <w:rPr>
          <w:rFonts w:ascii="Verdana" w:eastAsia="Times New Roman" w:hAnsi="Verdana" w:cs="Times New Roman"/>
          <w:i/>
          <w:iCs/>
          <w:lang w:eastAsia="es-MX"/>
        </w:rPr>
        <w:t>pariente</w:t>
      </w:r>
      <w:r w:rsidR="00D32DB2" w:rsidRPr="00D32DB2">
        <w:rPr>
          <w:rFonts w:ascii="Verdana" w:eastAsia="Times New Roman" w:hAnsi="Verdana" w:cs="Times New Roman"/>
          <w:lang w:eastAsia="es-MX"/>
        </w:rPr>
        <w:t xml:space="preserve"> (la hermana) contrate con la </w:t>
      </w:r>
      <w:r w:rsidR="00D32DB2" w:rsidRPr="00D32DB2">
        <w:rPr>
          <w:rFonts w:ascii="Verdana" w:eastAsia="Times New Roman" w:hAnsi="Verdana" w:cs="Times New Roman"/>
          <w:i/>
          <w:iCs/>
          <w:lang w:eastAsia="es-MX"/>
        </w:rPr>
        <w:t>entidad</w:t>
      </w:r>
      <w:r w:rsidR="00D32DB2" w:rsidRPr="00D32DB2">
        <w:rPr>
          <w:rFonts w:ascii="Verdana" w:eastAsia="Times New Roman" w:hAnsi="Verdana" w:cs="Times New Roman"/>
          <w:lang w:eastAsia="es-MX"/>
        </w:rPr>
        <w:t xml:space="preserve"> (el municipio). Sin embargo, la ley no prohíbe expresamente que un </w:t>
      </w:r>
      <w:r w:rsidR="00D32DB2" w:rsidRPr="00D32DB2">
        <w:rPr>
          <w:rFonts w:ascii="Verdana" w:eastAsia="Times New Roman" w:hAnsi="Verdana" w:cs="Times New Roman"/>
          <w:i/>
          <w:iCs/>
          <w:lang w:eastAsia="es-MX"/>
        </w:rPr>
        <w:t>contratista</w:t>
      </w:r>
      <w:r w:rsidR="00D32DB2" w:rsidRPr="00D32DB2">
        <w:rPr>
          <w:rFonts w:ascii="Verdana" w:eastAsia="Times New Roman" w:hAnsi="Verdana" w:cs="Times New Roman"/>
          <w:lang w:eastAsia="es-MX"/>
        </w:rPr>
        <w:t xml:space="preserve"> (la empresa de transporte) vincule laboralmente a los parientes de los servidores públicos de la entidad contratante. Extender la inhabilidad de la hermana a la empresa por el solo hecho de contratarla sería una interpretación extensiva que viola el principio </w:t>
      </w:r>
      <w:r w:rsidR="00D32DB2" w:rsidRPr="00D32DB2">
        <w:rPr>
          <w:rFonts w:ascii="Verdana" w:eastAsia="Times New Roman" w:hAnsi="Verdana" w:cs="Times New Roman"/>
          <w:i/>
          <w:iCs/>
          <w:lang w:eastAsia="es-MX"/>
        </w:rPr>
        <w:t xml:space="preserve">pro </w:t>
      </w:r>
      <w:proofErr w:type="spellStart"/>
      <w:r w:rsidR="00D32DB2" w:rsidRPr="00D32DB2">
        <w:rPr>
          <w:rFonts w:ascii="Verdana" w:eastAsia="Times New Roman" w:hAnsi="Verdana" w:cs="Times New Roman"/>
          <w:i/>
          <w:iCs/>
          <w:lang w:eastAsia="es-MX"/>
        </w:rPr>
        <w:t>libertate</w:t>
      </w:r>
      <w:proofErr w:type="spellEnd"/>
      <w:r w:rsidR="00D32DB2" w:rsidRPr="00D32DB2">
        <w:rPr>
          <w:rFonts w:ascii="Verdana" w:eastAsia="Times New Roman" w:hAnsi="Verdana" w:cs="Times New Roman"/>
          <w:lang w:eastAsia="es-MX"/>
        </w:rPr>
        <w:t xml:space="preserve"> y el principio de legalidad.</w:t>
      </w:r>
    </w:p>
    <w:p w14:paraId="4F7C6DF6" w14:textId="77777777" w:rsidR="001377CA" w:rsidRDefault="00D32DB2" w:rsidP="001377CA">
      <w:pPr>
        <w:spacing w:after="120" w:line="276" w:lineRule="auto"/>
        <w:ind w:firstLine="708"/>
        <w:jc w:val="both"/>
        <w:rPr>
          <w:rFonts w:ascii="Verdana" w:eastAsia="Times New Roman" w:hAnsi="Verdana" w:cs="Times New Roman"/>
          <w:lang w:eastAsia="es-MX"/>
        </w:rPr>
      </w:pPr>
      <w:r w:rsidRPr="00D32DB2">
        <w:rPr>
          <w:rFonts w:ascii="Verdana" w:eastAsia="Times New Roman" w:hAnsi="Verdana" w:cs="Times New Roman"/>
          <w:lang w:eastAsia="es-MX"/>
        </w:rPr>
        <w:t>Al aplicar los principios del texto al caso consultado, se concluye que no se configura una inhabilidad que afecte la validez del contrato entre el municipio y la empresa de transporte. La relación contractual de la hermana es con un tercero (la empresa), no con la entidad estatal.</w:t>
      </w:r>
      <w:r w:rsidR="001377CA">
        <w:rPr>
          <w:rFonts w:ascii="Verdana" w:hAnsi="Verdana"/>
        </w:rPr>
        <w:t xml:space="preserve"> No </w:t>
      </w:r>
      <w:proofErr w:type="gramStart"/>
      <w:r w:rsidR="001377CA">
        <w:rPr>
          <w:rFonts w:ascii="Verdana" w:hAnsi="Verdana"/>
        </w:rPr>
        <w:t>obstante</w:t>
      </w:r>
      <w:proofErr w:type="gramEnd"/>
      <w:r w:rsidR="001377CA">
        <w:rPr>
          <w:rFonts w:ascii="Verdana" w:hAnsi="Verdana"/>
        </w:rPr>
        <w:t xml:space="preserve"> vale la pena aclarar que </w:t>
      </w:r>
      <w:r w:rsidRPr="00D32DB2">
        <w:rPr>
          <w:rFonts w:ascii="Verdana" w:eastAsia="Times New Roman" w:hAnsi="Verdana" w:cs="Times New Roman"/>
          <w:lang w:eastAsia="es-MX"/>
        </w:rPr>
        <w:t>si la hermana del concejal fu</w:t>
      </w:r>
      <w:r w:rsidR="001377CA">
        <w:rPr>
          <w:rFonts w:ascii="Verdana" w:eastAsia="Times New Roman" w:hAnsi="Verdana" w:cs="Times New Roman"/>
          <w:lang w:eastAsia="es-MX"/>
        </w:rPr>
        <w:t>nge como</w:t>
      </w:r>
      <w:r w:rsidRPr="00D32DB2">
        <w:rPr>
          <w:rFonts w:ascii="Verdana" w:eastAsia="Times New Roman" w:hAnsi="Verdana" w:cs="Times New Roman"/>
          <w:lang w:eastAsia="es-MX"/>
        </w:rPr>
        <w:t xml:space="preserve"> la representante legal, o miembro de la junta directiva de la empresa de transporte. la inhabilidad de la hermana sí </w:t>
      </w:r>
      <w:r w:rsidR="001377CA">
        <w:rPr>
          <w:rFonts w:ascii="Verdana" w:eastAsia="Times New Roman" w:hAnsi="Verdana" w:cs="Times New Roman"/>
          <w:lang w:eastAsia="es-MX"/>
        </w:rPr>
        <w:t xml:space="preserve">afectaría </w:t>
      </w:r>
      <w:r w:rsidRPr="00D32DB2">
        <w:rPr>
          <w:rFonts w:ascii="Verdana" w:eastAsia="Times New Roman" w:hAnsi="Verdana" w:cs="Times New Roman"/>
          <w:lang w:eastAsia="es-MX"/>
        </w:rPr>
        <w:t>a la persona jurídica</w:t>
      </w:r>
      <w:r w:rsidR="001377CA">
        <w:rPr>
          <w:rFonts w:ascii="Verdana" w:eastAsia="Times New Roman" w:hAnsi="Verdana" w:cs="Times New Roman"/>
          <w:lang w:eastAsia="es-MX"/>
        </w:rPr>
        <w:t xml:space="preserve"> – contratista,</w:t>
      </w:r>
      <w:r w:rsidRPr="00D32DB2">
        <w:rPr>
          <w:rFonts w:ascii="Verdana" w:eastAsia="Times New Roman" w:hAnsi="Verdana" w:cs="Times New Roman"/>
          <w:lang w:eastAsia="es-MX"/>
        </w:rPr>
        <w:t xml:space="preserve"> y el contrato de la empresa con el municipio estaría viciado de nulidad absoluta. </w:t>
      </w:r>
    </w:p>
    <w:p w14:paraId="29D68A4D" w14:textId="5C02476E" w:rsidR="00AB3CE9" w:rsidRPr="00AB3CE9" w:rsidRDefault="00AB3CE9" w:rsidP="00AB3CE9">
      <w:pPr>
        <w:spacing w:after="120" w:line="276" w:lineRule="auto"/>
        <w:ind w:firstLine="708"/>
        <w:jc w:val="both"/>
        <w:rPr>
          <w:rFonts w:ascii="Verdana" w:hAnsi="Verdana"/>
        </w:rPr>
      </w:pPr>
      <w:r w:rsidRPr="005E35C1">
        <w:rPr>
          <w:rFonts w:ascii="Verdana" w:hAnsi="Verdana"/>
        </w:rPr>
        <w:t xml:space="preserve">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w:t>
      </w:r>
      <w:r w:rsidRPr="005E35C1">
        <w:rPr>
          <w:rFonts w:ascii="Verdana" w:hAnsi="Verdana"/>
        </w:rPr>
        <w:lastRenderedPageBreak/>
        <w:t>decisión y, en caso de conflicto, a las autoridades judiciales, fiscales y disciplinarias.</w:t>
      </w:r>
    </w:p>
    <w:p w14:paraId="53F38137" w14:textId="77777777" w:rsidR="00871B59" w:rsidRPr="00B379B2" w:rsidRDefault="00871B59" w:rsidP="00D32DB2">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B379B2">
        <w:rPr>
          <w:rFonts w:ascii="Verdana" w:eastAsia="Century Gothic" w:hAnsi="Verdana" w:cs="Century Gothic"/>
          <w:b/>
          <w:bCs/>
          <w:lang w:val="es-ES"/>
        </w:rPr>
        <w:t>Referencias normativas, jurisprudenciales y otras fuentes:</w:t>
      </w:r>
    </w:p>
    <w:p w14:paraId="3FB0ED2D" w14:textId="77777777" w:rsidR="00871B59" w:rsidRPr="00B379B2" w:rsidRDefault="00871B59" w:rsidP="00D32DB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B379B2" w14:paraId="17051493" w14:textId="77777777" w:rsidTr="002607A7">
        <w:trPr>
          <w:trHeight w:val="870"/>
        </w:trPr>
        <w:tc>
          <w:tcPr>
            <w:tcW w:w="8647" w:type="dxa"/>
          </w:tcPr>
          <w:p w14:paraId="725C1756" w14:textId="77777777" w:rsidR="00AB3CE9" w:rsidRPr="005C5984" w:rsidRDefault="00AB3CE9" w:rsidP="00AB3CE9">
            <w:pPr>
              <w:pStyle w:val="Prrafodelista"/>
              <w:widowControl w:val="0"/>
              <w:numPr>
                <w:ilvl w:val="0"/>
                <w:numId w:val="8"/>
              </w:numPr>
              <w:autoSpaceDE w:val="0"/>
              <w:autoSpaceDN w:val="0"/>
              <w:spacing w:after="120" w:line="276" w:lineRule="auto"/>
              <w:jc w:val="both"/>
              <w:rPr>
                <w:rFonts w:ascii="Verdana" w:hAnsi="Verdana" w:cs="Arial"/>
              </w:rPr>
            </w:pPr>
            <w:r w:rsidRPr="005C5984">
              <w:rPr>
                <w:rFonts w:ascii="Verdana" w:hAnsi="Verdana" w:cs="Arial"/>
              </w:rPr>
              <w:t>Constitución Política</w:t>
            </w:r>
            <w:r>
              <w:rPr>
                <w:rFonts w:ascii="Verdana" w:hAnsi="Verdana" w:cs="Arial"/>
              </w:rPr>
              <w:t>.</w:t>
            </w:r>
            <w:r w:rsidRPr="005C5984">
              <w:rPr>
                <w:rFonts w:ascii="Verdana" w:hAnsi="Verdana" w:cs="Arial"/>
              </w:rPr>
              <w:t xml:space="preserve"> artículo 209</w:t>
            </w:r>
            <w:r>
              <w:rPr>
                <w:rFonts w:ascii="Verdana" w:hAnsi="Verdana" w:cs="Arial"/>
              </w:rPr>
              <w:t>.</w:t>
            </w:r>
          </w:p>
          <w:p w14:paraId="51F8292A" w14:textId="77777777" w:rsidR="00AB3CE9" w:rsidRPr="005C5984" w:rsidRDefault="00AB3CE9" w:rsidP="00AB3CE9">
            <w:pPr>
              <w:pStyle w:val="Prrafodelista"/>
              <w:widowControl w:val="0"/>
              <w:numPr>
                <w:ilvl w:val="0"/>
                <w:numId w:val="8"/>
              </w:numPr>
              <w:autoSpaceDE w:val="0"/>
              <w:autoSpaceDN w:val="0"/>
              <w:spacing w:after="120" w:line="276" w:lineRule="auto"/>
              <w:jc w:val="both"/>
              <w:rPr>
                <w:rFonts w:ascii="Verdana" w:hAnsi="Verdana" w:cs="Arial"/>
              </w:rPr>
            </w:pPr>
            <w:r w:rsidRPr="005C5984">
              <w:rPr>
                <w:rFonts w:ascii="Verdana" w:hAnsi="Verdana" w:cs="Arial"/>
              </w:rPr>
              <w:t>Ley 80 de 1993</w:t>
            </w:r>
            <w:r>
              <w:rPr>
                <w:rFonts w:ascii="Verdana" w:hAnsi="Verdana" w:cs="Arial"/>
              </w:rPr>
              <w:t>:</w:t>
            </w:r>
            <w:r w:rsidRPr="005C5984">
              <w:rPr>
                <w:rFonts w:ascii="Verdana" w:hAnsi="Verdana" w:cs="Arial"/>
              </w:rPr>
              <w:t xml:space="preserve"> artículo</w:t>
            </w:r>
            <w:r>
              <w:rPr>
                <w:rFonts w:ascii="Verdana" w:hAnsi="Verdana" w:cs="Arial"/>
              </w:rPr>
              <w:t xml:space="preserve">s 8 y </w:t>
            </w:r>
            <w:r w:rsidRPr="005C5984">
              <w:rPr>
                <w:rFonts w:ascii="Verdana" w:hAnsi="Verdana" w:cs="Arial"/>
              </w:rPr>
              <w:t>9.</w:t>
            </w:r>
          </w:p>
          <w:p w14:paraId="385011E4" w14:textId="77777777" w:rsidR="00AB3CE9" w:rsidRDefault="00AB3CE9" w:rsidP="00AB3CE9">
            <w:pPr>
              <w:pStyle w:val="Prrafodelista"/>
              <w:widowControl w:val="0"/>
              <w:numPr>
                <w:ilvl w:val="0"/>
                <w:numId w:val="8"/>
              </w:numPr>
              <w:autoSpaceDE w:val="0"/>
              <w:autoSpaceDN w:val="0"/>
              <w:spacing w:after="120" w:line="276" w:lineRule="auto"/>
              <w:jc w:val="both"/>
              <w:rPr>
                <w:rFonts w:ascii="Verdana" w:hAnsi="Verdana" w:cs="Arial"/>
              </w:rPr>
            </w:pPr>
            <w:r w:rsidRPr="005C5984">
              <w:rPr>
                <w:rFonts w:ascii="Verdana" w:hAnsi="Verdana" w:cs="Arial"/>
              </w:rPr>
              <w:t>Ley 1474 de 2011</w:t>
            </w:r>
            <w:r>
              <w:rPr>
                <w:rFonts w:ascii="Verdana" w:hAnsi="Verdana" w:cs="Arial"/>
              </w:rPr>
              <w:t>:</w:t>
            </w:r>
            <w:r w:rsidRPr="005C5984">
              <w:rPr>
                <w:rFonts w:ascii="Verdana" w:hAnsi="Verdana" w:cs="Arial"/>
              </w:rPr>
              <w:t xml:space="preserve"> artículo 5</w:t>
            </w:r>
            <w:r>
              <w:rPr>
                <w:rFonts w:ascii="Verdana" w:hAnsi="Verdana" w:cs="Arial"/>
              </w:rPr>
              <w:t>.</w:t>
            </w:r>
          </w:p>
          <w:p w14:paraId="4DFDB207" w14:textId="1709E89B" w:rsidR="00AB3CE9" w:rsidRDefault="00AB3CE9" w:rsidP="00AB3CE9">
            <w:pPr>
              <w:pStyle w:val="Prrafodelista"/>
              <w:widowControl w:val="0"/>
              <w:numPr>
                <w:ilvl w:val="0"/>
                <w:numId w:val="8"/>
              </w:numPr>
              <w:autoSpaceDE w:val="0"/>
              <w:autoSpaceDN w:val="0"/>
              <w:spacing w:after="120" w:line="276" w:lineRule="auto"/>
              <w:jc w:val="both"/>
              <w:rPr>
                <w:rFonts w:ascii="Verdana" w:hAnsi="Verdana" w:cs="Arial"/>
              </w:rPr>
            </w:pPr>
            <w:r w:rsidRPr="00616AD8">
              <w:rPr>
                <w:rFonts w:ascii="Verdana" w:hAnsi="Verdana"/>
              </w:rPr>
              <w:t>Ley 1148 de 2007</w:t>
            </w:r>
            <w:r>
              <w:rPr>
                <w:rFonts w:ascii="Verdana" w:hAnsi="Verdana"/>
              </w:rPr>
              <w:t>: artículo 1</w:t>
            </w:r>
          </w:p>
          <w:p w14:paraId="72CB254D" w14:textId="77777777" w:rsidR="00AB3CE9" w:rsidRPr="005C5984" w:rsidRDefault="00AB3CE9" w:rsidP="00AB3CE9">
            <w:pPr>
              <w:pStyle w:val="Prrafodelista"/>
              <w:widowControl w:val="0"/>
              <w:numPr>
                <w:ilvl w:val="0"/>
                <w:numId w:val="8"/>
              </w:numPr>
              <w:autoSpaceDE w:val="0"/>
              <w:autoSpaceDN w:val="0"/>
              <w:spacing w:after="120" w:line="276" w:lineRule="auto"/>
              <w:jc w:val="both"/>
              <w:rPr>
                <w:rFonts w:ascii="Verdana" w:hAnsi="Verdana" w:cs="Arial"/>
              </w:rPr>
            </w:pPr>
            <w:r>
              <w:rPr>
                <w:rFonts w:ascii="Verdana" w:hAnsi="Verdana" w:cs="Arial"/>
              </w:rPr>
              <w:t xml:space="preserve">Decreto 1082 de 2015 </w:t>
            </w:r>
            <w:r w:rsidRPr="00274E10">
              <w:rPr>
                <w:rFonts w:ascii="Verdana" w:eastAsia="Calibri" w:hAnsi="Verdana" w:cs="Arial"/>
              </w:rPr>
              <w:t>artículo 2.2.1.1.1.5.2</w:t>
            </w:r>
            <w:r>
              <w:rPr>
                <w:rFonts w:ascii="Verdana" w:eastAsia="Calibri" w:hAnsi="Verdana" w:cs="Arial"/>
              </w:rPr>
              <w:t>.</w:t>
            </w:r>
          </w:p>
          <w:p w14:paraId="7662F421" w14:textId="77777777" w:rsidR="00AB3CE9" w:rsidRPr="005C5984" w:rsidRDefault="00AB3CE9" w:rsidP="00AB3CE9">
            <w:pPr>
              <w:pStyle w:val="Prrafodelista"/>
              <w:widowControl w:val="0"/>
              <w:numPr>
                <w:ilvl w:val="0"/>
                <w:numId w:val="8"/>
              </w:numPr>
              <w:autoSpaceDE w:val="0"/>
              <w:autoSpaceDN w:val="0"/>
              <w:spacing w:after="120" w:line="276" w:lineRule="auto"/>
              <w:jc w:val="both"/>
              <w:rPr>
                <w:rFonts w:ascii="Verdana" w:hAnsi="Verdana" w:cs="Arial"/>
              </w:rPr>
            </w:pPr>
            <w:r w:rsidRPr="005C5984">
              <w:rPr>
                <w:rFonts w:ascii="Verdana" w:hAnsi="Verdana" w:cs="Arial"/>
              </w:rPr>
              <w:t>Corte Constitucional. Sentencia T-1039 de 2006</w:t>
            </w:r>
          </w:p>
          <w:p w14:paraId="4A5E1980" w14:textId="4D3C8B40" w:rsidR="00871B59" w:rsidRPr="00B379B2" w:rsidRDefault="00AB3CE9" w:rsidP="00AB3CE9">
            <w:pPr>
              <w:pStyle w:val="Prrafodelista"/>
              <w:widowControl w:val="0"/>
              <w:numPr>
                <w:ilvl w:val="0"/>
                <w:numId w:val="8"/>
              </w:numPr>
              <w:autoSpaceDE w:val="0"/>
              <w:autoSpaceDN w:val="0"/>
              <w:spacing w:after="120" w:line="276" w:lineRule="auto"/>
              <w:jc w:val="both"/>
              <w:rPr>
                <w:rFonts w:ascii="Verdana" w:hAnsi="Verdana" w:cs="Arial"/>
              </w:rPr>
            </w:pPr>
            <w:r w:rsidRPr="005C5984">
              <w:rPr>
                <w:rFonts w:ascii="Verdana" w:hAnsi="Verdana" w:cs="Arial"/>
              </w:rPr>
              <w:t>Corte Constitucional. Sentencia C-780 de 2001. M.P. Jaime Córdoba Triviño</w:t>
            </w:r>
          </w:p>
        </w:tc>
      </w:tr>
    </w:tbl>
    <w:p w14:paraId="38F31369" w14:textId="77777777" w:rsidR="00871B59" w:rsidRPr="00B379B2" w:rsidRDefault="00871B59" w:rsidP="00871B59">
      <w:pPr>
        <w:widowControl w:val="0"/>
        <w:autoSpaceDE w:val="0"/>
        <w:autoSpaceDN w:val="0"/>
        <w:spacing w:after="0" w:line="276" w:lineRule="auto"/>
        <w:jc w:val="both"/>
        <w:rPr>
          <w:rFonts w:ascii="Verdana" w:hAnsi="Verdana" w:cs="Arial"/>
        </w:rPr>
      </w:pPr>
    </w:p>
    <w:p w14:paraId="603C6BF9" w14:textId="77777777" w:rsidR="00871B59" w:rsidRPr="00B379B2"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B379B2">
        <w:rPr>
          <w:rFonts w:ascii="Verdana" w:eastAsia="Century Gothic" w:hAnsi="Verdana" w:cs="Century Gothic"/>
          <w:b/>
          <w:bCs/>
          <w:lang w:val="es-ES"/>
        </w:rPr>
        <w:t>Doctrina de la Agencia Nacional de Contratación Pública:</w:t>
      </w:r>
    </w:p>
    <w:p w14:paraId="237667DB" w14:textId="77777777" w:rsidR="00AB3CE9" w:rsidRDefault="00AB3CE9" w:rsidP="00871B59">
      <w:pPr>
        <w:widowControl w:val="0"/>
        <w:autoSpaceDE w:val="0"/>
        <w:autoSpaceDN w:val="0"/>
        <w:spacing w:after="0" w:line="276" w:lineRule="auto"/>
        <w:jc w:val="both"/>
        <w:rPr>
          <w:rFonts w:ascii="Verdana" w:hAnsi="Verdana" w:cs="Arial"/>
        </w:rPr>
      </w:pPr>
    </w:p>
    <w:p w14:paraId="107B0458" w14:textId="77777777" w:rsidR="00AB3CE9" w:rsidRPr="00445C26" w:rsidRDefault="00AB3CE9" w:rsidP="00AB3CE9">
      <w:pPr>
        <w:widowControl w:val="0"/>
        <w:autoSpaceDE w:val="0"/>
        <w:autoSpaceDN w:val="0"/>
        <w:spacing w:after="0" w:line="276" w:lineRule="auto"/>
        <w:jc w:val="both"/>
        <w:rPr>
          <w:rStyle w:val="normaltextrun"/>
          <w:rFonts w:ascii="Verdana" w:hAnsi="Verdana" w:cs="Arial"/>
          <w:shd w:val="clear" w:color="auto" w:fill="FFFFFF"/>
          <w:lang w:val="es-ES"/>
        </w:rPr>
      </w:pPr>
      <w:r>
        <w:rPr>
          <w:rFonts w:ascii="Verdana" w:hAnsi="Verdana" w:cs="Arial"/>
        </w:rPr>
        <w:t xml:space="preserve">Sobre el ámbito de las inhabilidades e incompatibilidades en la contratación pública, se pronunció esta Subdirección en los conceptos </w:t>
      </w:r>
      <w:r w:rsidRPr="00B34B2C">
        <w:rPr>
          <w:rStyle w:val="normaltextrun"/>
          <w:rFonts w:ascii="Verdana" w:hAnsi="Verdana" w:cs="Arial"/>
          <w:shd w:val="clear" w:color="auto" w:fill="FFFFFF"/>
          <w:lang w:val="es-ES"/>
        </w:rPr>
        <w:t>C-090 del 24 de febrero de 2020, C-125 del 3 de marzo de 2020, C-157 del 17 de marzo de 2020, C-273 del 21 de mayo de 2020, C-402 del 26 de junio de 2020, C-386 del 24 de julio de 2020, C-701 del 6 de enero de 2021, C-004 del 12 de febrero de 2021, C-210 del 12 de mayo de 2021, C-275 del 11 de junio de 2021, C-449 del 31 de agosto de 2021, C-028 del 28 de febrero de 2022, C-318 del</w:t>
      </w:r>
      <w:r>
        <w:rPr>
          <w:rStyle w:val="normaltextrun"/>
          <w:rFonts w:ascii="Verdana" w:hAnsi="Verdana" w:cs="Arial"/>
          <w:shd w:val="clear" w:color="auto" w:fill="FFFFFF"/>
          <w:lang w:val="es-ES"/>
        </w:rPr>
        <w:t xml:space="preserve"> </w:t>
      </w:r>
      <w:r w:rsidRPr="00B34B2C">
        <w:rPr>
          <w:rStyle w:val="normaltextrun"/>
          <w:rFonts w:ascii="Verdana" w:hAnsi="Verdana" w:cs="Arial"/>
          <w:shd w:val="clear" w:color="auto" w:fill="FFFFFF"/>
          <w:lang w:val="es-ES"/>
        </w:rPr>
        <w:t>18 de mayo de 2022, C-252 del 30 de mayo de 2022, C-619 del 27 de septiembre de 2022, C-731 de 10 de noviembre de 2022, C-059 de 13 de junio de 2023, C-289 del 15 de agosto de 2023</w:t>
      </w:r>
      <w:r>
        <w:rPr>
          <w:rStyle w:val="normaltextrun"/>
          <w:rFonts w:ascii="Verdana" w:hAnsi="Verdana" w:cs="Arial"/>
          <w:shd w:val="clear" w:color="auto" w:fill="FFFFFF"/>
          <w:lang w:val="es-ES"/>
        </w:rPr>
        <w:t>, C-827 de 2025, C-916 de 2025,</w:t>
      </w:r>
      <w:r>
        <w:rPr>
          <w:rStyle w:val="normaltextrun"/>
          <w:rFonts w:ascii="Verdana" w:hAnsi="Verdana" w:cs="Arial"/>
          <w:color w:val="000000" w:themeColor="text1"/>
          <w:shd w:val="clear" w:color="auto" w:fill="FFFFFF"/>
          <w:lang w:val="es-ES"/>
        </w:rPr>
        <w:t xml:space="preserve"> </w:t>
      </w:r>
      <w:r w:rsidRPr="00E84F1D">
        <w:rPr>
          <w:rStyle w:val="normaltextrun"/>
          <w:rFonts w:ascii="Verdana" w:hAnsi="Verdana" w:cs="Arial"/>
          <w:color w:val="000000" w:themeColor="text1"/>
          <w:shd w:val="clear" w:color="auto" w:fill="FFFFFF"/>
          <w:lang w:val="es-ES"/>
        </w:rPr>
        <w:t>entre otros. Es</w:t>
      </w:r>
      <w:r w:rsidRPr="00E84F1D">
        <w:rPr>
          <w:rFonts w:ascii="Verdana" w:hAnsi="Verdana"/>
          <w:color w:val="000000" w:themeColor="text1"/>
        </w:rPr>
        <w:t xml:space="preserve">tos y otros </w:t>
      </w:r>
      <w:r w:rsidRPr="00A1554D">
        <w:rPr>
          <w:rFonts w:ascii="Verdana" w:hAnsi="Verdana"/>
        </w:rPr>
        <w:t xml:space="preserve">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A1554D">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5A6257E5" w14:textId="77777777" w:rsidR="00AB3CE9" w:rsidRDefault="00AB3CE9" w:rsidP="00AB3CE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9D2C150" w14:textId="3AD778F4" w:rsidR="00AB3CE9" w:rsidRDefault="00AB3CE9" w:rsidP="00AB3CE9">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 xml:space="preserve">También, </w:t>
      </w:r>
      <w:r>
        <w:rPr>
          <w:rFonts w:ascii="Verdana" w:hAnsi="Verdana" w:cs="Arial"/>
          <w:color w:val="000000" w:themeColor="text1"/>
          <w:shd w:val="clear" w:color="auto" w:fill="FFFFFF"/>
        </w:rPr>
        <w:t xml:space="preserve">le </w:t>
      </w:r>
      <w:r w:rsidRPr="00505CD6">
        <w:rPr>
          <w:rFonts w:ascii="Verdana" w:hAnsi="Verdana" w:cs="Arial"/>
          <w:color w:val="000000" w:themeColor="text1"/>
          <w:shd w:val="clear" w:color="auto" w:fill="FFFFFF"/>
        </w:rPr>
        <w:t>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xml:space="preserve">. Esta guía es un instrumento clave para integrar buenas prácticas en la contratación estatal, promoviendo los Objetivos de Desarrollo Sostenible (ODS) a través de criterios y obligaciones </w:t>
      </w:r>
      <w:r w:rsidRPr="00505CD6">
        <w:rPr>
          <w:rFonts w:ascii="Verdana" w:hAnsi="Verdana" w:cs="Arial"/>
          <w:color w:val="000000" w:themeColor="text1"/>
          <w:shd w:val="clear" w:color="auto" w:fill="FFFFFF"/>
        </w:rPr>
        <w:lastRenderedPageBreak/>
        <w:t>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B29FE">
        <w:rPr>
          <w:rFonts w:ascii="Verdana" w:hAnsi="Verdana"/>
        </w:rPr>
        <w:t>.</w:t>
      </w:r>
    </w:p>
    <w:p w14:paraId="26E252CA" w14:textId="77777777" w:rsidR="00AB3CE9" w:rsidRPr="00B379B2" w:rsidRDefault="00AB3CE9" w:rsidP="00AB3CE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B379B2">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B379B2">
        <w:rPr>
          <w:rStyle w:val="normaltextrun"/>
          <w:rFonts w:ascii="Verdana" w:hAnsi="Verdana" w:cs="Arial"/>
          <w:color w:val="FF0000"/>
          <w:shd w:val="clear" w:color="auto" w:fill="FFFFFF"/>
          <w:lang w:val="es-ES"/>
        </w:rPr>
        <w:t xml:space="preserve"> </w:t>
      </w:r>
      <w:hyperlink r:id="rId15" w:history="1">
        <w:r w:rsidRPr="00B379B2">
          <w:rPr>
            <w:rStyle w:val="Hipervnculo"/>
            <w:rFonts w:ascii="Verdana" w:hAnsi="Verdana" w:cs="Arial"/>
            <w:shd w:val="clear" w:color="auto" w:fill="FFFFFF"/>
            <w:lang w:val="es-ES"/>
          </w:rPr>
          <w:t>https://www.colombiacompra.gov.co/sala-de-prensa/boletin-digital</w:t>
        </w:r>
      </w:hyperlink>
      <w:r w:rsidRPr="00B379B2">
        <w:rPr>
          <w:rStyle w:val="normaltextrun"/>
          <w:rFonts w:ascii="Verdana" w:hAnsi="Verdana" w:cs="Arial"/>
          <w:color w:val="FF0000"/>
          <w:shd w:val="clear" w:color="auto" w:fill="FFFFFF"/>
          <w:lang w:val="es-ES"/>
        </w:rPr>
        <w:t xml:space="preserve">      </w:t>
      </w:r>
    </w:p>
    <w:p w14:paraId="538EDBA9" w14:textId="77777777" w:rsidR="00AB3CE9" w:rsidRPr="00B379B2" w:rsidRDefault="00AB3CE9" w:rsidP="00AB3CE9">
      <w:pPr>
        <w:spacing w:after="0" w:line="240" w:lineRule="auto"/>
        <w:jc w:val="both"/>
        <w:rPr>
          <w:rFonts w:ascii="Verdana" w:hAnsi="Verdana"/>
        </w:rPr>
      </w:pPr>
      <w:r w:rsidRPr="00B379B2">
        <w:rPr>
          <w:rFonts w:ascii="Verdana" w:hAnsi="Verdana"/>
        </w:rPr>
        <w:t xml:space="preserve">Por último, lo invitamos a seguirnos en las redes sociales en las cuales se difunde información institucional: </w:t>
      </w:r>
    </w:p>
    <w:p w14:paraId="2A8DB8CA" w14:textId="77777777" w:rsidR="00AB3CE9" w:rsidRPr="00B379B2" w:rsidRDefault="00AB3CE9" w:rsidP="00AB3CE9">
      <w:pPr>
        <w:spacing w:after="0" w:line="240" w:lineRule="auto"/>
        <w:jc w:val="both"/>
        <w:rPr>
          <w:rFonts w:ascii="Verdana" w:hAnsi="Verdana"/>
        </w:rPr>
      </w:pPr>
    </w:p>
    <w:p w14:paraId="19F6E16C" w14:textId="77777777" w:rsidR="00AB3CE9" w:rsidRPr="00B379B2" w:rsidRDefault="00AB3CE9" w:rsidP="00AB3CE9">
      <w:pPr>
        <w:spacing w:after="0" w:line="240" w:lineRule="auto"/>
        <w:jc w:val="both"/>
        <w:rPr>
          <w:rFonts w:ascii="Verdana" w:hAnsi="Verdana"/>
        </w:rPr>
      </w:pPr>
      <w:r w:rsidRPr="00B379B2">
        <w:rPr>
          <w:rFonts w:ascii="Verdana" w:hAnsi="Verdana"/>
        </w:rPr>
        <w:t xml:space="preserve">Twitter: </w:t>
      </w:r>
      <w:r w:rsidRPr="00B379B2">
        <w:rPr>
          <w:rStyle w:val="Hipervnculo"/>
          <w:rFonts w:ascii="Verdana" w:hAnsi="Verdana"/>
          <w:color w:val="4472C4" w:themeColor="accent1"/>
        </w:rPr>
        <w:t>@colombiacompra</w:t>
      </w:r>
      <w:r w:rsidRPr="00B379B2">
        <w:rPr>
          <w:rFonts w:ascii="Verdana" w:hAnsi="Verdana"/>
          <w:color w:val="4472C4" w:themeColor="accent1"/>
        </w:rPr>
        <w:t xml:space="preserve"> </w:t>
      </w:r>
    </w:p>
    <w:p w14:paraId="2F329D04" w14:textId="77777777" w:rsidR="00AB3CE9" w:rsidRPr="00B379B2" w:rsidRDefault="00AB3CE9" w:rsidP="00AB3CE9">
      <w:pPr>
        <w:spacing w:after="0" w:line="240" w:lineRule="auto"/>
        <w:jc w:val="both"/>
        <w:rPr>
          <w:rFonts w:ascii="Verdana" w:hAnsi="Verdana"/>
        </w:rPr>
      </w:pPr>
      <w:r w:rsidRPr="00B379B2">
        <w:rPr>
          <w:rFonts w:ascii="Verdana" w:hAnsi="Verdana"/>
        </w:rPr>
        <w:t xml:space="preserve">Facebook: </w:t>
      </w:r>
      <w:proofErr w:type="spellStart"/>
      <w:r w:rsidRPr="00B379B2">
        <w:rPr>
          <w:rStyle w:val="Hipervnculo"/>
          <w:rFonts w:ascii="Verdana" w:hAnsi="Verdana"/>
          <w:color w:val="4472C4" w:themeColor="accent1"/>
        </w:rPr>
        <w:t>ColombiaCompraEficiente</w:t>
      </w:r>
      <w:proofErr w:type="spellEnd"/>
    </w:p>
    <w:p w14:paraId="43BE5F72" w14:textId="77777777" w:rsidR="00AB3CE9" w:rsidRPr="00B379B2" w:rsidRDefault="00AB3CE9" w:rsidP="00AB3CE9">
      <w:pPr>
        <w:spacing w:after="0" w:line="240" w:lineRule="auto"/>
        <w:jc w:val="both"/>
        <w:rPr>
          <w:rFonts w:ascii="Verdana" w:hAnsi="Verdana"/>
        </w:rPr>
      </w:pPr>
      <w:r w:rsidRPr="00B379B2">
        <w:rPr>
          <w:rFonts w:ascii="Verdana" w:hAnsi="Verdana"/>
        </w:rPr>
        <w:t xml:space="preserve">LinkedIn: </w:t>
      </w:r>
      <w:r w:rsidRPr="00B379B2">
        <w:rPr>
          <w:rStyle w:val="Hipervnculo"/>
          <w:rFonts w:ascii="Verdana" w:hAnsi="Verdana"/>
          <w:color w:val="4472C4" w:themeColor="accent1"/>
        </w:rPr>
        <w:t>Agencia Nacional de Contratación Pública - Colombia Compra Eficiente</w:t>
      </w:r>
      <w:r w:rsidRPr="00B379B2">
        <w:rPr>
          <w:rFonts w:ascii="Verdana" w:hAnsi="Verdana"/>
          <w:color w:val="4472C4" w:themeColor="accent1"/>
        </w:rPr>
        <w:t xml:space="preserve"> </w:t>
      </w:r>
      <w:r w:rsidRPr="00B379B2">
        <w:rPr>
          <w:rFonts w:ascii="Verdana" w:hAnsi="Verdana"/>
        </w:rPr>
        <w:t xml:space="preserve">Instagram: </w:t>
      </w:r>
      <w:r w:rsidRPr="00B379B2">
        <w:rPr>
          <w:rStyle w:val="Hipervnculo"/>
          <w:rFonts w:ascii="Verdana" w:hAnsi="Verdana"/>
          <w:color w:val="4472C4" w:themeColor="accent1"/>
        </w:rPr>
        <w:t>@colombiacompraeficiente_cce</w:t>
      </w:r>
    </w:p>
    <w:p w14:paraId="79606CB5" w14:textId="77777777" w:rsidR="00AB3CE9" w:rsidRPr="00B379B2" w:rsidRDefault="00AB3CE9" w:rsidP="00AB3CE9">
      <w:pPr>
        <w:widowControl w:val="0"/>
        <w:autoSpaceDE w:val="0"/>
        <w:autoSpaceDN w:val="0"/>
        <w:spacing w:after="0" w:line="276" w:lineRule="auto"/>
        <w:jc w:val="both"/>
        <w:rPr>
          <w:rFonts w:ascii="Verdana" w:hAnsi="Verdana" w:cs="Arial"/>
        </w:rPr>
      </w:pPr>
    </w:p>
    <w:p w14:paraId="033742DC" w14:textId="77777777" w:rsidR="00AB3CE9" w:rsidRPr="00B379B2" w:rsidRDefault="00AB3CE9" w:rsidP="00AB3CE9">
      <w:pPr>
        <w:widowControl w:val="0"/>
        <w:autoSpaceDE w:val="0"/>
        <w:autoSpaceDN w:val="0"/>
        <w:spacing w:after="0" w:line="276" w:lineRule="auto"/>
        <w:jc w:val="both"/>
        <w:rPr>
          <w:rFonts w:ascii="Verdana" w:hAnsi="Verdana" w:cs="Arial"/>
          <w:lang w:val="es-ES_tradnl"/>
        </w:rPr>
      </w:pPr>
      <w:r w:rsidRPr="00B379B2">
        <w:rPr>
          <w:rFonts w:ascii="Verdana" w:hAnsi="Verdana" w:cs="Arial"/>
        </w:rPr>
        <w:t xml:space="preserve">Este concepto tiene el alcance previsto en el artículo 28 del Código de Procedimiento Administrativo y de lo Contencioso Administrativo </w:t>
      </w:r>
      <w:r w:rsidRPr="00B379B2">
        <w:rPr>
          <w:rFonts w:ascii="Verdana" w:hAnsi="Verdana" w:cs="Arial"/>
          <w:lang w:val="es-ES_tradnl"/>
        </w:rPr>
        <w:t>y las expresiones aquí utilizadas con mayúscula inicial deben ser entendidas con el significado que les otorga el artículo 2.2.1.1.1.3.1. del Decreto 1082 de 2015.</w:t>
      </w:r>
    </w:p>
    <w:p w14:paraId="7A0CA2FF" w14:textId="77777777" w:rsidR="00AB3CE9" w:rsidRPr="00B379B2" w:rsidRDefault="00AB3CE9" w:rsidP="00AB3CE9">
      <w:pPr>
        <w:widowControl w:val="0"/>
        <w:autoSpaceDE w:val="0"/>
        <w:autoSpaceDN w:val="0"/>
        <w:spacing w:after="0" w:line="276" w:lineRule="auto"/>
        <w:jc w:val="both"/>
        <w:rPr>
          <w:rFonts w:ascii="Verdana" w:hAnsi="Verdana" w:cs="Arial"/>
        </w:rPr>
      </w:pPr>
    </w:p>
    <w:p w14:paraId="51D60FDE" w14:textId="77777777" w:rsidR="00AB3CE9" w:rsidRPr="00B379B2" w:rsidRDefault="00AB3CE9" w:rsidP="00AB3CE9">
      <w:pPr>
        <w:spacing w:after="0" w:line="240" w:lineRule="auto"/>
        <w:rPr>
          <w:rFonts w:ascii="Verdana" w:hAnsi="Verdana" w:cs="Arial"/>
          <w:lang w:eastAsia="es-CO"/>
        </w:rPr>
      </w:pPr>
      <w:r w:rsidRPr="00B379B2">
        <w:rPr>
          <w:rFonts w:ascii="Verdana" w:eastAsia="Times New Roman" w:hAnsi="Verdana" w:cs="Arial"/>
          <w:lang w:eastAsia="es-CO"/>
        </w:rPr>
        <w:t>Atentamente,</w:t>
      </w:r>
      <w:r w:rsidRPr="00B379B2">
        <w:rPr>
          <w:rFonts w:ascii="Verdana" w:hAnsi="Verdana" w:cs="Arial"/>
          <w:lang w:eastAsia="es-CO"/>
        </w:rPr>
        <w:t xml:space="preserve"> </w:t>
      </w:r>
    </w:p>
    <w:p w14:paraId="1C2B9264" w14:textId="0CEEB0F8" w:rsidR="00AB3CE9" w:rsidRPr="00B379B2" w:rsidRDefault="001B0700" w:rsidP="00AB3CE9">
      <w:pPr>
        <w:spacing w:line="276" w:lineRule="auto"/>
        <w:jc w:val="center"/>
        <w:rPr>
          <w:rFonts w:ascii="Verdana" w:hAnsi="Verdana" w:cs="Arial"/>
          <w:color w:val="000000"/>
          <w:lang w:val="es-ES_tradnl" w:eastAsia="es-CO"/>
        </w:rPr>
      </w:pPr>
      <w:r w:rsidRPr="00083C07">
        <w:rPr>
          <w:rFonts w:cs="Arial"/>
          <w:noProof/>
          <w:color w:val="000000"/>
          <w:lang w:eastAsia="es-CO"/>
        </w:rPr>
        <w:drawing>
          <wp:inline distT="0" distB="0" distL="0" distR="0" wp14:anchorId="3C07CE78" wp14:editId="1288AA29">
            <wp:extent cx="3771900" cy="1400175"/>
            <wp:effectExtent l="0" t="0" r="0" b="9525"/>
            <wp:docPr id="206969429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4F7DC458" w14:textId="77777777" w:rsidR="00AB3CE9" w:rsidRPr="001B29FE" w:rsidRDefault="00AB3CE9" w:rsidP="00AB3CE9">
      <w:pPr>
        <w:widowControl w:val="0"/>
        <w:autoSpaceDE w:val="0"/>
        <w:autoSpaceDN w:val="0"/>
        <w:spacing w:after="0" w:line="276" w:lineRule="auto"/>
        <w:jc w:val="both"/>
        <w:rPr>
          <w:rFonts w:ascii="Verdana" w:hAnsi="Verdana"/>
        </w:rPr>
      </w:pPr>
    </w:p>
    <w:p w14:paraId="754EDAB9" w14:textId="77777777" w:rsidR="00AB3CE9" w:rsidRPr="001B29FE" w:rsidRDefault="00AB3CE9" w:rsidP="00AB3CE9">
      <w:pPr>
        <w:widowControl w:val="0"/>
        <w:autoSpaceDE w:val="0"/>
        <w:autoSpaceDN w:val="0"/>
        <w:spacing w:after="0" w:line="276" w:lineRule="auto"/>
        <w:jc w:val="both"/>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B3CE9" w:rsidRPr="00AB3CE9" w14:paraId="7C597F27" w14:textId="77777777" w:rsidTr="0086642C">
        <w:trPr>
          <w:trHeight w:val="315"/>
        </w:trPr>
        <w:tc>
          <w:tcPr>
            <w:tcW w:w="893" w:type="dxa"/>
            <w:vAlign w:val="center"/>
            <w:hideMark/>
          </w:tcPr>
          <w:p w14:paraId="1A878779" w14:textId="77777777" w:rsidR="00AB3CE9" w:rsidRPr="00AB3CE9" w:rsidRDefault="00AB3CE9" w:rsidP="0086642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C64E5D4" w14:textId="77777777" w:rsidR="00AB3CE9" w:rsidRPr="00AB3CE9" w:rsidRDefault="00AB3CE9" w:rsidP="0086642C">
            <w:pPr>
              <w:spacing w:line="276" w:lineRule="auto"/>
              <w:contextualSpacing/>
              <w:rPr>
                <w:rStyle w:val="normaltextrun"/>
                <w:rFonts w:ascii="Verdana" w:eastAsia="Arial" w:hAnsi="Verdana" w:cs="Arial"/>
                <w:sz w:val="16"/>
                <w:szCs w:val="16"/>
              </w:rPr>
            </w:pPr>
            <w:r w:rsidRPr="00AB3CE9">
              <w:rPr>
                <w:rStyle w:val="normaltextrun"/>
                <w:rFonts w:ascii="Verdana" w:eastAsia="Arial" w:hAnsi="Verdana" w:cs="Arial"/>
                <w:sz w:val="16"/>
                <w:szCs w:val="16"/>
              </w:rPr>
              <w:t>Andrea del Pilar Garzón Sánchez.</w:t>
            </w:r>
          </w:p>
          <w:p w14:paraId="25D1CAB0" w14:textId="77777777" w:rsidR="00AB3CE9" w:rsidRPr="00AB3CE9" w:rsidRDefault="00AB3CE9" w:rsidP="0086642C">
            <w:pPr>
              <w:spacing w:line="276" w:lineRule="auto"/>
              <w:contextualSpacing/>
              <w:rPr>
                <w:rFonts w:ascii="Verdana" w:eastAsia="Arial" w:hAnsi="Verdana" w:cs="Arial"/>
                <w:color w:val="7030A0"/>
                <w:sz w:val="16"/>
                <w:szCs w:val="16"/>
              </w:rPr>
            </w:pPr>
            <w:r w:rsidRPr="00AB3CE9">
              <w:rPr>
                <w:rStyle w:val="normaltextrun"/>
                <w:rFonts w:ascii="Verdana" w:eastAsia="Arial" w:hAnsi="Verdana" w:cs="Arial"/>
                <w:sz w:val="16"/>
                <w:szCs w:val="16"/>
              </w:rPr>
              <w:t>Contratista de la Subdirección de Gestión Contractual</w:t>
            </w:r>
          </w:p>
        </w:tc>
      </w:tr>
      <w:tr w:rsidR="00AB3CE9" w:rsidRPr="00AB3CE9" w14:paraId="53882E35" w14:textId="77777777" w:rsidTr="0086642C">
        <w:trPr>
          <w:trHeight w:val="330"/>
        </w:trPr>
        <w:tc>
          <w:tcPr>
            <w:tcW w:w="893" w:type="dxa"/>
            <w:vAlign w:val="center"/>
            <w:hideMark/>
          </w:tcPr>
          <w:p w14:paraId="106FE45F" w14:textId="77777777" w:rsidR="00AB3CE9" w:rsidRPr="00AB3CE9" w:rsidRDefault="00AB3CE9" w:rsidP="0086642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98C4E3" w14:textId="77777777" w:rsidR="00AB3CE9" w:rsidRPr="00AB3CE9" w:rsidRDefault="00AB3CE9" w:rsidP="0086642C">
            <w:pPr>
              <w:pStyle w:val="paragraph"/>
              <w:spacing w:before="0" w:beforeAutospacing="0" w:after="0" w:afterAutospacing="0" w:line="276" w:lineRule="auto"/>
              <w:contextualSpacing/>
              <w:textAlignment w:val="baseline"/>
              <w:rPr>
                <w:rStyle w:val="normaltextrun"/>
                <w:rFonts w:ascii="Verdana" w:hAnsi="Verdana" w:cs="Arial"/>
                <w:sz w:val="16"/>
                <w:szCs w:val="16"/>
                <w:lang w:val="es-ES"/>
              </w:rPr>
            </w:pPr>
            <w:r w:rsidRPr="00AB3CE9">
              <w:rPr>
                <w:rStyle w:val="normaltextrun"/>
                <w:rFonts w:ascii="Verdana" w:hAnsi="Verdana" w:cs="Arial"/>
                <w:sz w:val="16"/>
                <w:szCs w:val="16"/>
                <w:lang w:val="es-ES"/>
              </w:rPr>
              <w:t xml:space="preserve">Diana Lucia Saavedra </w:t>
            </w:r>
          </w:p>
          <w:p w14:paraId="12C61108" w14:textId="77777777" w:rsidR="00AB3CE9" w:rsidRPr="00AB3CE9" w:rsidRDefault="00AB3CE9" w:rsidP="0086642C">
            <w:pPr>
              <w:pStyle w:val="paragraph"/>
              <w:spacing w:before="0" w:beforeAutospacing="0" w:after="0" w:afterAutospacing="0" w:line="276" w:lineRule="auto"/>
              <w:contextualSpacing/>
              <w:textAlignment w:val="baseline"/>
              <w:rPr>
                <w:rFonts w:ascii="Verdana" w:hAnsi="Verdana" w:cs="Segoe UI"/>
                <w:sz w:val="16"/>
                <w:szCs w:val="16"/>
              </w:rPr>
            </w:pPr>
            <w:r w:rsidRPr="00AB3CE9">
              <w:rPr>
                <w:rStyle w:val="normaltextrun"/>
                <w:rFonts w:ascii="Verdana" w:hAnsi="Verdana" w:cs="Arial"/>
                <w:sz w:val="16"/>
                <w:szCs w:val="16"/>
                <w:lang w:val="es-ES"/>
              </w:rPr>
              <w:t>Contratista de la Subdirección de Gestión Contractual</w:t>
            </w:r>
            <w:r w:rsidRPr="00AB3CE9">
              <w:rPr>
                <w:rStyle w:val="eop"/>
                <w:rFonts w:ascii="Verdana" w:hAnsi="Verdana" w:cs="Arial"/>
                <w:sz w:val="16"/>
                <w:szCs w:val="16"/>
              </w:rPr>
              <w:t> </w:t>
            </w:r>
          </w:p>
        </w:tc>
      </w:tr>
      <w:tr w:rsidR="00AB3CE9" w:rsidRPr="00AB3CE9" w14:paraId="2465BDCF" w14:textId="77777777" w:rsidTr="0086642C">
        <w:trPr>
          <w:trHeight w:val="300"/>
        </w:trPr>
        <w:tc>
          <w:tcPr>
            <w:tcW w:w="893" w:type="dxa"/>
            <w:vAlign w:val="center"/>
          </w:tcPr>
          <w:p w14:paraId="2A6179FA" w14:textId="77777777" w:rsidR="00AB3CE9" w:rsidRPr="00AB3CE9" w:rsidRDefault="00AB3CE9" w:rsidP="0086642C">
            <w:pPr>
              <w:spacing w:line="276" w:lineRule="auto"/>
              <w:contextualSpacing/>
              <w:rPr>
                <w:rFonts w:ascii="Verdana" w:hAnsi="Verdana" w:cs="Arial"/>
                <w:sz w:val="16"/>
                <w:szCs w:val="16"/>
                <w:lang w:val="es-ES" w:eastAsia="es-ES"/>
              </w:rPr>
            </w:pPr>
            <w:r w:rsidRPr="00AB3CE9">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89133AC" w14:textId="77777777" w:rsidR="00AB3CE9" w:rsidRPr="00AB3CE9" w:rsidRDefault="00AB3CE9" w:rsidP="0086642C">
            <w:pPr>
              <w:spacing w:line="276" w:lineRule="auto"/>
              <w:contextualSpacing/>
              <w:rPr>
                <w:rFonts w:ascii="Verdana" w:eastAsia="Calibri" w:hAnsi="Verdana" w:cs="Arial"/>
                <w:sz w:val="16"/>
                <w:szCs w:val="16"/>
                <w:lang w:val="pt-BR" w:eastAsia="es-ES"/>
              </w:rPr>
            </w:pPr>
            <w:r w:rsidRPr="00AB3CE9">
              <w:rPr>
                <w:rFonts w:ascii="Verdana" w:eastAsia="Calibri" w:hAnsi="Verdana" w:cs="Arial"/>
                <w:sz w:val="16"/>
                <w:szCs w:val="16"/>
                <w:lang w:val="pt-BR" w:eastAsia="es-ES"/>
              </w:rPr>
              <w:t xml:space="preserve">Carolina Quintero </w:t>
            </w:r>
            <w:proofErr w:type="spellStart"/>
            <w:r w:rsidRPr="00AB3CE9">
              <w:rPr>
                <w:rFonts w:ascii="Verdana" w:eastAsia="Calibri" w:hAnsi="Verdana" w:cs="Arial"/>
                <w:sz w:val="16"/>
                <w:szCs w:val="16"/>
                <w:lang w:val="pt-BR" w:eastAsia="es-ES"/>
              </w:rPr>
              <w:t>Gacharná</w:t>
            </w:r>
            <w:proofErr w:type="spellEnd"/>
          </w:p>
          <w:p w14:paraId="7578551A" w14:textId="77777777" w:rsidR="00AB3CE9" w:rsidRPr="00AB3CE9" w:rsidRDefault="00AB3CE9" w:rsidP="0086642C">
            <w:pPr>
              <w:spacing w:line="276" w:lineRule="auto"/>
              <w:contextualSpacing/>
              <w:rPr>
                <w:rFonts w:ascii="Verdana" w:eastAsia="Calibri" w:hAnsi="Verdana" w:cs="Arial"/>
                <w:sz w:val="16"/>
                <w:szCs w:val="16"/>
                <w:lang w:val="pt-BR" w:eastAsia="es-ES"/>
              </w:rPr>
            </w:pPr>
            <w:r w:rsidRPr="00AB3CE9">
              <w:rPr>
                <w:rFonts w:ascii="Verdana" w:eastAsia="Calibri" w:hAnsi="Verdana" w:cs="Arial"/>
                <w:sz w:val="16"/>
                <w:szCs w:val="16"/>
                <w:lang w:eastAsia="es-ES"/>
              </w:rPr>
              <w:t>Subdirectora</w:t>
            </w:r>
            <w:r w:rsidRPr="00AB3CE9">
              <w:rPr>
                <w:rFonts w:ascii="Verdana" w:eastAsia="Calibri" w:hAnsi="Verdana" w:cs="Arial"/>
                <w:sz w:val="16"/>
                <w:szCs w:val="16"/>
                <w:lang w:val="pt-BR" w:eastAsia="es-ES"/>
              </w:rPr>
              <w:t xml:space="preserve"> de </w:t>
            </w:r>
            <w:proofErr w:type="spellStart"/>
            <w:r w:rsidRPr="00AB3CE9">
              <w:rPr>
                <w:rFonts w:ascii="Verdana" w:eastAsia="Calibri" w:hAnsi="Verdana" w:cs="Arial"/>
                <w:sz w:val="16"/>
                <w:szCs w:val="16"/>
                <w:lang w:val="pt-BR" w:eastAsia="es-ES"/>
              </w:rPr>
              <w:t>Gestión</w:t>
            </w:r>
            <w:proofErr w:type="spellEnd"/>
            <w:r w:rsidRPr="00AB3CE9">
              <w:rPr>
                <w:rFonts w:ascii="Verdana" w:eastAsia="Calibri" w:hAnsi="Verdana" w:cs="Arial"/>
                <w:sz w:val="16"/>
                <w:szCs w:val="16"/>
                <w:lang w:val="pt-BR" w:eastAsia="es-ES"/>
              </w:rPr>
              <w:t xml:space="preserve"> </w:t>
            </w:r>
            <w:proofErr w:type="spellStart"/>
            <w:r w:rsidRPr="00AB3CE9">
              <w:rPr>
                <w:rFonts w:ascii="Verdana" w:eastAsia="Calibri" w:hAnsi="Verdana" w:cs="Arial"/>
                <w:sz w:val="16"/>
                <w:szCs w:val="16"/>
                <w:lang w:val="pt-BR" w:eastAsia="es-ES"/>
              </w:rPr>
              <w:t>Contractual</w:t>
            </w:r>
            <w:proofErr w:type="spellEnd"/>
            <w:r w:rsidRPr="00AB3CE9">
              <w:rPr>
                <w:rFonts w:ascii="Verdana" w:eastAsia="Calibri" w:hAnsi="Verdana" w:cs="Arial"/>
                <w:sz w:val="16"/>
                <w:szCs w:val="16"/>
                <w:lang w:val="pt-BR" w:eastAsia="es-ES"/>
              </w:rPr>
              <w:t xml:space="preserve"> ANCP – CCE</w:t>
            </w:r>
          </w:p>
        </w:tc>
      </w:tr>
    </w:tbl>
    <w:p w14:paraId="48A4DF0F" w14:textId="7747EBA0" w:rsidR="00AB3CE9" w:rsidRDefault="00AB3CE9" w:rsidP="00AB3CE9">
      <w:pPr>
        <w:widowControl w:val="0"/>
        <w:autoSpaceDE w:val="0"/>
        <w:autoSpaceDN w:val="0"/>
        <w:spacing w:after="0" w:line="276" w:lineRule="auto"/>
        <w:jc w:val="center"/>
        <w:rPr>
          <w:rFonts w:ascii="Verdana" w:eastAsia="Times New Roman" w:hAnsi="Verdana" w:cs="Arial"/>
          <w:lang w:eastAsia="es-CO"/>
        </w:rPr>
      </w:pPr>
    </w:p>
    <w:p w14:paraId="780E0FFF" w14:textId="77777777" w:rsidR="00AB3CE9" w:rsidRDefault="00AB3CE9" w:rsidP="00AB3CE9">
      <w:pPr>
        <w:widowControl w:val="0"/>
        <w:autoSpaceDE w:val="0"/>
        <w:autoSpaceDN w:val="0"/>
        <w:spacing w:after="0" w:line="276" w:lineRule="auto"/>
        <w:jc w:val="both"/>
        <w:rPr>
          <w:rFonts w:ascii="Verdana" w:eastAsia="Times New Roman" w:hAnsi="Verdana" w:cs="Arial"/>
          <w:lang w:eastAsia="es-CO"/>
        </w:rPr>
      </w:pPr>
    </w:p>
    <w:p w14:paraId="4E88A9C3" w14:textId="77777777" w:rsidR="00AB3CE9" w:rsidRDefault="00AB3CE9" w:rsidP="00AB3CE9">
      <w:pPr>
        <w:widowControl w:val="0"/>
        <w:autoSpaceDE w:val="0"/>
        <w:autoSpaceDN w:val="0"/>
        <w:spacing w:after="0" w:line="276" w:lineRule="auto"/>
        <w:jc w:val="both"/>
        <w:rPr>
          <w:rFonts w:ascii="Verdana" w:eastAsia="Times New Roman" w:hAnsi="Verdana" w:cs="Arial"/>
          <w:lang w:eastAsia="es-CO"/>
        </w:rPr>
      </w:pPr>
    </w:p>
    <w:p w14:paraId="683FF8CB" w14:textId="77777777" w:rsidR="00AB3CE9" w:rsidRPr="00593A5F" w:rsidRDefault="00AB3CE9" w:rsidP="00AB3CE9">
      <w:pPr>
        <w:widowControl w:val="0"/>
        <w:autoSpaceDE w:val="0"/>
        <w:autoSpaceDN w:val="0"/>
        <w:spacing w:after="0" w:line="276" w:lineRule="auto"/>
        <w:jc w:val="both"/>
        <w:rPr>
          <w:rFonts w:ascii="Verdana" w:hAnsi="Verdana" w:cs="Arial"/>
        </w:rPr>
      </w:pPr>
    </w:p>
    <w:p w14:paraId="712CD58D" w14:textId="2882229B" w:rsidR="00871B59" w:rsidRPr="00B379B2"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B379B2">
        <w:rPr>
          <w:rStyle w:val="normaltextrun"/>
          <w:rFonts w:ascii="Verdana" w:hAnsi="Verdana" w:cs="Arial"/>
          <w:color w:val="FF0000"/>
          <w:shd w:val="clear" w:color="auto" w:fill="FFFFFF"/>
          <w:lang w:val="es-ES"/>
        </w:rPr>
        <w:t xml:space="preserve"> </w:t>
      </w:r>
    </w:p>
    <w:p w14:paraId="60096E7E" w14:textId="77777777" w:rsidR="00871B59" w:rsidRPr="00B379B2"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FF5369D" w14:textId="77777777" w:rsidR="00AB3CE9" w:rsidRDefault="00AB3CE9" w:rsidP="00871B59">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sectPr w:rsidR="00AB3CE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F2C8B" w14:textId="77777777" w:rsidR="00314931" w:rsidRDefault="00314931" w:rsidP="00B30448">
      <w:pPr>
        <w:spacing w:after="0" w:line="240" w:lineRule="auto"/>
      </w:pPr>
      <w:r>
        <w:separator/>
      </w:r>
    </w:p>
  </w:endnote>
  <w:endnote w:type="continuationSeparator" w:id="0">
    <w:p w14:paraId="3896673A" w14:textId="77777777" w:rsidR="00314931" w:rsidRDefault="00314931" w:rsidP="00B30448">
      <w:pPr>
        <w:spacing w:after="0" w:line="240" w:lineRule="auto"/>
      </w:pPr>
      <w:r>
        <w:continuationSeparator/>
      </w:r>
    </w:p>
  </w:endnote>
  <w:endnote w:type="continuationNotice" w:id="1">
    <w:p w14:paraId="73E3315C" w14:textId="77777777" w:rsidR="00314931" w:rsidRDefault="003149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A099A" w14:textId="77777777" w:rsidR="000849D5" w:rsidRDefault="000849D5" w:rsidP="000849D5">
    <w:pPr>
      <w:spacing w:after="0"/>
      <w:rPr>
        <w:rFonts w:ascii="Verdana" w:hAnsi="Verdana"/>
        <w:b/>
        <w:bCs/>
        <w:sz w:val="20"/>
        <w:szCs w:val="20"/>
      </w:rPr>
    </w:pPr>
  </w:p>
  <w:p w14:paraId="598F6330"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CDD0738"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766AE6ED"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7E2A0E66"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2E776C72" w14:textId="77777777" w:rsidR="000849D5" w:rsidRPr="007D04B2" w:rsidRDefault="000849D5" w:rsidP="000849D5">
    <w:pPr>
      <w:pStyle w:val="Piedepgina"/>
    </w:pPr>
  </w:p>
  <w:p w14:paraId="368821F6"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25D9C" w14:textId="77777777" w:rsidR="00314931" w:rsidRDefault="00314931" w:rsidP="00B30448">
      <w:pPr>
        <w:spacing w:after="0" w:line="240" w:lineRule="auto"/>
      </w:pPr>
      <w:r>
        <w:separator/>
      </w:r>
    </w:p>
  </w:footnote>
  <w:footnote w:type="continuationSeparator" w:id="0">
    <w:p w14:paraId="3FA0FB34" w14:textId="77777777" w:rsidR="00314931" w:rsidRDefault="00314931" w:rsidP="00B30448">
      <w:pPr>
        <w:spacing w:after="0" w:line="240" w:lineRule="auto"/>
      </w:pPr>
      <w:r>
        <w:continuationSeparator/>
      </w:r>
    </w:p>
  </w:footnote>
  <w:footnote w:type="continuationNotice" w:id="1">
    <w:p w14:paraId="160D9A99" w14:textId="77777777" w:rsidR="00314931" w:rsidRDefault="00314931">
      <w:pPr>
        <w:spacing w:after="0" w:line="240" w:lineRule="auto"/>
      </w:pPr>
    </w:p>
  </w:footnote>
  <w:footnote w:id="2">
    <w:p w14:paraId="53CD693B" w14:textId="77777777" w:rsidR="00D32DB2" w:rsidRPr="0065682A" w:rsidRDefault="00D32DB2" w:rsidP="00D32DB2">
      <w:pPr>
        <w:pStyle w:val="Textonotapie"/>
        <w:ind w:firstLine="708"/>
        <w:jc w:val="both"/>
        <w:rPr>
          <w:rFonts w:ascii="Verdana" w:hAnsi="Verdana"/>
          <w:sz w:val="16"/>
          <w:szCs w:val="16"/>
        </w:rPr>
      </w:pPr>
      <w:r w:rsidRPr="0065682A">
        <w:rPr>
          <w:rStyle w:val="Refdenotaalpie"/>
          <w:rFonts w:ascii="Verdana" w:hAnsi="Verdana"/>
          <w:sz w:val="16"/>
          <w:szCs w:val="16"/>
        </w:rPr>
        <w:footnoteRef/>
      </w:r>
      <w:r w:rsidRPr="0065682A">
        <w:rPr>
          <w:rFonts w:ascii="Verdana" w:hAnsi="Verdana"/>
          <w:sz w:val="16"/>
          <w:szCs w:val="16"/>
        </w:rPr>
        <w:t xml:space="preserve"> Corte Constitucional. Sentencia C-1016 de 2012. M.P. Jorge Iván Palacio.</w:t>
      </w:r>
    </w:p>
  </w:footnote>
  <w:footnote w:id="3">
    <w:p w14:paraId="0A4AD4A1" w14:textId="77777777" w:rsidR="00D32DB2" w:rsidRPr="0065682A" w:rsidRDefault="00D32DB2" w:rsidP="00D32DB2">
      <w:pPr>
        <w:pStyle w:val="Textonotapie"/>
        <w:ind w:firstLine="708"/>
        <w:jc w:val="both"/>
        <w:rPr>
          <w:rFonts w:ascii="Verdana" w:hAnsi="Verdana"/>
          <w:sz w:val="16"/>
          <w:szCs w:val="16"/>
        </w:rPr>
      </w:pPr>
      <w:r w:rsidRPr="0065682A">
        <w:rPr>
          <w:rStyle w:val="Refdenotaalpie"/>
          <w:rFonts w:ascii="Verdana" w:hAnsi="Verdana"/>
          <w:sz w:val="16"/>
          <w:szCs w:val="16"/>
        </w:rPr>
        <w:footnoteRef/>
      </w:r>
      <w:r w:rsidRPr="0065682A">
        <w:rPr>
          <w:rFonts w:ascii="Verdana" w:hAnsi="Verdana"/>
          <w:sz w:val="16"/>
          <w:szCs w:val="16"/>
        </w:rPr>
        <w:t xml:space="preserve"> Consejo De Estado. Sección Tercera. Subsección A. Sentencia del 13 de noviembre de 2013. Rad. 25.646. C.P. Mauricio Fajardo Gómez.</w:t>
      </w:r>
    </w:p>
  </w:footnote>
  <w:footnote w:id="4">
    <w:p w14:paraId="73CBCFF2" w14:textId="77777777" w:rsidR="00D32DB2" w:rsidRPr="0065682A" w:rsidRDefault="00D32DB2" w:rsidP="00D32DB2">
      <w:pPr>
        <w:pStyle w:val="Textonotapie"/>
        <w:ind w:firstLine="708"/>
        <w:jc w:val="both"/>
        <w:rPr>
          <w:rFonts w:ascii="Verdana" w:hAnsi="Verdana"/>
          <w:sz w:val="16"/>
          <w:szCs w:val="16"/>
        </w:rPr>
      </w:pPr>
      <w:r w:rsidRPr="0065682A">
        <w:rPr>
          <w:rStyle w:val="Refdenotaalpie"/>
          <w:rFonts w:ascii="Verdana" w:hAnsi="Verdana"/>
          <w:sz w:val="16"/>
          <w:szCs w:val="16"/>
        </w:rPr>
        <w:footnoteRef/>
      </w:r>
      <w:r w:rsidRPr="0065682A">
        <w:rPr>
          <w:rFonts w:ascii="Verdana" w:hAnsi="Verdana"/>
          <w:sz w:val="16"/>
          <w:szCs w:val="16"/>
        </w:rPr>
        <w:t xml:space="preserve"> Ibídem.</w:t>
      </w:r>
    </w:p>
  </w:footnote>
  <w:footnote w:id="5">
    <w:p w14:paraId="6CF55E3D" w14:textId="77777777" w:rsidR="00D32DB2" w:rsidRPr="0065682A" w:rsidRDefault="00D32DB2" w:rsidP="00B379B2">
      <w:pPr>
        <w:pStyle w:val="Textonotapie"/>
        <w:jc w:val="both"/>
        <w:rPr>
          <w:rFonts w:ascii="Verdana" w:hAnsi="Verdana"/>
          <w:sz w:val="16"/>
          <w:szCs w:val="16"/>
        </w:rPr>
      </w:pPr>
      <w:r w:rsidRPr="0065682A">
        <w:rPr>
          <w:rStyle w:val="Refdenotaalpie"/>
          <w:rFonts w:ascii="Verdana" w:hAnsi="Verdana"/>
          <w:sz w:val="16"/>
          <w:szCs w:val="16"/>
        </w:rPr>
        <w:footnoteRef/>
      </w:r>
      <w:r w:rsidRPr="0065682A">
        <w:rPr>
          <w:rFonts w:ascii="Verdana" w:hAnsi="Verdana"/>
          <w:sz w:val="16"/>
          <w:szCs w:val="16"/>
        </w:rPr>
        <w:t xml:space="preserve"> Corte Constitucional. Sentencia C-780 de 2001. M.P. Jaime Córdoba Triviño.</w:t>
      </w:r>
    </w:p>
  </w:footnote>
  <w:footnote w:id="6">
    <w:p w14:paraId="1C2D3695" w14:textId="77777777" w:rsidR="00D32DB2" w:rsidRPr="0065682A" w:rsidRDefault="00D32DB2" w:rsidP="00B379B2">
      <w:pPr>
        <w:pStyle w:val="Textonotapie"/>
        <w:jc w:val="both"/>
        <w:rPr>
          <w:rFonts w:ascii="Verdana" w:hAnsi="Verdana"/>
          <w:sz w:val="16"/>
          <w:szCs w:val="16"/>
        </w:rPr>
      </w:pPr>
      <w:r w:rsidRPr="0065682A">
        <w:rPr>
          <w:rStyle w:val="Refdenotaalpie"/>
          <w:rFonts w:ascii="Verdana" w:hAnsi="Verdana"/>
          <w:sz w:val="16"/>
          <w:szCs w:val="16"/>
        </w:rPr>
        <w:footnoteRef/>
      </w:r>
      <w:r w:rsidRPr="0065682A">
        <w:rPr>
          <w:rFonts w:ascii="Verdana" w:hAnsi="Verdana"/>
          <w:sz w:val="16"/>
          <w:szCs w:val="16"/>
        </w:rPr>
        <w:t xml:space="preserve"> Ibídem. Página 69.</w:t>
      </w:r>
    </w:p>
  </w:footnote>
  <w:footnote w:id="7">
    <w:p w14:paraId="0D93C5AD" w14:textId="611C830B" w:rsidR="00D32DB2" w:rsidRPr="0065682A" w:rsidRDefault="00D32DB2" w:rsidP="00B379B2">
      <w:pPr>
        <w:pStyle w:val="Textonotapie"/>
        <w:jc w:val="both"/>
        <w:rPr>
          <w:rFonts w:ascii="Verdana" w:hAnsi="Verdana"/>
          <w:sz w:val="16"/>
          <w:szCs w:val="16"/>
        </w:rPr>
      </w:pPr>
      <w:r w:rsidRPr="0065682A">
        <w:rPr>
          <w:rStyle w:val="Refdenotaalpie"/>
          <w:rFonts w:ascii="Verdana" w:hAnsi="Verdana"/>
          <w:sz w:val="16"/>
          <w:szCs w:val="16"/>
        </w:rPr>
        <w:footnoteRef/>
      </w:r>
      <w:r w:rsidRPr="0065682A">
        <w:rPr>
          <w:rFonts w:ascii="Verdana" w:hAnsi="Verdana"/>
          <w:sz w:val="16"/>
          <w:szCs w:val="16"/>
        </w:rPr>
        <w:t xml:space="preserve"> Corte Constitucional. Sentencia T-1039 de 2006. </w:t>
      </w:r>
      <w:r w:rsidR="00B379B2" w:rsidRPr="0065682A">
        <w:rPr>
          <w:rFonts w:ascii="Verdana" w:hAnsi="Verdana"/>
          <w:sz w:val="16"/>
          <w:szCs w:val="16"/>
          <w:lang w:val="it-IT"/>
        </w:rPr>
        <w:t>Magistrato</w:t>
      </w:r>
      <w:r w:rsidRPr="0065682A">
        <w:rPr>
          <w:rFonts w:ascii="Verdana" w:hAnsi="Verdana"/>
          <w:sz w:val="16"/>
          <w:szCs w:val="16"/>
          <w:lang w:val="it-IT"/>
        </w:rPr>
        <w:t xml:space="preserve"> Ponente: Humberto Sierra Porto. </w:t>
      </w:r>
      <w:r w:rsidRPr="0065682A">
        <w:rPr>
          <w:rFonts w:ascii="Verdana" w:hAnsi="Verdana"/>
          <w:sz w:val="16"/>
          <w:szCs w:val="16"/>
        </w:rPr>
        <w:t>La Corte ha mantenido este criterio en las sentencias: C-903 de 2008. Magistrado Ponente: Jaime Araujo Rentería; C-101 de 2018. Magistrada Ponente Gloria Stella Ortiz Delgado; entre otras.</w:t>
      </w:r>
    </w:p>
  </w:footnote>
  <w:footnote w:id="8">
    <w:p w14:paraId="791345A0" w14:textId="77777777" w:rsidR="00D32DB2" w:rsidRPr="0065682A" w:rsidRDefault="00D32DB2" w:rsidP="00B379B2">
      <w:pPr>
        <w:pStyle w:val="Textonotapie"/>
        <w:jc w:val="both"/>
        <w:rPr>
          <w:rFonts w:ascii="Verdana" w:hAnsi="Verdana"/>
          <w:sz w:val="16"/>
          <w:szCs w:val="16"/>
        </w:rPr>
      </w:pPr>
      <w:r w:rsidRPr="0065682A">
        <w:rPr>
          <w:rStyle w:val="Refdenotaalpie"/>
          <w:rFonts w:ascii="Verdana" w:hAnsi="Verdana"/>
          <w:sz w:val="16"/>
          <w:szCs w:val="16"/>
        </w:rPr>
        <w:footnoteRef/>
      </w:r>
      <w:r w:rsidRPr="0065682A">
        <w:rPr>
          <w:rFonts w:ascii="Verdana" w:hAnsi="Verdana"/>
          <w:sz w:val="16"/>
          <w:szCs w:val="16"/>
        </w:rPr>
        <w:t xml:space="preserve"> Consejo de Estado. Sala de Consulta y Servicio Civil. Concepto del 30 de abril de 2015. Expediente:</w:t>
      </w:r>
    </w:p>
    <w:p w14:paraId="73630BC6" w14:textId="77777777" w:rsidR="00D32DB2" w:rsidRPr="0065682A" w:rsidRDefault="00D32DB2" w:rsidP="00D32DB2">
      <w:pPr>
        <w:pStyle w:val="Textonotapie"/>
        <w:jc w:val="both"/>
        <w:rPr>
          <w:rFonts w:ascii="Verdana" w:hAnsi="Verdana"/>
          <w:sz w:val="16"/>
          <w:szCs w:val="16"/>
        </w:rPr>
      </w:pPr>
      <w:r w:rsidRPr="0065682A">
        <w:rPr>
          <w:rFonts w:ascii="Verdana" w:hAnsi="Verdana"/>
          <w:sz w:val="16"/>
          <w:szCs w:val="16"/>
        </w:rPr>
        <w:t>2.251. Consejero Ponente: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040B6"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623D02BA" wp14:editId="599E7402">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2ED553C8" wp14:editId="48FBFE7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E1F49DA" w14:textId="77777777" w:rsidR="00515FB5" w:rsidRDefault="00515FB5" w:rsidP="00515FB5">
    <w:pPr>
      <w:pStyle w:val="Encabezado"/>
    </w:pPr>
  </w:p>
  <w:p w14:paraId="516111D3" w14:textId="77777777" w:rsidR="00515FB5" w:rsidRDefault="00515FB5" w:rsidP="00515FB5">
    <w:pPr>
      <w:pStyle w:val="Encabezado"/>
    </w:pPr>
  </w:p>
  <w:p w14:paraId="13F5BF7F" w14:textId="77777777" w:rsidR="00515FB5" w:rsidRDefault="00515FB5" w:rsidP="00515FB5">
    <w:pPr>
      <w:pStyle w:val="Encabezado"/>
    </w:pPr>
  </w:p>
  <w:p w14:paraId="55C01791" w14:textId="77777777" w:rsidR="00515FB5" w:rsidRPr="00AB7B56" w:rsidRDefault="00515FB5" w:rsidP="00515FB5">
    <w:pPr>
      <w:pStyle w:val="Encabezado"/>
    </w:pPr>
  </w:p>
  <w:p w14:paraId="45550ADD"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397C73"/>
    <w:multiLevelType w:val="hybridMultilevel"/>
    <w:tmpl w:val="10D29B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9" w15:restartNumberingAfterBreak="0">
    <w:nsid w:val="50EC3711"/>
    <w:multiLevelType w:val="hybridMultilevel"/>
    <w:tmpl w:val="6B787842"/>
    <w:lvl w:ilvl="0" w:tplc="45869BFA">
      <w:numFmt w:val="bullet"/>
      <w:lvlText w:val=""/>
      <w:lvlJc w:val="left"/>
      <w:pPr>
        <w:ind w:left="940" w:hanging="580"/>
      </w:pPr>
      <w:rPr>
        <w:rFonts w:ascii="Verdana" w:eastAsia="Times New Roman" w:hAnsi="Verdana"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0"/>
  </w:num>
  <w:num w:numId="5">
    <w:abstractNumId w:val="8"/>
  </w:num>
  <w:num w:numId="6">
    <w:abstractNumId w:val="1"/>
  </w:num>
  <w:num w:numId="7">
    <w:abstractNumId w:val="5"/>
  </w:num>
  <w:num w:numId="8">
    <w:abstractNumId w:val="7"/>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25F"/>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3A1F"/>
    <w:rsid w:val="000B4024"/>
    <w:rsid w:val="000C3C51"/>
    <w:rsid w:val="000C7262"/>
    <w:rsid w:val="000D2A7F"/>
    <w:rsid w:val="000D4FCE"/>
    <w:rsid w:val="0011037E"/>
    <w:rsid w:val="001363C7"/>
    <w:rsid w:val="001377CA"/>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0700"/>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419EE"/>
    <w:rsid w:val="002527C2"/>
    <w:rsid w:val="00270443"/>
    <w:rsid w:val="00270EE2"/>
    <w:rsid w:val="00272972"/>
    <w:rsid w:val="00286491"/>
    <w:rsid w:val="002A0F8D"/>
    <w:rsid w:val="002B6E44"/>
    <w:rsid w:val="002B74B1"/>
    <w:rsid w:val="002E1DB5"/>
    <w:rsid w:val="002F6CCB"/>
    <w:rsid w:val="0030461E"/>
    <w:rsid w:val="003107A1"/>
    <w:rsid w:val="00314931"/>
    <w:rsid w:val="0032756A"/>
    <w:rsid w:val="00334EF8"/>
    <w:rsid w:val="00336408"/>
    <w:rsid w:val="00340DFB"/>
    <w:rsid w:val="0034404F"/>
    <w:rsid w:val="00356980"/>
    <w:rsid w:val="00367462"/>
    <w:rsid w:val="00371ECA"/>
    <w:rsid w:val="00372748"/>
    <w:rsid w:val="0037332A"/>
    <w:rsid w:val="0038151A"/>
    <w:rsid w:val="00382553"/>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30714"/>
    <w:rsid w:val="005426DB"/>
    <w:rsid w:val="0055082B"/>
    <w:rsid w:val="00552503"/>
    <w:rsid w:val="00552B57"/>
    <w:rsid w:val="00552DCE"/>
    <w:rsid w:val="00557DA1"/>
    <w:rsid w:val="0056322C"/>
    <w:rsid w:val="005657F2"/>
    <w:rsid w:val="0058743A"/>
    <w:rsid w:val="005A4DB0"/>
    <w:rsid w:val="005A7B8E"/>
    <w:rsid w:val="005B012B"/>
    <w:rsid w:val="005B0C87"/>
    <w:rsid w:val="005D23F6"/>
    <w:rsid w:val="005D2FA8"/>
    <w:rsid w:val="005E2281"/>
    <w:rsid w:val="005E667C"/>
    <w:rsid w:val="005F077C"/>
    <w:rsid w:val="005F63D0"/>
    <w:rsid w:val="005F7973"/>
    <w:rsid w:val="0061690E"/>
    <w:rsid w:val="00616AD8"/>
    <w:rsid w:val="00627361"/>
    <w:rsid w:val="0063017E"/>
    <w:rsid w:val="00631B28"/>
    <w:rsid w:val="00645B90"/>
    <w:rsid w:val="00650991"/>
    <w:rsid w:val="006511D7"/>
    <w:rsid w:val="00663D75"/>
    <w:rsid w:val="00670AEF"/>
    <w:rsid w:val="00675678"/>
    <w:rsid w:val="00677012"/>
    <w:rsid w:val="006825B4"/>
    <w:rsid w:val="00682AF2"/>
    <w:rsid w:val="006864DF"/>
    <w:rsid w:val="006923E5"/>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10F3"/>
    <w:rsid w:val="007B285D"/>
    <w:rsid w:val="007C6BC6"/>
    <w:rsid w:val="00801DCA"/>
    <w:rsid w:val="00807D79"/>
    <w:rsid w:val="00813634"/>
    <w:rsid w:val="00822821"/>
    <w:rsid w:val="00831C29"/>
    <w:rsid w:val="00842FEF"/>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6778F"/>
    <w:rsid w:val="00A76C8C"/>
    <w:rsid w:val="00A85F30"/>
    <w:rsid w:val="00A9099E"/>
    <w:rsid w:val="00A91FB7"/>
    <w:rsid w:val="00A9298F"/>
    <w:rsid w:val="00AA0351"/>
    <w:rsid w:val="00AA5F4A"/>
    <w:rsid w:val="00AB1984"/>
    <w:rsid w:val="00AB3CE9"/>
    <w:rsid w:val="00AB52B1"/>
    <w:rsid w:val="00AC4CB3"/>
    <w:rsid w:val="00AC780D"/>
    <w:rsid w:val="00AD036B"/>
    <w:rsid w:val="00AD1996"/>
    <w:rsid w:val="00AD4099"/>
    <w:rsid w:val="00AD4901"/>
    <w:rsid w:val="00B02FE0"/>
    <w:rsid w:val="00B057B6"/>
    <w:rsid w:val="00B2575B"/>
    <w:rsid w:val="00B30448"/>
    <w:rsid w:val="00B34786"/>
    <w:rsid w:val="00B3673E"/>
    <w:rsid w:val="00B379B2"/>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211C"/>
    <w:rsid w:val="00BF6B4B"/>
    <w:rsid w:val="00C0174E"/>
    <w:rsid w:val="00C0511C"/>
    <w:rsid w:val="00C20ACF"/>
    <w:rsid w:val="00C22307"/>
    <w:rsid w:val="00C23469"/>
    <w:rsid w:val="00C30C62"/>
    <w:rsid w:val="00C3125F"/>
    <w:rsid w:val="00C371DF"/>
    <w:rsid w:val="00C42055"/>
    <w:rsid w:val="00C44B4C"/>
    <w:rsid w:val="00C46734"/>
    <w:rsid w:val="00C47A86"/>
    <w:rsid w:val="00C53220"/>
    <w:rsid w:val="00C82386"/>
    <w:rsid w:val="00CA3347"/>
    <w:rsid w:val="00CC299A"/>
    <w:rsid w:val="00CD03E3"/>
    <w:rsid w:val="00CE6BDA"/>
    <w:rsid w:val="00D03DBE"/>
    <w:rsid w:val="00D072C0"/>
    <w:rsid w:val="00D32DB2"/>
    <w:rsid w:val="00D34C82"/>
    <w:rsid w:val="00D3757A"/>
    <w:rsid w:val="00D504A9"/>
    <w:rsid w:val="00D5206D"/>
    <w:rsid w:val="00D7177D"/>
    <w:rsid w:val="00D81311"/>
    <w:rsid w:val="00DB201E"/>
    <w:rsid w:val="00DC0E68"/>
    <w:rsid w:val="00DD25ED"/>
    <w:rsid w:val="00DE0D6E"/>
    <w:rsid w:val="00E1610C"/>
    <w:rsid w:val="00E16D73"/>
    <w:rsid w:val="00E23E9E"/>
    <w:rsid w:val="00E25722"/>
    <w:rsid w:val="00E27F0A"/>
    <w:rsid w:val="00E33271"/>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C7B2F"/>
    <w:rsid w:val="00EE17F2"/>
    <w:rsid w:val="00EE3138"/>
    <w:rsid w:val="00EF2AC7"/>
    <w:rsid w:val="00EF400A"/>
    <w:rsid w:val="00EF6BE4"/>
    <w:rsid w:val="00EF6E5D"/>
    <w:rsid w:val="00F07764"/>
    <w:rsid w:val="00F12517"/>
    <w:rsid w:val="00F131DD"/>
    <w:rsid w:val="00F16BA1"/>
    <w:rsid w:val="00F24435"/>
    <w:rsid w:val="00F30C0F"/>
    <w:rsid w:val="00F314E8"/>
    <w:rsid w:val="00F318A5"/>
    <w:rsid w:val="00F323A2"/>
    <w:rsid w:val="00F33B57"/>
    <w:rsid w:val="00F33D5C"/>
    <w:rsid w:val="00F34E90"/>
    <w:rsid w:val="00F356D6"/>
    <w:rsid w:val="00F53BE2"/>
    <w:rsid w:val="00F55684"/>
    <w:rsid w:val="00F64D5A"/>
    <w:rsid w:val="00F709CD"/>
    <w:rsid w:val="00F71640"/>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C16F8A"/>
  <w15:docId w15:val="{532950B9-FC9B-9A41-968D-558698AB1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137">
    <w:name w:val="citation-137"/>
    <w:basedOn w:val="Fuentedeprrafopredeter"/>
    <w:rsid w:val="00D32DB2"/>
  </w:style>
  <w:style w:type="character" w:customStyle="1" w:styleId="citation-136">
    <w:name w:val="citation-136"/>
    <w:basedOn w:val="Fuentedeprrafopredeter"/>
    <w:rsid w:val="00D32DB2"/>
  </w:style>
  <w:style w:type="character" w:customStyle="1" w:styleId="citation-135">
    <w:name w:val="citation-135"/>
    <w:basedOn w:val="Fuentedeprrafopredeter"/>
    <w:rsid w:val="00D32DB2"/>
  </w:style>
  <w:style w:type="character" w:customStyle="1" w:styleId="citation-134">
    <w:name w:val="citation-134"/>
    <w:basedOn w:val="Fuentedeprrafopredeter"/>
    <w:rsid w:val="00D32DB2"/>
  </w:style>
  <w:style w:type="character" w:customStyle="1" w:styleId="citation-147">
    <w:name w:val="citation-147"/>
    <w:basedOn w:val="Fuentedeprrafopredeter"/>
    <w:rsid w:val="006923E5"/>
  </w:style>
  <w:style w:type="character" w:customStyle="1" w:styleId="citation-146">
    <w:name w:val="citation-146"/>
    <w:basedOn w:val="Fuentedeprrafopredeter"/>
    <w:rsid w:val="006923E5"/>
  </w:style>
  <w:style w:type="character" w:customStyle="1" w:styleId="citation-145">
    <w:name w:val="citation-145"/>
    <w:basedOn w:val="Fuentedeprrafopredeter"/>
    <w:rsid w:val="006923E5"/>
  </w:style>
  <w:style w:type="character" w:customStyle="1" w:styleId="citation-144">
    <w:name w:val="citation-144"/>
    <w:basedOn w:val="Fuentedeprrafopredeter"/>
    <w:rsid w:val="006923E5"/>
  </w:style>
  <w:style w:type="character" w:customStyle="1" w:styleId="citation-143">
    <w:name w:val="citation-143"/>
    <w:basedOn w:val="Fuentedeprrafopredeter"/>
    <w:rsid w:val="006923E5"/>
  </w:style>
  <w:style w:type="character" w:customStyle="1" w:styleId="citation-142">
    <w:name w:val="citation-142"/>
    <w:basedOn w:val="Fuentedeprrafopredeter"/>
    <w:rsid w:val="006923E5"/>
  </w:style>
  <w:style w:type="character" w:customStyle="1" w:styleId="citation-141">
    <w:name w:val="citation-141"/>
    <w:basedOn w:val="Fuentedeprrafopredeter"/>
    <w:rsid w:val="006923E5"/>
  </w:style>
  <w:style w:type="character" w:customStyle="1" w:styleId="citation-140">
    <w:name w:val="citation-140"/>
    <w:basedOn w:val="Fuentedeprrafopredeter"/>
    <w:rsid w:val="006923E5"/>
  </w:style>
  <w:style w:type="character" w:customStyle="1" w:styleId="citation-139">
    <w:name w:val="citation-139"/>
    <w:basedOn w:val="Fuentedeprrafopredeter"/>
    <w:rsid w:val="006923E5"/>
  </w:style>
  <w:style w:type="character" w:customStyle="1" w:styleId="citation-138">
    <w:name w:val="citation-138"/>
    <w:basedOn w:val="Fuentedeprrafopredeter"/>
    <w:rsid w:val="006923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bilioflorez123@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colombiacompra.gov.co/sala-de-prensa/boletin-digital"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A689D3FB-FF17-45DF-B270-614BF856C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purl.org/dc/terms/"/>
    <ds:schemaRef ds:uri="http://schemas.microsoft.com/office/2006/metadata/properties"/>
    <ds:schemaRef ds:uri="http://schemas.microsoft.com/office/2006/documentManagement/types"/>
    <ds:schemaRef ds:uri="http://purl.org/dc/dcmitype/"/>
    <ds:schemaRef ds:uri="http://purl.org/dc/elements/1.1/"/>
    <ds:schemaRef ds:uri="http://www.w3.org/XML/1998/namespace"/>
    <ds:schemaRef ds:uri="http://schemas.microsoft.com/office/infopath/2007/PartnerControls"/>
    <ds:schemaRef ds:uri="http://schemas.openxmlformats.org/package/2006/metadata/core-propertie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3420</Words>
  <Characters>18815</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Elena Díaz Fernandez</cp:lastModifiedBy>
  <cp:revision>2</cp:revision>
  <dcterms:created xsi:type="dcterms:W3CDTF">2025-11-09T19:45:00Z</dcterms:created>
  <dcterms:modified xsi:type="dcterms:W3CDTF">2025-11-09T19:45:00Z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