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495F3" w14:textId="77777777" w:rsidR="008A6300" w:rsidRPr="007E5FCC" w:rsidRDefault="008A6300" w:rsidP="008A6300">
      <w:pPr>
        <w:spacing w:after="0" w:line="240" w:lineRule="auto"/>
        <w:jc w:val="both"/>
        <w:rPr>
          <w:rFonts w:ascii="Verdana" w:eastAsia="Geomanist Light" w:hAnsi="Verdana" w:cs="Arial"/>
          <w:color w:val="000000" w:themeColor="text1"/>
        </w:rPr>
      </w:pPr>
      <w:r w:rsidRPr="007E5FCC">
        <w:rPr>
          <w:rFonts w:ascii="Verdana" w:eastAsia="Geomanist Light" w:hAnsi="Verdana" w:cs="Arial"/>
          <w:b/>
          <w:bCs/>
          <w:color w:val="000000" w:themeColor="text1"/>
          <w:lang w:val="es-ES"/>
        </w:rPr>
        <w:t>MODALIDADES DE SELECCIÓN – Selección abreviada de menor cuantía – Características </w:t>
      </w:r>
      <w:r w:rsidRPr="007E5FCC">
        <w:rPr>
          <w:rFonts w:ascii="Verdana" w:eastAsia="Geomanist Light" w:hAnsi="Verdana" w:cs="Arial"/>
          <w:color w:val="000000" w:themeColor="text1"/>
        </w:rPr>
        <w:t> </w:t>
      </w:r>
    </w:p>
    <w:p w14:paraId="5409899B" w14:textId="77777777" w:rsidR="008A6300" w:rsidRPr="007E5FCC" w:rsidRDefault="008A6300" w:rsidP="008A6300">
      <w:pPr>
        <w:spacing w:after="0" w:line="240" w:lineRule="auto"/>
        <w:jc w:val="both"/>
        <w:rPr>
          <w:rFonts w:ascii="Verdana" w:eastAsia="Geomanist Light" w:hAnsi="Verdana" w:cs="Arial"/>
          <w:color w:val="000000" w:themeColor="text1"/>
        </w:rPr>
      </w:pPr>
      <w:r w:rsidRPr="007E5FCC">
        <w:rPr>
          <w:rFonts w:ascii="Verdana" w:eastAsia="Geomanist Light" w:hAnsi="Verdana" w:cs="Arial"/>
          <w:color w:val="000000" w:themeColor="text1"/>
        </w:rPr>
        <w:t> </w:t>
      </w:r>
    </w:p>
    <w:p w14:paraId="0CF0E2BE" w14:textId="77777777" w:rsidR="008A6300" w:rsidRPr="007E5FCC" w:rsidRDefault="008A6300" w:rsidP="008A6300">
      <w:pPr>
        <w:spacing w:after="0" w:line="240" w:lineRule="auto"/>
        <w:jc w:val="both"/>
        <w:rPr>
          <w:rFonts w:ascii="Verdana" w:eastAsia="Geomanist Light" w:hAnsi="Verdana" w:cs="Arial"/>
          <w:color w:val="000000" w:themeColor="text1"/>
        </w:rPr>
      </w:pPr>
      <w:r w:rsidRPr="007E5FCC">
        <w:rPr>
          <w:rFonts w:ascii="Verdana" w:eastAsia="Geomanist Light" w:hAnsi="Verdana" w:cs="Arial"/>
          <w:color w:val="000000" w:themeColor="text1"/>
          <w:lang w:val="es-ES"/>
        </w:rPr>
        <w:t>De esta manera, 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A continuación, el Decreto 1082 de 2015 desarrolla las causales, regulando el pliego de condiciones, el procedimiento, las etapas, entre otros.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7E5FCC">
        <w:rPr>
          <w:rFonts w:ascii="Verdana" w:eastAsia="Geomanist Light" w:hAnsi="Verdana" w:cs="Arial"/>
          <w:color w:val="000000" w:themeColor="text1"/>
          <w:vertAlign w:val="superscript"/>
          <w:lang w:val="es-ES"/>
        </w:rPr>
        <w:t>4</w:t>
      </w:r>
      <w:r w:rsidRPr="007E5FCC">
        <w:rPr>
          <w:rFonts w:ascii="Verdana" w:eastAsia="Geomanist Light" w:hAnsi="Verdana" w:cs="Arial"/>
          <w:color w:val="000000" w:themeColor="text1"/>
          <w:lang w:val="es-ES"/>
        </w:rPr>
        <w:t>.</w:t>
      </w:r>
      <w:r w:rsidRPr="007E5FCC">
        <w:rPr>
          <w:rFonts w:ascii="Verdana" w:eastAsia="Geomanist Light" w:hAnsi="Verdana" w:cs="Arial"/>
          <w:color w:val="000000" w:themeColor="text1"/>
        </w:rPr>
        <w:t> </w:t>
      </w:r>
    </w:p>
    <w:p w14:paraId="103747ED" w14:textId="77777777" w:rsidR="008A6300" w:rsidRPr="007E5FCC" w:rsidRDefault="008A6300" w:rsidP="008A6300">
      <w:pPr>
        <w:spacing w:after="0" w:line="240" w:lineRule="auto"/>
        <w:jc w:val="both"/>
        <w:rPr>
          <w:rFonts w:ascii="Verdana" w:eastAsia="Geomanist Light" w:hAnsi="Verdana" w:cs="Arial"/>
          <w:color w:val="000000" w:themeColor="text1"/>
        </w:rPr>
      </w:pPr>
      <w:r w:rsidRPr="007E5FCC">
        <w:rPr>
          <w:rFonts w:ascii="Verdana" w:eastAsia="Geomanist Light" w:hAnsi="Verdana" w:cs="Arial"/>
          <w:color w:val="000000" w:themeColor="text1"/>
        </w:rPr>
        <w:t> </w:t>
      </w:r>
    </w:p>
    <w:p w14:paraId="33CF0BB7" w14:textId="77777777" w:rsidR="008A6300" w:rsidRPr="007E5FCC" w:rsidRDefault="008A6300" w:rsidP="008A6300">
      <w:pPr>
        <w:spacing w:after="0" w:line="240" w:lineRule="auto"/>
        <w:jc w:val="both"/>
        <w:rPr>
          <w:rFonts w:ascii="Verdana" w:eastAsia="Geomanist Light" w:hAnsi="Verdana" w:cs="Arial"/>
          <w:color w:val="000000" w:themeColor="text1"/>
        </w:rPr>
      </w:pPr>
      <w:r w:rsidRPr="007E5FCC">
        <w:rPr>
          <w:rFonts w:ascii="Verdana" w:eastAsia="Geomanist Light" w:hAnsi="Verdana" w:cs="Arial"/>
          <w:b/>
          <w:bCs/>
          <w:color w:val="000000" w:themeColor="text1"/>
          <w:lang w:val="es-ES"/>
        </w:rPr>
        <w:t>MANIFESTACIÓN DE INTERÉS – Noción – Finalidad – Requisito habilitante</w:t>
      </w:r>
      <w:r w:rsidRPr="007E5FCC">
        <w:rPr>
          <w:rFonts w:ascii="Verdana" w:eastAsia="Geomanist Light" w:hAnsi="Verdana" w:cs="Arial"/>
          <w:color w:val="000000" w:themeColor="text1"/>
        </w:rPr>
        <w:t> </w:t>
      </w:r>
    </w:p>
    <w:p w14:paraId="2901434C" w14:textId="77777777" w:rsidR="008A6300" w:rsidRPr="007E5FCC" w:rsidRDefault="008A6300" w:rsidP="008A6300">
      <w:pPr>
        <w:spacing w:after="0" w:line="240" w:lineRule="auto"/>
        <w:jc w:val="both"/>
        <w:rPr>
          <w:rFonts w:ascii="Verdana" w:eastAsia="Geomanist Light" w:hAnsi="Verdana" w:cs="Arial"/>
          <w:color w:val="000000" w:themeColor="text1"/>
        </w:rPr>
      </w:pPr>
      <w:r w:rsidRPr="007E5FCC">
        <w:rPr>
          <w:rFonts w:ascii="Verdana" w:eastAsia="Geomanist Light" w:hAnsi="Verdana" w:cs="Arial"/>
          <w:color w:val="000000" w:themeColor="text1"/>
        </w:rPr>
        <w:t>  </w:t>
      </w:r>
    </w:p>
    <w:p w14:paraId="307F8FF4" w14:textId="77777777" w:rsidR="008A6300" w:rsidRPr="007E5FCC" w:rsidRDefault="008A6300" w:rsidP="008A6300">
      <w:pPr>
        <w:spacing w:after="0" w:line="240" w:lineRule="auto"/>
        <w:jc w:val="both"/>
        <w:rPr>
          <w:rFonts w:ascii="Verdana" w:eastAsia="Geomanist Light" w:hAnsi="Verdana" w:cs="Arial"/>
          <w:color w:val="000000" w:themeColor="text1"/>
        </w:rPr>
      </w:pPr>
      <w:r w:rsidRPr="007E5FCC">
        <w:rPr>
          <w:rFonts w:ascii="Verdana" w:eastAsia="Geomanist Light" w:hAnsi="Verdana" w:cs="Arial"/>
          <w:color w:val="000000" w:themeColor="text1"/>
          <w:lang w:val="es-ES"/>
        </w:rPr>
        <w:t>El numeral primero del artículo 2.2.1.2.1.2.20 del Decreto 1082 de 2015 dispone que el interesado debe manifestar su “intención” de participar en los procesos de selección abreviada de menor cuantía. Conviene precisar que el fin de esta disposición es que quienes estén interesados expresen a la entidad la intención de hacer parte del procedimiento. Por ello, la finalidad es que los interesados puedan participar, en igualdad de condiciones, en el procedimiento de contratación, de manera que, permite que expresen a la entidad pública su interés de presentarse al proceso de selección abreviada de menor cuantía.</w:t>
      </w:r>
    </w:p>
    <w:p w14:paraId="28C25936" w14:textId="77777777" w:rsidR="008A6300" w:rsidRPr="007E5FCC" w:rsidRDefault="008A6300" w:rsidP="008A6300">
      <w:pPr>
        <w:spacing w:after="0" w:line="240" w:lineRule="auto"/>
        <w:jc w:val="both"/>
        <w:rPr>
          <w:rFonts w:ascii="Verdana" w:eastAsia="Geomanist Light" w:hAnsi="Verdana" w:cs="Arial"/>
          <w:color w:val="000000" w:themeColor="text1"/>
          <w:lang w:val="es-MX"/>
        </w:rPr>
      </w:pPr>
    </w:p>
    <w:p w14:paraId="42E530BA" w14:textId="77777777" w:rsidR="008A6300" w:rsidRPr="007E5FCC" w:rsidRDefault="008A6300" w:rsidP="008A6300">
      <w:pPr>
        <w:pStyle w:val="NormalWeb"/>
        <w:spacing w:line="276" w:lineRule="auto"/>
        <w:jc w:val="both"/>
        <w:rPr>
          <w:rFonts w:ascii="Verdana" w:hAnsi="Verdana" w:cs="Verdana"/>
          <w:sz w:val="22"/>
          <w:szCs w:val="22"/>
          <w:lang w:val="es-ES"/>
        </w:rPr>
      </w:pPr>
      <w:r w:rsidRPr="007E5FCC">
        <w:rPr>
          <w:rFonts w:ascii="Verdana" w:hAnsi="Verdana" w:cs="Verdana"/>
          <w:sz w:val="22"/>
          <w:szCs w:val="22"/>
          <w:lang w:val="es-ES"/>
        </w:rPr>
        <w:t>Por otro lado, respecto al término de 3 días hábiles para presentar la manifestación de interés, previsto en el numeral primero del artículo 2.2.1.2.1.2.20 del Decreto 1082 de 2015, esta Agencia considera que dicho término está dirigido directamente a los interesados y no a las Entidades Estatales, de tal forma que, la norma directamente señala que los interesados podrán presentar la manifestación de interés durante ese término, sin que el mismo se refiera a una regla para elaborar el pliego de condiciones, por lo que las entidades no podrían limitarlo. En efecto, la mención que se hace al final del numeral citado respecto al pliego de condiciones está dirigido a que se establezca el mecanismo para realizar la solicitud, no frente al momento para presentar las manifestaciones de interés que, como se indicó, lo establece directamente la norma.</w:t>
      </w:r>
    </w:p>
    <w:p w14:paraId="255FF666" w14:textId="77777777" w:rsidR="007D3AA2" w:rsidRPr="008A6300" w:rsidRDefault="007D3AA2" w:rsidP="007D3AA2">
      <w:pPr>
        <w:spacing w:after="0" w:line="240" w:lineRule="auto"/>
        <w:rPr>
          <w:rFonts w:ascii="Verdana" w:eastAsia="Geomanist Light" w:hAnsi="Verdana" w:cs="Arial"/>
          <w:color w:val="000000" w:themeColor="text1"/>
          <w:lang w:val="es-ES"/>
        </w:rPr>
      </w:pPr>
    </w:p>
    <w:p w14:paraId="6D7C7B59" w14:textId="5EB45339" w:rsidR="007D3AA2" w:rsidRPr="007E5FCC" w:rsidRDefault="007D3AA2" w:rsidP="007D3AA2">
      <w:pPr>
        <w:spacing w:after="0" w:line="240" w:lineRule="auto"/>
        <w:rPr>
          <w:rFonts w:ascii="Verdana" w:eastAsia="Geomanist Light" w:hAnsi="Verdana" w:cs="Arial"/>
          <w:color w:val="000000" w:themeColor="text1"/>
          <w:lang w:val="es-MX"/>
        </w:rPr>
      </w:pPr>
      <w:r w:rsidRPr="007E5FCC">
        <w:rPr>
          <w:rFonts w:ascii="Verdana" w:eastAsia="Geomanist Light" w:hAnsi="Verdana" w:cs="Arial"/>
          <w:color w:val="000000" w:themeColor="text1"/>
          <w:lang w:val="es-MX"/>
        </w:rPr>
        <w:t>Bogotá D.C., </w:t>
      </w:r>
      <w:r w:rsidR="008A6300">
        <w:rPr>
          <w:rFonts w:ascii="Verdana" w:eastAsia="Geomanist Light" w:hAnsi="Verdana" w:cs="Arial"/>
          <w:color w:val="000000" w:themeColor="text1"/>
          <w:lang w:val="es-MX"/>
        </w:rPr>
        <w:t>30</w:t>
      </w:r>
      <w:r w:rsidRPr="007E5FCC">
        <w:rPr>
          <w:rFonts w:ascii="Verdana" w:eastAsia="Geomanist Light" w:hAnsi="Verdana" w:cs="Arial"/>
          <w:color w:val="000000" w:themeColor="text1"/>
          <w:lang w:val="es-MX"/>
        </w:rPr>
        <w:t xml:space="preserve"> </w:t>
      </w:r>
      <w:r w:rsidR="008A6300">
        <w:rPr>
          <w:rFonts w:ascii="Verdana" w:eastAsia="Geomanist Light" w:hAnsi="Verdana" w:cs="Arial"/>
          <w:color w:val="000000" w:themeColor="text1"/>
          <w:lang w:val="es-MX"/>
        </w:rPr>
        <w:t xml:space="preserve">de </w:t>
      </w:r>
      <w:proofErr w:type="gramStart"/>
      <w:r w:rsidR="008A6300" w:rsidRPr="008A6300">
        <w:rPr>
          <w:rFonts w:ascii="Verdana" w:eastAsia="Geomanist Light" w:hAnsi="Verdana" w:cs="Arial"/>
          <w:color w:val="000000" w:themeColor="text1"/>
          <w:lang w:val="es-MX"/>
        </w:rPr>
        <w:t>Octubre</w:t>
      </w:r>
      <w:proofErr w:type="gramEnd"/>
      <w:r w:rsidR="008A6300" w:rsidRPr="008A6300">
        <w:rPr>
          <w:rFonts w:ascii="Verdana" w:eastAsia="Geomanist Light" w:hAnsi="Verdana" w:cs="Arial"/>
          <w:color w:val="000000" w:themeColor="text1"/>
          <w:lang w:val="es-MX"/>
        </w:rPr>
        <w:t xml:space="preserve"> de 2025</w:t>
      </w:r>
    </w:p>
    <w:p w14:paraId="5B94EC6F" w14:textId="77777777" w:rsidR="007D3AA2" w:rsidRDefault="007D3AA2" w:rsidP="007D3AA2">
      <w:pPr>
        <w:spacing w:after="0" w:line="240" w:lineRule="auto"/>
        <w:jc w:val="both"/>
        <w:rPr>
          <w:rFonts w:ascii="Verdana" w:eastAsia="Calibri" w:hAnsi="Verdana" w:cs="Arial"/>
          <w:color w:val="000000" w:themeColor="text1"/>
          <w:lang w:val="es-MX" w:eastAsia="es-ES"/>
        </w:rPr>
      </w:pPr>
    </w:p>
    <w:p w14:paraId="7B3F35C3" w14:textId="40C9711D" w:rsidR="007D3AA2" w:rsidRPr="008A6300" w:rsidRDefault="008A6300" w:rsidP="008A6300">
      <w:pPr>
        <w:spacing w:after="0" w:line="240" w:lineRule="auto"/>
        <w:ind w:left="5664"/>
        <w:jc w:val="both"/>
        <w:rPr>
          <w:rFonts w:ascii="Verdana" w:eastAsia="Calibri" w:hAnsi="Verdana" w:cs="Arial"/>
          <w:color w:val="000000" w:themeColor="text1"/>
          <w:lang w:val="es-MX" w:eastAsia="es-ES"/>
        </w:rPr>
      </w:pPr>
      <w:r>
        <w:rPr>
          <w:noProof/>
        </w:rPr>
        <w:drawing>
          <wp:inline distT="0" distB="0" distL="0" distR="0" wp14:anchorId="5797E52C" wp14:editId="1799FCDB">
            <wp:extent cx="2438400" cy="762000"/>
            <wp:effectExtent l="0" t="0" r="0" b="0"/>
            <wp:docPr id="7619714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971423" name=""/>
                    <pic:cNvPicPr/>
                  </pic:nvPicPr>
                  <pic:blipFill>
                    <a:blip r:embed="rId10"/>
                    <a:stretch>
                      <a:fillRect/>
                    </a:stretch>
                  </pic:blipFill>
                  <pic:spPr>
                    <a:xfrm>
                      <a:off x="0" y="0"/>
                      <a:ext cx="2438400" cy="762000"/>
                    </a:xfrm>
                    <a:prstGeom prst="rect">
                      <a:avLst/>
                    </a:prstGeom>
                  </pic:spPr>
                </pic:pic>
              </a:graphicData>
            </a:graphic>
          </wp:inline>
        </w:drawing>
      </w:r>
    </w:p>
    <w:p w14:paraId="42FE7911" w14:textId="77777777" w:rsidR="007D3AA2" w:rsidRPr="007E5FCC" w:rsidRDefault="007D3AA2" w:rsidP="007D3AA2">
      <w:pPr>
        <w:spacing w:after="0" w:line="240" w:lineRule="auto"/>
        <w:jc w:val="both"/>
        <w:rPr>
          <w:rFonts w:ascii="Verdana" w:eastAsia="Calibri" w:hAnsi="Verdana" w:cs="Arial"/>
          <w:color w:val="000000" w:themeColor="text1"/>
          <w:lang w:val="es-ES" w:eastAsia="es-ES"/>
        </w:rPr>
      </w:pPr>
      <w:r w:rsidRPr="007E5FCC">
        <w:rPr>
          <w:rFonts w:ascii="Verdana" w:eastAsia="Calibri" w:hAnsi="Verdana" w:cs="Arial"/>
          <w:color w:val="000000" w:themeColor="text1"/>
          <w:lang w:val="es-ES" w:eastAsia="es-ES"/>
        </w:rPr>
        <w:t>Señor</w:t>
      </w:r>
    </w:p>
    <w:p w14:paraId="37776B80" w14:textId="77777777" w:rsidR="007D3AA2" w:rsidRPr="007E5FCC" w:rsidRDefault="007D3AA2" w:rsidP="007D3AA2">
      <w:pPr>
        <w:spacing w:after="0" w:line="240" w:lineRule="auto"/>
        <w:rPr>
          <w:rFonts w:ascii="Verdana" w:eastAsia="Calibri" w:hAnsi="Verdana" w:cs="Arial"/>
          <w:b/>
          <w:color w:val="000000" w:themeColor="text1"/>
          <w:lang w:val="es-ES" w:eastAsia="es-ES"/>
        </w:rPr>
      </w:pPr>
      <w:r w:rsidRPr="007E5FCC">
        <w:rPr>
          <w:rFonts w:ascii="Verdana" w:eastAsia="Calibri" w:hAnsi="Verdana" w:cs="Arial"/>
          <w:b/>
          <w:color w:val="000000" w:themeColor="text1"/>
          <w:lang w:val="es-ES" w:eastAsia="es-ES"/>
        </w:rPr>
        <w:t xml:space="preserve">Santiago Ruiz </w:t>
      </w:r>
      <w:proofErr w:type="spellStart"/>
      <w:r w:rsidRPr="007E5FCC">
        <w:rPr>
          <w:rFonts w:ascii="Verdana" w:eastAsia="Calibri" w:hAnsi="Verdana" w:cs="Arial"/>
          <w:b/>
          <w:color w:val="000000" w:themeColor="text1"/>
          <w:lang w:val="es-ES" w:eastAsia="es-ES"/>
        </w:rPr>
        <w:t>Bermudez</w:t>
      </w:r>
      <w:proofErr w:type="spellEnd"/>
    </w:p>
    <w:p w14:paraId="7B63DDAC" w14:textId="77777777" w:rsidR="007D3AA2" w:rsidRPr="007E5FCC" w:rsidRDefault="00B25A99" w:rsidP="007D3AA2">
      <w:pPr>
        <w:spacing w:after="0" w:line="240" w:lineRule="auto"/>
        <w:rPr>
          <w:rFonts w:ascii="Verdana" w:eastAsia="Calibri" w:hAnsi="Verdana" w:cs="Arial"/>
          <w:b/>
          <w:color w:val="000000" w:themeColor="text1"/>
          <w:lang w:val="es-ES" w:eastAsia="es-ES"/>
        </w:rPr>
      </w:pPr>
      <w:hyperlink r:id="rId11" w:history="1">
        <w:r w:rsidR="007D3AA2" w:rsidRPr="007E5FCC">
          <w:rPr>
            <w:rStyle w:val="Hipervnculo"/>
            <w:rFonts w:ascii="Verdana" w:eastAsia="Calibri" w:hAnsi="Verdana" w:cs="Arial"/>
            <w:b/>
            <w:lang w:val="es-ES" w:eastAsia="es-ES"/>
          </w:rPr>
          <w:t>santiagoruizb17@gmail.com</w:t>
        </w:r>
      </w:hyperlink>
    </w:p>
    <w:p w14:paraId="413BF6F6" w14:textId="77777777" w:rsidR="007D3AA2" w:rsidRPr="007E5FCC" w:rsidRDefault="007D3AA2" w:rsidP="007D3AA2">
      <w:pPr>
        <w:spacing w:after="0" w:line="240" w:lineRule="auto"/>
        <w:rPr>
          <w:rFonts w:ascii="Verdana" w:eastAsia="Calibri" w:hAnsi="Verdana" w:cs="Arial"/>
          <w:b/>
          <w:bCs/>
          <w:color w:val="000000" w:themeColor="text1"/>
          <w:lang w:val="es-ES" w:eastAsia="es-ES"/>
        </w:rPr>
      </w:pPr>
      <w:r w:rsidRPr="007E5FCC">
        <w:rPr>
          <w:rFonts w:ascii="Verdana" w:eastAsia="Calibri" w:hAnsi="Verdana" w:cs="Arial"/>
          <w:color w:val="000000" w:themeColor="text1"/>
          <w:lang w:val="es-ES" w:eastAsia="es-ES"/>
        </w:rPr>
        <w:t>Bogotá D.C.</w:t>
      </w:r>
    </w:p>
    <w:p w14:paraId="347E0F5D" w14:textId="77777777" w:rsidR="007D3AA2" w:rsidRPr="007E5FCC" w:rsidRDefault="007D3AA2" w:rsidP="007D3AA2">
      <w:pPr>
        <w:spacing w:after="0" w:line="240" w:lineRule="auto"/>
        <w:rPr>
          <w:rFonts w:ascii="Verdana" w:eastAsia="Calibri" w:hAnsi="Verdana" w:cs="Arial"/>
          <w:b/>
          <w:bCs/>
          <w:color w:val="000000" w:themeColor="text1"/>
          <w:lang w:val="es-ES_tradnl" w:eastAsia="es-ES_tradnl"/>
        </w:rPr>
      </w:pPr>
    </w:p>
    <w:p w14:paraId="63202E03" w14:textId="77777777" w:rsidR="007D3AA2" w:rsidRPr="007E5FCC" w:rsidRDefault="007D3AA2" w:rsidP="007D3AA2">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D3AA2" w:rsidRPr="007E5FCC" w14:paraId="69EA532F" w14:textId="77777777" w:rsidTr="00CA73E4">
        <w:trPr>
          <w:trHeight w:val="884"/>
        </w:trPr>
        <w:tc>
          <w:tcPr>
            <w:tcW w:w="2689" w:type="dxa"/>
          </w:tcPr>
          <w:p w14:paraId="64921103" w14:textId="77777777" w:rsidR="007D3AA2" w:rsidRPr="007E5FCC" w:rsidRDefault="007D3AA2" w:rsidP="00CA73E4">
            <w:pPr>
              <w:jc w:val="both"/>
              <w:rPr>
                <w:rFonts w:ascii="Verdana" w:eastAsia="Calibri" w:hAnsi="Verdana" w:cs="Arial"/>
                <w:b/>
                <w:bCs/>
                <w:color w:val="000000" w:themeColor="text1"/>
                <w:lang w:val="es-ES_tradnl" w:eastAsia="es-ES_tradnl"/>
              </w:rPr>
            </w:pPr>
          </w:p>
        </w:tc>
        <w:tc>
          <w:tcPr>
            <w:tcW w:w="6100" w:type="dxa"/>
          </w:tcPr>
          <w:p w14:paraId="52A39DD2" w14:textId="77777777" w:rsidR="007D3AA2" w:rsidRPr="007E5FCC" w:rsidRDefault="007D3AA2" w:rsidP="00CA73E4">
            <w:pPr>
              <w:jc w:val="both"/>
              <w:rPr>
                <w:rFonts w:ascii="Verdana" w:eastAsia="Calibri" w:hAnsi="Verdana" w:cs="Arial"/>
                <w:b/>
                <w:bCs/>
                <w:color w:val="000000" w:themeColor="text1"/>
                <w:lang w:val="es-ES" w:eastAsia="es-ES"/>
              </w:rPr>
            </w:pPr>
            <w:r w:rsidRPr="007E5FCC">
              <w:rPr>
                <w:rFonts w:ascii="Verdana" w:eastAsia="Calibri" w:hAnsi="Verdana" w:cs="Arial"/>
                <w:b/>
                <w:bCs/>
                <w:color w:val="000000" w:themeColor="text1"/>
                <w:lang w:val="es-ES" w:eastAsia="es-ES"/>
              </w:rPr>
              <w:t>Concepto C- 1370 de 2024</w:t>
            </w:r>
          </w:p>
        </w:tc>
      </w:tr>
      <w:tr w:rsidR="007D3AA2" w:rsidRPr="007E5FCC" w14:paraId="3159CEAD" w14:textId="77777777" w:rsidTr="00CA73E4">
        <w:trPr>
          <w:trHeight w:val="884"/>
        </w:trPr>
        <w:tc>
          <w:tcPr>
            <w:tcW w:w="2689" w:type="dxa"/>
          </w:tcPr>
          <w:p w14:paraId="5D86205E" w14:textId="77777777" w:rsidR="007D3AA2" w:rsidRPr="007E5FCC" w:rsidRDefault="007D3AA2" w:rsidP="00CA73E4">
            <w:pPr>
              <w:jc w:val="both"/>
              <w:rPr>
                <w:rFonts w:ascii="Verdana" w:eastAsia="Calibri" w:hAnsi="Verdana" w:cs="Arial"/>
                <w:color w:val="000000" w:themeColor="text1"/>
                <w:lang w:val="es-ES_tradnl" w:eastAsia="es-ES_tradnl"/>
              </w:rPr>
            </w:pPr>
            <w:r w:rsidRPr="007E5FCC">
              <w:rPr>
                <w:rFonts w:ascii="Verdana" w:eastAsia="Calibri" w:hAnsi="Verdana" w:cs="Arial"/>
                <w:b/>
                <w:color w:val="000000" w:themeColor="text1"/>
                <w:lang w:val="es-ES_tradnl" w:eastAsia="es-ES_tradnl"/>
              </w:rPr>
              <w:t>Temas:</w:t>
            </w:r>
            <w:r w:rsidRPr="007E5FCC">
              <w:rPr>
                <w:rFonts w:ascii="Verdana" w:eastAsia="Calibri" w:hAnsi="Verdana" w:cs="Arial"/>
                <w:color w:val="000000" w:themeColor="text1"/>
                <w:lang w:val="es-ES_tradnl" w:eastAsia="es-ES_tradnl"/>
              </w:rPr>
              <w:t xml:space="preserve">                   </w:t>
            </w:r>
          </w:p>
        </w:tc>
        <w:tc>
          <w:tcPr>
            <w:tcW w:w="6100" w:type="dxa"/>
          </w:tcPr>
          <w:p w14:paraId="7D949E5F" w14:textId="77777777" w:rsidR="007D3AA2" w:rsidRPr="007E5FCC" w:rsidRDefault="007D3AA2" w:rsidP="00CA73E4">
            <w:pPr>
              <w:spacing w:line="276" w:lineRule="auto"/>
              <w:jc w:val="both"/>
              <w:rPr>
                <w:rFonts w:ascii="Verdana" w:eastAsia="Calibri" w:hAnsi="Verdana" w:cs="Arial"/>
                <w:color w:val="000000" w:themeColor="text1"/>
                <w:lang w:val="es-ES" w:eastAsia="es-ES"/>
              </w:rPr>
            </w:pPr>
            <w:r w:rsidRPr="007E5FCC">
              <w:rPr>
                <w:rFonts w:ascii="Verdana" w:eastAsia="Calibri" w:hAnsi="Verdana" w:cs="Arial"/>
                <w:color w:val="000000" w:themeColor="text1"/>
                <w:lang w:val="es-ES" w:eastAsia="es-ES"/>
              </w:rPr>
              <w:t xml:space="preserve">MANIFESTACIÓN DE INTERÉS – Concepto – Características / MANIFESTACIÓN DE INTERÉS – Selección abreviada de menor cuantía – Forma de hacerlo – </w:t>
            </w:r>
            <w:proofErr w:type="spellStart"/>
            <w:r w:rsidRPr="007E5FCC">
              <w:rPr>
                <w:rFonts w:ascii="Verdana" w:eastAsia="Calibri" w:hAnsi="Verdana" w:cs="Arial"/>
                <w:color w:val="000000" w:themeColor="text1"/>
                <w:lang w:val="es-ES" w:eastAsia="es-ES"/>
              </w:rPr>
              <w:t>Secop</w:t>
            </w:r>
            <w:proofErr w:type="spellEnd"/>
            <w:r w:rsidRPr="007E5FCC">
              <w:rPr>
                <w:rFonts w:ascii="Verdana" w:eastAsia="Calibri" w:hAnsi="Verdana" w:cs="Arial"/>
                <w:color w:val="000000" w:themeColor="text1"/>
                <w:lang w:val="es-ES" w:eastAsia="es-ES"/>
              </w:rPr>
              <w:t xml:space="preserve"> II / </w:t>
            </w:r>
            <w:r w:rsidRPr="007E5FCC">
              <w:rPr>
                <w:rFonts w:ascii="Verdana" w:eastAsia="Calibri" w:hAnsi="Verdana" w:cs="Arial"/>
                <w:bCs/>
                <w:color w:val="000000" w:themeColor="text1"/>
                <w:lang w:eastAsia="es-ES"/>
              </w:rPr>
              <w:t>INVITACIÓN PÚBLICA - Días</w:t>
            </w:r>
            <w:r w:rsidRPr="007E5FCC">
              <w:rPr>
                <w:rFonts w:ascii="Verdana" w:eastAsia="Calibri" w:hAnsi="Verdana" w:cs="Arial"/>
                <w:color w:val="000000" w:themeColor="text1"/>
                <w:lang w:val="es-ES" w:eastAsia="es-ES"/>
              </w:rPr>
              <w:t xml:space="preserve"> hábiles – Día solar</w:t>
            </w:r>
          </w:p>
          <w:p w14:paraId="498C95C0" w14:textId="77777777" w:rsidR="007D3AA2" w:rsidRPr="007E5FCC" w:rsidRDefault="007D3AA2" w:rsidP="00CA73E4">
            <w:pPr>
              <w:spacing w:line="276" w:lineRule="auto"/>
              <w:jc w:val="both"/>
              <w:rPr>
                <w:rFonts w:ascii="Verdana" w:eastAsia="Calibri" w:hAnsi="Verdana" w:cs="Arial"/>
                <w:color w:val="000000" w:themeColor="text1"/>
                <w:lang w:val="es-ES" w:eastAsia="es-ES"/>
              </w:rPr>
            </w:pPr>
          </w:p>
        </w:tc>
      </w:tr>
      <w:tr w:rsidR="007D3AA2" w:rsidRPr="007E5FCC" w14:paraId="5F9D4735" w14:textId="77777777" w:rsidTr="00CA73E4">
        <w:tc>
          <w:tcPr>
            <w:tcW w:w="2689" w:type="dxa"/>
          </w:tcPr>
          <w:p w14:paraId="5D5A9A36" w14:textId="77777777" w:rsidR="007D3AA2" w:rsidRPr="007E5FCC" w:rsidRDefault="007D3AA2" w:rsidP="00CA73E4">
            <w:pPr>
              <w:jc w:val="both"/>
              <w:rPr>
                <w:rFonts w:ascii="Verdana" w:eastAsia="Calibri" w:hAnsi="Verdana" w:cs="Arial"/>
                <w:b/>
                <w:color w:val="000000" w:themeColor="text1"/>
                <w:lang w:val="es-ES_tradnl" w:eastAsia="es-ES_tradnl"/>
              </w:rPr>
            </w:pPr>
            <w:r w:rsidRPr="007E5FCC">
              <w:rPr>
                <w:rFonts w:ascii="Verdana" w:eastAsia="Calibri" w:hAnsi="Verdana" w:cs="Arial"/>
                <w:b/>
                <w:color w:val="000000" w:themeColor="text1"/>
                <w:lang w:val="es-ES_tradnl" w:eastAsia="es-ES_tradnl"/>
              </w:rPr>
              <w:t>Radicación:</w:t>
            </w:r>
            <w:r w:rsidRPr="007E5FCC">
              <w:rPr>
                <w:rFonts w:ascii="Verdana" w:eastAsia="Calibri" w:hAnsi="Verdana" w:cs="Arial"/>
                <w:color w:val="000000" w:themeColor="text1"/>
                <w:lang w:val="es-ES_tradnl" w:eastAsia="es-ES_tradnl"/>
              </w:rPr>
              <w:t xml:space="preserve">               </w:t>
            </w:r>
          </w:p>
        </w:tc>
        <w:tc>
          <w:tcPr>
            <w:tcW w:w="6100" w:type="dxa"/>
          </w:tcPr>
          <w:p w14:paraId="77DB01E0" w14:textId="77777777" w:rsidR="007D3AA2" w:rsidRPr="007E5FCC" w:rsidRDefault="007D3AA2" w:rsidP="00CA73E4">
            <w:pPr>
              <w:jc w:val="both"/>
              <w:rPr>
                <w:rFonts w:ascii="Verdana" w:eastAsia="Calibri" w:hAnsi="Verdana" w:cs="Arial"/>
                <w:color w:val="000000" w:themeColor="text1"/>
                <w:lang w:val="es-ES_tradnl" w:eastAsia="es-ES_tradnl"/>
              </w:rPr>
            </w:pPr>
            <w:r w:rsidRPr="007E5FCC">
              <w:rPr>
                <w:rFonts w:ascii="Verdana" w:eastAsia="Calibri" w:hAnsi="Verdana" w:cs="Arial"/>
                <w:color w:val="000000" w:themeColor="text1"/>
                <w:lang w:val="es-ES_tradnl" w:eastAsia="es-ES_tradnl"/>
              </w:rPr>
              <w:t xml:space="preserve">Respuesta a consulta con radicado No. </w:t>
            </w:r>
          </w:p>
          <w:p w14:paraId="27E3DCAC" w14:textId="77777777" w:rsidR="007D3AA2" w:rsidRPr="007E5FCC" w:rsidRDefault="007D3AA2" w:rsidP="00CA73E4">
            <w:pPr>
              <w:jc w:val="both"/>
              <w:rPr>
                <w:rFonts w:ascii="Verdana" w:hAnsi="Verdana" w:cs="Calibri"/>
                <w:color w:val="000000"/>
              </w:rPr>
            </w:pPr>
            <w:r w:rsidRPr="007E5FCC">
              <w:rPr>
                <w:rFonts w:ascii="Verdana" w:hAnsi="Verdana" w:cs="Calibri"/>
                <w:color w:val="000000"/>
              </w:rPr>
              <w:t>1_2025_09_23_010483</w:t>
            </w:r>
          </w:p>
          <w:p w14:paraId="6B957458" w14:textId="77777777" w:rsidR="007D3AA2" w:rsidRPr="007E5FCC" w:rsidRDefault="007D3AA2" w:rsidP="00CA73E4">
            <w:pPr>
              <w:jc w:val="both"/>
              <w:rPr>
                <w:rFonts w:ascii="Verdana" w:eastAsia="Calibri" w:hAnsi="Verdana" w:cs="Arial"/>
                <w:color w:val="000000" w:themeColor="text1"/>
                <w:lang w:val="es-ES_tradnl" w:eastAsia="es-ES_tradnl"/>
              </w:rPr>
            </w:pPr>
          </w:p>
        </w:tc>
      </w:tr>
    </w:tbl>
    <w:p w14:paraId="2FC1A42E" w14:textId="77777777" w:rsidR="007D3AA2" w:rsidRPr="007E5FCC" w:rsidRDefault="007D3AA2" w:rsidP="007D3AA2">
      <w:pPr>
        <w:spacing w:after="0" w:line="240" w:lineRule="auto"/>
        <w:jc w:val="both"/>
        <w:rPr>
          <w:rFonts w:ascii="Verdana" w:eastAsia="Calibri" w:hAnsi="Verdana" w:cs="Arial"/>
          <w:color w:val="000000" w:themeColor="text1"/>
          <w:lang w:val="es-ES_tradnl" w:eastAsia="es-ES_tradnl"/>
        </w:rPr>
      </w:pPr>
    </w:p>
    <w:p w14:paraId="32C45014" w14:textId="77777777" w:rsidR="007D3AA2" w:rsidRPr="007E5FCC" w:rsidRDefault="007D3AA2" w:rsidP="007D3AA2">
      <w:pPr>
        <w:spacing w:after="0" w:line="240" w:lineRule="auto"/>
        <w:jc w:val="both"/>
        <w:rPr>
          <w:rFonts w:ascii="Verdana" w:eastAsia="Calibri" w:hAnsi="Verdana" w:cs="Arial"/>
          <w:color w:val="000000" w:themeColor="text1"/>
          <w:lang w:val="es-ES_tradnl" w:eastAsia="es-ES_tradnl"/>
        </w:rPr>
      </w:pPr>
    </w:p>
    <w:p w14:paraId="3040E12A" w14:textId="6F2A31E8" w:rsidR="007D3AA2" w:rsidRPr="007E5FCC" w:rsidRDefault="008A6300" w:rsidP="007D3AA2">
      <w:pPr>
        <w:spacing w:after="0" w:line="276" w:lineRule="auto"/>
        <w:jc w:val="both"/>
        <w:rPr>
          <w:rFonts w:ascii="Verdana" w:eastAsia="Calibri" w:hAnsi="Verdana" w:cs="Arial"/>
          <w:color w:val="000000" w:themeColor="text1"/>
          <w:lang w:val="es-ES" w:eastAsia="es-ES"/>
        </w:rPr>
      </w:pPr>
      <w:r w:rsidRPr="008A6300">
        <w:rPr>
          <w:rFonts w:ascii="Verdana" w:eastAsia="Calibri" w:hAnsi="Verdana" w:cs="Arial"/>
          <w:color w:val="000000" w:themeColor="text1"/>
          <w:lang w:val="es-ES" w:eastAsia="es-ES"/>
        </w:rPr>
        <w:t xml:space="preserve">Estimado señor Ruiz </w:t>
      </w:r>
      <w:proofErr w:type="spellStart"/>
      <w:r w:rsidRPr="008A6300">
        <w:rPr>
          <w:rFonts w:ascii="Verdana" w:eastAsia="Calibri" w:hAnsi="Verdana" w:cs="Arial"/>
          <w:color w:val="000000" w:themeColor="text1"/>
          <w:lang w:val="es-ES" w:eastAsia="es-ES"/>
        </w:rPr>
        <w:t>Bermudez</w:t>
      </w:r>
      <w:proofErr w:type="spellEnd"/>
      <w:r w:rsidR="007D3AA2" w:rsidRPr="007E5FCC">
        <w:rPr>
          <w:rFonts w:ascii="Verdana" w:eastAsia="Calibri" w:hAnsi="Verdana" w:cs="Arial"/>
          <w:color w:val="000000" w:themeColor="text1"/>
          <w:lang w:val="es-ES" w:eastAsia="es-ES"/>
        </w:rPr>
        <w:t xml:space="preserve">: </w:t>
      </w:r>
    </w:p>
    <w:p w14:paraId="440AD030" w14:textId="77777777" w:rsidR="007D3AA2" w:rsidRPr="007E5FCC" w:rsidRDefault="007D3AA2" w:rsidP="007D3AA2">
      <w:pPr>
        <w:tabs>
          <w:tab w:val="left" w:pos="3768"/>
        </w:tabs>
        <w:spacing w:after="0" w:line="276" w:lineRule="auto"/>
        <w:jc w:val="both"/>
        <w:rPr>
          <w:rFonts w:ascii="Verdana" w:eastAsia="Calibri" w:hAnsi="Verdana" w:cs="Arial"/>
          <w:color w:val="000000" w:themeColor="text1"/>
          <w:lang w:val="es-ES" w:eastAsia="es-ES"/>
        </w:rPr>
      </w:pPr>
      <w:r w:rsidRPr="007E5FCC">
        <w:rPr>
          <w:rFonts w:ascii="Verdana" w:eastAsia="Calibri" w:hAnsi="Verdana" w:cs="Arial"/>
          <w:color w:val="000000" w:themeColor="text1"/>
          <w:lang w:val="es-ES" w:eastAsia="es-ES"/>
        </w:rPr>
        <w:tab/>
      </w:r>
    </w:p>
    <w:p w14:paraId="6DE1A9A9" w14:textId="77777777" w:rsidR="007D3AA2" w:rsidRPr="007E5FCC" w:rsidRDefault="007D3AA2" w:rsidP="007D3AA2">
      <w:pPr>
        <w:spacing w:after="0" w:line="276" w:lineRule="auto"/>
        <w:jc w:val="both"/>
        <w:rPr>
          <w:rFonts w:ascii="Verdana" w:eastAsia="Calibri" w:hAnsi="Verdana" w:cs="Arial"/>
          <w:color w:val="000000" w:themeColor="text1"/>
          <w:lang w:val="es-ES" w:eastAsia="es-ES"/>
        </w:rPr>
      </w:pPr>
      <w:r w:rsidRPr="007E5FCC">
        <w:rPr>
          <w:rFonts w:ascii="Verdana" w:eastAsia="Calibri" w:hAnsi="Verdana" w:cs="Arial"/>
          <w:color w:val="000000" w:themeColor="text1"/>
          <w:lang w:val="es-ES" w:eastAsia="es-ES"/>
        </w:rPr>
        <w:t>En ejercicio de la competencia otorgada por los artículos 3, numeral 5º, y 11, numeral 8º, del Decreto Ley 4170 de 2011,</w:t>
      </w:r>
      <w:r w:rsidRPr="007E5FCC">
        <w:rPr>
          <w:rFonts w:ascii="Verdana" w:eastAsia="Arial MT" w:hAnsi="Verdana" w:cs="Arial MT"/>
          <w:color w:val="000000" w:themeColor="text1"/>
          <w:lang w:val="es-ES" w:eastAsia="es-ES"/>
        </w:rPr>
        <w:t xml:space="preserve"> </w:t>
      </w:r>
      <w:r w:rsidRPr="007E5FCC">
        <w:rPr>
          <w:rFonts w:ascii="Verdana" w:hAnsi="Verdana" w:cs="Arial"/>
          <w:color w:val="000000" w:themeColor="text1"/>
        </w:rPr>
        <w:t xml:space="preserve">así como lo establecido en el artículo 4 de la Resolución 1707 de 2018 expedida por esta Entidad, </w:t>
      </w:r>
      <w:r w:rsidRPr="007E5FCC">
        <w:rPr>
          <w:rFonts w:ascii="Verdana" w:eastAsia="Calibri" w:hAnsi="Verdana" w:cs="Arial"/>
          <w:color w:val="000000" w:themeColor="text1"/>
          <w:lang w:val="es-ES" w:eastAsia="es-ES"/>
        </w:rPr>
        <w:t xml:space="preserve">la Agencia Nacional de Contratación Pública – Colombia Compra Eficiente– responde su solicitud de consulta de fecha 23 de septiembre de 2025, en la cual manifiesta lo siguiente: </w:t>
      </w:r>
    </w:p>
    <w:p w14:paraId="0536ABA3" w14:textId="77777777" w:rsidR="007D3AA2" w:rsidRPr="007E5FCC" w:rsidRDefault="007D3AA2" w:rsidP="007D3AA2">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1D634DC8" w14:textId="77777777" w:rsidR="007D3AA2" w:rsidRPr="007E5FCC" w:rsidRDefault="007D3AA2" w:rsidP="007D3AA2">
      <w:pPr>
        <w:spacing w:after="0" w:line="240" w:lineRule="auto"/>
        <w:ind w:left="709" w:right="709"/>
        <w:jc w:val="both"/>
        <w:rPr>
          <w:rFonts w:ascii="Verdana" w:eastAsia="Century Gothic" w:hAnsi="Verdana" w:cs="Century Gothic"/>
          <w:i/>
          <w:iCs/>
          <w:color w:val="000000" w:themeColor="text1"/>
          <w:sz w:val="20"/>
          <w:szCs w:val="20"/>
        </w:rPr>
      </w:pPr>
      <w:bookmarkStart w:id="0" w:name="_Hlk95313578"/>
      <w:r w:rsidRPr="007E5FCC">
        <w:rPr>
          <w:rFonts w:ascii="Verdana" w:eastAsia="Century Gothic" w:hAnsi="Verdana" w:cs="Century Gothic"/>
          <w:i/>
          <w:iCs/>
          <w:color w:val="000000" w:themeColor="text1"/>
          <w:sz w:val="20"/>
          <w:szCs w:val="20"/>
          <w:lang w:val="es-ES"/>
        </w:rPr>
        <w:t>“</w:t>
      </w:r>
      <w:bookmarkEnd w:id="0"/>
      <w:r w:rsidRPr="007E5FCC">
        <w:rPr>
          <w:rFonts w:ascii="Verdana" w:eastAsia="Century Gothic" w:hAnsi="Verdana" w:cs="Century Gothic"/>
          <w:i/>
          <w:iCs/>
          <w:color w:val="000000" w:themeColor="text1"/>
          <w:sz w:val="20"/>
          <w:szCs w:val="20"/>
        </w:rPr>
        <w:t xml:space="preserve">El hecho de que la entidad estatal haya otorgado un (1) día hábil para la manifestación de interés se encuentra en contravía de lo dispuesto en el numeral 1 del artículo 2.2.1.2.1.2.20 del Decreto 1082 de 2015, o se entiende que la disposición normativa habilita un rango flexible entre 1 y </w:t>
      </w:r>
      <w:r w:rsidRPr="007E5FCC">
        <w:rPr>
          <w:rFonts w:ascii="Verdana" w:eastAsia="Century Gothic" w:hAnsi="Verdana" w:cs="Century Gothic"/>
          <w:i/>
          <w:iCs/>
          <w:color w:val="000000" w:themeColor="text1"/>
          <w:sz w:val="20"/>
          <w:szCs w:val="20"/>
        </w:rPr>
        <w:lastRenderedPageBreak/>
        <w:t xml:space="preserve">3 días hábiles, dentro del cual la entidad puede fijar el término específico en los pliegos de condiciones?” </w:t>
      </w:r>
    </w:p>
    <w:p w14:paraId="05ABA2AA" w14:textId="77777777" w:rsidR="007D3AA2" w:rsidRPr="007E5FCC" w:rsidRDefault="007D3AA2" w:rsidP="007D3AA2">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248BFF4B" w14:textId="77777777" w:rsidR="007D3AA2" w:rsidRPr="007E5FCC" w:rsidRDefault="007D3AA2" w:rsidP="007D3AA2">
      <w:pPr>
        <w:spacing w:after="120" w:line="276" w:lineRule="auto"/>
        <w:ind w:firstLine="709"/>
        <w:jc w:val="both"/>
        <w:rPr>
          <w:rFonts w:ascii="Verdana" w:eastAsia="Calibri" w:hAnsi="Verdana" w:cs="Arial"/>
          <w:color w:val="000000" w:themeColor="text1"/>
          <w:szCs w:val="24"/>
          <w:lang w:val="es-ES_tradnl" w:eastAsia="es-ES_tradnl"/>
        </w:rPr>
      </w:pPr>
      <w:r w:rsidRPr="007E5FCC">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E5FCC">
        <w:rPr>
          <w:rFonts w:ascii="Verdana" w:eastAsia="Calibri" w:hAnsi="Verdana" w:cs="Arial"/>
          <w:color w:val="000000" w:themeColor="text1"/>
          <w:szCs w:val="24"/>
          <w:lang w:val="es-ES_tradnl" w:eastAsia="es-ES_tradnl"/>
        </w:rPr>
        <w:tab/>
      </w:r>
    </w:p>
    <w:p w14:paraId="29CDA82E" w14:textId="77777777" w:rsidR="007D3AA2" w:rsidRPr="007E5FCC" w:rsidRDefault="007D3AA2" w:rsidP="007D3AA2">
      <w:pPr>
        <w:spacing w:after="0" w:line="276" w:lineRule="auto"/>
        <w:ind w:firstLine="709"/>
        <w:jc w:val="both"/>
        <w:rPr>
          <w:rFonts w:ascii="Verdana" w:eastAsia="Calibri" w:hAnsi="Verdana" w:cs="Arial"/>
          <w:color w:val="000000" w:themeColor="text1"/>
          <w:lang w:val="es-ES" w:eastAsia="es-ES"/>
        </w:rPr>
      </w:pPr>
      <w:r w:rsidRPr="007E5FCC">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1B9AE92" w14:textId="77777777" w:rsidR="007D3AA2" w:rsidRPr="007E5FCC" w:rsidRDefault="007D3AA2" w:rsidP="007D3AA2">
      <w:pPr>
        <w:spacing w:after="0" w:line="276" w:lineRule="auto"/>
        <w:ind w:firstLine="709"/>
        <w:jc w:val="both"/>
        <w:rPr>
          <w:rFonts w:ascii="Verdana" w:eastAsia="Calibri" w:hAnsi="Verdana" w:cs="Arial"/>
          <w:color w:val="000000" w:themeColor="text1"/>
          <w:lang w:val="es-ES" w:eastAsia="es-ES"/>
        </w:rPr>
      </w:pPr>
    </w:p>
    <w:p w14:paraId="5B6B0A47" w14:textId="77777777" w:rsidR="007D3AA2" w:rsidRPr="007E5FCC" w:rsidRDefault="007D3AA2" w:rsidP="007D3AA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7E5FCC">
        <w:rPr>
          <w:rFonts w:ascii="Verdana" w:eastAsia="Century Gothic" w:hAnsi="Verdana" w:cs="Century Gothic"/>
          <w:b/>
          <w:bCs/>
          <w:color w:val="000000" w:themeColor="text1"/>
        </w:rPr>
        <w:t>Problema planteado:</w:t>
      </w:r>
    </w:p>
    <w:p w14:paraId="34762D92" w14:textId="77777777" w:rsidR="007D3AA2" w:rsidRPr="007E5FCC" w:rsidRDefault="007D3AA2" w:rsidP="007D3AA2">
      <w:pPr>
        <w:tabs>
          <w:tab w:val="left" w:pos="426"/>
        </w:tabs>
        <w:spacing w:after="0" w:line="276" w:lineRule="auto"/>
        <w:jc w:val="both"/>
        <w:rPr>
          <w:rFonts w:ascii="Verdana" w:eastAsia="Century Gothic" w:hAnsi="Verdana" w:cs="Century Gothic"/>
          <w:color w:val="000000" w:themeColor="text1"/>
          <w:lang w:val="es-ES"/>
        </w:rPr>
      </w:pPr>
    </w:p>
    <w:p w14:paraId="34BF0378" w14:textId="67EA25E7" w:rsidR="007D3AA2" w:rsidRPr="007E5FCC" w:rsidRDefault="007D3AA2" w:rsidP="007D3AA2">
      <w:pPr>
        <w:spacing w:after="0" w:line="276" w:lineRule="auto"/>
        <w:jc w:val="both"/>
        <w:rPr>
          <w:rFonts w:ascii="Verdana" w:eastAsia="Century Gothic" w:hAnsi="Verdana" w:cs="Century Gothic"/>
          <w:color w:val="000000" w:themeColor="text1"/>
        </w:rPr>
      </w:pPr>
      <w:r w:rsidRPr="007E5FCC">
        <w:rPr>
          <w:rFonts w:ascii="Verdana" w:eastAsia="Century Gothic" w:hAnsi="Verdana" w:cs="Century Gothic"/>
        </w:rPr>
        <w:t xml:space="preserve">De acuerdo con el contenido de su solicitud, esta Agencia resolverá el siguiente problema jurídico: </w:t>
      </w:r>
      <w:proofErr w:type="gramStart"/>
      <w:r w:rsidRPr="007E5FCC">
        <w:rPr>
          <w:rFonts w:ascii="Verdana" w:eastAsia="Century Gothic" w:hAnsi="Verdana" w:cs="Century Gothic"/>
          <w:color w:val="000000" w:themeColor="text1"/>
        </w:rPr>
        <w:t>¿</w:t>
      </w:r>
      <w:r w:rsidRPr="007E5FCC">
        <w:rPr>
          <w:rFonts w:ascii="Verdana" w:hAnsi="Verdana"/>
        </w:rPr>
        <w:t>Es</w:t>
      </w:r>
      <w:r w:rsidRPr="007E5FCC">
        <w:rPr>
          <w:rFonts w:ascii="Verdana" w:eastAsia="Century Gothic" w:hAnsi="Verdana" w:cs="Century Gothic"/>
          <w:color w:val="000000" w:themeColor="text1"/>
        </w:rPr>
        <w:t xml:space="preserve"> jurídicamente válido que una entidad contratante, en virtud del artículo 2.</w:t>
      </w:r>
      <w:proofErr w:type="gramEnd"/>
      <w:r w:rsidRPr="007E5FCC">
        <w:rPr>
          <w:rFonts w:ascii="Verdana" w:eastAsia="Century Gothic" w:hAnsi="Verdana" w:cs="Century Gothic"/>
          <w:color w:val="000000" w:themeColor="text1"/>
        </w:rPr>
        <w:t>2.1.2.1.2.20 del Decreto 1082 de 2015, establezca un plazo inferior a tres (3) días hábiles para la manifestación de interés en participar en un proceso de contratación</w:t>
      </w:r>
      <w:r>
        <w:rPr>
          <w:rFonts w:ascii="Verdana" w:eastAsia="Century Gothic" w:hAnsi="Verdana" w:cs="Century Gothic"/>
          <w:color w:val="000000" w:themeColor="text1"/>
        </w:rPr>
        <w:t xml:space="preserve"> de </w:t>
      </w:r>
      <w:r w:rsidRPr="007D3AA2">
        <w:rPr>
          <w:rFonts w:ascii="Verdana" w:eastAsia="Century Gothic" w:hAnsi="Verdana" w:cs="Century Gothic"/>
          <w:color w:val="000000" w:themeColor="text1"/>
        </w:rPr>
        <w:t>Selección abreviada de menor cuantía</w:t>
      </w:r>
      <w:r w:rsidRPr="007E5FCC">
        <w:rPr>
          <w:rFonts w:ascii="Verdana" w:eastAsia="Century Gothic" w:hAnsi="Verdana" w:cs="Century Gothic"/>
          <w:color w:val="000000" w:themeColor="text1"/>
        </w:rPr>
        <w:t>?</w:t>
      </w:r>
    </w:p>
    <w:p w14:paraId="1EF4ECBC" w14:textId="77777777" w:rsidR="007D3AA2" w:rsidRPr="007E5FCC" w:rsidRDefault="007D3AA2" w:rsidP="007D3AA2">
      <w:pPr>
        <w:spacing w:after="0" w:line="276" w:lineRule="auto"/>
        <w:jc w:val="both"/>
        <w:rPr>
          <w:rFonts w:ascii="Verdana" w:eastAsia="Calibri" w:hAnsi="Verdana" w:cs="Arial"/>
          <w:color w:val="000000" w:themeColor="text1"/>
          <w:lang w:val="es-ES"/>
        </w:rPr>
      </w:pPr>
    </w:p>
    <w:p w14:paraId="352AAF7B" w14:textId="77777777" w:rsidR="007D3AA2" w:rsidRPr="007E5FCC" w:rsidRDefault="007D3AA2" w:rsidP="007D3AA2">
      <w:pPr>
        <w:spacing w:after="0" w:line="276" w:lineRule="auto"/>
        <w:jc w:val="both"/>
        <w:rPr>
          <w:rFonts w:ascii="Verdana" w:eastAsia="Calibri" w:hAnsi="Verdana" w:cs="Arial"/>
          <w:color w:val="000000" w:themeColor="text1"/>
          <w:lang w:val="es-ES"/>
        </w:rPr>
      </w:pPr>
    </w:p>
    <w:p w14:paraId="419ACA97" w14:textId="77777777" w:rsidR="007D3AA2" w:rsidRPr="007E5FCC" w:rsidRDefault="007D3AA2" w:rsidP="007D3AA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7E5FCC">
        <w:rPr>
          <w:rFonts w:ascii="Verdana" w:eastAsia="Century Gothic" w:hAnsi="Verdana" w:cs="Century Gothic"/>
          <w:b/>
          <w:bCs/>
          <w:color w:val="000000" w:themeColor="text1"/>
        </w:rPr>
        <w:t>Respuesta:</w:t>
      </w:r>
    </w:p>
    <w:p w14:paraId="6A5AD294" w14:textId="77777777" w:rsidR="007D3AA2" w:rsidRPr="007E5FCC" w:rsidRDefault="007D3AA2" w:rsidP="007D3AA2">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D3AA2" w:rsidRPr="007E5FCC" w14:paraId="129BB56D" w14:textId="77777777" w:rsidTr="1540D97C">
        <w:tc>
          <w:tcPr>
            <w:tcW w:w="8828" w:type="dxa"/>
            <w:shd w:val="clear" w:color="auto" w:fill="auto"/>
          </w:tcPr>
          <w:p w14:paraId="394D5BCC" w14:textId="1A50B9D3" w:rsidR="007D3AA2" w:rsidRPr="007E5FCC" w:rsidRDefault="007D3AA2" w:rsidP="00CA73E4">
            <w:pPr>
              <w:spacing w:line="276" w:lineRule="auto"/>
              <w:jc w:val="both"/>
              <w:rPr>
                <w:rFonts w:ascii="Verdana" w:eastAsia="Calibri" w:hAnsi="Verdana" w:cs="Arial"/>
                <w:lang w:val="es-MX"/>
              </w:rPr>
            </w:pPr>
            <w:r w:rsidRPr="1540D97C">
              <w:rPr>
                <w:rFonts w:ascii="Verdana" w:eastAsia="Arial MT" w:hAnsi="Verdana" w:cs="Arial"/>
                <w:lang w:eastAsia="es-ES" w:bidi="es-ES"/>
              </w:rPr>
              <w:t>El plazo que deben otorgar las entidades estatales a los proponentes para manifestar su interés en un proceso de selección abreviada de menor cuantía es el contemplado de manera taxativa en el numeral 1 del artículo 2.2.1.2.1.2.20. del Decreto 1082 de 2015, según el cual</w:t>
            </w:r>
            <w:r w:rsidRPr="1540D97C">
              <w:rPr>
                <w:rFonts w:ascii="Verdana" w:eastAsia="Calibri" w:hAnsi="Verdana" w:cs="Arial"/>
                <w:lang w:val="es-MX"/>
              </w:rPr>
              <w:t>: “</w:t>
            </w:r>
            <w:r w:rsidRPr="1540D97C">
              <w:rPr>
                <w:rFonts w:ascii="Verdana" w:eastAsia="Calibri" w:hAnsi="Verdana" w:cs="Arial"/>
                <w:i/>
                <w:iCs/>
                <w:lang w:val="es-MX"/>
              </w:rPr>
              <w:t xml:space="preserve">En un término </w:t>
            </w:r>
            <w:r w:rsidRPr="1540D97C">
              <w:rPr>
                <w:rFonts w:ascii="Verdana" w:eastAsia="Calibri" w:hAnsi="Verdana" w:cs="Arial"/>
                <w:i/>
                <w:iCs/>
                <w:u w:val="single"/>
                <w:lang w:val="es-MX"/>
              </w:rPr>
              <w:t xml:space="preserve">no </w:t>
            </w:r>
            <w:r w:rsidRPr="1540D97C">
              <w:rPr>
                <w:rFonts w:ascii="Verdana" w:eastAsia="Calibri" w:hAnsi="Verdana" w:cs="Arial"/>
                <w:i/>
                <w:iCs/>
                <w:u w:val="single"/>
                <w:lang w:val="es-MX"/>
              </w:rPr>
              <w:lastRenderedPageBreak/>
              <w:t>mayor a tres (3) días hábiles</w:t>
            </w:r>
            <w:r w:rsidRPr="1540D97C">
              <w:rPr>
                <w:rFonts w:ascii="Verdana" w:eastAsia="Calibri" w:hAnsi="Verdana" w:cs="Arial"/>
                <w:lang w:val="es-MX"/>
              </w:rPr>
              <w:t xml:space="preserve"> contados a partir de la fecha de apertura del Proceso de Contratación </w:t>
            </w:r>
            <w:r w:rsidRPr="1540D97C">
              <w:rPr>
                <w:rFonts w:ascii="Verdana" w:eastAsia="Calibri" w:hAnsi="Verdana" w:cs="Arial"/>
                <w:i/>
                <w:iCs/>
                <w:lang w:val="es-MX"/>
              </w:rPr>
              <w:t>los interesados deben manifestar su intención de participar</w:t>
            </w:r>
            <w:r w:rsidRPr="1540D97C">
              <w:rPr>
                <w:rFonts w:ascii="Verdana" w:eastAsia="Calibri" w:hAnsi="Verdana" w:cs="Arial"/>
                <w:lang w:val="es-MX"/>
              </w:rPr>
              <w:t xml:space="preserve">, a través del mecanismo establecido para el efecto en los pliegos de condiciones”. A juicio de esta Agencia, la norma señala que los interesados podrán presentar la manifestación de interés durante ese término (3 días hábiles contados a partir de la fecha de apertura del proceso), sin que exista la </w:t>
            </w:r>
            <w:proofErr w:type="gramStart"/>
            <w:r w:rsidRPr="1540D97C">
              <w:rPr>
                <w:rFonts w:ascii="Verdana" w:eastAsia="Calibri" w:hAnsi="Verdana" w:cs="Arial"/>
                <w:lang w:val="es-MX"/>
              </w:rPr>
              <w:t>posibilidad  interpret</w:t>
            </w:r>
            <w:r w:rsidR="7D96A2A0" w:rsidRPr="1540D97C">
              <w:rPr>
                <w:rFonts w:ascii="Verdana" w:eastAsia="Calibri" w:hAnsi="Verdana" w:cs="Arial"/>
                <w:lang w:val="es-MX"/>
              </w:rPr>
              <w:t>arse</w:t>
            </w:r>
            <w:proofErr w:type="gramEnd"/>
            <w:r w:rsidR="7D96A2A0" w:rsidRPr="1540D97C">
              <w:rPr>
                <w:rFonts w:ascii="Verdana" w:eastAsia="Calibri" w:hAnsi="Verdana" w:cs="Arial"/>
                <w:lang w:val="es-MX"/>
              </w:rPr>
              <w:t xml:space="preserve"> de manera diferente </w:t>
            </w:r>
            <w:r w:rsidRPr="1540D97C">
              <w:rPr>
                <w:rFonts w:ascii="Verdana" w:eastAsia="Calibri" w:hAnsi="Verdana" w:cs="Arial"/>
                <w:lang w:val="es-MX"/>
              </w:rPr>
              <w:t xml:space="preserve">, </w:t>
            </w:r>
            <w:r w:rsidR="6ED3FD36" w:rsidRPr="1540D97C">
              <w:rPr>
                <w:rFonts w:ascii="Verdana" w:eastAsia="Calibri" w:hAnsi="Verdana" w:cs="Arial"/>
                <w:lang w:val="es-MX"/>
              </w:rPr>
              <w:t xml:space="preserve">y por ello no le es dable a </w:t>
            </w:r>
            <w:r w:rsidRPr="1540D97C">
              <w:rPr>
                <w:rFonts w:ascii="Verdana" w:eastAsia="Calibri" w:hAnsi="Verdana" w:cs="Arial"/>
                <w:lang w:val="es-MX"/>
              </w:rPr>
              <w:t xml:space="preserve">las entidades estatales establecer un término distinto y mucho menos que las autorice a otorgar en el pliego de condiciones menos o más días hábiles para </w:t>
            </w:r>
            <w:r w:rsidR="465593B9" w:rsidRPr="1540D97C">
              <w:rPr>
                <w:rFonts w:ascii="Verdana" w:eastAsia="Calibri" w:hAnsi="Verdana" w:cs="Arial"/>
                <w:lang w:val="es-MX"/>
              </w:rPr>
              <w:t xml:space="preserve">permitir </w:t>
            </w:r>
            <w:r w:rsidR="47983D38" w:rsidRPr="1540D97C">
              <w:rPr>
                <w:rFonts w:ascii="Verdana" w:eastAsia="Calibri" w:hAnsi="Verdana" w:cs="Arial"/>
                <w:lang w:val="es-MX"/>
              </w:rPr>
              <w:t>la</w:t>
            </w:r>
            <w:r w:rsidRPr="1540D97C">
              <w:rPr>
                <w:rFonts w:ascii="Verdana" w:eastAsia="Calibri" w:hAnsi="Verdana" w:cs="Arial"/>
                <w:lang w:val="es-MX"/>
              </w:rPr>
              <w:t xml:space="preserve"> manifestación de interés. En consecuencia, la mención que se hace al final del numeral citado respecto </w:t>
            </w:r>
            <w:r w:rsidR="6F944C60" w:rsidRPr="1540D97C">
              <w:rPr>
                <w:rFonts w:ascii="Verdana" w:eastAsia="Calibri" w:hAnsi="Verdana" w:cs="Arial"/>
                <w:lang w:val="es-MX"/>
              </w:rPr>
              <w:t>de</w:t>
            </w:r>
            <w:r w:rsidRPr="1540D97C">
              <w:rPr>
                <w:rFonts w:ascii="Verdana" w:eastAsia="Calibri" w:hAnsi="Verdana" w:cs="Arial"/>
                <w:lang w:val="es-MX"/>
              </w:rPr>
              <w:t>l pliego de condiciones está dirigido a que se establezca el mecanismo para realizar la solicitud, no frente al momento para presentar las manifestaciones de interés que, como se indicó, lo establece directamente la norma y, por lo tanto, el pliego de condiciones debe simplemente acoger el término de los tres días hábiles máximos de los que habla el numeral 1.</w:t>
            </w:r>
          </w:p>
          <w:p w14:paraId="67C76764" w14:textId="77777777" w:rsidR="007D3AA2" w:rsidRPr="007E5FCC" w:rsidRDefault="007D3AA2" w:rsidP="00CA73E4">
            <w:pPr>
              <w:spacing w:line="276" w:lineRule="auto"/>
              <w:jc w:val="both"/>
              <w:rPr>
                <w:rFonts w:ascii="Verdana" w:eastAsia="Calibri" w:hAnsi="Verdana" w:cs="Arial"/>
                <w:lang w:val="es-MX"/>
              </w:rPr>
            </w:pPr>
          </w:p>
          <w:p w14:paraId="67D64FB3" w14:textId="65234C66" w:rsidR="007D3AA2" w:rsidRPr="007E5FCC" w:rsidRDefault="007D3AA2" w:rsidP="00CA73E4">
            <w:pPr>
              <w:spacing w:line="276" w:lineRule="auto"/>
              <w:jc w:val="both"/>
              <w:rPr>
                <w:rFonts w:ascii="Verdana" w:eastAsia="Calibri" w:hAnsi="Verdana" w:cs="Arial"/>
                <w:lang w:val="es-MX"/>
              </w:rPr>
            </w:pPr>
            <w:r w:rsidRPr="788D6990">
              <w:rPr>
                <w:rFonts w:ascii="Verdana" w:eastAsia="Calibri" w:hAnsi="Verdana" w:cs="Arial"/>
                <w:lang w:val="es-MX"/>
              </w:rPr>
              <w:t>En ese sentido, la finalidad del Decreto es establecer un término de máximo 3 días hábiles después de la apertura del proceso de selección para que los interesados presenten las manifestaciones de interés, aun cuando los proponentes pueden, a su criterio, presentar la manifestación de interés antes del tercer día hábil. En todo caso, el término que ostenta el proponente para presentar su manifestación de interés no puede ser mayor al término legal y perentorio de 3 días hábiles luego de la apertura del proceso.</w:t>
            </w:r>
          </w:p>
          <w:p w14:paraId="23BC8735" w14:textId="77777777" w:rsidR="007D3AA2" w:rsidRPr="007E5FCC" w:rsidRDefault="007D3AA2" w:rsidP="00CA73E4">
            <w:pPr>
              <w:pStyle w:val="NormalWeb"/>
              <w:spacing w:before="120" w:line="276" w:lineRule="auto"/>
              <w:ind w:firstLine="709"/>
              <w:jc w:val="both"/>
              <w:rPr>
                <w:rFonts w:ascii="Verdana" w:eastAsia="Calibri" w:hAnsi="Verdana" w:cs="Arial"/>
                <w:color w:val="000000" w:themeColor="text1"/>
              </w:rPr>
            </w:pPr>
          </w:p>
        </w:tc>
      </w:tr>
    </w:tbl>
    <w:p w14:paraId="7A8BE0C6" w14:textId="77777777" w:rsidR="007D3AA2" w:rsidRPr="007E5FCC" w:rsidRDefault="007D3AA2" w:rsidP="007D3AA2">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A4A91BC" w14:textId="62DAC996" w:rsidR="007D3AA2" w:rsidRPr="008E7348" w:rsidRDefault="007D3AA2" w:rsidP="007D3AA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7E5FCC">
        <w:rPr>
          <w:rFonts w:ascii="Verdana" w:eastAsia="Century Gothic" w:hAnsi="Verdana" w:cs="Century Gothic"/>
          <w:b/>
          <w:bCs/>
          <w:color w:val="000000" w:themeColor="text1"/>
        </w:rPr>
        <w:t>Razones de la respuesta:</w:t>
      </w:r>
    </w:p>
    <w:p w14:paraId="45473FE8" w14:textId="4EDF7928" w:rsidR="007D3AA2" w:rsidRPr="007E5FCC" w:rsidRDefault="007D3AA2" w:rsidP="007D3AA2">
      <w:pPr>
        <w:spacing w:after="0" w:line="276" w:lineRule="auto"/>
        <w:jc w:val="both"/>
        <w:rPr>
          <w:rFonts w:ascii="Verdana" w:eastAsia="Calibri" w:hAnsi="Verdana" w:cs="Arial"/>
          <w:color w:val="000000" w:themeColor="text1"/>
          <w:lang w:val="es-ES"/>
        </w:rPr>
      </w:pPr>
    </w:p>
    <w:p w14:paraId="02E68940" w14:textId="6905948F" w:rsidR="00CF1837" w:rsidRPr="008E7348" w:rsidRDefault="007D3AA2" w:rsidP="008E7348">
      <w:pPr>
        <w:spacing w:line="276" w:lineRule="auto"/>
        <w:jc w:val="both"/>
        <w:rPr>
          <w:rFonts w:ascii="Verdana" w:eastAsia="Calibri" w:hAnsi="Verdana" w:cs="Arial"/>
        </w:rPr>
      </w:pPr>
      <w:r w:rsidRPr="007E5FCC">
        <w:rPr>
          <w:rFonts w:ascii="Verdana" w:eastAsia="Calibri" w:hAnsi="Verdana" w:cs="Arial"/>
        </w:rPr>
        <w:t xml:space="preserve">Lo anterior se sustenta en las siguientes consideraciones: </w:t>
      </w:r>
    </w:p>
    <w:p w14:paraId="2BE25025" w14:textId="77777777" w:rsidR="00CF1837" w:rsidRPr="00977131" w:rsidRDefault="00CF1837" w:rsidP="00CF1837">
      <w:pPr>
        <w:pStyle w:val="NormalWeb"/>
        <w:spacing w:line="276" w:lineRule="auto"/>
        <w:jc w:val="both"/>
        <w:rPr>
          <w:rFonts w:ascii="Verdana" w:hAnsi="Verdana" w:cs="Verdana"/>
          <w:sz w:val="22"/>
          <w:szCs w:val="22"/>
          <w:lang w:val="es-ES"/>
        </w:rPr>
      </w:pPr>
      <w:bookmarkStart w:id="1" w:name="_Hlk173311098"/>
      <w:r w:rsidRPr="00977131">
        <w:rPr>
          <w:rFonts w:ascii="Verdana" w:hAnsi="Verdana" w:cs="Verdana"/>
          <w:sz w:val="22"/>
          <w:szCs w:val="22"/>
          <w:lang w:val="es-ES"/>
        </w:rPr>
        <w:t xml:space="preserve">Resulta imperativo recordar que la manifestación de interés tiene una naturaleza distinta de la oferta que será presentada y evaluada en el proceso de contratación, y se trata de un acto que no genera la obligación de presentar oferta más adelante en la oportunidad señalada en el cronograma del proceso, pues, de acuerdo con su análisis de conveniencia, el interesado puede desistir de participar sin consecuencia alguna dentro del proceso. Así las cosas, en la </w:t>
      </w:r>
      <w:r w:rsidRPr="00977131">
        <w:rPr>
          <w:rFonts w:ascii="Verdana" w:hAnsi="Verdana" w:cs="Verdana"/>
          <w:sz w:val="22"/>
          <w:szCs w:val="22"/>
          <w:lang w:val="es-ES"/>
        </w:rPr>
        <w:lastRenderedPageBreak/>
        <w:t>modalidad de selección abreviada de menor cuantía a la cual se refiere la consulta planteada, la manifestación de interés es un acto de comunicación que se encuentra regulado en el artículo 2.2.1.2.1.2.20 del Decreto 1082 de 2015</w:t>
      </w:r>
      <w:r w:rsidRPr="008A3EE5">
        <w:rPr>
          <w:sz w:val="22"/>
          <w:szCs w:val="22"/>
        </w:rPr>
        <w:footnoteReference w:id="1"/>
      </w:r>
      <w:r w:rsidRPr="00977131">
        <w:rPr>
          <w:rFonts w:ascii="Verdana" w:hAnsi="Verdana" w:cs="Verdana"/>
          <w:sz w:val="22"/>
          <w:szCs w:val="22"/>
          <w:lang w:val="es-ES"/>
        </w:rPr>
        <w:t>, de la siguiente manera:</w:t>
      </w:r>
    </w:p>
    <w:p w14:paraId="24295ECE" w14:textId="77777777" w:rsidR="00CF1837" w:rsidRPr="004D62DC" w:rsidRDefault="00CF1837" w:rsidP="00CF1837">
      <w:pPr>
        <w:widowControl w:val="0"/>
        <w:autoSpaceDE w:val="0"/>
        <w:autoSpaceDN w:val="0"/>
        <w:spacing w:after="0" w:line="240" w:lineRule="auto"/>
        <w:ind w:left="810" w:right="1608"/>
        <w:jc w:val="both"/>
        <w:rPr>
          <w:rFonts w:ascii="Verdana" w:hAnsi="Verdana" w:cs="Verdana"/>
          <w:sz w:val="21"/>
          <w:szCs w:val="21"/>
          <w:lang w:val="es-ES"/>
        </w:rPr>
      </w:pPr>
      <w:r w:rsidRPr="004D62DC">
        <w:rPr>
          <w:rFonts w:ascii="Verdana" w:hAnsi="Verdana" w:cs="Verdana"/>
          <w:sz w:val="21"/>
          <w:szCs w:val="21"/>
          <w:lang w:val="es-ES"/>
        </w:rPr>
        <w:t>“Artículo 2.2.1.2.1.2.20. Procedimiento para la selección abreviada de</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menor</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cuantía.</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Además</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de las normas</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generales</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establecidas</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en el</w:t>
      </w:r>
      <w:r w:rsidRPr="004D62DC">
        <w:rPr>
          <w:rFonts w:ascii="Verdana" w:hAnsi="Verdana" w:cs="Verdana"/>
          <w:spacing w:val="1"/>
          <w:sz w:val="21"/>
          <w:szCs w:val="21"/>
          <w:lang w:val="es-ES"/>
        </w:rPr>
        <w:t xml:space="preserve"> </w:t>
      </w:r>
      <w:r w:rsidRPr="004D62DC">
        <w:rPr>
          <w:rFonts w:ascii="Verdana" w:hAnsi="Verdana" w:cs="Verdana"/>
          <w:w w:val="95"/>
          <w:sz w:val="21"/>
          <w:szCs w:val="21"/>
          <w:lang w:val="es-ES"/>
        </w:rPr>
        <w:t>presente título, las siguientes reglas son aplicables a la selección abreviada</w:t>
      </w:r>
      <w:r w:rsidRPr="004D62DC">
        <w:rPr>
          <w:rFonts w:ascii="Verdana" w:hAnsi="Verdana" w:cs="Verdana"/>
          <w:spacing w:val="1"/>
          <w:w w:val="95"/>
          <w:sz w:val="21"/>
          <w:szCs w:val="21"/>
          <w:lang w:val="es-ES"/>
        </w:rPr>
        <w:t xml:space="preserve"> </w:t>
      </w:r>
      <w:r w:rsidRPr="004D62DC">
        <w:rPr>
          <w:rFonts w:ascii="Verdana" w:hAnsi="Verdana" w:cs="Verdana"/>
          <w:sz w:val="21"/>
          <w:szCs w:val="21"/>
          <w:lang w:val="es-ES"/>
        </w:rPr>
        <w:t>de</w:t>
      </w:r>
      <w:r w:rsidRPr="004D62DC">
        <w:rPr>
          <w:rFonts w:ascii="Verdana" w:hAnsi="Verdana" w:cs="Verdana"/>
          <w:spacing w:val="-2"/>
          <w:sz w:val="21"/>
          <w:szCs w:val="21"/>
          <w:lang w:val="es-ES"/>
        </w:rPr>
        <w:t xml:space="preserve"> </w:t>
      </w:r>
      <w:r w:rsidRPr="004D62DC">
        <w:rPr>
          <w:rFonts w:ascii="Verdana" w:hAnsi="Verdana" w:cs="Verdana"/>
          <w:sz w:val="21"/>
          <w:szCs w:val="21"/>
          <w:lang w:val="es-ES"/>
        </w:rPr>
        <w:t>menor</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cuantía:</w:t>
      </w:r>
    </w:p>
    <w:p w14:paraId="6226C3A0" w14:textId="77777777" w:rsidR="00CF1837" w:rsidRPr="004D62DC" w:rsidRDefault="00CF1837" w:rsidP="00CF1837">
      <w:pPr>
        <w:widowControl w:val="0"/>
        <w:autoSpaceDE w:val="0"/>
        <w:autoSpaceDN w:val="0"/>
        <w:spacing w:after="0" w:line="240" w:lineRule="auto"/>
        <w:rPr>
          <w:rFonts w:ascii="Verdana" w:hAnsi="Verdana" w:cs="Verdana"/>
          <w:sz w:val="21"/>
          <w:szCs w:val="21"/>
          <w:lang w:val="es-ES"/>
        </w:rPr>
      </w:pPr>
    </w:p>
    <w:p w14:paraId="042BB336" w14:textId="77777777" w:rsidR="00CF1837" w:rsidRPr="004D62DC" w:rsidRDefault="00CF1837" w:rsidP="00CF1837">
      <w:pPr>
        <w:widowControl w:val="0"/>
        <w:numPr>
          <w:ilvl w:val="1"/>
          <w:numId w:val="18"/>
        </w:numPr>
        <w:tabs>
          <w:tab w:val="left" w:pos="1283"/>
        </w:tabs>
        <w:autoSpaceDE w:val="0"/>
        <w:autoSpaceDN w:val="0"/>
        <w:spacing w:before="1" w:after="0" w:line="240" w:lineRule="auto"/>
        <w:ind w:right="1608" w:firstLine="0"/>
        <w:jc w:val="both"/>
        <w:rPr>
          <w:rFonts w:ascii="Verdana" w:hAnsi="Verdana" w:cs="Verdana"/>
          <w:sz w:val="21"/>
          <w:szCs w:val="21"/>
          <w:lang w:val="es-ES"/>
        </w:rPr>
      </w:pPr>
      <w:r w:rsidRPr="004D62DC">
        <w:rPr>
          <w:rFonts w:ascii="Verdana" w:hAnsi="Verdana" w:cs="Verdana"/>
          <w:sz w:val="21"/>
          <w:szCs w:val="21"/>
          <w:lang w:val="es-ES"/>
        </w:rPr>
        <w:t>En</w:t>
      </w:r>
      <w:r w:rsidRPr="004D62DC">
        <w:rPr>
          <w:rFonts w:ascii="Verdana" w:hAnsi="Verdana" w:cs="Verdana"/>
          <w:spacing w:val="-13"/>
          <w:sz w:val="21"/>
          <w:szCs w:val="21"/>
          <w:lang w:val="es-ES"/>
        </w:rPr>
        <w:t xml:space="preserve"> </w:t>
      </w:r>
      <w:r w:rsidRPr="004D62DC">
        <w:rPr>
          <w:rFonts w:ascii="Verdana" w:hAnsi="Verdana" w:cs="Verdana"/>
          <w:sz w:val="21"/>
          <w:szCs w:val="21"/>
          <w:lang w:val="es-ES"/>
        </w:rPr>
        <w:t>un</w:t>
      </w:r>
      <w:r w:rsidRPr="004D62DC">
        <w:rPr>
          <w:rFonts w:ascii="Verdana" w:hAnsi="Verdana" w:cs="Verdana"/>
          <w:spacing w:val="-12"/>
          <w:sz w:val="21"/>
          <w:szCs w:val="21"/>
          <w:lang w:val="es-ES"/>
        </w:rPr>
        <w:t xml:space="preserve"> </w:t>
      </w:r>
      <w:r w:rsidRPr="004D62DC">
        <w:rPr>
          <w:rFonts w:ascii="Verdana" w:hAnsi="Verdana" w:cs="Verdana"/>
          <w:sz w:val="21"/>
          <w:szCs w:val="21"/>
          <w:lang w:val="es-ES"/>
        </w:rPr>
        <w:t>término</w:t>
      </w:r>
      <w:r w:rsidRPr="004D62DC">
        <w:rPr>
          <w:rFonts w:ascii="Verdana" w:hAnsi="Verdana" w:cs="Verdana"/>
          <w:spacing w:val="-12"/>
          <w:sz w:val="21"/>
          <w:szCs w:val="21"/>
          <w:lang w:val="es-ES"/>
        </w:rPr>
        <w:t xml:space="preserve"> </w:t>
      </w:r>
      <w:r w:rsidRPr="004D62DC">
        <w:rPr>
          <w:rFonts w:ascii="Verdana" w:hAnsi="Verdana" w:cs="Verdana"/>
          <w:sz w:val="21"/>
          <w:szCs w:val="21"/>
          <w:lang w:val="es-ES"/>
        </w:rPr>
        <w:t>no</w:t>
      </w:r>
      <w:r w:rsidRPr="004D62DC">
        <w:rPr>
          <w:rFonts w:ascii="Verdana" w:hAnsi="Verdana" w:cs="Verdana"/>
          <w:spacing w:val="-12"/>
          <w:sz w:val="21"/>
          <w:szCs w:val="21"/>
          <w:lang w:val="es-ES"/>
        </w:rPr>
        <w:t xml:space="preserve"> </w:t>
      </w:r>
      <w:r w:rsidRPr="004D62DC">
        <w:rPr>
          <w:rFonts w:ascii="Verdana" w:hAnsi="Verdana" w:cs="Verdana"/>
          <w:sz w:val="21"/>
          <w:szCs w:val="21"/>
          <w:lang w:val="es-ES"/>
        </w:rPr>
        <w:t>mayor</w:t>
      </w:r>
      <w:r w:rsidRPr="004D62DC">
        <w:rPr>
          <w:rFonts w:ascii="Verdana" w:hAnsi="Verdana" w:cs="Verdana"/>
          <w:spacing w:val="-12"/>
          <w:sz w:val="21"/>
          <w:szCs w:val="21"/>
          <w:lang w:val="es-ES"/>
        </w:rPr>
        <w:t xml:space="preserve"> </w:t>
      </w:r>
      <w:r w:rsidRPr="004D62DC">
        <w:rPr>
          <w:rFonts w:ascii="Verdana" w:hAnsi="Verdana" w:cs="Verdana"/>
          <w:sz w:val="21"/>
          <w:szCs w:val="21"/>
          <w:lang w:val="es-ES"/>
        </w:rPr>
        <w:t>a</w:t>
      </w:r>
      <w:r w:rsidRPr="004D62DC">
        <w:rPr>
          <w:rFonts w:ascii="Verdana" w:hAnsi="Verdana" w:cs="Verdana"/>
          <w:spacing w:val="-12"/>
          <w:sz w:val="21"/>
          <w:szCs w:val="21"/>
          <w:lang w:val="es-ES"/>
        </w:rPr>
        <w:t xml:space="preserve"> </w:t>
      </w:r>
      <w:r w:rsidRPr="004D62DC">
        <w:rPr>
          <w:rFonts w:ascii="Verdana" w:hAnsi="Verdana" w:cs="Verdana"/>
          <w:sz w:val="21"/>
          <w:szCs w:val="21"/>
          <w:lang w:val="es-ES"/>
        </w:rPr>
        <w:t>tres</w:t>
      </w:r>
      <w:r w:rsidRPr="004D62DC">
        <w:rPr>
          <w:rFonts w:ascii="Verdana" w:hAnsi="Verdana" w:cs="Verdana"/>
          <w:spacing w:val="-12"/>
          <w:sz w:val="21"/>
          <w:szCs w:val="21"/>
          <w:lang w:val="es-ES"/>
        </w:rPr>
        <w:t xml:space="preserve"> </w:t>
      </w:r>
      <w:r w:rsidRPr="004D62DC">
        <w:rPr>
          <w:rFonts w:ascii="Verdana" w:hAnsi="Verdana" w:cs="Verdana"/>
          <w:sz w:val="21"/>
          <w:szCs w:val="21"/>
          <w:lang w:val="es-ES"/>
        </w:rPr>
        <w:t>(3)</w:t>
      </w:r>
      <w:r w:rsidRPr="004D62DC">
        <w:rPr>
          <w:rFonts w:ascii="Verdana" w:hAnsi="Verdana" w:cs="Verdana"/>
          <w:spacing w:val="-12"/>
          <w:sz w:val="21"/>
          <w:szCs w:val="21"/>
          <w:lang w:val="es-ES"/>
        </w:rPr>
        <w:t xml:space="preserve"> </w:t>
      </w:r>
      <w:r w:rsidRPr="004D62DC">
        <w:rPr>
          <w:rFonts w:ascii="Verdana" w:hAnsi="Verdana" w:cs="Verdana"/>
          <w:sz w:val="21"/>
          <w:szCs w:val="21"/>
          <w:lang w:val="es-ES"/>
        </w:rPr>
        <w:t>días</w:t>
      </w:r>
      <w:r w:rsidRPr="004D62DC">
        <w:rPr>
          <w:rFonts w:ascii="Verdana" w:hAnsi="Verdana" w:cs="Verdana"/>
          <w:spacing w:val="-11"/>
          <w:sz w:val="21"/>
          <w:szCs w:val="21"/>
          <w:lang w:val="es-ES"/>
        </w:rPr>
        <w:t xml:space="preserve"> </w:t>
      </w:r>
      <w:r w:rsidRPr="004D62DC">
        <w:rPr>
          <w:rFonts w:ascii="Verdana" w:hAnsi="Verdana" w:cs="Verdana"/>
          <w:sz w:val="21"/>
          <w:szCs w:val="21"/>
          <w:lang w:val="es-ES"/>
        </w:rPr>
        <w:t>hábiles</w:t>
      </w:r>
      <w:r w:rsidRPr="004D62DC">
        <w:rPr>
          <w:rFonts w:ascii="Verdana" w:hAnsi="Verdana" w:cs="Verdana"/>
          <w:spacing w:val="-11"/>
          <w:sz w:val="21"/>
          <w:szCs w:val="21"/>
          <w:lang w:val="es-ES"/>
        </w:rPr>
        <w:t xml:space="preserve"> </w:t>
      </w:r>
      <w:r w:rsidRPr="004D62DC">
        <w:rPr>
          <w:rFonts w:ascii="Verdana" w:hAnsi="Verdana" w:cs="Verdana"/>
          <w:sz w:val="21"/>
          <w:szCs w:val="21"/>
          <w:lang w:val="es-ES"/>
        </w:rPr>
        <w:t>contados</w:t>
      </w:r>
      <w:r w:rsidRPr="004D62DC">
        <w:rPr>
          <w:rFonts w:ascii="Verdana" w:hAnsi="Verdana" w:cs="Verdana"/>
          <w:spacing w:val="-11"/>
          <w:sz w:val="21"/>
          <w:szCs w:val="21"/>
          <w:lang w:val="es-ES"/>
        </w:rPr>
        <w:t xml:space="preserve"> </w:t>
      </w:r>
      <w:r w:rsidRPr="004D62DC">
        <w:rPr>
          <w:rFonts w:ascii="Verdana" w:hAnsi="Verdana" w:cs="Verdana"/>
          <w:sz w:val="21"/>
          <w:szCs w:val="21"/>
          <w:lang w:val="es-ES"/>
        </w:rPr>
        <w:t>a</w:t>
      </w:r>
      <w:r w:rsidRPr="004D62DC">
        <w:rPr>
          <w:rFonts w:ascii="Verdana" w:hAnsi="Verdana" w:cs="Verdana"/>
          <w:spacing w:val="-13"/>
          <w:sz w:val="21"/>
          <w:szCs w:val="21"/>
          <w:lang w:val="es-ES"/>
        </w:rPr>
        <w:t xml:space="preserve"> </w:t>
      </w:r>
      <w:r w:rsidRPr="004D62DC">
        <w:rPr>
          <w:rFonts w:ascii="Verdana" w:hAnsi="Verdana" w:cs="Verdana"/>
          <w:sz w:val="21"/>
          <w:szCs w:val="21"/>
          <w:lang w:val="es-ES"/>
        </w:rPr>
        <w:t>partir</w:t>
      </w:r>
      <w:r w:rsidRPr="004D62DC">
        <w:rPr>
          <w:rFonts w:ascii="Verdana" w:hAnsi="Verdana" w:cs="Verdana"/>
          <w:spacing w:val="-11"/>
          <w:sz w:val="21"/>
          <w:szCs w:val="21"/>
          <w:lang w:val="es-ES"/>
        </w:rPr>
        <w:t xml:space="preserve"> </w:t>
      </w:r>
      <w:r w:rsidRPr="004D62DC">
        <w:rPr>
          <w:rFonts w:ascii="Verdana" w:hAnsi="Verdana" w:cs="Verdana"/>
          <w:sz w:val="21"/>
          <w:szCs w:val="21"/>
          <w:lang w:val="es-ES"/>
        </w:rPr>
        <w:t>de</w:t>
      </w:r>
      <w:r w:rsidRPr="004D62DC">
        <w:rPr>
          <w:rFonts w:ascii="Verdana" w:hAnsi="Verdana" w:cs="Verdana"/>
          <w:spacing w:val="-13"/>
          <w:sz w:val="21"/>
          <w:szCs w:val="21"/>
          <w:lang w:val="es-ES"/>
        </w:rPr>
        <w:t xml:space="preserve"> </w:t>
      </w:r>
      <w:r w:rsidRPr="004D62DC">
        <w:rPr>
          <w:rFonts w:ascii="Verdana" w:hAnsi="Verdana" w:cs="Verdana"/>
          <w:sz w:val="21"/>
          <w:szCs w:val="21"/>
          <w:lang w:val="es-ES"/>
        </w:rPr>
        <w:t>la</w:t>
      </w:r>
      <w:r w:rsidRPr="004D62DC">
        <w:rPr>
          <w:rFonts w:ascii="Verdana" w:hAnsi="Verdana" w:cs="Verdana"/>
          <w:spacing w:val="-68"/>
          <w:sz w:val="21"/>
          <w:szCs w:val="21"/>
          <w:lang w:val="es-ES"/>
        </w:rPr>
        <w:t xml:space="preserve"> </w:t>
      </w:r>
      <w:r w:rsidRPr="004D62DC">
        <w:rPr>
          <w:rFonts w:ascii="Verdana" w:hAnsi="Verdana" w:cs="Verdana"/>
          <w:sz w:val="21"/>
          <w:szCs w:val="21"/>
          <w:lang w:val="es-ES"/>
        </w:rPr>
        <w:t>fecha de apertura del Proceso de Contratación los interesados deben</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manifestar</w:t>
      </w:r>
      <w:r w:rsidRPr="004D62DC">
        <w:rPr>
          <w:rFonts w:ascii="Verdana" w:hAnsi="Verdana" w:cs="Verdana"/>
          <w:spacing w:val="-6"/>
          <w:sz w:val="21"/>
          <w:szCs w:val="21"/>
          <w:lang w:val="es-ES"/>
        </w:rPr>
        <w:t xml:space="preserve"> </w:t>
      </w:r>
      <w:r w:rsidRPr="004D62DC">
        <w:rPr>
          <w:rFonts w:ascii="Verdana" w:hAnsi="Verdana" w:cs="Verdana"/>
          <w:sz w:val="21"/>
          <w:szCs w:val="21"/>
          <w:lang w:val="es-ES"/>
        </w:rPr>
        <w:t>su</w:t>
      </w:r>
      <w:r w:rsidRPr="004D62DC">
        <w:rPr>
          <w:rFonts w:ascii="Verdana" w:hAnsi="Verdana" w:cs="Verdana"/>
          <w:spacing w:val="-8"/>
          <w:sz w:val="21"/>
          <w:szCs w:val="21"/>
          <w:lang w:val="es-ES"/>
        </w:rPr>
        <w:t xml:space="preserve"> </w:t>
      </w:r>
      <w:r w:rsidRPr="004D62DC">
        <w:rPr>
          <w:rFonts w:ascii="Verdana" w:hAnsi="Verdana" w:cs="Verdana"/>
          <w:sz w:val="21"/>
          <w:szCs w:val="21"/>
          <w:lang w:val="es-ES"/>
        </w:rPr>
        <w:t>intención</w:t>
      </w:r>
      <w:r w:rsidRPr="004D62DC">
        <w:rPr>
          <w:rFonts w:ascii="Verdana" w:hAnsi="Verdana" w:cs="Verdana"/>
          <w:spacing w:val="-6"/>
          <w:sz w:val="21"/>
          <w:szCs w:val="21"/>
          <w:lang w:val="es-ES"/>
        </w:rPr>
        <w:t xml:space="preserve"> </w:t>
      </w:r>
      <w:r w:rsidRPr="004D62DC">
        <w:rPr>
          <w:rFonts w:ascii="Verdana" w:hAnsi="Verdana" w:cs="Verdana"/>
          <w:sz w:val="21"/>
          <w:szCs w:val="21"/>
          <w:lang w:val="es-ES"/>
        </w:rPr>
        <w:t>de</w:t>
      </w:r>
      <w:r w:rsidRPr="004D62DC">
        <w:rPr>
          <w:rFonts w:ascii="Verdana" w:hAnsi="Verdana" w:cs="Verdana"/>
          <w:spacing w:val="-7"/>
          <w:sz w:val="21"/>
          <w:szCs w:val="21"/>
          <w:lang w:val="es-ES"/>
        </w:rPr>
        <w:t xml:space="preserve"> </w:t>
      </w:r>
      <w:r w:rsidRPr="004D62DC">
        <w:rPr>
          <w:rFonts w:ascii="Verdana" w:hAnsi="Verdana" w:cs="Verdana"/>
          <w:sz w:val="21"/>
          <w:szCs w:val="21"/>
          <w:lang w:val="es-ES"/>
        </w:rPr>
        <w:t>participar,</w:t>
      </w:r>
      <w:r w:rsidRPr="004D62DC">
        <w:rPr>
          <w:rFonts w:ascii="Verdana" w:hAnsi="Verdana" w:cs="Verdana"/>
          <w:spacing w:val="-6"/>
          <w:sz w:val="21"/>
          <w:szCs w:val="21"/>
          <w:lang w:val="es-ES"/>
        </w:rPr>
        <w:t xml:space="preserve"> </w:t>
      </w:r>
      <w:r w:rsidRPr="004D62DC">
        <w:rPr>
          <w:rFonts w:ascii="Verdana" w:hAnsi="Verdana" w:cs="Verdana"/>
          <w:sz w:val="21"/>
          <w:szCs w:val="21"/>
          <w:lang w:val="es-ES"/>
        </w:rPr>
        <w:t>a</w:t>
      </w:r>
      <w:r w:rsidRPr="004D62DC">
        <w:rPr>
          <w:rFonts w:ascii="Verdana" w:hAnsi="Verdana" w:cs="Verdana"/>
          <w:spacing w:val="-8"/>
          <w:sz w:val="21"/>
          <w:szCs w:val="21"/>
          <w:lang w:val="es-ES"/>
        </w:rPr>
        <w:t xml:space="preserve"> </w:t>
      </w:r>
      <w:r w:rsidRPr="004D62DC">
        <w:rPr>
          <w:rFonts w:ascii="Verdana" w:hAnsi="Verdana" w:cs="Verdana"/>
          <w:sz w:val="21"/>
          <w:szCs w:val="21"/>
          <w:lang w:val="es-ES"/>
        </w:rPr>
        <w:t>través</w:t>
      </w:r>
      <w:r w:rsidRPr="004D62DC">
        <w:rPr>
          <w:rFonts w:ascii="Verdana" w:hAnsi="Verdana" w:cs="Verdana"/>
          <w:spacing w:val="-7"/>
          <w:sz w:val="21"/>
          <w:szCs w:val="21"/>
          <w:lang w:val="es-ES"/>
        </w:rPr>
        <w:t xml:space="preserve"> </w:t>
      </w:r>
      <w:r w:rsidRPr="004D62DC">
        <w:rPr>
          <w:rFonts w:ascii="Verdana" w:hAnsi="Verdana" w:cs="Verdana"/>
          <w:sz w:val="21"/>
          <w:szCs w:val="21"/>
          <w:lang w:val="es-ES"/>
        </w:rPr>
        <w:t>del</w:t>
      </w:r>
      <w:r w:rsidRPr="004D62DC">
        <w:rPr>
          <w:rFonts w:ascii="Verdana" w:hAnsi="Verdana" w:cs="Verdana"/>
          <w:spacing w:val="-7"/>
          <w:sz w:val="21"/>
          <w:szCs w:val="21"/>
          <w:lang w:val="es-ES"/>
        </w:rPr>
        <w:t xml:space="preserve"> </w:t>
      </w:r>
      <w:r w:rsidRPr="004D62DC">
        <w:rPr>
          <w:rFonts w:ascii="Verdana" w:hAnsi="Verdana" w:cs="Verdana"/>
          <w:sz w:val="21"/>
          <w:szCs w:val="21"/>
          <w:lang w:val="es-ES"/>
        </w:rPr>
        <w:t>mecanismo</w:t>
      </w:r>
      <w:r w:rsidRPr="004D62DC">
        <w:rPr>
          <w:rFonts w:ascii="Verdana" w:hAnsi="Verdana" w:cs="Verdana"/>
          <w:spacing w:val="-6"/>
          <w:sz w:val="21"/>
          <w:szCs w:val="21"/>
          <w:lang w:val="es-ES"/>
        </w:rPr>
        <w:t xml:space="preserve"> </w:t>
      </w:r>
      <w:r w:rsidRPr="004D62DC">
        <w:rPr>
          <w:rFonts w:ascii="Verdana" w:hAnsi="Verdana" w:cs="Verdana"/>
          <w:sz w:val="21"/>
          <w:szCs w:val="21"/>
          <w:lang w:val="es-ES"/>
        </w:rPr>
        <w:t>establecido</w:t>
      </w:r>
      <w:r w:rsidRPr="004D62DC">
        <w:rPr>
          <w:rFonts w:ascii="Verdana" w:hAnsi="Verdana" w:cs="Verdana"/>
          <w:spacing w:val="-68"/>
          <w:sz w:val="21"/>
          <w:szCs w:val="21"/>
          <w:lang w:val="es-ES"/>
        </w:rPr>
        <w:t xml:space="preserve"> </w:t>
      </w:r>
      <w:r w:rsidRPr="004D62DC">
        <w:rPr>
          <w:rFonts w:ascii="Verdana" w:hAnsi="Verdana" w:cs="Verdana"/>
          <w:sz w:val="21"/>
          <w:szCs w:val="21"/>
          <w:lang w:val="es-ES"/>
        </w:rPr>
        <w:t>para</w:t>
      </w:r>
      <w:r w:rsidRPr="004D62DC">
        <w:rPr>
          <w:rFonts w:ascii="Verdana" w:hAnsi="Verdana" w:cs="Verdana"/>
          <w:spacing w:val="-2"/>
          <w:sz w:val="21"/>
          <w:szCs w:val="21"/>
          <w:lang w:val="es-ES"/>
        </w:rPr>
        <w:t xml:space="preserve"> </w:t>
      </w:r>
      <w:r w:rsidRPr="004D62DC">
        <w:rPr>
          <w:rFonts w:ascii="Verdana" w:hAnsi="Verdana" w:cs="Verdana"/>
          <w:sz w:val="21"/>
          <w:szCs w:val="21"/>
          <w:lang w:val="es-ES"/>
        </w:rPr>
        <w:t>el</w:t>
      </w:r>
      <w:r w:rsidRPr="004D62DC">
        <w:rPr>
          <w:rFonts w:ascii="Verdana" w:hAnsi="Verdana" w:cs="Verdana"/>
          <w:spacing w:val="-2"/>
          <w:sz w:val="21"/>
          <w:szCs w:val="21"/>
          <w:lang w:val="es-ES"/>
        </w:rPr>
        <w:t xml:space="preserve"> </w:t>
      </w:r>
      <w:r w:rsidRPr="004D62DC">
        <w:rPr>
          <w:rFonts w:ascii="Verdana" w:hAnsi="Verdana" w:cs="Verdana"/>
          <w:sz w:val="21"/>
          <w:szCs w:val="21"/>
          <w:lang w:val="es-ES"/>
        </w:rPr>
        <w:t>efecto</w:t>
      </w:r>
      <w:r w:rsidRPr="004D62DC">
        <w:rPr>
          <w:rFonts w:ascii="Verdana" w:hAnsi="Verdana" w:cs="Verdana"/>
          <w:spacing w:val="-2"/>
          <w:sz w:val="21"/>
          <w:szCs w:val="21"/>
          <w:lang w:val="es-ES"/>
        </w:rPr>
        <w:t xml:space="preserve"> </w:t>
      </w:r>
      <w:r w:rsidRPr="004D62DC">
        <w:rPr>
          <w:rFonts w:ascii="Verdana" w:hAnsi="Verdana" w:cs="Verdana"/>
          <w:sz w:val="21"/>
          <w:szCs w:val="21"/>
          <w:lang w:val="es-ES"/>
        </w:rPr>
        <w:t>en</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los</w:t>
      </w:r>
      <w:r w:rsidRPr="004D62DC">
        <w:rPr>
          <w:rFonts w:ascii="Verdana" w:hAnsi="Verdana" w:cs="Verdana"/>
          <w:spacing w:val="-2"/>
          <w:sz w:val="21"/>
          <w:szCs w:val="21"/>
          <w:lang w:val="es-ES"/>
        </w:rPr>
        <w:t xml:space="preserve"> </w:t>
      </w:r>
      <w:r w:rsidRPr="004D62DC">
        <w:rPr>
          <w:rFonts w:ascii="Verdana" w:hAnsi="Verdana" w:cs="Verdana"/>
          <w:sz w:val="21"/>
          <w:szCs w:val="21"/>
          <w:lang w:val="es-ES"/>
        </w:rPr>
        <w:t>pliegos</w:t>
      </w:r>
      <w:r w:rsidRPr="004D62DC">
        <w:rPr>
          <w:rFonts w:ascii="Verdana" w:hAnsi="Verdana" w:cs="Verdana"/>
          <w:spacing w:val="-2"/>
          <w:sz w:val="21"/>
          <w:szCs w:val="21"/>
          <w:lang w:val="es-ES"/>
        </w:rPr>
        <w:t xml:space="preserve"> </w:t>
      </w:r>
      <w:r w:rsidRPr="004D62DC">
        <w:rPr>
          <w:rFonts w:ascii="Verdana" w:hAnsi="Verdana" w:cs="Verdana"/>
          <w:sz w:val="21"/>
          <w:szCs w:val="21"/>
          <w:lang w:val="es-ES"/>
        </w:rPr>
        <w:t>de</w:t>
      </w:r>
      <w:r w:rsidRPr="004D62DC">
        <w:rPr>
          <w:rFonts w:ascii="Verdana" w:hAnsi="Verdana" w:cs="Verdana"/>
          <w:spacing w:val="-2"/>
          <w:sz w:val="21"/>
          <w:szCs w:val="21"/>
          <w:lang w:val="es-ES"/>
        </w:rPr>
        <w:t xml:space="preserve"> </w:t>
      </w:r>
      <w:r w:rsidRPr="004D62DC">
        <w:rPr>
          <w:rFonts w:ascii="Verdana" w:hAnsi="Verdana" w:cs="Verdana"/>
          <w:sz w:val="21"/>
          <w:szCs w:val="21"/>
          <w:lang w:val="es-ES"/>
        </w:rPr>
        <w:t>condiciones.</w:t>
      </w:r>
    </w:p>
    <w:p w14:paraId="1B86C92E" w14:textId="77777777" w:rsidR="00CF1837" w:rsidRPr="004D62DC" w:rsidRDefault="00CF1837" w:rsidP="00CF1837">
      <w:pPr>
        <w:widowControl w:val="0"/>
        <w:autoSpaceDE w:val="0"/>
        <w:autoSpaceDN w:val="0"/>
        <w:spacing w:after="0" w:line="240" w:lineRule="auto"/>
        <w:rPr>
          <w:rFonts w:ascii="Verdana" w:hAnsi="Verdana" w:cs="Verdana"/>
          <w:sz w:val="21"/>
          <w:szCs w:val="21"/>
          <w:lang w:val="es-ES"/>
        </w:rPr>
      </w:pPr>
    </w:p>
    <w:p w14:paraId="1CE0A3C8" w14:textId="77777777" w:rsidR="00CF1837" w:rsidRPr="004D62DC" w:rsidRDefault="00CF1837" w:rsidP="00CF1837">
      <w:pPr>
        <w:widowControl w:val="0"/>
        <w:numPr>
          <w:ilvl w:val="1"/>
          <w:numId w:val="18"/>
        </w:numPr>
        <w:tabs>
          <w:tab w:val="left" w:pos="1333"/>
        </w:tabs>
        <w:autoSpaceDE w:val="0"/>
        <w:autoSpaceDN w:val="0"/>
        <w:spacing w:after="0" w:line="240" w:lineRule="auto"/>
        <w:ind w:right="1608" w:firstLine="0"/>
        <w:jc w:val="both"/>
        <w:rPr>
          <w:rFonts w:ascii="Verdana" w:hAnsi="Verdana" w:cs="Verdana"/>
          <w:sz w:val="21"/>
          <w:szCs w:val="21"/>
          <w:lang w:val="es-ES"/>
        </w:rPr>
      </w:pPr>
      <w:r w:rsidRPr="004D62DC">
        <w:rPr>
          <w:rFonts w:ascii="Verdana" w:hAnsi="Verdana" w:cs="Verdana"/>
          <w:sz w:val="21"/>
          <w:szCs w:val="21"/>
          <w:lang w:val="es-ES"/>
        </w:rPr>
        <w:t>Si la Entidad Estatal recibe más de diez (10) manifestaciones de</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interés puede continuar el proceso o hacer un sorteo para seleccionar</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máximo diez (10) interesados con quienes continuará el Proceso de</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Contratación.</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La</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Entidad</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Estatal</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debe</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establecer</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en</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los</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pliegos</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de</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condiciones</w:t>
      </w:r>
      <w:r w:rsidRPr="004D62DC">
        <w:rPr>
          <w:rFonts w:ascii="Verdana" w:hAnsi="Verdana" w:cs="Verdana"/>
          <w:spacing w:val="-3"/>
          <w:sz w:val="21"/>
          <w:szCs w:val="21"/>
          <w:lang w:val="es-ES"/>
        </w:rPr>
        <w:t xml:space="preserve"> </w:t>
      </w:r>
      <w:r w:rsidRPr="004D62DC">
        <w:rPr>
          <w:rFonts w:ascii="Verdana" w:hAnsi="Verdana" w:cs="Verdana"/>
          <w:sz w:val="21"/>
          <w:szCs w:val="21"/>
          <w:lang w:val="es-ES"/>
        </w:rPr>
        <w:t>si</w:t>
      </w:r>
      <w:r w:rsidRPr="004D62DC">
        <w:rPr>
          <w:rFonts w:ascii="Verdana" w:hAnsi="Verdana" w:cs="Verdana"/>
          <w:spacing w:val="-3"/>
          <w:sz w:val="21"/>
          <w:szCs w:val="21"/>
          <w:lang w:val="es-ES"/>
        </w:rPr>
        <w:t xml:space="preserve"> </w:t>
      </w:r>
      <w:r w:rsidRPr="004D62DC">
        <w:rPr>
          <w:rFonts w:ascii="Verdana" w:hAnsi="Verdana" w:cs="Verdana"/>
          <w:sz w:val="21"/>
          <w:szCs w:val="21"/>
          <w:lang w:val="es-ES"/>
        </w:rPr>
        <w:t>hay</w:t>
      </w:r>
      <w:r w:rsidRPr="004D62DC">
        <w:rPr>
          <w:rFonts w:ascii="Verdana" w:hAnsi="Verdana" w:cs="Verdana"/>
          <w:spacing w:val="-2"/>
          <w:sz w:val="21"/>
          <w:szCs w:val="21"/>
          <w:lang w:val="es-ES"/>
        </w:rPr>
        <w:t xml:space="preserve"> </w:t>
      </w:r>
      <w:r w:rsidRPr="004D62DC">
        <w:rPr>
          <w:rFonts w:ascii="Verdana" w:hAnsi="Verdana" w:cs="Verdana"/>
          <w:sz w:val="21"/>
          <w:szCs w:val="21"/>
          <w:lang w:val="es-ES"/>
        </w:rPr>
        <w:t>lugar</w:t>
      </w:r>
      <w:r w:rsidRPr="004D62DC">
        <w:rPr>
          <w:rFonts w:ascii="Verdana" w:hAnsi="Verdana" w:cs="Verdana"/>
          <w:spacing w:val="-3"/>
          <w:sz w:val="21"/>
          <w:szCs w:val="21"/>
          <w:lang w:val="es-ES"/>
        </w:rPr>
        <w:t xml:space="preserve"> </w:t>
      </w:r>
      <w:r w:rsidRPr="004D62DC">
        <w:rPr>
          <w:rFonts w:ascii="Verdana" w:hAnsi="Verdana" w:cs="Verdana"/>
          <w:sz w:val="21"/>
          <w:szCs w:val="21"/>
          <w:lang w:val="es-ES"/>
        </w:rPr>
        <w:t>a</w:t>
      </w:r>
      <w:r w:rsidRPr="004D62DC">
        <w:rPr>
          <w:rFonts w:ascii="Verdana" w:hAnsi="Verdana" w:cs="Verdana"/>
          <w:spacing w:val="-2"/>
          <w:sz w:val="21"/>
          <w:szCs w:val="21"/>
          <w:lang w:val="es-ES"/>
        </w:rPr>
        <w:t xml:space="preserve"> </w:t>
      </w:r>
      <w:r w:rsidRPr="004D62DC">
        <w:rPr>
          <w:rFonts w:ascii="Verdana" w:hAnsi="Verdana" w:cs="Verdana"/>
          <w:sz w:val="21"/>
          <w:szCs w:val="21"/>
          <w:lang w:val="es-ES"/>
        </w:rPr>
        <w:t>sorteo</w:t>
      </w:r>
      <w:r w:rsidRPr="004D62DC">
        <w:rPr>
          <w:rFonts w:ascii="Verdana" w:hAnsi="Verdana" w:cs="Verdana"/>
          <w:spacing w:val="-3"/>
          <w:sz w:val="21"/>
          <w:szCs w:val="21"/>
          <w:lang w:val="es-ES"/>
        </w:rPr>
        <w:t xml:space="preserve"> </w:t>
      </w:r>
      <w:r w:rsidRPr="004D62DC">
        <w:rPr>
          <w:rFonts w:ascii="Verdana" w:hAnsi="Verdana" w:cs="Verdana"/>
          <w:sz w:val="21"/>
          <w:szCs w:val="21"/>
          <w:lang w:val="es-ES"/>
        </w:rPr>
        <w:t>y</w:t>
      </w:r>
      <w:r w:rsidRPr="004D62DC">
        <w:rPr>
          <w:rFonts w:ascii="Verdana" w:hAnsi="Verdana" w:cs="Verdana"/>
          <w:spacing w:val="-2"/>
          <w:sz w:val="21"/>
          <w:szCs w:val="21"/>
          <w:lang w:val="es-ES"/>
        </w:rPr>
        <w:t xml:space="preserve"> </w:t>
      </w:r>
      <w:r w:rsidRPr="004D62DC">
        <w:rPr>
          <w:rFonts w:ascii="Verdana" w:hAnsi="Verdana" w:cs="Verdana"/>
          <w:sz w:val="21"/>
          <w:szCs w:val="21"/>
          <w:lang w:val="es-ES"/>
        </w:rPr>
        <w:t>la</w:t>
      </w:r>
      <w:r w:rsidRPr="004D62DC">
        <w:rPr>
          <w:rFonts w:ascii="Verdana" w:hAnsi="Verdana" w:cs="Verdana"/>
          <w:spacing w:val="-3"/>
          <w:sz w:val="21"/>
          <w:szCs w:val="21"/>
          <w:lang w:val="es-ES"/>
        </w:rPr>
        <w:t xml:space="preserve"> </w:t>
      </w:r>
      <w:r w:rsidRPr="004D62DC">
        <w:rPr>
          <w:rFonts w:ascii="Verdana" w:hAnsi="Verdana" w:cs="Verdana"/>
          <w:sz w:val="21"/>
          <w:szCs w:val="21"/>
          <w:lang w:val="es-ES"/>
        </w:rPr>
        <w:t>forma</w:t>
      </w:r>
      <w:r w:rsidRPr="004D62DC">
        <w:rPr>
          <w:rFonts w:ascii="Verdana" w:hAnsi="Verdana" w:cs="Verdana"/>
          <w:spacing w:val="-2"/>
          <w:sz w:val="21"/>
          <w:szCs w:val="21"/>
          <w:lang w:val="es-ES"/>
        </w:rPr>
        <w:t xml:space="preserve"> </w:t>
      </w:r>
      <w:r w:rsidRPr="004D62DC">
        <w:rPr>
          <w:rFonts w:ascii="Verdana" w:hAnsi="Verdana" w:cs="Verdana"/>
          <w:sz w:val="21"/>
          <w:szCs w:val="21"/>
          <w:lang w:val="es-ES"/>
        </w:rPr>
        <w:t>en</w:t>
      </w:r>
      <w:r w:rsidRPr="004D62DC">
        <w:rPr>
          <w:rFonts w:ascii="Verdana" w:hAnsi="Verdana" w:cs="Verdana"/>
          <w:spacing w:val="-3"/>
          <w:sz w:val="21"/>
          <w:szCs w:val="21"/>
          <w:lang w:val="es-ES"/>
        </w:rPr>
        <w:t xml:space="preserve"> </w:t>
      </w:r>
      <w:r w:rsidRPr="004D62DC">
        <w:rPr>
          <w:rFonts w:ascii="Verdana" w:hAnsi="Verdana" w:cs="Verdana"/>
          <w:sz w:val="21"/>
          <w:szCs w:val="21"/>
          <w:lang w:val="es-ES"/>
        </w:rPr>
        <w:t>la</w:t>
      </w:r>
      <w:r w:rsidRPr="004D62DC">
        <w:rPr>
          <w:rFonts w:ascii="Verdana" w:hAnsi="Verdana" w:cs="Verdana"/>
          <w:spacing w:val="-2"/>
          <w:sz w:val="21"/>
          <w:szCs w:val="21"/>
          <w:lang w:val="es-ES"/>
        </w:rPr>
        <w:t xml:space="preserve"> </w:t>
      </w:r>
      <w:r w:rsidRPr="004D62DC">
        <w:rPr>
          <w:rFonts w:ascii="Verdana" w:hAnsi="Verdana" w:cs="Verdana"/>
          <w:sz w:val="21"/>
          <w:szCs w:val="21"/>
          <w:lang w:val="es-ES"/>
        </w:rPr>
        <w:t>cual</w:t>
      </w:r>
      <w:r w:rsidRPr="004D62DC">
        <w:rPr>
          <w:rFonts w:ascii="Verdana" w:hAnsi="Verdana" w:cs="Verdana"/>
          <w:spacing w:val="-3"/>
          <w:sz w:val="21"/>
          <w:szCs w:val="21"/>
          <w:lang w:val="es-ES"/>
        </w:rPr>
        <w:t xml:space="preserve"> </w:t>
      </w:r>
      <w:r w:rsidRPr="004D62DC">
        <w:rPr>
          <w:rFonts w:ascii="Verdana" w:hAnsi="Verdana" w:cs="Verdana"/>
          <w:sz w:val="21"/>
          <w:szCs w:val="21"/>
          <w:lang w:val="es-ES"/>
        </w:rPr>
        <w:t>lo</w:t>
      </w:r>
      <w:r w:rsidRPr="004D62DC">
        <w:rPr>
          <w:rFonts w:ascii="Verdana" w:hAnsi="Verdana" w:cs="Verdana"/>
          <w:spacing w:val="-2"/>
          <w:sz w:val="21"/>
          <w:szCs w:val="21"/>
          <w:lang w:val="es-ES"/>
        </w:rPr>
        <w:t xml:space="preserve"> </w:t>
      </w:r>
      <w:r w:rsidRPr="004D62DC">
        <w:rPr>
          <w:rFonts w:ascii="Verdana" w:hAnsi="Verdana" w:cs="Verdana"/>
          <w:sz w:val="21"/>
          <w:szCs w:val="21"/>
          <w:lang w:val="es-ES"/>
        </w:rPr>
        <w:t>hará.</w:t>
      </w:r>
    </w:p>
    <w:p w14:paraId="70F800BA" w14:textId="77777777" w:rsidR="00CF1837" w:rsidRPr="004D62DC" w:rsidRDefault="00CF1837" w:rsidP="00CF1837">
      <w:pPr>
        <w:widowControl w:val="0"/>
        <w:autoSpaceDE w:val="0"/>
        <w:autoSpaceDN w:val="0"/>
        <w:spacing w:after="0" w:line="240" w:lineRule="auto"/>
        <w:rPr>
          <w:rFonts w:ascii="Verdana" w:hAnsi="Verdana" w:cs="Verdana"/>
          <w:sz w:val="21"/>
          <w:szCs w:val="21"/>
          <w:lang w:val="es-ES"/>
        </w:rPr>
      </w:pPr>
    </w:p>
    <w:p w14:paraId="7540CDF0" w14:textId="77777777" w:rsidR="00CF1837" w:rsidRPr="00977131" w:rsidRDefault="00CF1837" w:rsidP="00CF1837">
      <w:pPr>
        <w:widowControl w:val="0"/>
        <w:numPr>
          <w:ilvl w:val="1"/>
          <w:numId w:val="18"/>
        </w:numPr>
        <w:tabs>
          <w:tab w:val="left" w:pos="1320"/>
        </w:tabs>
        <w:autoSpaceDE w:val="0"/>
        <w:autoSpaceDN w:val="0"/>
        <w:spacing w:before="1" w:after="0" w:line="240" w:lineRule="auto"/>
        <w:ind w:right="1610" w:firstLine="0"/>
        <w:jc w:val="both"/>
        <w:rPr>
          <w:rFonts w:ascii="Verdana" w:hAnsi="Verdana" w:cs="Verdana"/>
          <w:sz w:val="20"/>
          <w:lang w:val="es-ES"/>
        </w:rPr>
      </w:pPr>
      <w:r w:rsidRPr="004D62DC">
        <w:rPr>
          <w:rFonts w:ascii="Verdana" w:hAnsi="Verdana" w:cs="Verdana"/>
          <w:sz w:val="21"/>
          <w:szCs w:val="21"/>
          <w:lang w:val="es-ES"/>
        </w:rPr>
        <w:t>Si hay lugar a sorteo, el plazo para la presentación de las ofertas</w:t>
      </w:r>
      <w:r w:rsidRPr="004D62DC">
        <w:rPr>
          <w:rFonts w:ascii="Verdana" w:hAnsi="Verdana" w:cs="Verdana"/>
          <w:spacing w:val="1"/>
          <w:sz w:val="21"/>
          <w:szCs w:val="21"/>
          <w:lang w:val="es-ES"/>
        </w:rPr>
        <w:t xml:space="preserve"> </w:t>
      </w:r>
      <w:r w:rsidRPr="004D62DC">
        <w:rPr>
          <w:rFonts w:ascii="Verdana" w:hAnsi="Verdana" w:cs="Verdana"/>
          <w:sz w:val="21"/>
          <w:szCs w:val="21"/>
          <w:lang w:val="es-ES"/>
        </w:rPr>
        <w:t>empezará a correr el día hábil siguiente a la fecha en la cual la Entidad</w:t>
      </w:r>
      <w:r w:rsidRPr="004D62DC">
        <w:rPr>
          <w:rFonts w:ascii="Verdana" w:hAnsi="Verdana" w:cs="Verdana"/>
          <w:spacing w:val="1"/>
          <w:sz w:val="21"/>
          <w:szCs w:val="21"/>
          <w:lang w:val="es-ES"/>
        </w:rPr>
        <w:t xml:space="preserve"> </w:t>
      </w:r>
      <w:r w:rsidRPr="004D62DC">
        <w:rPr>
          <w:rFonts w:ascii="Verdana" w:hAnsi="Verdana" w:cs="Verdana"/>
          <w:spacing w:val="-1"/>
          <w:sz w:val="21"/>
          <w:szCs w:val="21"/>
          <w:lang w:val="es-ES"/>
        </w:rPr>
        <w:t xml:space="preserve">Estatal informe a los interesados el resultado del </w:t>
      </w:r>
      <w:proofErr w:type="gramStart"/>
      <w:r w:rsidRPr="004D62DC">
        <w:rPr>
          <w:rFonts w:ascii="Verdana" w:hAnsi="Verdana" w:cs="Verdana"/>
          <w:spacing w:val="-1"/>
          <w:sz w:val="21"/>
          <w:szCs w:val="21"/>
          <w:lang w:val="es-ES"/>
        </w:rPr>
        <w:t>sorteo</w:t>
      </w:r>
      <w:r w:rsidRPr="004D62DC">
        <w:rPr>
          <w:rFonts w:ascii="Verdana" w:hAnsi="Verdana" w:cs="Verdana"/>
          <w:spacing w:val="-46"/>
          <w:sz w:val="21"/>
          <w:szCs w:val="21"/>
          <w:lang w:val="es-ES"/>
        </w:rPr>
        <w:t xml:space="preserve"> </w:t>
      </w:r>
      <w:r w:rsidRPr="004D62DC">
        <w:rPr>
          <w:rFonts w:ascii="Verdana" w:hAnsi="Verdana" w:cs="Verdana"/>
          <w:sz w:val="21"/>
          <w:szCs w:val="21"/>
          <w:lang w:val="es-ES"/>
        </w:rPr>
        <w:t>”</w:t>
      </w:r>
      <w:proofErr w:type="gramEnd"/>
      <w:r w:rsidRPr="004D62DC">
        <w:rPr>
          <w:rFonts w:ascii="Verdana" w:hAnsi="Verdana" w:cs="Verdana"/>
          <w:sz w:val="21"/>
          <w:szCs w:val="21"/>
          <w:lang w:val="es-ES"/>
        </w:rPr>
        <w:t>.</w:t>
      </w:r>
    </w:p>
    <w:p w14:paraId="52295F75" w14:textId="77777777" w:rsidR="00CF1837" w:rsidRPr="00977131" w:rsidRDefault="00CF1837" w:rsidP="00CF1837">
      <w:pPr>
        <w:widowControl w:val="0"/>
        <w:autoSpaceDE w:val="0"/>
        <w:autoSpaceDN w:val="0"/>
        <w:spacing w:after="0" w:line="276" w:lineRule="auto"/>
        <w:rPr>
          <w:rFonts w:ascii="Verdana" w:hAnsi="Verdana" w:cs="Verdana"/>
          <w:sz w:val="23"/>
          <w:lang w:val="es-ES"/>
        </w:rPr>
      </w:pPr>
    </w:p>
    <w:p w14:paraId="183FDB4E" w14:textId="77777777" w:rsidR="00CF1837" w:rsidRPr="008A3EE5" w:rsidRDefault="00CF1837" w:rsidP="00CF1837">
      <w:pPr>
        <w:pStyle w:val="NormalWeb"/>
        <w:spacing w:line="276" w:lineRule="auto"/>
        <w:ind w:firstLine="709"/>
        <w:jc w:val="both"/>
        <w:rPr>
          <w:rFonts w:ascii="Verdana" w:hAnsi="Verdana" w:cs="Verdana"/>
          <w:sz w:val="22"/>
          <w:szCs w:val="22"/>
          <w:lang w:val="es-ES"/>
        </w:rPr>
      </w:pPr>
      <w:r w:rsidRPr="00977131">
        <w:rPr>
          <w:rFonts w:ascii="Verdana" w:hAnsi="Verdana" w:cs="Verdana"/>
          <w:sz w:val="22"/>
          <w:szCs w:val="22"/>
          <w:lang w:val="es-ES"/>
        </w:rPr>
        <w:t>El numeral primero del artículo 2.2.1.2.1.2.20 del Decreto 1082 de 2015 dispone que el interesado debe manifestar su “intención” de participar en los procesos de selección abreviada de menor cuantía, por ello, la finalidad es que los interesados puedan participar, en el procedimiento de contratación, de manera que, es obligación de la Entidad Estatal regular en sus pliegos de condiciones el mecanismo que establecerán para tal efecto y las reglas de procedimiento que aplicaran para realizar el sorteo con el que seleccionaran a los interesados que podrán presentar oferta cuando se presenten más de 10</w:t>
      </w:r>
      <w:r w:rsidRPr="008A3EE5">
        <w:rPr>
          <w:rFonts w:ascii="Verdana" w:hAnsi="Verdana" w:cs="Verdana"/>
          <w:sz w:val="22"/>
          <w:szCs w:val="22"/>
          <w:lang w:val="es-ES"/>
        </w:rPr>
        <w:t xml:space="preserve"> “</w:t>
      </w:r>
      <w:r w:rsidRPr="00977131">
        <w:rPr>
          <w:rFonts w:ascii="Verdana" w:hAnsi="Verdana" w:cs="Verdana"/>
          <w:sz w:val="22"/>
          <w:szCs w:val="22"/>
          <w:lang w:val="es-ES"/>
        </w:rPr>
        <w:t>manifestaciones de interés</w:t>
      </w:r>
      <w:r w:rsidRPr="008A3EE5">
        <w:rPr>
          <w:rFonts w:ascii="Verdana" w:hAnsi="Verdana" w:cs="Verdana"/>
          <w:sz w:val="22"/>
          <w:szCs w:val="22"/>
          <w:lang w:val="es-ES"/>
        </w:rPr>
        <w:t>”</w:t>
      </w:r>
      <w:r w:rsidRPr="00977131">
        <w:rPr>
          <w:rFonts w:ascii="Verdana" w:hAnsi="Verdana" w:cs="Verdana"/>
          <w:sz w:val="22"/>
          <w:szCs w:val="22"/>
          <w:lang w:val="es-ES"/>
        </w:rPr>
        <w:t xml:space="preserve"> o si continuará el Proceso de Contratación sin </w:t>
      </w:r>
      <w:r w:rsidRPr="00977131">
        <w:rPr>
          <w:rFonts w:ascii="Verdana" w:hAnsi="Verdana" w:cs="Verdana"/>
          <w:sz w:val="22"/>
          <w:szCs w:val="22"/>
          <w:lang w:val="es-ES"/>
        </w:rPr>
        <w:lastRenderedPageBreak/>
        <w:t>realizar sorteo alguno, permitiendo en todo caso que las personas interesadas</w:t>
      </w:r>
      <w:r w:rsidRPr="008A3EE5">
        <w:rPr>
          <w:rFonts w:ascii="Verdana" w:hAnsi="Verdana" w:cs="Verdana"/>
          <w:sz w:val="22"/>
          <w:szCs w:val="22"/>
          <w:lang w:val="es-ES"/>
        </w:rPr>
        <w:t xml:space="preserve"> expresen a la Entidad Estatal su interés de presentarse al proceso de selección abreviada de menor cuantía en igualdad de condiciones.</w:t>
      </w:r>
    </w:p>
    <w:p w14:paraId="64CD03F8" w14:textId="2A6CB90C" w:rsidR="00CF1837" w:rsidRPr="00977131" w:rsidRDefault="00CF1837" w:rsidP="00CF1837">
      <w:pPr>
        <w:pStyle w:val="NormalWeb"/>
        <w:spacing w:line="276" w:lineRule="auto"/>
        <w:ind w:firstLine="709"/>
        <w:jc w:val="both"/>
        <w:rPr>
          <w:rFonts w:ascii="Verdana" w:hAnsi="Verdana" w:cs="Verdana"/>
          <w:sz w:val="22"/>
          <w:szCs w:val="22"/>
          <w:lang w:val="es-ES"/>
        </w:rPr>
      </w:pPr>
      <w:r w:rsidRPr="1540D97C">
        <w:rPr>
          <w:rFonts w:ascii="Verdana" w:hAnsi="Verdana" w:cs="Verdana"/>
          <w:sz w:val="22"/>
          <w:szCs w:val="22"/>
          <w:lang w:val="es-ES"/>
        </w:rPr>
        <w:t>La interpretación ajustada a los principios que orientan la contratación pública consiste en que un interesado presente una comunicación de intención de participar, por la razón de que el interés de vincularse al proceso es uno solo. Esta conclusión no se infiere únicamente de la redacción de la disposición analizada, que con claridad deja entrever que lo relevante es manifestar dicha intención como criterio para participar en el procedimiento de selección, sino que el fin consiste en darle a los interesados la posibilidad de participar en igualdad de condiciones, por lo que no debe permitirse que un mismo interesado presente varias “manifestaciones de interés”, pues ello iría en contra de los principios que orientan la contratación pública, lo que es particularmente relevante en los supuestos en que se realice el sorteo en relación con quienes manifestaron su interés en participar.</w:t>
      </w:r>
    </w:p>
    <w:p w14:paraId="281E299F" w14:textId="77777777" w:rsidR="00CF1837" w:rsidRPr="00977131" w:rsidRDefault="00CF1837" w:rsidP="00CF1837">
      <w:pPr>
        <w:pStyle w:val="NormalWeb"/>
        <w:spacing w:line="276" w:lineRule="auto"/>
        <w:ind w:firstLine="709"/>
        <w:jc w:val="both"/>
        <w:rPr>
          <w:rFonts w:ascii="Verdana" w:hAnsi="Verdana" w:cs="Verdana"/>
          <w:sz w:val="22"/>
          <w:szCs w:val="22"/>
          <w:lang w:val="es-ES"/>
        </w:rPr>
      </w:pPr>
      <w:r w:rsidRPr="00977131">
        <w:rPr>
          <w:rFonts w:ascii="Verdana" w:hAnsi="Verdana" w:cs="Verdana"/>
          <w:sz w:val="22"/>
          <w:szCs w:val="22"/>
          <w:lang w:val="es-ES"/>
        </w:rPr>
        <w:t xml:space="preserve">Ahora bien, con respecto a la presentación de la manifestación de interés durante los tres días hábiles contados a partir de la fecha de apertura del Proceso de Contratación de selección abreviada de menor cuantía, se señala que este es una regla o requisito especial de esta modalidad, es decir, este se convierte en un requisito habilitante para participar en el respectivo Proceso de Selección. En efecto, según lo dispuesto en el artículo 2.2.1.2.1.2.20 del Decreto 1082 de 2015, el procedimiento inicia con la apertura del proceso que haga la entidad, y los interesados en el procedimiento contractual deben presentar una </w:t>
      </w:r>
      <w:r>
        <w:rPr>
          <w:rFonts w:ascii="Verdana" w:hAnsi="Verdana" w:cs="Verdana"/>
          <w:sz w:val="22"/>
          <w:szCs w:val="22"/>
          <w:lang w:val="es-ES"/>
        </w:rPr>
        <w:t>“</w:t>
      </w:r>
      <w:r w:rsidRPr="00977131">
        <w:rPr>
          <w:rFonts w:ascii="Verdana" w:hAnsi="Verdana" w:cs="Verdana"/>
          <w:sz w:val="22"/>
          <w:szCs w:val="22"/>
          <w:lang w:val="es-ES"/>
        </w:rPr>
        <w:t>manifestación de interés</w:t>
      </w:r>
      <w:r>
        <w:rPr>
          <w:rFonts w:ascii="Verdana" w:hAnsi="Verdana" w:cs="Verdana"/>
          <w:sz w:val="22"/>
          <w:szCs w:val="22"/>
          <w:lang w:val="es-ES"/>
        </w:rPr>
        <w:t>”</w:t>
      </w:r>
      <w:r w:rsidRPr="00977131">
        <w:rPr>
          <w:rFonts w:ascii="Verdana" w:hAnsi="Verdana" w:cs="Verdana"/>
          <w:sz w:val="22"/>
          <w:szCs w:val="22"/>
          <w:lang w:val="es-ES"/>
        </w:rPr>
        <w:t xml:space="preserve"> para participar en el mismo, como requisito para poder continuar en el procedimiento de selección.</w:t>
      </w:r>
    </w:p>
    <w:p w14:paraId="282F7B26" w14:textId="77777777" w:rsidR="00CF1837" w:rsidRPr="008A3EE5" w:rsidRDefault="00CF1837" w:rsidP="00CF1837">
      <w:pPr>
        <w:pStyle w:val="NormalWeb"/>
        <w:spacing w:line="276" w:lineRule="auto"/>
        <w:ind w:firstLine="709"/>
        <w:jc w:val="both"/>
        <w:rPr>
          <w:rFonts w:ascii="Verdana" w:hAnsi="Verdana" w:cs="Verdana"/>
          <w:sz w:val="22"/>
          <w:szCs w:val="22"/>
          <w:lang w:val="es-ES"/>
        </w:rPr>
      </w:pPr>
      <w:r w:rsidRPr="00977131">
        <w:rPr>
          <w:rFonts w:ascii="Verdana" w:hAnsi="Verdana" w:cs="Verdana"/>
          <w:sz w:val="22"/>
          <w:szCs w:val="22"/>
          <w:lang w:val="es-ES"/>
        </w:rPr>
        <w:t xml:space="preserve">Por otro lado, respecto al término de 3 días hábiles para presentar la manifestación de interés, previsto en el numeral primero del artículo 2.2.1.2.1.2.20 del Decreto 1082 de 2015, esta Agencia considera que dicho término está dirigido directamente a los interesados y no a las Entidades Estatales, de tal forma que, la norma directamente señala que los interesados podrán presentar la manifestación de interés durante ese término, sin que el mismo se refiera a una regla para elaborar el pliego de condiciones, por lo que las entidades no podrían limitarlo. En efecto, la mención que se hace al final del numeral citado respecto al pliego de condiciones está dirigido a que se establezca </w:t>
      </w:r>
      <w:r w:rsidRPr="00977131">
        <w:rPr>
          <w:rFonts w:ascii="Verdana" w:hAnsi="Verdana" w:cs="Verdana"/>
          <w:sz w:val="22"/>
          <w:szCs w:val="22"/>
          <w:lang w:val="es-ES"/>
        </w:rPr>
        <w:lastRenderedPageBreak/>
        <w:t>el mecanismo para realizar la solicitud, no frente al momento para presentar las</w:t>
      </w:r>
      <w:r w:rsidRPr="008A3EE5">
        <w:rPr>
          <w:rFonts w:ascii="Verdana" w:hAnsi="Verdana" w:cs="Verdana"/>
          <w:sz w:val="22"/>
          <w:szCs w:val="22"/>
          <w:lang w:val="es-ES"/>
        </w:rPr>
        <w:t xml:space="preserve"> manifestaciones de interés que, como se indicó, lo establece directamente la norma.</w:t>
      </w:r>
    </w:p>
    <w:bookmarkEnd w:id="1"/>
    <w:p w14:paraId="40943819" w14:textId="77777777" w:rsidR="00CF1837" w:rsidRPr="00D04F62" w:rsidRDefault="00CF1837" w:rsidP="00CF1837">
      <w:pPr>
        <w:shd w:val="clear" w:color="auto" w:fill="FFFFFF"/>
        <w:spacing w:after="120" w:line="276" w:lineRule="auto"/>
        <w:ind w:firstLine="709"/>
        <w:jc w:val="both"/>
        <w:textAlignment w:val="baseline"/>
        <w:rPr>
          <w:rFonts w:ascii="Verdana" w:hAnsi="Verdana" w:cs="Arial"/>
          <w:bCs/>
          <w:color w:val="000000"/>
          <w:lang w:val="es-ES"/>
        </w:rPr>
      </w:pPr>
      <w:r w:rsidRPr="008E7348">
        <w:rPr>
          <w:rFonts w:ascii="Verdana" w:hAnsi="Verdana" w:cs="Arial"/>
          <w:bCs/>
          <w:color w:val="000000"/>
          <w:lang w:val="es-ES"/>
        </w:rPr>
        <w:t>Por su parte, el artículo 2.2.1.2.1.5.2 del Decreto 1082 de 2015 –modificado por el Decreto 1860 de 2021–, al reglamentar el procedimiento de esta modalidad de escogencia, establece, en el numeral 3, que “[l]</w:t>
      </w:r>
      <w:r w:rsidRPr="008E7348">
        <w:rPr>
          <w:rFonts w:ascii="Verdana" w:hAnsi="Verdana" w:cs="Arial"/>
          <w:b/>
          <w:color w:val="000000"/>
          <w:u w:val="single"/>
          <w:lang w:val="es-ES"/>
        </w:rPr>
        <w:t>a invitación se publicará por un término no inferior a un (1) día hábil, y en el numeral 4, que “se dispondrá un término adicional dentro del cual los proponentes podrán presentar sus ofertas, el cual será de mínimo un (1) día hábil luego de publicado el aviso en que se informe si el proceso se limita o no a MiPymes</w:t>
      </w:r>
      <w:r w:rsidRPr="008E7348">
        <w:rPr>
          <w:rFonts w:ascii="Verdana" w:hAnsi="Verdana" w:cs="Arial"/>
          <w:bCs/>
          <w:color w:val="000000"/>
          <w:lang w:val="es-ES"/>
        </w:rPr>
        <w:t>”.</w:t>
      </w:r>
    </w:p>
    <w:p w14:paraId="1138E203" w14:textId="77777777" w:rsidR="00CF1837" w:rsidRPr="00D04F62" w:rsidRDefault="00CF1837" w:rsidP="00CF1837">
      <w:pPr>
        <w:shd w:val="clear" w:color="auto" w:fill="FFFFFF"/>
        <w:spacing w:after="120" w:line="276" w:lineRule="auto"/>
        <w:jc w:val="both"/>
        <w:textAlignment w:val="baseline"/>
        <w:rPr>
          <w:rFonts w:ascii="Verdana" w:hAnsi="Verdana" w:cs="Arial"/>
          <w:bCs/>
          <w:color w:val="000000"/>
          <w:lang w:val="es-ES"/>
        </w:rPr>
      </w:pPr>
      <w:r w:rsidRPr="00D04F62">
        <w:rPr>
          <w:rFonts w:ascii="Verdana" w:hAnsi="Verdana" w:cs="Arial"/>
          <w:bCs/>
          <w:color w:val="000000"/>
          <w:lang w:val="es-ES"/>
        </w:rPr>
        <w:tab/>
        <w:t xml:space="preserve">Como se observa, y a efectos de resolver su inquietud, la normativa legal y reglamentaria no contempla un término de inicio o habilitante a partir del cual los oferentes pueden presentar ofertas, sino que establece la fecha de cierre o término límite para la presentación de la oferta. De admitirse una interpretación extensiva, tales enunciados normativos podrían contemplar múltiples supuestos indeterminados, adquiriendo un cariz subjetivo, según el parecer o el sentido común de los operadores jurídicos, poniendo en riesgo principios como la igualdad, el debido proceso, la libre concurrencia y el ejercicio de la profesión u oficio, por lo que solo se permitirá una interpretación restrictiva, en la medida en que no se indica de manera concreta un </w:t>
      </w:r>
      <w:r w:rsidRPr="00D04F62">
        <w:rPr>
          <w:rFonts w:ascii="Verdana" w:hAnsi="Verdana" w:cs="Arial"/>
          <w:bCs/>
          <w:i/>
          <w:iCs/>
          <w:color w:val="000000"/>
          <w:lang w:val="es-ES"/>
        </w:rPr>
        <w:t>plazo de inicio de presentación de ofertas</w:t>
      </w:r>
      <w:r w:rsidRPr="00D04F62">
        <w:rPr>
          <w:rFonts w:ascii="Verdana" w:hAnsi="Verdana" w:cs="Arial"/>
          <w:bCs/>
          <w:color w:val="000000"/>
          <w:lang w:val="es-ES"/>
        </w:rPr>
        <w:t xml:space="preserve">. </w:t>
      </w:r>
    </w:p>
    <w:p w14:paraId="48FED199" w14:textId="77777777" w:rsidR="00CF1837" w:rsidRPr="00D04F62" w:rsidRDefault="00CF1837" w:rsidP="00CF1837">
      <w:pPr>
        <w:shd w:val="clear" w:color="auto" w:fill="FFFFFF"/>
        <w:spacing w:after="120" w:line="276" w:lineRule="auto"/>
        <w:ind w:firstLine="708"/>
        <w:jc w:val="both"/>
        <w:textAlignment w:val="baseline"/>
        <w:rPr>
          <w:rFonts w:ascii="Verdana" w:hAnsi="Verdana" w:cs="Arial"/>
          <w:bCs/>
          <w:color w:val="000000"/>
          <w:lang w:val="es-ES"/>
        </w:rPr>
      </w:pPr>
      <w:r w:rsidRPr="00D04F62">
        <w:rPr>
          <w:rFonts w:ascii="Verdana" w:hAnsi="Verdana" w:cs="Arial"/>
          <w:bCs/>
          <w:color w:val="000000"/>
          <w:lang w:val="es-ES"/>
        </w:rPr>
        <w:t xml:space="preserve">  </w:t>
      </w:r>
      <w:r w:rsidRPr="00D04F62">
        <w:rPr>
          <w:rFonts w:ascii="Verdana" w:hAnsi="Verdana" w:cs="Arial"/>
          <w:bCs/>
          <w:color w:val="000000"/>
          <w:lang w:val="es-MX"/>
        </w:rPr>
        <w:t xml:space="preserve">Ahora bien, reconociendo que no existe una acepción unívoca de día hábil, </w:t>
      </w:r>
      <w:r w:rsidRPr="00D04F62">
        <w:rPr>
          <w:rFonts w:ascii="Verdana" w:hAnsi="Verdana" w:cs="Arial"/>
          <w:bCs/>
          <w:color w:val="000000"/>
          <w:lang w:val="es-ES"/>
        </w:rPr>
        <w:t xml:space="preserve">los días hábiles se determinan según la entidad, ya que “cada entidad pública establece la jornada laboral, a través de su reglamento interno, dando certeza sobre los días que atienden al público, e indirectamente definiendo qué día es hábil en determinada institución”, por lo que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Lo anterior sin perjuicio de que las entidades definan en sus reglamentos internos jornadas laborales distintas, que incluyan el sábado o el domingo, como “en los numerosos municipios del país donde la Administración labora los fines de semana ―sábados y domingos― normalmente para brindarle un buen servicio a la </w:t>
      </w:r>
      <w:r w:rsidRPr="00D04F62">
        <w:rPr>
          <w:rFonts w:ascii="Verdana" w:hAnsi="Verdana" w:cs="Arial"/>
          <w:bCs/>
          <w:color w:val="000000"/>
          <w:lang w:val="es-ES"/>
        </w:rPr>
        <w:lastRenderedPageBreak/>
        <w:t xml:space="preserve">población campesina, que acostumbra ir al casco urbano en estos dos días y descansan un día de la semana ―usualmente el miércoles―”, ejemplo donde los días laborables o hábiles son todos los de la semana, con excepción del miércoles. </w:t>
      </w:r>
    </w:p>
    <w:p w14:paraId="3BD2D507" w14:textId="2887476B" w:rsidR="007D3AA2" w:rsidRPr="007E5FCC" w:rsidRDefault="007D3AA2" w:rsidP="007D3AA2">
      <w:pPr>
        <w:spacing w:before="120" w:after="0" w:line="276" w:lineRule="auto"/>
        <w:ind w:firstLine="709"/>
        <w:jc w:val="both"/>
        <w:rPr>
          <w:rFonts w:ascii="Verdana" w:eastAsia="Calibri" w:hAnsi="Verdana" w:cs="Arial"/>
          <w:lang w:val="es-MX"/>
        </w:rPr>
      </w:pPr>
      <w:r w:rsidRPr="007E5FCC">
        <w:rPr>
          <w:rFonts w:ascii="Verdana" w:eastAsia="Calibri" w:hAnsi="Verdana" w:cs="Arial"/>
          <w:lang w:val="es-MX"/>
        </w:rPr>
        <w:t xml:space="preserve">En ese sentido, la finalidad del Decreto </w:t>
      </w:r>
      <w:r w:rsidRPr="00112483">
        <w:rPr>
          <w:rFonts w:ascii="Verdana" w:eastAsia="Calibri" w:hAnsi="Verdana" w:cs="Arial"/>
          <w:u w:val="single"/>
          <w:lang w:val="es-MX"/>
        </w:rPr>
        <w:t>es establecer un término de máximo 3 días hábiles después de la apertura del proceso de selección para que los interesados presenten las manifestaciones de interés</w:t>
      </w:r>
      <w:r w:rsidRPr="007E5FCC">
        <w:rPr>
          <w:rFonts w:ascii="Verdana" w:eastAsia="Calibri" w:hAnsi="Verdana" w:cs="Arial"/>
          <w:lang w:val="es-MX"/>
        </w:rPr>
        <w:t>. Es de anotar que los proponentes pueden, a su criterio, presentar la manifestación de interés antes del tercer día. En todo caso el término que ostenta el proponente para presentar su manifestación de interés no puede ser mayor al término legal y perentorio de 3 días hábiles luego de la apertura del proceso. De esta manera, se considera que la norma indicada establece el término dentro del cual los interesados podrán presentar las manifestaciones de interés, mas no para que las entidades estatales definan un término no mayor a 3 días hábiles; pues, como se expresó, el término está directamente dirigido a los proponentes para que ellos presenten dichas manifestaciones de interés dentro del lapso comprendido entre la apertura del procedimiento de selección y hasta 3 días hábiles luego de dicha apertura.</w:t>
      </w:r>
    </w:p>
    <w:p w14:paraId="22433E65" w14:textId="77777777" w:rsidR="007D3AA2" w:rsidRPr="007E5FCC" w:rsidRDefault="007D3AA2" w:rsidP="007D3AA2">
      <w:pPr>
        <w:spacing w:after="0" w:line="276" w:lineRule="auto"/>
        <w:jc w:val="both"/>
        <w:rPr>
          <w:rFonts w:ascii="Verdana" w:eastAsia="Calibri" w:hAnsi="Verdana" w:cs="Arial"/>
          <w:color w:val="000000" w:themeColor="text1"/>
          <w:lang w:val="es-ES"/>
        </w:rPr>
      </w:pPr>
    </w:p>
    <w:p w14:paraId="08BD5BCC" w14:textId="77777777" w:rsidR="007D3AA2" w:rsidRPr="007E5FCC" w:rsidRDefault="007D3AA2" w:rsidP="007D3AA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7E5FCC">
        <w:rPr>
          <w:rFonts w:ascii="Verdana" w:eastAsia="Century Gothic" w:hAnsi="Verdana" w:cs="Century Gothic"/>
          <w:b/>
          <w:bCs/>
          <w:color w:val="000000" w:themeColor="text1"/>
        </w:rPr>
        <w:t>Referencias normativas, jurisprudenciales y otras fuentes:</w:t>
      </w:r>
    </w:p>
    <w:p w14:paraId="63774FF0" w14:textId="77777777" w:rsidR="007D3AA2" w:rsidRPr="007E5FCC" w:rsidRDefault="007D3AA2" w:rsidP="007D3AA2">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D3AA2" w:rsidRPr="007E5FCC" w14:paraId="2A976E27" w14:textId="77777777" w:rsidTr="00CA73E4">
        <w:trPr>
          <w:trHeight w:val="870"/>
        </w:trPr>
        <w:tc>
          <w:tcPr>
            <w:tcW w:w="8647" w:type="dxa"/>
          </w:tcPr>
          <w:p w14:paraId="7342982E" w14:textId="77777777" w:rsidR="007D3AA2" w:rsidRPr="007E5FCC" w:rsidRDefault="007D3AA2" w:rsidP="007D3AA2">
            <w:pPr>
              <w:pStyle w:val="Prrafodelista"/>
              <w:widowControl w:val="0"/>
              <w:numPr>
                <w:ilvl w:val="0"/>
                <w:numId w:val="17"/>
              </w:numPr>
              <w:autoSpaceDE w:val="0"/>
              <w:autoSpaceDN w:val="0"/>
              <w:spacing w:line="276" w:lineRule="auto"/>
              <w:jc w:val="both"/>
              <w:rPr>
                <w:rFonts w:ascii="Verdana" w:hAnsi="Verdana" w:cs="Arial"/>
                <w:color w:val="000000" w:themeColor="text1"/>
              </w:rPr>
            </w:pPr>
            <w:r w:rsidRPr="007E5FCC">
              <w:rPr>
                <w:rFonts w:ascii="Verdana" w:hAnsi="Verdana" w:cs="Arial"/>
                <w:color w:val="000000" w:themeColor="text1"/>
              </w:rPr>
              <w:t xml:space="preserve">Ley 80 de 1993:  artículo 24 </w:t>
            </w:r>
          </w:p>
          <w:p w14:paraId="5CD50F6D" w14:textId="77777777" w:rsidR="007D3AA2" w:rsidRPr="007E5FCC" w:rsidRDefault="007D3AA2" w:rsidP="007D3AA2">
            <w:pPr>
              <w:pStyle w:val="Prrafodelista"/>
              <w:widowControl w:val="0"/>
              <w:numPr>
                <w:ilvl w:val="0"/>
                <w:numId w:val="17"/>
              </w:numPr>
              <w:autoSpaceDE w:val="0"/>
              <w:autoSpaceDN w:val="0"/>
              <w:spacing w:after="120" w:line="276" w:lineRule="auto"/>
              <w:jc w:val="both"/>
              <w:rPr>
                <w:rFonts w:ascii="Verdana" w:hAnsi="Verdana" w:cs="Arial"/>
                <w:color w:val="000000" w:themeColor="text1"/>
              </w:rPr>
            </w:pPr>
            <w:r w:rsidRPr="007E5FCC">
              <w:rPr>
                <w:rFonts w:ascii="Verdana" w:hAnsi="Verdana" w:cs="Arial"/>
                <w:color w:val="000000" w:themeColor="text1"/>
              </w:rPr>
              <w:t>Ley 1150 de 2007</w:t>
            </w:r>
          </w:p>
          <w:p w14:paraId="74BDA608" w14:textId="77777777" w:rsidR="007D3AA2" w:rsidRPr="007E5FCC" w:rsidRDefault="007D3AA2" w:rsidP="007D3AA2">
            <w:pPr>
              <w:pStyle w:val="Prrafodelista"/>
              <w:widowControl w:val="0"/>
              <w:numPr>
                <w:ilvl w:val="0"/>
                <w:numId w:val="17"/>
              </w:numPr>
              <w:autoSpaceDE w:val="0"/>
              <w:autoSpaceDN w:val="0"/>
              <w:spacing w:after="120" w:line="276" w:lineRule="auto"/>
              <w:jc w:val="both"/>
              <w:rPr>
                <w:rFonts w:ascii="Verdana" w:hAnsi="Verdana" w:cs="Arial"/>
                <w:color w:val="000000" w:themeColor="text1"/>
              </w:rPr>
            </w:pPr>
            <w:r w:rsidRPr="007E5FCC">
              <w:rPr>
                <w:rFonts w:ascii="Verdana" w:hAnsi="Verdana" w:cs="Arial"/>
                <w:color w:val="000000" w:themeColor="text1"/>
              </w:rPr>
              <w:t xml:space="preserve">Decreto Único Reglamentario 1082 de 2015: </w:t>
            </w:r>
            <w:r w:rsidRPr="007E5FCC">
              <w:rPr>
                <w:rFonts w:ascii="Verdana" w:hAnsi="Verdana" w:cs="Verdana"/>
              </w:rPr>
              <w:t>Artículos 2.2.1.1.2.2.1., 2.2.1.1.2.1.3</w:t>
            </w:r>
            <w:r w:rsidRPr="007E5FCC">
              <w:rPr>
                <w:rFonts w:ascii="Verdana" w:hAnsi="Verdana" w:cs="Arial"/>
                <w:bCs/>
                <w:color w:val="000000"/>
              </w:rPr>
              <w:t>,</w:t>
            </w:r>
            <w:r w:rsidRPr="007E5FCC">
              <w:rPr>
                <w:rFonts w:ascii="Verdana" w:hAnsi="Verdana" w:cs="Verdana"/>
              </w:rPr>
              <w:t xml:space="preserve"> 2.2.1.1.2.2.1, 2.2.1.1.1.7.1, 2.2.1.2.1.2.20</w:t>
            </w:r>
          </w:p>
        </w:tc>
      </w:tr>
    </w:tbl>
    <w:p w14:paraId="0E69A1B7" w14:textId="77777777" w:rsidR="007D3AA2" w:rsidRPr="007E5FCC" w:rsidRDefault="007D3AA2" w:rsidP="007D3AA2">
      <w:pPr>
        <w:widowControl w:val="0"/>
        <w:autoSpaceDE w:val="0"/>
        <w:autoSpaceDN w:val="0"/>
        <w:spacing w:after="0" w:line="276" w:lineRule="auto"/>
        <w:jc w:val="both"/>
        <w:rPr>
          <w:rFonts w:ascii="Verdana" w:hAnsi="Verdana" w:cs="Arial"/>
          <w:color w:val="000000" w:themeColor="text1"/>
        </w:rPr>
      </w:pPr>
    </w:p>
    <w:p w14:paraId="056DB144" w14:textId="77777777" w:rsidR="007D3AA2" w:rsidRPr="007E5FCC" w:rsidRDefault="007D3AA2" w:rsidP="007D3AA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7E5FCC">
        <w:rPr>
          <w:rFonts w:ascii="Verdana" w:eastAsia="Century Gothic" w:hAnsi="Verdana" w:cs="Century Gothic"/>
          <w:b/>
          <w:bCs/>
          <w:color w:val="000000" w:themeColor="text1"/>
        </w:rPr>
        <w:t>Doctrina de la Agencia Nacional de Contratación Pública:</w:t>
      </w:r>
    </w:p>
    <w:p w14:paraId="5C3631A1" w14:textId="77777777" w:rsidR="007D3AA2" w:rsidRPr="007E5FCC" w:rsidRDefault="007D3AA2" w:rsidP="007D3AA2">
      <w:pPr>
        <w:widowControl w:val="0"/>
        <w:autoSpaceDE w:val="0"/>
        <w:autoSpaceDN w:val="0"/>
        <w:spacing w:after="0" w:line="276" w:lineRule="auto"/>
        <w:jc w:val="both"/>
        <w:rPr>
          <w:rFonts w:ascii="Verdana" w:hAnsi="Verdana" w:cs="Arial"/>
          <w:color w:val="000000" w:themeColor="text1"/>
        </w:rPr>
      </w:pPr>
    </w:p>
    <w:p w14:paraId="261AC29C" w14:textId="77777777" w:rsidR="007D3AA2" w:rsidRPr="007E5FCC" w:rsidRDefault="007D3AA2" w:rsidP="007D3AA2">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7E5FCC">
        <w:rPr>
          <w:rFonts w:ascii="Verdana" w:hAnsi="Verdana" w:cs="Arial"/>
          <w:color w:val="000000" w:themeColor="text1"/>
          <w:shd w:val="clear" w:color="auto" w:fill="FFFFFF"/>
          <w:lang w:val="es-ES"/>
        </w:rPr>
        <w:t xml:space="preserve">Sobre la manifestación de interés en los procesos de selección abreviada menor cuantía en el SECOP II, esta Subdirección se ha referido en los conceptos </w:t>
      </w:r>
      <w:r w:rsidRPr="007E5FCC">
        <w:rPr>
          <w:rFonts w:ascii="Verdana" w:hAnsi="Verdana" w:cs="Arial"/>
          <w:color w:val="000000" w:themeColor="text1"/>
          <w:shd w:val="clear" w:color="auto" w:fill="FFFFFF"/>
          <w:lang w:val="es-ES_tradnl"/>
        </w:rPr>
        <w:t xml:space="preserve">2201913000009634 de 2019, C-139 de 2020, C- 767 del 07 de enero de 2021, C-425 del 06 de julio de 2022, C-095 del 04 de mayo de 2024, </w:t>
      </w:r>
      <w:r w:rsidRPr="007E5FCC">
        <w:rPr>
          <w:rFonts w:ascii="Verdana" w:hAnsi="Verdana" w:cs="Arial"/>
          <w:color w:val="000000" w:themeColor="text1"/>
          <w:shd w:val="clear" w:color="auto" w:fill="FFFFFF"/>
          <w:lang w:val="es-ES"/>
        </w:rPr>
        <w:t xml:space="preserve">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w:t>
      </w:r>
      <w:r w:rsidRPr="007E5FCC">
        <w:rPr>
          <w:rFonts w:ascii="Verdana" w:hAnsi="Verdana" w:cs="Arial"/>
          <w:color w:val="000000" w:themeColor="text1"/>
          <w:shd w:val="clear" w:color="auto" w:fill="FFFFFF"/>
          <w:lang w:val="es-ES"/>
        </w:rPr>
        <w:lastRenderedPageBreak/>
        <w:t xml:space="preserve">través del siguiente enlace: </w:t>
      </w:r>
      <w:hyperlink r:id="rId12" w:history="1">
        <w:r w:rsidRPr="007E5FCC">
          <w:rPr>
            <w:rStyle w:val="Hipervnculo"/>
            <w:rFonts w:ascii="Verdana" w:hAnsi="Verdana" w:cs="Arial"/>
            <w:shd w:val="clear" w:color="auto" w:fill="FFFFFF"/>
            <w:lang w:val="es-ES"/>
          </w:rPr>
          <w:t>https://relatoria.colombiacompra.gov.co/</w:t>
        </w:r>
      </w:hyperlink>
      <w:r w:rsidRPr="007E5FCC">
        <w:rPr>
          <w:rFonts w:ascii="Verdana" w:hAnsi="Verdana" w:cs="Arial"/>
          <w:color w:val="000000" w:themeColor="text1"/>
          <w:shd w:val="clear" w:color="auto" w:fill="FFFFFF"/>
          <w:lang w:val="es-ES"/>
        </w:rPr>
        <w:t xml:space="preserve"> </w:t>
      </w:r>
    </w:p>
    <w:p w14:paraId="6BA89B55" w14:textId="77777777" w:rsidR="007D3AA2" w:rsidRPr="007E5FCC" w:rsidRDefault="007D3AA2" w:rsidP="007D3AA2">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3E5C02B7" w14:textId="77777777" w:rsidR="007D3AA2" w:rsidRPr="007E5FCC" w:rsidRDefault="007D3AA2" w:rsidP="007D3AA2">
      <w:pPr>
        <w:spacing w:after="0" w:line="276" w:lineRule="auto"/>
        <w:jc w:val="both"/>
        <w:rPr>
          <w:rFonts w:ascii="Verdana" w:eastAsia="Calibri" w:hAnsi="Verdana" w:cs="Times New Roman"/>
        </w:rPr>
      </w:pPr>
      <w:r w:rsidRPr="007E5FCC">
        <w:rPr>
          <w:rFonts w:ascii="Verdana" w:eastAsia="Calibri" w:hAnsi="Verdana" w:cs="Times New Roman"/>
        </w:rPr>
        <w:t xml:space="preserve">Por último, lo invitamos a seguirnos en las redes sociales en las cuales se difunde información institucional: </w:t>
      </w:r>
    </w:p>
    <w:p w14:paraId="6AE1039D" w14:textId="77777777" w:rsidR="007D3AA2" w:rsidRPr="007E5FCC" w:rsidRDefault="007D3AA2" w:rsidP="007D3AA2">
      <w:pPr>
        <w:spacing w:after="0" w:line="276" w:lineRule="auto"/>
        <w:jc w:val="both"/>
        <w:rPr>
          <w:rFonts w:ascii="Verdana" w:eastAsia="Calibri" w:hAnsi="Verdana" w:cs="Times New Roman"/>
        </w:rPr>
      </w:pPr>
    </w:p>
    <w:p w14:paraId="555495C5" w14:textId="77777777" w:rsidR="007D3AA2" w:rsidRPr="007E5FCC" w:rsidRDefault="007D3AA2" w:rsidP="007D3AA2">
      <w:pPr>
        <w:spacing w:after="0" w:line="276" w:lineRule="auto"/>
        <w:jc w:val="both"/>
        <w:rPr>
          <w:rFonts w:ascii="Verdana" w:eastAsia="Calibri" w:hAnsi="Verdana" w:cs="Times New Roman"/>
        </w:rPr>
      </w:pPr>
      <w:r w:rsidRPr="007E5FCC">
        <w:rPr>
          <w:rFonts w:ascii="Verdana" w:eastAsia="Calibri" w:hAnsi="Verdana" w:cs="Times New Roman"/>
        </w:rPr>
        <w:t xml:space="preserve">Twitter: </w:t>
      </w:r>
      <w:r w:rsidRPr="007E5FCC">
        <w:rPr>
          <w:rFonts w:ascii="Verdana" w:eastAsia="Calibri" w:hAnsi="Verdana" w:cs="Arial"/>
          <w:color w:val="0000FF"/>
          <w:u w:val="single"/>
          <w:lang w:val="es-ES_tradnl" w:eastAsia="es-ES_tradnl"/>
        </w:rPr>
        <w:t>@colombiacompra</w:t>
      </w:r>
      <w:r w:rsidRPr="007E5FCC">
        <w:rPr>
          <w:rFonts w:ascii="Verdana" w:eastAsia="Calibri" w:hAnsi="Verdana" w:cs="Times New Roman"/>
          <w:color w:val="0000FF"/>
        </w:rPr>
        <w:t xml:space="preserve"> </w:t>
      </w:r>
    </w:p>
    <w:p w14:paraId="29028A99" w14:textId="77777777" w:rsidR="007D3AA2" w:rsidRPr="007E5FCC" w:rsidRDefault="007D3AA2" w:rsidP="007D3AA2">
      <w:pPr>
        <w:spacing w:after="0" w:line="276" w:lineRule="auto"/>
        <w:jc w:val="both"/>
        <w:rPr>
          <w:rFonts w:ascii="Verdana" w:eastAsia="Calibri" w:hAnsi="Verdana" w:cs="Times New Roman"/>
        </w:rPr>
      </w:pPr>
      <w:r w:rsidRPr="007E5FCC">
        <w:rPr>
          <w:rFonts w:ascii="Verdana" w:eastAsia="Calibri" w:hAnsi="Verdana" w:cs="Times New Roman"/>
        </w:rPr>
        <w:t xml:space="preserve">Facebook: </w:t>
      </w:r>
      <w:proofErr w:type="spellStart"/>
      <w:r w:rsidRPr="007E5FCC">
        <w:rPr>
          <w:rFonts w:ascii="Verdana" w:eastAsia="Calibri" w:hAnsi="Verdana" w:cs="Arial"/>
          <w:color w:val="0000FF"/>
          <w:u w:val="single"/>
          <w:lang w:val="es-ES_tradnl" w:eastAsia="es-ES_tradnl"/>
        </w:rPr>
        <w:t>ColombiaCompraEficiente</w:t>
      </w:r>
      <w:proofErr w:type="spellEnd"/>
    </w:p>
    <w:p w14:paraId="618BD5DD" w14:textId="77777777" w:rsidR="007D3AA2" w:rsidRPr="007E5FCC" w:rsidRDefault="007D3AA2" w:rsidP="007D3AA2">
      <w:pPr>
        <w:spacing w:after="0" w:line="276" w:lineRule="auto"/>
        <w:jc w:val="both"/>
        <w:rPr>
          <w:rFonts w:ascii="Verdana" w:eastAsia="Calibri" w:hAnsi="Verdana" w:cs="Times New Roman"/>
          <w:color w:val="0000FF"/>
        </w:rPr>
      </w:pPr>
      <w:r w:rsidRPr="007E5FCC">
        <w:rPr>
          <w:rFonts w:ascii="Verdana" w:eastAsia="Calibri" w:hAnsi="Verdana" w:cs="Times New Roman"/>
        </w:rPr>
        <w:t xml:space="preserve">LinkedIn: </w:t>
      </w:r>
      <w:r w:rsidRPr="007E5FCC">
        <w:rPr>
          <w:rFonts w:ascii="Verdana" w:eastAsia="Calibri" w:hAnsi="Verdana" w:cs="Arial"/>
          <w:color w:val="0000FF"/>
          <w:u w:val="single"/>
          <w:lang w:val="es-ES_tradnl" w:eastAsia="es-ES_tradnl"/>
        </w:rPr>
        <w:t>Agencia Nacional de Contratación Pública - Colombia Compra Eficiente</w:t>
      </w:r>
      <w:r w:rsidRPr="007E5FCC">
        <w:rPr>
          <w:rFonts w:ascii="Verdana" w:eastAsia="Calibri" w:hAnsi="Verdana" w:cs="Times New Roman"/>
          <w:color w:val="0000FF"/>
        </w:rPr>
        <w:t xml:space="preserve"> </w:t>
      </w:r>
      <w:r w:rsidRPr="007E5FCC">
        <w:rPr>
          <w:rFonts w:ascii="Verdana" w:eastAsia="Calibri" w:hAnsi="Verdana" w:cs="Times New Roman"/>
        </w:rPr>
        <w:t>Instagram:</w:t>
      </w:r>
      <w:r w:rsidRPr="007E5FCC">
        <w:rPr>
          <w:rFonts w:ascii="Verdana" w:eastAsia="Calibri" w:hAnsi="Verdana" w:cs="Times New Roman"/>
          <w:color w:val="0000FF"/>
        </w:rPr>
        <w:t xml:space="preserve"> </w:t>
      </w:r>
      <w:r w:rsidRPr="007E5FCC">
        <w:rPr>
          <w:rFonts w:ascii="Verdana" w:eastAsia="Calibri" w:hAnsi="Verdana" w:cs="Arial"/>
          <w:color w:val="0000FF"/>
          <w:u w:val="single"/>
          <w:lang w:val="es-ES_tradnl" w:eastAsia="es-ES_tradnl"/>
        </w:rPr>
        <w:t>@colombiacompraeficiente_cce</w:t>
      </w:r>
    </w:p>
    <w:p w14:paraId="4C9867A9" w14:textId="77777777" w:rsidR="007D3AA2" w:rsidRPr="007E5FCC" w:rsidRDefault="007D3AA2" w:rsidP="007D3AA2">
      <w:pPr>
        <w:widowControl w:val="0"/>
        <w:autoSpaceDE w:val="0"/>
        <w:autoSpaceDN w:val="0"/>
        <w:spacing w:after="0" w:line="276" w:lineRule="auto"/>
        <w:jc w:val="both"/>
        <w:rPr>
          <w:rFonts w:ascii="Verdana" w:eastAsia="Calibri" w:hAnsi="Verdana" w:cs="Times New Roman"/>
        </w:rPr>
      </w:pPr>
    </w:p>
    <w:p w14:paraId="0DCD9936" w14:textId="77777777" w:rsidR="007D3AA2" w:rsidRPr="007E5FCC" w:rsidRDefault="007D3AA2" w:rsidP="007D3AA2">
      <w:pPr>
        <w:widowControl w:val="0"/>
        <w:autoSpaceDE w:val="0"/>
        <w:autoSpaceDN w:val="0"/>
        <w:spacing w:after="0" w:line="276" w:lineRule="auto"/>
        <w:jc w:val="both"/>
        <w:rPr>
          <w:rFonts w:ascii="Verdana" w:eastAsia="Calibri" w:hAnsi="Verdana" w:cs="Arial"/>
          <w:lang w:val="es-ES_tradnl"/>
        </w:rPr>
      </w:pPr>
      <w:r w:rsidRPr="007E5FCC">
        <w:rPr>
          <w:rFonts w:ascii="Verdana" w:eastAsia="Calibri" w:hAnsi="Verdana" w:cs="Arial"/>
        </w:rPr>
        <w:t xml:space="preserve">Este concepto tiene el alcance previsto en el artículo 28 del Código de Procedimiento Administrativo y de lo Contencioso Administrativo </w:t>
      </w:r>
      <w:r w:rsidRPr="007E5FCC">
        <w:rPr>
          <w:rFonts w:ascii="Verdana" w:eastAsia="Calibri" w:hAnsi="Verdana" w:cs="Arial"/>
          <w:lang w:val="es-ES_tradnl"/>
        </w:rPr>
        <w:t>y las expresiones aquí utilizadas con mayúscula inicial deben ser entendidas con el significado que les otorga el artículo 2.2.1.1.1.3.1. del Decreto 1082 de 2015.</w:t>
      </w:r>
    </w:p>
    <w:p w14:paraId="237B65CA" w14:textId="77777777" w:rsidR="007D3AA2" w:rsidRPr="007E5FCC" w:rsidRDefault="007D3AA2" w:rsidP="007D3AA2">
      <w:pPr>
        <w:spacing w:after="0" w:line="276" w:lineRule="auto"/>
        <w:ind w:firstLine="709"/>
        <w:jc w:val="both"/>
        <w:rPr>
          <w:rFonts w:ascii="Verdana" w:eastAsia="Times New Roman" w:hAnsi="Verdana" w:cs="Arial"/>
          <w:szCs w:val="24"/>
          <w:lang w:val="es-ES_tradnl" w:eastAsia="es-ES_tradnl"/>
        </w:rPr>
      </w:pPr>
    </w:p>
    <w:p w14:paraId="4FFCC090" w14:textId="77777777" w:rsidR="007D3AA2" w:rsidRPr="007E5FCC" w:rsidRDefault="007D3AA2" w:rsidP="007D3AA2">
      <w:pPr>
        <w:spacing w:after="0" w:line="276" w:lineRule="auto"/>
        <w:jc w:val="both"/>
        <w:rPr>
          <w:rFonts w:ascii="Verdana" w:eastAsia="Times New Roman" w:hAnsi="Verdana" w:cs="Arial"/>
          <w:lang w:val="es-ES" w:eastAsia="es-CO"/>
        </w:rPr>
      </w:pPr>
      <w:bookmarkStart w:id="2" w:name="_Hlk117695077"/>
      <w:r w:rsidRPr="007E5FCC">
        <w:rPr>
          <w:rFonts w:ascii="Verdana" w:eastAsia="Times New Roman" w:hAnsi="Verdana" w:cs="Arial"/>
          <w:lang w:val="es-ES" w:eastAsia="es-CO"/>
        </w:rPr>
        <w:t>Atentamente,</w:t>
      </w:r>
    </w:p>
    <w:bookmarkEnd w:id="2"/>
    <w:p w14:paraId="2E742769" w14:textId="77777777" w:rsidR="007D3AA2" w:rsidRPr="007E5FCC" w:rsidRDefault="007D3AA2" w:rsidP="007D3AA2">
      <w:pPr>
        <w:spacing w:after="0" w:line="240" w:lineRule="auto"/>
        <w:textAlignment w:val="baseline"/>
        <w:rPr>
          <w:rFonts w:ascii="Verdana" w:eastAsia="Times New Roman" w:hAnsi="Verdana" w:cs="Segoe UI"/>
          <w:sz w:val="18"/>
          <w:szCs w:val="18"/>
          <w:lang w:eastAsia="es-CO"/>
        </w:rPr>
      </w:pPr>
      <w:r w:rsidRPr="007E5FCC">
        <w:rPr>
          <w:rFonts w:ascii="Verdana" w:eastAsia="Times New Roman" w:hAnsi="Verdana" w:cs="Segoe UI"/>
          <w:color w:val="000000"/>
          <w:lang w:eastAsia="es-CO"/>
        </w:rPr>
        <w:t> </w:t>
      </w:r>
    </w:p>
    <w:p w14:paraId="3918AB7B" w14:textId="77777777" w:rsidR="007D3AA2" w:rsidRPr="007E5FCC" w:rsidRDefault="007D3AA2" w:rsidP="007D3AA2">
      <w:pPr>
        <w:widowControl w:val="0"/>
        <w:autoSpaceDE w:val="0"/>
        <w:autoSpaceDN w:val="0"/>
        <w:spacing w:after="0" w:line="276" w:lineRule="auto"/>
        <w:jc w:val="both"/>
        <w:rPr>
          <w:rFonts w:ascii="Verdana" w:hAnsi="Verdana" w:cs="Arial"/>
          <w:color w:val="000000" w:themeColor="text1"/>
          <w:lang w:val="es-ES_tradnl"/>
        </w:rPr>
      </w:pPr>
    </w:p>
    <w:p w14:paraId="02775A57" w14:textId="2BDD7AB9" w:rsidR="007D3AA2" w:rsidRPr="007E5FCC" w:rsidRDefault="00F56997" w:rsidP="007D3AA2">
      <w:pPr>
        <w:spacing w:line="276" w:lineRule="auto"/>
        <w:jc w:val="center"/>
        <w:rPr>
          <w:rFonts w:ascii="Verdana" w:hAnsi="Verdana" w:cs="Arial"/>
          <w:color w:val="000000" w:themeColor="text1"/>
          <w:lang w:val="es-ES_tradnl" w:eastAsia="es-CO"/>
        </w:rPr>
      </w:pPr>
      <w:r>
        <w:rPr>
          <w:rFonts w:ascii="Verdana" w:hAnsi="Verdana" w:cs="Arial"/>
          <w:noProof/>
          <w:color w:val="000000" w:themeColor="text1"/>
          <w:lang w:val="es-ES_tradnl" w:eastAsia="es-CO"/>
        </w:rPr>
        <w:drawing>
          <wp:inline distT="0" distB="0" distL="0" distR="0" wp14:anchorId="6AB9CBF1" wp14:editId="327386EB">
            <wp:extent cx="3876800" cy="1666875"/>
            <wp:effectExtent l="0" t="0" r="9525" b="0"/>
            <wp:docPr id="7868458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845883" name="Imagen 786845883"/>
                    <pic:cNvPicPr/>
                  </pic:nvPicPr>
                  <pic:blipFill>
                    <a:blip r:embed="rId13">
                      <a:extLst>
                        <a:ext uri="{28A0092B-C50C-407E-A947-70E740481C1C}">
                          <a14:useLocalDpi xmlns:a14="http://schemas.microsoft.com/office/drawing/2010/main" val="0"/>
                        </a:ext>
                      </a:extLst>
                    </a:blip>
                    <a:stretch>
                      <a:fillRect/>
                    </a:stretch>
                  </pic:blipFill>
                  <pic:spPr>
                    <a:xfrm>
                      <a:off x="0" y="0"/>
                      <a:ext cx="3880663" cy="166853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D3AA2" w:rsidRPr="007E5FCC" w14:paraId="67152486" w14:textId="77777777" w:rsidTr="00CA73E4">
        <w:trPr>
          <w:trHeight w:val="315"/>
        </w:trPr>
        <w:tc>
          <w:tcPr>
            <w:tcW w:w="893" w:type="dxa"/>
            <w:vAlign w:val="center"/>
            <w:hideMark/>
          </w:tcPr>
          <w:p w14:paraId="37D1681D" w14:textId="77777777" w:rsidR="007D3AA2" w:rsidRPr="007E5FCC" w:rsidRDefault="007D3AA2" w:rsidP="00CA73E4">
            <w:pPr>
              <w:spacing w:line="276" w:lineRule="auto"/>
              <w:rPr>
                <w:rFonts w:ascii="Verdana" w:eastAsia="Times New Roman" w:hAnsi="Verdana" w:cs="Arial"/>
                <w:color w:val="000000"/>
                <w:sz w:val="16"/>
                <w:szCs w:val="16"/>
                <w:lang w:val="es-ES" w:eastAsia="es-ES"/>
              </w:rPr>
            </w:pPr>
            <w:r w:rsidRPr="007E5FCC">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793F654" w14:textId="77777777" w:rsidR="007D3AA2" w:rsidRPr="007E5FCC" w:rsidRDefault="007D3AA2" w:rsidP="00CA73E4">
            <w:pPr>
              <w:spacing w:line="276" w:lineRule="auto"/>
              <w:rPr>
                <w:rFonts w:ascii="Verdana" w:eastAsia="Arial" w:hAnsi="Verdana" w:cs="Arial"/>
                <w:color w:val="000000"/>
                <w:sz w:val="16"/>
                <w:szCs w:val="16"/>
              </w:rPr>
            </w:pPr>
            <w:r w:rsidRPr="007E5FCC">
              <w:rPr>
                <w:rFonts w:ascii="Verdana" w:eastAsia="Arial" w:hAnsi="Verdana" w:cs="Arial"/>
                <w:color w:val="000000"/>
                <w:sz w:val="16"/>
                <w:szCs w:val="16"/>
              </w:rPr>
              <w:t>Karol Andrea Gonzalez Marin</w:t>
            </w:r>
          </w:p>
          <w:p w14:paraId="025DE48A" w14:textId="77777777" w:rsidR="007D3AA2" w:rsidRPr="007E5FCC" w:rsidRDefault="007D3AA2" w:rsidP="00CA73E4">
            <w:pPr>
              <w:spacing w:line="276" w:lineRule="auto"/>
              <w:rPr>
                <w:rFonts w:ascii="Verdana" w:eastAsia="Arial" w:hAnsi="Verdana" w:cs="Arial"/>
                <w:color w:val="000000"/>
                <w:sz w:val="16"/>
                <w:szCs w:val="16"/>
              </w:rPr>
            </w:pPr>
            <w:r w:rsidRPr="007E5FCC">
              <w:rPr>
                <w:rFonts w:ascii="Verdana" w:eastAsia="Arial" w:hAnsi="Verdana" w:cs="Arial"/>
                <w:color w:val="000000"/>
                <w:sz w:val="16"/>
                <w:szCs w:val="16"/>
              </w:rPr>
              <w:t>Contratista de la Subdirección de Gestión Contractual</w:t>
            </w:r>
          </w:p>
        </w:tc>
      </w:tr>
      <w:tr w:rsidR="007D3AA2" w:rsidRPr="007E5FCC" w14:paraId="49E8035C" w14:textId="77777777" w:rsidTr="00CA73E4">
        <w:trPr>
          <w:trHeight w:val="330"/>
        </w:trPr>
        <w:tc>
          <w:tcPr>
            <w:tcW w:w="893" w:type="dxa"/>
            <w:vAlign w:val="center"/>
            <w:hideMark/>
          </w:tcPr>
          <w:p w14:paraId="312710D5" w14:textId="77777777" w:rsidR="007D3AA2" w:rsidRPr="007E5FCC" w:rsidRDefault="007D3AA2" w:rsidP="00CA73E4">
            <w:pPr>
              <w:spacing w:line="276" w:lineRule="auto"/>
              <w:rPr>
                <w:rFonts w:ascii="Verdana" w:eastAsia="Times New Roman" w:hAnsi="Verdana" w:cs="Arial"/>
                <w:color w:val="000000"/>
                <w:sz w:val="16"/>
                <w:szCs w:val="16"/>
                <w:lang w:val="es-ES" w:eastAsia="es-ES"/>
              </w:rPr>
            </w:pPr>
            <w:r w:rsidRPr="007E5FCC">
              <w:rPr>
                <w:rFonts w:ascii="Verdana" w:eastAsia="Times New Roman" w:hAnsi="Verdana" w:cs="Arial"/>
                <w:color w:val="000000"/>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2BD984A" w14:textId="77777777" w:rsidR="007D3AA2" w:rsidRPr="007E5FCC" w:rsidRDefault="007D3AA2" w:rsidP="00CA73E4">
            <w:pPr>
              <w:spacing w:line="276" w:lineRule="auto"/>
              <w:rPr>
                <w:rFonts w:ascii="Verdana" w:eastAsia="Times New Roman" w:hAnsi="Verdana" w:cs="Arial"/>
                <w:color w:val="000000"/>
                <w:sz w:val="16"/>
                <w:szCs w:val="16"/>
              </w:rPr>
            </w:pPr>
            <w:r w:rsidRPr="007E5FCC">
              <w:rPr>
                <w:rFonts w:ascii="Verdana" w:eastAsia="Times New Roman" w:hAnsi="Verdana" w:cs="Arial"/>
                <w:color w:val="000000" w:themeColor="text1"/>
                <w:sz w:val="16"/>
                <w:szCs w:val="16"/>
              </w:rPr>
              <w:t>Juan Carlos González Vásquez</w:t>
            </w:r>
          </w:p>
          <w:p w14:paraId="7E8831B6" w14:textId="77777777" w:rsidR="007D3AA2" w:rsidRPr="007E5FCC" w:rsidRDefault="007D3AA2" w:rsidP="00CA73E4">
            <w:pPr>
              <w:spacing w:line="276" w:lineRule="auto"/>
              <w:textAlignment w:val="baseline"/>
              <w:rPr>
                <w:rFonts w:ascii="Verdana" w:eastAsia="Times New Roman" w:hAnsi="Verdana" w:cs="Arial"/>
                <w:color w:val="000000"/>
                <w:sz w:val="16"/>
                <w:szCs w:val="16"/>
              </w:rPr>
            </w:pPr>
            <w:r w:rsidRPr="007E5FCC">
              <w:rPr>
                <w:rFonts w:ascii="Verdana" w:eastAsia="Times New Roman" w:hAnsi="Verdana" w:cs="Arial"/>
                <w:color w:val="000000"/>
                <w:sz w:val="16"/>
                <w:szCs w:val="16"/>
              </w:rPr>
              <w:t>Contratista de la Subdirección de Gestión Contractual</w:t>
            </w:r>
          </w:p>
        </w:tc>
      </w:tr>
      <w:tr w:rsidR="007D3AA2" w:rsidRPr="007A0E81" w14:paraId="1C978188" w14:textId="77777777" w:rsidTr="00CA73E4">
        <w:trPr>
          <w:trHeight w:val="300"/>
        </w:trPr>
        <w:tc>
          <w:tcPr>
            <w:tcW w:w="893" w:type="dxa"/>
            <w:vAlign w:val="center"/>
          </w:tcPr>
          <w:p w14:paraId="64D5BE28" w14:textId="77777777" w:rsidR="007D3AA2" w:rsidRPr="007E5FCC" w:rsidRDefault="007D3AA2" w:rsidP="00CA73E4">
            <w:pPr>
              <w:spacing w:line="276" w:lineRule="auto"/>
              <w:rPr>
                <w:rFonts w:ascii="Verdana" w:eastAsia="Times New Roman" w:hAnsi="Verdana" w:cs="Arial"/>
                <w:color w:val="000000"/>
                <w:sz w:val="16"/>
                <w:szCs w:val="16"/>
                <w:lang w:val="es-ES" w:eastAsia="es-ES"/>
              </w:rPr>
            </w:pPr>
            <w:r w:rsidRPr="007E5FCC">
              <w:rPr>
                <w:rFonts w:ascii="Verdana" w:eastAsia="Times New Roman" w:hAnsi="Verdana" w:cs="Arial"/>
                <w:color w:val="000000"/>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6ECE749" w14:textId="77777777" w:rsidR="007D3AA2" w:rsidRPr="007E5FCC" w:rsidRDefault="007D3AA2" w:rsidP="00CA73E4">
            <w:pPr>
              <w:spacing w:line="276" w:lineRule="auto"/>
              <w:rPr>
                <w:rFonts w:ascii="Verdana" w:eastAsia="Times New Roman" w:hAnsi="Verdana" w:cs="Arial"/>
                <w:color w:val="000000"/>
                <w:sz w:val="16"/>
                <w:szCs w:val="16"/>
              </w:rPr>
            </w:pPr>
            <w:r w:rsidRPr="007E5FCC">
              <w:rPr>
                <w:rFonts w:ascii="Verdana" w:eastAsia="Times New Roman" w:hAnsi="Verdana" w:cs="Arial"/>
                <w:color w:val="000000"/>
                <w:sz w:val="16"/>
                <w:szCs w:val="16"/>
              </w:rPr>
              <w:t xml:space="preserve">Carolina Quintero </w:t>
            </w:r>
            <w:proofErr w:type="spellStart"/>
            <w:r w:rsidRPr="007E5FCC">
              <w:rPr>
                <w:rFonts w:ascii="Verdana" w:eastAsia="Times New Roman" w:hAnsi="Verdana" w:cs="Arial"/>
                <w:color w:val="000000"/>
                <w:sz w:val="16"/>
                <w:szCs w:val="16"/>
              </w:rPr>
              <w:t>Gacharná</w:t>
            </w:r>
            <w:proofErr w:type="spellEnd"/>
          </w:p>
          <w:p w14:paraId="7971C4CA" w14:textId="77777777" w:rsidR="007D3AA2" w:rsidRPr="007A0E81" w:rsidRDefault="007D3AA2" w:rsidP="00CA73E4">
            <w:pPr>
              <w:spacing w:line="276" w:lineRule="auto"/>
              <w:rPr>
                <w:rFonts w:ascii="Verdana" w:eastAsia="Times New Roman" w:hAnsi="Verdana" w:cs="Arial"/>
                <w:color w:val="000000"/>
                <w:sz w:val="16"/>
                <w:szCs w:val="16"/>
              </w:rPr>
            </w:pPr>
            <w:r w:rsidRPr="007E5FCC">
              <w:rPr>
                <w:rFonts w:ascii="Verdana" w:eastAsia="Times New Roman" w:hAnsi="Verdana" w:cs="Arial"/>
                <w:color w:val="000000"/>
                <w:sz w:val="16"/>
                <w:szCs w:val="16"/>
              </w:rPr>
              <w:t>Subdirectora de Gestión Contractual ANCP – CCE</w:t>
            </w:r>
          </w:p>
        </w:tc>
      </w:tr>
    </w:tbl>
    <w:p w14:paraId="2B16A3E9" w14:textId="77777777" w:rsidR="00322A85" w:rsidRPr="0044528D" w:rsidRDefault="00322A85" w:rsidP="00322A85">
      <w:pPr>
        <w:spacing w:after="0" w:line="240" w:lineRule="auto"/>
        <w:ind w:firstLine="2850"/>
        <w:jc w:val="both"/>
        <w:textAlignment w:val="baseline"/>
        <w:rPr>
          <w:rFonts w:ascii="Verdana" w:eastAsia="Times New Roman" w:hAnsi="Verdana" w:cs="Segoe UI"/>
          <w:color w:val="000000"/>
          <w:sz w:val="18"/>
          <w:szCs w:val="18"/>
          <w:lang w:eastAsia="es-CO"/>
        </w:rPr>
      </w:pPr>
      <w:r w:rsidRPr="0044528D">
        <w:rPr>
          <w:rFonts w:ascii="Verdana" w:eastAsia="Times New Roman" w:hAnsi="Verdana" w:cs="Segoe UI"/>
          <w:color w:val="000000"/>
          <w:lang w:eastAsia="es-CO"/>
        </w:rPr>
        <w:t> </w:t>
      </w:r>
    </w:p>
    <w:p w14:paraId="0F293BF4" w14:textId="79DE69A2" w:rsidR="00127233" w:rsidRPr="00046945" w:rsidRDefault="00322A85" w:rsidP="00046945">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sectPr w:rsidR="00127233" w:rsidRPr="00046945"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2C00F" w14:textId="77777777" w:rsidR="00972E23" w:rsidRDefault="00972E23" w:rsidP="004A1847">
      <w:pPr>
        <w:spacing w:after="0" w:line="240" w:lineRule="auto"/>
      </w:pPr>
      <w:r>
        <w:separator/>
      </w:r>
    </w:p>
  </w:endnote>
  <w:endnote w:type="continuationSeparator" w:id="0">
    <w:p w14:paraId="4206B124" w14:textId="77777777" w:rsidR="00972E23" w:rsidRDefault="00972E2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A39F03" w14:textId="77777777" w:rsidR="00972E23" w:rsidRDefault="00972E23" w:rsidP="004A1847">
      <w:pPr>
        <w:spacing w:after="0" w:line="240" w:lineRule="auto"/>
      </w:pPr>
      <w:r>
        <w:separator/>
      </w:r>
    </w:p>
  </w:footnote>
  <w:footnote w:type="continuationSeparator" w:id="0">
    <w:p w14:paraId="71C3AAAD" w14:textId="77777777" w:rsidR="00972E23" w:rsidRDefault="00972E23" w:rsidP="004A1847">
      <w:pPr>
        <w:spacing w:after="0" w:line="240" w:lineRule="auto"/>
      </w:pPr>
      <w:r>
        <w:continuationSeparator/>
      </w:r>
    </w:p>
  </w:footnote>
  <w:footnote w:id="1">
    <w:p w14:paraId="4E435924" w14:textId="77777777" w:rsidR="00CF1837" w:rsidRPr="00977131" w:rsidRDefault="00CF1837" w:rsidP="00CF1837">
      <w:pPr>
        <w:pStyle w:val="Textonotapie"/>
        <w:ind w:firstLine="708"/>
        <w:rPr>
          <w:lang w:val="es-CO"/>
        </w:rPr>
      </w:pPr>
      <w:r>
        <w:rPr>
          <w:rStyle w:val="Refdenotaalpie"/>
        </w:rPr>
        <w:footnoteRef/>
      </w:r>
      <w:r>
        <w:t xml:space="preserve"> </w:t>
      </w:r>
      <w:r w:rsidRPr="00977131">
        <w:rPr>
          <w:rFonts w:ascii="Verdana" w:hAnsi="Verdana"/>
          <w:i/>
          <w:iCs/>
          <w:sz w:val="14"/>
          <w:szCs w:val="14"/>
          <w:lang w:val="es-CO"/>
        </w:rPr>
        <w:t>Decreto 1082 de 2015 por el cual se expide el Decreto Único Reglamentario del Sector Administrativo de la Función Pública</w:t>
      </w:r>
      <w:r w:rsidRPr="00977131">
        <w:rPr>
          <w:rFonts w:ascii="Verdana" w:hAnsi="Verdana"/>
          <w:sz w:val="14"/>
          <w:szCs w:val="14"/>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33476FE"/>
    <w:multiLevelType w:val="hybridMultilevel"/>
    <w:tmpl w:val="79A65E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A0F1855"/>
    <w:multiLevelType w:val="hybridMultilevel"/>
    <w:tmpl w:val="FFFFFFFF"/>
    <w:lvl w:ilvl="0" w:tplc="B5B8CFCE">
      <w:start w:val="1"/>
      <w:numFmt w:val="decimal"/>
      <w:lvlText w:val="%1."/>
      <w:lvlJc w:val="left"/>
      <w:pPr>
        <w:ind w:left="385" w:hanging="284"/>
      </w:pPr>
      <w:rPr>
        <w:rFonts w:ascii="Verdana" w:eastAsia="Times New Roman" w:hAnsi="Verdana" w:cs="Verdana" w:hint="default"/>
        <w:b/>
        <w:bCs/>
        <w:i w:val="0"/>
        <w:iCs w:val="0"/>
        <w:spacing w:val="-1"/>
        <w:w w:val="99"/>
        <w:sz w:val="22"/>
        <w:szCs w:val="22"/>
      </w:rPr>
    </w:lvl>
    <w:lvl w:ilvl="1" w:tplc="C658CA86">
      <w:start w:val="1"/>
      <w:numFmt w:val="decimal"/>
      <w:lvlText w:val="%2."/>
      <w:lvlJc w:val="left"/>
      <w:pPr>
        <w:ind w:left="810" w:hanging="473"/>
      </w:pPr>
      <w:rPr>
        <w:rFonts w:cs="Times New Roman" w:hint="default"/>
        <w:spacing w:val="-1"/>
        <w:w w:val="99"/>
      </w:rPr>
    </w:lvl>
    <w:lvl w:ilvl="2" w:tplc="00B45A60">
      <w:numFmt w:val="bullet"/>
      <w:lvlText w:val="•"/>
      <w:lvlJc w:val="left"/>
      <w:pPr>
        <w:ind w:left="1822" w:hanging="473"/>
      </w:pPr>
      <w:rPr>
        <w:rFonts w:hint="default"/>
      </w:rPr>
    </w:lvl>
    <w:lvl w:ilvl="3" w:tplc="71D44B48">
      <w:numFmt w:val="bullet"/>
      <w:lvlText w:val="•"/>
      <w:lvlJc w:val="left"/>
      <w:pPr>
        <w:ind w:left="2824" w:hanging="473"/>
      </w:pPr>
      <w:rPr>
        <w:rFonts w:hint="default"/>
      </w:rPr>
    </w:lvl>
    <w:lvl w:ilvl="4" w:tplc="8E8892FC">
      <w:numFmt w:val="bullet"/>
      <w:lvlText w:val="•"/>
      <w:lvlJc w:val="left"/>
      <w:pPr>
        <w:ind w:left="3826" w:hanging="473"/>
      </w:pPr>
      <w:rPr>
        <w:rFonts w:hint="default"/>
      </w:rPr>
    </w:lvl>
    <w:lvl w:ilvl="5" w:tplc="35F0C6C4">
      <w:numFmt w:val="bullet"/>
      <w:lvlText w:val="•"/>
      <w:lvlJc w:val="left"/>
      <w:pPr>
        <w:ind w:left="4828" w:hanging="473"/>
      </w:pPr>
      <w:rPr>
        <w:rFonts w:hint="default"/>
      </w:rPr>
    </w:lvl>
    <w:lvl w:ilvl="6" w:tplc="DACE9D0C">
      <w:numFmt w:val="bullet"/>
      <w:lvlText w:val="•"/>
      <w:lvlJc w:val="left"/>
      <w:pPr>
        <w:ind w:left="5831" w:hanging="473"/>
      </w:pPr>
      <w:rPr>
        <w:rFonts w:hint="default"/>
      </w:rPr>
    </w:lvl>
    <w:lvl w:ilvl="7" w:tplc="5A561B6A">
      <w:numFmt w:val="bullet"/>
      <w:lvlText w:val="•"/>
      <w:lvlJc w:val="left"/>
      <w:pPr>
        <w:ind w:left="6833" w:hanging="473"/>
      </w:pPr>
      <w:rPr>
        <w:rFonts w:hint="default"/>
      </w:rPr>
    </w:lvl>
    <w:lvl w:ilvl="8" w:tplc="F41A1DF8">
      <w:numFmt w:val="bullet"/>
      <w:lvlText w:val="•"/>
      <w:lvlJc w:val="left"/>
      <w:pPr>
        <w:ind w:left="7835" w:hanging="473"/>
      </w:pPr>
      <w:rPr>
        <w:rFont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6"/>
  </w:num>
  <w:num w:numId="8">
    <w:abstractNumId w:val="13"/>
  </w:num>
  <w:num w:numId="9">
    <w:abstractNumId w:val="8"/>
  </w:num>
  <w:num w:numId="10">
    <w:abstractNumId w:val="12"/>
  </w:num>
  <w:num w:numId="11">
    <w:abstractNumId w:val="9"/>
  </w:num>
  <w:num w:numId="12">
    <w:abstractNumId w:val="1"/>
  </w:num>
  <w:num w:numId="13">
    <w:abstractNumId w:val="4"/>
  </w:num>
  <w:num w:numId="14">
    <w:abstractNumId w:val="15"/>
  </w:num>
  <w:num w:numId="15">
    <w:abstractNumId w:val="11"/>
  </w:num>
  <w:num w:numId="16">
    <w:abstractNumId w:val="0"/>
  </w:num>
  <w:num w:numId="17">
    <w:abstractNumId w:val="3"/>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12483"/>
    <w:rsid w:val="00125105"/>
    <w:rsid w:val="00127233"/>
    <w:rsid w:val="001E4177"/>
    <w:rsid w:val="001F7DC6"/>
    <w:rsid w:val="002421BB"/>
    <w:rsid w:val="0025796E"/>
    <w:rsid w:val="002652AD"/>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C3777"/>
    <w:rsid w:val="005C5CDC"/>
    <w:rsid w:val="005D476C"/>
    <w:rsid w:val="006219F8"/>
    <w:rsid w:val="006302F7"/>
    <w:rsid w:val="00633EC9"/>
    <w:rsid w:val="00665D70"/>
    <w:rsid w:val="006900D9"/>
    <w:rsid w:val="006A760C"/>
    <w:rsid w:val="00706C16"/>
    <w:rsid w:val="00756841"/>
    <w:rsid w:val="007649AB"/>
    <w:rsid w:val="00771D0C"/>
    <w:rsid w:val="007833AC"/>
    <w:rsid w:val="007B268C"/>
    <w:rsid w:val="007B7171"/>
    <w:rsid w:val="007C0C0F"/>
    <w:rsid w:val="007C3DC2"/>
    <w:rsid w:val="007D3AA2"/>
    <w:rsid w:val="007E5497"/>
    <w:rsid w:val="00806F5F"/>
    <w:rsid w:val="00820278"/>
    <w:rsid w:val="00822515"/>
    <w:rsid w:val="00867F95"/>
    <w:rsid w:val="008843B6"/>
    <w:rsid w:val="00891928"/>
    <w:rsid w:val="00897A3A"/>
    <w:rsid w:val="008A446D"/>
    <w:rsid w:val="008A6300"/>
    <w:rsid w:val="008C24B1"/>
    <w:rsid w:val="008D180B"/>
    <w:rsid w:val="008E7348"/>
    <w:rsid w:val="008F0EA7"/>
    <w:rsid w:val="00923EEF"/>
    <w:rsid w:val="009419F9"/>
    <w:rsid w:val="0095685E"/>
    <w:rsid w:val="00961B09"/>
    <w:rsid w:val="00965334"/>
    <w:rsid w:val="0097093E"/>
    <w:rsid w:val="00972E23"/>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25A99"/>
    <w:rsid w:val="00B44A47"/>
    <w:rsid w:val="00B72CD3"/>
    <w:rsid w:val="00B72FFF"/>
    <w:rsid w:val="00BC3D36"/>
    <w:rsid w:val="00BD7F72"/>
    <w:rsid w:val="00C04FB3"/>
    <w:rsid w:val="00C330EB"/>
    <w:rsid w:val="00C43BDA"/>
    <w:rsid w:val="00C754BE"/>
    <w:rsid w:val="00C76B1C"/>
    <w:rsid w:val="00CB6357"/>
    <w:rsid w:val="00CC1B26"/>
    <w:rsid w:val="00CF1837"/>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56997"/>
    <w:rsid w:val="00F666C4"/>
    <w:rsid w:val="00F76AFC"/>
    <w:rsid w:val="00FA47C0"/>
    <w:rsid w:val="00FB5DD1"/>
    <w:rsid w:val="00FC2B5D"/>
    <w:rsid w:val="00FF1449"/>
    <w:rsid w:val="1540D97C"/>
    <w:rsid w:val="27A24B28"/>
    <w:rsid w:val="28921A63"/>
    <w:rsid w:val="2B4FB5F7"/>
    <w:rsid w:val="465593B9"/>
    <w:rsid w:val="47983D38"/>
    <w:rsid w:val="4A9AD9F4"/>
    <w:rsid w:val="56D856FC"/>
    <w:rsid w:val="593FCF7D"/>
    <w:rsid w:val="696FD058"/>
    <w:rsid w:val="6ED3FD36"/>
    <w:rsid w:val="6F944C60"/>
    <w:rsid w:val="788D6990"/>
    <w:rsid w:val="7D96A2A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D3AA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D3AA2"/>
    <w:rPr>
      <w:rFonts w:ascii="Geomanist Light" w:hAnsi="Geomanist Light"/>
      <w:lang w:val="es-ES"/>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antiagoruizb17@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www.w3.org/XML/1998/namespace"/>
    <ds:schemaRef ds:uri="http://purl.org/dc/terms/"/>
    <ds:schemaRef ds:uri="http://schemas.microsoft.com/office/2006/metadata/properties"/>
    <ds:schemaRef ds:uri="http://schemas.microsoft.com/office/2006/documentManagement/types"/>
    <ds:schemaRef ds:uri="http://purl.org/dc/dcmitype/"/>
    <ds:schemaRef ds:uri="http://purl.org/dc/elements/1.1/"/>
    <ds:schemaRef ds:uri="http://schemas.openxmlformats.org/package/2006/metadata/core-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37292A27-3C13-44E2-B544-204FBFD6A2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9</Pages>
  <Words>2807</Words>
  <Characters>15440</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2025-10-31T23:20:00Z</dcterms:created>
  <dcterms:modified xsi:type="dcterms:W3CDTF">2025-10-31T23:20:00Z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