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D72CE" w14:textId="77777777" w:rsidR="008C303F" w:rsidRPr="00B54FFB" w:rsidRDefault="008C303F" w:rsidP="008C303F">
      <w:pPr>
        <w:spacing w:line="240" w:lineRule="auto"/>
        <w:jc w:val="both"/>
        <w:rPr>
          <w:rFonts w:ascii="Verdana" w:eastAsia="Times New Roman" w:hAnsi="Verdana"/>
          <w:b/>
          <w:bCs/>
          <w:lang w:eastAsia="es-ES_tradnl"/>
        </w:rPr>
      </w:pPr>
      <w:bookmarkStart w:id="0" w:name="_Hlk133229831"/>
      <w:bookmarkStart w:id="1" w:name="_Hlk133404182"/>
      <w:r w:rsidRPr="00B54FFB">
        <w:rPr>
          <w:rFonts w:ascii="Verdana" w:eastAsia="Times New Roman" w:hAnsi="Verdana"/>
          <w:b/>
          <w:bCs/>
          <w:lang w:val="es-ES_tradnl" w:eastAsia="es-ES_tradnl"/>
        </w:rPr>
        <w:t xml:space="preserve">CONVENIOS INTERADMINISTRATIVOS </w:t>
      </w:r>
      <w:r w:rsidRPr="00B54FFB">
        <w:rPr>
          <w:rFonts w:ascii="Verdana" w:eastAsia="Times New Roman" w:hAnsi="Verdana"/>
          <w:b/>
          <w:bCs/>
          <w:lang w:eastAsia="es-ES_tradnl"/>
        </w:rPr>
        <w:t>– Costos y gastos administrativos – Estampillas</w:t>
      </w:r>
    </w:p>
    <w:bookmarkEnd w:id="0"/>
    <w:bookmarkEnd w:id="1"/>
    <w:p w14:paraId="0ACAE8B5" w14:textId="77777777" w:rsidR="008C303F" w:rsidRDefault="008C303F" w:rsidP="008C303F">
      <w:pPr>
        <w:spacing w:after="0" w:line="240" w:lineRule="auto"/>
        <w:jc w:val="both"/>
        <w:rPr>
          <w:rFonts w:ascii="Verdana" w:eastAsia="Times New Roman" w:hAnsi="Verdana" w:cs="Arial"/>
          <w:sz w:val="20"/>
          <w:szCs w:val="20"/>
          <w:lang w:eastAsia="es-ES_tradnl"/>
        </w:rPr>
      </w:pPr>
      <w:r w:rsidRPr="009A5983">
        <w:rPr>
          <w:rFonts w:ascii="Verdana" w:eastAsia="Times New Roman" w:hAnsi="Verdana" w:cs="Arial"/>
          <w:sz w:val="20"/>
          <w:szCs w:val="20"/>
          <w:lang w:eastAsia="es-ES_tradnl"/>
        </w:rPr>
        <w:t xml:space="preserve">De esta manera, </w:t>
      </w:r>
      <w:r w:rsidRPr="009A5983">
        <w:rPr>
          <w:rFonts w:ascii="Verdana" w:eastAsia="Calibri" w:hAnsi="Verdana" w:cs="Arial"/>
          <w:bCs/>
          <w:iCs/>
          <w:sz w:val="20"/>
          <w:szCs w:val="20"/>
        </w:rPr>
        <w:t xml:space="preserve">es posible y lógico que para efectos de la ejecución del convenio interadministrativo las entidades públicas incurran en costos y gastos administrativos lo que se puede reflejar en los respectivos </w:t>
      </w:r>
      <w:r w:rsidRPr="009A5983">
        <w:rPr>
          <w:rFonts w:ascii="Verdana" w:eastAsia="Times New Roman" w:hAnsi="Verdana" w:cs="Arial"/>
          <w:sz w:val="20"/>
          <w:szCs w:val="20"/>
          <w:lang w:eastAsia="es-ES_tradnl"/>
        </w:rPr>
        <w:t>aportes de naturaleza técnica, administrativa, financiera o económica, sin que ello signifique el pago de un precio o una remuneración por servicio prestado o bien adquirido. Estos costos o gastos de administración pueden incluirse válidamente</w:t>
      </w:r>
      <w:r w:rsidRPr="009A5983">
        <w:rPr>
          <w:rFonts w:ascii="Verdana" w:eastAsia="Times New Roman" w:hAnsi="Verdana" w:cs="Arial"/>
          <w:b/>
          <w:bCs/>
          <w:sz w:val="20"/>
          <w:szCs w:val="20"/>
          <w:lang w:eastAsia="es-ES_tradnl"/>
        </w:rPr>
        <w:t xml:space="preserve"> </w:t>
      </w:r>
      <w:r w:rsidRPr="009A5983">
        <w:rPr>
          <w:rFonts w:ascii="Verdana" w:eastAsia="Times New Roman" w:hAnsi="Verdana" w:cs="Arial"/>
          <w:sz w:val="20"/>
          <w:szCs w:val="20"/>
          <w:lang w:eastAsia="es-ES_tradnl"/>
        </w:rPr>
        <w:t xml:space="preserve">siempre que se justifique técnica y financieramente que son necesarios y razonables para el desarrollo del objeto convenido y que se trate de aspectos operativos, logísticos o de administración </w:t>
      </w:r>
      <w:r w:rsidRPr="009A5983">
        <w:rPr>
          <w:rFonts w:ascii="Verdana" w:eastAsia="Calibri" w:hAnsi="Verdana" w:cs="Arial"/>
          <w:bCs/>
          <w:iCs/>
          <w:sz w:val="20"/>
          <w:szCs w:val="20"/>
        </w:rPr>
        <w:t>que permitan cumplir los compromisos adquiridos en el marco del convenio</w:t>
      </w:r>
      <w:r w:rsidRPr="009A5983">
        <w:rPr>
          <w:rFonts w:ascii="Verdana" w:eastAsia="Times New Roman" w:hAnsi="Verdana" w:cs="Arial"/>
          <w:sz w:val="20"/>
          <w:szCs w:val="20"/>
          <w:lang w:eastAsia="es-ES_tradnl"/>
        </w:rPr>
        <w:t xml:space="preserve"> y que, por tanto, no representan una utilidad o una contraprestación en favor de una de las partes. </w:t>
      </w:r>
    </w:p>
    <w:p w14:paraId="254E0B7F" w14:textId="77777777" w:rsidR="008C303F" w:rsidRPr="009A5983" w:rsidRDefault="008C303F" w:rsidP="008C303F">
      <w:pPr>
        <w:spacing w:after="0" w:line="240" w:lineRule="auto"/>
        <w:jc w:val="both"/>
        <w:rPr>
          <w:rFonts w:ascii="Verdana" w:eastAsia="Times New Roman" w:hAnsi="Verdana" w:cs="Arial"/>
          <w:sz w:val="20"/>
          <w:szCs w:val="20"/>
          <w:lang w:eastAsia="es-ES_tradnl"/>
        </w:rPr>
      </w:pPr>
    </w:p>
    <w:p w14:paraId="3E1BD344" w14:textId="77777777" w:rsidR="008C303F" w:rsidRPr="009A5983" w:rsidRDefault="008C303F" w:rsidP="008C303F">
      <w:pPr>
        <w:spacing w:after="0" w:line="240" w:lineRule="auto"/>
        <w:jc w:val="both"/>
        <w:rPr>
          <w:rFonts w:ascii="Verdana" w:eastAsia="Geomanist Light" w:hAnsi="Verdana" w:cs="Arial"/>
          <w:color w:val="000000" w:themeColor="text1"/>
          <w:sz w:val="20"/>
          <w:szCs w:val="20"/>
        </w:rPr>
      </w:pPr>
      <w:r w:rsidRPr="009A5983">
        <w:rPr>
          <w:rFonts w:ascii="Verdana" w:eastAsia="Times New Roman" w:hAnsi="Verdana" w:cs="Arial"/>
          <w:sz w:val="20"/>
          <w:szCs w:val="20"/>
          <w:lang w:eastAsia="es-ES_tradnl"/>
        </w:rPr>
        <w:t>En este sentido, se precisa que la posibilidad de que un convenio interadministrativo incluya compromisos con contenido económico no puede ir en contravía de su naturaleza y finalidad, ni mucho menos desconocer los elementos esenciales de este tipo negocial que se desprenden del artículo 95 de la Ley 489 de 1998. Por ende, la determinación de estos costos o gastos administrativos no pueden ocultar una remuneración verdadera o una utilidad en favor de alguna de las entidades que concurre a su suscripción, así como tampoco pueden emplearse para aspectos distintos del cumplimiento de los compromisos asumidos, pues no se trataría de un convenio sino que su connotación transmutaría a un contrato interadministrativo</w:t>
      </w:r>
    </w:p>
    <w:p w14:paraId="4C84A029" w14:textId="77777777" w:rsidR="008C303F" w:rsidRDefault="008C303F" w:rsidP="008C303F">
      <w:pPr>
        <w:spacing w:after="0" w:line="240" w:lineRule="auto"/>
        <w:rPr>
          <w:rFonts w:ascii="Verdana" w:eastAsia="Geomanist Light" w:hAnsi="Verdana" w:cs="Arial"/>
          <w:color w:val="000000" w:themeColor="text1"/>
        </w:rPr>
      </w:pPr>
    </w:p>
    <w:p w14:paraId="1701112D" w14:textId="77777777" w:rsidR="008C303F" w:rsidRPr="009A5983" w:rsidRDefault="008C303F" w:rsidP="008C303F">
      <w:pPr>
        <w:snapToGrid w:val="0"/>
        <w:spacing w:after="0" w:line="240" w:lineRule="auto"/>
        <w:jc w:val="both"/>
        <w:rPr>
          <w:rFonts w:ascii="Verdana" w:eastAsia="Calibri" w:hAnsi="Verdana" w:cs="Arial"/>
          <w:bCs/>
          <w:color w:val="000000" w:themeColor="text1"/>
          <w:sz w:val="20"/>
          <w:szCs w:val="20"/>
          <w:lang w:eastAsia="es-ES_tradnl" w:bidi="es-ES"/>
        </w:rPr>
      </w:pPr>
      <w:r w:rsidRPr="009A5983">
        <w:rPr>
          <w:rFonts w:ascii="Verdana" w:eastAsia="Geomanist Light" w:hAnsi="Verdana" w:cs="Arial"/>
          <w:color w:val="201F1E"/>
          <w:sz w:val="20"/>
          <w:szCs w:val="20"/>
        </w:rPr>
        <w:t>[…]</w:t>
      </w:r>
    </w:p>
    <w:p w14:paraId="1EFC9B61" w14:textId="77777777" w:rsidR="008C303F" w:rsidRDefault="008C303F" w:rsidP="008C303F">
      <w:pPr>
        <w:spacing w:after="0" w:line="240" w:lineRule="auto"/>
        <w:rPr>
          <w:rFonts w:ascii="Verdana" w:eastAsia="Geomanist Light" w:hAnsi="Verdana" w:cs="Arial"/>
          <w:color w:val="000000" w:themeColor="text1"/>
        </w:rPr>
      </w:pPr>
    </w:p>
    <w:p w14:paraId="5BE19C46" w14:textId="5B60D749" w:rsidR="008C303F" w:rsidRPr="009A5983" w:rsidRDefault="008C303F" w:rsidP="008C303F">
      <w:pPr>
        <w:spacing w:after="0" w:line="240" w:lineRule="auto"/>
        <w:jc w:val="both"/>
        <w:rPr>
          <w:rFonts w:ascii="Verdana" w:eastAsia="Geomanist Light" w:hAnsi="Verdana" w:cs="Arial"/>
          <w:color w:val="000000" w:themeColor="text1"/>
          <w:sz w:val="20"/>
          <w:szCs w:val="20"/>
        </w:rPr>
      </w:pPr>
      <w:r w:rsidRPr="009A5983">
        <w:rPr>
          <w:rFonts w:ascii="Verdana" w:eastAsia="Times New Roman" w:hAnsi="Verdana" w:cs="Arial"/>
          <w:iCs/>
          <w:sz w:val="20"/>
          <w:szCs w:val="20"/>
          <w:lang w:eastAsia="es-ES_tradnl"/>
        </w:rPr>
        <w:t xml:space="preserve">Ahora bien, en lo que respecta al descuento por concepto de estampillas en los contratos y convenios interadministrativos debe precisarse que su inclusión dependerá de las condiciones establecidas por la Ley para estos tributos. En efecto, </w:t>
      </w:r>
      <w:r w:rsidRPr="009A5983">
        <w:rPr>
          <w:rFonts w:ascii="Verdana" w:eastAsia="Calibri" w:hAnsi="Verdana" w:cs="Arial"/>
          <w:sz w:val="20"/>
          <w:szCs w:val="20"/>
        </w:rPr>
        <w:t>la incorporación en nuestro ordenamiento jurídico de las denominadas “estampillas” tan sólo puede darse por disposición legal o por disposición expresa de ordenanzas departamentales o acuerdos distritales o municipales, en las que se debe indicar a detalle las condiciones de su emisión o pago o adherencia, y si dicha estampilla, se concibe como una tasa parafiscal, o como impuesto con destinación específica</w:t>
      </w:r>
      <w:r>
        <w:rPr>
          <w:rFonts w:ascii="Verdana" w:eastAsia="Calibri" w:hAnsi="Verdana" w:cs="Arial"/>
          <w:sz w:val="20"/>
          <w:szCs w:val="20"/>
        </w:rPr>
        <w:t>.</w:t>
      </w:r>
    </w:p>
    <w:p w14:paraId="79350091" w14:textId="77777777" w:rsidR="008C303F" w:rsidRDefault="008C303F" w:rsidP="008C303F">
      <w:pPr>
        <w:spacing w:after="0" w:line="240" w:lineRule="auto"/>
        <w:rPr>
          <w:rFonts w:ascii="Verdana" w:eastAsia="Geomanist Light" w:hAnsi="Verdana" w:cs="Arial"/>
          <w:color w:val="000000" w:themeColor="text1"/>
        </w:rPr>
      </w:pPr>
    </w:p>
    <w:p w14:paraId="6B722B22" w14:textId="77777777" w:rsidR="008C303F" w:rsidRPr="00E7745C" w:rsidRDefault="008C303F" w:rsidP="008C303F">
      <w:pPr>
        <w:spacing w:after="0" w:line="240" w:lineRule="auto"/>
        <w:contextualSpacing/>
        <w:jc w:val="both"/>
        <w:rPr>
          <w:rFonts w:ascii="Verdana" w:eastAsia="Calibri" w:hAnsi="Verdana"/>
          <w:b/>
          <w:bCs/>
        </w:rPr>
      </w:pPr>
      <w:r w:rsidRPr="00E7745C">
        <w:rPr>
          <w:rFonts w:ascii="Verdana" w:eastAsia="Calibri" w:hAnsi="Verdana"/>
          <w:b/>
          <w:bCs/>
        </w:rPr>
        <w:t xml:space="preserve">REQUISITO HABILITANTE DE EXPERIENCIA – Concepto </w:t>
      </w:r>
    </w:p>
    <w:p w14:paraId="15EDAC65" w14:textId="77777777" w:rsidR="008C303F" w:rsidRPr="00E7745C" w:rsidRDefault="008C303F" w:rsidP="008C303F">
      <w:pPr>
        <w:spacing w:after="0" w:line="240" w:lineRule="auto"/>
        <w:contextualSpacing/>
        <w:jc w:val="both"/>
        <w:rPr>
          <w:rFonts w:ascii="Verdana" w:eastAsia="Calibri" w:hAnsi="Verdana"/>
          <w:b/>
          <w:bCs/>
        </w:rPr>
      </w:pPr>
    </w:p>
    <w:p w14:paraId="59FB5311" w14:textId="77777777" w:rsidR="008C303F" w:rsidRPr="00632DC2" w:rsidRDefault="008C303F" w:rsidP="008C303F">
      <w:pPr>
        <w:spacing w:after="0" w:line="240" w:lineRule="auto"/>
        <w:contextualSpacing/>
        <w:jc w:val="both"/>
        <w:rPr>
          <w:rFonts w:ascii="Verdana" w:eastAsia="Calibri" w:hAnsi="Verdana" w:cs="Arial"/>
          <w:sz w:val="20"/>
          <w:szCs w:val="20"/>
          <w:lang w:eastAsia="es-CO"/>
        </w:rPr>
      </w:pPr>
      <w:r w:rsidRPr="00632DC2">
        <w:rPr>
          <w:rFonts w:ascii="Verdana" w:eastAsia="Calibri" w:hAnsi="Verdana"/>
          <w:sz w:val="20"/>
          <w:szCs w:val="20"/>
        </w:rPr>
        <w:t xml:space="preserve">[…] </w:t>
      </w:r>
      <w:r w:rsidRPr="00632DC2">
        <w:rPr>
          <w:rFonts w:ascii="Verdana" w:eastAsia="Calibri" w:hAnsi="Verdana" w:cs="Arial"/>
          <w:sz w:val="20"/>
          <w:szCs w:val="20"/>
          <w:lang w:eastAsia="es-CO"/>
        </w:rPr>
        <w:t>el “</w:t>
      </w:r>
      <w:r w:rsidRPr="00632DC2">
        <w:rPr>
          <w:rFonts w:ascii="Verdana" w:eastAsia="Calibri" w:hAnsi="Verdana" w:cs="Arial"/>
          <w:i/>
          <w:iCs/>
          <w:sz w:val="20"/>
          <w:szCs w:val="20"/>
          <w:lang w:eastAsia="es-CO"/>
        </w:rPr>
        <w:t>Manual para determinar y verificar requisitos habilitantes en los procesos de contratación”,</w:t>
      </w:r>
      <w:r w:rsidRPr="00632DC2">
        <w:rPr>
          <w:rFonts w:ascii="Verdana" w:eastAsia="Calibri" w:hAnsi="Verdana" w:cs="Arial"/>
          <w:sz w:val="20"/>
          <w:szCs w:val="20"/>
          <w:lang w:eastAsia="es-CO"/>
        </w:rPr>
        <w:t xml:space="preserve"> indica que la experiencia tiene un carácter personal, lo cual significa que la experiencia se obtiene en razón a la participación, con anterioridad, en actividades que le permitieron conocer cómo ejecutar determinado objeto contractual, que la entidad ahora pretende desarrollar.</w:t>
      </w:r>
    </w:p>
    <w:p w14:paraId="19AE8BBE" w14:textId="77777777" w:rsidR="008C303F" w:rsidRPr="00E7745C" w:rsidRDefault="008C303F" w:rsidP="008C303F">
      <w:pPr>
        <w:spacing w:after="0" w:line="240" w:lineRule="auto"/>
        <w:contextualSpacing/>
        <w:jc w:val="both"/>
        <w:rPr>
          <w:rFonts w:ascii="Verdana" w:eastAsia="Calibri" w:hAnsi="Verdana" w:cs="Arial"/>
          <w:lang w:eastAsia="es-CO"/>
        </w:rPr>
      </w:pPr>
    </w:p>
    <w:p w14:paraId="5833C653" w14:textId="77777777" w:rsidR="008C303F" w:rsidRPr="00E7745C" w:rsidRDefault="008C303F" w:rsidP="008C303F">
      <w:pPr>
        <w:spacing w:line="240" w:lineRule="auto"/>
        <w:jc w:val="both"/>
        <w:rPr>
          <w:rFonts w:ascii="Verdana" w:eastAsia="Century Gothic" w:hAnsi="Verdana" w:cs="Century Gothic"/>
          <w:b/>
          <w:bCs/>
        </w:rPr>
      </w:pPr>
      <w:r w:rsidRPr="00E7745C">
        <w:rPr>
          <w:rFonts w:ascii="Verdana" w:eastAsia="Century Gothic" w:hAnsi="Verdana" w:cs="Century Gothic"/>
          <w:b/>
          <w:bCs/>
        </w:rPr>
        <w:t xml:space="preserve">REQUISITO HABILITANTE DE EXPERIENCIA – Forma de acreditación </w:t>
      </w:r>
    </w:p>
    <w:p w14:paraId="554C30DF" w14:textId="77777777" w:rsidR="008C303F" w:rsidRPr="00632DC2" w:rsidRDefault="008C303F" w:rsidP="008C303F">
      <w:pPr>
        <w:spacing w:line="240" w:lineRule="auto"/>
        <w:jc w:val="both"/>
        <w:rPr>
          <w:rFonts w:ascii="Verdana" w:eastAsia="Calibri" w:hAnsi="Verdana" w:cs="Arial"/>
          <w:sz w:val="20"/>
          <w:szCs w:val="20"/>
          <w:lang w:eastAsia="es-CO"/>
        </w:rPr>
      </w:pPr>
      <w:r w:rsidRPr="00632DC2">
        <w:rPr>
          <w:rFonts w:ascii="Verdana" w:eastAsia="Century Gothic" w:hAnsi="Verdana" w:cs="Century Gothic"/>
          <w:sz w:val="20"/>
          <w:szCs w:val="20"/>
        </w:rPr>
        <w:lastRenderedPageBreak/>
        <w:t xml:space="preserve">En efecto, este requisito se acreditará a través del registro único de proponentes en los procesos de selección que así lo exija la norma. </w:t>
      </w:r>
      <w:r w:rsidRPr="00632DC2">
        <w:rPr>
          <w:rFonts w:ascii="Verdana" w:eastAsia="Calibri" w:hAnsi="Verdana" w:cs="Arial"/>
          <w:sz w:val="20"/>
          <w:szCs w:val="20"/>
          <w:lang w:eastAsia="es-CO"/>
        </w:rPr>
        <w:t xml:space="preserve">No obstante, lo anterior, 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Lo mismo ocurre en los procesos de selección en los cuales no es exigible el RUP. En ambos escenarios,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cuáles documentos resultan ser adecuados y proporcionales para verificar el requisito de experiencia establecido. </w:t>
      </w:r>
    </w:p>
    <w:p w14:paraId="66FBC93B" w14:textId="77777777" w:rsidR="008C303F" w:rsidRPr="00632DC2" w:rsidRDefault="008C303F" w:rsidP="008C303F">
      <w:pPr>
        <w:spacing w:line="240" w:lineRule="auto"/>
        <w:jc w:val="both"/>
        <w:rPr>
          <w:rFonts w:ascii="Verdana" w:eastAsia="Calibri" w:hAnsi="Verdana" w:cs="Arial"/>
          <w:sz w:val="20"/>
          <w:szCs w:val="20"/>
          <w:lang w:eastAsia="es-CO"/>
        </w:rPr>
      </w:pPr>
      <w:r w:rsidRPr="00632DC2">
        <w:rPr>
          <w:rFonts w:ascii="Verdana" w:eastAsia="Calibri" w:hAnsi="Verdana" w:cs="Arial"/>
          <w:sz w:val="20"/>
          <w:szCs w:val="20"/>
          <w:lang w:eastAsia="es-CO"/>
        </w:rPr>
        <w:t xml:space="preserve">Las entidades por ejemplo suelen requerir documentos como actas de liquidación, actas de entrega, actas de terminación, o de recibo definitivo, certificaciones expedidas con posterioridad a la fecha de terminación del contrato, entre otros documentos. Estos documentos permiten que la entidad pueda comprobar la experiencia del proponente, como, por ejemplo, el objeto del contrato, las actividades desarrolladas, el valor del contrato o el valor debidamente ejecutado, esto es, cualquier información que le de certeza y seguridad a la entidad estatal en la verificación del requisito de experiencia. </w:t>
      </w:r>
    </w:p>
    <w:p w14:paraId="6463BDB0" w14:textId="77777777" w:rsidR="008C303F" w:rsidRPr="00D72D95" w:rsidRDefault="008C303F" w:rsidP="008C303F">
      <w:pPr>
        <w:spacing w:after="0" w:line="240" w:lineRule="auto"/>
        <w:jc w:val="both"/>
        <w:rPr>
          <w:rFonts w:ascii="Verdana" w:eastAsia="Calibri" w:hAnsi="Verdana" w:cs="Arial"/>
          <w:b/>
          <w:bCs/>
          <w:lang w:val="es-ES" w:eastAsia="es-ES"/>
        </w:rPr>
      </w:pPr>
      <w:r w:rsidRPr="00D72D95">
        <w:rPr>
          <w:rFonts w:ascii="Verdana" w:eastAsia="Calibri" w:hAnsi="Verdana" w:cs="Arial"/>
          <w:b/>
          <w:bCs/>
          <w:lang w:val="es-ES" w:eastAsia="es-ES"/>
        </w:rPr>
        <w:t>SUBSANABILIDAD – Aplicación – R</w:t>
      </w:r>
      <w:r w:rsidRPr="00D72D95">
        <w:rPr>
          <w:rFonts w:ascii="Verdana" w:eastAsia="Calibri" w:hAnsi="Verdana"/>
          <w:b/>
          <w:bCs/>
          <w:lang w:val="es-ES" w:eastAsia="es-ES"/>
        </w:rPr>
        <w:t>egla general</w:t>
      </w:r>
      <w:r w:rsidRPr="00D72D95">
        <w:rPr>
          <w:rFonts w:ascii="Verdana" w:eastAsia="Calibri" w:hAnsi="Verdana" w:cs="Arial"/>
          <w:b/>
          <w:bCs/>
          <w:lang w:val="es-ES" w:eastAsia="es-ES"/>
        </w:rPr>
        <w:t xml:space="preserve"> – Excepciones </w:t>
      </w:r>
    </w:p>
    <w:p w14:paraId="6171004C" w14:textId="77777777" w:rsidR="008C303F" w:rsidRPr="00D72D95" w:rsidRDefault="008C303F" w:rsidP="008C303F">
      <w:pPr>
        <w:tabs>
          <w:tab w:val="left" w:pos="426"/>
        </w:tabs>
        <w:spacing w:after="0" w:line="240" w:lineRule="auto"/>
        <w:jc w:val="both"/>
        <w:rPr>
          <w:rFonts w:ascii="Verdana" w:hAnsi="Verdana" w:cs="Arial"/>
          <w:b/>
          <w:sz w:val="20"/>
          <w:szCs w:val="20"/>
          <w:lang w:eastAsia="es-CO"/>
        </w:rPr>
      </w:pPr>
    </w:p>
    <w:p w14:paraId="47254B03" w14:textId="77777777" w:rsidR="008C303F" w:rsidRDefault="008C303F" w:rsidP="008C303F">
      <w:pPr>
        <w:spacing w:after="0" w:line="240" w:lineRule="auto"/>
        <w:jc w:val="both"/>
        <w:rPr>
          <w:rFonts w:ascii="Verdana" w:hAnsi="Verdana" w:cs="Arial"/>
          <w:bCs/>
          <w:sz w:val="20"/>
          <w:szCs w:val="20"/>
          <w:lang w:eastAsia="es-CO"/>
        </w:rPr>
      </w:pPr>
      <w:r w:rsidRPr="00D72D95">
        <w:rPr>
          <w:rFonts w:ascii="Verdana" w:hAnsi="Verdana" w:cs="Arial"/>
          <w:bCs/>
          <w:sz w:val="20"/>
          <w:szCs w:val="20"/>
          <w:lang w:eastAsia="es-CO"/>
        </w:rPr>
        <w:t xml:space="preserve">La regla de la </w:t>
      </w:r>
      <w:proofErr w:type="spellStart"/>
      <w:r w:rsidRPr="00D72D95">
        <w:rPr>
          <w:rFonts w:ascii="Verdana" w:hAnsi="Verdana" w:cs="Arial"/>
          <w:bCs/>
          <w:sz w:val="20"/>
          <w:szCs w:val="20"/>
          <w:lang w:eastAsia="es-CO"/>
        </w:rPr>
        <w:t>subsanabilidad</w:t>
      </w:r>
      <w:proofErr w:type="spellEnd"/>
      <w:r w:rsidRPr="00D72D95">
        <w:rPr>
          <w:rFonts w:ascii="Verdana" w:hAnsi="Verdana" w:cs="Arial"/>
          <w:bCs/>
          <w:sz w:val="20"/>
          <w:szCs w:val="20"/>
          <w:lang w:eastAsia="es-CO"/>
        </w:rPr>
        <w:t xml:space="preserve"> de las ofertas en los procedimientos de selección indica que, por regla general, la falta de entrega y los defectos en la acreditación de los requisitos habilitantes son aspectos subsanables. La excepción a esta regla se encuentra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7CBB7F0A" w14:textId="77777777" w:rsidR="008C303F" w:rsidRPr="002E5295" w:rsidRDefault="008C303F" w:rsidP="008C303F">
      <w:pPr>
        <w:spacing w:after="0" w:line="240" w:lineRule="auto"/>
        <w:jc w:val="both"/>
        <w:rPr>
          <w:rFonts w:ascii="Verdana" w:hAnsi="Verdana" w:cs="Arial"/>
          <w:bCs/>
          <w:sz w:val="20"/>
          <w:szCs w:val="20"/>
          <w:lang w:val="es-ES_tradnl" w:eastAsia="es-CO"/>
        </w:rPr>
      </w:pPr>
    </w:p>
    <w:p w14:paraId="40059161" w14:textId="77777777" w:rsidR="008C303F" w:rsidRDefault="008C303F" w:rsidP="008C303F">
      <w:pPr>
        <w:spacing w:after="0" w:line="240" w:lineRule="auto"/>
        <w:jc w:val="both"/>
        <w:rPr>
          <w:rFonts w:ascii="Verdana" w:hAnsi="Verdana" w:cs="Arial"/>
          <w:noProof/>
          <w:lang w:val="es-ES_tradnl"/>
        </w:rPr>
      </w:pPr>
    </w:p>
    <w:p w14:paraId="30A6FBB3" w14:textId="77777777" w:rsidR="008C303F" w:rsidRDefault="008C303F" w:rsidP="008C303F">
      <w:pPr>
        <w:spacing w:after="0" w:line="240" w:lineRule="auto"/>
        <w:jc w:val="both"/>
        <w:rPr>
          <w:rFonts w:ascii="Verdana" w:hAnsi="Verdana" w:cs="Arial"/>
          <w:noProof/>
          <w:lang w:val="es-ES_tradnl"/>
        </w:rPr>
      </w:pPr>
    </w:p>
    <w:p w14:paraId="1112C41E" w14:textId="77777777" w:rsidR="008C303F" w:rsidRDefault="008C303F" w:rsidP="008C303F">
      <w:pPr>
        <w:spacing w:after="0" w:line="240" w:lineRule="auto"/>
        <w:jc w:val="both"/>
        <w:rPr>
          <w:rFonts w:ascii="Verdana" w:hAnsi="Verdana" w:cs="Arial"/>
          <w:noProof/>
          <w:lang w:val="es-ES_tradnl"/>
        </w:rPr>
      </w:pPr>
    </w:p>
    <w:p w14:paraId="17FA6E52" w14:textId="77777777" w:rsidR="008C303F" w:rsidRDefault="008C303F" w:rsidP="008C303F">
      <w:pPr>
        <w:spacing w:after="0" w:line="240" w:lineRule="auto"/>
        <w:jc w:val="both"/>
        <w:rPr>
          <w:rFonts w:ascii="Verdana" w:hAnsi="Verdana" w:cs="Arial"/>
          <w:noProof/>
          <w:lang w:val="es-ES_tradnl"/>
        </w:rPr>
      </w:pPr>
    </w:p>
    <w:p w14:paraId="7D66F4D6" w14:textId="77777777" w:rsidR="008C303F" w:rsidRDefault="008C303F" w:rsidP="008C303F">
      <w:pPr>
        <w:spacing w:after="0" w:line="240" w:lineRule="auto"/>
        <w:jc w:val="both"/>
        <w:rPr>
          <w:rFonts w:ascii="Verdana" w:hAnsi="Verdana" w:cs="Arial"/>
          <w:noProof/>
          <w:lang w:val="es-ES_tradnl"/>
        </w:rPr>
      </w:pPr>
    </w:p>
    <w:p w14:paraId="71CBA6A8" w14:textId="77777777" w:rsidR="008C303F" w:rsidRDefault="008C303F" w:rsidP="008C303F">
      <w:pPr>
        <w:spacing w:after="0" w:line="240" w:lineRule="auto"/>
        <w:jc w:val="both"/>
        <w:rPr>
          <w:rFonts w:ascii="Verdana" w:hAnsi="Verdana" w:cs="Arial"/>
          <w:noProof/>
          <w:lang w:val="es-ES_tradnl"/>
        </w:rPr>
      </w:pPr>
    </w:p>
    <w:p w14:paraId="2CC5710B" w14:textId="77777777" w:rsidR="008C303F" w:rsidRDefault="008C303F" w:rsidP="008C303F">
      <w:pPr>
        <w:spacing w:after="0" w:line="276" w:lineRule="auto"/>
        <w:jc w:val="both"/>
        <w:rPr>
          <w:rFonts w:ascii="Verdana" w:hAnsi="Verdana" w:cs="Arial"/>
          <w:noProof/>
          <w:lang w:val="es-ES_tradnl"/>
        </w:rPr>
      </w:pPr>
    </w:p>
    <w:p w14:paraId="776F4DB4" w14:textId="77777777" w:rsidR="007A5FAE" w:rsidRDefault="007A5FAE" w:rsidP="008C303F">
      <w:pPr>
        <w:spacing w:after="0" w:line="240" w:lineRule="auto"/>
        <w:rPr>
          <w:rFonts w:ascii="Verdana" w:eastAsia="Geomanist Light" w:hAnsi="Verdana" w:cs="Arial"/>
        </w:rPr>
      </w:pPr>
    </w:p>
    <w:p w14:paraId="4D207FDC" w14:textId="77777777" w:rsidR="007A5FAE" w:rsidRDefault="007A5FAE" w:rsidP="008C303F">
      <w:pPr>
        <w:spacing w:after="0" w:line="240" w:lineRule="auto"/>
        <w:rPr>
          <w:rFonts w:ascii="Verdana" w:eastAsia="Geomanist Light" w:hAnsi="Verdana" w:cs="Arial"/>
        </w:rPr>
      </w:pPr>
    </w:p>
    <w:p w14:paraId="4BEBAFF1" w14:textId="0404F465" w:rsidR="008C303F" w:rsidRPr="00C53F17" w:rsidRDefault="00C53F17" w:rsidP="008C303F">
      <w:pPr>
        <w:spacing w:after="0" w:line="240" w:lineRule="auto"/>
        <w:rPr>
          <w:rFonts w:ascii="Verdana" w:hAnsi="Verdana" w:cs="Arial"/>
          <w:noProof/>
          <w:lang w:val="es-ES_tradnl"/>
        </w:rPr>
      </w:pPr>
      <w:r w:rsidRPr="00C53F17">
        <w:rPr>
          <w:rFonts w:ascii="Verdana" w:eastAsia="Calibri" w:hAnsi="Verdana" w:cs="Arial"/>
          <w:b/>
          <w:bCs/>
          <w:noProof/>
          <w:lang w:eastAsia="es-ES"/>
        </w:rPr>
        <w:lastRenderedPageBreak/>
        <w:drawing>
          <wp:anchor distT="0" distB="0" distL="114300" distR="114300" simplePos="0" relativeHeight="251658240" behindDoc="1" locked="0" layoutInCell="1" allowOverlap="1" wp14:anchorId="6F1F8042" wp14:editId="09ED58BB">
            <wp:simplePos x="0" y="0"/>
            <wp:positionH relativeFrom="column">
              <wp:posOffset>3593465</wp:posOffset>
            </wp:positionH>
            <wp:positionV relativeFrom="paragraph">
              <wp:posOffset>10160</wp:posOffset>
            </wp:positionV>
            <wp:extent cx="2797175" cy="949960"/>
            <wp:effectExtent l="0" t="0" r="3175" b="2540"/>
            <wp:wrapTight wrapText="bothSides">
              <wp:wrapPolygon edited="0">
                <wp:start x="0" y="0"/>
                <wp:lineTo x="0" y="21225"/>
                <wp:lineTo x="21477" y="21225"/>
                <wp:lineTo x="21477" y="0"/>
                <wp:lineTo x="0" y="0"/>
              </wp:wrapPolygon>
            </wp:wrapTight>
            <wp:docPr id="101295020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950203"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797175" cy="949960"/>
                    </a:xfrm>
                    <a:prstGeom prst="rect">
                      <a:avLst/>
                    </a:prstGeom>
                  </pic:spPr>
                </pic:pic>
              </a:graphicData>
            </a:graphic>
            <wp14:sizeRelH relativeFrom="page">
              <wp14:pctWidth>0</wp14:pctWidth>
            </wp14:sizeRelH>
            <wp14:sizeRelV relativeFrom="page">
              <wp14:pctHeight>0</wp14:pctHeight>
            </wp14:sizeRelV>
          </wp:anchor>
        </w:drawing>
      </w:r>
      <w:r w:rsidR="008C303F" w:rsidRPr="00960F72">
        <w:rPr>
          <w:rFonts w:ascii="Verdana" w:eastAsia="Geomanist Light" w:hAnsi="Verdana" w:cs="Arial"/>
        </w:rPr>
        <w:t>Bogotá D.C., [Día] de [</w:t>
      </w:r>
      <w:proofErr w:type="spellStart"/>
      <w:r w:rsidR="008C303F" w:rsidRPr="00960F72">
        <w:rPr>
          <w:rFonts w:ascii="Verdana" w:eastAsia="Geomanist Light" w:hAnsi="Verdana" w:cs="Arial"/>
        </w:rPr>
        <w:t>Mes.NombreCapitalizado</w:t>
      </w:r>
      <w:proofErr w:type="spellEnd"/>
      <w:r w:rsidR="008C303F" w:rsidRPr="00960F72">
        <w:rPr>
          <w:rFonts w:ascii="Verdana" w:eastAsia="Geomanist Light" w:hAnsi="Verdana" w:cs="Arial"/>
        </w:rPr>
        <w:t>] de [Año]</w:t>
      </w:r>
    </w:p>
    <w:p w14:paraId="2BC97D94" w14:textId="3CEF65B3" w:rsidR="008C303F" w:rsidRPr="00960F72" w:rsidRDefault="008C303F" w:rsidP="008C303F">
      <w:pPr>
        <w:spacing w:after="0" w:line="240" w:lineRule="auto"/>
        <w:jc w:val="both"/>
        <w:rPr>
          <w:rFonts w:ascii="Verdana" w:eastAsia="Calibri" w:hAnsi="Verdana" w:cs="Arial"/>
        </w:rPr>
      </w:pPr>
    </w:p>
    <w:p w14:paraId="6BE3661D" w14:textId="0A388BB3" w:rsidR="008C303F" w:rsidRPr="00A518F4" w:rsidRDefault="008C303F" w:rsidP="008C303F">
      <w:pPr>
        <w:spacing w:after="0" w:line="240" w:lineRule="auto"/>
        <w:jc w:val="both"/>
        <w:rPr>
          <w:rFonts w:ascii="Verdana" w:eastAsia="Calibri" w:hAnsi="Verdana" w:cs="Arial"/>
          <w:lang w:eastAsia="es-ES"/>
        </w:rPr>
      </w:pPr>
      <w:r w:rsidRPr="00A518F4">
        <w:rPr>
          <w:rFonts w:ascii="Verdana" w:eastAsia="Calibri" w:hAnsi="Verdana" w:cs="Arial"/>
          <w:lang w:eastAsia="es-ES"/>
        </w:rPr>
        <w:t>Señor</w:t>
      </w:r>
    </w:p>
    <w:p w14:paraId="0DD14E17" w14:textId="406BDA6A" w:rsidR="008C303F" w:rsidRPr="00A518F4" w:rsidRDefault="008C303F" w:rsidP="008C303F">
      <w:pPr>
        <w:spacing w:after="0" w:line="240" w:lineRule="auto"/>
        <w:jc w:val="both"/>
        <w:rPr>
          <w:rFonts w:ascii="Verdana" w:eastAsia="Calibri" w:hAnsi="Verdana" w:cs="Arial"/>
          <w:lang w:eastAsia="es-ES"/>
        </w:rPr>
      </w:pPr>
      <w:r w:rsidRPr="00A518F4">
        <w:rPr>
          <w:rFonts w:ascii="Verdana" w:eastAsia="Calibri" w:hAnsi="Verdana" w:cs="Arial"/>
          <w:b/>
          <w:bCs/>
          <w:lang w:eastAsia="es-ES"/>
        </w:rPr>
        <w:t>Luis Alexis Correa Salazar</w:t>
      </w:r>
    </w:p>
    <w:p w14:paraId="31AD7D08" w14:textId="77777777" w:rsidR="008C303F" w:rsidRPr="00A518F4" w:rsidRDefault="008C303F" w:rsidP="008C303F">
      <w:pPr>
        <w:spacing w:after="0" w:line="240" w:lineRule="auto"/>
        <w:jc w:val="both"/>
        <w:rPr>
          <w:rFonts w:ascii="Verdana" w:eastAsia="Calibri" w:hAnsi="Verdana" w:cs="Arial"/>
          <w:lang w:eastAsia="es-ES"/>
        </w:rPr>
      </w:pPr>
      <w:r w:rsidRPr="00A518F4">
        <w:rPr>
          <w:rFonts w:ascii="Verdana" w:hAnsi="Verdana"/>
        </w:rPr>
        <w:t>luiscorreasalazar@hotmail.com</w:t>
      </w:r>
    </w:p>
    <w:p w14:paraId="67A269FB" w14:textId="77777777" w:rsidR="008C303F" w:rsidRPr="00A518F4" w:rsidRDefault="008C303F" w:rsidP="008C303F">
      <w:pPr>
        <w:spacing w:after="0" w:line="240" w:lineRule="auto"/>
        <w:rPr>
          <w:rFonts w:ascii="Verdana" w:eastAsia="Calibri" w:hAnsi="Verdana" w:cs="Arial"/>
          <w:b/>
          <w:bCs/>
          <w:lang w:eastAsia="es-ES"/>
        </w:rPr>
      </w:pPr>
      <w:r>
        <w:rPr>
          <w:rFonts w:ascii="Verdana" w:eastAsia="Calibri" w:hAnsi="Verdana" w:cs="Arial"/>
          <w:lang w:eastAsia="es-ES"/>
        </w:rPr>
        <w:t>Piedecuesta, Santander</w:t>
      </w:r>
    </w:p>
    <w:p w14:paraId="5CC8A65C" w14:textId="77777777" w:rsidR="008C303F" w:rsidRPr="00A518F4" w:rsidRDefault="008C303F" w:rsidP="008C303F">
      <w:pPr>
        <w:spacing w:after="0" w:line="240" w:lineRule="auto"/>
        <w:rPr>
          <w:rFonts w:ascii="Verdana" w:eastAsia="Calibri" w:hAnsi="Verdana" w:cs="Arial"/>
          <w:b/>
          <w:bCs/>
          <w:lang w:eastAsia="es-ES_tradnl"/>
        </w:rPr>
      </w:pPr>
    </w:p>
    <w:p w14:paraId="18A31202" w14:textId="77777777" w:rsidR="008C303F" w:rsidRPr="00960F72" w:rsidRDefault="008C303F" w:rsidP="008C303F">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C303F" w:rsidRPr="00960F72" w14:paraId="2EDCDFA6" w14:textId="77777777" w:rsidTr="00803536">
        <w:trPr>
          <w:trHeight w:val="190"/>
        </w:trPr>
        <w:tc>
          <w:tcPr>
            <w:tcW w:w="2689" w:type="dxa"/>
          </w:tcPr>
          <w:p w14:paraId="42F6907F" w14:textId="77777777" w:rsidR="008C303F" w:rsidRPr="00960F72" w:rsidRDefault="008C303F" w:rsidP="00803536">
            <w:pPr>
              <w:jc w:val="both"/>
              <w:rPr>
                <w:rFonts w:ascii="Verdana" w:eastAsia="Calibri" w:hAnsi="Verdana" w:cs="Arial"/>
                <w:b/>
                <w:bCs/>
                <w:lang w:eastAsia="es-ES_tradnl"/>
              </w:rPr>
            </w:pPr>
          </w:p>
        </w:tc>
        <w:tc>
          <w:tcPr>
            <w:tcW w:w="6100" w:type="dxa"/>
          </w:tcPr>
          <w:p w14:paraId="081233B4" w14:textId="77777777" w:rsidR="008C303F" w:rsidRPr="00960F72" w:rsidRDefault="008C303F" w:rsidP="00803536">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375</w:t>
            </w:r>
            <w:r w:rsidRPr="00960F72">
              <w:rPr>
                <w:rFonts w:ascii="Verdana" w:eastAsia="Calibri" w:hAnsi="Verdana" w:cs="Arial"/>
                <w:b/>
                <w:bCs/>
                <w:lang w:eastAsia="es-ES"/>
              </w:rPr>
              <w:t xml:space="preserve"> de 2025</w:t>
            </w:r>
          </w:p>
          <w:p w14:paraId="3D563285" w14:textId="77777777" w:rsidR="008C303F" w:rsidRPr="00960F72" w:rsidRDefault="008C303F" w:rsidP="00803536">
            <w:pPr>
              <w:jc w:val="both"/>
              <w:rPr>
                <w:rFonts w:ascii="Verdana" w:eastAsia="Calibri" w:hAnsi="Verdana" w:cs="Arial"/>
                <w:b/>
                <w:bCs/>
                <w:lang w:eastAsia="es-ES"/>
              </w:rPr>
            </w:pPr>
          </w:p>
        </w:tc>
      </w:tr>
      <w:tr w:rsidR="008C303F" w:rsidRPr="00960F72" w14:paraId="7BF44D35" w14:textId="77777777" w:rsidTr="00803536">
        <w:trPr>
          <w:trHeight w:val="884"/>
        </w:trPr>
        <w:tc>
          <w:tcPr>
            <w:tcW w:w="2689" w:type="dxa"/>
          </w:tcPr>
          <w:p w14:paraId="6A7CBA25" w14:textId="77777777" w:rsidR="008C303F" w:rsidRPr="00960F72" w:rsidRDefault="008C303F" w:rsidP="00803536">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4DFE0B49" w14:textId="77777777" w:rsidR="008C303F" w:rsidRPr="006C6B69" w:rsidRDefault="008C303F" w:rsidP="00803536">
            <w:pPr>
              <w:jc w:val="both"/>
              <w:rPr>
                <w:rFonts w:ascii="Verdana" w:eastAsia="Calibri" w:hAnsi="Verdana" w:cs="Arial"/>
                <w:lang w:val="es-ES" w:eastAsia="es-ES"/>
              </w:rPr>
            </w:pPr>
            <w:r w:rsidRPr="006C6B69">
              <w:rPr>
                <w:rFonts w:ascii="Verdana" w:eastAsia="Times New Roman" w:hAnsi="Verdana"/>
                <w:lang w:val="es-ES_tradnl" w:eastAsia="es-ES_tradnl"/>
              </w:rPr>
              <w:t xml:space="preserve">CONVENIOS INTERADMINISTRATIVOS </w:t>
            </w:r>
            <w:r w:rsidRPr="006C6B69">
              <w:rPr>
                <w:rFonts w:ascii="Verdana" w:eastAsia="Times New Roman" w:hAnsi="Verdana"/>
                <w:lang w:eastAsia="es-ES_tradnl"/>
              </w:rPr>
              <w:t>– Costos y gastos administrativos – Estampillas/</w:t>
            </w:r>
            <w:r w:rsidRPr="006C6B69">
              <w:rPr>
                <w:rFonts w:ascii="Verdana" w:eastAsia="Calibri" w:hAnsi="Verdana"/>
              </w:rPr>
              <w:t xml:space="preserve"> REQUISITO HABILITANTE DE EXPERIENCIA – Concepto/</w:t>
            </w:r>
            <w:r w:rsidRPr="006C6B69">
              <w:rPr>
                <w:rFonts w:ascii="Verdana" w:eastAsia="Century Gothic" w:hAnsi="Verdana" w:cs="Century Gothic"/>
              </w:rPr>
              <w:t xml:space="preserve"> REQUISITO HABILITANTE DE EXPERIENCIA – Forma de acreditación/</w:t>
            </w:r>
            <w:r w:rsidRPr="006C6B69">
              <w:rPr>
                <w:rFonts w:ascii="Verdana" w:eastAsia="Calibri" w:hAnsi="Verdana" w:cs="Arial"/>
                <w:lang w:val="es-ES" w:eastAsia="es-ES"/>
              </w:rPr>
              <w:t xml:space="preserve"> SUBSANABILIDAD – Aplicación – R</w:t>
            </w:r>
            <w:r w:rsidRPr="006C6B69">
              <w:rPr>
                <w:rFonts w:ascii="Verdana" w:eastAsia="Calibri" w:hAnsi="Verdana"/>
                <w:lang w:val="es-ES" w:eastAsia="es-ES"/>
              </w:rPr>
              <w:t>egla general</w:t>
            </w:r>
            <w:r w:rsidRPr="006C6B69">
              <w:rPr>
                <w:rFonts w:ascii="Verdana" w:eastAsia="Calibri" w:hAnsi="Verdana" w:cs="Arial"/>
                <w:lang w:val="es-ES" w:eastAsia="es-ES"/>
              </w:rPr>
              <w:t xml:space="preserve"> – Excepciones </w:t>
            </w:r>
          </w:p>
          <w:p w14:paraId="2603D44D" w14:textId="77777777" w:rsidR="008C303F" w:rsidRPr="00960F72" w:rsidRDefault="008C303F" w:rsidP="00803536">
            <w:pPr>
              <w:jc w:val="both"/>
              <w:rPr>
                <w:rFonts w:ascii="Verdana" w:eastAsia="Calibri" w:hAnsi="Verdana" w:cs="Arial"/>
                <w:lang w:eastAsia="es-ES"/>
              </w:rPr>
            </w:pPr>
          </w:p>
        </w:tc>
      </w:tr>
      <w:tr w:rsidR="008C303F" w:rsidRPr="00960F72" w14:paraId="70AD6A8C" w14:textId="77777777" w:rsidTr="00803536">
        <w:tc>
          <w:tcPr>
            <w:tcW w:w="2689" w:type="dxa"/>
          </w:tcPr>
          <w:p w14:paraId="6642F625" w14:textId="77777777" w:rsidR="008C303F" w:rsidRPr="00960F72" w:rsidRDefault="008C303F" w:rsidP="00803536">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31E9C814" w14:textId="77777777" w:rsidR="008C303F" w:rsidRPr="00960F72" w:rsidRDefault="008C303F" w:rsidP="00803536">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A518F4">
              <w:rPr>
                <w:rFonts w:ascii="Verdana" w:eastAsia="Calibri" w:hAnsi="Verdana" w:cs="Arial"/>
                <w:lang w:eastAsia="es-ES_tradnl"/>
              </w:rPr>
              <w:t>1_2025_09_24_010536</w:t>
            </w:r>
          </w:p>
        </w:tc>
      </w:tr>
    </w:tbl>
    <w:p w14:paraId="17BA5910" w14:textId="77777777" w:rsidR="008C303F" w:rsidRPr="00960F72" w:rsidRDefault="008C303F" w:rsidP="008C303F">
      <w:pPr>
        <w:spacing w:after="0" w:line="240" w:lineRule="auto"/>
        <w:jc w:val="both"/>
        <w:rPr>
          <w:rFonts w:ascii="Verdana" w:eastAsia="Calibri" w:hAnsi="Verdana" w:cs="Arial"/>
          <w:lang w:eastAsia="es-ES_tradnl"/>
        </w:rPr>
      </w:pPr>
    </w:p>
    <w:p w14:paraId="62F76BF7" w14:textId="77777777" w:rsidR="008C303F" w:rsidRPr="00960F72" w:rsidRDefault="008C303F" w:rsidP="008C303F">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o</w:t>
      </w:r>
      <w:r w:rsidRPr="00960F72">
        <w:rPr>
          <w:rFonts w:ascii="Verdana" w:eastAsia="Calibri" w:hAnsi="Verdana" w:cs="Arial"/>
          <w:lang w:eastAsia="es-ES"/>
        </w:rPr>
        <w:t xml:space="preserve"> señor</w:t>
      </w:r>
      <w:r>
        <w:rPr>
          <w:rFonts w:ascii="Verdana" w:eastAsia="Calibri" w:hAnsi="Verdana" w:cs="Arial"/>
          <w:lang w:eastAsia="es-ES"/>
        </w:rPr>
        <w:t xml:space="preserve"> Correa</w:t>
      </w:r>
      <w:r w:rsidRPr="00960F72">
        <w:rPr>
          <w:rFonts w:ascii="Verdana" w:eastAsia="Calibri" w:hAnsi="Verdana" w:cs="Arial"/>
          <w:lang w:eastAsia="es-ES"/>
        </w:rPr>
        <w:t xml:space="preserve">: </w:t>
      </w:r>
    </w:p>
    <w:p w14:paraId="48F5C290" w14:textId="77777777" w:rsidR="008C303F" w:rsidRPr="00960F72" w:rsidRDefault="008C303F" w:rsidP="008C303F">
      <w:pPr>
        <w:tabs>
          <w:tab w:val="left" w:pos="3768"/>
        </w:tabs>
        <w:spacing w:after="0" w:line="276" w:lineRule="auto"/>
        <w:jc w:val="both"/>
        <w:rPr>
          <w:rFonts w:ascii="Verdana" w:eastAsia="Calibri" w:hAnsi="Verdana" w:cs="Arial"/>
          <w:lang w:eastAsia="es-ES"/>
        </w:rPr>
      </w:pPr>
    </w:p>
    <w:p w14:paraId="1735F45E" w14:textId="77777777" w:rsidR="008C303F" w:rsidRPr="00960F72" w:rsidRDefault="008C303F" w:rsidP="008C303F">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24</w:t>
      </w:r>
      <w:r w:rsidRPr="00960F72">
        <w:rPr>
          <w:rFonts w:ascii="Verdana" w:eastAsia="Calibri" w:hAnsi="Verdana" w:cs="Arial"/>
          <w:lang w:eastAsia="es-ES"/>
        </w:rPr>
        <w:t xml:space="preserve"> de </w:t>
      </w:r>
      <w:r>
        <w:rPr>
          <w:rFonts w:ascii="Verdana" w:eastAsia="Calibri" w:hAnsi="Verdana" w:cs="Arial"/>
          <w:lang w:eastAsia="es-ES"/>
        </w:rPr>
        <w:t>septiembre</w:t>
      </w:r>
      <w:r w:rsidRPr="00960F72">
        <w:rPr>
          <w:rFonts w:ascii="Verdana" w:eastAsia="Calibri" w:hAnsi="Verdana" w:cs="Arial"/>
          <w:lang w:eastAsia="es-ES"/>
        </w:rPr>
        <w:t xml:space="preserve"> de 2025, en la cual manifiesta lo siguiente: </w:t>
      </w:r>
    </w:p>
    <w:p w14:paraId="0BEC7CC3" w14:textId="77777777" w:rsidR="008C303F" w:rsidRPr="00960F72" w:rsidRDefault="008C303F" w:rsidP="008C303F">
      <w:pPr>
        <w:spacing w:after="0" w:line="276" w:lineRule="auto"/>
        <w:jc w:val="both"/>
        <w:rPr>
          <w:rFonts w:ascii="Verdana" w:eastAsia="Calibri" w:hAnsi="Verdana" w:cs="Arial"/>
          <w:lang w:eastAsia="es-ES"/>
        </w:rPr>
      </w:pPr>
    </w:p>
    <w:p w14:paraId="0A7B0AAD" w14:textId="77777777" w:rsidR="008C303F" w:rsidRDefault="008C303F" w:rsidP="008C303F">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“S</w:t>
      </w:r>
      <w:r w:rsidRPr="00A518F4">
        <w:rPr>
          <w:rFonts w:ascii="Verdana" w:eastAsia="Calibri" w:hAnsi="Verdana" w:cs="Arial"/>
          <w:sz w:val="20"/>
          <w:szCs w:val="20"/>
          <w:lang w:eastAsia="es-ES"/>
        </w:rPr>
        <w:t xml:space="preserve">olicito amablemente me den su opinión y/o concepto jurídico sobre la viabilidad u obligación de que los fondos mixtos sean objeto de imposición de estampillas para los municipios que realicen convenios con estos fondos, ya sean recursos de regalías, propios, o de cualquier fuente de financiamiento. respetuosamente pido su opinión sobre la experiencia que no se pueda verificar por la entidad, ya sea por muy antigua o porque no aparece en las plataformas virtuales o porque simplemente no existe archivo histórico de estas experiencias, si esta experiencia es válida o no; en caso de que sea válida la experiencia, como se verifica la existencia de esta experiencia? respetuosamente solicito su opinión o concepto sobre las experiencias que se encuentran clasificadas en el </w:t>
      </w:r>
      <w:r>
        <w:rPr>
          <w:rFonts w:ascii="Verdana" w:eastAsia="Calibri" w:hAnsi="Verdana" w:cs="Arial"/>
          <w:sz w:val="20"/>
          <w:szCs w:val="20"/>
          <w:lang w:eastAsia="es-ES"/>
        </w:rPr>
        <w:t>RUP</w:t>
      </w:r>
      <w:r w:rsidRPr="00A518F4">
        <w:rPr>
          <w:rFonts w:ascii="Verdana" w:eastAsia="Calibri" w:hAnsi="Verdana" w:cs="Arial"/>
          <w:sz w:val="20"/>
          <w:szCs w:val="20"/>
          <w:lang w:eastAsia="es-ES"/>
        </w:rPr>
        <w:t xml:space="preserve"> en el segmento </w:t>
      </w:r>
      <w:r w:rsidRPr="00A518F4">
        <w:rPr>
          <w:rFonts w:ascii="Verdana" w:eastAsia="Calibri" w:hAnsi="Verdana" w:cs="Arial"/>
          <w:sz w:val="20"/>
          <w:szCs w:val="20"/>
          <w:lang w:eastAsia="es-ES"/>
        </w:rPr>
        <w:lastRenderedPageBreak/>
        <w:t>72, pero que al probarse que son contratos de consultoría o suministro, el oferente debe subsanar esta clasificación en su formato de experiencia?</w:t>
      </w:r>
      <w:r w:rsidRPr="002762D2">
        <w:rPr>
          <w:rFonts w:ascii="Verdana" w:eastAsia="Calibri" w:hAnsi="Verdana" w:cs="Arial"/>
          <w:sz w:val="20"/>
          <w:szCs w:val="20"/>
          <w:lang w:eastAsia="es-ES"/>
        </w:rPr>
        <w:t>.</w:t>
      </w:r>
      <w:r>
        <w:rPr>
          <w:rFonts w:ascii="Verdana" w:eastAsia="Calibri" w:hAnsi="Verdana" w:cs="Arial"/>
          <w:sz w:val="20"/>
          <w:szCs w:val="20"/>
          <w:lang w:eastAsia="es-ES"/>
        </w:rPr>
        <w:t>”</w:t>
      </w:r>
    </w:p>
    <w:p w14:paraId="2D554D6A" w14:textId="77777777" w:rsidR="008C303F" w:rsidRPr="00755387" w:rsidRDefault="008C303F" w:rsidP="008C303F">
      <w:pPr>
        <w:spacing w:after="0" w:line="276" w:lineRule="auto"/>
        <w:ind w:left="709" w:right="709"/>
        <w:jc w:val="both"/>
        <w:rPr>
          <w:rFonts w:ascii="Verdana" w:eastAsia="Calibri" w:hAnsi="Verdana" w:cs="Arial"/>
          <w:lang w:eastAsia="es-ES"/>
        </w:rPr>
      </w:pPr>
    </w:p>
    <w:p w14:paraId="3C87A8AF" w14:textId="77777777" w:rsidR="008C303F" w:rsidRPr="00960F72" w:rsidRDefault="008C303F" w:rsidP="008C303F">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3B5F1EDC" w14:textId="77777777" w:rsidR="008C303F" w:rsidRPr="00960F72" w:rsidRDefault="008C303F" w:rsidP="008C303F">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4B2FBD3B" w14:textId="77777777" w:rsidR="008C303F" w:rsidRPr="00960F72" w:rsidRDefault="008C303F" w:rsidP="008C303F">
      <w:pPr>
        <w:spacing w:after="0" w:line="276" w:lineRule="auto"/>
        <w:ind w:firstLine="709"/>
        <w:jc w:val="both"/>
        <w:rPr>
          <w:rFonts w:ascii="Verdana" w:eastAsia="Calibri" w:hAnsi="Verdana" w:cs="Arial"/>
          <w:lang w:eastAsia="es-ES"/>
        </w:rPr>
      </w:pPr>
    </w:p>
    <w:p w14:paraId="017B5C13" w14:textId="77777777" w:rsidR="008C303F" w:rsidRPr="00960F72" w:rsidRDefault="008C303F" w:rsidP="008C30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487FDFF" w14:textId="77777777" w:rsidR="008C303F" w:rsidRPr="00960F72" w:rsidRDefault="008C303F" w:rsidP="008C303F">
      <w:pPr>
        <w:tabs>
          <w:tab w:val="left" w:pos="426"/>
        </w:tabs>
        <w:spacing w:after="0" w:line="276" w:lineRule="auto"/>
        <w:jc w:val="both"/>
        <w:rPr>
          <w:rFonts w:ascii="Verdana" w:eastAsia="Century Gothic" w:hAnsi="Verdana" w:cs="Century Gothic"/>
        </w:rPr>
      </w:pPr>
    </w:p>
    <w:p w14:paraId="20280937" w14:textId="536365CE" w:rsidR="008C303F" w:rsidRDefault="008C303F" w:rsidP="008C303F">
      <w:pPr>
        <w:spacing w:after="0" w:line="276" w:lineRule="auto"/>
        <w:jc w:val="both"/>
        <w:rPr>
          <w:rFonts w:ascii="Verdana" w:eastAsia="Century Gothic" w:hAnsi="Verdana" w:cs="Century Gothic"/>
        </w:rPr>
      </w:pPr>
      <w:r w:rsidRPr="334010F9">
        <w:rPr>
          <w:rFonts w:ascii="Verdana" w:eastAsia="Century Gothic" w:hAnsi="Verdana" w:cs="Century Gothic"/>
        </w:rPr>
        <w:t xml:space="preserve">De acuerdo con el contenido de su solicitud, esta Agencia resolverá el siguiente problema jurídico (i) ¿Están los Fondos Mixtos sujetos a la imposición de estampillas territoriales cuando los municipios suscriben convenios con </w:t>
      </w:r>
      <w:r w:rsidR="43970E9F" w:rsidRPr="334010F9">
        <w:rPr>
          <w:rFonts w:ascii="Verdana" w:eastAsia="Century Gothic" w:hAnsi="Verdana" w:cs="Century Gothic"/>
        </w:rPr>
        <w:t>estos</w:t>
      </w:r>
      <w:r w:rsidRPr="334010F9">
        <w:rPr>
          <w:rFonts w:ascii="Verdana" w:eastAsia="Century Gothic" w:hAnsi="Verdana" w:cs="Century Gothic"/>
        </w:rPr>
        <w:t>, sin importar s</w:t>
      </w:r>
      <w:r w:rsidR="477C2E4B" w:rsidRPr="334010F9">
        <w:rPr>
          <w:rFonts w:ascii="Verdana" w:eastAsia="Century Gothic" w:hAnsi="Verdana" w:cs="Century Gothic"/>
        </w:rPr>
        <w:t>í</w:t>
      </w:r>
      <w:r w:rsidRPr="334010F9">
        <w:rPr>
          <w:rFonts w:ascii="Verdana" w:eastAsia="Century Gothic" w:hAnsi="Verdana" w:cs="Century Gothic"/>
        </w:rPr>
        <w:t xml:space="preserve"> los recursos provienen de regalías, fuentes propias u </w:t>
      </w:r>
      <w:proofErr w:type="gramStart"/>
      <w:r w:rsidRPr="334010F9">
        <w:rPr>
          <w:rFonts w:ascii="Verdana" w:eastAsia="Century Gothic" w:hAnsi="Verdana" w:cs="Century Gothic"/>
        </w:rPr>
        <w:t>otras?.</w:t>
      </w:r>
      <w:proofErr w:type="gramEnd"/>
    </w:p>
    <w:p w14:paraId="3AF63F73" w14:textId="77777777" w:rsidR="008C303F" w:rsidRPr="00926871" w:rsidRDefault="008C303F" w:rsidP="008C303F">
      <w:pPr>
        <w:spacing w:after="0" w:line="276" w:lineRule="auto"/>
        <w:jc w:val="both"/>
        <w:rPr>
          <w:rFonts w:ascii="Verdana" w:eastAsia="Century Gothic" w:hAnsi="Verdana" w:cs="Century Gothic"/>
        </w:rPr>
      </w:pPr>
      <w:r w:rsidRPr="00926871">
        <w:rPr>
          <w:rFonts w:ascii="Verdana" w:eastAsia="Century Gothic" w:hAnsi="Verdana" w:cs="Century Gothic"/>
        </w:rPr>
        <w:t>(</w:t>
      </w:r>
      <w:proofErr w:type="spellStart"/>
      <w:r w:rsidRPr="00926871">
        <w:rPr>
          <w:rFonts w:ascii="Verdana" w:eastAsia="Century Gothic" w:hAnsi="Verdana" w:cs="Century Gothic"/>
        </w:rPr>
        <w:t>ii</w:t>
      </w:r>
      <w:proofErr w:type="spellEnd"/>
      <w:r w:rsidRPr="00926871">
        <w:rPr>
          <w:rFonts w:ascii="Verdana" w:eastAsia="Century Gothic" w:hAnsi="Verdana" w:cs="Century Gothic"/>
        </w:rPr>
        <w:t>) ¿Puede considerarse válida la experiencia contractual que no puede verificarse por falta de soportes o registros (por antigüedad o ausencia de archivo), y en tal caso, qué medios son jurídicamente idóneos para acreditar su existencia</w:t>
      </w:r>
      <w:r>
        <w:rPr>
          <w:rFonts w:ascii="Verdana" w:eastAsia="Century Gothic" w:hAnsi="Verdana" w:cs="Century Gothic"/>
        </w:rPr>
        <w:t>?</w:t>
      </w:r>
    </w:p>
    <w:p w14:paraId="13ECE8A9" w14:textId="77777777" w:rsidR="008C303F" w:rsidRDefault="008C303F" w:rsidP="008C303F">
      <w:pPr>
        <w:spacing w:after="0" w:line="276" w:lineRule="auto"/>
        <w:jc w:val="both"/>
        <w:rPr>
          <w:rFonts w:ascii="Verdana" w:eastAsia="Century Gothic" w:hAnsi="Verdana" w:cs="Century Gothic"/>
        </w:rPr>
      </w:pPr>
      <w:r w:rsidRPr="00926871">
        <w:rPr>
          <w:rFonts w:ascii="Verdana" w:eastAsia="Century Gothic" w:hAnsi="Verdana" w:cs="Century Gothic"/>
        </w:rPr>
        <w:t>(</w:t>
      </w:r>
      <w:proofErr w:type="spellStart"/>
      <w:r w:rsidRPr="00926871">
        <w:rPr>
          <w:rFonts w:ascii="Verdana" w:eastAsia="Century Gothic" w:hAnsi="Verdana" w:cs="Century Gothic"/>
        </w:rPr>
        <w:t>iii</w:t>
      </w:r>
      <w:proofErr w:type="spellEnd"/>
      <w:r w:rsidRPr="00926871">
        <w:rPr>
          <w:rFonts w:ascii="Verdana" w:eastAsia="Century Gothic" w:hAnsi="Verdana" w:cs="Century Gothic"/>
        </w:rPr>
        <w:t>)</w:t>
      </w:r>
      <w:r w:rsidRPr="00926871">
        <w:t xml:space="preserve"> </w:t>
      </w:r>
      <w:r w:rsidRPr="00926871">
        <w:rPr>
          <w:rFonts w:ascii="Verdana" w:eastAsia="Century Gothic" w:hAnsi="Verdana" w:cs="Century Gothic"/>
        </w:rPr>
        <w:t xml:space="preserve">Si una experiencia registrada en el RUP </w:t>
      </w:r>
      <w:r>
        <w:rPr>
          <w:rFonts w:ascii="Verdana" w:eastAsia="Century Gothic" w:hAnsi="Verdana" w:cs="Century Gothic"/>
        </w:rPr>
        <w:t>bajo un segmento corresponde a uno diferente</w:t>
      </w:r>
      <w:r w:rsidRPr="00926871">
        <w:rPr>
          <w:rFonts w:ascii="Verdana" w:eastAsia="Century Gothic" w:hAnsi="Verdana" w:cs="Century Gothic"/>
        </w:rPr>
        <w:t>, ¿puede el oferente subsanar la clasificación o debe la entidad rechazar la experiencia por inconsistencia?</w:t>
      </w:r>
    </w:p>
    <w:p w14:paraId="02A6529F" w14:textId="77777777" w:rsidR="008C303F" w:rsidRDefault="008C303F" w:rsidP="008C303F">
      <w:pPr>
        <w:spacing w:after="0" w:line="276" w:lineRule="auto"/>
        <w:jc w:val="both"/>
        <w:rPr>
          <w:rFonts w:ascii="Verdana" w:eastAsia="Century Gothic" w:hAnsi="Verdana" w:cs="Century Gothic"/>
        </w:rPr>
      </w:pPr>
    </w:p>
    <w:p w14:paraId="41BC4C38" w14:textId="77777777" w:rsidR="008C303F" w:rsidRPr="00926871" w:rsidRDefault="008C303F" w:rsidP="008C303F">
      <w:pPr>
        <w:spacing w:after="0" w:line="276" w:lineRule="auto"/>
        <w:jc w:val="both"/>
        <w:rPr>
          <w:rFonts w:ascii="Verdana" w:eastAsia="Century Gothic" w:hAnsi="Verdana" w:cs="Century Gothic"/>
        </w:rPr>
      </w:pPr>
    </w:p>
    <w:p w14:paraId="6FC4CB7F" w14:textId="77777777" w:rsidR="008C303F" w:rsidRPr="00960F72" w:rsidRDefault="008C303F" w:rsidP="008C303F">
      <w:pPr>
        <w:spacing w:after="0" w:line="276" w:lineRule="auto"/>
        <w:jc w:val="both"/>
        <w:rPr>
          <w:rFonts w:ascii="Verdana" w:eastAsia="Century Gothic" w:hAnsi="Verdana" w:cs="Century Gothic"/>
        </w:rPr>
      </w:pPr>
    </w:p>
    <w:p w14:paraId="6BBFBF18" w14:textId="77777777" w:rsidR="008C303F" w:rsidRPr="00960F72" w:rsidRDefault="008C303F" w:rsidP="008C30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3612F494" w14:textId="77777777" w:rsidR="008C303F" w:rsidRPr="00960F72" w:rsidRDefault="008C303F" w:rsidP="008C303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303F" w:rsidRPr="00960F72" w14:paraId="7ED87BA0" w14:textId="77777777" w:rsidTr="334010F9">
        <w:tc>
          <w:tcPr>
            <w:tcW w:w="8828" w:type="dxa"/>
          </w:tcPr>
          <w:p w14:paraId="1ED2D269" w14:textId="39D14DAA" w:rsidR="00535D0C" w:rsidRDefault="00535D0C" w:rsidP="00803536">
            <w:pPr>
              <w:spacing w:line="276" w:lineRule="auto"/>
              <w:ind w:firstLine="709"/>
              <w:jc w:val="both"/>
              <w:rPr>
                <w:rFonts w:ascii="Verdana" w:eastAsia="Calibri" w:hAnsi="Verdana" w:cs="Arial"/>
              </w:rPr>
            </w:pPr>
            <w:r>
              <w:rPr>
                <w:rFonts w:ascii="Verdana" w:eastAsia="Century Gothic" w:hAnsi="Verdana" w:cs="Century Gothic"/>
              </w:rPr>
              <w:t xml:space="preserve">(i) Frente al primer problema jurídico planteado, se debe indicar que, </w:t>
            </w:r>
            <w:r w:rsidRPr="334010F9">
              <w:rPr>
                <w:rFonts w:ascii="Verdana" w:eastAsia="Times New Roman" w:hAnsi="Verdana" w:cs="Arial"/>
                <w:lang w:eastAsia="es-ES"/>
              </w:rPr>
              <w:t xml:space="preserve">en lo que respecta al descuento por concepto de estampillas en los contratos y convenios, su inclusión dependerá de las condiciones establecidas por la Ley para estos tributos. En efecto, </w:t>
            </w:r>
            <w:r w:rsidRPr="002C675F">
              <w:rPr>
                <w:rFonts w:ascii="Verdana" w:eastAsia="Calibri" w:hAnsi="Verdana" w:cs="Arial"/>
              </w:rPr>
              <w:t>la incorporación en nuestro ordenamiento jurídico de las denominadas “estampillas” tan sólo puede darse por disposición legal o por disposición expresa de ordenanzas departamentales o acuerdos distritales o municipales, en las que se debe indicar a detalle las condiciones de su emisión o pago o adherencia, y si dicha estampilla, se concibe como una tasa parafiscal</w:t>
            </w:r>
            <w:r w:rsidR="00033A6E">
              <w:rPr>
                <w:rStyle w:val="Refdenotaalpie"/>
                <w:rFonts w:ascii="Verdana" w:eastAsia="Calibri" w:hAnsi="Verdana" w:cs="Arial"/>
              </w:rPr>
              <w:footnoteReference w:id="1"/>
            </w:r>
            <w:r w:rsidRPr="002C675F">
              <w:rPr>
                <w:rFonts w:ascii="Verdana" w:eastAsia="Calibri" w:hAnsi="Verdana" w:cs="Arial"/>
              </w:rPr>
              <w:t>, o como impuesto con destinación específica</w:t>
            </w:r>
            <w:r w:rsidR="00033A6E">
              <w:rPr>
                <w:rStyle w:val="Refdenotaalpie"/>
                <w:rFonts w:ascii="Verdana" w:eastAsia="Calibri" w:hAnsi="Verdana" w:cs="Arial"/>
              </w:rPr>
              <w:footnoteReference w:id="2"/>
            </w:r>
            <w:r w:rsidRPr="002C675F">
              <w:rPr>
                <w:rFonts w:ascii="Verdana" w:eastAsia="Calibri" w:hAnsi="Verdana" w:cs="Arial"/>
              </w:rPr>
              <w:t xml:space="preserve">. </w:t>
            </w:r>
          </w:p>
          <w:p w14:paraId="3E2864A9" w14:textId="77777777" w:rsidR="00535D0C" w:rsidRDefault="00535D0C" w:rsidP="00803536">
            <w:pPr>
              <w:spacing w:line="276" w:lineRule="auto"/>
              <w:ind w:firstLine="709"/>
              <w:jc w:val="both"/>
              <w:rPr>
                <w:rFonts w:ascii="Verdana" w:eastAsia="Calibri" w:hAnsi="Verdana" w:cs="Arial"/>
              </w:rPr>
            </w:pPr>
          </w:p>
          <w:p w14:paraId="103DAB29" w14:textId="48F84A93" w:rsidR="008C303F" w:rsidRDefault="002C18C2" w:rsidP="00803536">
            <w:pPr>
              <w:spacing w:line="276" w:lineRule="auto"/>
              <w:ind w:firstLine="709"/>
              <w:jc w:val="both"/>
              <w:rPr>
                <w:rFonts w:ascii="Verdana" w:eastAsia="Calibri" w:hAnsi="Verdana" w:cs="Arial"/>
              </w:rPr>
            </w:pPr>
            <w:r>
              <w:rPr>
                <w:rFonts w:ascii="Verdana" w:eastAsia="Calibri" w:hAnsi="Verdana" w:cs="Arial"/>
              </w:rPr>
              <w:t xml:space="preserve">Ahora bien, las </w:t>
            </w:r>
            <w:r w:rsidR="008C303F" w:rsidRPr="334010F9">
              <w:rPr>
                <w:rFonts w:ascii="Verdana" w:eastAsia="Calibri" w:hAnsi="Verdana" w:cs="Arial"/>
              </w:rPr>
              <w:t>estampillas existen por disposición de las corporaciones públicas territoriales, en ejercicio de su potestad normativa prevista en los artículos 287, 300 y 313 de la Constitución Política, y siempre dentro del marco de la ley que autoriza su creación y regula los límites de la potestad tributaria territorial.</w:t>
            </w:r>
          </w:p>
          <w:p w14:paraId="28DBEBC2" w14:textId="77777777" w:rsidR="008C303F" w:rsidRPr="002061F3" w:rsidRDefault="008C303F" w:rsidP="00803536">
            <w:pPr>
              <w:spacing w:line="276" w:lineRule="auto"/>
              <w:ind w:firstLine="709"/>
              <w:jc w:val="both"/>
              <w:rPr>
                <w:rFonts w:ascii="Verdana" w:eastAsia="Calibri" w:hAnsi="Verdana" w:cs="Arial"/>
              </w:rPr>
            </w:pPr>
          </w:p>
          <w:p w14:paraId="17F03D3B" w14:textId="77777777" w:rsidR="008C303F" w:rsidRDefault="008C303F" w:rsidP="00803536">
            <w:pPr>
              <w:spacing w:line="276" w:lineRule="auto"/>
              <w:ind w:firstLine="709"/>
              <w:jc w:val="both"/>
              <w:rPr>
                <w:rFonts w:ascii="Verdana" w:eastAsia="Calibri" w:hAnsi="Verdana" w:cs="Arial"/>
              </w:rPr>
            </w:pPr>
            <w:r w:rsidRPr="002061F3">
              <w:rPr>
                <w:rFonts w:ascii="Verdana" w:eastAsia="Calibri" w:hAnsi="Verdana" w:cs="Arial"/>
              </w:rPr>
              <w:t>Esta potestad se conoce como tributaria derivada, en tanto las entidades territoriales solo pueden crear tributos</w:t>
            </w:r>
            <w:r>
              <w:rPr>
                <w:rFonts w:ascii="Verdana" w:eastAsia="Calibri" w:hAnsi="Verdana" w:cs="Arial"/>
              </w:rPr>
              <w:t xml:space="preserve">, </w:t>
            </w:r>
            <w:r w:rsidRPr="002061F3">
              <w:rPr>
                <w:rFonts w:ascii="Verdana" w:eastAsia="Calibri" w:hAnsi="Verdana" w:cs="Arial"/>
              </w:rPr>
              <w:t>entre ellos las estampillas</w:t>
            </w:r>
            <w:r>
              <w:rPr>
                <w:rFonts w:ascii="Verdana" w:eastAsia="Calibri" w:hAnsi="Verdana" w:cs="Arial"/>
              </w:rPr>
              <w:t xml:space="preserve">, </w:t>
            </w:r>
            <w:r w:rsidRPr="002061F3">
              <w:rPr>
                <w:rFonts w:ascii="Verdana" w:eastAsia="Calibri" w:hAnsi="Verdana" w:cs="Arial"/>
              </w:rPr>
              <w:t xml:space="preserve">cuando una </w:t>
            </w:r>
            <w:r w:rsidRPr="002061F3">
              <w:rPr>
                <w:rFonts w:ascii="Verdana" w:eastAsia="Calibri" w:hAnsi="Verdana" w:cs="Arial"/>
              </w:rPr>
              <w:lastRenderedPageBreak/>
              <w:t>ley nacional les otorga expresamente esa facultad. En virtud de ello, las asambleas departamentales y los concejos municipales o distritales pueden desarrollar la ley mediante ordenanzas o acuerdos que determinen el hecho generador, la base gravable, la tarifa, los sujetos pasivos y los mecanismos de recaudo.</w:t>
            </w:r>
          </w:p>
          <w:p w14:paraId="7669CC68" w14:textId="77777777" w:rsidR="008C303F" w:rsidRPr="002061F3" w:rsidRDefault="008C303F" w:rsidP="00803536">
            <w:pPr>
              <w:spacing w:line="276" w:lineRule="auto"/>
              <w:jc w:val="both"/>
              <w:rPr>
                <w:rFonts w:ascii="Verdana" w:eastAsia="Calibri" w:hAnsi="Verdana" w:cs="Arial"/>
              </w:rPr>
            </w:pPr>
          </w:p>
          <w:p w14:paraId="53D3B907" w14:textId="77777777" w:rsidR="008C303F" w:rsidRDefault="008C303F" w:rsidP="00803536">
            <w:pPr>
              <w:spacing w:line="276" w:lineRule="auto"/>
              <w:ind w:firstLine="709"/>
              <w:jc w:val="both"/>
              <w:rPr>
                <w:rFonts w:ascii="Verdana" w:eastAsia="Calibri" w:hAnsi="Verdana" w:cs="Arial"/>
              </w:rPr>
            </w:pPr>
            <w:r w:rsidRPr="002061F3">
              <w:rPr>
                <w:rFonts w:ascii="Verdana" w:eastAsia="Calibri" w:hAnsi="Verdana" w:cs="Arial"/>
              </w:rPr>
              <w:t>Por consiguiente, las estampillas son tributos de carácter departamental o municipal y su exigibilidad frente a los convenios o contratos suscritos con Fondos Mixtos dependerá de lo que dispongan dichas ordenanzas o acuerdos, particularmente en lo relativo al hecho generador, los sujetos pasivos y las condiciones de aplicación.</w:t>
            </w:r>
          </w:p>
          <w:p w14:paraId="7C6E1622" w14:textId="77777777" w:rsidR="008C303F" w:rsidRPr="002061F3" w:rsidRDefault="008C303F" w:rsidP="00803536">
            <w:pPr>
              <w:spacing w:line="276" w:lineRule="auto"/>
              <w:ind w:firstLine="709"/>
              <w:jc w:val="both"/>
              <w:rPr>
                <w:rFonts w:ascii="Verdana" w:eastAsia="Calibri" w:hAnsi="Verdana" w:cs="Arial"/>
              </w:rPr>
            </w:pPr>
          </w:p>
          <w:p w14:paraId="26541954" w14:textId="7851B91F" w:rsidR="008C303F" w:rsidRDefault="008C303F" w:rsidP="00803536">
            <w:pPr>
              <w:spacing w:line="276" w:lineRule="auto"/>
              <w:ind w:firstLine="709"/>
              <w:jc w:val="both"/>
              <w:rPr>
                <w:rFonts w:ascii="Verdana" w:eastAsia="Calibri" w:hAnsi="Verdana" w:cs="Arial"/>
              </w:rPr>
            </w:pPr>
            <w:r w:rsidRPr="334010F9">
              <w:rPr>
                <w:rFonts w:ascii="Verdana" w:eastAsia="Calibri" w:hAnsi="Verdana" w:cs="Arial"/>
              </w:rPr>
              <w:t xml:space="preserve">En consecuencia, no existe una obligación general o automática de imponer estampillas en los convenios interadministrativos celebrados con Fondos Mixtos. Solo procederá su </w:t>
            </w:r>
            <w:r w:rsidR="5BCD1779" w:rsidRPr="334010F9">
              <w:rPr>
                <w:rFonts w:ascii="Verdana" w:eastAsia="Calibri" w:hAnsi="Verdana" w:cs="Arial"/>
              </w:rPr>
              <w:t>exigencia</w:t>
            </w:r>
            <w:r w:rsidRPr="334010F9">
              <w:rPr>
                <w:rFonts w:ascii="Verdana" w:eastAsia="Calibri" w:hAnsi="Verdana" w:cs="Arial"/>
              </w:rPr>
              <w:t xml:space="preserve"> cuando la norma territorial respectiva (ordenanza o acuerdo) incluya expresamente dichos convenios o contratos dentro del hecho generador del tributo.</w:t>
            </w:r>
          </w:p>
          <w:p w14:paraId="035C727A" w14:textId="77777777" w:rsidR="008C303F" w:rsidRPr="002061F3" w:rsidRDefault="008C303F" w:rsidP="00803536">
            <w:pPr>
              <w:spacing w:line="276" w:lineRule="auto"/>
              <w:ind w:firstLine="709"/>
              <w:jc w:val="both"/>
              <w:rPr>
                <w:rFonts w:ascii="Verdana" w:eastAsia="Calibri" w:hAnsi="Verdana" w:cs="Arial"/>
              </w:rPr>
            </w:pPr>
          </w:p>
          <w:p w14:paraId="0CA06653" w14:textId="654BC763" w:rsidR="008C303F" w:rsidRPr="002061F3" w:rsidRDefault="008C303F" w:rsidP="00803536">
            <w:pPr>
              <w:spacing w:line="276" w:lineRule="auto"/>
              <w:ind w:firstLine="709"/>
              <w:jc w:val="both"/>
              <w:rPr>
                <w:rFonts w:ascii="Verdana" w:eastAsia="Calibri" w:hAnsi="Verdana" w:cs="Arial"/>
              </w:rPr>
            </w:pPr>
            <w:r w:rsidRPr="334010F9">
              <w:rPr>
                <w:rFonts w:ascii="Verdana" w:eastAsia="Calibri" w:hAnsi="Verdana" w:cs="Arial"/>
              </w:rPr>
              <w:t xml:space="preserve">Por tanto, la procedencia del descuento por concepto de estampillas debe verificarse </w:t>
            </w:r>
            <w:r w:rsidR="7E4288C2" w:rsidRPr="334010F9">
              <w:rPr>
                <w:rFonts w:ascii="Verdana" w:eastAsia="Calibri" w:hAnsi="Verdana" w:cs="Arial"/>
              </w:rPr>
              <w:t xml:space="preserve">segun cada </w:t>
            </w:r>
            <w:proofErr w:type="gramStart"/>
            <w:r w:rsidRPr="334010F9">
              <w:rPr>
                <w:rFonts w:ascii="Verdana" w:eastAsia="Calibri" w:hAnsi="Verdana" w:cs="Arial"/>
              </w:rPr>
              <w:t>caso  conforme</w:t>
            </w:r>
            <w:proofErr w:type="gramEnd"/>
            <w:r w:rsidRPr="334010F9">
              <w:rPr>
                <w:rFonts w:ascii="Verdana" w:eastAsia="Calibri" w:hAnsi="Verdana" w:cs="Arial"/>
              </w:rPr>
              <w:t xml:space="preserve"> al texto de la ordenanza o acuerdo local aplicable y a la ley correspondiente.</w:t>
            </w:r>
          </w:p>
          <w:p w14:paraId="008233E1" w14:textId="77777777" w:rsidR="008C303F" w:rsidRPr="002061F3" w:rsidRDefault="008C303F" w:rsidP="00803536">
            <w:pPr>
              <w:spacing w:line="276" w:lineRule="auto"/>
              <w:ind w:firstLine="709"/>
              <w:jc w:val="both"/>
              <w:rPr>
                <w:rFonts w:ascii="Verdana" w:eastAsia="Calibri" w:hAnsi="Verdana" w:cs="Arial"/>
              </w:rPr>
            </w:pPr>
          </w:p>
          <w:p w14:paraId="1E0CFB48" w14:textId="77777777" w:rsidR="008C303F" w:rsidRPr="00017B69" w:rsidRDefault="008C303F" w:rsidP="00803536">
            <w:pPr>
              <w:spacing w:after="120" w:line="276" w:lineRule="auto"/>
              <w:jc w:val="both"/>
              <w:rPr>
                <w:rFonts w:ascii="Verdana" w:eastAsia="Calibri" w:hAnsi="Verdana" w:cs="Arial"/>
                <w:color w:val="000000" w:themeColor="text1"/>
              </w:rPr>
            </w:pPr>
            <w:r>
              <w:rPr>
                <w:rFonts w:ascii="Verdana" w:eastAsia="Calibri" w:hAnsi="Verdana" w:cs="Arial"/>
              </w:rPr>
              <w:t xml:space="preserve">         (</w:t>
            </w:r>
            <w:proofErr w:type="spellStart"/>
            <w:r w:rsidRPr="002061F3">
              <w:rPr>
                <w:rFonts w:ascii="Verdana" w:eastAsia="Calibri" w:hAnsi="Verdana" w:cs="Arial"/>
              </w:rPr>
              <w:t>ii</w:t>
            </w:r>
            <w:proofErr w:type="spellEnd"/>
            <w:r w:rsidRPr="002061F3">
              <w:rPr>
                <w:rFonts w:ascii="Verdana" w:eastAsia="Calibri" w:hAnsi="Verdana" w:cs="Arial"/>
              </w:rPr>
              <w:t>)</w:t>
            </w:r>
            <w:r>
              <w:rPr>
                <w:rFonts w:ascii="Verdana" w:eastAsia="Calibri" w:hAnsi="Verdana" w:cs="Arial"/>
              </w:rPr>
              <w:t xml:space="preserve"> </w:t>
            </w:r>
            <w:r w:rsidRPr="002061F3">
              <w:rPr>
                <w:rFonts w:ascii="Verdana" w:eastAsia="Calibri" w:hAnsi="Verdana" w:cs="Arial"/>
              </w:rPr>
              <w:t xml:space="preserve">Sobre el segundo problema jurídico planteado, debe indicarse que </w:t>
            </w:r>
            <w:r>
              <w:rPr>
                <w:rFonts w:ascii="Verdana" w:eastAsia="Calibri" w:hAnsi="Verdana" w:cs="Arial"/>
              </w:rPr>
              <w:t>d</w:t>
            </w:r>
            <w:r w:rsidRPr="00017B69">
              <w:rPr>
                <w:rFonts w:ascii="Verdana" w:eastAsia="Calibri" w:hAnsi="Verdana" w:cs="Arial"/>
                <w:color w:val="000000" w:themeColor="text1"/>
              </w:rPr>
              <w:t>e acuerdo con lo previsto en el numeral 1 del artículo 5 y en el artículo 6 de la Ley 1150 de 2007, la experiencia constituye uno de los requisitos habilitantes que acreditan la idoneidad del proponente para participar en un proceso de contratación estatal. Dicha experiencia se acredita, por regla general, mediante el Registro Único de Proponentes –RUP–, el cual constituye plena prueba de las circunstancias que en él se consignen y que hayan sido verificadas por las Cámaras de Comercio.</w:t>
            </w:r>
          </w:p>
          <w:p w14:paraId="7310CA01" w14:textId="77777777" w:rsidR="008C303F" w:rsidRPr="00017B69" w:rsidRDefault="008C303F" w:rsidP="00803536">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 xml:space="preserve">En consecuencia, cuando el RUP es exigible, las entidades estatales deben verificar la experiencia y demás condiciones habilitantes exclusivamente a través de dicho certificado, sin que puedan requerir documentos adicionales destinados a soportar la información que ya fue verificada en el Registro. Únicamente de manera excepcional —cuando las características del objeto contractual lo exijan— la entidad podrá verificar de </w:t>
            </w:r>
            <w:r w:rsidRPr="00017B69">
              <w:rPr>
                <w:rFonts w:ascii="Verdana" w:eastAsia="Calibri" w:hAnsi="Verdana" w:cs="Arial"/>
                <w:color w:val="000000" w:themeColor="text1"/>
              </w:rPr>
              <w:lastRenderedPageBreak/>
              <w:t>forma directa requisitos o condiciones adicionales a las contenidas en el RUP, conforme lo permite el inciso final del artículo 6 de la citada ley.</w:t>
            </w:r>
          </w:p>
          <w:p w14:paraId="66226D54" w14:textId="77777777" w:rsidR="008C303F" w:rsidRPr="00017B69" w:rsidRDefault="008C303F" w:rsidP="00803536">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No obstante, el RUP no es exigible en todos los procedimientos de selección. En los casos exceptuados por la ley —como la contratación directa, los contratos de mínima cuantía o aquellos relacionados con actividades comerciales o industriales de las empresas estatales, entre otros—, las entidades deben verificar directamente las condiciones de experiencia, capacidad financiera y de organización del proponente. En estos eventos, resulta procedente acudir a otros medios de prueba idóneos, adecuados y proporcionales, que permitan garantizar los principios de selección objetiva, transparencia y libre concurrencia.</w:t>
            </w:r>
          </w:p>
          <w:p w14:paraId="51C91365" w14:textId="77777777" w:rsidR="008C303F" w:rsidRPr="00017B69" w:rsidRDefault="008C303F" w:rsidP="00803536">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El Decreto 1082 de 2015, en su artículo 2.2.1.1.1.5.2, dispone que la experiencia puede acreditarse mediante certificados expedidos por terceros que hayan recibido los bienes, obras o servicios, o, en su defecto, copias de los contratos ejecutados cuando el interesado no pueda obtener tales certificados. En ambos casos, es necesario identificar los bienes, obras o servicios conforme al Clasificador de Bienes y Servicios, lo que otorga certeza sobre la correspondencia entre la experiencia acreditada y el objeto contractual.</w:t>
            </w:r>
          </w:p>
          <w:p w14:paraId="29F9E867" w14:textId="77777777" w:rsidR="008C303F" w:rsidRPr="00017B69" w:rsidRDefault="008C303F" w:rsidP="00803536">
            <w:pPr>
              <w:spacing w:after="120" w:line="276" w:lineRule="auto"/>
              <w:ind w:firstLine="708"/>
              <w:jc w:val="both"/>
              <w:rPr>
                <w:rFonts w:ascii="Verdana" w:eastAsia="Calibri" w:hAnsi="Verdana" w:cs="Arial"/>
                <w:color w:val="000000" w:themeColor="text1"/>
              </w:rPr>
            </w:pPr>
            <w:r w:rsidRPr="00017B69">
              <w:rPr>
                <w:rFonts w:ascii="Verdana" w:eastAsia="Calibri" w:hAnsi="Verdana" w:cs="Arial"/>
                <w:color w:val="000000" w:themeColor="text1"/>
              </w:rPr>
              <w:t xml:space="preserve">En ese contexto, cuando el contratante privado no </w:t>
            </w:r>
            <w:r>
              <w:rPr>
                <w:rFonts w:ascii="Verdana" w:eastAsia="Calibri" w:hAnsi="Verdana" w:cs="Arial"/>
                <w:color w:val="000000" w:themeColor="text1"/>
              </w:rPr>
              <w:t>cuente con</w:t>
            </w:r>
            <w:r w:rsidRPr="00017B69">
              <w:rPr>
                <w:rFonts w:ascii="Verdana" w:eastAsia="Calibri" w:hAnsi="Verdana" w:cs="Arial"/>
                <w:color w:val="000000" w:themeColor="text1"/>
              </w:rPr>
              <w:t xml:space="preserve"> el certificado correspondiente, se sugiere a la persona interesada ejercer el derecho de petición, previsto en el artículo 23 de la Constitución Política y regulado por la Ley 1755 de 2015, con el fin de solicitar formalmente la expedición del documento que acredite la experiencia. Mediante este mecanismo, el interesado puede requerir la certificación de aspectos esenciales del vínculo contractual —como el objeto, la ejecución, el cumplimiento y el periodo de prestación del servicio—, de manera que cuente con un soporte probatorio formal e idóneo para futuras acreditaciones ante entidades estatales o Cámaras de Comercio.</w:t>
            </w:r>
          </w:p>
          <w:p w14:paraId="735581AB" w14:textId="77777777" w:rsidR="008C303F" w:rsidRPr="002061F3" w:rsidRDefault="008C303F" w:rsidP="00803536">
            <w:pPr>
              <w:spacing w:line="276" w:lineRule="auto"/>
              <w:ind w:firstLine="709"/>
              <w:jc w:val="both"/>
              <w:rPr>
                <w:rFonts w:ascii="Verdana" w:eastAsia="Calibri" w:hAnsi="Verdana" w:cs="Arial"/>
              </w:rPr>
            </w:pPr>
            <w:r w:rsidRPr="00017B69">
              <w:rPr>
                <w:rFonts w:ascii="Verdana" w:eastAsia="Calibri" w:hAnsi="Verdana" w:cs="Arial"/>
                <w:color w:val="000000" w:themeColor="text1"/>
              </w:rPr>
              <w:t xml:space="preserve">Por lo tanto, cuando el interesado cuente con facturas, comprobantes de pago u otros documentos que evidencien la ejecución del servicio, estos podrían ser valorados por la entidad estatal en los procesos de selección en los que no sea exigible el RUP, siempre que sean suficientes para demostrar </w:t>
            </w:r>
            <w:r w:rsidRPr="00017B69">
              <w:rPr>
                <w:rFonts w:ascii="Verdana" w:eastAsia="Calibri" w:hAnsi="Verdana" w:cs="Arial"/>
                <w:color w:val="000000" w:themeColor="text1"/>
              </w:rPr>
              <w:lastRenderedPageBreak/>
              <w:t>de manera clara, verificable y objetiva la experiencia alegada, y que su valoración se encuentre prevista en los Documentos del Proceso.</w:t>
            </w:r>
          </w:p>
          <w:p w14:paraId="325C7D8D" w14:textId="77777777" w:rsidR="008C303F" w:rsidRPr="002061F3" w:rsidRDefault="008C303F" w:rsidP="00803536">
            <w:pPr>
              <w:spacing w:line="276" w:lineRule="auto"/>
              <w:ind w:firstLine="709"/>
              <w:jc w:val="both"/>
              <w:rPr>
                <w:rFonts w:ascii="Verdana" w:eastAsia="Calibri" w:hAnsi="Verdana" w:cs="Arial"/>
              </w:rPr>
            </w:pPr>
          </w:p>
          <w:p w14:paraId="4BECD1C9" w14:textId="6B59081E" w:rsidR="00C53F17" w:rsidRDefault="008C303F" w:rsidP="00033A6E">
            <w:pPr>
              <w:spacing w:line="276" w:lineRule="auto"/>
              <w:ind w:firstLine="709"/>
              <w:jc w:val="both"/>
              <w:rPr>
                <w:rFonts w:ascii="Verdana" w:eastAsia="Calibri" w:hAnsi="Verdana" w:cs="Arial"/>
              </w:rPr>
            </w:pPr>
            <w:r w:rsidRPr="002061F3">
              <w:rPr>
                <w:rFonts w:ascii="Verdana" w:eastAsia="Calibri" w:hAnsi="Verdana" w:cs="Arial"/>
              </w:rPr>
              <w:t>(</w:t>
            </w:r>
            <w:proofErr w:type="spellStart"/>
            <w:r w:rsidRPr="002061F3">
              <w:rPr>
                <w:rFonts w:ascii="Verdana" w:eastAsia="Calibri" w:hAnsi="Verdana" w:cs="Arial"/>
              </w:rPr>
              <w:t>iii</w:t>
            </w:r>
            <w:proofErr w:type="spellEnd"/>
            <w:r w:rsidRPr="002061F3">
              <w:rPr>
                <w:rFonts w:ascii="Verdana" w:eastAsia="Calibri" w:hAnsi="Verdana" w:cs="Arial"/>
              </w:rPr>
              <w:t>)</w:t>
            </w:r>
            <w:r>
              <w:rPr>
                <w:rFonts w:ascii="Verdana" w:eastAsia="Calibri" w:hAnsi="Verdana" w:cs="Arial"/>
              </w:rPr>
              <w:t xml:space="preserve"> </w:t>
            </w:r>
            <w:r w:rsidRPr="002061F3">
              <w:rPr>
                <w:rFonts w:ascii="Verdana" w:eastAsia="Calibri" w:hAnsi="Verdana" w:cs="Arial"/>
              </w:rPr>
              <w:t>Finalmente, en cuanto a lo indicado respecto del código clasificador UNSPSC, se aclara que el Clasificador de Bienes y Servicios de Naciones Unidas constituye un instrumento técnico destinado a identificar y relacionar los objetos contractuales y las experiencias acreditadas, pero no configura por sí mismo un requisito habilitante autónomo.</w:t>
            </w:r>
          </w:p>
          <w:p w14:paraId="13BF3775" w14:textId="77777777" w:rsidR="008C303F" w:rsidRPr="002061F3" w:rsidRDefault="008C303F" w:rsidP="00803536">
            <w:pPr>
              <w:spacing w:line="276" w:lineRule="auto"/>
              <w:ind w:firstLine="709"/>
              <w:jc w:val="both"/>
              <w:rPr>
                <w:rFonts w:ascii="Verdana" w:eastAsia="Calibri" w:hAnsi="Verdana" w:cs="Arial"/>
              </w:rPr>
            </w:pPr>
          </w:p>
          <w:p w14:paraId="29BF4A9D" w14:textId="15663BD2" w:rsidR="008C303F" w:rsidRDefault="008C303F" w:rsidP="00803536">
            <w:pPr>
              <w:spacing w:line="276" w:lineRule="auto"/>
              <w:ind w:firstLine="709"/>
              <w:jc w:val="both"/>
              <w:rPr>
                <w:rFonts w:ascii="Verdana" w:eastAsia="Calibri" w:hAnsi="Verdana" w:cs="Arial"/>
              </w:rPr>
            </w:pPr>
            <w:r w:rsidRPr="334010F9">
              <w:rPr>
                <w:rFonts w:ascii="Verdana" w:eastAsia="Calibri" w:hAnsi="Verdana" w:cs="Arial"/>
              </w:rPr>
              <w:t xml:space="preserve">Por tanto, una diferencia o inconsistencia en el segmento o nivel del código registrado en el RUP no invalida la experiencia, </w:t>
            </w:r>
            <w:r w:rsidR="00A711F4">
              <w:rPr>
                <w:rFonts w:ascii="Verdana" w:eastAsia="Calibri" w:hAnsi="Verdana" w:cs="Arial"/>
              </w:rPr>
              <w:t xml:space="preserve">siempre que las actividades acreditadas como experiencia en dicho registro correspondan efectivamente </w:t>
            </w:r>
            <w:r w:rsidR="000722F1">
              <w:rPr>
                <w:rFonts w:ascii="Verdana" w:eastAsia="Calibri" w:hAnsi="Verdana" w:cs="Arial"/>
              </w:rPr>
              <w:t xml:space="preserve">al objeto del proceso de selección y el contrato respectivo haya estado debidamente inscrito antes del cierre. En todo caso </w:t>
            </w:r>
            <w:r w:rsidR="007027E9">
              <w:rPr>
                <w:rFonts w:ascii="Verdana" w:eastAsia="Calibri" w:hAnsi="Verdana" w:cs="Arial"/>
              </w:rPr>
              <w:t xml:space="preserve">la entidad debe observar la </w:t>
            </w:r>
            <w:r w:rsidR="00706750">
              <w:rPr>
                <w:rFonts w:ascii="Verdana" w:eastAsia="Calibri" w:hAnsi="Verdana" w:cs="Arial"/>
              </w:rPr>
              <w:t>información registrada en el RUP</w:t>
            </w:r>
            <w:r w:rsidR="00047F6E">
              <w:rPr>
                <w:rFonts w:ascii="Verdana" w:eastAsia="Calibri" w:hAnsi="Verdana" w:cs="Arial"/>
              </w:rPr>
              <w:t xml:space="preserve"> sin </w:t>
            </w:r>
            <w:r w:rsidR="00AE664E">
              <w:rPr>
                <w:rFonts w:ascii="Verdana" w:eastAsia="Calibri" w:hAnsi="Verdana" w:cs="Arial"/>
              </w:rPr>
              <w:t xml:space="preserve">que resulte procedente </w:t>
            </w:r>
            <w:r w:rsidR="00047F6E">
              <w:rPr>
                <w:rFonts w:ascii="Verdana" w:eastAsia="Calibri" w:hAnsi="Verdana" w:cs="Arial"/>
              </w:rPr>
              <w:t xml:space="preserve">exigir </w:t>
            </w:r>
            <w:r w:rsidR="00584D02">
              <w:rPr>
                <w:rFonts w:ascii="Verdana" w:eastAsia="Calibri" w:hAnsi="Verdana" w:cs="Arial"/>
              </w:rPr>
              <w:t xml:space="preserve">a los proponentes documentos adicionales </w:t>
            </w:r>
            <w:r w:rsidR="008F5FDD">
              <w:rPr>
                <w:rFonts w:ascii="Verdana" w:eastAsia="Calibri" w:hAnsi="Verdana" w:cs="Arial"/>
              </w:rPr>
              <w:t xml:space="preserve">destinados a soportarla. No obstante, cuando las particularidades del objeto contractual hagan necesaria la comprobación de requisitos adicionales a los contenidos en el Registro, la entidad podrá realizar </w:t>
            </w:r>
            <w:r w:rsidR="00556D51">
              <w:rPr>
                <w:rFonts w:ascii="Verdana" w:eastAsia="Calibri" w:hAnsi="Verdana" w:cs="Arial"/>
              </w:rPr>
              <w:t xml:space="preserve">directamente dicha </w:t>
            </w:r>
            <w:r w:rsidR="00C53F17">
              <w:rPr>
                <w:rFonts w:ascii="Verdana" w:eastAsia="Calibri" w:hAnsi="Verdana" w:cs="Arial"/>
              </w:rPr>
              <w:t>verificación dentro de los parámetros de Ley</w:t>
            </w:r>
            <w:r w:rsidR="00556D51">
              <w:rPr>
                <w:rFonts w:ascii="Verdana" w:eastAsia="Calibri" w:hAnsi="Verdana" w:cs="Arial"/>
              </w:rPr>
              <w:t xml:space="preserve">, con el fin de garantizar la selección objetiva. </w:t>
            </w:r>
          </w:p>
          <w:p w14:paraId="2A9E2AF9" w14:textId="77777777" w:rsidR="008C303F" w:rsidRPr="002061F3" w:rsidRDefault="008C303F" w:rsidP="00803536">
            <w:pPr>
              <w:spacing w:line="276" w:lineRule="auto"/>
              <w:ind w:firstLine="709"/>
              <w:jc w:val="both"/>
              <w:rPr>
                <w:rFonts w:ascii="Verdana" w:eastAsia="Calibri" w:hAnsi="Verdana" w:cs="Arial"/>
              </w:rPr>
            </w:pPr>
          </w:p>
          <w:p w14:paraId="10E3664E" w14:textId="57399C7C" w:rsidR="008C303F" w:rsidRPr="00E57919" w:rsidRDefault="008C303F" w:rsidP="00803536">
            <w:pPr>
              <w:spacing w:line="276" w:lineRule="auto"/>
              <w:ind w:firstLine="709"/>
              <w:jc w:val="both"/>
              <w:rPr>
                <w:rFonts w:ascii="Verdana" w:eastAsia="Calibri" w:hAnsi="Verdana" w:cs="Arial"/>
              </w:rPr>
            </w:pPr>
            <w:r w:rsidRPr="334010F9">
              <w:rPr>
                <w:rFonts w:ascii="Verdana" w:eastAsia="Calibri" w:hAnsi="Verdana" w:cs="Arial"/>
              </w:rPr>
              <w:t xml:space="preserve">Por el contrario, si la corrección supone incorporar una experiencia no existente o no registrada al cierre, la subsanación no procede, pues constituiría una mejora de la oferta. </w:t>
            </w:r>
          </w:p>
        </w:tc>
      </w:tr>
    </w:tbl>
    <w:p w14:paraId="520B994B" w14:textId="77777777" w:rsidR="008C303F" w:rsidRDefault="008C303F" w:rsidP="008C303F">
      <w:pPr>
        <w:tabs>
          <w:tab w:val="left" w:pos="142"/>
          <w:tab w:val="left" w:pos="284"/>
        </w:tabs>
        <w:spacing w:after="0" w:line="276" w:lineRule="auto"/>
        <w:jc w:val="both"/>
        <w:rPr>
          <w:rFonts w:ascii="Verdana" w:eastAsia="Century Gothic" w:hAnsi="Verdana" w:cs="Century Gothic"/>
          <w:b/>
          <w:bCs/>
        </w:rPr>
      </w:pPr>
    </w:p>
    <w:p w14:paraId="2204A8F1" w14:textId="77777777" w:rsidR="008C303F" w:rsidRPr="00960F72" w:rsidRDefault="008C303F" w:rsidP="008C303F">
      <w:pPr>
        <w:tabs>
          <w:tab w:val="left" w:pos="142"/>
          <w:tab w:val="left" w:pos="284"/>
        </w:tabs>
        <w:spacing w:after="0" w:line="276" w:lineRule="auto"/>
        <w:jc w:val="both"/>
        <w:rPr>
          <w:rFonts w:ascii="Verdana" w:eastAsia="Century Gothic" w:hAnsi="Verdana" w:cs="Century Gothic"/>
          <w:b/>
          <w:bCs/>
        </w:rPr>
      </w:pPr>
    </w:p>
    <w:p w14:paraId="27D1DF19" w14:textId="77777777" w:rsidR="008C303F" w:rsidRDefault="008C303F" w:rsidP="008C30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396888BD" w14:textId="77777777" w:rsidR="008C303F" w:rsidRDefault="008C303F" w:rsidP="008C303F">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A529F83" w14:textId="77777777" w:rsidR="008C303F" w:rsidRDefault="008C303F" w:rsidP="008C303F">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4EBE5129" w14:textId="77777777" w:rsidR="008C303F" w:rsidRPr="00FA01E0" w:rsidRDefault="008C303F" w:rsidP="008C303F">
      <w:pPr>
        <w:spacing w:after="0" w:line="276" w:lineRule="auto"/>
        <w:jc w:val="both"/>
        <w:rPr>
          <w:rFonts w:ascii="Verdana" w:eastAsia="Calibri" w:hAnsi="Verdana" w:cs="Arial"/>
          <w:lang w:val="es-ES"/>
        </w:rPr>
      </w:pPr>
    </w:p>
    <w:p w14:paraId="57BDFC98" w14:textId="77777777" w:rsidR="00C53F17" w:rsidRDefault="008C303F" w:rsidP="008C303F">
      <w:pPr>
        <w:spacing w:after="120" w:line="276" w:lineRule="auto"/>
        <w:jc w:val="both"/>
        <w:rPr>
          <w:rFonts w:ascii="Verdana" w:eastAsia="Times New Roman" w:hAnsi="Verdana" w:cs="Arial"/>
          <w:lang w:eastAsia="es-ES"/>
        </w:rPr>
      </w:pPr>
      <w:r>
        <w:rPr>
          <w:rFonts w:ascii="Verdana" w:eastAsia="Century Gothic" w:hAnsi="Verdana" w:cs="Century Gothic"/>
        </w:rPr>
        <w:t xml:space="preserve">(i) Frente al primer problema jurídico planteado, se debe indicar que, </w:t>
      </w:r>
      <w:r w:rsidRPr="334010F9">
        <w:rPr>
          <w:rFonts w:ascii="Verdana" w:eastAsia="Times New Roman" w:hAnsi="Verdana" w:cs="Arial"/>
          <w:lang w:eastAsia="es-ES"/>
        </w:rPr>
        <w:t xml:space="preserve">en lo que respecta al descuento por concepto de estampillas en los contratos y convenios, </w:t>
      </w:r>
    </w:p>
    <w:p w14:paraId="6D371D72" w14:textId="77777777" w:rsidR="00C53F17" w:rsidRDefault="00C53F17" w:rsidP="008C303F">
      <w:pPr>
        <w:spacing w:after="120" w:line="276" w:lineRule="auto"/>
        <w:jc w:val="both"/>
        <w:rPr>
          <w:rFonts w:ascii="Verdana" w:eastAsia="Times New Roman" w:hAnsi="Verdana" w:cs="Arial"/>
          <w:lang w:eastAsia="es-ES"/>
        </w:rPr>
      </w:pPr>
    </w:p>
    <w:p w14:paraId="763C7360" w14:textId="05111C2F" w:rsidR="008C303F" w:rsidRPr="00033A6E" w:rsidRDefault="008C303F" w:rsidP="008C303F">
      <w:pPr>
        <w:spacing w:after="120" w:line="276" w:lineRule="auto"/>
        <w:jc w:val="both"/>
        <w:rPr>
          <w:rFonts w:ascii="Verdana" w:eastAsia="Times New Roman" w:hAnsi="Verdana" w:cs="Arial"/>
          <w:lang w:eastAsia="es-ES"/>
        </w:rPr>
      </w:pPr>
      <w:r w:rsidRPr="334010F9">
        <w:rPr>
          <w:rFonts w:ascii="Verdana" w:eastAsia="Times New Roman" w:hAnsi="Verdana" w:cs="Arial"/>
          <w:lang w:eastAsia="es-ES"/>
        </w:rPr>
        <w:lastRenderedPageBreak/>
        <w:t>su inclusión dependerá de las condiciones establecidas por la Ley para estos tributos. En efecto,</w:t>
      </w:r>
      <w:r w:rsidR="00C53F17">
        <w:rPr>
          <w:rStyle w:val="Refdenotaalpie"/>
          <w:rFonts w:ascii="Verdana" w:eastAsia="Times New Roman" w:hAnsi="Verdana" w:cs="Arial"/>
          <w:lang w:eastAsia="es-ES"/>
        </w:rPr>
        <w:footnoteReference w:id="3"/>
      </w:r>
      <w:r w:rsidR="00033A6E">
        <w:rPr>
          <w:rStyle w:val="Refdenotaalpie"/>
          <w:rFonts w:ascii="Verdana" w:eastAsia="Times New Roman" w:hAnsi="Verdana" w:cs="Arial"/>
          <w:lang w:eastAsia="es-ES"/>
        </w:rPr>
        <w:footnoteReference w:id="4"/>
      </w:r>
    </w:p>
    <w:p w14:paraId="08230FC8" w14:textId="431E52D3" w:rsidR="008C303F" w:rsidRPr="002C675F" w:rsidRDefault="008C303F" w:rsidP="008C303F">
      <w:pPr>
        <w:spacing w:before="120" w:after="0" w:line="276" w:lineRule="auto"/>
        <w:ind w:firstLine="709"/>
        <w:jc w:val="both"/>
        <w:rPr>
          <w:rFonts w:ascii="Verdana" w:eastAsia="Calibri" w:hAnsi="Verdana" w:cs="Arial"/>
        </w:rPr>
      </w:pPr>
      <w:r w:rsidRPr="334010F9">
        <w:rPr>
          <w:rFonts w:ascii="Verdana" w:eastAsia="Calibri" w:hAnsi="Verdana" w:cs="Arial"/>
        </w:rPr>
        <w:t>Al respecto, es importante indicar que tanto la naturaleza de cada estampilla, como las condiciones que se deben tener en cuenta para su recaudo, así como su causación y objetivos pueden diferir en función de las decisiones que en su configuración adoptó el Legislador y, de manera complementaria, de aquellas que aprueben los órganos colegiados de las autoridades territoriales en ejercicio de sus competencias en la estructuración de cuerpos normativos que contienen política fiscal. De esta manera, la procedencia y aplicación de determinada estampilla estará sujeta al hecho generador establecido en la Ley, ordenanza o acuerdo, de tal suerte que si estos incluyen a los contratos y convenios interadministrativos,</w:t>
      </w:r>
      <w:r w:rsidR="52B5FA74" w:rsidRPr="334010F9">
        <w:rPr>
          <w:rFonts w:ascii="Verdana" w:eastAsia="Calibri" w:hAnsi="Verdana" w:cs="Arial"/>
        </w:rPr>
        <w:t xml:space="preserve"> esto</w:t>
      </w:r>
      <w:r w:rsidRPr="334010F9">
        <w:rPr>
          <w:rFonts w:ascii="Verdana" w:eastAsia="Calibri" w:hAnsi="Verdana" w:cs="Arial"/>
        </w:rPr>
        <w:t xml:space="preserve"> deberá tenerse en cuenta para efectos de la suscripción de estos negocios jurídicos. </w:t>
      </w:r>
    </w:p>
    <w:p w14:paraId="44212055" w14:textId="7B7DF33D" w:rsidR="008C303F" w:rsidRDefault="008C303F" w:rsidP="008C303F">
      <w:pPr>
        <w:spacing w:before="120" w:after="0" w:line="276" w:lineRule="auto"/>
        <w:ind w:firstLine="709"/>
        <w:jc w:val="both"/>
        <w:rPr>
          <w:rFonts w:ascii="Verdana" w:eastAsia="Aptos" w:hAnsi="Verdana" w:cs="Arial"/>
        </w:rPr>
      </w:pPr>
      <w:r w:rsidRPr="334010F9">
        <w:rPr>
          <w:rFonts w:ascii="Verdana" w:eastAsia="Aptos" w:hAnsi="Verdana" w:cs="Arial"/>
        </w:rPr>
        <w:t xml:space="preserve">En suma, será cada entidad la obligada a analizar en cada contrato o convenio interadministrativo, si por su sola celebración se constituye el hecho generador de determinada estampilla, pues de lo contrario no habrá lugar a su aplicación. Para tales efectos, es necesario realizar durante la etapa de planeación el análisis necesario para conocer el sector relativo al objeto del Proceso de Contratación, y con fundamento en dicho estudio deberá tenerse en cuenta los impuestos, tasas o contribuciones </w:t>
      </w:r>
      <w:r w:rsidR="1AAD7C53" w:rsidRPr="334010F9">
        <w:rPr>
          <w:rFonts w:ascii="Verdana" w:eastAsia="Aptos" w:hAnsi="Verdana" w:cs="Arial"/>
        </w:rPr>
        <w:t>correspondientes</w:t>
      </w:r>
      <w:r w:rsidRPr="334010F9">
        <w:rPr>
          <w:rFonts w:ascii="Verdana" w:eastAsia="Aptos" w:hAnsi="Verdana" w:cs="Arial"/>
        </w:rPr>
        <w:t xml:space="preserve">. </w:t>
      </w:r>
    </w:p>
    <w:p w14:paraId="45E22AF4" w14:textId="77777777" w:rsidR="008C303F" w:rsidRDefault="008C303F" w:rsidP="008C303F">
      <w:pPr>
        <w:spacing w:after="0" w:line="276" w:lineRule="auto"/>
        <w:ind w:firstLine="709"/>
        <w:contextualSpacing/>
        <w:jc w:val="both"/>
        <w:rPr>
          <w:rFonts w:ascii="Verdana" w:eastAsia="Aptos" w:hAnsi="Verdana" w:cs="Arial"/>
        </w:rPr>
      </w:pPr>
    </w:p>
    <w:p w14:paraId="1096B6D3" w14:textId="3DE9A980" w:rsidR="008C303F" w:rsidRDefault="008C303F" w:rsidP="334010F9">
      <w:pPr>
        <w:spacing w:after="120" w:line="276" w:lineRule="auto"/>
        <w:ind w:firstLine="708"/>
        <w:jc w:val="both"/>
        <w:rPr>
          <w:rFonts w:ascii="Verdana" w:eastAsia="Calibri" w:hAnsi="Verdana" w:cs="Arial"/>
          <w:lang w:val="es-ES" w:eastAsia="es-ES"/>
        </w:rPr>
      </w:pPr>
      <w:r>
        <w:rPr>
          <w:rFonts w:ascii="Verdana" w:eastAsia="Aptos" w:hAnsi="Verdana" w:cs="Arial"/>
        </w:rPr>
        <w:lastRenderedPageBreak/>
        <w:t xml:space="preserve">(ii) Respecto al segundo planteamiento, </w:t>
      </w:r>
      <w:bookmarkStart w:id="2" w:name="_Hlk75296202"/>
      <w:r w:rsidRPr="334010F9">
        <w:rPr>
          <w:rFonts w:ascii="Verdana" w:eastAsia="Calibri" w:hAnsi="Verdana" w:cs="Arial"/>
          <w:lang w:val="es-ES" w:eastAsia="es-ES"/>
        </w:rPr>
        <w:t xml:space="preserve">debe indicarse que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–por expresa disposición legal– no otorgan puntaje, salvo que excepcionalmente se permita lo contrario. Esto comoquiera </w:t>
      </w:r>
      <w:r w:rsidR="7A3E03BF" w:rsidRPr="334010F9">
        <w:rPr>
          <w:rFonts w:ascii="Verdana" w:eastAsia="Calibri" w:hAnsi="Verdana" w:cs="Arial"/>
          <w:lang w:val="es-ES" w:eastAsia="es-ES"/>
        </w:rPr>
        <w:t xml:space="preserve">que </w:t>
      </w:r>
      <w:r w:rsidRPr="334010F9">
        <w:rPr>
          <w:rFonts w:ascii="Verdana" w:eastAsia="Calibri" w:hAnsi="Verdana" w:cs="Arial"/>
          <w:lang w:val="es-ES" w:eastAsia="es-ES"/>
        </w:rPr>
        <w:t>dichos requisitos no se refieren a la oferta misma sino a la idoneidad del oferente para asumir adecuadamente la ejecución del contrato</w:t>
      </w:r>
      <w:r w:rsidRPr="334010F9">
        <w:rPr>
          <w:rFonts w:ascii="Verdana" w:hAnsi="Verdana"/>
          <w:vertAlign w:val="superscript"/>
          <w:lang w:val="es-ES" w:eastAsia="es-ES"/>
        </w:rPr>
        <w:footnoteReference w:id="5"/>
      </w:r>
      <w:r w:rsidRPr="334010F9">
        <w:rPr>
          <w:rFonts w:ascii="Verdana" w:eastAsia="Calibri" w:hAnsi="Verdana" w:cs="Arial"/>
          <w:lang w:val="es-ES" w:eastAsia="es-ES"/>
        </w:rPr>
        <w:t xml:space="preserve">. </w:t>
      </w:r>
    </w:p>
    <w:p w14:paraId="00F06A83" w14:textId="77777777" w:rsidR="008C303F" w:rsidRDefault="008C303F" w:rsidP="008C303F">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En ese marco, l</w:t>
      </w:r>
      <w:r w:rsidRPr="00DA67B3">
        <w:rPr>
          <w:rFonts w:ascii="Verdana" w:eastAsia="Calibri" w:hAnsi="Verdana" w:cs="Arial"/>
          <w:bCs/>
          <w:lang w:val="es-ES" w:eastAsia="es-ES_tradnl"/>
        </w:rPr>
        <w:t xml:space="preserve">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w:t>
      </w:r>
      <w:r w:rsidRPr="00FB4027">
        <w:rPr>
          <w:rFonts w:ascii="Verdana" w:eastAsia="Calibri" w:hAnsi="Verdana" w:cs="Arial"/>
          <w:bCs/>
          <w:i/>
          <w:iCs/>
          <w:lang w:val="es-ES" w:eastAsia="es-ES_tradnl"/>
        </w:rPr>
        <w:t>requisitos</w:t>
      </w:r>
      <w:r w:rsidRPr="00DA67B3">
        <w:rPr>
          <w:rFonts w:ascii="Verdana" w:eastAsia="Calibri" w:hAnsi="Verdana" w:cs="Arial"/>
          <w:bCs/>
          <w:lang w:val="es-ES" w:eastAsia="es-ES_tradnl"/>
        </w:rPr>
        <w:t xml:space="preserve"> </w:t>
      </w:r>
      <w:r w:rsidRPr="00DA67B3">
        <w:rPr>
          <w:rFonts w:ascii="Verdana" w:eastAsia="Calibri" w:hAnsi="Verdana" w:cs="Arial"/>
          <w:bCs/>
          <w:i/>
          <w:iCs/>
          <w:lang w:val="es-ES" w:eastAsia="es-ES_tradnl"/>
        </w:rPr>
        <w:t xml:space="preserve">habilitantes </w:t>
      </w:r>
      <w:r w:rsidRPr="00DA67B3">
        <w:rPr>
          <w:rFonts w:ascii="Verdana" w:eastAsia="Calibri" w:hAnsi="Verdana" w:cs="Arial"/>
          <w:bCs/>
          <w:lang w:val="es-ES" w:eastAsia="es-ES_tradnl"/>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bookmarkEnd w:id="2"/>
    </w:p>
    <w:p w14:paraId="2232DD5D" w14:textId="77777777" w:rsidR="008C303F" w:rsidRDefault="008C303F" w:rsidP="008C303F">
      <w:pPr>
        <w:spacing w:after="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Justamente, l</w:t>
      </w:r>
      <w:r w:rsidRPr="00F16FF6">
        <w:rPr>
          <w:rFonts w:ascii="Verdana" w:eastAsia="Calibri" w:hAnsi="Verdana" w:cs="Arial"/>
          <w:bCs/>
          <w:lang w:val="es-ES" w:eastAsia="es-ES_tradnl"/>
        </w:rPr>
        <w:t xml:space="preserve">a experiencia, </w:t>
      </w:r>
      <w:r w:rsidRPr="005419C6">
        <w:rPr>
          <w:rFonts w:ascii="Verdana" w:eastAsia="Calibri" w:hAnsi="Verdana" w:cs="Arial"/>
          <w:bCs/>
          <w:lang w:eastAsia="es-ES_tradnl"/>
        </w:rPr>
        <w:t xml:space="preserve">constituye uno de los requisitos habilitantes y se deriva de los contratos que el proponente ha celebrado y ejecutado con distintos contratantes, sin que la naturaleza pública o privada de estos sea determinante. Su verificación se realiza a través del </w:t>
      </w:r>
      <w:r w:rsidRPr="005419C6">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Pr="005419C6">
        <w:rPr>
          <w:rFonts w:ascii="Verdana" w:eastAsia="Calibri" w:hAnsi="Verdana" w:cs="Arial"/>
          <w:lang w:eastAsia="es-ES_tradnl"/>
        </w:rPr>
        <w:t>RUP</w:t>
      </w:r>
      <w:r w:rsidRPr="005419C6">
        <w:rPr>
          <w:rFonts w:ascii="Verdana" w:eastAsia="Calibri" w:hAnsi="Verdana" w:cs="Arial"/>
          <w:bCs/>
          <w:lang w:eastAsia="es-ES_tradnl"/>
        </w:rPr>
        <w:t>, cuando este sea exigible conforme a la ley.</w:t>
      </w:r>
      <w:r w:rsidRPr="00F16FF6">
        <w:rPr>
          <w:rFonts w:ascii="Verdana" w:eastAsia="Calibri" w:hAnsi="Verdana" w:cs="Arial"/>
          <w:bCs/>
          <w:lang w:val="es-ES" w:eastAsia="es-ES_tradnl"/>
        </w:rPr>
        <w:t xml:space="preserve"> </w:t>
      </w:r>
      <w:r w:rsidRPr="004A272A">
        <w:rPr>
          <w:rFonts w:ascii="Verdana" w:eastAsia="Calibri" w:hAnsi="Verdana" w:cs="Arial"/>
          <w:bCs/>
          <w:lang w:val="es-ES" w:eastAsia="es-ES_tradnl"/>
        </w:rPr>
        <w:t>El artículo 6 de la Ley 1150 de 2007 dispone que los requisitos habilitantes antes mencionados, entre ellos la experiencia, se acreditan mediante el RUP, el cual:</w:t>
      </w:r>
    </w:p>
    <w:p w14:paraId="1462EDFD" w14:textId="77777777" w:rsidR="008C303F" w:rsidRDefault="008C303F" w:rsidP="008C303F">
      <w:pPr>
        <w:spacing w:after="0" w:line="276" w:lineRule="auto"/>
        <w:ind w:firstLine="708"/>
        <w:jc w:val="both"/>
        <w:rPr>
          <w:rFonts w:ascii="Verdana" w:eastAsia="Calibri" w:hAnsi="Verdana" w:cs="Arial"/>
          <w:bCs/>
          <w:lang w:val="es-ES" w:eastAsia="es-ES_tradnl"/>
        </w:rPr>
      </w:pPr>
    </w:p>
    <w:p w14:paraId="3250C08A" w14:textId="77777777" w:rsidR="008C303F" w:rsidRDefault="008C303F" w:rsidP="008C303F">
      <w:pPr>
        <w:spacing w:after="120" w:line="276" w:lineRule="auto"/>
        <w:ind w:left="720" w:right="709"/>
        <w:contextualSpacing/>
        <w:jc w:val="both"/>
        <w:rPr>
          <w:rFonts w:ascii="Verdana" w:eastAsia="Arial" w:hAnsi="Verdana" w:cs="Arial"/>
          <w:sz w:val="21"/>
          <w:szCs w:val="21"/>
          <w:lang w:val="es-ES"/>
        </w:rPr>
      </w:pPr>
      <w:r w:rsidRPr="00DA67B3">
        <w:rPr>
          <w:rFonts w:ascii="Verdana" w:eastAsia="Arial" w:hAnsi="Verdana" w:cs="Arial"/>
          <w:sz w:val="21"/>
          <w:szCs w:val="21"/>
          <w:lang w:val="es-ES"/>
        </w:rPr>
        <w:t xml:space="preserve">“[...]será plena prueba de las circunstancias que en ella se hagan constar y que hayan sido </w:t>
      </w:r>
      <w:r w:rsidRPr="00DA67B3">
        <w:rPr>
          <w:rFonts w:ascii="Verdana" w:eastAsia="Arial" w:hAnsi="Verdana" w:cs="Arial"/>
          <w:i/>
          <w:iCs/>
          <w:sz w:val="21"/>
          <w:szCs w:val="21"/>
          <w:lang w:val="es-ES"/>
        </w:rPr>
        <w:t>verificadas por las Cámaras de Comercio</w:t>
      </w:r>
      <w:r w:rsidRPr="00DA67B3">
        <w:rPr>
          <w:rFonts w:ascii="Verdana" w:eastAsia="Arial" w:hAnsi="Verdana" w:cs="Arial"/>
          <w:sz w:val="21"/>
          <w:szCs w:val="21"/>
          <w:lang w:val="es-ES"/>
        </w:rPr>
        <w:t>. En tal sentido, la verificación de las condiciones establecidas en el numeral 1 del artículo 5 de la presente ley, se demostrará exclusivamente con el respectivo certificado del RUP en donde deberán constar dichas condiciones.</w:t>
      </w:r>
      <w:r w:rsidRPr="00DA67B3">
        <w:rPr>
          <w:rFonts w:ascii="Verdana" w:hAnsi="Verdana"/>
          <w:sz w:val="21"/>
          <w:szCs w:val="21"/>
          <w:lang w:val="es-ES"/>
        </w:rPr>
        <w:t xml:space="preserve"> </w:t>
      </w:r>
      <w:r w:rsidRPr="00DA67B3">
        <w:rPr>
          <w:rFonts w:ascii="Verdana" w:eastAsia="Arial" w:hAnsi="Verdana" w:cs="Arial"/>
          <w:sz w:val="21"/>
          <w:szCs w:val="21"/>
          <w:lang w:val="es-ES"/>
        </w:rPr>
        <w:t xml:space="preserve">En consecuencia, las entidades estatales en los procesos de contratación no podrán exigir, ni los proponentes aportar documentación que deba utilizarse para efectuar la inscripción en el </w:t>
      </w:r>
      <w:r w:rsidRPr="00DA67B3">
        <w:rPr>
          <w:rFonts w:ascii="Verdana" w:eastAsia="Arial" w:hAnsi="Verdana" w:cs="Arial"/>
          <w:sz w:val="21"/>
          <w:szCs w:val="21"/>
          <w:lang w:val="es-ES"/>
        </w:rPr>
        <w:lastRenderedPageBreak/>
        <w:t xml:space="preserve">registro. </w:t>
      </w:r>
      <w:r w:rsidRPr="00DA67B3">
        <w:rPr>
          <w:rFonts w:ascii="Verdana" w:eastAsia="Arial" w:hAnsi="Verdana" w:cs="Arial"/>
          <w:i/>
          <w:iCs/>
          <w:sz w:val="21"/>
          <w:szCs w:val="21"/>
          <w:lang w:val="es-ES"/>
        </w:rPr>
        <w:t>No obstante, lo anterior, sólo en aquellos casos en que por las características del objeto a contratar se requiera la verificación de requisitos del proponente adicionales a los contenidos en el Registro, la entidad podrá hacer tal verificación en forma directa</w:t>
      </w:r>
      <w:r w:rsidRPr="00DA67B3">
        <w:rPr>
          <w:rFonts w:ascii="Verdana" w:eastAsia="Arial" w:hAnsi="Verdana" w:cs="Arial"/>
          <w:sz w:val="21"/>
          <w:szCs w:val="21"/>
          <w:lang w:val="es-ES"/>
        </w:rPr>
        <w:t xml:space="preserve">”. </w:t>
      </w:r>
      <w:r>
        <w:rPr>
          <w:rFonts w:ascii="Verdana" w:eastAsia="Arial" w:hAnsi="Verdana" w:cs="Arial"/>
          <w:sz w:val="21"/>
          <w:szCs w:val="21"/>
          <w:lang w:val="es-ES"/>
        </w:rPr>
        <w:t>[Énfasis</w:t>
      </w:r>
      <w:r w:rsidRPr="00DA67B3">
        <w:rPr>
          <w:rFonts w:ascii="Verdana" w:eastAsia="Arial" w:hAnsi="Verdana" w:cs="Arial"/>
          <w:sz w:val="21"/>
          <w:szCs w:val="21"/>
          <w:lang w:val="es-ES"/>
        </w:rPr>
        <w:t xml:space="preserve"> fuera de texto</w:t>
      </w:r>
      <w:r>
        <w:rPr>
          <w:rFonts w:ascii="Verdana" w:eastAsia="Arial" w:hAnsi="Verdana" w:cs="Arial"/>
          <w:sz w:val="21"/>
          <w:szCs w:val="21"/>
          <w:lang w:val="es-ES"/>
        </w:rPr>
        <w:t>]</w:t>
      </w:r>
    </w:p>
    <w:p w14:paraId="5EF7441D" w14:textId="77777777" w:rsidR="008C303F" w:rsidRDefault="008C303F" w:rsidP="008C303F">
      <w:pPr>
        <w:spacing w:after="120" w:line="276" w:lineRule="auto"/>
        <w:ind w:left="720" w:right="709"/>
        <w:contextualSpacing/>
        <w:jc w:val="both"/>
        <w:rPr>
          <w:rFonts w:ascii="Verdana" w:eastAsia="Arial" w:hAnsi="Verdana" w:cs="Arial"/>
          <w:sz w:val="21"/>
          <w:szCs w:val="21"/>
          <w:lang w:val="es-ES"/>
        </w:rPr>
      </w:pPr>
    </w:p>
    <w:p w14:paraId="4EFCE3CA" w14:textId="77777777" w:rsidR="008C303F" w:rsidRPr="00E84290" w:rsidRDefault="008C303F" w:rsidP="008C303F">
      <w:pPr>
        <w:spacing w:after="120" w:line="276" w:lineRule="auto"/>
        <w:ind w:firstLine="708"/>
        <w:jc w:val="both"/>
        <w:rPr>
          <w:rFonts w:ascii="Verdana" w:eastAsia="Calibri" w:hAnsi="Verdana" w:cs="Arial"/>
          <w:bCs/>
          <w:lang w:val="es-ES" w:eastAsia="es-ES_tradnl"/>
        </w:rPr>
      </w:pPr>
      <w:r w:rsidRPr="00E84290">
        <w:rPr>
          <w:rFonts w:ascii="Verdana" w:eastAsia="Calibri" w:hAnsi="Verdana" w:cs="Arial"/>
          <w:bCs/>
          <w:lang w:val="es-ES" w:eastAsia="es-ES_tradnl"/>
        </w:rPr>
        <w:t xml:space="preserve">De acuerdo con la </w:t>
      </w:r>
      <w:r>
        <w:rPr>
          <w:rFonts w:ascii="Verdana" w:eastAsia="Calibri" w:hAnsi="Verdana" w:cs="Arial"/>
          <w:bCs/>
          <w:lang w:val="es-ES" w:eastAsia="es-ES_tradnl"/>
        </w:rPr>
        <w:t>norma en cita</w:t>
      </w:r>
      <w:r w:rsidRPr="00E84290">
        <w:rPr>
          <w:rFonts w:ascii="Verdana" w:eastAsia="Calibri" w:hAnsi="Verdana" w:cs="Arial"/>
          <w:bCs/>
          <w:lang w:val="es-ES" w:eastAsia="es-ES_tradnl"/>
        </w:rPr>
        <w:t xml:space="preserve">, </w:t>
      </w:r>
      <w:bookmarkStart w:id="3" w:name="_Hlk212650532"/>
      <w:r w:rsidRPr="00E84290">
        <w:rPr>
          <w:rFonts w:ascii="Verdana" w:eastAsia="Calibri" w:hAnsi="Verdana" w:cs="Arial"/>
          <w:bCs/>
          <w:lang w:val="es-ES" w:eastAsia="es-ES_tradnl"/>
        </w:rPr>
        <w:t xml:space="preserve">el Registro Único de Proponentes constituye plena prueba de las condiciones que en él consten y que hayan sido verificadas por las Cámaras de Comercio. En consecuencia, la acreditación de los requisitos habilitantes previstos en el numeral 1 del artículo 5 de la ley —entre ellos, </w:t>
      </w:r>
      <w:r w:rsidRPr="00E84290">
        <w:rPr>
          <w:rFonts w:ascii="Verdana" w:eastAsia="Calibri" w:hAnsi="Verdana" w:cs="Arial"/>
          <w:bCs/>
          <w:i/>
          <w:iCs/>
          <w:lang w:val="es-ES" w:eastAsia="es-ES_tradnl"/>
        </w:rPr>
        <w:t>la experiencia</w:t>
      </w:r>
      <w:r w:rsidRPr="00E84290">
        <w:rPr>
          <w:rFonts w:ascii="Verdana" w:eastAsia="Calibri" w:hAnsi="Verdana" w:cs="Arial"/>
          <w:bCs/>
          <w:lang w:val="es-ES" w:eastAsia="es-ES_tradnl"/>
        </w:rPr>
        <w:t>, la capacidad jurídica, financiera y de organización— debe efectuarse exclusivamente mediante el certificado del RUP, en el cual deben figurar dichas condiciones.</w:t>
      </w:r>
    </w:p>
    <w:p w14:paraId="56BB970C" w14:textId="77777777" w:rsidR="008C303F" w:rsidRDefault="008C303F" w:rsidP="334010F9">
      <w:pPr>
        <w:spacing w:after="120" w:line="276" w:lineRule="auto"/>
        <w:ind w:firstLine="708"/>
        <w:jc w:val="both"/>
        <w:rPr>
          <w:rFonts w:ascii="Verdana" w:eastAsia="Calibri" w:hAnsi="Verdana" w:cs="Arial"/>
          <w:lang w:val="es-ES" w:eastAsia="es-ES"/>
        </w:rPr>
      </w:pPr>
      <w:r w:rsidRPr="334010F9">
        <w:rPr>
          <w:rFonts w:ascii="Verdana" w:eastAsia="Calibri" w:hAnsi="Verdana" w:cs="Arial"/>
          <w:lang w:val="es-ES" w:eastAsia="es-ES"/>
        </w:rPr>
        <w:t>Por lo mismo, las entidades estatales no pueden exigir ni los proponentes aportar documentos adicionales destinados a soportar la información que ya fue verificada e inscrita en el Registro. No obstante, la norma admite una excepción: cuando las particularidades del objeto contractual hagan necesaria la comprobación de requisitos adicionales a los contenidos en el RUP, la entidad contratante podrá realizar dicha verificación directamente, con el fin de garantizar la selección objetiva y la adecuada ejecución del contrato.</w:t>
      </w:r>
    </w:p>
    <w:bookmarkEnd w:id="3"/>
    <w:p w14:paraId="759E78F4" w14:textId="77777777" w:rsidR="008C303F" w:rsidRPr="002D172F" w:rsidRDefault="008C303F" w:rsidP="008C303F">
      <w:pPr>
        <w:spacing w:after="120" w:line="276" w:lineRule="auto"/>
        <w:ind w:firstLine="708"/>
        <w:jc w:val="both"/>
        <w:rPr>
          <w:rFonts w:ascii="Verdana" w:eastAsia="Calibri" w:hAnsi="Verdana" w:cs="Arial"/>
          <w:lang w:eastAsia="es-ES_tradnl"/>
        </w:rPr>
      </w:pPr>
      <w:r>
        <w:rPr>
          <w:rFonts w:ascii="Verdana" w:eastAsia="Calibri" w:hAnsi="Verdana" w:cs="Arial"/>
          <w:bCs/>
          <w:lang w:val="es-ES" w:eastAsia="es-ES_tradnl"/>
        </w:rPr>
        <w:t xml:space="preserve">En ese sentido, </w:t>
      </w:r>
      <w:r w:rsidRPr="002D172F">
        <w:rPr>
          <w:rFonts w:ascii="Verdana" w:eastAsia="Calibri" w:hAnsi="Verdana" w:cs="Arial"/>
          <w:bCs/>
          <w:lang w:eastAsia="es-ES_tradnl"/>
        </w:rPr>
        <w:t xml:space="preserve">el </w:t>
      </w:r>
      <w:r w:rsidRPr="002D172F">
        <w:rPr>
          <w:rFonts w:ascii="Verdana" w:eastAsia="Calibri" w:hAnsi="Verdana" w:cs="Arial"/>
          <w:lang w:eastAsia="es-ES_tradnl"/>
        </w:rPr>
        <w:t xml:space="preserve">Registro Único de Proponentes </w:t>
      </w:r>
      <w:r w:rsidRPr="00C5378D">
        <w:rPr>
          <w:rFonts w:ascii="Verdana" w:eastAsia="Calibri" w:hAnsi="Verdana" w:cs="Arial"/>
          <w:lang w:val="es-ES" w:eastAsia="es-ES"/>
        </w:rPr>
        <w:t xml:space="preserve">– </w:t>
      </w:r>
      <w:r w:rsidRPr="002D172F">
        <w:rPr>
          <w:rFonts w:ascii="Verdana" w:eastAsia="Calibri" w:hAnsi="Verdana" w:cs="Arial"/>
          <w:lang w:eastAsia="es-ES_tradnl"/>
        </w:rPr>
        <w:t>RUP es el instrumento en el cual reposa la información relativa a las personas naturales y jurídicas interesadas en participar en los procedimientos de contratación que adelantan las entidades estatales. Su finalidad es consolidar en un único documento los aspectos relacionados con la</w:t>
      </w:r>
      <w:r>
        <w:rPr>
          <w:rFonts w:ascii="Verdana" w:eastAsia="Calibri" w:hAnsi="Verdana" w:cs="Arial"/>
          <w:lang w:eastAsia="es-ES_tradnl"/>
        </w:rPr>
        <w:t xml:space="preserve"> </w:t>
      </w:r>
      <w:r w:rsidRPr="002D172F">
        <w:rPr>
          <w:rFonts w:ascii="Verdana" w:eastAsia="Calibri" w:hAnsi="Verdana" w:cs="Arial"/>
          <w:i/>
          <w:iCs/>
          <w:lang w:eastAsia="es-ES_tradnl"/>
        </w:rPr>
        <w:t>experiencia</w:t>
      </w:r>
      <w:r>
        <w:rPr>
          <w:rFonts w:ascii="Verdana" w:eastAsia="Calibri" w:hAnsi="Verdana" w:cs="Arial"/>
          <w:lang w:eastAsia="es-ES_tradnl"/>
        </w:rPr>
        <w:t xml:space="preserve">, </w:t>
      </w:r>
      <w:r w:rsidRPr="002D172F">
        <w:rPr>
          <w:rFonts w:ascii="Verdana" w:eastAsia="Calibri" w:hAnsi="Verdana" w:cs="Arial"/>
          <w:lang w:eastAsia="es-ES_tradnl"/>
        </w:rPr>
        <w:t>capacidad jurídica, técnica, financiera y organizacional de los posibles oferentes, con el propósito de facilitar la verificación de sus condiciones de idoneidad.</w:t>
      </w:r>
    </w:p>
    <w:p w14:paraId="5B93216C" w14:textId="77777777" w:rsidR="008C303F" w:rsidRDefault="008C303F" w:rsidP="008C303F">
      <w:pPr>
        <w:spacing w:after="0" w:line="276" w:lineRule="auto"/>
        <w:ind w:firstLine="708"/>
        <w:jc w:val="both"/>
        <w:rPr>
          <w:rFonts w:ascii="Verdana" w:eastAsia="Calibri" w:hAnsi="Verdana" w:cs="Arial"/>
          <w:lang w:eastAsia="es-ES_tradnl"/>
        </w:rPr>
      </w:pPr>
      <w:r>
        <w:rPr>
          <w:rFonts w:ascii="Verdana" w:eastAsia="Calibri" w:hAnsi="Verdana" w:cs="Arial"/>
          <w:lang w:eastAsia="es-ES_tradnl"/>
        </w:rPr>
        <w:t>En línea con lo anterior, e</w:t>
      </w:r>
      <w:r w:rsidRPr="002D172F">
        <w:rPr>
          <w:rFonts w:ascii="Verdana" w:eastAsia="Calibri" w:hAnsi="Verdana" w:cs="Arial"/>
          <w:lang w:eastAsia="es-ES_tradnl"/>
        </w:rPr>
        <w:t>l Consejo de Estado ha precisado la naturaleza y finalidad del RUP en los siguientes términos:</w:t>
      </w:r>
    </w:p>
    <w:p w14:paraId="367624F2" w14:textId="77777777" w:rsidR="008C303F" w:rsidRPr="002D172F" w:rsidRDefault="008C303F" w:rsidP="008C303F">
      <w:pPr>
        <w:spacing w:after="0" w:line="276" w:lineRule="auto"/>
        <w:ind w:firstLine="708"/>
        <w:jc w:val="both"/>
        <w:rPr>
          <w:rFonts w:ascii="Verdana" w:eastAsia="Calibri" w:hAnsi="Verdana" w:cs="Arial"/>
          <w:lang w:eastAsia="es-ES_tradnl"/>
        </w:rPr>
      </w:pPr>
    </w:p>
    <w:p w14:paraId="6D74234A" w14:textId="77777777" w:rsidR="008C303F" w:rsidRDefault="008C303F" w:rsidP="008C303F">
      <w:pPr>
        <w:tabs>
          <w:tab w:val="left" w:pos="8505"/>
        </w:tabs>
        <w:ind w:left="709" w:right="709"/>
        <w:contextualSpacing/>
        <w:jc w:val="both"/>
        <w:rPr>
          <w:rFonts w:ascii="Verdana" w:hAnsi="Verdana" w:cs="Arial"/>
          <w:color w:val="000000" w:themeColor="text1"/>
          <w:sz w:val="21"/>
          <w:szCs w:val="21"/>
        </w:rPr>
      </w:pPr>
      <w:r w:rsidRPr="00DA67B3">
        <w:rPr>
          <w:rFonts w:ascii="Verdana" w:eastAsia="Calibri" w:hAnsi="Verdana" w:cs="Arial"/>
          <w:sz w:val="21"/>
          <w:szCs w:val="21"/>
        </w:rPr>
        <w:t>“</w:t>
      </w:r>
      <w:r w:rsidRPr="00DA67B3">
        <w:rPr>
          <w:rFonts w:ascii="Verdana" w:hAnsi="Verdana" w:cs="Arial"/>
          <w:color w:val="000000" w:themeColor="text1"/>
          <w:sz w:val="21"/>
          <w:szCs w:val="21"/>
        </w:rPr>
        <w:t xml:space="preserve">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w:t>
      </w:r>
      <w:r w:rsidRPr="00764BC1">
        <w:rPr>
          <w:rFonts w:ascii="Verdana" w:hAnsi="Verdana" w:cs="Arial"/>
          <w:i/>
          <w:iCs/>
          <w:color w:val="000000" w:themeColor="text1"/>
          <w:sz w:val="21"/>
          <w:szCs w:val="21"/>
        </w:rPr>
        <w:t>experiencia</w:t>
      </w:r>
      <w:r w:rsidRPr="00DA67B3">
        <w:rPr>
          <w:rFonts w:ascii="Verdana" w:hAnsi="Verdana" w:cs="Arial"/>
          <w:color w:val="000000" w:themeColor="text1"/>
          <w:sz w:val="21"/>
          <w:szCs w:val="21"/>
        </w:rPr>
        <w:t xml:space="preserve">, capacidad jurídica, capacidad técnica, capacidad de </w:t>
      </w:r>
      <w:r w:rsidRPr="00DA67B3">
        <w:rPr>
          <w:rFonts w:ascii="Verdana" w:hAnsi="Verdana" w:cs="Arial"/>
          <w:color w:val="000000" w:themeColor="text1"/>
          <w:sz w:val="21"/>
          <w:szCs w:val="21"/>
        </w:rPr>
        <w:lastRenderedPageBreak/>
        <w:t xml:space="preserve">organización y capacidad financiera. En los términos del artículo 22 de la Ley 80 de 1993, todas las </w:t>
      </w:r>
      <w:r w:rsidRPr="00764BC1">
        <w:rPr>
          <w:rFonts w:ascii="Verdana" w:hAnsi="Verdana" w:cs="Arial"/>
          <w:i/>
          <w:iCs/>
          <w:color w:val="000000" w:themeColor="text1"/>
          <w:sz w:val="21"/>
          <w:szCs w:val="21"/>
        </w:rPr>
        <w:t>personas naturales</w:t>
      </w:r>
      <w:r w:rsidRPr="00DA67B3">
        <w:rPr>
          <w:rFonts w:ascii="Verdana" w:hAnsi="Verdana" w:cs="Arial"/>
          <w:color w:val="000000" w:themeColor="text1"/>
          <w:sz w:val="21"/>
          <w:szCs w:val="21"/>
        </w:rPr>
        <w:t xml:space="preserve"> o jurídicas </w:t>
      </w:r>
      <w:r w:rsidRPr="00764BC1">
        <w:rPr>
          <w:rFonts w:ascii="Verdana" w:hAnsi="Verdana" w:cs="Arial"/>
          <w:i/>
          <w:iCs/>
          <w:color w:val="000000" w:themeColor="text1"/>
          <w:sz w:val="21"/>
          <w:szCs w:val="21"/>
        </w:rPr>
        <w:t>que aspiren a celebrar dichos contratos con las entidades estatales deberán inscribirse en el Registro de Proponentes de la Cámara de Comercio de su jurisdicción y deberán estar clasificadas y calificadas según lo dispuesto en esta norma</w:t>
      </w:r>
      <w:r w:rsidRPr="00DA67B3">
        <w:rPr>
          <w:rFonts w:ascii="Verdana" w:hAnsi="Verdana" w:cs="Arial"/>
          <w:color w:val="000000" w:themeColor="text1"/>
          <w:sz w:val="21"/>
          <w:szCs w:val="21"/>
        </w:rPr>
        <w:t>”</w:t>
      </w:r>
      <w:r w:rsidRPr="00DA67B3">
        <w:rPr>
          <w:rFonts w:ascii="Verdana" w:hAnsi="Verdana" w:cs="Arial"/>
          <w:color w:val="000000" w:themeColor="text1"/>
          <w:sz w:val="21"/>
          <w:szCs w:val="21"/>
          <w:vertAlign w:val="superscript"/>
        </w:rPr>
        <w:footnoteReference w:id="6"/>
      </w:r>
      <w:r w:rsidRPr="00DA67B3">
        <w:rPr>
          <w:rFonts w:ascii="Verdana" w:hAnsi="Verdana" w:cs="Arial"/>
          <w:color w:val="000000" w:themeColor="text1"/>
          <w:sz w:val="21"/>
          <w:szCs w:val="21"/>
        </w:rPr>
        <w:t>.</w:t>
      </w:r>
      <w:r w:rsidRPr="00764BC1">
        <w:rPr>
          <w:rFonts w:ascii="Verdana" w:eastAsia="Arial" w:hAnsi="Verdana" w:cs="Arial"/>
          <w:sz w:val="21"/>
          <w:szCs w:val="21"/>
          <w:lang w:val="es-ES"/>
        </w:rPr>
        <w:t xml:space="preserve"> </w:t>
      </w:r>
      <w:r>
        <w:rPr>
          <w:rFonts w:ascii="Verdana" w:eastAsia="Arial" w:hAnsi="Verdana" w:cs="Arial"/>
          <w:sz w:val="21"/>
          <w:szCs w:val="21"/>
          <w:lang w:val="es-ES"/>
        </w:rPr>
        <w:t>[Énfasis</w:t>
      </w:r>
      <w:r w:rsidRPr="00DA67B3">
        <w:rPr>
          <w:rFonts w:ascii="Verdana" w:eastAsia="Arial" w:hAnsi="Verdana" w:cs="Arial"/>
          <w:sz w:val="21"/>
          <w:szCs w:val="21"/>
          <w:lang w:val="es-ES"/>
        </w:rPr>
        <w:t xml:space="preserve"> fuera de texto</w:t>
      </w:r>
      <w:r>
        <w:rPr>
          <w:rFonts w:ascii="Verdana" w:eastAsia="Arial" w:hAnsi="Verdana" w:cs="Arial"/>
          <w:sz w:val="21"/>
          <w:szCs w:val="21"/>
          <w:lang w:val="es-ES"/>
        </w:rPr>
        <w:t>]</w:t>
      </w:r>
    </w:p>
    <w:p w14:paraId="1B7AC3BF" w14:textId="77777777" w:rsidR="008C303F" w:rsidRDefault="008C303F" w:rsidP="008C303F">
      <w:pPr>
        <w:tabs>
          <w:tab w:val="left" w:pos="8505"/>
        </w:tabs>
        <w:ind w:left="709" w:right="709"/>
        <w:contextualSpacing/>
        <w:jc w:val="both"/>
        <w:rPr>
          <w:rFonts w:ascii="Verdana" w:hAnsi="Verdana" w:cs="Arial"/>
          <w:color w:val="000000" w:themeColor="text1"/>
          <w:sz w:val="21"/>
          <w:szCs w:val="21"/>
        </w:rPr>
      </w:pPr>
    </w:p>
    <w:p w14:paraId="4FB44596" w14:textId="77777777" w:rsidR="008C303F" w:rsidRDefault="008C303F" w:rsidP="008C303F">
      <w:pPr>
        <w:spacing w:after="120" w:line="276" w:lineRule="auto"/>
        <w:ind w:firstLine="708"/>
        <w:jc w:val="both"/>
        <w:rPr>
          <w:rFonts w:ascii="Verdana" w:eastAsia="Calibri" w:hAnsi="Verdana" w:cs="Arial"/>
          <w:bCs/>
          <w:lang w:val="es-ES" w:eastAsia="es-ES_tradnl"/>
        </w:rPr>
      </w:pPr>
      <w:r>
        <w:rPr>
          <w:rFonts w:ascii="Verdana" w:eastAsia="Calibri" w:hAnsi="Verdana" w:cs="Arial"/>
          <w:bCs/>
          <w:lang w:val="es-ES" w:eastAsia="es-ES_tradnl"/>
        </w:rPr>
        <w:t xml:space="preserve">Al marco normativo expuesto se le suma lo contemplado en </w:t>
      </w:r>
      <w:r w:rsidRPr="00ED0DB3">
        <w:rPr>
          <w:rFonts w:ascii="Verdana" w:eastAsia="Calibri" w:hAnsi="Verdana" w:cs="Arial"/>
          <w:bCs/>
          <w:lang w:val="es-ES" w:eastAsia="es-ES_tradnl"/>
        </w:rPr>
        <w:t xml:space="preserve">el artículo 5.1 de la Ley 1150 de 2007, </w:t>
      </w:r>
      <w:r>
        <w:rPr>
          <w:rFonts w:ascii="Verdana" w:eastAsia="Calibri" w:hAnsi="Verdana" w:cs="Arial"/>
          <w:bCs/>
          <w:lang w:val="es-ES" w:eastAsia="es-ES_tradnl"/>
        </w:rPr>
        <w:t>a</w:t>
      </w:r>
      <w:r w:rsidRPr="00ED0DB3">
        <w:rPr>
          <w:rFonts w:ascii="Verdana" w:eastAsia="Calibri" w:hAnsi="Verdana" w:cs="Arial"/>
          <w:bCs/>
          <w:lang w:val="es-ES" w:eastAsia="es-ES_tradnl"/>
        </w:rPr>
        <w:t>l fijar los criterios que deben tener en cuenta las entidades estatales para garantizar la selección objetiva</w:t>
      </w:r>
      <w:r>
        <w:rPr>
          <w:rFonts w:ascii="Verdana" w:eastAsia="Calibri" w:hAnsi="Verdana" w:cs="Arial"/>
          <w:bCs/>
          <w:lang w:val="es-ES" w:eastAsia="es-ES_tradnl"/>
        </w:rPr>
        <w:t xml:space="preserve">. La disposición </w:t>
      </w:r>
      <w:r w:rsidRPr="00ED0DB3">
        <w:rPr>
          <w:rFonts w:ascii="Verdana" w:eastAsia="Calibri" w:hAnsi="Verdana" w:cs="Arial"/>
          <w:bCs/>
          <w:lang w:val="es-ES" w:eastAsia="es-ES_tradnl"/>
        </w:rPr>
        <w:t>dispone que las Cámaras de Comercio verificarán la información suministrada por las personas naturales o jurídicas para la inscripción en el Registro. Esta información debe tenerse en cuenta por las entidades en los procedimientos de contratación en los que es exigible el RUP</w:t>
      </w:r>
      <w:r w:rsidRPr="00B17ED1">
        <w:rPr>
          <w:rFonts w:ascii="Verdana" w:eastAsia="Calibri" w:hAnsi="Verdana" w:cs="Arial"/>
          <w:bCs/>
          <w:vertAlign w:val="superscript"/>
          <w:lang w:val="es-ES" w:eastAsia="es-ES_tradnl"/>
        </w:rPr>
        <w:footnoteReference w:id="7"/>
      </w:r>
      <w:r w:rsidRPr="00ED0DB3">
        <w:rPr>
          <w:rFonts w:ascii="Verdana" w:eastAsia="Calibri" w:hAnsi="Verdana" w:cs="Arial"/>
          <w:bCs/>
          <w:lang w:val="es-ES" w:eastAsia="es-ES_tradnl"/>
        </w:rPr>
        <w:t>. De esta forma,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ED0DB3">
        <w:rPr>
          <w:rFonts w:ascii="Verdana" w:eastAsia="Calibri" w:hAnsi="Verdana" w:cs="Arial"/>
          <w:bCs/>
          <w:vertAlign w:val="superscript"/>
          <w:lang w:val="es-ES" w:eastAsia="es-ES_tradnl"/>
        </w:rPr>
        <w:footnoteReference w:id="8"/>
      </w:r>
      <w:r w:rsidRPr="00ED0DB3">
        <w:rPr>
          <w:rFonts w:ascii="Verdana" w:eastAsia="Calibri" w:hAnsi="Verdana" w:cs="Arial"/>
          <w:bCs/>
          <w:lang w:val="es-ES" w:eastAsia="es-ES_tradnl"/>
        </w:rPr>
        <w:t>.</w:t>
      </w:r>
    </w:p>
    <w:p w14:paraId="51DE651B" w14:textId="77777777" w:rsidR="008C303F" w:rsidRDefault="008C303F" w:rsidP="008C303F">
      <w:pPr>
        <w:spacing w:after="120" w:line="276" w:lineRule="auto"/>
        <w:ind w:firstLine="708"/>
        <w:jc w:val="both"/>
        <w:rPr>
          <w:rFonts w:ascii="Verdana" w:hAnsi="Verdana"/>
        </w:rPr>
      </w:pPr>
      <w:r w:rsidRPr="00DA67B3">
        <w:rPr>
          <w:rFonts w:ascii="Verdana" w:hAnsi="Verdana"/>
        </w:rPr>
        <w:t xml:space="preserve">No obstante, </w:t>
      </w:r>
      <w:r w:rsidRPr="00651F93">
        <w:rPr>
          <w:rFonts w:ascii="Verdana" w:hAnsi="Verdana"/>
        </w:rPr>
        <w:t xml:space="preserve">el Registro Único de Proponentes </w:t>
      </w:r>
      <w:r w:rsidRPr="00C5378D">
        <w:rPr>
          <w:rFonts w:ascii="Verdana" w:eastAsia="Calibri" w:hAnsi="Verdana" w:cs="Arial"/>
          <w:lang w:val="es-ES" w:eastAsia="es-ES"/>
        </w:rPr>
        <w:t xml:space="preserve">– </w:t>
      </w:r>
      <w:r w:rsidRPr="002D172F">
        <w:rPr>
          <w:rFonts w:ascii="Verdana" w:eastAsia="Calibri" w:hAnsi="Verdana" w:cs="Arial"/>
          <w:lang w:eastAsia="es-ES_tradnl"/>
        </w:rPr>
        <w:t xml:space="preserve">RUP </w:t>
      </w:r>
      <w:r w:rsidRPr="00651F93">
        <w:rPr>
          <w:rFonts w:ascii="Verdana" w:hAnsi="Verdana"/>
        </w:rPr>
        <w:t xml:space="preserve">no resulta exigible en todos los procesos de selección. El inciso segundo del artículo 6 de la Ley 1150 de 2007 establece expresamente los casos en los cuales no se requiere dicho registro, entre ellos: los procesos de contratación directa, los contratos para la prestación de servicios de salud, los contratos de mínima cuantía, la enajenación de bienes del Estado, los contratos que tengan por objeto la adquisición de productos de origen o destinación agropecuaria ofrecidos en bolsas de productos legalmente constituidas, así como los actos y contratos que tengan por objeto directo las actividades comerciales e industriales propias de </w:t>
      </w:r>
      <w:r w:rsidRPr="00651F93">
        <w:rPr>
          <w:rFonts w:ascii="Verdana" w:hAnsi="Verdana"/>
        </w:rPr>
        <w:lastRenderedPageBreak/>
        <w:t>las empresas industriales y comerciales del Estado y de las sociedades de economía mixta, y los contratos de concesión de cualquier índole.</w:t>
      </w:r>
    </w:p>
    <w:p w14:paraId="5BD99FF0" w14:textId="756D8567" w:rsidR="008C303F" w:rsidRDefault="008C303F" w:rsidP="008C303F">
      <w:pPr>
        <w:spacing w:after="120" w:line="276" w:lineRule="auto"/>
        <w:ind w:firstLine="708"/>
        <w:jc w:val="both"/>
        <w:rPr>
          <w:rFonts w:ascii="Verdana" w:hAnsi="Verdana"/>
        </w:rPr>
      </w:pPr>
      <w:r w:rsidRPr="00DA67B3">
        <w:rPr>
          <w:rFonts w:ascii="Verdana" w:hAnsi="Verdana"/>
        </w:rPr>
        <w:t>La norma dispone que, en estos eventos, las entidades contratantes tienen del deber</w:t>
      </w:r>
      <w:r w:rsidRPr="00DA67B3">
        <w:rPr>
          <w:rFonts w:ascii="Verdana" w:hAnsi="Verdana"/>
          <w:spacing w:val="-6"/>
        </w:rPr>
        <w:t xml:space="preserve"> </w:t>
      </w:r>
      <w:r w:rsidRPr="00DA67B3">
        <w:rPr>
          <w:rFonts w:ascii="Verdana" w:hAnsi="Verdana"/>
        </w:rPr>
        <w:t>de</w:t>
      </w:r>
      <w:r w:rsidRPr="00DA67B3">
        <w:rPr>
          <w:rFonts w:ascii="Verdana" w:hAnsi="Verdana"/>
          <w:spacing w:val="-6"/>
        </w:rPr>
        <w:t xml:space="preserve"> </w:t>
      </w:r>
      <w:r w:rsidRPr="00DA67B3">
        <w:rPr>
          <w:rFonts w:ascii="Verdana" w:hAnsi="Verdana"/>
        </w:rPr>
        <w:t>verificar</w:t>
      </w:r>
      <w:r w:rsidRPr="00DA67B3">
        <w:rPr>
          <w:rFonts w:ascii="Verdana" w:hAnsi="Verdana"/>
          <w:spacing w:val="-6"/>
        </w:rPr>
        <w:t xml:space="preserve"> </w:t>
      </w:r>
      <w:r>
        <w:rPr>
          <w:rFonts w:ascii="Verdana" w:hAnsi="Verdana"/>
          <w:spacing w:val="-6"/>
        </w:rPr>
        <w:t xml:space="preserve">directamente </w:t>
      </w:r>
      <w:r w:rsidRPr="00DA67B3">
        <w:rPr>
          <w:rFonts w:ascii="Verdana" w:hAnsi="Verdana"/>
        </w:rPr>
        <w:t>el cumplimiento de los requisitos habilitantes o la Clasificación de Bienes y Servicios</w:t>
      </w:r>
      <w:r w:rsidRPr="00DA67B3">
        <w:rPr>
          <w:rFonts w:ascii="Verdana" w:hAnsi="Verdana"/>
          <w:vertAlign w:val="superscript"/>
        </w:rPr>
        <w:footnoteReference w:id="9"/>
      </w:r>
      <w:r w:rsidRPr="00DA67B3">
        <w:rPr>
          <w:rFonts w:ascii="Verdana" w:hAnsi="Verdana"/>
        </w:rPr>
        <w:t xml:space="preserve">. </w:t>
      </w:r>
      <w:r>
        <w:rPr>
          <w:rFonts w:ascii="Verdana" w:hAnsi="Verdana"/>
        </w:rPr>
        <w:t>Asimismo</w:t>
      </w:r>
      <w:r w:rsidRPr="00DA67B3">
        <w:rPr>
          <w:rFonts w:ascii="Verdana" w:hAnsi="Verdana"/>
        </w:rPr>
        <w:t>, el numeral 6.1. del artículo 6 de la Ley 1150 de 2007 establece que</w:t>
      </w:r>
      <w:r>
        <w:rPr>
          <w:rFonts w:ascii="Verdana" w:hAnsi="Verdana"/>
        </w:rPr>
        <w:t>,</w:t>
      </w:r>
      <w:r w:rsidRPr="00DA67B3">
        <w:rPr>
          <w:rFonts w:ascii="Verdana" w:hAnsi="Verdana"/>
        </w:rPr>
        <w:t xml:space="preserve"> </w:t>
      </w:r>
      <w:r w:rsidRPr="00E53DF9">
        <w:rPr>
          <w:rFonts w:ascii="Verdana" w:hAnsi="Verdana"/>
        </w:rPr>
        <w:t>cuando sea necesario constatar requisitos o información que no repose en el RUP, la entidad podrá solicitar información adicional exclusivamente con el propósito de complementar la contenida en dicho registro y verificar condiciones adicionales de experiencia del proponente. En consecuencia, solo cuando las particularidades del objeto contractual lo exijan, la entidad podrá efectuar la verificación directa de tales requisitos y requerir documentos distintos al RUP</w:t>
      </w:r>
      <w:r w:rsidR="00B76502">
        <w:rPr>
          <w:rFonts w:ascii="Verdana" w:hAnsi="Verdana"/>
        </w:rPr>
        <w:t xml:space="preserve">, </w:t>
      </w:r>
      <w:r w:rsidR="00B76502" w:rsidRPr="00B76502">
        <w:rPr>
          <w:rFonts w:ascii="Verdana" w:hAnsi="Verdana"/>
        </w:rPr>
        <w:t>conforme a lo previsto en el artículo 6, numeral 6.1</w:t>
      </w:r>
      <w:r w:rsidR="00626A3D">
        <w:rPr>
          <w:rFonts w:ascii="Verdana" w:hAnsi="Verdana"/>
        </w:rPr>
        <w:t xml:space="preserve"> </w:t>
      </w:r>
      <w:r w:rsidR="00B76502" w:rsidRPr="00B76502">
        <w:rPr>
          <w:rFonts w:ascii="Verdana" w:hAnsi="Verdana"/>
        </w:rPr>
        <w:t>de la Ley 1150 de 2007</w:t>
      </w:r>
      <w:r w:rsidRPr="00DA67B3">
        <w:rPr>
          <w:rFonts w:ascii="Verdana" w:hAnsi="Verdana"/>
          <w:vertAlign w:val="superscript"/>
        </w:rPr>
        <w:footnoteReference w:id="10"/>
      </w:r>
      <w:r w:rsidRPr="00DA67B3">
        <w:rPr>
          <w:rFonts w:ascii="Verdana" w:hAnsi="Verdana"/>
        </w:rPr>
        <w:t>.</w:t>
      </w:r>
    </w:p>
    <w:p w14:paraId="46D99FF1" w14:textId="77777777" w:rsidR="008C303F" w:rsidRDefault="008C303F" w:rsidP="008C303F">
      <w:pPr>
        <w:spacing w:after="120" w:line="276" w:lineRule="auto"/>
        <w:ind w:firstLine="708"/>
        <w:jc w:val="both"/>
        <w:rPr>
          <w:rFonts w:ascii="Verdana" w:hAnsi="Verdana" w:cs="Arial"/>
          <w:color w:val="000000" w:themeColor="text1"/>
          <w:lang w:val="es-ES"/>
        </w:rPr>
      </w:pPr>
      <w:r w:rsidRPr="00DA67B3">
        <w:rPr>
          <w:rFonts w:ascii="Verdana" w:hAnsi="Verdana" w:cs="Arial"/>
          <w:color w:val="000000" w:themeColor="text1"/>
          <w:lang w:val="es-ES"/>
        </w:rPr>
        <w:t xml:space="preserve">Así las cosas, </w:t>
      </w:r>
      <w:r w:rsidRPr="00193E20">
        <w:rPr>
          <w:rFonts w:ascii="Verdana" w:hAnsi="Verdana" w:cs="Arial"/>
          <w:color w:val="000000" w:themeColor="text1"/>
          <w:lang w:val="es-ES"/>
        </w:rPr>
        <w:t>cuando se trata de procesos de selección exceptuados de la obligación de inscripción en el RUP, las entidades estatales no pueden exigir dicho registro y, en consecuencia, deben verificar directamente las condiciones de experiencia, capacidad financiera y organizacional de los proponentes. Para ello, pueden acudir a otros medios de prueba idóneos, siempre que sean adecuados, proporcionales y garanticen los principios de selección objetiva y libre concurrencia.</w:t>
      </w:r>
      <w:r>
        <w:rPr>
          <w:rFonts w:ascii="Verdana" w:hAnsi="Verdana" w:cs="Arial"/>
          <w:color w:val="000000" w:themeColor="text1"/>
          <w:lang w:val="es-ES"/>
        </w:rPr>
        <w:t xml:space="preserve"> </w:t>
      </w:r>
      <w:r w:rsidRPr="00193E20">
        <w:rPr>
          <w:rFonts w:ascii="Verdana" w:hAnsi="Verdana" w:cs="Arial"/>
          <w:color w:val="000000" w:themeColor="text1"/>
          <w:lang w:val="es-ES"/>
        </w:rPr>
        <w:t>Esta interpretación ha sido ratificada por el Consejo de Estado, al precisar que en los eventos exceptuados del RUP las entidades conservan el deber de verificar los requisitos habilitantes del proponente por medios distintos al mencionado registro</w:t>
      </w:r>
      <w:r w:rsidRPr="00DA67B3">
        <w:rPr>
          <w:rFonts w:ascii="Verdana" w:hAnsi="Verdana" w:cs="Arial"/>
          <w:color w:val="000000" w:themeColor="text1"/>
          <w:vertAlign w:val="superscript"/>
          <w:lang w:val="es-ES"/>
        </w:rPr>
        <w:footnoteReference w:id="11"/>
      </w:r>
      <w:r w:rsidRPr="00DA67B3">
        <w:rPr>
          <w:rFonts w:ascii="Verdana" w:hAnsi="Verdana" w:cs="Arial"/>
          <w:color w:val="000000" w:themeColor="text1"/>
          <w:lang w:val="es-ES"/>
        </w:rPr>
        <w:t>.</w:t>
      </w:r>
    </w:p>
    <w:p w14:paraId="25D9ADA7" w14:textId="77777777" w:rsidR="008C303F" w:rsidRDefault="008C303F" w:rsidP="008C303F">
      <w:pPr>
        <w:spacing w:after="120" w:line="276" w:lineRule="auto"/>
        <w:ind w:firstLine="708"/>
        <w:jc w:val="both"/>
        <w:rPr>
          <w:rFonts w:ascii="Verdana" w:hAnsi="Verdana" w:cs="Arial"/>
          <w:color w:val="000000" w:themeColor="text1"/>
          <w:lang w:val="es-ES"/>
        </w:rPr>
      </w:pPr>
      <w:r w:rsidRPr="00E16D4F">
        <w:rPr>
          <w:rFonts w:ascii="Verdana" w:hAnsi="Verdana" w:cs="Arial"/>
          <w:color w:val="000000" w:themeColor="text1"/>
          <w:lang w:val="es-ES"/>
        </w:rPr>
        <w:t>Ahora bien, el inciso primero del artículo 6 de la Ley 1150 de 2007</w:t>
      </w:r>
      <w:r w:rsidRPr="00DA67B3">
        <w:rPr>
          <w:rFonts w:ascii="Verdana" w:hAnsi="Verdana" w:cs="Arial"/>
          <w:color w:val="000000" w:themeColor="text1"/>
          <w:vertAlign w:val="superscript"/>
          <w:lang w:val="es-ES"/>
        </w:rPr>
        <w:footnoteReference w:id="12"/>
      </w:r>
      <w:r w:rsidRPr="00E16D4F">
        <w:rPr>
          <w:rFonts w:ascii="Verdana" w:hAnsi="Verdana" w:cs="Arial"/>
          <w:color w:val="000000" w:themeColor="text1"/>
          <w:lang w:val="es-ES"/>
        </w:rPr>
        <w:t xml:space="preserve">, que regula los sujetos obligados a inscribirse en el Registro Único de Proponentes –RUP–, dispone que deben hacerlo las personas naturales o jurídicas, nacionales </w:t>
      </w:r>
      <w:r w:rsidRPr="00E16D4F">
        <w:rPr>
          <w:rFonts w:ascii="Verdana" w:hAnsi="Verdana" w:cs="Arial"/>
          <w:color w:val="000000" w:themeColor="text1"/>
          <w:lang w:val="es-ES"/>
        </w:rPr>
        <w:lastRenderedPageBreak/>
        <w:t>o extranjeras con domicilio o sucursal en el país.</w:t>
      </w:r>
      <w:r>
        <w:rPr>
          <w:rFonts w:ascii="Verdana" w:hAnsi="Verdana" w:cs="Arial"/>
          <w:color w:val="000000" w:themeColor="text1"/>
          <w:lang w:val="es-ES"/>
        </w:rPr>
        <w:t xml:space="preserve"> </w:t>
      </w:r>
      <w:r w:rsidRPr="00E16D4F">
        <w:rPr>
          <w:rFonts w:ascii="Verdana" w:hAnsi="Verdana" w:cs="Arial"/>
          <w:color w:val="000000" w:themeColor="text1"/>
          <w:lang w:val="es-ES"/>
        </w:rPr>
        <w:t>Estas personas están obligadas a registrarse en el RUP cuando concurran las siguientes condiciones: (i) pretendan celebrar contratos con entidades estatales y (</w:t>
      </w:r>
      <w:proofErr w:type="spellStart"/>
      <w:r w:rsidRPr="00E16D4F">
        <w:rPr>
          <w:rFonts w:ascii="Verdana" w:hAnsi="Verdana" w:cs="Arial"/>
          <w:color w:val="000000" w:themeColor="text1"/>
          <w:lang w:val="es-ES"/>
        </w:rPr>
        <w:t>ii</w:t>
      </w:r>
      <w:proofErr w:type="spellEnd"/>
      <w:r w:rsidRPr="00E16D4F">
        <w:rPr>
          <w:rFonts w:ascii="Verdana" w:hAnsi="Verdana" w:cs="Arial"/>
          <w:color w:val="000000" w:themeColor="text1"/>
          <w:lang w:val="es-ES"/>
        </w:rPr>
        <w:t>) el procedimiento de selección no se encuentre dentro de los casos exceptuados de dicha obligación, conforme a lo previsto en el inciso segundo del mismo artículo</w:t>
      </w:r>
      <w:r w:rsidRPr="00DA67B3">
        <w:rPr>
          <w:rFonts w:ascii="Verdana" w:hAnsi="Verdana" w:cs="Arial"/>
          <w:color w:val="000000" w:themeColor="text1"/>
          <w:vertAlign w:val="superscript"/>
          <w:lang w:val="es-ES"/>
        </w:rPr>
        <w:footnoteReference w:id="13"/>
      </w:r>
      <w:r w:rsidRPr="00E16D4F">
        <w:rPr>
          <w:rFonts w:ascii="Verdana" w:hAnsi="Verdana" w:cs="Arial"/>
          <w:color w:val="000000" w:themeColor="text1"/>
          <w:lang w:val="es-ES"/>
        </w:rPr>
        <w:t>.</w:t>
      </w:r>
      <w:r>
        <w:rPr>
          <w:rFonts w:ascii="Verdana" w:hAnsi="Verdana" w:cs="Arial"/>
          <w:color w:val="000000" w:themeColor="text1"/>
          <w:lang w:val="es-ES"/>
        </w:rPr>
        <w:t xml:space="preserve"> </w:t>
      </w:r>
    </w:p>
    <w:p w14:paraId="2AE7B5FD" w14:textId="77777777" w:rsidR="008C303F" w:rsidRDefault="008C303F" w:rsidP="008C303F">
      <w:pPr>
        <w:spacing w:after="120" w:line="276" w:lineRule="auto"/>
        <w:ind w:firstLine="708"/>
        <w:jc w:val="both"/>
        <w:rPr>
          <w:rFonts w:ascii="Verdana" w:hAnsi="Verdana" w:cs="Arial"/>
          <w:color w:val="000000" w:themeColor="text1"/>
          <w:lang w:val="es-ES"/>
        </w:rPr>
      </w:pPr>
      <w:r w:rsidRPr="00DA67B3">
        <w:rPr>
          <w:rFonts w:ascii="Verdana" w:hAnsi="Verdana" w:cs="Arial"/>
          <w:color w:val="000000" w:themeColor="text1"/>
          <w:lang w:val="es-ES"/>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p>
    <w:p w14:paraId="163D67FB" w14:textId="77777777" w:rsidR="008C303F" w:rsidRDefault="008C303F" w:rsidP="008C303F">
      <w:pPr>
        <w:spacing w:after="120" w:line="276" w:lineRule="auto"/>
        <w:ind w:firstLine="708"/>
        <w:jc w:val="both"/>
        <w:rPr>
          <w:rFonts w:ascii="Verdana" w:hAnsi="Verdana"/>
          <w:lang w:val="es-ES"/>
        </w:rPr>
      </w:pPr>
      <w:r w:rsidRPr="00820371">
        <w:rPr>
          <w:rFonts w:ascii="Verdana" w:hAnsi="Verdana"/>
          <w:lang w:val="es-ES"/>
        </w:rPr>
        <w:t>En el mismo sentido, las disposiciones reglamentarias contenidas en el Decreto 1082 de 2015 precisan los aspectos operativos relacionados con el RUP, al establecer quiénes deben inscribirse, el momento y condiciones para su renovación, la información susceptible de actualización, así como la posibilidad de solicitar la cancelación de la inscripción en cualquier momento ante la Cámara de Comercio competente</w:t>
      </w:r>
      <w:r w:rsidRPr="00DA67B3">
        <w:rPr>
          <w:rFonts w:ascii="Verdana" w:hAnsi="Verdana" w:cs="Arial"/>
          <w:color w:val="000000" w:themeColor="text1"/>
          <w:vertAlign w:val="superscript"/>
          <w:lang w:val="es-ES"/>
        </w:rPr>
        <w:footnoteReference w:id="14"/>
      </w:r>
      <w:r w:rsidRPr="00820371">
        <w:rPr>
          <w:rFonts w:ascii="Verdana" w:hAnsi="Verdana"/>
          <w:lang w:val="es-ES"/>
        </w:rPr>
        <w:t>.</w:t>
      </w:r>
    </w:p>
    <w:p w14:paraId="4CCABD15" w14:textId="77777777" w:rsidR="008C303F" w:rsidRDefault="008C303F" w:rsidP="008C303F">
      <w:pPr>
        <w:spacing w:after="120" w:line="276" w:lineRule="auto"/>
        <w:ind w:firstLine="708"/>
        <w:jc w:val="both"/>
        <w:rPr>
          <w:rFonts w:ascii="Verdana" w:hAnsi="Verdana"/>
          <w:lang w:val="es-ES"/>
        </w:rPr>
      </w:pPr>
      <w:r w:rsidRPr="00557E38">
        <w:rPr>
          <w:rFonts w:ascii="Verdana" w:hAnsi="Verdana"/>
          <w:lang w:val="es-ES"/>
        </w:rPr>
        <w:t>Conforme a lo anterior, el Registro Único de Proponentes –RUP– constituye plena prueba de las circunstancias que en él consten y que hayan sido verificadas por las Cámaras de Comercio. En consecuencia, cuando su exigencia resulte aplicable, es a través de este documento que las entidades estatales deben verificar las condiciones previstas en el numeral 1 del artículo 5 de la Ley 1150 de 2007.</w:t>
      </w:r>
    </w:p>
    <w:p w14:paraId="18C4B19D" w14:textId="201E98F5" w:rsidR="008C303F" w:rsidRDefault="008C303F" w:rsidP="008C303F">
      <w:pPr>
        <w:spacing w:after="120" w:line="276" w:lineRule="auto"/>
        <w:ind w:firstLine="708"/>
        <w:jc w:val="both"/>
        <w:rPr>
          <w:rFonts w:ascii="Verdana" w:hAnsi="Verdana"/>
          <w:lang w:val="es-ES"/>
        </w:rPr>
      </w:pPr>
      <w:r w:rsidRPr="00AB60C8">
        <w:rPr>
          <w:rFonts w:ascii="Verdana" w:hAnsi="Verdana"/>
          <w:lang w:val="es-ES"/>
        </w:rPr>
        <w:t>En contraste, cuando por las características del objeto a contratar y con la finalidad de acreditar los aspectos necesarios para la escogencia del proponente, se requieran verificar requisitos o información adicional a los contenidos en el RUP, las entidades deben hacer la verificación de forma directa. Esto también sucede en los procedimientos de selección en los cuales no exigible el RUP, de acuerdo con lo establecido en el inciso segundo del artículo 6 de la Ley 1150 de 2007</w:t>
      </w:r>
      <w:r w:rsidR="004C0A7C">
        <w:rPr>
          <w:rFonts w:ascii="Verdana" w:hAnsi="Verdana"/>
          <w:lang w:val="es-ES"/>
        </w:rPr>
        <w:t xml:space="preserve"> que indica</w:t>
      </w:r>
      <w:r w:rsidR="008322F4">
        <w:rPr>
          <w:rFonts w:ascii="Verdana" w:hAnsi="Verdana"/>
          <w:lang w:val="es-ES"/>
        </w:rPr>
        <w:t xml:space="preserve"> </w:t>
      </w:r>
    </w:p>
    <w:p w14:paraId="4CDE857D" w14:textId="77777777" w:rsidR="008C303F" w:rsidRPr="00AB60C8" w:rsidRDefault="008C303F" w:rsidP="008C303F">
      <w:pPr>
        <w:spacing w:after="120" w:line="276" w:lineRule="auto"/>
        <w:ind w:firstLine="708"/>
        <w:jc w:val="both"/>
        <w:rPr>
          <w:rFonts w:ascii="Verdana" w:hAnsi="Verdana"/>
          <w:lang w:val="es-ES"/>
        </w:rPr>
      </w:pPr>
      <w:r w:rsidRPr="004C543B">
        <w:rPr>
          <w:rFonts w:ascii="Verdana" w:hAnsi="Verdana"/>
          <w:lang w:val="es-ES"/>
        </w:rPr>
        <w:lastRenderedPageBreak/>
        <w:t>En ambos supuestos, la entidad estatal, en ejercicio de su autonomía y potestad de dirección en materia contractual, deberá precisar en los Documentos del Proceso —particularmente en el pliego de condiciones o la invitación— los documentos o medios de prueba que exigirá a los proponentes para acreditar las circunstancias necesarias.</w:t>
      </w:r>
    </w:p>
    <w:p w14:paraId="0FB3E1C2" w14:textId="77777777" w:rsidR="008C303F" w:rsidRDefault="008C303F" w:rsidP="008C303F">
      <w:pPr>
        <w:spacing w:after="0" w:line="276" w:lineRule="auto"/>
        <w:ind w:firstLine="708"/>
        <w:jc w:val="both"/>
        <w:rPr>
          <w:rFonts w:ascii="Verdana" w:hAnsi="Verdana"/>
          <w:lang w:val="es-ES"/>
        </w:rPr>
      </w:pPr>
      <w:r>
        <w:rPr>
          <w:rFonts w:ascii="Verdana" w:hAnsi="Verdana"/>
          <w:lang w:val="es-ES"/>
        </w:rPr>
        <w:t>De otro lado</w:t>
      </w:r>
      <w:r w:rsidRPr="00A91777">
        <w:rPr>
          <w:rFonts w:ascii="Verdana" w:hAnsi="Verdana"/>
          <w:lang w:val="es-ES"/>
        </w:rPr>
        <w:t xml:space="preserve">, el numeral 1.2 del artículo 2.2.1.1.1.5.2 del Decreto 1082 de 2015 establece los documentos necesarios para acreditar la experiencia en el Registro Único de Proponentes –RUP–, en los siguientes términos: </w:t>
      </w:r>
    </w:p>
    <w:p w14:paraId="02E87EAF" w14:textId="77777777" w:rsidR="008C303F" w:rsidRDefault="008C303F" w:rsidP="008C303F">
      <w:pPr>
        <w:spacing w:after="0" w:line="276" w:lineRule="auto"/>
        <w:ind w:firstLine="708"/>
        <w:jc w:val="both"/>
        <w:rPr>
          <w:rFonts w:ascii="Verdana" w:hAnsi="Verdana"/>
          <w:lang w:val="es-ES"/>
        </w:rPr>
      </w:pPr>
    </w:p>
    <w:p w14:paraId="2C50C3B0" w14:textId="77777777" w:rsidR="008C303F" w:rsidRDefault="008C303F" w:rsidP="008C303F">
      <w:pPr>
        <w:tabs>
          <w:tab w:val="left" w:pos="8505"/>
        </w:tabs>
        <w:ind w:left="709" w:right="709"/>
        <w:contextualSpacing/>
        <w:jc w:val="both"/>
        <w:rPr>
          <w:rFonts w:ascii="Verdana" w:hAnsi="Verdana" w:cs="Arial"/>
          <w:color w:val="000000" w:themeColor="text1"/>
          <w:sz w:val="21"/>
          <w:szCs w:val="21"/>
        </w:rPr>
      </w:pPr>
      <w:r w:rsidRPr="00A91777">
        <w:rPr>
          <w:rFonts w:ascii="Verdana" w:hAnsi="Verdana" w:cs="Arial"/>
          <w:color w:val="000000" w:themeColor="text1"/>
          <w:sz w:val="21"/>
          <w:szCs w:val="21"/>
        </w:rPr>
        <w:t>“Certificados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pueda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316FEEB0" w14:textId="77777777" w:rsidR="008C303F" w:rsidRDefault="008C303F" w:rsidP="008C303F">
      <w:pPr>
        <w:spacing w:after="0" w:line="276" w:lineRule="auto"/>
        <w:ind w:firstLine="708"/>
        <w:jc w:val="both"/>
        <w:rPr>
          <w:rFonts w:ascii="Verdana" w:eastAsia="Calibri" w:hAnsi="Verdana" w:cs="Arial"/>
          <w:bCs/>
          <w:lang w:val="es-ES" w:eastAsia="es-ES_tradnl"/>
        </w:rPr>
      </w:pPr>
    </w:p>
    <w:p w14:paraId="2E24A5D0" w14:textId="77777777" w:rsidR="008C303F" w:rsidRDefault="008C303F" w:rsidP="008C303F">
      <w:pPr>
        <w:spacing w:after="120" w:line="276" w:lineRule="auto"/>
        <w:ind w:firstLine="708"/>
        <w:jc w:val="both"/>
        <w:rPr>
          <w:rFonts w:ascii="Verdana" w:eastAsia="Calibri" w:hAnsi="Verdana" w:cs="Arial"/>
          <w:bCs/>
          <w:lang w:val="es-ES" w:eastAsia="es-ES_tradnl"/>
        </w:rPr>
      </w:pPr>
      <w:r w:rsidRPr="00487AC1">
        <w:rPr>
          <w:rFonts w:ascii="Verdana" w:eastAsia="Calibri" w:hAnsi="Verdana" w:cs="Arial"/>
          <w:bCs/>
          <w:lang w:val="es-ES" w:eastAsia="es-ES_tradnl"/>
        </w:rPr>
        <w:t>Esta disposición delimita los medios idóneos para acreditar la experiencia ante las Cámaras de Comercio, permitiendo tanto los certificados expedidos por el contratante como, en su defecto, las copias de los contratos ejecutados, siempre que se identifique claramente el objeto del servicio conforme al Clasificador de Bienes y Servicios.</w:t>
      </w:r>
    </w:p>
    <w:p w14:paraId="4EF9E82A" w14:textId="77777777" w:rsidR="008C303F" w:rsidRPr="006C369E" w:rsidRDefault="008C303F" w:rsidP="008C303F">
      <w:pPr>
        <w:spacing w:after="120" w:line="276" w:lineRule="auto"/>
        <w:ind w:firstLine="708"/>
        <w:jc w:val="both"/>
        <w:rPr>
          <w:rFonts w:ascii="Verdana" w:eastAsia="Calibri" w:hAnsi="Verdana" w:cs="Arial"/>
          <w:bCs/>
          <w:lang w:eastAsia="es-ES_tradnl"/>
        </w:rPr>
      </w:pPr>
      <w:r w:rsidRPr="00F02635">
        <w:rPr>
          <w:rFonts w:ascii="Verdana" w:eastAsia="Calibri" w:hAnsi="Verdana" w:cs="Arial"/>
          <w:bCs/>
          <w:lang w:eastAsia="es-ES_tradnl"/>
        </w:rPr>
        <w:t>Finalmente, en caso de que el contratante privado no haya expedido el certificado que acredite la experiencia o la ejecución de los servicios prestados, se sugiere a la persona interesada acudir al derecho de petición, previsto en el artículo 23 de la Constitución Política y desarrollado por la Ley 1755 de 2015, como un mecanismo adecuado para solicitar la expedición de dicho documento. Mediante esta solicitud, el interesado puede requerir que se certifiquen aspectos esenciales de la relación contractual, tales como el objeto, el periodo de ejecución y el cumplimiento de las obligaciones, de manera que cuente con un medio probatorio formal e idóneo que respalde la experiencia adquirida frente a futuros procesos de contratación estatal.</w:t>
      </w:r>
    </w:p>
    <w:p w14:paraId="644C77A9" w14:textId="77777777" w:rsidR="008C303F" w:rsidRPr="000F1385" w:rsidRDefault="008C303F" w:rsidP="008C303F">
      <w:pPr>
        <w:widowControl w:val="0"/>
        <w:autoSpaceDE w:val="0"/>
        <w:autoSpaceDN w:val="0"/>
        <w:spacing w:after="120" w:line="276" w:lineRule="auto"/>
        <w:ind w:right="104" w:firstLine="708"/>
        <w:jc w:val="both"/>
        <w:rPr>
          <w:rFonts w:ascii="Verdana" w:eastAsia="Arial MT" w:hAnsi="Verdana" w:cs="Arial"/>
          <w:lang w:val="es-ES"/>
        </w:rPr>
      </w:pPr>
      <w:r>
        <w:rPr>
          <w:rFonts w:ascii="Verdana" w:eastAsia="Calibri" w:hAnsi="Verdana"/>
        </w:rPr>
        <w:t>(</w:t>
      </w:r>
      <w:proofErr w:type="spellStart"/>
      <w:r>
        <w:rPr>
          <w:rFonts w:ascii="Verdana" w:eastAsia="Calibri" w:hAnsi="Verdana"/>
        </w:rPr>
        <w:t>iii</w:t>
      </w:r>
      <w:proofErr w:type="spellEnd"/>
      <w:r>
        <w:rPr>
          <w:rFonts w:ascii="Verdana" w:eastAsia="Calibri" w:hAnsi="Verdana"/>
        </w:rPr>
        <w:t xml:space="preserve">) Frete al último interrogante, es preciso indicar que </w:t>
      </w:r>
      <w:r>
        <w:rPr>
          <w:rFonts w:ascii="Verdana" w:eastAsia="Arial MT" w:hAnsi="Verdana" w:cs="Arial"/>
          <w:lang w:val="es-ES"/>
        </w:rPr>
        <w:t>l</w:t>
      </w:r>
      <w:r w:rsidRPr="000F1385">
        <w:rPr>
          <w:rFonts w:ascii="Verdana" w:eastAsia="Arial MT" w:hAnsi="Verdana" w:cs="Arial"/>
          <w:lang w:val="es-ES"/>
        </w:rPr>
        <w:t xml:space="preserve">as normas de contratación estatal establecen que las personas naturales o jurídicas </w:t>
      </w:r>
      <w:r w:rsidRPr="000F1385">
        <w:rPr>
          <w:rFonts w:ascii="Verdana" w:eastAsia="Arial MT" w:hAnsi="Verdana" w:cs="Arial"/>
          <w:lang w:val="es-ES"/>
        </w:rPr>
        <w:lastRenderedPageBreak/>
        <w:t>nacionales o extranjeras que deseen celebrar contratos estatales deberán estar inscritos en el Registro Único de Proponente –</w:t>
      </w:r>
      <w:r w:rsidRPr="000F1385">
        <w:rPr>
          <w:rFonts w:ascii="Verdana" w:eastAsia="Arial MT" w:hAnsi="Verdana" w:cs="Arial"/>
          <w:spacing w:val="-6"/>
          <w:lang w:val="es-ES"/>
        </w:rPr>
        <w:t xml:space="preserve"> </w:t>
      </w:r>
      <w:r w:rsidRPr="000F1385">
        <w:rPr>
          <w:rFonts w:ascii="Verdana" w:eastAsia="Arial MT" w:hAnsi="Verdana" w:cs="Arial"/>
          <w:lang w:val="es-ES"/>
        </w:rPr>
        <w:t>RUP</w:t>
      </w:r>
      <w:r w:rsidRPr="000F1385">
        <w:rPr>
          <w:rFonts w:ascii="Verdana" w:eastAsia="Arial MT" w:hAnsi="Verdana" w:cs="Arial"/>
          <w:vertAlign w:val="superscript"/>
          <w:lang w:val="es-ES"/>
        </w:rPr>
        <w:footnoteReference w:id="15"/>
      </w:r>
      <w:r w:rsidRPr="000F1385">
        <w:rPr>
          <w:rFonts w:ascii="Verdana" w:eastAsia="Arial MT" w:hAnsi="Verdana" w:cs="Arial"/>
          <w:lang w:val="es-ES"/>
        </w:rPr>
        <w:t>. De acuerdo 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r w:rsidRPr="000F1385">
        <w:rPr>
          <w:rFonts w:ascii="Verdana" w:eastAsia="Arial MT" w:hAnsi="Verdana" w:cs="Arial"/>
          <w:vertAlign w:val="superscript"/>
          <w:lang w:val="es-ES"/>
        </w:rPr>
        <w:footnoteReference w:id="16"/>
      </w:r>
      <w:r w:rsidRPr="000F1385">
        <w:rPr>
          <w:rFonts w:ascii="Verdana" w:eastAsia="Arial MT" w:hAnsi="Verdana" w:cs="Arial"/>
          <w:lang w:val="es-ES"/>
        </w:rPr>
        <w:t>.</w:t>
      </w:r>
    </w:p>
    <w:p w14:paraId="64977784" w14:textId="77777777" w:rsidR="008C303F" w:rsidRPr="000F1385" w:rsidRDefault="008C303F" w:rsidP="008C303F">
      <w:pPr>
        <w:widowControl w:val="0"/>
        <w:autoSpaceDE w:val="0"/>
        <w:autoSpaceDN w:val="0"/>
        <w:spacing w:after="120" w:line="276" w:lineRule="auto"/>
        <w:ind w:right="102"/>
        <w:jc w:val="both"/>
        <w:rPr>
          <w:rFonts w:ascii="Verdana" w:eastAsia="Arial MT" w:hAnsi="Verdana" w:cs="Arial"/>
          <w:lang w:val="es-ES"/>
        </w:rPr>
      </w:pPr>
      <w:r w:rsidRPr="000F1385">
        <w:rPr>
          <w:rFonts w:ascii="Verdana" w:eastAsia="Arial MT" w:hAnsi="Verdana" w:cs="Arial"/>
          <w:lang w:val="es-ES"/>
        </w:rPr>
        <w:tab/>
        <w:t xml:space="preserve">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 </w:t>
      </w:r>
    </w:p>
    <w:p w14:paraId="21D0FD17" w14:textId="77777777" w:rsidR="008C303F" w:rsidRPr="000F1385" w:rsidRDefault="008C303F" w:rsidP="008C303F">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lastRenderedPageBreak/>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w:t>
      </w:r>
      <w:proofErr w:type="spellStart"/>
      <w:r w:rsidRPr="000F1385">
        <w:rPr>
          <w:rFonts w:ascii="Verdana" w:eastAsia="Times New Roman" w:hAnsi="Verdana" w:cs="Arial"/>
          <w:bdr w:val="none" w:sz="0" w:space="0" w:color="auto" w:frame="1"/>
          <w:lang w:val="es-MX" w:eastAsia="es-CO"/>
        </w:rPr>
        <w:t>The</w:t>
      </w:r>
      <w:proofErr w:type="spellEnd"/>
      <w:r w:rsidRPr="000F1385">
        <w:rPr>
          <w:rFonts w:ascii="Verdana" w:eastAsia="Times New Roman" w:hAnsi="Verdana" w:cs="Arial"/>
          <w:bdr w:val="none" w:sz="0" w:space="0" w:color="auto" w:frame="1"/>
          <w:lang w:val="es-MX" w:eastAsia="es-CO"/>
        </w:rPr>
        <w:t xml:space="preserve"> </w:t>
      </w:r>
      <w:proofErr w:type="spellStart"/>
      <w:r w:rsidRPr="000F1385">
        <w:rPr>
          <w:rFonts w:ascii="Verdana" w:eastAsia="Times New Roman" w:hAnsi="Verdana" w:cs="Arial"/>
          <w:bdr w:val="none" w:sz="0" w:space="0" w:color="auto" w:frame="1"/>
          <w:lang w:val="es-MX" w:eastAsia="es-CO"/>
        </w:rPr>
        <w:t>United</w:t>
      </w:r>
      <w:proofErr w:type="spellEnd"/>
      <w:r w:rsidRPr="000F1385">
        <w:rPr>
          <w:rFonts w:ascii="Verdana" w:eastAsia="Times New Roman" w:hAnsi="Verdana" w:cs="Arial"/>
          <w:bdr w:val="none" w:sz="0" w:space="0" w:color="auto" w:frame="1"/>
          <w:lang w:val="es-MX" w:eastAsia="es-CO"/>
        </w:rPr>
        <w:t xml:space="preserve"> </w:t>
      </w:r>
      <w:proofErr w:type="spellStart"/>
      <w:r w:rsidRPr="000F1385">
        <w:rPr>
          <w:rFonts w:ascii="Verdana" w:eastAsia="Times New Roman" w:hAnsi="Verdana" w:cs="Arial"/>
          <w:bdr w:val="none" w:sz="0" w:space="0" w:color="auto" w:frame="1"/>
          <w:lang w:val="es-MX" w:eastAsia="es-CO"/>
        </w:rPr>
        <w:t>Nations</w:t>
      </w:r>
      <w:proofErr w:type="spellEnd"/>
      <w:r w:rsidRPr="000F1385">
        <w:rPr>
          <w:rFonts w:ascii="Verdana" w:eastAsia="Times New Roman" w:hAnsi="Verdana" w:cs="Arial"/>
          <w:bdr w:val="none" w:sz="0" w:space="0" w:color="auto" w:frame="1"/>
          <w:lang w:val="es-MX" w:eastAsia="es-CO"/>
        </w:rPr>
        <w:t xml:space="preserve"> Standard </w:t>
      </w:r>
      <w:proofErr w:type="spellStart"/>
      <w:r w:rsidRPr="000F1385">
        <w:rPr>
          <w:rFonts w:ascii="Verdana" w:eastAsia="Times New Roman" w:hAnsi="Verdana" w:cs="Arial"/>
          <w:bdr w:val="none" w:sz="0" w:space="0" w:color="auto" w:frame="1"/>
          <w:lang w:val="es-MX" w:eastAsia="es-CO"/>
        </w:rPr>
        <w:t>Products</w:t>
      </w:r>
      <w:proofErr w:type="spellEnd"/>
      <w:r w:rsidRPr="000F1385">
        <w:rPr>
          <w:rFonts w:ascii="Verdana" w:eastAsia="Times New Roman" w:hAnsi="Verdana" w:cs="Arial"/>
          <w:bdr w:val="none" w:sz="0" w:space="0" w:color="auto" w:frame="1"/>
          <w:lang w:val="es-MX" w:eastAsia="es-CO"/>
        </w:rPr>
        <w:t xml:space="preserve"> and </w:t>
      </w:r>
      <w:proofErr w:type="spellStart"/>
      <w:r w:rsidRPr="000F1385">
        <w:rPr>
          <w:rFonts w:ascii="Verdana" w:eastAsia="Times New Roman" w:hAnsi="Verdana" w:cs="Arial"/>
          <w:bdr w:val="none" w:sz="0" w:space="0" w:color="auto" w:frame="1"/>
          <w:lang w:val="es-MX" w:eastAsia="es-CO"/>
        </w:rPr>
        <w:t>Services</w:t>
      </w:r>
      <w:proofErr w:type="spellEnd"/>
      <w:r w:rsidRPr="000F1385">
        <w:rPr>
          <w:rFonts w:ascii="Verdana" w:eastAsia="Times New Roman" w:hAnsi="Verdana" w:cs="Arial"/>
          <w:bdr w:val="none" w:sz="0" w:space="0" w:color="auto" w:frame="1"/>
          <w:lang w:val="es-MX" w:eastAsia="es-CO"/>
        </w:rPr>
        <w:t xml:space="preserve"> </w:t>
      </w:r>
      <w:proofErr w:type="spellStart"/>
      <w:r w:rsidRPr="000F1385">
        <w:rPr>
          <w:rFonts w:ascii="Verdana" w:eastAsia="Times New Roman" w:hAnsi="Verdana" w:cs="Arial"/>
          <w:bdr w:val="none" w:sz="0" w:space="0" w:color="auto" w:frame="1"/>
          <w:lang w:val="es-MX" w:eastAsia="es-CO"/>
        </w:rPr>
        <w:t>Code</w:t>
      </w:r>
      <w:proofErr w:type="spellEnd"/>
      <w:r w:rsidRPr="000F1385">
        <w:rPr>
          <w:rFonts w:ascii="Verdana" w:eastAsia="Times New Roman" w:hAnsi="Verdana" w:cs="Arial"/>
          <w:bdr w:val="none" w:sz="0" w:space="0" w:color="auto" w:frame="1"/>
          <w:lang w:val="es-MX" w:eastAsia="es-CO"/>
        </w:rPr>
        <w:t>®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r w:rsidRPr="000F1385">
        <w:rPr>
          <w:rFonts w:ascii="Verdana" w:eastAsia="Times New Roman" w:hAnsi="Verdana" w:cs="Arial"/>
          <w:bdr w:val="none" w:sz="0" w:space="0" w:color="auto" w:frame="1"/>
          <w:vertAlign w:val="superscript"/>
          <w:lang w:val="es-MX" w:eastAsia="es-CO"/>
        </w:rPr>
        <w:footnoteReference w:id="17"/>
      </w:r>
      <w:r w:rsidRPr="000F1385">
        <w:rPr>
          <w:rFonts w:ascii="Verdana" w:eastAsia="Times New Roman" w:hAnsi="Verdana" w:cs="Arial"/>
          <w:bdr w:val="none" w:sz="0" w:space="0" w:color="auto" w:frame="1"/>
          <w:lang w:val="es-MX" w:eastAsia="es-CO"/>
        </w:rPr>
        <w:t>.</w:t>
      </w:r>
    </w:p>
    <w:p w14:paraId="698A11AD" w14:textId="77777777" w:rsidR="008C303F" w:rsidRPr="000F1385" w:rsidRDefault="008C303F" w:rsidP="008C303F">
      <w:pPr>
        <w:widowControl w:val="0"/>
        <w:autoSpaceDE w:val="0"/>
        <w:autoSpaceDN w:val="0"/>
        <w:spacing w:after="120" w:line="276" w:lineRule="auto"/>
        <w:ind w:right="102" w:firstLine="607"/>
        <w:jc w:val="both"/>
        <w:rPr>
          <w:rFonts w:ascii="Verdana" w:eastAsia="Times New Roman" w:hAnsi="Verdana" w:cs="Arial"/>
          <w:bdr w:val="none" w:sz="0" w:space="0" w:color="auto" w:frame="1"/>
          <w:lang w:val="es-MX"/>
        </w:rPr>
      </w:pPr>
      <w:r w:rsidRPr="000F1385">
        <w:rPr>
          <w:rFonts w:ascii="Verdana" w:eastAsia="Times New Roman" w:hAnsi="Verdana" w:cs="Arial"/>
          <w:bdr w:val="none" w:sz="0" w:space="0" w:color="auto" w:frame="1"/>
          <w:lang w:val="es-ES"/>
        </w:rPr>
        <w:t xml:space="preserve">Por otro lado, el artículo 2.2.1.1.1.4.1 del Decreto 1082 de 2015, referente al deber de elaborar el Plan Anual de Adquisiciones, establece que en la expedición de dicho documento las entidades deben “señalar la necesidad y cuando conoce el bien, obra o servicio que satisface esa necesidad debe identificarlo utilizando el </w:t>
      </w:r>
      <w:proofErr w:type="spellStart"/>
      <w:r w:rsidRPr="000F1385">
        <w:rPr>
          <w:rFonts w:ascii="Verdana" w:eastAsia="Times New Roman" w:hAnsi="Verdana" w:cs="Arial"/>
          <w:bdr w:val="none" w:sz="0" w:space="0" w:color="auto" w:frame="1"/>
          <w:lang w:val="es-ES"/>
        </w:rPr>
        <w:t>Clasiﬁcador</w:t>
      </w:r>
      <w:proofErr w:type="spellEnd"/>
      <w:r w:rsidRPr="000F1385">
        <w:rPr>
          <w:rFonts w:ascii="Verdana" w:eastAsia="Times New Roman" w:hAnsi="Verdana" w:cs="Arial"/>
          <w:bdr w:val="none" w:sz="0" w:space="0" w:color="auto" w:frame="1"/>
          <w:lang w:val="es-ES"/>
        </w:rPr>
        <w:t xml:space="preserve"> de Bienes y Servicios”</w:t>
      </w:r>
      <w:r w:rsidRPr="000F1385">
        <w:rPr>
          <w:rFonts w:ascii="Verdana" w:eastAsia="Times New Roman" w:hAnsi="Verdana" w:cs="Arial"/>
          <w:bdr w:val="none" w:sz="0" w:space="0" w:color="auto" w:frame="1"/>
          <w:vertAlign w:val="superscript"/>
          <w:lang w:val="es-ES"/>
        </w:rPr>
        <w:footnoteReference w:id="18"/>
      </w:r>
      <w:r w:rsidRPr="000F1385">
        <w:rPr>
          <w:rFonts w:ascii="Verdana" w:eastAsia="Times New Roman" w:hAnsi="Verdana" w:cs="Arial"/>
          <w:bdr w:val="none" w:sz="0" w:space="0" w:color="auto" w:frame="1"/>
          <w:lang w:val="es-ES"/>
        </w:rPr>
        <w:t>.</w:t>
      </w:r>
      <w:r w:rsidRPr="000F1385">
        <w:rPr>
          <w:rFonts w:ascii="Verdana" w:eastAsia="Times New Roman" w:hAnsi="Verdana" w:cs="Arial"/>
          <w:bdr w:val="none" w:sz="0" w:space="0" w:color="auto" w:frame="1"/>
          <w:lang w:val="es-MX"/>
        </w:rPr>
        <w:t>  </w:t>
      </w:r>
    </w:p>
    <w:p w14:paraId="70D50E22" w14:textId="77777777" w:rsidR="008C303F" w:rsidRPr="000F1385" w:rsidRDefault="008C303F" w:rsidP="008C303F">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t xml:space="preserve">Por su parte, el artículo 2.2.1.1.1.5.2 del Decreto 1082 de 2015, al desarrollar la información requerida para la inscripción, actualización y renovación del RUP, establece que los proponentes deben establecer los bienes y servicios que ofrecerán identificados Clasificador de Bienes y Servicios en el tercer nivel. Así mismo el numeral 2.5 de este artículo establece que en los certificados de experiencia presentados para inscripción o actualización del RUP, los proponentes deben indicar en “cada certificado o en cada copia de los contratos, los bienes, obras y servicios a los cuales corresponde la experiencia </w:t>
      </w:r>
      <w:r w:rsidRPr="000F1385">
        <w:rPr>
          <w:rFonts w:ascii="Verdana" w:eastAsia="Arial MT" w:hAnsi="Verdana" w:cs="Arial"/>
          <w:lang w:val="es-ES"/>
        </w:rPr>
        <w:lastRenderedPageBreak/>
        <w:t>que pretende acreditar, identificándolos con el Clasificador de Bienes y Servicios en el tercer nivel”</w:t>
      </w:r>
      <w:r w:rsidRPr="000F1385">
        <w:rPr>
          <w:rFonts w:ascii="Verdana" w:eastAsia="Arial MT" w:hAnsi="Verdana" w:cs="Arial"/>
          <w:vertAlign w:val="superscript"/>
          <w:lang w:val="es-ES"/>
        </w:rPr>
        <w:footnoteReference w:id="19"/>
      </w:r>
      <w:r w:rsidRPr="000F1385">
        <w:rPr>
          <w:rFonts w:ascii="Verdana" w:eastAsia="Arial MT" w:hAnsi="Verdana" w:cs="Arial"/>
          <w:lang w:val="es-ES"/>
        </w:rPr>
        <w:t xml:space="preserve">. </w:t>
      </w:r>
    </w:p>
    <w:p w14:paraId="388C2AF5" w14:textId="77777777" w:rsidR="008C303F" w:rsidRPr="000F1385" w:rsidRDefault="008C303F" w:rsidP="008C303F">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w:t>
      </w:r>
      <w:proofErr w:type="spellStart"/>
      <w:r w:rsidRPr="000F1385">
        <w:rPr>
          <w:rFonts w:ascii="Verdana" w:eastAsia="Arial MT" w:hAnsi="Verdana" w:cs="Arial"/>
          <w:lang w:val="es-ES"/>
        </w:rPr>
        <w:t>Clasiﬁcador</w:t>
      </w:r>
      <w:proofErr w:type="spellEnd"/>
      <w:r w:rsidRPr="000F1385">
        <w:rPr>
          <w:rFonts w:ascii="Verdana" w:eastAsia="Arial MT" w:hAnsi="Verdana" w:cs="Arial"/>
          <w:lang w:val="es-ES"/>
        </w:rPr>
        <w:t xml:space="preserve"> de Bienes y Servicios en el tercer nivel </w:t>
      </w:r>
      <w:r w:rsidRPr="000F1385">
        <w:rPr>
          <w:rFonts w:ascii="Verdana" w:eastAsia="Arial MT" w:hAnsi="Verdana" w:cs="Arial"/>
        </w:rPr>
        <w:t xml:space="preserve">y su valor expresado en </w:t>
      </w:r>
      <w:proofErr w:type="spellStart"/>
      <w:r w:rsidRPr="000F1385">
        <w:rPr>
          <w:rFonts w:ascii="Verdana" w:eastAsia="Arial MT" w:hAnsi="Verdana" w:cs="Arial"/>
        </w:rPr>
        <w:t>smmlv</w:t>
      </w:r>
      <w:proofErr w:type="spellEnd"/>
      <w:r w:rsidRPr="000F1385">
        <w:rPr>
          <w:rFonts w:ascii="Verdana" w:eastAsia="Arial MT" w:hAnsi="Verdana" w:cs="Arial"/>
          <w:lang w:val="es-ES"/>
        </w:rPr>
        <w:t>”</w:t>
      </w:r>
      <w:r w:rsidRPr="000F1385">
        <w:rPr>
          <w:rFonts w:ascii="Verdana" w:eastAsia="Arial MT" w:hAnsi="Verdana" w:cs="Arial"/>
          <w:vertAlign w:val="superscript"/>
          <w:lang w:val="es-ES"/>
        </w:rPr>
        <w:footnoteReference w:id="20"/>
      </w:r>
      <w:r w:rsidRPr="000F1385">
        <w:rPr>
          <w:rFonts w:ascii="Verdana" w:eastAsia="Arial MT" w:hAnsi="Verdana" w:cs="Arial"/>
          <w:lang w:val="es-ES"/>
        </w:rPr>
        <w:t xml:space="preserve">. Esto es coherente con lo dispuesto en el artículo 2.2.1.1.1.5.6, que indica que uno de los componentes de información del RUP son “los bienes, obras y servicios para los cuales está inscrito el proponente de acuerdo con el </w:t>
      </w:r>
      <w:proofErr w:type="spellStart"/>
      <w:r w:rsidRPr="000F1385">
        <w:rPr>
          <w:rFonts w:ascii="Verdana" w:eastAsia="Arial MT" w:hAnsi="Verdana" w:cs="Arial"/>
          <w:lang w:val="es-ES"/>
        </w:rPr>
        <w:t>Clasiﬁcador</w:t>
      </w:r>
      <w:proofErr w:type="spellEnd"/>
      <w:r w:rsidRPr="000F1385">
        <w:rPr>
          <w:rFonts w:ascii="Verdana" w:eastAsia="Arial MT" w:hAnsi="Verdana" w:cs="Arial"/>
          <w:lang w:val="es-ES"/>
        </w:rPr>
        <w:t xml:space="preserve"> de Bienes y Servicios”</w:t>
      </w:r>
      <w:r w:rsidRPr="000F1385">
        <w:rPr>
          <w:rFonts w:ascii="Verdana" w:eastAsia="Arial MT" w:hAnsi="Verdana" w:cs="Arial"/>
          <w:vertAlign w:val="superscript"/>
          <w:lang w:val="es-ES"/>
        </w:rPr>
        <w:footnoteReference w:id="21"/>
      </w:r>
      <w:r w:rsidRPr="000F1385">
        <w:rPr>
          <w:rFonts w:ascii="Verdana" w:eastAsia="Arial MT" w:hAnsi="Verdana" w:cs="Arial"/>
          <w:lang w:val="es-ES"/>
        </w:rPr>
        <w:t xml:space="preserve">. </w:t>
      </w:r>
    </w:p>
    <w:p w14:paraId="7458D58A" w14:textId="77777777" w:rsidR="008C303F" w:rsidRPr="000F1385" w:rsidRDefault="008C303F" w:rsidP="008C303F">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lastRenderedPageBreak/>
        <w:t xml:space="preserve">El </w:t>
      </w:r>
      <w:r w:rsidRPr="000F1385">
        <w:rPr>
          <w:rFonts w:ascii="Verdana" w:eastAsia="Times New Roman" w:hAnsi="Verdana" w:cs="Arial"/>
          <w:bdr w:val="none" w:sz="0" w:space="0" w:color="auto" w:frame="1"/>
          <w:lang w:val="es-ES"/>
        </w:rPr>
        <w:t>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Clasificador de Bienes y Servicios, de ser posible o de lo contrario con el tercer nivel del mismo”</w:t>
      </w:r>
      <w:r w:rsidRPr="000F1385">
        <w:rPr>
          <w:rFonts w:ascii="Verdana" w:eastAsia="Times New Roman" w:hAnsi="Verdana" w:cs="Arial"/>
          <w:bdr w:val="none" w:sz="0" w:space="0" w:color="auto" w:frame="1"/>
          <w:vertAlign w:val="superscript"/>
          <w:lang w:val="es-ES"/>
        </w:rPr>
        <w:footnoteReference w:id="22"/>
      </w:r>
      <w:r w:rsidRPr="000F1385">
        <w:rPr>
          <w:rFonts w:ascii="Verdana" w:eastAsia="Times New Roman" w:hAnsi="Verdana" w:cs="Arial"/>
          <w:bdr w:val="none" w:sz="0" w:space="0" w:color="auto" w:frame="1"/>
          <w:lang w:val="es-ES"/>
        </w:rPr>
        <w:t>. </w:t>
      </w:r>
    </w:p>
    <w:p w14:paraId="0F04F57D" w14:textId="77777777" w:rsidR="008C303F" w:rsidRPr="000F1385" w:rsidRDefault="008C303F" w:rsidP="008C303F">
      <w:pPr>
        <w:widowControl w:val="0"/>
        <w:autoSpaceDE w:val="0"/>
        <w:autoSpaceDN w:val="0"/>
        <w:spacing w:after="120" w:line="276" w:lineRule="auto"/>
        <w:ind w:right="104" w:firstLine="608"/>
        <w:jc w:val="both"/>
        <w:rPr>
          <w:rFonts w:ascii="Verdana" w:eastAsia="Times New Roman" w:hAnsi="Verdana" w:cs="Arial"/>
          <w:lang w:val="es-ES"/>
        </w:rPr>
      </w:pPr>
      <w:r w:rsidRPr="000F1385">
        <w:rPr>
          <w:rFonts w:ascii="Verdana" w:eastAsia="Times New Roman" w:hAnsi="Verdana" w:cs="Arial"/>
          <w:bdr w:val="none" w:sz="0" w:space="0" w:color="auto" w:frame="1"/>
          <w:lang w:val="es-ES"/>
        </w:rPr>
        <w:t>Conforme a lo anterior, la planeación de las adquisiciones de las entidades estatales, la inscripción en el RUP, la valoración de la experiencia de los proponentes y el desarrollo de los procesos de contratación son ámbitos de la contratación estatal en los que se incorpora el uso del Clasificador de Bienes y Servicios para la contratación estatal. Es una medida que incrementa la eficiencia y la efectividad en procedimientos de selección y reduce los costos de crear y mantener un sistema de codificación individual, al estandarizar una codificación de amplia difusión y de generalizada aceptación, que permite a proveedores y compradores “hablar el mismo lenguaje” al integrar en un solo número el flujo total del proceso de adquisición</w:t>
      </w:r>
      <w:r w:rsidRPr="000F1385">
        <w:rPr>
          <w:rFonts w:ascii="Verdana" w:eastAsia="Times New Roman" w:hAnsi="Verdana" w:cs="Arial"/>
          <w:bdr w:val="none" w:sz="0" w:space="0" w:color="auto" w:frame="1"/>
          <w:vertAlign w:val="superscript"/>
          <w:lang w:val="es-ES"/>
        </w:rPr>
        <w:footnoteReference w:id="23"/>
      </w:r>
      <w:r w:rsidRPr="000F1385">
        <w:rPr>
          <w:rFonts w:ascii="Verdana" w:eastAsia="Times New Roman" w:hAnsi="Verdana" w:cs="Arial"/>
          <w:bdr w:val="none" w:sz="0" w:space="0" w:color="auto" w:frame="1"/>
          <w:lang w:val="es-ES"/>
        </w:rPr>
        <w:t>. </w:t>
      </w:r>
    </w:p>
    <w:p w14:paraId="4C4A74AE" w14:textId="77777777" w:rsidR="008C303F" w:rsidRPr="000F1385" w:rsidRDefault="008C303F" w:rsidP="008C303F">
      <w:pPr>
        <w:widowControl w:val="0"/>
        <w:autoSpaceDE w:val="0"/>
        <w:autoSpaceDN w:val="0"/>
        <w:spacing w:after="0" w:line="276" w:lineRule="auto"/>
        <w:ind w:right="102" w:firstLine="607"/>
        <w:jc w:val="both"/>
        <w:rPr>
          <w:rFonts w:ascii="Verdana" w:eastAsia="Times New Roman" w:hAnsi="Verdana" w:cs="Arial"/>
        </w:rPr>
      </w:pPr>
      <w:r w:rsidRPr="000F1385">
        <w:rPr>
          <w:rFonts w:ascii="Verdana" w:eastAsia="Times New Roman" w:hAnsi="Verdana" w:cs="Arial"/>
          <w:lang w:val="es-ES"/>
        </w:rPr>
        <w:t xml:space="preserve">Al respecto, </w:t>
      </w:r>
      <w:r w:rsidRPr="000F1385">
        <w:rPr>
          <w:rFonts w:ascii="Verdana" w:eastAsia="Times New Roman" w:hAnsi="Verdana" w:cs="Arial"/>
        </w:rPr>
        <w:t>la Agencia Nacional de Contratación Pública - Colombia Compra Eficiente puso a disposición de los interesados del sistema de compra pública el “Manual para determinar y verificar requisitos habilitantes en los procesos de contratación”</w:t>
      </w:r>
      <w:r w:rsidRPr="000F1385">
        <w:rPr>
          <w:rFonts w:ascii="Verdana" w:eastAsia="Times New Roman" w:hAnsi="Verdana" w:cs="Arial"/>
          <w:vertAlign w:val="superscript"/>
        </w:rPr>
        <w:footnoteReference w:id="24"/>
      </w:r>
      <w:r w:rsidRPr="000F1385">
        <w:rPr>
          <w:rFonts w:ascii="Verdana" w:eastAsia="Times New Roman" w:hAnsi="Verdana" w:cs="Arial"/>
        </w:rPr>
        <w:t xml:space="preserve">, y en este de forma particular, se establecen una serie de características que deben ser observadas por parte de las entidades al establecer en sus invitaciones o pliego de condiciones los requerimientos o condiciones necesarias para poder llevar a cabo su verificación, como se detalla </w:t>
      </w:r>
      <w:r w:rsidRPr="000F1385">
        <w:rPr>
          <w:rFonts w:ascii="Verdana" w:eastAsia="Times New Roman" w:hAnsi="Verdana" w:cs="Arial"/>
        </w:rPr>
        <w:lastRenderedPageBreak/>
        <w:t xml:space="preserve">a continuación: </w:t>
      </w:r>
    </w:p>
    <w:p w14:paraId="5F6B20DC" w14:textId="77777777" w:rsidR="008C303F" w:rsidRPr="000F1385" w:rsidRDefault="008C303F" w:rsidP="008C303F">
      <w:pPr>
        <w:widowControl w:val="0"/>
        <w:autoSpaceDE w:val="0"/>
        <w:autoSpaceDN w:val="0"/>
        <w:spacing w:after="0" w:line="276" w:lineRule="auto"/>
        <w:ind w:right="102" w:firstLine="607"/>
        <w:jc w:val="both"/>
        <w:rPr>
          <w:rFonts w:ascii="Verdana" w:eastAsia="Times New Roman" w:hAnsi="Verdana" w:cs="Arial"/>
        </w:rPr>
      </w:pPr>
    </w:p>
    <w:p w14:paraId="2BD8761C" w14:textId="77777777" w:rsidR="008C303F" w:rsidRPr="000F1385" w:rsidRDefault="008C303F" w:rsidP="008C303F">
      <w:pPr>
        <w:widowControl w:val="0"/>
        <w:autoSpaceDE w:val="0"/>
        <w:autoSpaceDN w:val="0"/>
        <w:spacing w:after="0" w:line="240" w:lineRule="auto"/>
        <w:ind w:left="709" w:right="709"/>
        <w:jc w:val="both"/>
        <w:rPr>
          <w:rFonts w:ascii="Verdana" w:eastAsia="Times New Roman" w:hAnsi="Verdana" w:cs="Arial"/>
          <w:sz w:val="21"/>
          <w:szCs w:val="21"/>
        </w:rPr>
      </w:pPr>
      <w:r w:rsidRPr="000F1385">
        <w:rPr>
          <w:rFonts w:ascii="Verdana" w:eastAsia="Times New Roman" w:hAnsi="Verdana" w:cs="Arial"/>
          <w:sz w:val="21"/>
          <w:szCs w:val="21"/>
        </w:rPr>
        <w:t>Dentro de los principales requisitos habilitantes que se utilizan en los Procesos de Contratación se destaca la experiencia, la cual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Pr="000F1385">
        <w:rPr>
          <w:rFonts w:ascii="Verdana" w:eastAsia="Times New Roman" w:hAnsi="Verdana" w:cs="Arial"/>
          <w:sz w:val="21"/>
          <w:szCs w:val="21"/>
          <w:vertAlign w:val="superscript"/>
        </w:rPr>
        <w:footnoteReference w:id="25"/>
      </w:r>
      <w:r w:rsidRPr="000F1385">
        <w:rPr>
          <w:rFonts w:ascii="Verdana" w:eastAsia="Times New Roman" w:hAnsi="Verdana" w:cs="Arial"/>
          <w:sz w:val="21"/>
          <w:szCs w:val="21"/>
        </w:rPr>
        <w:t xml:space="preserve">.  </w:t>
      </w:r>
    </w:p>
    <w:p w14:paraId="2A37D003" w14:textId="77777777" w:rsidR="008C303F" w:rsidRPr="000F1385" w:rsidRDefault="008C303F" w:rsidP="008C303F">
      <w:pPr>
        <w:widowControl w:val="0"/>
        <w:autoSpaceDE w:val="0"/>
        <w:autoSpaceDN w:val="0"/>
        <w:spacing w:after="0" w:line="240" w:lineRule="auto"/>
        <w:ind w:left="709" w:right="709"/>
        <w:jc w:val="both"/>
        <w:rPr>
          <w:rFonts w:ascii="Verdana" w:eastAsia="Times New Roman" w:hAnsi="Verdana" w:cs="Arial"/>
          <w:sz w:val="21"/>
          <w:szCs w:val="21"/>
        </w:rPr>
      </w:pPr>
    </w:p>
    <w:p w14:paraId="3A33D3A3" w14:textId="77777777" w:rsidR="008C303F" w:rsidRPr="000F1385" w:rsidRDefault="008C303F" w:rsidP="008C303F">
      <w:pPr>
        <w:widowControl w:val="0"/>
        <w:autoSpaceDE w:val="0"/>
        <w:autoSpaceDN w:val="0"/>
        <w:spacing w:after="0" w:line="276" w:lineRule="auto"/>
        <w:ind w:right="102" w:firstLine="607"/>
        <w:jc w:val="both"/>
        <w:rPr>
          <w:rFonts w:ascii="Verdana" w:eastAsia="Times New Roman" w:hAnsi="Verdana" w:cs="Arial"/>
          <w:lang w:val="es-ES"/>
        </w:rPr>
      </w:pPr>
      <w:r w:rsidRPr="000F1385">
        <w:rPr>
          <w:rFonts w:ascii="Verdana" w:eastAsia="Times New Roman" w:hAnsi="Verdana" w:cs="Arial"/>
          <w:lang w:val="es-ES"/>
        </w:rPr>
        <w:t>De lo anterior se precisa 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o se establecieran condiciones de valor que no fueran proporcionales al presupuesto establecido para el futuro contrato. En tal sentido, e</w:t>
      </w:r>
      <w:r w:rsidRPr="000F1385">
        <w:rPr>
          <w:rFonts w:ascii="Verdana" w:eastAsia="Times New Roman" w:hAnsi="Verdana" w:cs="Arial"/>
          <w:lang w:val="es-ES_tradnl"/>
        </w:rPr>
        <w:t xml:space="preserve">s preciso tener en cuenta que la Circular Externa Única proferida por la Agencia Nacional de Contratación Pública – Colombia Compra Eficiente, donde se incorporaron directrices relacionadas con el RUP y particularmente sobre el “uso del Clasificador de Bienes y Servicios en el Registro Único de Proponentes”, donde se precisó lo siguiente: </w:t>
      </w:r>
    </w:p>
    <w:p w14:paraId="714AF82B" w14:textId="77777777" w:rsidR="008C303F" w:rsidRPr="000F1385" w:rsidRDefault="008C303F" w:rsidP="008C303F">
      <w:pPr>
        <w:widowControl w:val="0"/>
        <w:autoSpaceDE w:val="0"/>
        <w:autoSpaceDN w:val="0"/>
        <w:spacing w:after="120" w:line="240" w:lineRule="auto"/>
        <w:ind w:left="709" w:right="709" w:firstLine="608"/>
        <w:jc w:val="both"/>
        <w:rPr>
          <w:rFonts w:ascii="Verdana" w:eastAsia="Times New Roman" w:hAnsi="Verdana" w:cs="Arial"/>
          <w:sz w:val="21"/>
          <w:szCs w:val="21"/>
          <w:lang w:val="es-ES_tradnl"/>
        </w:rPr>
      </w:pPr>
    </w:p>
    <w:p w14:paraId="641F6F4C" w14:textId="77777777" w:rsidR="008C303F" w:rsidRPr="000F1385" w:rsidRDefault="008C303F" w:rsidP="008C303F">
      <w:pPr>
        <w:widowControl w:val="0"/>
        <w:numPr>
          <w:ilvl w:val="0"/>
          <w:numId w:val="18"/>
        </w:numPr>
        <w:autoSpaceDE w:val="0"/>
        <w:autoSpaceDN w:val="0"/>
        <w:spacing w:after="120" w:line="240" w:lineRule="auto"/>
        <w:ind w:left="709" w:right="709"/>
        <w:contextualSpacing/>
        <w:jc w:val="both"/>
        <w:rPr>
          <w:rFonts w:ascii="Verdana" w:eastAsia="Times New Roman" w:hAnsi="Verdana" w:cs="Arial"/>
          <w:sz w:val="21"/>
          <w:szCs w:val="21"/>
          <w:lang w:val="es-ES"/>
        </w:rPr>
      </w:pPr>
      <w:r w:rsidRPr="000F1385">
        <w:rPr>
          <w:rFonts w:ascii="Verdana" w:eastAsia="Times New Roman" w:hAnsi="Verdana" w:cs="Arial"/>
          <w:sz w:val="21"/>
          <w:szCs w:val="21"/>
          <w:lang w:val="es-ES"/>
        </w:rPr>
        <w:t xml:space="preserve">No existe un límite en el número de bienes, obras o servicios que los proponentes pueden inscribir en el RUP. Las Cámaras de Comercio no pueden limitar la inscripción de los proponentes por no contar con experiencia certificada en el respectivo bien, obra o servicio. </w:t>
      </w:r>
    </w:p>
    <w:p w14:paraId="24FDA32F" w14:textId="77777777" w:rsidR="008C303F" w:rsidRPr="000F1385" w:rsidRDefault="008C303F" w:rsidP="008C303F">
      <w:pPr>
        <w:widowControl w:val="0"/>
        <w:numPr>
          <w:ilvl w:val="0"/>
          <w:numId w:val="18"/>
        </w:numPr>
        <w:autoSpaceDE w:val="0"/>
        <w:autoSpaceDN w:val="0"/>
        <w:spacing w:after="120" w:line="240" w:lineRule="auto"/>
        <w:ind w:left="709" w:right="709"/>
        <w:contextualSpacing/>
        <w:jc w:val="both"/>
        <w:rPr>
          <w:rFonts w:ascii="Verdana" w:eastAsia="Times New Roman" w:hAnsi="Verdana" w:cs="Arial"/>
          <w:sz w:val="21"/>
          <w:szCs w:val="21"/>
          <w:lang w:val="es-ES"/>
        </w:rPr>
      </w:pPr>
      <w:r w:rsidRPr="000F1385">
        <w:rPr>
          <w:rFonts w:ascii="Verdana" w:eastAsia="Times New Roman" w:hAnsi="Verdana" w:cs="Arial"/>
          <w:sz w:val="21"/>
          <w:szCs w:val="21"/>
          <w:lang w:val="es-ES"/>
        </w:rPr>
        <w:t>La clasificación del proponente en determinado código no puede constituirse como un requisito habilitante, sino que debe entenderse como un mecanismo para establecer un lenguaje común entre los partícipes del Sistema de Compra Pública. En consecuencia, las Entidades Estatales no pueden excluir a un proponente que ha acreditado los requisitos habilitantes exigidos en un Proceso de Contratación por no estar inscrito en el RUP con el código de los bienes, obras o servicios del objeto de tal Proceso de Contratación.</w:t>
      </w:r>
    </w:p>
    <w:p w14:paraId="3169FD1E" w14:textId="77777777" w:rsidR="008C303F" w:rsidRPr="000F1385" w:rsidRDefault="008C303F" w:rsidP="008C303F">
      <w:pPr>
        <w:widowControl w:val="0"/>
        <w:numPr>
          <w:ilvl w:val="0"/>
          <w:numId w:val="18"/>
        </w:numPr>
        <w:autoSpaceDE w:val="0"/>
        <w:autoSpaceDN w:val="0"/>
        <w:spacing w:after="0" w:line="240" w:lineRule="auto"/>
        <w:ind w:left="709" w:right="709" w:hanging="357"/>
        <w:contextualSpacing/>
        <w:jc w:val="both"/>
        <w:rPr>
          <w:rFonts w:ascii="Verdana" w:eastAsia="Times New Roman" w:hAnsi="Verdana" w:cs="Arial"/>
          <w:sz w:val="21"/>
          <w:szCs w:val="21"/>
          <w:lang w:val="es-ES"/>
        </w:rPr>
      </w:pPr>
      <w:r w:rsidRPr="000F1385">
        <w:rPr>
          <w:rFonts w:ascii="Verdana" w:eastAsia="Times New Roman" w:hAnsi="Verdana" w:cs="Arial"/>
          <w:sz w:val="21"/>
          <w:szCs w:val="21"/>
          <w:lang w:val="es-ES"/>
        </w:rPr>
        <w:t xml:space="preserve">La experiencia es un requisito habilitante. Los proponentes deben </w:t>
      </w:r>
      <w:r w:rsidRPr="000F1385">
        <w:rPr>
          <w:rFonts w:ascii="Verdana" w:eastAsia="Times New Roman" w:hAnsi="Verdana" w:cs="Arial"/>
          <w:sz w:val="21"/>
          <w:szCs w:val="21"/>
          <w:lang w:val="es-ES"/>
        </w:rPr>
        <w:lastRenderedPageBreak/>
        <w:t>inscribir en el RUP su experiencia usando los códigos del Clasificador de Bienes y Servicios. Por su parte las Entidades Estatales al establecer el requisito habilitante de experiencia pueden incluir los códigos específicos del objeto a contratar o el de los bienes, obras o servicios afines al Proceso de Contratación respecto de los cuales los proponentes deben acreditar su experiencia.</w:t>
      </w:r>
    </w:p>
    <w:p w14:paraId="4A2046D5" w14:textId="77777777" w:rsidR="008C303F" w:rsidRPr="000F1385" w:rsidRDefault="008C303F" w:rsidP="008C303F">
      <w:pPr>
        <w:widowControl w:val="0"/>
        <w:autoSpaceDE w:val="0"/>
        <w:autoSpaceDN w:val="0"/>
        <w:spacing w:after="0" w:line="276" w:lineRule="auto"/>
        <w:ind w:left="714" w:right="102"/>
        <w:contextualSpacing/>
        <w:jc w:val="both"/>
        <w:rPr>
          <w:rFonts w:ascii="Verdana" w:eastAsia="Times New Roman" w:hAnsi="Verdana" w:cs="Arial"/>
          <w:lang w:val="es-ES"/>
        </w:rPr>
      </w:pPr>
      <w:r w:rsidRPr="000F1385">
        <w:rPr>
          <w:rFonts w:ascii="Verdana" w:eastAsia="Times New Roman" w:hAnsi="Verdana" w:cs="Arial"/>
          <w:lang w:val="es-ES"/>
        </w:rPr>
        <w:t xml:space="preserve"> </w:t>
      </w:r>
    </w:p>
    <w:p w14:paraId="534A3889" w14:textId="77777777" w:rsidR="008C303F" w:rsidRPr="000F1385" w:rsidRDefault="008C303F" w:rsidP="008C303F">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_tradnl"/>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6167D3D5" w14:textId="77777777" w:rsidR="008C303F" w:rsidRDefault="008C303F" w:rsidP="008C303F">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válida la experiencia inscrita por el proponente en el RUP, que sea de contratos ejecutados que coincidan con algún código del Clasificador del Bienes y Servicios, en particular, en el tercer nivel del clasificador expresada en SMMLV. En esta misma orientación, </w:t>
      </w:r>
      <w:r w:rsidRPr="000F1385">
        <w:rPr>
          <w:rFonts w:ascii="Verdana" w:eastAsia="Times New Roman" w:hAnsi="Verdana" w:cs="Arial"/>
          <w:lang w:val="es-ES_tradnl"/>
        </w:rPr>
        <w:t>la Circular Externa Única a que se hizo referencia previamente, en relación con el uso del Clasificador de Bienes y Servicios para efectos de acreditar la experiencia en los procedimientos de selección, expresó que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67367A14" w14:textId="77777777" w:rsidR="008C303F" w:rsidRDefault="008C303F" w:rsidP="008C303F">
      <w:pPr>
        <w:spacing w:after="0" w:line="276" w:lineRule="auto"/>
        <w:ind w:firstLine="708"/>
        <w:jc w:val="both"/>
        <w:rPr>
          <w:rStyle w:val="s15"/>
          <w:rFonts w:ascii="Verdana" w:hAnsi="Verdana"/>
          <w:color w:val="000000"/>
        </w:rPr>
      </w:pPr>
      <w:r w:rsidRPr="001941FD">
        <w:rPr>
          <w:rStyle w:val="s15"/>
          <w:rFonts w:ascii="Verdana" w:hAnsi="Verdana"/>
          <w:color w:val="000000"/>
        </w:rPr>
        <w:t>Al margen de la explicación precedente debe advertirse que el análisis requerido para resolver problemas específicos en torno a la gestión contractual debe ser realizado por quienes tengan interés en ello.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 xml:space="preserve">concepto de sus asesores, la solución de situaciones particulares </w:t>
      </w:r>
      <w:r w:rsidRPr="001941FD">
        <w:rPr>
          <w:rStyle w:val="s15"/>
          <w:rFonts w:ascii="Verdana" w:hAnsi="Verdana"/>
          <w:color w:val="000000"/>
        </w:rPr>
        <w:lastRenderedPageBreak/>
        <w:t xml:space="preserve">corresponde a los interesados adoptar la decisión correspondiente y, en caso de conflicto, a las autoridades judiciales, fiscales y disciplinarias. Así, cada </w:t>
      </w:r>
      <w:r>
        <w:rPr>
          <w:rStyle w:val="s15"/>
          <w:rFonts w:ascii="Verdana" w:hAnsi="Verdana"/>
          <w:color w:val="000000"/>
        </w:rPr>
        <w:t>partícipe del Sistema de Compra Pública</w:t>
      </w:r>
      <w:r w:rsidRPr="001941FD">
        <w:rPr>
          <w:rStyle w:val="s15"/>
          <w:rFonts w:ascii="Verdana" w:hAnsi="Verdana"/>
          <w:color w:val="000000"/>
        </w:rPr>
        <w:t xml:space="preserve"> definirá la forma de adelantar su gestión contractual, sin que sea atribución de Colombia Compra Eficiente validar sus actuaciones.</w:t>
      </w:r>
    </w:p>
    <w:p w14:paraId="2FF63A17" w14:textId="77777777" w:rsidR="008C303F" w:rsidRPr="00E7745C" w:rsidRDefault="008C303F" w:rsidP="008C303F">
      <w:pPr>
        <w:spacing w:after="0" w:line="276" w:lineRule="auto"/>
        <w:contextualSpacing/>
        <w:jc w:val="both"/>
        <w:rPr>
          <w:rFonts w:ascii="Verdana" w:hAnsi="Verdana" w:cs="Arial"/>
        </w:rPr>
      </w:pPr>
    </w:p>
    <w:p w14:paraId="141F629E" w14:textId="77777777" w:rsidR="008C303F" w:rsidRPr="0005702E" w:rsidRDefault="008C303F" w:rsidP="008C30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5702E">
        <w:rPr>
          <w:rFonts w:ascii="Verdana" w:eastAsia="Century Gothic" w:hAnsi="Verdana" w:cs="Century Gothic"/>
          <w:b/>
          <w:bCs/>
        </w:rPr>
        <w:t>Referencias normativas, jurisprudenciales y otras fuentes:</w:t>
      </w:r>
    </w:p>
    <w:p w14:paraId="13170E35" w14:textId="77777777" w:rsidR="008C303F" w:rsidRPr="0005702E" w:rsidRDefault="008C303F" w:rsidP="008C303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C303F" w:rsidRPr="0005702E" w14:paraId="33776E01" w14:textId="77777777" w:rsidTr="00803536">
        <w:trPr>
          <w:trHeight w:val="203"/>
        </w:trPr>
        <w:tc>
          <w:tcPr>
            <w:tcW w:w="8647" w:type="dxa"/>
          </w:tcPr>
          <w:p w14:paraId="7688D3AE" w14:textId="77777777" w:rsidR="008C303F" w:rsidRPr="005D30DC" w:rsidRDefault="008C303F" w:rsidP="00803536">
            <w:pPr>
              <w:pStyle w:val="Prrafodelista"/>
              <w:widowControl w:val="0"/>
              <w:numPr>
                <w:ilvl w:val="0"/>
                <w:numId w:val="17"/>
              </w:numPr>
              <w:autoSpaceDE w:val="0"/>
              <w:autoSpaceDN w:val="0"/>
              <w:spacing w:line="276" w:lineRule="auto"/>
              <w:jc w:val="both"/>
              <w:rPr>
                <w:rFonts w:ascii="Verdana" w:hAnsi="Verdana" w:cs="Arial"/>
              </w:rPr>
            </w:pPr>
            <w:r w:rsidRPr="002C675F">
              <w:rPr>
                <w:rFonts w:ascii="Verdana" w:hAnsi="Verdana" w:cs="Arial"/>
              </w:rPr>
              <w:t xml:space="preserve">Decreto 1082 de 2015. Artículo </w:t>
            </w:r>
            <w:r w:rsidRPr="006E7091">
              <w:rPr>
                <w:rFonts w:ascii="Verdana" w:eastAsia="Calibri" w:hAnsi="Verdana" w:cs="Arial"/>
              </w:rPr>
              <w:t>2.2.1.1.1.5.5</w:t>
            </w:r>
            <w:r>
              <w:rPr>
                <w:rFonts w:ascii="Verdana" w:eastAsia="Calibri" w:hAnsi="Verdana" w:cs="Arial"/>
              </w:rPr>
              <w:t xml:space="preserve">, </w:t>
            </w:r>
            <w:r w:rsidRPr="000F1385">
              <w:rPr>
                <w:rFonts w:ascii="Verdana" w:eastAsia="Times New Roman" w:hAnsi="Verdana" w:cs="Arial"/>
                <w:lang w:val="es-ES_tradnl"/>
              </w:rPr>
              <w:t>2.2.1.1.1.5.2</w:t>
            </w:r>
            <w:r>
              <w:rPr>
                <w:rFonts w:ascii="Verdana" w:eastAsia="Times New Roman" w:hAnsi="Verdana" w:cs="Arial"/>
                <w:lang w:val="es-ES_tradnl"/>
              </w:rPr>
              <w:t>,</w:t>
            </w:r>
            <w:r w:rsidRPr="000F1385">
              <w:rPr>
                <w:rFonts w:ascii="Verdana" w:eastAsia="Times New Roman" w:hAnsi="Verdana" w:cs="Arial"/>
                <w:bdr w:val="none" w:sz="0" w:space="0" w:color="auto" w:frame="1"/>
              </w:rPr>
              <w:t xml:space="preserve"> 2.2.1.1.2.1.3</w:t>
            </w:r>
            <w:r>
              <w:rPr>
                <w:rFonts w:ascii="Verdana" w:eastAsia="Times New Roman" w:hAnsi="Verdana" w:cs="Arial"/>
                <w:bdr w:val="none" w:sz="0" w:space="0" w:color="auto" w:frame="1"/>
              </w:rPr>
              <w:t xml:space="preserve">, </w:t>
            </w:r>
            <w:r w:rsidRPr="000F1385">
              <w:rPr>
                <w:rFonts w:ascii="Verdana" w:eastAsia="Times New Roman" w:hAnsi="Verdana" w:cs="Arial"/>
                <w:bdr w:val="none" w:sz="0" w:space="0" w:color="auto" w:frame="1"/>
              </w:rPr>
              <w:t>2.2.1.1.1.4.1</w:t>
            </w:r>
          </w:p>
          <w:p w14:paraId="7A2D9E89" w14:textId="77777777" w:rsidR="008C303F" w:rsidRDefault="008C303F" w:rsidP="00803536">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80 de 1993.</w:t>
            </w:r>
          </w:p>
          <w:p w14:paraId="4327F65D" w14:textId="77777777" w:rsidR="008C303F" w:rsidRDefault="008C303F" w:rsidP="00803536">
            <w:pPr>
              <w:pStyle w:val="Prrafodelista"/>
              <w:widowControl w:val="0"/>
              <w:numPr>
                <w:ilvl w:val="0"/>
                <w:numId w:val="17"/>
              </w:numPr>
              <w:autoSpaceDE w:val="0"/>
              <w:autoSpaceDN w:val="0"/>
              <w:spacing w:line="276" w:lineRule="auto"/>
              <w:jc w:val="both"/>
              <w:rPr>
                <w:rFonts w:ascii="Verdana" w:hAnsi="Verdana" w:cs="Arial"/>
              </w:rPr>
            </w:pPr>
            <w:r w:rsidRPr="00312719">
              <w:rPr>
                <w:rFonts w:ascii="Verdana" w:hAnsi="Verdana" w:cs="Arial"/>
              </w:rPr>
              <w:t>Ley 1150 de 2007, artículo</w:t>
            </w:r>
            <w:r>
              <w:rPr>
                <w:rFonts w:ascii="Verdana" w:hAnsi="Verdana" w:cs="Arial"/>
              </w:rPr>
              <w:t>s</w:t>
            </w:r>
            <w:r w:rsidRPr="00312719">
              <w:rPr>
                <w:rFonts w:ascii="Verdana" w:hAnsi="Verdana" w:cs="Arial"/>
              </w:rPr>
              <w:t xml:space="preserve"> 5</w:t>
            </w:r>
            <w:r>
              <w:rPr>
                <w:rFonts w:ascii="Verdana" w:hAnsi="Verdana" w:cs="Arial"/>
              </w:rPr>
              <w:t xml:space="preserve"> y 6</w:t>
            </w:r>
            <w:r w:rsidRPr="00312719">
              <w:rPr>
                <w:rFonts w:ascii="Verdana" w:hAnsi="Verdana" w:cs="Arial"/>
              </w:rPr>
              <w:t>.</w:t>
            </w:r>
          </w:p>
          <w:p w14:paraId="6F232CB7" w14:textId="77777777" w:rsidR="008C303F" w:rsidRPr="002D6509" w:rsidRDefault="008C303F" w:rsidP="00803536">
            <w:pPr>
              <w:pStyle w:val="Prrafodelista"/>
              <w:widowControl w:val="0"/>
              <w:numPr>
                <w:ilvl w:val="0"/>
                <w:numId w:val="17"/>
              </w:numPr>
              <w:autoSpaceDE w:val="0"/>
              <w:autoSpaceDN w:val="0"/>
              <w:spacing w:line="276" w:lineRule="auto"/>
              <w:jc w:val="both"/>
              <w:rPr>
                <w:rFonts w:ascii="Verdana" w:hAnsi="Verdana" w:cs="Arial"/>
              </w:rPr>
            </w:pPr>
            <w:r w:rsidRPr="00D16A5E">
              <w:rPr>
                <w:rFonts w:ascii="Verdana" w:eastAsia="Times New Roman" w:hAnsi="Verdana" w:cs="Arial"/>
                <w:lang w:val="es-ES_tradnl" w:eastAsia="es-CO"/>
              </w:rPr>
              <w:t>1882 de 2018</w:t>
            </w:r>
            <w:r>
              <w:rPr>
                <w:rFonts w:ascii="Verdana" w:eastAsia="Times New Roman" w:hAnsi="Verdana" w:cs="Arial"/>
                <w:lang w:val="es-ES_tradnl" w:eastAsia="es-CO"/>
              </w:rPr>
              <w:t xml:space="preserve">, artículo 5. </w:t>
            </w:r>
          </w:p>
        </w:tc>
      </w:tr>
    </w:tbl>
    <w:p w14:paraId="07C3EA38" w14:textId="77777777" w:rsidR="008C303F" w:rsidRPr="000B7B3D" w:rsidRDefault="008C303F" w:rsidP="008C303F">
      <w:pPr>
        <w:widowControl w:val="0"/>
        <w:autoSpaceDE w:val="0"/>
        <w:autoSpaceDN w:val="0"/>
        <w:spacing w:after="0" w:line="276" w:lineRule="auto"/>
        <w:jc w:val="both"/>
        <w:rPr>
          <w:rFonts w:ascii="Verdana" w:hAnsi="Verdana" w:cs="Arial"/>
        </w:rPr>
      </w:pPr>
    </w:p>
    <w:p w14:paraId="01FD0F42" w14:textId="77777777" w:rsidR="008C303F" w:rsidRPr="000B7B3D" w:rsidRDefault="008C303F" w:rsidP="008C303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B7B3D">
        <w:rPr>
          <w:rFonts w:ascii="Verdana" w:eastAsia="Century Gothic" w:hAnsi="Verdana" w:cs="Century Gothic"/>
          <w:b/>
          <w:bCs/>
        </w:rPr>
        <w:t>Doctrina de la Agencia Nacional de Contratación Pública:</w:t>
      </w:r>
    </w:p>
    <w:p w14:paraId="643F1132" w14:textId="77777777" w:rsidR="008C303F" w:rsidRPr="000B7B3D" w:rsidRDefault="008C303F" w:rsidP="008C303F">
      <w:pPr>
        <w:widowControl w:val="0"/>
        <w:autoSpaceDE w:val="0"/>
        <w:autoSpaceDN w:val="0"/>
        <w:spacing w:after="0" w:line="276" w:lineRule="auto"/>
        <w:jc w:val="both"/>
        <w:rPr>
          <w:rFonts w:ascii="Verdana" w:hAnsi="Verdana" w:cs="Arial"/>
        </w:rPr>
      </w:pPr>
    </w:p>
    <w:p w14:paraId="62838A2C" w14:textId="77777777" w:rsidR="008C303F" w:rsidRDefault="008C303F" w:rsidP="008C303F">
      <w:pPr>
        <w:widowControl w:val="0"/>
        <w:autoSpaceDE w:val="0"/>
        <w:autoSpaceDN w:val="0"/>
        <w:spacing w:after="0" w:line="276" w:lineRule="auto"/>
        <w:jc w:val="both"/>
        <w:rPr>
          <w:rFonts w:ascii="Verdana" w:eastAsia="Calibri" w:hAnsi="Verdana" w:cs="Arial"/>
          <w:lang w:val="es-ES"/>
        </w:rPr>
      </w:pPr>
      <w:r w:rsidRPr="00D16A5E">
        <w:rPr>
          <w:rFonts w:ascii="Verdana" w:eastAsia="Calibri" w:hAnsi="Verdana" w:cs="Arial"/>
          <w:lang w:val="es-ES" w:eastAsia="es-ES"/>
        </w:rPr>
        <w:t xml:space="preserve">Sobre la </w:t>
      </w:r>
      <w:r w:rsidRPr="00D16A5E">
        <w:rPr>
          <w:rFonts w:ascii="Verdana" w:eastAsia="Calibri" w:hAnsi="Verdana" w:cs="Arial"/>
          <w:lang w:val="es-ES"/>
        </w:rPr>
        <w:t xml:space="preserve">regla de </w:t>
      </w:r>
      <w:proofErr w:type="spellStart"/>
      <w:r w:rsidRPr="00D16A5E">
        <w:rPr>
          <w:rFonts w:ascii="Verdana" w:eastAsia="Calibri" w:hAnsi="Verdana" w:cs="Arial"/>
          <w:lang w:val="es-ES"/>
        </w:rPr>
        <w:t>subsanabilidad</w:t>
      </w:r>
      <w:proofErr w:type="spellEnd"/>
      <w:r w:rsidRPr="00D16A5E">
        <w:rPr>
          <w:rFonts w:ascii="Verdana" w:eastAsia="Calibri" w:hAnsi="Verdana" w:cs="Arial"/>
          <w:lang w:val="es-ES"/>
        </w:rPr>
        <w:t xml:space="preserve"> en los procesos de selección,</w:t>
      </w:r>
      <w:r w:rsidRPr="00D16A5E">
        <w:rPr>
          <w:rStyle w:val="superscript"/>
          <w:rFonts w:ascii="Verdana" w:hAnsi="Verdana" w:cs="Arial"/>
          <w:shd w:val="clear" w:color="auto" w:fill="FFFFFF"/>
          <w:lang w:val="es-ES"/>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eastAsia="Calibri" w:hAnsi="Verdana" w:cs="Arial"/>
          <w:lang w:val="es-ES"/>
        </w:rPr>
        <w:t xml:space="preserve">en los conceptos 4201913000007643 del 26 de diciembre de 2019, C-343 del 17 de junio de 2020, C-518 del 9 de septiembre de 2020, C-614 del 5 de octubre de 2022, C-882 del 21 de diciembre de 2022 y C-172 del 6 de junio de 2023. </w:t>
      </w:r>
    </w:p>
    <w:p w14:paraId="6B58B71D" w14:textId="77777777" w:rsidR="008C303F" w:rsidRDefault="008C303F" w:rsidP="008C303F">
      <w:pPr>
        <w:widowControl w:val="0"/>
        <w:autoSpaceDE w:val="0"/>
        <w:autoSpaceDN w:val="0"/>
        <w:spacing w:after="0" w:line="276" w:lineRule="auto"/>
        <w:jc w:val="both"/>
        <w:rPr>
          <w:rFonts w:ascii="Verdana" w:eastAsia="Calibri" w:hAnsi="Verdana" w:cs="Arial"/>
          <w:lang w:val="es-ES"/>
        </w:rPr>
      </w:pPr>
    </w:p>
    <w:p w14:paraId="4575BA69" w14:textId="77777777" w:rsidR="008C303F" w:rsidRDefault="008C303F" w:rsidP="008C303F">
      <w:pPr>
        <w:widowControl w:val="0"/>
        <w:autoSpaceDE w:val="0"/>
        <w:autoSpaceDN w:val="0"/>
        <w:spacing w:after="0" w:line="276" w:lineRule="auto"/>
        <w:jc w:val="both"/>
        <w:rPr>
          <w:rFonts w:ascii="Verdana" w:eastAsia="Calibri" w:hAnsi="Verdana" w:cs="Arial"/>
          <w:bCs/>
          <w:color w:val="000000"/>
          <w:lang w:eastAsia="es-ES_tradnl"/>
        </w:rPr>
      </w:pPr>
      <w:r>
        <w:rPr>
          <w:rFonts w:ascii="Verdana" w:eastAsia="Calibri" w:hAnsi="Verdana" w:cs="Arial"/>
          <w:lang w:val="es-ES"/>
        </w:rPr>
        <w:t xml:space="preserve">Sobre la </w:t>
      </w:r>
      <w:r w:rsidRPr="002C675F">
        <w:rPr>
          <w:rFonts w:ascii="Verdana" w:hAnsi="Verdana" w:cs="Arial"/>
          <w:lang w:eastAsia="es-ES_tradnl"/>
        </w:rPr>
        <w:t xml:space="preserve">noción y características de los convenios y contratos interadministrativos en los conceptos </w:t>
      </w:r>
      <w:r w:rsidRPr="002C675F">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C675F">
        <w:rPr>
          <w:rFonts w:ascii="Verdana" w:eastAsia="Calibri" w:hAnsi="Verdana" w:cs="Arial"/>
          <w:bCs/>
          <w:color w:val="000000"/>
          <w:lang w:eastAsia="es-ES_tradnl"/>
        </w:rPr>
        <w:t>, C-114 del 4 de mayo de 2023 y C-771 del 29 de diciembre de 2022</w:t>
      </w:r>
      <w:r>
        <w:rPr>
          <w:rFonts w:ascii="Verdana" w:eastAsia="Calibri" w:hAnsi="Verdana" w:cs="Arial"/>
          <w:bCs/>
          <w:color w:val="000000"/>
          <w:lang w:eastAsia="es-ES_tradnl"/>
        </w:rPr>
        <w:t>.</w:t>
      </w:r>
    </w:p>
    <w:p w14:paraId="507D371E" w14:textId="77777777" w:rsidR="008C303F" w:rsidRDefault="008C303F" w:rsidP="008C303F">
      <w:pPr>
        <w:widowControl w:val="0"/>
        <w:autoSpaceDE w:val="0"/>
        <w:autoSpaceDN w:val="0"/>
        <w:spacing w:after="0" w:line="276" w:lineRule="auto"/>
        <w:jc w:val="both"/>
        <w:rPr>
          <w:rFonts w:ascii="Verdana" w:eastAsia="Calibri" w:hAnsi="Verdana" w:cs="Arial"/>
          <w:lang w:val="es-ES"/>
        </w:rPr>
      </w:pPr>
    </w:p>
    <w:p w14:paraId="6EB86618" w14:textId="77777777" w:rsidR="008C303F" w:rsidRPr="00525E10" w:rsidRDefault="008C303F" w:rsidP="008C303F">
      <w:pPr>
        <w:widowControl w:val="0"/>
        <w:autoSpaceDE w:val="0"/>
        <w:autoSpaceDN w:val="0"/>
        <w:spacing w:after="0" w:line="276" w:lineRule="auto"/>
        <w:jc w:val="both"/>
        <w:rPr>
          <w:rStyle w:val="normaltextrun"/>
          <w:rFonts w:ascii="Verdana" w:hAnsi="Verdana" w:cs="Arial"/>
          <w:shd w:val="clear" w:color="auto" w:fill="FFFFFF"/>
          <w:lang w:val="es-ES"/>
        </w:rPr>
      </w:pP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shd w:val="clear" w:color="auto" w:fill="FFFFFF"/>
          <w:lang w:val="es-ES"/>
        </w:rPr>
        <w:t>.</w:t>
      </w:r>
    </w:p>
    <w:p w14:paraId="33318BA6" w14:textId="77777777" w:rsidR="008C303F" w:rsidRPr="000B7B3D" w:rsidRDefault="008C303F" w:rsidP="008C303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EC72C8F" w14:textId="77777777" w:rsidR="008C303F" w:rsidRPr="0005702E" w:rsidRDefault="008C303F" w:rsidP="008C303F">
      <w:pPr>
        <w:widowControl w:val="0"/>
        <w:autoSpaceDE w:val="0"/>
        <w:autoSpaceDN w:val="0"/>
        <w:spacing w:after="0" w:line="276" w:lineRule="auto"/>
        <w:jc w:val="both"/>
        <w:rPr>
          <w:rFonts w:ascii="Verdana" w:hAnsi="Verdana" w:cs="Arial"/>
          <w:lang w:val="es-ES_tradnl"/>
        </w:rPr>
      </w:pPr>
      <w:r w:rsidRPr="0005702E">
        <w:rPr>
          <w:rFonts w:ascii="Verdana" w:hAnsi="Verdana" w:cs="Arial"/>
        </w:rPr>
        <w:t xml:space="preserve">Este concepto tiene el alcance previsto en el artículo 28 del Código de Procedimiento Administrativo y de lo Contencioso Administrativo </w:t>
      </w:r>
      <w:r w:rsidRPr="0005702E">
        <w:rPr>
          <w:rFonts w:ascii="Verdana" w:hAnsi="Verdana" w:cs="Arial"/>
          <w:lang w:val="es-ES_tradnl"/>
        </w:rPr>
        <w:t xml:space="preserve">y las expresiones aquí utilizadas con mayúscula inicial deben ser entendidas con el </w:t>
      </w:r>
      <w:r w:rsidRPr="0005702E">
        <w:rPr>
          <w:rFonts w:ascii="Verdana" w:hAnsi="Verdana" w:cs="Arial"/>
          <w:lang w:val="es-ES_tradnl"/>
        </w:rPr>
        <w:lastRenderedPageBreak/>
        <w:t>significado que les otorga el artículo 2.2.1.1.1.3.1. del Decreto 1082 de 2015.</w:t>
      </w:r>
    </w:p>
    <w:p w14:paraId="0A0527D8" w14:textId="77777777" w:rsidR="008C303F" w:rsidRPr="0005702E" w:rsidRDefault="008C303F" w:rsidP="008C303F">
      <w:pPr>
        <w:widowControl w:val="0"/>
        <w:autoSpaceDE w:val="0"/>
        <w:autoSpaceDN w:val="0"/>
        <w:spacing w:after="0" w:line="276" w:lineRule="auto"/>
        <w:jc w:val="both"/>
        <w:rPr>
          <w:rFonts w:ascii="Verdana" w:hAnsi="Verdana" w:cs="Arial"/>
        </w:rPr>
      </w:pPr>
    </w:p>
    <w:p w14:paraId="02D63E4C" w14:textId="77777777" w:rsidR="008C303F" w:rsidRPr="0005702E" w:rsidRDefault="008C303F" w:rsidP="008C303F">
      <w:pPr>
        <w:spacing w:after="0" w:line="276" w:lineRule="auto"/>
        <w:rPr>
          <w:rFonts w:ascii="Verdana" w:hAnsi="Verdana" w:cs="Arial"/>
          <w:lang w:eastAsia="es-CO"/>
        </w:rPr>
      </w:pPr>
      <w:r w:rsidRPr="0005702E">
        <w:rPr>
          <w:rFonts w:ascii="Verdana" w:eastAsia="Times New Roman" w:hAnsi="Verdana" w:cs="Arial"/>
          <w:lang w:eastAsia="es-CO"/>
        </w:rPr>
        <w:t>Atentamente,</w:t>
      </w:r>
      <w:r w:rsidRPr="0005702E">
        <w:rPr>
          <w:rFonts w:ascii="Verdana" w:hAnsi="Verdana" w:cs="Arial"/>
          <w:lang w:eastAsia="es-CO"/>
        </w:rPr>
        <w:t xml:space="preserve"> </w:t>
      </w:r>
    </w:p>
    <w:p w14:paraId="70209F41" w14:textId="48C1742B" w:rsidR="008C303F" w:rsidRPr="00960F72" w:rsidRDefault="00A325AA" w:rsidP="008C303F">
      <w:pPr>
        <w:spacing w:after="0" w:line="276" w:lineRule="auto"/>
        <w:jc w:val="center"/>
        <w:rPr>
          <w:rFonts w:ascii="Verdana" w:hAnsi="Verdana"/>
        </w:rPr>
      </w:pPr>
      <w:r>
        <w:rPr>
          <w:rFonts w:ascii="Verdana" w:hAnsi="Verdana"/>
          <w:noProof/>
        </w:rPr>
        <w:drawing>
          <wp:inline distT="0" distB="0" distL="0" distR="0" wp14:anchorId="40926220" wp14:editId="0FE707A5">
            <wp:extent cx="3639058" cy="1343212"/>
            <wp:effectExtent l="0" t="0" r="0" b="0"/>
            <wp:docPr id="70401425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014252"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C303F" w:rsidRPr="00960F72" w14:paraId="0691C9CC" w14:textId="77777777" w:rsidTr="00803536">
        <w:trPr>
          <w:trHeight w:val="315"/>
        </w:trPr>
        <w:tc>
          <w:tcPr>
            <w:tcW w:w="893" w:type="dxa"/>
            <w:vAlign w:val="center"/>
            <w:hideMark/>
          </w:tcPr>
          <w:p w14:paraId="2E8A82EB" w14:textId="77777777" w:rsidR="008C303F" w:rsidRPr="00960F72" w:rsidRDefault="008C303F" w:rsidP="00803536">
            <w:pPr>
              <w:contextualSpacing/>
              <w:rPr>
                <w:rFonts w:ascii="Verdana" w:hAnsi="Verdana" w:cs="Arial"/>
                <w:sz w:val="16"/>
                <w:szCs w:val="16"/>
                <w:lang w:eastAsia="es-ES"/>
              </w:rPr>
            </w:pPr>
            <w:bookmarkStart w:id="4" w:name="_Hlk210670112"/>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2CD36FC" w14:textId="77777777" w:rsidR="008C303F" w:rsidRPr="00960F72" w:rsidRDefault="008C303F" w:rsidP="00803536">
            <w:pPr>
              <w:contextualSpacing/>
              <w:rPr>
                <w:rFonts w:ascii="Verdana" w:hAnsi="Verdana"/>
                <w:sz w:val="16"/>
                <w:szCs w:val="16"/>
              </w:rPr>
            </w:pPr>
            <w:r w:rsidRPr="00960F72">
              <w:rPr>
                <w:rFonts w:ascii="Verdana" w:hAnsi="Verdana"/>
                <w:sz w:val="16"/>
                <w:szCs w:val="16"/>
              </w:rPr>
              <w:t>Gloria Elizabeth Arango Builes</w:t>
            </w:r>
          </w:p>
          <w:p w14:paraId="65C30B34" w14:textId="77777777" w:rsidR="008C303F" w:rsidRPr="00960F72" w:rsidRDefault="008C303F" w:rsidP="00803536">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8C303F" w:rsidRPr="00960F72" w14:paraId="1A2696D1" w14:textId="77777777" w:rsidTr="00803536">
        <w:trPr>
          <w:trHeight w:val="330"/>
        </w:trPr>
        <w:tc>
          <w:tcPr>
            <w:tcW w:w="893" w:type="dxa"/>
            <w:vAlign w:val="center"/>
            <w:hideMark/>
          </w:tcPr>
          <w:p w14:paraId="21F74CE9" w14:textId="77777777" w:rsidR="008C303F" w:rsidRPr="00960F72" w:rsidRDefault="008C303F" w:rsidP="00803536">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4E4A28" w14:textId="77777777" w:rsidR="008C303F" w:rsidRPr="00960F72" w:rsidRDefault="008C303F" w:rsidP="00803536">
            <w:pPr>
              <w:spacing w:line="276" w:lineRule="auto"/>
              <w:contextualSpacing/>
              <w:jc w:val="both"/>
              <w:rPr>
                <w:rFonts w:ascii="Verdana" w:hAnsi="Verdana"/>
                <w:sz w:val="16"/>
                <w:szCs w:val="16"/>
              </w:rPr>
            </w:pPr>
            <w:r>
              <w:rPr>
                <w:rFonts w:ascii="Verdana" w:hAnsi="Verdana"/>
                <w:sz w:val="16"/>
                <w:szCs w:val="16"/>
              </w:rPr>
              <w:t>Juan Carlos González Vásquez</w:t>
            </w:r>
          </w:p>
          <w:p w14:paraId="017FAD43" w14:textId="77777777" w:rsidR="008C303F" w:rsidRPr="00960F72" w:rsidRDefault="008C303F" w:rsidP="00803536">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8C303F" w:rsidRPr="00960F72" w14:paraId="7A5D747A" w14:textId="77777777" w:rsidTr="00803536">
        <w:trPr>
          <w:trHeight w:val="330"/>
        </w:trPr>
        <w:tc>
          <w:tcPr>
            <w:tcW w:w="893" w:type="dxa"/>
            <w:vAlign w:val="center"/>
          </w:tcPr>
          <w:p w14:paraId="5574A199" w14:textId="77777777" w:rsidR="008C303F" w:rsidRPr="00960F72" w:rsidRDefault="008C303F" w:rsidP="00803536">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684F78" w14:textId="77777777" w:rsidR="008C303F" w:rsidRPr="00960F72" w:rsidRDefault="008C303F" w:rsidP="00803536">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1ABDB1DF" w14:textId="77777777" w:rsidR="008C303F" w:rsidRPr="00960F72" w:rsidRDefault="008C303F" w:rsidP="00803536">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bookmarkEnd w:id="4"/>
    </w:tbl>
    <w:p w14:paraId="6E4A5C8F" w14:textId="77777777" w:rsidR="008C303F" w:rsidRPr="00960F72" w:rsidRDefault="008C303F" w:rsidP="008C303F"/>
    <w:p w14:paraId="35CDDE0C" w14:textId="77777777" w:rsidR="008C303F" w:rsidRPr="00960F72" w:rsidRDefault="008C303F" w:rsidP="008C303F"/>
    <w:p w14:paraId="35CC5531" w14:textId="77777777" w:rsidR="008C303F" w:rsidRPr="00960F72" w:rsidRDefault="008C303F" w:rsidP="008C303F"/>
    <w:p w14:paraId="7AED02AD" w14:textId="77777777" w:rsidR="008C303F" w:rsidRPr="00960F72" w:rsidRDefault="008C303F" w:rsidP="008C303F"/>
    <w:p w14:paraId="718CAACB" w14:textId="77777777" w:rsidR="008C303F" w:rsidRPr="00960F72" w:rsidRDefault="008C303F" w:rsidP="008C303F"/>
    <w:p w14:paraId="3C812901" w14:textId="77777777" w:rsidR="008C303F" w:rsidRPr="003B6CA8" w:rsidRDefault="008C303F" w:rsidP="008C303F"/>
    <w:p w14:paraId="420EDD8F" w14:textId="77777777" w:rsidR="008C303F" w:rsidRPr="00B2454C" w:rsidRDefault="008C303F" w:rsidP="008C303F"/>
    <w:p w14:paraId="4F569AC1" w14:textId="77777777" w:rsidR="008C303F" w:rsidRPr="00E4193C" w:rsidRDefault="008C303F" w:rsidP="008C303F"/>
    <w:p w14:paraId="487BB5DB" w14:textId="77777777" w:rsidR="008C303F" w:rsidRPr="00200D48" w:rsidRDefault="008C303F" w:rsidP="008C303F"/>
    <w:p w14:paraId="4CFC60EF" w14:textId="77777777" w:rsidR="008C303F" w:rsidRPr="00FB0D24" w:rsidRDefault="008C303F" w:rsidP="008C303F"/>
    <w:p w14:paraId="0F293BF4" w14:textId="439AFF30" w:rsidR="00127233" w:rsidRPr="008C303F" w:rsidRDefault="00127233" w:rsidP="008C303F"/>
    <w:sectPr w:rsidR="00127233" w:rsidRPr="008C303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7F9A2" w14:textId="77777777" w:rsidR="00C5760F" w:rsidRDefault="00C5760F" w:rsidP="004A1847">
      <w:pPr>
        <w:spacing w:after="0" w:line="240" w:lineRule="auto"/>
      </w:pPr>
      <w:r>
        <w:separator/>
      </w:r>
    </w:p>
  </w:endnote>
  <w:endnote w:type="continuationSeparator" w:id="0">
    <w:p w14:paraId="4D3CBC86" w14:textId="77777777" w:rsidR="00C5760F" w:rsidRDefault="00C5760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F5621" w14:textId="77777777" w:rsidR="00C5760F" w:rsidRDefault="00C5760F" w:rsidP="004A1847">
      <w:pPr>
        <w:spacing w:after="0" w:line="240" w:lineRule="auto"/>
      </w:pPr>
      <w:r>
        <w:separator/>
      </w:r>
    </w:p>
  </w:footnote>
  <w:footnote w:type="continuationSeparator" w:id="0">
    <w:p w14:paraId="787D0409" w14:textId="77777777" w:rsidR="00C5760F" w:rsidRDefault="00C5760F" w:rsidP="004A1847">
      <w:pPr>
        <w:spacing w:after="0" w:line="240" w:lineRule="auto"/>
      </w:pPr>
      <w:r>
        <w:continuationSeparator/>
      </w:r>
    </w:p>
  </w:footnote>
  <w:footnote w:id="1">
    <w:p w14:paraId="6BD08748" w14:textId="1BF2108F" w:rsidR="00033A6E" w:rsidRDefault="00033A6E" w:rsidP="00033A6E">
      <w:pPr>
        <w:pStyle w:val="Textonotapie"/>
        <w:ind w:firstLine="708"/>
        <w:jc w:val="both"/>
        <w:rPr>
          <w:rFonts w:ascii="Verdana" w:hAnsi="Verdana"/>
          <w:i/>
          <w:iCs/>
          <w:sz w:val="16"/>
          <w:szCs w:val="16"/>
          <w:lang w:val="es-CO"/>
        </w:rPr>
      </w:pPr>
      <w:r>
        <w:rPr>
          <w:rStyle w:val="Refdenotaalpie"/>
        </w:rPr>
        <w:footnoteRef/>
      </w:r>
      <w:r>
        <w:t xml:space="preserve"> </w:t>
      </w:r>
      <w:r w:rsidRPr="00033A6E">
        <w:rPr>
          <w:rFonts w:ascii="Verdana" w:hAnsi="Verdana"/>
          <w:i/>
          <w:iCs/>
          <w:sz w:val="16"/>
          <w:szCs w:val="16"/>
          <w:lang w:val="es-CO"/>
        </w:rPr>
        <w:t>Corte Constitucional, Sentencia C-768 de 23 de septiembre de 2010. M.P.: Juan Carlos Henao Pérez indicó: “Para explicar esta afirmación conviene señalar que las estampillas han sido definidas por la jurisprudencia del Consejo de Estado (…) como tributos dentro de la especie de “tasas parafiscales”, en la medida en que participan de la naturaleza de las contribuciones parafiscales, pues constituyen un gravamen cuyo pago obligatorio deben realizar los usuarios de algunas operaciones o actividades que se realizan frente a organismos de carácter público; son de carácter excepcional en cuanto al sujeto pasivo del tributo; los recursos se revierten en beneficio de un sector específico; y están destinados a sufragar gastos en que incurran las entidades que desarrollan o prestan un servicio público, como función propia del Estado. // La “tasa” si bien puede corresponder a la prestación directa de un servicio público, del cual es usuario el contribuyente que se beneficia efectivamente, también puede corresponder al beneficio potencial por la utilización de servicios de aprovechamiento común, como la educación, la salud, el deporte, la cultura, es decir, que el gravamen se revierte en beneficio social. Las primeras se definen como tasas administrativas en cuanto equivalen a la remuneración pagada por los servicios administrativos y, las segundas, como tasas parafiscales que son las percibidas en beneficio de organismos públicos o privados, pero no por la prestación de un servicio propiamente dicho, sino por contener un carácter social”.</w:t>
      </w:r>
    </w:p>
    <w:p w14:paraId="67D287A1" w14:textId="77777777" w:rsidR="00033A6E" w:rsidRPr="00033A6E" w:rsidRDefault="00033A6E" w:rsidP="00033A6E">
      <w:pPr>
        <w:pStyle w:val="Textonotapie"/>
        <w:jc w:val="both"/>
        <w:rPr>
          <w:rFonts w:ascii="Verdana" w:hAnsi="Verdana"/>
          <w:i/>
          <w:iCs/>
          <w:sz w:val="16"/>
          <w:szCs w:val="16"/>
          <w:lang w:val="es-ES"/>
        </w:rPr>
      </w:pPr>
    </w:p>
  </w:footnote>
  <w:footnote w:id="2">
    <w:p w14:paraId="2D9D566A" w14:textId="074500F1" w:rsidR="00033A6E" w:rsidRPr="00033A6E" w:rsidRDefault="00033A6E" w:rsidP="00033A6E">
      <w:pPr>
        <w:pStyle w:val="Textonotapie"/>
        <w:ind w:firstLine="708"/>
        <w:rPr>
          <w:rFonts w:ascii="Verdana" w:hAnsi="Verdana"/>
          <w:i/>
          <w:iCs/>
          <w:sz w:val="16"/>
          <w:szCs w:val="16"/>
          <w:lang w:val="es-ES"/>
        </w:rPr>
      </w:pPr>
      <w:r>
        <w:rPr>
          <w:rStyle w:val="Refdenotaalpie"/>
        </w:rPr>
        <w:footnoteRef/>
      </w:r>
      <w:r>
        <w:t xml:space="preserve"> </w:t>
      </w:r>
      <w:r w:rsidRPr="00033A6E">
        <w:rPr>
          <w:rFonts w:ascii="Verdana" w:hAnsi="Verdana"/>
          <w:i/>
          <w:iCs/>
          <w:sz w:val="16"/>
          <w:szCs w:val="16"/>
          <w:lang w:val="es-CO"/>
        </w:rPr>
        <w:t>Corte Constitucional, Sentencia C-221 de 22 de mayo de 2019. M.P. Carlos Bernal Pulido. En la sentencia se indicó que la estampilla ‘Pro-Universidad Nacional de Colombia y demás universidades estatales de Colombia’ se trataba de un impuesto con destinación específica “pues se trata de una “imposición obligatoria y definitiva que no guarda relación directa e inmediata con la prestación de un bien o un servicio por parte del Estado al ciudadano” (…)”</w:t>
      </w:r>
    </w:p>
  </w:footnote>
  <w:footnote w:id="3">
    <w:p w14:paraId="158079C7" w14:textId="77777777" w:rsidR="00033A6E" w:rsidRPr="00B95CFD" w:rsidRDefault="00C53F17" w:rsidP="00033A6E">
      <w:pPr>
        <w:pStyle w:val="Textonotapie"/>
        <w:ind w:right="-141" w:firstLine="708"/>
        <w:jc w:val="both"/>
        <w:rPr>
          <w:rFonts w:ascii="Verdana" w:hAnsi="Verdana" w:cs="Arial"/>
          <w:sz w:val="16"/>
          <w:szCs w:val="16"/>
          <w:lang w:val="es-ES_tradnl"/>
        </w:rPr>
      </w:pPr>
      <w:r>
        <w:rPr>
          <w:rStyle w:val="Refdenotaalpie"/>
        </w:rPr>
        <w:footnoteRef/>
      </w:r>
      <w:r>
        <w:t xml:space="preserve"> </w:t>
      </w:r>
      <w:r w:rsidR="00033A6E" w:rsidRPr="00B95CFD">
        <w:rPr>
          <w:rFonts w:ascii="Verdana" w:hAnsi="Verdana" w:cs="Arial"/>
          <w:sz w:val="16"/>
          <w:szCs w:val="16"/>
          <w:lang w:val="es-CO"/>
        </w:rPr>
        <w:t>C</w:t>
      </w:r>
      <w:r w:rsidR="00033A6E">
        <w:rPr>
          <w:rFonts w:ascii="Verdana" w:hAnsi="Verdana" w:cs="Arial"/>
          <w:sz w:val="16"/>
          <w:szCs w:val="16"/>
          <w:lang w:val="es-CO"/>
        </w:rPr>
        <w:t>orte Constitucional</w:t>
      </w:r>
      <w:r w:rsidR="00033A6E" w:rsidRPr="00B95CFD">
        <w:rPr>
          <w:rFonts w:ascii="Verdana" w:hAnsi="Verdana" w:cs="Arial"/>
          <w:sz w:val="16"/>
          <w:szCs w:val="16"/>
          <w:lang w:val="es-CO"/>
        </w:rPr>
        <w:t xml:space="preserve">, </w:t>
      </w:r>
      <w:r w:rsidR="00033A6E" w:rsidRPr="00B95CFD">
        <w:rPr>
          <w:rFonts w:ascii="Verdana" w:hAnsi="Verdana" w:cs="Arial"/>
          <w:sz w:val="16"/>
          <w:szCs w:val="16"/>
          <w:lang w:val="es-ES_tradnl"/>
        </w:rPr>
        <w:t xml:space="preserve">Sentencia C-768 de 23 de septiembre de 2010. </w:t>
      </w:r>
      <w:r w:rsidR="00033A6E" w:rsidRPr="00B95CFD">
        <w:rPr>
          <w:rFonts w:ascii="Verdana" w:hAnsi="Verdana" w:cs="Arial"/>
          <w:sz w:val="16"/>
          <w:szCs w:val="16"/>
          <w:lang w:val="es-CO"/>
        </w:rPr>
        <w:t>M.P.: Juan Carlos Henao Pérez</w:t>
      </w:r>
      <w:r w:rsidR="00033A6E" w:rsidRPr="00B95CFD">
        <w:rPr>
          <w:rFonts w:ascii="Verdana" w:hAnsi="Verdana" w:cs="Arial"/>
          <w:sz w:val="16"/>
          <w:szCs w:val="16"/>
          <w:lang w:val="es-ES_tradnl"/>
        </w:rPr>
        <w:t xml:space="preserve"> indicó: “</w:t>
      </w:r>
      <w:r w:rsidR="00033A6E" w:rsidRPr="00B95CFD">
        <w:rPr>
          <w:rFonts w:ascii="Verdana" w:hAnsi="Verdana" w:cs="Arial"/>
          <w:i/>
          <w:sz w:val="16"/>
          <w:szCs w:val="16"/>
          <w:lang w:val="es-ES_tradnl"/>
        </w:rPr>
        <w:t>Para explicar esta afirmación conviene señalar que las estampillas han sido definidas por la jurisprudencia del Consejo de Estado</w:t>
      </w:r>
      <w:r w:rsidR="00033A6E" w:rsidRPr="00B95CFD">
        <w:rPr>
          <w:rFonts w:ascii="Verdana" w:hAnsi="Verdana" w:cs="Arial"/>
          <w:sz w:val="16"/>
          <w:szCs w:val="16"/>
          <w:lang w:val="es-ES_tradnl"/>
        </w:rPr>
        <w:t xml:space="preserve"> (…) </w:t>
      </w:r>
      <w:r w:rsidR="00033A6E" w:rsidRPr="00B95CFD">
        <w:rPr>
          <w:rFonts w:ascii="Verdana" w:hAnsi="Verdana" w:cs="Arial"/>
          <w:i/>
          <w:sz w:val="16"/>
          <w:szCs w:val="16"/>
          <w:lang w:val="es-ES_tradnl"/>
        </w:rPr>
        <w:t>como tributos dentro de la especie de “tasas parafiscales”, en la medida en que participan de la naturaleza de las contribuciones parafiscales, pues constituyen un gravamen cuyo pago obligatorio deben realizar los usuarios de algunas operaciones o actividades que se realizan frente a organismos de carácter público; son de carácter excepcional en cuanto al sujeto pasivo del tributo; los recursos se revierten en beneficio de un sector específico; y están destinados a sufragar gastos en que incurran las entidades que desarrollan o prestan un servicio público, como función propia del Estado.</w:t>
      </w:r>
      <w:r w:rsidR="00033A6E" w:rsidRPr="00B95CFD">
        <w:rPr>
          <w:rFonts w:ascii="Verdana" w:hAnsi="Verdana" w:cs="Arial"/>
          <w:sz w:val="16"/>
          <w:szCs w:val="16"/>
          <w:lang w:val="es-ES_tradnl"/>
        </w:rPr>
        <w:t xml:space="preserve"> //</w:t>
      </w:r>
      <w:r w:rsidR="00033A6E" w:rsidRPr="00B95CFD">
        <w:rPr>
          <w:rFonts w:ascii="Verdana" w:hAnsi="Verdana" w:cs="Arial"/>
          <w:i/>
          <w:sz w:val="16"/>
          <w:szCs w:val="16"/>
          <w:lang w:val="es-ES_tradnl"/>
        </w:rPr>
        <w:t xml:space="preserve"> La “tasa” si bien puede corresponder a la prestación directa de un servicio </w:t>
      </w:r>
      <w:r w:rsidR="00033A6E" w:rsidRPr="00B95CFD">
        <w:rPr>
          <w:rFonts w:ascii="Verdana" w:hAnsi="Verdana" w:cs="Arial"/>
          <w:sz w:val="16"/>
          <w:szCs w:val="16"/>
          <w:lang w:val="es-CO"/>
        </w:rPr>
        <w:t>público</w:t>
      </w:r>
      <w:r w:rsidR="00033A6E" w:rsidRPr="00B95CFD">
        <w:rPr>
          <w:rFonts w:ascii="Verdana" w:hAnsi="Verdana" w:cs="Arial"/>
          <w:i/>
          <w:sz w:val="16"/>
          <w:szCs w:val="16"/>
          <w:lang w:val="es-ES_tradnl"/>
        </w:rPr>
        <w:t>, del cual es usuario el contribuyente que se beneficia efectivamente, también puede corresponder al beneficio potencial por la utilización de servicios de aprovechamiento común, como la educación, la salud, el deporte, la cultura, es decir, que el gravamen se revierte en beneficio social. Las primeras se definen como tasas administrativas en cuanto equivalen a la remuneración pagada por los servicios administrativos y, las segundas, como tasas parafiscales que son las percibidas en beneficio de organismos públicos o privados, pero no por la prestación de un servicio propiamente dicho, sino por contener un carácter social</w:t>
      </w:r>
      <w:r w:rsidR="00033A6E" w:rsidRPr="00B95CFD">
        <w:rPr>
          <w:rFonts w:ascii="Verdana" w:hAnsi="Verdana" w:cs="Arial"/>
          <w:sz w:val="16"/>
          <w:szCs w:val="16"/>
          <w:lang w:val="es-ES_tradnl"/>
        </w:rPr>
        <w:t>”.</w:t>
      </w:r>
    </w:p>
    <w:p w14:paraId="6E8D968E" w14:textId="7CCC875A" w:rsidR="00C53F17" w:rsidRPr="00C53F17" w:rsidRDefault="00C53F17">
      <w:pPr>
        <w:pStyle w:val="Textonotapie"/>
        <w:rPr>
          <w:lang w:val="es-ES"/>
        </w:rPr>
      </w:pPr>
    </w:p>
  </w:footnote>
  <w:footnote w:id="4">
    <w:p w14:paraId="3179E2DA" w14:textId="268E83B7" w:rsidR="00033A6E" w:rsidRPr="00033A6E" w:rsidRDefault="00033A6E" w:rsidP="00033A6E">
      <w:pPr>
        <w:pStyle w:val="Textonotapie"/>
        <w:ind w:firstLine="708"/>
        <w:jc w:val="both"/>
        <w:rPr>
          <w:rFonts w:ascii="Verdana" w:hAnsi="Verdana"/>
          <w:i/>
          <w:iCs/>
          <w:sz w:val="16"/>
          <w:szCs w:val="16"/>
          <w:lang w:val="es-ES"/>
        </w:rPr>
      </w:pPr>
      <w:r>
        <w:rPr>
          <w:rStyle w:val="Refdenotaalpie"/>
        </w:rPr>
        <w:footnoteRef/>
      </w:r>
      <w:r>
        <w:t xml:space="preserve"> </w:t>
      </w:r>
      <w:r w:rsidRPr="00033A6E">
        <w:rPr>
          <w:rFonts w:ascii="Verdana" w:hAnsi="Verdana"/>
          <w:i/>
          <w:iCs/>
          <w:sz w:val="16"/>
          <w:szCs w:val="16"/>
          <w:lang w:val="es-CO"/>
        </w:rPr>
        <w:t>Corte Constitucional, Sentencia C-221 de 22 de mayo de 2019. M.P. Carlos Bernal Pulido. En la sentencia se indicó que la estampilla ‘Pro-Universidad Nacional de Colombia y demás universidades estatales de Colombia’ se trataba de un impuesto con destinación específica “pues se trata de una “imposición obligatoria y definitiva que no guarda relación directa e inmediata con la prestación de un bien o un servicio por parte del Estado al ciudadano” (…)”</w:t>
      </w:r>
    </w:p>
  </w:footnote>
  <w:footnote w:id="5">
    <w:p w14:paraId="3CBA328A" w14:textId="77777777" w:rsidR="008C303F" w:rsidRPr="00720C66" w:rsidRDefault="008C303F" w:rsidP="008C303F">
      <w:pPr>
        <w:pStyle w:val="Textonotapie"/>
        <w:ind w:firstLine="708"/>
        <w:jc w:val="both"/>
        <w:rPr>
          <w:rFonts w:ascii="Verdana" w:hAnsi="Verdana" w:cs="Arial"/>
          <w:sz w:val="10"/>
          <w:szCs w:val="10"/>
          <w:lang w:val="es-CO"/>
        </w:rPr>
      </w:pPr>
      <w:r w:rsidRPr="00720C66">
        <w:rPr>
          <w:rStyle w:val="Refdenotaalpie"/>
          <w:rFonts w:ascii="Verdana" w:hAnsi="Verdana" w:cs="Arial"/>
          <w:sz w:val="10"/>
          <w:szCs w:val="10"/>
        </w:rPr>
        <w:footnoteRef/>
      </w:r>
      <w:r w:rsidRPr="00720C66">
        <w:rPr>
          <w:rFonts w:ascii="Verdana" w:hAnsi="Verdana" w:cs="Arial"/>
          <w:sz w:val="10"/>
          <w:szCs w:val="10"/>
        </w:rPr>
        <w:t xml:space="preserve"> </w:t>
      </w:r>
      <w:r w:rsidRPr="00720C66">
        <w:rPr>
          <w:rFonts w:ascii="Verdana" w:hAnsi="Verdana" w:cs="Arial"/>
          <w:sz w:val="10"/>
          <w:szCs w:val="10"/>
          <w:lang w:val="es-CO"/>
        </w:rPr>
        <w:t>DÁVILA VINUEZA, Luis Guillermo. Régimen jurídico de la contratación estatal. Tercera edición, Bogotá: Legis, 2016. p. 355.</w:t>
      </w:r>
    </w:p>
  </w:footnote>
  <w:footnote w:id="6">
    <w:p w14:paraId="4E31A981" w14:textId="77777777" w:rsidR="008C303F" w:rsidRPr="00720C66" w:rsidRDefault="008C303F" w:rsidP="008C303F">
      <w:pPr>
        <w:pStyle w:val="Textonotapie"/>
        <w:ind w:firstLine="709"/>
        <w:contextualSpacing/>
        <w:jc w:val="both"/>
        <w:rPr>
          <w:rFonts w:ascii="Verdana" w:hAnsi="Verdana" w:cs="Arial"/>
          <w:sz w:val="10"/>
          <w:szCs w:val="10"/>
        </w:rPr>
      </w:pPr>
      <w:r w:rsidRPr="00720C66">
        <w:rPr>
          <w:rStyle w:val="Refdenotaalpie"/>
          <w:rFonts w:ascii="Verdana" w:hAnsi="Verdana" w:cs="Arial"/>
          <w:sz w:val="10"/>
          <w:szCs w:val="10"/>
        </w:rPr>
        <w:footnoteRef/>
      </w:r>
      <w:r w:rsidRPr="00720C66">
        <w:rPr>
          <w:rStyle w:val="Refdenotaalpie"/>
          <w:rFonts w:ascii="Verdana" w:hAnsi="Verdana" w:cs="Arial"/>
          <w:sz w:val="10"/>
          <w:szCs w:val="10"/>
        </w:rPr>
        <w:t xml:space="preserve"> </w:t>
      </w:r>
      <w:r w:rsidRPr="00720C66">
        <w:rPr>
          <w:rFonts w:ascii="Verdana" w:hAnsi="Verdana" w:cs="Arial"/>
          <w:sz w:val="10"/>
          <w:szCs w:val="10"/>
        </w:rPr>
        <w:t>CONSEJO DE ESTADO. Sección Tercera. Subsección B. Sentencia del 6 de junio de 2013. Exp. 25151. C.P. Stella Conto Díaz del Castillo.</w:t>
      </w:r>
    </w:p>
    <w:p w14:paraId="62409DBE" w14:textId="77777777" w:rsidR="008C303F" w:rsidRPr="00720C66" w:rsidRDefault="008C303F" w:rsidP="008C303F">
      <w:pPr>
        <w:pStyle w:val="Textonotapie"/>
        <w:ind w:firstLine="709"/>
        <w:contextualSpacing/>
        <w:jc w:val="both"/>
        <w:rPr>
          <w:rFonts w:ascii="Verdana" w:hAnsi="Verdana" w:cs="Arial"/>
          <w:sz w:val="10"/>
          <w:szCs w:val="10"/>
        </w:rPr>
      </w:pPr>
    </w:p>
  </w:footnote>
  <w:footnote w:id="7">
    <w:p w14:paraId="63F060BB" w14:textId="77777777" w:rsidR="008C303F" w:rsidRPr="00720C66" w:rsidRDefault="008C303F" w:rsidP="008C303F">
      <w:pPr>
        <w:pStyle w:val="Textonotapie"/>
        <w:ind w:firstLine="709"/>
        <w:contextualSpacing/>
        <w:jc w:val="both"/>
        <w:rPr>
          <w:rFonts w:ascii="Verdana" w:hAnsi="Verdana" w:cs="Arial"/>
          <w:color w:val="000000" w:themeColor="text1"/>
          <w:sz w:val="10"/>
          <w:szCs w:val="10"/>
        </w:rPr>
      </w:pPr>
    </w:p>
    <w:p w14:paraId="17BBD68E"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Ley 1150 de 2007: «Artículo 5. De la selección objetiva.</w:t>
      </w:r>
      <w:r w:rsidRPr="00720C66">
        <w:rPr>
          <w:rFonts w:ascii="Verdana" w:hAnsi="Verdana" w:cs="Arial"/>
          <w:color w:val="000000" w:themeColor="text1"/>
          <w:sz w:val="10"/>
          <w:szCs w:val="10"/>
          <w:lang w:eastAsia="es-CO"/>
        </w:rPr>
        <w:t xml:space="preserve"> </w:t>
      </w:r>
    </w:p>
    <w:p w14:paraId="1C22B94A"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w:t>
      </w:r>
    </w:p>
    <w:p w14:paraId="7B2B0C18"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3D7BE81C"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w:t>
      </w:r>
    </w:p>
    <w:p w14:paraId="55844985"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p>
  </w:footnote>
  <w:footnote w:id="8">
    <w:p w14:paraId="4F055ADE" w14:textId="77777777" w:rsidR="008C303F" w:rsidRPr="00720C66" w:rsidRDefault="008C303F" w:rsidP="008C303F">
      <w:pPr>
        <w:pStyle w:val="Textonotapie"/>
        <w:ind w:firstLine="709"/>
        <w:contextualSpacing/>
        <w:jc w:val="both"/>
        <w:rPr>
          <w:rFonts w:ascii="Verdana" w:hAnsi="Verdana" w:cs="Arial"/>
          <w:color w:val="000000" w:themeColor="text1"/>
          <w:sz w:val="10"/>
          <w:szCs w:val="10"/>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9">
    <w:p w14:paraId="1B7BD18A" w14:textId="77777777" w:rsidR="008C303F" w:rsidRPr="00720C66" w:rsidRDefault="008C303F" w:rsidP="008C303F">
      <w:pPr>
        <w:pStyle w:val="Textonotapie"/>
        <w:ind w:firstLine="709"/>
        <w:contextualSpacing/>
        <w:jc w:val="both"/>
        <w:rPr>
          <w:rFonts w:ascii="Verdana" w:hAnsi="Verdana" w:cs="Arial"/>
          <w:sz w:val="10"/>
          <w:szCs w:val="10"/>
        </w:rPr>
      </w:pPr>
    </w:p>
    <w:p w14:paraId="78225B45" w14:textId="77777777" w:rsidR="008C303F" w:rsidRPr="00720C66" w:rsidRDefault="008C303F" w:rsidP="008C303F">
      <w:pPr>
        <w:pStyle w:val="Textonotapie"/>
        <w:ind w:firstLine="709"/>
        <w:contextualSpacing/>
        <w:jc w:val="both"/>
        <w:rPr>
          <w:rFonts w:ascii="Verdana" w:hAnsi="Verdana" w:cs="Arial"/>
          <w:sz w:val="10"/>
          <w:szCs w:val="10"/>
          <w:lang w:eastAsia="es-CO"/>
        </w:rPr>
      </w:pPr>
      <w:r w:rsidRPr="00720C66">
        <w:rPr>
          <w:rStyle w:val="Refdenotaalpie"/>
          <w:rFonts w:ascii="Verdana" w:hAnsi="Verdana" w:cs="Arial"/>
          <w:sz w:val="10"/>
          <w:szCs w:val="10"/>
        </w:rPr>
        <w:footnoteRef/>
      </w:r>
      <w:r w:rsidRPr="00720C66">
        <w:rPr>
          <w:rFonts w:ascii="Verdana" w:hAnsi="Verdana" w:cs="Arial"/>
          <w:sz w:val="10"/>
          <w:szCs w:val="10"/>
        </w:rPr>
        <w:t xml:space="preserve"> </w:t>
      </w:r>
      <w:r w:rsidRPr="00720C66">
        <w:rPr>
          <w:rFonts w:ascii="Verdana" w:hAnsi="Verdana" w:cs="Arial"/>
          <w:sz w:val="10"/>
          <w:szCs w:val="10"/>
          <w:lang w:eastAsia="es-CO"/>
        </w:rPr>
        <w:t xml:space="preserve">Ley 1150 de 2007: “Artículo 6.  De la verificación de las condiciones de los proponentes. </w:t>
      </w:r>
    </w:p>
    <w:p w14:paraId="5914527D" w14:textId="77777777" w:rsidR="008C303F" w:rsidRPr="00720C66" w:rsidRDefault="008C303F" w:rsidP="008C303F">
      <w:pPr>
        <w:pStyle w:val="Textonotapie"/>
        <w:ind w:firstLine="709"/>
        <w:contextualSpacing/>
        <w:jc w:val="both"/>
        <w:rPr>
          <w:rFonts w:ascii="Verdana" w:hAnsi="Verdana" w:cs="Arial"/>
          <w:sz w:val="10"/>
          <w:szCs w:val="10"/>
          <w:lang w:eastAsia="es-CO"/>
        </w:rPr>
      </w:pPr>
      <w:r w:rsidRPr="00720C66">
        <w:rPr>
          <w:rFonts w:ascii="Verdana" w:hAnsi="Verdana" w:cs="Arial"/>
          <w:sz w:val="10"/>
          <w:szCs w:val="10"/>
          <w:lang w:eastAsia="es-CO"/>
        </w:rPr>
        <w:t xml:space="preserve">[...] </w:t>
      </w:r>
    </w:p>
    <w:p w14:paraId="7BAD58F4" w14:textId="77777777" w:rsidR="008C303F" w:rsidRPr="00720C66" w:rsidRDefault="008C303F" w:rsidP="008C303F">
      <w:pPr>
        <w:pStyle w:val="Textonotapie"/>
        <w:ind w:firstLine="709"/>
        <w:contextualSpacing/>
        <w:jc w:val="both"/>
        <w:rPr>
          <w:rFonts w:ascii="Verdana" w:hAnsi="Verdana" w:cs="Arial"/>
          <w:sz w:val="10"/>
          <w:szCs w:val="10"/>
          <w:lang w:eastAsia="es-CO"/>
        </w:rPr>
      </w:pPr>
      <w:r w:rsidRPr="00720C66">
        <w:rPr>
          <w:rFonts w:ascii="Verdana" w:hAnsi="Verdana" w:cs="Arial"/>
          <w:sz w:val="10"/>
          <w:szCs w:val="10"/>
          <w:lang w:eastAsia="es-CO"/>
        </w:rPr>
        <w:t>“No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43A76C9" w14:textId="77777777" w:rsidR="008C303F" w:rsidRPr="00720C66" w:rsidRDefault="008C303F" w:rsidP="008C303F">
      <w:pPr>
        <w:pStyle w:val="Textonotapie"/>
        <w:ind w:firstLine="709"/>
        <w:contextualSpacing/>
        <w:jc w:val="both"/>
        <w:rPr>
          <w:rFonts w:ascii="Verdana" w:hAnsi="Verdana" w:cs="Arial"/>
          <w:sz w:val="10"/>
          <w:szCs w:val="10"/>
          <w:lang w:eastAsia="es-CO"/>
        </w:rPr>
      </w:pPr>
      <w:r w:rsidRPr="00720C66">
        <w:rPr>
          <w:rFonts w:ascii="Verdana" w:hAnsi="Verdana" w:cs="Arial"/>
          <w:sz w:val="10"/>
          <w:szCs w:val="10"/>
          <w:lang w:eastAsia="es-CO"/>
        </w:rPr>
        <w:t xml:space="preserve">[...]”. </w:t>
      </w:r>
    </w:p>
  </w:footnote>
  <w:footnote w:id="10">
    <w:p w14:paraId="11EBD776" w14:textId="77777777" w:rsidR="008C303F" w:rsidRPr="00720C66" w:rsidRDefault="008C303F" w:rsidP="008C303F">
      <w:pPr>
        <w:pStyle w:val="Textonotapie"/>
        <w:ind w:firstLine="709"/>
        <w:contextualSpacing/>
        <w:jc w:val="both"/>
        <w:rPr>
          <w:rFonts w:ascii="Verdana" w:hAnsi="Verdana" w:cs="Arial"/>
          <w:sz w:val="10"/>
          <w:szCs w:val="10"/>
        </w:rPr>
      </w:pPr>
    </w:p>
    <w:p w14:paraId="1FB58690" w14:textId="77777777" w:rsidR="008C303F" w:rsidRPr="00720C66" w:rsidRDefault="008C303F" w:rsidP="008C303F">
      <w:pPr>
        <w:pStyle w:val="Textonotapie"/>
        <w:ind w:firstLine="709"/>
        <w:contextualSpacing/>
        <w:jc w:val="both"/>
        <w:rPr>
          <w:rFonts w:ascii="Verdana" w:hAnsi="Verdana" w:cs="Arial"/>
          <w:sz w:val="10"/>
          <w:szCs w:val="10"/>
          <w:lang w:eastAsia="es-CO"/>
        </w:rPr>
      </w:pPr>
      <w:r w:rsidRPr="00720C66">
        <w:rPr>
          <w:rStyle w:val="Refdenotaalpie"/>
          <w:rFonts w:ascii="Verdana" w:hAnsi="Verdana" w:cs="Arial"/>
          <w:sz w:val="10"/>
          <w:szCs w:val="10"/>
        </w:rPr>
        <w:footnoteRef/>
      </w:r>
      <w:r w:rsidRPr="00720C66">
        <w:rPr>
          <w:rFonts w:ascii="Verdana" w:hAnsi="Verdana" w:cs="Arial"/>
          <w:sz w:val="10"/>
          <w:szCs w:val="10"/>
        </w:rPr>
        <w:t xml:space="preserve"> Ley 1150 de 2007:</w:t>
      </w:r>
      <w:r w:rsidRPr="00720C66">
        <w:rPr>
          <w:rFonts w:ascii="Verdana" w:hAnsi="Verdana" w:cs="Arial"/>
          <w:sz w:val="10"/>
          <w:szCs w:val="10"/>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11F7FABD" w14:textId="77777777" w:rsidR="008C303F" w:rsidRPr="00720C66" w:rsidRDefault="008C303F" w:rsidP="008C303F">
      <w:pPr>
        <w:pStyle w:val="Textonotapie"/>
        <w:ind w:firstLine="709"/>
        <w:contextualSpacing/>
        <w:jc w:val="both"/>
        <w:rPr>
          <w:rFonts w:ascii="Verdana" w:hAnsi="Verdana" w:cs="Arial"/>
          <w:sz w:val="10"/>
          <w:szCs w:val="10"/>
          <w:lang w:eastAsia="es-CO"/>
        </w:rPr>
      </w:pPr>
    </w:p>
  </w:footnote>
  <w:footnote w:id="11">
    <w:p w14:paraId="715ACF84" w14:textId="77777777" w:rsidR="008C303F" w:rsidRPr="00720C66" w:rsidRDefault="008C303F" w:rsidP="008C303F">
      <w:pPr>
        <w:pStyle w:val="Textonotapie"/>
        <w:ind w:firstLine="709"/>
        <w:contextualSpacing/>
        <w:jc w:val="both"/>
        <w:rPr>
          <w:rFonts w:ascii="Verdana" w:hAnsi="Verdana" w:cs="Arial"/>
          <w:color w:val="000000" w:themeColor="text1"/>
          <w:sz w:val="10"/>
          <w:szCs w:val="10"/>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Consejo de Estado. Sala de Consulta y Servicio Civil. Consulta del 20 de mayo de 2010. Exp.1992. C. P. Enrique José Arboleda Perdomo.</w:t>
      </w:r>
    </w:p>
  </w:footnote>
  <w:footnote w:id="12">
    <w:p w14:paraId="43D7F742"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p>
    <w:p w14:paraId="4F358601"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Style w:val="Refdenotaalpie"/>
          <w:rFonts w:ascii="Verdana" w:hAnsi="Verdana" w:cs="Arial"/>
          <w:color w:val="000000" w:themeColor="text1"/>
          <w:sz w:val="10"/>
          <w:szCs w:val="10"/>
        </w:rPr>
        <w:footnoteRef/>
      </w:r>
      <w:r>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lang w:eastAsia="es-CO"/>
        </w:rPr>
        <w:t>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362A4D6" w14:textId="77777777" w:rsidR="008C303F" w:rsidRPr="00720C66" w:rsidRDefault="008C303F" w:rsidP="008C303F">
      <w:pPr>
        <w:pStyle w:val="Textonotapie"/>
        <w:ind w:firstLine="708"/>
        <w:contextualSpacing/>
        <w:jc w:val="both"/>
        <w:rPr>
          <w:rFonts w:ascii="Verdana" w:hAnsi="Verdana" w:cs="Arial"/>
          <w:color w:val="000000" w:themeColor="text1"/>
          <w:sz w:val="10"/>
          <w:szCs w:val="10"/>
        </w:rPr>
      </w:pPr>
      <w:r w:rsidRPr="00720C66">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rPr>
        <w:t xml:space="preserve"> </w:t>
      </w:r>
    </w:p>
    <w:p w14:paraId="0A5A82BB" w14:textId="77777777" w:rsidR="008C303F" w:rsidRPr="00720C66" w:rsidRDefault="008C303F" w:rsidP="008C303F">
      <w:pPr>
        <w:pStyle w:val="Textonotapie"/>
        <w:ind w:firstLine="708"/>
        <w:contextualSpacing/>
        <w:jc w:val="both"/>
        <w:rPr>
          <w:rFonts w:ascii="Verdana" w:hAnsi="Verdana" w:cs="Arial"/>
          <w:color w:val="000000" w:themeColor="text1"/>
          <w:sz w:val="10"/>
          <w:szCs w:val="10"/>
        </w:rPr>
      </w:pPr>
    </w:p>
  </w:footnote>
  <w:footnote w:id="13">
    <w:p w14:paraId="4D56035E" w14:textId="77777777" w:rsidR="008C303F" w:rsidRPr="00720C66" w:rsidRDefault="008C303F" w:rsidP="008C303F">
      <w:pPr>
        <w:pStyle w:val="Textonotapie"/>
        <w:ind w:firstLine="708"/>
        <w:contextualSpacing/>
        <w:jc w:val="both"/>
        <w:rPr>
          <w:rFonts w:ascii="Verdana" w:hAnsi="Verdana" w:cs="Arial"/>
          <w:color w:val="000000" w:themeColor="text1"/>
          <w:sz w:val="10"/>
          <w:szCs w:val="10"/>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720C66">
        <w:rPr>
          <w:rFonts w:ascii="Verdana" w:hAnsi="Verdana" w:cs="Arial"/>
          <w:color w:val="000000" w:themeColor="text1"/>
          <w:sz w:val="10"/>
          <w:szCs w:val="10"/>
          <w:lang w:eastAsia="es-CO"/>
        </w:rPr>
        <w:t xml:space="preserve">[...]”. </w:t>
      </w:r>
      <w:r w:rsidRPr="00720C66">
        <w:rPr>
          <w:rFonts w:ascii="Verdana" w:hAnsi="Verdana" w:cs="Arial"/>
          <w:color w:val="000000" w:themeColor="text1"/>
          <w:sz w:val="10"/>
          <w:szCs w:val="10"/>
        </w:rPr>
        <w:t xml:space="preserve"> </w:t>
      </w:r>
    </w:p>
    <w:p w14:paraId="77CC1944" w14:textId="77777777" w:rsidR="008C303F" w:rsidRPr="00720C66" w:rsidRDefault="008C303F" w:rsidP="008C303F">
      <w:pPr>
        <w:pStyle w:val="Textonotapie"/>
        <w:ind w:firstLine="708"/>
        <w:contextualSpacing/>
        <w:jc w:val="both"/>
        <w:rPr>
          <w:rFonts w:ascii="Verdana" w:hAnsi="Verdana" w:cs="Arial"/>
          <w:color w:val="000000" w:themeColor="text1"/>
          <w:sz w:val="10"/>
          <w:szCs w:val="10"/>
          <w:lang w:val="es-CO"/>
        </w:rPr>
      </w:pPr>
    </w:p>
  </w:footnote>
  <w:footnote w:id="14">
    <w:p w14:paraId="6BF24A06"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Style w:val="Refdenotaalpie"/>
          <w:rFonts w:ascii="Verdana" w:hAnsi="Verdana" w:cs="Arial"/>
          <w:color w:val="000000" w:themeColor="text1"/>
          <w:sz w:val="10"/>
          <w:szCs w:val="10"/>
        </w:rPr>
        <w:footnoteRef/>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Decreto 1082 de 2015:</w:t>
      </w:r>
      <w:r w:rsidRPr="00720C66">
        <w:rPr>
          <w:rFonts w:ascii="Verdana" w:hAnsi="Verdana" w:cs="Arial"/>
          <w:color w:val="000000" w:themeColor="text1"/>
          <w:sz w:val="10"/>
          <w:szCs w:val="10"/>
        </w:rPr>
        <w:t xml:space="preserve"> </w:t>
      </w:r>
      <w:r w:rsidRPr="00720C66">
        <w:rPr>
          <w:rFonts w:ascii="Verdana" w:hAnsi="Verdana" w:cs="Arial"/>
          <w:color w:val="000000" w:themeColor="text1"/>
          <w:sz w:val="10"/>
          <w:szCs w:val="10"/>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490EBFFD"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55E837D5" w14:textId="77777777" w:rsidR="008C303F" w:rsidRDefault="008C303F" w:rsidP="008C303F">
      <w:pPr>
        <w:pStyle w:val="Textonotapie"/>
        <w:ind w:firstLine="709"/>
        <w:contextualSpacing/>
        <w:jc w:val="both"/>
        <w:rPr>
          <w:rFonts w:ascii="Verdana" w:hAnsi="Verdana" w:cs="Arial"/>
          <w:color w:val="000000" w:themeColor="text1"/>
          <w:sz w:val="10"/>
          <w:szCs w:val="10"/>
          <w:lang w:eastAsia="es-CO"/>
        </w:rPr>
      </w:pPr>
      <w:r w:rsidRPr="00720C66">
        <w:rPr>
          <w:rFonts w:ascii="Verdana" w:hAnsi="Verdana" w:cs="Arial"/>
          <w:color w:val="000000" w:themeColor="text1"/>
          <w:sz w:val="10"/>
          <w:szCs w:val="10"/>
          <w:lang w:eastAsia="es-CO"/>
        </w:rPr>
        <w:t>“Los inscritos en el RUP pueden en cualquier momento solicitar a la cámara de comercio cancelar su inscripción”.</w:t>
      </w:r>
    </w:p>
    <w:p w14:paraId="48B2C7EF" w14:textId="77777777" w:rsidR="008C303F" w:rsidRPr="00720C66" w:rsidRDefault="008C303F" w:rsidP="008C303F">
      <w:pPr>
        <w:pStyle w:val="Textonotapie"/>
        <w:ind w:firstLine="709"/>
        <w:contextualSpacing/>
        <w:jc w:val="both"/>
        <w:rPr>
          <w:rFonts w:ascii="Verdana" w:hAnsi="Verdana" w:cs="Arial"/>
          <w:color w:val="000000" w:themeColor="text1"/>
          <w:sz w:val="10"/>
          <w:szCs w:val="10"/>
          <w:lang w:eastAsia="es-CO"/>
        </w:rPr>
      </w:pPr>
    </w:p>
  </w:footnote>
  <w:footnote w:id="15">
    <w:p w14:paraId="42336B95" w14:textId="77777777" w:rsidR="008C303F" w:rsidRPr="007F073F" w:rsidRDefault="008C303F" w:rsidP="008C303F">
      <w:pPr>
        <w:pStyle w:val="NormalWeb"/>
        <w:spacing w:before="0" w:beforeAutospacing="0" w:after="0" w:afterAutospacing="0"/>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Unico de Proponentes del Registro Único Empresarial de la Cámara de Comercio con jurisdicción en su domicilio principal.  </w:t>
      </w:r>
    </w:p>
    <w:p w14:paraId="49B30194" w14:textId="77777777" w:rsidR="008C303F" w:rsidRPr="007F073F" w:rsidRDefault="008C303F" w:rsidP="008C303F">
      <w:pPr>
        <w:spacing w:after="0"/>
        <w:jc w:val="both"/>
        <w:rPr>
          <w:rFonts w:ascii="Verdana" w:eastAsia="Times New Roman" w:hAnsi="Verdana" w:cs="Arial"/>
          <w:sz w:val="16"/>
          <w:szCs w:val="16"/>
          <w:lang w:eastAsia="es-CO"/>
        </w:rPr>
      </w:pPr>
      <w:r w:rsidRPr="007F073F">
        <w:rPr>
          <w:rFonts w:ascii="Verdana" w:eastAsia="Times New Roman" w:hAnsi="Verdana" w:cs="Arial"/>
          <w:sz w:val="16"/>
          <w:szCs w:val="16"/>
          <w:lang w:eastAsia="es-CO"/>
        </w:rPr>
        <w:t> </w:t>
      </w:r>
      <w:r w:rsidRPr="007F073F">
        <w:rPr>
          <w:rFonts w:ascii="Verdana" w:eastAsia="Times New Roman" w:hAnsi="Verdana" w:cs="Arial"/>
          <w:sz w:val="16"/>
          <w:szCs w:val="16"/>
          <w:lang w:eastAsia="es-CO"/>
        </w:rPr>
        <w:tab/>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3506B6C" w14:textId="77777777" w:rsidR="008C303F" w:rsidRPr="007F073F" w:rsidRDefault="008C303F" w:rsidP="008C303F">
      <w:pPr>
        <w:spacing w:after="0"/>
        <w:ind w:firstLine="708"/>
        <w:jc w:val="both"/>
        <w:rPr>
          <w:rFonts w:ascii="Verdana" w:eastAsia="Times New Roman" w:hAnsi="Verdana" w:cs="Arial"/>
          <w:sz w:val="16"/>
          <w:szCs w:val="16"/>
          <w:lang w:eastAsia="es-CO"/>
        </w:rPr>
      </w:pPr>
      <w:r w:rsidRPr="007F073F">
        <w:rPr>
          <w:rFonts w:ascii="Verdana" w:eastAsia="Times New Roman" w:hAnsi="Verdana" w:cs="Arial"/>
          <w:sz w:val="16"/>
          <w:szCs w:val="16"/>
          <w:u w:val="single"/>
          <w:lang w:eastAsia="es-CO"/>
        </w:rPr>
        <w:t xml:space="preserve">En dicho registro constará la información relacionada con la experiencia, capacidad jurídica, financiera y de organización del proponente y su clasificación </w:t>
      </w:r>
      <w:r w:rsidRPr="007F073F">
        <w:rPr>
          <w:rFonts w:ascii="Verdana" w:eastAsia="Times New Roman" w:hAnsi="Verdana" w:cs="Arial"/>
          <w:sz w:val="16"/>
          <w:szCs w:val="16"/>
          <w:lang w:eastAsia="es-CO"/>
        </w:rPr>
        <w:t>[…]”. (Subrayas fuera del texto).</w:t>
      </w:r>
    </w:p>
    <w:p w14:paraId="6F35F436" w14:textId="77777777" w:rsidR="008C303F" w:rsidRPr="007F073F" w:rsidRDefault="008C303F" w:rsidP="008C303F">
      <w:pPr>
        <w:pStyle w:val="Textonotapie"/>
        <w:rPr>
          <w:rFonts w:ascii="Verdana" w:hAnsi="Verdana" w:cs="Arial"/>
          <w:sz w:val="16"/>
          <w:szCs w:val="16"/>
        </w:rPr>
      </w:pPr>
    </w:p>
  </w:footnote>
  <w:footnote w:id="16">
    <w:p w14:paraId="03E69DB4" w14:textId="77777777" w:rsidR="008C303F" w:rsidRPr="007F073F" w:rsidRDefault="008C303F" w:rsidP="008C303F">
      <w:pPr>
        <w:pStyle w:val="Textonotapie"/>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Debe precisarse que, a pesar de que el RUP es la regla general, de conformidad con el segundo inciso del artículo 6 de la Ley 1150 de 2007, este no es exigible en todos los procesos de contratación. Al respecto ha manifestado esta Subdirección: “No obstante lo anterior,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 Agencia Nacional de Contratación Pública – Colombia Compra Eficiente. Concepto C-052 del 18 de marzo de 2020. Radicado de entrada No. 4202012000000208. Radicado de salida No. 2202013000002051.</w:t>
      </w:r>
    </w:p>
    <w:p w14:paraId="413CAD06" w14:textId="77777777" w:rsidR="008C303F" w:rsidRPr="007F073F" w:rsidRDefault="008C303F" w:rsidP="008C303F">
      <w:pPr>
        <w:pStyle w:val="Textonotapie"/>
        <w:ind w:firstLine="708"/>
        <w:rPr>
          <w:rFonts w:ascii="Verdana" w:hAnsi="Verdana" w:cs="Arial"/>
          <w:sz w:val="16"/>
          <w:szCs w:val="16"/>
        </w:rPr>
      </w:pPr>
      <w:r w:rsidRPr="007F073F">
        <w:rPr>
          <w:rFonts w:ascii="Verdana" w:hAnsi="Verdana" w:cs="Arial"/>
          <w:sz w:val="16"/>
          <w:szCs w:val="16"/>
        </w:rPr>
        <w:t xml:space="preserve"> </w:t>
      </w:r>
    </w:p>
  </w:footnote>
  <w:footnote w:id="17">
    <w:p w14:paraId="4FC6A695" w14:textId="77777777" w:rsidR="008C303F" w:rsidRPr="007F073F" w:rsidRDefault="008C303F" w:rsidP="008C303F">
      <w:pPr>
        <w:pStyle w:val="Textonotapie"/>
        <w:ind w:firstLine="708"/>
        <w:jc w:val="both"/>
        <w:rPr>
          <w:rStyle w:val="Hipervnculo"/>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Agencia Nacional de Contratación Pública – Colombia Compra Eficiente. Guía para la codificación de bienes y servicios de acuerdo con el código estándar de productos y servicios de Naciones Unidas, V.14.080. Disponible en: </w:t>
      </w:r>
      <w:hyperlink r:id="rId1" w:history="1">
        <w:r w:rsidRPr="007F073F">
          <w:rPr>
            <w:rStyle w:val="Hipervnculo"/>
            <w:rFonts w:ascii="Verdana" w:eastAsia="Times New Roman" w:hAnsi="Verdana" w:cs="Arial"/>
            <w:sz w:val="16"/>
            <w:szCs w:val="16"/>
            <w:bdr w:val="none" w:sz="0" w:space="0" w:color="auto" w:frame="1"/>
            <w:lang w:eastAsia="es-CO"/>
          </w:rPr>
          <w:t>https://www.colombiacompra.gov.co/archivos/manual/guia-para-la-codificacion-de-bienes-y-servicios</w:t>
        </w:r>
      </w:hyperlink>
      <w:r w:rsidRPr="007F073F">
        <w:rPr>
          <w:rFonts w:ascii="Verdana" w:eastAsia="Times New Roman" w:hAnsi="Verdana" w:cs="Arial"/>
          <w:sz w:val="16"/>
          <w:szCs w:val="16"/>
          <w:bdr w:val="none" w:sz="0" w:space="0" w:color="auto" w:frame="1"/>
          <w:lang w:eastAsia="es-CO"/>
        </w:rPr>
        <w:t>.</w:t>
      </w:r>
      <w:hyperlink r:id="rId2" w:history="1">
        <w:r>
          <w:t>https://www.colombiacompra.gov.co/sites/cce_public/files/cce_documents/cce_guia_codificacion_bienes.pdf</w:t>
        </w:r>
      </w:hyperlink>
    </w:p>
    <w:p w14:paraId="12F16F15" w14:textId="77777777" w:rsidR="008C303F" w:rsidRPr="007F073F" w:rsidRDefault="008C303F" w:rsidP="008C303F">
      <w:pPr>
        <w:pStyle w:val="Textonotapie"/>
        <w:ind w:firstLine="708"/>
        <w:jc w:val="both"/>
        <w:rPr>
          <w:rFonts w:ascii="Verdana" w:hAnsi="Verdana" w:cs="Arial"/>
          <w:sz w:val="16"/>
          <w:szCs w:val="16"/>
        </w:rPr>
      </w:pPr>
    </w:p>
  </w:footnote>
  <w:footnote w:id="18">
    <w:p w14:paraId="533F4102" w14:textId="77777777" w:rsidR="008C303F" w:rsidRPr="007F073F" w:rsidRDefault="008C303F" w:rsidP="008C303F">
      <w:pPr>
        <w:pStyle w:val="Textonotapie"/>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Colombia Compra Eficiente establecerá los lineamientos y el formato que debe ser utilizado para elaborar el Plan Anual de Adquisiciones”.</w:t>
      </w:r>
    </w:p>
    <w:p w14:paraId="3CADD566" w14:textId="77777777" w:rsidR="008C303F" w:rsidRPr="007F073F" w:rsidRDefault="008C303F" w:rsidP="008C303F">
      <w:pPr>
        <w:pStyle w:val="Textonotapie"/>
        <w:rPr>
          <w:rFonts w:ascii="Verdana" w:hAnsi="Verdana" w:cs="Arial"/>
          <w:sz w:val="16"/>
          <w:szCs w:val="16"/>
        </w:rPr>
      </w:pPr>
    </w:p>
  </w:footnote>
  <w:footnote w:id="19">
    <w:p w14:paraId="73E08491" w14:textId="77777777" w:rsidR="008C303F" w:rsidRPr="007F073F" w:rsidRDefault="008C303F" w:rsidP="008C303F">
      <w:pPr>
        <w:pStyle w:val="NormalWeb"/>
        <w:spacing w:before="0" w:beforeAutospacing="0" w:after="0" w:afterAutospacing="0"/>
        <w:ind w:firstLine="708"/>
        <w:jc w:val="both"/>
        <w:rPr>
          <w:rFonts w:ascii="Verdana" w:hAnsi="Verdana" w:cs="Arial"/>
          <w:color w:val="000000"/>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w:t>
      </w:r>
      <w:r w:rsidRPr="007F073F">
        <w:rPr>
          <w:rFonts w:ascii="Verdana" w:hAnsi="Verdana" w:cs="Arial"/>
          <w:color w:val="000000"/>
          <w:sz w:val="16"/>
          <w:szCs w:val="16"/>
        </w:rPr>
        <w:t>Artículo 2.2.1.1.1.5.2. Información para inscripción, renovación o actualización</w:t>
      </w:r>
      <w:r w:rsidRPr="007F073F">
        <w:rPr>
          <w:rFonts w:ascii="Verdana" w:hAnsi="Verdana" w:cs="Arial"/>
          <w:bCs/>
          <w:color w:val="000000"/>
          <w:sz w:val="16"/>
          <w:szCs w:val="16"/>
        </w:rPr>
        <w:t>.</w:t>
      </w:r>
      <w:r w:rsidRPr="007F073F">
        <w:rPr>
          <w:rFonts w:ascii="Verdana" w:hAnsi="Verdana" w:cs="Arial"/>
          <w:bCs/>
          <w:i/>
          <w:iCs/>
          <w:color w:val="000000"/>
          <w:sz w:val="16"/>
          <w:szCs w:val="16"/>
        </w:rPr>
        <w:t> </w:t>
      </w:r>
      <w:r w:rsidRPr="007F073F">
        <w:rPr>
          <w:rFonts w:ascii="Verdana" w:hAnsi="Verdana" w:cs="Arial"/>
          <w:color w:val="000000"/>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074A98B4" w14:textId="77777777" w:rsidR="008C303F" w:rsidRPr="007F073F" w:rsidRDefault="008C303F" w:rsidP="008C303F">
      <w:pPr>
        <w:spacing w:after="0" w:line="240" w:lineRule="auto"/>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 Si es una persona natural: </w:t>
      </w:r>
    </w:p>
    <w:p w14:paraId="53D0E5C4" w14:textId="77777777" w:rsidR="008C303F" w:rsidRPr="007F073F" w:rsidRDefault="008C303F" w:rsidP="008C303F">
      <w:pPr>
        <w:spacing w:after="0" w:line="240" w:lineRule="auto"/>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1.1. Bienes, obras y servicios que ofrecerá a las Entidades Estatales, identificados con el Clasificador de Bienes y Servicios en el tercer nivel. </w:t>
      </w:r>
    </w:p>
    <w:p w14:paraId="100B68C6" w14:textId="77777777" w:rsidR="008C303F" w:rsidRPr="007F073F" w:rsidRDefault="008C303F" w:rsidP="008C303F">
      <w:pPr>
        <w:spacing w:after="0" w:line="240" w:lineRule="auto"/>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20BF1BDE" w14:textId="77777777" w:rsidR="008C303F" w:rsidRPr="007F073F" w:rsidRDefault="008C303F" w:rsidP="008C303F">
      <w:pPr>
        <w:pStyle w:val="Textonotapie"/>
        <w:ind w:firstLine="708"/>
        <w:jc w:val="both"/>
        <w:rPr>
          <w:rFonts w:ascii="Verdana" w:hAnsi="Verdana" w:cs="Arial"/>
          <w:sz w:val="16"/>
          <w:szCs w:val="16"/>
        </w:rPr>
      </w:pPr>
      <w:r w:rsidRPr="007F073F">
        <w:rPr>
          <w:rFonts w:ascii="Verdana" w:hAnsi="Verdana" w:cs="Arial"/>
          <w:sz w:val="16"/>
          <w:szCs w:val="16"/>
        </w:rPr>
        <w:t xml:space="preserve"> […]</w:t>
      </w:r>
    </w:p>
    <w:p w14:paraId="5E9CE65E" w14:textId="77777777" w:rsidR="008C303F" w:rsidRPr="007F073F" w:rsidRDefault="008C303F" w:rsidP="008C303F">
      <w:pPr>
        <w:pStyle w:val="Textonotapie"/>
        <w:ind w:firstLine="708"/>
        <w:jc w:val="both"/>
        <w:rPr>
          <w:rFonts w:ascii="Verdana" w:hAnsi="Verdana" w:cs="Arial"/>
          <w:sz w:val="16"/>
          <w:szCs w:val="16"/>
        </w:rPr>
      </w:pPr>
      <w:r w:rsidRPr="007F073F">
        <w:rPr>
          <w:rFonts w:ascii="Verdana" w:hAnsi="Verdana" w:cs="Arial"/>
          <w:color w:val="000000"/>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tres (3) años, puede acreditar la experiencia de sus accionistas, socios o constituyente […]”.</w:t>
      </w:r>
    </w:p>
  </w:footnote>
  <w:footnote w:id="20">
    <w:p w14:paraId="443E925E" w14:textId="77777777" w:rsidR="008C303F" w:rsidRPr="007F073F" w:rsidRDefault="008C303F" w:rsidP="008C303F">
      <w:pPr>
        <w:pStyle w:val="Textonotapie"/>
        <w:rPr>
          <w:rFonts w:ascii="Verdana" w:hAnsi="Verdana" w:cs="Arial"/>
          <w:sz w:val="16"/>
          <w:szCs w:val="16"/>
        </w:rPr>
      </w:pPr>
    </w:p>
    <w:p w14:paraId="2F820168" w14:textId="77777777" w:rsidR="008C303F" w:rsidRPr="007F073F" w:rsidRDefault="008C303F" w:rsidP="008C303F">
      <w:pPr>
        <w:pStyle w:val="NormalWeb"/>
        <w:spacing w:before="0" w:beforeAutospacing="0" w:after="0" w:afterAutospacing="0"/>
        <w:ind w:firstLine="708"/>
        <w:jc w:val="both"/>
        <w:rPr>
          <w:rFonts w:ascii="Verdana" w:hAnsi="Verdana" w:cs="Arial"/>
          <w:color w:val="000000"/>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w:t>
      </w:r>
      <w:r w:rsidRPr="007F073F">
        <w:rPr>
          <w:rFonts w:ascii="Verdana" w:hAnsi="Verdana" w:cs="Arial"/>
          <w:color w:val="000000"/>
          <w:sz w:val="16"/>
          <w:szCs w:val="16"/>
        </w:rPr>
        <w:t>Artículo 2.2.1.1.1.5.3. Requisitos habilitantes contenidos en el RUP</w:t>
      </w:r>
      <w:r w:rsidRPr="007F073F">
        <w:rPr>
          <w:rFonts w:ascii="Verdana" w:hAnsi="Verdana" w:cs="Arial"/>
          <w:bCs/>
          <w:i/>
          <w:iCs/>
          <w:color w:val="000000"/>
          <w:sz w:val="16"/>
          <w:szCs w:val="16"/>
        </w:rPr>
        <w:t>. </w:t>
      </w:r>
      <w:r w:rsidRPr="007F073F">
        <w:rPr>
          <w:rFonts w:ascii="Verdana" w:hAnsi="Verdana" w:cs="Arial"/>
          <w:color w:val="000000"/>
          <w:sz w:val="16"/>
          <w:szCs w:val="16"/>
        </w:rPr>
        <w:t>Las cámaras de comercio, con base en la información a la que hace referencia el artículo anterior, deben verificar y certificar los siguientes requisitos habilitantes: </w:t>
      </w:r>
    </w:p>
    <w:p w14:paraId="297CC3C8" w14:textId="77777777" w:rsidR="008C303F" w:rsidRPr="007F073F" w:rsidRDefault="008C303F" w:rsidP="008C303F">
      <w:pPr>
        <w:spacing w:after="0"/>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1. Experiencia – Los contratos celebrados por el interesado para cada uno de los bienes, obras y servicios que ofrecerá a las Entidades Estatales, identificados con el Clasificador de Bienes y Servicios en el tercer nivel y su valor expresado en smmlv. </w:t>
      </w:r>
    </w:p>
    <w:p w14:paraId="326F90B2" w14:textId="77777777" w:rsidR="008C303F" w:rsidRPr="007F073F" w:rsidRDefault="008C303F" w:rsidP="008C303F">
      <w:pPr>
        <w:spacing w:after="0"/>
        <w:jc w:val="both"/>
        <w:rPr>
          <w:rFonts w:ascii="Verdana" w:eastAsia="Times New Roman" w:hAnsi="Verdana" w:cs="Arial"/>
          <w:color w:val="000000"/>
          <w:sz w:val="16"/>
          <w:szCs w:val="16"/>
          <w:lang w:eastAsia="es-CO"/>
        </w:rPr>
      </w:pPr>
      <w:r w:rsidRPr="007F073F">
        <w:rPr>
          <w:rFonts w:ascii="Verdana" w:eastAsia="Times New Roman" w:hAnsi="Verdana" w:cs="Arial"/>
          <w:color w:val="000000"/>
          <w:sz w:val="16"/>
          <w:szCs w:val="16"/>
          <w:lang w:eastAsia="es-CO"/>
        </w:rPr>
        <w:t>  </w:t>
      </w:r>
      <w:r w:rsidRPr="007F073F">
        <w:rPr>
          <w:rFonts w:ascii="Verdana" w:eastAsia="Times New Roman" w:hAnsi="Verdana" w:cs="Arial"/>
          <w:color w:val="000000"/>
          <w:sz w:val="16"/>
          <w:szCs w:val="16"/>
          <w:lang w:eastAsia="es-CO"/>
        </w:rPr>
        <w:tab/>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p w14:paraId="7D0EC99D" w14:textId="77777777" w:rsidR="008C303F" w:rsidRPr="007F073F" w:rsidRDefault="008C303F" w:rsidP="008C303F">
      <w:pPr>
        <w:pStyle w:val="Textonotapie"/>
        <w:ind w:firstLine="708"/>
        <w:rPr>
          <w:rFonts w:ascii="Verdana" w:hAnsi="Verdana" w:cs="Arial"/>
          <w:sz w:val="16"/>
          <w:szCs w:val="16"/>
        </w:rPr>
      </w:pPr>
    </w:p>
  </w:footnote>
  <w:footnote w:id="21">
    <w:p w14:paraId="3B597AC8" w14:textId="77777777" w:rsidR="008C303F" w:rsidRPr="007F073F" w:rsidRDefault="008C303F" w:rsidP="008C303F">
      <w:pPr>
        <w:pStyle w:val="Textonotapie"/>
        <w:ind w:firstLine="708"/>
        <w:jc w:val="both"/>
        <w:rPr>
          <w:rFonts w:ascii="Verdana" w:hAnsi="Verdana" w:cs="Arial"/>
          <w:color w:val="000000"/>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w:t>
      </w:r>
      <w:r w:rsidRPr="007F073F">
        <w:rPr>
          <w:rStyle w:val="Textoennegrita"/>
          <w:rFonts w:ascii="Verdana" w:hAnsi="Verdana" w:cs="Arial"/>
          <w:color w:val="000000"/>
          <w:sz w:val="16"/>
          <w:szCs w:val="16"/>
        </w:rPr>
        <w:t>Artículo 2.2.1.1.1.5.6. </w:t>
      </w:r>
      <w:r w:rsidRPr="007F073F">
        <w:rPr>
          <w:rStyle w:val="nfasis"/>
          <w:rFonts w:ascii="Verdana" w:hAnsi="Verdana" w:cs="Arial"/>
          <w:color w:val="000000"/>
          <w:sz w:val="16"/>
          <w:szCs w:val="16"/>
        </w:rPr>
        <w:t>Certificado del RUP. </w:t>
      </w:r>
      <w:r w:rsidRPr="007F073F">
        <w:rPr>
          <w:rFonts w:ascii="Verdana" w:hAnsi="Verdana" w:cs="Arial"/>
          <w:color w:val="000000"/>
          <w:sz w:val="16"/>
          <w:szCs w:val="16"/>
        </w:rPr>
        <w:t>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que el proponente ha inscrito en el RUP. Las cámaras de comercio expedirán el certificado del RUP por solicitud de cualquier interesado. Las Entidades Estatales podrán acceder en línea y de forma gratuita a la información inscrita en el RUP».</w:t>
      </w:r>
    </w:p>
    <w:p w14:paraId="72C8101D" w14:textId="77777777" w:rsidR="008C303F" w:rsidRPr="007F073F" w:rsidRDefault="008C303F" w:rsidP="008C303F">
      <w:pPr>
        <w:pStyle w:val="Textonotapie"/>
        <w:ind w:firstLine="708"/>
        <w:jc w:val="both"/>
        <w:rPr>
          <w:rFonts w:ascii="Verdana" w:hAnsi="Verdana" w:cs="Arial"/>
          <w:sz w:val="16"/>
          <w:szCs w:val="16"/>
        </w:rPr>
      </w:pPr>
      <w:r w:rsidRPr="007F073F">
        <w:rPr>
          <w:rFonts w:ascii="Verdana" w:hAnsi="Verdana" w:cs="Arial"/>
          <w:sz w:val="16"/>
          <w:szCs w:val="16"/>
        </w:rPr>
        <w:t xml:space="preserve"> </w:t>
      </w:r>
    </w:p>
  </w:footnote>
  <w:footnote w:id="22">
    <w:p w14:paraId="001F10FD" w14:textId="77777777" w:rsidR="008C303F" w:rsidRPr="007F073F" w:rsidRDefault="008C303F" w:rsidP="008C303F">
      <w:pPr>
        <w:pStyle w:val="Textonotapie"/>
        <w:ind w:firstLine="708"/>
        <w:jc w:val="both"/>
        <w:rPr>
          <w:rFonts w:ascii="Verdana" w:hAnsi="Verdana" w:cs="Arial"/>
          <w:sz w:val="16"/>
          <w:szCs w:val="16"/>
        </w:rPr>
      </w:pPr>
      <w:r w:rsidRPr="007F073F">
        <w:rPr>
          <w:rStyle w:val="Refdenotaalpie"/>
          <w:rFonts w:ascii="Verdana" w:hAnsi="Verdana" w:cs="Arial"/>
          <w:sz w:val="16"/>
          <w:szCs w:val="16"/>
        </w:rPr>
        <w:footnoteRef/>
      </w:r>
      <w:r w:rsidRPr="007F073F">
        <w:rPr>
          <w:rFonts w:ascii="Verdana" w:hAnsi="Verdana" w:cs="Arial"/>
          <w:sz w:val="16"/>
          <w:szCs w:val="16"/>
        </w:rPr>
        <w:t xml:space="preserve"> Decreto 1082 de 2015: «Artículo 2.2.1.1.2.1.3. Pliegos de condiciones. Los pliegos de condiciones deben contener por lo menos la siguiente información:  </w:t>
      </w:r>
    </w:p>
    <w:p w14:paraId="42DB757A" w14:textId="77777777" w:rsidR="008C303F" w:rsidRPr="007F073F" w:rsidRDefault="008C303F" w:rsidP="008C303F">
      <w:pPr>
        <w:pStyle w:val="Textonotapie"/>
        <w:ind w:firstLine="708"/>
        <w:jc w:val="both"/>
        <w:rPr>
          <w:rFonts w:ascii="Verdana" w:hAnsi="Verdana" w:cs="Arial"/>
          <w:sz w:val="16"/>
          <w:szCs w:val="16"/>
        </w:rPr>
      </w:pPr>
      <w:r w:rsidRPr="007F073F">
        <w:rPr>
          <w:rFonts w:ascii="Verdana" w:hAnsi="Verdana" w:cs="Arial"/>
          <w:sz w:val="16"/>
          <w:szCs w:val="16"/>
        </w:rPr>
        <w:t>»1. La descripción técnica, detallada y completa del bien o servicio objeto del contrato, identificado con el cuarto nivel del Clasificador de Bienes y Servicios, de ser posible o de lo contrario con el tercer nivel del mismo […]».</w:t>
      </w:r>
    </w:p>
    <w:p w14:paraId="7836B2AB" w14:textId="77777777" w:rsidR="008C303F" w:rsidRPr="007F073F" w:rsidRDefault="008C303F" w:rsidP="008C303F">
      <w:pPr>
        <w:pStyle w:val="Textonotapie"/>
        <w:rPr>
          <w:rFonts w:ascii="Verdana" w:hAnsi="Verdana"/>
          <w:sz w:val="16"/>
          <w:szCs w:val="16"/>
        </w:rPr>
      </w:pPr>
    </w:p>
  </w:footnote>
  <w:footnote w:id="23">
    <w:p w14:paraId="6571412E" w14:textId="77777777" w:rsidR="008C303F" w:rsidRPr="007F073F" w:rsidRDefault="008C303F" w:rsidP="008C303F">
      <w:pPr>
        <w:pStyle w:val="Textonotapie"/>
        <w:ind w:firstLine="708"/>
        <w:jc w:val="both"/>
        <w:rPr>
          <w:rFonts w:ascii="Verdana" w:hAnsi="Verdana"/>
          <w:sz w:val="16"/>
          <w:szCs w:val="16"/>
        </w:rPr>
      </w:pPr>
      <w:r w:rsidRPr="007F073F">
        <w:rPr>
          <w:rStyle w:val="Refdenotaalpie"/>
          <w:rFonts w:ascii="Verdana" w:hAnsi="Verdana"/>
          <w:sz w:val="16"/>
          <w:szCs w:val="16"/>
        </w:rPr>
        <w:footnoteRef/>
      </w:r>
      <w:r w:rsidRPr="007F073F">
        <w:rPr>
          <w:rFonts w:ascii="Verdana" w:hAnsi="Verdana"/>
          <w:sz w:val="16"/>
          <w:szCs w:val="16"/>
        </w:rPr>
        <w:t xml:space="preserve"> </w:t>
      </w:r>
      <w:r w:rsidRPr="007F073F">
        <w:rPr>
          <w:rFonts w:ascii="Verdana" w:hAnsi="Verdana" w:cs="Arial"/>
          <w:sz w:val="16"/>
          <w:szCs w:val="16"/>
        </w:rPr>
        <w:t xml:space="preserve">Agencia Nacional de Contratación Pública – Colombia Compra Eficiente. Guía para la codificación de bienes y servicios de acuerdo con el código estándar de productos y servicios de Naciones Unidas, V.14.080. Disponible en: </w:t>
      </w:r>
      <w:hyperlink r:id="rId3" w:history="1">
        <w:r w:rsidRPr="007F073F">
          <w:rPr>
            <w:rStyle w:val="Hipervnculo"/>
            <w:rFonts w:ascii="Verdana" w:hAnsi="Verdana" w:cs="Arial"/>
            <w:sz w:val="16"/>
            <w:szCs w:val="16"/>
          </w:rPr>
          <w:t>https://www.colombiacompra.gov.co/sites/cce_public/files/cce_documents/cce_guia_codificacion_bienes.pdf</w:t>
        </w:r>
      </w:hyperlink>
    </w:p>
  </w:footnote>
  <w:footnote w:id="24">
    <w:p w14:paraId="44DE73AD" w14:textId="77777777" w:rsidR="008C303F" w:rsidRPr="007F073F" w:rsidRDefault="008C303F" w:rsidP="008C303F">
      <w:pPr>
        <w:pStyle w:val="Textonotapie"/>
        <w:ind w:firstLine="708"/>
        <w:rPr>
          <w:rFonts w:ascii="Verdana" w:hAnsi="Verdana"/>
          <w:sz w:val="16"/>
          <w:szCs w:val="16"/>
        </w:rPr>
      </w:pPr>
      <w:r w:rsidRPr="007F073F">
        <w:rPr>
          <w:rStyle w:val="Refdenotaalpie"/>
          <w:rFonts w:ascii="Verdana" w:hAnsi="Verdana"/>
          <w:sz w:val="16"/>
          <w:szCs w:val="16"/>
        </w:rPr>
        <w:footnoteRef/>
      </w:r>
      <w:r w:rsidRPr="007F073F">
        <w:rPr>
          <w:rFonts w:ascii="Verdana" w:hAnsi="Verdana"/>
          <w:sz w:val="16"/>
          <w:szCs w:val="16"/>
        </w:rPr>
        <w:t xml:space="preserve"> Agencia Nacional de Contratación Pública. Manual para determinar los requisitos habilitantes en los procesos de contratación. Disponible en línea: </w:t>
      </w:r>
      <w:hyperlink r:id="rId4" w:history="1">
        <w:r w:rsidRPr="007F073F">
          <w:rPr>
            <w:rStyle w:val="Hipervnculo"/>
            <w:rFonts w:ascii="Verdana" w:hAnsi="Verdana"/>
            <w:sz w:val="16"/>
            <w:szCs w:val="16"/>
          </w:rPr>
          <w:t>https://www.colombiacompra.gov.co/sites/cce_public/files/cce_documents/cce-eicp-ma-04._manual_requisitos_habilitantes_v3_29-09-2023.pdf</w:t>
        </w:r>
      </w:hyperlink>
    </w:p>
  </w:footnote>
  <w:footnote w:id="25">
    <w:p w14:paraId="25089841" w14:textId="77777777" w:rsidR="008C303F" w:rsidRPr="007F073F" w:rsidRDefault="008C303F" w:rsidP="008C303F">
      <w:pPr>
        <w:pStyle w:val="Textonotapie"/>
        <w:ind w:firstLine="708"/>
        <w:rPr>
          <w:rFonts w:ascii="Verdana" w:hAnsi="Verdana"/>
          <w:sz w:val="16"/>
          <w:szCs w:val="16"/>
          <w:lang w:val="es-ES"/>
        </w:rPr>
      </w:pPr>
      <w:r w:rsidRPr="007F073F">
        <w:rPr>
          <w:rStyle w:val="Refdenotaalpie"/>
          <w:rFonts w:ascii="Verdana" w:hAnsi="Verdana"/>
          <w:sz w:val="16"/>
          <w:szCs w:val="16"/>
        </w:rPr>
        <w:footnoteRef/>
      </w:r>
      <w:r w:rsidRPr="007F073F">
        <w:rPr>
          <w:rFonts w:ascii="Verdana" w:hAnsi="Verdana"/>
          <w:sz w:val="16"/>
          <w:szCs w:val="16"/>
        </w:rPr>
        <w:t xml:space="preserve"> Ibídem., p. 14.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0081945"/>
    <w:multiLevelType w:val="hybridMultilevel"/>
    <w:tmpl w:val="2B28EC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879898548">
    <w:abstractNumId w:val="9"/>
  </w:num>
  <w:num w:numId="18" w16cid:durableId="17964857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A6E"/>
    <w:rsid w:val="00046945"/>
    <w:rsid w:val="00047F6E"/>
    <w:rsid w:val="00061B2A"/>
    <w:rsid w:val="000722F1"/>
    <w:rsid w:val="00082362"/>
    <w:rsid w:val="000A683E"/>
    <w:rsid w:val="000B19B9"/>
    <w:rsid w:val="000D0334"/>
    <w:rsid w:val="000D5DA7"/>
    <w:rsid w:val="000F6486"/>
    <w:rsid w:val="00116940"/>
    <w:rsid w:val="00125105"/>
    <w:rsid w:val="00127233"/>
    <w:rsid w:val="001275EE"/>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18C2"/>
    <w:rsid w:val="002C7A84"/>
    <w:rsid w:val="002E2BF8"/>
    <w:rsid w:val="002E4FD9"/>
    <w:rsid w:val="002E5CB0"/>
    <w:rsid w:val="0030657A"/>
    <w:rsid w:val="00322A85"/>
    <w:rsid w:val="00324168"/>
    <w:rsid w:val="00330834"/>
    <w:rsid w:val="003362E6"/>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46169"/>
    <w:rsid w:val="00466E39"/>
    <w:rsid w:val="004A1847"/>
    <w:rsid w:val="004A305D"/>
    <w:rsid w:val="004C0A7C"/>
    <w:rsid w:val="004F21C4"/>
    <w:rsid w:val="004F5465"/>
    <w:rsid w:val="004F685F"/>
    <w:rsid w:val="005202EF"/>
    <w:rsid w:val="00535D0C"/>
    <w:rsid w:val="005566E8"/>
    <w:rsid w:val="00556D51"/>
    <w:rsid w:val="00574867"/>
    <w:rsid w:val="00584D02"/>
    <w:rsid w:val="00591460"/>
    <w:rsid w:val="005A65E0"/>
    <w:rsid w:val="005C1524"/>
    <w:rsid w:val="005C3777"/>
    <w:rsid w:val="005C5CDC"/>
    <w:rsid w:val="005D476C"/>
    <w:rsid w:val="006200BF"/>
    <w:rsid w:val="006219F8"/>
    <w:rsid w:val="00623E43"/>
    <w:rsid w:val="00626A3D"/>
    <w:rsid w:val="006302F7"/>
    <w:rsid w:val="00646B9F"/>
    <w:rsid w:val="00665D70"/>
    <w:rsid w:val="006900D9"/>
    <w:rsid w:val="006C5690"/>
    <w:rsid w:val="007027E9"/>
    <w:rsid w:val="00706750"/>
    <w:rsid w:val="00706C16"/>
    <w:rsid w:val="007340C3"/>
    <w:rsid w:val="0075235A"/>
    <w:rsid w:val="00756841"/>
    <w:rsid w:val="007649AB"/>
    <w:rsid w:val="00771D0C"/>
    <w:rsid w:val="007833AC"/>
    <w:rsid w:val="007A5FAE"/>
    <w:rsid w:val="007B268C"/>
    <w:rsid w:val="007B7171"/>
    <w:rsid w:val="007C0C0F"/>
    <w:rsid w:val="007C3DC2"/>
    <w:rsid w:val="007E5497"/>
    <w:rsid w:val="00803536"/>
    <w:rsid w:val="00806F5F"/>
    <w:rsid w:val="00820278"/>
    <w:rsid w:val="00822192"/>
    <w:rsid w:val="008258C9"/>
    <w:rsid w:val="008322F4"/>
    <w:rsid w:val="00844AE9"/>
    <w:rsid w:val="008508F6"/>
    <w:rsid w:val="00867F95"/>
    <w:rsid w:val="008843B6"/>
    <w:rsid w:val="00891928"/>
    <w:rsid w:val="008A446D"/>
    <w:rsid w:val="008B25F1"/>
    <w:rsid w:val="008C303F"/>
    <w:rsid w:val="008D180B"/>
    <w:rsid w:val="008F0EA7"/>
    <w:rsid w:val="008F5FDD"/>
    <w:rsid w:val="00923EEF"/>
    <w:rsid w:val="009419F9"/>
    <w:rsid w:val="00953663"/>
    <w:rsid w:val="0095685E"/>
    <w:rsid w:val="00961B09"/>
    <w:rsid w:val="00965334"/>
    <w:rsid w:val="0097093E"/>
    <w:rsid w:val="00987794"/>
    <w:rsid w:val="009A0DFA"/>
    <w:rsid w:val="009A1C6F"/>
    <w:rsid w:val="009B2D26"/>
    <w:rsid w:val="009B34D2"/>
    <w:rsid w:val="009C18ED"/>
    <w:rsid w:val="009C71FA"/>
    <w:rsid w:val="009C72E7"/>
    <w:rsid w:val="009C7F7E"/>
    <w:rsid w:val="009D3058"/>
    <w:rsid w:val="009F3A13"/>
    <w:rsid w:val="00A122D3"/>
    <w:rsid w:val="00A14468"/>
    <w:rsid w:val="00A17F13"/>
    <w:rsid w:val="00A20739"/>
    <w:rsid w:val="00A23AF9"/>
    <w:rsid w:val="00A325AA"/>
    <w:rsid w:val="00A33C78"/>
    <w:rsid w:val="00A711F4"/>
    <w:rsid w:val="00A948DC"/>
    <w:rsid w:val="00AB0ADB"/>
    <w:rsid w:val="00AC3861"/>
    <w:rsid w:val="00AE664E"/>
    <w:rsid w:val="00AF6D16"/>
    <w:rsid w:val="00B00C0E"/>
    <w:rsid w:val="00B01B1A"/>
    <w:rsid w:val="00B0381D"/>
    <w:rsid w:val="00B44A47"/>
    <w:rsid w:val="00B72CD3"/>
    <w:rsid w:val="00B72FFF"/>
    <w:rsid w:val="00B76502"/>
    <w:rsid w:val="00BC3D36"/>
    <w:rsid w:val="00BD54A6"/>
    <w:rsid w:val="00BD7F72"/>
    <w:rsid w:val="00BF7425"/>
    <w:rsid w:val="00C04FB3"/>
    <w:rsid w:val="00C11D8B"/>
    <w:rsid w:val="00C15139"/>
    <w:rsid w:val="00C330EB"/>
    <w:rsid w:val="00C50D69"/>
    <w:rsid w:val="00C5365C"/>
    <w:rsid w:val="00C53F17"/>
    <w:rsid w:val="00C5760F"/>
    <w:rsid w:val="00C754BE"/>
    <w:rsid w:val="00C76B1C"/>
    <w:rsid w:val="00C925AC"/>
    <w:rsid w:val="00CB6357"/>
    <w:rsid w:val="00CC1B26"/>
    <w:rsid w:val="00D361FD"/>
    <w:rsid w:val="00D423A2"/>
    <w:rsid w:val="00D44E26"/>
    <w:rsid w:val="00D520D8"/>
    <w:rsid w:val="00D63AC2"/>
    <w:rsid w:val="00D7383B"/>
    <w:rsid w:val="00D74DEB"/>
    <w:rsid w:val="00D7788A"/>
    <w:rsid w:val="00D85832"/>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194E"/>
    <w:rsid w:val="00F666C4"/>
    <w:rsid w:val="00F76AFC"/>
    <w:rsid w:val="00FA47C0"/>
    <w:rsid w:val="00FB5DD1"/>
    <w:rsid w:val="00FC2B5D"/>
    <w:rsid w:val="00FF1449"/>
    <w:rsid w:val="00FF7963"/>
    <w:rsid w:val="09908A09"/>
    <w:rsid w:val="13CFC91B"/>
    <w:rsid w:val="143CB361"/>
    <w:rsid w:val="19A2EC2C"/>
    <w:rsid w:val="1AAD7C53"/>
    <w:rsid w:val="2859CA1B"/>
    <w:rsid w:val="32A4F9CF"/>
    <w:rsid w:val="334010F9"/>
    <w:rsid w:val="356CEDFD"/>
    <w:rsid w:val="43970E9F"/>
    <w:rsid w:val="477C2E4B"/>
    <w:rsid w:val="52B5FA74"/>
    <w:rsid w:val="5BCD1779"/>
    <w:rsid w:val="6087BDEE"/>
    <w:rsid w:val="69614A15"/>
    <w:rsid w:val="6D399BBB"/>
    <w:rsid w:val="78EFDE0A"/>
    <w:rsid w:val="7A3E03BF"/>
    <w:rsid w:val="7BB183BC"/>
    <w:rsid w:val="7E4288C2"/>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C0F0463A-6625-4545-8DA7-353DF3FE6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C303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303F"/>
    <w:rPr>
      <w:rFonts w:ascii="Geomanist Light" w:hAnsi="Geomanist Light"/>
      <w:lang w:val="es-ES"/>
    </w:rPr>
  </w:style>
  <w:style w:type="character" w:customStyle="1" w:styleId="superscript">
    <w:name w:val="superscript"/>
    <w:basedOn w:val="Fuentedeprrafopredeter"/>
    <w:rsid w:val="008C303F"/>
  </w:style>
  <w:style w:type="character" w:customStyle="1" w:styleId="s15">
    <w:name w:val="s15"/>
    <w:basedOn w:val="Fuentedeprrafopredeter"/>
    <w:rsid w:val="008C303F"/>
  </w:style>
  <w:style w:type="character" w:customStyle="1" w:styleId="apple-converted-space">
    <w:name w:val="apple-converted-space"/>
    <w:basedOn w:val="Fuentedeprrafopredeter"/>
    <w:rsid w:val="008C303F"/>
  </w:style>
  <w:style w:type="character" w:styleId="Textoennegrita">
    <w:name w:val="Strong"/>
    <w:basedOn w:val="Fuentedeprrafopredeter"/>
    <w:uiPriority w:val="22"/>
    <w:qFormat/>
    <w:rsid w:val="008C303F"/>
    <w:rPr>
      <w:b/>
      <w:bCs/>
    </w:rPr>
  </w:style>
  <w:style w:type="character" w:customStyle="1" w:styleId="NormalWebCar">
    <w:name w:val="Normal (Web) Car"/>
    <w:link w:val="NormalWeb"/>
    <w:uiPriority w:val="99"/>
    <w:locked/>
    <w:rsid w:val="008C303F"/>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8C303F"/>
    <w:rPr>
      <w:i/>
      <w:iC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06842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070561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4467113">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59462656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documents/cce_guia_codificacion_bienes.pdf" TargetMode="External"/><Relationship Id="rId2" Type="http://schemas.openxmlformats.org/officeDocument/2006/relationships/hyperlink" Target="https://www.colombiacompra.gov.co/sites/cce_public/files/cce_documents/cce_guia_codificacion_bienes.pdf" TargetMode="External"/><Relationship Id="rId1" Type="http://schemas.openxmlformats.org/officeDocument/2006/relationships/hyperlink" Target="https://www.colombiacompra.gov.co/archivos/manual/guia-para-la-codificacion-de-bienes-y-servicios" TargetMode="External"/><Relationship Id="rId4" Type="http://schemas.openxmlformats.org/officeDocument/2006/relationships/hyperlink" Target="https://www.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DF68DF9-A8E3-4B1F-AE58-C6366AA7B0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5F5A034-9925-43D2-B56E-A13A39868D2A}">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purl.org/dc/elements/1.1/"/>
    <ds:schemaRef ds:uri="http://schemas.openxmlformats.org/package/2006/metadata/core-properties"/>
    <ds:schemaRef ds:uri="http://schemas.microsoft.com/office/infopath/2007/PartnerControls"/>
    <ds:schemaRef ds:uri="http://purl.org/dc/terms/"/>
    <ds:schemaRef ds:uri="http://schemas.microsoft.com/office/2006/metadata/properties"/>
    <ds:schemaRef ds:uri="http://schemas.microsoft.com/office/2006/documentManagement/types"/>
    <ds:schemaRef ds:uri="http://www.w3.org/XML/1998/namespace"/>
    <ds:schemaRef ds:uri="a6cb9e4b-f1d1-4245-83ec-6cad768d538a"/>
    <ds:schemaRef ds:uri="9d85dbaf-23eb-4e57-a637-93dcacc8b1a1"/>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6679</Words>
  <Characters>36938</Characters>
  <Application>Microsoft Office Word</Application>
  <DocSecurity>0</DocSecurity>
  <Lines>710</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2025-11-04T15:52:00Z</dcterms:created>
  <dcterms:modified xsi:type="dcterms:W3CDTF">2025-11-04T15:52:00Z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