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9964D" w14:textId="77777777" w:rsidR="00C920C9" w:rsidRPr="00C920C9" w:rsidRDefault="00C920C9" w:rsidP="00C920C9">
      <w:pPr>
        <w:spacing w:before="100" w:beforeAutospacing="1" w:after="100" w:afterAutospacing="1" w:line="240" w:lineRule="auto"/>
        <w:jc w:val="both"/>
        <w:rPr>
          <w:rFonts w:ascii="Verdana" w:eastAsia="Times New Roman" w:hAnsi="Verdana" w:cs="Times New Roman"/>
          <w:b/>
          <w:bCs/>
          <w:lang w:eastAsia="es-MX"/>
        </w:rPr>
      </w:pPr>
      <w:r w:rsidRPr="00C920C9">
        <w:rPr>
          <w:rFonts w:ascii="Verdana" w:eastAsia="Times New Roman" w:hAnsi="Verdana" w:cs="Times New Roman"/>
          <w:b/>
          <w:bCs/>
          <w:lang w:eastAsia="es-MX"/>
        </w:rPr>
        <w:t>SUBSANABILIDAD – REGLA GENERAL – LEY 1882 DE 2018 – REQUISITOS HABILITANTES</w:t>
      </w:r>
    </w:p>
    <w:p w14:paraId="1327855C" w14:textId="427D39A9" w:rsidR="00C920C9" w:rsidRPr="00C920C9" w:rsidRDefault="00C920C9" w:rsidP="00C920C9">
      <w:pPr>
        <w:spacing w:before="100" w:beforeAutospacing="1" w:after="100" w:afterAutospacing="1" w:line="240" w:lineRule="auto"/>
        <w:jc w:val="both"/>
        <w:rPr>
          <w:rFonts w:ascii="Verdana" w:eastAsia="Times New Roman" w:hAnsi="Verdana" w:cs="Times New Roman"/>
          <w:lang w:eastAsia="es-MX"/>
        </w:rPr>
      </w:pPr>
      <w:r w:rsidRPr="00C920C9">
        <w:rPr>
          <w:rFonts w:ascii="Verdana" w:eastAsia="Times New Roman" w:hAnsi="Verdana" w:cs="Times New Roman"/>
          <w:lang w:eastAsia="es-MX"/>
        </w:rPr>
        <w:t xml:space="preserve">[...] La interpretación de la normativa actual, especialmente tras la expedición de la Ley 1882 de 2018, ha clarificado el alcance de la </w:t>
      </w:r>
      <w:proofErr w:type="spellStart"/>
      <w:r w:rsidRPr="00C920C9">
        <w:rPr>
          <w:rFonts w:ascii="Verdana" w:eastAsia="Times New Roman" w:hAnsi="Verdana" w:cs="Times New Roman"/>
          <w:lang w:eastAsia="es-MX"/>
        </w:rPr>
        <w:t>subsanabilidad</w:t>
      </w:r>
      <w:proofErr w:type="spellEnd"/>
      <w:r w:rsidRPr="00C920C9">
        <w:rPr>
          <w:rFonts w:ascii="Verdana" w:eastAsia="Times New Roman" w:hAnsi="Verdana" w:cs="Times New Roman"/>
          <w:lang w:eastAsia="es-MX"/>
        </w:rPr>
        <w:t xml:space="preserve">. La regla de la </w:t>
      </w:r>
      <w:proofErr w:type="spellStart"/>
      <w:r w:rsidRPr="00C920C9">
        <w:rPr>
          <w:rFonts w:ascii="Verdana" w:eastAsia="Times New Roman" w:hAnsi="Verdana" w:cs="Times New Roman"/>
          <w:lang w:eastAsia="es-MX"/>
        </w:rPr>
        <w:t>subsanabilidad</w:t>
      </w:r>
      <w:proofErr w:type="spellEnd"/>
      <w:r w:rsidRPr="00C920C9">
        <w:rPr>
          <w:rFonts w:ascii="Verdana" w:eastAsia="Times New Roman" w:hAnsi="Verdana" w:cs="Times New Roman"/>
          <w:lang w:eastAsia="es-MX"/>
        </w:rPr>
        <w:t xml:space="preserve"> de las ofertas en los procedimientos de selección indica que, por regla general, la falta de entrega y los defectos en la acreditación de los requisitos habilitantes son aspectos subsanables. La Ley 1882 de 2018 modificó el Parágrafo 1° del Artículo 5 de la Ley 1150 de 2007. Dicho parágrafo establece la obligación de la Entidad Estatal de solicitar los documentos faltantes que no impacten la evaluación: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Los requisitos habilitantes (capacidad jurídica, financiera, organizacional y experiencia) son, por definición, objeto de ""verificación de cumplimiento"" y no otorgan puntaje. Por lo tanto, su omisión en la entrega inicial se enmarca dentro de la regla general de </w:t>
      </w:r>
      <w:proofErr w:type="spellStart"/>
      <w:r w:rsidRPr="00C920C9">
        <w:rPr>
          <w:rFonts w:ascii="Verdana" w:eastAsia="Times New Roman" w:hAnsi="Verdana" w:cs="Times New Roman"/>
          <w:lang w:eastAsia="es-MX"/>
        </w:rPr>
        <w:t>subsanabilidad</w:t>
      </w:r>
      <w:proofErr w:type="spellEnd"/>
      <w:r w:rsidRPr="00C920C9">
        <w:rPr>
          <w:rFonts w:ascii="Verdana" w:eastAsia="Times New Roman" w:hAnsi="Verdana" w:cs="Times New Roman"/>
          <w:lang w:eastAsia="es-MX"/>
        </w:rPr>
        <w:t>. [...] Así las cosas, la ""falta de entrega"" (omisión) de documentos habilitantes —aquellos que no otorgan puntaje, es un evento subsanable. La Entidad Estatal tiene el deber de solicitar dichos documentos al proponente, y el proponente tiene el derecho de entregarlos hasta el término de traslado del informe de evaluación [...].</w:t>
      </w:r>
    </w:p>
    <w:p w14:paraId="6E33D696" w14:textId="77777777" w:rsidR="00C920C9" w:rsidRPr="00C920C9" w:rsidRDefault="00C920C9" w:rsidP="00C920C9">
      <w:pPr>
        <w:spacing w:before="100" w:beforeAutospacing="1" w:after="100" w:afterAutospacing="1" w:line="240" w:lineRule="auto"/>
        <w:jc w:val="both"/>
        <w:rPr>
          <w:rFonts w:ascii="Verdana" w:eastAsia="Times New Roman" w:hAnsi="Verdana" w:cs="Times New Roman"/>
          <w:b/>
          <w:bCs/>
          <w:lang w:eastAsia="es-MX"/>
        </w:rPr>
      </w:pPr>
      <w:r w:rsidRPr="00C920C9">
        <w:rPr>
          <w:rFonts w:ascii="Verdana" w:eastAsia="Times New Roman" w:hAnsi="Verdana" w:cs="Times New Roman"/>
          <w:b/>
          <w:bCs/>
          <w:lang w:eastAsia="es-MX"/>
        </w:rPr>
        <w:t>SUBSANABILIDAD – EXCEPCIONES – GARANTÍA DE SERIEDAD – ASIGNACIÓN DE PUNTAJE – CIRCUNSTANCIAS POSTERIORES AL CIERRE</w:t>
      </w:r>
    </w:p>
    <w:p w14:paraId="55BC3339" w14:textId="77777777" w:rsidR="00C920C9" w:rsidRPr="00C920C9" w:rsidRDefault="00C920C9" w:rsidP="00C920C9">
      <w:pPr>
        <w:spacing w:before="100" w:beforeAutospacing="1" w:after="100" w:afterAutospacing="1" w:line="240" w:lineRule="auto"/>
        <w:jc w:val="both"/>
        <w:rPr>
          <w:rFonts w:ascii="Verdana" w:eastAsia="Times New Roman" w:hAnsi="Verdana" w:cs="Times New Roman"/>
          <w:lang w:eastAsia="es-MX"/>
        </w:rPr>
      </w:pPr>
      <w:r w:rsidRPr="00C920C9">
        <w:rPr>
          <w:rFonts w:ascii="Verdana" w:eastAsia="Times New Roman" w:hAnsi="Verdana" w:cs="Times New Roman"/>
          <w:lang w:eastAsia="es-MX"/>
        </w:rPr>
        <w:t xml:space="preserve">[...] la ley establece excepciones claras, en donde No es permitido subsanar: i) En aspectos que otorgan puntaje . </w:t>
      </w:r>
      <w:proofErr w:type="spellStart"/>
      <w:r w:rsidRPr="00C920C9">
        <w:rPr>
          <w:rFonts w:ascii="Verdana" w:eastAsia="Times New Roman" w:hAnsi="Verdana" w:cs="Times New Roman"/>
          <w:lang w:eastAsia="es-MX"/>
        </w:rPr>
        <w:t>ii</w:t>
      </w:r>
      <w:proofErr w:type="spellEnd"/>
      <w:r w:rsidRPr="00C920C9">
        <w:rPr>
          <w:rFonts w:ascii="Verdana" w:eastAsia="Times New Roman" w:hAnsi="Verdana" w:cs="Times New Roman"/>
          <w:lang w:eastAsia="es-MX"/>
        </w:rPr>
        <w:t xml:space="preserve">) La no entrega de la garantía de seriedad junto con la propuesta . </w:t>
      </w:r>
      <w:proofErr w:type="spellStart"/>
      <w:r w:rsidRPr="00C920C9">
        <w:rPr>
          <w:rFonts w:ascii="Verdana" w:eastAsia="Times New Roman" w:hAnsi="Verdana" w:cs="Times New Roman"/>
          <w:lang w:eastAsia="es-MX"/>
        </w:rPr>
        <w:t>iii</w:t>
      </w:r>
      <w:proofErr w:type="spellEnd"/>
      <w:r w:rsidRPr="00C920C9">
        <w:rPr>
          <w:rFonts w:ascii="Verdana" w:eastAsia="Times New Roman" w:hAnsi="Verdana" w:cs="Times New Roman"/>
          <w:lang w:eastAsia="es-MX"/>
        </w:rPr>
        <w:t>) La acreditación de ""circunstancias ocurridas con posterioridad al cierre del proceso"". [...] PARÁGRAFO 1o. [...] Durante el término otorgado para subsanar las ofertas, los proponentes no podrán acreditar circunstancias ocurridas con posterioridad al cierre del proceso. [...] PARÁGRAFO 3o. [...] La no entrega de la garantía de seriedad junto con la propuesta no será subsanable y será causal de rechazo de la misma.</w:t>
      </w:r>
    </w:p>
    <w:p w14:paraId="7132489C" w14:textId="77777777" w:rsidR="00C920C9" w:rsidRPr="00C920C9" w:rsidRDefault="00C920C9" w:rsidP="00C920C9">
      <w:pPr>
        <w:spacing w:before="100" w:beforeAutospacing="1" w:after="100" w:afterAutospacing="1" w:line="240" w:lineRule="auto"/>
        <w:jc w:val="both"/>
        <w:rPr>
          <w:rFonts w:ascii="Verdana" w:eastAsia="Times New Roman" w:hAnsi="Verdana" w:cs="Times New Roman"/>
          <w:b/>
          <w:bCs/>
          <w:lang w:eastAsia="es-MX"/>
        </w:rPr>
      </w:pPr>
      <w:r w:rsidRPr="00C920C9">
        <w:rPr>
          <w:rFonts w:ascii="Verdana" w:eastAsia="Times New Roman" w:hAnsi="Verdana" w:cs="Times New Roman"/>
          <w:b/>
          <w:bCs/>
          <w:lang w:eastAsia="es-MX"/>
        </w:rPr>
        <w:t>SUBSANABILIDAD – CIRCUNSTANCIAS POSTERIORES AL CIERRE – DISTINCIÓN ENTRE EL HECHO Y LA PRUEBA</w:t>
      </w:r>
    </w:p>
    <w:p w14:paraId="1530CC29" w14:textId="0776A9B8" w:rsidR="00C920C9" w:rsidRPr="00C920C9" w:rsidRDefault="00C920C9" w:rsidP="00C920C9">
      <w:pPr>
        <w:spacing w:before="100" w:beforeAutospacing="1" w:after="100" w:afterAutospacing="1" w:line="240" w:lineRule="auto"/>
        <w:jc w:val="both"/>
        <w:rPr>
          <w:rFonts w:ascii="Verdana" w:eastAsia="Times New Roman" w:hAnsi="Verdana" w:cs="Times New Roman"/>
          <w:lang w:eastAsia="es-MX"/>
        </w:rPr>
      </w:pPr>
      <w:r w:rsidRPr="00C920C9">
        <w:rPr>
          <w:rFonts w:ascii="Verdana" w:eastAsia="Times New Roman" w:hAnsi="Verdana" w:cs="Times New Roman"/>
          <w:lang w:eastAsia="es-MX"/>
        </w:rPr>
        <w:lastRenderedPageBreak/>
        <w:t xml:space="preserve">Frente al tercer ítem [acreditación de circunstancias ocurridas con posterioridad al cierre], la ley prohíbe que un proponente intente cumplir </w:t>
      </w:r>
      <w:r w:rsidRPr="00C920C9">
        <w:rPr>
          <w:rFonts w:ascii="Verdana" w:eastAsia="Times New Roman" w:hAnsi="Verdana" w:cs="Times New Roman"/>
          <w:i/>
          <w:iCs/>
          <w:lang w:eastAsia="es-MX"/>
        </w:rPr>
        <w:t>después</w:t>
      </w:r>
      <w:r w:rsidRPr="00C920C9">
        <w:rPr>
          <w:rFonts w:ascii="Verdana" w:eastAsia="Times New Roman" w:hAnsi="Verdana" w:cs="Times New Roman"/>
          <w:lang w:eastAsia="es-MX"/>
        </w:rPr>
        <w:t xml:space="preserve"> del cierre un requisito que no cumplía </w:t>
      </w:r>
      <w:r w:rsidRPr="00C920C9">
        <w:rPr>
          <w:rFonts w:ascii="Verdana" w:eastAsia="Times New Roman" w:hAnsi="Verdana" w:cs="Times New Roman"/>
          <w:i/>
          <w:iCs/>
          <w:lang w:eastAsia="es-MX"/>
        </w:rPr>
        <w:t>antes</w:t>
      </w:r>
      <w:r w:rsidRPr="00C920C9">
        <w:rPr>
          <w:rFonts w:ascii="Verdana" w:eastAsia="Times New Roman" w:hAnsi="Verdana" w:cs="Times New Roman"/>
          <w:lang w:eastAsia="es-MX"/>
        </w:rPr>
        <w:t xml:space="preserve">. Sin embargo, se debe distinguir entre el ""requisito"" y la ""prueba"". Lo que prohíbe la norma es que el </w:t>
      </w:r>
      <w:r w:rsidRPr="00C920C9">
        <w:rPr>
          <w:rFonts w:ascii="Verdana" w:eastAsia="Times New Roman" w:hAnsi="Verdana" w:cs="Times New Roman"/>
          <w:i/>
          <w:iCs/>
          <w:lang w:eastAsia="es-MX"/>
        </w:rPr>
        <w:t>hecho</w:t>
      </w:r>
      <w:r w:rsidRPr="00C920C9">
        <w:rPr>
          <w:rFonts w:ascii="Verdana" w:eastAsia="Times New Roman" w:hAnsi="Verdana" w:cs="Times New Roman"/>
          <w:lang w:eastAsia="es-MX"/>
        </w:rPr>
        <w:t xml:space="preserve"> (la experiencia, la capacidad financiera, etc.) sea posterior al cierre. La </w:t>
      </w:r>
      <w:r w:rsidRPr="00C920C9">
        <w:rPr>
          <w:rFonts w:ascii="Verdana" w:eastAsia="Times New Roman" w:hAnsi="Verdana" w:cs="Times New Roman"/>
          <w:i/>
          <w:iCs/>
          <w:lang w:eastAsia="es-MX"/>
        </w:rPr>
        <w:t>prueba</w:t>
      </w:r>
      <w:r w:rsidRPr="00C920C9">
        <w:rPr>
          <w:rFonts w:ascii="Verdana" w:eastAsia="Times New Roman" w:hAnsi="Verdana" w:cs="Times New Roman"/>
          <w:lang w:eastAsia="es-MX"/>
        </w:rPr>
        <w:t xml:space="preserve"> (el documento) sí puede estar fechada con posterioridad al vencimiento, siempre y cuando acredite un hecho que ya había ocurrido </w:t>
      </w:r>
      <w:r w:rsidRPr="00C920C9">
        <w:rPr>
          <w:rFonts w:ascii="Verdana" w:eastAsia="Times New Roman" w:hAnsi="Verdana" w:cs="Times New Roman"/>
          <w:i/>
          <w:iCs/>
          <w:lang w:eastAsia="es-MX"/>
        </w:rPr>
        <w:t>antes</w:t>
      </w:r>
      <w:r w:rsidRPr="00C920C9">
        <w:rPr>
          <w:rFonts w:ascii="Verdana" w:eastAsia="Times New Roman" w:hAnsi="Verdana" w:cs="Times New Roman"/>
          <w:lang w:eastAsia="es-MX"/>
        </w:rPr>
        <w:t xml:space="preserve"> del cierre del proceso. [...] La expresión “circunstancias ocurridas con posterioridad al cierre del proceso” implica distinguir entre la prueba de un hecho y el hecho mismo. En el caso de la </w:t>
      </w:r>
      <w:proofErr w:type="spellStart"/>
      <w:r w:rsidRPr="00C920C9">
        <w:rPr>
          <w:rFonts w:ascii="Verdana" w:eastAsia="Times New Roman" w:hAnsi="Verdana" w:cs="Times New Roman"/>
          <w:lang w:eastAsia="es-MX"/>
        </w:rPr>
        <w:t>subsanabilidad</w:t>
      </w:r>
      <w:proofErr w:type="spellEnd"/>
      <w:r w:rsidRPr="00C920C9">
        <w:rPr>
          <w:rFonts w:ascii="Verdana" w:eastAsia="Times New Roman" w:hAnsi="Verdana" w:cs="Times New Roman"/>
          <w:lang w:eastAsia="es-MX"/>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 Lo anterior quiere decir que no es la prueba –usualmente un documento– lo que debe ser anterior al cierre del proceso, sino el hecho que ella acredita.</w:t>
      </w:r>
    </w:p>
    <w:p w14:paraId="0C14F57F" w14:textId="77777777" w:rsidR="00C920C9" w:rsidRPr="00C920C9" w:rsidRDefault="00C920C9" w:rsidP="00C920C9">
      <w:pPr>
        <w:spacing w:before="100" w:beforeAutospacing="1" w:after="100" w:afterAutospacing="1" w:line="240" w:lineRule="auto"/>
        <w:jc w:val="both"/>
        <w:rPr>
          <w:rFonts w:ascii="Verdana" w:eastAsia="Times New Roman" w:hAnsi="Verdana" w:cs="Times New Roman"/>
          <w:b/>
          <w:bCs/>
          <w:lang w:eastAsia="es-MX"/>
        </w:rPr>
      </w:pPr>
      <w:r w:rsidRPr="00C920C9">
        <w:rPr>
          <w:rFonts w:ascii="Verdana" w:eastAsia="Times New Roman" w:hAnsi="Verdana" w:cs="Times New Roman"/>
          <w:b/>
          <w:bCs/>
          <w:lang w:eastAsia="es-MX"/>
        </w:rPr>
        <w:t>CAUSALES DE RECHAZO DE LAS OFERTAS – ORIGEN – LÍMITES – PRINCIPIOS DE RAZONABILIDAD Y PROPORCIONALIDAD</w:t>
      </w:r>
    </w:p>
    <w:p w14:paraId="4746A17A" w14:textId="4BA422AD" w:rsidR="00C920C9" w:rsidRPr="00C920C9" w:rsidRDefault="00C920C9" w:rsidP="00C920C9">
      <w:pPr>
        <w:spacing w:before="100" w:beforeAutospacing="1" w:after="100" w:afterAutospacing="1" w:line="240" w:lineRule="auto"/>
        <w:jc w:val="both"/>
        <w:rPr>
          <w:rFonts w:ascii="Verdana" w:eastAsia="Times New Roman" w:hAnsi="Verdana" w:cs="Times New Roman"/>
          <w:lang w:eastAsia="es-MX"/>
        </w:rPr>
      </w:pPr>
      <w:r w:rsidRPr="00C920C9">
        <w:rPr>
          <w:rFonts w:ascii="Verdana" w:eastAsia="Times New Roman" w:hAnsi="Verdana" w:cs="Times New Roman"/>
          <w:lang w:eastAsia="es-MX"/>
        </w:rPr>
        <w:t xml:space="preserv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 y regular los eventos en los que procede su rechazo, el ejercicio de tales facultades encuentra ciertos límites en la ley y el reglamento, así como en los principios de razonabilidad y proporcionalidad. [...] De acuerdo con la jurisprudencia citada, existen dos casos en los que procede el rechazo de la oferta: i) que se configure alguna de las causales de rechazo originadas en la ley o el reglamento y </w:t>
      </w:r>
      <w:proofErr w:type="spellStart"/>
      <w:r w:rsidRPr="00C920C9">
        <w:rPr>
          <w:rFonts w:ascii="Verdana" w:eastAsia="Times New Roman" w:hAnsi="Verdana" w:cs="Times New Roman"/>
          <w:lang w:eastAsia="es-MX"/>
        </w:rPr>
        <w:t>ii</w:t>
      </w:r>
      <w:proofErr w:type="spellEnd"/>
      <w:r w:rsidRPr="00C920C9">
        <w:rPr>
          <w:rFonts w:ascii="Verdana" w:eastAsia="Times New Roman" w:hAnsi="Verdana" w:cs="Times New Roman"/>
          <w:lang w:eastAsia="es-MX"/>
        </w:rPr>
        <w:t>) que se materialicen las establecidas en el pliego de condiciones. [...] En ese contexto, la facultad de las entidades estatales para incluir en los pliegos de condiciones [...]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w:t>
      </w:r>
      <w:r w:rsidRPr="00C920C9">
        <w:rPr>
          <w:rFonts w:ascii="Verdana" w:hAnsi="Verdana"/>
        </w:rPr>
        <w:t>Bogotá</w:t>
      </w:r>
      <w:r w:rsidRPr="00C920C9">
        <w:rPr>
          <w:rFonts w:ascii="Verdana" w:hAnsi="Verdana"/>
          <w:spacing w:val="-11"/>
        </w:rPr>
        <w:t xml:space="preserve"> </w:t>
      </w:r>
      <w:r w:rsidRPr="00C920C9">
        <w:rPr>
          <w:rFonts w:ascii="Verdana" w:hAnsi="Verdana"/>
        </w:rPr>
        <w:t>D.C.,</w:t>
      </w:r>
      <w:r w:rsidRPr="00C920C9">
        <w:rPr>
          <w:rFonts w:ascii="Verdana" w:hAnsi="Verdana"/>
          <w:spacing w:val="-5"/>
        </w:rPr>
        <w:t xml:space="preserve"> </w:t>
      </w:r>
      <w:r w:rsidRPr="00C920C9">
        <w:rPr>
          <w:rFonts w:ascii="Verdana" w:hAnsi="Verdana"/>
        </w:rPr>
        <w:t>31</w:t>
      </w:r>
      <w:r w:rsidRPr="00C920C9">
        <w:rPr>
          <w:rFonts w:ascii="Verdana" w:hAnsi="Verdana"/>
          <w:spacing w:val="-13"/>
        </w:rPr>
        <w:t xml:space="preserve"> </w:t>
      </w:r>
      <w:r w:rsidRPr="00C920C9">
        <w:rPr>
          <w:rFonts w:ascii="Verdana" w:hAnsi="Verdana"/>
        </w:rPr>
        <w:t>Octubre</w:t>
      </w:r>
      <w:r w:rsidRPr="00C920C9">
        <w:rPr>
          <w:rFonts w:ascii="Verdana" w:hAnsi="Verdana"/>
          <w:spacing w:val="-9"/>
        </w:rPr>
        <w:t xml:space="preserve"> </w:t>
      </w:r>
      <w:r w:rsidRPr="00C920C9">
        <w:rPr>
          <w:rFonts w:ascii="Verdana" w:hAnsi="Verdana"/>
        </w:rPr>
        <w:t xml:space="preserve">2025 </w:t>
      </w:r>
    </w:p>
    <w:p w14:paraId="1C944864" w14:textId="746BC1A5" w:rsidR="00C920C9" w:rsidRPr="00C920C9" w:rsidRDefault="00C920C9" w:rsidP="00871B59">
      <w:pPr>
        <w:spacing w:after="0" w:line="240" w:lineRule="auto"/>
        <w:jc w:val="both"/>
        <w:rPr>
          <w:rFonts w:ascii="Verdana" w:eastAsia="Calibri" w:hAnsi="Verdana" w:cs="Arial"/>
          <w:lang w:val="es-ES" w:eastAsia="es-ES"/>
        </w:rPr>
      </w:pPr>
      <w:r w:rsidRPr="00C920C9">
        <w:rPr>
          <w:rFonts w:ascii="Verdana" w:hAnsi="Verdana"/>
        </w:rPr>
        <w:lastRenderedPageBreak/>
        <w:t>Bogotá</w:t>
      </w:r>
      <w:r w:rsidRPr="00C920C9">
        <w:rPr>
          <w:rFonts w:ascii="Verdana" w:hAnsi="Verdana"/>
          <w:spacing w:val="-11"/>
        </w:rPr>
        <w:t xml:space="preserve"> </w:t>
      </w:r>
      <w:r w:rsidRPr="00C920C9">
        <w:rPr>
          <w:rFonts w:ascii="Verdana" w:hAnsi="Verdana"/>
        </w:rPr>
        <w:t>D.C.,</w:t>
      </w:r>
      <w:r w:rsidRPr="00C920C9">
        <w:rPr>
          <w:rFonts w:ascii="Verdana" w:hAnsi="Verdana"/>
          <w:spacing w:val="-5"/>
        </w:rPr>
        <w:t xml:space="preserve"> </w:t>
      </w:r>
      <w:r w:rsidRPr="00C920C9">
        <w:rPr>
          <w:rFonts w:ascii="Verdana" w:hAnsi="Verdana"/>
        </w:rPr>
        <w:t>31</w:t>
      </w:r>
      <w:r w:rsidRPr="00C920C9">
        <w:rPr>
          <w:rFonts w:ascii="Verdana" w:hAnsi="Verdana"/>
          <w:spacing w:val="-13"/>
        </w:rPr>
        <w:t xml:space="preserve"> </w:t>
      </w:r>
      <w:r w:rsidRPr="00C920C9">
        <w:rPr>
          <w:rFonts w:ascii="Verdana" w:hAnsi="Verdana"/>
        </w:rPr>
        <w:t>Octubre</w:t>
      </w:r>
      <w:r w:rsidRPr="00C920C9">
        <w:rPr>
          <w:rFonts w:ascii="Verdana" w:hAnsi="Verdana"/>
          <w:spacing w:val="-9"/>
        </w:rPr>
        <w:t xml:space="preserve"> </w:t>
      </w:r>
      <w:r w:rsidRPr="00C920C9">
        <w:rPr>
          <w:rFonts w:ascii="Verdana" w:hAnsi="Verdana"/>
        </w:rPr>
        <w:t>2025</w:t>
      </w:r>
    </w:p>
    <w:p w14:paraId="436D6719" w14:textId="6EBFBB51" w:rsidR="00C920C9" w:rsidRDefault="00C920C9" w:rsidP="00871B59">
      <w:pPr>
        <w:spacing w:after="0" w:line="240" w:lineRule="auto"/>
        <w:jc w:val="both"/>
        <w:rPr>
          <w:rFonts w:ascii="Verdana" w:eastAsia="Calibri" w:hAnsi="Verdana" w:cs="Arial"/>
          <w:lang w:val="es-ES" w:eastAsia="es-ES"/>
        </w:rPr>
      </w:pPr>
      <w:r w:rsidRPr="00C920C9">
        <w:rPr>
          <w:rFonts w:ascii="Verdana" w:hAnsi="Verdana"/>
          <w:noProof/>
        </w:rPr>
        <w:drawing>
          <wp:anchor distT="0" distB="0" distL="0" distR="0" simplePos="0" relativeHeight="251659264" behindDoc="0" locked="0" layoutInCell="1" allowOverlap="1" wp14:anchorId="7BAD9830" wp14:editId="17B3369C">
            <wp:simplePos x="0" y="0"/>
            <wp:positionH relativeFrom="page">
              <wp:posOffset>4082415</wp:posOffset>
            </wp:positionH>
            <wp:positionV relativeFrom="paragraph">
              <wp:posOffset>33655</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00300" cy="615950"/>
                    </a:xfrm>
                    <a:prstGeom prst="rect">
                      <a:avLst/>
                    </a:prstGeom>
                  </pic:spPr>
                </pic:pic>
              </a:graphicData>
            </a:graphic>
          </wp:anchor>
        </w:drawing>
      </w:r>
    </w:p>
    <w:p w14:paraId="72CA0828" w14:textId="77777777" w:rsidR="00C920C9" w:rsidRDefault="00C920C9" w:rsidP="00871B59">
      <w:pPr>
        <w:spacing w:after="0" w:line="240" w:lineRule="auto"/>
        <w:jc w:val="both"/>
        <w:rPr>
          <w:rFonts w:ascii="Verdana" w:eastAsia="Calibri" w:hAnsi="Verdana" w:cs="Arial"/>
          <w:lang w:val="es-ES" w:eastAsia="es-ES"/>
        </w:rPr>
      </w:pPr>
    </w:p>
    <w:p w14:paraId="62013B86" w14:textId="5718F05D"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6455660F" w14:textId="1FDA1AF3" w:rsidR="00871B59" w:rsidRPr="00B96799" w:rsidRDefault="003D160C"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Daniel Felipe Corredor Daza </w:t>
      </w:r>
    </w:p>
    <w:p w14:paraId="3B393A3F" w14:textId="56398571" w:rsidR="00871B59" w:rsidRPr="00B96799" w:rsidRDefault="008B399D" w:rsidP="00871B59">
      <w:pPr>
        <w:spacing w:after="0" w:line="240" w:lineRule="auto"/>
        <w:rPr>
          <w:rFonts w:ascii="Verdana" w:eastAsia="Calibri" w:hAnsi="Verdana" w:cs="Arial"/>
          <w:u w:val="single"/>
          <w:lang w:val="es-ES" w:eastAsia="es-ES"/>
        </w:rPr>
      </w:pPr>
      <w:hyperlink r:id="rId12" w:history="1">
        <w:r w:rsidR="003D160C" w:rsidRPr="00126A7A">
          <w:rPr>
            <w:rStyle w:val="Hipervnculo"/>
            <w:rFonts w:ascii="Verdana" w:eastAsia="Calibri" w:hAnsi="Verdana" w:cs="Arial"/>
            <w:lang w:val="es-ES" w:eastAsia="es-ES"/>
          </w:rPr>
          <w:t>d.corredor@grupoformarte.edu.co</w:t>
        </w:r>
      </w:hyperlink>
      <w:r w:rsidR="003D160C">
        <w:rPr>
          <w:rFonts w:ascii="Verdana" w:eastAsia="Calibri" w:hAnsi="Verdana" w:cs="Arial"/>
          <w:u w:val="single"/>
          <w:lang w:val="es-ES" w:eastAsia="es-ES"/>
        </w:rPr>
        <w:t xml:space="preserve"> </w:t>
      </w:r>
    </w:p>
    <w:p w14:paraId="1D7C52D6" w14:textId="032C0150" w:rsidR="00871B59" w:rsidRPr="00B96799" w:rsidRDefault="003D160C"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Bogotá, D.C </w:t>
      </w:r>
    </w:p>
    <w:p w14:paraId="4582AE50"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41661358"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947E58C" w14:textId="77777777" w:rsidTr="002607A7">
        <w:trPr>
          <w:trHeight w:val="884"/>
        </w:trPr>
        <w:tc>
          <w:tcPr>
            <w:tcW w:w="2689" w:type="dxa"/>
          </w:tcPr>
          <w:p w14:paraId="04010079" w14:textId="77777777" w:rsidR="00871B59" w:rsidRPr="0009428A" w:rsidRDefault="00871B59" w:rsidP="002607A7">
            <w:pPr>
              <w:jc w:val="both"/>
              <w:rPr>
                <w:rFonts w:ascii="Verdana" w:eastAsia="Calibri" w:hAnsi="Verdana" w:cs="Arial"/>
                <w:b/>
                <w:bCs/>
                <w:color w:val="000000" w:themeColor="text1"/>
                <w:lang w:val="es-ES_tradnl" w:eastAsia="es-ES_tradnl"/>
              </w:rPr>
            </w:pPr>
          </w:p>
        </w:tc>
        <w:tc>
          <w:tcPr>
            <w:tcW w:w="6100" w:type="dxa"/>
          </w:tcPr>
          <w:p w14:paraId="357BCBD8" w14:textId="26527A54" w:rsidR="00871B59" w:rsidRPr="0009428A" w:rsidRDefault="00871B59" w:rsidP="002607A7">
            <w:pPr>
              <w:jc w:val="both"/>
              <w:rPr>
                <w:rFonts w:ascii="Verdana" w:eastAsia="Calibri" w:hAnsi="Verdana" w:cs="Arial"/>
                <w:b/>
                <w:bCs/>
                <w:color w:val="000000" w:themeColor="text1"/>
                <w:lang w:val="es-ES" w:eastAsia="es-ES"/>
              </w:rPr>
            </w:pPr>
            <w:r w:rsidRPr="0009428A">
              <w:rPr>
                <w:rFonts w:ascii="Verdana" w:eastAsia="Calibri" w:hAnsi="Verdana" w:cs="Arial"/>
                <w:b/>
                <w:bCs/>
                <w:color w:val="000000" w:themeColor="text1"/>
                <w:lang w:val="es-ES" w:eastAsia="es-ES"/>
              </w:rPr>
              <w:t xml:space="preserve">Concepto C- </w:t>
            </w:r>
            <w:r w:rsidR="0009428A" w:rsidRPr="0009428A">
              <w:rPr>
                <w:rFonts w:ascii="Verdana" w:eastAsia="Calibri" w:hAnsi="Verdana" w:cs="Arial"/>
                <w:b/>
                <w:bCs/>
                <w:color w:val="000000" w:themeColor="text1"/>
                <w:lang w:val="es-ES" w:eastAsia="es-ES"/>
              </w:rPr>
              <w:t>1376</w:t>
            </w:r>
            <w:r w:rsidRPr="0009428A">
              <w:rPr>
                <w:rFonts w:ascii="Verdana" w:eastAsia="Calibri" w:hAnsi="Verdana" w:cs="Arial"/>
                <w:b/>
                <w:bCs/>
                <w:color w:val="000000" w:themeColor="text1"/>
                <w:lang w:val="es-ES" w:eastAsia="es-ES"/>
              </w:rPr>
              <w:t xml:space="preserve"> de </w:t>
            </w:r>
            <w:r w:rsidR="0009428A" w:rsidRPr="0009428A">
              <w:rPr>
                <w:rFonts w:ascii="Verdana" w:eastAsia="Calibri" w:hAnsi="Verdana" w:cs="Arial"/>
                <w:b/>
                <w:bCs/>
                <w:color w:val="000000" w:themeColor="text1"/>
                <w:lang w:val="es-ES" w:eastAsia="es-ES"/>
              </w:rPr>
              <w:t>2025</w:t>
            </w:r>
          </w:p>
        </w:tc>
      </w:tr>
      <w:tr w:rsidR="00871B59" w:rsidRPr="00593A5F" w14:paraId="5F0E9CBE" w14:textId="77777777" w:rsidTr="002607A7">
        <w:trPr>
          <w:trHeight w:val="884"/>
        </w:trPr>
        <w:tc>
          <w:tcPr>
            <w:tcW w:w="2689" w:type="dxa"/>
          </w:tcPr>
          <w:p w14:paraId="063E2206"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C8DC4E7" w14:textId="77777777" w:rsidR="00871B59" w:rsidRDefault="0090008C" w:rsidP="0090008C">
            <w:pPr>
              <w:spacing w:line="276" w:lineRule="auto"/>
              <w:jc w:val="both"/>
              <w:rPr>
                <w:rFonts w:ascii="Verdana" w:hAnsi="Verdana" w:cs="Arial"/>
                <w:lang w:eastAsia="es-CO"/>
              </w:rPr>
            </w:pPr>
            <w:r w:rsidRPr="007B4E49">
              <w:rPr>
                <w:rFonts w:ascii="Verdana" w:eastAsia="Calibri" w:hAnsi="Verdana" w:cs="Arial"/>
                <w:lang w:val="es-ES" w:eastAsia="es-ES"/>
              </w:rPr>
              <w:t>SUBSANABILIDAD – Aplicación – R</w:t>
            </w:r>
            <w:r w:rsidRPr="007B4E49">
              <w:rPr>
                <w:rFonts w:ascii="Verdana" w:eastAsia="Calibri" w:hAnsi="Verdana"/>
                <w:lang w:val="es-ES" w:eastAsia="es-ES"/>
              </w:rPr>
              <w:t>egla general</w:t>
            </w:r>
            <w:r w:rsidRPr="007B4E49">
              <w:rPr>
                <w:rFonts w:ascii="Verdana" w:eastAsia="Calibri" w:hAnsi="Verdana" w:cs="Arial"/>
                <w:lang w:val="es-ES" w:eastAsia="es-ES"/>
              </w:rPr>
              <w:t xml:space="preserve"> – Excepciones / SUBSANABILIDAD – Ley 1882 de 2018 / </w:t>
            </w:r>
            <w:r w:rsidRPr="007B4E49">
              <w:rPr>
                <w:rFonts w:ascii="Verdana" w:hAnsi="Verdana" w:cs="Arial"/>
                <w:lang w:eastAsia="es-CO"/>
              </w:rPr>
              <w:t>CAUSALES DE RECHAZO DE LAS OFERTAS – Origen – Límites en su configuración / CAUSALES DE RECHAZO – Procedencia</w:t>
            </w:r>
            <w:r>
              <w:rPr>
                <w:rFonts w:ascii="Verdana" w:hAnsi="Verdana" w:cs="Arial"/>
                <w:lang w:eastAsia="es-CO"/>
              </w:rPr>
              <w:t>.</w:t>
            </w:r>
          </w:p>
          <w:p w14:paraId="1A418817" w14:textId="2183AFEC" w:rsidR="0090008C" w:rsidRPr="00593A5F" w:rsidRDefault="0090008C" w:rsidP="0090008C">
            <w:pPr>
              <w:spacing w:line="276" w:lineRule="auto"/>
              <w:jc w:val="both"/>
              <w:rPr>
                <w:rFonts w:ascii="Verdana" w:eastAsia="Calibri" w:hAnsi="Verdana" w:cs="Arial"/>
                <w:lang w:val="es-ES" w:eastAsia="es-ES"/>
              </w:rPr>
            </w:pPr>
          </w:p>
        </w:tc>
      </w:tr>
      <w:tr w:rsidR="00871B59" w:rsidRPr="00593A5F" w14:paraId="0325C11D" w14:textId="77777777" w:rsidTr="003D160C">
        <w:trPr>
          <w:trHeight w:val="177"/>
        </w:trPr>
        <w:tc>
          <w:tcPr>
            <w:tcW w:w="2689" w:type="dxa"/>
          </w:tcPr>
          <w:p w14:paraId="4E9FFC50" w14:textId="77777777" w:rsidR="00871B59" w:rsidRPr="003D160C" w:rsidRDefault="00871B59" w:rsidP="002607A7">
            <w:pPr>
              <w:jc w:val="both"/>
              <w:rPr>
                <w:rFonts w:ascii="Verdana" w:eastAsia="Calibri" w:hAnsi="Verdana" w:cs="Arial"/>
                <w:b/>
                <w:color w:val="000000" w:themeColor="text1"/>
                <w:lang w:val="es-ES_tradnl" w:eastAsia="es-ES_tradnl"/>
              </w:rPr>
            </w:pPr>
            <w:r w:rsidRPr="003D160C">
              <w:rPr>
                <w:rFonts w:ascii="Verdana" w:eastAsia="Calibri" w:hAnsi="Verdana" w:cs="Arial"/>
                <w:b/>
                <w:color w:val="000000" w:themeColor="text1"/>
                <w:lang w:val="es-ES_tradnl" w:eastAsia="es-ES_tradnl"/>
              </w:rPr>
              <w:t>Radicación:</w:t>
            </w:r>
            <w:r w:rsidRPr="003D160C">
              <w:rPr>
                <w:rFonts w:ascii="Verdana" w:eastAsia="Calibri" w:hAnsi="Verdana" w:cs="Arial"/>
                <w:color w:val="000000" w:themeColor="text1"/>
                <w:lang w:val="es-ES_tradnl" w:eastAsia="es-ES_tradnl"/>
              </w:rPr>
              <w:t xml:space="preserve">               </w:t>
            </w:r>
          </w:p>
        </w:tc>
        <w:tc>
          <w:tcPr>
            <w:tcW w:w="6100" w:type="dxa"/>
          </w:tcPr>
          <w:p w14:paraId="6A9F7A5A" w14:textId="34DB8A41" w:rsidR="00871B59" w:rsidRPr="003D160C" w:rsidRDefault="00871B59" w:rsidP="002607A7">
            <w:pPr>
              <w:jc w:val="both"/>
              <w:rPr>
                <w:rFonts w:ascii="Verdana" w:eastAsia="Calibri" w:hAnsi="Verdana" w:cs="Arial"/>
                <w:color w:val="000000" w:themeColor="text1"/>
                <w:lang w:val="es-ES_tradnl" w:eastAsia="es-ES_tradnl"/>
              </w:rPr>
            </w:pPr>
            <w:r w:rsidRPr="003D160C">
              <w:rPr>
                <w:rFonts w:ascii="Verdana" w:eastAsia="Calibri" w:hAnsi="Verdana" w:cs="Arial"/>
                <w:color w:val="000000" w:themeColor="text1"/>
                <w:lang w:val="es-ES_tradnl" w:eastAsia="es-ES_tradnl"/>
              </w:rPr>
              <w:t>Respuesta a consulta con radicado No.</w:t>
            </w:r>
            <w:r w:rsidR="003D160C" w:rsidRPr="003D160C">
              <w:rPr>
                <w:rFonts w:ascii="Verdana" w:eastAsia="Calibri" w:hAnsi="Verdana" w:cs="Arial"/>
                <w:color w:val="000000" w:themeColor="text1"/>
                <w:lang w:val="es-ES_tradnl" w:eastAsia="es-ES_tradnl"/>
              </w:rPr>
              <w:t xml:space="preserve"> </w:t>
            </w:r>
            <w:r w:rsidR="003D160C" w:rsidRPr="003D160C">
              <w:rPr>
                <w:rFonts w:ascii="Segoe UI" w:hAnsi="Segoe UI" w:cs="Segoe UI"/>
                <w:color w:val="000000" w:themeColor="text1"/>
                <w:shd w:val="clear" w:color="auto" w:fill="FFFFFF"/>
              </w:rPr>
              <w:t>1_2025_09_24_010541</w:t>
            </w:r>
          </w:p>
        </w:tc>
      </w:tr>
    </w:tbl>
    <w:p w14:paraId="5A6E3705"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141B194"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604667C9" w14:textId="18F5B467" w:rsidR="00871B59" w:rsidRPr="003D160C" w:rsidRDefault="00871B59" w:rsidP="00871B59">
      <w:pPr>
        <w:spacing w:after="0" w:line="276" w:lineRule="auto"/>
        <w:jc w:val="both"/>
        <w:rPr>
          <w:rFonts w:ascii="Verdana" w:eastAsia="Calibri" w:hAnsi="Verdana" w:cs="Arial"/>
          <w:color w:val="000000" w:themeColor="text1"/>
          <w:lang w:val="es-ES" w:eastAsia="es-ES"/>
        </w:rPr>
      </w:pPr>
      <w:r w:rsidRPr="003D160C">
        <w:rPr>
          <w:rFonts w:ascii="Verdana" w:eastAsia="Calibri" w:hAnsi="Verdana" w:cs="Arial"/>
          <w:color w:val="000000" w:themeColor="text1"/>
          <w:lang w:val="es-ES" w:eastAsia="es-ES"/>
        </w:rPr>
        <w:t>Estimado señor</w:t>
      </w:r>
      <w:r w:rsidR="003D160C" w:rsidRPr="003D160C">
        <w:rPr>
          <w:rFonts w:ascii="Verdana" w:eastAsia="Calibri" w:hAnsi="Verdana" w:cs="Arial"/>
          <w:color w:val="000000" w:themeColor="text1"/>
          <w:lang w:val="es-ES" w:eastAsia="es-ES"/>
        </w:rPr>
        <w:t xml:space="preserve"> Corredor: </w:t>
      </w:r>
    </w:p>
    <w:p w14:paraId="08086EE0"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924D95" w14:textId="79CACA43"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fecha</w:t>
      </w:r>
      <w:r w:rsidR="003D160C">
        <w:rPr>
          <w:rFonts w:ascii="Verdana" w:eastAsia="Calibri" w:hAnsi="Verdana" w:cs="Arial"/>
          <w:color w:val="000000" w:themeColor="text1"/>
          <w:lang w:val="es-ES" w:eastAsia="es-ES"/>
        </w:rPr>
        <w:t xml:space="preserve"> 24</w:t>
      </w:r>
      <w:r w:rsidRPr="005233F3">
        <w:rPr>
          <w:rFonts w:ascii="Verdana" w:eastAsia="Calibri" w:hAnsi="Verdana" w:cs="Arial"/>
          <w:color w:val="7030A0"/>
          <w:lang w:val="es-ES" w:eastAsia="es-ES"/>
        </w:rPr>
        <w:t xml:space="preserve"> </w:t>
      </w:r>
      <w:r w:rsidRPr="00593A5F">
        <w:rPr>
          <w:rFonts w:ascii="Verdana" w:eastAsia="Calibri" w:hAnsi="Verdana" w:cs="Arial"/>
          <w:color w:val="000000" w:themeColor="text1"/>
          <w:lang w:val="es-ES" w:eastAsia="es-ES"/>
        </w:rPr>
        <w:t>de</w:t>
      </w:r>
      <w:r w:rsidR="003D160C">
        <w:rPr>
          <w:rFonts w:ascii="Verdana" w:eastAsia="Calibri" w:hAnsi="Verdana" w:cs="Arial"/>
          <w:color w:val="000000" w:themeColor="text1"/>
          <w:lang w:val="es-ES" w:eastAsia="es-ES"/>
        </w:rPr>
        <w:t xml:space="preserve">l septiembre de </w:t>
      </w:r>
      <w:r w:rsidR="003D160C" w:rsidRPr="003D160C">
        <w:rPr>
          <w:rFonts w:ascii="Verdana" w:eastAsia="Calibri" w:hAnsi="Verdana" w:cs="Arial"/>
          <w:color w:val="000000" w:themeColor="text1"/>
          <w:lang w:val="es-ES" w:eastAsia="es-ES"/>
        </w:rPr>
        <w:t>2025</w:t>
      </w:r>
      <w:r w:rsidRPr="003D160C">
        <w:rPr>
          <w:rFonts w:ascii="Verdana" w:eastAsia="Calibri" w:hAnsi="Verdana" w:cs="Arial"/>
          <w:color w:val="000000" w:themeColor="text1"/>
          <w:lang w:val="es-ES" w:eastAsia="es-ES"/>
        </w:rPr>
        <w:t>, en la cual manifiesta lo siguiente:</w:t>
      </w:r>
      <w:r w:rsidR="003D160C" w:rsidRPr="003D160C">
        <w:rPr>
          <w:rFonts w:ascii="Verdana" w:eastAsia="Calibri" w:hAnsi="Verdana" w:cs="Arial"/>
          <w:color w:val="000000" w:themeColor="text1"/>
          <w:lang w:val="es-ES" w:eastAsia="es-ES"/>
        </w:rPr>
        <w:t xml:space="preserve"> </w:t>
      </w:r>
    </w:p>
    <w:p w14:paraId="75B72E88" w14:textId="77777777" w:rsidR="00871B59" w:rsidRPr="003D160C" w:rsidRDefault="00871B59" w:rsidP="00871B59">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0F811CB5" w14:textId="0AB32223" w:rsidR="00871B59" w:rsidRPr="003D160C" w:rsidRDefault="00871B59" w:rsidP="00871B59">
      <w:pPr>
        <w:spacing w:after="0" w:line="240" w:lineRule="auto"/>
        <w:ind w:left="709" w:right="709"/>
        <w:jc w:val="both"/>
        <w:rPr>
          <w:rFonts w:ascii="Verdana" w:eastAsia="Century Gothic" w:hAnsi="Verdana" w:cs="Century Gothic"/>
          <w:color w:val="000000" w:themeColor="text1"/>
          <w:sz w:val="20"/>
          <w:szCs w:val="20"/>
          <w:lang w:val="es-ES"/>
        </w:rPr>
      </w:pPr>
      <w:bookmarkStart w:id="0" w:name="_Hlk95313578"/>
      <w:r w:rsidRPr="003D160C">
        <w:rPr>
          <w:rFonts w:ascii="Verdana" w:eastAsia="Century Gothic" w:hAnsi="Verdana" w:cs="Century Gothic"/>
          <w:color w:val="000000" w:themeColor="text1"/>
          <w:sz w:val="20"/>
          <w:szCs w:val="20"/>
          <w:lang w:val="es-ES"/>
        </w:rPr>
        <w:t>“</w:t>
      </w:r>
      <w:bookmarkEnd w:id="0"/>
      <w:r w:rsidR="003D160C" w:rsidRPr="003D160C">
        <w:rPr>
          <w:rFonts w:ascii="Verdana" w:eastAsia="Century Gothic" w:hAnsi="Verdana" w:cs="Century Gothic"/>
          <w:color w:val="000000" w:themeColor="text1"/>
          <w:sz w:val="20"/>
          <w:szCs w:val="20"/>
          <w:lang w:val="es-ES"/>
        </w:rPr>
        <w:t xml:space="preserve">Aplicamos a una licitación CONVOCATORIA PÚBLICA No. SAMC-0011-2025, pero nos indican que no adjuntamos 2 documentos habilitantes al momento de la postulación y que no es posible subsanar, por un error humano no se adjuntaron, queríamos confirmar si es viable adjuntarlos o cómo se puede proceder para que la licitación no se declare desierta?, así </w:t>
      </w:r>
      <w:r w:rsidR="003D160C" w:rsidRPr="003D160C">
        <w:rPr>
          <w:rFonts w:ascii="Verdana" w:eastAsia="Century Gothic" w:hAnsi="Verdana" w:cs="Century Gothic"/>
          <w:color w:val="000000" w:themeColor="text1"/>
          <w:sz w:val="20"/>
          <w:szCs w:val="20"/>
          <w:lang w:val="es-ES"/>
        </w:rPr>
        <w:lastRenderedPageBreak/>
        <w:t>mismo, ¿si hay una normatividad o articulo por parte de Colombia compra eficiente que mencione esta solicitud y permita subsanar el proceso?”</w:t>
      </w:r>
    </w:p>
    <w:p w14:paraId="6737049F"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4B942CB"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2444954" w14:textId="0716C950"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003D160C">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3D160C">
        <w:rPr>
          <w:rFonts w:ascii="Verdana" w:eastAsia="Calibri" w:hAnsi="Verdana" w:cs="Arial"/>
          <w:color w:val="000000"/>
          <w:lang w:val="es-ES" w:eastAsia="es-ES"/>
        </w:rPr>
        <w:t xml:space="preserve"> </w:t>
      </w:r>
    </w:p>
    <w:p w14:paraId="60BDDE5A"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6F07FD6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209263E4"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2B0EF021" w14:textId="25C7B19A" w:rsidR="00871B59" w:rsidRPr="0090008C" w:rsidRDefault="00871B59" w:rsidP="0090008C">
      <w:pPr>
        <w:pStyle w:val="NormalWeb"/>
        <w:jc w:val="both"/>
        <w:rPr>
          <w:rFonts w:ascii="Verdana" w:eastAsia="Times New Roman" w:hAnsi="Verdana"/>
          <w:sz w:val="22"/>
          <w:szCs w:val="22"/>
          <w:lang w:eastAsia="es-MX"/>
        </w:rPr>
      </w:pPr>
      <w:r w:rsidRPr="1F9252E4">
        <w:rPr>
          <w:rFonts w:ascii="Verdana" w:eastAsia="Century Gothic" w:hAnsi="Verdana" w:cs="Century Gothic"/>
        </w:rPr>
        <w:t xml:space="preserve">De acuerdo con el contenido de su solicitud, esta Agencia resolverá el siguiente problema jurídico: </w:t>
      </w:r>
      <w:r w:rsidR="005564C6" w:rsidRPr="000D3985">
        <w:rPr>
          <w:rFonts w:ascii="Verdana" w:eastAsia="Century Gothic" w:hAnsi="Verdana" w:cs="Century Gothic"/>
          <w:color w:val="000000" w:themeColor="text1"/>
          <w:sz w:val="22"/>
          <w:szCs w:val="22"/>
        </w:rPr>
        <w:t>¿</w:t>
      </w:r>
      <w:r w:rsidR="005564C6" w:rsidRPr="000D3985">
        <w:rPr>
          <w:rFonts w:ascii="Verdana" w:eastAsia="Times New Roman" w:hAnsi="Verdana"/>
          <w:color w:val="000000" w:themeColor="text1"/>
          <w:sz w:val="22"/>
          <w:szCs w:val="22"/>
          <w:lang w:eastAsia="es-MX"/>
        </w:rPr>
        <w:t>Es subsanable la "falta de entrega" u omisión de documentos habilitantes (que no otorgan puntaje) al momento de la postulación en un proceso de selección?</w:t>
      </w:r>
    </w:p>
    <w:p w14:paraId="771EF4B5" w14:textId="77777777" w:rsidR="00871B59" w:rsidRPr="00593A5F" w:rsidRDefault="00871B59" w:rsidP="00871B59">
      <w:pPr>
        <w:spacing w:after="0" w:line="276" w:lineRule="auto"/>
        <w:jc w:val="both"/>
        <w:rPr>
          <w:rFonts w:ascii="Verdana" w:eastAsia="Calibri" w:hAnsi="Verdana" w:cs="Arial"/>
          <w:color w:val="7030A0"/>
          <w:lang w:val="es-ES"/>
        </w:rPr>
      </w:pPr>
    </w:p>
    <w:p w14:paraId="799EB1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581E7EC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50B907C" w14:textId="77777777" w:rsidTr="002607A7">
        <w:tc>
          <w:tcPr>
            <w:tcW w:w="8828" w:type="dxa"/>
          </w:tcPr>
          <w:p w14:paraId="42AF5CFB" w14:textId="324B1FE5" w:rsidR="000D3985" w:rsidRDefault="0090008C" w:rsidP="0090008C">
            <w:pPr>
              <w:spacing w:after="120" w:line="276" w:lineRule="auto"/>
              <w:jc w:val="both"/>
              <w:rPr>
                <w:rFonts w:ascii="Verdana" w:eastAsia="Times New Roman" w:hAnsi="Verdana"/>
                <w:lang w:eastAsia="es-MX"/>
              </w:rPr>
            </w:pPr>
            <w:r>
              <w:rPr>
                <w:rFonts w:ascii="Verdana" w:eastAsia="Times New Roman" w:hAnsi="Verdana" w:cs="Arial"/>
                <w:lang w:val="es-ES" w:eastAsia="es-ES"/>
              </w:rPr>
              <w:t>R</w:t>
            </w:r>
            <w:r w:rsidR="000D3985" w:rsidRPr="005564C6">
              <w:rPr>
                <w:rFonts w:ascii="Verdana" w:eastAsia="Times New Roman" w:hAnsi="Verdana" w:cs="Arial"/>
                <w:lang w:val="es-ES" w:eastAsia="es-ES"/>
              </w:rPr>
              <w:t xml:space="preserve">emitiéndonos al objeto de la consulta en particular se tiene que </w:t>
            </w:r>
            <w:r w:rsidR="000D3985" w:rsidRPr="005564C6">
              <w:rPr>
                <w:rFonts w:ascii="Verdana" w:eastAsia="Times New Roman" w:hAnsi="Verdana"/>
                <w:lang w:eastAsia="es-MX"/>
              </w:rPr>
              <w:t xml:space="preserve">La interpretación de la normativa actual, especialmente tras la expedición de la Ley 1882 de 2018, ha clarificado el alcance de la </w:t>
            </w:r>
            <w:proofErr w:type="spellStart"/>
            <w:r w:rsidR="000D3985" w:rsidRPr="005564C6">
              <w:rPr>
                <w:rFonts w:ascii="Verdana" w:eastAsia="Times New Roman" w:hAnsi="Verdana"/>
                <w:lang w:eastAsia="es-MX"/>
              </w:rPr>
              <w:t>subsanabilidad</w:t>
            </w:r>
            <w:proofErr w:type="spellEnd"/>
            <w:r w:rsidR="000D3985" w:rsidRPr="005564C6">
              <w:rPr>
                <w:rFonts w:ascii="Verdana" w:eastAsia="Times New Roman" w:hAnsi="Verdana"/>
                <w:lang w:eastAsia="es-MX"/>
              </w:rPr>
              <w:t xml:space="preserve">. </w:t>
            </w:r>
            <w:r w:rsidR="000D3985" w:rsidRPr="005564C6">
              <w:rPr>
                <w:rFonts w:ascii="Verdana" w:eastAsia="Times New Roman" w:hAnsi="Verdana" w:cs="Times New Roman"/>
                <w:lang w:eastAsia="es-MX"/>
              </w:rPr>
              <w:t xml:space="preserve">La regla de </w:t>
            </w:r>
            <w:r w:rsidR="000D3985" w:rsidRPr="005564C6">
              <w:rPr>
                <w:rFonts w:ascii="Verdana" w:eastAsia="Times New Roman" w:hAnsi="Verdana" w:cs="Times New Roman"/>
                <w:lang w:eastAsia="es-MX"/>
              </w:rPr>
              <w:lastRenderedPageBreak/>
              <w:t xml:space="preserve">la </w:t>
            </w:r>
            <w:proofErr w:type="spellStart"/>
            <w:r w:rsidR="000D3985" w:rsidRPr="005564C6">
              <w:rPr>
                <w:rFonts w:ascii="Verdana" w:eastAsia="Times New Roman" w:hAnsi="Verdana" w:cs="Times New Roman"/>
                <w:lang w:eastAsia="es-MX"/>
              </w:rPr>
              <w:t>subsanabilidad</w:t>
            </w:r>
            <w:proofErr w:type="spellEnd"/>
            <w:r w:rsidR="000D3985" w:rsidRPr="005564C6">
              <w:rPr>
                <w:rFonts w:ascii="Verdana" w:eastAsia="Times New Roman" w:hAnsi="Verdana" w:cs="Times New Roman"/>
                <w:lang w:eastAsia="es-MX"/>
              </w:rPr>
              <w:t xml:space="preserve"> de las ofertas en los procedimientos de selección indica que, por regla general, la falta de entrega y los defectos en la acreditación de los requisitos habilitantes son aspectos subsanables</w:t>
            </w:r>
            <w:r w:rsidR="000D3985" w:rsidRPr="005564C6">
              <w:rPr>
                <w:rFonts w:ascii="Verdana" w:eastAsia="Times New Roman" w:hAnsi="Verdana"/>
                <w:lang w:eastAsia="es-MX"/>
              </w:rPr>
              <w:t>.</w:t>
            </w:r>
            <w:r w:rsidR="000D3985">
              <w:rPr>
                <w:rFonts w:ascii="Verdana" w:eastAsia="Times New Roman" w:hAnsi="Verdana"/>
                <w:lang w:eastAsia="es-MX"/>
              </w:rPr>
              <w:t xml:space="preserve"> </w:t>
            </w:r>
          </w:p>
          <w:p w14:paraId="5C8ED024" w14:textId="77777777" w:rsidR="000D3985" w:rsidRDefault="000D3985" w:rsidP="000D3985">
            <w:pPr>
              <w:spacing w:after="120" w:line="276" w:lineRule="auto"/>
              <w:ind w:firstLine="709"/>
              <w:jc w:val="both"/>
              <w:rPr>
                <w:rFonts w:ascii="Verdana" w:eastAsia="Times New Roman" w:hAnsi="Verdana" w:cs="Times New Roman"/>
                <w:lang w:eastAsia="es-MX"/>
              </w:rPr>
            </w:pPr>
            <w:r w:rsidRPr="005564C6">
              <w:rPr>
                <w:rFonts w:ascii="Verdana" w:eastAsia="Times New Roman" w:hAnsi="Verdana"/>
                <w:lang w:eastAsia="es-MX"/>
              </w:rPr>
              <w:t>La Ley 1882 de 2018 modificó el Parágrafo 1° del Artículo 5 de la Ley 1150 de 2007. Dicho parágrafo establece la obligación de la Entidad Estatal de solicitar los documentos faltantes que no impacten la evaluación:</w:t>
            </w:r>
            <w:r>
              <w:rPr>
                <w:rFonts w:ascii="Verdana" w:eastAsia="Times New Roman" w:hAnsi="Verdana"/>
                <w:lang w:eastAsia="es-MX"/>
              </w:rPr>
              <w:t xml:space="preserve"> </w:t>
            </w:r>
            <w:r w:rsidRPr="005564C6">
              <w:rPr>
                <w:rFonts w:ascii="Verdana" w:eastAsia="Times New Roman" w:hAnsi="Verdana" w:cs="Times New Roman"/>
                <w:lang w:eastAsia="es-MX"/>
              </w:rPr>
              <w:t>"En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p>
          <w:p w14:paraId="6DD3CF70" w14:textId="77777777" w:rsidR="000D3985" w:rsidRDefault="000D3985" w:rsidP="000D3985">
            <w:pPr>
              <w:spacing w:after="120" w:line="276" w:lineRule="auto"/>
              <w:ind w:firstLine="709"/>
              <w:jc w:val="both"/>
              <w:rPr>
                <w:rFonts w:ascii="Verdana" w:eastAsia="Times New Roman" w:hAnsi="Verdana" w:cs="Times New Roman"/>
                <w:lang w:eastAsia="es-MX"/>
              </w:rPr>
            </w:pPr>
            <w:r w:rsidRPr="005564C6">
              <w:rPr>
                <w:rFonts w:ascii="Verdana" w:eastAsia="Times New Roman" w:hAnsi="Verdana" w:cs="Times New Roman"/>
                <w:lang w:eastAsia="es-MX"/>
              </w:rPr>
              <w:t xml:space="preserve">Los requisitos habilitantes (capacidad jurídica, financiera, organizacional y experiencia) son, por definición, objeto de "verificación de cumplimiento" y no otorgan puntaje. Por lo tanto, su omisión en la entrega inicial se enmarca dentro de la regla general de </w:t>
            </w:r>
            <w:proofErr w:type="spellStart"/>
            <w:r w:rsidRPr="005564C6">
              <w:rPr>
                <w:rFonts w:ascii="Verdana" w:eastAsia="Times New Roman" w:hAnsi="Verdana" w:cs="Times New Roman"/>
                <w:lang w:eastAsia="es-MX"/>
              </w:rPr>
              <w:t>subsanabilidad</w:t>
            </w:r>
            <w:proofErr w:type="spellEnd"/>
            <w:r w:rsidRPr="005564C6">
              <w:rPr>
                <w:rFonts w:ascii="Verdana" w:eastAsia="Times New Roman" w:hAnsi="Verdana" w:cs="Times New Roman"/>
                <w:lang w:eastAsia="es-MX"/>
              </w:rPr>
              <w:t xml:space="preserve">, No obstante, </w:t>
            </w:r>
            <w:r w:rsidRPr="005564C6">
              <w:rPr>
                <w:rFonts w:ascii="Verdana" w:eastAsia="Times New Roman" w:hAnsi="Verdana"/>
                <w:lang w:eastAsia="es-MX"/>
              </w:rPr>
              <w:t>la ley establece excepciones claras</w:t>
            </w:r>
            <w:r>
              <w:rPr>
                <w:rFonts w:ascii="Verdana" w:eastAsia="Times New Roman" w:hAnsi="Verdana"/>
                <w:lang w:eastAsia="es-MX"/>
              </w:rPr>
              <w:t>, en donde N</w:t>
            </w:r>
            <w:r w:rsidRPr="005564C6">
              <w:rPr>
                <w:rFonts w:ascii="Verdana" w:eastAsia="Times New Roman" w:hAnsi="Verdana"/>
                <w:lang w:eastAsia="es-MX"/>
              </w:rPr>
              <w:t xml:space="preserve">o </w:t>
            </w:r>
            <w:r>
              <w:rPr>
                <w:rFonts w:ascii="Verdana" w:eastAsia="Times New Roman" w:hAnsi="Verdana"/>
                <w:lang w:eastAsia="es-MX"/>
              </w:rPr>
              <w:t xml:space="preserve">es permitido </w:t>
            </w:r>
            <w:r w:rsidRPr="005564C6">
              <w:rPr>
                <w:rFonts w:ascii="Verdana" w:eastAsia="Times New Roman" w:hAnsi="Verdana"/>
                <w:lang w:eastAsia="es-MX"/>
              </w:rPr>
              <w:t xml:space="preserve">subsanar: i) </w:t>
            </w:r>
            <w:r>
              <w:rPr>
                <w:rFonts w:ascii="Verdana" w:eastAsia="Times New Roman" w:hAnsi="Verdana"/>
                <w:lang w:eastAsia="es-MX"/>
              </w:rPr>
              <w:t xml:space="preserve">En </w:t>
            </w:r>
            <w:r>
              <w:rPr>
                <w:rFonts w:ascii="Verdana" w:eastAsia="Times New Roman" w:hAnsi="Verdana" w:cs="Times New Roman"/>
                <w:lang w:eastAsia="es-MX"/>
              </w:rPr>
              <w:t>a</w:t>
            </w:r>
            <w:r w:rsidRPr="005564C6">
              <w:rPr>
                <w:rFonts w:ascii="Verdana" w:eastAsia="Times New Roman" w:hAnsi="Verdana" w:cs="Times New Roman"/>
                <w:lang w:eastAsia="es-MX"/>
              </w:rPr>
              <w:t>spectos que otorgan puntaje.</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no entrega de la garantía de seriedad junto con la propuesta.</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acreditación de "circunstancias ocurridas con posterioridad al cierre del proceso"</w:t>
            </w:r>
            <w:r>
              <w:rPr>
                <w:rFonts w:ascii="Verdana" w:eastAsia="Times New Roman" w:hAnsi="Verdana" w:cs="Times New Roman"/>
                <w:lang w:eastAsia="es-MX"/>
              </w:rPr>
              <w:t>.</w:t>
            </w:r>
          </w:p>
          <w:p w14:paraId="71C9FE23" w14:textId="77777777" w:rsidR="000D3985" w:rsidRDefault="000D3985" w:rsidP="000D3985">
            <w:pPr>
              <w:spacing w:after="120" w:line="276" w:lineRule="auto"/>
              <w:ind w:firstLine="709"/>
              <w:jc w:val="both"/>
              <w:rPr>
                <w:rFonts w:ascii="Verdana" w:hAnsi="Verdana"/>
              </w:rPr>
            </w:pPr>
            <w:r>
              <w:rPr>
                <w:rFonts w:ascii="Verdana" w:eastAsia="Times New Roman" w:hAnsi="Verdana" w:cs="Times New Roman"/>
                <w:lang w:eastAsia="es-MX"/>
              </w:rPr>
              <w:t>Frente al tercer ítem</w:t>
            </w:r>
            <w:r w:rsidRPr="006B46BB">
              <w:rPr>
                <w:rFonts w:ascii="Verdana" w:eastAsia="Times New Roman" w:hAnsi="Verdana" w:cs="Times New Roman"/>
                <w:lang w:eastAsia="es-MX"/>
              </w:rPr>
              <w:t xml:space="preserve">, la ley prohíbe que un proponente intente cumplir </w:t>
            </w:r>
            <w:r w:rsidRPr="006B46BB">
              <w:rPr>
                <w:rFonts w:ascii="Verdana" w:eastAsia="Times New Roman" w:hAnsi="Verdana" w:cs="Times New Roman"/>
                <w:i/>
                <w:iCs/>
                <w:lang w:eastAsia="es-MX"/>
              </w:rPr>
              <w:t>después</w:t>
            </w:r>
            <w:r w:rsidRPr="006B46BB">
              <w:rPr>
                <w:rFonts w:ascii="Verdana" w:eastAsia="Times New Roman" w:hAnsi="Verdana" w:cs="Times New Roman"/>
                <w:lang w:eastAsia="es-MX"/>
              </w:rPr>
              <w:t xml:space="preserve"> del cierre un requisito que no cumplía </w:t>
            </w:r>
            <w:r w:rsidRPr="006B46BB">
              <w:rPr>
                <w:rFonts w:ascii="Verdana" w:eastAsia="Times New Roman" w:hAnsi="Verdana" w:cs="Times New Roman"/>
                <w:i/>
                <w:iCs/>
                <w:lang w:eastAsia="es-MX"/>
              </w:rPr>
              <w:t>antes</w:t>
            </w:r>
            <w:r w:rsidRPr="006B46BB">
              <w:rPr>
                <w:rFonts w:ascii="Verdana" w:eastAsia="Times New Roman" w:hAnsi="Verdana" w:cs="Times New Roman"/>
                <w:lang w:eastAsia="es-MX"/>
              </w:rPr>
              <w:t xml:space="preserve">. Sin embargo, se debe distinguir entre el "requisito" y la "prueba". Lo que prohíbe la norma es que el </w:t>
            </w:r>
            <w:r w:rsidRPr="006B46BB">
              <w:rPr>
                <w:rFonts w:ascii="Verdana" w:eastAsia="Times New Roman" w:hAnsi="Verdana" w:cs="Times New Roman"/>
                <w:i/>
                <w:iCs/>
                <w:lang w:eastAsia="es-MX"/>
              </w:rPr>
              <w:t>hecho</w:t>
            </w:r>
            <w:r w:rsidRPr="006B46BB">
              <w:rPr>
                <w:rFonts w:ascii="Verdana" w:eastAsia="Times New Roman" w:hAnsi="Verdana" w:cs="Times New Roman"/>
                <w:lang w:eastAsia="es-MX"/>
              </w:rPr>
              <w:t xml:space="preserve"> (la experiencia, la capacidad financiera, etc.) sea posterior al cierre.</w:t>
            </w:r>
            <w:r w:rsidRPr="000D3985">
              <w:rPr>
                <w:rFonts w:ascii="Verdana" w:eastAsia="Times New Roman" w:hAnsi="Verdana" w:cs="Times New Roman"/>
                <w:lang w:eastAsia="es-MX"/>
              </w:rPr>
              <w:t xml:space="preserve"> </w:t>
            </w:r>
            <w:r w:rsidRPr="006B46BB">
              <w:rPr>
                <w:rFonts w:ascii="Verdana" w:eastAsia="Times New Roman" w:hAnsi="Verdana" w:cs="Times New Roman"/>
                <w:lang w:eastAsia="es-MX"/>
              </w:rPr>
              <w:t xml:space="preserve">La </w:t>
            </w:r>
            <w:r w:rsidRPr="006B46BB">
              <w:rPr>
                <w:rFonts w:ascii="Verdana" w:eastAsia="Times New Roman" w:hAnsi="Verdana" w:cs="Times New Roman"/>
                <w:i/>
                <w:iCs/>
                <w:lang w:eastAsia="es-MX"/>
              </w:rPr>
              <w:t>prueba</w:t>
            </w:r>
            <w:r w:rsidRPr="006B46BB">
              <w:rPr>
                <w:rFonts w:ascii="Verdana" w:eastAsia="Times New Roman" w:hAnsi="Verdana" w:cs="Times New Roman"/>
                <w:lang w:eastAsia="es-MX"/>
              </w:rPr>
              <w:t xml:space="preserve"> (el documento) sí puede estar fechada con posterioridad al vencimiento, siempre y cuando acredite un hecho que ya había ocurrido </w:t>
            </w:r>
            <w:r w:rsidRPr="006B46BB">
              <w:rPr>
                <w:rFonts w:ascii="Verdana" w:eastAsia="Times New Roman" w:hAnsi="Verdana" w:cs="Times New Roman"/>
                <w:i/>
                <w:iCs/>
                <w:lang w:eastAsia="es-MX"/>
              </w:rPr>
              <w:t>antes</w:t>
            </w:r>
            <w:r w:rsidRPr="006B46BB">
              <w:rPr>
                <w:rFonts w:ascii="Verdana" w:eastAsia="Times New Roman" w:hAnsi="Verdana" w:cs="Times New Roman"/>
                <w:lang w:eastAsia="es-MX"/>
              </w:rPr>
              <w:t xml:space="preserve"> del cierre del proceso. </w:t>
            </w:r>
            <w:r w:rsidRPr="000D3985">
              <w:rPr>
                <w:rFonts w:ascii="Verdana" w:eastAsia="Times New Roman" w:hAnsi="Verdana" w:cs="Times New Roman"/>
                <w:lang w:eastAsia="es-MX"/>
              </w:rPr>
              <w:t xml:space="preserve">Finalmente, es importante aclarar que las entidades también pueden establecer a través del pliego de condiciones </w:t>
            </w:r>
            <w:r w:rsidRPr="000D3985">
              <w:rPr>
                <w:rFonts w:ascii="Verdana" w:hAnsi="Verdana"/>
              </w:rPr>
              <w:t xml:space="preserve">causales de rechazo, no obstante están no pueden versar sobre aspectos meramente formales. </w:t>
            </w:r>
          </w:p>
          <w:p w14:paraId="6D2767B1" w14:textId="77777777" w:rsidR="000D3985" w:rsidRDefault="000D3985" w:rsidP="000D3985">
            <w:pPr>
              <w:spacing w:after="120" w:line="276" w:lineRule="auto"/>
              <w:ind w:firstLine="709"/>
              <w:jc w:val="both"/>
              <w:rPr>
                <w:rFonts w:ascii="Verdana" w:hAnsi="Verdana"/>
              </w:rPr>
            </w:pPr>
            <w:r w:rsidRPr="000D3985">
              <w:rPr>
                <w:rFonts w:ascii="Verdana" w:hAnsi="Verdana"/>
              </w:rPr>
              <w:t xml:space="preserve">Así las cosas, </w:t>
            </w:r>
            <w:r w:rsidRPr="000D3985">
              <w:rPr>
                <w:rFonts w:ascii="Verdana" w:eastAsia="Times New Roman" w:hAnsi="Verdana"/>
                <w:lang w:eastAsia="es-MX"/>
              </w:rPr>
              <w:t xml:space="preserve">la "falta de entrega" (omisión) de documentos habilitantes —aquellos que no otorgan puntaje, es un evento subsanable. </w:t>
            </w:r>
            <w:r w:rsidRPr="00715989">
              <w:rPr>
                <w:rFonts w:ascii="Verdana" w:eastAsia="Times New Roman" w:hAnsi="Verdana" w:cs="Times New Roman"/>
                <w:lang w:eastAsia="es-MX"/>
              </w:rPr>
              <w:t xml:space="preserve">La Entidad Estatal tiene el deber de solicitar dichos documentos al proponente, y el proponente tiene el derecho de entregarlos hasta el término de traslado del </w:t>
            </w:r>
            <w:r w:rsidRPr="00715989">
              <w:rPr>
                <w:rFonts w:ascii="Verdana" w:eastAsia="Times New Roman" w:hAnsi="Verdana" w:cs="Times New Roman"/>
                <w:lang w:eastAsia="es-MX"/>
              </w:rPr>
              <w:lastRenderedPageBreak/>
              <w:t xml:space="preserve">informe de evaluación , siempre y cuando dichos documentos acrediten el cumplimiento de los requisitos en un momento </w:t>
            </w:r>
            <w:r w:rsidRPr="00715989">
              <w:rPr>
                <w:rFonts w:ascii="Verdana" w:eastAsia="Times New Roman" w:hAnsi="Verdana" w:cs="Times New Roman"/>
                <w:i/>
                <w:iCs/>
                <w:lang w:eastAsia="es-MX"/>
              </w:rPr>
              <w:t>anterior</w:t>
            </w:r>
            <w:r w:rsidRPr="00715989">
              <w:rPr>
                <w:rFonts w:ascii="Verdana" w:eastAsia="Times New Roman" w:hAnsi="Verdana" w:cs="Times New Roman"/>
                <w:lang w:eastAsia="es-MX"/>
              </w:rPr>
              <w:t xml:space="preserve"> al cierre del proceso.</w:t>
            </w:r>
          </w:p>
          <w:p w14:paraId="24F2E36D" w14:textId="33E2BAB5" w:rsidR="00871B59" w:rsidRPr="0090008C" w:rsidRDefault="000D3985" w:rsidP="0090008C">
            <w:pPr>
              <w:spacing w:after="120" w:line="276" w:lineRule="auto"/>
              <w:ind w:firstLine="709"/>
              <w:jc w:val="both"/>
              <w:rPr>
                <w:rFonts w:ascii="Verdana" w:hAnsi="Verdana"/>
              </w:rPr>
            </w:pPr>
            <w:r w:rsidRPr="000D3985">
              <w:rPr>
                <w:rFonts w:ascii="Verdana" w:eastAsia="Times New Roman" w:hAnsi="Verdana" w:cs="Times New Roman"/>
                <w:lang w:eastAsia="es-MX"/>
              </w:rPr>
              <w:t xml:space="preserve">Finalmente, </w:t>
            </w:r>
            <w:r w:rsidRPr="00715989">
              <w:rPr>
                <w:rFonts w:ascii="Verdana" w:eastAsia="Times New Roman" w:hAnsi="Verdana" w:cs="Times New Roman"/>
                <w:lang w:eastAsia="es-MX"/>
              </w:rPr>
              <w:t>el análisis sobre la subsanación o el rechazo de las ofertas al interior de un procedimiento de selección debe ser realizado por la Entidad Estatal en el caso concreto. Las afirmaciones aquí realizadas no pueden ser interpretadas como juicios de valor sobre circunstancias concretas</w:t>
            </w:r>
            <w:r w:rsidR="0090008C">
              <w:rPr>
                <w:rFonts w:ascii="Verdana" w:eastAsia="Times New Roman" w:hAnsi="Verdana" w:cs="Times New Roman"/>
                <w:lang w:eastAsia="es-MX"/>
              </w:rPr>
              <w:t xml:space="preserve">. </w:t>
            </w:r>
          </w:p>
        </w:tc>
      </w:tr>
    </w:tbl>
    <w:p w14:paraId="77B2AE40"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1CD3B8D9"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01673062" w14:textId="77777777" w:rsidR="00871B59" w:rsidRPr="00593A5F" w:rsidRDefault="00871B59" w:rsidP="00871B59">
      <w:pPr>
        <w:spacing w:after="0" w:line="276" w:lineRule="auto"/>
        <w:jc w:val="both"/>
        <w:rPr>
          <w:rFonts w:ascii="Verdana" w:eastAsia="Calibri" w:hAnsi="Verdana" w:cs="Arial"/>
          <w:color w:val="7030A0"/>
          <w:lang w:val="es-ES"/>
        </w:rPr>
      </w:pPr>
    </w:p>
    <w:p w14:paraId="6EB7C104" w14:textId="77777777"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0AA8F4D" w14:textId="77777777" w:rsidR="005564C6" w:rsidRDefault="005564C6" w:rsidP="005564C6">
      <w:pPr>
        <w:spacing w:after="120" w:line="276" w:lineRule="auto"/>
        <w:jc w:val="both"/>
        <w:rPr>
          <w:rFonts w:ascii="Verdana" w:eastAsia="Calibri" w:hAnsi="Verdana" w:cs="Arial"/>
          <w:lang w:val="es-ES"/>
        </w:rPr>
      </w:pPr>
    </w:p>
    <w:p w14:paraId="32B86615" w14:textId="56D2D10C" w:rsidR="005564C6" w:rsidRPr="0055341A" w:rsidDel="004D5F83" w:rsidRDefault="005564C6" w:rsidP="005564C6">
      <w:pPr>
        <w:spacing w:after="120" w:line="276" w:lineRule="auto"/>
        <w:jc w:val="both"/>
        <w:rPr>
          <w:rFonts w:ascii="Verdana" w:eastAsia="Times New Roman" w:hAnsi="Verdana" w:cs="Arial"/>
          <w:lang w:val="es-ES" w:eastAsia="es-ES"/>
        </w:rPr>
      </w:pP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6730FF9B" w14:textId="77777777" w:rsidR="005564C6" w:rsidDel="00A05D54" w:rsidRDefault="005564C6" w:rsidP="005564C6">
      <w:pPr>
        <w:spacing w:after="120" w:line="276" w:lineRule="auto"/>
        <w:ind w:firstLine="709"/>
        <w:jc w:val="both"/>
        <w:rPr>
          <w:rFonts w:ascii="Verdana" w:eastAsia="Times New Roman" w:hAnsi="Verdana" w:cs="Arial"/>
          <w:lang w:val="es-ES" w:eastAsia="es-CO"/>
        </w:rPr>
      </w:pPr>
      <w:r w:rsidRPr="37C57DE6">
        <w:rPr>
          <w:rFonts w:ascii="Verdana" w:eastAsia="Times New Roman" w:hAnsi="Verdana" w:cs="Arial"/>
          <w:lang w:val="es-ES" w:eastAsia="es-ES"/>
        </w:rPr>
        <w:t>La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 w:eastAsia="es-ES"/>
        </w:rPr>
        <w:t xml:space="preserve"> la Ley </w:t>
      </w:r>
      <w:r w:rsidRPr="3F2B4452">
        <w:rPr>
          <w:rFonts w:ascii="Verdana" w:eastAsia="Times New Roman" w:hAnsi="Verdana" w:cs="Arial"/>
          <w:lang w:val="es-ES"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5DCABE30" w14:textId="77777777" w:rsidR="005564C6" w:rsidRPr="00556BC7" w:rsidRDefault="005564C6" w:rsidP="005564C6">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t>“</w:t>
      </w:r>
      <w:r w:rsidRPr="00556BC7">
        <w:rPr>
          <w:rFonts w:ascii="Verdana" w:eastAsia="Times New Roman" w:hAnsi="Verdana" w:cs="Arial"/>
          <w:sz w:val="20"/>
          <w:szCs w:val="20"/>
          <w:lang w:val="es-ES_tradnl" w:eastAsia="es-CO"/>
        </w:rPr>
        <w:t xml:space="preserve">Artículo 5°. De la selección objetiva. </w:t>
      </w:r>
    </w:p>
    <w:p w14:paraId="45EF3252" w14:textId="77777777" w:rsidR="005564C6" w:rsidRDefault="005564C6" w:rsidP="005564C6">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046A4970"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556BC7">
        <w:rPr>
          <w:rStyle w:val="eop"/>
          <w:rFonts w:ascii="Verdana" w:hAnsi="Verdana" w:cs="Arial"/>
          <w:color w:val="000000"/>
          <w:sz w:val="20"/>
          <w:szCs w:val="20"/>
        </w:rPr>
        <w:t> </w:t>
      </w:r>
    </w:p>
    <w:p w14:paraId="7C8FF266"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39533368"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lastRenderedPageBreak/>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47E7FC77"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9CD3959"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411DD630"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p>
    <w:p w14:paraId="30AEB486"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39503E4A"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p>
    <w:p w14:paraId="56726CE8"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7EC8D9D1"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p>
    <w:p w14:paraId="7A592973"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49980AA7"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p>
    <w:p w14:paraId="68DD7578"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12F05D67"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A3C05F8"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4. En los procesos para la selección de consultores se hará uso de factores de calificación destinados a valorar los aspectos técnicos de la oferta o proyecto. De conformidad con las condiciones que señale el reglamento, </w:t>
      </w:r>
      <w:r w:rsidRPr="00556BC7">
        <w:rPr>
          <w:rStyle w:val="normaltextrun"/>
          <w:rFonts w:ascii="Verdana" w:hAnsi="Verdana" w:cs="Arial"/>
          <w:color w:val="000000"/>
          <w:sz w:val="20"/>
          <w:szCs w:val="20"/>
          <w:lang w:val="es-ES"/>
        </w:rPr>
        <w:lastRenderedPageBreak/>
        <w:t>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5BBDD4DB"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C9BC6A1"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1F1FC5A3"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0EDCC11"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r w:rsidRPr="00556BC7">
        <w:rPr>
          <w:rStyle w:val="normaltextrun"/>
          <w:rFonts w:ascii="Verdana" w:hAnsi="Verdana" w:cs="Arial"/>
          <w:color w:val="000000"/>
          <w:sz w:val="20"/>
          <w:szCs w:val="20"/>
          <w:lang w:val="es-ES"/>
        </w:rPr>
        <w:t xml:space="preserve">, salvo lo dispuesto para el proceso de Mínima cuantía y para el proceso de selección a través del sistema de subasta. </w:t>
      </w:r>
      <w:r w:rsidRPr="005009EC">
        <w:rPr>
          <w:rStyle w:val="normaltextrun"/>
          <w:rFonts w:ascii="Verdana" w:hAnsi="Verdana" w:cs="Arial"/>
          <w:color w:val="000000"/>
          <w:sz w:val="20"/>
          <w:szCs w:val="20"/>
          <w:u w:val="single"/>
          <w:lang w:val="es-ES"/>
        </w:rPr>
        <w:t>Serán rechazadas las ofertas de aquellos proponentes que no suministren la información y la documentación solicitada por la entidad estatal hasta el plazo anteriormente señalado.</w:t>
      </w:r>
      <w:r w:rsidRPr="005009EC">
        <w:rPr>
          <w:rStyle w:val="eop"/>
          <w:rFonts w:ascii="Verdana" w:hAnsi="Verdana" w:cs="Arial"/>
          <w:color w:val="000000"/>
          <w:sz w:val="20"/>
          <w:szCs w:val="20"/>
          <w:u w:val="single"/>
        </w:rPr>
        <w:t> </w:t>
      </w:r>
    </w:p>
    <w:p w14:paraId="5DBA7773"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585575C"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7775436E"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68A8B916"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2BD17103"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CE948C6" w14:textId="77777777" w:rsidR="005564C6" w:rsidRPr="005009EC" w:rsidRDefault="005564C6" w:rsidP="005564C6">
      <w:pPr>
        <w:pStyle w:val="paragraph"/>
        <w:spacing w:before="0" w:beforeAutospacing="0" w:after="0" w:afterAutospacing="0"/>
        <w:ind w:left="709" w:right="709"/>
        <w:jc w:val="both"/>
        <w:textAlignment w:val="baseline"/>
        <w:rPr>
          <w:rFonts w:ascii="Verdana" w:hAnsi="Verdana" w:cs="Segoe UI"/>
          <w:sz w:val="20"/>
          <w:szCs w:val="20"/>
          <w:u w:val="single"/>
        </w:rPr>
      </w:pPr>
      <w:r w:rsidRPr="005009EC">
        <w:rPr>
          <w:rStyle w:val="normaltextrun"/>
          <w:rFonts w:ascii="Verdana" w:hAnsi="Verdana" w:cs="Arial"/>
          <w:color w:val="000000"/>
          <w:sz w:val="20"/>
          <w:szCs w:val="20"/>
          <w:u w:val="single"/>
          <w:lang w:val="es-ES"/>
        </w:rPr>
        <w:t>PARÁGRAFO 3o. &lt;Parágrafo adicionado por el artículo 5 de la Ley 1882 de 2018. El nuevo texto es el siguiente:&gt; La no entrega de la garantía de seriedad junto con la propuesta no será subsanable y será causal de rechazo de la misma.</w:t>
      </w:r>
      <w:r w:rsidRPr="005009EC">
        <w:rPr>
          <w:rStyle w:val="eop"/>
          <w:rFonts w:ascii="Verdana" w:hAnsi="Verdana" w:cs="Arial"/>
          <w:color w:val="000000"/>
          <w:sz w:val="20"/>
          <w:szCs w:val="20"/>
          <w:u w:val="single"/>
        </w:rPr>
        <w:t> </w:t>
      </w:r>
    </w:p>
    <w:p w14:paraId="3C998EC0"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6A0625C7"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556BC7">
        <w:rPr>
          <w:rStyle w:val="eop"/>
          <w:rFonts w:ascii="Verdana" w:hAnsi="Verdana" w:cs="Arial"/>
          <w:color w:val="000000"/>
          <w:sz w:val="20"/>
          <w:szCs w:val="20"/>
        </w:rPr>
        <w:t> </w:t>
      </w:r>
    </w:p>
    <w:p w14:paraId="08E42ED2"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34E4D481" w14:textId="77777777" w:rsidR="005564C6" w:rsidRPr="00556BC7" w:rsidRDefault="005564C6" w:rsidP="005564C6">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PARÁGRAFO 5o. &lt;Parágrafo adicionado por el artículo 5 de la Ley 1882 de 2018. El nuevo texto es el siguiente:&gt; En los procesos de contratación, las entidades estatales deberán aceptar la experiencia adquirida por los </w:t>
      </w:r>
      <w:r w:rsidRPr="00556BC7">
        <w:rPr>
          <w:rStyle w:val="normaltextrun"/>
          <w:rFonts w:ascii="Verdana" w:hAnsi="Verdana" w:cs="Arial"/>
          <w:color w:val="000000"/>
          <w:sz w:val="20"/>
          <w:szCs w:val="20"/>
          <w:lang w:val="es-ES"/>
        </w:rPr>
        <w:lastRenderedPageBreak/>
        <w:t>proponentes a través de la ejecución de contratos con particulares</w:t>
      </w:r>
      <w:r>
        <w:rPr>
          <w:rStyle w:val="normaltextrun"/>
          <w:rFonts w:ascii="Verdana" w:hAnsi="Verdana" w:cs="Arial"/>
          <w:color w:val="000000"/>
          <w:sz w:val="20"/>
          <w:szCs w:val="20"/>
          <w:lang w:val="es-ES"/>
        </w:rPr>
        <w:t>”. [Subrayado por fuera de texto original]</w:t>
      </w:r>
    </w:p>
    <w:p w14:paraId="49B924C4" w14:textId="77777777" w:rsidR="005564C6" w:rsidRPr="00556BC7" w:rsidRDefault="005564C6" w:rsidP="005564C6">
      <w:pPr>
        <w:spacing w:after="0" w:line="276" w:lineRule="auto"/>
        <w:ind w:left="709" w:right="709"/>
        <w:jc w:val="both"/>
        <w:rPr>
          <w:rFonts w:ascii="Verdana" w:eastAsia="Times New Roman" w:hAnsi="Verdana" w:cs="Arial"/>
          <w:lang w:eastAsia="es-CO"/>
        </w:rPr>
      </w:pPr>
    </w:p>
    <w:p w14:paraId="5EC44D1E" w14:textId="77777777" w:rsidR="005564C6" w:rsidRPr="00D16A5E" w:rsidRDefault="005564C6" w:rsidP="005564C6">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xml:space="preserve">) mantiene el criterio aclaratorio de la Ley 1150 de 2007, según el cual todo lo que no afecte la asignación de puntaje puede subsanarse; </w:t>
      </w:r>
      <w:r>
        <w:rPr>
          <w:rFonts w:ascii="Verdana" w:eastAsia="Times New Roman" w:hAnsi="Verdana" w:cs="Arial"/>
          <w:lang w:val="es-ES" w:eastAsia="es-ES"/>
        </w:rPr>
        <w:t>e</w:t>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introduce modificaciones en relación con algunos aspectos que se analizarán a continuación. </w:t>
      </w:r>
    </w:p>
    <w:p w14:paraId="2BCF508A" w14:textId="77777777" w:rsidR="005564C6" w:rsidRDefault="005564C6" w:rsidP="005564C6">
      <w:pPr>
        <w:spacing w:after="120" w:line="276" w:lineRule="auto"/>
        <w:ind w:right="51" w:firstLine="709"/>
        <w:jc w:val="both"/>
        <w:rPr>
          <w:rFonts w:ascii="Verdana" w:eastAsia="Times New Roman" w:hAnsi="Verdana" w:cs="Arial"/>
          <w:lang w:val="es-ES" w:eastAsia="es-ES"/>
        </w:rPr>
      </w:pPr>
      <w:r w:rsidRPr="0F126BB0">
        <w:rPr>
          <w:rFonts w:ascii="Verdana" w:eastAsia="Times New Roman" w:hAnsi="Verdana" w:cs="Arial"/>
          <w:i/>
          <w:iCs/>
          <w:lang w:val="es-ES" w:eastAsia="es-ES"/>
        </w:rPr>
        <w:t xml:space="preserve">La primera modificación </w:t>
      </w:r>
      <w:r w:rsidRPr="37C57DE6">
        <w:rPr>
          <w:rFonts w:ascii="Verdana" w:eastAsia="Times New Roman" w:hAnsi="Verdana" w:cs="Arial"/>
          <w:lang w:val="es-ES" w:eastAsia="es-ES"/>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w:t>
      </w:r>
      <w:r w:rsidRPr="589BE328">
        <w:rPr>
          <w:rFonts w:ascii="Verdana" w:eastAsia="Times New Roman" w:hAnsi="Verdana" w:cs="Arial"/>
          <w:vertAlign w:val="superscript"/>
          <w:lang w:val="es-ES" w:eastAsia="es-ES"/>
        </w:rPr>
        <w:footnoteReference w:id="2"/>
      </w:r>
    </w:p>
    <w:p w14:paraId="4B519367" w14:textId="77777777" w:rsidR="005564C6" w:rsidRPr="00D16A5E" w:rsidRDefault="005564C6" w:rsidP="005564C6">
      <w:pPr>
        <w:spacing w:after="120" w:line="276" w:lineRule="auto"/>
        <w:ind w:right="51" w:firstLine="709"/>
        <w:jc w:val="both"/>
        <w:rPr>
          <w:rFonts w:ascii="Verdana" w:eastAsia="Times New Roman" w:hAnsi="Verdana" w:cs="Arial"/>
          <w:lang w:val="es-ES" w:eastAsia="es-ES"/>
        </w:rPr>
      </w:pPr>
      <w:r w:rsidRPr="3F2B4452">
        <w:rPr>
          <w:rFonts w:ascii="Verdana" w:eastAsia="Times New Roman" w:hAnsi="Verdana" w:cs="Arial"/>
          <w:lang w:val="es-ES" w:eastAsia="es-ES"/>
        </w:rPr>
        <w:t>Respecto al proceso de mínima cuantía</w:t>
      </w:r>
      <w:r>
        <w:rPr>
          <w:rFonts w:ascii="Verdana" w:eastAsia="Times New Roman" w:hAnsi="Verdana" w:cs="Arial"/>
          <w:lang w:val="es-ES" w:eastAsia="es-ES"/>
        </w:rPr>
        <w:t xml:space="preserve">, </w:t>
      </w:r>
      <w:r w:rsidRPr="3F2B4452">
        <w:rPr>
          <w:rFonts w:ascii="Verdana" w:eastAsia="Times New Roman" w:hAnsi="Verdana" w:cs="Arial"/>
          <w:lang w:val="es-ES" w:eastAsia="es-ES"/>
        </w:rPr>
        <w:t>el Decreto 1860 de 2021, que modifica el Decreto 1082 de 2015, señala en el artículo 2.2.1.2.1.5.2, numeral 5°, que las entidades deben otorgar una oportunidad para subsanar las ofertas, conforme al artículo 5 de la Ley 1150 de 2007. Para ello, se debe establecer un término preclusivo para la recepción de los documentos subsanables. En caso de que dicho término no sea regulado, los proponentes podrán ejercer la subsanación hasta antes de que finalice el traslado del informe de evaluación</w:t>
      </w:r>
      <w:r w:rsidRPr="00D16A5E">
        <w:rPr>
          <w:rFonts w:ascii="Verdana" w:eastAsia="Times New Roman" w:hAnsi="Verdana" w:cs="Arial"/>
          <w:vertAlign w:val="superscript"/>
          <w:lang w:val="es-ES_tradnl" w:eastAsia="es-ES_tradnl"/>
        </w:rPr>
        <w:footnoteReference w:id="3"/>
      </w:r>
      <w:r w:rsidRPr="3F2B4452">
        <w:rPr>
          <w:rFonts w:ascii="Verdana" w:eastAsia="Times New Roman" w:hAnsi="Verdana" w:cs="Arial"/>
          <w:lang w:val="es-ES" w:eastAsia="es-ES"/>
        </w:rPr>
        <w:t xml:space="preserve">. </w:t>
      </w:r>
    </w:p>
    <w:p w14:paraId="1390A505" w14:textId="77777777" w:rsidR="005564C6" w:rsidRPr="00D16A5E" w:rsidRDefault="005564C6" w:rsidP="005564C6">
      <w:pPr>
        <w:spacing w:after="120" w:line="276" w:lineRule="auto"/>
        <w:ind w:right="51" w:firstLine="709"/>
        <w:jc w:val="both"/>
        <w:rPr>
          <w:rFonts w:ascii="Verdana" w:eastAsia="Times New Roman" w:hAnsi="Verdana" w:cs="Arial"/>
          <w:lang w:val="es-ES" w:eastAsia="es-ES"/>
        </w:rPr>
      </w:pPr>
      <w:r w:rsidRPr="3F2B4452">
        <w:rPr>
          <w:rFonts w:ascii="Verdana" w:eastAsia="Times New Roman" w:hAnsi="Verdana" w:cs="Arial"/>
          <w:lang w:val="es-ES" w:eastAsia="es-ES"/>
        </w:rPr>
        <w:lastRenderedPageBreak/>
        <w:t xml:space="preserve">El </w:t>
      </w:r>
      <w:r w:rsidRPr="3F2B4452">
        <w:rPr>
          <w:rFonts w:ascii="Verdana" w:eastAsia="Times New Roman" w:hAnsi="Verdana" w:cs="Arial"/>
          <w:i/>
          <w:iCs/>
          <w:lang w:val="es-ES" w:eastAsia="es-ES"/>
        </w:rPr>
        <w:t>segundo cambio</w:t>
      </w:r>
      <w:r w:rsidRPr="3F2B4452">
        <w:rPr>
          <w:rFonts w:ascii="Verdana" w:eastAsia="Times New Roman" w:hAnsi="Verdana" w:cs="Arial"/>
          <w:lang w:val="es-ES" w:eastAsia="es-ES"/>
        </w:rPr>
        <w:t xml:space="preserve"> importante de la Ley 1882 de 2018 fue la introducción de un criterio material, directamente relacionado con los aspectos subsanables: </w:t>
      </w:r>
      <w:r w:rsidRPr="3F2B4452">
        <w:rPr>
          <w:rFonts w:ascii="Verdana" w:eastAsia="Times New Roman" w:hAnsi="Verdana" w:cs="Arial"/>
          <w:i/>
          <w:iCs/>
          <w:lang w:val="es-ES" w:eastAsia="es-ES"/>
        </w:rPr>
        <w:t>“los proponentes no podrán acreditar circunstancias ocurridas con posterioridad al cierre del proceso”.</w:t>
      </w:r>
      <w:r w:rsidRPr="3F2B4452">
        <w:rPr>
          <w:rFonts w:ascii="Verdana" w:eastAsia="Times New Roman" w:hAnsi="Verdana" w:cs="Arial"/>
          <w:lang w:val="es-ES" w:eastAsia="es-ES"/>
        </w:rPr>
        <w:t xml:space="preserve"> Lo anterior ofrece dos aspectos que merecen clarificación; primero, qué debe entenderse por circunstancias ocurridas con posterioridad; y segundo, qué es el cierre del proceso. </w:t>
      </w:r>
    </w:p>
    <w:p w14:paraId="2F17790C" w14:textId="77777777" w:rsidR="005564C6" w:rsidRPr="00D16A5E" w:rsidRDefault="005564C6" w:rsidP="005564C6">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4"/>
      </w:r>
      <w:r w:rsidRPr="00D16A5E">
        <w:rPr>
          <w:rFonts w:ascii="Verdana" w:eastAsia="Times New Roman" w:hAnsi="Verdana" w:cs="Arial"/>
          <w:lang w:val="es-ES" w:eastAsia="es-ES"/>
        </w:rPr>
        <w:t>.</w:t>
      </w:r>
    </w:p>
    <w:p w14:paraId="328B9F19" w14:textId="77777777" w:rsidR="005564C6" w:rsidRDefault="005564C6" w:rsidP="005564C6">
      <w:pPr>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w:t>
      </w:r>
      <w:r w:rsidRPr="37C57DE6">
        <w:rPr>
          <w:rFonts w:ascii="Verdana" w:eastAsia="Times New Roman" w:hAnsi="Verdana" w:cs="Arial"/>
          <w:lang w:val="es-ES" w:eastAsia="es-ES"/>
        </w:rPr>
        <w:lastRenderedPageBreak/>
        <w:t xml:space="preserve">requisitos para participar al momento de presentar las ofertas, y pretendan cumplirlos durante el proceso de selección o, inclusive, que se puedan variar condiciones de la oferta una vez presentada. </w:t>
      </w:r>
    </w:p>
    <w:p w14:paraId="31633E7A" w14:textId="77777777" w:rsidR="005564C6" w:rsidRPr="00D16A5E" w:rsidRDefault="005564C6" w:rsidP="005564C6">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La expresión </w:t>
      </w:r>
      <w:r w:rsidRPr="0F126BB0">
        <w:rPr>
          <w:rFonts w:ascii="Verdana" w:eastAsia="Times New Roman" w:hAnsi="Verdana" w:cs="Arial"/>
          <w:i/>
          <w:iCs/>
          <w:lang w:val="es-ES" w:eastAsia="es-ES"/>
        </w:rPr>
        <w:t>“circunstancias ocurridas con posterioridad al cierre del proceso”</w:t>
      </w:r>
      <w:r w:rsidRPr="00D16A5E">
        <w:rPr>
          <w:rFonts w:ascii="Verdana" w:eastAsia="Times New Roman" w:hAnsi="Verdana" w:cs="Arial"/>
          <w:lang w:val="es-ES" w:eastAsia="es-ES"/>
        </w:rPr>
        <w:t xml:space="preserve"> implica distinguir entre la prueba de un hecho y el hecho mismo. En el caso de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D16A5E">
        <w:rPr>
          <w:rFonts w:ascii="Verdana" w:eastAsia="Times New Roman" w:hAnsi="Verdana" w:cs="Arial"/>
          <w:vertAlign w:val="superscript"/>
          <w:lang w:val="es-ES" w:eastAsia="es-ES"/>
        </w:rPr>
        <w:footnoteReference w:id="5"/>
      </w:r>
      <w:r w:rsidRPr="00D16A5E">
        <w:rPr>
          <w:rFonts w:ascii="Verdana" w:eastAsia="Times New Roman" w:hAnsi="Verdana" w:cs="Arial"/>
          <w:lang w:val="es-ES" w:eastAsia="es-ES"/>
        </w:rPr>
        <w:t xml:space="preserve">. </w:t>
      </w:r>
    </w:p>
    <w:p w14:paraId="4760913B" w14:textId="77777777" w:rsidR="005564C6" w:rsidRDefault="005564C6" w:rsidP="005564C6">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sidRPr="3F2B4452">
        <w:rPr>
          <w:rFonts w:ascii="Verdana" w:eastAsia="Times New Roman" w:hAnsi="Verdana" w:cs="Arial"/>
          <w:lang w:val="es-ES" w:eastAsia="es-ES"/>
        </w:rPr>
        <w:t xml:space="preserve">.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w:t>
      </w:r>
      <w:r w:rsidRPr="3F2B4452">
        <w:rPr>
          <w:rFonts w:ascii="Verdana" w:eastAsia="Times New Roman" w:hAnsi="Verdana" w:cs="Arial"/>
          <w:lang w:val="es-ES" w:eastAsia="es-ES"/>
        </w:rPr>
        <w:lastRenderedPageBreak/>
        <w:t>recaer exclusivamente sobre circunstancias acaecidas antes del cierre del respectivo proceso, esto es, del vencimiento del plazo para presentar ofertas”</w:t>
      </w:r>
      <w:r w:rsidRPr="3F2B4452">
        <w:rPr>
          <w:rFonts w:ascii="Verdana" w:eastAsia="Times New Roman" w:hAnsi="Verdana" w:cs="Arial"/>
          <w:vertAlign w:val="superscript"/>
          <w:lang w:val="es-ES" w:eastAsia="es-ES"/>
        </w:rPr>
        <w:footnoteReference w:id="6"/>
      </w:r>
      <w:r w:rsidRPr="3F2B4452">
        <w:rPr>
          <w:rFonts w:ascii="Verdana" w:eastAsia="Times New Roman" w:hAnsi="Verdana" w:cs="Arial"/>
          <w:lang w:val="es-ES" w:eastAsia="es-ES"/>
        </w:rPr>
        <w:t>.</w:t>
      </w:r>
    </w:p>
    <w:p w14:paraId="5EB06623" w14:textId="77777777" w:rsidR="005564C6" w:rsidRPr="00B36F85" w:rsidRDefault="005564C6" w:rsidP="005564C6">
      <w:pPr>
        <w:widowControl w:val="0"/>
        <w:spacing w:after="120" w:line="276" w:lineRule="auto"/>
        <w:ind w:firstLine="709"/>
        <w:jc w:val="both"/>
        <w:rPr>
          <w:rFonts w:ascii="Verdana" w:eastAsia="Arial" w:hAnsi="Verdana" w:cs="Arial"/>
        </w:rPr>
      </w:pP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la competencia de las entidades estales para establecer eventos de exclusión de propuestas es de carácter residual y restringido</w:t>
      </w:r>
      <w:r>
        <w:rPr>
          <w:rFonts w:ascii="Verdana" w:eastAsia="Arial" w:hAnsi="Verdana" w:cs="Arial"/>
        </w:rPr>
        <w:t>”</w:t>
      </w:r>
      <w:r w:rsidRPr="00B36F85">
        <w:rPr>
          <w:rFonts w:ascii="Verdana" w:eastAsia="Arial" w:hAnsi="Verdana" w:cs="Arial"/>
          <w:vertAlign w:val="superscript"/>
        </w:rPr>
        <w:footnoteReference w:id="7"/>
      </w:r>
      <w:r w:rsidRPr="00B36F85">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36F85">
        <w:rPr>
          <w:rFonts w:ascii="Verdana" w:eastAsia="Arial" w:hAnsi="Verdana" w:cs="Arial"/>
          <w:vertAlign w:val="superscript"/>
        </w:rPr>
        <w:footnoteReference w:id="8"/>
      </w:r>
      <w:r w:rsidRPr="00B36F85">
        <w:rPr>
          <w:rFonts w:ascii="Verdana" w:eastAsia="Arial" w:hAnsi="Verdana" w:cs="Arial"/>
        </w:rPr>
        <w:t xml:space="preserve"> y regular los eventos en los que procede su rechazo</w:t>
      </w:r>
      <w:r w:rsidRPr="00B36F85">
        <w:rPr>
          <w:rFonts w:ascii="Verdana" w:eastAsia="Arial" w:hAnsi="Verdana" w:cs="Arial"/>
          <w:vertAlign w:val="superscript"/>
        </w:rPr>
        <w:footnoteReference w:id="9"/>
      </w:r>
      <w:r w:rsidRPr="00B36F85">
        <w:rPr>
          <w:rFonts w:ascii="Verdana" w:eastAsia="Arial" w:hAnsi="Verdana" w:cs="Arial"/>
        </w:rPr>
        <w:t xml:space="preserve">, el ejercicio de tales facultades encuentra ciertos límites en la ley y el reglamento, así como en los principios de razonabilidad y proporcionalidad.  </w:t>
      </w:r>
    </w:p>
    <w:p w14:paraId="304B4786" w14:textId="77777777" w:rsidR="005564C6" w:rsidRPr="00B36F85" w:rsidRDefault="005564C6" w:rsidP="005564C6">
      <w:pPr>
        <w:widowControl w:val="0"/>
        <w:spacing w:after="120" w:line="276" w:lineRule="auto"/>
        <w:ind w:firstLine="709"/>
        <w:jc w:val="both"/>
        <w:rPr>
          <w:rFonts w:ascii="Verdana" w:eastAsia="Arial" w:hAnsi="Verdana" w:cs="Arial"/>
        </w:rPr>
      </w:pPr>
      <w:r w:rsidRPr="00B36F85">
        <w:rPr>
          <w:rFonts w:ascii="Verdana" w:eastAsia="Arial" w:hAnsi="Verdana" w:cs="Arial"/>
        </w:rPr>
        <w:t xml:space="preserve">En ese entendido, uno de los límites a la facultad para establecer causales de rechazo, se encuentra en la regla de </w:t>
      </w:r>
      <w:proofErr w:type="spellStart"/>
      <w:r w:rsidRPr="00B36F85">
        <w:rPr>
          <w:rFonts w:ascii="Verdana" w:eastAsia="Arial" w:hAnsi="Verdana" w:cs="Arial"/>
        </w:rPr>
        <w:t>subsanabilidad</w:t>
      </w:r>
      <w:proofErr w:type="spellEnd"/>
      <w:r w:rsidRPr="00B36F85">
        <w:rPr>
          <w:rFonts w:ascii="Verdana" w:eastAsia="Arial" w:hAnsi="Verdana" w:cs="Arial"/>
        </w:rPr>
        <w:t xml:space="preserve"> del parágrafo 1 del artículo 5 de la Ley 1150 de 2007, según la cual </w:t>
      </w:r>
      <w:r>
        <w:rPr>
          <w:rFonts w:ascii="Verdana" w:eastAsia="Arial" w:hAnsi="Verdana" w:cs="Arial"/>
        </w:rPr>
        <w:t>“</w:t>
      </w:r>
      <w:r w:rsidRPr="00B36F85">
        <w:rPr>
          <w:rFonts w:ascii="Verdana" w:eastAsia="Arial" w:hAnsi="Verdana"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eastAsia="Arial" w:hAnsi="Verdana" w:cs="Arial"/>
        </w:rPr>
        <w:t>”</w:t>
      </w:r>
      <w:r w:rsidRPr="00B36F85">
        <w:rPr>
          <w:rFonts w:ascii="Verdana" w:eastAsia="Arial" w:hAnsi="Verdana" w:cs="Arial"/>
        </w:rPr>
        <w:t xml:space="preserve">, por lo que las entidades no podrán establecer causales de rechazo referentes a meros requisitos formales o </w:t>
      </w:r>
      <w:r w:rsidRPr="00B36F85">
        <w:rPr>
          <w:rFonts w:ascii="Verdana" w:eastAsia="Arial" w:hAnsi="Verdana" w:cs="Arial"/>
        </w:rPr>
        <w:lastRenderedPageBreak/>
        <w:t xml:space="preserve">rechazar las ofertas por esa razón. </w:t>
      </w:r>
    </w:p>
    <w:p w14:paraId="5303AE5B" w14:textId="77777777" w:rsidR="005564C6" w:rsidRDefault="005564C6" w:rsidP="005564C6">
      <w:pPr>
        <w:widowControl w:val="0"/>
        <w:spacing w:after="120" w:line="276" w:lineRule="auto"/>
        <w:ind w:firstLine="709"/>
        <w:jc w:val="both"/>
        <w:rPr>
          <w:rFonts w:ascii="Verdana" w:eastAsia="Arial" w:hAnsi="Verdana" w:cs="Arial"/>
        </w:rPr>
      </w:pPr>
      <w:r w:rsidRPr="00B36F85">
        <w:rPr>
          <w:rFonts w:ascii="Verdana" w:eastAsia="Arial" w:hAnsi="Verdana"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4F44A842" w14:textId="77777777" w:rsidR="005564C6" w:rsidRPr="0055341A" w:rsidRDefault="005564C6" w:rsidP="005564C6">
      <w:pPr>
        <w:widowControl w:val="0"/>
        <w:spacing w:after="0" w:line="240" w:lineRule="auto"/>
        <w:ind w:firstLine="708"/>
        <w:jc w:val="both"/>
        <w:rPr>
          <w:rFonts w:ascii="Verdana" w:eastAsia="Arial" w:hAnsi="Verdana" w:cs="Arial"/>
          <w:sz w:val="20"/>
          <w:szCs w:val="20"/>
        </w:rPr>
      </w:pPr>
    </w:p>
    <w:p w14:paraId="17F7C598" w14:textId="77777777" w:rsidR="005564C6" w:rsidRPr="0055341A" w:rsidRDefault="005564C6" w:rsidP="005564C6">
      <w:pPr>
        <w:widowControl w:val="0"/>
        <w:spacing w:line="240" w:lineRule="auto"/>
        <w:ind w:left="709" w:right="709"/>
        <w:jc w:val="both"/>
        <w:rPr>
          <w:rFonts w:ascii="Verdana" w:eastAsia="Arial" w:hAnsi="Verdana" w:cs="Arial"/>
          <w:sz w:val="20"/>
          <w:szCs w:val="20"/>
        </w:rPr>
      </w:pPr>
      <w:r w:rsidRPr="0055341A">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176414FD" w14:textId="77777777" w:rsidR="005564C6" w:rsidRPr="0055341A" w:rsidRDefault="005564C6" w:rsidP="005564C6">
      <w:pPr>
        <w:widowControl w:val="0"/>
        <w:spacing w:line="240" w:lineRule="auto"/>
        <w:ind w:left="709" w:right="709"/>
        <w:jc w:val="both"/>
        <w:rPr>
          <w:rFonts w:ascii="Verdana" w:eastAsia="Arial" w:hAnsi="Verdana" w:cs="Arial"/>
          <w:sz w:val="20"/>
          <w:szCs w:val="20"/>
        </w:rPr>
      </w:pPr>
      <w:r w:rsidRPr="0055341A">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7585ED4C" w14:textId="77777777" w:rsidR="005564C6" w:rsidRPr="0055341A" w:rsidRDefault="005564C6" w:rsidP="005564C6">
      <w:pPr>
        <w:widowControl w:val="0"/>
        <w:spacing w:line="240" w:lineRule="auto"/>
        <w:ind w:left="709" w:right="709"/>
        <w:jc w:val="both"/>
        <w:rPr>
          <w:rFonts w:ascii="Verdana" w:eastAsia="Arial" w:hAnsi="Verdana" w:cs="Arial"/>
          <w:sz w:val="20"/>
          <w:szCs w:val="20"/>
        </w:rPr>
      </w:pPr>
      <w:r w:rsidRPr="0055341A">
        <w:rPr>
          <w:rFonts w:ascii="Verdana" w:eastAsia="Arial" w:hAnsi="Verdana" w:cs="Arial"/>
          <w:sz w:val="20"/>
          <w:szCs w:val="20"/>
        </w:rPr>
        <w:t>[…]</w:t>
      </w:r>
    </w:p>
    <w:p w14:paraId="2DED7013" w14:textId="77777777" w:rsidR="005564C6" w:rsidRPr="0055341A" w:rsidRDefault="005564C6" w:rsidP="005564C6">
      <w:pPr>
        <w:widowControl w:val="0"/>
        <w:spacing w:after="0" w:line="240" w:lineRule="auto"/>
        <w:ind w:left="709" w:right="709"/>
        <w:jc w:val="both"/>
        <w:rPr>
          <w:rFonts w:ascii="Verdana" w:eastAsia="Arial" w:hAnsi="Verdana" w:cs="Arial"/>
          <w:sz w:val="20"/>
          <w:szCs w:val="20"/>
        </w:rPr>
      </w:pPr>
      <w:r w:rsidRPr="0055341A">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F126BB0">
        <w:rPr>
          <w:rFonts w:ascii="Verdana" w:eastAsia="Arial" w:hAnsi="Verdana" w:cs="Arial"/>
          <w:i/>
          <w:iCs/>
          <w:sz w:val="20"/>
          <w:szCs w:val="20"/>
        </w:rPr>
        <w:t>ope</w:t>
      </w:r>
      <w:proofErr w:type="spellEnd"/>
      <w:r w:rsidRPr="0F126BB0">
        <w:rPr>
          <w:rFonts w:ascii="Verdana" w:eastAsia="Arial" w:hAnsi="Verdana" w:cs="Arial"/>
          <w:i/>
          <w:iCs/>
          <w:sz w:val="20"/>
          <w:szCs w:val="20"/>
        </w:rPr>
        <w:t xml:space="preserve"> </w:t>
      </w:r>
      <w:proofErr w:type="spellStart"/>
      <w:r w:rsidRPr="0F126BB0">
        <w:rPr>
          <w:rFonts w:ascii="Verdana" w:eastAsia="Arial" w:hAnsi="Verdana" w:cs="Arial"/>
          <w:i/>
          <w:iCs/>
          <w:sz w:val="20"/>
          <w:szCs w:val="20"/>
        </w:rPr>
        <w:t>legis</w:t>
      </w:r>
      <w:proofErr w:type="spellEnd"/>
      <w:r w:rsidRPr="0055341A">
        <w:rPr>
          <w:rFonts w:ascii="Verdana" w:eastAsia="Arial" w:hAnsi="Verdana" w:cs="Arial"/>
          <w:sz w:val="20"/>
          <w:szCs w:val="20"/>
        </w:rPr>
        <w:t xml:space="preserve">,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w:t>
      </w:r>
      <w:r w:rsidRPr="0055341A">
        <w:rPr>
          <w:rFonts w:ascii="Verdana" w:eastAsia="Arial" w:hAnsi="Verdana" w:cs="Arial"/>
          <w:sz w:val="20"/>
          <w:szCs w:val="20"/>
        </w:rPr>
        <w:lastRenderedPageBreak/>
        <w:t>contratación y que de soslayarse se comprometería el cumplimiento de los principios de transparencia, economía y responsabilidad, así como  el deber de selección objetiva en la contratación</w:t>
      </w:r>
      <w:r w:rsidRPr="0055341A">
        <w:rPr>
          <w:rFonts w:ascii="Verdana" w:eastAsia="Arial" w:hAnsi="Verdana" w:cs="Arial"/>
          <w:sz w:val="20"/>
          <w:szCs w:val="20"/>
          <w:vertAlign w:val="superscript"/>
        </w:rPr>
        <w:footnoteReference w:id="10"/>
      </w:r>
      <w:r w:rsidRPr="0055341A">
        <w:rPr>
          <w:rFonts w:ascii="Verdana" w:eastAsia="Arial" w:hAnsi="Verdana" w:cs="Arial"/>
          <w:sz w:val="20"/>
          <w:szCs w:val="20"/>
        </w:rPr>
        <w:t>”.</w:t>
      </w:r>
    </w:p>
    <w:p w14:paraId="08F15F4C" w14:textId="77777777" w:rsidR="005564C6" w:rsidRPr="00B36F85" w:rsidRDefault="005564C6" w:rsidP="005564C6">
      <w:pPr>
        <w:widowControl w:val="0"/>
        <w:spacing w:after="0" w:line="276" w:lineRule="auto"/>
        <w:ind w:left="709" w:right="709"/>
        <w:jc w:val="both"/>
        <w:rPr>
          <w:rFonts w:ascii="Verdana" w:eastAsia="Arial" w:hAnsi="Verdana" w:cs="Arial"/>
          <w:sz w:val="21"/>
          <w:szCs w:val="21"/>
        </w:rPr>
      </w:pPr>
    </w:p>
    <w:p w14:paraId="2EE1AAA5" w14:textId="77777777" w:rsidR="005564C6" w:rsidRPr="00B36F85" w:rsidRDefault="005564C6" w:rsidP="005564C6">
      <w:pPr>
        <w:widowControl w:val="0"/>
        <w:spacing w:after="120" w:line="276" w:lineRule="auto"/>
        <w:ind w:firstLine="709"/>
        <w:jc w:val="both"/>
        <w:rPr>
          <w:rFonts w:ascii="Verdana" w:eastAsia="Arial" w:hAnsi="Verdana" w:cs="Arial"/>
        </w:rPr>
      </w:pPr>
      <w:r w:rsidRPr="00B36F85">
        <w:rPr>
          <w:rFonts w:ascii="Verdana" w:eastAsia="Arial" w:hAnsi="Verdana" w:cs="Arial"/>
        </w:rPr>
        <w:t xml:space="preserve">De acuerdo con la jurisprudencia citada, existen dos casos en los que procede el rechazo de la oferta: </w:t>
      </w:r>
      <w:r>
        <w:rPr>
          <w:rFonts w:ascii="Verdana" w:eastAsia="Arial" w:hAnsi="Verdana" w:cs="Arial"/>
        </w:rPr>
        <w:t xml:space="preserve">i) </w:t>
      </w:r>
      <w:r w:rsidRPr="00B36F85">
        <w:rPr>
          <w:rFonts w:ascii="Verdana" w:eastAsia="Arial" w:hAnsi="Verdana" w:cs="Arial"/>
        </w:rPr>
        <w:t>que 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que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225C5316" w14:textId="77777777" w:rsidR="005564C6" w:rsidRDefault="005564C6" w:rsidP="005564C6">
      <w:pPr>
        <w:spacing w:after="120" w:line="276" w:lineRule="auto"/>
        <w:ind w:firstLine="709"/>
        <w:jc w:val="both"/>
        <w:rPr>
          <w:rFonts w:ascii="Verdana" w:eastAsia="Arial" w:hAnsi="Verdana" w:cs="Arial"/>
        </w:rPr>
      </w:pPr>
      <w:r w:rsidRPr="3F2B4452">
        <w:rPr>
          <w:rFonts w:ascii="Verdana" w:eastAsia="Arial" w:hAnsi="Verdana" w:cs="Arial"/>
        </w:rPr>
        <w:t xml:space="preserve">En ese contexto, la facultad de las entidades estatales para incluir en los pliegos de condiciones o invitaciones públicas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4F5F3593" w14:textId="77777777" w:rsidR="005564C6" w:rsidRDefault="005564C6" w:rsidP="005564C6">
      <w:pPr>
        <w:spacing w:after="120" w:line="276" w:lineRule="auto"/>
        <w:ind w:firstLine="709"/>
        <w:jc w:val="both"/>
        <w:rPr>
          <w:rFonts w:ascii="Verdana" w:hAnsi="Verdana"/>
        </w:rPr>
      </w:pPr>
      <w:r w:rsidRPr="3F2B4452">
        <w:rPr>
          <w:rFonts w:ascii="Verdana" w:hAnsi="Verdana"/>
        </w:rPr>
        <w:t xml:space="preserve">Vale aclarar que, en algunas ocasiones, las causales de rechazo de las ofertas pueden versar sobre aspectos relacionados con criterios de evaluación, como cuando se establece que, cuando el valor de la propuesta exceda el presupuesto oficial estimado para el proceso de contratación, será rechazada la oferta. En este caso, la causal de rechazo tiene relación con un criterio de evaluación y no con un requisito habilitante. </w:t>
      </w:r>
    </w:p>
    <w:p w14:paraId="710B3F57" w14:textId="77777777" w:rsidR="005564C6" w:rsidRDefault="005564C6" w:rsidP="005564C6">
      <w:pPr>
        <w:spacing w:after="120" w:line="276" w:lineRule="auto"/>
        <w:ind w:firstLine="709"/>
        <w:jc w:val="both"/>
        <w:rPr>
          <w:rFonts w:ascii="Verdana" w:eastAsia="Times New Roman" w:hAnsi="Verdana"/>
          <w:lang w:eastAsia="es-MX"/>
        </w:rPr>
      </w:pPr>
      <w:r w:rsidRPr="005564C6">
        <w:rPr>
          <w:rFonts w:ascii="Verdana" w:eastAsia="Times New Roman" w:hAnsi="Verdana" w:cs="Arial"/>
          <w:lang w:val="es-ES" w:eastAsia="es-ES"/>
        </w:rPr>
        <w:t xml:space="preserve">Ahora remitiéndonos al objeto de la consulta en particular se tiene que </w:t>
      </w:r>
      <w:r w:rsidRPr="005564C6">
        <w:rPr>
          <w:rFonts w:ascii="Verdana" w:eastAsia="Times New Roman" w:hAnsi="Verdana"/>
          <w:lang w:eastAsia="es-MX"/>
        </w:rPr>
        <w:t xml:space="preserve">La interpretación de la normativa actual, especialmente tras la expedición de la Ley 1882 de 2018, ha clarificado el alcance de la </w:t>
      </w:r>
      <w:proofErr w:type="spellStart"/>
      <w:r w:rsidRPr="005564C6">
        <w:rPr>
          <w:rFonts w:ascii="Verdana" w:eastAsia="Times New Roman" w:hAnsi="Verdana"/>
          <w:lang w:eastAsia="es-MX"/>
        </w:rPr>
        <w:t>subsanabilidad</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 xml:space="preserve">La regla de la </w:t>
      </w:r>
      <w:proofErr w:type="spellStart"/>
      <w:r w:rsidRPr="005564C6">
        <w:rPr>
          <w:rFonts w:ascii="Verdana" w:eastAsia="Times New Roman" w:hAnsi="Verdana" w:cs="Times New Roman"/>
          <w:lang w:eastAsia="es-MX"/>
        </w:rPr>
        <w:t>subsanabilidad</w:t>
      </w:r>
      <w:proofErr w:type="spellEnd"/>
      <w:r w:rsidRPr="005564C6">
        <w:rPr>
          <w:rFonts w:ascii="Verdana" w:eastAsia="Times New Roman" w:hAnsi="Verdana" w:cs="Times New Roman"/>
          <w:lang w:eastAsia="es-MX"/>
        </w:rPr>
        <w:t xml:space="preserve"> de las ofertas en los procedimientos de selección indica que, por </w:t>
      </w:r>
      <w:r w:rsidRPr="005564C6">
        <w:rPr>
          <w:rFonts w:ascii="Verdana" w:eastAsia="Times New Roman" w:hAnsi="Verdana" w:cs="Times New Roman"/>
          <w:lang w:eastAsia="es-MX"/>
        </w:rPr>
        <w:lastRenderedPageBreak/>
        <w:t>regla general, la falta de entrega y los defectos en la acreditación de los requisitos habilitantes son aspectos subsanables</w:t>
      </w:r>
      <w:r w:rsidRPr="005564C6">
        <w:rPr>
          <w:rFonts w:ascii="Verdana" w:eastAsia="Times New Roman" w:hAnsi="Verdana"/>
          <w:lang w:eastAsia="es-MX"/>
        </w:rPr>
        <w:t>.</w:t>
      </w:r>
      <w:r>
        <w:rPr>
          <w:rFonts w:ascii="Verdana" w:eastAsia="Times New Roman" w:hAnsi="Verdana"/>
          <w:lang w:eastAsia="es-MX"/>
        </w:rPr>
        <w:t xml:space="preserve"> </w:t>
      </w:r>
    </w:p>
    <w:p w14:paraId="15C8A2F1" w14:textId="77777777" w:rsidR="006B46BB" w:rsidRDefault="005564C6" w:rsidP="006B46BB">
      <w:pPr>
        <w:spacing w:after="120" w:line="276" w:lineRule="auto"/>
        <w:ind w:firstLine="709"/>
        <w:jc w:val="both"/>
        <w:rPr>
          <w:rFonts w:ascii="Verdana" w:eastAsia="Times New Roman" w:hAnsi="Verdana" w:cs="Times New Roman"/>
          <w:lang w:eastAsia="es-MX"/>
        </w:rPr>
      </w:pPr>
      <w:r w:rsidRPr="005564C6">
        <w:rPr>
          <w:rFonts w:ascii="Verdana" w:eastAsia="Times New Roman" w:hAnsi="Verdana"/>
          <w:lang w:eastAsia="es-MX"/>
        </w:rPr>
        <w:t>La Ley 1882 de 2018 modificó el Parágrafo 1° del Artículo 5 de la Ley 1150 de 2007. Dicho parágrafo establece la obligación de la Entidad Estatal de solicitar los documentos faltantes que no impacten la evaluación:</w:t>
      </w:r>
      <w:r>
        <w:rPr>
          <w:rFonts w:ascii="Verdana" w:eastAsia="Times New Roman" w:hAnsi="Verdana"/>
          <w:lang w:eastAsia="es-MX"/>
        </w:rPr>
        <w:t xml:space="preserve"> </w:t>
      </w:r>
      <w:r w:rsidRPr="005564C6">
        <w:rPr>
          <w:rFonts w:ascii="Verdana" w:eastAsia="Times New Roman" w:hAnsi="Verdana" w:cs="Times New Roman"/>
          <w:lang w:eastAsia="es-MX"/>
        </w:rPr>
        <w:t>"En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p>
    <w:p w14:paraId="72A7B094" w14:textId="77777777" w:rsidR="00715989" w:rsidRDefault="005564C6" w:rsidP="00715989">
      <w:pPr>
        <w:spacing w:after="120" w:line="276" w:lineRule="auto"/>
        <w:ind w:firstLine="709"/>
        <w:jc w:val="both"/>
        <w:rPr>
          <w:rFonts w:ascii="Verdana" w:eastAsia="Times New Roman" w:hAnsi="Verdana" w:cs="Times New Roman"/>
          <w:lang w:eastAsia="es-MX"/>
        </w:rPr>
      </w:pPr>
      <w:r w:rsidRPr="005564C6">
        <w:rPr>
          <w:rFonts w:ascii="Verdana" w:eastAsia="Times New Roman" w:hAnsi="Verdana" w:cs="Times New Roman"/>
          <w:lang w:eastAsia="es-MX"/>
        </w:rPr>
        <w:t xml:space="preserve">Los requisitos habilitantes (capacidad jurídica, financiera, organizacional y experiencia) son, por definición, objeto de "verificación de cumplimiento" y no otorgan puntaje. Por lo tanto, su omisión en la entrega inicial se enmarca dentro de la regla general de </w:t>
      </w:r>
      <w:proofErr w:type="spellStart"/>
      <w:r w:rsidRPr="005564C6">
        <w:rPr>
          <w:rFonts w:ascii="Verdana" w:eastAsia="Times New Roman" w:hAnsi="Verdana" w:cs="Times New Roman"/>
          <w:lang w:eastAsia="es-MX"/>
        </w:rPr>
        <w:t>subsanabilidad</w:t>
      </w:r>
      <w:proofErr w:type="spellEnd"/>
      <w:r w:rsidRPr="005564C6">
        <w:rPr>
          <w:rFonts w:ascii="Verdana" w:eastAsia="Times New Roman" w:hAnsi="Verdana" w:cs="Times New Roman"/>
          <w:lang w:eastAsia="es-MX"/>
        </w:rPr>
        <w:t xml:space="preserve">, No obstante, </w:t>
      </w:r>
      <w:r w:rsidRPr="005564C6">
        <w:rPr>
          <w:rFonts w:ascii="Verdana" w:eastAsia="Times New Roman" w:hAnsi="Verdana"/>
          <w:lang w:eastAsia="es-MX"/>
        </w:rPr>
        <w:t>la ley establece excepciones claras</w:t>
      </w:r>
      <w:r w:rsidR="006B46BB">
        <w:rPr>
          <w:rFonts w:ascii="Verdana" w:eastAsia="Times New Roman" w:hAnsi="Verdana"/>
          <w:lang w:eastAsia="es-MX"/>
        </w:rPr>
        <w:t>, en donde N</w:t>
      </w:r>
      <w:r w:rsidRPr="005564C6">
        <w:rPr>
          <w:rFonts w:ascii="Verdana" w:eastAsia="Times New Roman" w:hAnsi="Verdana"/>
          <w:lang w:eastAsia="es-MX"/>
        </w:rPr>
        <w:t xml:space="preserve">o </w:t>
      </w:r>
      <w:r w:rsidR="00715989">
        <w:rPr>
          <w:rFonts w:ascii="Verdana" w:eastAsia="Times New Roman" w:hAnsi="Verdana"/>
          <w:lang w:eastAsia="es-MX"/>
        </w:rPr>
        <w:t xml:space="preserve">es permitido </w:t>
      </w:r>
      <w:r w:rsidRPr="005564C6">
        <w:rPr>
          <w:rFonts w:ascii="Verdana" w:eastAsia="Times New Roman" w:hAnsi="Verdana"/>
          <w:lang w:eastAsia="es-MX"/>
        </w:rPr>
        <w:t xml:space="preserve">subsanar: i) </w:t>
      </w:r>
      <w:r w:rsidR="00715989">
        <w:rPr>
          <w:rFonts w:ascii="Verdana" w:eastAsia="Times New Roman" w:hAnsi="Verdana"/>
          <w:lang w:eastAsia="es-MX"/>
        </w:rPr>
        <w:t xml:space="preserve">En </w:t>
      </w:r>
      <w:r w:rsidR="00715989">
        <w:rPr>
          <w:rFonts w:ascii="Verdana" w:eastAsia="Times New Roman" w:hAnsi="Verdana" w:cs="Times New Roman"/>
          <w:lang w:eastAsia="es-MX"/>
        </w:rPr>
        <w:t>a</w:t>
      </w:r>
      <w:r w:rsidRPr="005564C6">
        <w:rPr>
          <w:rFonts w:ascii="Verdana" w:eastAsia="Times New Roman" w:hAnsi="Verdana" w:cs="Times New Roman"/>
          <w:lang w:eastAsia="es-MX"/>
        </w:rPr>
        <w:t>spectos que otorgan puntaje.</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no entrega de la garantía de seriedad junto con la propuesta.</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acreditación de "circunstancias ocurridas con posterioridad al cierre del proceso"</w:t>
      </w:r>
      <w:r w:rsidR="006B46BB">
        <w:rPr>
          <w:rFonts w:ascii="Verdana" w:eastAsia="Times New Roman" w:hAnsi="Verdana" w:cs="Times New Roman"/>
          <w:lang w:eastAsia="es-MX"/>
        </w:rPr>
        <w:t>.</w:t>
      </w:r>
    </w:p>
    <w:p w14:paraId="72941936" w14:textId="77777777" w:rsidR="000D3985" w:rsidRDefault="00715989" w:rsidP="000D3985">
      <w:pPr>
        <w:spacing w:after="120" w:line="276" w:lineRule="auto"/>
        <w:ind w:firstLine="709"/>
        <w:jc w:val="both"/>
        <w:rPr>
          <w:rFonts w:ascii="Verdana" w:hAnsi="Verdana"/>
        </w:rPr>
      </w:pPr>
      <w:r>
        <w:rPr>
          <w:rFonts w:ascii="Verdana" w:eastAsia="Times New Roman" w:hAnsi="Verdana" w:cs="Times New Roman"/>
          <w:lang w:eastAsia="es-MX"/>
        </w:rPr>
        <w:t>Frente al tercer ítem</w:t>
      </w:r>
      <w:r w:rsidR="006B46BB" w:rsidRPr="006B46BB">
        <w:rPr>
          <w:rFonts w:ascii="Verdana" w:eastAsia="Times New Roman" w:hAnsi="Verdana" w:cs="Times New Roman"/>
          <w:lang w:eastAsia="es-MX"/>
        </w:rPr>
        <w:t xml:space="preserve">, la ley prohíbe que un proponente intente cumplir </w:t>
      </w:r>
      <w:r w:rsidR="006B46BB" w:rsidRPr="006B46BB">
        <w:rPr>
          <w:rFonts w:ascii="Verdana" w:eastAsia="Times New Roman" w:hAnsi="Verdana" w:cs="Times New Roman"/>
          <w:i/>
          <w:iCs/>
          <w:lang w:eastAsia="es-MX"/>
        </w:rPr>
        <w:t>después</w:t>
      </w:r>
      <w:r w:rsidR="006B46BB" w:rsidRPr="006B46BB">
        <w:rPr>
          <w:rFonts w:ascii="Verdana" w:eastAsia="Times New Roman" w:hAnsi="Verdana" w:cs="Times New Roman"/>
          <w:lang w:eastAsia="es-MX"/>
        </w:rPr>
        <w:t xml:space="preserve"> del cierre un requisito que no cumplía </w:t>
      </w:r>
      <w:r w:rsidR="006B46BB" w:rsidRPr="006B46BB">
        <w:rPr>
          <w:rFonts w:ascii="Verdana" w:eastAsia="Times New Roman" w:hAnsi="Verdana" w:cs="Times New Roman"/>
          <w:i/>
          <w:iCs/>
          <w:lang w:eastAsia="es-MX"/>
        </w:rPr>
        <w:t>antes</w:t>
      </w:r>
      <w:r w:rsidR="006B46BB" w:rsidRPr="006B46BB">
        <w:rPr>
          <w:rFonts w:ascii="Verdana" w:eastAsia="Times New Roman" w:hAnsi="Verdana" w:cs="Times New Roman"/>
          <w:lang w:eastAsia="es-MX"/>
        </w:rPr>
        <w:t xml:space="preserve">. Sin embargo, se debe distinguir entre el "requisito" y la "prueba". Lo que prohíbe la norma es que el </w:t>
      </w:r>
      <w:r w:rsidR="006B46BB" w:rsidRPr="006B46BB">
        <w:rPr>
          <w:rFonts w:ascii="Verdana" w:eastAsia="Times New Roman" w:hAnsi="Verdana" w:cs="Times New Roman"/>
          <w:i/>
          <w:iCs/>
          <w:lang w:eastAsia="es-MX"/>
        </w:rPr>
        <w:t>hecho</w:t>
      </w:r>
      <w:r w:rsidR="006B46BB" w:rsidRPr="006B46BB">
        <w:rPr>
          <w:rFonts w:ascii="Verdana" w:eastAsia="Times New Roman" w:hAnsi="Verdana" w:cs="Times New Roman"/>
          <w:lang w:eastAsia="es-MX"/>
        </w:rPr>
        <w:t xml:space="preserve"> (la experiencia, la capacidad financiera, etc.) sea posterior al cierre.</w:t>
      </w:r>
      <w:r w:rsidR="006B46BB" w:rsidRPr="000D3985">
        <w:rPr>
          <w:rFonts w:ascii="Verdana" w:eastAsia="Times New Roman" w:hAnsi="Verdana" w:cs="Times New Roman"/>
          <w:lang w:eastAsia="es-MX"/>
        </w:rPr>
        <w:t xml:space="preserve"> </w:t>
      </w:r>
      <w:r w:rsidR="006B46BB" w:rsidRPr="006B46BB">
        <w:rPr>
          <w:rFonts w:ascii="Verdana" w:eastAsia="Times New Roman" w:hAnsi="Verdana" w:cs="Times New Roman"/>
          <w:lang w:eastAsia="es-MX"/>
        </w:rPr>
        <w:t xml:space="preserve">La </w:t>
      </w:r>
      <w:r w:rsidR="006B46BB" w:rsidRPr="006B46BB">
        <w:rPr>
          <w:rFonts w:ascii="Verdana" w:eastAsia="Times New Roman" w:hAnsi="Verdana" w:cs="Times New Roman"/>
          <w:i/>
          <w:iCs/>
          <w:lang w:eastAsia="es-MX"/>
        </w:rPr>
        <w:t>prueba</w:t>
      </w:r>
      <w:r w:rsidR="006B46BB" w:rsidRPr="006B46BB">
        <w:rPr>
          <w:rFonts w:ascii="Verdana" w:eastAsia="Times New Roman" w:hAnsi="Verdana" w:cs="Times New Roman"/>
          <w:lang w:eastAsia="es-MX"/>
        </w:rPr>
        <w:t xml:space="preserve"> (el documento) sí puede estar fechada con posterioridad al vencimiento, siempre y cuando acredite un hecho que ya había ocurrido </w:t>
      </w:r>
      <w:r w:rsidR="006B46BB" w:rsidRPr="006B46BB">
        <w:rPr>
          <w:rFonts w:ascii="Verdana" w:eastAsia="Times New Roman" w:hAnsi="Verdana" w:cs="Times New Roman"/>
          <w:i/>
          <w:iCs/>
          <w:lang w:eastAsia="es-MX"/>
        </w:rPr>
        <w:t>antes</w:t>
      </w:r>
      <w:r w:rsidR="006B46BB" w:rsidRPr="006B46BB">
        <w:rPr>
          <w:rFonts w:ascii="Verdana" w:eastAsia="Times New Roman" w:hAnsi="Verdana" w:cs="Times New Roman"/>
          <w:lang w:eastAsia="es-MX"/>
        </w:rPr>
        <w:t xml:space="preserve"> del cierre del proceso. </w:t>
      </w:r>
      <w:r w:rsidRPr="000D3985">
        <w:rPr>
          <w:rFonts w:ascii="Verdana" w:eastAsia="Times New Roman" w:hAnsi="Verdana" w:cs="Times New Roman"/>
          <w:lang w:eastAsia="es-MX"/>
        </w:rPr>
        <w:t>Finalmente</w:t>
      </w:r>
      <w:r w:rsidR="006B46BB" w:rsidRPr="000D3985">
        <w:rPr>
          <w:rFonts w:ascii="Verdana" w:eastAsia="Times New Roman" w:hAnsi="Verdana" w:cs="Times New Roman"/>
          <w:lang w:eastAsia="es-MX"/>
        </w:rPr>
        <w:t xml:space="preserve">, es importante </w:t>
      </w:r>
      <w:r w:rsidRPr="000D3985">
        <w:rPr>
          <w:rFonts w:ascii="Verdana" w:eastAsia="Times New Roman" w:hAnsi="Verdana" w:cs="Times New Roman"/>
          <w:lang w:eastAsia="es-MX"/>
        </w:rPr>
        <w:t>aclarar</w:t>
      </w:r>
      <w:r w:rsidR="006B46BB" w:rsidRPr="000D3985">
        <w:rPr>
          <w:rFonts w:ascii="Verdana" w:eastAsia="Times New Roman" w:hAnsi="Verdana" w:cs="Times New Roman"/>
          <w:lang w:eastAsia="es-MX"/>
        </w:rPr>
        <w:t xml:space="preserve"> que las entidades también pueden establecer a </w:t>
      </w:r>
      <w:r w:rsidRPr="000D3985">
        <w:rPr>
          <w:rFonts w:ascii="Verdana" w:eastAsia="Times New Roman" w:hAnsi="Verdana" w:cs="Times New Roman"/>
          <w:lang w:eastAsia="es-MX"/>
        </w:rPr>
        <w:t>través</w:t>
      </w:r>
      <w:r w:rsidR="006B46BB" w:rsidRPr="000D3985">
        <w:rPr>
          <w:rFonts w:ascii="Verdana" w:eastAsia="Times New Roman" w:hAnsi="Verdana" w:cs="Times New Roman"/>
          <w:lang w:eastAsia="es-MX"/>
        </w:rPr>
        <w:t xml:space="preserve"> del pliego de condiciones </w:t>
      </w:r>
      <w:r w:rsidRPr="000D3985">
        <w:rPr>
          <w:rFonts w:ascii="Verdana" w:hAnsi="Verdana"/>
        </w:rPr>
        <w:t xml:space="preserve">causales de rechazo, no obstante están no pueden versar sobre aspectos meramente formales. </w:t>
      </w:r>
    </w:p>
    <w:p w14:paraId="77CEE2AC" w14:textId="77777777" w:rsidR="000D3985" w:rsidRDefault="00715989" w:rsidP="000D3985">
      <w:pPr>
        <w:spacing w:after="120" w:line="276" w:lineRule="auto"/>
        <w:ind w:firstLine="709"/>
        <w:jc w:val="both"/>
        <w:rPr>
          <w:rFonts w:ascii="Verdana" w:hAnsi="Verdana"/>
        </w:rPr>
      </w:pPr>
      <w:r w:rsidRPr="000D3985">
        <w:rPr>
          <w:rFonts w:ascii="Verdana" w:hAnsi="Verdana"/>
        </w:rPr>
        <w:t xml:space="preserve">Así las cosas, </w:t>
      </w:r>
      <w:r w:rsidRPr="000D3985">
        <w:rPr>
          <w:rFonts w:ascii="Verdana" w:eastAsia="Times New Roman" w:hAnsi="Verdana"/>
          <w:lang w:eastAsia="es-MX"/>
        </w:rPr>
        <w:t xml:space="preserve">la "falta de entrega" (omisión) de documentos habilitantes —aquellos que no otorgan puntaje, es un evento subsanable. </w:t>
      </w:r>
      <w:r w:rsidRPr="00715989">
        <w:rPr>
          <w:rFonts w:ascii="Verdana" w:eastAsia="Times New Roman" w:hAnsi="Verdana" w:cs="Times New Roman"/>
          <w:lang w:eastAsia="es-MX"/>
        </w:rPr>
        <w:t xml:space="preserve">La Entidad Estatal tiene el deber de solicitar dichos documentos al proponente, y el proponente tiene el derecho de entregarlos hasta el término de traslado del informe de evaluación , siempre y cuando dichos documentos acrediten el cumplimiento de los requisitos en un momento </w:t>
      </w:r>
      <w:r w:rsidRPr="00715989">
        <w:rPr>
          <w:rFonts w:ascii="Verdana" w:eastAsia="Times New Roman" w:hAnsi="Verdana" w:cs="Times New Roman"/>
          <w:i/>
          <w:iCs/>
          <w:lang w:eastAsia="es-MX"/>
        </w:rPr>
        <w:t>anterior</w:t>
      </w:r>
      <w:r w:rsidRPr="00715989">
        <w:rPr>
          <w:rFonts w:ascii="Verdana" w:eastAsia="Times New Roman" w:hAnsi="Verdana" w:cs="Times New Roman"/>
          <w:lang w:eastAsia="es-MX"/>
        </w:rPr>
        <w:t xml:space="preserve"> al cierre del proceso.</w:t>
      </w:r>
    </w:p>
    <w:p w14:paraId="726F920C" w14:textId="0C579E47" w:rsidR="005564C6" w:rsidRPr="0090008C" w:rsidRDefault="000D3985" w:rsidP="0090008C">
      <w:pPr>
        <w:spacing w:after="120" w:line="276" w:lineRule="auto"/>
        <w:ind w:firstLine="709"/>
        <w:jc w:val="both"/>
        <w:rPr>
          <w:rFonts w:ascii="Verdana" w:hAnsi="Verdana"/>
        </w:rPr>
      </w:pPr>
      <w:r w:rsidRPr="000D3985">
        <w:rPr>
          <w:rFonts w:ascii="Verdana" w:eastAsia="Times New Roman" w:hAnsi="Verdana" w:cs="Times New Roman"/>
          <w:lang w:eastAsia="es-MX"/>
        </w:rPr>
        <w:lastRenderedPageBreak/>
        <w:t xml:space="preserve">Finalmente, </w:t>
      </w:r>
      <w:r w:rsidR="00715989" w:rsidRPr="00715989">
        <w:rPr>
          <w:rFonts w:ascii="Verdana" w:eastAsia="Times New Roman" w:hAnsi="Verdana" w:cs="Times New Roman"/>
          <w:lang w:eastAsia="es-MX"/>
        </w:rPr>
        <w:t>el análisis sobre la subsanación o el rechazo de las ofertas al interior de un procedimiento de selección debe ser realizado por la Entidad Estatal en el caso concreto. Las afirmaciones aquí realizadas no pueden ser interpretadas como juicios de valor sobre circunstancias concretas</w:t>
      </w:r>
      <w:r w:rsidR="0090008C">
        <w:rPr>
          <w:rFonts w:ascii="Verdana" w:hAnsi="Verdana"/>
        </w:rPr>
        <w:t>.</w:t>
      </w:r>
    </w:p>
    <w:p w14:paraId="5A7D60C6"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16F66579"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FE86621" w14:textId="77777777" w:rsidTr="002607A7">
        <w:trPr>
          <w:trHeight w:val="870"/>
        </w:trPr>
        <w:tc>
          <w:tcPr>
            <w:tcW w:w="8647" w:type="dxa"/>
          </w:tcPr>
          <w:p w14:paraId="092FC559" w14:textId="77777777" w:rsidR="0090008C" w:rsidRPr="002165C1" w:rsidRDefault="0090008C" w:rsidP="0090008C">
            <w:pPr>
              <w:pStyle w:val="Prrafodelista"/>
              <w:numPr>
                <w:ilvl w:val="0"/>
                <w:numId w:val="8"/>
              </w:numPr>
              <w:spacing w:line="259" w:lineRule="auto"/>
              <w:contextualSpacing w:val="0"/>
              <w:jc w:val="both"/>
              <w:rPr>
                <w:rFonts w:ascii="Verdana" w:eastAsia="Calibri" w:hAnsi="Verdana" w:cs="Arial"/>
                <w:color w:val="000000"/>
                <w:lang w:eastAsia="es-ES"/>
              </w:rPr>
            </w:pPr>
            <w:r w:rsidRPr="00890EA7">
              <w:rPr>
                <w:rFonts w:ascii="Verdana" w:eastAsia="Calibri" w:hAnsi="Verdana" w:cs="Arial"/>
                <w:color w:val="000000"/>
                <w:lang w:val="es-ES_tradnl"/>
              </w:rPr>
              <w:t>Ley 80 de 1993</w:t>
            </w:r>
            <w:r>
              <w:rPr>
                <w:rFonts w:ascii="Verdana" w:eastAsia="Calibri" w:hAnsi="Verdana" w:cs="Arial"/>
                <w:color w:val="000000"/>
                <w:lang w:val="es-ES_tradnl"/>
              </w:rPr>
              <w:t>, artículos 24.5 literal b) y 30.8</w:t>
            </w:r>
          </w:p>
          <w:p w14:paraId="08B2980A" w14:textId="77777777" w:rsidR="0090008C" w:rsidRPr="00784229" w:rsidRDefault="0090008C" w:rsidP="0090008C">
            <w:pPr>
              <w:pStyle w:val="Prrafodelista"/>
              <w:numPr>
                <w:ilvl w:val="0"/>
                <w:numId w:val="8"/>
              </w:numPr>
              <w:spacing w:line="259" w:lineRule="auto"/>
              <w:contextualSpacing w:val="0"/>
              <w:jc w:val="both"/>
              <w:rPr>
                <w:rFonts w:ascii="Verdana" w:eastAsia="Calibri" w:hAnsi="Verdana" w:cs="Arial"/>
                <w:color w:val="000000"/>
                <w:lang w:eastAsia="es-ES"/>
              </w:rPr>
            </w:pPr>
            <w:r w:rsidRPr="00086C7C">
              <w:rPr>
                <w:rFonts w:ascii="Verdana" w:eastAsia="Calibri" w:hAnsi="Verdana" w:cs="Arial"/>
                <w:color w:val="000000"/>
                <w:lang w:eastAsia="es-ES"/>
              </w:rPr>
              <w:t xml:space="preserve">Ley 1150 de 2007, </w:t>
            </w:r>
            <w:r>
              <w:rPr>
                <w:rFonts w:ascii="Verdana" w:eastAsia="Calibri" w:hAnsi="Verdana" w:cs="Arial"/>
                <w:color w:val="000000" w:themeColor="text1"/>
              </w:rPr>
              <w:t>artículo 5, parágrafo 1, 3 y 4</w:t>
            </w:r>
          </w:p>
          <w:p w14:paraId="467F6DA8" w14:textId="77777777" w:rsidR="0090008C" w:rsidRDefault="0090008C" w:rsidP="0090008C">
            <w:pPr>
              <w:pStyle w:val="Prrafodelista"/>
              <w:numPr>
                <w:ilvl w:val="0"/>
                <w:numId w:val="8"/>
              </w:numPr>
              <w:spacing w:line="259" w:lineRule="auto"/>
              <w:jc w:val="both"/>
              <w:rPr>
                <w:rFonts w:ascii="Verdana" w:eastAsia="Calibri" w:hAnsi="Verdana" w:cs="Arial"/>
                <w:color w:val="000000"/>
                <w:lang w:eastAsia="es-ES"/>
              </w:rPr>
            </w:pPr>
            <w:r w:rsidRPr="3F2B4452">
              <w:rPr>
                <w:rFonts w:ascii="Verdana" w:eastAsia="Calibri" w:hAnsi="Verdana" w:cs="Arial"/>
                <w:color w:val="000000" w:themeColor="text1"/>
                <w:lang w:eastAsia="es-ES"/>
              </w:rPr>
              <w:t>Decreto 1082 de 2015, artículo 2.2.1.1.2.1.3. numeral 5 y 6</w:t>
            </w:r>
          </w:p>
          <w:p w14:paraId="219E9E73" w14:textId="77777777" w:rsidR="0090008C" w:rsidRPr="00CA1687" w:rsidRDefault="0090008C" w:rsidP="0090008C">
            <w:pPr>
              <w:pStyle w:val="Prrafodelista"/>
              <w:numPr>
                <w:ilvl w:val="0"/>
                <w:numId w:val="8"/>
              </w:numPr>
              <w:contextualSpacing w:val="0"/>
              <w:jc w:val="both"/>
              <w:rPr>
                <w:rFonts w:ascii="Verdana" w:eastAsia="Calibri" w:hAnsi="Verdana" w:cs="Arial"/>
                <w:shd w:val="clear" w:color="auto" w:fill="FFFFFF"/>
              </w:rPr>
            </w:pPr>
            <w:r w:rsidRPr="00CA1687">
              <w:rPr>
                <w:rFonts w:ascii="Verdana" w:eastAsia="Calibri" w:hAnsi="Verdana" w:cs="Arial"/>
                <w:color w:val="000000"/>
              </w:rPr>
              <w:t>Ley 1882 de 2018 artículo 5</w:t>
            </w:r>
          </w:p>
          <w:p w14:paraId="5D316224" w14:textId="77777777" w:rsidR="0090008C" w:rsidRPr="003D4546" w:rsidRDefault="0090008C" w:rsidP="0090008C">
            <w:pPr>
              <w:pStyle w:val="Prrafodelista"/>
              <w:numPr>
                <w:ilvl w:val="0"/>
                <w:numId w:val="8"/>
              </w:numPr>
              <w:jc w:val="both"/>
              <w:rPr>
                <w:rFonts w:ascii="Verdana" w:eastAsia="Calibri" w:hAnsi="Verdana" w:cs="Arial"/>
                <w:shd w:val="clear" w:color="auto" w:fill="FFFFFF"/>
              </w:rPr>
            </w:pPr>
            <w:r w:rsidRPr="003D4546">
              <w:rPr>
                <w:rFonts w:ascii="Verdana" w:eastAsia="Calibri" w:hAnsi="Verdana" w:cs="Arial"/>
                <w:shd w:val="clear" w:color="auto" w:fill="FFFFFF"/>
              </w:rPr>
              <w:t xml:space="preserve">CONSEJO DE ESTADO, Sección Tercera, Subsección C. Sentencia del 26 de febrero de 2011. C.P. Jaime Orlando Santofimio. Rad. 36.408. </w:t>
            </w:r>
          </w:p>
          <w:p w14:paraId="4A8EDA0A" w14:textId="77777777" w:rsidR="0090008C" w:rsidRPr="003D4546" w:rsidRDefault="0090008C" w:rsidP="0090008C">
            <w:pPr>
              <w:pStyle w:val="Prrafodelista"/>
              <w:numPr>
                <w:ilvl w:val="0"/>
                <w:numId w:val="8"/>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Sala de Consulta y Servicio Civil. Concepto del 6 de noviembre de 2008. Expediente: 1927. Consejero Ponente: William Zambrano Cetina</w:t>
            </w:r>
          </w:p>
          <w:p w14:paraId="654F9F1A" w14:textId="77777777" w:rsidR="0090008C" w:rsidRPr="003D4546" w:rsidRDefault="0090008C" w:rsidP="0090008C">
            <w:pPr>
              <w:pStyle w:val="Prrafodelista"/>
              <w:numPr>
                <w:ilvl w:val="0"/>
                <w:numId w:val="8"/>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Sección Tercera, Subsección C. Sentencia del 26 de febrero de 2014. C.P. Enrique Gil Botero. Rad. 25.804.</w:t>
            </w:r>
          </w:p>
          <w:p w14:paraId="3A9790BF" w14:textId="77777777" w:rsidR="0090008C" w:rsidRDefault="0090008C" w:rsidP="0090008C">
            <w:pPr>
              <w:pStyle w:val="Prrafodelista"/>
              <w:numPr>
                <w:ilvl w:val="0"/>
                <w:numId w:val="8"/>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Sala de Consulta y Servicio Civil. Concepto del 20 de mayo de 2010. Expediente: 1992. Consejero Ponente: Enrique José Arboleda Perdomo.</w:t>
            </w:r>
          </w:p>
          <w:p w14:paraId="6398C33B" w14:textId="77777777" w:rsidR="0090008C" w:rsidRDefault="0090008C" w:rsidP="0090008C">
            <w:pPr>
              <w:pStyle w:val="Prrafodelista"/>
              <w:numPr>
                <w:ilvl w:val="0"/>
                <w:numId w:val="8"/>
              </w:numPr>
              <w:jc w:val="both"/>
              <w:rPr>
                <w:rFonts w:ascii="Verdana" w:eastAsia="Calibri" w:hAnsi="Verdana" w:cs="Arial"/>
                <w:shd w:val="clear" w:color="auto" w:fill="FFFFFF"/>
              </w:rPr>
            </w:pPr>
            <w:r w:rsidRPr="000D5C19">
              <w:rPr>
                <w:rFonts w:ascii="Verdana" w:eastAsia="Calibri" w:hAnsi="Verdana" w:cs="Arial"/>
                <w:shd w:val="clear" w:color="auto" w:fill="FFFFFF"/>
              </w:rPr>
              <w:t>CONSEJO DE ESTADO. Sección Tercera Subsección B. Sentencia del 27 de abril de 2011. Expediente No. 18.293. C.P. Ponente: Ruth Stella Correa Palacio.</w:t>
            </w:r>
          </w:p>
          <w:p w14:paraId="76869216" w14:textId="77777777" w:rsidR="0090008C" w:rsidRPr="00607549" w:rsidRDefault="0090008C" w:rsidP="0090008C">
            <w:pPr>
              <w:pStyle w:val="Prrafodelista"/>
              <w:numPr>
                <w:ilvl w:val="0"/>
                <w:numId w:val="8"/>
              </w:numPr>
              <w:jc w:val="both"/>
              <w:rPr>
                <w:rFonts w:ascii="Verdana" w:eastAsia="Calibri" w:hAnsi="Verdana" w:cs="Arial"/>
                <w:shd w:val="clear" w:color="auto" w:fill="FFFFFF"/>
              </w:rPr>
            </w:pPr>
            <w:r w:rsidRPr="00607549">
              <w:rPr>
                <w:rFonts w:ascii="Verdana" w:eastAsia="Calibri" w:hAnsi="Verdana" w:cs="Arial"/>
                <w:shd w:val="clear" w:color="auto" w:fill="FFFFFF"/>
              </w:rPr>
              <w:t xml:space="preserve">Agencia Nacional de Contratación Pública – Colombia Compra Eficiente. Concepto C-285 del 20 de mayo de 2022. Consultar en: </w:t>
            </w:r>
            <w:hyperlink r:id="rId13" w:history="1">
              <w:r w:rsidRPr="00413E2E">
                <w:rPr>
                  <w:rStyle w:val="Hipervnculo"/>
                  <w:rFonts w:ascii="Verdana" w:eastAsia="Calibri" w:hAnsi="Verdana" w:cs="Arial"/>
                  <w:shd w:val="clear" w:color="auto" w:fill="FFFFFF"/>
                </w:rPr>
                <w:t>https://relatoria.colombiacompra.gov.co/conceptos/c-285-de-2022/</w:t>
              </w:r>
            </w:hyperlink>
            <w:r>
              <w:rPr>
                <w:rFonts w:ascii="Verdana" w:eastAsia="Calibri" w:hAnsi="Verdana" w:cs="Arial"/>
                <w:shd w:val="clear" w:color="auto" w:fill="FFFFFF"/>
              </w:rPr>
              <w:t xml:space="preserve"> </w:t>
            </w:r>
          </w:p>
          <w:p w14:paraId="239F4629" w14:textId="77777777" w:rsidR="0090008C" w:rsidRDefault="0090008C" w:rsidP="0090008C">
            <w:pPr>
              <w:pStyle w:val="Prrafodelista"/>
              <w:numPr>
                <w:ilvl w:val="0"/>
                <w:numId w:val="8"/>
              </w:numPr>
              <w:jc w:val="both"/>
              <w:rPr>
                <w:rFonts w:ascii="Verdana" w:eastAsia="Calibri" w:hAnsi="Verdana" w:cs="Arial"/>
                <w:shd w:val="clear" w:color="auto" w:fill="FFFFFF"/>
              </w:rPr>
            </w:pPr>
            <w:r w:rsidRPr="00607549">
              <w:rPr>
                <w:rFonts w:ascii="Verdana" w:eastAsia="Calibri" w:hAnsi="Verdana" w:cs="Arial"/>
                <w:shd w:val="clear" w:color="auto" w:fill="FFFFFF"/>
              </w:rPr>
              <w:t xml:space="preserve">Agencia Nacional de Contratación Pública – Colombia Compra Eficiente. Concepto C-447 del 19 de septiembre de 2024. Consultar en: </w:t>
            </w:r>
            <w:hyperlink r:id="rId14" w:history="1">
              <w:r w:rsidRPr="00413E2E">
                <w:rPr>
                  <w:rStyle w:val="Hipervnculo"/>
                  <w:rFonts w:ascii="Verdana" w:eastAsia="Calibri" w:hAnsi="Verdana" w:cs="Arial"/>
                  <w:shd w:val="clear" w:color="auto" w:fill="FFFFFF"/>
                </w:rPr>
                <w:t>https://relatoria.colombiacompra.gov.co/conceptos/c-447-de-2024/</w:t>
              </w:r>
            </w:hyperlink>
            <w:r>
              <w:rPr>
                <w:rFonts w:ascii="Verdana" w:eastAsia="Calibri" w:hAnsi="Verdana" w:cs="Arial"/>
                <w:shd w:val="clear" w:color="auto" w:fill="FFFFFF"/>
              </w:rPr>
              <w:t xml:space="preserve"> </w:t>
            </w:r>
          </w:p>
          <w:p w14:paraId="08CF9DE1" w14:textId="30536996" w:rsidR="00871B59" w:rsidRPr="00AC742F" w:rsidRDefault="0090008C" w:rsidP="0090008C">
            <w:pPr>
              <w:pStyle w:val="Prrafodelista"/>
              <w:widowControl w:val="0"/>
              <w:numPr>
                <w:ilvl w:val="0"/>
                <w:numId w:val="8"/>
              </w:numPr>
              <w:autoSpaceDE w:val="0"/>
              <w:autoSpaceDN w:val="0"/>
              <w:spacing w:after="120" w:line="276" w:lineRule="auto"/>
              <w:jc w:val="both"/>
              <w:rPr>
                <w:rFonts w:ascii="Verdana" w:hAnsi="Verdana" w:cs="Arial"/>
              </w:rPr>
            </w:pPr>
            <w:r w:rsidRPr="0055341A">
              <w:rPr>
                <w:rFonts w:ascii="Verdana" w:eastAsia="Calibri" w:hAnsi="Verdana" w:cs="Arial"/>
                <w:shd w:val="clear" w:color="auto" w:fill="FFFFFF"/>
              </w:rPr>
              <w:t>RODRÍGUEZ TAMAYO, Mauricio Fernando. Evaluación y rechazo de ofertas en la Ley 80 de 1993. Medellín: Librería Jurídica Sánchez, 2016. p. 190.</w:t>
            </w:r>
          </w:p>
        </w:tc>
      </w:tr>
    </w:tbl>
    <w:p w14:paraId="31A2CBF7"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D77A39D"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01CC928F"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759FF2" w14:textId="28135235" w:rsidR="0090008C" w:rsidRPr="000C14B8" w:rsidRDefault="0090008C" w:rsidP="0090008C">
      <w:pPr>
        <w:widowControl w:val="0"/>
        <w:autoSpaceDE w:val="0"/>
        <w:autoSpaceDN w:val="0"/>
        <w:spacing w:after="0" w:line="276" w:lineRule="auto"/>
        <w:jc w:val="both"/>
        <w:rPr>
          <w:rFonts w:ascii="Verdana" w:hAnsi="Verdana" w:cs="Arial"/>
          <w:color w:val="000000" w:themeColor="text1"/>
          <w:shd w:val="clear" w:color="auto" w:fill="FFFFFF"/>
          <w:lang w:val="es-ES"/>
        </w:rPr>
      </w:pPr>
      <w:r w:rsidRPr="3F2B4452">
        <w:rPr>
          <w:rFonts w:ascii="Verdana" w:eastAsia="Calibri" w:hAnsi="Verdana" w:cs="Arial"/>
          <w:color w:val="000000" w:themeColor="text1"/>
          <w:lang w:eastAsia="es-ES"/>
        </w:rPr>
        <w:lastRenderedPageBreak/>
        <w:t xml:space="preserve">Sobre la regla de </w:t>
      </w:r>
      <w:proofErr w:type="spellStart"/>
      <w:r w:rsidRPr="3F2B4452">
        <w:rPr>
          <w:rFonts w:ascii="Verdana" w:eastAsia="Calibri" w:hAnsi="Verdana" w:cs="Arial"/>
          <w:color w:val="000000" w:themeColor="text1"/>
          <w:lang w:eastAsia="es-ES"/>
        </w:rPr>
        <w:t>subsanabilidad</w:t>
      </w:r>
      <w:proofErr w:type="spellEnd"/>
      <w:r w:rsidRPr="3F2B4452">
        <w:rPr>
          <w:rFonts w:ascii="Verdana" w:eastAsia="Calibri" w:hAnsi="Verdana" w:cs="Arial"/>
          <w:color w:val="000000" w:themeColor="text1"/>
          <w:lang w:eastAsia="es-ES"/>
        </w:rPr>
        <w:t xml:space="preserve"> en los procesos de selección, se pronunció esta Subdirección en los conceptos CU-060 del 20 de febrero de 2020, C-282 del 22 de junio de 2021, C-285 del 20 de mayo de 2022, C-882 del 21 de diciembre de 2022, C-965 de 2023, C-447 del 19 de septiembre de 2024</w:t>
      </w:r>
      <w:r>
        <w:rPr>
          <w:rFonts w:ascii="Verdana" w:eastAsia="Aptos" w:hAnsi="Verdana" w:cs="Arial"/>
          <w:shd w:val="clear" w:color="auto" w:fill="FFFFFF"/>
          <w:lang w:val="es-ES"/>
        </w:rPr>
        <w:t xml:space="preserve"> y C</w:t>
      </w:r>
      <w:r w:rsidRPr="3F2B4452">
        <w:rPr>
          <w:rFonts w:ascii="Verdana" w:eastAsia="Calibri" w:hAnsi="Verdana" w:cs="Arial"/>
          <w:color w:val="000000" w:themeColor="text1"/>
          <w:lang w:eastAsia="es-ES"/>
        </w:rPr>
        <w:t>-1009 de 2024 y C-846 del 6 de agosto de 2025, entre otros. Así mismo, esta subdirección ha analizado la carta de presentación de la oferta, entre otros, en</w:t>
      </w:r>
      <w:r w:rsidRPr="3F2B4452">
        <w:rPr>
          <w:rFonts w:ascii="Verdana" w:eastAsia="Calibri" w:hAnsi="Verdana" w:cs="Arial"/>
          <w:lang w:val="es-ES" w:eastAsia="es-ES"/>
        </w:rPr>
        <w:t xml:space="preserve"> los conceptos C-167 del 04 de abril de 2022, C-586 del 19 de septiembre de 2022, C-654 del 10 de octubre de 2022, C-739 del 21 de noviembre de 2022</w:t>
      </w:r>
      <w:r>
        <w:rPr>
          <w:rFonts w:ascii="Verdana" w:eastAsia="Calibri" w:hAnsi="Verdana" w:cs="Arial"/>
          <w:lang w:val="es-ES" w:eastAsia="es-ES"/>
        </w:rPr>
        <w:t>,</w:t>
      </w:r>
      <w:r w:rsidRPr="3F2B4452">
        <w:rPr>
          <w:rFonts w:ascii="Verdana" w:eastAsia="Calibri" w:hAnsi="Verdana" w:cs="Arial"/>
          <w:lang w:val="es-ES" w:eastAsia="es-ES"/>
        </w:rPr>
        <w:t xml:space="preserve"> C-874 del 26 de diciembre de 2022</w:t>
      </w:r>
      <w:r>
        <w:rPr>
          <w:rFonts w:ascii="Verdana" w:eastAsia="Calibri" w:hAnsi="Verdana" w:cs="Arial"/>
          <w:lang w:val="es-ES" w:eastAsia="es-ES"/>
        </w:rPr>
        <w:t xml:space="preserve">, </w:t>
      </w:r>
      <w:r w:rsidRPr="3F2B4452">
        <w:rPr>
          <w:rFonts w:ascii="Verdana" w:eastAsia="Calibri" w:hAnsi="Verdana" w:cs="Arial"/>
          <w:lang w:val="es-ES" w:eastAsia="es-ES"/>
        </w:rPr>
        <w:t xml:space="preserve"> C-216 del 8 de agosto de 2023</w:t>
      </w:r>
      <w:r>
        <w:rPr>
          <w:rFonts w:ascii="Verdana" w:eastAsia="Calibri" w:hAnsi="Verdana" w:cs="Arial"/>
          <w:lang w:val="es-ES" w:eastAsia="es-ES"/>
        </w:rPr>
        <w:t xml:space="preserve"> y C- 1347 de 2025.</w:t>
      </w:r>
      <w:r w:rsidRPr="3F2B4452">
        <w:rPr>
          <w:rFonts w:ascii="Verdana" w:eastAsia="Calibri" w:hAnsi="Verdana" w:cs="Arial"/>
          <w:lang w:val="es-ES" w:eastAsia="es-ES"/>
        </w:rPr>
        <w:t xml:space="preserve"> 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w:t>
      </w:r>
      <w:proofErr w:type="spellStart"/>
      <w:r w:rsidRPr="000C14B8">
        <w:rPr>
          <w:rFonts w:ascii="Verdana" w:hAnsi="Verdana" w:cs="Arial"/>
          <w:color w:val="0563C1" w:themeColor="hyperlink"/>
          <w:u w:val="single"/>
          <w:shd w:val="clear" w:color="auto" w:fill="FFFFFF"/>
          <w:lang w:val="es-ES"/>
        </w:rPr>
        <w:t>busqueda</w:t>
      </w:r>
      <w:proofErr w:type="spellEnd"/>
      <w:r w:rsidRPr="000C14B8">
        <w:rPr>
          <w:rFonts w:ascii="Verdana" w:hAnsi="Verdana" w:cs="Arial"/>
          <w:color w:val="0563C1" w:themeColor="hyperlink"/>
          <w:u w:val="single"/>
          <w:shd w:val="clear" w:color="auto" w:fill="FFFFFF"/>
          <w:lang w:val="es-ES"/>
        </w:rPr>
        <w:t>/conceptos</w:t>
      </w:r>
    </w:p>
    <w:p w14:paraId="79490B94" w14:textId="54932356"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024E29AD"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0BA17D89" w14:textId="77777777" w:rsidR="008815E5" w:rsidRPr="003E2460" w:rsidRDefault="008815E5" w:rsidP="008815E5">
      <w:pPr>
        <w:spacing w:after="0" w:line="240" w:lineRule="auto"/>
        <w:jc w:val="both"/>
        <w:rPr>
          <w:rFonts w:ascii="Verdana" w:hAnsi="Verdana"/>
        </w:rPr>
      </w:pPr>
    </w:p>
    <w:p w14:paraId="4D59A04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2669469" w14:textId="77777777" w:rsidR="008815E5" w:rsidRPr="003E2460" w:rsidRDefault="008815E5" w:rsidP="1F9252E4">
      <w:pPr>
        <w:spacing w:after="0" w:line="240" w:lineRule="auto"/>
        <w:jc w:val="both"/>
        <w:rPr>
          <w:rFonts w:ascii="Verdana" w:hAnsi="Verdana"/>
        </w:rPr>
      </w:pPr>
      <w:r w:rsidRPr="1F9252E4">
        <w:rPr>
          <w:rFonts w:ascii="Verdana" w:hAnsi="Verdana"/>
        </w:rPr>
        <w:t xml:space="preserve">Facebook: </w:t>
      </w:r>
      <w:proofErr w:type="spellStart"/>
      <w:r w:rsidRPr="1F9252E4">
        <w:rPr>
          <w:rStyle w:val="Hipervnculo"/>
          <w:rFonts w:ascii="Verdana" w:hAnsi="Verdana"/>
          <w:color w:val="4472C4" w:themeColor="accent1"/>
        </w:rPr>
        <w:t>ColombiaCompraEficiente</w:t>
      </w:r>
      <w:proofErr w:type="spellEnd"/>
    </w:p>
    <w:p w14:paraId="3458356B"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3706295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026C7C1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6E172DF"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20099CC"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C190E36" w14:textId="14EAAF89" w:rsidR="00871B59" w:rsidRDefault="00C920C9" w:rsidP="00871B59">
      <w:pPr>
        <w:spacing w:line="276" w:lineRule="auto"/>
        <w:jc w:val="center"/>
        <w:rPr>
          <w:rFonts w:ascii="Verdana" w:hAnsi="Verdana" w:cs="Arial"/>
          <w:color w:val="000000"/>
          <w:lang w:val="es-ES_tradnl" w:eastAsia="es-CO"/>
        </w:rPr>
      </w:pPr>
      <w:r w:rsidRPr="00083C07">
        <w:rPr>
          <w:rFonts w:cs="Arial"/>
          <w:noProof/>
          <w:color w:val="000000"/>
          <w:lang w:eastAsia="es-CO"/>
        </w:rPr>
        <w:drawing>
          <wp:inline distT="0" distB="0" distL="0" distR="0" wp14:anchorId="0A5CDB49" wp14:editId="2755420F">
            <wp:extent cx="3771900" cy="1400175"/>
            <wp:effectExtent l="0" t="0" r="0" b="9525"/>
            <wp:docPr id="206969429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tbl>
      <w:tblPr>
        <w:tblStyle w:val="Tablaconcuadrcula"/>
        <w:tblpPr w:leftFromText="141" w:rightFromText="141" w:vertAnchor="text" w:horzAnchor="margin" w:tblpY="-9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B04E3" w:rsidRPr="00EA1223" w14:paraId="07CADA68" w14:textId="77777777" w:rsidTr="00FB04E3">
        <w:trPr>
          <w:trHeight w:val="315"/>
        </w:trPr>
        <w:tc>
          <w:tcPr>
            <w:tcW w:w="893" w:type="dxa"/>
            <w:vAlign w:val="center"/>
            <w:hideMark/>
          </w:tcPr>
          <w:p w14:paraId="30CF1417" w14:textId="77777777" w:rsidR="00FB04E3" w:rsidRPr="00EA1223" w:rsidRDefault="00FB04E3" w:rsidP="00FB04E3">
            <w:pPr>
              <w:contextualSpacing/>
              <w:rPr>
                <w:rFonts w:ascii="Verdana" w:hAnsi="Verdana" w:cs="Arial"/>
                <w:sz w:val="16"/>
                <w:szCs w:val="16"/>
                <w:lang w:val="es-ES" w:eastAsia="es-ES"/>
              </w:rPr>
            </w:pPr>
            <w:r w:rsidRPr="00EA1223">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13427F90" w14:textId="77777777" w:rsidR="00FB04E3" w:rsidRPr="00EA1223" w:rsidRDefault="00FB04E3" w:rsidP="00FB04E3">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79247C8B" w14:textId="77777777" w:rsidR="00FB04E3" w:rsidRPr="00EA1223" w:rsidRDefault="00FB04E3" w:rsidP="00FB04E3">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FB04E3" w:rsidRPr="00EA1223" w14:paraId="2BC36B0B" w14:textId="77777777" w:rsidTr="00FB04E3">
        <w:trPr>
          <w:trHeight w:val="330"/>
        </w:trPr>
        <w:tc>
          <w:tcPr>
            <w:tcW w:w="893" w:type="dxa"/>
            <w:vAlign w:val="center"/>
            <w:hideMark/>
          </w:tcPr>
          <w:p w14:paraId="0C298FA4" w14:textId="77777777" w:rsidR="00FB04E3" w:rsidRPr="00EA1223" w:rsidRDefault="00FB04E3" w:rsidP="00FB04E3">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784179" w14:textId="77777777" w:rsidR="00FB04E3" w:rsidRPr="00EA1223" w:rsidRDefault="00FB04E3" w:rsidP="00FB04E3">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Carlos </w:t>
            </w:r>
            <w:r w:rsidRPr="7DF5FA7F">
              <w:rPr>
                <w:rStyle w:val="normaltextrun"/>
                <w:rFonts w:ascii="Verdana" w:hAnsi="Verdana" w:cs="Arial"/>
                <w:sz w:val="16"/>
                <w:szCs w:val="16"/>
                <w:lang w:val="es-ES"/>
              </w:rPr>
              <w:t>González</w:t>
            </w:r>
            <w:r>
              <w:rPr>
                <w:rStyle w:val="normaltextrun"/>
                <w:rFonts w:ascii="Verdana" w:hAnsi="Verdana" w:cs="Arial"/>
                <w:sz w:val="16"/>
                <w:szCs w:val="16"/>
                <w:lang w:val="es-ES"/>
              </w:rPr>
              <w:t xml:space="preserve"> Vásquez</w:t>
            </w:r>
          </w:p>
          <w:p w14:paraId="6D748FF4" w14:textId="77777777" w:rsidR="00FB04E3" w:rsidRPr="00EA1223" w:rsidRDefault="00FB04E3" w:rsidP="00FB04E3">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FB04E3" w:rsidRPr="00EA1223" w14:paraId="1A0879E6" w14:textId="77777777" w:rsidTr="00FB04E3">
        <w:trPr>
          <w:trHeight w:val="300"/>
        </w:trPr>
        <w:tc>
          <w:tcPr>
            <w:tcW w:w="893" w:type="dxa"/>
            <w:vAlign w:val="center"/>
          </w:tcPr>
          <w:p w14:paraId="02EE51F4" w14:textId="77777777" w:rsidR="00FB04E3" w:rsidRPr="00EA1223" w:rsidRDefault="00FB04E3" w:rsidP="00FB04E3">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CA9FA9" w14:textId="77777777" w:rsidR="00FB04E3" w:rsidRPr="00EA1223" w:rsidRDefault="00FB04E3" w:rsidP="00FB04E3">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775BDBB4" w14:textId="77777777" w:rsidR="00FB04E3" w:rsidRPr="00EA1223" w:rsidRDefault="00FB04E3" w:rsidP="00FB04E3">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w:t>
            </w:r>
            <w:proofErr w:type="spellStart"/>
            <w:r w:rsidRPr="00EA1223">
              <w:rPr>
                <w:rFonts w:ascii="Verdana" w:eastAsia="Calibri" w:hAnsi="Verdana" w:cs="Arial"/>
                <w:sz w:val="16"/>
                <w:szCs w:val="16"/>
                <w:lang w:val="pt-BR" w:eastAsia="es-ES"/>
              </w:rPr>
              <w:t>Gestión</w:t>
            </w:r>
            <w:proofErr w:type="spellEnd"/>
            <w:r w:rsidRPr="00EA1223">
              <w:rPr>
                <w:rFonts w:ascii="Verdana" w:eastAsia="Calibri" w:hAnsi="Verdana" w:cs="Arial"/>
                <w:sz w:val="16"/>
                <w:szCs w:val="16"/>
                <w:lang w:val="pt-BR" w:eastAsia="es-ES"/>
              </w:rPr>
              <w:t xml:space="preserve">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3F0B889E" w14:textId="77777777" w:rsidR="00FB04E3" w:rsidRPr="00FB04E3" w:rsidRDefault="00FB04E3" w:rsidP="00871B59">
      <w:pPr>
        <w:spacing w:line="276" w:lineRule="auto"/>
        <w:jc w:val="center"/>
        <w:rPr>
          <w:rFonts w:ascii="Verdana" w:hAnsi="Verdana" w:cs="Arial"/>
          <w:color w:val="000000"/>
          <w:lang w:eastAsia="es-CO"/>
        </w:rPr>
      </w:pPr>
    </w:p>
    <w:sectPr w:rsidR="00FB04E3" w:rsidRPr="00FB04E3" w:rsidSect="00E45F4B">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0BB9B" w14:textId="77777777" w:rsidR="00D1653E" w:rsidRDefault="00D1653E" w:rsidP="00B30448">
      <w:pPr>
        <w:spacing w:after="0" w:line="240" w:lineRule="auto"/>
      </w:pPr>
      <w:r>
        <w:separator/>
      </w:r>
    </w:p>
  </w:endnote>
  <w:endnote w:type="continuationSeparator" w:id="0">
    <w:p w14:paraId="00977B92" w14:textId="77777777" w:rsidR="00D1653E" w:rsidRDefault="00D1653E" w:rsidP="00B30448">
      <w:pPr>
        <w:spacing w:after="0" w:line="240" w:lineRule="auto"/>
      </w:pPr>
      <w:r>
        <w:continuationSeparator/>
      </w:r>
    </w:p>
  </w:endnote>
  <w:endnote w:type="continuationNotice" w:id="1">
    <w:p w14:paraId="2B2A67D5" w14:textId="77777777" w:rsidR="00D1653E" w:rsidRDefault="00D165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4B001" w14:textId="77777777" w:rsidR="000849D5" w:rsidRDefault="000849D5" w:rsidP="000849D5">
    <w:pPr>
      <w:spacing w:after="0"/>
      <w:rPr>
        <w:rFonts w:ascii="Verdana" w:hAnsi="Verdana"/>
        <w:b/>
        <w:bCs/>
        <w:sz w:val="20"/>
        <w:szCs w:val="20"/>
      </w:rPr>
    </w:pPr>
  </w:p>
  <w:p w14:paraId="29810C87"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6CA5BAD"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2C2BE460"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2AE4F943"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D3B56A2" w14:textId="77777777" w:rsidR="000849D5" w:rsidRPr="007D04B2" w:rsidRDefault="000849D5" w:rsidP="000849D5">
    <w:pPr>
      <w:pStyle w:val="Piedepgina"/>
    </w:pPr>
  </w:p>
  <w:p w14:paraId="58774FC7"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A29D1" w14:textId="77777777" w:rsidR="00D1653E" w:rsidRDefault="00D1653E" w:rsidP="00B30448">
      <w:pPr>
        <w:spacing w:after="0" w:line="240" w:lineRule="auto"/>
      </w:pPr>
      <w:r>
        <w:separator/>
      </w:r>
    </w:p>
  </w:footnote>
  <w:footnote w:type="continuationSeparator" w:id="0">
    <w:p w14:paraId="3A1471E0" w14:textId="77777777" w:rsidR="00D1653E" w:rsidRDefault="00D1653E" w:rsidP="00B30448">
      <w:pPr>
        <w:spacing w:after="0" w:line="240" w:lineRule="auto"/>
      </w:pPr>
      <w:r>
        <w:continuationSeparator/>
      </w:r>
    </w:p>
  </w:footnote>
  <w:footnote w:type="continuationNotice" w:id="1">
    <w:p w14:paraId="5C9606F3" w14:textId="77777777" w:rsidR="00D1653E" w:rsidRDefault="00D1653E">
      <w:pPr>
        <w:spacing w:after="0" w:line="240" w:lineRule="auto"/>
      </w:pPr>
    </w:p>
  </w:footnote>
  <w:footnote w:id="2">
    <w:p w14:paraId="61F9AAD7" w14:textId="77777777" w:rsidR="005564C6" w:rsidRPr="00DC68C5" w:rsidRDefault="005564C6" w:rsidP="005564C6">
      <w:pPr>
        <w:pStyle w:val="Textonotapie"/>
        <w:ind w:firstLine="709"/>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Style w:val="Refdenotaalpie"/>
          <w:rFonts w:ascii="Verdana" w:hAnsi="Verdana" w:cs="Arial"/>
          <w:color w:val="000000"/>
          <w:sz w:val="16"/>
          <w:szCs w:val="16"/>
        </w:rPr>
        <w:t xml:space="preserve"> </w:t>
      </w:r>
      <w:r w:rsidRPr="00DC68C5">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421BE135" w14:textId="77777777" w:rsidR="005564C6" w:rsidRPr="00DC68C5" w:rsidRDefault="005564C6" w:rsidP="005564C6">
      <w:pPr>
        <w:pStyle w:val="Textonotapie"/>
        <w:ind w:firstLine="709"/>
        <w:jc w:val="both"/>
        <w:rPr>
          <w:rFonts w:ascii="Verdana" w:hAnsi="Verdana" w:cs="Arial"/>
          <w:color w:val="000000"/>
          <w:sz w:val="16"/>
          <w:szCs w:val="16"/>
        </w:rPr>
      </w:pPr>
    </w:p>
  </w:footnote>
  <w:footnote w:id="3">
    <w:p w14:paraId="429B85B2" w14:textId="77777777" w:rsidR="005564C6" w:rsidRPr="00D16A5E" w:rsidRDefault="005564C6" w:rsidP="005564C6">
      <w:pPr>
        <w:pStyle w:val="NormalWeb"/>
        <w:shd w:val="clear" w:color="auto" w:fill="FFFFFF" w:themeFill="background1"/>
        <w:spacing w:after="0"/>
        <w:ind w:firstLine="708"/>
        <w:jc w:val="both"/>
        <w:rPr>
          <w:rFonts w:ascii="Verdana" w:hAnsi="Verdana" w:cs="Arial"/>
          <w:sz w:val="16"/>
          <w:szCs w:val="16"/>
          <w:lang w:val="es-ES"/>
        </w:rPr>
      </w:pPr>
      <w:r w:rsidRPr="00D16A5E">
        <w:rPr>
          <w:rStyle w:val="Refdenotaalpie"/>
          <w:rFonts w:ascii="Verdana" w:eastAsia="Arial" w:hAnsi="Verdana" w:cs="Arial"/>
          <w:sz w:val="16"/>
          <w:szCs w:val="16"/>
        </w:rPr>
        <w:footnoteRef/>
      </w:r>
      <w:r w:rsidRPr="00D16A5E">
        <w:rPr>
          <w:rFonts w:ascii="Verdana" w:hAnsi="Verdana" w:cs="Arial"/>
          <w:sz w:val="16"/>
          <w:szCs w:val="16"/>
        </w:rPr>
        <w:t xml:space="preserve"> «</w:t>
      </w:r>
      <w:r w:rsidRPr="00D16A5E">
        <w:rPr>
          <w:rFonts w:ascii="Verdana" w:hAnsi="Verdana" w:cs="Arial"/>
          <w:sz w:val="16"/>
          <w:szCs w:val="16"/>
          <w:shd w:val="clear" w:color="auto" w:fill="FFFFFF"/>
        </w:rPr>
        <w:t>2.2.1.2.1.5.2</w:t>
      </w:r>
      <w:r w:rsidRPr="00D16A5E">
        <w:rPr>
          <w:rFonts w:ascii="Verdana" w:hAnsi="Verdana" w:cs="Arial"/>
          <w:sz w:val="16"/>
          <w:szCs w:val="16"/>
          <w:lang w:val="es-ES"/>
        </w:rPr>
        <w:t>5. Procedimiento para la contratación de mínima cuantía. Las siguientes reglas son aplicables a la contratación cuyo valor no excede del diez por ciento (10%) de la menor cuantía de la Entidad Estatal, independientemente de su objeto:</w:t>
      </w:r>
    </w:p>
    <w:p w14:paraId="6364D687" w14:textId="77777777" w:rsidR="005564C6" w:rsidRPr="00D16A5E" w:rsidRDefault="005564C6" w:rsidP="005564C6">
      <w:pPr>
        <w:pStyle w:val="NormalWeb"/>
        <w:shd w:val="clear" w:color="auto" w:fill="FFFFFF" w:themeFill="background1"/>
        <w:spacing w:after="0"/>
        <w:ind w:firstLine="708"/>
        <w:jc w:val="both"/>
        <w:rPr>
          <w:rFonts w:ascii="Verdana" w:hAnsi="Verdana" w:cs="Arial"/>
          <w:sz w:val="16"/>
          <w:szCs w:val="16"/>
          <w:lang w:val="es-ES"/>
        </w:rPr>
      </w:pPr>
      <w:r w:rsidRPr="3F2B4452">
        <w:rPr>
          <w:rFonts w:ascii="Verdana" w:hAnsi="Verdana" w:cs="Arial"/>
          <w:sz w:val="16"/>
          <w:szCs w:val="16"/>
          <w:lang w:val="es-ES"/>
        </w:rPr>
        <w:t>[…]</w:t>
      </w:r>
    </w:p>
    <w:p w14:paraId="2E86E338" w14:textId="77777777" w:rsidR="005564C6" w:rsidRPr="00D16A5E" w:rsidRDefault="005564C6" w:rsidP="005564C6">
      <w:pPr>
        <w:pStyle w:val="NormalWeb"/>
        <w:shd w:val="clear" w:color="auto" w:fill="FFFFFF" w:themeFill="background1"/>
        <w:spacing w:after="0"/>
        <w:ind w:firstLine="708"/>
        <w:jc w:val="both"/>
        <w:rPr>
          <w:rFonts w:ascii="Verdana" w:hAnsi="Verdana" w:cs="Arial"/>
          <w:sz w:val="16"/>
          <w:szCs w:val="16"/>
          <w:lang w:val="es-ES"/>
        </w:rPr>
      </w:pPr>
      <w:r w:rsidRPr="3F2B4452">
        <w:rPr>
          <w:rFonts w:ascii="Verdana" w:hAnsi="Verdana" w:cs="Arial"/>
          <w:sz w:val="16"/>
          <w:szCs w:val="16"/>
        </w:rPr>
        <w:t>»</w:t>
      </w:r>
      <w:r w:rsidRPr="3F2B4452">
        <w:rPr>
          <w:rFonts w:ascii="Verdana" w:hAnsi="Verdana" w:cs="Arial"/>
          <w:sz w:val="16"/>
          <w:szCs w:val="16"/>
          <w:lang w:val="es-ES"/>
        </w:rPr>
        <w:t>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w:t>
      </w:r>
      <w:hyperlink r:id="rId1">
        <w:r w:rsidRPr="3F2B4452">
          <w:rPr>
            <w:rStyle w:val="Hipervnculo"/>
            <w:rFonts w:ascii="Verdana" w:hAnsi="Verdana" w:cs="Arial"/>
            <w:sz w:val="16"/>
            <w:szCs w:val="16"/>
            <w:lang w:val="es-ES"/>
          </w:rPr>
          <w:t>5 </w:t>
        </w:r>
      </w:hyperlink>
      <w:r w:rsidRPr="3F2B4452">
        <w:rPr>
          <w:rFonts w:ascii="Verdana" w:hAnsi="Verdana" w:cs="Arial"/>
          <w:sz w:val="16"/>
          <w:szCs w:val="16"/>
          <w:lang w:val="es-ES"/>
        </w:rPr>
        <w:t>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r w:rsidRPr="3F2B4452">
        <w:rPr>
          <w:rFonts w:ascii="Verdana" w:hAnsi="Verdana" w:cs="Arial"/>
          <w:sz w:val="16"/>
          <w:szCs w:val="16"/>
        </w:rPr>
        <w:t>»</w:t>
      </w:r>
      <w:r w:rsidRPr="3F2B4452">
        <w:rPr>
          <w:rFonts w:ascii="Verdana" w:hAnsi="Verdana" w:cs="Arial"/>
          <w:sz w:val="16"/>
          <w:szCs w:val="16"/>
          <w:lang w:val="es-ES"/>
        </w:rPr>
        <w:t>.</w:t>
      </w:r>
    </w:p>
  </w:footnote>
  <w:footnote w:id="4">
    <w:p w14:paraId="07C79D96" w14:textId="77777777" w:rsidR="005564C6" w:rsidRPr="00DC68C5" w:rsidRDefault="005564C6" w:rsidP="005564C6">
      <w:pPr>
        <w:pStyle w:val="Textonotapie"/>
        <w:ind w:firstLine="709"/>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0FF5267D" w14:textId="77777777" w:rsidR="005564C6" w:rsidRPr="00DC68C5" w:rsidRDefault="005564C6" w:rsidP="005564C6">
      <w:pPr>
        <w:pStyle w:val="Textonotapie"/>
        <w:ind w:firstLine="709"/>
        <w:jc w:val="both"/>
        <w:rPr>
          <w:rFonts w:ascii="Verdana" w:hAnsi="Verdana" w:cs="Arial"/>
          <w:color w:val="000000"/>
          <w:sz w:val="16"/>
          <w:szCs w:val="16"/>
        </w:rPr>
      </w:pPr>
      <w:r w:rsidRPr="00DC68C5">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4AD23638" w14:textId="77777777" w:rsidR="005564C6" w:rsidRPr="00DC68C5" w:rsidRDefault="005564C6" w:rsidP="005564C6">
      <w:pPr>
        <w:pStyle w:val="Textonotapie"/>
        <w:ind w:firstLine="709"/>
        <w:jc w:val="both"/>
        <w:rPr>
          <w:rFonts w:ascii="Verdana" w:hAnsi="Verdana" w:cs="Arial"/>
          <w:color w:val="000000"/>
          <w:sz w:val="16"/>
          <w:szCs w:val="16"/>
        </w:rPr>
      </w:pPr>
    </w:p>
  </w:footnote>
  <w:footnote w:id="5">
    <w:p w14:paraId="7D76CDA5" w14:textId="77777777" w:rsidR="005564C6" w:rsidRPr="00DC68C5" w:rsidRDefault="005564C6" w:rsidP="005564C6">
      <w:pPr>
        <w:pStyle w:val="Textonotapie"/>
        <w:ind w:firstLine="709"/>
        <w:jc w:val="both"/>
        <w:rPr>
          <w:rFonts w:ascii="Verdana" w:hAnsi="Verdana" w:cs="Arial"/>
          <w:color w:val="000000"/>
          <w:sz w:val="16"/>
          <w:szCs w:val="16"/>
        </w:rPr>
      </w:pPr>
      <w:r w:rsidRPr="00DC68C5">
        <w:rPr>
          <w:rStyle w:val="Refdenotaalpie"/>
          <w:rFonts w:ascii="Verdana" w:hAnsi="Verdana" w:cs="Arial"/>
          <w:sz w:val="16"/>
          <w:szCs w:val="16"/>
        </w:rPr>
        <w:footnoteRef/>
      </w:r>
      <w:r w:rsidRPr="00DC68C5">
        <w:rPr>
          <w:rFonts w:ascii="Verdana" w:hAnsi="Verdana" w:cs="Arial"/>
          <w:sz w:val="16"/>
          <w:szCs w:val="16"/>
        </w:rPr>
        <w:t xml:space="preserve"> </w:t>
      </w:r>
      <w:r w:rsidRPr="00DC68C5">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51BC21D6" w14:textId="77777777" w:rsidR="005564C6" w:rsidRPr="00DC68C5" w:rsidRDefault="005564C6" w:rsidP="005564C6">
      <w:pPr>
        <w:pStyle w:val="Textonotapie"/>
        <w:ind w:firstLine="709"/>
        <w:jc w:val="both"/>
        <w:rPr>
          <w:rFonts w:ascii="Verdana" w:hAnsi="Verdana" w:cs="Arial"/>
          <w:color w:val="000000"/>
          <w:sz w:val="16"/>
          <w:szCs w:val="16"/>
        </w:rPr>
      </w:pPr>
      <w:r w:rsidRPr="00DC68C5">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2" w:history="1">
        <w:r w:rsidRPr="00DC68C5">
          <w:rPr>
            <w:rStyle w:val="Hipervnculo"/>
            <w:rFonts w:ascii="Verdana" w:hAnsi="Verdana" w:cs="Arial"/>
            <w:sz w:val="16"/>
            <w:szCs w:val="16"/>
          </w:rPr>
          <w:t>https://www.colombiacompra.gov.co/circulares?page=2</w:t>
        </w:r>
      </w:hyperlink>
      <w:r w:rsidRPr="00DC68C5">
        <w:rPr>
          <w:rStyle w:val="Hipervnculo"/>
          <w:rFonts w:ascii="Verdana" w:hAnsi="Verdana" w:cs="Arial"/>
          <w:color w:val="000000"/>
          <w:sz w:val="16"/>
          <w:szCs w:val="16"/>
        </w:rPr>
        <w:t xml:space="preserve"> </w:t>
      </w:r>
    </w:p>
  </w:footnote>
  <w:footnote w:id="6">
    <w:p w14:paraId="396AE1FD" w14:textId="77777777" w:rsidR="005564C6" w:rsidRPr="00DC68C5" w:rsidRDefault="005564C6" w:rsidP="005564C6">
      <w:pPr>
        <w:pStyle w:val="Textonotapie"/>
        <w:ind w:firstLine="708"/>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Fonts w:ascii="Verdana" w:hAnsi="Verdana" w:cs="Arial"/>
          <w:color w:val="000000"/>
          <w:sz w:val="16"/>
          <w:szCs w:val="16"/>
        </w:rPr>
        <w:t xml:space="preserve"> CONSEJO DE ESTADO. Sala de Consulta y Servicio Civil. Concepto del 20 de mayo de 2010. Expediente: 1992. Consejero Ponente: Enrique José Arboleda Perdomo.</w:t>
      </w:r>
    </w:p>
    <w:p w14:paraId="546C792E" w14:textId="77777777" w:rsidR="005564C6" w:rsidRPr="00DC68C5" w:rsidRDefault="005564C6" w:rsidP="005564C6">
      <w:pPr>
        <w:pStyle w:val="Textonotapie"/>
        <w:ind w:firstLine="708"/>
        <w:jc w:val="both"/>
        <w:rPr>
          <w:rFonts w:ascii="Verdana" w:hAnsi="Verdana" w:cs="Arial"/>
          <w:color w:val="000000"/>
          <w:sz w:val="16"/>
          <w:szCs w:val="16"/>
        </w:rPr>
      </w:pPr>
    </w:p>
  </w:footnote>
  <w:footnote w:id="7">
    <w:p w14:paraId="6071C47B"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078B9CAC"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8">
    <w:p w14:paraId="12061AE0"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Ley 80 de 1993 “</w:t>
      </w:r>
      <w:r w:rsidRPr="00DC68C5">
        <w:rPr>
          <w:rFonts w:ascii="Verdana" w:eastAsia="Arial" w:hAnsi="Verdana" w:cs="Arial"/>
          <w:bCs/>
          <w:color w:val="000000" w:themeColor="text1"/>
          <w:sz w:val="16"/>
          <w:szCs w:val="16"/>
        </w:rPr>
        <w:t>Articulo 24. Del principio de transparencia. </w:t>
      </w:r>
      <w:r w:rsidRPr="00DC68C5">
        <w:rPr>
          <w:rFonts w:ascii="Verdana" w:eastAsia="Arial" w:hAnsi="Verdana" w:cs="Arial"/>
          <w:color w:val="000000" w:themeColor="text1"/>
          <w:sz w:val="16"/>
          <w:szCs w:val="16"/>
        </w:rPr>
        <w:t xml:space="preserve">En virtud de este principio: </w:t>
      </w:r>
    </w:p>
    <w:p w14:paraId="0F41B32F"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w:t>
      </w:r>
    </w:p>
    <w:p w14:paraId="6683C134" w14:textId="77777777" w:rsidR="005564C6" w:rsidRPr="00DC68C5" w:rsidRDefault="005564C6" w:rsidP="005564C6">
      <w:pP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5o. En los pliegos de condiciones:</w:t>
      </w:r>
    </w:p>
    <w:p w14:paraId="6797CB65" w14:textId="77777777" w:rsidR="005564C6" w:rsidRPr="00DC68C5" w:rsidRDefault="005564C6" w:rsidP="005564C6">
      <w:pP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w:t>
      </w:r>
    </w:p>
    <w:p w14:paraId="4562C3EC" w14:textId="77777777" w:rsidR="005564C6" w:rsidRPr="00DC68C5" w:rsidRDefault="005564C6" w:rsidP="005564C6">
      <w:pP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79031397" w14:textId="77777777" w:rsidR="005564C6" w:rsidRPr="00DC68C5" w:rsidRDefault="005564C6" w:rsidP="005564C6">
      <w:pPr>
        <w:spacing w:after="0" w:line="240" w:lineRule="auto"/>
        <w:ind w:firstLine="709"/>
        <w:jc w:val="both"/>
        <w:rPr>
          <w:rFonts w:ascii="Verdana" w:eastAsia="Arial" w:hAnsi="Verdana" w:cs="Arial"/>
          <w:color w:val="000000" w:themeColor="text1"/>
          <w:sz w:val="16"/>
          <w:szCs w:val="16"/>
        </w:rPr>
      </w:pPr>
    </w:p>
  </w:footnote>
  <w:footnote w:id="9">
    <w:p w14:paraId="0613866A"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36183C0B"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w:t>
      </w:r>
    </w:p>
    <w:p w14:paraId="5AC439ED"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eastAsia="Arial" w:hAnsi="Verdana" w:cs="Arial"/>
          <w:color w:val="000000" w:themeColor="text1"/>
          <w:sz w:val="16"/>
          <w:szCs w:val="16"/>
        </w:rPr>
        <w:t>6. Las causas que dan lugar a rechazar una oferta […]”</w:t>
      </w:r>
    </w:p>
  </w:footnote>
  <w:footnote w:id="10">
    <w:p w14:paraId="34EF2153"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DC68C5">
        <w:rPr>
          <w:rFonts w:ascii="Verdana" w:hAnsi="Verdana" w:cs="Arial"/>
          <w:color w:val="000000" w:themeColor="text1"/>
          <w:sz w:val="16"/>
          <w:szCs w:val="16"/>
          <w:vertAlign w:val="superscript"/>
        </w:rPr>
        <w:footnoteRef/>
      </w:r>
      <w:r w:rsidRPr="00DC68C5">
        <w:rPr>
          <w:rFonts w:ascii="Verdana" w:eastAsia="Arial" w:hAnsi="Verdana" w:cs="Arial"/>
          <w:color w:val="000000" w:themeColor="text1"/>
          <w:sz w:val="16"/>
          <w:szCs w:val="16"/>
        </w:rPr>
        <w:t xml:space="preserve"> CONSEJO DE ESTADO. Sección Tercera Subsección B. Sentencia del 27 de abril de 2011. Expediente No. 18.293. C.P. Ponente: Ruth Stella Correa Palacio. </w:t>
      </w:r>
    </w:p>
    <w:p w14:paraId="54DE3A07" w14:textId="77777777" w:rsidR="005564C6" w:rsidRPr="00DC68C5" w:rsidRDefault="005564C6" w:rsidP="005564C6">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8D3E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1A0D04B6" wp14:editId="007A69C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338987C" wp14:editId="5D3EB8C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8E625CE" w14:textId="77777777" w:rsidR="00515FB5" w:rsidRDefault="00515FB5" w:rsidP="00515FB5">
    <w:pPr>
      <w:pStyle w:val="Encabezado"/>
    </w:pPr>
  </w:p>
  <w:p w14:paraId="5044FDFE" w14:textId="77777777" w:rsidR="00515FB5" w:rsidRDefault="00515FB5" w:rsidP="00515FB5">
    <w:pPr>
      <w:pStyle w:val="Encabezado"/>
    </w:pPr>
  </w:p>
  <w:p w14:paraId="01D0CEEC" w14:textId="77777777" w:rsidR="00515FB5" w:rsidRDefault="00515FB5" w:rsidP="00515FB5">
    <w:pPr>
      <w:pStyle w:val="Encabezado"/>
    </w:pPr>
  </w:p>
  <w:p w14:paraId="429ED873" w14:textId="77777777" w:rsidR="00515FB5" w:rsidRPr="00AB7B56" w:rsidRDefault="00515FB5" w:rsidP="00515FB5">
    <w:pPr>
      <w:pStyle w:val="Encabezado"/>
    </w:pPr>
  </w:p>
  <w:p w14:paraId="62E28DC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8CA6B07"/>
    <w:multiLevelType w:val="multilevel"/>
    <w:tmpl w:val="935CB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3"/>
  </w:num>
  <w:num w:numId="4">
    <w:abstractNumId w:val="0"/>
  </w:num>
  <w:num w:numId="5">
    <w:abstractNumId w:val="9"/>
  </w:num>
  <w:num w:numId="6">
    <w:abstractNumId w:val="1"/>
  </w:num>
  <w:num w:numId="7">
    <w:abstractNumId w:val="4"/>
  </w:num>
  <w:num w:numId="8">
    <w:abstractNumId w:val="7"/>
  </w:num>
  <w:num w:numId="9">
    <w:abstractNumId w:val="6"/>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28A"/>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9428A"/>
    <w:rsid w:val="000A6E0C"/>
    <w:rsid w:val="000A7A56"/>
    <w:rsid w:val="000B1FF7"/>
    <w:rsid w:val="000B2513"/>
    <w:rsid w:val="000B4024"/>
    <w:rsid w:val="000C3C51"/>
    <w:rsid w:val="000C7262"/>
    <w:rsid w:val="000D2A7F"/>
    <w:rsid w:val="000D3985"/>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A5D54"/>
    <w:rsid w:val="002B6E44"/>
    <w:rsid w:val="002B74B1"/>
    <w:rsid w:val="002E1DB5"/>
    <w:rsid w:val="002F6CCB"/>
    <w:rsid w:val="0030461E"/>
    <w:rsid w:val="003107A1"/>
    <w:rsid w:val="0032756A"/>
    <w:rsid w:val="00334EF8"/>
    <w:rsid w:val="00336408"/>
    <w:rsid w:val="0033707E"/>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D160C"/>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64C6"/>
    <w:rsid w:val="00557DA1"/>
    <w:rsid w:val="0056322C"/>
    <w:rsid w:val="0058743A"/>
    <w:rsid w:val="005A4DB0"/>
    <w:rsid w:val="005A7B8E"/>
    <w:rsid w:val="005B012B"/>
    <w:rsid w:val="005B0C87"/>
    <w:rsid w:val="005D23F6"/>
    <w:rsid w:val="005D248E"/>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46BB"/>
    <w:rsid w:val="006B5953"/>
    <w:rsid w:val="006B7A81"/>
    <w:rsid w:val="006C4BAC"/>
    <w:rsid w:val="006C52F3"/>
    <w:rsid w:val="006E7F37"/>
    <w:rsid w:val="006F3B81"/>
    <w:rsid w:val="006F4F79"/>
    <w:rsid w:val="00705B37"/>
    <w:rsid w:val="00711FD9"/>
    <w:rsid w:val="00715989"/>
    <w:rsid w:val="00735062"/>
    <w:rsid w:val="00746BA5"/>
    <w:rsid w:val="00751D23"/>
    <w:rsid w:val="00770577"/>
    <w:rsid w:val="00777666"/>
    <w:rsid w:val="0078159B"/>
    <w:rsid w:val="00782E10"/>
    <w:rsid w:val="0078706B"/>
    <w:rsid w:val="00790836"/>
    <w:rsid w:val="00797131"/>
    <w:rsid w:val="007A3C1D"/>
    <w:rsid w:val="007B285D"/>
    <w:rsid w:val="007C6BC6"/>
    <w:rsid w:val="00801DCA"/>
    <w:rsid w:val="00807D79"/>
    <w:rsid w:val="00813634"/>
    <w:rsid w:val="00822821"/>
    <w:rsid w:val="00831C29"/>
    <w:rsid w:val="00842FEF"/>
    <w:rsid w:val="008431EF"/>
    <w:rsid w:val="008468E0"/>
    <w:rsid w:val="008526E9"/>
    <w:rsid w:val="00863B82"/>
    <w:rsid w:val="00871B59"/>
    <w:rsid w:val="00877D03"/>
    <w:rsid w:val="00877E96"/>
    <w:rsid w:val="008806CA"/>
    <w:rsid w:val="008815E5"/>
    <w:rsid w:val="00887B37"/>
    <w:rsid w:val="008909B9"/>
    <w:rsid w:val="00891DFC"/>
    <w:rsid w:val="008B12B4"/>
    <w:rsid w:val="008B399D"/>
    <w:rsid w:val="008B7914"/>
    <w:rsid w:val="008C5D2A"/>
    <w:rsid w:val="008C7AF4"/>
    <w:rsid w:val="008D529F"/>
    <w:rsid w:val="008F5CC8"/>
    <w:rsid w:val="0090008C"/>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920C9"/>
    <w:rsid w:val="00CA3347"/>
    <w:rsid w:val="00CC299A"/>
    <w:rsid w:val="00CD03E3"/>
    <w:rsid w:val="00CE6BDA"/>
    <w:rsid w:val="00D03DBE"/>
    <w:rsid w:val="00D072C0"/>
    <w:rsid w:val="00D1653E"/>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04E3"/>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050A0"/>
  <w15:docId w15:val="{0198282D-BB91-134C-8352-307AF55D0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259">
    <w:name w:val="citation-259"/>
    <w:basedOn w:val="Fuentedeprrafopredeter"/>
    <w:rsid w:val="005564C6"/>
  </w:style>
  <w:style w:type="character" w:customStyle="1" w:styleId="citation-258">
    <w:name w:val="citation-258"/>
    <w:basedOn w:val="Fuentedeprrafopredeter"/>
    <w:rsid w:val="005564C6"/>
  </w:style>
  <w:style w:type="character" w:customStyle="1" w:styleId="citation-257">
    <w:name w:val="citation-257"/>
    <w:basedOn w:val="Fuentedeprrafopredeter"/>
    <w:rsid w:val="005564C6"/>
  </w:style>
  <w:style w:type="character" w:customStyle="1" w:styleId="citation-256">
    <w:name w:val="citation-256"/>
    <w:basedOn w:val="Fuentedeprrafopredeter"/>
    <w:rsid w:val="005564C6"/>
  </w:style>
  <w:style w:type="character" w:customStyle="1" w:styleId="citation-255">
    <w:name w:val="citation-255"/>
    <w:basedOn w:val="Fuentedeprrafopredeter"/>
    <w:rsid w:val="005564C6"/>
  </w:style>
  <w:style w:type="character" w:customStyle="1" w:styleId="citation-254">
    <w:name w:val="citation-254"/>
    <w:basedOn w:val="Fuentedeprrafopredeter"/>
    <w:rsid w:val="005564C6"/>
  </w:style>
  <w:style w:type="character" w:customStyle="1" w:styleId="citation-253">
    <w:name w:val="citation-253"/>
    <w:basedOn w:val="Fuentedeprrafopredeter"/>
    <w:rsid w:val="005564C6"/>
  </w:style>
  <w:style w:type="character" w:customStyle="1" w:styleId="citation-252">
    <w:name w:val="citation-252"/>
    <w:basedOn w:val="Fuentedeprrafopredeter"/>
    <w:rsid w:val="005564C6"/>
  </w:style>
  <w:style w:type="character" w:customStyle="1" w:styleId="citation-251">
    <w:name w:val="citation-251"/>
    <w:basedOn w:val="Fuentedeprrafopredeter"/>
    <w:rsid w:val="005564C6"/>
  </w:style>
  <w:style w:type="character" w:customStyle="1" w:styleId="citation-250">
    <w:name w:val="citation-250"/>
    <w:basedOn w:val="Fuentedeprrafopredeter"/>
    <w:rsid w:val="006B46BB"/>
  </w:style>
  <w:style w:type="character" w:customStyle="1" w:styleId="citation-249">
    <w:name w:val="citation-249"/>
    <w:basedOn w:val="Fuentedeprrafopredeter"/>
    <w:rsid w:val="006B46BB"/>
  </w:style>
  <w:style w:type="character" w:customStyle="1" w:styleId="citation-248">
    <w:name w:val="citation-248"/>
    <w:basedOn w:val="Fuentedeprrafopredeter"/>
    <w:rsid w:val="006B46BB"/>
  </w:style>
  <w:style w:type="character" w:customStyle="1" w:styleId="citation-247">
    <w:name w:val="citation-247"/>
    <w:basedOn w:val="Fuentedeprrafopredeter"/>
    <w:rsid w:val="006B46BB"/>
  </w:style>
  <w:style w:type="character" w:customStyle="1" w:styleId="citation-267">
    <w:name w:val="citation-267"/>
    <w:basedOn w:val="Fuentedeprrafopredeter"/>
    <w:rsid w:val="00715989"/>
  </w:style>
  <w:style w:type="character" w:customStyle="1" w:styleId="citation-244">
    <w:name w:val="citation-244"/>
    <w:basedOn w:val="Fuentedeprrafopredeter"/>
    <w:rsid w:val="00715989"/>
  </w:style>
  <w:style w:type="character" w:customStyle="1" w:styleId="citation-243">
    <w:name w:val="citation-243"/>
    <w:basedOn w:val="Fuentedeprrafopredeter"/>
    <w:rsid w:val="00715989"/>
  </w:style>
  <w:style w:type="character" w:customStyle="1" w:styleId="citation-242">
    <w:name w:val="citation-242"/>
    <w:basedOn w:val="Fuentedeprrafopredeter"/>
    <w:rsid w:val="00715989"/>
  </w:style>
  <w:style w:type="character" w:customStyle="1" w:styleId="citation-241">
    <w:name w:val="citation-241"/>
    <w:basedOn w:val="Fuentedeprrafopredeter"/>
    <w:rsid w:val="00715989"/>
  </w:style>
  <w:style w:type="character" w:customStyle="1" w:styleId="citation-240">
    <w:name w:val="citation-240"/>
    <w:basedOn w:val="Fuentedeprrafopredeter"/>
    <w:rsid w:val="00715989"/>
  </w:style>
  <w:style w:type="character" w:customStyle="1" w:styleId="citation-172">
    <w:name w:val="citation-172"/>
    <w:basedOn w:val="Fuentedeprrafopredeter"/>
    <w:rsid w:val="00C920C9"/>
  </w:style>
  <w:style w:type="character" w:customStyle="1" w:styleId="citation-171">
    <w:name w:val="citation-171"/>
    <w:basedOn w:val="Fuentedeprrafopredeter"/>
    <w:rsid w:val="00C920C9"/>
  </w:style>
  <w:style w:type="character" w:customStyle="1" w:styleId="citation-170">
    <w:name w:val="citation-170"/>
    <w:basedOn w:val="Fuentedeprrafopredeter"/>
    <w:rsid w:val="00C920C9"/>
  </w:style>
  <w:style w:type="character" w:customStyle="1" w:styleId="citation-169">
    <w:name w:val="citation-169"/>
    <w:basedOn w:val="Fuentedeprrafopredeter"/>
    <w:rsid w:val="00C920C9"/>
  </w:style>
  <w:style w:type="character" w:customStyle="1" w:styleId="citation-168">
    <w:name w:val="citation-168"/>
    <w:basedOn w:val="Fuentedeprrafopredeter"/>
    <w:rsid w:val="00C920C9"/>
  </w:style>
  <w:style w:type="character" w:customStyle="1" w:styleId="citation-167">
    <w:name w:val="citation-167"/>
    <w:basedOn w:val="Fuentedeprrafopredeter"/>
    <w:rsid w:val="00C920C9"/>
  </w:style>
  <w:style w:type="character" w:customStyle="1" w:styleId="citation-166">
    <w:name w:val="citation-166"/>
    <w:basedOn w:val="Fuentedeprrafopredeter"/>
    <w:rsid w:val="00C920C9"/>
  </w:style>
  <w:style w:type="character" w:customStyle="1" w:styleId="citation-165">
    <w:name w:val="citation-165"/>
    <w:basedOn w:val="Fuentedeprrafopredeter"/>
    <w:rsid w:val="00C920C9"/>
  </w:style>
  <w:style w:type="character" w:customStyle="1" w:styleId="citation-164">
    <w:name w:val="citation-164"/>
    <w:basedOn w:val="Fuentedeprrafopredeter"/>
    <w:rsid w:val="00C920C9"/>
  </w:style>
  <w:style w:type="character" w:customStyle="1" w:styleId="citation-163">
    <w:name w:val="citation-163"/>
    <w:basedOn w:val="Fuentedeprrafopredeter"/>
    <w:rsid w:val="00C920C9"/>
  </w:style>
  <w:style w:type="character" w:customStyle="1" w:styleId="citation-162">
    <w:name w:val="citation-162"/>
    <w:basedOn w:val="Fuentedeprrafopredeter"/>
    <w:rsid w:val="00C920C9"/>
  </w:style>
  <w:style w:type="character" w:customStyle="1" w:styleId="citation-161">
    <w:name w:val="citation-161"/>
    <w:basedOn w:val="Fuentedeprrafopredeter"/>
    <w:rsid w:val="00C920C9"/>
  </w:style>
  <w:style w:type="character" w:customStyle="1" w:styleId="citation-160">
    <w:name w:val="citation-160"/>
    <w:basedOn w:val="Fuentedeprrafopredeter"/>
    <w:rsid w:val="00C920C9"/>
  </w:style>
  <w:style w:type="character" w:customStyle="1" w:styleId="citation-159">
    <w:name w:val="citation-159"/>
    <w:basedOn w:val="Fuentedeprrafopredeter"/>
    <w:rsid w:val="00C920C9"/>
  </w:style>
  <w:style w:type="character" w:customStyle="1" w:styleId="citation-158">
    <w:name w:val="citation-158"/>
    <w:basedOn w:val="Fuentedeprrafopredeter"/>
    <w:rsid w:val="00C920C9"/>
  </w:style>
  <w:style w:type="character" w:customStyle="1" w:styleId="citation-157">
    <w:name w:val="citation-157"/>
    <w:basedOn w:val="Fuentedeprrafopredeter"/>
    <w:rsid w:val="00C920C9"/>
  </w:style>
  <w:style w:type="character" w:customStyle="1" w:styleId="citation-156">
    <w:name w:val="citation-156"/>
    <w:basedOn w:val="Fuentedeprrafopredeter"/>
    <w:rsid w:val="00C920C9"/>
  </w:style>
  <w:style w:type="character" w:customStyle="1" w:styleId="citation-155">
    <w:name w:val="citation-155"/>
    <w:basedOn w:val="Fuentedeprrafopredeter"/>
    <w:rsid w:val="00C920C9"/>
  </w:style>
  <w:style w:type="character" w:customStyle="1" w:styleId="citation-154">
    <w:name w:val="citation-154"/>
    <w:basedOn w:val="Fuentedeprrafopredeter"/>
    <w:rsid w:val="00C920C9"/>
  </w:style>
  <w:style w:type="character" w:customStyle="1" w:styleId="citation-153">
    <w:name w:val="citation-153"/>
    <w:basedOn w:val="Fuentedeprrafopredeter"/>
    <w:rsid w:val="00C920C9"/>
  </w:style>
  <w:style w:type="character" w:customStyle="1" w:styleId="citation-152">
    <w:name w:val="citation-152"/>
    <w:basedOn w:val="Fuentedeprrafopredeter"/>
    <w:rsid w:val="00C920C9"/>
  </w:style>
  <w:style w:type="character" w:customStyle="1" w:styleId="citation-151">
    <w:name w:val="citation-151"/>
    <w:basedOn w:val="Fuentedeprrafopredeter"/>
    <w:rsid w:val="00C920C9"/>
  </w:style>
  <w:style w:type="character" w:customStyle="1" w:styleId="citation-150">
    <w:name w:val="citation-150"/>
    <w:basedOn w:val="Fuentedeprrafopredeter"/>
    <w:rsid w:val="00C920C9"/>
  </w:style>
  <w:style w:type="character" w:customStyle="1" w:styleId="citation-149">
    <w:name w:val="citation-149"/>
    <w:basedOn w:val="Fuentedeprrafopredeter"/>
    <w:rsid w:val="00C920C9"/>
  </w:style>
  <w:style w:type="character" w:customStyle="1" w:styleId="citation-148">
    <w:name w:val="citation-148"/>
    <w:basedOn w:val="Fuentedeprrafopredeter"/>
    <w:rsid w:val="00C92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conceptos/c-285-de-2022/"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corredor@grupoformarte.edu.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conceptos/c-447-de-2024/"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page=2" TargetMode="External"/><Relationship Id="rId1"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7561762B-A02D-4FA2-81CE-4371731B5D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purl.org/dc/terms/"/>
    <ds:schemaRef ds:uri="a6cb9e4b-f1d1-4245-83ec-6cad768d538a"/>
    <ds:schemaRef ds:uri="http://schemas.openxmlformats.org/package/2006/metadata/core-properties"/>
    <ds:schemaRef ds:uri="http://schemas.microsoft.com/office/2006/documentManagement/types"/>
    <ds:schemaRef ds:uri="http://schemas.microsoft.com/office/2006/metadata/properties"/>
    <ds:schemaRef ds:uri="http://purl.org/dc/elements/1.1/"/>
    <ds:schemaRef ds:uri="http://schemas.microsoft.com/office/infopath/2007/PartnerControls"/>
    <ds:schemaRef ds:uri="9d85dbaf-23eb-4e57-a637-93dcacc8b1a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5232</Words>
  <Characters>28776</Characters>
  <Application>Microsoft Office Word</Application>
  <DocSecurity>0</DocSecurity>
  <Lines>239</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2025-11-03T15:56:00Z</dcterms:created>
  <dcterms:modified xsi:type="dcterms:W3CDTF">2025-11-03T15:56:00Z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