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A13795" w14:textId="77777777" w:rsidR="00915C56" w:rsidRPr="006A5743" w:rsidRDefault="00915C56" w:rsidP="00915C56">
      <w:pPr>
        <w:spacing w:line="276" w:lineRule="auto"/>
        <w:jc w:val="both"/>
        <w:rPr>
          <w:rFonts w:ascii="Verdana" w:eastAsia="Century Gothic" w:hAnsi="Verdana" w:cs="Century Gothic"/>
          <w:b/>
        </w:rPr>
      </w:pPr>
      <w:bookmarkStart w:id="0" w:name="_Hlk143780582"/>
      <w:r w:rsidRPr="006A5743">
        <w:rPr>
          <w:rFonts w:ascii="Verdana" w:eastAsia="Century Gothic" w:hAnsi="Verdana" w:cs="Century Gothic"/>
          <w:b/>
        </w:rPr>
        <w:t xml:space="preserve">PROMOCIÓN AL DESARROLLO – Ley 2069 de 2020 – Artículo 34 </w:t>
      </w:r>
    </w:p>
    <w:p w14:paraId="6DDE2645" w14:textId="77777777" w:rsidR="00915C56" w:rsidRPr="006A5743" w:rsidRDefault="00915C56" w:rsidP="00915C56">
      <w:pPr>
        <w:spacing w:after="0" w:line="240" w:lineRule="auto"/>
        <w:jc w:val="both"/>
        <w:rPr>
          <w:rStyle w:val="eop"/>
          <w:rFonts w:ascii="Verdana" w:hAnsi="Verdana" w:cs="Arial"/>
          <w:color w:val="000000"/>
          <w:sz w:val="20"/>
          <w:szCs w:val="20"/>
          <w:shd w:val="clear" w:color="auto" w:fill="FFFFFF"/>
        </w:rPr>
      </w:pPr>
      <w:r w:rsidRPr="006A5743">
        <w:rPr>
          <w:rStyle w:val="normaltextrun"/>
          <w:rFonts w:ascii="Verdana" w:hAnsi="Verdana" w:cs="Arial"/>
          <w:color w:val="000000"/>
          <w:sz w:val="20"/>
          <w:szCs w:val="20"/>
          <w:shd w:val="clear" w:color="auto" w:fill="FFFFFF"/>
          <w:lang w:val="es-ES"/>
        </w:rPr>
        <w:t xml:space="preserve">El artículo 34 de la Ley 2069 de 2020 dispone nuevas reglas sobre la promoción al desarrollo en la contratación estatal. Concretamente, modifica el contenido del artículo 12 de la Ley 1150 de 2007, regulación que se resume en los siguientes aspectos: i) Encomienda, con carácter imperativo, al gobierno nacional definir las condiciones y los montos para que las entidades estatales –cualquiera sea su régimen contractual–, los patrimonios autónomos constituidos por aquellas y los particulares que administren recursos públicos efectúen convocatorias limitadas a MiPymes en los procesos de contratación. Además, agrega que estas convocatorias se pueden realizar también en el ámbito municipal o departamental en el que se ejecute el contrato. </w:t>
      </w:r>
      <w:proofErr w:type="spellStart"/>
      <w:r w:rsidRPr="006A5743">
        <w:rPr>
          <w:rStyle w:val="normaltextrun"/>
          <w:rFonts w:ascii="Verdana" w:hAnsi="Verdana" w:cs="Arial"/>
          <w:color w:val="000000"/>
          <w:sz w:val="20"/>
          <w:szCs w:val="20"/>
          <w:shd w:val="clear" w:color="auto" w:fill="FFFFFF"/>
          <w:lang w:val="es-ES"/>
        </w:rPr>
        <w:t>ii</w:t>
      </w:r>
      <w:proofErr w:type="spellEnd"/>
      <w:r w:rsidRPr="006A5743">
        <w:rPr>
          <w:rStyle w:val="normaltextrun"/>
          <w:rFonts w:ascii="Verdana" w:hAnsi="Verdana" w:cs="Arial"/>
          <w:color w:val="000000"/>
          <w:sz w:val="20"/>
          <w:szCs w:val="20"/>
          <w:shd w:val="clear" w:color="auto" w:fill="FFFFFF"/>
          <w:lang w:val="es-ES"/>
        </w:rPr>
        <w:t>) Indica que dichas convocatorias se deben efectuar –y así lo deberá reglamentar el gobierno nacional– siempre y cuando, antes del acto administrativo de apertura del proceso de selección, por lo menos dos (2) MiPymes hayan manifestado su interés. […]</w:t>
      </w:r>
      <w:r w:rsidRPr="006A5743">
        <w:rPr>
          <w:rStyle w:val="eop"/>
          <w:rFonts w:ascii="Verdana" w:hAnsi="Verdana" w:cs="Arial"/>
          <w:color w:val="000000"/>
          <w:sz w:val="20"/>
          <w:szCs w:val="20"/>
          <w:shd w:val="clear" w:color="auto" w:fill="FFFFFF"/>
        </w:rPr>
        <w:t> </w:t>
      </w:r>
    </w:p>
    <w:p w14:paraId="7E6F086B" w14:textId="77777777" w:rsidR="00915C56" w:rsidRPr="006A5743" w:rsidRDefault="00915C56" w:rsidP="00915C56">
      <w:pPr>
        <w:spacing w:after="0" w:line="240" w:lineRule="auto"/>
        <w:jc w:val="both"/>
        <w:rPr>
          <w:rStyle w:val="eop"/>
          <w:rFonts w:ascii="Verdana" w:hAnsi="Verdana" w:cs="Arial"/>
          <w:color w:val="000000"/>
          <w:sz w:val="20"/>
          <w:szCs w:val="20"/>
          <w:shd w:val="clear" w:color="auto" w:fill="FFFFFF"/>
        </w:rPr>
      </w:pPr>
    </w:p>
    <w:p w14:paraId="04A2EBAF" w14:textId="77777777" w:rsidR="00915C56" w:rsidRPr="006A5743" w:rsidRDefault="00915C56" w:rsidP="00915C56">
      <w:pPr>
        <w:spacing w:after="0" w:line="240" w:lineRule="auto"/>
        <w:jc w:val="both"/>
        <w:rPr>
          <w:rFonts w:ascii="Verdana" w:eastAsia="Century Gothic" w:hAnsi="Verdana" w:cs="Century Gothic"/>
          <w:b/>
        </w:rPr>
      </w:pPr>
      <w:r w:rsidRPr="006A5743">
        <w:rPr>
          <w:rFonts w:ascii="Verdana" w:eastAsia="Century Gothic" w:hAnsi="Verdana" w:cs="Century Gothic"/>
          <w:b/>
        </w:rPr>
        <w:t xml:space="preserve">CONVOCATORIAS LIMITADAS A MIPYMES NACIONALES – Requisitos </w:t>
      </w:r>
    </w:p>
    <w:p w14:paraId="793840F5" w14:textId="77777777" w:rsidR="00915C56" w:rsidRPr="006A5743" w:rsidRDefault="00915C56" w:rsidP="00915C56">
      <w:pPr>
        <w:spacing w:after="0" w:line="240" w:lineRule="auto"/>
        <w:jc w:val="both"/>
        <w:rPr>
          <w:rFonts w:ascii="Verdana" w:eastAsia="Century Gothic" w:hAnsi="Verdana" w:cs="Century Gothic"/>
          <w:b/>
        </w:rPr>
      </w:pPr>
    </w:p>
    <w:p w14:paraId="7E20F388" w14:textId="77777777" w:rsidR="00915C56" w:rsidRPr="006A5743" w:rsidRDefault="00915C56" w:rsidP="00915C56">
      <w:pPr>
        <w:pStyle w:val="paragraph"/>
        <w:spacing w:before="0" w:beforeAutospacing="0" w:after="0" w:afterAutospacing="0"/>
        <w:jc w:val="both"/>
        <w:textAlignment w:val="baseline"/>
        <w:rPr>
          <w:rStyle w:val="eop"/>
          <w:rFonts w:ascii="Verdana" w:hAnsi="Verdana" w:cs="Arial"/>
          <w:color w:val="000000"/>
          <w:sz w:val="20"/>
          <w:szCs w:val="20"/>
        </w:rPr>
      </w:pPr>
      <w:r w:rsidRPr="006A5743">
        <w:rPr>
          <w:rStyle w:val="normaltextrun"/>
          <w:rFonts w:ascii="Verdana" w:hAnsi="Verdana" w:cs="Arial"/>
          <w:color w:val="000000"/>
          <w:sz w:val="20"/>
          <w:szCs w:val="20"/>
        </w:rPr>
        <w:t>El artículo 2.2.1.2.4.2.2. del Decreto 1082 de 2015 establece los requisitos que se deben acreditar en las “convocatorias limitadas a MiPymes”. El primer elemento delimitador del ámbito de aplicación de esta norma deriva del primer inciso en donde se estable que la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MiPymes colombianas con mínimo un (1) año de existencia […]”. Esta redacción obedece a un cambio introducido por el Decreto 1860 de 2021, el cual solo permitía la limitación a MiPymes nacionales en los procedimientos de licitación pública, selección abreviada y concurso de méritos. </w:t>
      </w:r>
      <w:r w:rsidRPr="006A5743">
        <w:rPr>
          <w:rStyle w:val="eop"/>
          <w:rFonts w:ascii="Verdana" w:hAnsi="Verdana" w:cs="Arial"/>
          <w:color w:val="000000"/>
        </w:rPr>
        <w:t> </w:t>
      </w:r>
    </w:p>
    <w:p w14:paraId="512BA469" w14:textId="77777777" w:rsidR="00915C56" w:rsidRPr="006A5743" w:rsidRDefault="00915C56" w:rsidP="00915C56">
      <w:pPr>
        <w:spacing w:after="0" w:line="240" w:lineRule="auto"/>
        <w:jc w:val="both"/>
        <w:rPr>
          <w:rFonts w:ascii="Verdana" w:eastAsia="Century Gothic" w:hAnsi="Verdana" w:cs="Century Gothic"/>
          <w:b/>
        </w:rPr>
      </w:pPr>
    </w:p>
    <w:p w14:paraId="124F41AA" w14:textId="77777777" w:rsidR="00915C56" w:rsidRPr="006A5743" w:rsidRDefault="00915C56" w:rsidP="00915C56">
      <w:pPr>
        <w:spacing w:after="0" w:line="240" w:lineRule="auto"/>
        <w:jc w:val="both"/>
        <w:rPr>
          <w:rFonts w:ascii="Verdana" w:hAnsi="Verdana" w:cs="Arial"/>
          <w:color w:val="000000"/>
          <w:sz w:val="20"/>
          <w:szCs w:val="20"/>
          <w:shd w:val="clear" w:color="auto" w:fill="FFFFFF"/>
        </w:rPr>
      </w:pPr>
      <w:r w:rsidRPr="006A5743">
        <w:rPr>
          <w:rFonts w:ascii="Verdana" w:eastAsia="Century Gothic" w:hAnsi="Verdana" w:cs="Century Gothic"/>
          <w:b/>
        </w:rPr>
        <w:t xml:space="preserve"> CONVOCATORIAS LIMITADAS A MIPYMES EN EL ÁMBITO TERRITORIAL – Limitación territorial – Facultad discrecional </w:t>
      </w:r>
    </w:p>
    <w:p w14:paraId="0596D15B" w14:textId="77777777" w:rsidR="00915C56" w:rsidRPr="006A5743" w:rsidRDefault="00915C56" w:rsidP="00915C56">
      <w:pPr>
        <w:spacing w:after="0"/>
        <w:rPr>
          <w:rFonts w:ascii="Verdana" w:hAnsi="Verdana"/>
        </w:rPr>
      </w:pPr>
    </w:p>
    <w:p w14:paraId="05EA4530" w14:textId="77777777" w:rsidR="00915C56" w:rsidRPr="006A5743" w:rsidRDefault="00915C56" w:rsidP="00915C56">
      <w:pPr>
        <w:pStyle w:val="paragraph"/>
        <w:spacing w:before="0" w:beforeAutospacing="0" w:after="0" w:afterAutospacing="0"/>
        <w:jc w:val="both"/>
        <w:textAlignment w:val="baseline"/>
        <w:rPr>
          <w:rFonts w:ascii="Verdana" w:hAnsi="Verdana" w:cs="Segoe UI"/>
          <w:sz w:val="18"/>
          <w:szCs w:val="18"/>
        </w:rPr>
      </w:pPr>
      <w:r w:rsidRPr="006A5743">
        <w:rPr>
          <w:rStyle w:val="normaltextrun"/>
          <w:rFonts w:ascii="Verdana" w:hAnsi="Verdana" w:cs="Arial"/>
          <w:color w:val="000000"/>
          <w:sz w:val="20"/>
          <w:szCs w:val="20"/>
        </w:rPr>
        <w:t xml:space="preserve">Cumplidos los dos requisitos del artículo 2.2.1.2.4.2.2. </w:t>
      </w:r>
      <w:r w:rsidRPr="006A5743">
        <w:rPr>
          <w:rStyle w:val="normaltextrun"/>
          <w:rFonts w:ascii="Verdana" w:hAnsi="Verdana" w:cs="Arial"/>
          <w:i/>
          <w:iCs/>
          <w:color w:val="000000"/>
          <w:sz w:val="20"/>
          <w:szCs w:val="20"/>
        </w:rPr>
        <w:t>ibidem</w:t>
      </w:r>
      <w:r w:rsidRPr="006A5743">
        <w:rPr>
          <w:rStyle w:val="normaltextrun"/>
          <w:rFonts w:ascii="Verdana" w:hAnsi="Verdana" w:cs="Arial"/>
          <w:color w:val="000000"/>
          <w:sz w:val="20"/>
          <w:szCs w:val="20"/>
        </w:rPr>
        <w:t>, la entidad puede ─no tiene que─ decidir si limita la convocatoria a las MiPymes nacionales domiciliadas en el municipio o departamento en el que se ejecutará el contrato</w:t>
      </w:r>
      <w:r w:rsidRPr="006A5743">
        <w:rPr>
          <w:rStyle w:val="superscript"/>
          <w:rFonts w:ascii="Verdana" w:hAnsi="Verdana" w:cs="Arial"/>
          <w:color w:val="000000"/>
          <w:sz w:val="16"/>
          <w:szCs w:val="16"/>
          <w:vertAlign w:val="superscript"/>
        </w:rPr>
        <w:t>1</w:t>
      </w:r>
      <w:r w:rsidRPr="006A5743">
        <w:rPr>
          <w:rStyle w:val="normaltextrun"/>
          <w:rFonts w:ascii="Verdana" w:hAnsi="Verdana" w:cs="Arial"/>
          <w:color w:val="000000"/>
          <w:sz w:val="20"/>
          <w:szCs w:val="20"/>
        </w:rPr>
        <w:t xml:space="preserve">. Esto de acuerdo con lo establecido en artículo 2.2.1.2.4.2.3. del Decreto 1082 de 2015, norma que se refiere a la facultad de la administración con el verbo infinitivo “poder”, no “deber”. En cualquier caso, Colombia Compra Eficiente ha sostenido que es discrecional la decisión de limitar territorialmente una convocatoria de MiPymes, y ha precisado que, de todos modos, la decisión debe estar justificada en los correspondientes “estudios del sector”. […] los artículos 2.2.1.2.4.2.2 y 2.2.1.2.4.2.3  deben ser interpretados de manera armónica, comoquiera que para proceder a limitar hacer una limitación territoriales es indispensable que se cumplan, no solo el presupuestos establecidos en el artículo 2.2.1.2.4.2.3.–domicilio en el municipio o departamento de ejecución del contrato–, sino también los establecidos en el artículo 2.2.1.2.4.2.2 –valor del proceso de contratación </w:t>
      </w:r>
      <w:r w:rsidRPr="006A5743">
        <w:rPr>
          <w:rStyle w:val="normaltextrun"/>
          <w:rFonts w:ascii="Verdana" w:hAnsi="Verdana" w:cs="Arial"/>
          <w:color w:val="000000"/>
          <w:sz w:val="20"/>
          <w:szCs w:val="20"/>
        </w:rPr>
        <w:lastRenderedPageBreak/>
        <w:t>en el rango indicado y solicitudes de al menos dos MiPymes presentadas oportunamente–. En ese sentido, para que proceda la limitación territorial es necesario que se presenten al menos dos solicitudes de MiPymes domiciliadas en el departamento o municipio en donde se va a ejecutar el contrato.  Este entendimiento de la norma, sin embargo, da lugar a dos interpretaciones sobre las que se deben hacer unas precisiones.</w:t>
      </w:r>
      <w:r w:rsidRPr="006A5743">
        <w:rPr>
          <w:rStyle w:val="eop"/>
          <w:rFonts w:ascii="Verdana" w:hAnsi="Verdana" w:cs="Arial"/>
          <w:color w:val="000000"/>
          <w:sz w:val="20"/>
          <w:szCs w:val="20"/>
        </w:rPr>
        <w:t> </w:t>
      </w:r>
    </w:p>
    <w:p w14:paraId="076CED9A" w14:textId="77777777" w:rsidR="00915C56" w:rsidRDefault="00915C56" w:rsidP="00915C56">
      <w:pPr>
        <w:spacing w:after="0"/>
        <w:rPr>
          <w:rFonts w:ascii="Verdana" w:hAnsi="Verdana"/>
        </w:rPr>
      </w:pPr>
    </w:p>
    <w:p w14:paraId="78E3D208" w14:textId="77777777" w:rsidR="00915C56" w:rsidRDefault="00915C56" w:rsidP="00915C56">
      <w:pPr>
        <w:spacing w:after="0"/>
        <w:rPr>
          <w:rFonts w:ascii="Verdana" w:hAnsi="Verdana"/>
        </w:rPr>
      </w:pPr>
    </w:p>
    <w:p w14:paraId="56FD79BC" w14:textId="77777777" w:rsidR="00915C56" w:rsidRDefault="00915C56" w:rsidP="00915C56">
      <w:pPr>
        <w:spacing w:after="0" w:line="240" w:lineRule="auto"/>
        <w:rPr>
          <w:rFonts w:ascii="Verdana" w:hAnsi="Verdana"/>
        </w:rPr>
      </w:pPr>
    </w:p>
    <w:p w14:paraId="553412D0" w14:textId="77777777" w:rsidR="00915C56" w:rsidRDefault="00915C56" w:rsidP="00915C56">
      <w:pPr>
        <w:spacing w:after="0" w:line="240" w:lineRule="auto"/>
        <w:rPr>
          <w:rFonts w:ascii="Verdana" w:hAnsi="Verdana"/>
        </w:rPr>
      </w:pPr>
    </w:p>
    <w:p w14:paraId="49C29685" w14:textId="77777777" w:rsidR="00915C56" w:rsidRDefault="00915C56" w:rsidP="00915C56">
      <w:pPr>
        <w:spacing w:after="0" w:line="240" w:lineRule="auto"/>
        <w:rPr>
          <w:rFonts w:ascii="Verdana" w:hAnsi="Verdana"/>
        </w:rPr>
      </w:pPr>
    </w:p>
    <w:p w14:paraId="491547CE" w14:textId="77777777" w:rsidR="00915C56" w:rsidRDefault="00915C56" w:rsidP="00915C56">
      <w:pPr>
        <w:spacing w:after="0" w:line="240" w:lineRule="auto"/>
        <w:rPr>
          <w:rFonts w:ascii="Verdana" w:hAnsi="Verdana"/>
        </w:rPr>
      </w:pPr>
    </w:p>
    <w:p w14:paraId="50707B5B" w14:textId="77777777" w:rsidR="00915C56" w:rsidRDefault="00915C56" w:rsidP="00915C56">
      <w:pPr>
        <w:spacing w:after="0" w:line="240" w:lineRule="auto"/>
        <w:rPr>
          <w:rFonts w:ascii="Verdana" w:hAnsi="Verdana"/>
        </w:rPr>
      </w:pPr>
    </w:p>
    <w:p w14:paraId="063943E1" w14:textId="77777777" w:rsidR="00915C56" w:rsidRDefault="00915C56" w:rsidP="00915C56">
      <w:pPr>
        <w:spacing w:after="0" w:line="240" w:lineRule="auto"/>
        <w:rPr>
          <w:rFonts w:ascii="Verdana" w:hAnsi="Verdana"/>
        </w:rPr>
      </w:pPr>
    </w:p>
    <w:p w14:paraId="5DEDBED7" w14:textId="77777777" w:rsidR="00915C56" w:rsidRDefault="00915C56" w:rsidP="00915C56">
      <w:pPr>
        <w:spacing w:after="0" w:line="240" w:lineRule="auto"/>
        <w:rPr>
          <w:rFonts w:ascii="Verdana" w:hAnsi="Verdana"/>
        </w:rPr>
      </w:pPr>
    </w:p>
    <w:p w14:paraId="04BF2F7A" w14:textId="77777777" w:rsidR="00915C56" w:rsidRDefault="00915C56" w:rsidP="00915C56">
      <w:pPr>
        <w:spacing w:after="0" w:line="240" w:lineRule="auto"/>
        <w:rPr>
          <w:rFonts w:ascii="Verdana" w:hAnsi="Verdana"/>
        </w:rPr>
      </w:pPr>
    </w:p>
    <w:p w14:paraId="358D07FB" w14:textId="77777777" w:rsidR="00915C56" w:rsidRDefault="00915C56" w:rsidP="00915C56">
      <w:pPr>
        <w:spacing w:after="0" w:line="240" w:lineRule="auto"/>
        <w:rPr>
          <w:rFonts w:ascii="Verdana" w:hAnsi="Verdana"/>
        </w:rPr>
      </w:pPr>
    </w:p>
    <w:p w14:paraId="7E77E58C" w14:textId="77777777" w:rsidR="00915C56" w:rsidRDefault="00915C56" w:rsidP="00915C56">
      <w:pPr>
        <w:spacing w:after="0" w:line="240" w:lineRule="auto"/>
        <w:rPr>
          <w:rFonts w:ascii="Verdana" w:hAnsi="Verdana"/>
        </w:rPr>
      </w:pPr>
    </w:p>
    <w:p w14:paraId="14ED2E00" w14:textId="77777777" w:rsidR="00915C56" w:rsidRDefault="00915C56" w:rsidP="00E245AB">
      <w:pPr>
        <w:spacing w:after="0"/>
        <w:rPr>
          <w:rFonts w:ascii="Verdana" w:hAnsi="Verdana"/>
        </w:rPr>
      </w:pPr>
    </w:p>
    <w:p w14:paraId="302374F6" w14:textId="77777777" w:rsidR="00915C56" w:rsidRDefault="00915C56" w:rsidP="00E245AB">
      <w:pPr>
        <w:spacing w:after="0"/>
        <w:rPr>
          <w:rFonts w:ascii="Verdana" w:hAnsi="Verdana"/>
        </w:rPr>
      </w:pPr>
    </w:p>
    <w:p w14:paraId="62386CE1" w14:textId="77777777" w:rsidR="00915C56" w:rsidRDefault="00915C56" w:rsidP="00E245AB">
      <w:pPr>
        <w:spacing w:after="0"/>
        <w:rPr>
          <w:rFonts w:ascii="Verdana" w:hAnsi="Verdana"/>
        </w:rPr>
      </w:pPr>
    </w:p>
    <w:p w14:paraId="4334238B" w14:textId="77777777" w:rsidR="00915C56" w:rsidRDefault="00915C56" w:rsidP="00E245AB">
      <w:pPr>
        <w:spacing w:after="0"/>
        <w:rPr>
          <w:rFonts w:ascii="Verdana" w:hAnsi="Verdana"/>
        </w:rPr>
      </w:pPr>
    </w:p>
    <w:p w14:paraId="553E026C" w14:textId="77777777" w:rsidR="00915C56" w:rsidRDefault="00915C56" w:rsidP="00E245AB">
      <w:pPr>
        <w:spacing w:after="0"/>
        <w:rPr>
          <w:rFonts w:ascii="Verdana" w:hAnsi="Verdana"/>
        </w:rPr>
      </w:pPr>
    </w:p>
    <w:p w14:paraId="779CDBC0" w14:textId="77777777" w:rsidR="00915C56" w:rsidRDefault="00915C56" w:rsidP="00E245AB">
      <w:pPr>
        <w:spacing w:after="0"/>
        <w:rPr>
          <w:rFonts w:ascii="Verdana" w:hAnsi="Verdana"/>
        </w:rPr>
      </w:pPr>
    </w:p>
    <w:p w14:paraId="4A55FC3F" w14:textId="77777777" w:rsidR="00915C56" w:rsidRDefault="00915C56" w:rsidP="00E245AB">
      <w:pPr>
        <w:spacing w:after="0"/>
        <w:rPr>
          <w:rFonts w:ascii="Verdana" w:hAnsi="Verdana"/>
        </w:rPr>
      </w:pPr>
    </w:p>
    <w:p w14:paraId="1D06182B" w14:textId="77777777" w:rsidR="00915C56" w:rsidRDefault="00915C56" w:rsidP="00E245AB">
      <w:pPr>
        <w:spacing w:after="0"/>
        <w:rPr>
          <w:rFonts w:ascii="Verdana" w:hAnsi="Verdana"/>
        </w:rPr>
      </w:pPr>
    </w:p>
    <w:p w14:paraId="7C511F3D" w14:textId="77777777" w:rsidR="00915C56" w:rsidRDefault="00915C56" w:rsidP="00E245AB">
      <w:pPr>
        <w:spacing w:after="0"/>
        <w:rPr>
          <w:rFonts w:ascii="Verdana" w:hAnsi="Verdana"/>
        </w:rPr>
      </w:pPr>
    </w:p>
    <w:p w14:paraId="5BE14ECE" w14:textId="77777777" w:rsidR="00915C56" w:rsidRDefault="00915C56" w:rsidP="00E245AB">
      <w:pPr>
        <w:spacing w:after="0"/>
        <w:rPr>
          <w:rFonts w:ascii="Verdana" w:hAnsi="Verdana"/>
        </w:rPr>
      </w:pPr>
    </w:p>
    <w:p w14:paraId="24DA68C1" w14:textId="77777777" w:rsidR="00915C56" w:rsidRDefault="00915C56" w:rsidP="00E245AB">
      <w:pPr>
        <w:spacing w:after="0"/>
        <w:rPr>
          <w:rFonts w:ascii="Verdana" w:hAnsi="Verdana"/>
        </w:rPr>
      </w:pPr>
    </w:p>
    <w:p w14:paraId="6E5C0F4D" w14:textId="77777777" w:rsidR="00915C56" w:rsidRDefault="00915C56" w:rsidP="00E245AB">
      <w:pPr>
        <w:spacing w:after="0"/>
        <w:rPr>
          <w:rFonts w:ascii="Verdana" w:hAnsi="Verdana"/>
        </w:rPr>
      </w:pPr>
    </w:p>
    <w:p w14:paraId="6111AFED" w14:textId="77777777" w:rsidR="00915C56" w:rsidRDefault="00915C56" w:rsidP="00E245AB">
      <w:pPr>
        <w:spacing w:after="0"/>
        <w:rPr>
          <w:rFonts w:ascii="Verdana" w:hAnsi="Verdana"/>
        </w:rPr>
      </w:pPr>
    </w:p>
    <w:p w14:paraId="03C4E967" w14:textId="77777777" w:rsidR="00915C56" w:rsidRDefault="00915C56" w:rsidP="00E245AB">
      <w:pPr>
        <w:spacing w:after="0"/>
        <w:rPr>
          <w:rFonts w:ascii="Verdana" w:hAnsi="Verdana"/>
        </w:rPr>
      </w:pPr>
    </w:p>
    <w:p w14:paraId="4B954A93" w14:textId="77777777" w:rsidR="00915C56" w:rsidRDefault="00915C56" w:rsidP="00E245AB">
      <w:pPr>
        <w:spacing w:after="0"/>
        <w:rPr>
          <w:rFonts w:ascii="Verdana" w:hAnsi="Verdana"/>
        </w:rPr>
      </w:pPr>
    </w:p>
    <w:p w14:paraId="690F7E0E" w14:textId="77777777" w:rsidR="00915C56" w:rsidRDefault="00915C56" w:rsidP="00E245AB">
      <w:pPr>
        <w:spacing w:after="0"/>
        <w:rPr>
          <w:rFonts w:ascii="Verdana" w:hAnsi="Verdana"/>
        </w:rPr>
      </w:pPr>
    </w:p>
    <w:p w14:paraId="1C8B2AC8" w14:textId="77777777" w:rsidR="00915C56" w:rsidRDefault="00915C56" w:rsidP="00E245AB">
      <w:pPr>
        <w:spacing w:after="0"/>
        <w:rPr>
          <w:rFonts w:ascii="Verdana" w:hAnsi="Verdana"/>
        </w:rPr>
      </w:pPr>
    </w:p>
    <w:p w14:paraId="4E5A4943" w14:textId="77777777" w:rsidR="00915C56" w:rsidRDefault="00915C56" w:rsidP="00E245AB">
      <w:pPr>
        <w:spacing w:after="0"/>
        <w:rPr>
          <w:rFonts w:ascii="Verdana" w:hAnsi="Verdana"/>
        </w:rPr>
      </w:pPr>
    </w:p>
    <w:p w14:paraId="7C7D95F3" w14:textId="77777777" w:rsidR="00915C56" w:rsidRDefault="00915C56" w:rsidP="00E245AB">
      <w:pPr>
        <w:spacing w:after="0"/>
        <w:rPr>
          <w:rFonts w:ascii="Verdana" w:hAnsi="Verdana"/>
        </w:rPr>
      </w:pPr>
    </w:p>
    <w:p w14:paraId="6F676216" w14:textId="77777777" w:rsidR="00915C56" w:rsidRDefault="00915C56" w:rsidP="00E245AB">
      <w:pPr>
        <w:spacing w:after="0"/>
        <w:rPr>
          <w:rFonts w:ascii="Verdana" w:hAnsi="Verdana"/>
        </w:rPr>
      </w:pPr>
    </w:p>
    <w:p w14:paraId="4494607F" w14:textId="77777777" w:rsidR="00915C56" w:rsidRDefault="00915C56" w:rsidP="00E245AB">
      <w:pPr>
        <w:spacing w:after="0"/>
        <w:rPr>
          <w:rFonts w:ascii="Verdana" w:hAnsi="Verdana"/>
        </w:rPr>
      </w:pPr>
    </w:p>
    <w:p w14:paraId="3663D049" w14:textId="77777777" w:rsidR="00915C56" w:rsidRDefault="00915C56" w:rsidP="00E245AB">
      <w:pPr>
        <w:spacing w:after="0"/>
        <w:rPr>
          <w:rFonts w:ascii="Verdana" w:hAnsi="Verdana"/>
        </w:rPr>
      </w:pPr>
    </w:p>
    <w:p w14:paraId="0C0BB6BD" w14:textId="77777777" w:rsidR="00915C56" w:rsidRDefault="00915C56" w:rsidP="00E245AB">
      <w:pPr>
        <w:spacing w:after="0"/>
        <w:rPr>
          <w:rFonts w:ascii="Verdana" w:hAnsi="Verdana"/>
        </w:rPr>
      </w:pPr>
    </w:p>
    <w:p w14:paraId="3FE2184B" w14:textId="2E3A423C" w:rsidR="00E245AB" w:rsidRPr="0044528D" w:rsidRDefault="00897A3A" w:rsidP="00E245AB">
      <w:pPr>
        <w:spacing w:after="0"/>
        <w:rPr>
          <w:rFonts w:ascii="Verdana" w:hAnsi="Verdana"/>
        </w:rPr>
      </w:pPr>
      <w:r w:rsidRPr="0044528D">
        <w:rPr>
          <w:rFonts w:ascii="Verdana" w:hAnsi="Verdana"/>
        </w:rPr>
        <w:lastRenderedPageBreak/>
        <w:t xml:space="preserve">Bogotá D.C., </w:t>
      </w:r>
      <w:r w:rsidR="000979C3">
        <w:rPr>
          <w:rFonts w:ascii="Verdana" w:hAnsi="Verdana"/>
        </w:rPr>
        <w:t>26 de octubre de 2025</w:t>
      </w:r>
      <w:r w:rsidR="00891928" w:rsidRPr="0044528D">
        <w:rPr>
          <w:rFonts w:ascii="Verdana" w:hAnsi="Verdana"/>
        </w:rPr>
        <w:tab/>
      </w:r>
    </w:p>
    <w:p w14:paraId="5FCADBF9" w14:textId="77777777" w:rsidR="00E245AB" w:rsidRDefault="00E245AB" w:rsidP="00E245AB">
      <w:pPr>
        <w:spacing w:after="0"/>
        <w:rPr>
          <w:rFonts w:ascii="Verdana" w:hAnsi="Verdana"/>
        </w:rPr>
      </w:pPr>
    </w:p>
    <w:p w14:paraId="770DBBA0" w14:textId="54009D26" w:rsidR="009435D8" w:rsidRDefault="000979C3" w:rsidP="009435D8">
      <w:pPr>
        <w:spacing w:after="0" w:line="240" w:lineRule="auto"/>
        <w:rPr>
          <w:rFonts w:ascii="Verdana" w:hAnsi="Verdana"/>
        </w:rPr>
      </w:pPr>
      <w:r w:rsidRPr="000979C3">
        <w:rPr>
          <w:rFonts w:ascii="Verdana" w:eastAsia="Calibri" w:hAnsi="Verdana" w:cs="Arial"/>
          <w:b/>
          <w:bCs/>
          <w:noProof/>
          <w:lang w:eastAsia="es-ES"/>
        </w:rPr>
        <w:drawing>
          <wp:anchor distT="0" distB="0" distL="114300" distR="114300" simplePos="0" relativeHeight="251658240" behindDoc="1" locked="0" layoutInCell="1" allowOverlap="1" wp14:anchorId="35296BC1" wp14:editId="112F3F03">
            <wp:simplePos x="0" y="0"/>
            <wp:positionH relativeFrom="margin">
              <wp:align>right</wp:align>
            </wp:positionH>
            <wp:positionV relativeFrom="paragraph">
              <wp:posOffset>5328</wp:posOffset>
            </wp:positionV>
            <wp:extent cx="2809875" cy="895350"/>
            <wp:effectExtent l="0" t="0" r="9525" b="0"/>
            <wp:wrapSquare wrapText="bothSides"/>
            <wp:docPr id="3990586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058623" name=""/>
                    <pic:cNvPicPr/>
                  </pic:nvPicPr>
                  <pic:blipFill>
                    <a:blip r:embed="rId10">
                      <a:extLst>
                        <a:ext uri="{28A0092B-C50C-407E-A947-70E740481C1C}">
                          <a14:useLocalDpi xmlns:a14="http://schemas.microsoft.com/office/drawing/2010/main" val="0"/>
                        </a:ext>
                      </a:extLst>
                    </a:blip>
                    <a:stretch>
                      <a:fillRect/>
                    </a:stretch>
                  </pic:blipFill>
                  <pic:spPr>
                    <a:xfrm>
                      <a:off x="0" y="0"/>
                      <a:ext cx="2809875" cy="895350"/>
                    </a:xfrm>
                    <a:prstGeom prst="rect">
                      <a:avLst/>
                    </a:prstGeom>
                  </pic:spPr>
                </pic:pic>
              </a:graphicData>
            </a:graphic>
          </wp:anchor>
        </w:drawing>
      </w:r>
    </w:p>
    <w:p w14:paraId="039645F5" w14:textId="77777777" w:rsidR="009435D8" w:rsidRPr="003E61A0" w:rsidRDefault="009435D8" w:rsidP="009435D8">
      <w:pPr>
        <w:spacing w:after="0" w:line="240" w:lineRule="auto"/>
        <w:jc w:val="both"/>
        <w:rPr>
          <w:rFonts w:ascii="Verdana" w:eastAsia="Calibri" w:hAnsi="Verdana" w:cs="Arial"/>
          <w:lang w:eastAsia="es-ES"/>
        </w:rPr>
      </w:pPr>
      <w:r w:rsidRPr="003E61A0">
        <w:rPr>
          <w:rFonts w:ascii="Verdana" w:eastAsia="Calibri" w:hAnsi="Verdana" w:cs="Arial"/>
          <w:lang w:eastAsia="es-ES"/>
        </w:rPr>
        <w:t>Señor:</w:t>
      </w:r>
      <w:r w:rsidRPr="00E00AE7">
        <w:rPr>
          <w:noProof/>
        </w:rPr>
        <w:t xml:space="preserve"> </w:t>
      </w:r>
    </w:p>
    <w:p w14:paraId="37068AC4" w14:textId="6D7C841E" w:rsidR="009435D8" w:rsidRPr="003E61A0" w:rsidRDefault="009435D8" w:rsidP="009435D8">
      <w:pPr>
        <w:spacing w:after="0" w:line="240" w:lineRule="auto"/>
        <w:rPr>
          <w:rFonts w:ascii="Verdana" w:eastAsia="Calibri" w:hAnsi="Verdana" w:cs="Arial"/>
          <w:b/>
          <w:lang w:eastAsia="es-ES"/>
        </w:rPr>
      </w:pPr>
      <w:r w:rsidRPr="00F43B68">
        <w:rPr>
          <w:rFonts w:ascii="Verdana" w:eastAsia="Calibri" w:hAnsi="Verdana" w:cs="Arial"/>
          <w:b/>
          <w:lang w:eastAsia="es-ES"/>
        </w:rPr>
        <w:t>Carlos Orlando Ochoa Mancipe</w:t>
      </w:r>
    </w:p>
    <w:p w14:paraId="110654FA" w14:textId="2801BBD4" w:rsidR="009435D8" w:rsidRPr="00441F2D" w:rsidRDefault="009435D8" w:rsidP="009435D8">
      <w:pPr>
        <w:spacing w:after="0" w:line="240" w:lineRule="auto"/>
        <w:rPr>
          <w:rFonts w:ascii="Verdana" w:eastAsia="Calibri" w:hAnsi="Verdana" w:cs="Arial"/>
          <w:b/>
          <w:lang w:eastAsia="es-ES"/>
        </w:rPr>
      </w:pPr>
      <w:hyperlink r:id="rId11" w:history="1">
        <w:r w:rsidRPr="006C0D93">
          <w:rPr>
            <w:rStyle w:val="Hipervnculo"/>
            <w:rFonts w:ascii="Verdana" w:hAnsi="Verdana"/>
          </w:rPr>
          <w:t>ferreorientemalaga@outlook.es</w:t>
        </w:r>
      </w:hyperlink>
    </w:p>
    <w:p w14:paraId="3AF6B125" w14:textId="77777777" w:rsidR="009435D8" w:rsidRPr="0064344F" w:rsidRDefault="009435D8" w:rsidP="009435D8">
      <w:pPr>
        <w:spacing w:after="0" w:line="240" w:lineRule="auto"/>
        <w:rPr>
          <w:rFonts w:ascii="Verdana" w:eastAsia="Calibri" w:hAnsi="Verdana" w:cs="Arial"/>
          <w:b/>
          <w:bCs/>
          <w:highlight w:val="cyan"/>
          <w:lang w:eastAsia="es-ES_tradnl"/>
        </w:rPr>
      </w:pPr>
      <w:r>
        <w:rPr>
          <w:rFonts w:ascii="Verdana" w:hAnsi="Verdana"/>
        </w:rPr>
        <w:t>Málaga, Santander</w:t>
      </w:r>
    </w:p>
    <w:p w14:paraId="24F6A65E" w14:textId="77777777" w:rsidR="009435D8" w:rsidRPr="0064344F" w:rsidRDefault="009435D8" w:rsidP="009435D8">
      <w:pPr>
        <w:spacing w:after="0" w:line="240" w:lineRule="auto"/>
        <w:rPr>
          <w:rFonts w:ascii="Verdana" w:eastAsia="Calibri" w:hAnsi="Verdana" w:cs="Arial"/>
          <w:b/>
          <w:bCs/>
          <w:highlight w:val="cyan"/>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029"/>
        <w:gridCol w:w="6760"/>
      </w:tblGrid>
      <w:tr w:rsidR="009435D8" w:rsidRPr="003E61A0" w14:paraId="0F3926C5" w14:textId="77777777" w:rsidTr="005A35A1">
        <w:trPr>
          <w:trHeight w:val="747"/>
        </w:trPr>
        <w:tc>
          <w:tcPr>
            <w:tcW w:w="2029" w:type="dxa"/>
          </w:tcPr>
          <w:p w14:paraId="25593A65" w14:textId="77777777" w:rsidR="009435D8" w:rsidRPr="0064344F" w:rsidRDefault="009435D8" w:rsidP="005A35A1">
            <w:pPr>
              <w:jc w:val="both"/>
              <w:rPr>
                <w:rFonts w:ascii="Verdana" w:eastAsia="Calibri" w:hAnsi="Verdana" w:cs="Arial"/>
                <w:b/>
                <w:bCs/>
                <w:highlight w:val="cyan"/>
                <w:lang w:eastAsia="es-ES_tradnl"/>
              </w:rPr>
            </w:pPr>
          </w:p>
        </w:tc>
        <w:tc>
          <w:tcPr>
            <w:tcW w:w="6760" w:type="dxa"/>
          </w:tcPr>
          <w:p w14:paraId="6B21EACA" w14:textId="0D4966FD" w:rsidR="009435D8" w:rsidRPr="003E61A0" w:rsidRDefault="009435D8" w:rsidP="005A35A1">
            <w:pPr>
              <w:jc w:val="both"/>
              <w:rPr>
                <w:rFonts w:ascii="Verdana" w:eastAsia="Calibri" w:hAnsi="Verdana" w:cs="Arial"/>
                <w:b/>
                <w:bCs/>
                <w:highlight w:val="cyan"/>
                <w:lang w:val="es-ES" w:eastAsia="es-ES"/>
              </w:rPr>
            </w:pPr>
            <w:r w:rsidRPr="003E61A0">
              <w:rPr>
                <w:rFonts w:ascii="Verdana" w:eastAsia="Calibri" w:hAnsi="Verdana" w:cs="Arial"/>
                <w:b/>
                <w:bCs/>
                <w:lang w:val="es-ES" w:eastAsia="es-ES"/>
              </w:rPr>
              <w:t xml:space="preserve">Concepto </w:t>
            </w:r>
            <w:r w:rsidRPr="003E61A0">
              <w:rPr>
                <w:rFonts w:ascii="Verdana" w:eastAsia="Calibri" w:hAnsi="Verdana" w:cs="Arial"/>
                <w:b/>
                <w:bCs/>
                <w:lang w:eastAsia="es-ES"/>
              </w:rPr>
              <w:t>C</w:t>
            </w:r>
            <w:r w:rsidR="000979C3">
              <w:rPr>
                <w:noProof/>
              </w:rPr>
              <w:t xml:space="preserve"> </w:t>
            </w:r>
            <w:r w:rsidRPr="003E61A0">
              <w:rPr>
                <w:rFonts w:ascii="Verdana" w:eastAsia="Calibri" w:hAnsi="Verdana" w:cs="Arial"/>
                <w:b/>
                <w:bCs/>
                <w:lang w:eastAsia="es-ES"/>
              </w:rPr>
              <w:t>-</w:t>
            </w:r>
            <w:r w:rsidR="006F1399">
              <w:rPr>
                <w:rFonts w:ascii="Verdana" w:eastAsia="Calibri" w:hAnsi="Verdana" w:cs="Arial"/>
                <w:b/>
                <w:bCs/>
                <w:lang w:eastAsia="es-ES"/>
              </w:rPr>
              <w:t>1380</w:t>
            </w:r>
            <w:r w:rsidRPr="003E61A0">
              <w:rPr>
                <w:rFonts w:ascii="Verdana" w:eastAsia="Calibri" w:hAnsi="Verdana" w:cs="Arial"/>
                <w:b/>
                <w:bCs/>
                <w:lang w:eastAsia="es-ES"/>
              </w:rPr>
              <w:t xml:space="preserve"> </w:t>
            </w:r>
            <w:r w:rsidRPr="003E61A0">
              <w:rPr>
                <w:rFonts w:ascii="Verdana" w:eastAsia="Calibri" w:hAnsi="Verdana" w:cs="Arial"/>
                <w:b/>
                <w:bCs/>
                <w:lang w:val="es-ES" w:eastAsia="es-ES"/>
              </w:rPr>
              <w:t>de 2025</w:t>
            </w:r>
          </w:p>
        </w:tc>
      </w:tr>
      <w:tr w:rsidR="009435D8" w:rsidRPr="003E61A0" w14:paraId="13C0EEBF" w14:textId="77777777" w:rsidTr="005A35A1">
        <w:trPr>
          <w:trHeight w:val="884"/>
        </w:trPr>
        <w:tc>
          <w:tcPr>
            <w:tcW w:w="2029" w:type="dxa"/>
          </w:tcPr>
          <w:p w14:paraId="1E910FE3" w14:textId="77777777" w:rsidR="009435D8" w:rsidRPr="003E61A0" w:rsidRDefault="009435D8" w:rsidP="005A35A1">
            <w:pPr>
              <w:jc w:val="both"/>
              <w:rPr>
                <w:rFonts w:ascii="Verdana" w:eastAsia="Calibri" w:hAnsi="Verdana" w:cs="Arial"/>
                <w:b/>
                <w:lang w:val="es-ES_tradnl" w:eastAsia="es-ES_tradnl"/>
              </w:rPr>
            </w:pPr>
            <w:r w:rsidRPr="003E61A0">
              <w:rPr>
                <w:rFonts w:ascii="Verdana" w:eastAsia="Calibri" w:hAnsi="Verdana" w:cs="Arial"/>
                <w:b/>
                <w:lang w:val="es-ES_tradnl" w:eastAsia="es-ES_tradnl"/>
              </w:rPr>
              <w:t xml:space="preserve">Temas:                   </w:t>
            </w:r>
          </w:p>
        </w:tc>
        <w:tc>
          <w:tcPr>
            <w:tcW w:w="6760" w:type="dxa"/>
          </w:tcPr>
          <w:p w14:paraId="3E1B3368" w14:textId="77777777" w:rsidR="009435D8" w:rsidRPr="003E61A0" w:rsidRDefault="009435D8" w:rsidP="005A35A1">
            <w:pPr>
              <w:jc w:val="both"/>
              <w:rPr>
                <w:rFonts w:ascii="Verdana" w:eastAsia="Century Gothic" w:hAnsi="Verdana" w:cs="Century Gothic"/>
                <w:bCs/>
              </w:rPr>
            </w:pPr>
            <w:r w:rsidRPr="003E61A0">
              <w:rPr>
                <w:rFonts w:ascii="Verdana" w:eastAsia="Century Gothic" w:hAnsi="Verdana" w:cs="Century Gothic"/>
                <w:bCs/>
              </w:rPr>
              <w:t>PROMOCIÓN AL DESARROLLO – Ley 2069 de 2020 – Artículo 34 / CONVOCATORIAS LIMITADAS A MIPYMES NACIONALES – Requisitos / CONVOCATORIAS LIMITADAS A MIPYMES EN EL ÁMBITO TERRITORIAL – Limitación territorial – Facultad discrecional</w:t>
            </w:r>
            <w:r>
              <w:rPr>
                <w:rFonts w:ascii="Verdana" w:eastAsia="Century Gothic" w:hAnsi="Verdana" w:cs="Century Gothic"/>
                <w:bCs/>
              </w:rPr>
              <w:t>.</w:t>
            </w:r>
            <w:r w:rsidRPr="003E61A0">
              <w:rPr>
                <w:rFonts w:ascii="Verdana" w:eastAsia="Century Gothic" w:hAnsi="Verdana" w:cs="Century Gothic"/>
                <w:bCs/>
              </w:rPr>
              <w:t xml:space="preserve"> </w:t>
            </w:r>
          </w:p>
          <w:p w14:paraId="3490029C" w14:textId="77777777" w:rsidR="009435D8" w:rsidRPr="003E61A0" w:rsidRDefault="009435D8" w:rsidP="005A35A1">
            <w:pPr>
              <w:jc w:val="both"/>
              <w:rPr>
                <w:rFonts w:ascii="Verdana" w:eastAsia="Century Gothic" w:hAnsi="Verdana" w:cs="Century Gothic"/>
                <w:bCs/>
                <w:lang w:val="es-MX"/>
              </w:rPr>
            </w:pPr>
          </w:p>
        </w:tc>
      </w:tr>
      <w:tr w:rsidR="009435D8" w:rsidRPr="003E61A0" w14:paraId="25FD3A8C" w14:textId="77777777" w:rsidTr="005A35A1">
        <w:trPr>
          <w:trHeight w:val="80"/>
        </w:trPr>
        <w:tc>
          <w:tcPr>
            <w:tcW w:w="2029" w:type="dxa"/>
          </w:tcPr>
          <w:p w14:paraId="6B93C138" w14:textId="77777777" w:rsidR="009435D8" w:rsidRPr="003E61A0" w:rsidRDefault="009435D8" w:rsidP="005A35A1">
            <w:pPr>
              <w:jc w:val="both"/>
              <w:rPr>
                <w:rFonts w:ascii="Verdana" w:eastAsia="Calibri" w:hAnsi="Verdana" w:cs="Arial"/>
                <w:b/>
                <w:lang w:val="es-ES_tradnl" w:eastAsia="es-ES_tradnl"/>
              </w:rPr>
            </w:pPr>
            <w:r w:rsidRPr="003E61A0">
              <w:rPr>
                <w:rFonts w:ascii="Verdana" w:eastAsia="Calibri" w:hAnsi="Verdana" w:cs="Arial"/>
                <w:b/>
                <w:lang w:val="es-ES_tradnl" w:eastAsia="es-ES_tradnl"/>
              </w:rPr>
              <w:t>Radicación:</w:t>
            </w:r>
            <w:r w:rsidRPr="003E61A0">
              <w:rPr>
                <w:rFonts w:ascii="Verdana" w:eastAsia="Calibri" w:hAnsi="Verdana" w:cs="Arial"/>
                <w:lang w:val="es-ES_tradnl" w:eastAsia="es-ES_tradnl"/>
              </w:rPr>
              <w:t xml:space="preserve">               </w:t>
            </w:r>
          </w:p>
        </w:tc>
        <w:tc>
          <w:tcPr>
            <w:tcW w:w="6760" w:type="dxa"/>
          </w:tcPr>
          <w:p w14:paraId="1E686527" w14:textId="5C91200B" w:rsidR="009435D8" w:rsidRPr="003E61A0" w:rsidRDefault="009435D8" w:rsidP="005A35A1">
            <w:pPr>
              <w:jc w:val="both"/>
              <w:rPr>
                <w:rFonts w:ascii="Verdana" w:eastAsia="Calibri" w:hAnsi="Verdana" w:cs="Arial"/>
                <w:lang w:eastAsia="es-ES_tradnl"/>
              </w:rPr>
            </w:pPr>
            <w:r w:rsidRPr="003E61A0">
              <w:rPr>
                <w:rFonts w:ascii="Verdana" w:eastAsia="Calibri" w:hAnsi="Verdana" w:cs="Arial"/>
                <w:lang w:val="es-ES_tradnl" w:eastAsia="es-ES_tradnl"/>
              </w:rPr>
              <w:t xml:space="preserve">Respuesta a consulta con radicado No. </w:t>
            </w:r>
            <w:r w:rsidRPr="00441F2D">
              <w:rPr>
                <w:rFonts w:ascii="Verdana" w:eastAsia="Calibri" w:hAnsi="Verdana" w:cs="Arial"/>
                <w:lang w:eastAsia="es-ES_tradnl"/>
              </w:rPr>
              <w:t>1_2025_09_24_010546</w:t>
            </w:r>
          </w:p>
        </w:tc>
      </w:tr>
    </w:tbl>
    <w:p w14:paraId="7EBBDB3B" w14:textId="77777777" w:rsidR="009435D8" w:rsidRPr="003E61A0" w:rsidRDefault="009435D8" w:rsidP="009435D8">
      <w:pPr>
        <w:spacing w:after="0" w:line="240" w:lineRule="auto"/>
        <w:jc w:val="both"/>
        <w:rPr>
          <w:rFonts w:ascii="Verdana" w:eastAsia="Calibri" w:hAnsi="Verdana" w:cs="Arial"/>
          <w:lang w:val="es-ES_tradnl" w:eastAsia="es-ES_tradnl"/>
        </w:rPr>
      </w:pPr>
    </w:p>
    <w:p w14:paraId="07D6667D" w14:textId="77777777" w:rsidR="009435D8" w:rsidRPr="003E61A0" w:rsidRDefault="009435D8" w:rsidP="009435D8">
      <w:pPr>
        <w:spacing w:after="0" w:line="240" w:lineRule="auto"/>
        <w:jc w:val="both"/>
        <w:rPr>
          <w:rFonts w:ascii="Verdana" w:eastAsia="Calibri" w:hAnsi="Verdana" w:cs="Arial"/>
          <w:lang w:val="es-ES_tradnl" w:eastAsia="es-ES_tradnl"/>
        </w:rPr>
      </w:pPr>
    </w:p>
    <w:p w14:paraId="47268D38" w14:textId="77777777" w:rsidR="009435D8" w:rsidRPr="003E61A0" w:rsidRDefault="009435D8" w:rsidP="009435D8">
      <w:pPr>
        <w:spacing w:after="0" w:line="276" w:lineRule="auto"/>
        <w:jc w:val="both"/>
        <w:rPr>
          <w:rFonts w:ascii="Verdana" w:eastAsia="Calibri" w:hAnsi="Verdana" w:cs="Arial"/>
          <w:lang w:val="es-ES" w:eastAsia="es-ES"/>
        </w:rPr>
      </w:pPr>
      <w:r w:rsidRPr="003E61A0">
        <w:rPr>
          <w:rFonts w:ascii="Verdana" w:eastAsia="Calibri" w:hAnsi="Verdana" w:cs="Arial"/>
          <w:lang w:val="es-ES" w:eastAsia="es-ES"/>
        </w:rPr>
        <w:t xml:space="preserve">Estimado señor </w:t>
      </w:r>
      <w:r>
        <w:rPr>
          <w:rFonts w:ascii="Verdana" w:eastAsia="Calibri" w:hAnsi="Verdana" w:cs="Arial"/>
          <w:lang w:val="es-ES" w:eastAsia="es-ES"/>
        </w:rPr>
        <w:t xml:space="preserve">Carlos: </w:t>
      </w:r>
    </w:p>
    <w:p w14:paraId="2D0485F2" w14:textId="77777777" w:rsidR="009435D8" w:rsidRPr="003E61A0" w:rsidRDefault="009435D8" w:rsidP="009435D8">
      <w:pPr>
        <w:tabs>
          <w:tab w:val="left" w:pos="3768"/>
        </w:tabs>
        <w:spacing w:after="0" w:line="276" w:lineRule="auto"/>
        <w:jc w:val="both"/>
        <w:rPr>
          <w:rFonts w:ascii="Verdana" w:eastAsia="Calibri" w:hAnsi="Verdana" w:cs="Arial"/>
          <w:highlight w:val="cyan"/>
          <w:lang w:val="es-ES" w:eastAsia="es-ES"/>
        </w:rPr>
      </w:pPr>
    </w:p>
    <w:p w14:paraId="21935E45" w14:textId="558B0AC6" w:rsidR="009435D8" w:rsidRPr="003E61A0" w:rsidRDefault="009435D8" w:rsidP="009435D8">
      <w:pPr>
        <w:spacing w:after="0" w:line="276" w:lineRule="auto"/>
        <w:jc w:val="both"/>
        <w:rPr>
          <w:rFonts w:ascii="Verdana" w:eastAsia="Calibri" w:hAnsi="Verdana" w:cs="Arial"/>
          <w:lang w:val="es-ES" w:eastAsia="es-ES"/>
        </w:rPr>
      </w:pPr>
      <w:r w:rsidRPr="003E61A0">
        <w:rPr>
          <w:rFonts w:ascii="Verdana" w:eastAsia="Calibri" w:hAnsi="Verdana" w:cs="Arial"/>
          <w:lang w:val="es-ES" w:eastAsia="es-ES"/>
        </w:rPr>
        <w:t>En ejercicio de la competencia otorgada por los artículos 3, numeral 5º, y 11, numeral 8º, del Decreto Ley 4170 de 2011,</w:t>
      </w:r>
      <w:r w:rsidRPr="003E61A0">
        <w:rPr>
          <w:rFonts w:ascii="Verdana" w:eastAsia="Arial MT" w:hAnsi="Verdana" w:cs="Arial MT"/>
          <w:lang w:val="es-ES" w:eastAsia="es-ES"/>
        </w:rPr>
        <w:t xml:space="preserve"> </w:t>
      </w:r>
      <w:r w:rsidRPr="003E61A0">
        <w:rPr>
          <w:rFonts w:ascii="Verdana" w:hAnsi="Verdana" w:cs="Arial"/>
        </w:rPr>
        <w:t xml:space="preserve">así como lo establecido en el artículo 4 de la Resolución 1707 de 2018 expedida por esta Entidad, </w:t>
      </w:r>
      <w:r w:rsidRPr="003E61A0">
        <w:rPr>
          <w:rFonts w:ascii="Verdana" w:eastAsia="Calibri" w:hAnsi="Verdana" w:cs="Arial"/>
          <w:lang w:val="es-ES" w:eastAsia="es-ES"/>
        </w:rPr>
        <w:t xml:space="preserve">la Agencia Nacional de Contratación Pública – Colombia Compra Eficiente– responde su solicitud de consulta de fecha </w:t>
      </w:r>
      <w:r w:rsidR="42694B08" w:rsidRPr="1573AEAB">
        <w:rPr>
          <w:rFonts w:ascii="Verdana" w:eastAsia="Calibri" w:hAnsi="Verdana" w:cs="Arial"/>
          <w:lang w:val="es-ES" w:eastAsia="es-ES"/>
        </w:rPr>
        <w:t>24</w:t>
      </w:r>
      <w:r w:rsidRPr="003E61A0">
        <w:rPr>
          <w:rFonts w:ascii="Verdana" w:eastAsia="Calibri" w:hAnsi="Verdana" w:cs="Arial"/>
          <w:lang w:val="es-ES" w:eastAsia="es-ES"/>
        </w:rPr>
        <w:t xml:space="preserve"> de </w:t>
      </w:r>
      <w:r w:rsidR="42694B08" w:rsidRPr="1573AEAB">
        <w:rPr>
          <w:rFonts w:ascii="Verdana" w:eastAsia="Calibri" w:hAnsi="Verdana" w:cs="Arial"/>
          <w:lang w:val="es-ES" w:eastAsia="es-ES"/>
        </w:rPr>
        <w:t xml:space="preserve">septiembre de </w:t>
      </w:r>
      <w:r w:rsidRPr="1573AEAB">
        <w:rPr>
          <w:rFonts w:ascii="Verdana" w:eastAsia="Calibri" w:hAnsi="Verdana" w:cs="Arial"/>
          <w:lang w:val="es-ES" w:eastAsia="es-ES"/>
        </w:rPr>
        <w:t>202</w:t>
      </w:r>
      <w:r w:rsidR="1EABF5FF" w:rsidRPr="1573AEAB">
        <w:rPr>
          <w:rFonts w:ascii="Verdana" w:eastAsia="Calibri" w:hAnsi="Verdana" w:cs="Arial"/>
          <w:lang w:val="es-ES" w:eastAsia="es-ES"/>
        </w:rPr>
        <w:t>5</w:t>
      </w:r>
      <w:r w:rsidRPr="003E61A0">
        <w:rPr>
          <w:rFonts w:ascii="Verdana" w:eastAsia="Calibri" w:hAnsi="Verdana" w:cs="Arial"/>
          <w:lang w:val="es-ES" w:eastAsia="es-ES"/>
        </w:rPr>
        <w:t xml:space="preserve">, en la cual manifiesta lo siguiente: </w:t>
      </w:r>
    </w:p>
    <w:p w14:paraId="2D94503D" w14:textId="77777777" w:rsidR="009435D8" w:rsidRPr="003E61A0" w:rsidRDefault="009435D8" w:rsidP="009435D8">
      <w:pPr>
        <w:spacing w:after="0" w:line="276" w:lineRule="auto"/>
        <w:jc w:val="both"/>
        <w:rPr>
          <w:rFonts w:ascii="Verdana" w:hAnsi="Verdana"/>
          <w:highlight w:val="cyan"/>
          <w:lang w:val="es-ES"/>
        </w:rPr>
      </w:pPr>
    </w:p>
    <w:p w14:paraId="2DD6FF77" w14:textId="77777777" w:rsidR="009435D8" w:rsidRPr="00AD2FE8" w:rsidRDefault="009435D8" w:rsidP="009435D8">
      <w:pPr>
        <w:spacing w:after="0" w:line="240" w:lineRule="auto"/>
        <w:ind w:left="709" w:right="709"/>
        <w:jc w:val="both"/>
        <w:rPr>
          <w:rFonts w:ascii="Verdana" w:eastAsia="Century Gothic" w:hAnsi="Verdana" w:cs="Century Gothic"/>
          <w:sz w:val="20"/>
          <w:szCs w:val="20"/>
          <w:lang w:val="es-ES"/>
        </w:rPr>
      </w:pPr>
      <w:r w:rsidRPr="00C02F37">
        <w:rPr>
          <w:rFonts w:ascii="Verdana" w:eastAsia="Century Gothic" w:hAnsi="Verdana" w:cs="Century Gothic"/>
          <w:sz w:val="20"/>
          <w:szCs w:val="20"/>
          <w:lang w:val="es-ES"/>
        </w:rPr>
        <w:t xml:space="preserve">“[…] </w:t>
      </w:r>
      <w:r w:rsidRPr="00AD2FE8">
        <w:rPr>
          <w:rFonts w:ascii="Verdana" w:eastAsia="Century Gothic" w:hAnsi="Verdana" w:cs="Century Gothic"/>
          <w:sz w:val="20"/>
          <w:szCs w:val="20"/>
          <w:lang w:val="es-ES"/>
        </w:rPr>
        <w:t>Cordial Saludo,</w:t>
      </w:r>
    </w:p>
    <w:p w14:paraId="2C1340C3" w14:textId="77777777" w:rsidR="009435D8" w:rsidRDefault="009435D8" w:rsidP="009435D8">
      <w:pPr>
        <w:spacing w:after="0" w:line="240" w:lineRule="auto"/>
        <w:ind w:left="709" w:right="709"/>
        <w:jc w:val="both"/>
        <w:rPr>
          <w:rFonts w:ascii="Verdana" w:eastAsia="Century Gothic" w:hAnsi="Verdana" w:cs="Century Gothic"/>
          <w:sz w:val="20"/>
          <w:szCs w:val="20"/>
          <w:lang w:val="es-ES"/>
        </w:rPr>
      </w:pPr>
      <w:r w:rsidRPr="00AD2FE8">
        <w:rPr>
          <w:rFonts w:ascii="Verdana" w:eastAsia="Century Gothic" w:hAnsi="Verdana" w:cs="Century Gothic"/>
          <w:sz w:val="20"/>
          <w:szCs w:val="20"/>
          <w:lang w:val="es-ES"/>
        </w:rPr>
        <w:t xml:space="preserve">Solicito comedidamente me </w:t>
      </w:r>
      <w:proofErr w:type="spellStart"/>
      <w:r w:rsidRPr="00AD2FE8">
        <w:rPr>
          <w:rFonts w:ascii="Verdana" w:eastAsia="Century Gothic" w:hAnsi="Verdana" w:cs="Century Gothic"/>
          <w:sz w:val="20"/>
          <w:szCs w:val="20"/>
          <w:lang w:val="es-ES"/>
        </w:rPr>
        <w:t>de</w:t>
      </w:r>
      <w:proofErr w:type="spellEnd"/>
      <w:r w:rsidRPr="00AD2FE8">
        <w:rPr>
          <w:rFonts w:ascii="Verdana" w:eastAsia="Century Gothic" w:hAnsi="Verdana" w:cs="Century Gothic"/>
          <w:sz w:val="20"/>
          <w:szCs w:val="20"/>
          <w:lang w:val="es-ES"/>
        </w:rPr>
        <w:t xml:space="preserve"> un concepto de los criterios que se deben tener para</w:t>
      </w:r>
      <w:r>
        <w:rPr>
          <w:rFonts w:ascii="Verdana" w:eastAsia="Century Gothic" w:hAnsi="Verdana" w:cs="Century Gothic"/>
          <w:sz w:val="20"/>
          <w:szCs w:val="20"/>
          <w:lang w:val="es-ES"/>
        </w:rPr>
        <w:t xml:space="preserve"> </w:t>
      </w:r>
      <w:r w:rsidRPr="00AD2FE8">
        <w:rPr>
          <w:rFonts w:ascii="Verdana" w:eastAsia="Century Gothic" w:hAnsi="Verdana" w:cs="Century Gothic"/>
          <w:sz w:val="20"/>
          <w:szCs w:val="20"/>
          <w:lang w:val="es-ES"/>
        </w:rPr>
        <w:t xml:space="preserve">poder realizar limitaciones a </w:t>
      </w:r>
      <w:proofErr w:type="spellStart"/>
      <w:r w:rsidRPr="00AD2FE8">
        <w:rPr>
          <w:rFonts w:ascii="Verdana" w:eastAsia="Century Gothic" w:hAnsi="Verdana" w:cs="Century Gothic"/>
          <w:sz w:val="20"/>
          <w:szCs w:val="20"/>
          <w:lang w:val="es-ES"/>
        </w:rPr>
        <w:t>mipyme</w:t>
      </w:r>
      <w:proofErr w:type="spellEnd"/>
      <w:r w:rsidRPr="00AD2FE8">
        <w:rPr>
          <w:rFonts w:ascii="Verdana" w:eastAsia="Century Gothic" w:hAnsi="Verdana" w:cs="Century Gothic"/>
          <w:sz w:val="20"/>
          <w:szCs w:val="20"/>
          <w:lang w:val="es-ES"/>
        </w:rPr>
        <w:t xml:space="preserve"> municipal, toda vez que las empresas están</w:t>
      </w:r>
      <w:r>
        <w:rPr>
          <w:rFonts w:ascii="Verdana" w:eastAsia="Century Gothic" w:hAnsi="Verdana" w:cs="Century Gothic"/>
          <w:sz w:val="20"/>
          <w:szCs w:val="20"/>
          <w:lang w:val="es-ES"/>
        </w:rPr>
        <w:t xml:space="preserve"> </w:t>
      </w:r>
      <w:r w:rsidRPr="00AD2FE8">
        <w:rPr>
          <w:rFonts w:ascii="Verdana" w:eastAsia="Century Gothic" w:hAnsi="Verdana" w:cs="Century Gothic"/>
          <w:sz w:val="20"/>
          <w:szCs w:val="20"/>
          <w:lang w:val="es-ES"/>
        </w:rPr>
        <w:t xml:space="preserve">optando por limitar todos los procesos en las diferentes plataformas a </w:t>
      </w:r>
      <w:proofErr w:type="spellStart"/>
      <w:r w:rsidRPr="00AD2FE8">
        <w:rPr>
          <w:rFonts w:ascii="Verdana" w:eastAsia="Century Gothic" w:hAnsi="Verdana" w:cs="Century Gothic"/>
          <w:sz w:val="20"/>
          <w:szCs w:val="20"/>
          <w:lang w:val="es-ES"/>
        </w:rPr>
        <w:t>mipyme</w:t>
      </w:r>
      <w:proofErr w:type="spellEnd"/>
      <w:r>
        <w:rPr>
          <w:rFonts w:ascii="Verdana" w:eastAsia="Century Gothic" w:hAnsi="Verdana" w:cs="Century Gothic"/>
          <w:sz w:val="20"/>
          <w:szCs w:val="20"/>
          <w:lang w:val="es-ES"/>
        </w:rPr>
        <w:t xml:space="preserve"> </w:t>
      </w:r>
      <w:r w:rsidRPr="00AD2FE8">
        <w:rPr>
          <w:rFonts w:ascii="Verdana" w:eastAsia="Century Gothic" w:hAnsi="Verdana" w:cs="Century Gothic"/>
          <w:sz w:val="20"/>
          <w:szCs w:val="20"/>
          <w:lang w:val="es-ES"/>
        </w:rPr>
        <w:t>municipal, aun cuando no existe idoneidad comercial entre una y otra, me explico,</w:t>
      </w:r>
      <w:r>
        <w:rPr>
          <w:rFonts w:ascii="Verdana" w:eastAsia="Century Gothic" w:hAnsi="Verdana" w:cs="Century Gothic"/>
          <w:sz w:val="20"/>
          <w:szCs w:val="20"/>
          <w:lang w:val="es-ES"/>
        </w:rPr>
        <w:t xml:space="preserve"> </w:t>
      </w:r>
      <w:r w:rsidRPr="00AD2FE8">
        <w:rPr>
          <w:rFonts w:ascii="Verdana" w:eastAsia="Century Gothic" w:hAnsi="Verdana" w:cs="Century Gothic"/>
          <w:sz w:val="20"/>
          <w:szCs w:val="20"/>
          <w:lang w:val="es-ES"/>
        </w:rPr>
        <w:t xml:space="preserve">para un suministro de químicos, solicitan limitación a </w:t>
      </w:r>
      <w:proofErr w:type="spellStart"/>
      <w:r w:rsidRPr="00AD2FE8">
        <w:rPr>
          <w:rFonts w:ascii="Verdana" w:eastAsia="Century Gothic" w:hAnsi="Verdana" w:cs="Century Gothic"/>
          <w:sz w:val="20"/>
          <w:szCs w:val="20"/>
          <w:lang w:val="es-ES"/>
        </w:rPr>
        <w:t>mipymes</w:t>
      </w:r>
      <w:proofErr w:type="spellEnd"/>
      <w:r w:rsidRPr="00AD2FE8">
        <w:rPr>
          <w:rFonts w:ascii="Verdana" w:eastAsia="Century Gothic" w:hAnsi="Verdana" w:cs="Century Gothic"/>
          <w:sz w:val="20"/>
          <w:szCs w:val="20"/>
          <w:lang w:val="es-ES"/>
        </w:rPr>
        <w:t xml:space="preserve"> municipales una</w:t>
      </w:r>
      <w:r>
        <w:rPr>
          <w:rFonts w:ascii="Verdana" w:eastAsia="Century Gothic" w:hAnsi="Verdana" w:cs="Century Gothic"/>
          <w:sz w:val="20"/>
          <w:szCs w:val="20"/>
          <w:lang w:val="es-ES"/>
        </w:rPr>
        <w:t xml:space="preserve"> </w:t>
      </w:r>
      <w:r w:rsidRPr="00AD2FE8">
        <w:rPr>
          <w:rFonts w:ascii="Verdana" w:eastAsia="Century Gothic" w:hAnsi="Verdana" w:cs="Century Gothic"/>
          <w:sz w:val="20"/>
          <w:szCs w:val="20"/>
          <w:lang w:val="es-ES"/>
        </w:rPr>
        <w:t xml:space="preserve">empresa dedicada a este tipo de </w:t>
      </w:r>
      <w:proofErr w:type="spellStart"/>
      <w:r w:rsidRPr="00AD2FE8">
        <w:rPr>
          <w:rFonts w:ascii="Verdana" w:eastAsia="Century Gothic" w:hAnsi="Verdana" w:cs="Century Gothic"/>
          <w:sz w:val="20"/>
          <w:szCs w:val="20"/>
          <w:lang w:val="es-ES"/>
        </w:rPr>
        <w:t>suminstros</w:t>
      </w:r>
      <w:proofErr w:type="spellEnd"/>
      <w:r w:rsidRPr="00AD2FE8">
        <w:rPr>
          <w:rFonts w:ascii="Verdana" w:eastAsia="Century Gothic" w:hAnsi="Verdana" w:cs="Century Gothic"/>
          <w:sz w:val="20"/>
          <w:szCs w:val="20"/>
          <w:lang w:val="es-ES"/>
        </w:rPr>
        <w:t xml:space="preserve"> y otra que se dedica a suministro de</w:t>
      </w:r>
      <w:r>
        <w:rPr>
          <w:rFonts w:ascii="Verdana" w:eastAsia="Century Gothic" w:hAnsi="Verdana" w:cs="Century Gothic"/>
          <w:sz w:val="20"/>
          <w:szCs w:val="20"/>
          <w:lang w:val="es-ES"/>
        </w:rPr>
        <w:t xml:space="preserve"> </w:t>
      </w:r>
      <w:r w:rsidRPr="00AD2FE8">
        <w:rPr>
          <w:rFonts w:ascii="Verdana" w:eastAsia="Century Gothic" w:hAnsi="Verdana" w:cs="Century Gothic"/>
          <w:sz w:val="20"/>
          <w:szCs w:val="20"/>
          <w:lang w:val="es-ES"/>
        </w:rPr>
        <w:t xml:space="preserve">papelería y las entidades las aceptan por el simple hecho de ser </w:t>
      </w:r>
      <w:proofErr w:type="spellStart"/>
      <w:r w:rsidRPr="00AD2FE8">
        <w:rPr>
          <w:rFonts w:ascii="Verdana" w:eastAsia="Century Gothic" w:hAnsi="Verdana" w:cs="Century Gothic"/>
          <w:sz w:val="20"/>
          <w:szCs w:val="20"/>
          <w:lang w:val="es-ES"/>
        </w:rPr>
        <w:t>mipyme</w:t>
      </w:r>
      <w:proofErr w:type="spellEnd"/>
      <w:r w:rsidRPr="00AD2FE8">
        <w:rPr>
          <w:rFonts w:ascii="Verdana" w:eastAsia="Century Gothic" w:hAnsi="Verdana" w:cs="Century Gothic"/>
          <w:sz w:val="20"/>
          <w:szCs w:val="20"/>
          <w:lang w:val="es-ES"/>
        </w:rPr>
        <w:t xml:space="preserve"> y tener su</w:t>
      </w:r>
      <w:r>
        <w:rPr>
          <w:rFonts w:ascii="Verdana" w:eastAsia="Century Gothic" w:hAnsi="Verdana" w:cs="Century Gothic"/>
          <w:sz w:val="20"/>
          <w:szCs w:val="20"/>
          <w:lang w:val="es-ES"/>
        </w:rPr>
        <w:t xml:space="preserve"> </w:t>
      </w:r>
      <w:r w:rsidRPr="00AD2FE8">
        <w:rPr>
          <w:rFonts w:ascii="Verdana" w:eastAsia="Century Gothic" w:hAnsi="Verdana" w:cs="Century Gothic"/>
          <w:sz w:val="20"/>
          <w:szCs w:val="20"/>
          <w:lang w:val="es-ES"/>
        </w:rPr>
        <w:t>domicilio en ese municipio.</w:t>
      </w:r>
    </w:p>
    <w:p w14:paraId="79A84C15" w14:textId="77777777" w:rsidR="009435D8" w:rsidRPr="00AD2FE8" w:rsidRDefault="009435D8" w:rsidP="009435D8">
      <w:pPr>
        <w:spacing w:after="0" w:line="240" w:lineRule="auto"/>
        <w:ind w:left="709" w:right="709"/>
        <w:jc w:val="both"/>
        <w:rPr>
          <w:rFonts w:ascii="Verdana" w:eastAsia="Century Gothic" w:hAnsi="Verdana" w:cs="Century Gothic"/>
          <w:sz w:val="20"/>
          <w:szCs w:val="20"/>
          <w:lang w:val="es-ES"/>
        </w:rPr>
      </w:pPr>
    </w:p>
    <w:p w14:paraId="487BBA43" w14:textId="77777777" w:rsidR="009435D8" w:rsidRPr="00787264" w:rsidRDefault="009435D8" w:rsidP="009435D8">
      <w:pPr>
        <w:spacing w:after="0" w:line="240" w:lineRule="auto"/>
        <w:ind w:left="709" w:right="709"/>
        <w:jc w:val="both"/>
        <w:rPr>
          <w:rFonts w:ascii="Verdana" w:eastAsia="Century Gothic" w:hAnsi="Verdana" w:cs="Century Gothic"/>
          <w:sz w:val="20"/>
          <w:szCs w:val="20"/>
          <w:lang w:val="es-ES"/>
        </w:rPr>
      </w:pPr>
      <w:r w:rsidRPr="00AD2FE8">
        <w:rPr>
          <w:rFonts w:ascii="Verdana" w:eastAsia="Century Gothic" w:hAnsi="Verdana" w:cs="Century Gothic"/>
          <w:sz w:val="20"/>
          <w:szCs w:val="20"/>
          <w:lang w:val="es-ES"/>
        </w:rPr>
        <w:lastRenderedPageBreak/>
        <w:t>Existe alguna Ley, norma o regla que restrinja este tipo de situación relacionada a la</w:t>
      </w:r>
      <w:r>
        <w:rPr>
          <w:rFonts w:ascii="Verdana" w:eastAsia="Century Gothic" w:hAnsi="Verdana" w:cs="Century Gothic"/>
          <w:sz w:val="20"/>
          <w:szCs w:val="20"/>
          <w:lang w:val="es-ES"/>
        </w:rPr>
        <w:t xml:space="preserve"> </w:t>
      </w:r>
      <w:r w:rsidRPr="00AD2FE8">
        <w:rPr>
          <w:rFonts w:ascii="Verdana" w:eastAsia="Century Gothic" w:hAnsi="Verdana" w:cs="Century Gothic"/>
          <w:sz w:val="20"/>
          <w:szCs w:val="20"/>
          <w:lang w:val="es-ES"/>
        </w:rPr>
        <w:t xml:space="preserve">idoneidad comercial entre empresas abiertas al </w:t>
      </w:r>
      <w:proofErr w:type="spellStart"/>
      <w:r w:rsidRPr="00AD2FE8">
        <w:rPr>
          <w:rFonts w:ascii="Verdana" w:eastAsia="Century Gothic" w:hAnsi="Verdana" w:cs="Century Gothic"/>
          <w:sz w:val="20"/>
          <w:szCs w:val="20"/>
          <w:lang w:val="es-ES"/>
        </w:rPr>
        <w:t>publico</w:t>
      </w:r>
      <w:proofErr w:type="spellEnd"/>
      <w:r w:rsidRPr="00AD2FE8">
        <w:rPr>
          <w:rFonts w:ascii="Verdana" w:eastAsia="Century Gothic" w:hAnsi="Verdana" w:cs="Century Gothic"/>
          <w:sz w:val="20"/>
          <w:szCs w:val="20"/>
          <w:lang w:val="es-ES"/>
        </w:rPr>
        <w:t>, dedicadas a la</w:t>
      </w:r>
      <w:r>
        <w:rPr>
          <w:rFonts w:ascii="Verdana" w:eastAsia="Century Gothic" w:hAnsi="Verdana" w:cs="Century Gothic"/>
          <w:sz w:val="20"/>
          <w:szCs w:val="20"/>
          <w:lang w:val="es-ES"/>
        </w:rPr>
        <w:t xml:space="preserve"> </w:t>
      </w:r>
      <w:r w:rsidRPr="00AD2FE8">
        <w:rPr>
          <w:rFonts w:ascii="Verdana" w:eastAsia="Century Gothic" w:hAnsi="Verdana" w:cs="Century Gothic"/>
          <w:sz w:val="20"/>
          <w:szCs w:val="20"/>
          <w:lang w:val="es-ES"/>
        </w:rPr>
        <w:t>comercialización, entre actividades de servicios como ingenierías que incluyen la</w:t>
      </w:r>
      <w:r>
        <w:rPr>
          <w:rFonts w:ascii="Verdana" w:eastAsia="Century Gothic" w:hAnsi="Verdana" w:cs="Century Gothic"/>
          <w:sz w:val="20"/>
          <w:szCs w:val="20"/>
          <w:lang w:val="es-ES"/>
        </w:rPr>
        <w:t xml:space="preserve"> </w:t>
      </w:r>
      <w:r w:rsidRPr="00AD2FE8">
        <w:rPr>
          <w:rFonts w:ascii="Verdana" w:eastAsia="Century Gothic" w:hAnsi="Verdana" w:cs="Century Gothic"/>
          <w:sz w:val="20"/>
          <w:szCs w:val="20"/>
          <w:lang w:val="es-ES"/>
        </w:rPr>
        <w:t xml:space="preserve">actividad de comercio sin tener establecimiento abierto al </w:t>
      </w:r>
      <w:proofErr w:type="spellStart"/>
      <w:r w:rsidRPr="00AD2FE8">
        <w:rPr>
          <w:rFonts w:ascii="Verdana" w:eastAsia="Century Gothic" w:hAnsi="Verdana" w:cs="Century Gothic"/>
          <w:sz w:val="20"/>
          <w:szCs w:val="20"/>
          <w:lang w:val="es-ES"/>
        </w:rPr>
        <w:t>publico</w:t>
      </w:r>
      <w:proofErr w:type="spellEnd"/>
      <w:r w:rsidRPr="00AD2FE8">
        <w:rPr>
          <w:rFonts w:ascii="Verdana" w:eastAsia="Century Gothic" w:hAnsi="Verdana" w:cs="Century Gothic"/>
          <w:sz w:val="20"/>
          <w:szCs w:val="20"/>
          <w:lang w:val="es-ES"/>
        </w:rPr>
        <w:t xml:space="preserve">, pues se </w:t>
      </w:r>
      <w:proofErr w:type="spellStart"/>
      <w:r w:rsidRPr="00AD2FE8">
        <w:rPr>
          <w:rFonts w:ascii="Verdana" w:eastAsia="Century Gothic" w:hAnsi="Verdana" w:cs="Century Gothic"/>
          <w:sz w:val="20"/>
          <w:szCs w:val="20"/>
          <w:lang w:val="es-ES"/>
        </w:rPr>
        <w:t>esta</w:t>
      </w:r>
      <w:proofErr w:type="spellEnd"/>
      <w:r>
        <w:rPr>
          <w:rFonts w:ascii="Verdana" w:eastAsia="Century Gothic" w:hAnsi="Verdana" w:cs="Century Gothic"/>
          <w:sz w:val="20"/>
          <w:szCs w:val="20"/>
          <w:lang w:val="es-ES"/>
        </w:rPr>
        <w:t xml:space="preserve"> </w:t>
      </w:r>
      <w:proofErr w:type="spellStart"/>
      <w:r w:rsidRPr="00AD2FE8">
        <w:rPr>
          <w:rFonts w:ascii="Verdana" w:eastAsia="Century Gothic" w:hAnsi="Verdana" w:cs="Century Gothic"/>
          <w:sz w:val="20"/>
          <w:szCs w:val="20"/>
          <w:lang w:val="es-ES"/>
        </w:rPr>
        <w:t>confirgurando</w:t>
      </w:r>
      <w:proofErr w:type="spellEnd"/>
      <w:r w:rsidRPr="00AD2FE8">
        <w:rPr>
          <w:rFonts w:ascii="Verdana" w:eastAsia="Century Gothic" w:hAnsi="Verdana" w:cs="Century Gothic"/>
          <w:sz w:val="20"/>
          <w:szCs w:val="20"/>
          <w:lang w:val="es-ES"/>
        </w:rPr>
        <w:t xml:space="preserve"> una mala praxis a fin de favorecer a algunos</w:t>
      </w:r>
      <w:r w:rsidRPr="00787264">
        <w:rPr>
          <w:rFonts w:ascii="Verdana" w:eastAsia="Century Gothic" w:hAnsi="Verdana" w:cs="Century Gothic"/>
          <w:sz w:val="20"/>
          <w:szCs w:val="20"/>
          <w:lang w:val="es-ES"/>
        </w:rPr>
        <w:t>.</w:t>
      </w:r>
      <w:r>
        <w:rPr>
          <w:rFonts w:ascii="Verdana" w:eastAsia="Century Gothic" w:hAnsi="Verdana" w:cs="Century Gothic"/>
          <w:sz w:val="20"/>
          <w:szCs w:val="20"/>
          <w:lang w:val="es-ES"/>
        </w:rPr>
        <w:t xml:space="preserve"> (…)”. [sic]</w:t>
      </w:r>
    </w:p>
    <w:p w14:paraId="4DA58743" w14:textId="77777777" w:rsidR="009435D8" w:rsidRPr="00C02F37" w:rsidRDefault="009435D8" w:rsidP="009435D8">
      <w:pPr>
        <w:spacing w:after="0" w:line="276" w:lineRule="auto"/>
        <w:jc w:val="both"/>
        <w:rPr>
          <w:rStyle w:val="Hipervnculo"/>
          <w:rFonts w:ascii="Verdana" w:hAnsi="Verdana"/>
          <w:lang w:val="es-ES"/>
        </w:rPr>
      </w:pPr>
    </w:p>
    <w:p w14:paraId="6242F6E5" w14:textId="77777777" w:rsidR="009435D8" w:rsidRPr="00C02F37" w:rsidRDefault="009435D8" w:rsidP="009435D8">
      <w:pPr>
        <w:spacing w:after="120" w:line="276" w:lineRule="auto"/>
        <w:ind w:firstLine="709"/>
        <w:jc w:val="both"/>
        <w:rPr>
          <w:rFonts w:ascii="Verdana" w:eastAsia="Calibri" w:hAnsi="Verdana" w:cs="Arial"/>
          <w:color w:val="000000"/>
          <w:lang w:val="es-ES_tradnl" w:eastAsia="es-ES_tradnl"/>
        </w:rPr>
      </w:pPr>
      <w:r w:rsidRPr="00C02F37">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3E069C10" w14:textId="77777777" w:rsidR="009435D8" w:rsidRPr="00C02F37" w:rsidRDefault="009435D8" w:rsidP="009435D8">
      <w:pPr>
        <w:spacing w:after="0" w:line="276" w:lineRule="auto"/>
        <w:ind w:firstLine="709"/>
        <w:jc w:val="both"/>
        <w:rPr>
          <w:rFonts w:ascii="Verdana" w:eastAsia="Calibri" w:hAnsi="Verdana" w:cs="Arial"/>
          <w:color w:val="000000"/>
          <w:lang w:val="es-ES" w:eastAsia="es-ES"/>
        </w:rPr>
      </w:pPr>
      <w:r w:rsidRPr="00C02F37">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unas consideraciones sobre las normas generales relacionadas con el problema jurídico de su consulta.  </w:t>
      </w:r>
    </w:p>
    <w:p w14:paraId="1E9DE8BB" w14:textId="77777777" w:rsidR="009435D8" w:rsidRPr="00C02F37" w:rsidRDefault="009435D8" w:rsidP="009435D8">
      <w:pPr>
        <w:spacing w:after="0" w:line="276" w:lineRule="auto"/>
        <w:jc w:val="both"/>
        <w:rPr>
          <w:rFonts w:ascii="Verdana" w:hAnsi="Verdana"/>
          <w:lang w:val="es-ES"/>
        </w:rPr>
      </w:pPr>
    </w:p>
    <w:p w14:paraId="2AF61C63" w14:textId="77777777" w:rsidR="009435D8" w:rsidRPr="00C02F37" w:rsidRDefault="009435D8" w:rsidP="009435D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02F37">
        <w:rPr>
          <w:rFonts w:ascii="Verdana" w:eastAsia="Century Gothic" w:hAnsi="Verdana" w:cs="Century Gothic"/>
          <w:b/>
          <w:bCs/>
        </w:rPr>
        <w:t>Problema planteado:</w:t>
      </w:r>
    </w:p>
    <w:p w14:paraId="3EABBC42" w14:textId="77777777" w:rsidR="009435D8" w:rsidRPr="00C02F37" w:rsidRDefault="009435D8" w:rsidP="009435D8">
      <w:pPr>
        <w:spacing w:after="0" w:line="276" w:lineRule="auto"/>
        <w:jc w:val="both"/>
        <w:rPr>
          <w:rStyle w:val="Hipervnculo"/>
          <w:rFonts w:ascii="Verdana" w:hAnsi="Verdana"/>
          <w:highlight w:val="cyan"/>
          <w:lang w:val="es-ES"/>
        </w:rPr>
      </w:pPr>
    </w:p>
    <w:p w14:paraId="5D6215F4" w14:textId="77777777" w:rsidR="009435D8" w:rsidRPr="006B4FA1" w:rsidRDefault="009435D8" w:rsidP="009435D8">
      <w:pPr>
        <w:spacing w:after="0" w:line="276" w:lineRule="auto"/>
        <w:jc w:val="both"/>
        <w:rPr>
          <w:rFonts w:ascii="Verdana" w:eastAsia="Century Gothic" w:hAnsi="Verdana" w:cs="Century Gothic"/>
        </w:rPr>
      </w:pPr>
      <w:r w:rsidRPr="00C02F37">
        <w:rPr>
          <w:rFonts w:ascii="Verdana" w:eastAsia="Century Gothic" w:hAnsi="Verdana" w:cs="Arial"/>
        </w:rPr>
        <w:t xml:space="preserve">De acuerdo con el contenido de su solicitud, esta Agencia resolverá el siguiente problema jurídico: </w:t>
      </w:r>
      <w:r w:rsidRPr="006B4FA1">
        <w:rPr>
          <w:rFonts w:ascii="Verdana" w:eastAsia="Century Gothic" w:hAnsi="Verdana" w:cs="Century Gothic"/>
        </w:rPr>
        <w:t xml:space="preserve">¿Qué requisitos deben cumplirse para que </w:t>
      </w:r>
      <w:r>
        <w:rPr>
          <w:rFonts w:ascii="Verdana" w:eastAsia="Century Gothic" w:hAnsi="Verdana" w:cs="Century Gothic"/>
        </w:rPr>
        <w:t>las Entidades Estatales puedan limitar territorialmente, la convocatoria de sus procesos de contratación</w:t>
      </w:r>
      <w:r w:rsidRPr="006B4FA1">
        <w:rPr>
          <w:rFonts w:ascii="Verdana" w:eastAsia="Century Gothic" w:hAnsi="Verdana" w:cs="Century Gothic"/>
        </w:rPr>
        <w:t>?</w:t>
      </w:r>
    </w:p>
    <w:p w14:paraId="16F113A6" w14:textId="77777777" w:rsidR="009435D8" w:rsidRPr="00C02F37" w:rsidRDefault="009435D8" w:rsidP="009435D8">
      <w:pPr>
        <w:spacing w:after="0" w:line="276" w:lineRule="auto"/>
        <w:jc w:val="both"/>
        <w:rPr>
          <w:rStyle w:val="Hipervnculo"/>
          <w:rFonts w:ascii="Verdana" w:hAnsi="Verdana"/>
        </w:rPr>
      </w:pPr>
    </w:p>
    <w:p w14:paraId="398B9142" w14:textId="77777777" w:rsidR="009435D8" w:rsidRPr="00C02F37" w:rsidRDefault="009435D8" w:rsidP="009435D8">
      <w:pPr>
        <w:pStyle w:val="Prrafodelista"/>
        <w:widowControl w:val="0"/>
        <w:numPr>
          <w:ilvl w:val="0"/>
          <w:numId w:val="16"/>
        </w:numPr>
        <w:autoSpaceDE w:val="0"/>
        <w:autoSpaceDN w:val="0"/>
        <w:spacing w:after="0" w:line="276" w:lineRule="auto"/>
        <w:ind w:left="360"/>
        <w:contextualSpacing w:val="0"/>
        <w:jc w:val="both"/>
        <w:outlineLvl w:val="0"/>
        <w:rPr>
          <w:rFonts w:ascii="Verdana" w:eastAsia="Arial" w:hAnsi="Verdana" w:cs="Arial"/>
          <w:b/>
          <w:bCs/>
        </w:rPr>
      </w:pPr>
      <w:r w:rsidRPr="00C02F37">
        <w:rPr>
          <w:rFonts w:ascii="Verdana" w:eastAsia="Arial" w:hAnsi="Verdana" w:cs="Arial"/>
          <w:b/>
          <w:bCs/>
        </w:rPr>
        <w:t>Respuesta:</w:t>
      </w:r>
    </w:p>
    <w:p w14:paraId="3A507588" w14:textId="77777777" w:rsidR="009435D8" w:rsidRPr="00C02F37" w:rsidRDefault="009435D8" w:rsidP="009435D8">
      <w:pPr>
        <w:spacing w:after="0" w:line="276" w:lineRule="auto"/>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435D8" w:rsidRPr="00C02F37" w14:paraId="7FA95C7B" w14:textId="77777777" w:rsidTr="005A35A1">
        <w:tc>
          <w:tcPr>
            <w:tcW w:w="8828" w:type="dxa"/>
          </w:tcPr>
          <w:p w14:paraId="5E18DE56" w14:textId="728F7252" w:rsidR="009435D8" w:rsidRPr="005D1EF3" w:rsidRDefault="009435D8" w:rsidP="00814A46">
            <w:pPr>
              <w:spacing w:after="120" w:line="276" w:lineRule="auto"/>
              <w:jc w:val="both"/>
              <w:rPr>
                <w:rFonts w:ascii="Verdana" w:eastAsia="Calibri" w:hAnsi="Verdana" w:cs="Arial"/>
              </w:rPr>
            </w:pPr>
            <w:bookmarkStart w:id="1" w:name="_Hlk171067516"/>
            <w:r w:rsidRPr="00E673D9">
              <w:rPr>
                <w:rFonts w:ascii="Verdana" w:eastAsia="Calibri" w:hAnsi="Verdana" w:cs="Arial"/>
                <w:lang w:val="es-ES"/>
              </w:rPr>
              <w:t xml:space="preserve">Frente al problema jurídico objeto de consulta, se ha señalado que la limitación territorial a </w:t>
            </w:r>
            <w:proofErr w:type="spellStart"/>
            <w:r w:rsidRPr="00E673D9">
              <w:rPr>
                <w:rFonts w:ascii="Verdana" w:eastAsia="Calibri" w:hAnsi="Verdana" w:cs="Arial"/>
                <w:lang w:val="es-ES"/>
              </w:rPr>
              <w:t>Mipymes</w:t>
            </w:r>
            <w:proofErr w:type="spellEnd"/>
            <w:r w:rsidRPr="00E673D9">
              <w:rPr>
                <w:rFonts w:ascii="Verdana" w:eastAsia="Calibri" w:hAnsi="Verdana" w:cs="Arial"/>
                <w:lang w:val="es-ES"/>
              </w:rPr>
              <w:t xml:space="preserve"> constituye una facultad discrecional de la entidad pública.</w:t>
            </w:r>
            <w:r w:rsidR="00A7588B">
              <w:rPr>
                <w:rFonts w:ascii="Verdana" w:eastAsia="Calibri" w:hAnsi="Verdana" w:cs="Arial"/>
                <w:color w:val="000000" w:themeColor="text1"/>
              </w:rPr>
              <w:t xml:space="preserve"> </w:t>
            </w:r>
            <w:r>
              <w:rPr>
                <w:rFonts w:ascii="Verdana" w:eastAsia="Calibri" w:hAnsi="Verdana" w:cs="Arial"/>
                <w:color w:val="000000" w:themeColor="text1"/>
              </w:rPr>
              <w:t>L</w:t>
            </w:r>
            <w:r w:rsidRPr="005D1EF3">
              <w:rPr>
                <w:rFonts w:ascii="Verdana" w:eastAsia="Arial" w:hAnsi="Verdana" w:cs="Arial"/>
                <w:color w:val="000000" w:themeColor="text1"/>
              </w:rPr>
              <w:t xml:space="preserve">a decisión de limitar “a </w:t>
            </w:r>
            <w:proofErr w:type="spellStart"/>
            <w:r w:rsidRPr="005D1EF3">
              <w:rPr>
                <w:rFonts w:ascii="Verdana" w:eastAsia="Arial" w:hAnsi="Verdana" w:cs="Arial"/>
                <w:color w:val="000000" w:themeColor="text1"/>
              </w:rPr>
              <w:t>Mipyme</w:t>
            </w:r>
            <w:proofErr w:type="spellEnd"/>
            <w:r w:rsidRPr="005D1EF3">
              <w:rPr>
                <w:rFonts w:ascii="Verdana" w:eastAsia="Arial" w:hAnsi="Verdana" w:cs="Arial"/>
                <w:color w:val="000000" w:themeColor="text1"/>
              </w:rPr>
              <w:t xml:space="preserve"> colombianas que tengan domicilio en los departamentos o municipios en donde se va a ejecutar el contrato”, aunque </w:t>
            </w:r>
            <w:r w:rsidRPr="005D1EF3">
              <w:rPr>
                <w:rFonts w:ascii="Verdana" w:eastAsia="Arial" w:hAnsi="Verdana" w:cs="Arial"/>
                <w:color w:val="000000" w:themeColor="text1"/>
              </w:rPr>
              <w:lastRenderedPageBreak/>
              <w:t xml:space="preserve">es facultativa de la entidad, está supeditada a que se verifiquen los requisitos establecidos en los numerales 1 y 2 del precitado artículo 2.2.1.2.4.2.2 del Decreto 1082 de 2015, modificado por el Decreto 1860 de 2021. En ese sentido, si la Entidad no recibió las solicitudes para limitar la convocatoria a </w:t>
            </w:r>
            <w:proofErr w:type="spellStart"/>
            <w:r w:rsidRPr="005D1EF3">
              <w:rPr>
                <w:rFonts w:ascii="Verdana" w:eastAsia="Arial" w:hAnsi="Verdana" w:cs="Arial"/>
                <w:color w:val="000000" w:themeColor="text1"/>
              </w:rPr>
              <w:t>MiPyme</w:t>
            </w:r>
            <w:proofErr w:type="spellEnd"/>
            <w:r w:rsidRPr="005D1EF3">
              <w:rPr>
                <w:rFonts w:ascii="Verdana" w:eastAsia="Arial" w:hAnsi="Verdana" w:cs="Arial"/>
                <w:color w:val="000000" w:themeColor="text1"/>
              </w:rPr>
              <w:t xml:space="preserve">, no puede </w:t>
            </w:r>
            <w:r w:rsidRPr="005D1EF3">
              <w:rPr>
                <w:rFonts w:ascii="Verdana" w:eastAsia="Arial" w:hAnsi="Verdana" w:cs="Arial"/>
                <w:i/>
                <w:iCs/>
                <w:color w:val="000000" w:themeColor="text1"/>
              </w:rPr>
              <w:t xml:space="preserve">motu proprio </w:t>
            </w:r>
            <w:r w:rsidRPr="005D1EF3">
              <w:rPr>
                <w:rFonts w:ascii="Verdana" w:eastAsia="Arial" w:hAnsi="Verdana" w:cs="Arial"/>
                <w:color w:val="000000" w:themeColor="text1"/>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7B1666AD" w14:textId="77777777" w:rsidR="009435D8" w:rsidRPr="005D1EF3" w:rsidRDefault="009435D8" w:rsidP="005A35A1">
            <w:pPr>
              <w:spacing w:after="120" w:line="276" w:lineRule="auto"/>
              <w:ind w:firstLine="709"/>
              <w:jc w:val="both"/>
              <w:rPr>
                <w:rFonts w:ascii="Verdana" w:eastAsia="Calibri" w:hAnsi="Verdana" w:cs="Arial"/>
              </w:rPr>
            </w:pPr>
            <w:r w:rsidRPr="005D1EF3">
              <w:rPr>
                <w:rFonts w:ascii="Verdana" w:hAnsi="Verdana" w:cs="Arial"/>
                <w:color w:val="000000" w:themeColor="text1"/>
              </w:rPr>
              <w:t xml:space="preserve">Cumplidos los dos requisitos del artículo 2.2.1.2.4.2.2 </w:t>
            </w:r>
            <w:proofErr w:type="spellStart"/>
            <w:r w:rsidRPr="005D1EF3">
              <w:rPr>
                <w:rFonts w:ascii="Verdana" w:hAnsi="Verdana" w:cs="Arial"/>
                <w:i/>
                <w:iCs/>
                <w:color w:val="000000" w:themeColor="text1"/>
              </w:rPr>
              <w:t>ibídem</w:t>
            </w:r>
            <w:proofErr w:type="spellEnd"/>
            <w:r w:rsidRPr="005D1EF3">
              <w:rPr>
                <w:rFonts w:ascii="Verdana" w:hAnsi="Verdana" w:cs="Arial"/>
                <w:color w:val="000000" w:themeColor="text1"/>
              </w:rPr>
              <w:t xml:space="preserve">, la Entidad Estatal, independientemente de su régimen de contratación, los patrimonios autónomos constituidos por Entidades Estatales y los particulares que ejecuten recursos públicos, </w:t>
            </w:r>
            <w:r w:rsidRPr="005D1EF3">
              <w:rPr>
                <w:rFonts w:ascii="Verdana" w:hAnsi="Verdana" w:cs="Arial"/>
                <w:color w:val="000000" w:themeColor="text1"/>
                <w:u w:val="single"/>
              </w:rPr>
              <w:t xml:space="preserve">pueden ─sin estar obligadas─ decidir si limitan la convocatoria a las </w:t>
            </w:r>
            <w:proofErr w:type="spellStart"/>
            <w:r w:rsidRPr="005D1EF3">
              <w:rPr>
                <w:rFonts w:ascii="Verdana" w:hAnsi="Verdana" w:cs="Arial"/>
                <w:color w:val="000000" w:themeColor="text1"/>
                <w:u w:val="single"/>
              </w:rPr>
              <w:t>MiPyme</w:t>
            </w:r>
            <w:proofErr w:type="spellEnd"/>
            <w:r w:rsidRPr="005D1EF3">
              <w:rPr>
                <w:rFonts w:ascii="Verdana" w:hAnsi="Verdana" w:cs="Arial"/>
                <w:color w:val="000000" w:themeColor="text1"/>
                <w:u w:val="single"/>
              </w:rPr>
              <w:t xml:space="preserve"> colombianas domiciliadas en el municipio o departamento en el que se ejecutará el contrato</w:t>
            </w:r>
            <w:r w:rsidRPr="005D1EF3">
              <w:rPr>
                <w:rFonts w:ascii="Verdana" w:hAnsi="Verdana" w:cs="Arial"/>
                <w:color w:val="000000" w:themeColor="text1"/>
              </w:rPr>
              <w:t xml:space="preserve">. Esto de acuerdo con el artículo 2.2.1.2.4.2.3 del Decreto 1082 de 2015 </w:t>
            </w:r>
            <w:r w:rsidRPr="005D1EF3">
              <w:rPr>
                <w:rFonts w:ascii="Verdana" w:eastAsia="Arial" w:hAnsi="Verdana" w:cs="Arial"/>
                <w:color w:val="000000"/>
                <w:lang w:val="es-ES_tradnl"/>
              </w:rPr>
              <w:t>modificado por el Decreto 1860 de 2021</w:t>
            </w:r>
            <w:r w:rsidRPr="005D1EF3">
              <w:rPr>
                <w:rFonts w:ascii="Verdana" w:hAnsi="Verdana" w:cs="Arial"/>
                <w:color w:val="000000" w:themeColor="text1"/>
              </w:rPr>
              <w:t xml:space="preserve">, norma que se refiere a la facultad de la administración con el verbo infinitivo “poder”, no “deber”. </w:t>
            </w:r>
          </w:p>
          <w:p w14:paraId="256DE818" w14:textId="77777777" w:rsidR="009435D8" w:rsidRDefault="009435D8" w:rsidP="005A35A1">
            <w:pPr>
              <w:spacing w:after="120" w:line="276" w:lineRule="auto"/>
              <w:ind w:firstLine="709"/>
              <w:jc w:val="both"/>
              <w:rPr>
                <w:rFonts w:ascii="Verdana" w:eastAsia="Calibri" w:hAnsi="Verdana" w:cs="Arial"/>
                <w:color w:val="000000" w:themeColor="text1"/>
              </w:rPr>
            </w:pPr>
            <w:r w:rsidRPr="005D1EF3">
              <w:rPr>
                <w:rFonts w:ascii="Verdana" w:hAnsi="Verdana" w:cs="Arial"/>
                <w:color w:val="000000" w:themeColor="text1"/>
              </w:rPr>
              <w:t xml:space="preserve">En tal sentido, </w:t>
            </w:r>
            <w:r w:rsidRPr="005D1EF3">
              <w:rPr>
                <w:rFonts w:ascii="Verdana" w:eastAsia="Calibri" w:hAnsi="Verdana" w:cs="Arial"/>
                <w:color w:val="000000" w:themeColor="text1"/>
              </w:rPr>
              <w:t>lo que debe adoptarse obligatoriamente es la</w:t>
            </w:r>
            <w:r w:rsidRPr="005D1EF3">
              <w:rPr>
                <w:rFonts w:ascii="Verdana" w:hAnsi="Verdana" w:cs="Arial"/>
                <w:color w:val="000000" w:themeColor="text1"/>
              </w:rPr>
              <w:t xml:space="preserve"> limitación a MiPymes colombianas</w:t>
            </w:r>
            <w:r w:rsidRPr="005D1EF3">
              <w:rPr>
                <w:rFonts w:ascii="Verdana" w:eastAsia="Calibri" w:hAnsi="Verdana" w:cs="Arial"/>
                <w:color w:val="000000" w:themeColor="text1"/>
              </w:rPr>
              <w:t xml:space="preserve"> siempre que se cumplan las condiciones del artículo 2.2.1.2.4.2.2 del Decreto 1082 de 2015, pero no la “limitación territorial” referida en el artículo 2.2.1.2.4.2.3 </w:t>
            </w:r>
            <w:proofErr w:type="spellStart"/>
            <w:r w:rsidRPr="005D1EF3">
              <w:rPr>
                <w:rFonts w:ascii="Verdana" w:eastAsia="Calibri" w:hAnsi="Verdana" w:cs="Arial"/>
                <w:i/>
                <w:iCs/>
                <w:color w:val="000000" w:themeColor="text1"/>
              </w:rPr>
              <w:t>ibídem</w:t>
            </w:r>
            <w:proofErr w:type="spellEnd"/>
            <w:r w:rsidRPr="005D1EF3">
              <w:rPr>
                <w:rFonts w:ascii="Verdana" w:eastAsia="Calibri" w:hAnsi="Verdana" w:cs="Arial"/>
                <w:color w:val="000000" w:themeColor="text1"/>
              </w:rPr>
              <w:t>, pues esta es facultativa para la Entidad. Las únicas exigencias son que la convocatoria esté l</w:t>
            </w:r>
            <w:r w:rsidRPr="005D1EF3">
              <w:rPr>
                <w:rFonts w:ascii="Verdana" w:hAnsi="Verdana" w:cs="Arial"/>
                <w:color w:val="000000" w:themeColor="text1"/>
              </w:rPr>
              <w:t xml:space="preserve">imitada a las </w:t>
            </w:r>
            <w:proofErr w:type="spellStart"/>
            <w:r w:rsidRPr="005D1EF3">
              <w:rPr>
                <w:rFonts w:ascii="Verdana" w:hAnsi="Verdana" w:cs="Arial"/>
                <w:color w:val="000000" w:themeColor="text1"/>
              </w:rPr>
              <w:t>Mipyme</w:t>
            </w:r>
            <w:proofErr w:type="spellEnd"/>
            <w:r w:rsidRPr="005D1EF3">
              <w:rPr>
                <w:rFonts w:ascii="Verdana" w:hAnsi="Verdana" w:cs="Arial"/>
                <w:color w:val="000000" w:themeColor="text1"/>
              </w:rPr>
              <w:t xml:space="preserve"> colombianas</w:t>
            </w:r>
            <w:r w:rsidRPr="005D1EF3">
              <w:rPr>
                <w:rFonts w:ascii="Verdana" w:eastAsia="Calibri" w:hAnsi="Verdana" w:cs="Arial"/>
                <w:color w:val="000000" w:themeColor="text1"/>
              </w:rPr>
              <w:t xml:space="preserve"> “domiciliadas en los departamentos o municipios en donde se va a ejecutar el contrato” y que la entidad justifique su decisión con base en los “estudios del sector” No es procedente, entonces, que sean las MiPymes las que soliciten la “limitación territorial” a la que se refiere el artículo 2.2.1.2.4.2.3 del Decreto 1082 de 2015. </w:t>
            </w:r>
          </w:p>
          <w:p w14:paraId="4EFB1AD8" w14:textId="2A5B33CA" w:rsidR="00047A90" w:rsidRPr="0022587E" w:rsidRDefault="00047A90" w:rsidP="00047A90">
            <w:pPr>
              <w:spacing w:after="120" w:line="276" w:lineRule="auto"/>
              <w:ind w:firstLine="709"/>
              <w:jc w:val="both"/>
              <w:rPr>
                <w:rFonts w:ascii="Verdana" w:hAnsi="Verdana"/>
              </w:rPr>
            </w:pPr>
            <w:r>
              <w:rPr>
                <w:rFonts w:ascii="Verdana" w:hAnsi="Verdana"/>
              </w:rPr>
              <w:t>Ahora bien</w:t>
            </w:r>
            <w:r w:rsidRPr="0022587E">
              <w:rPr>
                <w:rFonts w:ascii="Verdana" w:hAnsi="Verdana"/>
              </w:rPr>
              <w:t xml:space="preserve">, </w:t>
            </w:r>
            <w:r>
              <w:rPr>
                <w:rFonts w:ascii="Verdana" w:hAnsi="Verdana"/>
              </w:rPr>
              <w:t xml:space="preserve">teniendo en cuenta que se trata de una facultad discrecional, </w:t>
            </w:r>
            <w:r w:rsidRPr="0022587E">
              <w:rPr>
                <w:rFonts w:ascii="Verdana" w:hAnsi="Verdana"/>
              </w:rPr>
              <w:t xml:space="preserve">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que “En la medida en que el contenido de una decisión de carácter </w:t>
            </w:r>
            <w:r w:rsidRPr="0022587E">
              <w:rPr>
                <w:rFonts w:ascii="Verdana" w:hAnsi="Verdana"/>
              </w:rPr>
              <w:lastRenderedPageBreak/>
              <w:t xml:space="preserve">general o particular sea discrecional, debe ser adecuada a los fines de la norma que la autoriza, y proporcional a los hechos que le sirven de causa”. En cada caso concreto, las consecuencias del incumplimiento de este deber serán analizadas por el juez del contrato previo ejercicio del derecho de acción, bajo en el entendido que la falsa de motivación es uno de los vicios invalidantes de los actos administrativos –art. 137, inc. 2, de la Ley 1437 de 2011–.  </w:t>
            </w:r>
          </w:p>
          <w:p w14:paraId="046DB445" w14:textId="77777777" w:rsidR="009435D8" w:rsidRPr="00C02F37" w:rsidRDefault="009435D8" w:rsidP="005A35A1">
            <w:pPr>
              <w:spacing w:after="120" w:line="276" w:lineRule="auto"/>
              <w:ind w:firstLine="709"/>
              <w:jc w:val="both"/>
              <w:rPr>
                <w:rFonts w:ascii="Verdana" w:hAnsi="Verdana"/>
              </w:rPr>
            </w:pPr>
            <w:r>
              <w:rPr>
                <w:rFonts w:ascii="Verdana" w:eastAsia="Calibri" w:hAnsi="Verdana" w:cs="Arial"/>
              </w:rPr>
              <w:t xml:space="preserve">De esta forma, considera esta Agencia, que lo recomendable es que las entidades establezcan previamente las condiciones en las que harían la “limitación territorial”. Por ello, en el pliego de condiciones o documento que haga sus veces, podrían establecerse claramente los términos de dicha limitación, los supuestos que daría lugar a su aplicación y, sobre todo, la forma como procedería la entidad si decide optar por limitar territorialmente la convocatoria, en caso de que se cumplan los presupuestos para que esta se limite a </w:t>
            </w:r>
            <w:proofErr w:type="spellStart"/>
            <w:r>
              <w:rPr>
                <w:rFonts w:ascii="Verdana" w:eastAsia="Calibri" w:hAnsi="Verdana" w:cs="Arial"/>
              </w:rPr>
              <w:t>Mipymes</w:t>
            </w:r>
            <w:proofErr w:type="spellEnd"/>
            <w:r>
              <w:rPr>
                <w:rFonts w:ascii="Verdana" w:eastAsia="Calibri" w:hAnsi="Verdana" w:cs="Arial"/>
              </w:rPr>
              <w:t xml:space="preserve">. Sin embargo, los oferentes que pretendan participar de dichas convocatorias </w:t>
            </w:r>
            <w:proofErr w:type="gramStart"/>
            <w:r>
              <w:rPr>
                <w:rFonts w:ascii="Verdana" w:eastAsia="Calibri" w:hAnsi="Verdana" w:cs="Arial"/>
              </w:rPr>
              <w:t>limitadas,</w:t>
            </w:r>
            <w:proofErr w:type="gramEnd"/>
            <w:r>
              <w:rPr>
                <w:rFonts w:ascii="Verdana" w:eastAsia="Calibri" w:hAnsi="Verdana" w:cs="Arial"/>
              </w:rPr>
              <w:t xml:space="preserve"> deberán observar a su vez, los requisitos dispuestos en el artículo </w:t>
            </w:r>
            <w:r w:rsidRPr="00707CC6">
              <w:rPr>
                <w:rFonts w:ascii="Verdana" w:eastAsia="Calibri" w:hAnsi="Verdana" w:cs="Arial"/>
              </w:rPr>
              <w:t>2.2.1.2.4.2.4</w:t>
            </w:r>
            <w:r>
              <w:rPr>
                <w:rFonts w:ascii="Verdana" w:eastAsia="Calibri" w:hAnsi="Verdana" w:cs="Arial"/>
              </w:rPr>
              <w:t xml:space="preserve"> del Decreto 1082 de 2015.</w:t>
            </w:r>
          </w:p>
        </w:tc>
      </w:tr>
      <w:bookmarkEnd w:id="1"/>
    </w:tbl>
    <w:p w14:paraId="1F4DDB56" w14:textId="77777777" w:rsidR="009435D8" w:rsidRPr="00C02F37" w:rsidRDefault="009435D8" w:rsidP="009435D8">
      <w:pPr>
        <w:widowControl w:val="0"/>
        <w:autoSpaceDE w:val="0"/>
        <w:autoSpaceDN w:val="0"/>
        <w:spacing w:before="1" w:after="0" w:line="240" w:lineRule="auto"/>
        <w:ind w:left="360" w:hanging="360"/>
        <w:outlineLvl w:val="0"/>
        <w:rPr>
          <w:rFonts w:ascii="Verdana" w:eastAsia="Arial" w:hAnsi="Verdana" w:cs="Arial"/>
          <w:b/>
          <w:bCs/>
          <w:lang w:val="es-ES"/>
        </w:rPr>
      </w:pPr>
    </w:p>
    <w:p w14:paraId="08E44770" w14:textId="77777777" w:rsidR="009435D8" w:rsidRPr="00C02F37" w:rsidRDefault="009435D8" w:rsidP="009435D8">
      <w:pPr>
        <w:widowControl w:val="0"/>
        <w:autoSpaceDE w:val="0"/>
        <w:autoSpaceDN w:val="0"/>
        <w:spacing w:before="1" w:after="0" w:line="240" w:lineRule="auto"/>
        <w:ind w:left="360" w:hanging="360"/>
        <w:outlineLvl w:val="0"/>
        <w:rPr>
          <w:rFonts w:ascii="Verdana" w:eastAsia="Arial" w:hAnsi="Verdana" w:cs="Arial"/>
          <w:b/>
          <w:bCs/>
          <w:lang w:val="es-ES"/>
        </w:rPr>
      </w:pPr>
      <w:r w:rsidRPr="00C02F37">
        <w:rPr>
          <w:rFonts w:ascii="Verdana" w:eastAsia="Arial" w:hAnsi="Verdana" w:cs="Arial"/>
          <w:b/>
          <w:bCs/>
          <w:lang w:val="es-ES"/>
        </w:rPr>
        <w:t>3. Razones de la respuesta</w:t>
      </w:r>
    </w:p>
    <w:p w14:paraId="38955B52" w14:textId="77777777" w:rsidR="009435D8" w:rsidRPr="00C02F37" w:rsidRDefault="009435D8" w:rsidP="009435D8">
      <w:pPr>
        <w:spacing w:after="0" w:line="276" w:lineRule="auto"/>
        <w:jc w:val="both"/>
        <w:rPr>
          <w:rFonts w:ascii="Verdana" w:eastAsia="Calibri" w:hAnsi="Verdana" w:cs="Arial"/>
          <w:lang w:val="es-ES"/>
        </w:rPr>
      </w:pPr>
    </w:p>
    <w:p w14:paraId="54DD2524" w14:textId="77777777" w:rsidR="009435D8" w:rsidRPr="00C02F37" w:rsidRDefault="009435D8" w:rsidP="00814A46">
      <w:pPr>
        <w:spacing w:after="120" w:line="276" w:lineRule="auto"/>
        <w:jc w:val="both"/>
        <w:rPr>
          <w:rFonts w:ascii="Verdana" w:eastAsia="Calibri" w:hAnsi="Verdana" w:cs="Arial"/>
          <w:lang w:val="es-ES"/>
        </w:rPr>
      </w:pPr>
      <w:r w:rsidRPr="00C02F37">
        <w:rPr>
          <w:rFonts w:ascii="Verdana" w:eastAsia="Calibri" w:hAnsi="Verdana" w:cs="Arial"/>
          <w:lang w:val="es-ES"/>
        </w:rPr>
        <w:t xml:space="preserve">La respuesta anterior se sustenta en las siguientes consideraciones: </w:t>
      </w:r>
    </w:p>
    <w:p w14:paraId="42E6B370" w14:textId="77777777" w:rsidR="009435D8" w:rsidRPr="006C0D93" w:rsidRDefault="009435D8" w:rsidP="009435D8">
      <w:pPr>
        <w:spacing w:after="120" w:line="276" w:lineRule="auto"/>
        <w:jc w:val="both"/>
        <w:rPr>
          <w:rFonts w:ascii="Verdana" w:eastAsia="Calibri" w:hAnsi="Verdana" w:cs="Arial"/>
        </w:rPr>
      </w:pPr>
      <w:r w:rsidRPr="006C0D93">
        <w:rPr>
          <w:rFonts w:ascii="Verdana" w:hAnsi="Verdana" w:cs="Arial"/>
          <w:color w:val="000000" w:themeColor="text1"/>
          <w:lang w:val="es-ES_tradnl"/>
        </w:rPr>
        <w:t xml:space="preserve">Respecto a las convocatorias limitadas a MiPymes, debe señalarse que, el 31 de diciembre de 2020 se promulgó la Ley 2069, “Por medio de la cual se impulsa el emprendimiento en Colombia”. En cuanto a su contenido, como dispone el artículo 1, aquella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 </w:t>
      </w:r>
    </w:p>
    <w:p w14:paraId="277EB5F7" w14:textId="77777777" w:rsidR="009435D8" w:rsidRPr="006C0D93" w:rsidRDefault="009435D8" w:rsidP="009435D8">
      <w:pPr>
        <w:spacing w:after="120" w:line="276" w:lineRule="auto"/>
        <w:ind w:firstLine="709"/>
        <w:jc w:val="both"/>
        <w:rPr>
          <w:rFonts w:ascii="Verdana" w:eastAsia="Calibri" w:hAnsi="Verdana" w:cs="Arial"/>
        </w:rPr>
      </w:pPr>
      <w:r w:rsidRPr="006C0D93">
        <w:rPr>
          <w:rFonts w:ascii="Verdana" w:hAnsi="Verdana" w:cs="Arial"/>
          <w:color w:val="000000" w:themeColor="text1"/>
          <w:lang w:val="es-ES_tradnl"/>
        </w:rPr>
        <w:t xml:space="preserve">En desarrollo de esta finalidad, se establecen medidas de apoyo para las micro, pequeñas y medianas empresas –MiPymes–, mediante la racionalización y simplificación de los trámites y tarifas, así como incentivos a favor de aquellas dentro del sistema de compras y contratación pública. De igual forma, en la citada Ley se consagró mecanismos para fortalecer y promover los distintos </w:t>
      </w:r>
      <w:r w:rsidRPr="006C0D93">
        <w:rPr>
          <w:rFonts w:ascii="Verdana" w:hAnsi="Verdana" w:cs="Arial"/>
          <w:color w:val="000000" w:themeColor="text1"/>
          <w:lang w:val="es-ES_tradnl"/>
        </w:rPr>
        <w:lastRenderedPageBreak/>
        <w:t>sectores de la economía y se prevén para ello medidas de educación para el emprendimiento y la innovación.</w:t>
      </w:r>
    </w:p>
    <w:p w14:paraId="43179C3F" w14:textId="77777777" w:rsidR="009435D8" w:rsidRPr="006C0D93" w:rsidRDefault="009435D8" w:rsidP="009435D8">
      <w:pPr>
        <w:spacing w:after="120" w:line="276" w:lineRule="auto"/>
        <w:ind w:firstLine="709"/>
        <w:jc w:val="both"/>
        <w:rPr>
          <w:rFonts w:ascii="Verdana" w:eastAsia="Calibri" w:hAnsi="Verdana" w:cs="Arial"/>
        </w:rPr>
      </w:pPr>
      <w:r w:rsidRPr="006C0D93">
        <w:rPr>
          <w:rFonts w:ascii="Verdana" w:eastAsia="Calibri" w:hAnsi="Verdana" w:cs="Arial"/>
        </w:rPr>
        <w:t>Como se indicó, parte de la Ley 2069 de 2020 contiene normas que modifican algunos aspectos de la contratación estatal para promover el emprendimiento. Concretamente, aquellas se encuentran en el Capítulo III –artículos 30 al 36–. Teniendo en cuenta que la consulta está relacionada con las convocatorias limitadas a MiPymes, a continuación de se estudiará el contenido y alcance del artículo 34.</w:t>
      </w:r>
    </w:p>
    <w:p w14:paraId="7BD1FCB7" w14:textId="77777777" w:rsidR="009435D8" w:rsidRPr="006C0D93" w:rsidRDefault="009435D8" w:rsidP="009435D8">
      <w:pPr>
        <w:spacing w:after="120" w:line="276" w:lineRule="auto"/>
        <w:ind w:firstLine="709"/>
        <w:jc w:val="both"/>
        <w:rPr>
          <w:rFonts w:ascii="Verdana" w:eastAsia="Calibri" w:hAnsi="Verdana" w:cs="Arial"/>
        </w:rPr>
      </w:pPr>
      <w:r w:rsidRPr="006C0D93">
        <w:rPr>
          <w:rFonts w:ascii="Verdana" w:eastAsia="Calibri" w:hAnsi="Verdana" w:cs="Arial"/>
        </w:rPr>
        <w:t xml:space="preserve">El artículo 34 de la Ley 2069 de 2020 modificó el artículo 12 de la Ley 1150 de 2007, el cual regula la promoción del desarrollo en la contratación pública, cambiando </w:t>
      </w:r>
      <w:r w:rsidRPr="006C0D93">
        <w:rPr>
          <w:rFonts w:ascii="Verdana" w:eastAsia="Calibri" w:hAnsi="Verdana" w:cs="Arial"/>
          <w:bdr w:val="none" w:sz="0" w:space="0" w:color="auto" w:frame="1"/>
        </w:rPr>
        <w:t xml:space="preserve">los requisitos esenciales para que procedan las convocatorias limitadas a MiPymes, de la siguiente forma: i) estableció que estas deben desarrollarse independientemente del régimen de contratación de la Entidad Estatal –es decir, también deben efectuarlas las Entidades Estatales exceptuadas del EGCAP o que se rigen por derecho privado–; </w:t>
      </w:r>
      <w:proofErr w:type="spellStart"/>
      <w:r w:rsidRPr="006C0D93">
        <w:rPr>
          <w:rFonts w:ascii="Verdana" w:eastAsia="Calibri" w:hAnsi="Verdana" w:cs="Arial"/>
          <w:bdr w:val="none" w:sz="0" w:space="0" w:color="auto" w:frame="1"/>
        </w:rPr>
        <w:t>ii</w:t>
      </w:r>
      <w:proofErr w:type="spellEnd"/>
      <w:r w:rsidRPr="006C0D93">
        <w:rPr>
          <w:rFonts w:ascii="Verdana" w:eastAsia="Calibri" w:hAnsi="Verdana" w:cs="Arial"/>
          <w:bdr w:val="none" w:sz="0" w:space="0" w:color="auto" w:frame="1"/>
        </w:rPr>
        <w:t xml:space="preserve">) señaló que los patrimonios autónomos constituidos por Entidades Estatales y los particulares que ejecuten recursos públicos también son destinatarios de esta exigencia; y,  </w:t>
      </w:r>
      <w:proofErr w:type="spellStart"/>
      <w:r w:rsidRPr="006C0D93">
        <w:rPr>
          <w:rFonts w:ascii="Verdana" w:eastAsia="Calibri" w:hAnsi="Verdana" w:cs="Arial"/>
          <w:bdr w:val="none" w:sz="0" w:space="0" w:color="auto" w:frame="1"/>
        </w:rPr>
        <w:t>iii</w:t>
      </w:r>
      <w:proofErr w:type="spellEnd"/>
      <w:r w:rsidRPr="006C0D93">
        <w:rPr>
          <w:rFonts w:ascii="Verdana" w:eastAsia="Calibri" w:hAnsi="Verdana" w:cs="Arial"/>
          <w:bdr w:val="none" w:sz="0" w:space="0" w:color="auto" w:frame="1"/>
        </w:rPr>
        <w:t xml:space="preserve">) indicó que para que pueda haber convocatorias limitadas a MiPymes, dos (2) de ellas deben manifestar su interés. </w:t>
      </w:r>
    </w:p>
    <w:p w14:paraId="41D904E5" w14:textId="77777777" w:rsidR="009435D8" w:rsidRPr="009A051F" w:rsidRDefault="009435D8" w:rsidP="009435D8">
      <w:pPr>
        <w:spacing w:after="0"/>
        <w:ind w:firstLine="708"/>
        <w:jc w:val="both"/>
        <w:rPr>
          <w:rFonts w:ascii="Verdana" w:eastAsia="Calibri" w:hAnsi="Verdana" w:cs="Arial"/>
          <w:lang w:val="es-ES"/>
        </w:rPr>
      </w:pPr>
      <w:r>
        <w:rPr>
          <w:rFonts w:ascii="Verdana" w:eastAsia="Verdana" w:hAnsi="Verdana" w:cs="Verdana"/>
          <w:lang w:val="es-ES"/>
        </w:rPr>
        <w:t>En desarrollo de la anterior disposición, e</w:t>
      </w:r>
      <w:r w:rsidRPr="00D96ED6">
        <w:rPr>
          <w:rFonts w:ascii="Verdana" w:eastAsia="Verdana" w:hAnsi="Verdana" w:cs="Verdana"/>
          <w:lang w:val="es-ES"/>
        </w:rPr>
        <w:t>l artículo 2.2.1.2.4.2.2. del Decreto 1082 de 2015 -modificado por el Decreto 1860</w:t>
      </w:r>
      <w:r w:rsidRPr="00D96ED6">
        <w:rPr>
          <w:rFonts w:ascii="Verdana" w:eastAsia="Verdana" w:hAnsi="Verdana" w:cs="Verdana"/>
          <w:spacing w:val="66"/>
          <w:w w:val="150"/>
          <w:lang w:val="es-ES"/>
        </w:rPr>
        <w:t xml:space="preserve"> </w:t>
      </w:r>
      <w:r w:rsidRPr="00D96ED6">
        <w:rPr>
          <w:rFonts w:ascii="Verdana" w:eastAsia="Verdana" w:hAnsi="Verdana" w:cs="Verdana"/>
          <w:lang w:val="es-ES"/>
        </w:rPr>
        <w:t>de</w:t>
      </w:r>
      <w:r w:rsidRPr="00D96ED6">
        <w:rPr>
          <w:rFonts w:ascii="Verdana" w:eastAsia="Verdana" w:hAnsi="Verdana" w:cs="Verdana"/>
          <w:spacing w:val="65"/>
          <w:w w:val="150"/>
          <w:lang w:val="es-ES"/>
        </w:rPr>
        <w:t xml:space="preserve"> </w:t>
      </w:r>
      <w:r w:rsidRPr="00D96ED6">
        <w:rPr>
          <w:rFonts w:ascii="Verdana" w:eastAsia="Verdana" w:hAnsi="Verdana" w:cs="Verdana"/>
          <w:lang w:val="es-ES"/>
        </w:rPr>
        <w:t>2021-</w:t>
      </w:r>
      <w:r w:rsidRPr="00D96ED6">
        <w:rPr>
          <w:rFonts w:ascii="Verdana" w:eastAsia="Verdana" w:hAnsi="Verdana" w:cs="Verdana"/>
          <w:spacing w:val="66"/>
          <w:w w:val="150"/>
          <w:lang w:val="es-ES"/>
        </w:rPr>
        <w:t xml:space="preserve"> </w:t>
      </w:r>
      <w:r w:rsidRPr="00D96ED6">
        <w:rPr>
          <w:rFonts w:ascii="Verdana" w:eastAsia="Verdana" w:hAnsi="Verdana" w:cs="Verdana"/>
          <w:lang w:val="es-ES"/>
        </w:rPr>
        <w:t>establece</w:t>
      </w:r>
      <w:r w:rsidRPr="00D96ED6">
        <w:rPr>
          <w:rFonts w:ascii="Verdana" w:eastAsia="Verdana" w:hAnsi="Verdana" w:cs="Verdana"/>
          <w:spacing w:val="68"/>
          <w:w w:val="150"/>
          <w:lang w:val="es-ES"/>
        </w:rPr>
        <w:t xml:space="preserve"> </w:t>
      </w:r>
      <w:r w:rsidRPr="00D96ED6">
        <w:rPr>
          <w:rFonts w:ascii="Verdana" w:eastAsia="Verdana" w:hAnsi="Verdana" w:cs="Verdana"/>
          <w:lang w:val="es-ES"/>
        </w:rPr>
        <w:t>los</w:t>
      </w:r>
      <w:r w:rsidRPr="00D96ED6">
        <w:rPr>
          <w:rFonts w:ascii="Verdana" w:eastAsia="Verdana" w:hAnsi="Verdana" w:cs="Verdana"/>
          <w:spacing w:val="65"/>
          <w:w w:val="150"/>
          <w:lang w:val="es-ES"/>
        </w:rPr>
        <w:t xml:space="preserve"> </w:t>
      </w:r>
      <w:r w:rsidRPr="00D96ED6">
        <w:rPr>
          <w:rFonts w:ascii="Verdana" w:eastAsia="Verdana" w:hAnsi="Verdana" w:cs="Verdana"/>
          <w:lang w:val="es-ES"/>
        </w:rPr>
        <w:t>requisitos</w:t>
      </w:r>
      <w:r w:rsidRPr="00D96ED6">
        <w:rPr>
          <w:rFonts w:ascii="Verdana" w:eastAsia="Verdana" w:hAnsi="Verdana" w:cs="Verdana"/>
          <w:spacing w:val="67"/>
          <w:w w:val="150"/>
          <w:lang w:val="es-ES"/>
        </w:rPr>
        <w:t xml:space="preserve"> </w:t>
      </w:r>
      <w:r w:rsidRPr="00D96ED6">
        <w:rPr>
          <w:rFonts w:ascii="Verdana" w:eastAsia="Verdana" w:hAnsi="Verdana" w:cs="Verdana"/>
          <w:lang w:val="es-ES"/>
        </w:rPr>
        <w:t>que</w:t>
      </w:r>
      <w:r w:rsidRPr="00D96ED6">
        <w:rPr>
          <w:rFonts w:ascii="Verdana" w:eastAsia="Verdana" w:hAnsi="Verdana" w:cs="Verdana"/>
          <w:spacing w:val="66"/>
          <w:w w:val="150"/>
          <w:lang w:val="es-ES"/>
        </w:rPr>
        <w:t xml:space="preserve"> </w:t>
      </w:r>
      <w:r w:rsidRPr="00D96ED6">
        <w:rPr>
          <w:rFonts w:ascii="Verdana" w:eastAsia="Verdana" w:hAnsi="Verdana" w:cs="Verdana"/>
          <w:lang w:val="es-ES"/>
        </w:rPr>
        <w:t>se</w:t>
      </w:r>
      <w:r w:rsidRPr="00D96ED6">
        <w:rPr>
          <w:rFonts w:ascii="Verdana" w:eastAsia="Verdana" w:hAnsi="Verdana" w:cs="Verdana"/>
          <w:spacing w:val="65"/>
          <w:w w:val="150"/>
          <w:lang w:val="es-ES"/>
        </w:rPr>
        <w:t xml:space="preserve"> </w:t>
      </w:r>
      <w:r w:rsidRPr="00D96ED6">
        <w:rPr>
          <w:rFonts w:ascii="Verdana" w:eastAsia="Verdana" w:hAnsi="Verdana" w:cs="Verdana"/>
          <w:lang w:val="es-ES"/>
        </w:rPr>
        <w:t>deben</w:t>
      </w:r>
      <w:r w:rsidRPr="00D96ED6">
        <w:rPr>
          <w:rFonts w:ascii="Verdana" w:eastAsia="Verdana" w:hAnsi="Verdana" w:cs="Verdana"/>
          <w:spacing w:val="66"/>
          <w:w w:val="150"/>
          <w:lang w:val="es-ES"/>
        </w:rPr>
        <w:t xml:space="preserve"> </w:t>
      </w:r>
      <w:r w:rsidRPr="00D96ED6">
        <w:rPr>
          <w:rFonts w:ascii="Verdana" w:eastAsia="Verdana" w:hAnsi="Verdana" w:cs="Verdana"/>
          <w:lang w:val="es-ES"/>
        </w:rPr>
        <w:t>acreditar</w:t>
      </w:r>
      <w:r w:rsidRPr="00D96ED6">
        <w:rPr>
          <w:rFonts w:ascii="Verdana" w:eastAsia="Verdana" w:hAnsi="Verdana" w:cs="Verdana"/>
          <w:spacing w:val="68"/>
          <w:w w:val="150"/>
          <w:lang w:val="es-ES"/>
        </w:rPr>
        <w:t xml:space="preserve"> </w:t>
      </w:r>
      <w:r w:rsidRPr="00D96ED6">
        <w:rPr>
          <w:rFonts w:ascii="Verdana" w:eastAsia="Verdana" w:hAnsi="Verdana" w:cs="Verdana"/>
          <w:lang w:val="es-ES"/>
        </w:rPr>
        <w:t>en</w:t>
      </w:r>
      <w:r w:rsidRPr="00D96ED6">
        <w:rPr>
          <w:rFonts w:ascii="Verdana" w:eastAsia="Verdana" w:hAnsi="Verdana" w:cs="Verdana"/>
          <w:spacing w:val="65"/>
          <w:w w:val="150"/>
          <w:lang w:val="es-ES"/>
        </w:rPr>
        <w:t xml:space="preserve"> </w:t>
      </w:r>
      <w:r w:rsidRPr="00D96ED6">
        <w:rPr>
          <w:rFonts w:ascii="Verdana" w:eastAsia="Verdana" w:hAnsi="Verdana" w:cs="Verdana"/>
          <w:lang w:val="es-ES"/>
        </w:rPr>
        <w:t xml:space="preserve">las “convocatorias limitadas a </w:t>
      </w:r>
      <w:proofErr w:type="spellStart"/>
      <w:r w:rsidRPr="00D96ED6">
        <w:rPr>
          <w:rFonts w:ascii="Verdana" w:eastAsia="Verdana" w:hAnsi="Verdana" w:cs="Verdana"/>
          <w:lang w:val="es-ES"/>
        </w:rPr>
        <w:t>Mipymes</w:t>
      </w:r>
      <w:proofErr w:type="spellEnd"/>
      <w:r w:rsidRPr="00D96ED6">
        <w:rPr>
          <w:rFonts w:ascii="Verdana" w:eastAsia="Verdana" w:hAnsi="Verdana" w:cs="Verdana"/>
          <w:lang w:val="es-ES"/>
        </w:rPr>
        <w:t>”. Al respecto indica lo siguiente:</w:t>
      </w:r>
    </w:p>
    <w:p w14:paraId="3D9DAE51" w14:textId="77777777" w:rsidR="009435D8" w:rsidRDefault="009435D8" w:rsidP="009435D8">
      <w:pPr>
        <w:widowControl w:val="0"/>
        <w:tabs>
          <w:tab w:val="left" w:pos="382"/>
        </w:tabs>
        <w:autoSpaceDE w:val="0"/>
        <w:autoSpaceDN w:val="0"/>
        <w:spacing w:after="0" w:line="276" w:lineRule="auto"/>
        <w:jc w:val="both"/>
        <w:outlineLvl w:val="0"/>
        <w:rPr>
          <w:rFonts w:ascii="Verdana" w:eastAsia="Verdana" w:hAnsi="Verdana" w:cs="Verdana"/>
          <w:b/>
          <w:bCs/>
          <w:lang w:val="es-ES"/>
        </w:rPr>
      </w:pPr>
    </w:p>
    <w:p w14:paraId="65352D32" w14:textId="77777777" w:rsidR="009435D8" w:rsidRPr="00594E5E" w:rsidRDefault="009435D8" w:rsidP="009435D8">
      <w:pPr>
        <w:widowControl w:val="0"/>
        <w:tabs>
          <w:tab w:val="left" w:pos="382"/>
        </w:tabs>
        <w:autoSpaceDE w:val="0"/>
        <w:autoSpaceDN w:val="0"/>
        <w:spacing w:after="0" w:line="240" w:lineRule="auto"/>
        <w:ind w:left="709" w:right="709"/>
        <w:jc w:val="both"/>
        <w:outlineLvl w:val="0"/>
        <w:rPr>
          <w:rFonts w:ascii="Verdana" w:eastAsia="Verdana" w:hAnsi="Verdana" w:cs="Verdana"/>
          <w:b/>
          <w:bCs/>
          <w:sz w:val="20"/>
          <w:szCs w:val="20"/>
          <w:lang w:val="es-ES"/>
        </w:rPr>
      </w:pPr>
      <w:r w:rsidRPr="00594E5E">
        <w:rPr>
          <w:rFonts w:ascii="Verdana" w:eastAsia="Verdana" w:hAnsi="Verdana" w:cs="Verdana"/>
          <w:sz w:val="20"/>
          <w:szCs w:val="20"/>
          <w:lang w:val="es-ES"/>
        </w:rPr>
        <w:t xml:space="preserve">“Artículo 2.2.1.2.4.2.2. Convocatorias Imitadas a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 Las Entidades Estatales independientemente de su régimen de contratación, los patrimonios autónomos constituidos por Entidades Estatales y los particulares</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que</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ejecuten</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recursos</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públicos,</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deben</w:t>
      </w:r>
      <w:r w:rsidRPr="00594E5E">
        <w:rPr>
          <w:rFonts w:ascii="Verdana" w:eastAsia="Verdana" w:hAnsi="Verdana" w:cs="Verdana"/>
          <w:spacing w:val="-6"/>
          <w:sz w:val="20"/>
          <w:szCs w:val="20"/>
          <w:lang w:val="es-ES"/>
        </w:rPr>
        <w:t xml:space="preserve"> </w:t>
      </w:r>
      <w:r w:rsidRPr="00594E5E">
        <w:rPr>
          <w:rFonts w:ascii="Verdana" w:eastAsia="Verdana" w:hAnsi="Verdana" w:cs="Verdana"/>
          <w:sz w:val="20"/>
          <w:szCs w:val="20"/>
          <w:lang w:val="es-ES"/>
        </w:rPr>
        <w:t>limitar</w:t>
      </w:r>
      <w:r w:rsidRPr="00594E5E">
        <w:rPr>
          <w:rFonts w:ascii="Verdana" w:eastAsia="Verdana" w:hAnsi="Verdana" w:cs="Verdana"/>
          <w:spacing w:val="-6"/>
          <w:sz w:val="20"/>
          <w:szCs w:val="20"/>
          <w:lang w:val="es-ES"/>
        </w:rPr>
        <w:t xml:space="preserve"> </w:t>
      </w:r>
      <w:r w:rsidRPr="00594E5E">
        <w:rPr>
          <w:rFonts w:ascii="Verdana" w:eastAsia="Verdana" w:hAnsi="Verdana" w:cs="Verdana"/>
          <w:sz w:val="20"/>
          <w:szCs w:val="20"/>
          <w:lang w:val="es-ES"/>
        </w:rPr>
        <w:t>la</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convocatoria de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los</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Procesos</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Contratación</w:t>
      </w:r>
      <w:r w:rsidRPr="00594E5E">
        <w:rPr>
          <w:rFonts w:ascii="Verdana" w:eastAsia="Verdana" w:hAnsi="Verdana" w:cs="Verdana"/>
          <w:spacing w:val="-1"/>
          <w:sz w:val="20"/>
          <w:szCs w:val="20"/>
          <w:lang w:val="es-ES"/>
        </w:rPr>
        <w:t xml:space="preserve"> </w:t>
      </w:r>
      <w:r w:rsidRPr="00594E5E">
        <w:rPr>
          <w:rFonts w:ascii="Verdana" w:eastAsia="Verdana" w:hAnsi="Verdana" w:cs="Verdana"/>
          <w:sz w:val="20"/>
          <w:szCs w:val="20"/>
          <w:lang w:val="es-ES"/>
        </w:rPr>
        <w:t>con</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pluralidad</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oferentes</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a</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las</w:t>
      </w:r>
      <w:r w:rsidRPr="00594E5E">
        <w:rPr>
          <w:rFonts w:ascii="Verdana" w:eastAsia="Verdana" w:hAnsi="Verdana" w:cs="Verdana"/>
          <w:spacing w:val="-4"/>
          <w:sz w:val="20"/>
          <w:szCs w:val="20"/>
          <w:lang w:val="es-ES"/>
        </w:rPr>
        <w:t xml:space="preserve">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 xml:space="preserve"> colombianas con mínimo un (1) año de existencia, cuando concurran los siguientes requisitos:</w:t>
      </w:r>
    </w:p>
    <w:p w14:paraId="4413B3DA" w14:textId="77777777" w:rsidR="009435D8" w:rsidRPr="00594E5E" w:rsidRDefault="009435D8" w:rsidP="009435D8">
      <w:pPr>
        <w:widowControl w:val="0"/>
        <w:tabs>
          <w:tab w:val="left" w:pos="382"/>
        </w:tabs>
        <w:autoSpaceDE w:val="0"/>
        <w:autoSpaceDN w:val="0"/>
        <w:spacing w:after="0" w:line="240" w:lineRule="auto"/>
        <w:ind w:left="709" w:right="709"/>
        <w:jc w:val="both"/>
        <w:outlineLvl w:val="0"/>
        <w:rPr>
          <w:rFonts w:ascii="Verdana" w:eastAsia="Verdana" w:hAnsi="Verdana" w:cs="Verdana"/>
          <w:b/>
          <w:bCs/>
          <w:sz w:val="20"/>
          <w:szCs w:val="20"/>
          <w:lang w:val="es-ES"/>
        </w:rPr>
      </w:pPr>
    </w:p>
    <w:p w14:paraId="42E7801F" w14:textId="77777777" w:rsidR="009435D8" w:rsidRPr="00594E5E" w:rsidRDefault="009435D8" w:rsidP="009435D8">
      <w:pPr>
        <w:widowControl w:val="0"/>
        <w:tabs>
          <w:tab w:val="left" w:pos="382"/>
        </w:tabs>
        <w:autoSpaceDE w:val="0"/>
        <w:autoSpaceDN w:val="0"/>
        <w:spacing w:after="0" w:line="240" w:lineRule="auto"/>
        <w:ind w:left="709" w:right="709"/>
        <w:jc w:val="both"/>
        <w:outlineLvl w:val="0"/>
        <w:rPr>
          <w:rFonts w:ascii="Verdana" w:eastAsia="Verdana" w:hAnsi="Verdana" w:cs="Verdana"/>
          <w:sz w:val="20"/>
          <w:szCs w:val="20"/>
          <w:lang w:val="es-ES"/>
        </w:rPr>
      </w:pPr>
      <w:r w:rsidRPr="00594E5E">
        <w:rPr>
          <w:rFonts w:ascii="Verdana" w:eastAsia="Verdana" w:hAnsi="Verdana" w:cs="Verdana"/>
          <w:sz w:val="20"/>
          <w:szCs w:val="20"/>
          <w:lang w:val="es-ES"/>
        </w:rPr>
        <w:t>1. El</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valor</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del</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Proceso</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Contratación</w:t>
      </w:r>
      <w:r w:rsidRPr="00594E5E">
        <w:rPr>
          <w:rFonts w:ascii="Verdana" w:eastAsia="Verdana" w:hAnsi="Verdana" w:cs="Verdana"/>
          <w:spacing w:val="-1"/>
          <w:sz w:val="20"/>
          <w:szCs w:val="20"/>
          <w:lang w:val="es-ES"/>
        </w:rPr>
        <w:t xml:space="preserve"> </w:t>
      </w:r>
      <w:r w:rsidRPr="00594E5E">
        <w:rPr>
          <w:rFonts w:ascii="Verdana" w:eastAsia="Verdana" w:hAnsi="Verdana" w:cs="Verdana"/>
          <w:sz w:val="20"/>
          <w:szCs w:val="20"/>
          <w:lang w:val="es-ES"/>
        </w:rPr>
        <w:t>sea</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menor</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a</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ciento</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veinticinco</w:t>
      </w:r>
      <w:r w:rsidRPr="00594E5E">
        <w:rPr>
          <w:rFonts w:ascii="Verdana" w:eastAsia="Verdana" w:hAnsi="Verdana" w:cs="Verdana"/>
          <w:spacing w:val="-1"/>
          <w:sz w:val="20"/>
          <w:szCs w:val="20"/>
          <w:lang w:val="es-ES"/>
        </w:rPr>
        <w:t xml:space="preserve"> </w:t>
      </w:r>
      <w:r w:rsidRPr="00594E5E">
        <w:rPr>
          <w:rFonts w:ascii="Verdana" w:eastAsia="Verdana" w:hAnsi="Verdana" w:cs="Verdana"/>
          <w:sz w:val="20"/>
          <w:szCs w:val="20"/>
          <w:lang w:val="es-ES"/>
        </w:rPr>
        <w:t>mil dólares</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14"/>
          <w:sz w:val="20"/>
          <w:szCs w:val="20"/>
          <w:lang w:val="es-ES"/>
        </w:rPr>
        <w:t xml:space="preserve"> </w:t>
      </w:r>
      <w:r w:rsidRPr="00594E5E">
        <w:rPr>
          <w:rFonts w:ascii="Verdana" w:eastAsia="Verdana" w:hAnsi="Verdana" w:cs="Verdana"/>
          <w:sz w:val="20"/>
          <w:szCs w:val="20"/>
          <w:lang w:val="es-ES"/>
        </w:rPr>
        <w:t>los</w:t>
      </w:r>
      <w:r w:rsidRPr="00594E5E">
        <w:rPr>
          <w:rFonts w:ascii="Verdana" w:eastAsia="Verdana" w:hAnsi="Verdana" w:cs="Verdana"/>
          <w:spacing w:val="-14"/>
          <w:sz w:val="20"/>
          <w:szCs w:val="20"/>
          <w:lang w:val="es-ES"/>
        </w:rPr>
        <w:t xml:space="preserve"> </w:t>
      </w:r>
      <w:r w:rsidRPr="00594E5E">
        <w:rPr>
          <w:rFonts w:ascii="Verdana" w:eastAsia="Verdana" w:hAnsi="Verdana" w:cs="Verdana"/>
          <w:sz w:val="20"/>
          <w:szCs w:val="20"/>
          <w:lang w:val="es-ES"/>
        </w:rPr>
        <w:t>Estados</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Unidos</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14"/>
          <w:sz w:val="20"/>
          <w:szCs w:val="20"/>
          <w:lang w:val="es-ES"/>
        </w:rPr>
        <w:t xml:space="preserve"> </w:t>
      </w:r>
      <w:r w:rsidRPr="00594E5E">
        <w:rPr>
          <w:rFonts w:ascii="Verdana" w:eastAsia="Verdana" w:hAnsi="Verdana" w:cs="Verdana"/>
          <w:sz w:val="20"/>
          <w:szCs w:val="20"/>
          <w:lang w:val="es-ES"/>
        </w:rPr>
        <w:t>América</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(US$125.000),</w:t>
      </w:r>
      <w:r w:rsidRPr="00594E5E">
        <w:rPr>
          <w:rFonts w:ascii="Verdana" w:eastAsia="Verdana" w:hAnsi="Verdana" w:cs="Verdana"/>
          <w:spacing w:val="-11"/>
          <w:sz w:val="20"/>
          <w:szCs w:val="20"/>
          <w:lang w:val="es-ES"/>
        </w:rPr>
        <w:t xml:space="preserve"> </w:t>
      </w:r>
      <w:r w:rsidRPr="00594E5E">
        <w:rPr>
          <w:rFonts w:ascii="Verdana" w:eastAsia="Verdana" w:hAnsi="Verdana" w:cs="Verdana"/>
          <w:sz w:val="20"/>
          <w:szCs w:val="20"/>
          <w:lang w:val="es-ES"/>
        </w:rPr>
        <w:t>liquidados</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con</w:t>
      </w:r>
      <w:r w:rsidRPr="00594E5E">
        <w:rPr>
          <w:rFonts w:ascii="Verdana" w:eastAsia="Verdana" w:hAnsi="Verdana" w:cs="Verdana"/>
          <w:spacing w:val="-14"/>
          <w:sz w:val="20"/>
          <w:szCs w:val="20"/>
          <w:lang w:val="es-ES"/>
        </w:rPr>
        <w:t xml:space="preserve"> </w:t>
      </w:r>
      <w:r w:rsidRPr="00594E5E">
        <w:rPr>
          <w:rFonts w:ascii="Verdana" w:eastAsia="Verdana" w:hAnsi="Verdana" w:cs="Verdana"/>
          <w:sz w:val="20"/>
          <w:szCs w:val="20"/>
          <w:lang w:val="es-ES"/>
        </w:rPr>
        <w:t>la tasa de cambio que para el efecto determina cada dos años el Ministerio de Comercio, Industria y Turismo.</w:t>
      </w:r>
    </w:p>
    <w:p w14:paraId="462AFB81" w14:textId="77777777" w:rsidR="009435D8" w:rsidRPr="00594E5E" w:rsidRDefault="009435D8" w:rsidP="009435D8">
      <w:pPr>
        <w:widowControl w:val="0"/>
        <w:tabs>
          <w:tab w:val="left" w:pos="382"/>
        </w:tabs>
        <w:autoSpaceDE w:val="0"/>
        <w:autoSpaceDN w:val="0"/>
        <w:spacing w:after="0" w:line="240" w:lineRule="auto"/>
        <w:ind w:left="709" w:right="709"/>
        <w:jc w:val="both"/>
        <w:outlineLvl w:val="0"/>
        <w:rPr>
          <w:rFonts w:ascii="Verdana" w:eastAsia="Verdana" w:hAnsi="Verdana" w:cs="Verdana"/>
          <w:sz w:val="20"/>
          <w:szCs w:val="20"/>
          <w:lang w:val="es-ES"/>
        </w:rPr>
      </w:pPr>
    </w:p>
    <w:p w14:paraId="79FF6052" w14:textId="77777777" w:rsidR="009435D8" w:rsidRPr="00594E5E" w:rsidRDefault="009435D8" w:rsidP="009435D8">
      <w:pPr>
        <w:widowControl w:val="0"/>
        <w:tabs>
          <w:tab w:val="left" w:pos="382"/>
        </w:tabs>
        <w:autoSpaceDE w:val="0"/>
        <w:autoSpaceDN w:val="0"/>
        <w:spacing w:after="0" w:line="240" w:lineRule="auto"/>
        <w:ind w:left="709" w:right="709"/>
        <w:jc w:val="both"/>
        <w:outlineLvl w:val="0"/>
        <w:rPr>
          <w:rFonts w:ascii="Verdana" w:eastAsia="Verdana" w:hAnsi="Verdana" w:cs="Verdana"/>
          <w:b/>
          <w:bCs/>
          <w:sz w:val="20"/>
          <w:szCs w:val="20"/>
          <w:lang w:val="es-ES"/>
        </w:rPr>
      </w:pPr>
      <w:r w:rsidRPr="00594E5E">
        <w:rPr>
          <w:rFonts w:ascii="Verdana" w:eastAsia="Verdana" w:hAnsi="Verdana" w:cs="Verdana"/>
          <w:sz w:val="20"/>
          <w:szCs w:val="20"/>
          <w:lang w:val="es-ES"/>
        </w:rPr>
        <w:t xml:space="preserve">2. Se hayan recibido solicitudes de por lo menos dos (2)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 xml:space="preserve"> </w:t>
      </w:r>
      <w:r w:rsidRPr="00594E5E">
        <w:rPr>
          <w:rFonts w:ascii="Verdana" w:eastAsia="Verdana" w:hAnsi="Verdana" w:cs="Verdana"/>
          <w:sz w:val="20"/>
          <w:szCs w:val="20"/>
          <w:lang w:val="es-ES"/>
        </w:rPr>
        <w:lastRenderedPageBreak/>
        <w:t xml:space="preserve">colombianas para limitar la convocatoria a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 xml:space="preserve"> colombianas. Las Entidades Estatales independientemente de su régimen de contratación, los patrimonios autónomos constituidos por Entidades Estatales y los particulares</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que</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ejecuten</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recursos</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públicos,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deben</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recibir</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estas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solicitudes por</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lo</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menos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un</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(1)</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día</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hábil</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antes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la</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expedición</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del</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acto</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administrativo de</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apertura,</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o</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el</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que</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haga</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sus</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veces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acuerdo</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con</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la</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normativa</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aplicable a cada Proceso de Contratación. Tratándose de personas jurídicas, las solicitudes</w:t>
      </w:r>
      <w:r w:rsidRPr="00594E5E">
        <w:rPr>
          <w:rFonts w:ascii="Verdana" w:eastAsia="Verdana" w:hAnsi="Verdana" w:cs="Verdana"/>
          <w:spacing w:val="-6"/>
          <w:sz w:val="20"/>
          <w:szCs w:val="20"/>
          <w:lang w:val="es-ES"/>
        </w:rPr>
        <w:t xml:space="preserve"> </w:t>
      </w:r>
      <w:r w:rsidRPr="00594E5E">
        <w:rPr>
          <w:rFonts w:ascii="Verdana" w:eastAsia="Verdana" w:hAnsi="Verdana" w:cs="Verdana"/>
          <w:sz w:val="20"/>
          <w:szCs w:val="20"/>
          <w:lang w:val="es-ES"/>
        </w:rPr>
        <w:t>solo</w:t>
      </w:r>
      <w:r w:rsidRPr="00594E5E">
        <w:rPr>
          <w:rFonts w:ascii="Verdana" w:eastAsia="Verdana" w:hAnsi="Verdana" w:cs="Verdana"/>
          <w:spacing w:val="-8"/>
          <w:sz w:val="20"/>
          <w:szCs w:val="20"/>
          <w:lang w:val="es-ES"/>
        </w:rPr>
        <w:t xml:space="preserve"> </w:t>
      </w:r>
      <w:r w:rsidRPr="00594E5E">
        <w:rPr>
          <w:rFonts w:ascii="Verdana" w:eastAsia="Verdana" w:hAnsi="Verdana" w:cs="Verdana"/>
          <w:sz w:val="20"/>
          <w:szCs w:val="20"/>
          <w:lang w:val="es-ES"/>
        </w:rPr>
        <w:t>las</w:t>
      </w:r>
      <w:r w:rsidRPr="00594E5E">
        <w:rPr>
          <w:rFonts w:ascii="Verdana" w:eastAsia="Verdana" w:hAnsi="Verdana" w:cs="Verdana"/>
          <w:spacing w:val="-8"/>
          <w:sz w:val="20"/>
          <w:szCs w:val="20"/>
          <w:lang w:val="es-ES"/>
        </w:rPr>
        <w:t xml:space="preserve"> </w:t>
      </w:r>
      <w:r w:rsidRPr="00594E5E">
        <w:rPr>
          <w:rFonts w:ascii="Verdana" w:eastAsia="Verdana" w:hAnsi="Verdana" w:cs="Verdana"/>
          <w:sz w:val="20"/>
          <w:szCs w:val="20"/>
          <w:lang w:val="es-ES"/>
        </w:rPr>
        <w:t>podrán</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realizar</w:t>
      </w:r>
      <w:r w:rsidRPr="00594E5E">
        <w:rPr>
          <w:rFonts w:ascii="Verdana" w:eastAsia="Verdana" w:hAnsi="Verdana" w:cs="Verdana"/>
          <w:spacing w:val="-6"/>
          <w:sz w:val="20"/>
          <w:szCs w:val="20"/>
          <w:lang w:val="es-ES"/>
        </w:rPr>
        <w:t xml:space="preserve">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w:t>
      </w:r>
      <w:r w:rsidRPr="00594E5E">
        <w:rPr>
          <w:rFonts w:ascii="Verdana" w:eastAsia="Verdana" w:hAnsi="Verdana" w:cs="Verdana"/>
          <w:spacing w:val="-9"/>
          <w:sz w:val="20"/>
          <w:szCs w:val="20"/>
          <w:lang w:val="es-ES"/>
        </w:rPr>
        <w:t xml:space="preserve"> </w:t>
      </w:r>
      <w:r w:rsidRPr="00594E5E">
        <w:rPr>
          <w:rFonts w:ascii="Verdana" w:eastAsia="Verdana" w:hAnsi="Verdana" w:cs="Verdana"/>
          <w:sz w:val="20"/>
          <w:szCs w:val="20"/>
          <w:lang w:val="es-ES"/>
        </w:rPr>
        <w:t>cuyo</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objeto</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social</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les</w:t>
      </w:r>
      <w:r w:rsidRPr="00594E5E">
        <w:rPr>
          <w:rFonts w:ascii="Verdana" w:eastAsia="Verdana" w:hAnsi="Verdana" w:cs="Verdana"/>
          <w:spacing w:val="-8"/>
          <w:sz w:val="20"/>
          <w:szCs w:val="20"/>
          <w:lang w:val="es-ES"/>
        </w:rPr>
        <w:t xml:space="preserve"> </w:t>
      </w:r>
      <w:r w:rsidRPr="00594E5E">
        <w:rPr>
          <w:rFonts w:ascii="Verdana" w:eastAsia="Verdana" w:hAnsi="Verdana" w:cs="Verdana"/>
          <w:sz w:val="20"/>
          <w:szCs w:val="20"/>
          <w:lang w:val="es-ES"/>
        </w:rPr>
        <w:t>permita ejecutar el contrato relacionado con el proceso contractual.</w:t>
      </w:r>
    </w:p>
    <w:p w14:paraId="551F2F89" w14:textId="77777777" w:rsidR="009435D8" w:rsidRPr="00594E5E" w:rsidRDefault="009435D8" w:rsidP="009435D8">
      <w:pPr>
        <w:widowControl w:val="0"/>
        <w:tabs>
          <w:tab w:val="left" w:pos="382"/>
        </w:tabs>
        <w:autoSpaceDE w:val="0"/>
        <w:autoSpaceDN w:val="0"/>
        <w:spacing w:after="0" w:line="240" w:lineRule="auto"/>
        <w:ind w:left="709" w:right="709"/>
        <w:jc w:val="both"/>
        <w:outlineLvl w:val="0"/>
        <w:rPr>
          <w:rFonts w:ascii="Verdana" w:eastAsia="Verdana" w:hAnsi="Verdana" w:cs="Verdana"/>
          <w:sz w:val="20"/>
          <w:szCs w:val="20"/>
          <w:lang w:val="es-ES"/>
        </w:rPr>
      </w:pPr>
    </w:p>
    <w:p w14:paraId="286F7D74" w14:textId="77777777" w:rsidR="009435D8" w:rsidRPr="00594E5E" w:rsidRDefault="009435D8" w:rsidP="009435D8">
      <w:pPr>
        <w:widowControl w:val="0"/>
        <w:tabs>
          <w:tab w:val="left" w:pos="382"/>
        </w:tabs>
        <w:autoSpaceDE w:val="0"/>
        <w:autoSpaceDN w:val="0"/>
        <w:spacing w:after="0" w:line="240" w:lineRule="auto"/>
        <w:ind w:left="709" w:right="709"/>
        <w:jc w:val="both"/>
        <w:outlineLvl w:val="0"/>
        <w:rPr>
          <w:rFonts w:ascii="Verdana" w:eastAsia="Verdana" w:hAnsi="Verdana" w:cs="Verdana"/>
          <w:b/>
          <w:bCs/>
          <w:lang w:val="es-ES"/>
        </w:rPr>
      </w:pPr>
      <w:r w:rsidRPr="00594E5E">
        <w:rPr>
          <w:rFonts w:ascii="Verdana" w:eastAsia="Verdana" w:hAnsi="Verdana" w:cs="Verdana"/>
          <w:sz w:val="20"/>
          <w:szCs w:val="20"/>
          <w:lang w:val="es-ES"/>
        </w:rPr>
        <w:t>Parágrafo. Las cooperativas y demás entidades de economía solidaria, siempre</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que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tengan</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la</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calidad</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5"/>
          <w:sz w:val="20"/>
          <w:szCs w:val="20"/>
          <w:lang w:val="es-ES"/>
        </w:rPr>
        <w:t xml:space="preserve">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podrán</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solicitar</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y</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participar</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en las convocatorias limitadas en las mismas condiciones dispuestas en el presente artículo”.</w:t>
      </w:r>
    </w:p>
    <w:p w14:paraId="582C8715" w14:textId="77777777" w:rsidR="009435D8" w:rsidRDefault="009435D8" w:rsidP="009435D8">
      <w:pPr>
        <w:spacing w:after="0" w:line="276" w:lineRule="auto"/>
        <w:ind w:firstLine="708"/>
        <w:jc w:val="both"/>
        <w:rPr>
          <w:rFonts w:ascii="Verdana" w:hAnsi="Verdana"/>
          <w:lang w:val="es-ES"/>
        </w:rPr>
      </w:pPr>
    </w:p>
    <w:p w14:paraId="3F471675" w14:textId="77777777" w:rsidR="009435D8" w:rsidRPr="0022587E" w:rsidRDefault="009435D8" w:rsidP="009435D8">
      <w:pPr>
        <w:spacing w:after="120" w:line="276" w:lineRule="auto"/>
        <w:ind w:firstLine="708"/>
        <w:jc w:val="both"/>
        <w:rPr>
          <w:rFonts w:ascii="Verdana" w:hAnsi="Verdana"/>
          <w:lang w:val="es-ES"/>
        </w:rPr>
      </w:pPr>
      <w:r w:rsidRPr="0022587E">
        <w:rPr>
          <w:rFonts w:ascii="Verdana" w:hAnsi="Verdana"/>
          <w:lang w:val="es-ES"/>
        </w:rPr>
        <w:t xml:space="preserve">Según se evidencia, el numeral primero del </w:t>
      </w:r>
      <w:r w:rsidRPr="0022587E">
        <w:rPr>
          <w:rFonts w:ascii="Verdana" w:hAnsi="Verdana"/>
          <w:lang w:val="es-ES_tradnl"/>
        </w:rPr>
        <w:t xml:space="preserve">artículo 2.2.1.2.4.2.2 del Decreto 1082 de 2015 </w:t>
      </w:r>
      <w:r w:rsidRPr="0022587E">
        <w:rPr>
          <w:rFonts w:ascii="Verdana" w:hAnsi="Verdana"/>
          <w:lang w:val="es-ES"/>
        </w:rPr>
        <w:t xml:space="preserve">limita cuantitativamente los procesos contractuales para las convocatorias limitadas a </w:t>
      </w:r>
      <w:proofErr w:type="spellStart"/>
      <w:r w:rsidRPr="0022587E">
        <w:rPr>
          <w:rFonts w:ascii="Verdana" w:hAnsi="Verdana"/>
          <w:lang w:val="es-ES"/>
        </w:rPr>
        <w:t>Mipyme</w:t>
      </w:r>
      <w:proofErr w:type="spellEnd"/>
      <w:r w:rsidRPr="0022587E">
        <w:rPr>
          <w:rFonts w:ascii="Verdana" w:hAnsi="Verdana"/>
          <w:lang w:val="es-ES"/>
        </w:rPr>
        <w:t>, puesto que el valor del proceso de contratación debe ser “menor a ciento veinticinco mil dólares de los Estados Unidos de América”. Esto de acuerdo con la tasa que determine cada dos</w:t>
      </w:r>
      <w:r>
        <w:rPr>
          <w:rFonts w:ascii="Verdana" w:hAnsi="Verdana"/>
          <w:lang w:val="es-ES"/>
        </w:rPr>
        <w:t xml:space="preserve"> (2)</w:t>
      </w:r>
      <w:r w:rsidRPr="0022587E">
        <w:rPr>
          <w:rFonts w:ascii="Verdana" w:hAnsi="Verdana"/>
          <w:lang w:val="es-ES"/>
        </w:rPr>
        <w:t xml:space="preserve"> años el Ministerio de Comercio, Industria y Turismo. </w:t>
      </w:r>
      <w:r>
        <w:rPr>
          <w:rFonts w:ascii="Verdana" w:hAnsi="Verdana"/>
          <w:lang w:val="es-ES"/>
        </w:rPr>
        <w:t>E</w:t>
      </w:r>
      <w:r w:rsidRPr="0022587E">
        <w:rPr>
          <w:rFonts w:ascii="Verdana" w:hAnsi="Verdana"/>
          <w:lang w:val="es-ES"/>
        </w:rPr>
        <w:t>l numeral segundo establece</w:t>
      </w:r>
      <w:r>
        <w:rPr>
          <w:rFonts w:ascii="Verdana" w:hAnsi="Verdana"/>
          <w:lang w:val="es-ES"/>
        </w:rPr>
        <w:t>, por un lado,</w:t>
      </w:r>
      <w:r w:rsidRPr="0022587E">
        <w:rPr>
          <w:rFonts w:ascii="Verdana" w:hAnsi="Verdana"/>
          <w:lang w:val="es-ES"/>
        </w:rPr>
        <w:t xml:space="preserve"> que al menos dos (2) </w:t>
      </w:r>
      <w:proofErr w:type="spellStart"/>
      <w:r w:rsidRPr="0022587E">
        <w:rPr>
          <w:rFonts w:ascii="Verdana" w:hAnsi="Verdana"/>
          <w:lang w:val="es-ES"/>
        </w:rPr>
        <w:t>Mi</w:t>
      </w:r>
      <w:r>
        <w:rPr>
          <w:rFonts w:ascii="Verdana" w:hAnsi="Verdana"/>
          <w:lang w:val="es-ES"/>
        </w:rPr>
        <w:t>p</w:t>
      </w:r>
      <w:r w:rsidRPr="0022587E">
        <w:rPr>
          <w:rFonts w:ascii="Verdana" w:hAnsi="Verdana"/>
          <w:lang w:val="es-ES"/>
        </w:rPr>
        <w:t>ymes</w:t>
      </w:r>
      <w:proofErr w:type="spellEnd"/>
      <w:r w:rsidRPr="0022587E">
        <w:rPr>
          <w:rFonts w:ascii="Verdana" w:hAnsi="Verdana"/>
          <w:lang w:val="es-ES"/>
        </w:rPr>
        <w:t xml:space="preserve"> colombianas presenten a la entidad la solicitud de limitar el proceso contractual y, por el otro, que hagan la solicitud por lo menos un día (1) hábil antes de la expedición del acto administrativo de apertura o el que haga sus veces de acuerdo con la normativa aplicable a cada Proceso de Contratación. </w:t>
      </w:r>
    </w:p>
    <w:p w14:paraId="25355A93" w14:textId="77777777" w:rsidR="009435D8" w:rsidRPr="0022587E" w:rsidRDefault="009435D8" w:rsidP="009435D8">
      <w:pPr>
        <w:spacing w:after="120" w:line="276" w:lineRule="auto"/>
        <w:ind w:firstLine="708"/>
        <w:jc w:val="both"/>
        <w:rPr>
          <w:rFonts w:ascii="Verdana" w:eastAsia="Calibri" w:hAnsi="Verdana" w:cs="Arial"/>
          <w:color w:val="000000" w:themeColor="text1"/>
        </w:rPr>
      </w:pPr>
      <w:r w:rsidRPr="0022587E">
        <w:rPr>
          <w:rFonts w:ascii="Verdana" w:hAnsi="Verdana"/>
          <w:lang w:val="es-ES"/>
        </w:rPr>
        <w:t>Asimism</w:t>
      </w:r>
      <w:r>
        <w:rPr>
          <w:rFonts w:ascii="Verdana" w:hAnsi="Verdana"/>
          <w:lang w:val="es-ES"/>
        </w:rPr>
        <w:t>o, la norma dispone</w:t>
      </w:r>
      <w:r w:rsidRPr="0022587E">
        <w:rPr>
          <w:rFonts w:ascii="Verdana" w:hAnsi="Verdana"/>
          <w:lang w:val="es-ES"/>
        </w:rPr>
        <w:t xml:space="preserve"> que, tratándose de personas jurídicas, las solicitudes solo las podrán realizar la</w:t>
      </w:r>
      <w:r>
        <w:rPr>
          <w:rFonts w:ascii="Verdana" w:hAnsi="Verdana"/>
          <w:lang w:val="es-ES"/>
        </w:rPr>
        <w:t>s</w:t>
      </w:r>
      <w:r w:rsidRPr="0022587E">
        <w:rPr>
          <w:rFonts w:ascii="Verdana" w:hAnsi="Verdana"/>
          <w:lang w:val="es-ES"/>
        </w:rPr>
        <w:t xml:space="preserve"> </w:t>
      </w:r>
      <w:proofErr w:type="spellStart"/>
      <w:r w:rsidRPr="0022587E">
        <w:rPr>
          <w:rFonts w:ascii="Verdana" w:hAnsi="Verdana"/>
          <w:lang w:val="es-ES"/>
        </w:rPr>
        <w:t>Mipyme</w:t>
      </w:r>
      <w:proofErr w:type="spellEnd"/>
      <w:r>
        <w:rPr>
          <w:rFonts w:ascii="Verdana" w:hAnsi="Verdana"/>
          <w:lang w:val="es-ES"/>
        </w:rPr>
        <w:t xml:space="preserve"> </w:t>
      </w:r>
      <w:r w:rsidRPr="0022587E">
        <w:rPr>
          <w:rFonts w:ascii="Verdana" w:hAnsi="Verdana"/>
          <w:lang w:val="es-ES"/>
        </w:rPr>
        <w:t xml:space="preserve">cuyo objeto social les permita ejecutar el contrato relacionado con el proceso contractual. </w:t>
      </w:r>
      <w:r w:rsidRPr="0022587E">
        <w:rPr>
          <w:rFonts w:ascii="Verdana" w:eastAsia="Calibri" w:hAnsi="Verdana" w:cs="Arial"/>
          <w:color w:val="000000" w:themeColor="text1"/>
        </w:rPr>
        <w:t xml:space="preserve">En relación con la posibilidad que una sociedad por acciones simplificada pueda solicitar la limitación de la convocatoria a </w:t>
      </w:r>
      <w:proofErr w:type="spellStart"/>
      <w:r w:rsidRPr="0022587E">
        <w:rPr>
          <w:rFonts w:ascii="Verdana" w:eastAsia="Calibri" w:hAnsi="Verdana" w:cs="Arial"/>
          <w:color w:val="000000" w:themeColor="text1"/>
        </w:rPr>
        <w:t>Mipyme</w:t>
      </w:r>
      <w:proofErr w:type="spellEnd"/>
      <w:r w:rsidRPr="0022587E">
        <w:rPr>
          <w:rFonts w:ascii="Verdana" w:eastAsia="Calibri" w:hAnsi="Verdana" w:cs="Arial"/>
          <w:color w:val="000000" w:themeColor="text1"/>
        </w:rPr>
        <w:t xml:space="preserve"> debido a la necesidad de que el objeto social </w:t>
      </w:r>
      <w:r w:rsidRPr="0022587E">
        <w:rPr>
          <w:rFonts w:ascii="Verdana" w:hAnsi="Verdana"/>
          <w:lang w:val="es-ES"/>
        </w:rPr>
        <w:t xml:space="preserve">les permita ejecutar el contrato relacionado con el proceso contractual debe señalarse que, </w:t>
      </w:r>
      <w:r w:rsidRPr="0022587E">
        <w:rPr>
          <w:rFonts w:ascii="Verdana" w:eastAsia="Calibri" w:hAnsi="Verdana" w:cs="Arial"/>
          <w:color w:val="000000" w:themeColor="text1"/>
        </w:rPr>
        <w:t xml:space="preserve">la capacidad </w:t>
      </w:r>
      <w:proofErr w:type="spellStart"/>
      <w:r w:rsidRPr="0022587E">
        <w:rPr>
          <w:rFonts w:ascii="Verdana" w:eastAsia="Calibri" w:hAnsi="Verdana" w:cs="Arial"/>
          <w:color w:val="000000" w:themeColor="text1"/>
        </w:rPr>
        <w:t>juridica</w:t>
      </w:r>
      <w:proofErr w:type="spellEnd"/>
      <w:r w:rsidRPr="0022587E">
        <w:rPr>
          <w:rFonts w:ascii="Verdana" w:eastAsia="Calibri" w:hAnsi="Verdana" w:cs="Arial"/>
          <w:color w:val="000000" w:themeColor="text1"/>
        </w:rPr>
        <w:t xml:space="preserve"> de las </w:t>
      </w:r>
      <w:r w:rsidRPr="0022587E">
        <w:rPr>
          <w:rFonts w:ascii="Verdana" w:eastAsia="Calibri" w:hAnsi="Verdana" w:cs="Arial"/>
          <w:i/>
          <w:iCs/>
          <w:color w:val="000000" w:themeColor="text1"/>
        </w:rPr>
        <w:t>personas jurídicas</w:t>
      </w:r>
      <w:r w:rsidRPr="0022587E">
        <w:rPr>
          <w:rFonts w:ascii="Verdana" w:eastAsia="Calibri" w:hAnsi="Verdana" w:cs="Arial"/>
          <w:color w:val="000000" w:themeColor="text1"/>
        </w:rPr>
        <w:t xml:space="preserve"> se circunscribe a las actividades principales y conexas del objeto social. </w:t>
      </w:r>
    </w:p>
    <w:p w14:paraId="0AE08B9A" w14:textId="77777777" w:rsidR="009435D8" w:rsidRPr="0022587E" w:rsidRDefault="009435D8" w:rsidP="009435D8">
      <w:pPr>
        <w:spacing w:after="120" w:line="276" w:lineRule="auto"/>
        <w:ind w:firstLine="708"/>
        <w:jc w:val="both"/>
        <w:rPr>
          <w:rFonts w:ascii="Verdana" w:hAnsi="Verdana"/>
          <w:lang w:val="es-ES"/>
        </w:rPr>
      </w:pPr>
      <w:r w:rsidRPr="0022587E">
        <w:rPr>
          <w:rFonts w:ascii="Verdana" w:eastAsia="Calibri" w:hAnsi="Verdana" w:cs="Arial"/>
          <w:color w:val="000000" w:themeColor="text1"/>
        </w:rPr>
        <w:t xml:space="preserve">Las primeras constituyen la verdadera labor empresarial del ente societario, es decir, la “[…] actividad económica organizada para la producción, transformación, circulación, administración o custodia de bienes, o para la prestación de servicios […]” en los términos del artículo 25 del Código de </w:t>
      </w:r>
      <w:r w:rsidRPr="0022587E">
        <w:rPr>
          <w:rFonts w:ascii="Verdana" w:eastAsia="Calibri" w:hAnsi="Verdana" w:cs="Arial"/>
          <w:color w:val="000000" w:themeColor="text1"/>
        </w:rPr>
        <w:lastRenderedPageBreak/>
        <w:t>Comercio: su explotación rentable contribuye al ánimo de lucro de quienes tengan la calidad de socios, accionistas o constituyentes. Por su parte, las segundas son aquellas que complementan, facilitan o guardan relación directa con las actividades principales, por lo que contribuyen al cumplimiento de los fines principales de la empresa, así como los necesarios para el ejercicio de los derechos de la sociedad o para cumplir obligaciones derivadas de su existencia o actividad</w:t>
      </w:r>
      <w:r w:rsidRPr="0022587E">
        <w:rPr>
          <w:rStyle w:val="Refdenotaalpie"/>
          <w:rFonts w:ascii="Verdana" w:eastAsia="Calibri" w:hAnsi="Verdana" w:cs="Arial"/>
          <w:color w:val="000000" w:themeColor="text1"/>
        </w:rPr>
        <w:footnoteReference w:id="1"/>
      </w:r>
      <w:r w:rsidRPr="0022587E">
        <w:rPr>
          <w:rFonts w:ascii="Verdana" w:eastAsia="Calibri" w:hAnsi="Verdana" w:cs="Arial"/>
          <w:color w:val="000000" w:themeColor="text1"/>
        </w:rPr>
        <w:t>. Estas limitaciones a la capacidad se justifican en la medida que "[…] los aportes al fondo social se hacen precisamente para los negocios sociales y, por eso, no pueden ser distraídos en actividades distintas, para no desvirtuar y dejar de cumplir el contrato social”</w:t>
      </w:r>
      <w:r w:rsidRPr="0022587E">
        <w:rPr>
          <w:rStyle w:val="Refdenotaalpie"/>
          <w:rFonts w:ascii="Verdana" w:eastAsia="Calibri" w:hAnsi="Verdana" w:cs="Arial"/>
          <w:color w:val="000000" w:themeColor="text1"/>
        </w:rPr>
        <w:footnoteReference w:id="2"/>
      </w:r>
      <w:r w:rsidRPr="0022587E">
        <w:rPr>
          <w:rFonts w:ascii="Verdana" w:eastAsia="Calibri" w:hAnsi="Verdana" w:cs="Arial"/>
          <w:color w:val="000000" w:themeColor="text1"/>
        </w:rPr>
        <w:t>.</w:t>
      </w:r>
    </w:p>
    <w:p w14:paraId="63585062" w14:textId="77777777" w:rsidR="009435D8" w:rsidRPr="0022587E" w:rsidRDefault="009435D8" w:rsidP="009435D8">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22587E">
        <w:rPr>
          <w:rFonts w:ascii="Verdana" w:eastAsia="Calibri" w:hAnsi="Verdana" w:cs="Arial"/>
          <w:color w:val="000000" w:themeColor="text1"/>
        </w:rPr>
        <w:t>Aunque lo descrito en los párrafos precedentes constituye la regla general, excepcionalmente el ordenamiento jurídico permite la constitución de personas jurídicas con objeto indeterminado. Este es el caso de las sociedades por acciones simplificadas, especialmente, cuando el artículo 5.4 de la Ley 1258 de 2008 indica que para su constitución debe expresarse “Una enunciación clara y completa de las actividades principales, a menos que se exprese que la sociedad podrá realizar cualquier actividad comercial o civil, lícita. Si nada se expresa en el acto de constitución, se entenderá que la sociedad podrá realizar cualquier actividad lícita”</w:t>
      </w:r>
      <w:r w:rsidRPr="0022587E">
        <w:rPr>
          <w:rStyle w:val="Refdenotaalpie"/>
          <w:rFonts w:ascii="Verdana" w:eastAsia="Calibri" w:hAnsi="Verdana" w:cs="Arial"/>
          <w:color w:val="000000" w:themeColor="text1"/>
        </w:rPr>
        <w:footnoteReference w:id="3"/>
      </w:r>
      <w:r w:rsidRPr="0022587E">
        <w:rPr>
          <w:rFonts w:ascii="Verdana" w:eastAsia="Calibri" w:hAnsi="Verdana" w:cs="Arial"/>
          <w:color w:val="000000" w:themeColor="text1"/>
        </w:rPr>
        <w:t>. En ese sen</w:t>
      </w:r>
      <w:r>
        <w:rPr>
          <w:rFonts w:ascii="Verdana" w:eastAsia="Calibri" w:hAnsi="Verdana" w:cs="Arial"/>
          <w:color w:val="000000" w:themeColor="text1"/>
        </w:rPr>
        <w:t xml:space="preserve">tido, </w:t>
      </w:r>
      <w:r w:rsidRPr="0022587E">
        <w:rPr>
          <w:rFonts w:ascii="Verdana" w:eastAsia="Calibri" w:hAnsi="Verdana" w:cs="Arial"/>
          <w:color w:val="000000" w:themeColor="text1"/>
        </w:rPr>
        <w:t xml:space="preserve">debe señalarse que, las sociedades con objeto </w:t>
      </w:r>
      <w:r w:rsidRPr="0022587E">
        <w:rPr>
          <w:rFonts w:ascii="Verdana" w:eastAsia="Calibri" w:hAnsi="Verdana" w:cs="Arial"/>
          <w:color w:val="000000" w:themeColor="text1"/>
        </w:rPr>
        <w:lastRenderedPageBreak/>
        <w:t xml:space="preserve">indeterminado –como las sociedades por acciones simplificadas– pueden solicitar la limitación de la convocatoria a </w:t>
      </w:r>
      <w:proofErr w:type="spellStart"/>
      <w:r w:rsidRPr="0022587E">
        <w:rPr>
          <w:rFonts w:ascii="Verdana" w:eastAsia="Calibri" w:hAnsi="Verdana" w:cs="Arial"/>
          <w:color w:val="000000" w:themeColor="text1"/>
        </w:rPr>
        <w:t>Mipymes</w:t>
      </w:r>
      <w:proofErr w:type="spellEnd"/>
      <w:r w:rsidRPr="0022587E">
        <w:rPr>
          <w:rFonts w:ascii="Verdana" w:eastAsia="Calibri" w:hAnsi="Verdana" w:cs="Arial"/>
          <w:color w:val="000000" w:themeColor="text1"/>
        </w:rPr>
        <w:t>,</w:t>
      </w:r>
      <w:r w:rsidRPr="0022587E">
        <w:rPr>
          <w:rFonts w:ascii="Verdana" w:eastAsia="Times New Roman" w:hAnsi="Verdana" w:cs="Arial"/>
          <w:color w:val="000000" w:themeColor="text1"/>
          <w:lang w:val="es-ES_tradnl" w:eastAsia="es-ES_tradnl"/>
        </w:rPr>
        <w:t xml:space="preserve"> ya que –en las condiciones del</w:t>
      </w:r>
      <w:r w:rsidRPr="0022587E">
        <w:rPr>
          <w:rFonts w:ascii="Verdana" w:eastAsia="Calibri" w:hAnsi="Verdana" w:cs="Arial"/>
          <w:color w:val="000000" w:themeColor="text1"/>
        </w:rPr>
        <w:t xml:space="preserve"> artículo 5.4 de la Ley 1258 de 2008– </w:t>
      </w:r>
      <w:r w:rsidRPr="0022587E">
        <w:rPr>
          <w:rFonts w:ascii="Verdana" w:eastAsia="Times New Roman" w:hAnsi="Verdana" w:cs="Arial"/>
          <w:color w:val="000000" w:themeColor="text1"/>
          <w:lang w:val="es-ES_tradnl" w:eastAsia="es-ES_tradnl"/>
        </w:rPr>
        <w:t>pueden ejecutar cualquier actividad lícita.</w:t>
      </w:r>
      <w:r w:rsidRPr="0022587E">
        <w:rPr>
          <w:rFonts w:ascii="Verdana" w:eastAsia="Calibri" w:hAnsi="Verdana" w:cs="Arial"/>
          <w:color w:val="000000" w:themeColor="text1"/>
        </w:rPr>
        <w:t xml:space="preserve"> </w:t>
      </w:r>
    </w:p>
    <w:p w14:paraId="4E10BDB5" w14:textId="60AF3C61" w:rsidR="009435D8" w:rsidRPr="0022587E" w:rsidRDefault="009435D8" w:rsidP="009435D8">
      <w:pPr>
        <w:spacing w:after="120" w:line="276" w:lineRule="auto"/>
        <w:ind w:firstLine="708"/>
        <w:jc w:val="both"/>
        <w:rPr>
          <w:rFonts w:ascii="Verdana" w:hAnsi="Verdana"/>
          <w:lang w:val="es-ES"/>
        </w:rPr>
      </w:pPr>
      <w:r w:rsidRPr="0022587E">
        <w:rPr>
          <w:rFonts w:ascii="Verdana" w:hAnsi="Verdana"/>
          <w:lang w:val="es-ES"/>
        </w:rPr>
        <w:t xml:space="preserve">Por lo demás, el artículo </w:t>
      </w:r>
      <w:r w:rsidRPr="0022587E">
        <w:rPr>
          <w:rFonts w:ascii="Verdana" w:hAnsi="Verdana"/>
          <w:lang w:val="es-ES_tradnl"/>
        </w:rPr>
        <w:t xml:space="preserve">2.1.2.4.2.2 del Decreto 1082 de 2015 </w:t>
      </w:r>
      <w:r w:rsidRPr="0022587E">
        <w:rPr>
          <w:rFonts w:ascii="Verdana" w:hAnsi="Verdana"/>
          <w:lang w:val="es-ES"/>
        </w:rPr>
        <w:t xml:space="preserve">incluye a las cooperativas y demás entidades de economía solidaria dentro de los sujetos que pueden solicitar y participar en las convocatorias limitadas a </w:t>
      </w:r>
      <w:proofErr w:type="spellStart"/>
      <w:r w:rsidRPr="0022587E">
        <w:rPr>
          <w:rFonts w:ascii="Verdana" w:hAnsi="Verdana"/>
          <w:lang w:val="es-ES"/>
        </w:rPr>
        <w:t>Mipyme</w:t>
      </w:r>
      <w:proofErr w:type="spellEnd"/>
      <w:r w:rsidRPr="0022587E">
        <w:rPr>
          <w:rFonts w:ascii="Verdana" w:hAnsi="Verdana"/>
          <w:lang w:val="es-ES"/>
        </w:rPr>
        <w:t>, siempre que estas cumplan con las condiciones señaladas en el artículo.</w:t>
      </w:r>
    </w:p>
    <w:p w14:paraId="734A9720" w14:textId="77777777" w:rsidR="009435D8" w:rsidRPr="006C0D93" w:rsidRDefault="009435D8" w:rsidP="009435D8">
      <w:pPr>
        <w:spacing w:after="120" w:line="276" w:lineRule="auto"/>
        <w:ind w:firstLine="709"/>
        <w:jc w:val="both"/>
        <w:rPr>
          <w:rFonts w:ascii="Verdana" w:eastAsia="Calibri" w:hAnsi="Verdana" w:cs="Arial"/>
        </w:rPr>
      </w:pPr>
      <w:r w:rsidRPr="006C0D93">
        <w:rPr>
          <w:rFonts w:ascii="Verdana" w:eastAsia="Calibri" w:hAnsi="Verdana" w:cs="Arial"/>
          <w:lang w:val="es-ES_tradnl"/>
        </w:rPr>
        <w:t xml:space="preserve">De la redacción del parágrafo 1 del artículo 34 de la Ley 2069 de 2020, según el cual, “En los procesos de selección que se desarrollen con base en el primer inciso, las entidades podrán realizar las convocatorias limitadas que beneficien a las MiPymes del ámbito municipal o departamental correspondiente al de la ejecución del contrato”, se desprende que en tales términos, la norma citada solo contempla la posibilidad de limitar convocatorias a MiPymes con domicilio en esos dos tipos de entidades territoriales. </w:t>
      </w:r>
    </w:p>
    <w:p w14:paraId="0F94A6AE" w14:textId="77777777" w:rsidR="009435D8" w:rsidRPr="006C0D93" w:rsidRDefault="009435D8" w:rsidP="009435D8">
      <w:pPr>
        <w:spacing w:after="120" w:line="276" w:lineRule="auto"/>
        <w:ind w:firstLine="709"/>
        <w:jc w:val="both"/>
        <w:rPr>
          <w:rFonts w:ascii="Verdana" w:eastAsia="Calibri" w:hAnsi="Verdana" w:cs="Arial"/>
        </w:rPr>
      </w:pPr>
      <w:r w:rsidRPr="006C0D93">
        <w:rPr>
          <w:rFonts w:ascii="Verdana" w:eastAsia="Arial" w:hAnsi="Verdana" w:cs="Arial"/>
          <w:color w:val="000000" w:themeColor="text1"/>
        </w:rPr>
        <w:t xml:space="preserve">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006C0D93">
        <w:rPr>
          <w:rFonts w:ascii="Verdana" w:eastAsia="Arial" w:hAnsi="Verdana" w:cs="Arial"/>
          <w:color w:val="000000" w:themeColor="text1"/>
        </w:rPr>
        <w:t>MiPyme</w:t>
      </w:r>
      <w:proofErr w:type="spellEnd"/>
      <w:r w:rsidRPr="006C0D93">
        <w:rPr>
          <w:rFonts w:ascii="Verdana" w:eastAsia="Arial" w:hAnsi="Verdana" w:cs="Arial"/>
          <w:color w:val="000000" w:themeColor="text1"/>
        </w:rPr>
        <w:t xml:space="preserve"> nacional. Además, las normas de contratación permiten que las </w:t>
      </w:r>
      <w:proofErr w:type="spellStart"/>
      <w:r w:rsidRPr="006C0D93">
        <w:rPr>
          <w:rFonts w:ascii="Verdana" w:eastAsia="Arial" w:hAnsi="Verdana" w:cs="Arial"/>
          <w:color w:val="000000" w:themeColor="text1"/>
        </w:rPr>
        <w:t>MiPyme</w:t>
      </w:r>
      <w:proofErr w:type="spellEnd"/>
      <w:r w:rsidRPr="006C0D93">
        <w:rPr>
          <w:rFonts w:ascii="Verdana" w:eastAsia="Arial" w:hAnsi="Verdana" w:cs="Arial"/>
          <w:color w:val="000000" w:themeColor="text1"/>
        </w:rPr>
        <w:t xml:space="preserve"> nacionales puedan beneficiarse de la ejecución de un contrato dentro de la entidad territorial en la que tienen su “domicilio”. </w:t>
      </w:r>
    </w:p>
    <w:p w14:paraId="54CB2505" w14:textId="77777777" w:rsidR="009435D8" w:rsidRPr="006C0D93" w:rsidRDefault="009435D8" w:rsidP="009435D8">
      <w:pPr>
        <w:spacing w:after="120" w:line="276" w:lineRule="auto"/>
        <w:ind w:firstLine="709"/>
        <w:jc w:val="both"/>
        <w:rPr>
          <w:rFonts w:ascii="Verdana" w:eastAsia="Calibri" w:hAnsi="Verdana" w:cs="Arial"/>
        </w:rPr>
      </w:pPr>
      <w:r w:rsidRPr="006C0D93">
        <w:rPr>
          <w:rFonts w:ascii="Verdana" w:eastAsia="Arial" w:hAnsi="Verdana" w:cs="Arial"/>
          <w:color w:val="000000" w:themeColor="text1"/>
        </w:rPr>
        <w:t xml:space="preserve">Por otro lado, no puede perderse de vista que la decisión de limitar “a </w:t>
      </w:r>
      <w:proofErr w:type="spellStart"/>
      <w:r w:rsidRPr="006C0D93">
        <w:rPr>
          <w:rFonts w:ascii="Verdana" w:eastAsia="Arial" w:hAnsi="Verdana" w:cs="Arial"/>
          <w:color w:val="000000" w:themeColor="text1"/>
        </w:rPr>
        <w:t>Mipyme</w:t>
      </w:r>
      <w:proofErr w:type="spellEnd"/>
      <w:r w:rsidRPr="006C0D93">
        <w:rPr>
          <w:rFonts w:ascii="Verdana" w:eastAsia="Arial" w:hAnsi="Verdana" w:cs="Arial"/>
          <w:color w:val="000000" w:themeColor="text1"/>
        </w:rPr>
        <w:t xml:space="preserve"> colombianas que tengan domicilio en los departamentos o municipios en donde se va a ejecutar el contrato”, aunque es facultativa de la entidad, está supeditada a que se verifiquen los requisitos establecidos en los numerales 1 y 2 del precitado artículo 2.2.1.2.4.2.2 del Decreto 1082 de 2015, modificado por </w:t>
      </w:r>
      <w:r w:rsidRPr="006C0D93">
        <w:rPr>
          <w:rFonts w:ascii="Verdana" w:eastAsia="Arial" w:hAnsi="Verdana" w:cs="Arial"/>
          <w:color w:val="000000" w:themeColor="text1"/>
        </w:rPr>
        <w:lastRenderedPageBreak/>
        <w:t xml:space="preserve">el Decreto 1860 de 2021. En ese sentido, si la Entidad no recibió las solicitudes para limitar la convocatoria a </w:t>
      </w:r>
      <w:proofErr w:type="spellStart"/>
      <w:r w:rsidRPr="006C0D93">
        <w:rPr>
          <w:rFonts w:ascii="Verdana" w:eastAsia="Arial" w:hAnsi="Verdana" w:cs="Arial"/>
          <w:color w:val="000000" w:themeColor="text1"/>
        </w:rPr>
        <w:t>MiPyme</w:t>
      </w:r>
      <w:proofErr w:type="spellEnd"/>
      <w:r w:rsidRPr="006C0D93">
        <w:rPr>
          <w:rFonts w:ascii="Verdana" w:eastAsia="Arial" w:hAnsi="Verdana" w:cs="Arial"/>
          <w:color w:val="000000" w:themeColor="text1"/>
        </w:rPr>
        <w:t xml:space="preserve">, no puede </w:t>
      </w:r>
      <w:r w:rsidRPr="006C0D93">
        <w:rPr>
          <w:rFonts w:ascii="Verdana" w:eastAsia="Arial" w:hAnsi="Verdana" w:cs="Arial"/>
          <w:i/>
          <w:iCs/>
          <w:color w:val="000000" w:themeColor="text1"/>
        </w:rPr>
        <w:t xml:space="preserve">motu proprio </w:t>
      </w:r>
      <w:r w:rsidRPr="006C0D93">
        <w:rPr>
          <w:rFonts w:ascii="Verdana" w:eastAsia="Arial" w:hAnsi="Verdana" w:cs="Arial"/>
          <w:color w:val="000000" w:themeColor="text1"/>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1058196B" w14:textId="77777777" w:rsidR="009435D8" w:rsidRPr="006C0D93" w:rsidRDefault="009435D8" w:rsidP="009435D8">
      <w:pPr>
        <w:spacing w:after="120" w:line="276" w:lineRule="auto"/>
        <w:ind w:firstLine="709"/>
        <w:jc w:val="both"/>
        <w:rPr>
          <w:rFonts w:ascii="Verdana" w:eastAsia="Calibri" w:hAnsi="Verdana" w:cs="Arial"/>
        </w:rPr>
      </w:pPr>
      <w:r w:rsidRPr="006C0D93">
        <w:rPr>
          <w:rFonts w:ascii="Verdana" w:hAnsi="Verdana" w:cs="Arial"/>
          <w:color w:val="000000" w:themeColor="text1"/>
        </w:rPr>
        <w:t xml:space="preserve">Cumplidos los dos requisitos del artículo 2.2.1.2.4.2.2 </w:t>
      </w:r>
      <w:proofErr w:type="spellStart"/>
      <w:r w:rsidRPr="006C0D93">
        <w:rPr>
          <w:rFonts w:ascii="Verdana" w:hAnsi="Verdana" w:cs="Arial"/>
          <w:i/>
          <w:iCs/>
          <w:color w:val="000000" w:themeColor="text1"/>
        </w:rPr>
        <w:t>ibídem</w:t>
      </w:r>
      <w:proofErr w:type="spellEnd"/>
      <w:r w:rsidRPr="006C0D93">
        <w:rPr>
          <w:rFonts w:ascii="Verdana" w:hAnsi="Verdana" w:cs="Arial"/>
          <w:color w:val="000000" w:themeColor="text1"/>
        </w:rPr>
        <w:t xml:space="preserve">, la Entidad Estatal, independientemente de su régimen de contratación, los patrimonios autónomos constituidos por Entidades Estatales y los particulares que ejecuten recursos públicos, </w:t>
      </w:r>
      <w:r w:rsidRPr="006C0D93">
        <w:rPr>
          <w:rFonts w:ascii="Verdana" w:hAnsi="Verdana" w:cs="Arial"/>
          <w:color w:val="000000" w:themeColor="text1"/>
          <w:u w:val="single"/>
        </w:rPr>
        <w:t xml:space="preserve">pueden ─sin estar obligadas─ decidir si limitan la convocatoria a las </w:t>
      </w:r>
      <w:proofErr w:type="spellStart"/>
      <w:r w:rsidRPr="006C0D93">
        <w:rPr>
          <w:rFonts w:ascii="Verdana" w:hAnsi="Verdana" w:cs="Arial"/>
          <w:color w:val="000000" w:themeColor="text1"/>
          <w:u w:val="single"/>
        </w:rPr>
        <w:t>MiPyme</w:t>
      </w:r>
      <w:proofErr w:type="spellEnd"/>
      <w:r w:rsidRPr="006C0D93">
        <w:rPr>
          <w:rFonts w:ascii="Verdana" w:hAnsi="Verdana" w:cs="Arial"/>
          <w:color w:val="000000" w:themeColor="text1"/>
          <w:u w:val="single"/>
        </w:rPr>
        <w:t xml:space="preserve"> colombianas domiciliadas en el municipio o departamento en el que se ejecutará el contrato</w:t>
      </w:r>
      <w:r w:rsidRPr="006C0D93">
        <w:rPr>
          <w:rFonts w:ascii="Verdana" w:hAnsi="Verdana" w:cs="Arial"/>
          <w:color w:val="000000" w:themeColor="text1"/>
        </w:rPr>
        <w:t xml:space="preserve">. Esto de acuerdo con el artículo 2.2.1.2.4.2.3 del Decreto 1082 de 2015 </w:t>
      </w:r>
      <w:r w:rsidRPr="006C0D93">
        <w:rPr>
          <w:rFonts w:ascii="Verdana" w:eastAsia="Arial" w:hAnsi="Verdana" w:cs="Arial"/>
          <w:color w:val="000000"/>
          <w:lang w:val="es-ES_tradnl"/>
        </w:rPr>
        <w:t>modificado por el Decreto 1860 de 2021</w:t>
      </w:r>
      <w:r w:rsidRPr="006C0D93">
        <w:rPr>
          <w:rFonts w:ascii="Verdana" w:hAnsi="Verdana" w:cs="Arial"/>
          <w:color w:val="000000" w:themeColor="text1"/>
        </w:rPr>
        <w:t xml:space="preserve">, norma que se refiere a la facultad de la administración con el verbo infinitivo “poder”, no “deber”. </w:t>
      </w:r>
    </w:p>
    <w:p w14:paraId="1ED3E73A" w14:textId="77777777" w:rsidR="009435D8" w:rsidRDefault="009435D8" w:rsidP="009435D8">
      <w:pPr>
        <w:spacing w:after="120" w:line="276" w:lineRule="auto"/>
        <w:ind w:firstLine="709"/>
        <w:jc w:val="both"/>
        <w:rPr>
          <w:rFonts w:ascii="Verdana" w:eastAsia="Calibri" w:hAnsi="Verdana" w:cs="Arial"/>
          <w:color w:val="000000" w:themeColor="text1"/>
        </w:rPr>
      </w:pPr>
      <w:r w:rsidRPr="006C0D93">
        <w:rPr>
          <w:rFonts w:ascii="Verdana" w:hAnsi="Verdana" w:cs="Arial"/>
          <w:color w:val="000000" w:themeColor="text1"/>
        </w:rPr>
        <w:t xml:space="preserve">En tal sentido, </w:t>
      </w:r>
      <w:r w:rsidRPr="006C0D93">
        <w:rPr>
          <w:rFonts w:ascii="Verdana" w:eastAsia="Calibri" w:hAnsi="Verdana" w:cs="Arial"/>
          <w:color w:val="000000" w:themeColor="text1"/>
        </w:rPr>
        <w:t>lo que debe adoptarse obligatoriamente es la</w:t>
      </w:r>
      <w:r w:rsidRPr="006C0D93">
        <w:rPr>
          <w:rFonts w:ascii="Verdana" w:hAnsi="Verdana" w:cs="Arial"/>
          <w:color w:val="000000" w:themeColor="text1"/>
        </w:rPr>
        <w:t xml:space="preserve"> limitación a MiPymes colombianas</w:t>
      </w:r>
      <w:r w:rsidRPr="006C0D93">
        <w:rPr>
          <w:rFonts w:ascii="Verdana" w:eastAsia="Calibri" w:hAnsi="Verdana" w:cs="Arial"/>
          <w:color w:val="000000" w:themeColor="text1"/>
        </w:rPr>
        <w:t xml:space="preserve"> siempre que se cumplan las condiciones del artículo 2.2.1.2.4.2.2 del Decreto 1082 de 2015, pero no la “limitación territorial” referida en el artículo 2.2.1.2.4.2.3 </w:t>
      </w:r>
      <w:proofErr w:type="spellStart"/>
      <w:r w:rsidRPr="006C0D93">
        <w:rPr>
          <w:rFonts w:ascii="Verdana" w:eastAsia="Calibri" w:hAnsi="Verdana" w:cs="Arial"/>
          <w:i/>
          <w:iCs/>
          <w:color w:val="000000" w:themeColor="text1"/>
        </w:rPr>
        <w:t>ibídem</w:t>
      </w:r>
      <w:proofErr w:type="spellEnd"/>
      <w:r w:rsidRPr="006C0D93">
        <w:rPr>
          <w:rFonts w:ascii="Verdana" w:eastAsia="Calibri" w:hAnsi="Verdana" w:cs="Arial"/>
          <w:color w:val="000000" w:themeColor="text1"/>
        </w:rPr>
        <w:t>, pues esta es facultativa para la Entidad. Las únicas exigencias son que la convocatoria esté l</w:t>
      </w:r>
      <w:r w:rsidRPr="006C0D93">
        <w:rPr>
          <w:rFonts w:ascii="Verdana" w:hAnsi="Verdana" w:cs="Arial"/>
          <w:color w:val="000000" w:themeColor="text1"/>
        </w:rPr>
        <w:t xml:space="preserve">imitada a las </w:t>
      </w:r>
      <w:proofErr w:type="spellStart"/>
      <w:r w:rsidRPr="006C0D93">
        <w:rPr>
          <w:rFonts w:ascii="Verdana" w:hAnsi="Verdana" w:cs="Arial"/>
          <w:color w:val="000000" w:themeColor="text1"/>
        </w:rPr>
        <w:t>Mipyme</w:t>
      </w:r>
      <w:proofErr w:type="spellEnd"/>
      <w:r w:rsidRPr="006C0D93">
        <w:rPr>
          <w:rFonts w:ascii="Verdana" w:hAnsi="Verdana" w:cs="Arial"/>
          <w:color w:val="000000" w:themeColor="text1"/>
        </w:rPr>
        <w:t xml:space="preserve"> colombianas</w:t>
      </w:r>
      <w:r w:rsidRPr="006C0D93">
        <w:rPr>
          <w:rFonts w:ascii="Verdana" w:eastAsia="Calibri" w:hAnsi="Verdana" w:cs="Arial"/>
          <w:color w:val="000000" w:themeColor="text1"/>
        </w:rPr>
        <w:t xml:space="preserve"> “domiciliadas en los departamentos o municipios en donde se va a ejecutar el contrato” y que la entidad justifique su decisión con base en los “estudios del sector”</w:t>
      </w:r>
      <w:r w:rsidRPr="00C02F37">
        <w:rPr>
          <w:rStyle w:val="Refdenotaalpie"/>
          <w:rFonts w:ascii="Verdana" w:eastAsia="Calibri" w:hAnsi="Verdana" w:cs="Arial"/>
          <w:color w:val="000000" w:themeColor="text1"/>
        </w:rPr>
        <w:footnoteReference w:id="4"/>
      </w:r>
      <w:r w:rsidRPr="006C0D93">
        <w:rPr>
          <w:rFonts w:ascii="Verdana" w:eastAsia="Calibri" w:hAnsi="Verdana" w:cs="Arial"/>
          <w:color w:val="000000" w:themeColor="text1"/>
        </w:rPr>
        <w:t xml:space="preserve"> No es procedente, entonces, que sean las MiPymes las </w:t>
      </w:r>
      <w:r w:rsidRPr="006C0D93">
        <w:rPr>
          <w:rFonts w:ascii="Verdana" w:eastAsia="Calibri" w:hAnsi="Verdana" w:cs="Arial"/>
          <w:color w:val="000000" w:themeColor="text1"/>
        </w:rPr>
        <w:lastRenderedPageBreak/>
        <w:t xml:space="preserve">que soliciten la “limitación territorial” a la que se refiere el artículo 2.2.1.2.4.2.3 del Decreto 1082 de 2015. </w:t>
      </w:r>
    </w:p>
    <w:p w14:paraId="425A6F3E" w14:textId="77777777" w:rsidR="009435D8" w:rsidRPr="00941D4A" w:rsidRDefault="009435D8" w:rsidP="009435D8">
      <w:pPr>
        <w:spacing w:after="120" w:line="276" w:lineRule="auto"/>
        <w:ind w:firstLine="708"/>
        <w:jc w:val="both"/>
      </w:pPr>
      <w:r>
        <w:rPr>
          <w:rFonts w:ascii="Verdana" w:eastAsia="Calibri" w:hAnsi="Verdana" w:cs="Arial"/>
          <w:lang w:val="es-ES"/>
        </w:rPr>
        <w:t xml:space="preserve">De esta forma, debe destacarse </w:t>
      </w:r>
      <w:r w:rsidRPr="006A2B62">
        <w:rPr>
          <w:rFonts w:ascii="Verdana" w:eastAsia="Calibri" w:hAnsi="Verdana" w:cs="Arial"/>
          <w:lang w:val="es-ES"/>
        </w:rPr>
        <w:t xml:space="preserve">que la Agencia Nacional de Contratación Pública – Colombia Compra Eficiente, considera que lo recomendable es que las entidades establezcan las condiciones en las que, eventualmente, harían la “limitación territorial”. Para tales fines, en el proyecto de pliego de condiciones podrían establecer claramente los términos de dicha limitación, los supuestos que darían lugar a su aplicación y, sobre todo, la forma como procedería la entidad si decide optar por limitar territorialmente la convocatoria en que se cumplan los presupuestos para ser limitada a </w:t>
      </w:r>
      <w:proofErr w:type="spellStart"/>
      <w:r w:rsidRPr="006A2B62">
        <w:rPr>
          <w:rFonts w:ascii="Verdana" w:eastAsia="Calibri" w:hAnsi="Verdana" w:cs="Arial"/>
          <w:lang w:val="es-ES"/>
        </w:rPr>
        <w:t>Mipymes</w:t>
      </w:r>
      <w:proofErr w:type="spellEnd"/>
      <w:r w:rsidRPr="006A2B62">
        <w:rPr>
          <w:rFonts w:ascii="Verdana" w:eastAsia="Calibri" w:hAnsi="Verdana" w:cs="Arial"/>
          <w:lang w:val="es-ES"/>
        </w:rPr>
        <w:t>, como por ejemplo, en relación con cuál o cuáles municipios o departamentos harían la limitación territorial de que trata el artículo 2.2.1.2.4.2.3 del Decreto 1082 de 2015.</w:t>
      </w:r>
      <w:r>
        <w:t xml:space="preserve"> </w:t>
      </w:r>
      <w:r w:rsidRPr="00A01484">
        <w:rPr>
          <w:rFonts w:ascii="Verdana" w:eastAsia="Calibri" w:hAnsi="Verdana" w:cs="Arial"/>
        </w:rPr>
        <w:t>Sin embargo, es de menester aclarar que</w:t>
      </w:r>
      <w:r>
        <w:rPr>
          <w:rFonts w:ascii="Verdana" w:eastAsia="Calibri" w:hAnsi="Verdana" w:cs="Arial"/>
        </w:rPr>
        <w:t xml:space="preserve">, </w:t>
      </w:r>
      <w:r w:rsidRPr="00707CC6">
        <w:rPr>
          <w:rFonts w:ascii="Verdana" w:eastAsia="Calibri" w:hAnsi="Verdana" w:cs="Arial"/>
        </w:rPr>
        <w:t xml:space="preserve">los oferentes que pretendan participar de dichas convocatorias </w:t>
      </w:r>
      <w:proofErr w:type="gramStart"/>
      <w:r w:rsidRPr="00707CC6">
        <w:rPr>
          <w:rFonts w:ascii="Verdana" w:eastAsia="Calibri" w:hAnsi="Verdana" w:cs="Arial"/>
        </w:rPr>
        <w:t>limitadas,</w:t>
      </w:r>
      <w:proofErr w:type="gramEnd"/>
      <w:r w:rsidRPr="00707CC6">
        <w:rPr>
          <w:rFonts w:ascii="Verdana" w:eastAsia="Calibri" w:hAnsi="Verdana" w:cs="Arial"/>
        </w:rPr>
        <w:t xml:space="preserve"> deberán observar a su vez, los requisitos dispuestos en el artículo 2.2.1.2.4.2.4 del Decreto 1082 de 2015.</w:t>
      </w:r>
    </w:p>
    <w:p w14:paraId="226A68D4" w14:textId="77777777" w:rsidR="009435D8" w:rsidRDefault="009435D8" w:rsidP="009435D8">
      <w:pPr>
        <w:spacing w:after="120" w:line="276" w:lineRule="auto"/>
        <w:ind w:firstLine="709"/>
        <w:jc w:val="both"/>
        <w:rPr>
          <w:rFonts w:ascii="Verdana" w:eastAsia="Calibri" w:hAnsi="Verdana" w:cs="Arial"/>
          <w:color w:val="000000" w:themeColor="text1"/>
        </w:rPr>
      </w:pPr>
      <w:r>
        <w:rPr>
          <w:rFonts w:ascii="Verdana" w:eastAsia="Calibri" w:hAnsi="Verdana" w:cs="Arial"/>
        </w:rPr>
        <w:t xml:space="preserve">Por otro lado, </w:t>
      </w:r>
      <w:r>
        <w:rPr>
          <w:rFonts w:ascii="Verdana" w:eastAsia="Calibri" w:hAnsi="Verdana" w:cs="Arial"/>
          <w:color w:val="000000" w:themeColor="text1"/>
        </w:rPr>
        <w:t>e</w:t>
      </w:r>
      <w:r w:rsidRPr="006C0D93">
        <w:rPr>
          <w:rFonts w:ascii="Verdana" w:hAnsi="Verdana" w:cs="Arial"/>
          <w:color w:val="000000" w:themeColor="text1"/>
        </w:rPr>
        <w:t xml:space="preserve">l origen de las </w:t>
      </w:r>
      <w:proofErr w:type="spellStart"/>
      <w:r w:rsidRPr="006C0D93">
        <w:rPr>
          <w:rFonts w:ascii="Verdana" w:hAnsi="Verdana" w:cs="Arial"/>
          <w:color w:val="000000" w:themeColor="text1"/>
        </w:rPr>
        <w:t>Mipyme</w:t>
      </w:r>
      <w:proofErr w:type="spellEnd"/>
      <w:r w:rsidRPr="006C0D93">
        <w:rPr>
          <w:rFonts w:ascii="Verdana" w:eastAsia="Calibri" w:hAnsi="Verdana" w:cs="Arial"/>
          <w:color w:val="000000" w:themeColor="text1"/>
        </w:rPr>
        <w:t xml:space="preserve"> que solicitan la “limitación territorial” no es relevante frente a dicha decisión por dos razo</w:t>
      </w:r>
      <w:r w:rsidRPr="006C0D93">
        <w:rPr>
          <w:rFonts w:ascii="Verdana" w:hAnsi="Verdana" w:cs="Arial"/>
          <w:color w:val="000000" w:themeColor="text1"/>
        </w:rPr>
        <w:t xml:space="preserve">nes: primero, porque las </w:t>
      </w:r>
      <w:proofErr w:type="spellStart"/>
      <w:r w:rsidRPr="006C0D93">
        <w:rPr>
          <w:rFonts w:ascii="Verdana" w:hAnsi="Verdana" w:cs="Arial"/>
          <w:color w:val="000000" w:themeColor="text1"/>
        </w:rPr>
        <w:t>Mipyme</w:t>
      </w:r>
      <w:r>
        <w:rPr>
          <w:rFonts w:ascii="Verdana" w:hAnsi="Verdana" w:cs="Arial"/>
          <w:color w:val="000000" w:themeColor="text1"/>
        </w:rPr>
        <w:t>s</w:t>
      </w:r>
      <w:proofErr w:type="spellEnd"/>
      <w:r w:rsidRPr="006C0D93">
        <w:rPr>
          <w:rFonts w:ascii="Verdana" w:eastAsia="Calibri" w:hAnsi="Verdana" w:cs="Arial"/>
          <w:color w:val="000000" w:themeColor="text1"/>
        </w:rPr>
        <w:t xml:space="preserve"> no están habilitadas para pedir la “limitación territorial”, lo están para pedir la “convocatoria limitada a MiPymes”, y, segundo, porque el único criterio para tener en cuenta, una vez se ha decidido justificadamente limitar territorialmente la convocatori</w:t>
      </w:r>
      <w:r w:rsidRPr="006C0D93">
        <w:rPr>
          <w:rFonts w:ascii="Verdana" w:hAnsi="Verdana" w:cs="Arial"/>
          <w:color w:val="000000" w:themeColor="text1"/>
        </w:rPr>
        <w:t xml:space="preserve">a previamente limitada a </w:t>
      </w:r>
      <w:proofErr w:type="spellStart"/>
      <w:r w:rsidRPr="006C0D93">
        <w:rPr>
          <w:rFonts w:ascii="Verdana" w:hAnsi="Verdana" w:cs="Arial"/>
          <w:color w:val="000000" w:themeColor="text1"/>
        </w:rPr>
        <w:t>Mipyme</w:t>
      </w:r>
      <w:proofErr w:type="spellEnd"/>
      <w:r w:rsidRPr="006C0D93">
        <w:rPr>
          <w:rFonts w:ascii="Verdana" w:eastAsia="Calibri" w:hAnsi="Verdana" w:cs="Arial"/>
          <w:color w:val="000000" w:themeColor="text1"/>
        </w:rPr>
        <w:t>, es el lugar donde se va a ejecutar el contrato.</w:t>
      </w:r>
    </w:p>
    <w:p w14:paraId="6744558B" w14:textId="77777777" w:rsidR="009435D8" w:rsidRPr="006C0D93" w:rsidRDefault="009435D8" w:rsidP="009435D8">
      <w:pPr>
        <w:spacing w:after="120" w:line="276" w:lineRule="auto"/>
        <w:ind w:firstLine="709"/>
        <w:jc w:val="both"/>
        <w:rPr>
          <w:rFonts w:ascii="Verdana" w:eastAsia="Calibri" w:hAnsi="Verdana" w:cs="Arial"/>
        </w:rPr>
      </w:pPr>
      <w:r w:rsidRPr="006C0D93">
        <w:rPr>
          <w:rFonts w:ascii="Verdana" w:eastAsia="Calibri" w:hAnsi="Verdana" w:cs="Arial"/>
          <w:color w:val="000000" w:themeColor="text1"/>
        </w:rPr>
        <w:t>En resumen, la decisión de limitar o no territorialmente una convocatoria limitada a MiPymes nacionales es una facultad discrecional, de manera que</w:t>
      </w:r>
      <w:r w:rsidRPr="006C0D93">
        <w:rPr>
          <w:rFonts w:ascii="Verdana" w:eastAsia="Arial" w:hAnsi="Verdana" w:cs="Arial"/>
          <w:color w:val="000000"/>
        </w:rPr>
        <w:t xml:space="preserve"> la Entidad contratante valorará si es oportuno y conveniente adoptarla</w:t>
      </w:r>
      <w:r w:rsidRPr="00C02F37">
        <w:rPr>
          <w:rStyle w:val="Refdenotaalpie"/>
          <w:rFonts w:ascii="Verdana" w:eastAsia="Arial" w:hAnsi="Verdana" w:cs="Arial"/>
          <w:color w:val="000000"/>
        </w:rPr>
        <w:footnoteReference w:id="5"/>
      </w:r>
      <w:r w:rsidRPr="006C0D93">
        <w:rPr>
          <w:rFonts w:ascii="Verdana" w:eastAsia="Arial" w:hAnsi="Verdana" w:cs="Arial"/>
          <w:color w:val="000000"/>
        </w:rPr>
        <w:t xml:space="preserve">. Sin </w:t>
      </w:r>
      <w:r w:rsidRPr="006C0D93">
        <w:rPr>
          <w:rFonts w:ascii="Verdana" w:eastAsia="Arial" w:hAnsi="Verdana" w:cs="Arial"/>
          <w:color w:val="000000"/>
        </w:rPr>
        <w:lastRenderedPageBreak/>
        <w:t xml:space="preserve">embargo, aunque la discrecionalidad implica una elección administrativa, no puede ser una decisión irracional o arbitraria. </w:t>
      </w:r>
    </w:p>
    <w:p w14:paraId="4392AF1B" w14:textId="77777777" w:rsidR="009435D8" w:rsidRPr="0022587E" w:rsidRDefault="009435D8" w:rsidP="009435D8">
      <w:pPr>
        <w:spacing w:after="120" w:line="276" w:lineRule="auto"/>
        <w:ind w:firstLine="709"/>
        <w:jc w:val="both"/>
        <w:rPr>
          <w:rFonts w:ascii="Verdana" w:hAnsi="Verdana"/>
        </w:rPr>
      </w:pPr>
      <w:r w:rsidRPr="0022587E">
        <w:rPr>
          <w:rFonts w:ascii="Verdana" w:hAnsi="Verdana"/>
        </w:rPr>
        <w:t xml:space="preserve">Por lo anterior, 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 En cada caso concreto, las consecuencias del incumplimiento de este deber serán analizadas por el juez del contrato previo ejercicio del derecho de acción, bajo en el entendido que la falsa de motivación es uno de los vicios invalidantes de los actos administrativos –art. 137, inc. 2, de la Ley 1437 de 2011–.  </w:t>
      </w:r>
    </w:p>
    <w:p w14:paraId="6D547114" w14:textId="77777777" w:rsidR="009435D8" w:rsidRDefault="009435D8" w:rsidP="009435D8">
      <w:pPr>
        <w:spacing w:after="120" w:line="276" w:lineRule="auto"/>
        <w:ind w:firstLine="709"/>
        <w:jc w:val="both"/>
        <w:rPr>
          <w:rFonts w:ascii="Verdana" w:hAnsi="Verdana"/>
        </w:rPr>
      </w:pPr>
      <w:r w:rsidRPr="0022587E">
        <w:rPr>
          <w:rFonts w:ascii="Verdana" w:hAnsi="Verdana"/>
        </w:rPr>
        <w:t xml:space="preserve">En todo caso, situaciones en las que se presentan un ejercicio de la potestad de limitar a </w:t>
      </w:r>
      <w:proofErr w:type="spellStart"/>
      <w:r w:rsidRPr="0022587E">
        <w:rPr>
          <w:rFonts w:ascii="Verdana" w:hAnsi="Verdana"/>
        </w:rPr>
        <w:t>Mi</w:t>
      </w:r>
      <w:r>
        <w:rPr>
          <w:rFonts w:ascii="Verdana" w:hAnsi="Verdana"/>
        </w:rPr>
        <w:t>p</w:t>
      </w:r>
      <w:r w:rsidRPr="0022587E">
        <w:rPr>
          <w:rFonts w:ascii="Verdana" w:hAnsi="Verdana"/>
        </w:rPr>
        <w:t>ymes</w:t>
      </w:r>
      <w:proofErr w:type="spellEnd"/>
      <w:r>
        <w:rPr>
          <w:rFonts w:ascii="Verdana" w:hAnsi="Verdana"/>
        </w:rPr>
        <w:t xml:space="preserve"> territoriales</w:t>
      </w:r>
      <w:r w:rsidRPr="0022587E">
        <w:rPr>
          <w:rFonts w:ascii="Verdana" w:hAnsi="Verdana"/>
        </w:rPr>
        <w:t xml:space="preserve"> desconociendo los anteriores presupuestos mínimos, bien podrían ser cuestionadas por los proponentes, veedores y ciudadanía en general ya sea a través de observaciones, en el ejercicio del derecho fundamental de petición ante la respectiva entidad</w:t>
      </w:r>
      <w:r>
        <w:rPr>
          <w:rFonts w:ascii="Verdana" w:hAnsi="Verdana"/>
        </w:rPr>
        <w:t xml:space="preserve"> estatal o la presentación de quejas o denuncias ante</w:t>
      </w:r>
      <w:r w:rsidRPr="0022587E">
        <w:rPr>
          <w:rFonts w:ascii="Verdana" w:hAnsi="Verdana"/>
        </w:rPr>
        <w:t xml:space="preserve"> las autoridades competentes en el caso de que se evidencien prácticas restrictivas a la competencia, o con relevancia penal o disciplinaria. </w:t>
      </w:r>
    </w:p>
    <w:p w14:paraId="5B82F709" w14:textId="77777777" w:rsidR="009435D8" w:rsidRPr="00687870" w:rsidRDefault="009435D8" w:rsidP="009435D8">
      <w:pPr>
        <w:spacing w:after="120" w:line="276" w:lineRule="auto"/>
        <w:ind w:firstLine="709"/>
        <w:jc w:val="both"/>
        <w:rPr>
          <w:rFonts w:ascii="Verdana" w:eastAsia="Calibri" w:hAnsi="Verdana" w:cs="Arial"/>
          <w:bCs/>
        </w:rPr>
      </w:pPr>
      <w:r w:rsidRPr="00282654">
        <w:rPr>
          <w:rFonts w:ascii="Verdana" w:eastAsia="Verdana" w:hAnsi="Verdana" w:cs="Verdana"/>
        </w:rPr>
        <w:t>En todo caso, al tratarse de un análisis que debe realizarse en el marco específico de cada procedimiento contractual, esta Agencia no puede emitir un criterio universal ni vinculante por vía consultiva, sino que ofrece elementos generales para orientar decisiones conforme al principio de juridicidad, sin que le corresponda validar la gestión contractual de las entidades</w:t>
      </w:r>
      <w:r>
        <w:rPr>
          <w:rFonts w:ascii="Verdana" w:eastAsia="Calibri" w:hAnsi="Verdana" w:cs="Arial"/>
          <w:bCs/>
          <w:lang w:val="es-ES_tradnl"/>
        </w:rPr>
        <w:t>.</w:t>
      </w:r>
    </w:p>
    <w:p w14:paraId="4A4C0E54" w14:textId="77777777" w:rsidR="009435D8" w:rsidRPr="00C02F37" w:rsidRDefault="009435D8" w:rsidP="009435D8">
      <w:pPr>
        <w:spacing w:after="0"/>
        <w:jc w:val="both"/>
        <w:rPr>
          <w:rStyle w:val="Hipervnculo"/>
          <w:rFonts w:ascii="Verdana" w:hAnsi="Verdana"/>
          <w:lang w:val="es-ES"/>
        </w:rPr>
      </w:pPr>
    </w:p>
    <w:p w14:paraId="62CE823B" w14:textId="77777777" w:rsidR="009435D8" w:rsidRPr="00C02F37" w:rsidRDefault="009435D8" w:rsidP="009435D8">
      <w:pPr>
        <w:pStyle w:val="Prrafodelista"/>
        <w:numPr>
          <w:ilvl w:val="0"/>
          <w:numId w:val="18"/>
        </w:numPr>
        <w:tabs>
          <w:tab w:val="left" w:pos="142"/>
          <w:tab w:val="left" w:pos="284"/>
        </w:tabs>
        <w:spacing w:after="0" w:line="276" w:lineRule="auto"/>
        <w:jc w:val="both"/>
        <w:rPr>
          <w:rFonts w:ascii="Verdana" w:eastAsia="Century Gothic" w:hAnsi="Verdana" w:cs="Century Gothic"/>
          <w:b/>
          <w:bCs/>
        </w:rPr>
      </w:pPr>
      <w:r w:rsidRPr="00C02F37">
        <w:rPr>
          <w:rFonts w:ascii="Verdana" w:eastAsia="Century Gothic" w:hAnsi="Verdana" w:cs="Century Gothic"/>
          <w:b/>
          <w:bCs/>
        </w:rPr>
        <w:t>Referencias normativas, jurisprudenciales y otras fuentes:</w:t>
      </w:r>
    </w:p>
    <w:p w14:paraId="276709D8" w14:textId="77777777" w:rsidR="009435D8" w:rsidRPr="00C02F37" w:rsidRDefault="009435D8" w:rsidP="009435D8">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435D8" w:rsidRPr="00C02F37" w14:paraId="601ACB65" w14:textId="77777777" w:rsidTr="005A35A1">
        <w:trPr>
          <w:trHeight w:val="870"/>
        </w:trPr>
        <w:tc>
          <w:tcPr>
            <w:tcW w:w="8647" w:type="dxa"/>
          </w:tcPr>
          <w:p w14:paraId="3829C1DF" w14:textId="77777777" w:rsidR="000C064C" w:rsidRPr="00814A46" w:rsidRDefault="009435D8" w:rsidP="005A35A1">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C02F37">
              <w:rPr>
                <w:rFonts w:ascii="Verdana" w:hAnsi="Verdana" w:cs="Arial"/>
                <w:color w:val="000000" w:themeColor="text1"/>
                <w:lang w:val="es-ES_tradnl"/>
              </w:rPr>
              <w:t xml:space="preserve">Decreto 1860 de 2021, numerales 1 y 2 del artículo 2.2.1.2.4.2.2. artículos, 2.2.1.2.4.2.3 2.2.1.2.4.2.4. </w:t>
            </w:r>
          </w:p>
          <w:p w14:paraId="36F17956" w14:textId="0392F766" w:rsidR="009435D8" w:rsidRPr="00C02F37" w:rsidRDefault="009435D8" w:rsidP="005A35A1">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C02F37">
              <w:rPr>
                <w:rFonts w:ascii="Verdana" w:hAnsi="Verdana" w:cs="Arial"/>
                <w:color w:val="000000" w:themeColor="text1"/>
                <w:lang w:val="es-ES_tradnl"/>
              </w:rPr>
              <w:t>Ley 1150 de 2007 artículo 12.</w:t>
            </w:r>
          </w:p>
          <w:p w14:paraId="68C8B839" w14:textId="77777777" w:rsidR="009435D8" w:rsidRPr="00C02F37" w:rsidRDefault="009435D8" w:rsidP="005A35A1">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C02F37">
              <w:rPr>
                <w:rFonts w:ascii="Verdana" w:eastAsia="Calibri" w:hAnsi="Verdana" w:cs="Arial"/>
                <w:lang w:val="es-ES_tradnl"/>
              </w:rPr>
              <w:t>Ley 80 de 1993, literal g), numeral 1, Artículo 8.</w:t>
            </w:r>
          </w:p>
          <w:p w14:paraId="775056B1" w14:textId="77777777" w:rsidR="009435D8" w:rsidRPr="00C02F37" w:rsidRDefault="009435D8" w:rsidP="005A35A1">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02F37">
              <w:rPr>
                <w:rFonts w:ascii="Verdana" w:eastAsia="Calibri" w:hAnsi="Verdana" w:cs="Arial"/>
                <w:lang w:val="es-ES_tradnl"/>
              </w:rPr>
              <w:t>Ley 1150 de 2007, parágrafo 1, Artículo 5.</w:t>
            </w:r>
          </w:p>
        </w:tc>
      </w:tr>
    </w:tbl>
    <w:p w14:paraId="7EF9CEB5" w14:textId="77777777" w:rsidR="009435D8" w:rsidRPr="00C02F37" w:rsidRDefault="009435D8" w:rsidP="009435D8">
      <w:pPr>
        <w:spacing w:before="120" w:after="0" w:line="276" w:lineRule="auto"/>
        <w:jc w:val="both"/>
        <w:rPr>
          <w:rFonts w:ascii="Verdana" w:eastAsia="Calibri" w:hAnsi="Verdana" w:cs="Arial"/>
          <w:color w:val="000000"/>
          <w:lang w:eastAsia="es-ES" w:bidi="es-ES"/>
        </w:rPr>
      </w:pPr>
    </w:p>
    <w:p w14:paraId="507C00F8" w14:textId="77777777" w:rsidR="009435D8" w:rsidRPr="00C02F37" w:rsidRDefault="009435D8" w:rsidP="009435D8">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02F37">
        <w:rPr>
          <w:rFonts w:ascii="Verdana" w:eastAsia="Century Gothic" w:hAnsi="Verdana" w:cs="Century Gothic"/>
          <w:b/>
          <w:bCs/>
        </w:rPr>
        <w:t>Doctrina de la Agencia Nacional de Contratación Pública:</w:t>
      </w:r>
    </w:p>
    <w:p w14:paraId="403E16D1" w14:textId="77777777" w:rsidR="009435D8" w:rsidRPr="00C02F37" w:rsidRDefault="009435D8" w:rsidP="009435D8">
      <w:pPr>
        <w:widowControl w:val="0"/>
        <w:autoSpaceDE w:val="0"/>
        <w:autoSpaceDN w:val="0"/>
        <w:spacing w:after="0" w:line="276" w:lineRule="auto"/>
        <w:jc w:val="both"/>
        <w:rPr>
          <w:rFonts w:ascii="Verdana" w:hAnsi="Verdana" w:cs="Arial"/>
        </w:rPr>
      </w:pPr>
    </w:p>
    <w:p w14:paraId="28FE18E8" w14:textId="77777777" w:rsidR="009435D8" w:rsidRPr="00C02F37" w:rsidRDefault="009435D8" w:rsidP="009435D8">
      <w:pPr>
        <w:widowControl w:val="0"/>
        <w:autoSpaceDE w:val="0"/>
        <w:autoSpaceDN w:val="0"/>
        <w:spacing w:after="0" w:line="276" w:lineRule="auto"/>
        <w:jc w:val="both"/>
        <w:rPr>
          <w:rStyle w:val="normaltextrun"/>
          <w:rFonts w:ascii="Verdana" w:hAnsi="Verdana"/>
        </w:rPr>
      </w:pPr>
      <w:r w:rsidRPr="00C02F37">
        <w:rPr>
          <w:rFonts w:ascii="Verdana" w:hAnsi="Verdana"/>
        </w:rPr>
        <w:t xml:space="preserve">En lo relacionado con el ámbito de la consulta, esta Subdirección se ha pronunciado </w:t>
      </w:r>
      <w:r w:rsidRPr="000F7C08">
        <w:rPr>
          <w:rFonts w:ascii="Verdana" w:hAnsi="Verdana" w:cs="Arial"/>
        </w:rPr>
        <w:t>sobre las convocatorias limitadas a MiPymes, sus requisitos y características, en los Conceptos Nro.</w:t>
      </w:r>
      <w:r>
        <w:rPr>
          <w:rFonts w:ascii="Verdana" w:hAnsi="Verdana" w:cs="Arial"/>
        </w:rPr>
        <w:t xml:space="preserve"> </w:t>
      </w:r>
      <w:r w:rsidRPr="000F7C08">
        <w:rPr>
          <w:rFonts w:ascii="Verdana" w:hAnsi="Verdana" w:cs="Arial"/>
        </w:rPr>
        <w:t>C − 366 del 8 de</w:t>
      </w:r>
      <w:r>
        <w:rPr>
          <w:rFonts w:ascii="Verdana" w:hAnsi="Verdana"/>
        </w:rPr>
        <w:t xml:space="preserve"> septiembre de 2023 </w:t>
      </w:r>
      <w:r w:rsidRPr="00C02F37">
        <w:rPr>
          <w:rFonts w:ascii="Verdana" w:hAnsi="Verdana"/>
        </w:rPr>
        <w:t>C-436 del 24 de octubre de 2023, C-279 del 31 de octubre de 2023, C-048 del 23 de abril de 2024, C-084 del 30 de mayo de 2024, C-165 del 22 de julio de 2024, C-569 del 21 de octubre del 2024, C-532 del 10 de octubre de 2024, C-586 del 22 de octubre del 2024, C-623 del 30 de octubre del 2024, C-752 del 28 de noviembre del 2024</w:t>
      </w:r>
      <w:r>
        <w:rPr>
          <w:rFonts w:ascii="Verdana" w:hAnsi="Verdana"/>
        </w:rPr>
        <w:t>,</w:t>
      </w:r>
      <w:r w:rsidRPr="00C02F37">
        <w:rPr>
          <w:rFonts w:ascii="Verdana" w:hAnsi="Verdana"/>
        </w:rPr>
        <w:t xml:space="preserve"> C-829 del 03 de diciembre del 2024</w:t>
      </w:r>
      <w:r>
        <w:rPr>
          <w:rFonts w:ascii="Verdana" w:hAnsi="Verdana"/>
        </w:rPr>
        <w:t>, C-217 del 27 de marzo de 2025, C-715 del 14 de julio de 2025 y 1234 del 6 de octubre de 2025</w:t>
      </w:r>
      <w:r w:rsidRPr="00C02F37">
        <w:rPr>
          <w:rFonts w:ascii="Verdana" w:hAnsi="Verdana"/>
        </w:rPr>
        <w:t xml:space="preserve">. </w:t>
      </w:r>
      <w:r w:rsidRPr="00C02F37">
        <w:rPr>
          <w:rStyle w:val="normaltextrun"/>
          <w:rFonts w:ascii="Verdana" w:hAnsi="Verdana" w:cs="Arial"/>
          <w:shd w:val="clear" w:color="auto" w:fill="FFFFFF"/>
          <w:lang w:val="es-ES"/>
        </w:rPr>
        <w:t>Es</w:t>
      </w:r>
      <w:r w:rsidRPr="00C02F37">
        <w:rPr>
          <w:rFonts w:ascii="Verdana" w:hAnsi="Verdana"/>
        </w:rPr>
        <w:t>tos y otros conceptos se encuentran disponibles para consulta en el Sistema de relatoría de la Agencia, al cual se puede acceder a través del siguiente enlace:</w:t>
      </w:r>
      <w:r w:rsidRPr="00C02F37">
        <w:rPr>
          <w:rStyle w:val="normaltextrun"/>
          <w:rFonts w:ascii="Verdana" w:hAnsi="Verdana" w:cs="Arial"/>
          <w:shd w:val="clear" w:color="auto" w:fill="FFFFFF"/>
          <w:lang w:val="es-ES"/>
        </w:rPr>
        <w:t xml:space="preserve"> </w:t>
      </w:r>
      <w:hyperlink r:id="rId12" w:history="1">
        <w:r w:rsidRPr="00C02F37">
          <w:rPr>
            <w:rStyle w:val="Hipervnculo"/>
            <w:rFonts w:ascii="Verdana" w:hAnsi="Verdana" w:cs="Arial"/>
            <w:shd w:val="clear" w:color="auto" w:fill="FFFFFF"/>
            <w:lang w:val="es-ES"/>
          </w:rPr>
          <w:t>https://relatoria.colombiacompra.gov.co/busqueda/conceptos</w:t>
        </w:r>
      </w:hyperlink>
      <w:r w:rsidRPr="00C02F37">
        <w:rPr>
          <w:rStyle w:val="normaltextrun"/>
          <w:rFonts w:ascii="Verdana" w:hAnsi="Verdana" w:cs="Arial"/>
          <w:color w:val="FF0000"/>
          <w:shd w:val="clear" w:color="auto" w:fill="FFFFFF"/>
          <w:lang w:val="es-ES"/>
        </w:rPr>
        <w:t xml:space="preserve">. </w:t>
      </w:r>
    </w:p>
    <w:p w14:paraId="370E52F9" w14:textId="77777777" w:rsidR="009435D8" w:rsidRPr="00C02F37" w:rsidRDefault="009435D8" w:rsidP="009435D8">
      <w:pPr>
        <w:widowControl w:val="0"/>
        <w:autoSpaceDE w:val="0"/>
        <w:autoSpaceDN w:val="0"/>
        <w:spacing w:after="0" w:line="276" w:lineRule="auto"/>
        <w:jc w:val="both"/>
        <w:rPr>
          <w:rStyle w:val="normaltextrun"/>
          <w:rFonts w:ascii="Verdana" w:hAnsi="Verdana"/>
          <w:lang w:val="es-ES"/>
        </w:rPr>
      </w:pPr>
    </w:p>
    <w:p w14:paraId="3B91FA5E" w14:textId="77777777" w:rsidR="009435D8" w:rsidRPr="000F7C08" w:rsidRDefault="009435D8" w:rsidP="009435D8">
      <w:pPr>
        <w:widowControl w:val="0"/>
        <w:autoSpaceDE w:val="0"/>
        <w:autoSpaceDN w:val="0"/>
        <w:spacing w:after="0" w:line="276" w:lineRule="auto"/>
        <w:jc w:val="both"/>
        <w:rPr>
          <w:rFonts w:ascii="Verdana" w:hAnsi="Verdana" w:cs="Arial"/>
          <w:color w:val="000000" w:themeColor="text1"/>
          <w:shd w:val="clear" w:color="auto" w:fill="FFFFFF"/>
        </w:rPr>
      </w:pPr>
      <w:r>
        <w:rPr>
          <w:rFonts w:ascii="Verdana" w:hAnsi="Verdana" w:cs="Arial"/>
          <w:color w:val="000000" w:themeColor="text1"/>
          <w:shd w:val="clear" w:color="auto" w:fill="FFFFFF"/>
        </w:rPr>
        <w:t>T</w:t>
      </w:r>
      <w:r w:rsidRPr="000F7C08">
        <w:rPr>
          <w:rFonts w:ascii="Verdana" w:hAnsi="Verdana" w:cs="Arial"/>
          <w:color w:val="000000" w:themeColor="text1"/>
          <w:shd w:val="clear" w:color="auto" w:fill="FFFFFF"/>
        </w:rPr>
        <w:t>e informamos que ya se encuentra disponible la </w:t>
      </w:r>
      <w:r w:rsidRPr="000F7C08">
        <w:rPr>
          <w:rFonts w:ascii="Verdana" w:hAnsi="Verdana" w:cs="Arial"/>
          <w:b/>
          <w:bCs/>
          <w:color w:val="000000" w:themeColor="text1"/>
          <w:shd w:val="clear" w:color="auto" w:fill="FFFFFF"/>
        </w:rPr>
        <w:t>Cartilla para incentivar y fortalecer el acceso a las compras y contratación pública de los pueblos y comunidades étnicas en Colombia.</w:t>
      </w:r>
      <w:r w:rsidRPr="000F7C08">
        <w:rPr>
          <w:rFonts w:ascii="Verdana" w:hAnsi="Verdana" w:cs="Arial"/>
          <w:color w:val="000000" w:themeColor="text1"/>
          <w:shd w:val="clear" w:color="auto" w:fill="FFFFFF"/>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3" w:tgtFrame="_blank" w:tooltip="Dirección URL original: https://www.colombiacompra.gov.co/manuales-guias-y-pliegos-tipo/manuales-y-guias/cartilla-para-incentivar-y-fortalecer-el-acceso-las. Haga clic o pulse si confía en este vínculo." w:history="1">
        <w:r w:rsidRPr="000F7C08">
          <w:rPr>
            <w:rStyle w:val="Hipervnculo"/>
            <w:rFonts w:ascii="Verdana" w:hAnsi="Verdana" w:cs="Arial"/>
            <w:shd w:val="clear" w:color="auto" w:fill="FFFFFF"/>
          </w:rPr>
          <w:t>Cartilla para incentivar y fortalecer el acceso a las compras y contratación pública de los pueblos y comunidades étnicas en Colombia | Colombia Compra Eficiente | Agencia Nacional de Contratación Pública</w:t>
        </w:r>
      </w:hyperlink>
    </w:p>
    <w:p w14:paraId="6A3EAECE" w14:textId="77777777" w:rsidR="009435D8" w:rsidRDefault="009435D8" w:rsidP="009435D8">
      <w:pPr>
        <w:widowControl w:val="0"/>
        <w:autoSpaceDE w:val="0"/>
        <w:autoSpaceDN w:val="0"/>
        <w:spacing w:after="0" w:line="276" w:lineRule="auto"/>
        <w:jc w:val="both"/>
      </w:pPr>
      <w:r w:rsidRPr="000F7C08">
        <w:rPr>
          <w:rFonts w:ascii="Verdana" w:hAnsi="Verdana" w:cs="Arial"/>
          <w:color w:val="000000" w:themeColor="text1"/>
          <w:shd w:val="clear" w:color="auto" w:fill="FFFFFF"/>
        </w:rPr>
        <w:t>De otra parte, te informamos que, con el objetivo de garantizar un conocimiento adecuado de las </w:t>
      </w:r>
      <w:r w:rsidRPr="000F7C08">
        <w:rPr>
          <w:rFonts w:ascii="Verdana" w:hAnsi="Verdana" w:cs="Arial"/>
          <w:b/>
          <w:bCs/>
          <w:color w:val="000000" w:themeColor="text1"/>
          <w:shd w:val="clear" w:color="auto" w:fill="FFFFFF"/>
        </w:rPr>
        <w:t xml:space="preserve">modificaciones y/o actualizaciones realizadas a los </w:t>
      </w:r>
      <w:r w:rsidRPr="000F7C08">
        <w:rPr>
          <w:rFonts w:ascii="Verdana" w:hAnsi="Verdana" w:cs="Arial"/>
          <w:b/>
          <w:bCs/>
          <w:color w:val="000000" w:themeColor="text1"/>
          <w:shd w:val="clear" w:color="auto" w:fill="FFFFFF"/>
        </w:rPr>
        <w:lastRenderedPageBreak/>
        <w:t>Documentos Tipo</w:t>
      </w:r>
      <w:r w:rsidRPr="000F7C08">
        <w:rPr>
          <w:rFonts w:ascii="Verdana" w:hAnsi="Verdana" w:cs="Arial"/>
          <w:color w:val="000000" w:themeColor="text1"/>
          <w:shd w:val="clear" w:color="auto" w:fill="FFFFFF"/>
        </w:rPr>
        <w:t>, hemos programado una serie de </w:t>
      </w:r>
      <w:r w:rsidRPr="000F7C08">
        <w:rPr>
          <w:rFonts w:ascii="Verdana" w:hAnsi="Verdana" w:cs="Arial"/>
          <w:b/>
          <w:bCs/>
          <w:color w:val="000000" w:themeColor="text1"/>
          <w:shd w:val="clear" w:color="auto" w:fill="FFFFFF"/>
        </w:rPr>
        <w:t>capacitaciones </w:t>
      </w:r>
      <w:r w:rsidRPr="000F7C08">
        <w:rPr>
          <w:rFonts w:ascii="Verdana" w:hAnsi="Verdana" w:cs="Arial"/>
          <w:color w:val="000000" w:themeColor="text1"/>
          <w:shd w:val="clear" w:color="auto" w:fill="FFFFFF"/>
        </w:rPr>
        <w:t>dirigidas a todos los actores involucrados en los procesos de selección. Podrás conocer la programación y realizar tu inscripción a estas capacitaciones a través del siguiente enlace: </w:t>
      </w:r>
      <w:hyperlink r:id="rId14" w:tgtFrame="_blank" w:tooltip="Dirección URL original: https://www.colombiacompra.gov.co/ciudadanos/calendario. Haga clic o pulse si confía en este vínculo." w:history="1">
        <w:r w:rsidRPr="000F7C08">
          <w:rPr>
            <w:rStyle w:val="Hipervnculo"/>
            <w:rFonts w:ascii="Verdana" w:hAnsi="Verdana" w:cs="Arial"/>
            <w:shd w:val="clear" w:color="auto" w:fill="FFFFFF"/>
          </w:rPr>
          <w:t>Calendario | Colombia Compra Eficiente | Agencia Nacional de Contratación Pública</w:t>
        </w:r>
      </w:hyperlink>
    </w:p>
    <w:p w14:paraId="01C4F9B2" w14:textId="77777777" w:rsidR="009435D8" w:rsidRPr="000F7C08" w:rsidRDefault="009435D8" w:rsidP="009435D8">
      <w:pPr>
        <w:widowControl w:val="0"/>
        <w:autoSpaceDE w:val="0"/>
        <w:autoSpaceDN w:val="0"/>
        <w:spacing w:after="0" w:line="276" w:lineRule="auto"/>
        <w:jc w:val="both"/>
        <w:rPr>
          <w:rFonts w:ascii="Verdana" w:hAnsi="Verdana" w:cs="Arial"/>
          <w:color w:val="000000" w:themeColor="text1"/>
          <w:shd w:val="clear" w:color="auto" w:fill="FFFFFF"/>
        </w:rPr>
      </w:pPr>
    </w:p>
    <w:p w14:paraId="7CABC181" w14:textId="77777777" w:rsidR="009435D8" w:rsidRPr="00C02F37" w:rsidRDefault="009435D8" w:rsidP="009435D8">
      <w:pPr>
        <w:widowControl w:val="0"/>
        <w:autoSpaceDE w:val="0"/>
        <w:autoSpaceDN w:val="0"/>
        <w:spacing w:after="0" w:line="276" w:lineRule="auto"/>
        <w:jc w:val="both"/>
        <w:rPr>
          <w:rFonts w:ascii="Verdana" w:hAnsi="Verdana"/>
        </w:rPr>
      </w:pPr>
      <w:r w:rsidRPr="00C02F37">
        <w:rPr>
          <w:rFonts w:ascii="Verdana" w:hAnsi="Verdana"/>
        </w:rPr>
        <w:t xml:space="preserve">Por último, lo invitamos a seguirnos en las redes sociales en las cuales se difunde información institucional: </w:t>
      </w:r>
    </w:p>
    <w:p w14:paraId="642B79A2" w14:textId="77777777" w:rsidR="009435D8" w:rsidRPr="00C02F37" w:rsidRDefault="009435D8" w:rsidP="009435D8">
      <w:pPr>
        <w:widowControl w:val="0"/>
        <w:autoSpaceDE w:val="0"/>
        <w:autoSpaceDN w:val="0"/>
        <w:spacing w:after="0" w:line="276" w:lineRule="auto"/>
        <w:jc w:val="both"/>
        <w:rPr>
          <w:rFonts w:ascii="Verdana" w:hAnsi="Verdana"/>
        </w:rPr>
      </w:pPr>
    </w:p>
    <w:p w14:paraId="72E631DC" w14:textId="77777777" w:rsidR="009435D8" w:rsidRPr="00C02F37" w:rsidRDefault="009435D8" w:rsidP="009435D8">
      <w:pPr>
        <w:spacing w:after="0" w:line="240" w:lineRule="auto"/>
        <w:jc w:val="both"/>
        <w:rPr>
          <w:rFonts w:ascii="Verdana" w:hAnsi="Verdana"/>
        </w:rPr>
      </w:pPr>
      <w:r w:rsidRPr="00C02F37">
        <w:rPr>
          <w:rFonts w:ascii="Verdana" w:hAnsi="Verdana"/>
        </w:rPr>
        <w:t xml:space="preserve">Twitter: </w:t>
      </w:r>
      <w:r w:rsidRPr="00C02F37">
        <w:rPr>
          <w:rStyle w:val="Hipervnculo"/>
          <w:rFonts w:ascii="Verdana" w:hAnsi="Verdana" w:cs="Arial"/>
          <w:shd w:val="clear" w:color="auto" w:fill="FFFFFF"/>
          <w:lang w:val="es-ES"/>
        </w:rPr>
        <w:t>@colombiacompra</w:t>
      </w:r>
      <w:r w:rsidRPr="00C02F37">
        <w:rPr>
          <w:rFonts w:ascii="Verdana" w:eastAsia="Aptos" w:hAnsi="Verdana" w:cs="Times New Roman"/>
          <w:color w:val="156082"/>
        </w:rPr>
        <w:t xml:space="preserve"> </w:t>
      </w:r>
    </w:p>
    <w:p w14:paraId="0413C85A" w14:textId="77777777" w:rsidR="009435D8" w:rsidRPr="00C02F37" w:rsidRDefault="009435D8" w:rsidP="009435D8">
      <w:pPr>
        <w:spacing w:after="0" w:line="240" w:lineRule="auto"/>
        <w:jc w:val="both"/>
        <w:rPr>
          <w:rFonts w:ascii="Verdana" w:hAnsi="Verdana"/>
        </w:rPr>
      </w:pPr>
      <w:r w:rsidRPr="00C02F37">
        <w:rPr>
          <w:rFonts w:ascii="Verdana" w:hAnsi="Verdana"/>
        </w:rPr>
        <w:t xml:space="preserve">Facebook: </w:t>
      </w:r>
      <w:proofErr w:type="spellStart"/>
      <w:r w:rsidRPr="00C02F37">
        <w:rPr>
          <w:rStyle w:val="Hipervnculo"/>
          <w:rFonts w:ascii="Verdana" w:hAnsi="Verdana" w:cs="Arial"/>
          <w:shd w:val="clear" w:color="auto" w:fill="FFFFFF"/>
          <w:lang w:val="es-ES"/>
        </w:rPr>
        <w:t>ColombiaCompraEficiente</w:t>
      </w:r>
      <w:proofErr w:type="spellEnd"/>
    </w:p>
    <w:p w14:paraId="05F9C8E4" w14:textId="77777777" w:rsidR="009435D8" w:rsidRPr="00C02F37" w:rsidRDefault="009435D8" w:rsidP="009435D8">
      <w:pPr>
        <w:spacing w:after="0" w:line="240" w:lineRule="auto"/>
        <w:jc w:val="both"/>
        <w:rPr>
          <w:rFonts w:ascii="Verdana" w:hAnsi="Verdana"/>
        </w:rPr>
      </w:pPr>
      <w:r w:rsidRPr="00C02F37">
        <w:rPr>
          <w:rFonts w:ascii="Verdana" w:hAnsi="Verdana"/>
        </w:rPr>
        <w:t xml:space="preserve">LinkedIn: </w:t>
      </w:r>
      <w:r w:rsidRPr="00C02F37">
        <w:rPr>
          <w:rStyle w:val="Hipervnculo"/>
          <w:rFonts w:ascii="Verdana" w:hAnsi="Verdana" w:cs="Arial"/>
          <w:shd w:val="clear" w:color="auto" w:fill="FFFFFF"/>
          <w:lang w:val="es-ES"/>
        </w:rPr>
        <w:t>Agencia Nacional de Contratación Pública - Colombia Compra Eficiente</w:t>
      </w:r>
      <w:r w:rsidRPr="00C02F37">
        <w:rPr>
          <w:rFonts w:ascii="Verdana" w:eastAsia="Aptos" w:hAnsi="Verdana" w:cs="Times New Roman"/>
          <w:color w:val="156082"/>
        </w:rPr>
        <w:t xml:space="preserve"> </w:t>
      </w:r>
      <w:r w:rsidRPr="00C02F37">
        <w:rPr>
          <w:rFonts w:ascii="Verdana" w:hAnsi="Verdana"/>
        </w:rPr>
        <w:t xml:space="preserve">Instagram: </w:t>
      </w:r>
      <w:r w:rsidRPr="00C02F37">
        <w:rPr>
          <w:rStyle w:val="Hipervnculo"/>
          <w:rFonts w:ascii="Verdana" w:hAnsi="Verdana" w:cs="Arial"/>
          <w:shd w:val="clear" w:color="auto" w:fill="FFFFFF"/>
          <w:lang w:val="es-ES"/>
        </w:rPr>
        <w:t>@colombiacompraeficiente_cce</w:t>
      </w:r>
    </w:p>
    <w:p w14:paraId="5A9C7C0A" w14:textId="77777777" w:rsidR="009435D8" w:rsidRPr="00C02F37" w:rsidRDefault="009435D8" w:rsidP="009435D8">
      <w:pPr>
        <w:widowControl w:val="0"/>
        <w:autoSpaceDE w:val="0"/>
        <w:autoSpaceDN w:val="0"/>
        <w:spacing w:after="0" w:line="276" w:lineRule="auto"/>
        <w:jc w:val="both"/>
        <w:rPr>
          <w:rFonts w:ascii="Verdana" w:hAnsi="Verdana"/>
        </w:rPr>
      </w:pPr>
    </w:p>
    <w:p w14:paraId="404F61BA" w14:textId="77777777" w:rsidR="009435D8" w:rsidRPr="00C02F37" w:rsidRDefault="009435D8" w:rsidP="009435D8">
      <w:pPr>
        <w:widowControl w:val="0"/>
        <w:autoSpaceDE w:val="0"/>
        <w:autoSpaceDN w:val="0"/>
        <w:spacing w:after="0" w:line="276" w:lineRule="auto"/>
        <w:jc w:val="both"/>
        <w:rPr>
          <w:rFonts w:ascii="Verdana" w:eastAsia="Aptos" w:hAnsi="Verdana" w:cs="Arial"/>
          <w:lang w:val="es-ES_tradnl"/>
        </w:rPr>
      </w:pPr>
      <w:r w:rsidRPr="00C02F37">
        <w:rPr>
          <w:rFonts w:ascii="Verdana" w:eastAsia="Aptos" w:hAnsi="Verdana" w:cs="Arial"/>
        </w:rPr>
        <w:t xml:space="preserve">Este concepto tiene el alcance previsto en el artículo 28 del Código de Procedimiento Administrativo y de lo Contencioso Administrativo </w:t>
      </w:r>
      <w:r w:rsidRPr="00C02F37">
        <w:rPr>
          <w:rFonts w:ascii="Verdana" w:eastAsia="Aptos" w:hAnsi="Verdana" w:cs="Arial"/>
          <w:lang w:val="es-ES_tradnl"/>
        </w:rPr>
        <w:t>y las expresiones aquí utilizadas con mayúscula inicial deben ser entendidas con el significado que les otorga el artículo 2.2.1.1.1.3.1. del Decreto 1082 de 2015.</w:t>
      </w:r>
    </w:p>
    <w:p w14:paraId="4064EB18" w14:textId="77777777" w:rsidR="009435D8" w:rsidRPr="00C02F37" w:rsidRDefault="009435D8" w:rsidP="009435D8">
      <w:pPr>
        <w:widowControl w:val="0"/>
        <w:autoSpaceDE w:val="0"/>
        <w:autoSpaceDN w:val="0"/>
        <w:spacing w:after="0" w:line="276" w:lineRule="auto"/>
        <w:jc w:val="both"/>
        <w:rPr>
          <w:rFonts w:ascii="Verdana" w:eastAsia="Aptos" w:hAnsi="Verdana" w:cs="Arial"/>
        </w:rPr>
      </w:pPr>
    </w:p>
    <w:p w14:paraId="7A9BDF57" w14:textId="77777777" w:rsidR="009435D8" w:rsidRPr="00C02F37" w:rsidRDefault="009435D8" w:rsidP="009435D8">
      <w:pPr>
        <w:spacing w:after="0" w:line="240" w:lineRule="auto"/>
        <w:rPr>
          <w:rFonts w:ascii="Verdana" w:hAnsi="Verdana" w:cs="Arial"/>
          <w:lang w:eastAsia="es-CO"/>
        </w:rPr>
      </w:pPr>
      <w:r w:rsidRPr="00C02F37">
        <w:rPr>
          <w:rFonts w:ascii="Verdana" w:eastAsia="Times New Roman" w:hAnsi="Verdana" w:cs="Arial"/>
          <w:lang w:eastAsia="es-CO"/>
        </w:rPr>
        <w:t>Atentamente,</w:t>
      </w:r>
      <w:r w:rsidRPr="00C02F37">
        <w:rPr>
          <w:rFonts w:ascii="Verdana" w:hAnsi="Verdana" w:cs="Arial"/>
          <w:lang w:eastAsia="es-CO"/>
        </w:rPr>
        <w:t xml:space="preserve"> </w:t>
      </w:r>
    </w:p>
    <w:p w14:paraId="48D414D3" w14:textId="3AEFDF9A" w:rsidR="009435D8" w:rsidRPr="00E517D9" w:rsidRDefault="000219CE" w:rsidP="009435D8">
      <w:pPr>
        <w:spacing w:line="276" w:lineRule="auto"/>
        <w:jc w:val="center"/>
        <w:rPr>
          <w:rFonts w:ascii="Verdana" w:eastAsia="Times New Roman" w:hAnsi="Verdana" w:cs="Arial"/>
          <w:color w:val="000000"/>
          <w:lang w:eastAsia="es-CO"/>
        </w:rPr>
      </w:pPr>
      <w:r w:rsidRPr="002C3AD6">
        <w:rPr>
          <w:rFonts w:ascii="Century Gothic" w:hAnsi="Century Gothic"/>
          <w:noProof/>
        </w:rPr>
        <w:drawing>
          <wp:inline distT="0" distB="0" distL="0" distR="0" wp14:anchorId="1F61E83F" wp14:editId="0A176F70">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435D8" w:rsidRPr="001827D1" w14:paraId="1BCCB196" w14:textId="77777777" w:rsidTr="71C1ACA8">
        <w:trPr>
          <w:trHeight w:val="315"/>
        </w:trPr>
        <w:tc>
          <w:tcPr>
            <w:tcW w:w="893" w:type="dxa"/>
            <w:vAlign w:val="center"/>
            <w:hideMark/>
          </w:tcPr>
          <w:p w14:paraId="0B2FC530" w14:textId="77777777" w:rsidR="009435D8" w:rsidRPr="001827D1" w:rsidRDefault="009435D8" w:rsidP="005A35A1">
            <w:pPr>
              <w:contextualSpacing/>
              <w:rPr>
                <w:rFonts w:ascii="Verdana" w:eastAsia="Times New Roman" w:hAnsi="Verdana" w:cs="Arial"/>
                <w:color w:val="000000"/>
                <w:sz w:val="16"/>
                <w:szCs w:val="16"/>
                <w:lang w:val="es-ES" w:eastAsia="es-ES"/>
              </w:rPr>
            </w:pPr>
            <w:r w:rsidRPr="001827D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2AC7072" w14:textId="77777777" w:rsidR="009435D8" w:rsidRPr="001827D1" w:rsidRDefault="009435D8" w:rsidP="005A35A1">
            <w:pPr>
              <w:contextualSpacing/>
              <w:rPr>
                <w:rFonts w:ascii="Verdana" w:eastAsia="Arial" w:hAnsi="Verdana" w:cs="Arial"/>
                <w:color w:val="000000"/>
                <w:sz w:val="16"/>
                <w:szCs w:val="16"/>
              </w:rPr>
            </w:pPr>
            <w:r>
              <w:rPr>
                <w:rFonts w:ascii="Verdana" w:eastAsia="Times New Roman" w:hAnsi="Verdana" w:cs="Arial"/>
                <w:color w:val="000000"/>
                <w:sz w:val="16"/>
                <w:szCs w:val="16"/>
              </w:rPr>
              <w:t>María Joshira Nieto Manzano</w:t>
            </w:r>
          </w:p>
          <w:p w14:paraId="6C628D1E" w14:textId="77777777" w:rsidR="009435D8" w:rsidRPr="001827D1" w:rsidRDefault="009435D8" w:rsidP="005A35A1">
            <w:pPr>
              <w:contextualSpacing/>
              <w:rPr>
                <w:rFonts w:ascii="Verdana" w:eastAsia="Arial" w:hAnsi="Verdana" w:cs="Arial"/>
                <w:color w:val="000000"/>
                <w:sz w:val="16"/>
                <w:szCs w:val="16"/>
              </w:rPr>
            </w:pPr>
            <w:r w:rsidRPr="001827D1">
              <w:rPr>
                <w:rFonts w:ascii="Verdana" w:eastAsia="Arial" w:hAnsi="Verdana" w:cs="Arial"/>
                <w:color w:val="000000"/>
                <w:sz w:val="16"/>
                <w:szCs w:val="16"/>
              </w:rPr>
              <w:t>Contratista de la Subdirección de Gestión Contractual</w:t>
            </w:r>
          </w:p>
        </w:tc>
      </w:tr>
      <w:tr w:rsidR="009435D8" w:rsidRPr="001827D1" w14:paraId="701FE0D2" w14:textId="77777777" w:rsidTr="71C1ACA8">
        <w:trPr>
          <w:trHeight w:val="330"/>
        </w:trPr>
        <w:tc>
          <w:tcPr>
            <w:tcW w:w="893" w:type="dxa"/>
            <w:vAlign w:val="center"/>
            <w:hideMark/>
          </w:tcPr>
          <w:p w14:paraId="16C57A5F" w14:textId="77777777" w:rsidR="009435D8" w:rsidRPr="001827D1" w:rsidRDefault="009435D8" w:rsidP="005A35A1">
            <w:pPr>
              <w:contextualSpacing/>
              <w:rPr>
                <w:rFonts w:ascii="Verdana" w:eastAsia="Times New Roman" w:hAnsi="Verdana" w:cs="Arial"/>
                <w:color w:val="000000"/>
                <w:sz w:val="16"/>
                <w:szCs w:val="16"/>
                <w:lang w:val="es-ES" w:eastAsia="es-ES"/>
              </w:rPr>
            </w:pPr>
            <w:r w:rsidRPr="001827D1">
              <w:rPr>
                <w:rFonts w:ascii="Verdana" w:eastAsia="Times New Roman" w:hAnsi="Verdana" w:cs="Arial"/>
                <w:color w:val="000000"/>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0F44ECD" w14:textId="25951A8E" w:rsidR="009435D8" w:rsidRPr="00FC5545" w:rsidRDefault="063BC1BD" w:rsidP="005A35A1">
            <w:pPr>
              <w:contextualSpacing/>
              <w:rPr>
                <w:rFonts w:ascii="Verdana" w:eastAsia="Times New Roman" w:hAnsi="Verdana" w:cs="Arial"/>
                <w:color w:val="000000"/>
                <w:sz w:val="16"/>
                <w:szCs w:val="16"/>
              </w:rPr>
            </w:pPr>
            <w:r w:rsidRPr="71C1ACA8">
              <w:rPr>
                <w:rFonts w:ascii="Verdana" w:eastAsia="Times New Roman" w:hAnsi="Verdana" w:cs="Arial"/>
                <w:color w:val="000000" w:themeColor="text1"/>
                <w:sz w:val="16"/>
                <w:szCs w:val="16"/>
              </w:rPr>
              <w:t xml:space="preserve">Diana Lucía Saavedra </w:t>
            </w:r>
          </w:p>
          <w:p w14:paraId="277FE278" w14:textId="77777777" w:rsidR="009435D8" w:rsidRPr="00FC5545" w:rsidRDefault="009435D8" w:rsidP="005A35A1">
            <w:pPr>
              <w:contextualSpacing/>
              <w:textAlignment w:val="baseline"/>
              <w:rPr>
                <w:rFonts w:ascii="Verdana" w:eastAsia="Times New Roman" w:hAnsi="Verdana" w:cs="Arial"/>
                <w:color w:val="000000"/>
                <w:sz w:val="16"/>
                <w:szCs w:val="16"/>
              </w:rPr>
            </w:pPr>
            <w:r w:rsidRPr="00FC5545">
              <w:rPr>
                <w:rFonts w:ascii="Verdana" w:eastAsia="Times New Roman" w:hAnsi="Verdana" w:cs="Arial"/>
                <w:color w:val="000000"/>
                <w:sz w:val="16"/>
                <w:szCs w:val="16"/>
              </w:rPr>
              <w:t>Contratista de la Subdirección de Gestión Contractual</w:t>
            </w:r>
          </w:p>
        </w:tc>
      </w:tr>
      <w:tr w:rsidR="009435D8" w:rsidRPr="001827D1" w14:paraId="72DECE41" w14:textId="77777777" w:rsidTr="71C1ACA8">
        <w:trPr>
          <w:trHeight w:val="300"/>
        </w:trPr>
        <w:tc>
          <w:tcPr>
            <w:tcW w:w="893" w:type="dxa"/>
            <w:vAlign w:val="center"/>
          </w:tcPr>
          <w:p w14:paraId="1200C038" w14:textId="77777777" w:rsidR="009435D8" w:rsidRPr="001827D1" w:rsidRDefault="009435D8" w:rsidP="005A35A1">
            <w:pPr>
              <w:contextualSpacing/>
              <w:rPr>
                <w:rFonts w:ascii="Verdana" w:eastAsia="Times New Roman" w:hAnsi="Verdana" w:cs="Arial"/>
                <w:color w:val="000000"/>
                <w:sz w:val="16"/>
                <w:szCs w:val="16"/>
                <w:lang w:val="es-ES" w:eastAsia="es-ES"/>
              </w:rPr>
            </w:pPr>
            <w:r w:rsidRPr="001827D1">
              <w:rPr>
                <w:rFonts w:ascii="Verdana" w:eastAsia="Times New Roman" w:hAnsi="Verdana" w:cs="Arial"/>
                <w:color w:val="000000"/>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1DAD56C" w14:textId="77777777" w:rsidR="009435D8" w:rsidRPr="00FC5545" w:rsidRDefault="009435D8" w:rsidP="005A35A1">
            <w:pPr>
              <w:contextualSpacing/>
              <w:rPr>
                <w:rFonts w:ascii="Verdana" w:eastAsia="Times New Roman" w:hAnsi="Verdana" w:cs="Arial"/>
                <w:color w:val="000000"/>
                <w:sz w:val="16"/>
                <w:szCs w:val="16"/>
              </w:rPr>
            </w:pPr>
            <w:r w:rsidRPr="00FC5545">
              <w:rPr>
                <w:rFonts w:ascii="Verdana" w:eastAsia="Times New Roman" w:hAnsi="Verdana" w:cs="Arial"/>
                <w:color w:val="000000"/>
                <w:sz w:val="16"/>
                <w:szCs w:val="16"/>
              </w:rPr>
              <w:t xml:space="preserve">Carolina Quintero </w:t>
            </w:r>
            <w:proofErr w:type="spellStart"/>
            <w:r w:rsidRPr="00FC5545">
              <w:rPr>
                <w:rFonts w:ascii="Verdana" w:eastAsia="Times New Roman" w:hAnsi="Verdana" w:cs="Arial"/>
                <w:color w:val="000000"/>
                <w:sz w:val="16"/>
                <w:szCs w:val="16"/>
              </w:rPr>
              <w:t>Gacharná</w:t>
            </w:r>
            <w:proofErr w:type="spellEnd"/>
          </w:p>
          <w:p w14:paraId="033A691A" w14:textId="77777777" w:rsidR="009435D8" w:rsidRPr="00FC5545" w:rsidRDefault="009435D8" w:rsidP="005A35A1">
            <w:pPr>
              <w:contextualSpacing/>
              <w:rPr>
                <w:rFonts w:ascii="Verdana" w:eastAsia="Times New Roman" w:hAnsi="Verdana" w:cs="Arial"/>
                <w:color w:val="000000"/>
                <w:sz w:val="16"/>
                <w:szCs w:val="16"/>
              </w:rPr>
            </w:pPr>
            <w:r w:rsidRPr="00FC5545">
              <w:rPr>
                <w:rFonts w:ascii="Verdana" w:eastAsia="Times New Roman" w:hAnsi="Verdana" w:cs="Arial"/>
                <w:color w:val="000000"/>
                <w:sz w:val="16"/>
                <w:szCs w:val="16"/>
              </w:rPr>
              <w:t>Subdirectora de Gestión Contractual ANCP – CCE</w:t>
            </w:r>
          </w:p>
        </w:tc>
      </w:tr>
    </w:tbl>
    <w:p w14:paraId="689B7C37" w14:textId="77777777" w:rsidR="009435D8" w:rsidRPr="000A7E2C" w:rsidRDefault="009435D8" w:rsidP="009435D8">
      <w:pPr>
        <w:spacing w:after="0" w:line="240" w:lineRule="auto"/>
      </w:pPr>
    </w:p>
    <w:p w14:paraId="2FF92A6A" w14:textId="77777777" w:rsidR="009435D8" w:rsidRPr="0041392B" w:rsidRDefault="009435D8" w:rsidP="009435D8">
      <w:pPr>
        <w:spacing w:after="0" w:line="240" w:lineRule="auto"/>
        <w:jc w:val="both"/>
      </w:pPr>
    </w:p>
    <w:p w14:paraId="04DCF596" w14:textId="77777777" w:rsidR="009435D8" w:rsidRPr="00984937" w:rsidRDefault="009435D8" w:rsidP="009435D8">
      <w:pPr>
        <w:spacing w:line="276" w:lineRule="auto"/>
        <w:jc w:val="center"/>
        <w:rPr>
          <w:rFonts w:ascii="Verdana" w:eastAsia="Times New Roman" w:hAnsi="Verdana" w:cs="Segoe UI"/>
          <w:b/>
          <w:bCs/>
          <w:color w:val="46589C"/>
          <w:lang w:eastAsia="es-CO"/>
        </w:rPr>
      </w:pPr>
    </w:p>
    <w:p w14:paraId="2BC61D23" w14:textId="77777777" w:rsidR="009435D8" w:rsidRPr="008E686A" w:rsidRDefault="009435D8" w:rsidP="009435D8">
      <w:pPr>
        <w:spacing w:after="0"/>
        <w:rPr>
          <w:rFonts w:ascii="Verdana" w:eastAsia="Times New Roman" w:hAnsi="Verdana" w:cs="Segoe UI"/>
          <w:b/>
          <w:bCs/>
          <w:color w:val="46589C"/>
          <w:lang w:eastAsia="es-CO"/>
        </w:rPr>
      </w:pPr>
    </w:p>
    <w:bookmarkEnd w:id="0"/>
    <w:p w14:paraId="21369A50" w14:textId="77777777" w:rsidR="009435D8" w:rsidRPr="0044528D" w:rsidRDefault="009435D8" w:rsidP="00E245AB">
      <w:pPr>
        <w:spacing w:after="0"/>
        <w:rPr>
          <w:rFonts w:ascii="Verdana" w:hAnsi="Verdana"/>
        </w:rPr>
      </w:pPr>
    </w:p>
    <w:sectPr w:rsidR="009435D8" w:rsidRPr="0044528D" w:rsidSect="00830508">
      <w:headerReference w:type="default" r:id="rId16"/>
      <w:footerReference w:type="default" r:id="rId17"/>
      <w:pgSz w:w="12240" w:h="15840" w:code="1"/>
      <w:pgMar w:top="1417" w:right="1701" w:bottom="1843" w:left="1701" w:header="709" w:footer="112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E73C03" w14:textId="77777777" w:rsidR="00B87B94" w:rsidRDefault="00B87B94" w:rsidP="004A1847">
      <w:pPr>
        <w:spacing w:after="0" w:line="240" w:lineRule="auto"/>
      </w:pPr>
      <w:r>
        <w:separator/>
      </w:r>
    </w:p>
  </w:endnote>
  <w:endnote w:type="continuationSeparator" w:id="0">
    <w:p w14:paraId="13F9E43F" w14:textId="77777777" w:rsidR="00B87B94" w:rsidRDefault="00B87B9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470629" w14:textId="77777777" w:rsidR="00B87B94" w:rsidRDefault="00B87B94" w:rsidP="004A1847">
      <w:pPr>
        <w:spacing w:after="0" w:line="240" w:lineRule="auto"/>
      </w:pPr>
      <w:r>
        <w:separator/>
      </w:r>
    </w:p>
  </w:footnote>
  <w:footnote w:type="continuationSeparator" w:id="0">
    <w:p w14:paraId="36742252" w14:textId="77777777" w:rsidR="00B87B94" w:rsidRDefault="00B87B94" w:rsidP="004A1847">
      <w:pPr>
        <w:spacing w:after="0" w:line="240" w:lineRule="auto"/>
      </w:pPr>
      <w:r>
        <w:continuationSeparator/>
      </w:r>
    </w:p>
  </w:footnote>
  <w:footnote w:id="1">
    <w:p w14:paraId="4B33562F" w14:textId="77777777" w:rsidR="009435D8" w:rsidRPr="00F22A64" w:rsidRDefault="009435D8" w:rsidP="009435D8">
      <w:pPr>
        <w:pStyle w:val="Textonotapie"/>
        <w:ind w:firstLine="709"/>
        <w:jc w:val="both"/>
        <w:rPr>
          <w:rFonts w:ascii="Verdana" w:hAnsi="Verdana"/>
          <w:sz w:val="16"/>
          <w:szCs w:val="16"/>
        </w:rPr>
      </w:pPr>
      <w:r w:rsidRPr="00F22A64">
        <w:rPr>
          <w:rStyle w:val="Refdenotaalpie"/>
          <w:rFonts w:ascii="Verdana" w:hAnsi="Verdana"/>
          <w:sz w:val="16"/>
          <w:szCs w:val="16"/>
        </w:rPr>
        <w:footnoteRef/>
      </w:r>
      <w:r w:rsidRPr="00F22A64">
        <w:rPr>
          <w:rFonts w:ascii="Verdana" w:hAnsi="Verdana"/>
          <w:sz w:val="16"/>
          <w:szCs w:val="16"/>
        </w:rPr>
        <w:t xml:space="preserve"> Sobre este punto, “La doctrina distingue entre un objeto social </w:t>
      </w:r>
      <w:r w:rsidRPr="00F22A64">
        <w:rPr>
          <w:rFonts w:ascii="Verdana" w:hAnsi="Verdana"/>
          <w:i/>
          <w:iCs/>
          <w:sz w:val="16"/>
          <w:szCs w:val="16"/>
        </w:rPr>
        <w:t>principal</w:t>
      </w:r>
      <w:r w:rsidRPr="00F22A64">
        <w:rPr>
          <w:rFonts w:ascii="Verdana" w:hAnsi="Verdana"/>
          <w:sz w:val="16"/>
          <w:szCs w:val="16"/>
        </w:rPr>
        <w:t xml:space="preserve"> representado por las actividades que forman parte de la </w:t>
      </w:r>
      <w:r w:rsidRPr="00F22A64">
        <w:rPr>
          <w:rFonts w:ascii="Verdana" w:hAnsi="Verdana"/>
          <w:i/>
          <w:iCs/>
          <w:sz w:val="16"/>
          <w:szCs w:val="16"/>
        </w:rPr>
        <w:t>empresa socia</w:t>
      </w:r>
      <w:r w:rsidRPr="00F22A64">
        <w:rPr>
          <w:rFonts w:ascii="Verdana" w:hAnsi="Verdana"/>
          <w:sz w:val="16"/>
          <w:szCs w:val="16"/>
        </w:rPr>
        <w:t xml:space="preserve">l, y un objeto </w:t>
      </w:r>
      <w:r w:rsidRPr="00F22A64">
        <w:rPr>
          <w:rFonts w:ascii="Verdana" w:hAnsi="Verdana"/>
          <w:i/>
          <w:iCs/>
          <w:sz w:val="16"/>
          <w:szCs w:val="16"/>
        </w:rPr>
        <w:t>secundario</w:t>
      </w:r>
      <w:r w:rsidRPr="00F22A64">
        <w:rPr>
          <w:rFonts w:ascii="Verdana" w:hAnsi="Verdana"/>
          <w:sz w:val="16"/>
          <w:szCs w:val="16"/>
        </w:rPr>
        <w:t xml:space="preserve"> compuesto por todos aquellos actos que sirven de medio para cumplir tales actividades principales. De manera que si, por ejemplo, una compañía se dedica al transporte aéreo de personas, éste será su objeto principal; en cambio, la apertura de cuentas bancarias, la celebración de contratos de mutuo activos y pasivos, la inversión en otras sociedades de objetos semejantes, la compra de bienes, entre otras, formarán parte de su objeto </w:t>
      </w:r>
      <w:r w:rsidRPr="00F22A64">
        <w:rPr>
          <w:rFonts w:ascii="Verdana" w:hAnsi="Verdana"/>
          <w:i/>
          <w:iCs/>
          <w:sz w:val="16"/>
          <w:szCs w:val="16"/>
        </w:rPr>
        <w:t>secundario</w:t>
      </w:r>
      <w:r w:rsidRPr="00F22A64">
        <w:rPr>
          <w:rFonts w:ascii="Verdana" w:hAnsi="Verdana"/>
          <w:sz w:val="16"/>
          <w:szCs w:val="16"/>
        </w:rPr>
        <w:t>. En palabras de la Superintendencia de Sociedades, ‘existe un objeto principal conformado por las actividades económicas indicadas como marco general trazado por voluntad de los contratantes; y un objeto secundario que está compuesto por la serie de actos que la compañía puede realizar en desarrollo de aquéllas’.</w:t>
      </w:r>
    </w:p>
    <w:p w14:paraId="0B7E3559" w14:textId="77777777" w:rsidR="009435D8" w:rsidRPr="00F22A64" w:rsidRDefault="009435D8" w:rsidP="009435D8">
      <w:pPr>
        <w:pStyle w:val="Textonotapie"/>
        <w:ind w:firstLine="709"/>
        <w:jc w:val="both"/>
        <w:rPr>
          <w:rFonts w:ascii="Verdana" w:hAnsi="Verdana"/>
          <w:sz w:val="16"/>
          <w:szCs w:val="16"/>
        </w:rPr>
      </w:pPr>
      <w:r w:rsidRPr="00F22A64">
        <w:rPr>
          <w:rFonts w:ascii="Verdana" w:hAnsi="Verdana"/>
          <w:sz w:val="16"/>
          <w:szCs w:val="16"/>
        </w:rPr>
        <w:t xml:space="preserve">Podría, inclusive, afirmarse que el objeto social </w:t>
      </w:r>
      <w:r w:rsidRPr="00F22A64">
        <w:rPr>
          <w:rFonts w:ascii="Verdana" w:hAnsi="Verdana"/>
          <w:i/>
          <w:iCs/>
          <w:sz w:val="16"/>
          <w:szCs w:val="16"/>
        </w:rPr>
        <w:t>secundario</w:t>
      </w:r>
      <w:r w:rsidRPr="00F22A64">
        <w:rPr>
          <w:rFonts w:ascii="Verdana" w:hAnsi="Verdana"/>
          <w:sz w:val="16"/>
          <w:szCs w:val="16"/>
        </w:rPr>
        <w:t xml:space="preserve"> es presunto o </w:t>
      </w:r>
      <w:proofErr w:type="gramStart"/>
      <w:r w:rsidRPr="00F22A64">
        <w:rPr>
          <w:rFonts w:ascii="Verdana" w:hAnsi="Verdana"/>
          <w:sz w:val="16"/>
          <w:szCs w:val="16"/>
        </w:rPr>
        <w:t>que</w:t>
      </w:r>
      <w:proofErr w:type="gramEnd"/>
      <w:r w:rsidRPr="00F22A64">
        <w:rPr>
          <w:rFonts w:ascii="Verdana" w:hAnsi="Verdana"/>
          <w:sz w:val="16"/>
          <w:szCs w:val="16"/>
        </w:rPr>
        <w:t xml:space="preserve"> por ser un elemento de la </w:t>
      </w:r>
      <w:r w:rsidRPr="00F22A64">
        <w:rPr>
          <w:rFonts w:ascii="Verdana" w:hAnsi="Verdana"/>
          <w:i/>
          <w:iCs/>
          <w:sz w:val="16"/>
          <w:szCs w:val="16"/>
        </w:rPr>
        <w:t>naturaleza</w:t>
      </w:r>
      <w:r w:rsidRPr="00F22A64">
        <w:rPr>
          <w:rFonts w:ascii="Verdana" w:hAnsi="Verdana"/>
          <w:sz w:val="16"/>
          <w:szCs w:val="16"/>
        </w:rPr>
        <w:t xml:space="preserve"> del contrato de sociedad, rige de manera supletiva, aunque los asociados no lo hubieren previsto en forma explícita en los estatutos sociales. Sin embargo, la práctica mercantil, en especial de formalistas entidades financieras y gubernamentales, hace recomendable la detallada inclusión de las actividades de explotación económica que la sociedad podrá realizar en </w:t>
      </w:r>
      <w:r w:rsidRPr="00F22A64">
        <w:rPr>
          <w:rFonts w:ascii="Verdana" w:hAnsi="Verdana"/>
          <w:i/>
          <w:iCs/>
          <w:sz w:val="16"/>
          <w:szCs w:val="16"/>
        </w:rPr>
        <w:t>desarrollo de su objeto social</w:t>
      </w:r>
      <w:r w:rsidRPr="00F22A64">
        <w:rPr>
          <w:rFonts w:ascii="Verdana" w:hAnsi="Verdana"/>
          <w:sz w:val="16"/>
          <w:szCs w:val="16"/>
        </w:rPr>
        <w:t>, según la conocida expresión que se utiliza para dividir el objeto principal del secundario […]” (REYES VILLAMIZAR, Francisco. Derecho societario. Cuarta edición. Bogotá: Temis, 2020. pp. 196-197).</w:t>
      </w:r>
    </w:p>
  </w:footnote>
  <w:footnote w:id="2">
    <w:p w14:paraId="03D15CDF" w14:textId="77777777" w:rsidR="009435D8" w:rsidRPr="00F22A64" w:rsidRDefault="009435D8" w:rsidP="009435D8">
      <w:pPr>
        <w:pStyle w:val="Textonotapie"/>
        <w:ind w:firstLine="709"/>
        <w:jc w:val="both"/>
        <w:rPr>
          <w:rFonts w:ascii="Verdana" w:hAnsi="Verdana"/>
          <w:sz w:val="16"/>
          <w:szCs w:val="16"/>
          <w:lang w:val="es-CO"/>
        </w:rPr>
      </w:pPr>
      <w:r w:rsidRPr="00F22A64">
        <w:rPr>
          <w:rStyle w:val="Refdenotaalpie"/>
          <w:rFonts w:ascii="Verdana" w:hAnsi="Verdana"/>
          <w:sz w:val="16"/>
          <w:szCs w:val="16"/>
        </w:rPr>
        <w:footnoteRef/>
      </w:r>
      <w:r w:rsidRPr="00F22A64">
        <w:rPr>
          <w:rFonts w:ascii="Verdana" w:hAnsi="Verdana"/>
          <w:sz w:val="16"/>
          <w:szCs w:val="16"/>
        </w:rPr>
        <w:t xml:space="preserve"> PINZÓN, Gabino. Sociedades comerciales. Bogotá: Temis, 1977. p. 186.</w:t>
      </w:r>
    </w:p>
  </w:footnote>
  <w:footnote w:id="3">
    <w:p w14:paraId="11E479B5" w14:textId="77777777" w:rsidR="009435D8" w:rsidRPr="00F22A64" w:rsidRDefault="009435D8" w:rsidP="009435D8">
      <w:pPr>
        <w:pStyle w:val="Textonotapie"/>
        <w:ind w:firstLine="709"/>
        <w:jc w:val="both"/>
        <w:rPr>
          <w:rFonts w:ascii="Verdana" w:hAnsi="Verdana"/>
          <w:sz w:val="16"/>
          <w:szCs w:val="16"/>
        </w:rPr>
      </w:pPr>
      <w:r w:rsidRPr="00F22A64">
        <w:rPr>
          <w:rStyle w:val="Refdenotaalpie"/>
          <w:rFonts w:ascii="Verdana" w:hAnsi="Verdana"/>
          <w:sz w:val="16"/>
          <w:szCs w:val="16"/>
        </w:rPr>
        <w:footnoteRef/>
      </w:r>
      <w:r w:rsidRPr="00F22A64">
        <w:rPr>
          <w:rFonts w:ascii="Verdana" w:hAnsi="Verdana"/>
          <w:sz w:val="16"/>
          <w:szCs w:val="16"/>
        </w:rPr>
        <w:t xml:space="preserve"> De acuerdo con el Oficio 220-060112 del 8 de agosto de 2012 de la Superintendencia de Sociedades, “[…] es enteramente discrecional de los asociados acoger según su conveniencia y necesidad, un objeto social determinado o indeterminado. En el primer caso se deberán identificar de manera explícita el acto o los actos que constituyan la empresa, en el entendido de que la capacidad de la sociedad, como las actuaciones del representante legal y los administradores, se han d e establecer igualmente en consideración a las actividades en él enunciadas, con sujeción a las reglas y las consecuencias que al efecto prevén las disposiciones consagradas el Código de Comercio, particularmente el artículo 110, ordinal 4°, en concordancia con el 99 </w:t>
      </w:r>
      <w:r w:rsidRPr="00F22A64">
        <w:rPr>
          <w:rFonts w:ascii="Verdana" w:hAnsi="Verdana"/>
          <w:i/>
          <w:iCs/>
          <w:sz w:val="16"/>
          <w:szCs w:val="16"/>
        </w:rPr>
        <w:t>ibidem</w:t>
      </w:r>
      <w:r w:rsidRPr="00F22A64">
        <w:rPr>
          <w:rFonts w:ascii="Verdana" w:hAnsi="Verdana"/>
          <w:sz w:val="16"/>
          <w:szCs w:val="16"/>
        </w:rPr>
        <w:t>.</w:t>
      </w:r>
    </w:p>
    <w:p w14:paraId="051DCC0E" w14:textId="77777777" w:rsidR="009435D8" w:rsidRPr="00F22A64" w:rsidRDefault="009435D8" w:rsidP="009435D8">
      <w:pPr>
        <w:pStyle w:val="Textonotapie"/>
        <w:ind w:firstLine="709"/>
        <w:jc w:val="both"/>
        <w:rPr>
          <w:rFonts w:ascii="Verdana" w:hAnsi="Verdana"/>
          <w:sz w:val="16"/>
          <w:szCs w:val="16"/>
        </w:rPr>
      </w:pPr>
      <w:r w:rsidRPr="00F22A64">
        <w:rPr>
          <w:rFonts w:ascii="Verdana" w:hAnsi="Verdana"/>
          <w:sz w:val="16"/>
          <w:szCs w:val="16"/>
        </w:rPr>
        <w:t>v) En el segundo caso, se podrá optar por un objeto indeterminado que bien identifique una o algunas de las actividades a las que especialmente se pretenda aplicar la empresa y, adicionalmente incluya las demás actividades licitas; o simplemente exprese que la sociedad podrá realizar cualquier actividad comercial o civil lícita sin mencionar en particular ninguna, lo que igualmente se entenderá para todos los efectos cuando en el acto de constitución no se diga nada sobre ese aspecto, y en estos casos la capacidad de la compañía será de todas formas ilimitada.</w:t>
      </w:r>
    </w:p>
    <w:p w14:paraId="6329EA82" w14:textId="77777777" w:rsidR="009435D8" w:rsidRPr="00F22A64" w:rsidRDefault="009435D8" w:rsidP="009435D8">
      <w:pPr>
        <w:pStyle w:val="Textonotapie"/>
        <w:ind w:firstLine="709"/>
        <w:jc w:val="both"/>
        <w:rPr>
          <w:rFonts w:ascii="Verdana" w:hAnsi="Verdana"/>
          <w:sz w:val="16"/>
          <w:szCs w:val="16"/>
        </w:rPr>
      </w:pPr>
      <w:r w:rsidRPr="00F22A64">
        <w:rPr>
          <w:rFonts w:ascii="Verdana" w:hAnsi="Verdana"/>
          <w:sz w:val="16"/>
          <w:szCs w:val="16"/>
        </w:rPr>
        <w:t>vii) Luego, en el documento privado de constitución, debe expresarse una relación clara y completa de las actividades principales a las cuales se dedicará la compañía, salvo que en el mismo se indique que ella podrá realizar toda clase de actividad comercial o civil lícita.</w:t>
      </w:r>
    </w:p>
    <w:p w14:paraId="5A166A9F" w14:textId="77777777" w:rsidR="009435D8" w:rsidRPr="00F22A64" w:rsidRDefault="009435D8" w:rsidP="009435D8">
      <w:pPr>
        <w:pStyle w:val="Textonotapie"/>
        <w:ind w:firstLine="709"/>
        <w:jc w:val="both"/>
        <w:rPr>
          <w:rFonts w:ascii="Verdana" w:hAnsi="Verdana"/>
          <w:sz w:val="16"/>
          <w:szCs w:val="16"/>
        </w:rPr>
      </w:pPr>
      <w:r w:rsidRPr="00F22A64">
        <w:rPr>
          <w:rFonts w:ascii="Verdana" w:hAnsi="Verdana"/>
          <w:sz w:val="16"/>
          <w:szCs w:val="16"/>
        </w:rPr>
        <w:t>De no expresarse nada en los estatutos, necesariamente debe entenderse que la compañía puede efectuar cualquier actividad licita”.</w:t>
      </w:r>
    </w:p>
  </w:footnote>
  <w:footnote w:id="4">
    <w:p w14:paraId="29053718" w14:textId="77777777" w:rsidR="009435D8" w:rsidRPr="00D37D18" w:rsidRDefault="009435D8" w:rsidP="009435D8">
      <w:pPr>
        <w:pStyle w:val="Textonotapie"/>
        <w:ind w:firstLine="708"/>
        <w:jc w:val="both"/>
        <w:rPr>
          <w:rFonts w:ascii="Verdana" w:hAnsi="Verdana" w:cs="Arial"/>
          <w:sz w:val="18"/>
          <w:szCs w:val="18"/>
        </w:rPr>
      </w:pPr>
      <w:r w:rsidRPr="0040622E">
        <w:rPr>
          <w:rStyle w:val="Refdenotaalpie"/>
          <w:rFonts w:ascii="Verdana" w:hAnsi="Verdana" w:cs="Arial"/>
          <w:sz w:val="10"/>
          <w:szCs w:val="10"/>
        </w:rPr>
        <w:footnoteRef/>
      </w:r>
      <w:r w:rsidRPr="0040622E">
        <w:rPr>
          <w:rFonts w:ascii="Verdana" w:hAnsi="Verdana" w:cs="Arial"/>
          <w:sz w:val="10"/>
          <w:szCs w:val="10"/>
        </w:rPr>
        <w:t xml:space="preserve"> </w:t>
      </w:r>
      <w:r w:rsidRPr="00D37D18">
        <w:rPr>
          <w:rFonts w:ascii="Verdana" w:hAnsi="Verdana" w:cs="Arial"/>
          <w:sz w:val="18"/>
          <w:szCs w:val="18"/>
        </w:rPr>
        <w:t>Al respecto, de acuerdo con el Concepto C-089 del 28 de abril de 2023, la Agencia estima que “el debido ejercicio de la referida potestad discrecional exige que converjan unos mínimos presupuestos de adecuación, para que resulte adecuada la decisión de limitar una convocatoria a la participación exclusiva de MiPymes. Es por esto por lo que la decisión de limitar territorialmente una convocatoria solo puede resultar razonable si la información recolectada en el marco del análisis del sector indica que en el lugar de ejecución del contrato existe un número significativo de MiPymes allí domiciliadas, cuyo objeto social les permitiría desarrollar el contrato o que estén interesadas en participar en el respectivo proceso de contratación. Adicionalmente, se torna relevante determinar que tantas de esas MiPymes tendrían la posibilidad de participar en el respectivo proceso de contratación en consideración en atención a las aptitudes e idoneidad requerida.  De acuerdo con lo anterior, difícilmente podría entenderse adecuada la decisión de limitar una convocatoria por el referido factor territorial, si dentro del estudio del sector no se identifican una pluralidad de MiPymes que estén en posición de participar en el respectivo proceso.</w:t>
      </w:r>
    </w:p>
    <w:p w14:paraId="481F6BAF" w14:textId="77777777" w:rsidR="009435D8" w:rsidRPr="00D37D18" w:rsidRDefault="009435D8" w:rsidP="009435D8">
      <w:pPr>
        <w:pStyle w:val="Textonotapie"/>
        <w:ind w:firstLine="708"/>
        <w:jc w:val="both"/>
        <w:rPr>
          <w:rFonts w:ascii="Verdana" w:hAnsi="Verdana" w:cs="Arial"/>
          <w:sz w:val="18"/>
          <w:szCs w:val="18"/>
        </w:rPr>
      </w:pPr>
    </w:p>
    <w:p w14:paraId="7872FBDA" w14:textId="77777777" w:rsidR="009435D8" w:rsidRPr="00D37D18" w:rsidRDefault="009435D8" w:rsidP="009435D8">
      <w:pPr>
        <w:pStyle w:val="Textonotapie"/>
        <w:ind w:firstLine="708"/>
        <w:jc w:val="both"/>
        <w:rPr>
          <w:rFonts w:ascii="Verdana" w:hAnsi="Verdana" w:cs="Arial"/>
          <w:sz w:val="18"/>
          <w:szCs w:val="18"/>
        </w:rPr>
      </w:pPr>
      <w:r w:rsidRPr="00D37D18">
        <w:rPr>
          <w:rFonts w:ascii="Verdana" w:hAnsi="Verdana" w:cs="Arial"/>
          <w:sz w:val="18"/>
          <w:szCs w:val="18"/>
        </w:rPr>
        <w:t>En atención a lo anterior, situaciones en las que se presentan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p w14:paraId="6E34CDE2" w14:textId="77777777" w:rsidR="009435D8" w:rsidRPr="00D37D18" w:rsidRDefault="009435D8" w:rsidP="009435D8">
      <w:pPr>
        <w:pStyle w:val="Textonotapie"/>
        <w:ind w:firstLine="708"/>
        <w:jc w:val="both"/>
        <w:rPr>
          <w:rFonts w:ascii="Verdana" w:hAnsi="Verdana" w:cs="Arial"/>
          <w:sz w:val="18"/>
          <w:szCs w:val="18"/>
        </w:rPr>
      </w:pPr>
    </w:p>
  </w:footnote>
  <w:footnote w:id="5">
    <w:p w14:paraId="7ACB4252" w14:textId="77777777" w:rsidR="009435D8" w:rsidRPr="00D37D18" w:rsidRDefault="009435D8" w:rsidP="009435D8">
      <w:pPr>
        <w:pStyle w:val="Textonotapie"/>
        <w:ind w:firstLine="708"/>
        <w:jc w:val="both"/>
        <w:rPr>
          <w:rFonts w:ascii="Verdana" w:hAnsi="Verdana" w:cs="Arial"/>
          <w:sz w:val="18"/>
          <w:szCs w:val="18"/>
        </w:rPr>
      </w:pPr>
      <w:r w:rsidRPr="00D37D18">
        <w:rPr>
          <w:rStyle w:val="Refdenotaalpie"/>
          <w:rFonts w:ascii="Verdana" w:hAnsi="Verdana" w:cs="Arial"/>
          <w:sz w:val="18"/>
          <w:szCs w:val="18"/>
        </w:rPr>
        <w:footnoteRef/>
      </w:r>
      <w:r w:rsidRPr="00D37D18">
        <w:rPr>
          <w:rFonts w:ascii="Verdana" w:hAnsi="Verdana" w:cs="Arial"/>
          <w:sz w:val="18"/>
          <w:szCs w:val="18"/>
        </w:rPr>
        <w:t xml:space="preserve"> La doctrina explica que “[…] la discrecionalidad hace referencia a una decisión o disposición administrativa adoptada dentro un margen de libre apreciación dejado por el ordenamiento jurídico (es decir, hay varias soluciones válidas en Derecho, entre las que la administración puede elegir libremente, aunque justificando su decisión). Cualquiera de las soluciones adoptadas dentro del ámbito de legítima discrecionalidad son igualmente admisibles en Derecho, y todas ellas tienen el mismo valor jurídico. Siempre que no desborde el ámbito de discrecionalidad, la Administración puede decidir utilizando criterios de conveniencia u oportunidad (por lo que la discrecionalidad es la puerta de entrada en la pirámide del ordenamiento de consideraciones de política administrativa o de carácter metajurídico)” (BLANQUER, David. Derecho administrativo: el fin, los medios y el control. Tomo I. Valencia: Tirant lo Blanch, 2010. p. 191).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9264"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697437188"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7216"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257948231" name="Imagen 1257948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04B0D11"/>
    <w:multiLevelType w:val="hybridMultilevel"/>
    <w:tmpl w:val="3B1611B4"/>
    <w:lvl w:ilvl="0" w:tplc="952A0668">
      <w:start w:val="4"/>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16702544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19CE"/>
    <w:rsid w:val="00046945"/>
    <w:rsid w:val="00047A90"/>
    <w:rsid w:val="00060E18"/>
    <w:rsid w:val="00061B2A"/>
    <w:rsid w:val="00082362"/>
    <w:rsid w:val="000979C3"/>
    <w:rsid w:val="000A0B9E"/>
    <w:rsid w:val="000A683E"/>
    <w:rsid w:val="000B19B9"/>
    <w:rsid w:val="000C064C"/>
    <w:rsid w:val="000D0334"/>
    <w:rsid w:val="000F6486"/>
    <w:rsid w:val="00125105"/>
    <w:rsid w:val="00127233"/>
    <w:rsid w:val="001E4177"/>
    <w:rsid w:val="001F7DC6"/>
    <w:rsid w:val="002421BB"/>
    <w:rsid w:val="0025796E"/>
    <w:rsid w:val="002707A2"/>
    <w:rsid w:val="002866D1"/>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5B0D"/>
    <w:rsid w:val="003E0499"/>
    <w:rsid w:val="003E1802"/>
    <w:rsid w:val="003F3941"/>
    <w:rsid w:val="00406575"/>
    <w:rsid w:val="00414C74"/>
    <w:rsid w:val="0041575B"/>
    <w:rsid w:val="0042722E"/>
    <w:rsid w:val="0044528D"/>
    <w:rsid w:val="004A1847"/>
    <w:rsid w:val="004A305D"/>
    <w:rsid w:val="004F21C4"/>
    <w:rsid w:val="004F685F"/>
    <w:rsid w:val="00523CC2"/>
    <w:rsid w:val="005566E8"/>
    <w:rsid w:val="00574867"/>
    <w:rsid w:val="00591460"/>
    <w:rsid w:val="005A35A1"/>
    <w:rsid w:val="005C3777"/>
    <w:rsid w:val="005C530E"/>
    <w:rsid w:val="005C5CDC"/>
    <w:rsid w:val="005D476C"/>
    <w:rsid w:val="005F3928"/>
    <w:rsid w:val="006219F8"/>
    <w:rsid w:val="006302F7"/>
    <w:rsid w:val="00665D70"/>
    <w:rsid w:val="006900D9"/>
    <w:rsid w:val="006A760C"/>
    <w:rsid w:val="006F1399"/>
    <w:rsid w:val="00706C16"/>
    <w:rsid w:val="00726CD3"/>
    <w:rsid w:val="00756841"/>
    <w:rsid w:val="007649AB"/>
    <w:rsid w:val="00771D0C"/>
    <w:rsid w:val="007833AC"/>
    <w:rsid w:val="007B268C"/>
    <w:rsid w:val="007B7171"/>
    <w:rsid w:val="007C0C0F"/>
    <w:rsid w:val="007C3DC2"/>
    <w:rsid w:val="007E5497"/>
    <w:rsid w:val="00806F5F"/>
    <w:rsid w:val="00814A46"/>
    <w:rsid w:val="00820278"/>
    <w:rsid w:val="00830508"/>
    <w:rsid w:val="00867F95"/>
    <w:rsid w:val="008843B6"/>
    <w:rsid w:val="00891928"/>
    <w:rsid w:val="00897A3A"/>
    <w:rsid w:val="008A446D"/>
    <w:rsid w:val="008D180B"/>
    <w:rsid w:val="008F0EA7"/>
    <w:rsid w:val="00915C56"/>
    <w:rsid w:val="00923EEF"/>
    <w:rsid w:val="009419F9"/>
    <w:rsid w:val="009435D8"/>
    <w:rsid w:val="009470BE"/>
    <w:rsid w:val="0095685E"/>
    <w:rsid w:val="00961B09"/>
    <w:rsid w:val="00965334"/>
    <w:rsid w:val="0097093E"/>
    <w:rsid w:val="009A0DFA"/>
    <w:rsid w:val="009B25A8"/>
    <w:rsid w:val="009B2D26"/>
    <w:rsid w:val="009C71FA"/>
    <w:rsid w:val="009C72E7"/>
    <w:rsid w:val="009D3058"/>
    <w:rsid w:val="009F3A13"/>
    <w:rsid w:val="00A03173"/>
    <w:rsid w:val="00A122D3"/>
    <w:rsid w:val="00A17F13"/>
    <w:rsid w:val="00A20739"/>
    <w:rsid w:val="00A33C78"/>
    <w:rsid w:val="00A7588B"/>
    <w:rsid w:val="00AB0ADB"/>
    <w:rsid w:val="00B00C0E"/>
    <w:rsid w:val="00B01B1A"/>
    <w:rsid w:val="00B06068"/>
    <w:rsid w:val="00B44A47"/>
    <w:rsid w:val="00B72CD3"/>
    <w:rsid w:val="00B72FFF"/>
    <w:rsid w:val="00B87B94"/>
    <w:rsid w:val="00BC3D36"/>
    <w:rsid w:val="00BD7F72"/>
    <w:rsid w:val="00C04FB3"/>
    <w:rsid w:val="00C11081"/>
    <w:rsid w:val="00C330EB"/>
    <w:rsid w:val="00C754BE"/>
    <w:rsid w:val="00C76B1C"/>
    <w:rsid w:val="00CB6357"/>
    <w:rsid w:val="00CC1B26"/>
    <w:rsid w:val="00CF231F"/>
    <w:rsid w:val="00D423A2"/>
    <w:rsid w:val="00D520D8"/>
    <w:rsid w:val="00D63AC2"/>
    <w:rsid w:val="00D7383B"/>
    <w:rsid w:val="00DA231B"/>
    <w:rsid w:val="00DB0B9E"/>
    <w:rsid w:val="00DC13FB"/>
    <w:rsid w:val="00DC39FC"/>
    <w:rsid w:val="00DF5254"/>
    <w:rsid w:val="00E16353"/>
    <w:rsid w:val="00E16408"/>
    <w:rsid w:val="00E20894"/>
    <w:rsid w:val="00E2405C"/>
    <w:rsid w:val="00E245AB"/>
    <w:rsid w:val="00E2764C"/>
    <w:rsid w:val="00E27F2E"/>
    <w:rsid w:val="00E50AFE"/>
    <w:rsid w:val="00E75C92"/>
    <w:rsid w:val="00E771DC"/>
    <w:rsid w:val="00E8772A"/>
    <w:rsid w:val="00E90F6B"/>
    <w:rsid w:val="00E92C27"/>
    <w:rsid w:val="00EA0E3D"/>
    <w:rsid w:val="00EC38A7"/>
    <w:rsid w:val="00EE1AA8"/>
    <w:rsid w:val="00F26273"/>
    <w:rsid w:val="00F31EDC"/>
    <w:rsid w:val="00F40401"/>
    <w:rsid w:val="00F462B3"/>
    <w:rsid w:val="00F5664F"/>
    <w:rsid w:val="00F666C4"/>
    <w:rsid w:val="00F76AFC"/>
    <w:rsid w:val="00FA47C0"/>
    <w:rsid w:val="00FB1B51"/>
    <w:rsid w:val="00FB5DD1"/>
    <w:rsid w:val="00FC2B5D"/>
    <w:rsid w:val="00FF1449"/>
    <w:rsid w:val="063BC1BD"/>
    <w:rsid w:val="1573AEAB"/>
    <w:rsid w:val="1EABF5FF"/>
    <w:rsid w:val="42694B08"/>
    <w:rsid w:val="71C1ACA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AF85F668-BB2C-4554-8FCC-4151601D2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7A9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435D8"/>
    <w:rPr>
      <w:rFonts w:ascii="Geomanist Light" w:hAnsi="Geomanist Light"/>
      <w:lang w:val="es-ES"/>
    </w:rPr>
  </w:style>
  <w:style w:type="paragraph" w:customStyle="1" w:styleId="Appelnotedebasde">
    <w:name w:val="Appel note de bas de..."/>
    <w:basedOn w:val="Normal"/>
    <w:link w:val="Refdenotaalpie"/>
    <w:uiPriority w:val="99"/>
    <w:rsid w:val="009435D8"/>
    <w:pPr>
      <w:spacing w:line="240" w:lineRule="exact"/>
    </w:pPr>
    <w:rPr>
      <w:vertAlign w:val="superscript"/>
    </w:rPr>
  </w:style>
  <w:style w:type="character" w:customStyle="1" w:styleId="superscript">
    <w:name w:val="superscript"/>
    <w:basedOn w:val="Fuentedeprrafopredeter"/>
    <w:rsid w:val="009435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cartilla-para-incentivar-y-fortalecer-el-acceso-las&amp;data=05%7C02%7Cmaria.nieto%40colombiacompra.gov.co%7Ceb0fd05604104aa4d3bc08dd4c4ad35e%7C7b09041e245149d08cb179d5e3d8c1be%7C0%7C0%7C638750606445292726%7CUnknown%7CTWFpbGZsb3d8eyJFbXB0eU1hcGkiOnRydWUsIlYiOiIwLjAuMDAwMCIsIlAiOiJXaW4zMiIsIkFOIjoiTWFpbCIsIldUIjoyfQ%3D%3D%7C0%7C%7C%7C&amp;sdata=GX7JI69WKvbVWA21Tt%2BuMbfuPU0B27wktOjXUUGsezI%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erreorientemalaga@outlook.es"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ciudadanos%2Fcalendario&amp;data=05%7C02%7Cmaria.nieto%40colombiacompra.gov.co%7Ceb0fd05604104aa4d3bc08dd4c4ad35e%7C7b09041e245149d08cb179d5e3d8c1be%7C0%7C0%7C638750606445343260%7CUnknown%7CTWFpbGZsb3d8eyJFbXB0eU1hcGkiOnRydWUsIlYiOiIwLjAuMDAwMCIsIlAiOiJXaW4zMiIsIkFOIjoiTWFpbCIsIldUIjoyfQ%3D%3D%7C0%7C%7C%7C&amp;sdata=HO7sT2qXJhKl3xWXnXPKbziDzE7b1pyTd%2BhZfryGX%2F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75D536C1-3EBB-4E60-B3D9-2167809262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9d85dbaf-23eb-4e57-a637-93dcacc8b1a1"/>
    <ds:schemaRef ds:uri="http://purl.org/dc/terms/"/>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a6cb9e4b-f1d1-4245-83ec-6cad768d538a"/>
    <ds:schemaRef ds:uri="http://schemas.microsoft.com/office/2006/metadata/properties"/>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15</Pages>
  <Words>4720</Words>
  <Characters>25916</Characters>
  <Application>Microsoft Office Word</Application>
  <DocSecurity>0</DocSecurity>
  <Lines>528</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30534</CharactersWithSpaces>
  <SharedDoc>false</SharedDoc>
  <HLinks>
    <vt:vector size="24" baseType="variant">
      <vt:variant>
        <vt:i4>7012460</vt:i4>
      </vt:variant>
      <vt:variant>
        <vt:i4>9</vt:i4>
      </vt:variant>
      <vt:variant>
        <vt:i4>0</vt:i4>
      </vt:variant>
      <vt:variant>
        <vt:i4>5</vt:i4>
      </vt:variant>
      <vt:variant>
        <vt:lpwstr>https://nam02.safelinks.protection.outlook.com/?url=https%3A%2F%2Fwww.colombiacompra.gov.co%2Fciudadanos%2Fcalendario&amp;data=05%7C02%7Cmaria.nieto%40colombiacompra.gov.co%7Ceb0fd05604104aa4d3bc08dd4c4ad35e%7C7b09041e245149d08cb179d5e3d8c1be%7C0%7C0%7C638750606445343260%7CUnknown%7CTWFpbGZsb3d8eyJFbXB0eU1hcGkiOnRydWUsIlYiOiIwLjAuMDAwMCIsIlAiOiJXaW4zMiIsIkFOIjoiTWFpbCIsIldUIjoyfQ%3D%3D%7C0%7C%7C%7C&amp;sdata=HO7sT2qXJhKl3xWXnXPKbziDzE7b1pyTd%2BhZfryGX%2FQ%3D&amp;reserved=0</vt:lpwstr>
      </vt:variant>
      <vt:variant>
        <vt:lpwstr/>
      </vt:variant>
      <vt:variant>
        <vt:i4>3014768</vt:i4>
      </vt:variant>
      <vt:variant>
        <vt:i4>6</vt:i4>
      </vt:variant>
      <vt:variant>
        <vt:i4>0</vt:i4>
      </vt:variant>
      <vt:variant>
        <vt:i4>5</vt:i4>
      </vt:variant>
      <vt:variant>
        <vt:lpwstr>https://nam02.safelinks.protection.outlook.com/?url=https%3A%2F%2Fwww.colombiacompra.gov.co%2Fmanuales-guias-y-pliegos-tipo%2Fmanuales-y-guias%2Fcartilla-para-incentivar-y-fortalecer-el-acceso-las&amp;data=05%7C02%7Cmaria.nieto%40colombiacompra.gov.co%7Ceb0fd05604104aa4d3bc08dd4c4ad35e%7C7b09041e245149d08cb179d5e3d8c1be%7C0%7C0%7C638750606445292726%7CUnknown%7CTWFpbGZsb3d8eyJFbXB0eU1hcGkiOnRydWUsIlYiOiIwLjAuMDAwMCIsIlAiOiJXaW4zMiIsIkFOIjoiTWFpbCIsIldUIjoyfQ%3D%3D%7C0%7C%7C%7C&amp;sdata=GX7JI69WKvbVWA21Tt%2BuMbfuPU0B27wktOjXUUGsezI%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8192075</vt:i4>
      </vt:variant>
      <vt:variant>
        <vt:i4>0</vt:i4>
      </vt:variant>
      <vt:variant>
        <vt:i4>0</vt:i4>
      </vt:variant>
      <vt:variant>
        <vt:i4>5</vt:i4>
      </vt:variant>
      <vt:variant>
        <vt:lpwstr>mailto:ferreorientemalaga@outlook.es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2023-01-11T00:18:00Z</cp:lastPrinted>
  <dcterms:created xsi:type="dcterms:W3CDTF">2025-11-04T16:05:00Z</dcterms:created>
  <dcterms:modified xsi:type="dcterms:W3CDTF">2025-11-04T16:05:00Z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