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2A2D6" w14:textId="77777777" w:rsidR="00FE5412" w:rsidRPr="00247EE5" w:rsidRDefault="00FE5412" w:rsidP="00FE5412">
      <w:pPr>
        <w:spacing w:after="0" w:line="240" w:lineRule="auto"/>
        <w:jc w:val="both"/>
        <w:rPr>
          <w:rFonts w:ascii="Verdana" w:eastAsia="Calibri" w:hAnsi="Verdana"/>
          <w:b/>
          <w:bCs/>
          <w:lang w:val="es-ES_tradnl" w:eastAsia="es-ES_tradnl"/>
        </w:rPr>
      </w:pPr>
      <w:r w:rsidRPr="00247EE5">
        <w:rPr>
          <w:rFonts w:ascii="Verdana" w:eastAsia="Times New Roman" w:hAnsi="Verdana"/>
          <w:b/>
          <w:bCs/>
          <w:lang w:val="es-ES_tradnl" w:eastAsia="es-ES_tradnl"/>
        </w:rPr>
        <w:t xml:space="preserve">CONTRATOS CON ESAL </w:t>
      </w:r>
      <w:r w:rsidRPr="00247EE5">
        <w:rPr>
          <w:rFonts w:ascii="Verdana" w:eastAsia="Calibri" w:hAnsi="Verdana"/>
          <w:b/>
          <w:bCs/>
          <w:lang w:val="es-ES_tradnl" w:eastAsia="es-ES_tradnl"/>
        </w:rPr>
        <w:t>–</w:t>
      </w:r>
      <w:r w:rsidRPr="00247EE5">
        <w:rPr>
          <w:rFonts w:ascii="Verdana" w:eastAsia="Times New Roman" w:hAnsi="Verdana"/>
          <w:b/>
          <w:bCs/>
          <w:lang w:val="es-ES_tradnl" w:eastAsia="es-ES_tradnl"/>
        </w:rPr>
        <w:t xml:space="preserve"> Artículo 355 </w:t>
      </w:r>
      <w:r w:rsidRPr="00247EE5">
        <w:rPr>
          <w:rFonts w:ascii="Verdana" w:eastAsia="Calibri" w:hAnsi="Verdana"/>
          <w:b/>
          <w:bCs/>
          <w:lang w:val="es-ES_tradnl" w:eastAsia="es-ES_tradnl"/>
        </w:rPr>
        <w:t>–</w:t>
      </w:r>
      <w:r w:rsidRPr="00247EE5">
        <w:rPr>
          <w:rFonts w:ascii="Verdana" w:eastAsia="Times New Roman" w:hAnsi="Verdana"/>
          <w:b/>
          <w:bCs/>
          <w:lang w:val="es-ES_tradnl" w:eastAsia="es-ES_tradnl"/>
        </w:rPr>
        <w:t xml:space="preserve"> Constitución </w:t>
      </w:r>
      <w:r w:rsidRPr="00247EE5">
        <w:rPr>
          <w:rFonts w:ascii="Verdana" w:eastAsia="Calibri" w:hAnsi="Verdana"/>
          <w:b/>
          <w:bCs/>
          <w:lang w:val="es-ES_tradnl" w:eastAsia="es-ES_tradnl"/>
        </w:rPr>
        <w:t xml:space="preserve">– Fundamento </w:t>
      </w:r>
    </w:p>
    <w:p w14:paraId="036DCEA7" w14:textId="77777777" w:rsidR="00FE5412" w:rsidRPr="00247EE5" w:rsidRDefault="00FE5412" w:rsidP="00FE5412">
      <w:pPr>
        <w:spacing w:after="0" w:line="240" w:lineRule="auto"/>
        <w:jc w:val="both"/>
        <w:rPr>
          <w:rFonts w:ascii="Verdana" w:eastAsia="Calibri" w:hAnsi="Verdana"/>
          <w:sz w:val="20"/>
          <w:szCs w:val="20"/>
          <w:lang w:val="es-ES_tradnl" w:eastAsia="es-ES_tradnl"/>
        </w:rPr>
      </w:pPr>
    </w:p>
    <w:p w14:paraId="269D8727" w14:textId="77777777" w:rsidR="00FE5412" w:rsidRPr="00247EE5" w:rsidRDefault="00FE5412" w:rsidP="00FE5412">
      <w:pPr>
        <w:spacing w:after="0" w:line="240" w:lineRule="auto"/>
        <w:jc w:val="both"/>
        <w:rPr>
          <w:rFonts w:ascii="Verdana" w:eastAsia="Calibri" w:hAnsi="Verdana" w:cs="Arial"/>
          <w:sz w:val="20"/>
          <w:szCs w:val="20"/>
          <w:lang w:val="es-ES"/>
        </w:rPr>
      </w:pPr>
      <w:r w:rsidRPr="00247EE5">
        <w:rPr>
          <w:rFonts w:ascii="Verdana" w:eastAsia="Calibri" w:hAnsi="Verdana" w:cs="Arial"/>
          <w:sz w:val="20"/>
          <w:szCs w:val="20"/>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0456BCA3" w14:textId="77777777" w:rsidR="00FE5412" w:rsidRPr="00247EE5" w:rsidRDefault="00FE5412" w:rsidP="00FE5412">
      <w:pPr>
        <w:spacing w:after="0" w:line="240" w:lineRule="auto"/>
        <w:jc w:val="both"/>
        <w:rPr>
          <w:rFonts w:ascii="Verdana" w:eastAsia="Calibri" w:hAnsi="Verdana" w:cs="Arial"/>
          <w:sz w:val="20"/>
          <w:szCs w:val="20"/>
          <w:lang w:val="es-ES"/>
        </w:rPr>
      </w:pPr>
    </w:p>
    <w:p w14:paraId="0E8F680C" w14:textId="77777777" w:rsidR="00FE5412" w:rsidRPr="00247EE5" w:rsidRDefault="00FE5412" w:rsidP="00FE5412">
      <w:pPr>
        <w:spacing w:after="0" w:line="240" w:lineRule="auto"/>
        <w:jc w:val="both"/>
        <w:rPr>
          <w:rFonts w:ascii="Verdana" w:eastAsia="Calibri" w:hAnsi="Verdana"/>
          <w:b/>
          <w:bCs/>
          <w:lang w:val="es-ES_tradnl" w:eastAsia="es-ES_tradnl"/>
        </w:rPr>
      </w:pPr>
      <w:r w:rsidRPr="00247EE5">
        <w:rPr>
          <w:rFonts w:ascii="Verdana" w:eastAsia="Times New Roman" w:hAnsi="Verdana"/>
          <w:b/>
          <w:bCs/>
          <w:lang w:val="es-ES_tradnl" w:eastAsia="es-ES_tradnl"/>
        </w:rPr>
        <w:t xml:space="preserve">TIPOS DE CONTRATOS </w:t>
      </w:r>
      <w:r w:rsidRPr="00247EE5">
        <w:rPr>
          <w:rFonts w:ascii="Verdana" w:eastAsia="Calibri" w:hAnsi="Verdana"/>
          <w:b/>
          <w:bCs/>
          <w:lang w:val="es-ES_tradnl" w:eastAsia="es-ES_tradnl"/>
        </w:rPr>
        <w:t>–</w:t>
      </w:r>
      <w:r w:rsidRPr="00247EE5">
        <w:rPr>
          <w:rFonts w:ascii="Verdana" w:eastAsia="Times New Roman" w:hAnsi="Verdana"/>
          <w:b/>
          <w:bCs/>
          <w:lang w:val="es-ES_tradnl" w:eastAsia="es-ES_tradnl"/>
        </w:rPr>
        <w:t xml:space="preserve"> Artículo 355 </w:t>
      </w:r>
      <w:r w:rsidRPr="00247EE5">
        <w:rPr>
          <w:rFonts w:ascii="Verdana" w:eastAsia="Calibri" w:hAnsi="Verdana"/>
          <w:b/>
          <w:bCs/>
          <w:lang w:val="es-ES_tradnl" w:eastAsia="es-ES_tradnl"/>
        </w:rPr>
        <w:t>–</w:t>
      </w:r>
      <w:r w:rsidRPr="00247EE5">
        <w:rPr>
          <w:rFonts w:ascii="Verdana" w:eastAsia="Times New Roman" w:hAnsi="Verdana"/>
          <w:b/>
          <w:bCs/>
          <w:lang w:val="es-ES_tradnl" w:eastAsia="es-ES_tradnl"/>
        </w:rPr>
        <w:t xml:space="preserve"> Constitución </w:t>
      </w:r>
      <w:r w:rsidRPr="00247EE5">
        <w:rPr>
          <w:rFonts w:ascii="Verdana" w:eastAsia="Calibri" w:hAnsi="Verdana"/>
          <w:b/>
          <w:bCs/>
          <w:lang w:val="es-ES_tradnl" w:eastAsia="es-ES_tradnl"/>
        </w:rPr>
        <w:t xml:space="preserve">– ESAL </w:t>
      </w:r>
    </w:p>
    <w:p w14:paraId="2E975BFE" w14:textId="77777777" w:rsidR="00FE5412" w:rsidRPr="00247EE5" w:rsidRDefault="00FE5412" w:rsidP="00FE5412">
      <w:pPr>
        <w:spacing w:after="0" w:line="240" w:lineRule="auto"/>
        <w:jc w:val="both"/>
        <w:rPr>
          <w:rFonts w:ascii="Verdana" w:eastAsia="Calibri" w:hAnsi="Verdana" w:cs="Arial"/>
          <w:sz w:val="20"/>
          <w:szCs w:val="20"/>
          <w:lang w:val="es-ES"/>
        </w:rPr>
      </w:pPr>
    </w:p>
    <w:p w14:paraId="7FB0EB9F" w14:textId="77777777" w:rsidR="00FE5412" w:rsidRPr="00247EE5" w:rsidRDefault="00FE5412" w:rsidP="00FE5412">
      <w:pPr>
        <w:spacing w:after="0" w:line="240" w:lineRule="auto"/>
        <w:jc w:val="both"/>
        <w:rPr>
          <w:rFonts w:ascii="Verdana" w:eastAsia="Calibri" w:hAnsi="Verdana" w:cs="Arial"/>
          <w:sz w:val="20"/>
          <w:szCs w:val="20"/>
          <w:lang w:val="es-ES"/>
        </w:rPr>
      </w:pPr>
      <w:r w:rsidRPr="00247EE5">
        <w:rPr>
          <w:rFonts w:ascii="Verdana" w:eastAsia="Calibri" w:hAnsi="Verdana" w:cs="Arial"/>
          <w:sz w:val="20"/>
          <w:szCs w:val="20"/>
          <w:lang w:val="es-ES"/>
        </w:rPr>
        <w:t xml:space="preserve">De un lado, los </w:t>
      </w:r>
      <w:r w:rsidRPr="00247EE5">
        <w:rPr>
          <w:rFonts w:ascii="Verdana" w:eastAsia="Calibri" w:hAnsi="Verdana" w:cs="Arial"/>
          <w:i/>
          <w:iCs/>
          <w:sz w:val="20"/>
          <w:szCs w:val="20"/>
          <w:lang w:val="es-ES"/>
        </w:rPr>
        <w:t>contratos del artículo 355 de la Constitución Política</w:t>
      </w:r>
      <w:r w:rsidRPr="00247EE5">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Por lo anterior,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414C367C" w14:textId="77777777" w:rsidR="00FE5412" w:rsidRPr="00247EE5" w:rsidRDefault="00FE5412" w:rsidP="00FE5412">
      <w:pPr>
        <w:spacing w:after="0" w:line="240" w:lineRule="auto"/>
        <w:jc w:val="both"/>
        <w:rPr>
          <w:rFonts w:ascii="Verdana" w:eastAsia="Calibri" w:hAnsi="Verdana" w:cs="Arial"/>
          <w:sz w:val="20"/>
          <w:szCs w:val="20"/>
          <w:lang w:val="es-ES"/>
        </w:rPr>
      </w:pPr>
    </w:p>
    <w:p w14:paraId="23D3197A" w14:textId="77777777" w:rsidR="00FE5412" w:rsidRPr="00247EE5" w:rsidRDefault="00FE5412" w:rsidP="00FE5412">
      <w:pPr>
        <w:spacing w:after="0" w:line="240" w:lineRule="auto"/>
        <w:jc w:val="both"/>
        <w:rPr>
          <w:rFonts w:ascii="Verdana" w:eastAsia="Calibri" w:hAnsi="Verdana" w:cs="Arial"/>
          <w:sz w:val="20"/>
          <w:szCs w:val="20"/>
          <w:lang w:val="es-MX" w:eastAsia="es-ES_tradnl"/>
        </w:rPr>
      </w:pPr>
      <w:r w:rsidRPr="00247EE5">
        <w:rPr>
          <w:rFonts w:ascii="Verdana" w:eastAsia="Calibri" w:hAnsi="Verdana" w:cs="Arial"/>
          <w:sz w:val="20"/>
          <w:szCs w:val="20"/>
          <w:lang w:val="es-ES"/>
        </w:rPr>
        <w:t xml:space="preserve">De otro lado, los </w:t>
      </w:r>
      <w:r w:rsidRPr="00247EE5">
        <w:rPr>
          <w:rFonts w:ascii="Verdana" w:eastAsia="Calibri" w:hAnsi="Verdana" w:cs="Arial"/>
          <w:i/>
          <w:iCs/>
          <w:sz w:val="20"/>
          <w:szCs w:val="20"/>
          <w:lang w:val="es-ES"/>
        </w:rPr>
        <w:t>convenios de asociación</w:t>
      </w:r>
      <w:r w:rsidRPr="00247EE5">
        <w:rPr>
          <w:rFonts w:ascii="Verdana" w:eastAsia="Calibri" w:hAnsi="Verdana" w:cs="Arial"/>
          <w:sz w:val="20"/>
          <w:szCs w:val="20"/>
          <w:lang w:val="es-ES"/>
        </w:rPr>
        <w:t xml:space="preserve"> “[…] [t]</w:t>
      </w:r>
      <w:proofErr w:type="spellStart"/>
      <w:r w:rsidRPr="00247EE5">
        <w:rPr>
          <w:rFonts w:ascii="Verdana" w:eastAsia="Calibri" w:hAnsi="Verdana" w:cs="Arial"/>
          <w:sz w:val="20"/>
          <w:szCs w:val="20"/>
          <w:lang w:val="es-ES"/>
        </w:rPr>
        <w:t>ienen</w:t>
      </w:r>
      <w:proofErr w:type="spellEnd"/>
      <w:r w:rsidRPr="00247EE5">
        <w:rPr>
          <w:rFonts w:ascii="Verdana" w:eastAsia="Calibri" w:hAnsi="Verdana" w:cs="Arial"/>
          <w:sz w:val="20"/>
          <w:szCs w:val="20"/>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w:t>
      </w:r>
      <w:r w:rsidRPr="00247EE5">
        <w:rPr>
          <w:rFonts w:ascii="Verdana" w:eastAsia="Calibri" w:hAnsi="Verdana" w:cs="Arial"/>
          <w:sz w:val="20"/>
          <w:szCs w:val="20"/>
          <w:lang w:val="es-MX" w:eastAsia="es-ES_tradnl"/>
        </w:rPr>
        <w:t xml:space="preserve">De conformidad con el inciso segundo del artículo 96 de la Ley 489 de 1998, en estos convenios debe determinarse “con precisión su objeto, término, obligaciones de las partes, </w:t>
      </w:r>
      <w:r w:rsidRPr="00247EE5">
        <w:rPr>
          <w:rFonts w:ascii="Verdana" w:eastAsia="Calibri" w:hAnsi="Verdana" w:cs="Arial"/>
          <w:i/>
          <w:iCs/>
          <w:sz w:val="20"/>
          <w:szCs w:val="20"/>
          <w:lang w:val="es-MX" w:eastAsia="es-ES_tradnl"/>
        </w:rPr>
        <w:t>aportes</w:t>
      </w:r>
      <w:r w:rsidRPr="00247EE5">
        <w:rPr>
          <w:rFonts w:ascii="Verdana" w:eastAsia="Calibri" w:hAnsi="Verdana" w:cs="Arial"/>
          <w:sz w:val="20"/>
          <w:szCs w:val="20"/>
          <w:lang w:val="es-MX" w:eastAsia="es-ES_tradnl"/>
        </w:rPr>
        <w:t xml:space="preserve">, coordinación y todos aquellos aspectos que se consideren pertinentes”. Dentro de estos elementos se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74851C68" w14:textId="77777777" w:rsidR="00FE5412" w:rsidRPr="00247EE5" w:rsidRDefault="00FE5412" w:rsidP="00FE5412">
      <w:pPr>
        <w:spacing w:after="0" w:line="240" w:lineRule="auto"/>
        <w:jc w:val="both"/>
        <w:rPr>
          <w:rFonts w:ascii="Verdana" w:eastAsia="Calibri" w:hAnsi="Verdana" w:cs="Arial"/>
          <w:sz w:val="20"/>
          <w:szCs w:val="20"/>
          <w:lang w:val="es-MX" w:eastAsia="es-ES_tradnl"/>
        </w:rPr>
      </w:pPr>
    </w:p>
    <w:p w14:paraId="319FBFBD" w14:textId="77777777" w:rsidR="00FE5412" w:rsidRPr="00247EE5" w:rsidRDefault="00FE5412" w:rsidP="00FE5412">
      <w:pPr>
        <w:spacing w:after="0" w:line="240" w:lineRule="auto"/>
        <w:jc w:val="both"/>
        <w:rPr>
          <w:rFonts w:ascii="Verdana" w:eastAsia="Calibri" w:hAnsi="Verdana"/>
          <w:b/>
          <w:bCs/>
          <w:lang w:val="es-ES_tradnl" w:eastAsia="es-ES_tradnl"/>
        </w:rPr>
      </w:pPr>
      <w:r w:rsidRPr="00247EE5">
        <w:rPr>
          <w:rFonts w:ascii="Verdana" w:eastAsia="Calibri" w:hAnsi="Verdana"/>
          <w:b/>
          <w:bCs/>
          <w:lang w:val="es-ES_tradnl" w:eastAsia="es-ES_tradnl"/>
        </w:rPr>
        <w:t xml:space="preserve">ESAL – Régimen – Remisión – Artículo 8 – Decreto 092 de 2017 </w:t>
      </w:r>
    </w:p>
    <w:p w14:paraId="588B762C" w14:textId="77777777" w:rsidR="00FE5412" w:rsidRPr="00247EE5" w:rsidRDefault="00FE5412" w:rsidP="00FE5412">
      <w:pPr>
        <w:spacing w:after="0" w:line="240" w:lineRule="auto"/>
        <w:jc w:val="both"/>
        <w:rPr>
          <w:rFonts w:ascii="Verdana" w:eastAsia="Calibri" w:hAnsi="Verdana" w:cs="Arial"/>
          <w:sz w:val="20"/>
          <w:szCs w:val="20"/>
          <w:lang w:val="es-ES_tradnl"/>
        </w:rPr>
      </w:pPr>
    </w:p>
    <w:p w14:paraId="79415EE1" w14:textId="77777777" w:rsidR="00FE5412" w:rsidRPr="00247EE5" w:rsidRDefault="00FE5412" w:rsidP="00FE5412">
      <w:pPr>
        <w:spacing w:after="0" w:line="240" w:lineRule="auto"/>
        <w:jc w:val="both"/>
        <w:rPr>
          <w:rFonts w:ascii="Verdana" w:eastAsia="Calibri" w:hAnsi="Verdana" w:cs="Arial"/>
          <w:sz w:val="20"/>
          <w:szCs w:val="20"/>
          <w:lang w:val="es-ES"/>
        </w:rPr>
      </w:pPr>
      <w:r w:rsidRPr="00247EE5">
        <w:rPr>
          <w:rFonts w:ascii="Verdana" w:eastAsia="Calibri" w:hAnsi="Verdana" w:cs="Arial"/>
          <w:sz w:val="20"/>
          <w:szCs w:val="20"/>
          <w:lang w:val="es-ES_tradnl"/>
        </w:rPr>
        <w:t xml:space="preserve">[…] </w:t>
      </w:r>
      <w:r w:rsidRPr="00247EE5">
        <w:rPr>
          <w:rFonts w:ascii="Verdana" w:eastAsia="Calibri" w:hAnsi="Verdana" w:cs="Arial"/>
          <w:sz w:val="20"/>
          <w:szCs w:val="20"/>
          <w:lang w:val="es-ES"/>
        </w:rPr>
        <w:t xml:space="preserve">cuando el artículo 8 del Decreto menciona a las “[…] normas generales aplicables a la contratación pública […]”, está </w:t>
      </w:r>
      <w:r w:rsidRPr="00247EE5">
        <w:rPr>
          <w:rFonts w:ascii="Verdana" w:eastAsia="Calibri" w:hAnsi="Verdana" w:cs="Arial"/>
          <w:i/>
          <w:iCs/>
          <w:sz w:val="20"/>
          <w:szCs w:val="20"/>
          <w:lang w:val="es-ES"/>
        </w:rPr>
        <w:t>remitiendo integralmente</w:t>
      </w:r>
      <w:r w:rsidRPr="00247EE5">
        <w:rPr>
          <w:rFonts w:ascii="Verdana" w:eastAsia="Calibri" w:hAnsi="Verdana" w:cs="Arial"/>
          <w:sz w:val="20"/>
          <w:szCs w:val="20"/>
          <w:lang w:val="es-ES"/>
        </w:rPr>
        <w:t xml:space="preserve"> al EGCAP. Esta remisión alcanza tanto el régimen de inhabilidades e incompatibilidades como los principios aplicables a la contratación estatal. Por tanto, los artículos 6, 7 y 8 del reglamento </w:t>
      </w:r>
      <w:r w:rsidRPr="00247EE5">
        <w:rPr>
          <w:rFonts w:ascii="Verdana" w:eastAsia="Calibri" w:hAnsi="Verdana" w:cs="Arial"/>
          <w:sz w:val="20"/>
          <w:szCs w:val="20"/>
          <w:lang w:val="es-ES"/>
        </w:rPr>
        <w:lastRenderedPageBreak/>
        <w:t xml:space="preserve">autónomo deben interpretarse en bloque, es decir, aplicando la Ley 80 de 1993 a todo supuesto que no esté expresamente regulado en el Decreto 092 de 2017. </w:t>
      </w:r>
    </w:p>
    <w:p w14:paraId="5BE1E954" w14:textId="77777777" w:rsidR="00FE5412" w:rsidRPr="00247EE5" w:rsidRDefault="00FE5412" w:rsidP="00FE5412">
      <w:pPr>
        <w:spacing w:after="0" w:line="240" w:lineRule="auto"/>
        <w:rPr>
          <w:rFonts w:ascii="Verdana" w:eastAsia="Geomanist Light" w:hAnsi="Verdana" w:cs="Arial"/>
          <w:color w:val="000000" w:themeColor="text1"/>
          <w:lang w:val="es-ES"/>
        </w:rPr>
      </w:pPr>
    </w:p>
    <w:p w14:paraId="259DBDDF" w14:textId="77777777" w:rsidR="00A64012" w:rsidRPr="00F57D88" w:rsidRDefault="00A64012" w:rsidP="00A64012">
      <w:pPr>
        <w:spacing w:after="0" w:line="240" w:lineRule="auto"/>
        <w:jc w:val="both"/>
        <w:rPr>
          <w:rFonts w:ascii="Verdana" w:eastAsia="Times New Roman" w:hAnsi="Verdana" w:cs="Times New Roman"/>
          <w:b/>
          <w:bCs/>
          <w:color w:val="000000"/>
          <w:lang w:val="es-ES_tradnl" w:eastAsia="es-ES_tradnl"/>
        </w:rPr>
      </w:pPr>
      <w:r w:rsidRPr="00F57D88">
        <w:rPr>
          <w:rFonts w:ascii="Verdana" w:eastAsia="Calibri" w:hAnsi="Verdana" w:cs="Times New Roman"/>
          <w:b/>
          <w:bCs/>
          <w:color w:val="000000"/>
          <w:lang w:val="es-ES_tradnl" w:eastAsia="es-ES_tradnl"/>
        </w:rPr>
        <w:t>CONTRATOS CON ESAL – Objeto – Actividades – Planes de Desarrollo</w:t>
      </w:r>
    </w:p>
    <w:p w14:paraId="2F89E755" w14:textId="77777777" w:rsidR="00A64012" w:rsidRPr="00F57D88" w:rsidRDefault="00A64012" w:rsidP="00A64012">
      <w:pPr>
        <w:spacing w:after="0" w:line="240" w:lineRule="auto"/>
        <w:jc w:val="both"/>
        <w:rPr>
          <w:rFonts w:ascii="Verdana" w:eastAsia="Aptos" w:hAnsi="Verdana" w:cs="Times New Roman"/>
          <w:sz w:val="20"/>
          <w:szCs w:val="20"/>
          <w:lang w:val="es-ES_tradnl"/>
        </w:rPr>
      </w:pPr>
    </w:p>
    <w:p w14:paraId="587C811E" w14:textId="77777777" w:rsidR="00A64012" w:rsidRPr="00F57D88" w:rsidRDefault="00A64012" w:rsidP="00A64012">
      <w:pPr>
        <w:spacing w:after="0" w:line="240" w:lineRule="auto"/>
        <w:jc w:val="both"/>
        <w:rPr>
          <w:rFonts w:ascii="Verdana" w:eastAsia="Calibri" w:hAnsi="Verdana" w:cs="Arial"/>
          <w:sz w:val="20"/>
          <w:szCs w:val="20"/>
          <w:lang w:val="es-ES_tradnl" w:eastAsia="es-ES_tradnl"/>
        </w:rPr>
      </w:pPr>
      <w:r w:rsidRPr="00F57D88">
        <w:rPr>
          <w:rFonts w:ascii="Verdana" w:eastAsia="Calibri" w:hAnsi="Verdana" w:cs="Arial"/>
          <w:sz w:val="20"/>
          <w:szCs w:val="20"/>
          <w:lang w:val="es-ES_tradnl" w:eastAsia="es-ES_tradnl"/>
        </w:rPr>
        <w:t xml:space="preserve">[…] </w:t>
      </w:r>
      <w:r w:rsidRPr="00F57D88">
        <w:rPr>
          <w:rFonts w:ascii="Verdana" w:eastAsia="Calibri" w:hAnsi="Verdana" w:cs="Arial"/>
          <w:sz w:val="20"/>
          <w:szCs w:val="20"/>
        </w:rPr>
        <w:t>una característica esencial de los convenios a los que se refiere el inciso segundo del artículo 355 Constitucional – contratos de colaboración – es que su objeto esté determinado por la realización de programas y actividades de interés público acordes con el Plan Nacional de Desarrollo y los planes seccionales de desarrollo, los cuales se encuentran regulados en los artículos 339 a 344 de la Constitución Política. Sobre este aspecto, la Corte Constitucional ha indicado que el objeto de estos convenios es el "desarrollo de actividades esencialmente benéficas, no como instrumento económico, sino con un propósito meramente asistencial y altruista, en el que, a diferencia del pasado, no se privilegia la arbitrariedad y unilateralidad del gasto público, sino que se exige un grado aceptable de reciprocidad por parte del beneficiario de la ayuda"</w:t>
      </w:r>
    </w:p>
    <w:p w14:paraId="3B72428D" w14:textId="77777777" w:rsidR="00A64012" w:rsidRPr="00F57D88" w:rsidRDefault="00A64012" w:rsidP="00A64012">
      <w:pPr>
        <w:spacing w:after="0" w:line="240" w:lineRule="auto"/>
        <w:jc w:val="both"/>
        <w:rPr>
          <w:rFonts w:ascii="Verdana" w:eastAsia="Aptos" w:hAnsi="Verdana" w:cs="Times New Roman"/>
          <w:sz w:val="20"/>
          <w:szCs w:val="20"/>
        </w:rPr>
      </w:pPr>
    </w:p>
    <w:p w14:paraId="296FEF38" w14:textId="77777777" w:rsidR="00A64012" w:rsidRPr="00F57D88" w:rsidRDefault="00A64012" w:rsidP="00A64012">
      <w:pPr>
        <w:spacing w:after="0" w:line="240" w:lineRule="auto"/>
        <w:jc w:val="both"/>
        <w:rPr>
          <w:rFonts w:ascii="Verdana" w:eastAsia="Calibri" w:hAnsi="Verdana" w:cs="Times New Roman"/>
          <w:b/>
          <w:bCs/>
          <w:lang w:val="es-ES_tradnl" w:eastAsia="es-ES_tradnl"/>
        </w:rPr>
      </w:pPr>
      <w:r w:rsidRPr="00F57D88">
        <w:rPr>
          <w:rFonts w:ascii="Verdana" w:eastAsia="Calibri" w:hAnsi="Verdana" w:cs="Times New Roman"/>
          <w:b/>
          <w:bCs/>
          <w:lang w:val="es-ES_tradnl" w:eastAsia="es-ES_tradnl"/>
        </w:rPr>
        <w:t xml:space="preserve">CONTRATOS CON ESAL – Objeto – Actividades – Funciones y cometidos </w:t>
      </w:r>
    </w:p>
    <w:p w14:paraId="46390292" w14:textId="77777777" w:rsidR="00A64012" w:rsidRPr="00F57D88" w:rsidRDefault="00A64012" w:rsidP="00A64012">
      <w:pPr>
        <w:spacing w:after="0" w:line="240" w:lineRule="auto"/>
        <w:jc w:val="both"/>
        <w:rPr>
          <w:rFonts w:ascii="Verdana" w:eastAsia="Calibri" w:hAnsi="Verdana" w:cs="Times New Roman"/>
          <w:b/>
          <w:bCs/>
          <w:sz w:val="20"/>
          <w:szCs w:val="20"/>
          <w:lang w:val="es-ES_tradnl" w:eastAsia="es-ES_tradnl"/>
        </w:rPr>
      </w:pPr>
    </w:p>
    <w:p w14:paraId="142482F8" w14:textId="77777777" w:rsidR="00A64012" w:rsidRPr="00F57D88" w:rsidRDefault="00A64012" w:rsidP="00A64012">
      <w:pPr>
        <w:spacing w:after="0" w:line="240" w:lineRule="auto"/>
        <w:jc w:val="both"/>
        <w:rPr>
          <w:rFonts w:ascii="Verdana" w:eastAsia="Calibri" w:hAnsi="Verdana" w:cs="Arial"/>
          <w:sz w:val="20"/>
          <w:szCs w:val="20"/>
        </w:rPr>
      </w:pPr>
      <w:r w:rsidRPr="00F57D88">
        <w:rPr>
          <w:rFonts w:ascii="Verdana" w:eastAsia="Calibri" w:hAnsi="Verdana" w:cs="Arial"/>
          <w:sz w:val="20"/>
          <w:szCs w:val="20"/>
        </w:rPr>
        <w:t xml:space="preserve">[…] el objeto del convenio de asociación es el desarrollo de cometidos y/o funciones públicas propias de las Entidades Estatales. De lo anterior se concluye que, el interés perseguido con la contratación debe ser de carácter general o colectivo, materializado en los cometidos y funciones que le han sido asignados en el ordenamiento jurídico a la Entidad Estatal contratante. Así, en el caso de una entidad territorial se debe garantizar que los fines del convenio de asociación a celebrarse sean acordes con los fines y funciones asignados en la Constitución, leyes orgánicas y ordinarias correspondientes, al igual que en sus correspondientes planes de desarrollo. Además, si se trata de cualquier otra Entidad Estatal, deberá indagarse igualmente por su finalidad y competencia en las normas legales correspondientes, incluyendo sus actos de creación y los asimilables a los planes de desarrollo, para garantizar el cumplimiento de los mismos a través del convenio a celebrarse. </w:t>
      </w:r>
    </w:p>
    <w:p w14:paraId="57C11519" w14:textId="77777777" w:rsidR="00A64012" w:rsidRPr="00F57D88" w:rsidRDefault="00A64012" w:rsidP="00A64012">
      <w:pPr>
        <w:spacing w:after="0" w:line="240" w:lineRule="auto"/>
        <w:jc w:val="both"/>
        <w:rPr>
          <w:rFonts w:ascii="Verdana" w:eastAsia="Aptos" w:hAnsi="Verdana" w:cs="Times New Roman"/>
          <w:sz w:val="20"/>
          <w:szCs w:val="20"/>
          <w:lang w:val="es-ES_tradnl"/>
        </w:rPr>
      </w:pPr>
    </w:p>
    <w:p w14:paraId="255331FB" w14:textId="77777777" w:rsidR="00A64012" w:rsidRPr="00F57D88" w:rsidRDefault="00A64012" w:rsidP="00A64012">
      <w:pPr>
        <w:spacing w:after="0" w:line="240" w:lineRule="auto"/>
        <w:jc w:val="both"/>
        <w:rPr>
          <w:rFonts w:ascii="Verdana" w:eastAsia="Calibri" w:hAnsi="Verdana" w:cs="Times New Roman"/>
          <w:b/>
          <w:bCs/>
          <w:lang w:val="es-ES_tradnl" w:eastAsia="es-ES_tradnl"/>
        </w:rPr>
      </w:pPr>
      <w:r w:rsidRPr="00F57D88">
        <w:rPr>
          <w:rFonts w:ascii="Verdana" w:eastAsia="Calibri" w:hAnsi="Verdana" w:cs="Times New Roman"/>
          <w:b/>
          <w:bCs/>
          <w:lang w:val="es-ES_tradnl" w:eastAsia="es-ES_tradnl"/>
        </w:rPr>
        <w:t>CONTRATOS CON ESAL – Selección objetiva</w:t>
      </w:r>
    </w:p>
    <w:p w14:paraId="03B1321E" w14:textId="77777777" w:rsidR="00A64012" w:rsidRPr="00F57D88" w:rsidRDefault="00A64012" w:rsidP="00A64012">
      <w:pPr>
        <w:spacing w:after="0" w:line="240" w:lineRule="auto"/>
        <w:jc w:val="both"/>
        <w:rPr>
          <w:rFonts w:ascii="Verdana" w:eastAsia="Calibri" w:hAnsi="Verdana" w:cs="Times New Roman"/>
          <w:sz w:val="20"/>
          <w:szCs w:val="20"/>
          <w:lang w:val="es-ES_tradnl" w:eastAsia="es-ES_tradnl"/>
        </w:rPr>
      </w:pPr>
    </w:p>
    <w:p w14:paraId="3FDC6AC3" w14:textId="77777777" w:rsidR="00A64012" w:rsidRPr="00F57D88" w:rsidRDefault="00A64012" w:rsidP="00A64012">
      <w:pPr>
        <w:spacing w:after="0" w:line="240" w:lineRule="auto"/>
        <w:jc w:val="both"/>
        <w:rPr>
          <w:rFonts w:ascii="Verdana" w:eastAsia="Aptos" w:hAnsi="Verdana" w:cs="Times New Roman"/>
          <w:b/>
          <w:bCs/>
          <w:sz w:val="20"/>
          <w:szCs w:val="20"/>
          <w:lang w:val="es-ES_tradnl"/>
        </w:rPr>
      </w:pPr>
      <w:r w:rsidRPr="00F57D88">
        <w:rPr>
          <w:rFonts w:ascii="Verdana" w:eastAsia="Calibri" w:hAnsi="Verdana" w:cs="Times New Roman"/>
          <w:sz w:val="20"/>
          <w:szCs w:val="20"/>
          <w:lang w:val="es-ES_tradnl" w:eastAsia="es-ES_tradnl"/>
        </w:rPr>
        <w:t>[…]</w:t>
      </w:r>
      <w:r w:rsidRPr="00F57D88">
        <w:rPr>
          <w:rFonts w:ascii="Verdana" w:eastAsia="Calibri" w:hAnsi="Verdana" w:cs="Times New Roman"/>
          <w:b/>
          <w:bCs/>
          <w:sz w:val="20"/>
          <w:szCs w:val="20"/>
          <w:lang w:val="es-ES_tradnl" w:eastAsia="es-ES_tradnl"/>
        </w:rPr>
        <w:t xml:space="preserve"> </w:t>
      </w:r>
      <w:r w:rsidRPr="00F57D88">
        <w:rPr>
          <w:rFonts w:ascii="Verdana" w:eastAsia="Calibri" w:hAnsi="Verdana" w:cs="Arial"/>
          <w:sz w:val="20"/>
          <w:szCs w:val="20"/>
        </w:rPr>
        <w:t>las Entidades Estatales son autónomas en la configuración del proceso competitivo en desarrollo de los artículos 4 y 5 del Decreto 092 de 2017. En todo caso, el proceso competitivo que definan las Entidades Estatales para sus contratos de colaboración y sus convenios de asociación debe garantizar la libre concurrencia, la pluralidad de interesados y la comparación objetiva de las ofertas. Este procedimiento puede ser análogo a otros donde existe competencia, como la licitación pública.</w:t>
      </w:r>
    </w:p>
    <w:p w14:paraId="04C124A5" w14:textId="77777777" w:rsidR="00FE5412" w:rsidRPr="00247EE5" w:rsidRDefault="00FE5412" w:rsidP="00FE5412">
      <w:pPr>
        <w:spacing w:after="0" w:line="240" w:lineRule="auto"/>
        <w:rPr>
          <w:rFonts w:ascii="Verdana" w:eastAsia="Geomanist Light" w:hAnsi="Verdana" w:cs="Arial"/>
          <w:color w:val="000000" w:themeColor="text1"/>
          <w:lang w:val="es-ES"/>
        </w:rPr>
      </w:pPr>
    </w:p>
    <w:p w14:paraId="00A77B5A" w14:textId="77777777" w:rsidR="00FE5412" w:rsidRPr="00247EE5" w:rsidRDefault="00FE5412" w:rsidP="00FE5412">
      <w:pPr>
        <w:spacing w:after="0" w:line="240" w:lineRule="auto"/>
        <w:rPr>
          <w:rFonts w:ascii="Verdana" w:eastAsia="Geomanist Light" w:hAnsi="Verdana" w:cs="Arial"/>
          <w:color w:val="000000" w:themeColor="text1"/>
          <w:lang w:val="es-ES"/>
        </w:rPr>
      </w:pPr>
    </w:p>
    <w:p w14:paraId="3433E205" w14:textId="77777777" w:rsidR="00FE5412" w:rsidRPr="00247EE5" w:rsidRDefault="00FE5412" w:rsidP="00FE5412">
      <w:pPr>
        <w:spacing w:after="0" w:line="240" w:lineRule="auto"/>
        <w:rPr>
          <w:rFonts w:ascii="Verdana" w:eastAsia="Geomanist Light" w:hAnsi="Verdana" w:cs="Arial"/>
          <w:color w:val="000000" w:themeColor="text1"/>
          <w:lang w:val="es-ES"/>
        </w:rPr>
      </w:pPr>
    </w:p>
    <w:p w14:paraId="4572A7BE" w14:textId="77777777" w:rsidR="00FE5412" w:rsidRPr="00247EE5" w:rsidRDefault="00FE5412" w:rsidP="00FE5412">
      <w:pPr>
        <w:spacing w:after="0" w:line="240" w:lineRule="auto"/>
        <w:rPr>
          <w:rFonts w:ascii="Verdana" w:eastAsia="Geomanist Light" w:hAnsi="Verdana" w:cs="Arial"/>
          <w:color w:val="000000" w:themeColor="text1"/>
          <w:lang w:val="es-ES"/>
        </w:rPr>
      </w:pPr>
    </w:p>
    <w:p w14:paraId="4262A06B" w14:textId="77777777" w:rsidR="00EF24D1" w:rsidRPr="00247EE5" w:rsidRDefault="00EF24D1" w:rsidP="00FE5412">
      <w:pPr>
        <w:spacing w:after="0" w:line="240" w:lineRule="auto"/>
        <w:rPr>
          <w:rFonts w:ascii="Verdana" w:eastAsia="Geomanist Light" w:hAnsi="Verdana" w:cs="Arial"/>
          <w:color w:val="000000" w:themeColor="text1"/>
          <w:lang w:val="es-ES"/>
        </w:rPr>
      </w:pPr>
    </w:p>
    <w:p w14:paraId="5FC8D043" w14:textId="77777777" w:rsidR="00FE5412" w:rsidRPr="00247EE5" w:rsidRDefault="00FE5412" w:rsidP="00FE5412">
      <w:pPr>
        <w:spacing w:after="0" w:line="240" w:lineRule="auto"/>
        <w:rPr>
          <w:rFonts w:ascii="Verdana" w:eastAsia="Geomanist Light" w:hAnsi="Verdana" w:cs="Arial"/>
          <w:color w:val="000000" w:themeColor="text1"/>
          <w:lang w:val="es-MX"/>
        </w:rPr>
      </w:pPr>
    </w:p>
    <w:p w14:paraId="35EA83D7" w14:textId="272F200D" w:rsidR="00FE5412" w:rsidRPr="00247EE5" w:rsidRDefault="00FE5412" w:rsidP="00FE5412">
      <w:pPr>
        <w:spacing w:after="0" w:line="240" w:lineRule="auto"/>
        <w:rPr>
          <w:rFonts w:ascii="Verdana" w:eastAsia="Calibri" w:hAnsi="Verdana" w:cs="Arial"/>
          <w:color w:val="000000" w:themeColor="text1"/>
        </w:rPr>
      </w:pPr>
      <w:r w:rsidRPr="00247EE5">
        <w:rPr>
          <w:rFonts w:ascii="Verdana" w:eastAsia="Geomanist Light" w:hAnsi="Verdana" w:cs="Arial"/>
          <w:color w:val="000000" w:themeColor="text1"/>
        </w:rPr>
        <w:lastRenderedPageBreak/>
        <w:t>Bogotá D.C., 0</w:t>
      </w:r>
      <w:r w:rsidR="005F3297">
        <w:rPr>
          <w:rFonts w:ascii="Verdana" w:eastAsia="Geomanist Light" w:hAnsi="Verdana" w:cs="Arial"/>
          <w:color w:val="000000" w:themeColor="text1"/>
        </w:rPr>
        <w:t>5</w:t>
      </w:r>
      <w:r w:rsidRPr="00247EE5">
        <w:rPr>
          <w:rFonts w:ascii="Verdana" w:eastAsia="Geomanist Light" w:hAnsi="Verdana" w:cs="Arial"/>
          <w:color w:val="000000" w:themeColor="text1"/>
        </w:rPr>
        <w:t xml:space="preserve"> de noviembre de 2025</w:t>
      </w:r>
    </w:p>
    <w:p w14:paraId="00D09F5C" w14:textId="77777777" w:rsidR="00FE5412" w:rsidRPr="00247EE5" w:rsidRDefault="00FE5412" w:rsidP="00FE5412">
      <w:pPr>
        <w:spacing w:after="0" w:line="240" w:lineRule="auto"/>
        <w:jc w:val="both"/>
        <w:rPr>
          <w:rFonts w:ascii="Verdana" w:eastAsia="Calibri" w:hAnsi="Verdana" w:cs="Arial"/>
          <w:color w:val="000000" w:themeColor="text1"/>
          <w:lang w:eastAsia="es-ES"/>
        </w:rPr>
      </w:pPr>
    </w:p>
    <w:p w14:paraId="5E7E2E23" w14:textId="51C46704" w:rsidR="00FE5412" w:rsidRPr="00247EE5" w:rsidRDefault="005F3297" w:rsidP="005F3297">
      <w:pPr>
        <w:spacing w:after="0" w:line="240" w:lineRule="auto"/>
        <w:ind w:left="4956"/>
        <w:jc w:val="both"/>
        <w:rPr>
          <w:rFonts w:ascii="Verdana" w:eastAsia="Calibri" w:hAnsi="Verdana" w:cs="Arial"/>
          <w:color w:val="000000" w:themeColor="text1"/>
          <w:lang w:eastAsia="es-ES"/>
        </w:rPr>
      </w:pPr>
      <w:r>
        <w:rPr>
          <w:noProof/>
        </w:rPr>
        <w:drawing>
          <wp:inline distT="0" distB="0" distL="0" distR="0" wp14:anchorId="76B0E508" wp14:editId="7B4F6946">
            <wp:extent cx="2419350" cy="647700"/>
            <wp:effectExtent l="0" t="0" r="0" b="0"/>
            <wp:docPr id="14396256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625633" name=""/>
                    <pic:cNvPicPr/>
                  </pic:nvPicPr>
                  <pic:blipFill>
                    <a:blip r:embed="rId10"/>
                    <a:stretch>
                      <a:fillRect/>
                    </a:stretch>
                  </pic:blipFill>
                  <pic:spPr>
                    <a:xfrm>
                      <a:off x="0" y="0"/>
                      <a:ext cx="2419350" cy="647700"/>
                    </a:xfrm>
                    <a:prstGeom prst="rect">
                      <a:avLst/>
                    </a:prstGeom>
                  </pic:spPr>
                </pic:pic>
              </a:graphicData>
            </a:graphic>
          </wp:inline>
        </w:drawing>
      </w:r>
    </w:p>
    <w:p w14:paraId="29BCEAE1" w14:textId="77777777" w:rsidR="00FE5412" w:rsidRPr="00247EE5" w:rsidRDefault="00FE5412" w:rsidP="00FE5412">
      <w:pPr>
        <w:spacing w:after="0" w:line="240" w:lineRule="auto"/>
        <w:jc w:val="both"/>
        <w:rPr>
          <w:rFonts w:ascii="Verdana" w:eastAsia="Calibri" w:hAnsi="Verdana" w:cs="Arial"/>
          <w:color w:val="000000" w:themeColor="text1"/>
          <w:lang w:val="es-ES" w:eastAsia="es-ES"/>
        </w:rPr>
      </w:pPr>
      <w:r w:rsidRPr="00247EE5">
        <w:rPr>
          <w:rFonts w:ascii="Verdana" w:eastAsia="Calibri" w:hAnsi="Verdana" w:cs="Arial"/>
          <w:color w:val="000000" w:themeColor="text1"/>
          <w:lang w:val="es-ES" w:eastAsia="es-ES"/>
        </w:rPr>
        <w:t>Doctora</w:t>
      </w:r>
    </w:p>
    <w:p w14:paraId="4F8B89D6" w14:textId="77777777" w:rsidR="00FE5412" w:rsidRPr="00247EE5" w:rsidRDefault="00FE5412" w:rsidP="00FE5412">
      <w:pPr>
        <w:spacing w:after="0" w:line="240" w:lineRule="auto"/>
        <w:rPr>
          <w:rFonts w:ascii="Verdana" w:eastAsia="Calibri" w:hAnsi="Verdana" w:cs="Arial"/>
          <w:b/>
          <w:color w:val="000000" w:themeColor="text1"/>
          <w:lang w:eastAsia="es-ES_tradnl"/>
        </w:rPr>
      </w:pPr>
      <w:r w:rsidRPr="00247EE5">
        <w:rPr>
          <w:rFonts w:ascii="Verdana" w:eastAsia="Calibri" w:hAnsi="Verdana" w:cs="Arial"/>
          <w:b/>
          <w:color w:val="000000" w:themeColor="text1"/>
          <w:lang w:eastAsia="es-ES_tradnl"/>
        </w:rPr>
        <w:t>Edna María Romero Quintana</w:t>
      </w:r>
    </w:p>
    <w:p w14:paraId="3733B740" w14:textId="77777777" w:rsidR="00FE5412" w:rsidRDefault="00417A07" w:rsidP="00FE5412">
      <w:pPr>
        <w:spacing w:after="0" w:line="240" w:lineRule="auto"/>
        <w:rPr>
          <w:rFonts w:ascii="Verdana" w:hAnsi="Verdana"/>
        </w:rPr>
      </w:pPr>
      <w:hyperlink r:id="rId11" w:history="1">
        <w:r w:rsidR="00FE5412" w:rsidRPr="00FE5412">
          <w:rPr>
            <w:rFonts w:ascii="Verdana" w:hAnsi="Verdana"/>
          </w:rPr>
          <w:t>emromero@procuraduria.gov.co</w:t>
        </w:r>
      </w:hyperlink>
    </w:p>
    <w:p w14:paraId="5609EA4A" w14:textId="77777777" w:rsidR="00FE5412" w:rsidRPr="00247EE5" w:rsidRDefault="00FE5412" w:rsidP="00FE5412">
      <w:pPr>
        <w:spacing w:after="0" w:line="240" w:lineRule="auto"/>
        <w:rPr>
          <w:rFonts w:ascii="Verdana" w:hAnsi="Verdana"/>
        </w:rPr>
      </w:pPr>
      <w:r w:rsidRPr="00247EE5">
        <w:rPr>
          <w:rFonts w:ascii="Verdana" w:hAnsi="Verdana"/>
        </w:rPr>
        <w:t>Profesional Universitario Gr15</w:t>
      </w:r>
    </w:p>
    <w:p w14:paraId="556E0321" w14:textId="77777777" w:rsidR="00FE5412" w:rsidRPr="00247EE5" w:rsidRDefault="00FE5412" w:rsidP="00FE5412">
      <w:pPr>
        <w:spacing w:after="0" w:line="240" w:lineRule="auto"/>
        <w:rPr>
          <w:rFonts w:ascii="Verdana" w:hAnsi="Verdana"/>
        </w:rPr>
      </w:pPr>
      <w:r w:rsidRPr="00247EE5">
        <w:rPr>
          <w:rFonts w:ascii="Verdana" w:hAnsi="Verdana"/>
        </w:rPr>
        <w:t>Procuraduría Provincial De Juzgamiento Cartagena</w:t>
      </w:r>
    </w:p>
    <w:p w14:paraId="787AF88E" w14:textId="77777777" w:rsidR="00FE5412" w:rsidRPr="00247EE5" w:rsidRDefault="00FE5412" w:rsidP="00FE5412">
      <w:pPr>
        <w:spacing w:after="0" w:line="240" w:lineRule="auto"/>
        <w:rPr>
          <w:rFonts w:ascii="Verdana" w:eastAsia="Calibri" w:hAnsi="Verdana" w:cs="Arial"/>
          <w:bCs/>
          <w:color w:val="000000" w:themeColor="text1"/>
          <w:lang w:val="es-ES_tradnl" w:eastAsia="es-ES_tradnl"/>
        </w:rPr>
      </w:pPr>
      <w:r w:rsidRPr="00247EE5">
        <w:rPr>
          <w:rFonts w:ascii="Verdana" w:eastAsia="Calibri" w:hAnsi="Verdana" w:cs="Arial"/>
          <w:bCs/>
          <w:color w:val="000000" w:themeColor="text1"/>
          <w:lang w:val="es-ES_tradnl" w:eastAsia="es-ES_tradnl"/>
        </w:rPr>
        <w:t>Cartagena, Bolívar</w:t>
      </w:r>
    </w:p>
    <w:p w14:paraId="209E4B2F" w14:textId="77777777" w:rsidR="00FE5412" w:rsidRPr="00247EE5" w:rsidRDefault="00FE5412" w:rsidP="00FE5412">
      <w:pPr>
        <w:spacing w:after="0" w:line="240" w:lineRule="auto"/>
        <w:rPr>
          <w:rFonts w:ascii="Verdana" w:eastAsia="Calibri" w:hAnsi="Verdana" w:cs="Arial"/>
          <w:bCs/>
          <w:color w:val="000000" w:themeColor="text1"/>
          <w:lang w:val="es-ES_tradnl" w:eastAsia="es-ES_tradnl"/>
        </w:rPr>
      </w:pPr>
    </w:p>
    <w:p w14:paraId="73B71D9E" w14:textId="77777777" w:rsidR="00FE5412" w:rsidRPr="00247EE5" w:rsidRDefault="00FE5412" w:rsidP="00FE5412">
      <w:pPr>
        <w:ind w:left="2832"/>
        <w:jc w:val="both"/>
        <w:rPr>
          <w:rFonts w:ascii="Verdana" w:eastAsia="Calibri" w:hAnsi="Verdana" w:cs="Arial"/>
          <w:b/>
          <w:bCs/>
          <w:lang w:val="es-ES" w:eastAsia="es-ES"/>
        </w:rPr>
      </w:pPr>
      <w:r w:rsidRPr="00247EE5">
        <w:rPr>
          <w:rFonts w:ascii="Verdana" w:eastAsia="Calibri" w:hAnsi="Verdana" w:cs="Arial"/>
          <w:b/>
          <w:bCs/>
          <w:lang w:val="es-ES" w:eastAsia="es-ES"/>
        </w:rPr>
        <w:t>Concepto C- 1384 de 2025</w:t>
      </w: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958"/>
      </w:tblGrid>
      <w:tr w:rsidR="00FE5412" w:rsidRPr="00247EE5" w14:paraId="5A51EF85" w14:textId="77777777" w:rsidTr="00655EDA">
        <w:trPr>
          <w:trHeight w:val="80"/>
        </w:trPr>
        <w:tc>
          <w:tcPr>
            <w:tcW w:w="2689" w:type="dxa"/>
          </w:tcPr>
          <w:p w14:paraId="52F8248B" w14:textId="77777777" w:rsidR="00FE5412" w:rsidRPr="00247EE5" w:rsidRDefault="00FE5412" w:rsidP="00655EDA">
            <w:pPr>
              <w:jc w:val="both"/>
              <w:rPr>
                <w:rFonts w:ascii="Verdana" w:eastAsia="Calibri" w:hAnsi="Verdana" w:cs="Arial"/>
                <w:b/>
                <w:bCs/>
                <w:color w:val="000000" w:themeColor="text1"/>
                <w:lang w:val="es-ES_tradnl" w:eastAsia="es-ES_tradnl"/>
              </w:rPr>
            </w:pPr>
          </w:p>
        </w:tc>
        <w:tc>
          <w:tcPr>
            <w:tcW w:w="5958" w:type="dxa"/>
          </w:tcPr>
          <w:p w14:paraId="149EC2F0" w14:textId="77777777" w:rsidR="00FE5412" w:rsidRPr="00247EE5" w:rsidRDefault="00FE5412" w:rsidP="00655EDA">
            <w:pPr>
              <w:jc w:val="both"/>
              <w:rPr>
                <w:rFonts w:ascii="Verdana" w:eastAsia="Calibri" w:hAnsi="Verdana" w:cs="Arial"/>
                <w:b/>
                <w:bCs/>
                <w:color w:val="000000" w:themeColor="text1"/>
                <w:lang w:val="es-ES" w:eastAsia="es-ES"/>
              </w:rPr>
            </w:pPr>
          </w:p>
          <w:p w14:paraId="29A92DE2" w14:textId="77777777" w:rsidR="00FE5412" w:rsidRPr="00247EE5" w:rsidRDefault="00FE5412" w:rsidP="00655EDA">
            <w:pPr>
              <w:jc w:val="both"/>
              <w:rPr>
                <w:rFonts w:ascii="Verdana" w:eastAsia="Calibri" w:hAnsi="Verdana" w:cs="Arial"/>
                <w:b/>
                <w:bCs/>
                <w:color w:val="000000" w:themeColor="text1"/>
                <w:lang w:val="es-ES" w:eastAsia="es-ES"/>
              </w:rPr>
            </w:pPr>
          </w:p>
        </w:tc>
      </w:tr>
      <w:tr w:rsidR="00FE5412" w:rsidRPr="00247EE5" w14:paraId="048DE3E2" w14:textId="77777777" w:rsidTr="00655EDA">
        <w:trPr>
          <w:trHeight w:val="884"/>
        </w:trPr>
        <w:tc>
          <w:tcPr>
            <w:tcW w:w="2689" w:type="dxa"/>
          </w:tcPr>
          <w:p w14:paraId="145EB8E8" w14:textId="77777777" w:rsidR="00FE5412" w:rsidRPr="00247EE5" w:rsidRDefault="00FE5412" w:rsidP="00655EDA">
            <w:pPr>
              <w:jc w:val="both"/>
              <w:rPr>
                <w:rFonts w:ascii="Verdana" w:eastAsia="Calibri" w:hAnsi="Verdana" w:cs="Arial"/>
                <w:color w:val="000000" w:themeColor="text1"/>
                <w:lang w:val="es-ES_tradnl" w:eastAsia="es-ES_tradnl"/>
              </w:rPr>
            </w:pPr>
            <w:r w:rsidRPr="00247EE5">
              <w:rPr>
                <w:rFonts w:ascii="Verdana" w:eastAsia="Calibri" w:hAnsi="Verdana" w:cs="Arial"/>
                <w:b/>
                <w:color w:val="000000" w:themeColor="text1"/>
                <w:lang w:val="es-ES_tradnl" w:eastAsia="es-ES_tradnl"/>
              </w:rPr>
              <w:t>Temas:</w:t>
            </w:r>
            <w:r w:rsidRPr="00247EE5">
              <w:rPr>
                <w:rFonts w:ascii="Verdana" w:eastAsia="Calibri" w:hAnsi="Verdana" w:cs="Arial"/>
                <w:color w:val="000000" w:themeColor="text1"/>
                <w:lang w:val="es-ES_tradnl" w:eastAsia="es-ES_tradnl"/>
              </w:rPr>
              <w:t xml:space="preserve">                   </w:t>
            </w:r>
          </w:p>
        </w:tc>
        <w:tc>
          <w:tcPr>
            <w:tcW w:w="5958" w:type="dxa"/>
          </w:tcPr>
          <w:p w14:paraId="10E84BDD" w14:textId="1BE92ABE" w:rsidR="00FE5412" w:rsidRPr="00247EE5" w:rsidRDefault="00FE5412" w:rsidP="00655EDA">
            <w:pPr>
              <w:jc w:val="both"/>
              <w:rPr>
                <w:rFonts w:ascii="Verdana" w:eastAsia="Calibri" w:hAnsi="Verdana" w:cs="Arial"/>
                <w:bCs/>
                <w:lang w:val="es-ES_tradnl"/>
              </w:rPr>
            </w:pPr>
            <w:r w:rsidRPr="00247EE5">
              <w:rPr>
                <w:rFonts w:ascii="Verdana" w:eastAsia="Calibri" w:hAnsi="Verdana" w:cs="Arial"/>
                <w:lang w:val="es-ES" w:eastAsia="es-ES"/>
              </w:rPr>
              <w:t xml:space="preserve">CONTRATACIÓN CON ESAL – Estatuto General de Contratación de la Administración Pública – Capacidad contractual / DECRETO 092 DE 2017 – Finalidad – Clases de contratos / </w:t>
            </w:r>
            <w:r w:rsidR="0092755C" w:rsidRPr="00EE5B8D">
              <w:rPr>
                <w:rFonts w:ascii="Verdana" w:eastAsia="Calibri" w:hAnsi="Verdana"/>
                <w:lang w:val="es-ES_tradnl" w:eastAsia="es-ES_tradnl"/>
              </w:rPr>
              <w:t>CONTRATOS CON ESAL – Objeto – Actividades – Planes de Desarrollo /</w:t>
            </w:r>
            <w:r w:rsidR="0092755C">
              <w:rPr>
                <w:rFonts w:ascii="Verdana" w:eastAsia="Calibri" w:hAnsi="Verdana"/>
                <w:lang w:val="es-ES_tradnl" w:eastAsia="es-ES_tradnl"/>
              </w:rPr>
              <w:t xml:space="preserve"> </w:t>
            </w:r>
            <w:r w:rsidR="0092755C" w:rsidRPr="00EE5B8D">
              <w:rPr>
                <w:rFonts w:ascii="Verdana" w:eastAsia="Calibri" w:hAnsi="Verdana"/>
                <w:lang w:val="es-ES_tradnl" w:eastAsia="es-ES_tradnl"/>
              </w:rPr>
              <w:t xml:space="preserve">CONTRATOS CON ESAL – Objeto – Actividades – </w:t>
            </w:r>
            <w:r w:rsidR="0092755C">
              <w:rPr>
                <w:rFonts w:ascii="Verdana" w:eastAsia="Calibri" w:hAnsi="Verdana"/>
                <w:lang w:val="es-ES_tradnl" w:eastAsia="es-ES_tradnl"/>
              </w:rPr>
              <w:t>Funciones y cometidos /</w:t>
            </w:r>
            <w:r w:rsidR="0092755C" w:rsidRPr="00EE5B8D">
              <w:rPr>
                <w:rFonts w:ascii="Verdana" w:eastAsia="Calibri" w:hAnsi="Verdana"/>
                <w:lang w:val="es-ES_tradnl" w:eastAsia="es-ES_tradnl"/>
              </w:rPr>
              <w:t xml:space="preserve"> CONTRATOS CON ESAL – Selección objetiva</w:t>
            </w:r>
            <w:r w:rsidR="0092755C" w:rsidRPr="00247EE5" w:rsidDel="006001AD">
              <w:rPr>
                <w:rFonts w:ascii="Verdana" w:eastAsia="Calibri" w:hAnsi="Verdana" w:cs="Arial"/>
                <w:lang w:val="es-ES" w:eastAsia="es-ES"/>
              </w:rPr>
              <w:t xml:space="preserve"> </w:t>
            </w:r>
          </w:p>
          <w:p w14:paraId="3AB31DE0" w14:textId="77777777" w:rsidR="00FE5412" w:rsidRPr="00247EE5" w:rsidRDefault="00FE5412" w:rsidP="00655EDA">
            <w:pPr>
              <w:jc w:val="both"/>
              <w:rPr>
                <w:rFonts w:ascii="Verdana" w:eastAsia="Calibri" w:hAnsi="Verdana" w:cs="Arial"/>
                <w:color w:val="000000" w:themeColor="text1"/>
                <w:lang w:val="es-ES" w:eastAsia="es-ES"/>
              </w:rPr>
            </w:pPr>
          </w:p>
        </w:tc>
      </w:tr>
      <w:tr w:rsidR="00FE5412" w:rsidRPr="00247EE5" w14:paraId="6216AC78" w14:textId="77777777" w:rsidTr="00655EDA">
        <w:tc>
          <w:tcPr>
            <w:tcW w:w="2689" w:type="dxa"/>
          </w:tcPr>
          <w:p w14:paraId="526C0FD8" w14:textId="77777777" w:rsidR="00FE5412" w:rsidRPr="00247EE5" w:rsidRDefault="00FE5412" w:rsidP="00655EDA">
            <w:pPr>
              <w:jc w:val="both"/>
              <w:rPr>
                <w:rFonts w:ascii="Verdana" w:eastAsia="Calibri" w:hAnsi="Verdana" w:cs="Arial"/>
                <w:b/>
                <w:color w:val="000000" w:themeColor="text1"/>
                <w:lang w:val="es-ES_tradnl" w:eastAsia="es-ES_tradnl"/>
              </w:rPr>
            </w:pPr>
            <w:r w:rsidRPr="00247EE5">
              <w:rPr>
                <w:rFonts w:ascii="Verdana" w:eastAsia="Calibri" w:hAnsi="Verdana" w:cs="Arial"/>
                <w:b/>
                <w:color w:val="000000" w:themeColor="text1"/>
                <w:lang w:val="es-ES_tradnl" w:eastAsia="es-ES_tradnl"/>
              </w:rPr>
              <w:t>Radicación:</w:t>
            </w:r>
            <w:r w:rsidRPr="00247EE5">
              <w:rPr>
                <w:rFonts w:ascii="Verdana" w:eastAsia="Calibri" w:hAnsi="Verdana" w:cs="Arial"/>
                <w:color w:val="000000" w:themeColor="text1"/>
                <w:lang w:val="es-ES_tradnl" w:eastAsia="es-ES_tradnl"/>
              </w:rPr>
              <w:t xml:space="preserve">               </w:t>
            </w:r>
          </w:p>
        </w:tc>
        <w:tc>
          <w:tcPr>
            <w:tcW w:w="5958" w:type="dxa"/>
          </w:tcPr>
          <w:p w14:paraId="16A8BAE5" w14:textId="77777777" w:rsidR="00FE5412" w:rsidRPr="00247EE5" w:rsidRDefault="00FE5412" w:rsidP="00655EDA">
            <w:pPr>
              <w:jc w:val="both"/>
              <w:rPr>
                <w:rFonts w:ascii="Verdana" w:eastAsia="Calibri" w:hAnsi="Verdana" w:cs="Arial"/>
                <w:color w:val="000000" w:themeColor="text1"/>
                <w:lang w:val="es-ES_tradnl" w:eastAsia="es-ES_tradnl"/>
              </w:rPr>
            </w:pPr>
            <w:r w:rsidRPr="00247EE5">
              <w:rPr>
                <w:rFonts w:ascii="Verdana" w:eastAsia="Calibri" w:hAnsi="Verdana" w:cs="Arial"/>
                <w:color w:val="000000" w:themeColor="text1"/>
                <w:lang w:val="es-ES_tradnl" w:eastAsia="es-ES_tradnl"/>
              </w:rPr>
              <w:t xml:space="preserve">Respuesta al radicado No. 1_2025_09_25_010619 </w:t>
            </w:r>
          </w:p>
        </w:tc>
      </w:tr>
    </w:tbl>
    <w:p w14:paraId="1AE36A29" w14:textId="77777777" w:rsidR="00FE5412" w:rsidRPr="00247EE5" w:rsidRDefault="00FE5412" w:rsidP="00FE5412">
      <w:pPr>
        <w:spacing w:after="0" w:line="240" w:lineRule="auto"/>
        <w:jc w:val="both"/>
        <w:rPr>
          <w:rFonts w:ascii="Verdana" w:eastAsia="Calibri" w:hAnsi="Verdana" w:cs="Arial"/>
          <w:color w:val="000000" w:themeColor="text1"/>
          <w:lang w:val="es-ES_tradnl" w:eastAsia="es-ES_tradnl"/>
        </w:rPr>
      </w:pPr>
    </w:p>
    <w:p w14:paraId="216C7652" w14:textId="77777777" w:rsidR="00FE5412" w:rsidRPr="00247EE5" w:rsidRDefault="00FE5412" w:rsidP="00FE5412">
      <w:pPr>
        <w:spacing w:after="0" w:line="240" w:lineRule="auto"/>
        <w:jc w:val="both"/>
        <w:rPr>
          <w:rFonts w:ascii="Verdana" w:eastAsia="Calibri" w:hAnsi="Verdana" w:cs="Arial"/>
          <w:color w:val="000000" w:themeColor="text1"/>
          <w:lang w:val="es-ES_tradnl" w:eastAsia="es-ES_tradnl"/>
        </w:rPr>
      </w:pPr>
    </w:p>
    <w:p w14:paraId="5903EFF2" w14:textId="77777777" w:rsidR="00FE5412" w:rsidRPr="00247EE5" w:rsidRDefault="00FE5412" w:rsidP="00FE5412">
      <w:pPr>
        <w:spacing w:after="0" w:line="276" w:lineRule="auto"/>
        <w:jc w:val="both"/>
        <w:rPr>
          <w:rFonts w:ascii="Verdana" w:eastAsia="Calibri" w:hAnsi="Verdana" w:cs="Arial"/>
          <w:color w:val="000000" w:themeColor="text1"/>
          <w:lang w:val="es-ES" w:eastAsia="es-ES"/>
        </w:rPr>
      </w:pPr>
      <w:r w:rsidRPr="00247EE5">
        <w:rPr>
          <w:rFonts w:ascii="Verdana" w:eastAsia="Calibri" w:hAnsi="Verdana" w:cs="Arial"/>
          <w:color w:val="000000" w:themeColor="text1"/>
          <w:lang w:val="es-ES" w:eastAsia="es-ES"/>
        </w:rPr>
        <w:t xml:space="preserve">Estimada Doctora </w:t>
      </w:r>
      <w:r w:rsidRPr="00247EE5">
        <w:rPr>
          <w:rFonts w:ascii="Verdana" w:eastAsia="Calibri" w:hAnsi="Verdana" w:cs="Arial"/>
          <w:color w:val="000000" w:themeColor="text1"/>
          <w:lang w:eastAsia="es-ES_tradnl"/>
        </w:rPr>
        <w:t>Romero</w:t>
      </w:r>
      <w:r w:rsidRPr="00247EE5">
        <w:rPr>
          <w:rFonts w:ascii="Verdana" w:eastAsia="Calibri" w:hAnsi="Verdana" w:cs="Arial"/>
          <w:color w:val="000000" w:themeColor="text1"/>
          <w:lang w:val="es-ES" w:eastAsia="es-ES"/>
        </w:rPr>
        <w:t xml:space="preserve">: </w:t>
      </w:r>
    </w:p>
    <w:p w14:paraId="0718EDAF" w14:textId="77777777" w:rsidR="00FE5412" w:rsidRPr="00247EE5" w:rsidRDefault="00FE5412" w:rsidP="00FE5412">
      <w:pPr>
        <w:tabs>
          <w:tab w:val="left" w:pos="3768"/>
        </w:tabs>
        <w:spacing w:after="0" w:line="276" w:lineRule="auto"/>
        <w:jc w:val="both"/>
        <w:rPr>
          <w:rFonts w:ascii="Verdana" w:eastAsia="Calibri" w:hAnsi="Verdana" w:cs="Arial"/>
          <w:color w:val="000000" w:themeColor="text1"/>
          <w:lang w:val="es-ES" w:eastAsia="es-ES"/>
        </w:rPr>
      </w:pPr>
      <w:r w:rsidRPr="00247EE5">
        <w:rPr>
          <w:rFonts w:ascii="Verdana" w:eastAsia="Calibri" w:hAnsi="Verdana" w:cs="Arial"/>
          <w:color w:val="000000" w:themeColor="text1"/>
          <w:lang w:val="es-ES" w:eastAsia="es-ES"/>
        </w:rPr>
        <w:tab/>
      </w:r>
    </w:p>
    <w:p w14:paraId="62631316" w14:textId="77777777" w:rsidR="00FE5412" w:rsidRPr="00247EE5" w:rsidRDefault="00FE5412" w:rsidP="00FE5412">
      <w:pPr>
        <w:spacing w:after="0" w:line="276" w:lineRule="auto"/>
        <w:jc w:val="both"/>
        <w:rPr>
          <w:rFonts w:ascii="Verdana" w:eastAsia="Calibri" w:hAnsi="Verdana" w:cs="Arial"/>
          <w:color w:val="000000" w:themeColor="text1"/>
          <w:lang w:val="es-ES" w:eastAsia="es-ES"/>
        </w:rPr>
      </w:pPr>
      <w:r w:rsidRPr="00247EE5">
        <w:rPr>
          <w:rFonts w:ascii="Verdana" w:eastAsia="Calibri" w:hAnsi="Verdana" w:cs="Arial"/>
          <w:color w:val="000000" w:themeColor="text1"/>
          <w:lang w:val="es-ES" w:eastAsia="es-ES"/>
        </w:rPr>
        <w:t>En ejercicio de la competencia otorgada por los artículos 3, numeral 5º, y 11, numeral 8º, del Decreto Ley 4170 de 2011,</w:t>
      </w:r>
      <w:r w:rsidRPr="00247EE5">
        <w:rPr>
          <w:rFonts w:ascii="Verdana" w:eastAsia="Arial MT" w:hAnsi="Verdana" w:cs="Arial MT"/>
          <w:color w:val="000000" w:themeColor="text1"/>
          <w:lang w:val="es-ES" w:eastAsia="es-ES"/>
        </w:rPr>
        <w:t xml:space="preserve"> </w:t>
      </w:r>
      <w:r w:rsidRPr="00247EE5">
        <w:rPr>
          <w:rFonts w:ascii="Verdana" w:hAnsi="Verdana" w:cs="Arial"/>
          <w:color w:val="000000" w:themeColor="text1"/>
        </w:rPr>
        <w:t xml:space="preserve">así como lo establecido en el artículo 4 de la Resolución 1707 de 2018 expedida por esta Entidad, </w:t>
      </w:r>
      <w:r w:rsidRPr="00247EE5">
        <w:rPr>
          <w:rFonts w:ascii="Verdana" w:eastAsia="Calibri" w:hAnsi="Verdana" w:cs="Arial"/>
          <w:color w:val="000000" w:themeColor="text1"/>
          <w:lang w:val="es-ES" w:eastAsia="es-ES"/>
        </w:rPr>
        <w:t xml:space="preserve">la Agencia Nacional de Contratación Pública – Colombia Compra Eficiente– responde su solicitud de consulta de fecha 25 de septiembre de 2025, en la cual manifiesta lo siguiente: </w:t>
      </w:r>
    </w:p>
    <w:p w14:paraId="0DE01BE5" w14:textId="77777777" w:rsidR="00FE5412" w:rsidRPr="00247EE5" w:rsidRDefault="00FE5412" w:rsidP="00FE5412">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699ADF0E" w14:textId="77777777" w:rsidR="00FE5412" w:rsidRPr="00247EE5" w:rsidRDefault="00FE5412" w:rsidP="00FE5412">
      <w:pPr>
        <w:spacing w:after="0" w:line="240" w:lineRule="auto"/>
        <w:ind w:left="709" w:right="709"/>
        <w:jc w:val="both"/>
        <w:rPr>
          <w:rFonts w:ascii="Verdana" w:eastAsia="Century Gothic" w:hAnsi="Verdana" w:cs="Century Gothic"/>
          <w:color w:val="000000" w:themeColor="text1"/>
          <w:sz w:val="20"/>
          <w:szCs w:val="20"/>
        </w:rPr>
      </w:pPr>
      <w:bookmarkStart w:id="0" w:name="_Hlk95313578"/>
      <w:r w:rsidRPr="00247EE5">
        <w:rPr>
          <w:rFonts w:ascii="Verdana" w:eastAsia="Century Gothic" w:hAnsi="Verdana" w:cs="Century Gothic"/>
          <w:color w:val="000000" w:themeColor="text1"/>
          <w:sz w:val="20"/>
          <w:szCs w:val="20"/>
          <w:lang w:val="es-ES"/>
        </w:rPr>
        <w:t>“</w:t>
      </w:r>
      <w:bookmarkEnd w:id="0"/>
      <w:r w:rsidRPr="00247EE5">
        <w:rPr>
          <w:rFonts w:ascii="Verdana" w:eastAsia="Century Gothic" w:hAnsi="Verdana" w:cs="Century Gothic"/>
          <w:color w:val="000000" w:themeColor="text1"/>
          <w:sz w:val="20"/>
          <w:szCs w:val="20"/>
        </w:rPr>
        <w:t>OFICIAR al Departamento Administrativo de la Función Pública, para que nos emita concepto acerca del régimen de contratación de las Entidades sin Ánimo de Lucro (ESAL), a través de cual norma se regulan, es por el</w:t>
      </w:r>
    </w:p>
    <w:p w14:paraId="756C0522" w14:textId="77777777" w:rsidR="00FE5412" w:rsidRPr="00247EE5" w:rsidRDefault="00FE5412" w:rsidP="00FE5412">
      <w:pPr>
        <w:spacing w:after="0" w:line="240" w:lineRule="auto"/>
        <w:ind w:left="709" w:right="709"/>
        <w:jc w:val="both"/>
        <w:rPr>
          <w:rFonts w:ascii="Verdana" w:eastAsia="Century Gothic" w:hAnsi="Verdana" w:cs="Century Gothic"/>
          <w:color w:val="000000" w:themeColor="text1"/>
          <w:sz w:val="20"/>
          <w:szCs w:val="20"/>
        </w:rPr>
      </w:pPr>
      <w:r w:rsidRPr="00247EE5">
        <w:rPr>
          <w:rFonts w:ascii="Verdana" w:eastAsia="Century Gothic" w:hAnsi="Verdana" w:cs="Century Gothic"/>
          <w:color w:val="000000" w:themeColor="text1"/>
          <w:sz w:val="20"/>
          <w:szCs w:val="20"/>
        </w:rPr>
        <w:lastRenderedPageBreak/>
        <w:t>Derecho público o privado, así mismo, nos informe si es el caso, si el régimen de contratación ESAL se adelanta por la Ley 80 de 1993 o por el Derecho Civil, detallando las etapas del proceso de contratación, los participantes involucrados y las formas de pago establecidas.</w:t>
      </w:r>
    </w:p>
    <w:p w14:paraId="4C0DDC84" w14:textId="77777777" w:rsidR="00FE5412" w:rsidRPr="00247EE5" w:rsidRDefault="00FE5412" w:rsidP="00FE5412">
      <w:pPr>
        <w:spacing w:after="0" w:line="240" w:lineRule="auto"/>
        <w:ind w:left="709" w:right="709"/>
        <w:jc w:val="both"/>
        <w:rPr>
          <w:rFonts w:ascii="Verdana" w:eastAsia="Century Gothic" w:hAnsi="Verdana" w:cs="Century Gothic"/>
          <w:color w:val="000000" w:themeColor="text1"/>
          <w:sz w:val="20"/>
          <w:szCs w:val="20"/>
        </w:rPr>
      </w:pPr>
    </w:p>
    <w:p w14:paraId="4AD194D6" w14:textId="77777777" w:rsidR="00FE5412" w:rsidRPr="00247EE5" w:rsidRDefault="00FE5412" w:rsidP="00FE5412">
      <w:pPr>
        <w:spacing w:after="0" w:line="240" w:lineRule="auto"/>
        <w:ind w:left="709" w:right="709"/>
        <w:jc w:val="both"/>
        <w:rPr>
          <w:rFonts w:ascii="Verdana" w:eastAsia="Century Gothic" w:hAnsi="Verdana" w:cs="Century Gothic"/>
          <w:color w:val="000000" w:themeColor="text1"/>
          <w:sz w:val="20"/>
          <w:szCs w:val="20"/>
        </w:rPr>
      </w:pPr>
      <w:r w:rsidRPr="00247EE5">
        <w:rPr>
          <w:rFonts w:ascii="Verdana" w:eastAsia="Century Gothic" w:hAnsi="Verdana" w:cs="Century Gothic"/>
          <w:color w:val="000000" w:themeColor="text1"/>
          <w:sz w:val="20"/>
          <w:szCs w:val="20"/>
        </w:rPr>
        <w:t>Igualmente, se solicita información sobre la regulación de los procesos de contratación entre las ESAL y los entes públicos, especificando los requisitos, límites y condiciones a observar en estos casos. De manera precisa, se requiere solicitarle nos aclare sobre la obligatoriedad de la publicación en SECOP de las distintas etapas del proceso de contratación, incluyendo las actas de convocatoria de las ESAL, y definir cuáles de estas etapas deben surtirse dentro del proceso, ya sea en la fase precontractual y/o contractual</w:t>
      </w:r>
      <w:r w:rsidRPr="00247EE5">
        <w:rPr>
          <w:rFonts w:ascii="Verdana" w:eastAsia="Century Gothic" w:hAnsi="Verdana" w:cs="Century Gothic"/>
          <w:color w:val="000000" w:themeColor="text1"/>
          <w:sz w:val="20"/>
          <w:szCs w:val="20"/>
          <w:lang w:val="es-ES"/>
        </w:rPr>
        <w:t>.” (sic)</w:t>
      </w:r>
    </w:p>
    <w:p w14:paraId="6547AA42" w14:textId="77777777" w:rsidR="00FE5412" w:rsidRPr="00247EE5" w:rsidRDefault="00FE5412" w:rsidP="00FE5412">
      <w:pPr>
        <w:spacing w:after="0" w:line="240" w:lineRule="auto"/>
        <w:ind w:left="709" w:right="709"/>
        <w:jc w:val="both"/>
        <w:rPr>
          <w:rFonts w:ascii="Verdana" w:eastAsia="Century Gothic" w:hAnsi="Verdana" w:cs="Century Gothic"/>
          <w:color w:val="000000" w:themeColor="text1"/>
          <w:sz w:val="20"/>
          <w:szCs w:val="20"/>
          <w:lang w:val="es-ES"/>
        </w:rPr>
      </w:pPr>
    </w:p>
    <w:p w14:paraId="095BA1FD" w14:textId="77777777" w:rsidR="00FE5412" w:rsidRPr="00247EE5" w:rsidRDefault="00FE5412" w:rsidP="00FE5412">
      <w:pPr>
        <w:spacing w:after="120" w:line="276" w:lineRule="auto"/>
        <w:ind w:firstLine="709"/>
        <w:jc w:val="both"/>
        <w:rPr>
          <w:rFonts w:ascii="Verdana" w:eastAsia="Calibri" w:hAnsi="Verdana" w:cs="Arial"/>
          <w:color w:val="000000" w:themeColor="text1"/>
          <w:lang w:val="es-ES_tradnl" w:eastAsia="es-ES_tradnl"/>
        </w:rPr>
      </w:pPr>
      <w:r w:rsidRPr="00247EE5">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47EE5">
        <w:rPr>
          <w:rFonts w:ascii="Verdana" w:eastAsia="Calibri" w:hAnsi="Verdana" w:cs="Arial"/>
          <w:color w:val="000000" w:themeColor="text1"/>
          <w:lang w:val="es-ES_tradnl" w:eastAsia="es-ES_tradnl"/>
        </w:rPr>
        <w:tab/>
      </w:r>
    </w:p>
    <w:p w14:paraId="1B620BA1" w14:textId="77777777" w:rsidR="00FE5412" w:rsidRPr="00247EE5" w:rsidRDefault="00FE5412" w:rsidP="00FE5412">
      <w:pPr>
        <w:spacing w:after="0" w:line="276" w:lineRule="auto"/>
        <w:ind w:firstLine="709"/>
        <w:jc w:val="both"/>
        <w:rPr>
          <w:rFonts w:ascii="Verdana" w:eastAsia="Calibri" w:hAnsi="Verdana" w:cs="Arial"/>
          <w:color w:val="000000" w:themeColor="text1"/>
          <w:lang w:val="es-ES" w:eastAsia="es-ES"/>
        </w:rPr>
      </w:pPr>
      <w:r w:rsidRPr="00247EE5">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B64D31E" w14:textId="77777777" w:rsidR="00FE5412" w:rsidRPr="00247EE5" w:rsidRDefault="00FE5412" w:rsidP="00FE5412">
      <w:pPr>
        <w:spacing w:after="0" w:line="276" w:lineRule="auto"/>
        <w:ind w:firstLine="709"/>
        <w:jc w:val="both"/>
        <w:rPr>
          <w:rFonts w:ascii="Verdana" w:eastAsia="Calibri" w:hAnsi="Verdana" w:cs="Arial"/>
          <w:color w:val="000000" w:themeColor="text1"/>
          <w:lang w:val="es-ES" w:eastAsia="es-ES"/>
        </w:rPr>
      </w:pPr>
    </w:p>
    <w:p w14:paraId="0603DF26" w14:textId="77777777" w:rsidR="00FE5412" w:rsidRPr="00247EE5" w:rsidRDefault="00FE5412" w:rsidP="00FE541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247EE5">
        <w:rPr>
          <w:rFonts w:ascii="Verdana" w:eastAsia="Century Gothic" w:hAnsi="Verdana" w:cs="Century Gothic"/>
          <w:b/>
          <w:bCs/>
          <w:color w:val="000000" w:themeColor="text1"/>
        </w:rPr>
        <w:t>Problema planteado:</w:t>
      </w:r>
    </w:p>
    <w:p w14:paraId="5D945F96" w14:textId="77777777" w:rsidR="00FE5412" w:rsidRPr="00247EE5" w:rsidRDefault="00FE5412" w:rsidP="00FE5412">
      <w:pPr>
        <w:tabs>
          <w:tab w:val="left" w:pos="426"/>
        </w:tabs>
        <w:spacing w:after="0" w:line="276" w:lineRule="auto"/>
        <w:jc w:val="both"/>
        <w:rPr>
          <w:rFonts w:ascii="Verdana" w:eastAsia="Century Gothic" w:hAnsi="Verdana" w:cs="Century Gothic"/>
          <w:color w:val="000000" w:themeColor="text1"/>
          <w:lang w:val="es-ES"/>
        </w:rPr>
      </w:pPr>
    </w:p>
    <w:p w14:paraId="2023F2D5" w14:textId="33EAA1EE" w:rsidR="00FE5412" w:rsidRPr="00247EE5" w:rsidRDefault="00FE5412" w:rsidP="00FE5412">
      <w:pPr>
        <w:spacing w:after="0" w:line="276" w:lineRule="auto"/>
        <w:jc w:val="both"/>
        <w:rPr>
          <w:rFonts w:ascii="Verdana" w:eastAsia="Century Gothic" w:hAnsi="Verdana" w:cs="Century Gothic"/>
          <w:color w:val="000000" w:themeColor="text1"/>
        </w:rPr>
      </w:pPr>
      <w:r w:rsidRPr="00247EE5">
        <w:rPr>
          <w:rFonts w:ascii="Verdana" w:eastAsia="Century Gothic" w:hAnsi="Verdana" w:cs="Century Gothic"/>
          <w:color w:val="000000" w:themeColor="text1"/>
        </w:rPr>
        <w:t xml:space="preserve">De acuerdo con el contenido de su solicitud, esta Agencia resolverá el siguiente problema jurídico: </w:t>
      </w:r>
      <w:r w:rsidR="008752B4">
        <w:rPr>
          <w:rFonts w:ascii="Verdana" w:eastAsia="Century Gothic" w:hAnsi="Verdana" w:cs="Century Gothic"/>
          <w:color w:val="000000" w:themeColor="text1"/>
        </w:rPr>
        <w:t xml:space="preserve">i) </w:t>
      </w:r>
      <w:r w:rsidRPr="00247EE5">
        <w:rPr>
          <w:rFonts w:ascii="Verdana" w:eastAsia="Century Gothic" w:hAnsi="Verdana" w:cs="Century Gothic"/>
          <w:color w:val="000000" w:themeColor="text1"/>
        </w:rPr>
        <w:t>¿El régimen de contratación de las Entidades sin Ánimo de Lucro (</w:t>
      </w:r>
      <w:r w:rsidR="00DE2C8F">
        <w:rPr>
          <w:rFonts w:ascii="Verdana" w:eastAsia="Century Gothic" w:hAnsi="Verdana" w:cs="Century Gothic"/>
          <w:color w:val="000000" w:themeColor="text1"/>
        </w:rPr>
        <w:t xml:space="preserve">en adelante </w:t>
      </w:r>
      <w:r w:rsidRPr="00247EE5">
        <w:rPr>
          <w:rFonts w:ascii="Verdana" w:eastAsia="Century Gothic" w:hAnsi="Verdana" w:cs="Century Gothic"/>
          <w:color w:val="000000" w:themeColor="text1"/>
        </w:rPr>
        <w:t>ESAL) se rige por la Ley 80 de 1993</w:t>
      </w:r>
      <w:r w:rsidR="001F578D">
        <w:rPr>
          <w:rFonts w:ascii="Verdana" w:eastAsia="Century Gothic" w:hAnsi="Verdana" w:cs="Century Gothic"/>
          <w:color w:val="000000" w:themeColor="text1"/>
        </w:rPr>
        <w:t>,</w:t>
      </w:r>
      <w:r w:rsidRPr="00247EE5">
        <w:rPr>
          <w:rFonts w:ascii="Verdana" w:eastAsia="Century Gothic" w:hAnsi="Verdana" w:cs="Century Gothic"/>
          <w:color w:val="000000" w:themeColor="text1"/>
        </w:rPr>
        <w:t xml:space="preserve"> por el Derecho Privado</w:t>
      </w:r>
      <w:r w:rsidR="001F578D">
        <w:rPr>
          <w:rFonts w:ascii="Verdana" w:eastAsia="Century Gothic" w:hAnsi="Verdana" w:cs="Century Gothic"/>
          <w:color w:val="000000" w:themeColor="text1"/>
        </w:rPr>
        <w:t xml:space="preserve"> o por alguna norma especial</w:t>
      </w:r>
      <w:r w:rsidR="005A4B55">
        <w:rPr>
          <w:rFonts w:ascii="Verdana" w:eastAsia="Century Gothic" w:hAnsi="Verdana" w:cs="Century Gothic"/>
          <w:color w:val="000000" w:themeColor="text1"/>
        </w:rPr>
        <w:t xml:space="preserve">? </w:t>
      </w:r>
      <w:r w:rsidRPr="00247EE5">
        <w:rPr>
          <w:rFonts w:ascii="Verdana" w:eastAsia="Century Gothic" w:hAnsi="Verdana" w:cs="Century Gothic"/>
          <w:color w:val="000000" w:themeColor="text1"/>
        </w:rPr>
        <w:t xml:space="preserve">y </w:t>
      </w:r>
      <w:proofErr w:type="spellStart"/>
      <w:r w:rsidR="008752B4">
        <w:rPr>
          <w:rFonts w:ascii="Verdana" w:eastAsia="Century Gothic" w:hAnsi="Verdana" w:cs="Century Gothic"/>
          <w:color w:val="000000" w:themeColor="text1"/>
        </w:rPr>
        <w:t>ii</w:t>
      </w:r>
      <w:proofErr w:type="spellEnd"/>
      <w:r w:rsidR="008752B4">
        <w:rPr>
          <w:rFonts w:ascii="Verdana" w:eastAsia="Century Gothic" w:hAnsi="Verdana" w:cs="Century Gothic"/>
          <w:color w:val="000000" w:themeColor="text1"/>
        </w:rPr>
        <w:t xml:space="preserve">) </w:t>
      </w:r>
      <w:r w:rsidR="005A4B55">
        <w:rPr>
          <w:rFonts w:ascii="Verdana" w:eastAsia="Century Gothic" w:hAnsi="Verdana" w:cs="Century Gothic"/>
          <w:color w:val="000000" w:themeColor="text1"/>
        </w:rPr>
        <w:t>¿</w:t>
      </w:r>
      <w:r w:rsidRPr="00247EE5">
        <w:rPr>
          <w:rFonts w:ascii="Verdana" w:eastAsia="Century Gothic" w:hAnsi="Verdana" w:cs="Century Gothic"/>
          <w:color w:val="000000" w:themeColor="text1"/>
        </w:rPr>
        <w:t xml:space="preserve">cuáles son las obligaciones que deben </w:t>
      </w:r>
      <w:r w:rsidRPr="00247EE5">
        <w:rPr>
          <w:rFonts w:ascii="Verdana" w:eastAsia="Century Gothic" w:hAnsi="Verdana" w:cs="Century Gothic"/>
          <w:color w:val="000000" w:themeColor="text1"/>
        </w:rPr>
        <w:lastRenderedPageBreak/>
        <w:t xml:space="preserve">observarse en cuanto a etapas del proceso, requisitos, condiciones, formas de pago y publicación en el SECOP de las actuaciones contractuales? </w:t>
      </w:r>
    </w:p>
    <w:p w14:paraId="1E279A17" w14:textId="77777777" w:rsidR="00FE5412" w:rsidRPr="00247EE5" w:rsidRDefault="00FE5412" w:rsidP="00FE5412">
      <w:pPr>
        <w:spacing w:after="0" w:line="276" w:lineRule="auto"/>
        <w:jc w:val="both"/>
        <w:rPr>
          <w:rFonts w:ascii="Verdana" w:eastAsia="Century Gothic" w:hAnsi="Verdana" w:cs="Century Gothic"/>
          <w:color w:val="000000" w:themeColor="text1"/>
        </w:rPr>
      </w:pPr>
    </w:p>
    <w:p w14:paraId="704F2D7C" w14:textId="77777777" w:rsidR="00FE5412" w:rsidRPr="00247EE5" w:rsidRDefault="00FE5412" w:rsidP="00FE5412">
      <w:pPr>
        <w:pStyle w:val="Prrafodelista"/>
        <w:numPr>
          <w:ilvl w:val="0"/>
          <w:numId w:val="16"/>
        </w:numPr>
        <w:spacing w:after="0" w:line="276" w:lineRule="auto"/>
        <w:jc w:val="both"/>
        <w:rPr>
          <w:rFonts w:ascii="Verdana" w:eastAsia="Century Gothic" w:hAnsi="Verdana" w:cs="Century Gothic"/>
          <w:b/>
          <w:bCs/>
          <w:color w:val="000000" w:themeColor="text1"/>
        </w:rPr>
      </w:pPr>
      <w:r w:rsidRPr="00247EE5">
        <w:rPr>
          <w:rFonts w:ascii="Verdana" w:eastAsia="Century Gothic" w:hAnsi="Verdana" w:cs="Century Gothic"/>
          <w:b/>
          <w:bCs/>
          <w:color w:val="000000" w:themeColor="text1"/>
        </w:rPr>
        <w:t>Respuesta:</w:t>
      </w:r>
    </w:p>
    <w:p w14:paraId="2890D2AD" w14:textId="77777777" w:rsidR="00FE5412" w:rsidRPr="00247EE5" w:rsidRDefault="00FE5412" w:rsidP="00FE541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5412" w:rsidRPr="00247EE5" w14:paraId="5BE8850D" w14:textId="77777777" w:rsidTr="00655EDA">
        <w:tc>
          <w:tcPr>
            <w:tcW w:w="8828" w:type="dxa"/>
          </w:tcPr>
          <w:p w14:paraId="56EF0E96" w14:textId="4B5306FF" w:rsidR="00FE5412" w:rsidRPr="00247EE5" w:rsidRDefault="008752B4" w:rsidP="00EF24D1">
            <w:pPr>
              <w:spacing w:after="120" w:line="276" w:lineRule="auto"/>
              <w:jc w:val="both"/>
              <w:rPr>
                <w:rFonts w:ascii="Verdana" w:eastAsia="Arial" w:hAnsi="Verdana" w:cs="Arial"/>
              </w:rPr>
            </w:pPr>
            <w:r>
              <w:rPr>
                <w:rFonts w:ascii="Verdana" w:eastAsia="Arial" w:hAnsi="Verdana" w:cs="Arial"/>
              </w:rPr>
              <w:t xml:space="preserve">i) </w:t>
            </w:r>
            <w:r w:rsidR="00FE5412" w:rsidRPr="00247EE5">
              <w:rPr>
                <w:rFonts w:ascii="Verdana" w:eastAsia="Arial" w:hAnsi="Verdana" w:cs="Arial"/>
              </w:rPr>
              <w:t>Las ESAL</w:t>
            </w:r>
            <w:r w:rsidR="00DE2C8F">
              <w:rPr>
                <w:rFonts w:ascii="Verdana" w:eastAsia="Arial" w:hAnsi="Verdana" w:cs="Arial"/>
              </w:rPr>
              <w:t xml:space="preserve"> </w:t>
            </w:r>
            <w:r w:rsidR="00FE5412" w:rsidRPr="00247EE5">
              <w:rPr>
                <w:rFonts w:ascii="Verdana" w:eastAsia="Arial" w:hAnsi="Verdana" w:cs="Arial"/>
              </w:rPr>
              <w:t xml:space="preserve">cuentan con diversas posibilidades jurídicas para para participar de procesos de contratación y contratar con el Estado, las cuales se pasan a exponer. En primer lugar, pueden participar en igualdad de condiciones con cualquier otro proponente que no tenga la condición de ESAL en los procesos de contratación regulados por el Estatuto General de Contratación de la Administración Pública —Ley 80 de 1993 y Ley 1150 de 2007—, siempre que cumplan con los requisitos habilitantes y las condiciones establecidas en cada procedimiento de selección, como licitaciones públicas, selección abreviada, concurso de méritos o mínima cuantía. </w:t>
            </w:r>
            <w:r w:rsidR="001F578D">
              <w:rPr>
                <w:rFonts w:ascii="Verdana" w:eastAsia="Arial" w:hAnsi="Verdana" w:cs="Arial"/>
              </w:rPr>
              <w:t xml:space="preserve">En ese escenario su participación se regirá por las reglas </w:t>
            </w:r>
            <w:r w:rsidR="00691FFD">
              <w:rPr>
                <w:rFonts w:ascii="Verdana" w:eastAsia="Arial" w:hAnsi="Verdana" w:cs="Arial"/>
              </w:rPr>
              <w:t xml:space="preserve">establecidas en el EGCAP. </w:t>
            </w:r>
          </w:p>
          <w:p w14:paraId="2C0F853B" w14:textId="76416556" w:rsidR="00FE5412" w:rsidRPr="00247EE5" w:rsidRDefault="00FE5412" w:rsidP="00EF24D1">
            <w:pPr>
              <w:spacing w:after="120" w:line="276" w:lineRule="auto"/>
              <w:ind w:firstLine="709"/>
              <w:jc w:val="both"/>
              <w:rPr>
                <w:rFonts w:ascii="Verdana" w:eastAsia="Arial" w:hAnsi="Verdana" w:cs="Arial"/>
              </w:rPr>
            </w:pPr>
            <w:r w:rsidRPr="00247EE5">
              <w:rPr>
                <w:rFonts w:ascii="Verdana" w:eastAsia="Arial" w:hAnsi="Verdana" w:cs="Arial"/>
              </w:rPr>
              <w:t>Ahora bien,</w:t>
            </w:r>
            <w:r w:rsidR="00F2701F">
              <w:rPr>
                <w:rFonts w:ascii="Verdana" w:eastAsia="Arial" w:hAnsi="Verdana" w:cs="Arial"/>
              </w:rPr>
              <w:t xml:space="preserve"> existe un régimen contractual especial para las </w:t>
            </w:r>
            <w:r w:rsidR="00B65D1E">
              <w:rPr>
                <w:rFonts w:ascii="Verdana" w:eastAsia="Arial" w:hAnsi="Verdana" w:cs="Arial"/>
              </w:rPr>
              <w:t>ESAL</w:t>
            </w:r>
            <w:r w:rsidR="00760186">
              <w:rPr>
                <w:rFonts w:ascii="Verdana" w:eastAsia="Arial" w:hAnsi="Verdana" w:cs="Arial"/>
              </w:rPr>
              <w:t xml:space="preserve"> regulado en el Decreto 092 de 2015</w:t>
            </w:r>
            <w:r w:rsidR="00B65D1E">
              <w:rPr>
                <w:rFonts w:ascii="Verdana" w:eastAsia="Arial" w:hAnsi="Verdana" w:cs="Arial"/>
              </w:rPr>
              <w:t>. Al respecto,</w:t>
            </w:r>
            <w:r w:rsidRPr="00247EE5">
              <w:rPr>
                <w:rFonts w:ascii="Verdana" w:eastAsia="Arial" w:hAnsi="Verdana" w:cs="Arial"/>
              </w:rPr>
              <w:t xml:space="preserve"> es de precisar que,</w:t>
            </w:r>
            <w:r w:rsidR="007A1FAF">
              <w:rPr>
                <w:rFonts w:ascii="Verdana" w:eastAsia="Arial" w:hAnsi="Verdana" w:cs="Arial"/>
              </w:rPr>
              <w:t xml:space="preserve"> por un lado, se encuentran</w:t>
            </w:r>
            <w:r w:rsidRPr="00247EE5">
              <w:rPr>
                <w:rFonts w:ascii="Verdana" w:eastAsia="Arial" w:hAnsi="Verdana" w:cs="Arial"/>
              </w:rPr>
              <w:t xml:space="preserve"> los contratos del artículo 355 de la Constitución Política, denominados contratos de colaboración</w:t>
            </w:r>
            <w:r w:rsidR="007A1FAF">
              <w:rPr>
                <w:rFonts w:ascii="Verdana" w:eastAsia="Arial" w:hAnsi="Verdana" w:cs="Arial"/>
              </w:rPr>
              <w:t>. Estos</w:t>
            </w:r>
            <w:r w:rsidRPr="00247EE5">
              <w:rPr>
                <w:rFonts w:ascii="Verdana" w:eastAsia="Arial" w:hAnsi="Verdana" w:cs="Arial"/>
              </w:rPr>
              <w:t xml:space="preserve"> tienen como objeto promover acciones de fomento social en beneficio de los sectores más desprotegidos de la población, siempre que estén previstas en los planes de desarrollo. En ese sentido, el objeto de los contratos que autoriza el inciso segundo del artículo 355 Superior, se limita a la realización de actividades o programas de interés público que, conforme a los planes de desarrollo, adelanten instituciones privadas sin ánimo de lucro. De este modo, el constituyente estableció como requisito para la celebración de este tipo convenios que los programas o actividades de interés público sean acordes con el Plan Nacional y los planes seccionales de desarrollo. </w:t>
            </w:r>
          </w:p>
          <w:p w14:paraId="6A77021F" w14:textId="4B402ED1" w:rsidR="00FE5412" w:rsidRPr="00247EE5" w:rsidRDefault="00EC42E2" w:rsidP="00727F9E">
            <w:pPr>
              <w:spacing w:after="120" w:line="276" w:lineRule="auto"/>
              <w:ind w:firstLine="709"/>
              <w:jc w:val="both"/>
              <w:rPr>
                <w:rFonts w:ascii="Verdana" w:eastAsia="Calibri" w:hAnsi="Verdana" w:cs="Arial"/>
              </w:rPr>
            </w:pPr>
            <w:r>
              <w:rPr>
                <w:rFonts w:ascii="Verdana" w:eastAsia="Calibri" w:hAnsi="Verdana" w:cs="Arial"/>
              </w:rPr>
              <w:t>Por otro lado, se encuentran l</w:t>
            </w:r>
            <w:r w:rsidR="00FE5412" w:rsidRPr="00247EE5">
              <w:rPr>
                <w:rFonts w:ascii="Verdana" w:eastAsia="Calibri" w:hAnsi="Verdana" w:cs="Arial"/>
              </w:rPr>
              <w:t xml:space="preserve">os </w:t>
            </w:r>
            <w:r w:rsidR="00FE5412" w:rsidRPr="00247EE5">
              <w:rPr>
                <w:rFonts w:ascii="Verdana" w:eastAsia="Calibri" w:hAnsi="Verdana" w:cs="Arial"/>
                <w:i/>
                <w:iCs/>
              </w:rPr>
              <w:t>convenios de asociación</w:t>
            </w:r>
            <w:r w:rsidR="00FE5412" w:rsidRPr="00247EE5">
              <w:rPr>
                <w:rFonts w:ascii="Verdana" w:eastAsia="Calibri" w:hAnsi="Verdana" w:cs="Arial"/>
              </w:rPr>
              <w:t>, establecidos en el artículo 96 de la Ley 489 de 1998,</w:t>
            </w:r>
            <w:r w:rsidR="00FE5412" w:rsidRPr="00247EE5">
              <w:rPr>
                <w:rFonts w:ascii="Verdana" w:eastAsia="Calibri" w:hAnsi="Verdana" w:cs="Arial"/>
                <w:i/>
                <w:iCs/>
              </w:rPr>
              <w:t xml:space="preserve"> </w:t>
            </w:r>
            <w:r w:rsidR="00FE5412" w:rsidRPr="00247EE5">
              <w:rPr>
                <w:rFonts w:ascii="Verdana" w:eastAsia="Calibri" w:hAnsi="Verdana" w:cs="Arial"/>
              </w:rPr>
              <w:t xml:space="preserve">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Así las cosas, el objeto de los convenios de </w:t>
            </w:r>
            <w:r w:rsidR="00FE5412" w:rsidRPr="00247EE5">
              <w:rPr>
                <w:rFonts w:ascii="Verdana" w:eastAsia="Calibri" w:hAnsi="Verdana" w:cs="Arial"/>
              </w:rPr>
              <w:lastRenderedPageBreak/>
              <w:t xml:space="preserve">asociación se circunscribe al desarrollo de funciones y cometidos de la Entidad Estatal que lo celebra. </w:t>
            </w:r>
          </w:p>
          <w:p w14:paraId="69E5C370" w14:textId="3A3F78DE" w:rsidR="00BB139B" w:rsidRDefault="00BB139B" w:rsidP="00727F9E">
            <w:pPr>
              <w:spacing w:before="120" w:line="276" w:lineRule="auto"/>
              <w:ind w:firstLine="709"/>
              <w:jc w:val="both"/>
              <w:rPr>
                <w:rFonts w:ascii="Verdana" w:eastAsia="Calibri" w:hAnsi="Verdana" w:cs="Arial"/>
                <w:bCs/>
              </w:rPr>
            </w:pPr>
            <w:r>
              <w:rPr>
                <w:rFonts w:ascii="Verdana" w:eastAsia="Calibri" w:hAnsi="Verdana" w:cs="Arial"/>
                <w:color w:val="000000" w:themeColor="text1"/>
                <w:lang w:val="es-ES"/>
              </w:rPr>
              <w:t xml:space="preserve">Conforme a lo expuesto, </w:t>
            </w:r>
            <w:r w:rsidRPr="00247EE5">
              <w:rPr>
                <w:rFonts w:ascii="Verdana" w:eastAsia="Calibri" w:hAnsi="Verdana" w:cs="Arial"/>
                <w:bCs/>
              </w:rPr>
              <w:t xml:space="preserve">las ESAL tienen capacidad para contratar bajo las reglas del EGCAP al ser personas jurídicas consideradas legalmente capaces, en los términos del artículo 6 de la Ley 80 de 1993. </w:t>
            </w:r>
            <w:r>
              <w:rPr>
                <w:rFonts w:ascii="Verdana" w:eastAsia="Calibri" w:hAnsi="Verdana" w:cs="Arial"/>
                <w:bCs/>
              </w:rPr>
              <w:t>Así mismo,</w:t>
            </w:r>
            <w:r w:rsidRPr="00247EE5">
              <w:rPr>
                <w:rFonts w:ascii="Verdana" w:eastAsia="Calibri" w:hAnsi="Verdana" w:cs="Arial"/>
                <w:bCs/>
              </w:rPr>
              <w:t xml:space="preserve"> el Decreto 092 de 2017 reguló un régimen especial de contratación.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p w14:paraId="1E22FAD4" w14:textId="77777777" w:rsidR="00727F9E" w:rsidRDefault="00727F9E" w:rsidP="00EF24D1">
            <w:pPr>
              <w:spacing w:line="276" w:lineRule="auto"/>
              <w:ind w:firstLine="709"/>
              <w:jc w:val="both"/>
              <w:rPr>
                <w:rFonts w:ascii="Verdana" w:eastAsia="Calibri" w:hAnsi="Verdana" w:cs="Arial"/>
                <w:bCs/>
              </w:rPr>
            </w:pPr>
          </w:p>
          <w:p w14:paraId="641A4B15" w14:textId="087A07FF" w:rsidR="008752B4" w:rsidRPr="00247EE5" w:rsidRDefault="00727F9E" w:rsidP="00EF24D1">
            <w:pPr>
              <w:spacing w:after="120" w:line="276" w:lineRule="auto"/>
              <w:jc w:val="both"/>
              <w:rPr>
                <w:rFonts w:ascii="Verdana" w:eastAsia="Calibri" w:hAnsi="Verdana" w:cs="Arial"/>
                <w:bCs/>
              </w:rPr>
            </w:pPr>
            <w:proofErr w:type="spellStart"/>
            <w:r>
              <w:rPr>
                <w:rFonts w:ascii="Verdana" w:eastAsia="Calibri" w:hAnsi="Verdana" w:cs="Arial"/>
                <w:bCs/>
              </w:rPr>
              <w:t>ii</w:t>
            </w:r>
            <w:proofErr w:type="spellEnd"/>
            <w:r>
              <w:rPr>
                <w:rFonts w:ascii="Verdana" w:eastAsia="Calibri" w:hAnsi="Verdana" w:cs="Arial"/>
                <w:bCs/>
              </w:rPr>
              <w:t xml:space="preserve">) </w:t>
            </w:r>
            <w:r w:rsidR="00E64940" w:rsidRPr="00612F2F">
              <w:rPr>
                <w:rFonts w:ascii="Verdana" w:eastAsia="Arial" w:hAnsi="Verdana" w:cs="Arial"/>
                <w:lang w:eastAsia="es-ES_tradnl"/>
              </w:rPr>
              <w:t>Las entidades estatales son autónomas en la configuración del proceso competitivo en desarrollo de los artículos 4 y 5 del Decreto 092 de 2017. En todo caso, el proceso competitivo que definan las entidades estatales para sus contratos de colaboración y sus convenios de asociación debe garantizar la libre concurrencia, la pluralidad de interesados y la comparación objetiva de las ofertas. Este procedimiento puede ser análogo a otros donde existe competencia, como la licitación pública</w:t>
            </w:r>
            <w:r w:rsidR="00E64940" w:rsidRPr="00612F2F">
              <w:rPr>
                <w:rFonts w:ascii="Verdana" w:eastAsia="Calibri" w:hAnsi="Verdana" w:cs="Arial"/>
                <w:lang w:eastAsia="es-ES_tradnl"/>
              </w:rPr>
              <w:t>.</w:t>
            </w:r>
          </w:p>
          <w:p w14:paraId="056056A4" w14:textId="3DF58D43" w:rsidR="00FE5412" w:rsidRPr="00247EE5" w:rsidRDefault="009B4A7F" w:rsidP="00EF24D1">
            <w:pPr>
              <w:spacing w:line="276" w:lineRule="auto"/>
              <w:ind w:firstLine="709"/>
              <w:jc w:val="both"/>
              <w:rPr>
                <w:rFonts w:ascii="Verdana" w:eastAsia="Arial" w:hAnsi="Verdana" w:cs="Arial"/>
              </w:rPr>
            </w:pPr>
            <w:r w:rsidRPr="007E6636">
              <w:rPr>
                <w:rFonts w:ascii="Verdana" w:eastAsia="Calibri" w:hAnsi="Verdana" w:cs="Arial"/>
                <w:color w:val="000000" w:themeColor="text1"/>
              </w:rPr>
              <w:t>Finalmente, el artículo 9 del Decreto 092 de 2017 exige a las ESAL de reconocida idoneidad estar inscritas en el SECOP para celebrar convenios con las entidades públicas, razón por la que se debe usar únicamente el SECOP II, pues es la única plataforma que por funcionalidad permite el registro de proveedores</w:t>
            </w:r>
            <w:r w:rsidR="00E64940">
              <w:rPr>
                <w:rFonts w:ascii="Verdana" w:eastAsia="Calibri" w:hAnsi="Verdana" w:cs="Arial"/>
                <w:color w:val="000000" w:themeColor="text1"/>
              </w:rPr>
              <w:t>.</w:t>
            </w:r>
          </w:p>
        </w:tc>
      </w:tr>
    </w:tbl>
    <w:p w14:paraId="02453BC3" w14:textId="77777777" w:rsidR="00FE5412" w:rsidRPr="00247EE5" w:rsidRDefault="00FE5412" w:rsidP="00FE541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5125ADE" w14:textId="77777777" w:rsidR="00FE5412" w:rsidRPr="00247EE5" w:rsidRDefault="00FE5412" w:rsidP="00FE5412">
      <w:pPr>
        <w:tabs>
          <w:tab w:val="left" w:pos="142"/>
          <w:tab w:val="left" w:pos="284"/>
        </w:tabs>
        <w:spacing w:after="0" w:line="276" w:lineRule="auto"/>
        <w:jc w:val="both"/>
        <w:rPr>
          <w:rFonts w:ascii="Verdana" w:eastAsia="Century Gothic" w:hAnsi="Verdana" w:cs="Century Gothic"/>
          <w:b/>
          <w:bCs/>
          <w:color w:val="000000" w:themeColor="text1"/>
          <w:lang w:val="es-ES"/>
        </w:rPr>
      </w:pPr>
      <w:r w:rsidRPr="00247EE5">
        <w:rPr>
          <w:rFonts w:ascii="Verdana" w:eastAsia="Century Gothic" w:hAnsi="Verdana" w:cs="Century Gothic"/>
          <w:b/>
          <w:bCs/>
          <w:color w:val="000000" w:themeColor="text1"/>
          <w:lang w:val="es-ES"/>
        </w:rPr>
        <w:t>3. Razones de la respuesta:</w:t>
      </w:r>
    </w:p>
    <w:p w14:paraId="1C34C4E1" w14:textId="77777777" w:rsidR="00FE5412" w:rsidRPr="00247EE5" w:rsidRDefault="00FE5412" w:rsidP="00FE5412">
      <w:pPr>
        <w:spacing w:after="0" w:line="276" w:lineRule="auto"/>
        <w:jc w:val="both"/>
        <w:rPr>
          <w:rFonts w:ascii="Verdana" w:eastAsia="Calibri" w:hAnsi="Verdana" w:cs="Arial"/>
          <w:color w:val="000000" w:themeColor="text1"/>
          <w:lang w:val="es-ES"/>
        </w:rPr>
      </w:pPr>
    </w:p>
    <w:p w14:paraId="2F71A822" w14:textId="77E264B5" w:rsidR="00FE5412" w:rsidRPr="00247EE5" w:rsidRDefault="00FE5412" w:rsidP="00FE5412">
      <w:pPr>
        <w:spacing w:after="0" w:line="276" w:lineRule="auto"/>
        <w:jc w:val="both"/>
        <w:rPr>
          <w:rFonts w:ascii="Verdana" w:eastAsia="Calibri" w:hAnsi="Verdana" w:cs="Arial"/>
          <w:color w:val="000000" w:themeColor="text1"/>
        </w:rPr>
      </w:pPr>
      <w:r w:rsidRPr="00247EE5">
        <w:rPr>
          <w:rFonts w:ascii="Verdana" w:eastAsia="Calibri" w:hAnsi="Verdana" w:cs="Arial"/>
          <w:color w:val="000000" w:themeColor="text1"/>
        </w:rPr>
        <w:t xml:space="preserve">Con el propósito de dar respuesta a la consulta planteada, se abordarán </w:t>
      </w:r>
      <w:r w:rsidR="005C5639">
        <w:rPr>
          <w:rFonts w:ascii="Verdana" w:eastAsia="Calibri" w:hAnsi="Verdana" w:cs="Arial"/>
          <w:color w:val="000000" w:themeColor="text1"/>
        </w:rPr>
        <w:t>dos</w:t>
      </w:r>
      <w:r w:rsidR="005C5639" w:rsidRPr="00247EE5">
        <w:rPr>
          <w:rFonts w:ascii="Verdana" w:eastAsia="Calibri" w:hAnsi="Verdana" w:cs="Arial"/>
          <w:color w:val="000000" w:themeColor="text1"/>
        </w:rPr>
        <w:t xml:space="preserve"> </w:t>
      </w:r>
      <w:r w:rsidRPr="00247EE5">
        <w:rPr>
          <w:rFonts w:ascii="Verdana" w:eastAsia="Calibri" w:hAnsi="Verdana" w:cs="Arial"/>
          <w:color w:val="000000" w:themeColor="text1"/>
        </w:rPr>
        <w:t>(</w:t>
      </w:r>
      <w:r w:rsidR="005C5639">
        <w:rPr>
          <w:rFonts w:ascii="Verdana" w:eastAsia="Calibri" w:hAnsi="Verdana" w:cs="Arial"/>
          <w:color w:val="000000" w:themeColor="text1"/>
        </w:rPr>
        <w:t>2</w:t>
      </w:r>
      <w:r w:rsidRPr="00247EE5">
        <w:rPr>
          <w:rFonts w:ascii="Verdana" w:eastAsia="Calibri" w:hAnsi="Verdana" w:cs="Arial"/>
          <w:color w:val="000000" w:themeColor="text1"/>
        </w:rPr>
        <w:t xml:space="preserve">) temas principales: i) la posibilidad de que dichas entidades participen en los procesos de selección regulados por el Estatuto General de </w:t>
      </w:r>
      <w:r w:rsidRPr="00247EE5">
        <w:rPr>
          <w:rFonts w:ascii="Verdana" w:eastAsia="Calibri" w:hAnsi="Verdana" w:cs="Arial"/>
          <w:lang w:val="es-ES"/>
        </w:rPr>
        <w:t>Contratación Pública;</w:t>
      </w:r>
      <w:r w:rsidRPr="00247EE5">
        <w:rPr>
          <w:rFonts w:ascii="Verdana" w:eastAsia="Calibri" w:hAnsi="Verdana" w:cs="Arial"/>
          <w:color w:val="000000" w:themeColor="text1"/>
        </w:rPr>
        <w:t xml:space="preserve"> y </w:t>
      </w:r>
      <w:proofErr w:type="spellStart"/>
      <w:r w:rsidRPr="00247EE5">
        <w:rPr>
          <w:rFonts w:ascii="Verdana" w:eastAsia="Calibri" w:hAnsi="Verdana" w:cs="Arial"/>
          <w:color w:val="000000" w:themeColor="text1"/>
        </w:rPr>
        <w:t>ii</w:t>
      </w:r>
      <w:proofErr w:type="spellEnd"/>
      <w:r w:rsidRPr="00247EE5">
        <w:rPr>
          <w:rFonts w:ascii="Verdana" w:eastAsia="Calibri" w:hAnsi="Verdana" w:cs="Arial"/>
          <w:color w:val="000000" w:themeColor="text1"/>
        </w:rPr>
        <w:t>) la contratación especial con entidades sin ánimo de lucro, regulada por el Decreto 092 de 2017</w:t>
      </w:r>
    </w:p>
    <w:p w14:paraId="364BE343" w14:textId="77777777" w:rsidR="00FE5412" w:rsidRPr="00247EE5" w:rsidRDefault="00FE5412" w:rsidP="00FE5412">
      <w:pPr>
        <w:spacing w:after="0" w:line="276" w:lineRule="auto"/>
        <w:jc w:val="both"/>
        <w:rPr>
          <w:rFonts w:ascii="Verdana" w:eastAsia="Calibri" w:hAnsi="Verdana" w:cs="Arial"/>
          <w:lang w:val="es-ES"/>
        </w:rPr>
      </w:pPr>
    </w:p>
    <w:p w14:paraId="185A630D" w14:textId="0797A5A1" w:rsidR="00FE5412" w:rsidRPr="00247EE5" w:rsidRDefault="00FE5412" w:rsidP="00FE5412">
      <w:pPr>
        <w:spacing w:after="120" w:line="276" w:lineRule="auto"/>
        <w:jc w:val="both"/>
        <w:rPr>
          <w:rFonts w:ascii="Verdana" w:eastAsia="Calibri" w:hAnsi="Verdana" w:cs="Arial"/>
          <w:bCs/>
        </w:rPr>
      </w:pPr>
      <w:r w:rsidRPr="00247EE5">
        <w:rPr>
          <w:rFonts w:ascii="Verdana" w:eastAsia="Calibri" w:hAnsi="Verdana" w:cs="Arial"/>
          <w:bCs/>
        </w:rPr>
        <w:t xml:space="preserve">i. En primer lugar, respecto a la capacidad de participar en los procesos de contratación pública del Estatuto General de Contratación de la Administración Pública – en adelante </w:t>
      </w:r>
      <w:r w:rsidR="003834AD">
        <w:rPr>
          <w:rFonts w:ascii="Verdana" w:eastAsia="Calibri" w:hAnsi="Verdana" w:cs="Arial"/>
          <w:bCs/>
        </w:rPr>
        <w:t>EGCAP</w:t>
      </w:r>
      <w:r w:rsidRPr="00247EE5">
        <w:rPr>
          <w:rFonts w:ascii="Verdana" w:eastAsia="Calibri" w:hAnsi="Verdana" w:cs="Arial"/>
          <w:bCs/>
        </w:rPr>
        <w:t xml:space="preserve">–, se debe aclarar que la capacidad jurídica es la </w:t>
      </w:r>
      <w:r w:rsidRPr="00247EE5">
        <w:rPr>
          <w:rFonts w:ascii="Verdana" w:eastAsia="Calibri" w:hAnsi="Verdana" w:cs="Arial"/>
          <w:bCs/>
        </w:rPr>
        <w:lastRenderedPageBreak/>
        <w:t xml:space="preserve">aptitud que recae en los sujetos activos o pasivos de las relaciones jurídicas. Para efectos de las relaciones contractuales en las que uno de los extremos de la relación sea una entidad estatal, la capacidad contractual es la facultad que se ostenta para celebrar contratos con una entidad estatal. En otras palabras, es: i) la capacidad de obligarse a cumplir el objeto del contrato y </w:t>
      </w:r>
      <w:proofErr w:type="spellStart"/>
      <w:r w:rsidRPr="00247EE5">
        <w:rPr>
          <w:rFonts w:ascii="Verdana" w:eastAsia="Calibri" w:hAnsi="Verdana" w:cs="Arial"/>
          <w:bCs/>
        </w:rPr>
        <w:t>ii</w:t>
      </w:r>
      <w:proofErr w:type="spellEnd"/>
      <w:r w:rsidRPr="00247EE5">
        <w:rPr>
          <w:rFonts w:ascii="Verdana" w:eastAsia="Calibri" w:hAnsi="Verdana" w:cs="Arial"/>
          <w:bCs/>
        </w:rPr>
        <w:t>) de no estar incursa en inhabilidades o incompatibilidades que impiden la celebración del negocio.</w:t>
      </w:r>
    </w:p>
    <w:p w14:paraId="5E9697CD" w14:textId="77777777" w:rsidR="00FE5412" w:rsidRPr="00247EE5" w:rsidRDefault="00FE5412" w:rsidP="00FE5412">
      <w:pPr>
        <w:spacing w:after="120" w:line="276" w:lineRule="auto"/>
        <w:ind w:firstLine="709"/>
        <w:jc w:val="both"/>
        <w:rPr>
          <w:rFonts w:ascii="Verdana" w:eastAsia="Calibri" w:hAnsi="Verdana" w:cs="Arial"/>
          <w:bCs/>
        </w:rPr>
      </w:pPr>
      <w:r w:rsidRPr="00247EE5">
        <w:rPr>
          <w:rFonts w:ascii="Verdana" w:eastAsia="Calibri" w:hAnsi="Verdana" w:cs="Arial"/>
          <w:bCs/>
        </w:rPr>
        <w:t>Para efectos de la aplicación del EGCAP, la capacidad para contratar la tienen las personas consideradas legalmente capaces en las disposiciones vigentes, así como otras formas asociativas.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ausencia de inhabilidades, incompatibilidades o prohibiciones para contratar, derivadas de la ley.</w:t>
      </w:r>
    </w:p>
    <w:p w14:paraId="524A8883" w14:textId="77777777" w:rsidR="00FE5412" w:rsidRPr="00247EE5" w:rsidRDefault="00FE5412" w:rsidP="00FE5412">
      <w:pPr>
        <w:spacing w:before="120" w:after="0" w:line="276" w:lineRule="auto"/>
        <w:ind w:firstLine="709"/>
        <w:jc w:val="both"/>
        <w:rPr>
          <w:rFonts w:ascii="Verdana" w:eastAsia="Calibri" w:hAnsi="Verdana" w:cs="Arial"/>
          <w:bCs/>
        </w:rPr>
      </w:pPr>
      <w:r w:rsidRPr="00247EE5">
        <w:rPr>
          <w:rFonts w:ascii="Verdana" w:eastAsia="Calibri" w:hAnsi="Verdana" w:cs="Arial"/>
          <w:bCs/>
        </w:rPr>
        <w:t>Por tanto, es claro que las ESAL tienen capacidad para contratar bajo las reglas del EGCAP al ser personas jurídicas consideradas legalmente capaces, en los términos del artículo 6 de la Ley 80 de 1993</w:t>
      </w:r>
      <w:r w:rsidRPr="00247EE5">
        <w:rPr>
          <w:rStyle w:val="Refdenotaalpie"/>
          <w:rFonts w:ascii="Verdana" w:eastAsia="Calibri" w:hAnsi="Verdana" w:cs="Arial"/>
          <w:bCs/>
        </w:rPr>
        <w:footnoteReference w:id="1"/>
      </w:r>
      <w:r w:rsidRPr="00247EE5">
        <w:rPr>
          <w:rFonts w:ascii="Verdana" w:eastAsia="Calibri" w:hAnsi="Verdana" w:cs="Arial"/>
          <w:bCs/>
        </w:rPr>
        <w:t>. En armonía con ello, el Decreto 092 de 2017 reguló un régimen especial de contratación, el cual se analizará más adelante. Sin embargo,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p w14:paraId="1063D8CB" w14:textId="77777777" w:rsidR="00FE5412" w:rsidRPr="00247EE5" w:rsidRDefault="00FE5412" w:rsidP="00FE5412">
      <w:pPr>
        <w:spacing w:after="0" w:line="276" w:lineRule="auto"/>
        <w:jc w:val="both"/>
        <w:rPr>
          <w:rFonts w:ascii="Verdana" w:eastAsia="Calibri" w:hAnsi="Verdana" w:cs="Arial"/>
        </w:rPr>
      </w:pPr>
    </w:p>
    <w:p w14:paraId="618096FF" w14:textId="77777777" w:rsidR="00FE5412" w:rsidRPr="00247EE5" w:rsidRDefault="00FE5412" w:rsidP="00FE5412">
      <w:pPr>
        <w:spacing w:after="120" w:line="276" w:lineRule="auto"/>
        <w:jc w:val="both"/>
        <w:rPr>
          <w:rFonts w:ascii="Verdana" w:eastAsia="Calibri" w:hAnsi="Verdana" w:cs="Arial"/>
          <w:lang w:val="es-ES"/>
        </w:rPr>
      </w:pPr>
      <w:proofErr w:type="spellStart"/>
      <w:r w:rsidRPr="00247EE5">
        <w:rPr>
          <w:rFonts w:ascii="Verdana" w:eastAsia="Calibri" w:hAnsi="Verdana" w:cs="Arial"/>
          <w:lang w:val="es-ES"/>
        </w:rPr>
        <w:lastRenderedPageBreak/>
        <w:t>ii</w:t>
      </w:r>
      <w:proofErr w:type="spellEnd"/>
      <w:r w:rsidRPr="00247EE5">
        <w:rPr>
          <w:rFonts w:ascii="Verdana" w:eastAsia="Calibri" w:hAnsi="Verdana" w:cs="Arial"/>
          <w:lang w:val="es-ES"/>
        </w:rPr>
        <w:t>. 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247EE5">
        <w:rPr>
          <w:rStyle w:val="Refdenotaalpie"/>
          <w:rFonts w:ascii="Verdana" w:hAnsi="Verdana" w:cs="Arial"/>
        </w:rPr>
        <w:footnoteReference w:id="2"/>
      </w:r>
      <w:r w:rsidRPr="00247EE5">
        <w:rPr>
          <w:rFonts w:ascii="Verdana" w:eastAsia="Calibri" w:hAnsi="Verdana" w:cs="Arial"/>
          <w:lang w:val="es-ES"/>
        </w:rPr>
        <w:t xml:space="preserve">. </w:t>
      </w:r>
    </w:p>
    <w:p w14:paraId="1D2D97C5" w14:textId="77777777" w:rsidR="00FE5412" w:rsidRPr="00247EE5" w:rsidRDefault="00FE5412" w:rsidP="00FE5412">
      <w:pPr>
        <w:spacing w:after="120" w:line="276" w:lineRule="auto"/>
        <w:ind w:firstLine="708"/>
        <w:jc w:val="both"/>
        <w:rPr>
          <w:rFonts w:ascii="Verdana" w:eastAsia="Calibri" w:hAnsi="Verdana" w:cs="Arial"/>
          <w:lang w:val="es-ES"/>
        </w:rPr>
      </w:pPr>
      <w:r w:rsidRPr="00247EE5">
        <w:rPr>
          <w:rFonts w:ascii="Verdana" w:eastAsia="Calibri" w:hAnsi="Verdana" w:cs="Arial"/>
          <w:lang w:val="es-ES"/>
        </w:rPr>
        <w:t>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w:t>
      </w:r>
      <w:r w:rsidRPr="00247EE5">
        <w:rPr>
          <w:rStyle w:val="Refdenotaalpie"/>
          <w:rFonts w:ascii="Verdana" w:eastAsia="Calibri" w:hAnsi="Verdana" w:cs="Arial"/>
          <w:lang w:val="es-ES"/>
        </w:rPr>
        <w:footnoteReference w:id="3"/>
      </w:r>
      <w:r w:rsidRPr="00247EE5">
        <w:rPr>
          <w:rFonts w:ascii="Verdana" w:eastAsia="Calibri" w:hAnsi="Verdana" w:cs="Arial"/>
          <w:lang w:val="es-ES"/>
        </w:rPr>
        <w:t>. Ambas figuras tienen como fin desarrollar conjuntamente actividades relacionadas con los cometidos y funciones legales asignadas a la entidad. Por lo demás, al utilizar el verbo “podrán”, el ordenamiento deja claro su naturaleza potestativa, ya que no existe norma que obligue a su celebración.</w:t>
      </w:r>
    </w:p>
    <w:p w14:paraId="1A3A23B1" w14:textId="77777777" w:rsidR="00AA0388" w:rsidRPr="00247EE5" w:rsidRDefault="00FE5412" w:rsidP="00AA0388">
      <w:pPr>
        <w:spacing w:after="120" w:line="276" w:lineRule="auto"/>
        <w:ind w:firstLine="709"/>
        <w:jc w:val="both"/>
        <w:rPr>
          <w:rFonts w:ascii="Verdana" w:eastAsia="Calibri" w:hAnsi="Verdana" w:cs="Arial"/>
        </w:rPr>
      </w:pPr>
      <w:bookmarkStart w:id="3" w:name="_Hlk38819155"/>
      <w:r w:rsidRPr="00247EE5">
        <w:rPr>
          <w:rFonts w:ascii="Verdana" w:eastAsia="Calibri" w:hAnsi="Verdana" w:cs="Arial"/>
          <w:lang w:val="es-ES"/>
        </w:rPr>
        <w:t xml:space="preserve">Cuando las entidades definan suscribirlos, el Decreto 092 de 2017 dispone reglas para las contrataciones que realicen las entidades estatales con las ESAL. El Decreto regula dos (2) eventos: a) los contratos del artículo 355 de la Constitución Política con el fin impulsar programas y actividades de interés público de acuerdo con el Plan Nacional o los planes seccionales de desarrollo y; b) los convenios de asociación, para el desarrollo conjunto de actividades relacionadas con las funciones de las entidades estatales, en desarrollo del artículo 96 de la Ley 489 de 1998. </w:t>
      </w:r>
      <w:bookmarkEnd w:id="3"/>
      <w:r w:rsidR="00AA0388" w:rsidRPr="00247EE5">
        <w:rPr>
          <w:rFonts w:ascii="Verdana" w:eastAsia="Calibri" w:hAnsi="Verdana" w:cs="Arial"/>
          <w:color w:val="000000"/>
          <w:lang w:val="es-MX" w:eastAsia="es-ES_tradnl"/>
        </w:rPr>
        <w:t xml:space="preserve">Los primeros están regulados en el artículo 2 del Decreto 092 de 2017, mientras que los segundos en los artículos 5, 6, 7 y 8 </w:t>
      </w:r>
      <w:r w:rsidR="00AA0388" w:rsidRPr="00247EE5">
        <w:rPr>
          <w:rFonts w:ascii="Verdana" w:eastAsia="Calibri" w:hAnsi="Verdana" w:cs="Arial"/>
          <w:i/>
          <w:iCs/>
          <w:color w:val="000000"/>
          <w:lang w:val="es-MX" w:eastAsia="es-ES_tradnl"/>
        </w:rPr>
        <w:t>ibidem</w:t>
      </w:r>
      <w:r w:rsidR="00AA0388" w:rsidRPr="00247EE5">
        <w:rPr>
          <w:rFonts w:ascii="Verdana" w:eastAsia="Calibri" w:hAnsi="Verdana" w:cs="Arial"/>
          <w:color w:val="000000"/>
          <w:lang w:val="es-MX" w:eastAsia="es-ES_tradnl"/>
        </w:rPr>
        <w:t xml:space="preserve">. </w:t>
      </w:r>
    </w:p>
    <w:p w14:paraId="79EAC71A" w14:textId="77777777" w:rsidR="00FE5412" w:rsidRPr="00247EE5" w:rsidRDefault="00FE5412" w:rsidP="00FE5412">
      <w:pPr>
        <w:spacing w:after="120" w:line="276" w:lineRule="auto"/>
        <w:ind w:firstLine="709"/>
        <w:jc w:val="both"/>
        <w:rPr>
          <w:rFonts w:ascii="Verdana" w:eastAsia="Calibri" w:hAnsi="Verdana" w:cs="Arial"/>
          <w:lang w:val="es-ES"/>
        </w:rPr>
      </w:pPr>
      <w:bookmarkStart w:id="4" w:name="_Hlk95756032"/>
      <w:r w:rsidRPr="00247EE5">
        <w:rPr>
          <w:rFonts w:ascii="Verdana" w:eastAsia="Calibri" w:hAnsi="Verdana" w:cs="Arial"/>
          <w:lang w:val="es-ES"/>
        </w:rPr>
        <w:t xml:space="preserve">Los </w:t>
      </w:r>
      <w:r w:rsidRPr="00247EE5">
        <w:rPr>
          <w:rFonts w:ascii="Verdana" w:eastAsia="Calibri" w:hAnsi="Verdana" w:cs="Arial"/>
          <w:i/>
          <w:iCs/>
          <w:lang w:val="es-ES"/>
        </w:rPr>
        <w:t>contratos del artículo 355 de la Constitución Política</w:t>
      </w:r>
      <w:r w:rsidRPr="00247EE5">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w:t>
      </w:r>
      <w:r w:rsidRPr="00247EE5">
        <w:rPr>
          <w:rFonts w:ascii="Verdana" w:eastAsia="Calibri" w:hAnsi="Verdana" w:cs="Arial"/>
          <w:lang w:val="es-ES"/>
        </w:rPr>
        <w:lastRenderedPageBreak/>
        <w:t xml:space="preserve">de la entidad y tampoco a una relación conmutativa entre ésta y la ESAL, toda vez que el beneficio directo lo recibirán, en últimas, los sectores de este tipo de acciones de fomento. </w:t>
      </w:r>
    </w:p>
    <w:p w14:paraId="3EE52D34" w14:textId="77777777" w:rsidR="00FE5412" w:rsidRPr="00247EE5" w:rsidRDefault="00FE5412" w:rsidP="00FE5412">
      <w:pPr>
        <w:spacing w:after="120" w:line="276" w:lineRule="auto"/>
        <w:ind w:firstLine="709"/>
        <w:jc w:val="both"/>
        <w:rPr>
          <w:rFonts w:ascii="Verdana" w:eastAsia="Calibri" w:hAnsi="Verdana" w:cs="Arial"/>
          <w:lang w:val="es-ES"/>
        </w:rPr>
      </w:pPr>
      <w:r w:rsidRPr="00247EE5">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ESAL contratista. En particular, debe verificar el cumplimiento de los siguientes requisitos: i) que el objeto del contrato corresponda a programas y actividades de interés público acordes con el Plan Nacional o Seccional de Desarrollo; y </w:t>
      </w:r>
      <w:proofErr w:type="spellStart"/>
      <w:r w:rsidRPr="00247EE5">
        <w:rPr>
          <w:rFonts w:ascii="Verdana" w:eastAsia="Calibri" w:hAnsi="Verdana" w:cs="Arial"/>
          <w:lang w:val="es-ES"/>
        </w:rPr>
        <w:t>ii</w:t>
      </w:r>
      <w:proofErr w:type="spellEnd"/>
      <w:r w:rsidRPr="00247EE5">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de la Administración Pública. Solo cuando se reúnan estas condiciones es procedente celebrar contratos del artículo 355 de la Constitución Política; de lo contrario, se aplicarán las normas del Estatuto General de Contratación de la Administración Pública.</w:t>
      </w:r>
    </w:p>
    <w:bookmarkEnd w:id="4"/>
    <w:p w14:paraId="7903E7FF" w14:textId="77777777" w:rsidR="00FE5412" w:rsidRPr="00247EE5" w:rsidRDefault="00FE5412" w:rsidP="00EF24D1">
      <w:pPr>
        <w:spacing w:after="120" w:line="276" w:lineRule="auto"/>
        <w:ind w:firstLine="709"/>
        <w:jc w:val="both"/>
        <w:rPr>
          <w:rFonts w:ascii="Verdana" w:eastAsia="Calibri" w:hAnsi="Verdana" w:cs="Arial"/>
          <w:lang w:val="es-ES"/>
        </w:rPr>
      </w:pPr>
      <w:r w:rsidRPr="00247EE5">
        <w:rPr>
          <w:rFonts w:ascii="Verdana" w:eastAsia="Calibri" w:hAnsi="Verdana" w:cs="Arial"/>
          <w:lang w:val="es-ES"/>
        </w:rPr>
        <w:t xml:space="preserve">De otro lado, los </w:t>
      </w:r>
      <w:r w:rsidRPr="00247EE5">
        <w:rPr>
          <w:rFonts w:ascii="Verdana" w:eastAsia="Calibri" w:hAnsi="Verdana" w:cs="Arial"/>
          <w:i/>
          <w:lang w:val="es-ES"/>
        </w:rPr>
        <w:t>convenios de asociación</w:t>
      </w:r>
      <w:r w:rsidRPr="00247EE5">
        <w:rPr>
          <w:rFonts w:ascii="Verdana" w:eastAsia="Calibri" w:hAnsi="Verdana" w:cs="Arial"/>
          <w:lang w:val="es-ES"/>
        </w:rPr>
        <w:t xml:space="preserve"> “[t]</w:t>
      </w:r>
      <w:proofErr w:type="spellStart"/>
      <w:r w:rsidRPr="00247EE5">
        <w:rPr>
          <w:rFonts w:ascii="Verdana" w:eastAsia="Calibri" w:hAnsi="Verdana" w:cs="Arial"/>
          <w:lang w:val="es-ES"/>
        </w:rPr>
        <w:t>ienen</w:t>
      </w:r>
      <w:proofErr w:type="spellEnd"/>
      <w:r w:rsidRPr="00247EE5">
        <w:rPr>
          <w:rFonts w:ascii="Verdana" w:eastAsia="Calibri" w:hAnsi="Verdana" w:cs="Arial"/>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247EE5">
        <w:rPr>
          <w:rStyle w:val="Refdenotaalpie"/>
          <w:rFonts w:ascii="Verdana" w:hAnsi="Verdana" w:cs="Arial"/>
        </w:rPr>
        <w:footnoteReference w:id="4"/>
      </w:r>
      <w:r w:rsidRPr="00247EE5">
        <w:rPr>
          <w:rFonts w:ascii="Verdana" w:eastAsia="Calibri" w:hAnsi="Verdana" w:cs="Arial"/>
          <w:lang w:val="es-ES"/>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treinta por ciento (30%) del valor total del convenio. El convenio de asociación no es conmutativo y, por tanto, la entidad no instruye al contratista para desarrollar los programas o actividades previstas, sino que se asocia con él para el cumplimiento de objetivos comunes</w:t>
      </w:r>
      <w:r w:rsidRPr="00247EE5">
        <w:rPr>
          <w:rStyle w:val="Refdenotaalpie"/>
          <w:rFonts w:ascii="Verdana" w:hAnsi="Verdana" w:cs="Arial"/>
        </w:rPr>
        <w:footnoteReference w:id="5"/>
      </w:r>
      <w:r w:rsidRPr="00247EE5">
        <w:rPr>
          <w:rFonts w:ascii="Verdana" w:eastAsia="Calibri" w:hAnsi="Verdana" w:cs="Arial"/>
          <w:lang w:val="es-ES"/>
        </w:rPr>
        <w:t>.</w:t>
      </w:r>
    </w:p>
    <w:p w14:paraId="40A56455" w14:textId="77777777" w:rsidR="00FE5412" w:rsidRPr="00247EE5" w:rsidRDefault="00FE5412" w:rsidP="00FE5412">
      <w:pPr>
        <w:spacing w:after="120" w:line="276" w:lineRule="auto"/>
        <w:ind w:firstLine="709"/>
        <w:jc w:val="both"/>
        <w:rPr>
          <w:rFonts w:ascii="Verdana" w:eastAsia="Calibri" w:hAnsi="Verdana" w:cs="Arial"/>
        </w:rPr>
      </w:pPr>
      <w:r w:rsidRPr="00247EE5">
        <w:rPr>
          <w:rFonts w:ascii="Verdana" w:eastAsia="Calibri" w:hAnsi="Verdana" w:cs="Arial"/>
          <w:color w:val="000000"/>
          <w:lang w:val="es-MX" w:eastAsia="es-ES_tradnl"/>
        </w:rPr>
        <w:t xml:space="preserve">De conformidad con el inciso segundo del artículo 96 de la Ley 489 de 1998, en </w:t>
      </w:r>
      <w:r w:rsidRPr="00247EE5">
        <w:rPr>
          <w:rFonts w:ascii="Verdana" w:eastAsia="Calibri" w:hAnsi="Verdana" w:cs="Arial"/>
          <w:color w:val="000000"/>
          <w:lang w:eastAsia="es-ES_tradnl"/>
        </w:rPr>
        <w:t>los</w:t>
      </w:r>
      <w:r w:rsidRPr="00247EE5">
        <w:rPr>
          <w:rFonts w:ascii="Verdana" w:eastAsia="Calibri" w:hAnsi="Verdana" w:cs="Arial"/>
          <w:color w:val="000000"/>
          <w:lang w:val="es-MX" w:eastAsia="es-ES_tradnl"/>
        </w:rPr>
        <w:t xml:space="preserve"> convenios</w:t>
      </w:r>
      <w:r w:rsidRPr="00247EE5">
        <w:rPr>
          <w:rFonts w:ascii="Verdana" w:eastAsia="Calibri" w:hAnsi="Verdana" w:cs="Arial"/>
          <w:color w:val="000000"/>
          <w:lang w:eastAsia="es-ES_tradnl"/>
        </w:rPr>
        <w:t xml:space="preserve"> de asociación</w:t>
      </w:r>
      <w:r w:rsidRPr="00247EE5">
        <w:rPr>
          <w:rFonts w:ascii="Verdana" w:eastAsia="Calibri" w:hAnsi="Verdana" w:cs="Arial"/>
          <w:color w:val="000000"/>
          <w:lang w:val="es-MX" w:eastAsia="es-ES_tradnl"/>
        </w:rPr>
        <w:t xml:space="preserve"> debe determinarse “con precisión su </w:t>
      </w:r>
      <w:r w:rsidRPr="00247EE5">
        <w:rPr>
          <w:rFonts w:ascii="Verdana" w:eastAsia="Calibri" w:hAnsi="Verdana" w:cs="Arial"/>
          <w:color w:val="000000"/>
          <w:lang w:val="es-MX" w:eastAsia="es-ES_tradnl"/>
        </w:rPr>
        <w:lastRenderedPageBreak/>
        <w:t>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w:t>
      </w:r>
      <w:r w:rsidRPr="00247EE5">
        <w:rPr>
          <w:rFonts w:ascii="Verdana" w:eastAsia="Calibri" w:hAnsi="Verdana" w:cs="Arial"/>
          <w:color w:val="000000"/>
          <w:lang w:eastAsia="es-ES_tradnl"/>
        </w:rPr>
        <w:t xml:space="preserve"> del valor total</w:t>
      </w:r>
      <w:r w:rsidRPr="00247EE5">
        <w:rPr>
          <w:rFonts w:ascii="Verdana" w:eastAsia="Calibri" w:hAnsi="Verdana" w:cs="Arial"/>
          <w:color w:val="000000"/>
          <w:lang w:val="es-MX" w:eastAsia="es-ES_tradnl"/>
        </w:rPr>
        <w:t xml:space="preserve">, o en especie, los cuales deben servir al desarrollo de los objetivos comunes de la asociación. </w:t>
      </w:r>
    </w:p>
    <w:p w14:paraId="2406F296" w14:textId="77777777" w:rsidR="00FE5412" w:rsidRPr="00247EE5" w:rsidRDefault="00FE5412" w:rsidP="00FE5412">
      <w:pPr>
        <w:spacing w:after="120" w:line="276" w:lineRule="auto"/>
        <w:ind w:firstLine="708"/>
        <w:jc w:val="both"/>
        <w:rPr>
          <w:rFonts w:ascii="Verdana" w:eastAsia="Calibri" w:hAnsi="Verdana" w:cs="Arial"/>
        </w:rPr>
      </w:pPr>
      <w:r w:rsidRPr="00247EE5">
        <w:rPr>
          <w:rFonts w:ascii="Verdana" w:eastAsia="Calibri" w:hAnsi="Verdana" w:cs="Arial"/>
        </w:rPr>
        <w:t xml:space="preserve">Teniendo en cuenta lo expuesto, es importante señalar que </w:t>
      </w:r>
      <w:bookmarkStart w:id="5" w:name="_Hlk171937920"/>
      <w:r w:rsidRPr="00247EE5">
        <w:rPr>
          <w:rFonts w:ascii="Verdana" w:eastAsia="Calibri" w:hAnsi="Verdana" w:cs="Arial"/>
        </w:rPr>
        <w:t>no todas las actividades que las Entidades Estatales deben desarrollar para alcanzar sus objetivos misionales deben ejecutarse a través de la celebración de contratos de colaboración del artículo 355 superior o convenios de asociación. Sobre el particular, debe tenerse en cuenta que lo que determina la aplicación del Decreto 092 de 2017 no es únicamente el carácter de las ESAL, sino el objeto del contrato o convenio que la entidad pretende adelantar. Por tanto, el hecho de que se trate de una ESAL no implica que necesariamente deba celebrarse un contrato de colaboración o un convenio de asociación.</w:t>
      </w:r>
      <w:bookmarkEnd w:id="5"/>
      <w:r w:rsidRPr="00247EE5">
        <w:rPr>
          <w:rFonts w:ascii="Verdana" w:eastAsia="Calibri" w:hAnsi="Verdana" w:cs="Arial"/>
        </w:rPr>
        <w:t xml:space="preserve"> </w:t>
      </w:r>
    </w:p>
    <w:p w14:paraId="399538F0" w14:textId="77777777" w:rsidR="00FE5412" w:rsidRPr="00247EE5" w:rsidRDefault="00FE5412" w:rsidP="00FE5412">
      <w:pPr>
        <w:spacing w:after="0" w:line="276" w:lineRule="auto"/>
        <w:ind w:firstLine="708"/>
        <w:jc w:val="both"/>
        <w:rPr>
          <w:rFonts w:ascii="Verdana" w:eastAsia="Calibri" w:hAnsi="Verdana" w:cs="Arial"/>
        </w:rPr>
      </w:pPr>
      <w:r w:rsidRPr="00247EE5">
        <w:rPr>
          <w:rFonts w:ascii="Verdana" w:eastAsia="Calibri" w:hAnsi="Verdana" w:cs="Arial"/>
        </w:rPr>
        <w:t xml:space="preserve">Así lo reconoció </w:t>
      </w:r>
      <w:r w:rsidRPr="00247EE5">
        <w:rPr>
          <w:rFonts w:ascii="Verdana" w:hAnsi="Verdana" w:cs="Arial"/>
        </w:rPr>
        <w:t xml:space="preserve">la </w:t>
      </w:r>
      <w:bookmarkStart w:id="6" w:name="_Hlk171946251"/>
      <w:r w:rsidRPr="00247EE5">
        <w:rPr>
          <w:rFonts w:ascii="Verdana" w:hAnsi="Verdana" w:cs="Arial"/>
        </w:rPr>
        <w:t>Sala de Consulta y Servicio Civil del Consejo de Estado</w:t>
      </w:r>
      <w:bookmarkEnd w:id="6"/>
      <w:r w:rsidRPr="00247EE5">
        <w:rPr>
          <w:rStyle w:val="Refdenotaalpie"/>
          <w:rFonts w:ascii="Verdana" w:hAnsi="Verdana" w:cs="Arial"/>
        </w:rPr>
        <w:footnoteReference w:id="6"/>
      </w:r>
      <w:r w:rsidRPr="00247EE5">
        <w:rPr>
          <w:rFonts w:ascii="Verdana" w:hAnsi="Verdana" w:cs="Arial"/>
        </w:rPr>
        <w:t xml:space="preserve"> en los siguientes términos:</w:t>
      </w:r>
    </w:p>
    <w:p w14:paraId="2CB61DDD" w14:textId="77777777" w:rsidR="00FE5412" w:rsidRPr="00247EE5" w:rsidRDefault="00FE5412" w:rsidP="00FE5412">
      <w:pPr>
        <w:pStyle w:val="Sinespaciado"/>
        <w:spacing w:line="276" w:lineRule="auto"/>
        <w:jc w:val="both"/>
        <w:rPr>
          <w:rFonts w:ascii="Verdana" w:hAnsi="Verdana" w:cs="Arial"/>
          <w:sz w:val="22"/>
        </w:rPr>
      </w:pPr>
    </w:p>
    <w:p w14:paraId="61A4767C" w14:textId="77777777" w:rsidR="00FE5412" w:rsidRPr="00247EE5" w:rsidRDefault="00FE5412" w:rsidP="00FE5412">
      <w:pPr>
        <w:spacing w:after="0" w:line="240" w:lineRule="auto"/>
        <w:ind w:left="709" w:right="709"/>
        <w:jc w:val="both"/>
        <w:rPr>
          <w:rFonts w:ascii="Verdana" w:eastAsia="Calibri" w:hAnsi="Verdana" w:cs="Arial"/>
          <w:sz w:val="20"/>
          <w:szCs w:val="20"/>
        </w:rPr>
      </w:pPr>
      <w:r w:rsidRPr="00247EE5">
        <w:rPr>
          <w:rFonts w:ascii="Verdana" w:eastAsia="Calibri" w:hAnsi="Verdana" w:cs="Arial"/>
          <w:sz w:val="20"/>
          <w:szCs w:val="20"/>
        </w:rPr>
        <w:t xml:space="preserve">“Como ya se indicó, </w:t>
      </w:r>
      <w:bookmarkStart w:id="8" w:name="_Hlk171946287"/>
      <w:r w:rsidRPr="00247EE5">
        <w:rPr>
          <w:rFonts w:ascii="Verdana" w:eastAsia="Calibri" w:hAnsi="Verdana" w:cs="Arial"/>
          <w:sz w:val="20"/>
          <w:szCs w:val="20"/>
        </w:rPr>
        <w:t xml:space="preserve">el objeto de los contratos que autoriza el inciso segundo del artículo 355 Superior, se limita a la realización de actividades o programas de interés público que, conforme a los planes de desarrollo, adelanten instituciones privadas sin ánimo de lucro. </w:t>
      </w:r>
      <w:bookmarkEnd w:id="8"/>
      <w:r w:rsidRPr="00247EE5">
        <w:rPr>
          <w:rFonts w:ascii="Verdana" w:eastAsia="Calibri" w:hAnsi="Verdana" w:cs="Arial"/>
          <w:sz w:val="20"/>
          <w:szCs w:val="20"/>
        </w:rPr>
        <w:t xml:space="preserve">Aquellos que generan una contraprestación directa a favor de la entidad contratante y los que tienen por objeto desarrollar proyectos específicos, corresponden al giro normal de las funciones propias de la entidad estatal, </w:t>
      </w:r>
      <w:proofErr w:type="gramStart"/>
      <w:r w:rsidRPr="00247EE5">
        <w:rPr>
          <w:rFonts w:ascii="Verdana" w:eastAsia="Calibri" w:hAnsi="Verdana" w:cs="Arial"/>
          <w:sz w:val="20"/>
          <w:szCs w:val="20"/>
        </w:rPr>
        <w:t>y</w:t>
      </w:r>
      <w:proofErr w:type="gramEnd"/>
      <w:r w:rsidRPr="00247EE5">
        <w:rPr>
          <w:rFonts w:ascii="Verdana" w:eastAsia="Calibri" w:hAnsi="Verdana" w:cs="Arial"/>
          <w:sz w:val="20"/>
          <w:szCs w:val="20"/>
        </w:rPr>
        <w:t xml:space="preserve"> por lo tanto, se tipifican dentro de cualquiera de las modalidades de contratación de la ley 80 de 1.993, debiendo sujetarse a los procedimientos allí previstos, en especial los de escogencia del contratista.</w:t>
      </w:r>
    </w:p>
    <w:p w14:paraId="7D624CA8" w14:textId="77777777" w:rsidR="00FE5412" w:rsidRPr="00247EE5" w:rsidRDefault="00FE5412" w:rsidP="00FE5412">
      <w:pPr>
        <w:spacing w:after="0" w:line="240" w:lineRule="auto"/>
        <w:ind w:left="709" w:right="709"/>
        <w:jc w:val="both"/>
        <w:rPr>
          <w:rFonts w:ascii="Verdana" w:eastAsia="Calibri" w:hAnsi="Verdana" w:cs="Arial"/>
          <w:sz w:val="20"/>
          <w:szCs w:val="20"/>
        </w:rPr>
      </w:pPr>
    </w:p>
    <w:p w14:paraId="3F23D286" w14:textId="77777777" w:rsidR="00FE5412" w:rsidRPr="00247EE5" w:rsidRDefault="00FE5412" w:rsidP="00FE5412">
      <w:pPr>
        <w:spacing w:after="0" w:line="240" w:lineRule="auto"/>
        <w:ind w:left="709" w:right="709"/>
        <w:jc w:val="both"/>
        <w:rPr>
          <w:rFonts w:ascii="Verdana" w:eastAsia="Calibri" w:hAnsi="Verdana" w:cs="Arial"/>
          <w:sz w:val="20"/>
          <w:szCs w:val="20"/>
        </w:rPr>
      </w:pPr>
      <w:r w:rsidRPr="00247EE5">
        <w:rPr>
          <w:rFonts w:ascii="Verdana" w:eastAsia="Calibri" w:hAnsi="Verdana" w:cs="Arial"/>
          <w:sz w:val="20"/>
          <w:szCs w:val="20"/>
        </w:rPr>
        <w:t xml:space="preserve">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w:t>
      </w:r>
      <w:proofErr w:type="gramStart"/>
      <w:r w:rsidRPr="00247EE5">
        <w:rPr>
          <w:rFonts w:ascii="Verdana" w:eastAsia="Calibri" w:hAnsi="Verdana" w:cs="Arial"/>
          <w:sz w:val="20"/>
          <w:szCs w:val="20"/>
        </w:rPr>
        <w:t>sería</w:t>
      </w:r>
      <w:proofErr w:type="gramEnd"/>
      <w:r w:rsidRPr="00247EE5">
        <w:rPr>
          <w:rFonts w:ascii="Verdana" w:eastAsia="Calibri" w:hAnsi="Verdana" w:cs="Arial"/>
          <w:sz w:val="20"/>
          <w:szCs w:val="20"/>
        </w:rPr>
        <w:t xml:space="preserve"> por ejemplo, contratos de prestación de servicios o de obra pública”.</w:t>
      </w:r>
    </w:p>
    <w:p w14:paraId="5C504481" w14:textId="77777777" w:rsidR="00FE5412" w:rsidRPr="00247EE5" w:rsidRDefault="00FE5412" w:rsidP="00FE5412">
      <w:pPr>
        <w:spacing w:after="0" w:line="276" w:lineRule="auto"/>
        <w:jc w:val="both"/>
        <w:rPr>
          <w:rFonts w:ascii="Verdana" w:eastAsia="Calibri" w:hAnsi="Verdana" w:cs="Arial"/>
        </w:rPr>
      </w:pPr>
    </w:p>
    <w:p w14:paraId="0E61034D" w14:textId="3AA4E701" w:rsidR="00FE5412" w:rsidRPr="00247EE5" w:rsidRDefault="00FE5412" w:rsidP="00FE5412">
      <w:pPr>
        <w:spacing w:after="120" w:line="276" w:lineRule="auto"/>
        <w:ind w:firstLine="708"/>
        <w:jc w:val="both"/>
        <w:rPr>
          <w:rFonts w:ascii="Verdana" w:eastAsia="Calibri" w:hAnsi="Verdana" w:cs="Arial"/>
        </w:rPr>
      </w:pPr>
      <w:r w:rsidRPr="00247EE5">
        <w:rPr>
          <w:rFonts w:ascii="Verdana" w:eastAsia="Calibri" w:hAnsi="Verdana" w:cs="Arial"/>
        </w:rPr>
        <w:t xml:space="preserve">Así las cosas, resulta pertinente analizar los objetos contractuales que se habilitan celebrar a través de los contratos de colaboración y los convenios de asociación. </w:t>
      </w:r>
    </w:p>
    <w:p w14:paraId="3AC84CCE" w14:textId="77777777" w:rsidR="00FE5412" w:rsidRPr="00247EE5" w:rsidRDefault="00FE5412" w:rsidP="00FE5412">
      <w:pPr>
        <w:spacing w:after="120" w:line="276" w:lineRule="auto"/>
        <w:ind w:firstLine="708"/>
        <w:jc w:val="both"/>
        <w:rPr>
          <w:rFonts w:ascii="Verdana" w:eastAsia="Calibri" w:hAnsi="Verdana" w:cs="Arial"/>
        </w:rPr>
      </w:pPr>
      <w:r w:rsidRPr="00247EE5">
        <w:rPr>
          <w:rFonts w:ascii="Verdana" w:eastAsia="Calibri" w:hAnsi="Verdana" w:cs="Arial"/>
        </w:rPr>
        <w:t>En primer lugar, una característica esencial de los convenios a los que se refiere el inciso segundo del artículo 355 Constitucional – contratos de colaboración – es que su objeto esté determinado por la realización de programas y actividades de interés público acordes con el Plan Nacional de Desarrollo y los planes seccionales de desarrollo</w:t>
      </w:r>
      <w:r w:rsidRPr="00247EE5">
        <w:rPr>
          <w:vertAlign w:val="superscript"/>
        </w:rPr>
        <w:footnoteReference w:id="7"/>
      </w:r>
      <w:r w:rsidRPr="00247EE5">
        <w:rPr>
          <w:rFonts w:ascii="Verdana" w:eastAsia="Calibri" w:hAnsi="Verdana" w:cs="Arial"/>
        </w:rPr>
        <w:t>, los cuales se encuentran regulados en los artículos 339 a 344 de la Constitución Política. Sobre este aspecto, la Corte Constitucional ha indicado que el objeto de estos convenios es el "desarrollo de actividades esencialmente benéficas, no como instrumento económico, sino con un propósito meramente asistencial y altruista, en el que, a diferencia del pasado, no se privilegia la arbitrariedad y unilateralidad del gasto público, sino que se exige un grado aceptable de reciprocidad por parte del beneficiario de la ayuda"</w:t>
      </w:r>
      <w:r w:rsidRPr="00247EE5">
        <w:rPr>
          <w:vertAlign w:val="superscript"/>
        </w:rPr>
        <w:footnoteReference w:id="8"/>
      </w:r>
      <w:r w:rsidRPr="00247EE5">
        <w:rPr>
          <w:rFonts w:ascii="Verdana" w:eastAsia="Calibri" w:hAnsi="Verdana" w:cs="Arial"/>
        </w:rPr>
        <w:t>.</w:t>
      </w:r>
    </w:p>
    <w:p w14:paraId="31375EA4" w14:textId="77777777" w:rsidR="00FE5412" w:rsidRPr="00247EE5" w:rsidRDefault="00FE5412" w:rsidP="00FE5412">
      <w:pPr>
        <w:spacing w:after="120" w:line="276" w:lineRule="auto"/>
        <w:ind w:firstLine="708"/>
        <w:jc w:val="both"/>
        <w:rPr>
          <w:rFonts w:ascii="Verdana" w:eastAsia="Calibri" w:hAnsi="Verdana" w:cs="Arial"/>
        </w:rPr>
      </w:pPr>
      <w:r w:rsidRPr="00247EE5">
        <w:rPr>
          <w:rFonts w:ascii="Verdana" w:eastAsia="Calibri" w:hAnsi="Verdana" w:cs="Arial"/>
        </w:rPr>
        <w:t>Para ilustrar lo anterior, se propone el siguiente ejemplo, si una Alcaldía municipal desea impulsar un programa de atención integral a los ancianos y quiere definir si puede recurrir o no a la contratación de interés público, deberá identificar primero si el desarrollo de esa actividad está incluido en el plan de desarrollo municipal o acorde con este. Si la respuesta es positiva, se tendrá por satisfecho el precitado requisito.</w:t>
      </w:r>
    </w:p>
    <w:p w14:paraId="34369152" w14:textId="77777777" w:rsidR="00FE5412" w:rsidRPr="00247EE5" w:rsidRDefault="00FE5412" w:rsidP="00FE5412">
      <w:pPr>
        <w:spacing w:after="120" w:line="276" w:lineRule="auto"/>
        <w:ind w:firstLine="708"/>
        <w:jc w:val="both"/>
        <w:rPr>
          <w:rFonts w:ascii="Verdana" w:eastAsia="Calibri" w:hAnsi="Verdana" w:cs="Arial"/>
        </w:rPr>
      </w:pPr>
      <w:r w:rsidRPr="00247EE5">
        <w:rPr>
          <w:rFonts w:ascii="Verdana" w:eastAsia="Calibri" w:hAnsi="Verdana" w:cs="Arial"/>
        </w:rPr>
        <w:t xml:space="preserve">Respecto del objeto de los contratos de colaboración, el Consejo de Estado, en el auto del 6 de agosto de 2019, estudió el literal a), del artículo 2, del Decreto 092, que establece que únicamente se podrá contratar con ESAL cuando el objeto corresponda directamente con los planes de desarrollo y busque exclusivamente promover los derechos de personas en situación de debilidad manifiesta o indefensión, los derechos de las minorías, el derecho a la </w:t>
      </w:r>
      <w:r w:rsidRPr="00247EE5">
        <w:rPr>
          <w:rFonts w:ascii="Verdana" w:eastAsia="Calibri" w:hAnsi="Verdana" w:cs="Arial"/>
        </w:rPr>
        <w:lastRenderedPageBreak/>
        <w:t>educación, el derecho a la paz, las manifestaciones artísticas, culturales, deportivas y de promoción de la diversidad étnica colombiana</w:t>
      </w:r>
      <w:r w:rsidRPr="00247EE5">
        <w:rPr>
          <w:vertAlign w:val="superscript"/>
        </w:rPr>
        <w:footnoteReference w:id="9"/>
      </w:r>
      <w:r w:rsidRPr="00247EE5">
        <w:rPr>
          <w:rFonts w:ascii="Verdana" w:eastAsia="Calibri" w:hAnsi="Verdana" w:cs="Arial"/>
        </w:rPr>
        <w:t xml:space="preserve">. </w:t>
      </w:r>
      <w:bookmarkStart w:id="10" w:name="_Hlk95756502"/>
      <w:r w:rsidRPr="00247EE5">
        <w:rPr>
          <w:rFonts w:ascii="Verdana" w:eastAsia="Calibri" w:hAnsi="Verdana" w:cs="Arial"/>
        </w:rPr>
        <w:t xml:space="preserve"> </w:t>
      </w:r>
    </w:p>
    <w:p w14:paraId="2C71C52A" w14:textId="77777777" w:rsidR="00FE5412" w:rsidRPr="00247EE5" w:rsidRDefault="00FE5412" w:rsidP="00FE5412">
      <w:pPr>
        <w:spacing w:after="0" w:line="276" w:lineRule="auto"/>
        <w:ind w:firstLine="708"/>
        <w:jc w:val="both"/>
        <w:rPr>
          <w:rFonts w:ascii="Verdana" w:eastAsia="Calibri" w:hAnsi="Verdana" w:cs="Arial"/>
        </w:rPr>
      </w:pPr>
      <w:r w:rsidRPr="00247EE5">
        <w:rPr>
          <w:rFonts w:ascii="Verdana" w:eastAsia="Calibri" w:hAnsi="Verdana" w:cs="Arial"/>
        </w:rPr>
        <w:t xml:space="preserve">En relación con esta norma, encontró que el literal a) del artículo 2 establece dos (2) condiciones 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no debe estar explícitamente en el plan de desarrollo sino que se encuentre en armonía con este. </w:t>
      </w:r>
      <w:bookmarkEnd w:id="10"/>
      <w:r w:rsidRPr="00247EE5">
        <w:rPr>
          <w:rFonts w:ascii="Verdana" w:eastAsia="Calibri" w:hAnsi="Verdana" w:cs="Arial"/>
        </w:rPr>
        <w:t xml:space="preserve">En relación con lo anterior, el auto del Consejo de Estado explica que: </w:t>
      </w:r>
    </w:p>
    <w:p w14:paraId="23A5B5F3" w14:textId="77777777" w:rsidR="00FE5412" w:rsidRPr="00247EE5" w:rsidRDefault="00FE5412" w:rsidP="00FE5412">
      <w:pPr>
        <w:pStyle w:val="Prrafodelista"/>
        <w:spacing w:after="0" w:line="276" w:lineRule="auto"/>
        <w:ind w:left="360"/>
        <w:contextualSpacing w:val="0"/>
        <w:jc w:val="both"/>
        <w:rPr>
          <w:rFonts w:ascii="Verdana" w:eastAsia="Calibri" w:hAnsi="Verdana" w:cs="Arial"/>
        </w:rPr>
      </w:pPr>
    </w:p>
    <w:p w14:paraId="2741EF04" w14:textId="77777777" w:rsidR="00FE5412" w:rsidRPr="00247EE5" w:rsidRDefault="00FE5412" w:rsidP="00FE5412">
      <w:pPr>
        <w:spacing w:after="0" w:line="240" w:lineRule="auto"/>
        <w:ind w:left="709" w:right="709"/>
        <w:jc w:val="both"/>
        <w:rPr>
          <w:rFonts w:ascii="Verdana" w:eastAsia="Calibri" w:hAnsi="Verdana" w:cs="Arial"/>
          <w:sz w:val="20"/>
          <w:szCs w:val="20"/>
        </w:rPr>
      </w:pPr>
      <w:r w:rsidRPr="00247EE5">
        <w:rPr>
          <w:rFonts w:ascii="Verdana" w:eastAsia="Calibri" w:hAnsi="Verdana" w:cs="Arial"/>
          <w:sz w:val="20"/>
          <w:szCs w:val="20"/>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277B27B9" w14:textId="77777777" w:rsidR="00FE5412" w:rsidRPr="00247EE5" w:rsidRDefault="00FE5412" w:rsidP="00FE5412">
      <w:pPr>
        <w:spacing w:after="0" w:line="276" w:lineRule="auto"/>
        <w:jc w:val="both"/>
        <w:rPr>
          <w:rFonts w:ascii="Verdana" w:eastAsia="Calibri" w:hAnsi="Verdana" w:cs="Arial"/>
        </w:rPr>
      </w:pPr>
    </w:p>
    <w:p w14:paraId="3AAFB1AF" w14:textId="77777777" w:rsidR="00FE5412" w:rsidRPr="00247EE5" w:rsidRDefault="00FE5412" w:rsidP="00FE5412">
      <w:pPr>
        <w:spacing w:after="0" w:line="276" w:lineRule="auto"/>
        <w:ind w:firstLine="708"/>
        <w:jc w:val="both"/>
        <w:rPr>
          <w:rFonts w:ascii="Verdana" w:eastAsia="Calibri" w:hAnsi="Verdana" w:cs="Arial"/>
        </w:rPr>
      </w:pPr>
      <w:r w:rsidRPr="00247EE5">
        <w:rPr>
          <w:rFonts w:ascii="Verdana" w:eastAsia="Calibri" w:hAnsi="Verdana" w:cs="Arial"/>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01405960" w14:textId="77777777" w:rsidR="00FE5412" w:rsidRPr="00247EE5" w:rsidRDefault="00FE5412" w:rsidP="00FE5412">
      <w:pPr>
        <w:spacing w:after="0" w:line="276" w:lineRule="auto"/>
        <w:jc w:val="both"/>
        <w:rPr>
          <w:rFonts w:ascii="Verdana" w:eastAsia="Calibri" w:hAnsi="Verdana" w:cs="Arial"/>
        </w:rPr>
      </w:pPr>
    </w:p>
    <w:p w14:paraId="1CB16057" w14:textId="77777777" w:rsidR="00FE5412" w:rsidRPr="00247EE5" w:rsidRDefault="00FE5412" w:rsidP="00FE5412">
      <w:pPr>
        <w:tabs>
          <w:tab w:val="left" w:pos="8080"/>
        </w:tabs>
        <w:spacing w:after="0" w:line="240" w:lineRule="auto"/>
        <w:ind w:left="709" w:right="709"/>
        <w:jc w:val="both"/>
        <w:rPr>
          <w:rFonts w:ascii="Verdana" w:eastAsia="Calibri" w:hAnsi="Verdana" w:cs="Arial"/>
          <w:sz w:val="20"/>
          <w:szCs w:val="20"/>
        </w:rPr>
      </w:pPr>
      <w:r w:rsidRPr="00247EE5">
        <w:rPr>
          <w:rFonts w:ascii="Verdana" w:eastAsia="Calibri" w:hAnsi="Verdana" w:cs="Arial"/>
          <w:sz w:val="20"/>
          <w:szCs w:val="20"/>
        </w:rPr>
        <w:t xml:space="preserve">“Una limitación del anterior calado implica, sin duda, establecer una condición no prevista en la norma constitucional reglamentada. Esta última solo establece una restricción y es que la “causa” del contrato tenga como finalidad “… impulsar programas y actividades de interés público acordes con el plan de desarrollo”, mientras que, por su parte, la norma </w:t>
      </w:r>
      <w:r w:rsidRPr="00247EE5">
        <w:rPr>
          <w:rFonts w:ascii="Verdana" w:eastAsia="Calibri" w:hAnsi="Verdana" w:cs="Arial"/>
          <w:sz w:val="20"/>
          <w:szCs w:val="20"/>
        </w:rPr>
        <w:lastRenderedPageBreak/>
        <w:t xml:space="preserve">acusada limita la celebración de tales contratos a que tengan como objeto la promoción de las actividades enunciadas anteriormente [letra a, art. 2 ibidem]. Si la norma constitucional restringe sólo la causa o la finalidad del contrato, quiere decir ello que, independientemente de su objeto, puede celebrarse en cualquier modalidad, siempre y cuando –claro está– su causa sea “acorde” con los planes de desarrollo, que es, en últimas, el propósito de la norma constitucional”. </w:t>
      </w:r>
    </w:p>
    <w:p w14:paraId="5BC9A061" w14:textId="77777777" w:rsidR="00FE5412" w:rsidRPr="00247EE5" w:rsidRDefault="00FE5412" w:rsidP="00FE5412">
      <w:pPr>
        <w:spacing w:after="0" w:line="276" w:lineRule="auto"/>
        <w:jc w:val="both"/>
        <w:rPr>
          <w:rFonts w:ascii="Verdana" w:eastAsia="Calibri" w:hAnsi="Verdana" w:cs="Arial"/>
        </w:rPr>
      </w:pPr>
      <w:r w:rsidRPr="00247EE5">
        <w:rPr>
          <w:rFonts w:ascii="Verdana" w:eastAsia="Calibri" w:hAnsi="Verdana" w:cs="Arial"/>
        </w:rPr>
        <w:t xml:space="preserve"> </w:t>
      </w:r>
    </w:p>
    <w:p w14:paraId="611A861C" w14:textId="77777777" w:rsidR="00FE5412" w:rsidRPr="00247EE5" w:rsidRDefault="00FE5412" w:rsidP="00FE5412">
      <w:pPr>
        <w:spacing w:after="120" w:line="276" w:lineRule="auto"/>
        <w:ind w:firstLine="360"/>
        <w:jc w:val="both"/>
        <w:rPr>
          <w:rFonts w:ascii="Verdana" w:eastAsia="Calibri" w:hAnsi="Verdana" w:cs="Arial"/>
        </w:rPr>
      </w:pPr>
      <w:r w:rsidRPr="00247EE5">
        <w:rPr>
          <w:rFonts w:ascii="Verdana" w:eastAsia="Calibri" w:hAnsi="Verdana" w:cs="Arial"/>
        </w:rPr>
        <w:t>Por las anteriores razones,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p w14:paraId="5197D2A9" w14:textId="77777777" w:rsidR="00FE5412" w:rsidRPr="00247EE5" w:rsidRDefault="00FE5412" w:rsidP="00FE5412">
      <w:pPr>
        <w:spacing w:after="120" w:line="276" w:lineRule="auto"/>
        <w:ind w:firstLine="708"/>
        <w:jc w:val="both"/>
        <w:rPr>
          <w:rFonts w:ascii="Verdana" w:eastAsia="Calibri" w:hAnsi="Verdana" w:cs="Arial"/>
        </w:rPr>
      </w:pPr>
      <w:r w:rsidRPr="00247EE5">
        <w:rPr>
          <w:rFonts w:ascii="Verdana" w:eastAsia="Calibri" w:hAnsi="Verdana" w:cs="Arial"/>
        </w:rPr>
        <w:t>En segundo lugar, el objeto del convenio de asociación es el desarrollo de cometidos y/o funciones públicas propias de las Entidades Estatales. De lo anterior se concluye que, el interés perseguido con la contratación debe ser de carácter general o colectivo, materializado en los cometidos y funciones que le han sido asignados en el ordenamiento jurídico a la Entidad Estatal contratante. Así, en el caso de una entidad territorial se debe garantizar que los fines del convenio de asociación a celebrarse sean acordes con los fines y funciones asignados en la Constitución, leyes orgánicas y ordinarias correspondientes, al igual que en sus correspondientes planes de desarrollo. Además, si se trata de cualquier otra Entidad Estatal, deberá indagarse igualmente por su finalidad y competencia en las normas legales correspondientes, incluyendo sus actos de creación y los asimilables a los planes de desarrollo, para garantizar el cumplimiento de los mismos a través del convenio a celebrarse</w:t>
      </w:r>
      <w:r w:rsidRPr="00247EE5">
        <w:rPr>
          <w:vertAlign w:val="superscript"/>
        </w:rPr>
        <w:footnoteReference w:id="10"/>
      </w:r>
      <w:r w:rsidRPr="00247EE5">
        <w:rPr>
          <w:rFonts w:ascii="Verdana" w:eastAsia="Calibri" w:hAnsi="Verdana" w:cs="Arial"/>
        </w:rPr>
        <w:t>.</w:t>
      </w:r>
    </w:p>
    <w:p w14:paraId="7A04E641" w14:textId="278C0BA9" w:rsidR="00FE5412" w:rsidRPr="00247EE5" w:rsidRDefault="00FE5412" w:rsidP="00EF24D1">
      <w:pPr>
        <w:spacing w:after="120" w:line="276" w:lineRule="auto"/>
        <w:jc w:val="both"/>
        <w:rPr>
          <w:rFonts w:ascii="Verdana" w:hAnsi="Verdana" w:cs="Arial"/>
        </w:rPr>
      </w:pPr>
      <w:r w:rsidRPr="00247EE5">
        <w:rPr>
          <w:rFonts w:ascii="Verdana" w:eastAsia="Calibri" w:hAnsi="Verdana" w:cs="Arial"/>
          <w:color w:val="000000" w:themeColor="text1"/>
          <w:lang w:val="es-ES"/>
        </w:rPr>
        <w:tab/>
      </w:r>
      <w:r w:rsidRPr="00247EE5">
        <w:rPr>
          <w:rFonts w:ascii="Verdana" w:eastAsia="Calibri" w:hAnsi="Verdana" w:cs="Arial"/>
        </w:rPr>
        <w:t xml:space="preserve">Sumado a lo anterior, es importante señalar que, </w:t>
      </w:r>
      <w:bookmarkStart w:id="11" w:name="_Hlk171946202"/>
      <w:r w:rsidRPr="00247EE5">
        <w:rPr>
          <w:rFonts w:ascii="Verdana" w:hAnsi="Verdana" w:cs="Arial"/>
        </w:rPr>
        <w:t xml:space="preserve">los negocios jurídicos que regula el Decreto 092 de 2017 “[…] son esencialmente distintos a los contratos para la adquisición y aprovisionamiento de bienes, obras o servicios regulados por el estatuto de contratación y [, como tal,] no hacen parte del sistema de compra pública. […]. De acuerdo con lo anterior, si la entidad estatal adquiere o se abastece de un bien, obra o servicio en un contrato conmutativo </w:t>
      </w:r>
      <w:r w:rsidRPr="00247EE5">
        <w:rPr>
          <w:rFonts w:ascii="Verdana" w:hAnsi="Verdana" w:cs="Arial"/>
        </w:rPr>
        <w:lastRenderedPageBreak/>
        <w:t>en el cual el proveedor es una [ESAL], debe aplicar el régimen contenido en las Leyes 80 de 1993 y 1150 de 2007, y no el Decreto 092 de 2017</w:t>
      </w:r>
      <w:bookmarkEnd w:id="11"/>
      <w:r w:rsidRPr="00247EE5">
        <w:rPr>
          <w:rFonts w:ascii="Verdana" w:hAnsi="Verdana" w:cs="Arial"/>
        </w:rPr>
        <w:t>”</w:t>
      </w:r>
      <w:r w:rsidRPr="00247EE5">
        <w:rPr>
          <w:rStyle w:val="Refdenotaalpie"/>
          <w:rFonts w:ascii="Verdana" w:hAnsi="Verdana" w:cs="Arial"/>
        </w:rPr>
        <w:footnoteReference w:id="11"/>
      </w:r>
      <w:r w:rsidRPr="00247EE5">
        <w:rPr>
          <w:rFonts w:ascii="Verdana" w:hAnsi="Verdana" w:cs="Arial"/>
        </w:rPr>
        <w:t>.</w:t>
      </w:r>
    </w:p>
    <w:p w14:paraId="2902485F" w14:textId="77777777" w:rsidR="00FE5412" w:rsidRPr="00247EE5" w:rsidRDefault="00FE5412" w:rsidP="00FE5412">
      <w:pPr>
        <w:spacing w:after="0" w:line="276" w:lineRule="auto"/>
        <w:ind w:firstLine="708"/>
        <w:jc w:val="both"/>
        <w:rPr>
          <w:rFonts w:ascii="Verdana" w:eastAsia="Calibri" w:hAnsi="Verdana" w:cs="Arial"/>
        </w:rPr>
      </w:pPr>
      <w:r w:rsidRPr="00247EE5">
        <w:rPr>
          <w:rFonts w:ascii="Verdana" w:eastAsia="Calibri" w:hAnsi="Verdana" w:cs="Arial"/>
        </w:rPr>
        <w:t xml:space="preserve">Lo anterior ha sido reafirmado por la </w:t>
      </w:r>
      <w:bookmarkStart w:id="12" w:name="_Hlk171946330"/>
      <w:r w:rsidRPr="00247EE5">
        <w:rPr>
          <w:rFonts w:ascii="Verdana" w:eastAsia="Calibri" w:hAnsi="Verdana" w:cs="Arial"/>
        </w:rPr>
        <w:t>Corte Constitucional en la sentencia C-287 del 18 de abril de 2012</w:t>
      </w:r>
      <w:bookmarkEnd w:id="12"/>
      <w:r w:rsidRPr="00247EE5">
        <w:rPr>
          <w:rFonts w:ascii="Verdana" w:eastAsia="Calibri" w:hAnsi="Verdana" w:cs="Arial"/>
        </w:rPr>
        <w:t>, en la que sostuvo lo siguiente:</w:t>
      </w:r>
    </w:p>
    <w:p w14:paraId="579F289F" w14:textId="77777777" w:rsidR="00FE5412" w:rsidRPr="00247EE5" w:rsidRDefault="00FE5412" w:rsidP="00FE5412">
      <w:pPr>
        <w:spacing w:after="0" w:line="276" w:lineRule="auto"/>
        <w:ind w:firstLine="708"/>
        <w:jc w:val="both"/>
        <w:rPr>
          <w:rFonts w:ascii="Verdana" w:eastAsia="Calibri" w:hAnsi="Verdana" w:cs="Arial"/>
        </w:rPr>
      </w:pPr>
    </w:p>
    <w:p w14:paraId="0FE639E0" w14:textId="77777777" w:rsidR="00FE5412" w:rsidRPr="00247EE5" w:rsidRDefault="00FE5412" w:rsidP="00FE5412">
      <w:pPr>
        <w:spacing w:after="0" w:line="240" w:lineRule="auto"/>
        <w:ind w:left="709" w:right="709"/>
        <w:jc w:val="both"/>
        <w:rPr>
          <w:rFonts w:ascii="Verdana" w:eastAsia="Calibri" w:hAnsi="Verdana" w:cs="Arial"/>
          <w:sz w:val="20"/>
          <w:szCs w:val="20"/>
        </w:rPr>
      </w:pPr>
      <w:r w:rsidRPr="00247EE5">
        <w:rPr>
          <w:rFonts w:ascii="Verdana" w:eastAsia="Calibri" w:hAnsi="Verdana" w:cs="Arial"/>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0E46FF40" w14:textId="77777777" w:rsidR="00FE5412" w:rsidRPr="00247EE5" w:rsidRDefault="00FE5412" w:rsidP="00FE5412">
      <w:pPr>
        <w:spacing w:after="0" w:line="240" w:lineRule="auto"/>
        <w:ind w:left="709" w:right="709"/>
        <w:jc w:val="both"/>
        <w:rPr>
          <w:rFonts w:ascii="Verdana" w:eastAsia="Calibri" w:hAnsi="Verdana" w:cs="Arial"/>
          <w:sz w:val="20"/>
          <w:szCs w:val="20"/>
        </w:rPr>
      </w:pPr>
    </w:p>
    <w:p w14:paraId="54BAE88E" w14:textId="77777777" w:rsidR="00FE5412" w:rsidRPr="00247EE5" w:rsidRDefault="00FE5412" w:rsidP="00FE5412">
      <w:pPr>
        <w:spacing w:after="0" w:line="240" w:lineRule="auto"/>
        <w:ind w:left="709" w:right="709"/>
        <w:jc w:val="both"/>
        <w:rPr>
          <w:rFonts w:ascii="Verdana" w:eastAsia="Calibri" w:hAnsi="Verdana" w:cs="Arial"/>
          <w:sz w:val="20"/>
          <w:szCs w:val="20"/>
        </w:rPr>
      </w:pPr>
      <w:r w:rsidRPr="00247EE5">
        <w:rPr>
          <w:rFonts w:ascii="Verdana" w:eastAsia="Calibri" w:hAnsi="Verdana" w:cs="Arial"/>
          <w:i/>
          <w:sz w:val="20"/>
          <w:szCs w:val="20"/>
        </w:rPr>
        <w:t xml:space="preserve">Sin embargo, el hecho que no persigan una finalidad lucrativa, no significa que no desarrollen actividades que generen utilidades, lo que pasa es </w:t>
      </w:r>
      <w:proofErr w:type="gramStart"/>
      <w:r w:rsidRPr="00247EE5">
        <w:rPr>
          <w:rFonts w:ascii="Verdana" w:eastAsia="Calibri" w:hAnsi="Verdana" w:cs="Arial"/>
          <w:i/>
          <w:sz w:val="20"/>
          <w:szCs w:val="20"/>
        </w:rPr>
        <w:t>que</w:t>
      </w:r>
      <w:proofErr w:type="gramEnd"/>
      <w:r w:rsidRPr="00247EE5">
        <w:rPr>
          <w:rFonts w:ascii="Verdana" w:eastAsia="Calibri" w:hAnsi="Verdana" w:cs="Arial"/>
          <w:i/>
          <w:sz w:val="20"/>
          <w:szCs w:val="20"/>
        </w:rPr>
        <w:t xml:space="preserve"> a diferencia de las sociedades, el lucro o ganancia obtenida no se reparte entre sus miembros sino que se integra al patrimonio de la asociación para la obtención del fin deseado</w:t>
      </w:r>
      <w:r w:rsidRPr="00247EE5">
        <w:rPr>
          <w:rFonts w:ascii="Verdana" w:eastAsia="Calibri" w:hAnsi="Verdana" w:cs="Arial"/>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[Énfasis fuera del texto original]</w:t>
      </w:r>
    </w:p>
    <w:p w14:paraId="2178732B" w14:textId="77777777" w:rsidR="00FE5412" w:rsidRPr="00247EE5" w:rsidRDefault="00FE5412" w:rsidP="00FE5412">
      <w:pPr>
        <w:spacing w:after="0" w:line="276" w:lineRule="auto"/>
        <w:ind w:firstLine="708"/>
        <w:jc w:val="both"/>
        <w:rPr>
          <w:rFonts w:ascii="Verdana" w:eastAsia="Calibri" w:hAnsi="Verdana" w:cs="Arial"/>
          <w:color w:val="000000" w:themeColor="text1"/>
          <w:lang w:val="es-ES"/>
        </w:rPr>
      </w:pPr>
    </w:p>
    <w:p w14:paraId="04409777" w14:textId="77777777" w:rsidR="00164FA3" w:rsidRDefault="00FE5412" w:rsidP="00EF24D1">
      <w:pPr>
        <w:spacing w:after="120" w:line="276" w:lineRule="auto"/>
        <w:jc w:val="both"/>
        <w:rPr>
          <w:rFonts w:ascii="Verdana" w:eastAsia="Calibri" w:hAnsi="Verdana" w:cs="Arial"/>
          <w:lang w:eastAsia="es-ES"/>
        </w:rPr>
      </w:pPr>
      <w:r w:rsidRPr="00247EE5">
        <w:rPr>
          <w:rFonts w:ascii="Verdana" w:eastAsia="Calibri" w:hAnsi="Verdana" w:cs="Arial"/>
          <w:lang w:eastAsia="es-ES"/>
        </w:rPr>
        <w:t xml:space="preserve">       De igual manera, para una adecuada comprensión y correcta aplicación de los procedimientos relacionados con los convenios de asociación con Entidades Sin Ánimo de Lucro (ESAL)</w:t>
      </w:r>
      <w:r w:rsidRPr="00247EE5">
        <w:rPr>
          <w:rStyle w:val="Refdenotaalpie"/>
          <w:rFonts w:ascii="Verdana" w:eastAsia="Calibri" w:hAnsi="Verdana" w:cs="Arial"/>
          <w:lang w:eastAsia="es-ES"/>
        </w:rPr>
        <w:footnoteReference w:id="12"/>
      </w:r>
      <w:r w:rsidRPr="00247EE5">
        <w:rPr>
          <w:rFonts w:ascii="Verdana" w:eastAsia="Calibri" w:hAnsi="Verdana" w:cs="Arial"/>
          <w:lang w:eastAsia="es-ES"/>
        </w:rPr>
        <w:t>, se recomienda consultar la Guía para la contratación con entidades privadas sin ánimo de lucro y de reconocida idoneidad elaborada por Colombia Compra Eficiente. Este documento ofrece directrices claras sobre los requisitos, condiciones y procesos que deben seguir las entidades públicas para garantizar la transparencia, legalidad y eficiencia en la contratación con ESAL, facilitando así el cumplimiento normativo y la adecuada gestión de los recursos públicos.</w:t>
      </w:r>
    </w:p>
    <w:p w14:paraId="774A3E56" w14:textId="086A534C" w:rsidR="00F273D1" w:rsidRDefault="00F273D1" w:rsidP="00EF24D1">
      <w:pPr>
        <w:spacing w:after="120" w:line="276" w:lineRule="auto"/>
        <w:ind w:firstLine="708"/>
        <w:jc w:val="both"/>
        <w:rPr>
          <w:rFonts w:ascii="Verdana" w:eastAsia="Calibri" w:hAnsi="Verdana" w:cs="Arial"/>
          <w:lang w:eastAsia="es-ES"/>
        </w:rPr>
      </w:pPr>
      <w:r>
        <w:rPr>
          <w:rFonts w:ascii="Verdana" w:eastAsia="Calibri" w:hAnsi="Verdana" w:cs="Arial"/>
        </w:rPr>
        <w:t>Frente al procedimiento de selección</w:t>
      </w:r>
      <w:r w:rsidR="007118E5" w:rsidRPr="00EF24D1">
        <w:rPr>
          <w:rFonts w:ascii="Verdana" w:eastAsia="Calibri" w:hAnsi="Verdana" w:cs="Arial"/>
        </w:rPr>
        <w:t>, debe señalarse que, por un lado, el artículo 4 del Decreto 092 de 2027, dispone que la escogencia de la ESAL debe realizarse a través de proceso competitivo cuando haya pluralidad de ellas en condiciones de idoneidad para desarrollar un programa o una actividad de interés público. El Decreto 092 de 2017 y la “</w:t>
      </w:r>
      <w:r w:rsidR="007118E5" w:rsidRPr="00EF24D1">
        <w:rPr>
          <w:rFonts w:ascii="Verdana" w:hAnsi="Verdana"/>
        </w:rPr>
        <w:t xml:space="preserve">Guía para la contratación con </w:t>
      </w:r>
      <w:r w:rsidR="007118E5" w:rsidRPr="00EF24D1">
        <w:rPr>
          <w:rFonts w:ascii="Verdana" w:hAnsi="Verdana"/>
        </w:rPr>
        <w:lastRenderedPageBreak/>
        <w:t>entidades privadas sin ánimo de lucro y de reconocida idoneidad”</w:t>
      </w:r>
      <w:r w:rsidR="007118E5" w:rsidRPr="00EF24D1">
        <w:rPr>
          <w:rFonts w:ascii="Verdana" w:eastAsia="Calibri" w:hAnsi="Verdana" w:cs="Arial"/>
        </w:rPr>
        <w:t xml:space="preserve"> expedida por la Agencia Nacional de Contratación Pública – Colombia Compra Eficiente no prevén reglas particulares para el trámite del proceso competitivo, por lo que queda a consideración de la </w:t>
      </w:r>
      <w:r w:rsidR="00E7388F" w:rsidRPr="00E7388F">
        <w:rPr>
          <w:rFonts w:ascii="Verdana" w:eastAsia="Calibri" w:hAnsi="Verdana" w:cs="Arial"/>
        </w:rPr>
        <w:t xml:space="preserve">entidad estatal </w:t>
      </w:r>
      <w:r w:rsidR="007118E5" w:rsidRPr="00EF24D1">
        <w:rPr>
          <w:rFonts w:ascii="Verdana" w:eastAsia="Calibri" w:hAnsi="Verdana" w:cs="Arial"/>
        </w:rPr>
        <w:t xml:space="preserve">en cada caso concreto, aunque los dos instrumentos normativos sí contemplan unas etapas obligatorias. </w:t>
      </w:r>
    </w:p>
    <w:p w14:paraId="63491105" w14:textId="77777777" w:rsidR="004A56F5" w:rsidRDefault="007118E5" w:rsidP="004A56F5">
      <w:pPr>
        <w:spacing w:after="120" w:line="276" w:lineRule="auto"/>
        <w:ind w:firstLine="708"/>
        <w:jc w:val="both"/>
        <w:rPr>
          <w:rFonts w:ascii="Verdana" w:eastAsia="Calibri" w:hAnsi="Verdana" w:cs="Arial"/>
          <w:lang w:eastAsia="es-ES"/>
        </w:rPr>
      </w:pPr>
      <w:r w:rsidRPr="00EF24D1">
        <w:rPr>
          <w:rFonts w:ascii="Verdana" w:eastAsia="Calibri" w:hAnsi="Verdana" w:cs="Arial"/>
        </w:rPr>
        <w:t>El artículo 4 del Decreto 092 de 2017, prevé que: “En el proceso competitivo la Entidad Estatal deberá cumplir las siguientes fases: (i) definición y publicación de los indicadores de idoneidad, experiencia, eficacia, eficiencia, economía y de manejo del riesgo y los criterios de ponderación para comparar las ofertas; (</w:t>
      </w:r>
      <w:proofErr w:type="spellStart"/>
      <w:r w:rsidRPr="00EF24D1">
        <w:rPr>
          <w:rFonts w:ascii="Verdana" w:eastAsia="Calibri" w:hAnsi="Verdana" w:cs="Arial"/>
        </w:rPr>
        <w:t>ii</w:t>
      </w:r>
      <w:proofErr w:type="spellEnd"/>
      <w:r w:rsidRPr="00EF24D1">
        <w:rPr>
          <w:rFonts w:ascii="Verdana" w:eastAsia="Calibri" w:hAnsi="Verdana" w:cs="Arial"/>
        </w:rPr>
        <w:t>) definición de un plazo razonable para que las entidades privadas sin ánimo de lucro de reconocida idoneidad presenten a la Entidad Estatal sus ofertas y los documentos que acrediten su idoneidad, y (</w:t>
      </w:r>
      <w:proofErr w:type="spellStart"/>
      <w:r w:rsidRPr="00EF24D1">
        <w:rPr>
          <w:rFonts w:ascii="Verdana" w:eastAsia="Calibri" w:hAnsi="Verdana" w:cs="Arial"/>
        </w:rPr>
        <w:t>iii</w:t>
      </w:r>
      <w:proofErr w:type="spellEnd"/>
      <w:r w:rsidRPr="00EF24D1">
        <w:rPr>
          <w:rFonts w:ascii="Verdana" w:eastAsia="Calibri" w:hAnsi="Verdana" w:cs="Arial"/>
        </w:rPr>
        <w:t xml:space="preserve">) evaluación de las ofertas por parte de la Entidad Estatal teniendo en cuenta los criterios definidos para el efecto”. </w:t>
      </w:r>
    </w:p>
    <w:p w14:paraId="1EF45F17" w14:textId="77777777" w:rsidR="004A56F5" w:rsidRDefault="007118E5" w:rsidP="004A56F5">
      <w:pPr>
        <w:spacing w:after="120" w:line="276" w:lineRule="auto"/>
        <w:ind w:firstLine="708"/>
        <w:jc w:val="both"/>
        <w:rPr>
          <w:rFonts w:ascii="Verdana" w:eastAsia="Calibri" w:hAnsi="Verdana" w:cs="Arial"/>
          <w:lang w:eastAsia="es-ES"/>
        </w:rPr>
      </w:pPr>
      <w:r w:rsidRPr="00EF24D1">
        <w:rPr>
          <w:rFonts w:ascii="Verdana" w:eastAsia="Calibri" w:hAnsi="Verdana" w:cs="Arial"/>
        </w:rPr>
        <w:t>La “</w:t>
      </w:r>
      <w:r w:rsidRPr="00EF24D1">
        <w:rPr>
          <w:rFonts w:ascii="Verdana" w:hAnsi="Verdana"/>
        </w:rPr>
        <w:t xml:space="preserve">Guía para la contratación con entidades privadas sin ánimo de lucro y de reconocida idoneidad” </w:t>
      </w:r>
      <w:r w:rsidRPr="00EF24D1">
        <w:rPr>
          <w:rFonts w:ascii="Verdana" w:eastAsia="Calibri" w:hAnsi="Verdana" w:cs="Arial"/>
        </w:rPr>
        <w:t>señala: "Documentos del Proceso son: (a) los estudios y documentos elaborados en la etapa de planeación; (b) los documentos en los cuales la Entidad Estatal establece los términos y condiciones para seleccionar la entidad privada sin ánimo de lucro cuando hay lugar a competencia de acuerdo con el artículo 4° del Decreto 092 de 2017; (c) la explicación que contenga la correspondencia entre las Entidades Estatales y las entidades privadas sin ánimo de lucro interesadas en el Proceso de Contratación sobre el mismo; (d) las ofertas presentadas por las entidades privadas sin ánimo de lucro cuando hay lugar a competencia de acuerdo con el artículo 4° del Decreto 092 de 2017,: (e) los informes de evaluación de las ofertas cuando hay lugar a competencia de acuerdo con el artículo 4° del Decreto 092 de 2017; (f) el contrato y sus modificaciones”.</w:t>
      </w:r>
    </w:p>
    <w:p w14:paraId="3C0B0F94" w14:textId="77777777" w:rsidR="004A56F5" w:rsidRDefault="007118E5" w:rsidP="004A56F5">
      <w:pPr>
        <w:spacing w:after="120" w:line="276" w:lineRule="auto"/>
        <w:ind w:firstLine="708"/>
        <w:jc w:val="both"/>
        <w:rPr>
          <w:rFonts w:ascii="Verdana" w:eastAsia="Calibri" w:hAnsi="Verdana" w:cs="Arial"/>
          <w:lang w:eastAsia="es-ES"/>
        </w:rPr>
      </w:pPr>
      <w:r w:rsidRPr="00EF24D1">
        <w:rPr>
          <w:rFonts w:ascii="Verdana" w:eastAsia="Calibri" w:hAnsi="Verdana" w:cs="Arial"/>
        </w:rPr>
        <w:t xml:space="preserve">Por otro lado, los convenios de asociación “[…]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 asegurarse que no </w:t>
      </w:r>
      <w:r w:rsidRPr="00EF24D1">
        <w:rPr>
          <w:rFonts w:ascii="Verdana" w:eastAsia="Calibri" w:hAnsi="Verdana" w:cs="Arial"/>
        </w:rPr>
        <w:lastRenderedPageBreak/>
        <w:t>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6059A3C5" w14:textId="77777777" w:rsidR="004A56F5" w:rsidRDefault="007118E5" w:rsidP="004A56F5">
      <w:pPr>
        <w:spacing w:after="120" w:line="276" w:lineRule="auto"/>
        <w:ind w:firstLine="708"/>
        <w:jc w:val="both"/>
        <w:rPr>
          <w:rFonts w:ascii="Verdana" w:eastAsia="Calibri" w:hAnsi="Verdana" w:cs="Arial"/>
          <w:lang w:eastAsia="es-ES"/>
        </w:rPr>
      </w:pPr>
      <w:r w:rsidRPr="00EF24D1">
        <w:rPr>
          <w:rFonts w:ascii="Verdana" w:eastAsia="Calibri" w:hAnsi="Verdana" w:cs="Arial"/>
        </w:rPr>
        <w:t>La noción “seleccionar de forma objetiva”, contenida en el artículo 5 del Decreto 092 de 2017 no puede ser entendida como una remisión total a las Leyes 80 de 1993 y 1150 de 2007. A lo que se refiere la norma es a que la Entidad Estatal debe diseñar herramientas que permitan una comparación objetiva de las ESAL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163F8C76" w14:textId="360A723E" w:rsidR="007118E5" w:rsidRPr="00EF24D1" w:rsidRDefault="007118E5" w:rsidP="00EF24D1">
      <w:pPr>
        <w:spacing w:after="120" w:line="276" w:lineRule="auto"/>
        <w:ind w:firstLine="708"/>
        <w:jc w:val="both"/>
        <w:rPr>
          <w:rFonts w:ascii="Verdana" w:eastAsia="Calibri" w:hAnsi="Verdana" w:cs="Arial"/>
          <w:lang w:eastAsia="es-ES"/>
        </w:rPr>
      </w:pPr>
      <w:r w:rsidRPr="00EF24D1">
        <w:rPr>
          <w:rFonts w:ascii="Verdana" w:eastAsia="Calibri" w:hAnsi="Verdana" w:cs="Arial"/>
        </w:rPr>
        <w:t xml:space="preserve">En suma, las </w:t>
      </w:r>
      <w:r w:rsidR="00F60705" w:rsidRPr="00F60705">
        <w:rPr>
          <w:rFonts w:ascii="Verdana" w:eastAsia="Calibri" w:hAnsi="Verdana" w:cs="Arial"/>
        </w:rPr>
        <w:t xml:space="preserve">entidades estatales </w:t>
      </w:r>
      <w:r w:rsidRPr="00EF24D1">
        <w:rPr>
          <w:rFonts w:ascii="Verdana" w:eastAsia="Calibri" w:hAnsi="Verdana" w:cs="Arial"/>
        </w:rPr>
        <w:t xml:space="preserve">son autónomas en la configuración del proceso competitivo en desarrollo de los artículos 4 y 5 del Decreto 092 de 2017. En todo caso, el proceso competitivo que definan las </w:t>
      </w:r>
      <w:r w:rsidR="00F60705" w:rsidRPr="00F60705">
        <w:rPr>
          <w:rFonts w:ascii="Verdana" w:eastAsia="Calibri" w:hAnsi="Verdana" w:cs="Arial"/>
        </w:rPr>
        <w:t xml:space="preserve">entidades estatales </w:t>
      </w:r>
      <w:r w:rsidRPr="00EF24D1">
        <w:rPr>
          <w:rFonts w:ascii="Verdana" w:eastAsia="Calibri" w:hAnsi="Verdana" w:cs="Arial"/>
        </w:rPr>
        <w:t>para sus contratos de colaboración y sus convenios de asociación debe garantizar la libre concurrencia, la pluralidad de interesados y la comparación objetiva de las ofertas. Este procedimiento puede ser análogo a otros donde existe competencia, como la licitación pública.</w:t>
      </w:r>
    </w:p>
    <w:p w14:paraId="0F6A281C" w14:textId="77777777" w:rsidR="00EC387B" w:rsidRPr="00EF24D1" w:rsidRDefault="00EC387B" w:rsidP="00EF24D1">
      <w:pPr>
        <w:spacing w:before="120" w:after="0" w:line="276" w:lineRule="auto"/>
        <w:ind w:firstLine="709"/>
        <w:jc w:val="both"/>
        <w:rPr>
          <w:rFonts w:ascii="Verdana" w:eastAsia="Calibri" w:hAnsi="Verdana" w:cs="Arial"/>
          <w:color w:val="000000" w:themeColor="text1"/>
        </w:rPr>
      </w:pPr>
      <w:r w:rsidRPr="00EF24D1">
        <w:rPr>
          <w:rFonts w:ascii="Verdana" w:eastAsia="Calibri" w:hAnsi="Verdana" w:cs="Arial"/>
          <w:color w:val="000000" w:themeColor="text1"/>
        </w:rPr>
        <w:t>Finalmente, el artículo 9 del Decreto 092 de 2017 exige a las ESAL de reconocida idoneidad estar inscritas en el SECOP para celebrar convenios con las entidades públicas, razón por la que se debe usar únicamente el SECOP II, pues es la única plataforma que por funcionalidad permite el registro de proveedores</w:t>
      </w:r>
      <w:r w:rsidRPr="00EF24D1">
        <w:rPr>
          <w:rStyle w:val="Refdenotaalpie"/>
          <w:rFonts w:ascii="Verdana" w:eastAsia="Calibri" w:hAnsi="Verdana" w:cs="Arial"/>
          <w:color w:val="000000" w:themeColor="text1"/>
        </w:rPr>
        <w:footnoteReference w:id="13"/>
      </w:r>
      <w:r w:rsidRPr="00EF24D1">
        <w:rPr>
          <w:rFonts w:ascii="Verdana" w:eastAsia="Calibri" w:hAnsi="Verdana" w:cs="Arial"/>
          <w:color w:val="000000" w:themeColor="text1"/>
        </w:rPr>
        <w:t xml:space="preserve">. </w:t>
      </w:r>
    </w:p>
    <w:p w14:paraId="4C49923E" w14:textId="77777777" w:rsidR="00FE5412" w:rsidRPr="00247EE5" w:rsidRDefault="00FE5412" w:rsidP="00FE5412">
      <w:pPr>
        <w:spacing w:after="0" w:line="276" w:lineRule="auto"/>
        <w:jc w:val="both"/>
        <w:rPr>
          <w:rFonts w:ascii="Verdana" w:eastAsia="Calibri" w:hAnsi="Verdana" w:cs="Arial"/>
          <w:lang w:eastAsia="es-ES"/>
        </w:rPr>
      </w:pPr>
    </w:p>
    <w:p w14:paraId="3D7C2D17" w14:textId="77777777" w:rsidR="00FE5412" w:rsidRPr="00247EE5" w:rsidRDefault="00FE5412" w:rsidP="00FE5412">
      <w:pPr>
        <w:tabs>
          <w:tab w:val="left" w:pos="142"/>
          <w:tab w:val="left" w:pos="284"/>
        </w:tabs>
        <w:spacing w:after="0" w:line="276" w:lineRule="auto"/>
        <w:jc w:val="both"/>
        <w:rPr>
          <w:rFonts w:ascii="Verdana" w:eastAsia="Century Gothic" w:hAnsi="Verdana" w:cs="Century Gothic"/>
          <w:b/>
          <w:bCs/>
          <w:color w:val="000000" w:themeColor="text1"/>
          <w:lang w:val="es-ES"/>
        </w:rPr>
      </w:pPr>
      <w:r w:rsidRPr="00247EE5">
        <w:rPr>
          <w:rFonts w:ascii="Verdana" w:eastAsia="Century Gothic" w:hAnsi="Verdana" w:cs="Century Gothic"/>
          <w:b/>
          <w:bCs/>
          <w:color w:val="000000" w:themeColor="text1"/>
          <w:lang w:val="es-ES"/>
        </w:rPr>
        <w:t>4. Referencias normativas, jurisprudenciales y otras fuentes:</w:t>
      </w:r>
    </w:p>
    <w:p w14:paraId="5FDA99A7" w14:textId="77777777" w:rsidR="00FE5412" w:rsidRPr="00247EE5" w:rsidRDefault="00FE5412" w:rsidP="00FE541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5412" w:rsidRPr="00247EE5" w14:paraId="188F5CB4" w14:textId="77777777" w:rsidTr="00655EDA">
        <w:trPr>
          <w:trHeight w:val="870"/>
        </w:trPr>
        <w:tc>
          <w:tcPr>
            <w:tcW w:w="8647" w:type="dxa"/>
          </w:tcPr>
          <w:p w14:paraId="604594C0" w14:textId="77777777" w:rsidR="00FE5412" w:rsidRPr="00247EE5" w:rsidRDefault="00FE5412" w:rsidP="00FE541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247EE5">
              <w:rPr>
                <w:rFonts w:ascii="Verdana" w:hAnsi="Verdana" w:cs="Arial"/>
              </w:rPr>
              <w:lastRenderedPageBreak/>
              <w:t>Constitución Política de 1991, artículo 355.</w:t>
            </w:r>
          </w:p>
          <w:p w14:paraId="686877F8" w14:textId="77777777" w:rsidR="00FE5412" w:rsidRPr="00247EE5" w:rsidRDefault="00FE5412" w:rsidP="00FE541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247EE5">
              <w:rPr>
                <w:rFonts w:ascii="Verdana" w:hAnsi="Verdana" w:cs="Arial"/>
              </w:rPr>
              <w:t>Ley 80 de 1993, artículo 6.</w:t>
            </w:r>
          </w:p>
          <w:p w14:paraId="39B799BC" w14:textId="26C4336C" w:rsidR="00FE5412" w:rsidRDefault="00FE5412" w:rsidP="00FE541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247EE5">
              <w:rPr>
                <w:rFonts w:ascii="Verdana" w:hAnsi="Verdana" w:cs="Arial"/>
              </w:rPr>
              <w:t>Decreto 092 de 2017, artículos 2, 3, 4, 5, 6, 7</w:t>
            </w:r>
            <w:r w:rsidR="009B4A7F">
              <w:rPr>
                <w:rFonts w:ascii="Verdana" w:hAnsi="Verdana" w:cs="Arial"/>
              </w:rPr>
              <w:t xml:space="preserve">, </w:t>
            </w:r>
            <w:r w:rsidRPr="00247EE5">
              <w:rPr>
                <w:rFonts w:ascii="Verdana" w:hAnsi="Verdana" w:cs="Arial"/>
              </w:rPr>
              <w:t>8</w:t>
            </w:r>
            <w:r w:rsidR="009B4A7F">
              <w:rPr>
                <w:rFonts w:ascii="Verdana" w:hAnsi="Verdana" w:cs="Arial"/>
              </w:rPr>
              <w:t xml:space="preserve"> y 9</w:t>
            </w:r>
            <w:r w:rsidRPr="00247EE5">
              <w:rPr>
                <w:rFonts w:ascii="Verdana" w:hAnsi="Verdana" w:cs="Arial"/>
              </w:rPr>
              <w:t xml:space="preserve">. </w:t>
            </w:r>
          </w:p>
          <w:p w14:paraId="4CCABBB1" w14:textId="0B1187A7" w:rsidR="00F60705" w:rsidRPr="00247EE5" w:rsidRDefault="00F60705" w:rsidP="00FE541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Agencia </w:t>
            </w:r>
            <w:r w:rsidR="00A54471">
              <w:rPr>
                <w:rFonts w:ascii="Verdana" w:hAnsi="Verdana" w:cs="Arial"/>
              </w:rPr>
              <w:t xml:space="preserve">Nacional de Contratación Pública – Colombia Compra Eficiente. </w:t>
            </w:r>
            <w:r w:rsidR="00A54471" w:rsidRPr="007E6636">
              <w:rPr>
                <w:rFonts w:ascii="Verdana" w:hAnsi="Verdana"/>
              </w:rPr>
              <w:t>Guía para la contratación con entidades privadas sin ánimo de lucro y de reconocida idoneidad</w:t>
            </w:r>
            <w:r w:rsidR="00A54471">
              <w:rPr>
                <w:rFonts w:ascii="Verdana" w:hAnsi="Verdana"/>
              </w:rPr>
              <w:t>. Disponible</w:t>
            </w:r>
            <w:r w:rsidR="006001AD">
              <w:rPr>
                <w:rFonts w:ascii="Verdana" w:hAnsi="Verdana"/>
              </w:rPr>
              <w:t xml:space="preserve"> en</w:t>
            </w:r>
            <w:r w:rsidR="00A54471">
              <w:rPr>
                <w:rFonts w:ascii="Verdana" w:hAnsi="Verdana"/>
              </w:rPr>
              <w:t xml:space="preserve">: </w:t>
            </w:r>
            <w:hyperlink r:id="rId12" w:history="1">
              <w:r w:rsidR="006001AD" w:rsidRPr="004E74E6">
                <w:rPr>
                  <w:rStyle w:val="Hipervnculo"/>
                  <w:rFonts w:ascii="Verdana" w:hAnsi="Verdana"/>
                </w:rPr>
                <w:t>https://www.colombiacompra.gov.co/wp-content/uploads/2024/08/cce_guia_esal.pdf</w:t>
              </w:r>
            </w:hyperlink>
            <w:r w:rsidR="006001AD">
              <w:rPr>
                <w:rFonts w:ascii="Verdana" w:hAnsi="Verdana"/>
              </w:rPr>
              <w:t xml:space="preserve"> </w:t>
            </w:r>
          </w:p>
        </w:tc>
      </w:tr>
    </w:tbl>
    <w:p w14:paraId="4EE43257" w14:textId="77777777" w:rsidR="00FE5412" w:rsidRPr="00247EE5" w:rsidRDefault="00FE5412" w:rsidP="00FE5412">
      <w:pPr>
        <w:widowControl w:val="0"/>
        <w:autoSpaceDE w:val="0"/>
        <w:autoSpaceDN w:val="0"/>
        <w:spacing w:after="0" w:line="276" w:lineRule="auto"/>
        <w:jc w:val="both"/>
        <w:rPr>
          <w:rFonts w:ascii="Verdana" w:hAnsi="Verdana" w:cs="Arial"/>
          <w:color w:val="000000" w:themeColor="text1"/>
        </w:rPr>
      </w:pPr>
    </w:p>
    <w:p w14:paraId="236C225A" w14:textId="77777777" w:rsidR="00FE5412" w:rsidRPr="00247EE5" w:rsidRDefault="00FE5412" w:rsidP="00FE5412">
      <w:pPr>
        <w:tabs>
          <w:tab w:val="left" w:pos="142"/>
          <w:tab w:val="left" w:pos="284"/>
        </w:tabs>
        <w:spacing w:after="0" w:line="276" w:lineRule="auto"/>
        <w:jc w:val="both"/>
        <w:rPr>
          <w:rFonts w:ascii="Verdana" w:eastAsia="Century Gothic" w:hAnsi="Verdana" w:cs="Century Gothic"/>
          <w:b/>
          <w:bCs/>
          <w:color w:val="000000" w:themeColor="text1"/>
          <w:lang w:val="es-ES"/>
        </w:rPr>
      </w:pPr>
      <w:r w:rsidRPr="00247EE5">
        <w:rPr>
          <w:rFonts w:ascii="Verdana" w:eastAsia="Century Gothic" w:hAnsi="Verdana" w:cs="Century Gothic"/>
          <w:b/>
          <w:bCs/>
          <w:color w:val="000000" w:themeColor="text1"/>
          <w:lang w:val="es-ES"/>
        </w:rPr>
        <w:t>5. Doctrina de la Agencia Nacional de Contratación Pública:</w:t>
      </w:r>
    </w:p>
    <w:p w14:paraId="066E9C02" w14:textId="77777777" w:rsidR="00FE5412" w:rsidRPr="00247EE5" w:rsidRDefault="00FE5412" w:rsidP="00FE5412">
      <w:pPr>
        <w:widowControl w:val="0"/>
        <w:autoSpaceDE w:val="0"/>
        <w:autoSpaceDN w:val="0"/>
        <w:spacing w:after="0" w:line="276" w:lineRule="auto"/>
        <w:jc w:val="both"/>
        <w:rPr>
          <w:rFonts w:ascii="Verdana" w:hAnsi="Verdana" w:cs="Arial"/>
          <w:color w:val="000000" w:themeColor="text1"/>
        </w:rPr>
      </w:pPr>
    </w:p>
    <w:p w14:paraId="5C63ACE0" w14:textId="77777777" w:rsidR="00FE5412" w:rsidRPr="00247EE5" w:rsidRDefault="00FE5412" w:rsidP="00FE5412">
      <w:pPr>
        <w:widowControl w:val="0"/>
        <w:autoSpaceDE w:val="0"/>
        <w:autoSpaceDN w:val="0"/>
        <w:spacing w:after="0" w:line="276" w:lineRule="auto"/>
        <w:jc w:val="both"/>
        <w:rPr>
          <w:rFonts w:ascii="Verdana" w:hAnsi="Verdana"/>
        </w:rPr>
      </w:pPr>
      <w:r w:rsidRPr="00247EE5">
        <w:rPr>
          <w:rFonts w:ascii="Verdana" w:hAnsi="Verdana" w:cs="Arial"/>
          <w:shd w:val="clear" w:color="auto" w:fill="FFFFFF"/>
        </w:rPr>
        <w:t>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 y C-957 del 17 de diciembre de 2024</w:t>
      </w:r>
      <w:r w:rsidRPr="00247EE5">
        <w:rPr>
          <w:rFonts w:ascii="Verdana" w:hAnsi="Verdana"/>
        </w:rPr>
        <w:t xml:space="preserve">. </w:t>
      </w:r>
    </w:p>
    <w:p w14:paraId="76EBF765" w14:textId="77777777" w:rsidR="00FE5412" w:rsidRPr="00247EE5" w:rsidRDefault="00FE5412" w:rsidP="00FE5412">
      <w:pPr>
        <w:widowControl w:val="0"/>
        <w:autoSpaceDE w:val="0"/>
        <w:autoSpaceDN w:val="0"/>
        <w:spacing w:after="0" w:line="276" w:lineRule="auto"/>
        <w:jc w:val="both"/>
        <w:rPr>
          <w:rFonts w:ascii="Verdana" w:hAnsi="Verdana"/>
        </w:rPr>
      </w:pPr>
    </w:p>
    <w:p w14:paraId="557EDEB8" w14:textId="77777777" w:rsidR="00FE5412" w:rsidRPr="00247EE5" w:rsidRDefault="00FE5412" w:rsidP="00FE5412">
      <w:pPr>
        <w:widowControl w:val="0"/>
        <w:autoSpaceDE w:val="0"/>
        <w:autoSpaceDN w:val="0"/>
        <w:spacing w:after="0" w:line="276" w:lineRule="auto"/>
        <w:jc w:val="both"/>
        <w:rPr>
          <w:rFonts w:ascii="Verdana" w:hAnsi="Verdana" w:cs="Arial"/>
          <w:bCs/>
          <w:shd w:val="clear" w:color="auto" w:fill="FFFFFF"/>
        </w:rPr>
      </w:pPr>
      <w:r w:rsidRPr="00247EE5">
        <w:rPr>
          <w:rFonts w:ascii="Verdana" w:hAnsi="Verdana"/>
        </w:rPr>
        <w:t xml:space="preserve">Así mismo, </w:t>
      </w:r>
      <w:r w:rsidRPr="00247EE5">
        <w:rPr>
          <w:rFonts w:ascii="Verdana" w:hAnsi="Verdana" w:cs="Arial"/>
          <w:bCs/>
          <w:shd w:val="clear" w:color="auto" w:fill="FFFFFF"/>
        </w:rPr>
        <w:t xml:space="preserve">se ha pronunciado en diferentes conceptos sobre la Asociaciones Público-Populares y la Economía Popular en: Conceptos C-394 del 19 de </w:t>
      </w:r>
      <w:r w:rsidRPr="00247EE5">
        <w:rPr>
          <w:rFonts w:ascii="Verdana" w:hAnsi="Verdana" w:cs="Arial"/>
          <w:bCs/>
          <w:shd w:val="clear" w:color="auto" w:fill="FFFFFF"/>
        </w:rPr>
        <w:lastRenderedPageBreak/>
        <w:t>septiembre de 2024</w:t>
      </w:r>
      <w:r w:rsidRPr="00247EE5">
        <w:rPr>
          <w:rFonts w:ascii="Verdana" w:hAnsi="Verdana" w:cs="Arial"/>
          <w:bCs/>
          <w:shd w:val="clear" w:color="auto" w:fill="FFFFFF"/>
          <w:lang w:val="es-ES"/>
        </w:rPr>
        <w:t>,</w:t>
      </w:r>
      <w:r w:rsidRPr="00247EE5">
        <w:rPr>
          <w:rFonts w:ascii="Verdana" w:hAnsi="Verdana" w:cs="Arial"/>
          <w:bCs/>
          <w:shd w:val="clear" w:color="auto" w:fill="FFFFFF"/>
        </w:rPr>
        <w:t xml:space="preserve"> C-639 del 5 de noviembre de 2024, C-575 del 22 de octubre de 2024, C-179 del 20 de marzo de 2025 y C-420 del 12 de mayo de 2025, entre otros.</w:t>
      </w:r>
    </w:p>
    <w:p w14:paraId="7F330A96" w14:textId="77777777" w:rsidR="00FE5412" w:rsidRPr="00247EE5" w:rsidRDefault="00FE5412" w:rsidP="00FE5412">
      <w:pPr>
        <w:widowControl w:val="0"/>
        <w:autoSpaceDE w:val="0"/>
        <w:autoSpaceDN w:val="0"/>
        <w:spacing w:after="0" w:line="276" w:lineRule="auto"/>
        <w:jc w:val="both"/>
        <w:rPr>
          <w:rFonts w:ascii="Verdana" w:hAnsi="Verdana"/>
        </w:rPr>
      </w:pPr>
    </w:p>
    <w:p w14:paraId="642A2336" w14:textId="77777777" w:rsidR="00FE5412" w:rsidRPr="00247EE5" w:rsidRDefault="00FE5412" w:rsidP="00FE5412">
      <w:pPr>
        <w:widowControl w:val="0"/>
        <w:autoSpaceDE w:val="0"/>
        <w:autoSpaceDN w:val="0"/>
        <w:spacing w:after="0" w:line="276" w:lineRule="auto"/>
        <w:jc w:val="both"/>
        <w:rPr>
          <w:rStyle w:val="normaltextrun"/>
          <w:rFonts w:ascii="Verdana" w:hAnsi="Verdana" w:cs="Arial"/>
          <w:shd w:val="clear" w:color="auto" w:fill="FFFFFF"/>
        </w:rPr>
      </w:pPr>
      <w:r w:rsidRPr="00247EE5">
        <w:rPr>
          <w:rFonts w:ascii="Verdana" w:hAnsi="Verdana" w:cs="Arial"/>
          <w:shd w:val="clear" w:color="auto" w:fill="FFFFFF"/>
        </w:rPr>
        <w:t>Estos y otros </w:t>
      </w:r>
      <w:r w:rsidRPr="00247EE5">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247EE5">
          <w:rPr>
            <w:rStyle w:val="Hipervnculo"/>
            <w:rFonts w:ascii="Verdana" w:hAnsi="Verdana" w:cs="Arial"/>
            <w:shd w:val="clear" w:color="auto" w:fill="FFFFFF"/>
          </w:rPr>
          <w:t>https://relatoria.colombiacompra.gov.co/busqueda/conceptos</w:t>
        </w:r>
      </w:hyperlink>
      <w:r w:rsidRPr="00247EE5">
        <w:rPr>
          <w:rStyle w:val="normaltextrun"/>
          <w:rFonts w:ascii="Verdana" w:hAnsi="Verdana" w:cs="Arial"/>
          <w:shd w:val="clear" w:color="auto" w:fill="FFFFFF"/>
        </w:rPr>
        <w:t xml:space="preserve">. </w:t>
      </w:r>
      <w:r w:rsidRPr="00247EE5">
        <w:rPr>
          <w:rStyle w:val="normaltextrun"/>
          <w:rFonts w:ascii="Verdana" w:hAnsi="Verdana" w:cs="Arial"/>
          <w:color w:val="FF0000"/>
          <w:shd w:val="clear" w:color="auto" w:fill="FFFFFF"/>
          <w:lang w:val="es-ES"/>
        </w:rPr>
        <w:t xml:space="preserve"> </w:t>
      </w:r>
    </w:p>
    <w:p w14:paraId="3F95BF3C" w14:textId="77777777" w:rsidR="00FE5412" w:rsidRPr="00247EE5" w:rsidRDefault="00FE5412" w:rsidP="00FE5412">
      <w:pPr>
        <w:spacing w:after="0" w:line="276" w:lineRule="auto"/>
        <w:jc w:val="both"/>
        <w:rPr>
          <w:rFonts w:ascii="Verdana" w:hAnsi="Verdana"/>
          <w:color w:val="000000" w:themeColor="text1"/>
        </w:rPr>
      </w:pPr>
    </w:p>
    <w:p w14:paraId="6ED63ADC" w14:textId="77777777" w:rsidR="00FE5412" w:rsidRPr="00247EE5" w:rsidRDefault="00FE5412" w:rsidP="00FE5412">
      <w:pPr>
        <w:spacing w:after="0" w:line="276" w:lineRule="auto"/>
        <w:jc w:val="both"/>
        <w:rPr>
          <w:rFonts w:ascii="Verdana" w:hAnsi="Verdana"/>
          <w:color w:val="000000" w:themeColor="text1"/>
        </w:rPr>
      </w:pPr>
      <w:r w:rsidRPr="00247EE5">
        <w:rPr>
          <w:rFonts w:ascii="Verdana" w:hAnsi="Verdana"/>
          <w:color w:val="000000" w:themeColor="text1"/>
        </w:rPr>
        <w:t xml:space="preserve">Lo invitamos a seguirnos en las redes sociales en las cuales se difunde información institucional: </w:t>
      </w:r>
    </w:p>
    <w:p w14:paraId="2B9CF080" w14:textId="77777777" w:rsidR="00FE5412" w:rsidRPr="00247EE5" w:rsidRDefault="00FE5412" w:rsidP="00FE5412">
      <w:pPr>
        <w:spacing w:after="0" w:line="276" w:lineRule="auto"/>
        <w:jc w:val="both"/>
        <w:rPr>
          <w:rFonts w:ascii="Verdana" w:hAnsi="Verdana"/>
          <w:color w:val="000000" w:themeColor="text1"/>
        </w:rPr>
      </w:pPr>
    </w:p>
    <w:p w14:paraId="3EC32B9A" w14:textId="77777777" w:rsidR="00FE5412" w:rsidRPr="00247EE5" w:rsidRDefault="00FE5412" w:rsidP="00FE5412">
      <w:pPr>
        <w:spacing w:after="0" w:line="276" w:lineRule="auto"/>
        <w:jc w:val="both"/>
        <w:rPr>
          <w:rFonts w:ascii="Verdana" w:hAnsi="Verdana"/>
          <w:color w:val="000000" w:themeColor="text1"/>
        </w:rPr>
      </w:pPr>
      <w:r w:rsidRPr="00247EE5">
        <w:rPr>
          <w:rFonts w:ascii="Verdana" w:hAnsi="Verdana"/>
          <w:color w:val="000000" w:themeColor="text1"/>
        </w:rPr>
        <w:t xml:space="preserve">Twitter: </w:t>
      </w:r>
      <w:r w:rsidRPr="00247EE5">
        <w:rPr>
          <w:rStyle w:val="Hipervnculo"/>
          <w:rFonts w:ascii="Verdana" w:hAnsi="Verdana"/>
          <w:color w:val="000000" w:themeColor="text1"/>
        </w:rPr>
        <w:t>@colombiacompra</w:t>
      </w:r>
      <w:r w:rsidRPr="00247EE5">
        <w:rPr>
          <w:rFonts w:ascii="Verdana" w:hAnsi="Verdana"/>
          <w:color w:val="000000" w:themeColor="text1"/>
        </w:rPr>
        <w:t xml:space="preserve"> </w:t>
      </w:r>
    </w:p>
    <w:p w14:paraId="606C8943" w14:textId="77777777" w:rsidR="00FE5412" w:rsidRPr="00247EE5" w:rsidRDefault="00FE5412" w:rsidP="00FE5412">
      <w:pPr>
        <w:spacing w:after="0" w:line="276" w:lineRule="auto"/>
        <w:jc w:val="both"/>
        <w:rPr>
          <w:rFonts w:ascii="Verdana" w:hAnsi="Verdana"/>
          <w:color w:val="000000" w:themeColor="text1"/>
        </w:rPr>
      </w:pPr>
      <w:r w:rsidRPr="00247EE5">
        <w:rPr>
          <w:rFonts w:ascii="Verdana" w:hAnsi="Verdana"/>
          <w:color w:val="000000" w:themeColor="text1"/>
        </w:rPr>
        <w:t xml:space="preserve">Facebook: </w:t>
      </w:r>
      <w:proofErr w:type="spellStart"/>
      <w:r w:rsidRPr="00247EE5">
        <w:rPr>
          <w:rStyle w:val="Hipervnculo"/>
          <w:rFonts w:ascii="Verdana" w:hAnsi="Verdana"/>
          <w:color w:val="000000" w:themeColor="text1"/>
        </w:rPr>
        <w:t>ColombiaCompraEficiente</w:t>
      </w:r>
      <w:proofErr w:type="spellEnd"/>
    </w:p>
    <w:p w14:paraId="3EDAB2C5" w14:textId="77777777" w:rsidR="00FE5412" w:rsidRPr="00247EE5" w:rsidRDefault="00FE5412" w:rsidP="00FE5412">
      <w:pPr>
        <w:spacing w:after="0" w:line="276" w:lineRule="auto"/>
        <w:jc w:val="both"/>
        <w:rPr>
          <w:rFonts w:ascii="Verdana" w:hAnsi="Verdana"/>
          <w:color w:val="000000" w:themeColor="text1"/>
        </w:rPr>
      </w:pPr>
      <w:r w:rsidRPr="00247EE5">
        <w:rPr>
          <w:rFonts w:ascii="Verdana" w:hAnsi="Verdana"/>
          <w:color w:val="000000" w:themeColor="text1"/>
        </w:rPr>
        <w:t xml:space="preserve">LinkedIn: </w:t>
      </w:r>
      <w:r w:rsidRPr="00247EE5">
        <w:rPr>
          <w:rStyle w:val="Hipervnculo"/>
          <w:rFonts w:ascii="Verdana" w:hAnsi="Verdana"/>
          <w:color w:val="000000" w:themeColor="text1"/>
        </w:rPr>
        <w:t>Agencia Nacional de Contratación Pública - Colombia Compra Eficiente</w:t>
      </w:r>
      <w:r w:rsidRPr="00247EE5">
        <w:rPr>
          <w:rFonts w:ascii="Verdana" w:hAnsi="Verdana"/>
          <w:color w:val="000000" w:themeColor="text1"/>
        </w:rPr>
        <w:t xml:space="preserve"> Instagram: </w:t>
      </w:r>
      <w:r w:rsidRPr="00247EE5">
        <w:rPr>
          <w:rStyle w:val="Hipervnculo"/>
          <w:rFonts w:ascii="Verdana" w:hAnsi="Verdana"/>
          <w:color w:val="000000" w:themeColor="text1"/>
        </w:rPr>
        <w:t>@colombiacompraeficiente_cce</w:t>
      </w:r>
    </w:p>
    <w:p w14:paraId="67090AD4" w14:textId="77777777" w:rsidR="00FE5412" w:rsidRPr="00247EE5" w:rsidRDefault="00FE5412" w:rsidP="00FE5412">
      <w:pPr>
        <w:widowControl w:val="0"/>
        <w:autoSpaceDE w:val="0"/>
        <w:autoSpaceDN w:val="0"/>
        <w:spacing w:after="0" w:line="276" w:lineRule="auto"/>
        <w:jc w:val="both"/>
        <w:rPr>
          <w:rFonts w:ascii="Verdana" w:hAnsi="Verdana" w:cs="Arial"/>
          <w:color w:val="000000" w:themeColor="text1"/>
        </w:rPr>
      </w:pPr>
    </w:p>
    <w:p w14:paraId="60F149FF" w14:textId="77777777" w:rsidR="00FE5412" w:rsidRPr="00247EE5" w:rsidRDefault="00FE5412" w:rsidP="00FE5412">
      <w:pPr>
        <w:widowControl w:val="0"/>
        <w:autoSpaceDE w:val="0"/>
        <w:autoSpaceDN w:val="0"/>
        <w:spacing w:after="0" w:line="276" w:lineRule="auto"/>
        <w:jc w:val="both"/>
        <w:rPr>
          <w:rFonts w:ascii="Verdana" w:hAnsi="Verdana" w:cs="Arial"/>
          <w:color w:val="000000" w:themeColor="text1"/>
          <w:lang w:val="es-ES_tradnl"/>
        </w:rPr>
      </w:pPr>
      <w:r w:rsidRPr="00247EE5">
        <w:rPr>
          <w:rFonts w:ascii="Verdana" w:hAnsi="Verdana" w:cs="Arial"/>
          <w:color w:val="000000" w:themeColor="text1"/>
        </w:rPr>
        <w:t xml:space="preserve">Este concepto tiene el alcance previsto en el artículo 28 del Código de Procedimiento Administrativo y de lo Contencioso Administrativo </w:t>
      </w:r>
      <w:r w:rsidRPr="00247EE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3B09374" w14:textId="77777777" w:rsidR="00FE5412" w:rsidRPr="00247EE5" w:rsidRDefault="00FE5412" w:rsidP="00FE5412">
      <w:pPr>
        <w:widowControl w:val="0"/>
        <w:autoSpaceDE w:val="0"/>
        <w:autoSpaceDN w:val="0"/>
        <w:spacing w:after="0" w:line="276" w:lineRule="auto"/>
        <w:jc w:val="both"/>
        <w:rPr>
          <w:rFonts w:ascii="Verdana" w:hAnsi="Verdana" w:cs="Arial"/>
          <w:color w:val="000000" w:themeColor="text1"/>
        </w:rPr>
      </w:pPr>
    </w:p>
    <w:p w14:paraId="48159E7C" w14:textId="77777777" w:rsidR="00FE5412" w:rsidRPr="00247EE5" w:rsidRDefault="00FE5412" w:rsidP="00FE5412">
      <w:pPr>
        <w:spacing w:after="0" w:line="276" w:lineRule="auto"/>
        <w:rPr>
          <w:rFonts w:ascii="Verdana" w:hAnsi="Verdana" w:cs="Arial"/>
          <w:color w:val="000000" w:themeColor="text1"/>
          <w:lang w:eastAsia="es-CO"/>
        </w:rPr>
      </w:pPr>
      <w:r w:rsidRPr="00247EE5">
        <w:rPr>
          <w:rFonts w:ascii="Verdana" w:eastAsia="Times New Roman" w:hAnsi="Verdana" w:cs="Arial"/>
          <w:color w:val="000000" w:themeColor="text1"/>
          <w:lang w:eastAsia="es-CO"/>
        </w:rPr>
        <w:t>Atentamente,</w:t>
      </w:r>
      <w:r w:rsidRPr="00247EE5">
        <w:rPr>
          <w:rFonts w:ascii="Verdana" w:hAnsi="Verdana" w:cs="Arial"/>
          <w:color w:val="000000" w:themeColor="text1"/>
          <w:lang w:eastAsia="es-CO"/>
        </w:rPr>
        <w:t xml:space="preserve"> </w:t>
      </w:r>
    </w:p>
    <w:p w14:paraId="006DD09F" w14:textId="6C001E77" w:rsidR="00FE5412" w:rsidRPr="00247EE5" w:rsidRDefault="005F3297" w:rsidP="00FE5412">
      <w:pPr>
        <w:spacing w:line="276" w:lineRule="auto"/>
        <w:jc w:val="center"/>
        <w:rPr>
          <w:rFonts w:ascii="Verdana" w:hAnsi="Verdana" w:cs="Arial"/>
          <w:color w:val="000000" w:themeColor="text1"/>
          <w:lang w:val="es-ES_tradnl" w:eastAsia="es-CO"/>
        </w:rPr>
      </w:pPr>
      <w:r>
        <w:rPr>
          <w:rFonts w:ascii="Verdana" w:hAnsi="Verdana" w:cs="Arial"/>
          <w:noProof/>
          <w:color w:val="000000" w:themeColor="text1"/>
          <w:lang w:val="es-ES_tradnl" w:eastAsia="es-CO"/>
        </w:rPr>
        <w:drawing>
          <wp:inline distT="0" distB="0" distL="0" distR="0" wp14:anchorId="5B9D9B5D" wp14:editId="5626F52E">
            <wp:extent cx="3544503" cy="1524000"/>
            <wp:effectExtent l="0" t="0" r="0" b="0"/>
            <wp:docPr id="15224380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438051" name="Imagen 1522438051"/>
                    <pic:cNvPicPr/>
                  </pic:nvPicPr>
                  <pic:blipFill>
                    <a:blip r:embed="rId14">
                      <a:extLst>
                        <a:ext uri="{28A0092B-C50C-407E-A947-70E740481C1C}">
                          <a14:useLocalDpi xmlns:a14="http://schemas.microsoft.com/office/drawing/2010/main" val="0"/>
                        </a:ext>
                      </a:extLst>
                    </a:blip>
                    <a:stretch>
                      <a:fillRect/>
                    </a:stretch>
                  </pic:blipFill>
                  <pic:spPr>
                    <a:xfrm>
                      <a:off x="0" y="0"/>
                      <a:ext cx="3556260" cy="1529055"/>
                    </a:xfrm>
                    <a:prstGeom prst="rect">
                      <a:avLst/>
                    </a:prstGeom>
                  </pic:spPr>
                </pic:pic>
              </a:graphicData>
            </a:graphic>
          </wp:inline>
        </w:drawing>
      </w:r>
    </w:p>
    <w:tbl>
      <w:tblPr>
        <w:tblW w:w="609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5286"/>
      </w:tblGrid>
      <w:tr w:rsidR="00FE5412" w:rsidRPr="00247EE5" w14:paraId="086FB941" w14:textId="77777777" w:rsidTr="00655EDA">
        <w:trPr>
          <w:trHeight w:val="315"/>
        </w:trPr>
        <w:tc>
          <w:tcPr>
            <w:tcW w:w="810" w:type="dxa"/>
            <w:tcBorders>
              <w:top w:val="nil"/>
              <w:left w:val="nil"/>
              <w:bottom w:val="nil"/>
              <w:right w:val="nil"/>
            </w:tcBorders>
            <w:vAlign w:val="center"/>
            <w:hideMark/>
          </w:tcPr>
          <w:p w14:paraId="0FE90183" w14:textId="77777777" w:rsidR="00FE5412" w:rsidRPr="00247EE5" w:rsidRDefault="00FE5412" w:rsidP="00655EDA">
            <w:pPr>
              <w:autoSpaceDE w:val="0"/>
              <w:autoSpaceDN w:val="0"/>
              <w:adjustRightInd w:val="0"/>
              <w:spacing w:after="0" w:line="240" w:lineRule="auto"/>
              <w:jc w:val="both"/>
              <w:rPr>
                <w:rFonts w:ascii="Verdana" w:eastAsia="Calibri" w:hAnsi="Verdana" w:cs="Arial"/>
                <w:sz w:val="14"/>
                <w:szCs w:val="14"/>
              </w:rPr>
            </w:pPr>
            <w:r w:rsidRPr="00247EE5">
              <w:rPr>
                <w:rFonts w:ascii="Verdana" w:eastAsia="Times New Roman" w:hAnsi="Verdana" w:cs="Arial"/>
                <w:sz w:val="14"/>
                <w:szCs w:val="14"/>
                <w:lang w:eastAsia="es-CO"/>
              </w:rPr>
              <w:t> </w:t>
            </w:r>
            <w:r w:rsidRPr="00247EE5">
              <w:rPr>
                <w:rFonts w:ascii="Verdana" w:eastAsia="Calibri" w:hAnsi="Verdana" w:cs="Arial"/>
                <w:sz w:val="14"/>
                <w:szCs w:val="14"/>
              </w:rPr>
              <w:t>Elaboró: </w:t>
            </w:r>
          </w:p>
        </w:tc>
        <w:tc>
          <w:tcPr>
            <w:tcW w:w="5286" w:type="dxa"/>
            <w:tcBorders>
              <w:top w:val="nil"/>
              <w:left w:val="nil"/>
              <w:bottom w:val="dotted" w:sz="6" w:space="0" w:color="7F7F7F"/>
              <w:right w:val="nil"/>
            </w:tcBorders>
            <w:vAlign w:val="center"/>
            <w:hideMark/>
          </w:tcPr>
          <w:p w14:paraId="78EBB656" w14:textId="77777777" w:rsidR="00FE5412" w:rsidRPr="00247EE5" w:rsidRDefault="00FE5412" w:rsidP="00655EDA">
            <w:pPr>
              <w:spacing w:after="0" w:line="240" w:lineRule="auto"/>
              <w:jc w:val="both"/>
              <w:rPr>
                <w:rFonts w:ascii="Verdana" w:hAnsi="Verdana" w:cs="Arial"/>
                <w:sz w:val="14"/>
                <w:szCs w:val="14"/>
              </w:rPr>
            </w:pPr>
            <w:r w:rsidRPr="00247EE5">
              <w:rPr>
                <w:rFonts w:ascii="Verdana" w:hAnsi="Verdana" w:cs="Arial"/>
                <w:sz w:val="14"/>
                <w:szCs w:val="14"/>
              </w:rPr>
              <w:t xml:space="preserve">Karol Andrea Gonzalez Marin </w:t>
            </w:r>
          </w:p>
          <w:p w14:paraId="05BEEBFB" w14:textId="77777777" w:rsidR="00FE5412" w:rsidRPr="00247EE5" w:rsidRDefault="00FE5412" w:rsidP="00655EDA">
            <w:pPr>
              <w:autoSpaceDE w:val="0"/>
              <w:autoSpaceDN w:val="0"/>
              <w:adjustRightInd w:val="0"/>
              <w:spacing w:after="0" w:line="240" w:lineRule="auto"/>
              <w:jc w:val="both"/>
              <w:rPr>
                <w:rFonts w:ascii="Verdana" w:eastAsia="Calibri" w:hAnsi="Verdana" w:cs="Arial"/>
                <w:sz w:val="14"/>
                <w:szCs w:val="14"/>
              </w:rPr>
            </w:pPr>
            <w:r w:rsidRPr="00247EE5">
              <w:rPr>
                <w:rFonts w:ascii="Verdana" w:hAnsi="Verdana" w:cs="Arial"/>
                <w:sz w:val="14"/>
                <w:szCs w:val="14"/>
              </w:rPr>
              <w:t>Contratista de la Subdirección de Gestión Contractual</w:t>
            </w:r>
          </w:p>
        </w:tc>
      </w:tr>
      <w:tr w:rsidR="00FE5412" w:rsidRPr="00247EE5" w14:paraId="653B65E6" w14:textId="77777777" w:rsidTr="00655EDA">
        <w:trPr>
          <w:trHeight w:val="315"/>
        </w:trPr>
        <w:tc>
          <w:tcPr>
            <w:tcW w:w="810" w:type="dxa"/>
            <w:tcBorders>
              <w:top w:val="nil"/>
              <w:left w:val="nil"/>
              <w:bottom w:val="nil"/>
              <w:right w:val="nil"/>
            </w:tcBorders>
            <w:vAlign w:val="center"/>
            <w:hideMark/>
          </w:tcPr>
          <w:p w14:paraId="4122A783" w14:textId="77777777" w:rsidR="00FE5412" w:rsidRPr="00247EE5" w:rsidRDefault="00FE5412" w:rsidP="00655EDA">
            <w:pPr>
              <w:autoSpaceDE w:val="0"/>
              <w:autoSpaceDN w:val="0"/>
              <w:adjustRightInd w:val="0"/>
              <w:spacing w:after="0" w:line="240" w:lineRule="auto"/>
              <w:jc w:val="both"/>
              <w:rPr>
                <w:rFonts w:ascii="Verdana" w:eastAsia="Calibri" w:hAnsi="Verdana" w:cs="Arial"/>
                <w:sz w:val="14"/>
                <w:szCs w:val="14"/>
              </w:rPr>
            </w:pPr>
            <w:r w:rsidRPr="00247EE5">
              <w:rPr>
                <w:rFonts w:ascii="Verdana" w:eastAsia="Calibri" w:hAnsi="Verdana" w:cs="Arial"/>
                <w:sz w:val="14"/>
                <w:szCs w:val="14"/>
              </w:rPr>
              <w:t>Revisó: </w:t>
            </w:r>
          </w:p>
        </w:tc>
        <w:tc>
          <w:tcPr>
            <w:tcW w:w="5286" w:type="dxa"/>
            <w:tcBorders>
              <w:top w:val="dotted" w:sz="6" w:space="0" w:color="7F7F7F"/>
              <w:left w:val="nil"/>
              <w:bottom w:val="dotted" w:sz="6" w:space="0" w:color="7F7F7F"/>
              <w:right w:val="nil"/>
            </w:tcBorders>
            <w:vAlign w:val="center"/>
            <w:hideMark/>
          </w:tcPr>
          <w:p w14:paraId="69812F91" w14:textId="77777777" w:rsidR="00FE5412" w:rsidRPr="00247EE5" w:rsidRDefault="00FE5412" w:rsidP="00655EDA">
            <w:pPr>
              <w:spacing w:after="0" w:line="240" w:lineRule="auto"/>
              <w:jc w:val="both"/>
              <w:rPr>
                <w:rFonts w:ascii="Verdana" w:hAnsi="Verdana" w:cs="Arial"/>
                <w:sz w:val="14"/>
                <w:szCs w:val="14"/>
              </w:rPr>
            </w:pPr>
            <w:r w:rsidRPr="00247EE5">
              <w:rPr>
                <w:rFonts w:ascii="Verdana" w:hAnsi="Verdana" w:cs="Arial"/>
                <w:sz w:val="14"/>
                <w:szCs w:val="14"/>
              </w:rPr>
              <w:t xml:space="preserve">Diana Lucia Saavedra Castañeda </w:t>
            </w:r>
          </w:p>
          <w:p w14:paraId="1C0ACBDC" w14:textId="77777777" w:rsidR="00FE5412" w:rsidRPr="00247EE5" w:rsidRDefault="00FE5412" w:rsidP="00655EDA">
            <w:pPr>
              <w:autoSpaceDE w:val="0"/>
              <w:autoSpaceDN w:val="0"/>
              <w:adjustRightInd w:val="0"/>
              <w:spacing w:after="0" w:line="240" w:lineRule="auto"/>
              <w:jc w:val="both"/>
              <w:rPr>
                <w:rFonts w:ascii="Verdana" w:eastAsia="Calibri" w:hAnsi="Verdana" w:cs="Arial"/>
                <w:sz w:val="14"/>
                <w:szCs w:val="14"/>
              </w:rPr>
            </w:pPr>
            <w:r w:rsidRPr="00247EE5">
              <w:rPr>
                <w:rFonts w:ascii="Verdana" w:hAnsi="Verdana" w:cs="Arial"/>
                <w:sz w:val="14"/>
                <w:szCs w:val="14"/>
              </w:rPr>
              <w:t>Contratista de la Subdirección de Gestión Contractual</w:t>
            </w:r>
          </w:p>
        </w:tc>
      </w:tr>
      <w:tr w:rsidR="00FE5412" w:rsidRPr="00AB62FA" w14:paraId="0B3722D0" w14:textId="77777777" w:rsidTr="00655EDA">
        <w:trPr>
          <w:trHeight w:val="300"/>
        </w:trPr>
        <w:tc>
          <w:tcPr>
            <w:tcW w:w="810" w:type="dxa"/>
            <w:tcBorders>
              <w:top w:val="nil"/>
              <w:left w:val="nil"/>
              <w:bottom w:val="nil"/>
              <w:right w:val="nil"/>
            </w:tcBorders>
            <w:vAlign w:val="center"/>
            <w:hideMark/>
          </w:tcPr>
          <w:p w14:paraId="32C1247D" w14:textId="77777777" w:rsidR="00FE5412" w:rsidRPr="00247EE5" w:rsidRDefault="00FE5412" w:rsidP="00655EDA">
            <w:pPr>
              <w:autoSpaceDE w:val="0"/>
              <w:autoSpaceDN w:val="0"/>
              <w:adjustRightInd w:val="0"/>
              <w:spacing w:after="0" w:line="240" w:lineRule="auto"/>
              <w:jc w:val="both"/>
              <w:rPr>
                <w:rFonts w:ascii="Verdana" w:eastAsia="Calibri" w:hAnsi="Verdana" w:cs="Arial"/>
                <w:sz w:val="14"/>
                <w:szCs w:val="14"/>
              </w:rPr>
            </w:pPr>
            <w:r w:rsidRPr="00247EE5">
              <w:rPr>
                <w:rFonts w:ascii="Verdana" w:eastAsia="Calibri" w:hAnsi="Verdana" w:cs="Arial"/>
                <w:sz w:val="14"/>
                <w:szCs w:val="14"/>
              </w:rPr>
              <w:t>Aprobó: </w:t>
            </w:r>
          </w:p>
        </w:tc>
        <w:tc>
          <w:tcPr>
            <w:tcW w:w="5286" w:type="dxa"/>
            <w:tcBorders>
              <w:top w:val="dotted" w:sz="6" w:space="0" w:color="7F7F7F"/>
              <w:left w:val="nil"/>
              <w:bottom w:val="dotted" w:sz="6" w:space="0" w:color="7F7F7F"/>
              <w:right w:val="nil"/>
            </w:tcBorders>
            <w:vAlign w:val="center"/>
            <w:hideMark/>
          </w:tcPr>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20"/>
            </w:tblGrid>
            <w:tr w:rsidR="00FE5412" w:rsidRPr="00AB62FA" w14:paraId="2FB2BBD5" w14:textId="77777777" w:rsidTr="00655EDA">
              <w:trPr>
                <w:trHeight w:val="300"/>
              </w:trPr>
              <w:tc>
                <w:tcPr>
                  <w:tcW w:w="4410" w:type="dxa"/>
                  <w:tcBorders>
                    <w:top w:val="dotted" w:sz="6" w:space="0" w:color="7F7F7F" w:themeColor="text1" w:themeTint="80"/>
                    <w:left w:val="nil"/>
                    <w:bottom w:val="dotted" w:sz="6" w:space="0" w:color="7F7F7F" w:themeColor="text1" w:themeTint="80"/>
                    <w:right w:val="nil"/>
                  </w:tcBorders>
                  <w:vAlign w:val="center"/>
                  <w:hideMark/>
                </w:tcPr>
                <w:p w14:paraId="36A19385" w14:textId="77777777" w:rsidR="00FE5412" w:rsidRPr="00247EE5" w:rsidRDefault="00FE5412" w:rsidP="00655EDA">
                  <w:pPr>
                    <w:autoSpaceDE w:val="0"/>
                    <w:autoSpaceDN w:val="0"/>
                    <w:adjustRightInd w:val="0"/>
                    <w:spacing w:after="0" w:line="240" w:lineRule="auto"/>
                    <w:jc w:val="both"/>
                    <w:rPr>
                      <w:rFonts w:ascii="Verdana" w:eastAsia="Calibri" w:hAnsi="Verdana" w:cs="Arial"/>
                      <w:sz w:val="14"/>
                      <w:szCs w:val="14"/>
                    </w:rPr>
                  </w:pPr>
                  <w:r w:rsidRPr="00247EE5">
                    <w:rPr>
                      <w:rFonts w:ascii="Verdana" w:eastAsia="Calibri" w:hAnsi="Verdana" w:cs="Arial"/>
                      <w:sz w:val="14"/>
                      <w:szCs w:val="14"/>
                    </w:rPr>
                    <w:t xml:space="preserve">Carolina Quintero </w:t>
                  </w:r>
                  <w:proofErr w:type="spellStart"/>
                  <w:r w:rsidRPr="00247EE5">
                    <w:rPr>
                      <w:rFonts w:ascii="Verdana" w:eastAsia="Calibri" w:hAnsi="Verdana" w:cs="Arial"/>
                      <w:sz w:val="14"/>
                      <w:szCs w:val="14"/>
                    </w:rPr>
                    <w:t>Gacharná</w:t>
                  </w:r>
                  <w:proofErr w:type="spellEnd"/>
                </w:p>
                <w:p w14:paraId="6FA5336C" w14:textId="77777777" w:rsidR="00FE5412" w:rsidRPr="00AB62FA" w:rsidRDefault="00FE5412" w:rsidP="00655EDA">
                  <w:pPr>
                    <w:autoSpaceDE w:val="0"/>
                    <w:autoSpaceDN w:val="0"/>
                    <w:adjustRightInd w:val="0"/>
                    <w:spacing w:after="0" w:line="240" w:lineRule="auto"/>
                    <w:jc w:val="both"/>
                    <w:rPr>
                      <w:rFonts w:ascii="Verdana" w:eastAsia="Calibri" w:hAnsi="Verdana" w:cs="Arial"/>
                      <w:sz w:val="14"/>
                      <w:szCs w:val="14"/>
                    </w:rPr>
                  </w:pPr>
                  <w:r w:rsidRPr="00247EE5">
                    <w:rPr>
                      <w:rFonts w:ascii="Verdana" w:eastAsia="Calibri" w:hAnsi="Verdana" w:cs="Arial"/>
                      <w:sz w:val="14"/>
                      <w:szCs w:val="14"/>
                    </w:rPr>
                    <w:t>Subdirectora de Gestión Contractual ANCP-CCE</w:t>
                  </w:r>
                </w:p>
              </w:tc>
            </w:tr>
          </w:tbl>
          <w:p w14:paraId="76DCAF1F" w14:textId="77777777" w:rsidR="00FE5412" w:rsidRPr="00AB62FA" w:rsidRDefault="00FE5412" w:rsidP="00655EDA">
            <w:pPr>
              <w:autoSpaceDE w:val="0"/>
              <w:autoSpaceDN w:val="0"/>
              <w:adjustRightInd w:val="0"/>
              <w:spacing w:after="0" w:line="240" w:lineRule="auto"/>
              <w:jc w:val="both"/>
              <w:rPr>
                <w:rFonts w:ascii="Verdana" w:eastAsia="Calibri" w:hAnsi="Verdana" w:cs="Arial"/>
                <w:sz w:val="14"/>
                <w:szCs w:val="14"/>
              </w:rPr>
            </w:pPr>
          </w:p>
        </w:tc>
      </w:tr>
    </w:tbl>
    <w:p w14:paraId="0F293BF4" w14:textId="4697ACBF" w:rsidR="00127233" w:rsidRPr="00FE5412" w:rsidRDefault="00127233" w:rsidP="00FE5412"/>
    <w:sectPr w:rsidR="00127233" w:rsidRPr="00FE541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B00E8A" w14:textId="77777777" w:rsidR="009E4259" w:rsidRDefault="009E4259" w:rsidP="004A1847">
      <w:pPr>
        <w:spacing w:after="0" w:line="240" w:lineRule="auto"/>
      </w:pPr>
      <w:r>
        <w:separator/>
      </w:r>
    </w:p>
  </w:endnote>
  <w:endnote w:type="continuationSeparator" w:id="0">
    <w:p w14:paraId="7E82450C" w14:textId="77777777" w:rsidR="009E4259" w:rsidRDefault="009E425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FE5412"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FE5412">
      <w:rPr>
        <w:rFonts w:ascii="Century Gothic" w:eastAsia="Geo" w:hAnsi="Century Gothic" w:cs="Geo"/>
        <w:b/>
        <w:bCs/>
        <w:color w:val="000000" w:themeColor="text1"/>
        <w:sz w:val="16"/>
        <w:szCs w:val="16"/>
        <w:lang w:val="pt-PT" w:eastAsia="es-CO"/>
      </w:rPr>
      <w:t xml:space="preserve">Código: </w:t>
    </w:r>
    <w:r w:rsidRPr="00FE5412">
      <w:rPr>
        <w:rFonts w:ascii="Century Gothic" w:eastAsia="Geo" w:hAnsi="Century Gothic" w:cs="Geo"/>
        <w:color w:val="000000" w:themeColor="text1"/>
        <w:sz w:val="16"/>
        <w:szCs w:val="16"/>
        <w:lang w:val="pt-PT" w:eastAsia="es-CO"/>
      </w:rPr>
      <w:t xml:space="preserve">CCE-REC-FM-17 </w:t>
    </w:r>
    <w:r w:rsidRPr="00FE5412">
      <w:rPr>
        <w:rFonts w:ascii="Century Gothic" w:eastAsia="Geo" w:hAnsi="Century Gothic" w:cs="Geo"/>
        <w:b/>
        <w:bCs/>
        <w:color w:val="000000" w:themeColor="text1"/>
        <w:sz w:val="16"/>
        <w:szCs w:val="16"/>
        <w:lang w:val="pt-PT" w:eastAsia="es-CO"/>
      </w:rPr>
      <w:t>V</w:t>
    </w:r>
    <w:r w:rsidRPr="00FE5412">
      <w:rPr>
        <w:rFonts w:ascii="Century Gothic" w:eastAsia="Arial Nova" w:hAnsi="Century Gothic" w:cs="Arial Nova"/>
        <w:b/>
        <w:bCs/>
        <w:color w:val="000000" w:themeColor="text1"/>
        <w:sz w:val="16"/>
        <w:szCs w:val="16"/>
        <w:lang w:val="pt-PT" w:eastAsia="es-CO"/>
      </w:rPr>
      <w:t xml:space="preserve">: </w:t>
    </w:r>
    <w:r w:rsidRPr="00FE5412">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D3FF2" w14:textId="77777777" w:rsidR="009E4259" w:rsidRDefault="009E4259" w:rsidP="004A1847">
      <w:pPr>
        <w:spacing w:after="0" w:line="240" w:lineRule="auto"/>
      </w:pPr>
      <w:r>
        <w:separator/>
      </w:r>
    </w:p>
  </w:footnote>
  <w:footnote w:type="continuationSeparator" w:id="0">
    <w:p w14:paraId="141AA0A6" w14:textId="77777777" w:rsidR="009E4259" w:rsidRDefault="009E4259" w:rsidP="004A1847">
      <w:pPr>
        <w:spacing w:after="0" w:line="240" w:lineRule="auto"/>
      </w:pPr>
      <w:r>
        <w:continuationSeparator/>
      </w:r>
    </w:p>
  </w:footnote>
  <w:footnote w:id="1">
    <w:p w14:paraId="6A4AD51D" w14:textId="77777777" w:rsidR="00FE5412" w:rsidRPr="00EF24D1" w:rsidRDefault="00FE5412" w:rsidP="00FE5412">
      <w:pPr>
        <w:pStyle w:val="Textonotapie"/>
        <w:ind w:firstLine="709"/>
        <w:jc w:val="both"/>
        <w:rPr>
          <w:rFonts w:ascii="Verdana" w:hAnsi="Verdana"/>
          <w:sz w:val="14"/>
          <w:szCs w:val="14"/>
          <w:lang w:val="es-CO"/>
        </w:rPr>
      </w:pPr>
      <w:r w:rsidRPr="00EF24D1">
        <w:rPr>
          <w:rStyle w:val="Refdenotaalpie"/>
          <w:rFonts w:ascii="Verdana" w:hAnsi="Verdana"/>
          <w:sz w:val="14"/>
          <w:szCs w:val="14"/>
        </w:rPr>
        <w:footnoteRef/>
      </w:r>
      <w:r w:rsidRPr="00EF24D1">
        <w:rPr>
          <w:rFonts w:ascii="Verdana" w:hAnsi="Verdana"/>
          <w:sz w:val="14"/>
          <w:szCs w:val="14"/>
        </w:rPr>
        <w:t xml:space="preserve"> </w:t>
      </w:r>
      <w:bookmarkStart w:id="1" w:name="6"/>
      <w:r w:rsidRPr="00EF24D1">
        <w:rPr>
          <w:rFonts w:ascii="Verdana" w:hAnsi="Verdana"/>
          <w:b/>
          <w:bCs/>
          <w:sz w:val="14"/>
          <w:szCs w:val="14"/>
          <w:lang w:val="es-CO"/>
        </w:rPr>
        <w:t>Artículo 6o. De la capacidad para contratar.</w:t>
      </w:r>
      <w:bookmarkEnd w:id="1"/>
      <w:r w:rsidRPr="00EF24D1">
        <w:rPr>
          <w:rFonts w:ascii="Verdana" w:hAnsi="Verdana"/>
          <w:sz w:val="14"/>
          <w:szCs w:val="14"/>
          <w:lang w:val="es-CO"/>
        </w:rPr>
        <w:t> &lt;Artículo modificado por el artículo </w:t>
      </w:r>
      <w:hyperlink r:id="rId1" w:anchor="1" w:history="1">
        <w:r w:rsidRPr="00EF24D1">
          <w:rPr>
            <w:rStyle w:val="Hipervnculo"/>
            <w:rFonts w:ascii="Verdana" w:hAnsi="Verdana"/>
            <w:sz w:val="14"/>
            <w:szCs w:val="14"/>
            <w:lang w:val="es-CO"/>
          </w:rPr>
          <w:t>1</w:t>
        </w:r>
      </w:hyperlink>
      <w:r w:rsidRPr="00EF24D1">
        <w:rPr>
          <w:rFonts w:ascii="Verdana" w:hAnsi="Verdana"/>
          <w:sz w:val="14"/>
          <w:szCs w:val="14"/>
          <w:lang w:val="es-CO"/>
        </w:rPr>
        <w:t> de la Ley 2160 de 2021. El nuevo texto es el siguiente:&gt;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w:t>
      </w:r>
      <w:hyperlink r:id="rId2" w:anchor="INICIO" w:history="1">
        <w:r w:rsidRPr="00EF24D1">
          <w:rPr>
            <w:rStyle w:val="Hipervnculo"/>
            <w:rFonts w:ascii="Verdana" w:hAnsi="Verdana"/>
            <w:sz w:val="14"/>
            <w:szCs w:val="14"/>
            <w:lang w:val="es-CO"/>
          </w:rPr>
          <w:t>70</w:t>
        </w:r>
      </w:hyperlink>
      <w:r w:rsidRPr="00EF24D1">
        <w:rPr>
          <w:rFonts w:ascii="Verdana" w:hAnsi="Verdana"/>
          <w:sz w:val="14"/>
          <w:szCs w:val="14"/>
          <w:lang w:val="es-CO"/>
        </w:rPr>
        <w:t> de 1993.</w:t>
      </w:r>
    </w:p>
    <w:p w14:paraId="53DEB192" w14:textId="77777777" w:rsidR="00FE5412" w:rsidRPr="00EF24D1" w:rsidRDefault="00FE5412" w:rsidP="00FE5412">
      <w:pPr>
        <w:pStyle w:val="Textonotapie"/>
        <w:ind w:firstLine="709"/>
        <w:jc w:val="both"/>
        <w:rPr>
          <w:rFonts w:ascii="Verdana" w:hAnsi="Verdana"/>
          <w:sz w:val="14"/>
          <w:szCs w:val="14"/>
          <w:lang w:val="es-CO"/>
        </w:rPr>
      </w:pPr>
      <w:r w:rsidRPr="00EF24D1">
        <w:rPr>
          <w:rFonts w:ascii="Verdana" w:hAnsi="Verdana"/>
          <w:sz w:val="14"/>
          <w:szCs w:val="14"/>
          <w:lang w:val="es-CO"/>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232EB874" w14:textId="77777777" w:rsidR="00FE5412" w:rsidRPr="00EF24D1" w:rsidRDefault="00FE5412" w:rsidP="00FE5412">
      <w:pPr>
        <w:pStyle w:val="Textonotapie"/>
        <w:ind w:firstLine="709"/>
        <w:jc w:val="both"/>
        <w:rPr>
          <w:rFonts w:ascii="Verdana" w:hAnsi="Verdana"/>
          <w:sz w:val="14"/>
          <w:szCs w:val="14"/>
          <w:lang w:val="es-CO"/>
        </w:rPr>
      </w:pPr>
      <w:r w:rsidRPr="00EF24D1">
        <w:rPr>
          <w:rFonts w:ascii="Verdana" w:hAnsi="Verdana"/>
          <w:sz w:val="14"/>
          <w:szCs w:val="14"/>
          <w:lang w:val="es-CO"/>
        </w:rPr>
        <w:t>Las personas jurídicas nacionales y extranjeras deberán acreditar que su duración no será inferior a la del plazo del contrato y un año más.</w:t>
      </w:r>
    </w:p>
    <w:p w14:paraId="6FDCD52F" w14:textId="77777777" w:rsidR="00FE5412" w:rsidRPr="00EF24D1" w:rsidRDefault="00FE5412" w:rsidP="00FE5412">
      <w:pPr>
        <w:pStyle w:val="Textonotapie"/>
        <w:ind w:firstLine="709"/>
        <w:jc w:val="both"/>
        <w:rPr>
          <w:rFonts w:ascii="Verdana" w:hAnsi="Verdana"/>
          <w:sz w:val="14"/>
          <w:szCs w:val="14"/>
          <w:lang w:val="es-CO"/>
        </w:rPr>
      </w:pPr>
    </w:p>
  </w:footnote>
  <w:footnote w:id="2">
    <w:p w14:paraId="05EB5E32" w14:textId="77777777" w:rsidR="00FE5412" w:rsidRPr="00EF24D1" w:rsidRDefault="00FE5412" w:rsidP="00FE5412">
      <w:pPr>
        <w:pStyle w:val="Textonotapie"/>
        <w:ind w:firstLine="709"/>
        <w:jc w:val="both"/>
        <w:rPr>
          <w:rFonts w:ascii="Verdana" w:hAnsi="Verdana" w:cs="Arial"/>
          <w:sz w:val="14"/>
          <w:szCs w:val="14"/>
        </w:rPr>
      </w:pPr>
      <w:r w:rsidRPr="00EF24D1">
        <w:rPr>
          <w:rStyle w:val="Refdenotaalpie"/>
          <w:rFonts w:ascii="Verdana" w:hAnsi="Verdana" w:cs="Arial"/>
          <w:sz w:val="14"/>
          <w:szCs w:val="14"/>
        </w:rPr>
        <w:footnoteRef/>
      </w:r>
      <w:r w:rsidRPr="00EF24D1">
        <w:rPr>
          <w:rFonts w:ascii="Verdana" w:hAnsi="Verdana" w:cs="Arial"/>
          <w:sz w:val="14"/>
          <w:szCs w:val="14"/>
        </w:rPr>
        <w:t xml:space="preserve"> Sobre esta norma, consultar los conceptos del 8 de octubre de 2019, con radicado No. 2201913000007532, y del 20 de diciembre de 2019, con radicado No. 4201913000008240.</w:t>
      </w:r>
    </w:p>
    <w:p w14:paraId="318949DB" w14:textId="77777777" w:rsidR="00FE5412" w:rsidRPr="00EF24D1" w:rsidRDefault="00FE5412" w:rsidP="00FE5412">
      <w:pPr>
        <w:pStyle w:val="Textonotapie"/>
        <w:ind w:firstLine="709"/>
        <w:jc w:val="both"/>
        <w:rPr>
          <w:rFonts w:ascii="Verdana" w:hAnsi="Verdana" w:cs="Arial"/>
          <w:sz w:val="14"/>
          <w:szCs w:val="14"/>
        </w:rPr>
      </w:pPr>
    </w:p>
  </w:footnote>
  <w:footnote w:id="3">
    <w:p w14:paraId="7AE3180B" w14:textId="77777777" w:rsidR="00FE5412" w:rsidRPr="00EF24D1" w:rsidRDefault="00FE5412" w:rsidP="00FE5412">
      <w:pPr>
        <w:pStyle w:val="Textonotapie"/>
        <w:ind w:firstLine="709"/>
        <w:jc w:val="both"/>
        <w:rPr>
          <w:rFonts w:ascii="Verdana" w:hAnsi="Verdana" w:cs="Arial"/>
          <w:sz w:val="14"/>
          <w:szCs w:val="14"/>
        </w:rPr>
      </w:pPr>
      <w:r w:rsidRPr="00EF24D1">
        <w:rPr>
          <w:rStyle w:val="Refdenotaalpie"/>
          <w:rFonts w:ascii="Verdana" w:hAnsi="Verdana"/>
          <w:sz w:val="14"/>
          <w:szCs w:val="14"/>
        </w:rPr>
        <w:footnoteRef/>
      </w:r>
      <w:r w:rsidRPr="00EF24D1">
        <w:rPr>
          <w:rFonts w:ascii="Verdana" w:hAnsi="Verdana"/>
          <w:sz w:val="14"/>
          <w:szCs w:val="14"/>
        </w:rPr>
        <w:t xml:space="preserve"> </w:t>
      </w:r>
      <w:r w:rsidRPr="00EF24D1">
        <w:rPr>
          <w:rFonts w:ascii="Verdana" w:hAnsi="Verdana" w:cs="Arial"/>
          <w:sz w:val="14"/>
          <w:szCs w:val="14"/>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266EF30" w14:textId="77777777" w:rsidR="00FE5412" w:rsidRPr="00EF24D1" w:rsidRDefault="00FE5412" w:rsidP="00FE5412">
      <w:pPr>
        <w:pStyle w:val="Textonotapie"/>
        <w:ind w:firstLine="709"/>
        <w:jc w:val="both"/>
        <w:rPr>
          <w:rFonts w:ascii="Verdana" w:hAnsi="Verdana" w:cs="Arial"/>
          <w:sz w:val="14"/>
          <w:szCs w:val="14"/>
        </w:rPr>
      </w:pPr>
      <w:r w:rsidRPr="00EF24D1">
        <w:rPr>
          <w:rFonts w:ascii="Verdana" w:hAnsi="Verdana" w:cs="Arial"/>
          <w:sz w:val="14"/>
          <w:szCs w:val="14"/>
        </w:rPr>
        <w:t xml:space="preserve">Los convenios de asociación a que se refiere el presente artículo </w:t>
      </w:r>
      <w:bookmarkStart w:id="2" w:name="_Hlk36023315"/>
      <w:r w:rsidRPr="00EF24D1">
        <w:rPr>
          <w:rFonts w:ascii="Verdana" w:hAnsi="Verdana" w:cs="Arial"/>
          <w:sz w:val="14"/>
          <w:szCs w:val="14"/>
        </w:rPr>
        <w:t>se celebrarán de conformidad con lo dispuesto en el artículo 355 de la Constitución Política</w:t>
      </w:r>
      <w:bookmarkEnd w:id="2"/>
      <w:r w:rsidRPr="00EF24D1">
        <w:rPr>
          <w:rFonts w:ascii="Verdana" w:hAnsi="Verdana" w:cs="Arial"/>
          <w:sz w:val="14"/>
          <w:szCs w:val="14"/>
        </w:rPr>
        <w:t>, en ellos se determinará con precisión su objeto, término, obligaciones de las partes, aportes, coordinación y todos aquellos aspectos que se consideren pertinentes”.</w:t>
      </w:r>
    </w:p>
    <w:p w14:paraId="27A66C92" w14:textId="77777777" w:rsidR="00FE5412" w:rsidRPr="00EF24D1" w:rsidRDefault="00FE5412" w:rsidP="00FE5412">
      <w:pPr>
        <w:pStyle w:val="Textonotapie"/>
        <w:ind w:firstLine="709"/>
        <w:jc w:val="both"/>
        <w:rPr>
          <w:rFonts w:ascii="Verdana" w:hAnsi="Verdana" w:cs="Arial"/>
          <w:sz w:val="14"/>
          <w:szCs w:val="14"/>
        </w:rPr>
      </w:pPr>
    </w:p>
  </w:footnote>
  <w:footnote w:id="4">
    <w:p w14:paraId="369FEBA4" w14:textId="77777777" w:rsidR="00FE5412" w:rsidRPr="00EF24D1" w:rsidRDefault="00FE5412" w:rsidP="00FE5412">
      <w:pPr>
        <w:pStyle w:val="Textonotapie"/>
        <w:ind w:firstLine="709"/>
        <w:jc w:val="both"/>
        <w:rPr>
          <w:rFonts w:ascii="Verdana" w:hAnsi="Verdana" w:cs="Arial"/>
          <w:sz w:val="14"/>
          <w:szCs w:val="14"/>
        </w:rPr>
      </w:pPr>
      <w:r w:rsidRPr="00EF24D1">
        <w:rPr>
          <w:rStyle w:val="Refdenotaalpie"/>
          <w:rFonts w:ascii="Verdana" w:hAnsi="Verdana" w:cs="Arial"/>
          <w:sz w:val="14"/>
          <w:szCs w:val="14"/>
        </w:rPr>
        <w:footnoteRef/>
      </w:r>
      <w:r w:rsidRPr="00EF24D1">
        <w:rPr>
          <w:rFonts w:ascii="Verdana" w:hAnsi="Verdana" w:cs="Arial"/>
          <w:sz w:val="14"/>
          <w:szCs w:val="14"/>
        </w:rPr>
        <w:t xml:space="preserve"> Concepto del 3 de septiembre de 2019, con radicado No. 2201913000006512.</w:t>
      </w:r>
    </w:p>
    <w:p w14:paraId="301FBACF" w14:textId="77777777" w:rsidR="00FE5412" w:rsidRPr="00EF24D1" w:rsidRDefault="00FE5412" w:rsidP="00FE5412">
      <w:pPr>
        <w:pStyle w:val="Textonotapie"/>
        <w:ind w:firstLine="709"/>
        <w:jc w:val="both"/>
        <w:rPr>
          <w:rFonts w:ascii="Verdana" w:hAnsi="Verdana" w:cs="Arial"/>
          <w:sz w:val="14"/>
          <w:szCs w:val="14"/>
        </w:rPr>
      </w:pPr>
    </w:p>
  </w:footnote>
  <w:footnote w:id="5">
    <w:p w14:paraId="4C4E74EF" w14:textId="77777777" w:rsidR="00FE5412" w:rsidRPr="00EF24D1" w:rsidRDefault="00FE5412" w:rsidP="00FE5412">
      <w:pPr>
        <w:pStyle w:val="Textonotapie"/>
        <w:ind w:firstLine="709"/>
        <w:jc w:val="both"/>
        <w:rPr>
          <w:rFonts w:ascii="Verdana" w:hAnsi="Verdana" w:cs="Arial"/>
          <w:sz w:val="14"/>
          <w:szCs w:val="14"/>
        </w:rPr>
      </w:pPr>
      <w:r w:rsidRPr="00EF24D1">
        <w:rPr>
          <w:rStyle w:val="Refdenotaalpie"/>
          <w:rFonts w:ascii="Verdana" w:hAnsi="Verdana" w:cs="Arial"/>
          <w:sz w:val="14"/>
          <w:szCs w:val="14"/>
        </w:rPr>
        <w:footnoteRef/>
      </w:r>
      <w:r w:rsidRPr="00EF24D1">
        <w:rPr>
          <w:rFonts w:ascii="Verdana" w:hAnsi="Verdana" w:cs="Arial"/>
          <w:sz w:val="14"/>
          <w:szCs w:val="14"/>
        </w:rPr>
        <w:t xml:space="preserve"> Sobre la naturaleza de los convenios de asociación, se reitera lo expuesto en el concepto del 19 de noviembre de 2019, con radicado No. 2201913000008611.</w:t>
      </w:r>
    </w:p>
    <w:p w14:paraId="78E8D794" w14:textId="77777777" w:rsidR="00FE5412" w:rsidRPr="00EF24D1" w:rsidRDefault="00FE5412" w:rsidP="00FE5412">
      <w:pPr>
        <w:pStyle w:val="Textonotapie"/>
        <w:ind w:firstLine="709"/>
        <w:jc w:val="both"/>
        <w:rPr>
          <w:rFonts w:ascii="Verdana" w:hAnsi="Verdana" w:cs="Arial"/>
          <w:sz w:val="14"/>
          <w:szCs w:val="14"/>
        </w:rPr>
      </w:pPr>
    </w:p>
  </w:footnote>
  <w:footnote w:id="6">
    <w:p w14:paraId="6AC83CEB" w14:textId="77777777" w:rsidR="00FE5412" w:rsidRPr="006001AD" w:rsidRDefault="00FE5412" w:rsidP="00FE5412">
      <w:pPr>
        <w:pStyle w:val="Textonotapie"/>
        <w:ind w:firstLine="709"/>
        <w:jc w:val="both"/>
        <w:rPr>
          <w:rFonts w:ascii="Verdana" w:hAnsi="Verdana" w:cs="Arial"/>
          <w:color w:val="000000" w:themeColor="text1"/>
          <w:sz w:val="14"/>
          <w:szCs w:val="14"/>
        </w:rPr>
      </w:pPr>
      <w:r w:rsidRPr="006001AD">
        <w:rPr>
          <w:rStyle w:val="Refdenotaalpie"/>
          <w:rFonts w:ascii="Verdana" w:hAnsi="Verdana" w:cs="Arial"/>
          <w:color w:val="000000" w:themeColor="text1"/>
          <w:sz w:val="14"/>
          <w:szCs w:val="14"/>
        </w:rPr>
        <w:footnoteRef/>
      </w:r>
      <w:r w:rsidRPr="006001AD">
        <w:rPr>
          <w:rFonts w:ascii="Verdana" w:hAnsi="Verdana" w:cs="Arial"/>
          <w:color w:val="000000" w:themeColor="text1"/>
          <w:sz w:val="14"/>
          <w:szCs w:val="14"/>
        </w:rPr>
        <w:t xml:space="preserve"> </w:t>
      </w:r>
      <w:bookmarkStart w:id="7" w:name="_Hlk171946243"/>
      <w:r w:rsidRPr="006001AD">
        <w:rPr>
          <w:rFonts w:ascii="Verdana" w:hAnsi="Verdana" w:cs="Arial"/>
          <w:color w:val="000000" w:themeColor="text1"/>
          <w:sz w:val="14"/>
          <w:szCs w:val="14"/>
        </w:rPr>
        <w:t>Consejo de Estado. Sala de Consulta y del Servicio Civil. Concepto del 24 de febrero de 2005. Radicado No. 1626. Consejera Ponente: Dra. Gloria Duque Hernández</w:t>
      </w:r>
      <w:bookmarkEnd w:id="7"/>
      <w:r w:rsidRPr="006001AD">
        <w:rPr>
          <w:rFonts w:ascii="Verdana" w:hAnsi="Verdana" w:cs="Arial"/>
          <w:color w:val="000000" w:themeColor="text1"/>
          <w:sz w:val="14"/>
          <w:szCs w:val="14"/>
        </w:rPr>
        <w:t>.</w:t>
      </w:r>
    </w:p>
    <w:p w14:paraId="1ED5F44A" w14:textId="77777777" w:rsidR="00FE5412" w:rsidRPr="006001AD" w:rsidRDefault="00FE5412" w:rsidP="00FE5412">
      <w:pPr>
        <w:pStyle w:val="Textonotapie"/>
        <w:ind w:firstLine="709"/>
        <w:jc w:val="both"/>
        <w:rPr>
          <w:rFonts w:ascii="Verdana" w:hAnsi="Verdana" w:cs="Arial"/>
          <w:color w:val="000000" w:themeColor="text1"/>
          <w:sz w:val="14"/>
          <w:szCs w:val="14"/>
        </w:rPr>
      </w:pPr>
    </w:p>
  </w:footnote>
  <w:footnote w:id="7">
    <w:p w14:paraId="11098A89" w14:textId="77777777" w:rsidR="00FE5412" w:rsidRPr="006001AD" w:rsidRDefault="00FE5412" w:rsidP="00FE5412">
      <w:pPr>
        <w:spacing w:after="0" w:line="240" w:lineRule="auto"/>
        <w:ind w:firstLine="709"/>
        <w:jc w:val="both"/>
        <w:rPr>
          <w:rFonts w:ascii="Verdana" w:eastAsia="Times New Roman" w:hAnsi="Verdana" w:cs="Times New Roman"/>
          <w:color w:val="000000" w:themeColor="text1"/>
          <w:sz w:val="14"/>
          <w:szCs w:val="14"/>
          <w:shd w:val="clear" w:color="auto" w:fill="FFFFFF"/>
          <w:lang w:eastAsia="es-ES_tradnl"/>
        </w:rPr>
      </w:pPr>
      <w:r w:rsidRPr="006001AD">
        <w:rPr>
          <w:rStyle w:val="Refdenotaalpie"/>
          <w:rFonts w:ascii="Verdana" w:hAnsi="Verdana"/>
          <w:color w:val="000000" w:themeColor="text1"/>
          <w:sz w:val="14"/>
          <w:szCs w:val="14"/>
        </w:rPr>
        <w:footnoteRef/>
      </w:r>
      <w:r w:rsidRPr="006001AD">
        <w:rPr>
          <w:rFonts w:ascii="Verdana" w:hAnsi="Verdana"/>
          <w:color w:val="000000" w:themeColor="text1"/>
          <w:sz w:val="14"/>
          <w:szCs w:val="14"/>
        </w:rPr>
        <w:t xml:space="preserve"> </w:t>
      </w:r>
      <w:r w:rsidRPr="006001AD">
        <w:rPr>
          <w:rStyle w:val="author-name"/>
          <w:rFonts w:ascii="Verdana" w:hAnsi="Verdana"/>
          <w:color w:val="000000" w:themeColor="text1"/>
          <w:sz w:val="14"/>
          <w:szCs w:val="14"/>
        </w:rPr>
        <w:t xml:space="preserve">GÓMEZ Velásquez, Alejandro y DÍAZ Díez Cristian Andrés. </w:t>
      </w:r>
      <w:r w:rsidRPr="006001AD">
        <w:rPr>
          <w:rFonts w:ascii="Verdana" w:eastAsia="Times New Roman" w:hAnsi="Verdana" w:cs="Times New Roman"/>
          <w:i/>
          <w:iCs/>
          <w:color w:val="000000" w:themeColor="text1"/>
          <w:sz w:val="14"/>
          <w:szCs w:val="14"/>
          <w:shd w:val="clear" w:color="auto" w:fill="FFFFFF"/>
          <w:lang w:eastAsia="es-ES_tradnl"/>
        </w:rPr>
        <w:t>Los convenios de interés público y de asociación en el régimen de contratación pública colombiana.</w:t>
      </w:r>
      <w:r w:rsidRPr="006001AD">
        <w:rPr>
          <w:rFonts w:ascii="Verdana" w:eastAsia="Times New Roman" w:hAnsi="Verdana" w:cs="Times New Roman"/>
          <w:color w:val="000000" w:themeColor="text1"/>
          <w:sz w:val="14"/>
          <w:szCs w:val="14"/>
          <w:shd w:val="clear" w:color="auto" w:fill="FFFFFF"/>
          <w:lang w:eastAsia="es-ES_tradnl"/>
        </w:rPr>
        <w:t xml:space="preserve"> Revista Derecho del Estad. Universidad Externado de Colombia.</w:t>
      </w:r>
      <w:r w:rsidRPr="006001AD">
        <w:rPr>
          <w:rFonts w:ascii="Verdana" w:eastAsia="Times New Roman" w:hAnsi="Verdana" w:cs="Times New Roman"/>
          <w:i/>
          <w:iCs/>
          <w:color w:val="000000" w:themeColor="text1"/>
          <w:sz w:val="14"/>
          <w:szCs w:val="14"/>
          <w:shd w:val="clear" w:color="auto" w:fill="FFFFFF"/>
          <w:lang w:eastAsia="es-ES_tradnl"/>
        </w:rPr>
        <w:t xml:space="preserve"> </w:t>
      </w:r>
      <w:r w:rsidRPr="006001AD">
        <w:rPr>
          <w:rFonts w:ascii="Verdana" w:eastAsia="Times New Roman" w:hAnsi="Verdana" w:cs="Times New Roman"/>
          <w:color w:val="000000" w:themeColor="text1"/>
          <w:sz w:val="14"/>
          <w:szCs w:val="14"/>
          <w:shd w:val="clear" w:color="auto" w:fill="FFFFFF"/>
          <w:lang w:eastAsia="es-ES_tradnl"/>
        </w:rPr>
        <w:t xml:space="preserve">Se puede consultar en el siguiente enlace: </w:t>
      </w:r>
      <w:hyperlink r:id="rId3" w:anchor="figures" w:history="1">
        <w:r w:rsidRPr="006001AD">
          <w:rPr>
            <w:rStyle w:val="Hipervnculo"/>
            <w:rFonts w:ascii="Verdana" w:eastAsia="Times New Roman" w:hAnsi="Verdana" w:cs="Times New Roman"/>
            <w:color w:val="000000" w:themeColor="text1"/>
            <w:sz w:val="14"/>
            <w:szCs w:val="14"/>
            <w:shd w:val="clear" w:color="auto" w:fill="FFFFFF"/>
            <w:lang w:eastAsia="es-ES_tradnl"/>
          </w:rPr>
          <w:t>https://revistas.uexternado.edu.co/index.php/derest/article/view/6151/8606#figures</w:t>
        </w:r>
      </w:hyperlink>
      <w:r w:rsidRPr="006001AD">
        <w:rPr>
          <w:rFonts w:ascii="Verdana" w:eastAsia="Times New Roman" w:hAnsi="Verdana" w:cs="Times New Roman"/>
          <w:color w:val="000000" w:themeColor="text1"/>
          <w:sz w:val="14"/>
          <w:szCs w:val="14"/>
          <w:shd w:val="clear" w:color="auto" w:fill="FFFFFF"/>
          <w:lang w:eastAsia="es-ES_tradnl"/>
        </w:rPr>
        <w:t xml:space="preserve"> </w:t>
      </w:r>
    </w:p>
    <w:p w14:paraId="36146078" w14:textId="77777777" w:rsidR="00FE5412" w:rsidRPr="006001AD" w:rsidRDefault="00FE5412" w:rsidP="00FE5412">
      <w:pPr>
        <w:spacing w:after="0" w:line="240" w:lineRule="auto"/>
        <w:ind w:firstLine="709"/>
        <w:jc w:val="both"/>
        <w:rPr>
          <w:rFonts w:ascii="Verdana" w:eastAsia="Times New Roman" w:hAnsi="Verdana" w:cs="Times New Roman"/>
          <w:color w:val="000000" w:themeColor="text1"/>
          <w:sz w:val="14"/>
          <w:szCs w:val="14"/>
          <w:shd w:val="clear" w:color="auto" w:fill="FFFFFF"/>
          <w:lang w:eastAsia="es-ES_tradnl"/>
        </w:rPr>
      </w:pPr>
    </w:p>
  </w:footnote>
  <w:footnote w:id="8">
    <w:p w14:paraId="46C5A5FF" w14:textId="77777777" w:rsidR="00FE5412" w:rsidRPr="006001AD" w:rsidRDefault="00FE5412" w:rsidP="00FE5412">
      <w:pPr>
        <w:spacing w:after="0" w:line="240" w:lineRule="auto"/>
        <w:ind w:firstLine="709"/>
        <w:jc w:val="both"/>
        <w:rPr>
          <w:rFonts w:ascii="Verdana" w:eastAsia="Times New Roman" w:hAnsi="Verdana" w:cs="Times New Roman"/>
          <w:color w:val="000000"/>
          <w:sz w:val="14"/>
          <w:szCs w:val="14"/>
          <w:shd w:val="clear" w:color="auto" w:fill="FFFFFF"/>
          <w:lang w:eastAsia="es-ES_tradnl"/>
        </w:rPr>
      </w:pPr>
      <w:r w:rsidRPr="006001AD">
        <w:rPr>
          <w:rStyle w:val="Refdenotaalpie"/>
          <w:rFonts w:ascii="Verdana" w:hAnsi="Verdana"/>
          <w:sz w:val="14"/>
          <w:szCs w:val="14"/>
        </w:rPr>
        <w:footnoteRef/>
      </w:r>
      <w:r w:rsidRPr="006001AD">
        <w:rPr>
          <w:rFonts w:ascii="Verdana" w:hAnsi="Verdana"/>
          <w:sz w:val="14"/>
          <w:szCs w:val="14"/>
          <w:lang w:val="pt-PT"/>
        </w:rPr>
        <w:t xml:space="preserve"> </w:t>
      </w:r>
      <w:bookmarkStart w:id="9" w:name="_Hlk171946540"/>
      <w:r w:rsidRPr="006001AD">
        <w:rPr>
          <w:rFonts w:ascii="Verdana" w:eastAsia="Times New Roman" w:hAnsi="Verdana" w:cs="Times New Roman"/>
          <w:color w:val="000000"/>
          <w:sz w:val="14"/>
          <w:szCs w:val="14"/>
          <w:shd w:val="clear" w:color="auto" w:fill="FFFFFF"/>
          <w:lang w:val="pt-PT" w:eastAsia="es-ES_tradnl"/>
        </w:rPr>
        <w:t xml:space="preserve">Corte Constitucional.  Sala Plena. Sentencia C-324 de 2009. </w:t>
      </w:r>
      <w:r w:rsidRPr="006001AD">
        <w:rPr>
          <w:rFonts w:ascii="Verdana" w:eastAsia="Times New Roman" w:hAnsi="Verdana" w:cs="Times New Roman"/>
          <w:color w:val="000000"/>
          <w:sz w:val="14"/>
          <w:szCs w:val="14"/>
          <w:shd w:val="clear" w:color="auto" w:fill="FFFFFF"/>
          <w:lang w:eastAsia="es-ES_tradnl"/>
        </w:rPr>
        <w:t>M.P.: Juan Carlos Henao Pérez. En igual sentido, véase Corte Constitucional, Sala Plena. Sentencia C-027 de 2016.</w:t>
      </w:r>
      <w:bookmarkEnd w:id="9"/>
    </w:p>
    <w:p w14:paraId="277E0FA4" w14:textId="77777777" w:rsidR="00FE5412" w:rsidRPr="006001AD" w:rsidRDefault="00FE5412" w:rsidP="00FE5412">
      <w:pPr>
        <w:spacing w:after="0" w:line="240" w:lineRule="auto"/>
        <w:ind w:firstLine="709"/>
        <w:jc w:val="both"/>
        <w:rPr>
          <w:rFonts w:ascii="Verdana" w:eastAsia="Times New Roman" w:hAnsi="Verdana" w:cs="Times New Roman"/>
          <w:color w:val="000000"/>
          <w:sz w:val="14"/>
          <w:szCs w:val="14"/>
          <w:shd w:val="clear" w:color="auto" w:fill="FFFFFF"/>
          <w:lang w:eastAsia="es-ES_tradnl"/>
        </w:rPr>
      </w:pPr>
    </w:p>
  </w:footnote>
  <w:footnote w:id="9">
    <w:p w14:paraId="2A2ABE8D" w14:textId="77777777" w:rsidR="00FE5412" w:rsidRPr="006001AD" w:rsidRDefault="00FE5412" w:rsidP="00FE5412">
      <w:pPr>
        <w:spacing w:after="0" w:line="240" w:lineRule="auto"/>
        <w:ind w:firstLine="709"/>
        <w:jc w:val="both"/>
        <w:rPr>
          <w:rFonts w:ascii="Verdana" w:hAnsi="Verdana" w:cs="Arial"/>
          <w:color w:val="000000" w:themeColor="text1"/>
          <w:sz w:val="14"/>
          <w:szCs w:val="14"/>
        </w:rPr>
      </w:pPr>
      <w:r w:rsidRPr="006001AD">
        <w:rPr>
          <w:rStyle w:val="Refdenotaalpie"/>
          <w:rFonts w:ascii="Verdana" w:hAnsi="Verdana" w:cs="Arial"/>
          <w:color w:val="000000" w:themeColor="text1"/>
          <w:sz w:val="14"/>
          <w:szCs w:val="14"/>
        </w:rPr>
        <w:footnoteRef/>
      </w:r>
      <w:r w:rsidRPr="006001AD">
        <w:rPr>
          <w:rFonts w:ascii="Verdana" w:hAnsi="Verdana" w:cs="Arial"/>
          <w:color w:val="000000" w:themeColor="text1"/>
          <w:sz w:val="14"/>
          <w:szCs w:val="14"/>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p w14:paraId="44DCF500" w14:textId="77777777" w:rsidR="00FE5412" w:rsidRPr="006001AD" w:rsidRDefault="00FE5412" w:rsidP="00FE5412">
      <w:pPr>
        <w:spacing w:after="0" w:line="240" w:lineRule="auto"/>
        <w:ind w:firstLine="709"/>
        <w:jc w:val="both"/>
        <w:rPr>
          <w:rFonts w:ascii="Verdana" w:hAnsi="Verdana" w:cs="Arial"/>
          <w:color w:val="000000" w:themeColor="text1"/>
          <w:sz w:val="14"/>
          <w:szCs w:val="14"/>
        </w:rPr>
      </w:pPr>
    </w:p>
  </w:footnote>
  <w:footnote w:id="10">
    <w:p w14:paraId="6BAFC94E" w14:textId="77777777" w:rsidR="00FE5412" w:rsidRPr="006001AD" w:rsidRDefault="00FE5412" w:rsidP="00FE5412">
      <w:pPr>
        <w:pStyle w:val="Textonotapie"/>
        <w:ind w:firstLine="709"/>
        <w:jc w:val="both"/>
        <w:rPr>
          <w:rFonts w:ascii="Verdana" w:hAnsi="Verdana"/>
          <w:sz w:val="14"/>
          <w:szCs w:val="14"/>
        </w:rPr>
      </w:pPr>
      <w:r w:rsidRPr="006001AD">
        <w:rPr>
          <w:rStyle w:val="Refdenotaalpie"/>
          <w:rFonts w:ascii="Verdana" w:hAnsi="Verdana"/>
          <w:sz w:val="14"/>
          <w:szCs w:val="14"/>
        </w:rPr>
        <w:footnoteRef/>
      </w:r>
      <w:r w:rsidRPr="006001AD">
        <w:rPr>
          <w:rFonts w:ascii="Verdana" w:hAnsi="Verdana"/>
          <w:sz w:val="14"/>
          <w:szCs w:val="14"/>
        </w:rPr>
        <w:t xml:space="preserve"> </w:t>
      </w:r>
      <w:r w:rsidRPr="006001AD">
        <w:rPr>
          <w:rStyle w:val="author-name"/>
          <w:rFonts w:ascii="Verdana" w:hAnsi="Verdana"/>
          <w:color w:val="000000" w:themeColor="text1"/>
          <w:sz w:val="14"/>
          <w:szCs w:val="14"/>
        </w:rPr>
        <w:t xml:space="preserve">GÓMEZ Velásquez, Alejandro y DÍAZ Díez Cristian Andrés. </w:t>
      </w:r>
      <w:r w:rsidRPr="006001AD">
        <w:rPr>
          <w:rFonts w:ascii="Verdana" w:eastAsia="Times New Roman" w:hAnsi="Verdana" w:cs="Times New Roman"/>
          <w:i/>
          <w:iCs/>
          <w:color w:val="000000" w:themeColor="text1"/>
          <w:sz w:val="14"/>
          <w:szCs w:val="14"/>
          <w:shd w:val="clear" w:color="auto" w:fill="FFFFFF"/>
          <w:lang w:eastAsia="es-ES_tradnl"/>
        </w:rPr>
        <w:t>Los convenios de interés público y de asociación en el régimen de contratación pública colombiana.</w:t>
      </w:r>
      <w:r w:rsidRPr="006001AD">
        <w:rPr>
          <w:rFonts w:ascii="Verdana" w:eastAsia="Times New Roman" w:hAnsi="Verdana" w:cs="Times New Roman"/>
          <w:color w:val="000000" w:themeColor="text1"/>
          <w:sz w:val="14"/>
          <w:szCs w:val="14"/>
          <w:shd w:val="clear" w:color="auto" w:fill="FFFFFF"/>
          <w:lang w:eastAsia="es-ES_tradnl"/>
        </w:rPr>
        <w:t xml:space="preserve"> Revista Derecho del Estad. Universidad Externado de Colombia.</w:t>
      </w:r>
      <w:r w:rsidRPr="006001AD">
        <w:rPr>
          <w:rFonts w:ascii="Verdana" w:eastAsia="Times New Roman" w:hAnsi="Verdana" w:cs="Times New Roman"/>
          <w:i/>
          <w:iCs/>
          <w:color w:val="000000" w:themeColor="text1"/>
          <w:sz w:val="14"/>
          <w:szCs w:val="14"/>
          <w:shd w:val="clear" w:color="auto" w:fill="FFFFFF"/>
          <w:lang w:eastAsia="es-ES_tradnl"/>
        </w:rPr>
        <w:t xml:space="preserve"> </w:t>
      </w:r>
      <w:r w:rsidRPr="006001AD">
        <w:rPr>
          <w:rFonts w:ascii="Verdana" w:eastAsia="Times New Roman" w:hAnsi="Verdana" w:cs="Times New Roman"/>
          <w:color w:val="000000" w:themeColor="text1"/>
          <w:sz w:val="14"/>
          <w:szCs w:val="14"/>
          <w:shd w:val="clear" w:color="auto" w:fill="FFFFFF"/>
          <w:lang w:eastAsia="es-ES_tradnl"/>
        </w:rPr>
        <w:t xml:space="preserve">Se puede consultar en el siguiente enlace: </w:t>
      </w:r>
      <w:hyperlink r:id="rId4" w:anchor="figures" w:history="1">
        <w:r w:rsidRPr="006001AD">
          <w:rPr>
            <w:rStyle w:val="Hipervnculo"/>
            <w:rFonts w:ascii="Verdana" w:eastAsia="Times New Roman" w:hAnsi="Verdana" w:cs="Times New Roman"/>
            <w:color w:val="000000" w:themeColor="text1"/>
            <w:sz w:val="14"/>
            <w:szCs w:val="14"/>
            <w:shd w:val="clear" w:color="auto" w:fill="FFFFFF"/>
            <w:lang w:eastAsia="es-ES_tradnl"/>
          </w:rPr>
          <w:t>https://revistas.uexternado.edu.co/index.php/derest/article/view/6151/8606#figures</w:t>
        </w:r>
      </w:hyperlink>
    </w:p>
    <w:p w14:paraId="51CA9A0A" w14:textId="77777777" w:rsidR="00FE5412" w:rsidRPr="006001AD" w:rsidRDefault="00FE5412" w:rsidP="00FE5412">
      <w:pPr>
        <w:pStyle w:val="Textonotapie"/>
        <w:ind w:firstLine="709"/>
        <w:jc w:val="both"/>
        <w:rPr>
          <w:rFonts w:ascii="Verdana" w:eastAsia="Times New Roman" w:hAnsi="Verdana" w:cs="Times New Roman"/>
          <w:color w:val="000000" w:themeColor="text1"/>
          <w:sz w:val="14"/>
          <w:szCs w:val="14"/>
          <w:u w:val="single"/>
          <w:shd w:val="clear" w:color="auto" w:fill="FFFFFF"/>
          <w:lang w:eastAsia="es-ES_tradnl"/>
        </w:rPr>
      </w:pPr>
    </w:p>
  </w:footnote>
  <w:footnote w:id="11">
    <w:p w14:paraId="64845044" w14:textId="77777777" w:rsidR="00FE5412" w:rsidRPr="006001AD" w:rsidRDefault="00FE5412" w:rsidP="00FE5412">
      <w:pPr>
        <w:pStyle w:val="Textonotapie"/>
        <w:ind w:firstLine="709"/>
        <w:jc w:val="both"/>
        <w:rPr>
          <w:rFonts w:ascii="Verdana" w:hAnsi="Verdana" w:cs="Arial"/>
          <w:color w:val="000000" w:themeColor="text1"/>
          <w:sz w:val="14"/>
          <w:szCs w:val="14"/>
        </w:rPr>
      </w:pPr>
      <w:r w:rsidRPr="006001AD">
        <w:rPr>
          <w:rStyle w:val="Refdenotaalpie"/>
          <w:rFonts w:ascii="Verdana" w:hAnsi="Verdana" w:cs="Arial"/>
          <w:color w:val="000000" w:themeColor="text1"/>
          <w:sz w:val="14"/>
          <w:szCs w:val="14"/>
        </w:rPr>
        <w:footnoteRef/>
      </w:r>
      <w:r w:rsidRPr="006001AD">
        <w:rPr>
          <w:rFonts w:ascii="Verdana" w:hAnsi="Verdana" w:cs="Arial"/>
          <w:color w:val="000000" w:themeColor="text1"/>
          <w:sz w:val="14"/>
          <w:szCs w:val="14"/>
        </w:rPr>
        <w:t xml:space="preserve"> Cfr. Concepto del 21 de agosto de 2019, dictado dentro del radicado No. 2201913000006047.</w:t>
      </w:r>
    </w:p>
    <w:p w14:paraId="43082A5A" w14:textId="77777777" w:rsidR="00FE5412" w:rsidRPr="006001AD" w:rsidRDefault="00FE5412" w:rsidP="00FE5412">
      <w:pPr>
        <w:pStyle w:val="Textonotapie"/>
        <w:ind w:firstLine="709"/>
        <w:jc w:val="both"/>
        <w:rPr>
          <w:rFonts w:ascii="Verdana" w:hAnsi="Verdana" w:cs="Arial"/>
          <w:color w:val="000000" w:themeColor="text1"/>
          <w:sz w:val="14"/>
          <w:szCs w:val="14"/>
        </w:rPr>
      </w:pPr>
    </w:p>
  </w:footnote>
  <w:footnote w:id="12">
    <w:p w14:paraId="2B4D9CE2" w14:textId="77777777" w:rsidR="00FE5412" w:rsidRPr="006001AD" w:rsidRDefault="00FE5412" w:rsidP="00FE5412">
      <w:pPr>
        <w:pStyle w:val="Textonotapie"/>
        <w:ind w:firstLine="709"/>
        <w:rPr>
          <w:rFonts w:ascii="Verdana" w:hAnsi="Verdana"/>
          <w:sz w:val="14"/>
          <w:szCs w:val="14"/>
        </w:rPr>
      </w:pPr>
      <w:r w:rsidRPr="006001AD">
        <w:rPr>
          <w:rStyle w:val="Refdenotaalpie"/>
          <w:rFonts w:ascii="Verdana" w:hAnsi="Verdana"/>
          <w:sz w:val="14"/>
          <w:szCs w:val="14"/>
        </w:rPr>
        <w:footnoteRef/>
      </w:r>
      <w:r w:rsidRPr="006001AD">
        <w:rPr>
          <w:rFonts w:ascii="Verdana" w:hAnsi="Verdana"/>
          <w:sz w:val="14"/>
          <w:szCs w:val="14"/>
        </w:rPr>
        <w:t xml:space="preserve"> </w:t>
      </w:r>
      <w:hyperlink r:id="rId5" w:history="1">
        <w:r w:rsidRPr="006001AD">
          <w:rPr>
            <w:rStyle w:val="Hipervnculo"/>
            <w:rFonts w:ascii="Verdana" w:hAnsi="Verdana"/>
            <w:sz w:val="14"/>
            <w:szCs w:val="14"/>
          </w:rPr>
          <w:t>https://operaciones.colombiacompra.gov.co/sites/cce_public/files/cce_documents/cce_guia_esal.pdf</w:t>
        </w:r>
      </w:hyperlink>
      <w:r w:rsidRPr="006001AD">
        <w:rPr>
          <w:rFonts w:ascii="Verdana" w:hAnsi="Verdana"/>
          <w:sz w:val="14"/>
          <w:szCs w:val="14"/>
        </w:rPr>
        <w:t xml:space="preserve"> </w:t>
      </w:r>
    </w:p>
    <w:p w14:paraId="5B8849F0" w14:textId="77777777" w:rsidR="00FE5412" w:rsidRPr="006001AD" w:rsidRDefault="00FE5412" w:rsidP="00FE5412">
      <w:pPr>
        <w:pStyle w:val="Textonotapie"/>
        <w:ind w:firstLine="709"/>
        <w:rPr>
          <w:rFonts w:ascii="Verdana" w:hAnsi="Verdana"/>
          <w:sz w:val="14"/>
          <w:szCs w:val="14"/>
          <w:lang w:val="es-ES"/>
        </w:rPr>
      </w:pPr>
    </w:p>
  </w:footnote>
  <w:footnote w:id="13">
    <w:p w14:paraId="769173F0" w14:textId="77777777" w:rsidR="00EC387B" w:rsidRPr="00EF24D1" w:rsidRDefault="00EC387B" w:rsidP="00EC387B">
      <w:pPr>
        <w:pStyle w:val="Textonotapie"/>
        <w:ind w:firstLine="708"/>
        <w:jc w:val="both"/>
        <w:rPr>
          <w:rFonts w:ascii="Verdana" w:hAnsi="Verdana" w:cs="Arial"/>
          <w:color w:val="000000" w:themeColor="text1"/>
          <w:sz w:val="14"/>
          <w:szCs w:val="14"/>
        </w:rPr>
      </w:pPr>
      <w:r w:rsidRPr="00EF24D1">
        <w:rPr>
          <w:rStyle w:val="Refdenotaalpie"/>
          <w:rFonts w:ascii="Verdana" w:hAnsi="Verdana" w:cs="Arial"/>
          <w:color w:val="000000" w:themeColor="text1"/>
          <w:sz w:val="14"/>
          <w:szCs w:val="14"/>
        </w:rPr>
        <w:footnoteRef/>
      </w:r>
      <w:r w:rsidRPr="00EF24D1">
        <w:rPr>
          <w:rFonts w:ascii="Verdana" w:hAnsi="Verdana" w:cs="Arial"/>
          <w:color w:val="000000" w:themeColor="text1"/>
          <w:sz w:val="14"/>
          <w:szCs w:val="14"/>
        </w:rPr>
        <w:t xml:space="preserve"> Agencia Nacional de Contratación Pública - Colombia Compra eficiente, Circular externa Única, numeral 1.3: SECOP II: Plataforma transaccional para gestionar en línea todos los Procesos de Contratación, con cuentas para entidades y proveedores; y vista pública para cualquier tercero interesado en hacer seguimiento a la contratación pública.</w:t>
      </w:r>
    </w:p>
    <w:p w14:paraId="4519C01D" w14:textId="77777777" w:rsidR="00EC387B" w:rsidRPr="00EF24D1" w:rsidRDefault="00EC387B" w:rsidP="00EC387B">
      <w:pPr>
        <w:pStyle w:val="Textonotapie"/>
        <w:ind w:firstLine="708"/>
        <w:jc w:val="both"/>
        <w:rPr>
          <w:rFonts w:ascii="Verdana" w:hAnsi="Verdana" w:cs="Arial"/>
          <w:color w:val="000000" w:themeColor="text1"/>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00542C4"/>
    <w:multiLevelType w:val="hybridMultilevel"/>
    <w:tmpl w:val="232828B0"/>
    <w:lvl w:ilvl="0" w:tplc="FFFFFFFF">
      <w:start w:val="1"/>
      <w:numFmt w:val="decimal"/>
      <w:lvlText w:val="%1."/>
      <w:lvlJc w:val="left"/>
      <w:pPr>
        <w:ind w:left="2061"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3C1"/>
    <w:rsid w:val="00016F78"/>
    <w:rsid w:val="00046945"/>
    <w:rsid w:val="00061B2A"/>
    <w:rsid w:val="00082362"/>
    <w:rsid w:val="000968DA"/>
    <w:rsid w:val="000A683E"/>
    <w:rsid w:val="000B19B9"/>
    <w:rsid w:val="000D0334"/>
    <w:rsid w:val="000D5DA7"/>
    <w:rsid w:val="000F6486"/>
    <w:rsid w:val="00116940"/>
    <w:rsid w:val="00125105"/>
    <w:rsid w:val="00127233"/>
    <w:rsid w:val="0015699B"/>
    <w:rsid w:val="00164FA3"/>
    <w:rsid w:val="001A33BF"/>
    <w:rsid w:val="001B0C33"/>
    <w:rsid w:val="001E4177"/>
    <w:rsid w:val="001F0B24"/>
    <w:rsid w:val="001F578D"/>
    <w:rsid w:val="001F7DC6"/>
    <w:rsid w:val="0022400B"/>
    <w:rsid w:val="002421BB"/>
    <w:rsid w:val="0025796E"/>
    <w:rsid w:val="002707A2"/>
    <w:rsid w:val="00282B56"/>
    <w:rsid w:val="002951A0"/>
    <w:rsid w:val="002962BC"/>
    <w:rsid w:val="002A093D"/>
    <w:rsid w:val="002A0DD0"/>
    <w:rsid w:val="002A49AC"/>
    <w:rsid w:val="002A64FD"/>
    <w:rsid w:val="002C7A84"/>
    <w:rsid w:val="002E2BF8"/>
    <w:rsid w:val="002E4FD9"/>
    <w:rsid w:val="0030328F"/>
    <w:rsid w:val="0030657A"/>
    <w:rsid w:val="00322A85"/>
    <w:rsid w:val="00323751"/>
    <w:rsid w:val="00324168"/>
    <w:rsid w:val="00330834"/>
    <w:rsid w:val="003448F4"/>
    <w:rsid w:val="0034586A"/>
    <w:rsid w:val="00374F5E"/>
    <w:rsid w:val="00377E3E"/>
    <w:rsid w:val="003834AD"/>
    <w:rsid w:val="003A779E"/>
    <w:rsid w:val="003D0F4D"/>
    <w:rsid w:val="003D5B0D"/>
    <w:rsid w:val="003E0499"/>
    <w:rsid w:val="003E4F80"/>
    <w:rsid w:val="003E6439"/>
    <w:rsid w:val="003F3941"/>
    <w:rsid w:val="00406575"/>
    <w:rsid w:val="00414C74"/>
    <w:rsid w:val="00417A07"/>
    <w:rsid w:val="0042722E"/>
    <w:rsid w:val="0044528D"/>
    <w:rsid w:val="00466E39"/>
    <w:rsid w:val="004A1847"/>
    <w:rsid w:val="004A305D"/>
    <w:rsid w:val="004A56F5"/>
    <w:rsid w:val="004F21C4"/>
    <w:rsid w:val="004F685F"/>
    <w:rsid w:val="005566E8"/>
    <w:rsid w:val="00574867"/>
    <w:rsid w:val="00591460"/>
    <w:rsid w:val="005A4B55"/>
    <w:rsid w:val="005A65E0"/>
    <w:rsid w:val="005A682B"/>
    <w:rsid w:val="005C3777"/>
    <w:rsid w:val="005C5639"/>
    <w:rsid w:val="005C5CDC"/>
    <w:rsid w:val="005D476C"/>
    <w:rsid w:val="005F3297"/>
    <w:rsid w:val="006001AD"/>
    <w:rsid w:val="006200BF"/>
    <w:rsid w:val="006219F8"/>
    <w:rsid w:val="006302F7"/>
    <w:rsid w:val="00646B9F"/>
    <w:rsid w:val="00655EDA"/>
    <w:rsid w:val="00665D70"/>
    <w:rsid w:val="006900D9"/>
    <w:rsid w:val="00691FFD"/>
    <w:rsid w:val="006A0822"/>
    <w:rsid w:val="00706C16"/>
    <w:rsid w:val="007118E5"/>
    <w:rsid w:val="00727F9E"/>
    <w:rsid w:val="007340C3"/>
    <w:rsid w:val="0075235A"/>
    <w:rsid w:val="00756841"/>
    <w:rsid w:val="00760186"/>
    <w:rsid w:val="007649AB"/>
    <w:rsid w:val="00771D0C"/>
    <w:rsid w:val="007833AC"/>
    <w:rsid w:val="007A1FAF"/>
    <w:rsid w:val="007A5C8F"/>
    <w:rsid w:val="007B268C"/>
    <w:rsid w:val="007B7171"/>
    <w:rsid w:val="007C0C0F"/>
    <w:rsid w:val="007C3DC2"/>
    <w:rsid w:val="007E5497"/>
    <w:rsid w:val="00806F5F"/>
    <w:rsid w:val="00820278"/>
    <w:rsid w:val="008258C9"/>
    <w:rsid w:val="00844AE9"/>
    <w:rsid w:val="008667EE"/>
    <w:rsid w:val="00867F95"/>
    <w:rsid w:val="008752B4"/>
    <w:rsid w:val="008843B6"/>
    <w:rsid w:val="00891928"/>
    <w:rsid w:val="008A446D"/>
    <w:rsid w:val="008B25F1"/>
    <w:rsid w:val="008D180B"/>
    <w:rsid w:val="008F0EA7"/>
    <w:rsid w:val="008F66F9"/>
    <w:rsid w:val="00923EEF"/>
    <w:rsid w:val="0092755C"/>
    <w:rsid w:val="009419F9"/>
    <w:rsid w:val="0095685E"/>
    <w:rsid w:val="00961B09"/>
    <w:rsid w:val="00965334"/>
    <w:rsid w:val="0097093E"/>
    <w:rsid w:val="009A0DFA"/>
    <w:rsid w:val="009A1C6F"/>
    <w:rsid w:val="009B2D26"/>
    <w:rsid w:val="009B4A7F"/>
    <w:rsid w:val="009C71FA"/>
    <w:rsid w:val="009C72E7"/>
    <w:rsid w:val="009C7F7E"/>
    <w:rsid w:val="009D3058"/>
    <w:rsid w:val="009E4259"/>
    <w:rsid w:val="009F3A13"/>
    <w:rsid w:val="00A122D3"/>
    <w:rsid w:val="00A14468"/>
    <w:rsid w:val="00A17F13"/>
    <w:rsid w:val="00A20739"/>
    <w:rsid w:val="00A23AF9"/>
    <w:rsid w:val="00A33C78"/>
    <w:rsid w:val="00A504DF"/>
    <w:rsid w:val="00A54471"/>
    <w:rsid w:val="00A64012"/>
    <w:rsid w:val="00AA0388"/>
    <w:rsid w:val="00AB0ADB"/>
    <w:rsid w:val="00AB55FF"/>
    <w:rsid w:val="00B00C0E"/>
    <w:rsid w:val="00B01B1A"/>
    <w:rsid w:val="00B0381D"/>
    <w:rsid w:val="00B043A3"/>
    <w:rsid w:val="00B44A47"/>
    <w:rsid w:val="00B65D1E"/>
    <w:rsid w:val="00B72CD3"/>
    <w:rsid w:val="00B72FFF"/>
    <w:rsid w:val="00BB139B"/>
    <w:rsid w:val="00BC3D36"/>
    <w:rsid w:val="00BD40EA"/>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7B33"/>
    <w:rsid w:val="00D361FD"/>
    <w:rsid w:val="00D423A2"/>
    <w:rsid w:val="00D44E26"/>
    <w:rsid w:val="00D520D8"/>
    <w:rsid w:val="00D63AC2"/>
    <w:rsid w:val="00D7383B"/>
    <w:rsid w:val="00D7788A"/>
    <w:rsid w:val="00DA231B"/>
    <w:rsid w:val="00DC39FC"/>
    <w:rsid w:val="00DE2C8F"/>
    <w:rsid w:val="00DF5254"/>
    <w:rsid w:val="00E02524"/>
    <w:rsid w:val="00E16408"/>
    <w:rsid w:val="00E20894"/>
    <w:rsid w:val="00E245AB"/>
    <w:rsid w:val="00E2764C"/>
    <w:rsid w:val="00E27F2E"/>
    <w:rsid w:val="00E50AFE"/>
    <w:rsid w:val="00E64940"/>
    <w:rsid w:val="00E7388F"/>
    <w:rsid w:val="00E75C92"/>
    <w:rsid w:val="00E771DC"/>
    <w:rsid w:val="00E8772A"/>
    <w:rsid w:val="00E90F6B"/>
    <w:rsid w:val="00E92C27"/>
    <w:rsid w:val="00EA0E3D"/>
    <w:rsid w:val="00EC387B"/>
    <w:rsid w:val="00EC38A7"/>
    <w:rsid w:val="00EC42E2"/>
    <w:rsid w:val="00EE1AA8"/>
    <w:rsid w:val="00EF24D1"/>
    <w:rsid w:val="00F23FEA"/>
    <w:rsid w:val="00F2701F"/>
    <w:rsid w:val="00F273D1"/>
    <w:rsid w:val="00F30788"/>
    <w:rsid w:val="00F31EDC"/>
    <w:rsid w:val="00F462B3"/>
    <w:rsid w:val="00F5664F"/>
    <w:rsid w:val="00F60705"/>
    <w:rsid w:val="00F666C4"/>
    <w:rsid w:val="00F76AFC"/>
    <w:rsid w:val="00F908DE"/>
    <w:rsid w:val="00FA47C0"/>
    <w:rsid w:val="00FB5DD1"/>
    <w:rsid w:val="00FC2B5D"/>
    <w:rsid w:val="00FE5412"/>
    <w:rsid w:val="00FF1449"/>
    <w:rsid w:val="00FF2B44"/>
    <w:rsid w:val="00FF7963"/>
    <w:rsid w:val="09908A09"/>
    <w:rsid w:val="13CFC91B"/>
    <w:rsid w:val="19A2EC2C"/>
    <w:rsid w:val="2859CA1B"/>
    <w:rsid w:val="32A4F9CF"/>
    <w:rsid w:val="356CEDFD"/>
    <w:rsid w:val="69614A15"/>
    <w:rsid w:val="73DB8A31"/>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8FB93E2-0F61-4DD1-BE08-C5A609083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39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E541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E5412"/>
    <w:rPr>
      <w:rFonts w:ascii="Geomanist Light" w:hAnsi="Geomanist Light"/>
      <w:lang w:val="es-ES"/>
    </w:rPr>
  </w:style>
  <w:style w:type="paragraph" w:styleId="Sinespaciado">
    <w:name w:val="No Spacing"/>
    <w:aliases w:val="No Indent"/>
    <w:uiPriority w:val="3"/>
    <w:qFormat/>
    <w:rsid w:val="00FE5412"/>
    <w:pPr>
      <w:spacing w:after="0" w:line="240" w:lineRule="auto"/>
    </w:pPr>
    <w:rPr>
      <w:sz w:val="24"/>
      <w:lang w:val="es-MX"/>
    </w:rPr>
  </w:style>
  <w:style w:type="character" w:customStyle="1" w:styleId="author-name">
    <w:name w:val="author-name"/>
    <w:basedOn w:val="Fuentedeprrafopredeter"/>
    <w:rsid w:val="00FE54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_guia_esal.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mromero@procuraduri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footnotes.xml.rels><?xml version="1.0" encoding="UTF-8" standalone="yes"?>
<Relationships xmlns="http://schemas.openxmlformats.org/package/2006/relationships"><Relationship Id="rId3" Type="http://schemas.openxmlformats.org/officeDocument/2006/relationships/hyperlink" Target="https://revistas.uexternado.edu.co/index.php/derest/article/view/6151/8606" TargetMode="External"/><Relationship Id="rId2" Type="http://schemas.openxmlformats.org/officeDocument/2006/relationships/hyperlink" Target="http://www.secretariasenado.gov.co/senado/basedoc/ley_0070_1993.html" TargetMode="External"/><Relationship Id="rId1" Type="http://schemas.openxmlformats.org/officeDocument/2006/relationships/hyperlink" Target="http://www.secretariasenado.gov.co/senado/basedoc/ley_2160_2021.html" TargetMode="External"/><Relationship Id="rId5" Type="http://schemas.openxmlformats.org/officeDocument/2006/relationships/hyperlink" Target="https://operaciones.colombiacompra.gov.co/sites/cce_public/files/cce_documents/cce_guia_esal.pdf" TargetMode="External"/><Relationship Id="rId4" Type="http://schemas.openxmlformats.org/officeDocument/2006/relationships/hyperlink" Target="https://revistas.uexternado.edu.co/index.php/derest/article/view/6151/860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schemas.microsoft.com/office/2006/metadata/properties"/>
    <ds:schemaRef ds:uri="http://purl.org/dc/terms/"/>
    <ds:schemaRef ds:uri="http://schemas.microsoft.com/office/2006/documentManagement/types"/>
    <ds:schemaRef ds:uri="http://purl.org/dc/dcmitype/"/>
    <ds:schemaRef ds:uri="http://schemas.openxmlformats.org/package/2006/metadata/core-properties"/>
    <ds:schemaRef ds:uri="http://purl.org/dc/elements/1.1/"/>
    <ds:schemaRef ds:uri="a6cb9e4b-f1d1-4245-83ec-6cad768d538a"/>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E46A4BD5-B9E8-425F-89DB-5513A4F6CC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18</Pages>
  <Words>6143</Words>
  <Characters>33791</Characters>
  <Application>Microsoft Office Word</Application>
  <DocSecurity>0</DocSecurity>
  <Lines>281</Lines>
  <Paragraphs>79</Paragraphs>
  <ScaleCrop>false</ScaleCrop>
  <Company/>
  <LinksUpToDate>false</LinksUpToDate>
  <CharactersWithSpaces>39855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2025-11-06T00:51:00Z</dcterms:created>
  <dcterms:modified xsi:type="dcterms:W3CDTF">2025-11-06T00:51:00Z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