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1082E3" w14:textId="77777777" w:rsidR="000A43AA" w:rsidRPr="00EA2CFE" w:rsidRDefault="000A43AA" w:rsidP="000A43AA">
      <w:pPr>
        <w:contextualSpacing/>
        <w:jc w:val="both"/>
        <w:rPr>
          <w:rFonts w:ascii="Verdana" w:eastAsia="Yu Gothic UI Semibold" w:hAnsi="Verdana" w:cs="Arial"/>
          <w:b/>
          <w:bCs/>
          <w:color w:val="000000" w:themeColor="text1"/>
          <w:lang w:val="es-MX"/>
        </w:rPr>
      </w:pPr>
      <w:r w:rsidRPr="00EA2CFE">
        <w:rPr>
          <w:rFonts w:ascii="Verdana" w:eastAsia="Yu Gothic UI Semibold" w:hAnsi="Verdana" w:cs="Arial"/>
          <w:b/>
          <w:bCs/>
          <w:color w:val="000000" w:themeColor="text1"/>
          <w:lang w:val="es-MX"/>
        </w:rPr>
        <w:t>ESTABILIDAD LABORAL REFORZADA DE MUJER EMBARAZADA – Concepto</w:t>
      </w:r>
    </w:p>
    <w:p w14:paraId="6279F3BD" w14:textId="77777777" w:rsidR="000A43AA" w:rsidRPr="00EA2CFE" w:rsidRDefault="000A43AA" w:rsidP="000A43AA">
      <w:pPr>
        <w:contextualSpacing/>
        <w:jc w:val="both"/>
        <w:rPr>
          <w:rFonts w:ascii="Verdana" w:eastAsia="Yu Gothic UI Semibold" w:hAnsi="Verdana" w:cs="Arial"/>
          <w:b/>
          <w:bCs/>
          <w:color w:val="000000" w:themeColor="text1"/>
          <w:lang w:val="es-MX"/>
        </w:rPr>
      </w:pPr>
    </w:p>
    <w:p w14:paraId="7B88791E" w14:textId="77777777" w:rsidR="000A43AA" w:rsidRPr="00EA2CFE" w:rsidRDefault="000A43AA" w:rsidP="000A43AA">
      <w:pPr>
        <w:contextualSpacing/>
        <w:jc w:val="both"/>
        <w:rPr>
          <w:rFonts w:ascii="Verdana" w:eastAsia="Yu Gothic UI Semibold" w:hAnsi="Verdana" w:cs="Arial"/>
          <w:b/>
          <w:bCs/>
          <w:color w:val="000000" w:themeColor="text1"/>
          <w:sz w:val="20"/>
          <w:szCs w:val="20"/>
          <w:lang w:val="es-MX"/>
        </w:rPr>
      </w:pPr>
      <w:r w:rsidRPr="00EA2CFE">
        <w:rPr>
          <w:rFonts w:ascii="Verdana" w:eastAsia="Calibri" w:hAnsi="Verdana" w:cs="Arial"/>
          <w:bCs/>
          <w:sz w:val="20"/>
          <w:szCs w:val="20"/>
          <w:lang w:val="es-MX"/>
        </w:rPr>
        <w:t xml:space="preserve">El fuero de maternidad es una figura que otorga una protección reforzada a la futura madre y a la que acaba de serlo, es decir, a la mujer que se encuentra en estado de embarazo y en periodo de lactancia, con el fin de que el proceso de gestación no interfiera en la estabilidad laboral que, como trabajadora, le asiste. El propósito es que la aspiraciones familiares y profesionales de la mujer no se excluyan y puedan armonizarse, al punto de desarrollar su proyecto de vida y su personalidad en condiciones de dignidad y libertad, pues históricamente el estado de gravidez (embarazo) ha constituido un motivo de exclusión de la mujer en el trabajo, en el que es preciso </w:t>
      </w:r>
      <w:r>
        <w:rPr>
          <w:rFonts w:ascii="Verdana" w:eastAsia="Calibri" w:hAnsi="Verdana" w:cs="Arial"/>
          <w:bCs/>
          <w:sz w:val="20"/>
          <w:szCs w:val="20"/>
          <w:lang w:val="es-MX"/>
        </w:rPr>
        <w:t>“</w:t>
      </w:r>
      <w:r w:rsidRPr="00EA2CFE">
        <w:rPr>
          <w:rFonts w:ascii="Verdana" w:eastAsia="Calibri" w:hAnsi="Verdana" w:cs="Arial"/>
          <w:bCs/>
          <w:sz w:val="20"/>
          <w:szCs w:val="20"/>
          <w:lang w:val="es-MX"/>
        </w:rPr>
        <w:t>impedir la discriminación constituida por el despido, la terminación o la no renovación del contrato por causa o con ocasión del embarazo o la lactancia</w:t>
      </w:r>
      <w:r>
        <w:rPr>
          <w:rFonts w:ascii="Verdana" w:eastAsia="Calibri" w:hAnsi="Verdana" w:cs="Arial"/>
          <w:bCs/>
          <w:sz w:val="20"/>
          <w:szCs w:val="20"/>
          <w:lang w:val="es-MX"/>
        </w:rPr>
        <w:t>”</w:t>
      </w:r>
      <w:r w:rsidRPr="00EA2CFE">
        <w:rPr>
          <w:rFonts w:ascii="Verdana" w:eastAsia="Calibri" w:hAnsi="Verdana" w:cs="Arial"/>
          <w:bCs/>
          <w:sz w:val="20"/>
          <w:szCs w:val="20"/>
          <w:lang w:val="es-MX"/>
        </w:rPr>
        <w:t>.</w:t>
      </w:r>
    </w:p>
    <w:p w14:paraId="3D9B5D79" w14:textId="77777777" w:rsidR="000A43AA" w:rsidRPr="00EA2CFE" w:rsidRDefault="000A43AA" w:rsidP="000A43AA">
      <w:pPr>
        <w:contextualSpacing/>
        <w:jc w:val="both"/>
        <w:rPr>
          <w:rFonts w:ascii="Verdana" w:eastAsia="Yu Gothic UI Semibold" w:hAnsi="Verdana" w:cs="Arial"/>
          <w:b/>
          <w:bCs/>
          <w:color w:val="000000" w:themeColor="text1"/>
          <w:sz w:val="20"/>
          <w:szCs w:val="20"/>
          <w:lang w:val="es-MX"/>
        </w:rPr>
      </w:pPr>
    </w:p>
    <w:p w14:paraId="0C5DC241" w14:textId="77777777" w:rsidR="000A43AA" w:rsidRPr="00EA2CFE" w:rsidRDefault="000A43AA" w:rsidP="000A43AA">
      <w:pPr>
        <w:contextualSpacing/>
        <w:jc w:val="both"/>
        <w:rPr>
          <w:rFonts w:ascii="Verdana" w:eastAsia="Yu Gothic UI Semibold" w:hAnsi="Verdana" w:cs="Arial"/>
          <w:b/>
          <w:bCs/>
          <w:color w:val="000000" w:themeColor="text1"/>
          <w:lang w:val="es-MX"/>
        </w:rPr>
      </w:pPr>
      <w:r w:rsidRPr="00EA2CFE">
        <w:rPr>
          <w:rFonts w:ascii="Verdana" w:eastAsia="Yu Gothic UI Semibold" w:hAnsi="Verdana" w:cs="Arial"/>
          <w:b/>
          <w:bCs/>
          <w:color w:val="000000" w:themeColor="text1"/>
          <w:lang w:val="es-MX"/>
        </w:rPr>
        <w:t xml:space="preserve">ESTABILIDAD LABORAL REFORZADA DE MUJER EMBARAZADA – Unificación jurisprudencial </w:t>
      </w:r>
    </w:p>
    <w:p w14:paraId="03F1DC2F" w14:textId="77777777" w:rsidR="000A43AA" w:rsidRPr="00EA2CFE" w:rsidRDefault="000A43AA" w:rsidP="000A43AA">
      <w:pPr>
        <w:contextualSpacing/>
        <w:jc w:val="both"/>
        <w:rPr>
          <w:rFonts w:ascii="Verdana" w:eastAsia="Yu Gothic UI Semibold" w:hAnsi="Verdana" w:cs="Arial"/>
          <w:b/>
          <w:bCs/>
          <w:color w:val="000000" w:themeColor="text1"/>
          <w:sz w:val="20"/>
          <w:szCs w:val="20"/>
          <w:lang w:val="es-MX"/>
        </w:rPr>
      </w:pPr>
    </w:p>
    <w:p w14:paraId="70989CC3" w14:textId="77777777" w:rsidR="000A43AA" w:rsidRPr="00EA2CFE" w:rsidRDefault="000A43AA" w:rsidP="000A43AA">
      <w:pPr>
        <w:contextualSpacing/>
        <w:jc w:val="both"/>
        <w:rPr>
          <w:rFonts w:ascii="Verdana" w:eastAsia="Yu Gothic UI Semibold" w:hAnsi="Verdana" w:cs="Arial"/>
          <w:sz w:val="20"/>
          <w:szCs w:val="20"/>
          <w:shd w:val="clear" w:color="auto" w:fill="FFFFFF"/>
          <w:lang w:val="es-ES_tradnl"/>
        </w:rPr>
      </w:pPr>
      <w:r w:rsidRPr="00EA2CFE">
        <w:rPr>
          <w:rFonts w:ascii="Verdana" w:eastAsia="Yu Gothic UI Semibold" w:hAnsi="Verdana" w:cs="Arial"/>
          <w:sz w:val="20"/>
          <w:szCs w:val="20"/>
          <w:shd w:val="clear" w:color="auto" w:fill="FFFFFF"/>
          <w:lang w:val="es-ES_tradnl"/>
        </w:rPr>
        <w:t xml:space="preserve">[…] </w:t>
      </w:r>
      <w:r w:rsidRPr="00EA2CFE">
        <w:rPr>
          <w:rFonts w:ascii="Verdana" w:eastAsia="Yu Gothic UI Semibold" w:hAnsi="Verdana" w:cs="Arial"/>
          <w:sz w:val="20"/>
          <w:szCs w:val="20"/>
        </w:rPr>
        <w:t>en el año 2018 la Corte Constitucional profirió la sentencia de unificación SU-075 de 2018, en la cual recoge, entre otras, las sentencias T-030 de 2018 y T-350 del 2016. En esta providencia, el Alto Tribunal establece unos criterios con el fin de impedir la discriminación que se puede presentar a una mujer en estado de embarazo o lactancia, específicamente, respecto a la terminación o la no renovación del contrato. Dando paso a establecer que el denominado</w:t>
      </w:r>
      <w:r w:rsidRPr="00EA2CFE">
        <w:rPr>
          <w:rFonts w:ascii="Verdana" w:eastAsia="Yu Gothic UI Semibold" w:hAnsi="Verdana" w:cs="Arial"/>
          <w:i/>
          <w:sz w:val="20"/>
          <w:szCs w:val="20"/>
        </w:rPr>
        <w:t xml:space="preserve"> </w:t>
      </w:r>
      <w:r>
        <w:rPr>
          <w:rFonts w:ascii="Verdana" w:eastAsia="Yu Gothic UI Semibold" w:hAnsi="Verdana" w:cs="Arial"/>
          <w:i/>
          <w:sz w:val="20"/>
          <w:szCs w:val="20"/>
          <w:lang w:eastAsia="es-MX"/>
        </w:rPr>
        <w:t>“</w:t>
      </w:r>
      <w:r w:rsidRPr="00EA2CFE">
        <w:rPr>
          <w:rFonts w:ascii="Verdana" w:eastAsia="Yu Gothic UI Semibold" w:hAnsi="Verdana" w:cs="Arial"/>
          <w:i/>
          <w:sz w:val="20"/>
          <w:szCs w:val="20"/>
        </w:rPr>
        <w:t>fuero de maternidad</w:t>
      </w:r>
      <w:r>
        <w:rPr>
          <w:rFonts w:ascii="Verdana" w:eastAsia="Yu Gothic UI Semibold" w:hAnsi="Verdana" w:cs="Arial"/>
          <w:i/>
          <w:sz w:val="20"/>
          <w:szCs w:val="20"/>
          <w:lang w:eastAsia="es-MX"/>
        </w:rPr>
        <w:t>”</w:t>
      </w:r>
      <w:r w:rsidRPr="00EA2CFE">
        <w:rPr>
          <w:rFonts w:ascii="Verdana" w:eastAsia="Yu Gothic UI Semibold" w:hAnsi="Verdana" w:cs="Arial"/>
          <w:i/>
          <w:sz w:val="20"/>
          <w:szCs w:val="20"/>
        </w:rPr>
        <w:t>,</w:t>
      </w:r>
      <w:r w:rsidRPr="00EA2CFE">
        <w:rPr>
          <w:rFonts w:ascii="Verdana" w:eastAsia="Yu Gothic UI Semibold" w:hAnsi="Verdana" w:cs="Arial"/>
          <w:sz w:val="20"/>
          <w:szCs w:val="20"/>
        </w:rPr>
        <w:t xml:space="preserve"> encuentra también su sustento en la cláusula general de igualdad de la Constitución </w:t>
      </w:r>
      <w:r>
        <w:rPr>
          <w:rFonts w:ascii="Verdana" w:eastAsia="Yu Gothic UI Semibold" w:hAnsi="Verdana" w:cs="Arial"/>
          <w:i/>
          <w:sz w:val="20"/>
          <w:szCs w:val="20"/>
          <w:lang w:eastAsia="es-MX"/>
        </w:rPr>
        <w:t>“</w:t>
      </w:r>
      <w:r w:rsidRPr="00EA2CFE">
        <w:rPr>
          <w:rFonts w:ascii="Verdana" w:eastAsia="Yu Gothic UI Semibold" w:hAnsi="Verdana" w:cs="Arial"/>
          <w:i/>
          <w:sz w:val="20"/>
          <w:szCs w:val="20"/>
        </w:rPr>
        <w:t>que proscribe la discriminación por razones de sexo, así como en el ya mencionado artículo 43 Superior, que dispone la igualdad de derechos y oportunidades entre hombres y mujeres</w:t>
      </w:r>
      <w:r>
        <w:rPr>
          <w:rFonts w:ascii="Verdana" w:eastAsia="Yu Gothic UI Semibold" w:hAnsi="Verdana" w:cs="Arial"/>
          <w:i/>
          <w:sz w:val="20"/>
          <w:szCs w:val="20"/>
          <w:lang w:eastAsia="es-MX"/>
        </w:rPr>
        <w:t>”</w:t>
      </w:r>
    </w:p>
    <w:p w14:paraId="29C2CCB1" w14:textId="77777777" w:rsidR="000A43AA" w:rsidRPr="00EA2CFE" w:rsidRDefault="000A43AA" w:rsidP="000A43AA">
      <w:pPr>
        <w:contextualSpacing/>
        <w:rPr>
          <w:rFonts w:ascii="Verdana" w:hAnsi="Verdana" w:cs="Arial"/>
          <w:sz w:val="20"/>
          <w:szCs w:val="20"/>
        </w:rPr>
      </w:pPr>
    </w:p>
    <w:p w14:paraId="313372DA" w14:textId="77777777" w:rsidR="000A43AA" w:rsidRPr="00EA2CFE" w:rsidRDefault="000A43AA" w:rsidP="000A43AA">
      <w:pPr>
        <w:contextualSpacing/>
        <w:jc w:val="both"/>
        <w:rPr>
          <w:rFonts w:ascii="Verdana" w:eastAsia="Yu Gothic UI Semibold" w:hAnsi="Verdana" w:cs="Arial"/>
          <w:b/>
          <w:bCs/>
          <w:color w:val="000000" w:themeColor="text1"/>
          <w:sz w:val="20"/>
          <w:szCs w:val="20"/>
          <w:lang w:val="es-MX"/>
        </w:rPr>
      </w:pPr>
      <w:r w:rsidRPr="00EA2CFE">
        <w:rPr>
          <w:rFonts w:ascii="Verdana" w:eastAsia="Yu Gothic UI Semibold" w:hAnsi="Verdana" w:cs="Arial"/>
          <w:b/>
          <w:bCs/>
          <w:color w:val="000000" w:themeColor="text1"/>
          <w:lang w:val="es-MX"/>
        </w:rPr>
        <w:t>ESTABILIDAD LABORAL REFORZADA DE MUJER EMBARAZADA – Procedencia</w:t>
      </w:r>
    </w:p>
    <w:p w14:paraId="1DC9D2CA" w14:textId="77777777" w:rsidR="000A43AA" w:rsidRPr="00EA2CFE" w:rsidRDefault="000A43AA" w:rsidP="000A43AA">
      <w:pPr>
        <w:contextualSpacing/>
        <w:jc w:val="both"/>
        <w:rPr>
          <w:rFonts w:ascii="Verdana" w:hAnsi="Verdana" w:cs="Arial"/>
          <w:sz w:val="20"/>
          <w:szCs w:val="20"/>
        </w:rPr>
      </w:pPr>
    </w:p>
    <w:p w14:paraId="62A84EB2" w14:textId="77777777" w:rsidR="000A43AA" w:rsidRPr="00EA2CFE" w:rsidRDefault="000A43AA" w:rsidP="000A43AA">
      <w:pPr>
        <w:widowControl w:val="0"/>
        <w:autoSpaceDE w:val="0"/>
        <w:autoSpaceDN w:val="0"/>
        <w:contextualSpacing/>
        <w:jc w:val="both"/>
        <w:rPr>
          <w:rFonts w:ascii="Verdana" w:eastAsia="Arial" w:hAnsi="Verdana" w:cs="Arial"/>
          <w:sz w:val="20"/>
          <w:szCs w:val="20"/>
          <w:lang w:val="es-ES"/>
        </w:rPr>
      </w:pPr>
      <w:r w:rsidRPr="00EA2CFE">
        <w:rPr>
          <w:rFonts w:ascii="Verdana" w:eastAsia="Arial" w:hAnsi="Verdana" w:cs="Arial"/>
          <w:sz w:val="20"/>
          <w:szCs w:val="20"/>
          <w:lang w:val="es-ES"/>
        </w:rPr>
        <w:t>Conforme a lo anterior, la Corte Constitucional ha expuesto dos (2) posiciones frente a los cuales opera la protección proveniente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EA2CFE">
        <w:rPr>
          <w:rFonts w:ascii="Verdana" w:eastAsia="Arial" w:hAnsi="Verdana" w:cs="Arial"/>
          <w:sz w:val="20"/>
          <w:szCs w:val="20"/>
          <w:lang w:val="es-ES"/>
        </w:rPr>
        <w:t>ii</w:t>
      </w:r>
      <w:proofErr w:type="spellEnd"/>
      <w:r w:rsidRPr="00EA2CFE">
        <w:rPr>
          <w:rFonts w:ascii="Verdana" w:eastAsia="Arial" w:hAnsi="Verdana" w:cs="Arial"/>
          <w:sz w:val="20"/>
          <w:szCs w:val="20"/>
          <w:lang w:val="es-ES"/>
        </w:rPr>
        <w:t>) cuando a pesar de no probarse la configuración de un contrato realidad la terminación del contrato de prestación de servicios se fundamenta en criterios discriminatorios, y no en motivos objetivos.</w:t>
      </w:r>
    </w:p>
    <w:p w14:paraId="6DDFEF28" w14:textId="77777777" w:rsidR="000A43AA" w:rsidRPr="00EA2CFE" w:rsidRDefault="000A43AA" w:rsidP="000A43AA">
      <w:pPr>
        <w:widowControl w:val="0"/>
        <w:autoSpaceDE w:val="0"/>
        <w:autoSpaceDN w:val="0"/>
        <w:contextualSpacing/>
        <w:jc w:val="both"/>
        <w:rPr>
          <w:rFonts w:ascii="Verdana" w:eastAsia="Arial" w:hAnsi="Verdana" w:cs="Arial"/>
          <w:sz w:val="20"/>
          <w:szCs w:val="20"/>
          <w:lang w:val="es-ES"/>
        </w:rPr>
      </w:pPr>
    </w:p>
    <w:p w14:paraId="42E6D255" w14:textId="77777777" w:rsidR="000A43AA" w:rsidRPr="00EA2CFE" w:rsidRDefault="000A43AA" w:rsidP="000A43AA">
      <w:pPr>
        <w:contextualSpacing/>
        <w:jc w:val="both"/>
        <w:rPr>
          <w:rFonts w:ascii="Verdana" w:eastAsia="Yu Gothic UI Semibold" w:hAnsi="Verdana" w:cs="Arial"/>
          <w:b/>
          <w:bCs/>
          <w:color w:val="000000" w:themeColor="text1"/>
          <w:lang w:val="es-MX"/>
        </w:rPr>
      </w:pPr>
      <w:r w:rsidRPr="00EA2CFE">
        <w:rPr>
          <w:rFonts w:ascii="Verdana" w:eastAsia="Yu Gothic UI Semibold" w:hAnsi="Verdana" w:cs="Arial"/>
          <w:b/>
          <w:bCs/>
          <w:color w:val="000000" w:themeColor="text1"/>
          <w:lang w:val="es-MX"/>
        </w:rPr>
        <w:t xml:space="preserve">SUSPENSIÓN DEL CONTRATO – Estado de embarazo y licencia de maternidad </w:t>
      </w:r>
    </w:p>
    <w:p w14:paraId="2C1FEA03" w14:textId="77777777" w:rsidR="000A43AA" w:rsidRPr="00EA2CFE" w:rsidRDefault="000A43AA" w:rsidP="000A43AA">
      <w:pPr>
        <w:contextualSpacing/>
        <w:jc w:val="both"/>
        <w:rPr>
          <w:rFonts w:ascii="Verdana" w:hAnsi="Verdana" w:cs="Arial"/>
          <w:sz w:val="20"/>
          <w:szCs w:val="20"/>
        </w:rPr>
      </w:pPr>
    </w:p>
    <w:p w14:paraId="5F61347A" w14:textId="77777777" w:rsidR="000A43AA" w:rsidRPr="00A107C9" w:rsidRDefault="000A43AA" w:rsidP="000A43AA">
      <w:pPr>
        <w:contextualSpacing/>
        <w:jc w:val="both"/>
        <w:rPr>
          <w:rFonts w:ascii="Verdana" w:hAnsi="Verdana" w:cs="Arial"/>
          <w:sz w:val="20"/>
          <w:szCs w:val="20"/>
          <w:shd w:val="clear" w:color="auto" w:fill="FFFFFF"/>
        </w:rPr>
      </w:pPr>
      <w:r w:rsidRPr="00A107C9">
        <w:rPr>
          <w:rFonts w:ascii="Verdana" w:hAnsi="Verdana" w:cs="Arial"/>
          <w:sz w:val="20"/>
          <w:szCs w:val="20"/>
        </w:rPr>
        <w:t>Conforme lo anterior, cuando se presenten el tipo de situaciones descritas en la consulta, la entidad estatal, a través del supervisor del contrato, determinará si las obligaciones contractuales no pueden desarrollarse temporalmente por parte de la contratista y, en consecuencia, debe proceder a la suspensión del contrato durante su estado de embarazo o en el periodo de la licencia de maternidad.</w:t>
      </w:r>
      <w:r w:rsidRPr="00A107C9">
        <w:rPr>
          <w:rFonts w:ascii="Verdana" w:hAnsi="Verdana" w:cs="Arial"/>
          <w:sz w:val="20"/>
          <w:szCs w:val="20"/>
          <w:shd w:val="clear" w:color="auto" w:fill="FFFFFF"/>
        </w:rPr>
        <w:t xml:space="preserve"> En ese sentido, si a pesar de la licencia, las partes acuerdan no suspender el contrato y la contratista acredita el cumplimiento de las actividades contratadas, habría lugar al pago de honorarios, pues el objeto contractual estaría siendo ejecutado. Por el contrario, </w:t>
      </w:r>
      <w:r w:rsidRPr="00720017">
        <w:rPr>
          <w:rStyle w:val="Textoennegrita"/>
          <w:rFonts w:ascii="Verdana" w:hAnsi="Verdana" w:cs="Arial"/>
          <w:sz w:val="20"/>
          <w:szCs w:val="20"/>
          <w:shd w:val="clear" w:color="auto" w:fill="FFFFFF"/>
        </w:rPr>
        <w:t>si deciden suspenderlo, teniendo en cuenta que no se estarían cumpliendo las obligaciones contractuales no habría lugar al pago de honorarios y la prestación económica sería asumida por el Sistema General de Seguridad Social en salud, es decir, estaría a cargo de las EPS.</w:t>
      </w:r>
      <w:r w:rsidRPr="00A107C9">
        <w:rPr>
          <w:rStyle w:val="Textoennegrita"/>
          <w:rFonts w:ascii="Verdana" w:hAnsi="Verdana" w:cs="Arial"/>
          <w:sz w:val="20"/>
          <w:szCs w:val="20"/>
          <w:shd w:val="clear" w:color="auto" w:fill="FFFFFF"/>
        </w:rPr>
        <w:t xml:space="preserve"> </w:t>
      </w:r>
    </w:p>
    <w:p w14:paraId="2F271FC9" w14:textId="77777777" w:rsidR="000A43AA" w:rsidRDefault="000A43AA" w:rsidP="000A43AA">
      <w:pPr>
        <w:spacing w:after="0"/>
        <w:rPr>
          <w:rFonts w:ascii="Verdana" w:hAnsi="Verdana"/>
        </w:rPr>
      </w:pPr>
    </w:p>
    <w:p w14:paraId="0AFB3857" w14:textId="77777777" w:rsidR="000A43AA" w:rsidRDefault="000A43AA" w:rsidP="000A43AA">
      <w:pPr>
        <w:jc w:val="both"/>
        <w:rPr>
          <w:rFonts w:ascii="Verdana" w:eastAsia="Arial" w:hAnsi="Verdana" w:cs="Arial"/>
          <w:color w:val="000000"/>
          <w:lang w:val="es-ES"/>
        </w:rPr>
      </w:pPr>
    </w:p>
    <w:p w14:paraId="62AD1EAC" w14:textId="77777777" w:rsidR="000A43AA" w:rsidRDefault="000A43AA" w:rsidP="000A43AA">
      <w:pPr>
        <w:jc w:val="both"/>
        <w:rPr>
          <w:rFonts w:ascii="Verdana" w:eastAsia="Arial" w:hAnsi="Verdana" w:cs="Arial"/>
          <w:color w:val="000000"/>
          <w:lang w:val="es-ES"/>
        </w:rPr>
      </w:pPr>
    </w:p>
    <w:p w14:paraId="267E87C0" w14:textId="77777777" w:rsidR="000A43AA" w:rsidRDefault="000A43AA" w:rsidP="000A43AA">
      <w:pPr>
        <w:jc w:val="both"/>
        <w:rPr>
          <w:rFonts w:ascii="Verdana" w:eastAsia="Arial" w:hAnsi="Verdana" w:cs="Arial"/>
          <w:color w:val="000000"/>
          <w:lang w:val="es-ES"/>
        </w:rPr>
      </w:pPr>
    </w:p>
    <w:p w14:paraId="5F2A8D5E" w14:textId="77777777" w:rsidR="000A43AA" w:rsidRDefault="000A43AA" w:rsidP="000A43AA">
      <w:pPr>
        <w:jc w:val="both"/>
        <w:rPr>
          <w:rFonts w:ascii="Verdana" w:eastAsia="Arial" w:hAnsi="Verdana" w:cs="Arial"/>
          <w:color w:val="000000"/>
          <w:lang w:val="es-ES"/>
        </w:rPr>
      </w:pPr>
    </w:p>
    <w:p w14:paraId="7E7E26F6" w14:textId="77777777" w:rsidR="000A43AA" w:rsidRDefault="000A43AA" w:rsidP="000A43AA">
      <w:pPr>
        <w:jc w:val="both"/>
        <w:rPr>
          <w:rFonts w:ascii="Verdana" w:eastAsia="Arial" w:hAnsi="Verdana" w:cs="Arial"/>
          <w:color w:val="000000"/>
          <w:lang w:val="es-ES"/>
        </w:rPr>
      </w:pPr>
    </w:p>
    <w:p w14:paraId="48A9A713" w14:textId="77777777" w:rsidR="000A43AA" w:rsidRDefault="000A43AA" w:rsidP="000A43AA">
      <w:pPr>
        <w:jc w:val="both"/>
        <w:rPr>
          <w:rFonts w:ascii="Verdana" w:eastAsia="Arial" w:hAnsi="Verdana" w:cs="Arial"/>
          <w:color w:val="000000"/>
          <w:lang w:val="es-ES"/>
        </w:rPr>
      </w:pPr>
    </w:p>
    <w:p w14:paraId="2F7B598C" w14:textId="77777777" w:rsidR="000A43AA" w:rsidRDefault="000A43AA" w:rsidP="000A43AA">
      <w:pPr>
        <w:jc w:val="both"/>
        <w:rPr>
          <w:rFonts w:ascii="Verdana" w:eastAsia="Arial" w:hAnsi="Verdana" w:cs="Arial"/>
          <w:color w:val="000000"/>
          <w:lang w:val="es-ES"/>
        </w:rPr>
      </w:pPr>
    </w:p>
    <w:p w14:paraId="2A271AF0" w14:textId="77777777" w:rsidR="000A43AA" w:rsidRDefault="000A43AA" w:rsidP="000A43AA">
      <w:pPr>
        <w:jc w:val="both"/>
        <w:rPr>
          <w:rFonts w:ascii="Verdana" w:eastAsia="Arial" w:hAnsi="Verdana" w:cs="Arial"/>
          <w:color w:val="000000"/>
          <w:lang w:val="es-ES"/>
        </w:rPr>
      </w:pPr>
    </w:p>
    <w:p w14:paraId="3941432D" w14:textId="77777777" w:rsidR="000A43AA" w:rsidRDefault="000A43AA" w:rsidP="000A43AA">
      <w:pPr>
        <w:jc w:val="both"/>
        <w:rPr>
          <w:rFonts w:ascii="Verdana" w:eastAsia="Arial" w:hAnsi="Verdana" w:cs="Arial"/>
          <w:color w:val="000000"/>
          <w:lang w:val="es-ES"/>
        </w:rPr>
      </w:pPr>
    </w:p>
    <w:p w14:paraId="17BAF4F5" w14:textId="77777777" w:rsidR="000A43AA" w:rsidRDefault="000A43AA" w:rsidP="000A43AA">
      <w:pPr>
        <w:jc w:val="both"/>
        <w:rPr>
          <w:rFonts w:ascii="Verdana" w:eastAsia="Arial" w:hAnsi="Verdana" w:cs="Arial"/>
          <w:color w:val="000000"/>
          <w:lang w:val="es-ES"/>
        </w:rPr>
      </w:pPr>
    </w:p>
    <w:p w14:paraId="7A542C26" w14:textId="77777777" w:rsidR="000A43AA" w:rsidRDefault="000A43AA" w:rsidP="000A43AA">
      <w:pPr>
        <w:jc w:val="both"/>
        <w:rPr>
          <w:rFonts w:ascii="Verdana" w:eastAsia="Arial" w:hAnsi="Verdana" w:cs="Arial"/>
          <w:color w:val="000000"/>
          <w:lang w:val="es-ES"/>
        </w:rPr>
      </w:pPr>
    </w:p>
    <w:p w14:paraId="0A2EA325" w14:textId="77777777" w:rsidR="000A43AA" w:rsidRDefault="000A43AA" w:rsidP="000A43AA">
      <w:pPr>
        <w:jc w:val="both"/>
        <w:rPr>
          <w:rFonts w:ascii="Verdana" w:eastAsia="Arial" w:hAnsi="Verdana" w:cs="Arial"/>
          <w:color w:val="000000"/>
          <w:lang w:val="es-ES"/>
        </w:rPr>
      </w:pPr>
    </w:p>
    <w:p w14:paraId="3A35874D" w14:textId="77777777" w:rsidR="000A43AA" w:rsidRDefault="000A43AA" w:rsidP="000A43AA">
      <w:pPr>
        <w:jc w:val="both"/>
        <w:rPr>
          <w:rFonts w:ascii="Verdana" w:eastAsia="Arial" w:hAnsi="Verdana" w:cs="Arial"/>
          <w:color w:val="000000"/>
          <w:lang w:val="es-ES"/>
        </w:rPr>
      </w:pPr>
    </w:p>
    <w:p w14:paraId="32946C0A" w14:textId="77777777" w:rsidR="000A43AA" w:rsidRDefault="000A43AA" w:rsidP="000A43AA">
      <w:pPr>
        <w:jc w:val="both"/>
        <w:rPr>
          <w:rFonts w:ascii="Verdana" w:eastAsia="Arial" w:hAnsi="Verdana" w:cs="Arial"/>
          <w:color w:val="000000"/>
          <w:lang w:val="es-ES"/>
        </w:rPr>
      </w:pPr>
    </w:p>
    <w:p w14:paraId="03019806" w14:textId="77777777" w:rsidR="000A43AA" w:rsidRDefault="000A43AA" w:rsidP="000A43AA">
      <w:pPr>
        <w:jc w:val="both"/>
        <w:rPr>
          <w:rFonts w:ascii="Verdana" w:eastAsia="Arial" w:hAnsi="Verdana" w:cs="Arial"/>
          <w:color w:val="000000"/>
          <w:lang w:val="es-ES"/>
        </w:rPr>
      </w:pPr>
    </w:p>
    <w:p w14:paraId="6F31D03B" w14:textId="77777777" w:rsidR="000A43AA" w:rsidRDefault="000A43AA" w:rsidP="000A43AA">
      <w:pPr>
        <w:jc w:val="both"/>
        <w:rPr>
          <w:rFonts w:ascii="Verdana" w:eastAsia="Arial" w:hAnsi="Verdana" w:cs="Arial"/>
          <w:color w:val="000000"/>
          <w:lang w:val="es-ES"/>
        </w:rPr>
      </w:pPr>
    </w:p>
    <w:p w14:paraId="61FE3F5B" w14:textId="77777777" w:rsidR="00ED454F" w:rsidRDefault="00ED454F" w:rsidP="000A43AA">
      <w:pPr>
        <w:jc w:val="both"/>
        <w:rPr>
          <w:rFonts w:ascii="Verdana" w:eastAsia="Arial" w:hAnsi="Verdana" w:cs="Arial"/>
          <w:color w:val="000000"/>
          <w:lang w:val="es-ES"/>
        </w:rPr>
      </w:pPr>
    </w:p>
    <w:p w14:paraId="60321853" w14:textId="055D2918" w:rsidR="000A43AA" w:rsidRPr="00E13AC4" w:rsidRDefault="000A43AA" w:rsidP="000A43AA">
      <w:pPr>
        <w:jc w:val="both"/>
        <w:rPr>
          <w:rFonts w:ascii="Verdana" w:eastAsia="Calibri" w:hAnsi="Verdana" w:cs="Arial"/>
          <w:bCs/>
          <w:lang w:eastAsia="es-ES_tradnl"/>
        </w:rPr>
      </w:pPr>
      <w:r w:rsidRPr="00073A28">
        <w:rPr>
          <w:rFonts w:ascii="Verdana" w:eastAsia="Geomanist Light" w:hAnsi="Verdana" w:cs="Arial"/>
        </w:rPr>
        <w:lastRenderedPageBreak/>
        <w:t>Bogotá D.C., [Día] de [</w:t>
      </w:r>
      <w:proofErr w:type="spellStart"/>
      <w:r w:rsidRPr="00073A28">
        <w:rPr>
          <w:rFonts w:ascii="Verdana" w:eastAsia="Geomanist Light" w:hAnsi="Verdana" w:cs="Arial"/>
        </w:rPr>
        <w:t>Mes.NombreCapitalizado</w:t>
      </w:r>
      <w:proofErr w:type="spellEnd"/>
      <w:r w:rsidRPr="00073A28">
        <w:rPr>
          <w:rFonts w:ascii="Verdana" w:eastAsia="Geomanist Light" w:hAnsi="Verdana" w:cs="Arial"/>
        </w:rPr>
        <w:t>] de [Año]</w:t>
      </w:r>
    </w:p>
    <w:p w14:paraId="7CDC1146" w14:textId="060C55E2" w:rsidR="000A43AA" w:rsidRDefault="001579D9" w:rsidP="000A43AA">
      <w:pPr>
        <w:spacing w:after="0" w:line="240" w:lineRule="auto"/>
        <w:jc w:val="both"/>
        <w:rPr>
          <w:rFonts w:ascii="Verdana" w:eastAsia="Calibri" w:hAnsi="Verdana" w:cs="Arial"/>
          <w:lang w:eastAsia="es-ES"/>
        </w:rPr>
      </w:pPr>
      <w:r w:rsidRPr="00ED454F">
        <w:rPr>
          <w:rFonts w:ascii="Verdana" w:eastAsia="Calibri" w:hAnsi="Verdana" w:cs="Arial"/>
          <w:b/>
          <w:bCs/>
          <w:noProof/>
          <w:lang w:eastAsia="es-ES_tradnl"/>
        </w:rPr>
        <w:drawing>
          <wp:anchor distT="0" distB="0" distL="114300" distR="114300" simplePos="0" relativeHeight="251657216" behindDoc="1" locked="0" layoutInCell="1" allowOverlap="1" wp14:anchorId="385DE174" wp14:editId="100EB45A">
            <wp:simplePos x="0" y="0"/>
            <wp:positionH relativeFrom="margin">
              <wp:posOffset>2847340</wp:posOffset>
            </wp:positionH>
            <wp:positionV relativeFrom="paragraph">
              <wp:posOffset>58420</wp:posOffset>
            </wp:positionV>
            <wp:extent cx="3089910" cy="1106170"/>
            <wp:effectExtent l="0" t="0" r="0" b="0"/>
            <wp:wrapTight wrapText="bothSides">
              <wp:wrapPolygon edited="0">
                <wp:start x="0" y="0"/>
                <wp:lineTo x="0" y="21203"/>
                <wp:lineTo x="21440" y="21203"/>
                <wp:lineTo x="21440" y="0"/>
                <wp:lineTo x="0" y="0"/>
              </wp:wrapPolygon>
            </wp:wrapTight>
            <wp:docPr id="565449418" name="Imagen 1"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449418" name="Imagen 1" descr="Texto, Carta&#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3089910" cy="1106170"/>
                    </a:xfrm>
                    <a:prstGeom prst="rect">
                      <a:avLst/>
                    </a:prstGeom>
                  </pic:spPr>
                </pic:pic>
              </a:graphicData>
            </a:graphic>
            <wp14:sizeRelH relativeFrom="page">
              <wp14:pctWidth>0</wp14:pctWidth>
            </wp14:sizeRelH>
            <wp14:sizeRelV relativeFrom="page">
              <wp14:pctHeight>0</wp14:pctHeight>
            </wp14:sizeRelV>
          </wp:anchor>
        </w:drawing>
      </w:r>
    </w:p>
    <w:p w14:paraId="218FA491" w14:textId="49BA2AE4" w:rsidR="000A43AA" w:rsidRDefault="000A43AA" w:rsidP="000A43AA">
      <w:pPr>
        <w:spacing w:after="0" w:line="240" w:lineRule="auto"/>
        <w:jc w:val="both"/>
        <w:rPr>
          <w:rFonts w:ascii="Verdana" w:eastAsia="Calibri" w:hAnsi="Verdana" w:cs="Arial"/>
          <w:lang w:eastAsia="es-ES"/>
        </w:rPr>
      </w:pPr>
      <w:r w:rsidRPr="00A518F4">
        <w:rPr>
          <w:rFonts w:ascii="Verdana" w:eastAsia="Calibri" w:hAnsi="Verdana" w:cs="Arial"/>
          <w:lang w:eastAsia="es-ES"/>
        </w:rPr>
        <w:t>Señor</w:t>
      </w:r>
    </w:p>
    <w:p w14:paraId="1EA90527" w14:textId="487D3F9A" w:rsidR="000A43AA" w:rsidRPr="005D5749" w:rsidRDefault="000A43AA" w:rsidP="000A43AA">
      <w:pPr>
        <w:spacing w:after="0" w:line="240" w:lineRule="auto"/>
        <w:jc w:val="both"/>
        <w:rPr>
          <w:rFonts w:ascii="Verdana" w:eastAsia="Calibri" w:hAnsi="Verdana" w:cs="Arial"/>
          <w:lang w:eastAsia="es-ES"/>
        </w:rPr>
      </w:pPr>
      <w:r>
        <w:rPr>
          <w:rFonts w:ascii="Verdana" w:eastAsia="Calibri" w:hAnsi="Verdana" w:cs="Arial"/>
          <w:b/>
          <w:bCs/>
          <w:lang w:eastAsia="es-ES"/>
        </w:rPr>
        <w:t>Álvaro Alberto Cardoso</w:t>
      </w:r>
    </w:p>
    <w:p w14:paraId="55375EAA" w14:textId="77777777" w:rsidR="000A43AA" w:rsidRPr="00D42615" w:rsidRDefault="000A43AA" w:rsidP="000A43AA">
      <w:pPr>
        <w:spacing w:after="0" w:line="240" w:lineRule="auto"/>
        <w:jc w:val="both"/>
        <w:rPr>
          <w:rFonts w:ascii="Verdana" w:eastAsia="Calibri" w:hAnsi="Verdana" w:cs="Arial"/>
          <w:b/>
          <w:lang w:eastAsia="es-ES"/>
        </w:rPr>
      </w:pPr>
      <w:r>
        <w:rPr>
          <w:rFonts w:ascii="Verdana" w:eastAsia="Calibri" w:hAnsi="Verdana" w:cs="Arial"/>
          <w:lang w:eastAsia="es-ES"/>
        </w:rPr>
        <w:t>Gerente</w:t>
      </w:r>
    </w:p>
    <w:p w14:paraId="4837941F" w14:textId="64353DB1" w:rsidR="000A43AA" w:rsidRPr="00D42615" w:rsidRDefault="000A43AA" w:rsidP="000A43AA">
      <w:pPr>
        <w:spacing w:after="0" w:line="240" w:lineRule="auto"/>
        <w:jc w:val="both"/>
        <w:rPr>
          <w:rFonts w:ascii="Verdana" w:eastAsia="Calibri" w:hAnsi="Verdana" w:cs="Arial"/>
          <w:b/>
          <w:lang w:eastAsia="es-ES"/>
        </w:rPr>
      </w:pPr>
      <w:r w:rsidRPr="00D42615">
        <w:rPr>
          <w:rFonts w:ascii="Verdana" w:eastAsia="Calibri" w:hAnsi="Verdana" w:cs="Arial"/>
          <w:b/>
          <w:lang w:eastAsia="es-ES"/>
        </w:rPr>
        <w:t>Hospital San Juan de Dios</w:t>
      </w:r>
    </w:p>
    <w:p w14:paraId="173A467A" w14:textId="3E03A14A" w:rsidR="000A43AA" w:rsidRPr="00A518F4" w:rsidRDefault="000A43AA" w:rsidP="000A43AA">
      <w:pPr>
        <w:spacing w:after="0" w:line="240" w:lineRule="auto"/>
        <w:jc w:val="both"/>
        <w:rPr>
          <w:rFonts w:ascii="Verdana" w:eastAsia="Calibri" w:hAnsi="Verdana" w:cs="Arial"/>
          <w:lang w:eastAsia="es-ES"/>
        </w:rPr>
      </w:pPr>
      <w:r>
        <w:rPr>
          <w:rFonts w:ascii="Verdana" w:hAnsi="Verdana"/>
        </w:rPr>
        <w:t>juridica@esesanjuandediospc.gov.co</w:t>
      </w:r>
    </w:p>
    <w:p w14:paraId="31AE684C" w14:textId="291AD932" w:rsidR="000A43AA" w:rsidRPr="00A518F4" w:rsidRDefault="000A43AA" w:rsidP="000A43AA">
      <w:pPr>
        <w:spacing w:after="0" w:line="240" w:lineRule="auto"/>
        <w:rPr>
          <w:rFonts w:ascii="Verdana" w:eastAsia="Calibri" w:hAnsi="Verdana" w:cs="Arial"/>
          <w:b/>
          <w:bCs/>
          <w:lang w:eastAsia="es-ES"/>
        </w:rPr>
      </w:pPr>
      <w:r>
        <w:rPr>
          <w:rFonts w:ascii="Verdana" w:eastAsia="Calibri" w:hAnsi="Verdana" w:cs="Arial"/>
          <w:lang w:eastAsia="es-ES"/>
        </w:rPr>
        <w:t>Puerto Carreño, Vichada</w:t>
      </w:r>
    </w:p>
    <w:p w14:paraId="0AE40B5F" w14:textId="67A36B17" w:rsidR="000A43AA" w:rsidRPr="00A518F4" w:rsidRDefault="000A43AA" w:rsidP="000A43AA">
      <w:pPr>
        <w:spacing w:after="0" w:line="240" w:lineRule="auto"/>
        <w:rPr>
          <w:rFonts w:ascii="Verdana" w:eastAsia="Calibri" w:hAnsi="Verdana" w:cs="Arial"/>
          <w:b/>
          <w:bCs/>
          <w:lang w:eastAsia="es-ES_tradnl"/>
        </w:rPr>
      </w:pPr>
    </w:p>
    <w:p w14:paraId="6994F43B" w14:textId="57C277F3" w:rsidR="000A43AA" w:rsidRPr="00960F72" w:rsidRDefault="000A43AA" w:rsidP="000A43AA">
      <w:pPr>
        <w:spacing w:after="0" w:line="240" w:lineRule="auto"/>
        <w:rPr>
          <w:rFonts w:ascii="Verdana" w:eastAsia="Calibri" w:hAnsi="Verdana" w:cs="Arial"/>
          <w:b/>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A43AA" w:rsidRPr="00960F72" w14:paraId="252E1A15" w14:textId="77777777" w:rsidTr="00FA3433">
        <w:trPr>
          <w:trHeight w:val="190"/>
        </w:trPr>
        <w:tc>
          <w:tcPr>
            <w:tcW w:w="2689" w:type="dxa"/>
          </w:tcPr>
          <w:p w14:paraId="126A6888" w14:textId="77777777" w:rsidR="000A43AA" w:rsidRPr="00960F72" w:rsidRDefault="000A43AA" w:rsidP="00FA3433">
            <w:pPr>
              <w:jc w:val="both"/>
              <w:rPr>
                <w:rFonts w:ascii="Verdana" w:eastAsia="Calibri" w:hAnsi="Verdana" w:cs="Arial"/>
                <w:b/>
                <w:bCs/>
                <w:lang w:eastAsia="es-ES_tradnl"/>
              </w:rPr>
            </w:pPr>
          </w:p>
        </w:tc>
        <w:tc>
          <w:tcPr>
            <w:tcW w:w="6100" w:type="dxa"/>
          </w:tcPr>
          <w:p w14:paraId="1738EEDE" w14:textId="77777777" w:rsidR="000A43AA" w:rsidRPr="00960F72" w:rsidRDefault="000A43AA" w:rsidP="00FA3433">
            <w:pPr>
              <w:jc w:val="both"/>
              <w:rPr>
                <w:rFonts w:ascii="Verdana" w:eastAsia="Calibri" w:hAnsi="Verdana" w:cs="Arial"/>
                <w:b/>
                <w:bCs/>
                <w:lang w:eastAsia="es-ES"/>
              </w:rPr>
            </w:pPr>
            <w:r w:rsidRPr="00960F72">
              <w:rPr>
                <w:rFonts w:ascii="Verdana" w:eastAsia="Calibri" w:hAnsi="Verdana" w:cs="Arial"/>
                <w:b/>
                <w:bCs/>
                <w:lang w:eastAsia="es-ES"/>
              </w:rPr>
              <w:t>Concepto C- 1</w:t>
            </w:r>
            <w:r>
              <w:rPr>
                <w:rFonts w:ascii="Verdana" w:eastAsia="Calibri" w:hAnsi="Verdana" w:cs="Arial"/>
                <w:b/>
                <w:bCs/>
                <w:lang w:eastAsia="es-ES"/>
              </w:rPr>
              <w:t>387</w:t>
            </w:r>
            <w:r w:rsidRPr="00960F72">
              <w:rPr>
                <w:rFonts w:ascii="Verdana" w:eastAsia="Calibri" w:hAnsi="Verdana" w:cs="Arial"/>
                <w:b/>
                <w:bCs/>
                <w:lang w:eastAsia="es-ES"/>
              </w:rPr>
              <w:t xml:space="preserve"> de 2025</w:t>
            </w:r>
          </w:p>
          <w:p w14:paraId="7E307CBB" w14:textId="77777777" w:rsidR="000A43AA" w:rsidRPr="00960F72" w:rsidRDefault="000A43AA" w:rsidP="00FA3433">
            <w:pPr>
              <w:jc w:val="both"/>
              <w:rPr>
                <w:rFonts w:ascii="Verdana" w:eastAsia="Calibri" w:hAnsi="Verdana" w:cs="Arial"/>
                <w:b/>
                <w:bCs/>
                <w:lang w:eastAsia="es-ES"/>
              </w:rPr>
            </w:pPr>
          </w:p>
        </w:tc>
      </w:tr>
      <w:tr w:rsidR="000A43AA" w:rsidRPr="00960F72" w14:paraId="6402AF96" w14:textId="77777777" w:rsidTr="00FA3433">
        <w:trPr>
          <w:trHeight w:val="884"/>
        </w:trPr>
        <w:tc>
          <w:tcPr>
            <w:tcW w:w="2689" w:type="dxa"/>
          </w:tcPr>
          <w:p w14:paraId="74AB4CC0" w14:textId="77777777" w:rsidR="000A43AA" w:rsidRPr="00960F72" w:rsidRDefault="000A43AA" w:rsidP="00FA3433">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100" w:type="dxa"/>
          </w:tcPr>
          <w:p w14:paraId="1D416733" w14:textId="12A3477F" w:rsidR="00702851" w:rsidRDefault="000A43AA" w:rsidP="00702851">
            <w:pPr>
              <w:jc w:val="both"/>
              <w:textAlignment w:val="baseline"/>
              <w:rPr>
                <w:rFonts w:ascii="Verdana" w:eastAsia="Times New Roman" w:hAnsi="Verdana" w:cs="Arial"/>
                <w:lang w:eastAsia="es-ES_tradnl"/>
              </w:rPr>
            </w:pPr>
            <w:r w:rsidRPr="00EA2CFE">
              <w:rPr>
                <w:rFonts w:ascii="Verdana" w:eastAsia="Times New Roman" w:hAnsi="Verdana" w:cs="Arial"/>
                <w:lang w:eastAsia="es-ES_tradnl"/>
              </w:rPr>
              <w:t xml:space="preserve">ESTABILIDAD LABORAL REFORZADA DE MUJER EMBARAZADA – Concepto / ESTABILIDAD LABORAL REFORZADA DE MUJER EMBARAZADA – Unificación jurisprudencial / ESTABILIDAD LABORAL REFORZADA DE MUJER EMBARAZADA – Procedencia </w:t>
            </w:r>
          </w:p>
          <w:p w14:paraId="70F78DAA" w14:textId="77777777" w:rsidR="000A43AA" w:rsidRPr="00960F72" w:rsidRDefault="000A43AA" w:rsidP="00D42615">
            <w:pPr>
              <w:jc w:val="both"/>
              <w:textAlignment w:val="baseline"/>
              <w:rPr>
                <w:rFonts w:ascii="Verdana" w:eastAsia="Calibri" w:hAnsi="Verdana" w:cs="Arial"/>
                <w:lang w:eastAsia="es-ES"/>
              </w:rPr>
            </w:pPr>
          </w:p>
        </w:tc>
      </w:tr>
      <w:tr w:rsidR="000A43AA" w:rsidRPr="00960F72" w14:paraId="36EFA510" w14:textId="77777777" w:rsidTr="00FA3433">
        <w:tc>
          <w:tcPr>
            <w:tcW w:w="2689" w:type="dxa"/>
          </w:tcPr>
          <w:p w14:paraId="5616FF02" w14:textId="77777777" w:rsidR="000A43AA" w:rsidRPr="00960F72" w:rsidRDefault="000A43AA" w:rsidP="00FA3433">
            <w:pPr>
              <w:jc w:val="both"/>
              <w:rPr>
                <w:rFonts w:ascii="Verdana" w:eastAsia="Calibri" w:hAnsi="Verdana" w:cs="Arial"/>
                <w:b/>
                <w:lang w:eastAsia="es-ES_tradnl"/>
              </w:rPr>
            </w:pPr>
            <w:r w:rsidRPr="00960F72">
              <w:rPr>
                <w:rFonts w:ascii="Verdana" w:eastAsia="Calibri" w:hAnsi="Verdana" w:cs="Arial"/>
                <w:b/>
                <w:lang w:eastAsia="es-ES_tradnl"/>
              </w:rPr>
              <w:t>Radicación:</w:t>
            </w:r>
            <w:r w:rsidRPr="00960F72">
              <w:rPr>
                <w:rFonts w:ascii="Verdana" w:eastAsia="Calibri" w:hAnsi="Verdana" w:cs="Arial"/>
                <w:lang w:eastAsia="es-ES_tradnl"/>
              </w:rPr>
              <w:t xml:space="preserve">               </w:t>
            </w:r>
          </w:p>
        </w:tc>
        <w:tc>
          <w:tcPr>
            <w:tcW w:w="6100" w:type="dxa"/>
          </w:tcPr>
          <w:p w14:paraId="4B41D0AF" w14:textId="77777777" w:rsidR="000A43AA" w:rsidRPr="00960F72" w:rsidRDefault="000A43AA" w:rsidP="00FA3433">
            <w:pPr>
              <w:jc w:val="both"/>
              <w:rPr>
                <w:rFonts w:ascii="Verdana" w:eastAsia="Calibri" w:hAnsi="Verdana" w:cs="Arial"/>
                <w:lang w:eastAsia="es-ES_tradnl"/>
              </w:rPr>
            </w:pPr>
            <w:r w:rsidRPr="00960F72">
              <w:rPr>
                <w:rFonts w:ascii="Verdana" w:eastAsia="Calibri" w:hAnsi="Verdana" w:cs="Arial"/>
                <w:lang w:eastAsia="es-ES_tradnl"/>
              </w:rPr>
              <w:t xml:space="preserve">Respuesta a consulta con radicado No. </w:t>
            </w:r>
            <w:r w:rsidRPr="00D33DEE">
              <w:rPr>
                <w:rFonts w:ascii="Verdana" w:eastAsia="Calibri" w:hAnsi="Verdana" w:cs="Arial"/>
                <w:lang w:eastAsia="es-ES_tradnl"/>
              </w:rPr>
              <w:t>1_2025_09_25_010626</w:t>
            </w:r>
          </w:p>
        </w:tc>
      </w:tr>
    </w:tbl>
    <w:p w14:paraId="229C2856" w14:textId="77777777" w:rsidR="000A43AA" w:rsidRPr="00073A28" w:rsidRDefault="000A43AA" w:rsidP="000A43AA">
      <w:pPr>
        <w:spacing w:after="0" w:line="240" w:lineRule="auto"/>
        <w:jc w:val="both"/>
        <w:rPr>
          <w:rFonts w:ascii="Verdana" w:eastAsia="Calibri" w:hAnsi="Verdana" w:cs="Arial"/>
          <w:lang w:eastAsia="es-ES_tradnl"/>
        </w:rPr>
      </w:pPr>
    </w:p>
    <w:p w14:paraId="5BC436B2" w14:textId="77777777" w:rsidR="000A43AA" w:rsidRPr="00073A28" w:rsidRDefault="000A43AA" w:rsidP="000A43AA">
      <w:pPr>
        <w:spacing w:after="0" w:line="276" w:lineRule="auto"/>
        <w:jc w:val="both"/>
        <w:rPr>
          <w:rFonts w:ascii="Verdana" w:eastAsia="Calibri" w:hAnsi="Verdana" w:cs="Arial"/>
          <w:lang w:eastAsia="es-ES"/>
        </w:rPr>
      </w:pPr>
      <w:r w:rsidRPr="00073A28">
        <w:rPr>
          <w:rFonts w:ascii="Verdana" w:eastAsia="Calibri" w:hAnsi="Verdana" w:cs="Arial"/>
          <w:lang w:eastAsia="es-ES"/>
        </w:rPr>
        <w:t>Estimad</w:t>
      </w:r>
      <w:r>
        <w:rPr>
          <w:rFonts w:ascii="Verdana" w:eastAsia="Calibri" w:hAnsi="Verdana" w:cs="Arial"/>
          <w:lang w:eastAsia="es-ES"/>
        </w:rPr>
        <w:t>o</w:t>
      </w:r>
      <w:r w:rsidRPr="00073A28">
        <w:rPr>
          <w:rFonts w:ascii="Verdana" w:eastAsia="Calibri" w:hAnsi="Verdana" w:cs="Arial"/>
          <w:lang w:eastAsia="es-ES"/>
        </w:rPr>
        <w:t xml:space="preserve"> señor </w:t>
      </w:r>
      <w:r>
        <w:rPr>
          <w:rFonts w:ascii="Verdana" w:eastAsia="Calibri" w:hAnsi="Verdana" w:cs="Arial"/>
          <w:lang w:eastAsia="es-ES"/>
        </w:rPr>
        <w:t>Cardoso</w:t>
      </w:r>
      <w:r w:rsidRPr="00073A28">
        <w:rPr>
          <w:rFonts w:ascii="Verdana" w:eastAsia="Calibri" w:hAnsi="Verdana" w:cs="Arial"/>
          <w:lang w:eastAsia="es-ES"/>
        </w:rPr>
        <w:t xml:space="preserve">: </w:t>
      </w:r>
    </w:p>
    <w:p w14:paraId="11732122" w14:textId="77777777" w:rsidR="000A43AA" w:rsidRPr="00073A28" w:rsidRDefault="000A43AA" w:rsidP="000A43AA">
      <w:pPr>
        <w:tabs>
          <w:tab w:val="left" w:pos="3768"/>
        </w:tabs>
        <w:spacing w:after="0" w:line="276" w:lineRule="auto"/>
        <w:jc w:val="both"/>
        <w:rPr>
          <w:rFonts w:ascii="Verdana" w:eastAsia="Calibri" w:hAnsi="Verdana" w:cs="Arial"/>
          <w:lang w:eastAsia="es-ES"/>
        </w:rPr>
      </w:pPr>
    </w:p>
    <w:p w14:paraId="08CAE05C" w14:textId="77777777" w:rsidR="000A43AA" w:rsidRPr="00245F51" w:rsidRDefault="000A43AA" w:rsidP="000A43AA">
      <w:pPr>
        <w:spacing w:after="0" w:line="276" w:lineRule="auto"/>
        <w:jc w:val="both"/>
        <w:rPr>
          <w:rFonts w:ascii="Verdana" w:eastAsia="Calibri" w:hAnsi="Verdana" w:cs="Arial"/>
          <w:sz w:val="20"/>
          <w:szCs w:val="20"/>
          <w:lang w:eastAsia="es-ES"/>
        </w:rPr>
      </w:pPr>
      <w:r w:rsidRPr="00073A28">
        <w:rPr>
          <w:rFonts w:ascii="Verdana" w:eastAsia="Calibri" w:hAnsi="Verdana" w:cs="Arial"/>
          <w:lang w:eastAsia="es-ES"/>
        </w:rPr>
        <w:t>En ejercicio de la competencia otorgada por los artículos 3, numeral 5º, y 11, numeral 8º, del Decreto Ley 4170 de 2011,</w:t>
      </w:r>
      <w:r w:rsidRPr="00073A28">
        <w:rPr>
          <w:rFonts w:ascii="Verdana" w:eastAsia="Arial MT" w:hAnsi="Verdana" w:cs="Arial MT"/>
          <w:lang w:eastAsia="es-ES"/>
        </w:rPr>
        <w:t xml:space="preserve"> </w:t>
      </w:r>
      <w:r w:rsidRPr="00073A28">
        <w:rPr>
          <w:rFonts w:ascii="Verdana" w:hAnsi="Verdana" w:cs="Arial"/>
        </w:rPr>
        <w:t xml:space="preserve">así como lo establecido en el artículo 4 de la Resolución 1707 de 2018 expedida por esta Entidad, </w:t>
      </w:r>
      <w:r w:rsidRPr="00073A28">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25</w:t>
      </w:r>
      <w:r w:rsidRPr="00073A28">
        <w:rPr>
          <w:rFonts w:ascii="Verdana" w:eastAsia="Calibri" w:hAnsi="Verdana" w:cs="Arial"/>
          <w:lang w:eastAsia="es-ES"/>
        </w:rPr>
        <w:t xml:space="preserve"> de septiembre de 2025, en la cual manifiesta lo siguiente: </w:t>
      </w:r>
    </w:p>
    <w:p w14:paraId="6A0DD614" w14:textId="77777777" w:rsidR="000A43AA" w:rsidRPr="00245F51" w:rsidRDefault="000A43AA" w:rsidP="000A43AA">
      <w:pPr>
        <w:spacing w:after="0" w:line="276" w:lineRule="auto"/>
        <w:jc w:val="both"/>
        <w:rPr>
          <w:rFonts w:ascii="Verdana" w:eastAsia="Calibri" w:hAnsi="Verdana" w:cs="Arial"/>
          <w:sz w:val="20"/>
          <w:szCs w:val="20"/>
          <w:lang w:eastAsia="es-ES"/>
        </w:rPr>
      </w:pPr>
    </w:p>
    <w:p w14:paraId="2FDAA0FF" w14:textId="77777777" w:rsidR="000A43AA" w:rsidRDefault="000A43AA" w:rsidP="000A43AA">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 1. Si una persona vinculada mediante contrato de prestación de servicios profesionales o de apoyo a la gestión, para ejecutar sus actividades dentro de un programa con lineamientos de orden nacional, departamental y/o municipal con actividades y termino de ejecución específico, y posteriormente informa encontrarse embarazada durante la ejecución del contrato, se le debe garantizar la estabilidad ocupacional reforzada, a sabiendas que la necesidad que dio origen a su contratación cuenta con fecha o plazo límite?</w:t>
      </w:r>
    </w:p>
    <w:p w14:paraId="356894F5" w14:textId="77777777" w:rsidR="00306585" w:rsidRDefault="00306585" w:rsidP="000A43AA">
      <w:pPr>
        <w:spacing w:after="0" w:line="240" w:lineRule="auto"/>
        <w:ind w:left="709" w:right="709"/>
        <w:jc w:val="both"/>
        <w:rPr>
          <w:rFonts w:ascii="Verdana" w:eastAsia="Calibri" w:hAnsi="Verdana" w:cs="Arial"/>
          <w:sz w:val="20"/>
          <w:szCs w:val="20"/>
          <w:lang w:eastAsia="es-ES"/>
        </w:rPr>
      </w:pPr>
    </w:p>
    <w:p w14:paraId="715F2768" w14:textId="77777777" w:rsidR="000A43AA" w:rsidRPr="00245F51" w:rsidRDefault="000A43AA" w:rsidP="000A43AA">
      <w:pPr>
        <w:spacing w:after="0" w:line="240" w:lineRule="auto"/>
        <w:ind w:left="709" w:right="709"/>
        <w:jc w:val="both"/>
        <w:rPr>
          <w:rFonts w:ascii="Verdana" w:eastAsia="Calibri" w:hAnsi="Verdana" w:cs="Arial"/>
          <w:sz w:val="20"/>
          <w:szCs w:val="20"/>
          <w:lang w:eastAsia="es-ES"/>
        </w:rPr>
      </w:pPr>
      <w:r w:rsidRPr="00245F51">
        <w:rPr>
          <w:rFonts w:ascii="Verdana" w:eastAsia="Calibri" w:hAnsi="Verdana" w:cs="Arial"/>
          <w:sz w:val="20"/>
          <w:szCs w:val="20"/>
          <w:lang w:eastAsia="es-ES"/>
        </w:rPr>
        <w:t>”</w:t>
      </w:r>
      <w:r>
        <w:rPr>
          <w:rFonts w:ascii="Verdana" w:eastAsia="Calibri" w:hAnsi="Verdana" w:cs="Arial"/>
          <w:sz w:val="20"/>
          <w:szCs w:val="20"/>
          <w:lang w:eastAsia="es-ES"/>
        </w:rPr>
        <w:t xml:space="preserve">2. ¿En el evento que la respuesta al interrogante anterior sea afirmativa, es decir, que se deba garantizar la estabilidad ocupacional reforzada, qué </w:t>
      </w:r>
      <w:r>
        <w:rPr>
          <w:rFonts w:ascii="Verdana" w:eastAsia="Calibri" w:hAnsi="Verdana" w:cs="Arial"/>
          <w:sz w:val="20"/>
          <w:szCs w:val="20"/>
          <w:lang w:eastAsia="es-ES"/>
        </w:rPr>
        <w:lastRenderedPageBreak/>
        <w:t>medidas puede tomar la entidad contratante, cuando dentro de su planta, no se cuente con la necesidad de contratar a una persona con el perfil de la contratista, y por ende no se pueda realizar la reubicación?</w:t>
      </w:r>
    </w:p>
    <w:p w14:paraId="6A77B9A3" w14:textId="77777777" w:rsidR="000A43AA" w:rsidRPr="00245F51" w:rsidRDefault="000A43AA" w:rsidP="00D42615">
      <w:pPr>
        <w:spacing w:after="0" w:line="276" w:lineRule="auto"/>
        <w:ind w:left="709" w:right="709"/>
        <w:jc w:val="both"/>
        <w:rPr>
          <w:rFonts w:ascii="Verdana" w:eastAsia="Calibri" w:hAnsi="Verdana" w:cs="Arial"/>
          <w:sz w:val="20"/>
          <w:szCs w:val="20"/>
          <w:lang w:eastAsia="es-ES"/>
        </w:rPr>
      </w:pPr>
    </w:p>
    <w:p w14:paraId="0E19A1F9" w14:textId="77777777" w:rsidR="000A43AA" w:rsidRPr="00073A28" w:rsidRDefault="000A43AA" w:rsidP="000A43AA">
      <w:pPr>
        <w:spacing w:after="120" w:line="276" w:lineRule="auto"/>
        <w:ind w:firstLine="709"/>
        <w:jc w:val="both"/>
        <w:rPr>
          <w:rFonts w:ascii="Verdana" w:eastAsia="Calibri" w:hAnsi="Verdana" w:cs="Arial"/>
          <w:lang w:eastAsia="es-ES_tradnl"/>
        </w:rPr>
      </w:pPr>
      <w:r w:rsidRPr="00073A28">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73A28">
        <w:rPr>
          <w:rFonts w:ascii="Verdana" w:eastAsia="Calibri" w:hAnsi="Verdana" w:cs="Arial"/>
          <w:lang w:eastAsia="es-ES_tradnl"/>
        </w:rPr>
        <w:tab/>
      </w:r>
    </w:p>
    <w:p w14:paraId="08677553" w14:textId="1CFA8EC8" w:rsidR="000A43AA" w:rsidRPr="00073A28" w:rsidRDefault="000A43AA" w:rsidP="000A43AA">
      <w:pPr>
        <w:spacing w:after="0" w:line="276" w:lineRule="auto"/>
        <w:ind w:firstLine="709"/>
        <w:jc w:val="both"/>
        <w:rPr>
          <w:rFonts w:ascii="Verdana" w:eastAsia="Calibri" w:hAnsi="Verdana" w:cs="Arial"/>
          <w:lang w:eastAsia="es-ES"/>
        </w:rPr>
      </w:pPr>
      <w:r w:rsidRPr="00073A28">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7E353E">
        <w:rPr>
          <w:rFonts w:ascii="Verdana" w:eastAsia="Calibri" w:hAnsi="Verdana" w:cs="Arial"/>
          <w:lang w:eastAsia="es-ES"/>
        </w:rPr>
        <w:t>señala</w:t>
      </w:r>
      <w:r w:rsidRPr="00073A28">
        <w:rPr>
          <w:rFonts w:ascii="Verdana" w:eastAsia="Calibri" w:hAnsi="Verdana" w:cs="Arial"/>
          <w:lang w:eastAsia="es-ES"/>
        </w:rPr>
        <w:t xml:space="preserve">ndo </w:t>
      </w:r>
      <w:r w:rsidR="007E353E">
        <w:rPr>
          <w:rFonts w:ascii="Verdana" w:eastAsia="Calibri" w:hAnsi="Verdana" w:cs="Arial"/>
          <w:lang w:eastAsia="es-ES"/>
        </w:rPr>
        <w:t>alg</w:t>
      </w:r>
      <w:r w:rsidRPr="00073A28">
        <w:rPr>
          <w:rFonts w:ascii="Verdana" w:eastAsia="Calibri" w:hAnsi="Verdana" w:cs="Arial"/>
          <w:lang w:eastAsia="es-ES"/>
        </w:rPr>
        <w:t xml:space="preserve">unas consideraciones sobre las normas generales relacionadas con el problema jurídico de su consulta. </w:t>
      </w:r>
    </w:p>
    <w:p w14:paraId="040C968C" w14:textId="77777777" w:rsidR="000A43AA" w:rsidRPr="00073A28" w:rsidRDefault="000A43AA" w:rsidP="000A43AA">
      <w:pPr>
        <w:spacing w:after="0" w:line="276" w:lineRule="auto"/>
        <w:ind w:firstLine="709"/>
        <w:jc w:val="both"/>
        <w:rPr>
          <w:rFonts w:ascii="Verdana" w:eastAsia="Calibri" w:hAnsi="Verdana" w:cs="Arial"/>
          <w:lang w:eastAsia="es-ES"/>
        </w:rPr>
      </w:pPr>
    </w:p>
    <w:p w14:paraId="71F81E78" w14:textId="77777777" w:rsidR="000A43AA" w:rsidRPr="00073A28" w:rsidRDefault="000A43AA" w:rsidP="000A43A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73A28">
        <w:rPr>
          <w:rFonts w:ascii="Verdana" w:eastAsia="Century Gothic" w:hAnsi="Verdana" w:cs="Century Gothic"/>
          <w:b/>
          <w:bCs/>
          <w:lang w:val="es-CO"/>
        </w:rPr>
        <w:t>Problema planteado:</w:t>
      </w:r>
    </w:p>
    <w:p w14:paraId="56B5E8D7" w14:textId="77777777" w:rsidR="000A43AA" w:rsidRPr="00073A28" w:rsidRDefault="000A43AA" w:rsidP="000A43AA">
      <w:pPr>
        <w:tabs>
          <w:tab w:val="left" w:pos="426"/>
        </w:tabs>
        <w:spacing w:after="0" w:line="276" w:lineRule="auto"/>
        <w:jc w:val="both"/>
        <w:rPr>
          <w:rFonts w:ascii="Verdana" w:eastAsia="Century Gothic" w:hAnsi="Verdana" w:cs="Century Gothic"/>
        </w:rPr>
      </w:pPr>
    </w:p>
    <w:p w14:paraId="1BB254B4" w14:textId="77777777" w:rsidR="000A43AA" w:rsidRPr="00E10F5A" w:rsidRDefault="000A43AA" w:rsidP="000A43AA">
      <w:pPr>
        <w:spacing w:after="0" w:line="276" w:lineRule="auto"/>
        <w:jc w:val="both"/>
        <w:rPr>
          <w:rFonts w:ascii="Verdana" w:eastAsia="Century Gothic" w:hAnsi="Verdana" w:cs="Century Gothic"/>
        </w:rPr>
      </w:pPr>
      <w:r w:rsidRPr="00073A28">
        <w:rPr>
          <w:rFonts w:ascii="Verdana" w:eastAsia="Century Gothic" w:hAnsi="Verdana" w:cs="Century Gothic"/>
        </w:rPr>
        <w:t xml:space="preserve">De acuerdo con el contenido de su solicitud, esta Agencia resolverá el siguiente problema jurídico: </w:t>
      </w:r>
      <w:r w:rsidRPr="00A75D18">
        <w:rPr>
          <w:rFonts w:ascii="Verdana" w:eastAsia="Century Gothic" w:hAnsi="Verdana" w:cs="Century Gothic"/>
        </w:rPr>
        <w:t>¿Debe garantizarse la estabilidad ocupacional reforzada a una contratista por prestación de servicios que informa su estado de embarazo durante la ejecución de un contrato asociado a un programa con actividades y plazo determinado, y qué medidas puede adoptar la entidad contratante cuando no existe necesidad institucional ni posibilidad de reubicación?</w:t>
      </w:r>
    </w:p>
    <w:p w14:paraId="236833A4" w14:textId="77777777" w:rsidR="000A43AA" w:rsidRDefault="000A43AA" w:rsidP="000A43AA">
      <w:pPr>
        <w:spacing w:after="0" w:line="276" w:lineRule="auto"/>
        <w:jc w:val="both"/>
        <w:rPr>
          <w:rFonts w:ascii="Verdana" w:eastAsia="Century Gothic" w:hAnsi="Verdana" w:cs="Century Gothic"/>
        </w:rPr>
      </w:pPr>
    </w:p>
    <w:p w14:paraId="4A861F22" w14:textId="3E2E1279" w:rsidR="000A43AA" w:rsidRPr="00ED454F" w:rsidRDefault="000A43AA" w:rsidP="000A43A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6483F">
        <w:rPr>
          <w:rFonts w:ascii="Verdana" w:eastAsia="Century Gothic" w:hAnsi="Verdana" w:cs="Century Gothic"/>
          <w:b/>
          <w:lang w:val="es-CO"/>
        </w:rPr>
        <w:t>Respuesta:</w:t>
      </w: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A43AA" w:rsidRPr="00073A28" w14:paraId="613849C5" w14:textId="77777777" w:rsidTr="00FA3433">
        <w:tc>
          <w:tcPr>
            <w:tcW w:w="8828" w:type="dxa"/>
          </w:tcPr>
          <w:p w14:paraId="16653797" w14:textId="08A1319F" w:rsidR="000A43AA" w:rsidRPr="009E57A7" w:rsidRDefault="000A43AA" w:rsidP="00FA3433">
            <w:pPr>
              <w:spacing w:after="120" w:line="276" w:lineRule="auto"/>
              <w:jc w:val="both"/>
              <w:rPr>
                <w:rFonts w:ascii="Verdana" w:eastAsia="Times New Roman" w:hAnsi="Verdana" w:cs="Arial"/>
                <w:lang w:eastAsia="es-ES_tradnl"/>
              </w:rPr>
            </w:pPr>
            <w:r>
              <w:rPr>
                <w:rFonts w:ascii="Verdana" w:eastAsia="Times New Roman" w:hAnsi="Verdana" w:cs="Arial"/>
                <w:lang w:eastAsia="es-ES_tradnl"/>
              </w:rPr>
              <w:t>L</w:t>
            </w:r>
            <w:r w:rsidRPr="009E57A7">
              <w:rPr>
                <w:rFonts w:ascii="Verdana" w:eastAsia="Times New Roman" w:hAnsi="Verdana" w:cs="Arial"/>
                <w:lang w:eastAsia="es-ES_tradnl"/>
              </w:rPr>
              <w:t xml:space="preserve">a Corte Constitucional ha expuesto dos (2) posiciones frente a los cuales opera la protección proveniente del denominado fuero de maternidad </w:t>
            </w:r>
            <w:r w:rsidR="00564A9B">
              <w:rPr>
                <w:rFonts w:ascii="Verdana" w:eastAsia="Times New Roman" w:hAnsi="Verdana" w:cs="Arial"/>
                <w:lang w:eastAsia="es-ES_tradnl"/>
              </w:rPr>
              <w:t xml:space="preserve">a favor </w:t>
            </w:r>
            <w:r w:rsidRPr="009E57A7">
              <w:rPr>
                <w:rFonts w:ascii="Verdana" w:eastAsia="Times New Roman" w:hAnsi="Verdana" w:cs="Arial"/>
                <w:lang w:eastAsia="es-ES_tradnl"/>
              </w:rPr>
              <w:t xml:space="preserve">de mujeres vinculadas por medio de un contrato de prestación de servicios: </w:t>
            </w:r>
            <w:r w:rsidRPr="009E57A7">
              <w:rPr>
                <w:rFonts w:ascii="Verdana" w:eastAsia="Times New Roman" w:hAnsi="Verdana" w:cs="Arial"/>
                <w:lang w:eastAsia="es-ES_tradnl"/>
              </w:rPr>
              <w:lastRenderedPageBreak/>
              <w:t>(i)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9E57A7">
              <w:rPr>
                <w:rFonts w:ascii="Verdana" w:eastAsia="Times New Roman" w:hAnsi="Verdana" w:cs="Arial"/>
                <w:lang w:eastAsia="es-ES_tradnl"/>
              </w:rPr>
              <w:t>ii</w:t>
            </w:r>
            <w:proofErr w:type="spellEnd"/>
            <w:r w:rsidRPr="009E57A7">
              <w:rPr>
                <w:rFonts w:ascii="Verdana" w:eastAsia="Times New Roman" w:hAnsi="Verdana" w:cs="Arial"/>
                <w:lang w:eastAsia="es-ES_tradnl"/>
              </w:rPr>
              <w:t>) cuando a pesar de no probarse la configuración de un contrato realidad la terminación del contrato de prestación de servicios se fundamenta en criterios discriminatorios, y no en motivos objetivos.</w:t>
            </w:r>
          </w:p>
          <w:p w14:paraId="44126656" w14:textId="5721AAC4" w:rsidR="000A43AA" w:rsidRPr="009E57A7" w:rsidRDefault="000A43AA" w:rsidP="00FA3433">
            <w:pPr>
              <w:spacing w:after="120" w:line="276" w:lineRule="auto"/>
              <w:ind w:firstLine="709"/>
              <w:jc w:val="both"/>
              <w:rPr>
                <w:rFonts w:ascii="Verdana" w:eastAsia="Times New Roman" w:hAnsi="Verdana" w:cs="Arial"/>
                <w:lang w:eastAsia="es-ES_tradnl"/>
              </w:rPr>
            </w:pPr>
            <w:r w:rsidRPr="009E57A7">
              <w:rPr>
                <w:rFonts w:ascii="Verdana" w:eastAsia="Times New Roman" w:hAnsi="Verdana" w:cs="Arial"/>
                <w:lang w:eastAsia="es-ES_tradnl"/>
              </w:rPr>
              <w:t>Asimismo se resalta que</w:t>
            </w:r>
            <w:r w:rsidR="00B50E53">
              <w:rPr>
                <w:rFonts w:ascii="Verdana" w:eastAsia="Times New Roman" w:hAnsi="Verdana" w:cs="Arial"/>
                <w:lang w:eastAsia="es-ES_tradnl"/>
              </w:rPr>
              <w:t>,</w:t>
            </w:r>
            <w:r w:rsidRPr="009E57A7">
              <w:rPr>
                <w:rFonts w:ascii="Verdana" w:eastAsia="Times New Roman" w:hAnsi="Verdana" w:cs="Arial"/>
                <w:lang w:eastAsia="es-ES_tradnl"/>
              </w:rPr>
              <w:t xml:space="preserve"> el Alto Tribunal Constitucional en la sentencia T-743 de 2017 reiteró que la protección a la mujer en estado de embarazo y en periodo de lactancia está sustentada en cuatro presupuestos de origen constitucional: (i) el deber de protección especial a la mujer gestante; (</w:t>
            </w:r>
            <w:proofErr w:type="spellStart"/>
            <w:r w:rsidRPr="009E57A7">
              <w:rPr>
                <w:rFonts w:ascii="Verdana" w:eastAsia="Times New Roman" w:hAnsi="Verdana" w:cs="Arial"/>
                <w:lang w:eastAsia="es-ES_tradnl"/>
              </w:rPr>
              <w:t>ii</w:t>
            </w:r>
            <w:proofErr w:type="spellEnd"/>
            <w:r w:rsidRPr="009E57A7">
              <w:rPr>
                <w:rFonts w:ascii="Verdana" w:eastAsia="Times New Roman" w:hAnsi="Verdana" w:cs="Arial"/>
                <w:lang w:eastAsia="es-ES_tradnl"/>
              </w:rPr>
              <w:t>) la contención de prácticas discriminatorias en el escenario laboral contra la mujer, con ocasión del estado de embarazo; (</w:t>
            </w:r>
            <w:proofErr w:type="spellStart"/>
            <w:r w:rsidRPr="009E57A7">
              <w:rPr>
                <w:rFonts w:ascii="Verdana" w:eastAsia="Times New Roman" w:hAnsi="Verdana" w:cs="Arial"/>
                <w:lang w:eastAsia="es-ES_tradnl"/>
              </w:rPr>
              <w:t>iii</w:t>
            </w:r>
            <w:proofErr w:type="spellEnd"/>
            <w:r w:rsidRPr="009E57A7">
              <w:rPr>
                <w:rFonts w:ascii="Verdana" w:eastAsia="Times New Roman" w:hAnsi="Verdana" w:cs="Arial"/>
                <w:lang w:eastAsia="es-ES_tradnl"/>
              </w:rPr>
              <w:t>) la protección a la vida y a la mujer como su gestora; y (</w:t>
            </w:r>
            <w:proofErr w:type="spellStart"/>
            <w:r w:rsidRPr="009E57A7">
              <w:rPr>
                <w:rFonts w:ascii="Verdana" w:eastAsia="Times New Roman" w:hAnsi="Verdana" w:cs="Arial"/>
                <w:lang w:eastAsia="es-ES_tradnl"/>
              </w:rPr>
              <w:t>iv</w:t>
            </w:r>
            <w:proofErr w:type="spellEnd"/>
            <w:r w:rsidRPr="009E57A7">
              <w:rPr>
                <w:rFonts w:ascii="Verdana" w:eastAsia="Times New Roman" w:hAnsi="Verdana" w:cs="Arial"/>
                <w:lang w:eastAsia="es-ES_tradnl"/>
              </w:rPr>
              <w:t>) la relevancia de la familia en el ordenamiento social colombiano.</w:t>
            </w:r>
          </w:p>
          <w:p w14:paraId="10ECB9DA" w14:textId="41A11319" w:rsidR="000A43AA" w:rsidRPr="009E57A7" w:rsidRDefault="000A43AA" w:rsidP="00FA3433">
            <w:pPr>
              <w:spacing w:after="120" w:line="276" w:lineRule="auto"/>
              <w:ind w:firstLine="709"/>
              <w:jc w:val="both"/>
              <w:rPr>
                <w:rFonts w:ascii="Verdana" w:eastAsia="Times New Roman" w:hAnsi="Verdana" w:cs="Arial"/>
                <w:lang w:eastAsia="es-ES_tradnl"/>
              </w:rPr>
            </w:pPr>
            <w:r w:rsidRPr="009E57A7">
              <w:rPr>
                <w:rFonts w:ascii="Verdana" w:eastAsia="Times New Roman" w:hAnsi="Verdana" w:cs="Arial"/>
                <w:lang w:eastAsia="es-ES_tradnl"/>
              </w:rPr>
              <w:t xml:space="preserve">En este sentido, les corresponde a las entidades estatales, en virtud de su autonomía, y de acuerdo con los lineamientos de la Corte Constitucional, determinar la mejor forma para garantizar la estabilidad </w:t>
            </w:r>
            <w:r w:rsidR="003D4425">
              <w:rPr>
                <w:rFonts w:ascii="Verdana" w:eastAsia="Times New Roman" w:hAnsi="Verdana" w:cs="Arial"/>
                <w:lang w:eastAsia="es-ES_tradnl"/>
              </w:rPr>
              <w:t>ocupacional</w:t>
            </w:r>
            <w:r w:rsidR="003D4425" w:rsidRPr="009E57A7">
              <w:rPr>
                <w:rFonts w:ascii="Verdana" w:eastAsia="Times New Roman" w:hAnsi="Verdana" w:cs="Arial"/>
                <w:lang w:eastAsia="es-ES_tradnl"/>
              </w:rPr>
              <w:t xml:space="preserve"> </w:t>
            </w:r>
            <w:r w:rsidRPr="009E57A7">
              <w:rPr>
                <w:rFonts w:ascii="Verdana" w:eastAsia="Times New Roman" w:hAnsi="Verdana" w:cs="Arial"/>
                <w:lang w:eastAsia="es-ES_tradnl"/>
              </w:rPr>
              <w:t>reforzada de las mujeres embarazadas y en periodo de lactancia vinculadas mediante contratos de prestación de servicios.</w:t>
            </w:r>
          </w:p>
          <w:p w14:paraId="64A2940B" w14:textId="1091C209" w:rsidR="000A43AA" w:rsidRDefault="000A43AA" w:rsidP="00D42615">
            <w:pPr>
              <w:spacing w:after="120" w:line="276" w:lineRule="auto"/>
              <w:ind w:firstLine="709"/>
              <w:jc w:val="both"/>
              <w:rPr>
                <w:rFonts w:ascii="Verdana" w:eastAsia="Times New Roman" w:hAnsi="Verdana" w:cs="Arial"/>
                <w:lang w:eastAsia="es-ES_tradnl"/>
              </w:rPr>
            </w:pPr>
            <w:r w:rsidRPr="00CC5C68">
              <w:rPr>
                <w:rFonts w:ascii="Verdana" w:eastAsia="Times New Roman" w:hAnsi="Verdana" w:cs="Arial"/>
                <w:lang w:eastAsia="es-ES_tradnl"/>
              </w:rPr>
              <w:t>Sin perjuicio de las aclaraciones anteriores, debe advertirse que</w:t>
            </w:r>
            <w:r>
              <w:rPr>
                <w:rFonts w:ascii="Verdana" w:eastAsia="Times New Roman" w:hAnsi="Verdana" w:cs="Arial"/>
                <w:lang w:eastAsia="es-ES_tradnl"/>
              </w:rPr>
              <w:t xml:space="preserve"> </w:t>
            </w:r>
            <w:r w:rsidR="00D37C3B">
              <w:rPr>
                <w:rFonts w:ascii="Verdana" w:eastAsia="Times New Roman" w:hAnsi="Verdana" w:cs="Arial"/>
                <w:lang w:eastAsia="es-ES_tradnl"/>
              </w:rPr>
              <w:t xml:space="preserve">es </w:t>
            </w:r>
            <w:r w:rsidR="00D37C3B" w:rsidRPr="00CC5C68">
              <w:rPr>
                <w:rFonts w:ascii="Verdana" w:eastAsia="Times New Roman" w:hAnsi="Verdana" w:cs="Arial"/>
                <w:lang w:eastAsia="es-ES_tradnl"/>
              </w:rPr>
              <w:t>competencia</w:t>
            </w:r>
            <w:r w:rsidRPr="008F7EF5">
              <w:rPr>
                <w:rFonts w:ascii="Verdana" w:eastAsia="Times New Roman" w:hAnsi="Verdana" w:cs="Arial"/>
                <w:lang w:eastAsia="es-ES_tradnl"/>
              </w:rPr>
              <w:t xml:space="preserve"> de la entidad contratante, en el marco de su gestión contractual, determinar el tratamiento aplicable </w:t>
            </w:r>
            <w:r w:rsidR="00AF0ECD">
              <w:rPr>
                <w:rFonts w:ascii="Verdana" w:eastAsia="Times New Roman" w:hAnsi="Verdana" w:cs="Arial"/>
                <w:lang w:eastAsia="es-ES_tradnl"/>
              </w:rPr>
              <w:t>al estado de embarazo</w:t>
            </w:r>
            <w:r w:rsidRPr="008F7EF5">
              <w:rPr>
                <w:rFonts w:ascii="Verdana" w:eastAsia="Times New Roman" w:hAnsi="Verdana" w:cs="Arial"/>
                <w:lang w:eastAsia="es-ES_tradnl"/>
              </w:rPr>
              <w:t xml:space="preserve"> de la contratista, conforme a las particularidades del caso concreto y a las reglas contractuales previamente pactadas.</w:t>
            </w:r>
          </w:p>
          <w:p w14:paraId="27FA0EFA" w14:textId="0F097B25" w:rsidR="000A43AA" w:rsidRDefault="000A43AA" w:rsidP="00D42615">
            <w:pPr>
              <w:spacing w:after="120" w:line="276" w:lineRule="auto"/>
              <w:jc w:val="both"/>
              <w:rPr>
                <w:rFonts w:ascii="Verdana" w:eastAsia="Times New Roman" w:hAnsi="Verdana" w:cs="Arial"/>
                <w:lang w:eastAsia="es-ES_tradnl"/>
              </w:rPr>
            </w:pPr>
            <w:r>
              <w:rPr>
                <w:rFonts w:ascii="Verdana" w:eastAsia="Times New Roman" w:hAnsi="Verdana" w:cs="Arial"/>
                <w:lang w:eastAsia="es-ES_tradnl"/>
              </w:rPr>
              <w:t xml:space="preserve">           Finalmente, d</w:t>
            </w:r>
            <w:r w:rsidRPr="00D33DEE">
              <w:rPr>
                <w:rFonts w:ascii="Verdana" w:hAnsi="Verdana" w:cs="Arial"/>
                <w:lang w:eastAsia="es-ES_tradnl"/>
              </w:rPr>
              <w:t xml:space="preserve">ebe resaltarse que la determinación de la forma en que se garantiza </w:t>
            </w:r>
            <w:r>
              <w:rPr>
                <w:rFonts w:ascii="Verdana" w:hAnsi="Verdana" w:cs="Arial"/>
                <w:lang w:eastAsia="es-ES_tradnl"/>
              </w:rPr>
              <w:t>la</w:t>
            </w:r>
            <w:r w:rsidRPr="00D33DEE">
              <w:rPr>
                <w:rFonts w:ascii="Verdana" w:hAnsi="Verdana" w:cs="Arial"/>
                <w:lang w:eastAsia="es-ES_tradnl"/>
              </w:rPr>
              <w:t xml:space="preserve"> estabilidad</w:t>
            </w:r>
            <w:r w:rsidR="00294750">
              <w:rPr>
                <w:rFonts w:ascii="Verdana" w:hAnsi="Verdana" w:cs="Arial"/>
                <w:lang w:eastAsia="es-ES_tradnl"/>
              </w:rPr>
              <w:t xml:space="preserve"> ocupacional</w:t>
            </w:r>
            <w:r>
              <w:rPr>
                <w:rFonts w:ascii="Verdana" w:hAnsi="Verdana" w:cs="Arial"/>
                <w:lang w:eastAsia="es-ES_tradnl"/>
              </w:rPr>
              <w:t xml:space="preserve">, </w:t>
            </w:r>
            <w:r w:rsidRPr="00D33DEE">
              <w:rPr>
                <w:rFonts w:ascii="Verdana" w:hAnsi="Verdana" w:cs="Arial"/>
                <w:lang w:eastAsia="es-ES_tradnl"/>
              </w:rPr>
              <w:t>en atención a la naturaleza del vínculo, el objeto contractual, la temporalidad del programa y las condiciones de ejecución</w:t>
            </w:r>
            <w:r>
              <w:rPr>
                <w:rFonts w:ascii="Verdana" w:hAnsi="Verdana" w:cs="Arial"/>
                <w:lang w:eastAsia="es-ES_tradnl"/>
              </w:rPr>
              <w:t>,</w:t>
            </w:r>
            <w:r w:rsidRPr="00D33DEE">
              <w:rPr>
                <w:rFonts w:ascii="Verdana" w:hAnsi="Verdana" w:cs="Arial"/>
                <w:lang w:eastAsia="es-ES_tradnl"/>
              </w:rPr>
              <w:t xml:space="preserve"> corresponde exclusivamente a la entidad contratante, en el marco de su gestión contractual y con observancia de los principios de igualdad, razonabilidad y no discriminación.</w:t>
            </w:r>
          </w:p>
          <w:p w14:paraId="3F1D46F7" w14:textId="77777777" w:rsidR="000A43AA" w:rsidRPr="00073A28" w:rsidRDefault="000A43AA" w:rsidP="00FA3433">
            <w:pPr>
              <w:spacing w:line="276" w:lineRule="auto"/>
              <w:jc w:val="both"/>
              <w:rPr>
                <w:rFonts w:ascii="Verdana" w:eastAsia="Calibri" w:hAnsi="Verdana" w:cs="Arial"/>
              </w:rPr>
            </w:pPr>
            <w:r>
              <w:rPr>
                <w:rFonts w:ascii="Verdana" w:eastAsia="Times New Roman" w:hAnsi="Verdana" w:cs="Arial"/>
                <w:lang w:eastAsia="es-ES_tradnl"/>
              </w:rPr>
              <w:t xml:space="preserve">        </w:t>
            </w:r>
            <w:r w:rsidRPr="008F7EF5">
              <w:rPr>
                <w:rFonts w:ascii="Verdana" w:eastAsia="Times New Roman" w:hAnsi="Verdana" w:cs="Arial"/>
                <w:lang w:eastAsia="es-ES_tradnl"/>
              </w:rPr>
              <w:t>En todo caso, lo aquí expuesto se formula en el marco de la función consultiva de esta Agencia y no comporta pronunciamiento sobre una situación contractual específica.</w:t>
            </w:r>
          </w:p>
        </w:tc>
      </w:tr>
    </w:tbl>
    <w:p w14:paraId="4772F4D1" w14:textId="77777777" w:rsidR="000A43AA" w:rsidRPr="00073A28" w:rsidRDefault="000A43AA" w:rsidP="000A43AA">
      <w:pPr>
        <w:tabs>
          <w:tab w:val="left" w:pos="142"/>
          <w:tab w:val="left" w:pos="284"/>
        </w:tabs>
        <w:spacing w:after="0" w:line="276" w:lineRule="auto"/>
        <w:jc w:val="both"/>
        <w:rPr>
          <w:rFonts w:ascii="Verdana" w:eastAsia="Century Gothic" w:hAnsi="Verdana" w:cs="Century Gothic"/>
          <w:b/>
          <w:bCs/>
        </w:rPr>
      </w:pPr>
    </w:p>
    <w:p w14:paraId="2026BF22" w14:textId="77777777" w:rsidR="000A43AA" w:rsidRPr="00073A28" w:rsidRDefault="000A43AA" w:rsidP="000A43A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73A28">
        <w:rPr>
          <w:rFonts w:ascii="Verdana" w:eastAsia="Century Gothic" w:hAnsi="Verdana" w:cs="Century Gothic"/>
          <w:b/>
          <w:bCs/>
          <w:lang w:val="es-CO"/>
        </w:rPr>
        <w:t>Razones de la respuesta:</w:t>
      </w:r>
    </w:p>
    <w:p w14:paraId="097F4097" w14:textId="77777777" w:rsidR="000A43AA" w:rsidRPr="00073A28" w:rsidRDefault="000A43AA" w:rsidP="000A43AA">
      <w:pPr>
        <w:spacing w:after="0" w:line="276" w:lineRule="auto"/>
        <w:jc w:val="both"/>
        <w:rPr>
          <w:rFonts w:ascii="Verdana" w:eastAsia="Calibri" w:hAnsi="Verdana" w:cs="Arial"/>
        </w:rPr>
      </w:pPr>
    </w:p>
    <w:p w14:paraId="71DD8E09" w14:textId="77777777" w:rsidR="000A43AA" w:rsidRPr="00073A28" w:rsidRDefault="000A43AA" w:rsidP="000A43AA">
      <w:pPr>
        <w:spacing w:after="0" w:line="276" w:lineRule="auto"/>
        <w:jc w:val="both"/>
        <w:rPr>
          <w:rFonts w:ascii="Verdana" w:eastAsia="Calibri" w:hAnsi="Verdana" w:cs="Arial"/>
        </w:rPr>
      </w:pPr>
      <w:r w:rsidRPr="00073A28">
        <w:rPr>
          <w:rFonts w:ascii="Verdana" w:eastAsia="Calibri" w:hAnsi="Verdana" w:cs="Arial"/>
        </w:rPr>
        <w:t xml:space="preserve">Lo anterior se sustenta en las siguientes consideraciones: </w:t>
      </w:r>
    </w:p>
    <w:p w14:paraId="5B9EDD6A" w14:textId="77777777" w:rsidR="000A43AA" w:rsidRPr="00073A28" w:rsidRDefault="000A43AA" w:rsidP="000A43AA">
      <w:pPr>
        <w:spacing w:after="0" w:line="276" w:lineRule="auto"/>
        <w:jc w:val="both"/>
        <w:rPr>
          <w:rFonts w:ascii="Verdana" w:eastAsia="Calibri" w:hAnsi="Verdana" w:cs="Arial"/>
        </w:rPr>
      </w:pPr>
    </w:p>
    <w:p w14:paraId="78A105F1" w14:textId="77777777" w:rsidR="000A43AA" w:rsidRPr="009A6F9B" w:rsidRDefault="000A43AA" w:rsidP="00D42615">
      <w:pPr>
        <w:pStyle w:val="Textoindependiente"/>
        <w:spacing w:line="276" w:lineRule="auto"/>
        <w:jc w:val="both"/>
        <w:rPr>
          <w:rFonts w:ascii="Verdana" w:hAnsi="Verdana"/>
        </w:rPr>
      </w:pPr>
      <w:r w:rsidRPr="009A6F9B">
        <w:rPr>
          <w:rFonts w:ascii="Verdana" w:hAnsi="Verdana"/>
        </w:rPr>
        <w:t>El contrato de prestación de servicios es un contrato estatal típico, regulado en el numeral 3 del artículo 32 de la Ley 80 de 1993. Este se define como aquel que “celebren</w:t>
      </w:r>
      <w:r w:rsidRPr="009A6F9B">
        <w:rPr>
          <w:rFonts w:ascii="Verdana" w:hAnsi="Verdana"/>
          <w:spacing w:val="-20"/>
        </w:rPr>
        <w:t xml:space="preserve"> </w:t>
      </w:r>
      <w:r w:rsidRPr="009A6F9B">
        <w:rPr>
          <w:rFonts w:ascii="Verdana" w:hAnsi="Verdana"/>
        </w:rPr>
        <w:t>las</w:t>
      </w:r>
      <w:r w:rsidRPr="009A6F9B">
        <w:rPr>
          <w:rFonts w:ascii="Verdana" w:hAnsi="Verdana"/>
          <w:spacing w:val="-19"/>
        </w:rPr>
        <w:t xml:space="preserve"> </w:t>
      </w:r>
      <w:r w:rsidRPr="009A6F9B">
        <w:rPr>
          <w:rFonts w:ascii="Verdana" w:hAnsi="Verdana"/>
        </w:rPr>
        <w:t>entidades</w:t>
      </w:r>
      <w:r w:rsidRPr="009A6F9B">
        <w:rPr>
          <w:rFonts w:ascii="Verdana" w:hAnsi="Verdana"/>
          <w:spacing w:val="-19"/>
        </w:rPr>
        <w:t xml:space="preserve"> </w:t>
      </w:r>
      <w:r w:rsidRPr="009A6F9B">
        <w:rPr>
          <w:rFonts w:ascii="Verdana" w:hAnsi="Verdana"/>
        </w:rPr>
        <w:t>estatales</w:t>
      </w:r>
      <w:r w:rsidRPr="009A6F9B">
        <w:rPr>
          <w:rFonts w:ascii="Verdana" w:hAnsi="Verdana"/>
          <w:spacing w:val="-20"/>
        </w:rPr>
        <w:t xml:space="preserve"> </w:t>
      </w:r>
      <w:r w:rsidRPr="009A6F9B">
        <w:rPr>
          <w:rFonts w:ascii="Verdana" w:hAnsi="Verdana"/>
        </w:rPr>
        <w:t>para</w:t>
      </w:r>
      <w:r w:rsidRPr="009A6F9B">
        <w:rPr>
          <w:rFonts w:ascii="Verdana" w:hAnsi="Verdana"/>
          <w:spacing w:val="-19"/>
        </w:rPr>
        <w:t xml:space="preserve"> </w:t>
      </w:r>
      <w:r w:rsidRPr="009A6F9B">
        <w:rPr>
          <w:rFonts w:ascii="Verdana" w:hAnsi="Verdana"/>
        </w:rPr>
        <w:t>desarrollar</w:t>
      </w:r>
      <w:r w:rsidRPr="009A6F9B">
        <w:rPr>
          <w:rFonts w:ascii="Verdana" w:hAnsi="Verdana"/>
          <w:spacing w:val="-20"/>
        </w:rPr>
        <w:t xml:space="preserve"> </w:t>
      </w:r>
      <w:r w:rsidRPr="009A6F9B">
        <w:rPr>
          <w:rFonts w:ascii="Verdana" w:hAnsi="Verdana"/>
        </w:rPr>
        <w:t>actividades</w:t>
      </w:r>
      <w:r w:rsidRPr="009A6F9B">
        <w:rPr>
          <w:rFonts w:ascii="Verdana" w:hAnsi="Verdana"/>
          <w:spacing w:val="-19"/>
        </w:rPr>
        <w:t xml:space="preserve"> </w:t>
      </w:r>
      <w:r w:rsidRPr="009A6F9B">
        <w:rPr>
          <w:rFonts w:ascii="Verdana" w:hAnsi="Verdana"/>
        </w:rPr>
        <w:t>relacionadas</w:t>
      </w:r>
      <w:r w:rsidRPr="009A6F9B">
        <w:rPr>
          <w:rFonts w:ascii="Verdana" w:hAnsi="Verdana"/>
          <w:spacing w:val="-19"/>
        </w:rPr>
        <w:t xml:space="preserve"> </w:t>
      </w:r>
      <w:r w:rsidRPr="009A6F9B">
        <w:rPr>
          <w:rFonts w:ascii="Verdana" w:hAnsi="Verdana"/>
        </w:rPr>
        <w:t>con</w:t>
      </w:r>
      <w:r w:rsidRPr="009A6F9B">
        <w:rPr>
          <w:rFonts w:ascii="Verdana" w:hAnsi="Verdana"/>
          <w:spacing w:val="-20"/>
        </w:rPr>
        <w:t xml:space="preserve"> </w:t>
      </w:r>
      <w:r w:rsidRPr="009A6F9B">
        <w:rPr>
          <w:rFonts w:ascii="Verdana" w:hAnsi="Verdana"/>
        </w:rPr>
        <w:t>la administración o funcionamiento de la entidad. Estos contratos sólo se podrán celebrar</w:t>
      </w:r>
      <w:r w:rsidRPr="009A6F9B">
        <w:rPr>
          <w:rFonts w:ascii="Verdana" w:hAnsi="Verdana"/>
          <w:spacing w:val="-9"/>
        </w:rPr>
        <w:t xml:space="preserve"> </w:t>
      </w:r>
      <w:r w:rsidRPr="009A6F9B">
        <w:rPr>
          <w:rFonts w:ascii="Verdana" w:hAnsi="Verdana"/>
        </w:rPr>
        <w:t>con</w:t>
      </w:r>
      <w:r w:rsidRPr="009A6F9B">
        <w:rPr>
          <w:rFonts w:ascii="Verdana" w:hAnsi="Verdana"/>
          <w:spacing w:val="-11"/>
        </w:rPr>
        <w:t xml:space="preserve"> </w:t>
      </w:r>
      <w:r w:rsidRPr="009A6F9B">
        <w:rPr>
          <w:rFonts w:ascii="Verdana" w:hAnsi="Verdana"/>
        </w:rPr>
        <w:t>personas</w:t>
      </w:r>
      <w:r w:rsidRPr="009A6F9B">
        <w:rPr>
          <w:rFonts w:ascii="Verdana" w:hAnsi="Verdana"/>
          <w:spacing w:val="-9"/>
        </w:rPr>
        <w:t xml:space="preserve"> </w:t>
      </w:r>
      <w:r w:rsidRPr="009A6F9B">
        <w:rPr>
          <w:rFonts w:ascii="Verdana" w:hAnsi="Verdana"/>
        </w:rPr>
        <w:t>naturales</w:t>
      </w:r>
      <w:r w:rsidRPr="009A6F9B">
        <w:rPr>
          <w:rFonts w:ascii="Verdana" w:hAnsi="Verdana"/>
          <w:spacing w:val="-9"/>
        </w:rPr>
        <w:t xml:space="preserve"> </w:t>
      </w:r>
      <w:r w:rsidRPr="009A6F9B">
        <w:rPr>
          <w:rFonts w:ascii="Verdana" w:hAnsi="Verdana"/>
        </w:rPr>
        <w:t>cuando</w:t>
      </w:r>
      <w:r w:rsidRPr="009A6F9B">
        <w:rPr>
          <w:rFonts w:ascii="Verdana" w:hAnsi="Verdana"/>
          <w:spacing w:val="-10"/>
        </w:rPr>
        <w:t xml:space="preserve"> </w:t>
      </w:r>
      <w:r w:rsidRPr="009A6F9B">
        <w:rPr>
          <w:rFonts w:ascii="Verdana" w:hAnsi="Verdana"/>
        </w:rPr>
        <w:t>dichas</w:t>
      </w:r>
      <w:r w:rsidRPr="009A6F9B">
        <w:rPr>
          <w:rFonts w:ascii="Verdana" w:hAnsi="Verdana"/>
          <w:spacing w:val="-10"/>
        </w:rPr>
        <w:t xml:space="preserve"> </w:t>
      </w:r>
      <w:r w:rsidRPr="009A6F9B">
        <w:rPr>
          <w:rFonts w:ascii="Verdana" w:hAnsi="Verdana"/>
        </w:rPr>
        <w:t>actividades</w:t>
      </w:r>
      <w:r w:rsidRPr="009A6F9B">
        <w:rPr>
          <w:rFonts w:ascii="Verdana" w:hAnsi="Verdana"/>
          <w:spacing w:val="-9"/>
        </w:rPr>
        <w:t xml:space="preserve"> </w:t>
      </w:r>
      <w:r w:rsidRPr="009A6F9B">
        <w:rPr>
          <w:rFonts w:ascii="Verdana" w:hAnsi="Verdana"/>
        </w:rPr>
        <w:t>no</w:t>
      </w:r>
      <w:r w:rsidRPr="009A6F9B">
        <w:rPr>
          <w:rFonts w:ascii="Verdana" w:hAnsi="Verdana"/>
          <w:spacing w:val="-11"/>
        </w:rPr>
        <w:t xml:space="preserve"> </w:t>
      </w:r>
      <w:r w:rsidRPr="009A6F9B">
        <w:rPr>
          <w:rFonts w:ascii="Verdana" w:hAnsi="Verdana"/>
        </w:rPr>
        <w:t>puedan</w:t>
      </w:r>
      <w:r w:rsidRPr="009A6F9B">
        <w:rPr>
          <w:rFonts w:ascii="Verdana" w:hAnsi="Verdana"/>
          <w:spacing w:val="-10"/>
        </w:rPr>
        <w:t xml:space="preserve"> </w:t>
      </w:r>
      <w:r w:rsidRPr="009A6F9B">
        <w:rPr>
          <w:rFonts w:ascii="Verdana" w:hAnsi="Verdana"/>
        </w:rPr>
        <w:t>realizarse con</w:t>
      </w:r>
      <w:r w:rsidRPr="009A6F9B">
        <w:rPr>
          <w:rFonts w:ascii="Verdana" w:hAnsi="Verdana"/>
          <w:spacing w:val="-20"/>
        </w:rPr>
        <w:t xml:space="preserve"> </w:t>
      </w:r>
      <w:r w:rsidRPr="009A6F9B">
        <w:rPr>
          <w:rFonts w:ascii="Verdana" w:hAnsi="Verdana"/>
        </w:rPr>
        <w:t>personal</w:t>
      </w:r>
      <w:r w:rsidRPr="009A6F9B">
        <w:rPr>
          <w:rFonts w:ascii="Verdana" w:hAnsi="Verdana"/>
          <w:spacing w:val="-19"/>
        </w:rPr>
        <w:t xml:space="preserve"> </w:t>
      </w:r>
      <w:r w:rsidRPr="009A6F9B">
        <w:rPr>
          <w:rFonts w:ascii="Verdana" w:hAnsi="Verdana"/>
        </w:rPr>
        <w:t>de</w:t>
      </w:r>
      <w:r w:rsidRPr="009A6F9B">
        <w:rPr>
          <w:rFonts w:ascii="Verdana" w:hAnsi="Verdana"/>
          <w:spacing w:val="-19"/>
        </w:rPr>
        <w:t xml:space="preserve"> </w:t>
      </w:r>
      <w:r w:rsidRPr="009A6F9B">
        <w:rPr>
          <w:rFonts w:ascii="Verdana" w:hAnsi="Verdana"/>
        </w:rPr>
        <w:t>planta</w:t>
      </w:r>
      <w:r w:rsidRPr="009A6F9B">
        <w:rPr>
          <w:rFonts w:ascii="Verdana" w:hAnsi="Verdana"/>
          <w:spacing w:val="-20"/>
        </w:rPr>
        <w:t xml:space="preserve"> </w:t>
      </w:r>
      <w:r w:rsidRPr="009A6F9B">
        <w:rPr>
          <w:rFonts w:ascii="Verdana" w:hAnsi="Verdana"/>
        </w:rPr>
        <w:t>o</w:t>
      </w:r>
      <w:r w:rsidRPr="009A6F9B">
        <w:rPr>
          <w:rFonts w:ascii="Verdana" w:hAnsi="Verdana"/>
          <w:spacing w:val="-19"/>
        </w:rPr>
        <w:t xml:space="preserve"> </w:t>
      </w:r>
      <w:r w:rsidRPr="009A6F9B">
        <w:rPr>
          <w:rFonts w:ascii="Verdana" w:hAnsi="Verdana"/>
        </w:rPr>
        <w:t>requieran</w:t>
      </w:r>
      <w:r w:rsidRPr="009A6F9B">
        <w:rPr>
          <w:rFonts w:ascii="Verdana" w:hAnsi="Verdana"/>
          <w:spacing w:val="-20"/>
        </w:rPr>
        <w:t xml:space="preserve"> </w:t>
      </w:r>
      <w:r w:rsidRPr="009A6F9B">
        <w:rPr>
          <w:rFonts w:ascii="Verdana" w:hAnsi="Verdana"/>
        </w:rPr>
        <w:t>conocimientos</w:t>
      </w:r>
      <w:r w:rsidRPr="009A6F9B">
        <w:rPr>
          <w:rFonts w:ascii="Verdana" w:hAnsi="Verdana"/>
          <w:spacing w:val="-19"/>
        </w:rPr>
        <w:t xml:space="preserve"> </w:t>
      </w:r>
      <w:r w:rsidRPr="009A6F9B">
        <w:rPr>
          <w:rFonts w:ascii="Verdana" w:hAnsi="Verdana"/>
        </w:rPr>
        <w:t>especializados.</w:t>
      </w:r>
      <w:r w:rsidRPr="009A6F9B">
        <w:rPr>
          <w:rFonts w:ascii="Verdana" w:hAnsi="Verdana"/>
          <w:spacing w:val="-19"/>
        </w:rPr>
        <w:t xml:space="preserve"> </w:t>
      </w:r>
      <w:r w:rsidRPr="009A6F9B">
        <w:rPr>
          <w:rFonts w:ascii="Verdana" w:hAnsi="Verdana"/>
        </w:rPr>
        <w:t>En</w:t>
      </w:r>
      <w:r w:rsidRPr="009A6F9B">
        <w:rPr>
          <w:rFonts w:ascii="Verdana" w:hAnsi="Verdana"/>
          <w:spacing w:val="-20"/>
        </w:rPr>
        <w:t xml:space="preserve"> </w:t>
      </w:r>
      <w:r w:rsidRPr="009A6F9B">
        <w:rPr>
          <w:rFonts w:ascii="Verdana" w:hAnsi="Verdana"/>
        </w:rPr>
        <w:t>ningún</w:t>
      </w:r>
      <w:r w:rsidRPr="009A6F9B">
        <w:rPr>
          <w:rFonts w:ascii="Verdana" w:hAnsi="Verdana"/>
          <w:spacing w:val="-19"/>
        </w:rPr>
        <w:t xml:space="preserve"> </w:t>
      </w:r>
      <w:r w:rsidRPr="009A6F9B">
        <w:rPr>
          <w:rFonts w:ascii="Verdana" w:hAnsi="Verdana"/>
        </w:rPr>
        <w:t>caso estos</w:t>
      </w:r>
      <w:r w:rsidRPr="009A6F9B">
        <w:rPr>
          <w:rFonts w:ascii="Verdana" w:hAnsi="Verdana"/>
          <w:spacing w:val="-11"/>
        </w:rPr>
        <w:t xml:space="preserve"> </w:t>
      </w:r>
      <w:r w:rsidRPr="009A6F9B">
        <w:rPr>
          <w:rFonts w:ascii="Verdana" w:hAnsi="Verdana"/>
        </w:rPr>
        <w:t>contratos</w:t>
      </w:r>
      <w:r w:rsidRPr="009A6F9B">
        <w:rPr>
          <w:rFonts w:ascii="Verdana" w:hAnsi="Verdana"/>
          <w:spacing w:val="-10"/>
        </w:rPr>
        <w:t xml:space="preserve"> </w:t>
      </w:r>
      <w:r w:rsidRPr="009A6F9B">
        <w:rPr>
          <w:rFonts w:ascii="Verdana" w:hAnsi="Verdana"/>
        </w:rPr>
        <w:t>generan</w:t>
      </w:r>
      <w:r w:rsidRPr="009A6F9B">
        <w:rPr>
          <w:rFonts w:ascii="Verdana" w:hAnsi="Verdana"/>
          <w:spacing w:val="-10"/>
        </w:rPr>
        <w:t xml:space="preserve"> </w:t>
      </w:r>
      <w:r w:rsidRPr="009A6F9B">
        <w:rPr>
          <w:rFonts w:ascii="Verdana" w:hAnsi="Verdana"/>
        </w:rPr>
        <w:t>relación</w:t>
      </w:r>
      <w:r w:rsidRPr="009A6F9B">
        <w:rPr>
          <w:rFonts w:ascii="Verdana" w:hAnsi="Verdana"/>
          <w:spacing w:val="-10"/>
        </w:rPr>
        <w:t xml:space="preserve"> </w:t>
      </w:r>
      <w:r w:rsidRPr="009A6F9B">
        <w:rPr>
          <w:rFonts w:ascii="Verdana" w:hAnsi="Verdana"/>
        </w:rPr>
        <w:t>laboral</w:t>
      </w:r>
      <w:r w:rsidRPr="009A6F9B">
        <w:rPr>
          <w:rFonts w:ascii="Verdana" w:hAnsi="Verdana"/>
          <w:spacing w:val="-10"/>
        </w:rPr>
        <w:t xml:space="preserve"> </w:t>
      </w:r>
      <w:r w:rsidRPr="009A6F9B">
        <w:rPr>
          <w:rFonts w:ascii="Verdana" w:hAnsi="Verdana"/>
        </w:rPr>
        <w:t>ni</w:t>
      </w:r>
      <w:r w:rsidRPr="009A6F9B">
        <w:rPr>
          <w:rFonts w:ascii="Verdana" w:hAnsi="Verdana"/>
          <w:spacing w:val="-12"/>
        </w:rPr>
        <w:t xml:space="preserve"> </w:t>
      </w:r>
      <w:r w:rsidRPr="009A6F9B">
        <w:rPr>
          <w:rFonts w:ascii="Verdana" w:hAnsi="Verdana"/>
        </w:rPr>
        <w:t>prestaciones</w:t>
      </w:r>
      <w:r w:rsidRPr="009A6F9B">
        <w:rPr>
          <w:rFonts w:ascii="Verdana" w:hAnsi="Verdana"/>
          <w:spacing w:val="-9"/>
        </w:rPr>
        <w:t xml:space="preserve"> </w:t>
      </w:r>
      <w:r w:rsidRPr="009A6F9B">
        <w:rPr>
          <w:rFonts w:ascii="Verdana" w:hAnsi="Verdana"/>
        </w:rPr>
        <w:t>sociales</w:t>
      </w:r>
      <w:r w:rsidRPr="009A6F9B">
        <w:rPr>
          <w:rFonts w:ascii="Verdana" w:hAnsi="Verdana"/>
          <w:spacing w:val="-10"/>
        </w:rPr>
        <w:t xml:space="preserve"> </w:t>
      </w:r>
      <w:r w:rsidRPr="009A6F9B">
        <w:rPr>
          <w:rFonts w:ascii="Verdana" w:hAnsi="Verdana"/>
        </w:rPr>
        <w:t>y</w:t>
      </w:r>
      <w:r w:rsidRPr="009A6F9B">
        <w:rPr>
          <w:rFonts w:ascii="Verdana" w:hAnsi="Verdana"/>
          <w:spacing w:val="-12"/>
        </w:rPr>
        <w:t xml:space="preserve"> </w:t>
      </w:r>
      <w:r w:rsidRPr="009A6F9B">
        <w:rPr>
          <w:rFonts w:ascii="Verdana" w:hAnsi="Verdana"/>
        </w:rPr>
        <w:t>se</w:t>
      </w:r>
      <w:r w:rsidRPr="009A6F9B">
        <w:rPr>
          <w:rFonts w:ascii="Verdana" w:hAnsi="Verdana"/>
          <w:spacing w:val="-12"/>
        </w:rPr>
        <w:t xml:space="preserve"> </w:t>
      </w:r>
      <w:r w:rsidRPr="009A6F9B">
        <w:rPr>
          <w:rFonts w:ascii="Verdana" w:hAnsi="Verdana"/>
        </w:rPr>
        <w:t>celebrarán por el término estrictamente indispensable”.</w:t>
      </w:r>
    </w:p>
    <w:p w14:paraId="546DF7F8" w14:textId="77777777" w:rsidR="000A43AA" w:rsidRPr="009A6F9B" w:rsidRDefault="000A43AA" w:rsidP="00D42615">
      <w:pPr>
        <w:pStyle w:val="Textoindependiente"/>
        <w:spacing w:after="0" w:line="276" w:lineRule="auto"/>
        <w:ind w:firstLine="709"/>
        <w:jc w:val="both"/>
        <w:rPr>
          <w:rFonts w:ascii="Verdana" w:hAnsi="Verdana"/>
        </w:rPr>
      </w:pPr>
      <w:r w:rsidRPr="009A6F9B">
        <w:rPr>
          <w:rFonts w:ascii="Verdana" w:hAnsi="Verdana"/>
        </w:rPr>
        <w:t>La</w:t>
      </w:r>
      <w:r w:rsidRPr="009A6F9B">
        <w:rPr>
          <w:rFonts w:ascii="Verdana" w:hAnsi="Verdana"/>
          <w:spacing w:val="-15"/>
        </w:rPr>
        <w:t xml:space="preserve"> </w:t>
      </w:r>
      <w:r w:rsidRPr="009A6F9B">
        <w:rPr>
          <w:rFonts w:ascii="Verdana" w:hAnsi="Verdana"/>
        </w:rPr>
        <w:t>celebración</w:t>
      </w:r>
      <w:r w:rsidRPr="009A6F9B">
        <w:rPr>
          <w:rFonts w:ascii="Verdana" w:hAnsi="Verdana"/>
          <w:spacing w:val="-11"/>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dicho</w:t>
      </w:r>
      <w:r w:rsidRPr="009A6F9B">
        <w:rPr>
          <w:rFonts w:ascii="Verdana" w:hAnsi="Verdana"/>
          <w:spacing w:val="-14"/>
        </w:rPr>
        <w:t xml:space="preserve"> </w:t>
      </w:r>
      <w:r w:rsidRPr="009A6F9B">
        <w:rPr>
          <w:rFonts w:ascii="Verdana" w:hAnsi="Verdana"/>
        </w:rPr>
        <w:t>contrato</w:t>
      </w:r>
      <w:r w:rsidRPr="009A6F9B">
        <w:rPr>
          <w:rFonts w:ascii="Verdana" w:hAnsi="Verdana"/>
          <w:spacing w:val="-13"/>
        </w:rPr>
        <w:t xml:space="preserve"> </w:t>
      </w:r>
      <w:r w:rsidRPr="009A6F9B">
        <w:rPr>
          <w:rFonts w:ascii="Verdana" w:hAnsi="Verdana"/>
        </w:rPr>
        <w:t>debe</w:t>
      </w:r>
      <w:r w:rsidRPr="009A6F9B">
        <w:rPr>
          <w:rFonts w:ascii="Verdana" w:hAnsi="Verdana"/>
          <w:spacing w:val="-14"/>
        </w:rPr>
        <w:t xml:space="preserve"> </w:t>
      </w:r>
      <w:r w:rsidRPr="009A6F9B">
        <w:rPr>
          <w:rFonts w:ascii="Verdana" w:hAnsi="Verdana"/>
        </w:rPr>
        <w:t>efectuarse</w:t>
      </w:r>
      <w:r w:rsidRPr="009A6F9B">
        <w:rPr>
          <w:rFonts w:ascii="Verdana" w:hAnsi="Verdana"/>
          <w:spacing w:val="-12"/>
        </w:rPr>
        <w:t xml:space="preserve"> </w:t>
      </w:r>
      <w:r w:rsidRPr="009A6F9B">
        <w:rPr>
          <w:rFonts w:ascii="Verdana" w:hAnsi="Verdana"/>
        </w:rPr>
        <w:t>a</w:t>
      </w:r>
      <w:r w:rsidRPr="009A6F9B">
        <w:rPr>
          <w:rFonts w:ascii="Verdana" w:hAnsi="Verdana"/>
          <w:spacing w:val="-15"/>
        </w:rPr>
        <w:t xml:space="preserve"> </w:t>
      </w:r>
      <w:r w:rsidRPr="009A6F9B">
        <w:rPr>
          <w:rFonts w:ascii="Verdana" w:hAnsi="Verdana"/>
        </w:rPr>
        <w:t>través</w:t>
      </w:r>
      <w:r w:rsidRPr="009A6F9B">
        <w:rPr>
          <w:rFonts w:ascii="Verdana" w:hAnsi="Verdana"/>
          <w:spacing w:val="-14"/>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la</w:t>
      </w:r>
      <w:r w:rsidRPr="009A6F9B">
        <w:rPr>
          <w:rFonts w:ascii="Verdana" w:hAnsi="Verdana"/>
          <w:spacing w:val="-15"/>
        </w:rPr>
        <w:t xml:space="preserve"> </w:t>
      </w:r>
      <w:r w:rsidRPr="009A6F9B">
        <w:rPr>
          <w:rFonts w:ascii="Verdana" w:hAnsi="Verdana"/>
        </w:rPr>
        <w:t>modalidad de contratación directa. Así lo dispone el artículo 2, numeral 4°, literal h) de la Ley</w:t>
      </w:r>
      <w:r w:rsidRPr="009A6F9B">
        <w:rPr>
          <w:rFonts w:ascii="Verdana" w:hAnsi="Verdana"/>
          <w:spacing w:val="-7"/>
        </w:rPr>
        <w:t xml:space="preserve"> </w:t>
      </w:r>
      <w:r w:rsidRPr="009A6F9B">
        <w:rPr>
          <w:rFonts w:ascii="Verdana" w:hAnsi="Verdana"/>
        </w:rPr>
        <w:t>1150</w:t>
      </w:r>
      <w:r w:rsidRPr="009A6F9B">
        <w:rPr>
          <w:rFonts w:ascii="Verdana" w:hAnsi="Verdana"/>
          <w:spacing w:val="-6"/>
        </w:rPr>
        <w:t xml:space="preserve"> </w:t>
      </w:r>
      <w:r w:rsidRPr="009A6F9B">
        <w:rPr>
          <w:rFonts w:ascii="Verdana" w:hAnsi="Verdana"/>
        </w:rPr>
        <w:t>de</w:t>
      </w:r>
      <w:r w:rsidRPr="009A6F9B">
        <w:rPr>
          <w:rFonts w:ascii="Verdana" w:hAnsi="Verdana"/>
          <w:spacing w:val="-7"/>
        </w:rPr>
        <w:t xml:space="preserve"> </w:t>
      </w:r>
      <w:r w:rsidRPr="009A6F9B">
        <w:rPr>
          <w:rFonts w:ascii="Verdana" w:hAnsi="Verdana"/>
        </w:rPr>
        <w:t xml:space="preserve">2007, el cual señala: </w:t>
      </w:r>
    </w:p>
    <w:p w14:paraId="19CEC408" w14:textId="77777777" w:rsidR="000A43AA" w:rsidRDefault="000A43AA" w:rsidP="000A43AA">
      <w:pPr>
        <w:spacing w:after="0" w:line="240" w:lineRule="auto"/>
        <w:ind w:left="709" w:right="709"/>
        <w:jc w:val="both"/>
        <w:rPr>
          <w:rFonts w:ascii="Verdana" w:hAnsi="Verdana"/>
          <w:sz w:val="20"/>
          <w:szCs w:val="20"/>
        </w:rPr>
      </w:pPr>
    </w:p>
    <w:p w14:paraId="2C431FB4" w14:textId="77777777" w:rsidR="000A43AA" w:rsidRDefault="000A43AA" w:rsidP="000A43AA">
      <w:pPr>
        <w:spacing w:after="0" w:line="240" w:lineRule="auto"/>
        <w:ind w:left="709" w:right="709"/>
        <w:jc w:val="both"/>
        <w:rPr>
          <w:rFonts w:ascii="Verdana" w:hAnsi="Verdana"/>
          <w:sz w:val="20"/>
          <w:szCs w:val="20"/>
        </w:rPr>
      </w:pPr>
      <w:r w:rsidRPr="00EF7E33">
        <w:rPr>
          <w:rFonts w:ascii="Verdana" w:hAnsi="Verdana"/>
          <w:sz w:val="20"/>
          <w:szCs w:val="20"/>
        </w:rPr>
        <w:t>“La</w:t>
      </w:r>
      <w:r w:rsidRPr="00EF7E33">
        <w:rPr>
          <w:rFonts w:ascii="Verdana" w:hAnsi="Verdana"/>
          <w:spacing w:val="-4"/>
          <w:sz w:val="20"/>
          <w:szCs w:val="20"/>
        </w:rPr>
        <w:t xml:space="preserve"> </w:t>
      </w:r>
      <w:r w:rsidRPr="00EF7E33">
        <w:rPr>
          <w:rFonts w:ascii="Verdana" w:hAnsi="Verdana"/>
          <w:sz w:val="20"/>
          <w:szCs w:val="20"/>
        </w:rPr>
        <w:t>escogencia</w:t>
      </w:r>
      <w:r w:rsidRPr="00EF7E33">
        <w:rPr>
          <w:rFonts w:ascii="Verdana" w:hAnsi="Verdana"/>
          <w:spacing w:val="-4"/>
          <w:sz w:val="20"/>
          <w:szCs w:val="20"/>
        </w:rPr>
        <w:t xml:space="preserve"> </w:t>
      </w:r>
      <w:r w:rsidRPr="00EF7E33">
        <w:rPr>
          <w:rFonts w:ascii="Verdana" w:hAnsi="Verdana"/>
          <w:sz w:val="20"/>
          <w:szCs w:val="20"/>
        </w:rPr>
        <w:t>del</w:t>
      </w:r>
      <w:r w:rsidRPr="00EF7E33">
        <w:rPr>
          <w:rFonts w:ascii="Verdana" w:hAnsi="Verdana"/>
          <w:spacing w:val="-4"/>
          <w:sz w:val="20"/>
          <w:szCs w:val="20"/>
        </w:rPr>
        <w:t xml:space="preserve"> </w:t>
      </w:r>
      <w:r w:rsidRPr="00EF7E33">
        <w:rPr>
          <w:rFonts w:ascii="Verdana" w:hAnsi="Verdana"/>
          <w:sz w:val="20"/>
          <w:szCs w:val="20"/>
        </w:rPr>
        <w:t>contratista</w:t>
      </w:r>
      <w:r w:rsidRPr="00EF7E33">
        <w:rPr>
          <w:rFonts w:ascii="Verdana" w:hAnsi="Verdana"/>
          <w:spacing w:val="-4"/>
          <w:sz w:val="20"/>
          <w:szCs w:val="20"/>
        </w:rPr>
        <w:t xml:space="preserve"> </w:t>
      </w:r>
      <w:r w:rsidRPr="00EF7E33">
        <w:rPr>
          <w:rFonts w:ascii="Verdana" w:hAnsi="Verdana"/>
          <w:sz w:val="20"/>
          <w:szCs w:val="20"/>
        </w:rPr>
        <w:t>se</w:t>
      </w:r>
      <w:r w:rsidRPr="00EF7E33">
        <w:rPr>
          <w:rFonts w:ascii="Verdana" w:hAnsi="Verdana"/>
          <w:spacing w:val="-4"/>
          <w:sz w:val="20"/>
          <w:szCs w:val="20"/>
        </w:rPr>
        <w:t xml:space="preserve"> </w:t>
      </w:r>
      <w:r w:rsidRPr="00EF7E33">
        <w:rPr>
          <w:rFonts w:ascii="Verdana" w:hAnsi="Verdana"/>
          <w:sz w:val="20"/>
          <w:szCs w:val="20"/>
        </w:rPr>
        <w:t>efectuará</w:t>
      </w:r>
      <w:r w:rsidRPr="00EF7E33">
        <w:rPr>
          <w:rFonts w:ascii="Verdana" w:hAnsi="Verdana"/>
          <w:spacing w:val="-4"/>
          <w:sz w:val="20"/>
          <w:szCs w:val="20"/>
        </w:rPr>
        <w:t xml:space="preserve"> </w:t>
      </w:r>
      <w:r w:rsidRPr="00EF7E33">
        <w:rPr>
          <w:rFonts w:ascii="Verdana" w:hAnsi="Verdana"/>
          <w:sz w:val="20"/>
          <w:szCs w:val="20"/>
        </w:rPr>
        <w:t>con</w:t>
      </w:r>
      <w:r w:rsidRPr="00EF7E33">
        <w:rPr>
          <w:rFonts w:ascii="Verdana" w:hAnsi="Verdana"/>
          <w:spacing w:val="-4"/>
          <w:sz w:val="20"/>
          <w:szCs w:val="20"/>
        </w:rPr>
        <w:t xml:space="preserve"> </w:t>
      </w:r>
      <w:r w:rsidRPr="00EF7E33">
        <w:rPr>
          <w:rFonts w:ascii="Verdana" w:hAnsi="Verdana"/>
          <w:sz w:val="20"/>
          <w:szCs w:val="20"/>
        </w:rPr>
        <w:t>arreglo</w:t>
      </w:r>
      <w:r w:rsidRPr="00EF7E33">
        <w:rPr>
          <w:rFonts w:ascii="Verdana" w:hAnsi="Verdana"/>
          <w:spacing w:val="-4"/>
          <w:sz w:val="20"/>
          <w:szCs w:val="20"/>
        </w:rPr>
        <w:t xml:space="preserve"> </w:t>
      </w:r>
      <w:r w:rsidRPr="00EF7E33">
        <w:rPr>
          <w:rFonts w:ascii="Verdana" w:hAnsi="Verdana"/>
          <w:sz w:val="20"/>
          <w:szCs w:val="20"/>
        </w:rPr>
        <w:t>a</w:t>
      </w:r>
      <w:r w:rsidRPr="00EF7E33">
        <w:rPr>
          <w:rFonts w:ascii="Verdana" w:hAnsi="Verdana"/>
          <w:spacing w:val="-4"/>
          <w:sz w:val="20"/>
          <w:szCs w:val="20"/>
        </w:rPr>
        <w:t xml:space="preserve"> </w:t>
      </w:r>
      <w:r w:rsidRPr="00EF7E33">
        <w:rPr>
          <w:rFonts w:ascii="Verdana" w:hAnsi="Verdana"/>
          <w:sz w:val="20"/>
          <w:szCs w:val="20"/>
        </w:rPr>
        <w:t>las</w:t>
      </w:r>
      <w:r w:rsidRPr="00EF7E33">
        <w:rPr>
          <w:rFonts w:ascii="Verdana" w:hAnsi="Verdana"/>
          <w:spacing w:val="-4"/>
          <w:sz w:val="20"/>
          <w:szCs w:val="20"/>
        </w:rPr>
        <w:t xml:space="preserve"> </w:t>
      </w:r>
      <w:r w:rsidRPr="00EF7E33">
        <w:rPr>
          <w:rFonts w:ascii="Verdana" w:hAnsi="Verdana"/>
          <w:sz w:val="20"/>
          <w:szCs w:val="20"/>
        </w:rPr>
        <w:t>modalidades</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licitación</w:t>
      </w:r>
      <w:r w:rsidRPr="00EF7E33">
        <w:rPr>
          <w:rFonts w:ascii="Verdana" w:hAnsi="Verdana"/>
          <w:spacing w:val="-4"/>
          <w:sz w:val="20"/>
          <w:szCs w:val="20"/>
        </w:rPr>
        <w:t xml:space="preserve"> </w:t>
      </w:r>
      <w:r w:rsidRPr="00EF7E33">
        <w:rPr>
          <w:rFonts w:ascii="Verdana" w:hAnsi="Verdana"/>
          <w:sz w:val="20"/>
          <w:szCs w:val="20"/>
        </w:rPr>
        <w:t>pública,</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abreviada,</w:t>
      </w:r>
      <w:r w:rsidRPr="00EF7E33">
        <w:rPr>
          <w:rFonts w:ascii="Verdana" w:hAnsi="Verdana"/>
          <w:spacing w:val="-4"/>
          <w:sz w:val="20"/>
          <w:szCs w:val="20"/>
        </w:rPr>
        <w:t xml:space="preserve"> </w:t>
      </w:r>
      <w:r w:rsidRPr="00EF7E33">
        <w:rPr>
          <w:rFonts w:ascii="Verdana" w:hAnsi="Verdana"/>
          <w:sz w:val="20"/>
          <w:szCs w:val="20"/>
        </w:rPr>
        <w:t>concurso</w:t>
      </w:r>
      <w:r w:rsidRPr="00EF7E33">
        <w:rPr>
          <w:rFonts w:ascii="Verdana" w:hAnsi="Verdana"/>
          <w:spacing w:val="-4"/>
          <w:sz w:val="20"/>
          <w:szCs w:val="20"/>
        </w:rPr>
        <w:t xml:space="preserve"> </w:t>
      </w:r>
      <w:r w:rsidRPr="00EF7E33">
        <w:rPr>
          <w:rFonts w:ascii="Verdana" w:hAnsi="Verdana"/>
          <w:sz w:val="20"/>
          <w:szCs w:val="20"/>
        </w:rPr>
        <w:t>de méritos y contratación directa, con base en las siguientes reglas:</w:t>
      </w:r>
    </w:p>
    <w:p w14:paraId="26240A18" w14:textId="77777777" w:rsidR="000A43AA" w:rsidRPr="00B47DEA" w:rsidRDefault="000A43AA" w:rsidP="000A43AA">
      <w:pPr>
        <w:spacing w:after="0" w:line="240" w:lineRule="auto"/>
        <w:ind w:right="709"/>
        <w:jc w:val="both"/>
        <w:rPr>
          <w:rFonts w:ascii="Verdana" w:hAnsi="Verdana"/>
          <w:sz w:val="20"/>
          <w:szCs w:val="20"/>
        </w:rPr>
      </w:pPr>
      <w:r>
        <w:rPr>
          <w:rFonts w:ascii="Verdana" w:hAnsi="Verdana"/>
          <w:sz w:val="20"/>
          <w:szCs w:val="20"/>
        </w:rPr>
        <w:t xml:space="preserve">          </w:t>
      </w:r>
      <w:r w:rsidRPr="00EF7E33">
        <w:rPr>
          <w:rFonts w:ascii="Verdana" w:hAnsi="Verdana"/>
          <w:spacing w:val="-5"/>
          <w:sz w:val="20"/>
          <w:szCs w:val="20"/>
        </w:rPr>
        <w:t>[…]</w:t>
      </w:r>
    </w:p>
    <w:p w14:paraId="4FA3FC0E" w14:textId="77777777" w:rsidR="000A43AA" w:rsidRPr="00B47DEA" w:rsidRDefault="000A43AA" w:rsidP="000A43AA">
      <w:pPr>
        <w:spacing w:after="0" w:line="240" w:lineRule="auto"/>
        <w:ind w:left="709" w:right="709"/>
        <w:jc w:val="both"/>
        <w:rPr>
          <w:rFonts w:ascii="Verdana" w:hAnsi="Verdana"/>
          <w:sz w:val="20"/>
          <w:szCs w:val="20"/>
        </w:rPr>
      </w:pPr>
      <w:r>
        <w:rPr>
          <w:rFonts w:ascii="Verdana" w:hAnsi="Verdana"/>
          <w:sz w:val="20"/>
          <w:szCs w:val="20"/>
        </w:rPr>
        <w:t>“4</w:t>
      </w:r>
      <w:r w:rsidRPr="00EF7E33">
        <w:rPr>
          <w:rFonts w:ascii="Verdana" w:hAnsi="Verdana"/>
          <w:sz w:val="20"/>
          <w:szCs w:val="20"/>
        </w:rPr>
        <w:t>. Contratación</w:t>
      </w:r>
      <w:r w:rsidRPr="00EF7E33">
        <w:rPr>
          <w:rFonts w:ascii="Verdana" w:hAnsi="Verdana"/>
          <w:spacing w:val="-4"/>
          <w:sz w:val="20"/>
          <w:szCs w:val="20"/>
        </w:rPr>
        <w:t xml:space="preserve"> </w:t>
      </w:r>
      <w:r w:rsidRPr="00EF7E33">
        <w:rPr>
          <w:rFonts w:ascii="Verdana" w:hAnsi="Verdana"/>
          <w:sz w:val="20"/>
          <w:szCs w:val="20"/>
        </w:rPr>
        <w:t>directa.</w:t>
      </w:r>
      <w:r w:rsidRPr="00EF7E33">
        <w:rPr>
          <w:rFonts w:ascii="Verdana" w:hAnsi="Verdana"/>
          <w:spacing w:val="-4"/>
          <w:sz w:val="20"/>
          <w:szCs w:val="20"/>
        </w:rPr>
        <w:t xml:space="preserve"> </w:t>
      </w:r>
      <w:r w:rsidRPr="00EF7E33">
        <w:rPr>
          <w:rFonts w:ascii="Verdana" w:hAnsi="Verdana"/>
          <w:sz w:val="20"/>
          <w:szCs w:val="20"/>
        </w:rPr>
        <w:t>La</w:t>
      </w:r>
      <w:r w:rsidRPr="00EF7E33">
        <w:rPr>
          <w:rFonts w:ascii="Verdana" w:hAnsi="Verdana"/>
          <w:spacing w:val="-4"/>
          <w:sz w:val="20"/>
          <w:szCs w:val="20"/>
        </w:rPr>
        <w:t xml:space="preserve"> </w:t>
      </w:r>
      <w:r w:rsidRPr="00EF7E33">
        <w:rPr>
          <w:rFonts w:ascii="Verdana" w:hAnsi="Verdana"/>
          <w:sz w:val="20"/>
          <w:szCs w:val="20"/>
        </w:rPr>
        <w:t>modalidad</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76FD4F24">
        <w:rPr>
          <w:rFonts w:ascii="Verdana" w:hAnsi="Verdana"/>
          <w:sz w:val="20"/>
          <w:szCs w:val="20"/>
        </w:rPr>
        <w:t xml:space="preserve">contratación </w:t>
      </w:r>
      <w:proofErr w:type="gramStart"/>
      <w:r w:rsidRPr="00EF7E33">
        <w:rPr>
          <w:rFonts w:ascii="Verdana" w:hAnsi="Verdana"/>
          <w:sz w:val="20"/>
          <w:szCs w:val="20"/>
        </w:rPr>
        <w:t>directa,</w:t>
      </w:r>
      <w:proofErr w:type="gramEnd"/>
      <w:r w:rsidRPr="00EF7E33">
        <w:rPr>
          <w:rFonts w:ascii="Verdana" w:hAnsi="Verdana"/>
          <w:spacing w:val="-3"/>
          <w:sz w:val="20"/>
          <w:szCs w:val="20"/>
        </w:rPr>
        <w:t xml:space="preserve"> </w:t>
      </w:r>
      <w:r w:rsidRPr="00EF7E33">
        <w:rPr>
          <w:rFonts w:ascii="Verdana" w:hAnsi="Verdana"/>
          <w:sz w:val="20"/>
          <w:szCs w:val="20"/>
        </w:rPr>
        <w:t>solamente</w:t>
      </w:r>
      <w:r w:rsidRPr="00EF7E33">
        <w:rPr>
          <w:rFonts w:ascii="Verdana" w:hAnsi="Verdana"/>
          <w:spacing w:val="-4"/>
          <w:sz w:val="20"/>
          <w:szCs w:val="20"/>
        </w:rPr>
        <w:t xml:space="preserve"> </w:t>
      </w:r>
      <w:r w:rsidRPr="00EF7E33">
        <w:rPr>
          <w:rFonts w:ascii="Verdana" w:hAnsi="Verdana"/>
          <w:sz w:val="20"/>
          <w:szCs w:val="20"/>
        </w:rPr>
        <w:t>procederá</w:t>
      </w:r>
      <w:r w:rsidRPr="00EF7E33">
        <w:rPr>
          <w:rFonts w:ascii="Verdana" w:hAnsi="Verdana"/>
          <w:spacing w:val="-4"/>
          <w:sz w:val="20"/>
          <w:szCs w:val="20"/>
        </w:rPr>
        <w:t xml:space="preserve"> </w:t>
      </w:r>
      <w:r w:rsidRPr="00EF7E33">
        <w:rPr>
          <w:rFonts w:ascii="Verdana" w:hAnsi="Verdana"/>
          <w:sz w:val="20"/>
          <w:szCs w:val="20"/>
        </w:rPr>
        <w:t>en</w:t>
      </w:r>
      <w:r w:rsidRPr="00EF7E33">
        <w:rPr>
          <w:rFonts w:ascii="Verdana" w:hAnsi="Verdana"/>
          <w:spacing w:val="-4"/>
          <w:sz w:val="20"/>
          <w:szCs w:val="20"/>
        </w:rPr>
        <w:t xml:space="preserve"> </w:t>
      </w:r>
      <w:r w:rsidRPr="00EF7E33">
        <w:rPr>
          <w:rFonts w:ascii="Verdana" w:hAnsi="Verdana"/>
          <w:sz w:val="20"/>
          <w:szCs w:val="20"/>
        </w:rPr>
        <w:t>los</w:t>
      </w:r>
      <w:r w:rsidRPr="00EF7E33">
        <w:rPr>
          <w:rFonts w:ascii="Verdana" w:hAnsi="Verdana"/>
          <w:spacing w:val="-4"/>
          <w:sz w:val="20"/>
          <w:szCs w:val="20"/>
        </w:rPr>
        <w:t xml:space="preserve"> </w:t>
      </w:r>
      <w:r w:rsidRPr="00EF7E33">
        <w:rPr>
          <w:rFonts w:ascii="Verdana" w:hAnsi="Verdana"/>
          <w:sz w:val="20"/>
          <w:szCs w:val="20"/>
        </w:rPr>
        <w:t>siguientes</w:t>
      </w:r>
      <w:r w:rsidRPr="00EF7E33">
        <w:rPr>
          <w:rFonts w:ascii="Verdana" w:hAnsi="Verdana"/>
          <w:spacing w:val="-4"/>
          <w:sz w:val="20"/>
          <w:szCs w:val="20"/>
        </w:rPr>
        <w:t xml:space="preserve"> </w:t>
      </w:r>
      <w:r w:rsidRPr="00EF7E33">
        <w:rPr>
          <w:rFonts w:ascii="Verdana" w:hAnsi="Verdana"/>
          <w:sz w:val="20"/>
          <w:szCs w:val="20"/>
        </w:rPr>
        <w:t xml:space="preserve">casos: </w:t>
      </w:r>
      <w:r w:rsidRPr="00EF7E33">
        <w:rPr>
          <w:rFonts w:ascii="Verdana" w:hAnsi="Verdana"/>
          <w:spacing w:val="-4"/>
          <w:sz w:val="20"/>
          <w:szCs w:val="20"/>
        </w:rPr>
        <w:t>[…]</w:t>
      </w:r>
    </w:p>
    <w:p w14:paraId="61098DE9" w14:textId="77777777" w:rsidR="000A43AA" w:rsidRDefault="000A43AA" w:rsidP="000A43AA">
      <w:pPr>
        <w:spacing w:after="0" w:line="240" w:lineRule="auto"/>
        <w:ind w:left="709" w:right="709"/>
        <w:jc w:val="both"/>
        <w:rPr>
          <w:rFonts w:ascii="Verdana" w:hAnsi="Verdana"/>
          <w:sz w:val="20"/>
          <w:szCs w:val="20"/>
        </w:rPr>
      </w:pPr>
    </w:p>
    <w:p w14:paraId="469601E7" w14:textId="77777777" w:rsidR="000A43AA" w:rsidRPr="00B47DEA" w:rsidRDefault="000A43AA" w:rsidP="000A43AA">
      <w:pPr>
        <w:spacing w:after="0" w:line="240" w:lineRule="auto"/>
        <w:ind w:left="709" w:right="709"/>
        <w:jc w:val="both"/>
        <w:rPr>
          <w:rFonts w:ascii="Verdana" w:hAnsi="Verdana"/>
          <w:sz w:val="20"/>
          <w:szCs w:val="20"/>
        </w:rPr>
      </w:pPr>
      <w:r w:rsidRPr="00EF7E33">
        <w:rPr>
          <w:rFonts w:ascii="Verdana" w:hAnsi="Verdana"/>
          <w:sz w:val="20"/>
          <w:szCs w:val="20"/>
        </w:rPr>
        <w:t>h) Para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prestación</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servicios</w:t>
      </w:r>
      <w:r w:rsidRPr="00EF7E33">
        <w:rPr>
          <w:rFonts w:ascii="Verdana" w:hAnsi="Verdana"/>
          <w:spacing w:val="-3"/>
          <w:sz w:val="20"/>
          <w:szCs w:val="20"/>
        </w:rPr>
        <w:t xml:space="preserve"> </w:t>
      </w:r>
      <w:r w:rsidRPr="00EF7E33">
        <w:rPr>
          <w:rFonts w:ascii="Verdana" w:hAnsi="Verdana"/>
          <w:sz w:val="20"/>
          <w:szCs w:val="20"/>
        </w:rPr>
        <w:t>profesionales</w:t>
      </w:r>
      <w:r w:rsidRPr="00EF7E33">
        <w:rPr>
          <w:rFonts w:ascii="Verdana" w:hAnsi="Verdana"/>
          <w:spacing w:val="-3"/>
          <w:sz w:val="20"/>
          <w:szCs w:val="20"/>
        </w:rPr>
        <w:t xml:space="preserve"> </w:t>
      </w:r>
      <w:r w:rsidRPr="00EF7E33">
        <w:rPr>
          <w:rFonts w:ascii="Verdana" w:hAnsi="Verdana"/>
          <w:sz w:val="20"/>
          <w:szCs w:val="20"/>
        </w:rPr>
        <w:t>y</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apoyo</w:t>
      </w:r>
      <w:r w:rsidRPr="00EF7E33">
        <w:rPr>
          <w:rFonts w:ascii="Verdana" w:hAnsi="Verdana"/>
          <w:spacing w:val="-3"/>
          <w:sz w:val="20"/>
          <w:szCs w:val="20"/>
        </w:rPr>
        <w:t xml:space="preserve"> </w:t>
      </w:r>
      <w:r w:rsidRPr="00EF7E33">
        <w:rPr>
          <w:rFonts w:ascii="Verdana" w:hAnsi="Verdana"/>
          <w:sz w:val="20"/>
          <w:szCs w:val="20"/>
        </w:rPr>
        <w:t>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gestión,</w:t>
      </w:r>
      <w:r w:rsidRPr="00EF7E33">
        <w:rPr>
          <w:rFonts w:ascii="Verdana" w:hAnsi="Verdana"/>
          <w:spacing w:val="-3"/>
          <w:sz w:val="20"/>
          <w:szCs w:val="20"/>
        </w:rPr>
        <w:t xml:space="preserve"> </w:t>
      </w:r>
      <w:r w:rsidRPr="00EF7E33">
        <w:rPr>
          <w:rFonts w:ascii="Verdana" w:hAnsi="Verdana"/>
          <w:sz w:val="20"/>
          <w:szCs w:val="20"/>
        </w:rPr>
        <w:t>o</w:t>
      </w:r>
      <w:r w:rsidRPr="00EF7E33">
        <w:rPr>
          <w:rFonts w:ascii="Verdana" w:hAnsi="Verdana"/>
          <w:spacing w:val="-3"/>
          <w:sz w:val="20"/>
          <w:szCs w:val="20"/>
        </w:rPr>
        <w:t xml:space="preserve"> </w:t>
      </w:r>
      <w:r w:rsidRPr="00EF7E33">
        <w:rPr>
          <w:rFonts w:ascii="Verdana" w:hAnsi="Verdana"/>
          <w:sz w:val="20"/>
          <w:szCs w:val="20"/>
        </w:rPr>
        <w:t>para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ejecución</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trabajos</w:t>
      </w:r>
      <w:r w:rsidRPr="00EF7E33">
        <w:rPr>
          <w:rFonts w:ascii="Verdana" w:hAnsi="Verdana"/>
          <w:spacing w:val="-3"/>
          <w:sz w:val="20"/>
          <w:szCs w:val="20"/>
        </w:rPr>
        <w:t xml:space="preserve"> </w:t>
      </w:r>
      <w:r w:rsidRPr="00EF7E33">
        <w:rPr>
          <w:rFonts w:ascii="Verdana" w:hAnsi="Verdana"/>
          <w:sz w:val="20"/>
          <w:szCs w:val="20"/>
        </w:rPr>
        <w:t>artísticos</w:t>
      </w:r>
      <w:r w:rsidRPr="00EF7E33">
        <w:rPr>
          <w:rFonts w:ascii="Verdana" w:hAnsi="Verdana"/>
          <w:spacing w:val="-3"/>
          <w:sz w:val="20"/>
          <w:szCs w:val="20"/>
        </w:rPr>
        <w:t xml:space="preserve"> </w:t>
      </w:r>
      <w:r w:rsidRPr="00EF7E33">
        <w:rPr>
          <w:rFonts w:ascii="Verdana" w:hAnsi="Verdana"/>
          <w:sz w:val="20"/>
          <w:szCs w:val="20"/>
        </w:rPr>
        <w:t>que</w:t>
      </w:r>
      <w:r w:rsidRPr="00EF7E33">
        <w:rPr>
          <w:rFonts w:ascii="Verdana" w:hAnsi="Verdana"/>
          <w:spacing w:val="-3"/>
          <w:sz w:val="20"/>
          <w:szCs w:val="20"/>
        </w:rPr>
        <w:t xml:space="preserve"> </w:t>
      </w:r>
      <w:r w:rsidRPr="00EF7E33">
        <w:rPr>
          <w:rFonts w:ascii="Verdana" w:hAnsi="Verdana"/>
          <w:sz w:val="20"/>
          <w:szCs w:val="20"/>
        </w:rPr>
        <w:t>sólo</w:t>
      </w:r>
      <w:r w:rsidRPr="00EF7E33">
        <w:rPr>
          <w:rFonts w:ascii="Verdana" w:hAnsi="Verdana"/>
          <w:spacing w:val="-3"/>
          <w:sz w:val="20"/>
          <w:szCs w:val="20"/>
        </w:rPr>
        <w:t xml:space="preserve"> </w:t>
      </w:r>
      <w:r w:rsidRPr="00EF7E33">
        <w:rPr>
          <w:rFonts w:ascii="Verdana" w:hAnsi="Verdana"/>
          <w:sz w:val="20"/>
          <w:szCs w:val="20"/>
        </w:rPr>
        <w:t>puedan</w:t>
      </w:r>
      <w:r w:rsidRPr="00EF7E33">
        <w:rPr>
          <w:rFonts w:ascii="Verdana" w:hAnsi="Verdana"/>
          <w:spacing w:val="-3"/>
          <w:sz w:val="20"/>
          <w:szCs w:val="20"/>
        </w:rPr>
        <w:t xml:space="preserve"> </w:t>
      </w:r>
      <w:r w:rsidRPr="00EF7E33">
        <w:rPr>
          <w:rFonts w:ascii="Verdana" w:hAnsi="Verdana"/>
          <w:sz w:val="20"/>
          <w:szCs w:val="20"/>
        </w:rPr>
        <w:t>encomendarse a determinadas personas naturales”.</w:t>
      </w:r>
    </w:p>
    <w:p w14:paraId="03D3E818" w14:textId="77777777" w:rsidR="000A43AA" w:rsidRDefault="000A43AA" w:rsidP="00D42615">
      <w:pPr>
        <w:pStyle w:val="Textoindependiente"/>
        <w:spacing w:after="0" w:line="276" w:lineRule="auto"/>
        <w:ind w:firstLine="709"/>
        <w:jc w:val="both"/>
      </w:pPr>
    </w:p>
    <w:p w14:paraId="737B86C8" w14:textId="77777777" w:rsidR="000A43AA" w:rsidRPr="009A6F9B" w:rsidRDefault="000A43AA" w:rsidP="0063780E">
      <w:pPr>
        <w:pStyle w:val="Textoindependiente"/>
        <w:spacing w:after="0" w:line="276" w:lineRule="auto"/>
        <w:ind w:firstLine="709"/>
        <w:jc w:val="both"/>
        <w:rPr>
          <w:rFonts w:ascii="Verdana" w:hAnsi="Verdana"/>
        </w:rPr>
      </w:pPr>
      <w:r w:rsidRPr="009A6F9B">
        <w:rPr>
          <w:rFonts w:ascii="Verdana" w:hAnsi="Verdana"/>
        </w:rPr>
        <w:t>En</w:t>
      </w:r>
      <w:r w:rsidRPr="009A6F9B">
        <w:rPr>
          <w:rFonts w:ascii="Verdana" w:hAnsi="Verdana"/>
          <w:spacing w:val="-7"/>
        </w:rPr>
        <w:t xml:space="preserve"> </w:t>
      </w:r>
      <w:r w:rsidRPr="009A6F9B">
        <w:rPr>
          <w:rFonts w:ascii="Verdana" w:hAnsi="Verdana"/>
        </w:rPr>
        <w:t>tal</w:t>
      </w:r>
      <w:r w:rsidRPr="009A6F9B">
        <w:rPr>
          <w:rFonts w:ascii="Verdana" w:hAnsi="Verdana"/>
          <w:spacing w:val="-7"/>
        </w:rPr>
        <w:t xml:space="preserve"> </w:t>
      </w:r>
      <w:r w:rsidRPr="009A6F9B">
        <w:rPr>
          <w:rFonts w:ascii="Verdana" w:hAnsi="Verdana"/>
        </w:rPr>
        <w:t>sentido,</w:t>
      </w:r>
      <w:r w:rsidRPr="009A6F9B">
        <w:rPr>
          <w:rFonts w:ascii="Verdana" w:hAnsi="Verdana"/>
          <w:spacing w:val="-5"/>
        </w:rPr>
        <w:t xml:space="preserve"> </w:t>
      </w:r>
      <w:r w:rsidRPr="009A6F9B">
        <w:rPr>
          <w:rFonts w:ascii="Verdana" w:hAnsi="Verdana"/>
        </w:rPr>
        <w:t>el</w:t>
      </w:r>
      <w:r w:rsidRPr="009A6F9B">
        <w:rPr>
          <w:rFonts w:ascii="Verdana" w:hAnsi="Verdana"/>
          <w:spacing w:val="-7"/>
        </w:rPr>
        <w:t xml:space="preserve"> </w:t>
      </w:r>
      <w:r w:rsidRPr="009A6F9B">
        <w:rPr>
          <w:rFonts w:ascii="Verdana" w:hAnsi="Verdana"/>
        </w:rPr>
        <w:t>artículo</w:t>
      </w:r>
      <w:r w:rsidRPr="009A6F9B">
        <w:rPr>
          <w:rFonts w:ascii="Verdana" w:hAnsi="Verdana"/>
          <w:spacing w:val="-5"/>
        </w:rPr>
        <w:t xml:space="preserve"> </w:t>
      </w:r>
      <w:r w:rsidRPr="009A6F9B">
        <w:rPr>
          <w:rFonts w:ascii="Verdana" w:hAnsi="Verdana"/>
        </w:rPr>
        <w:t>2.2.1.2.1.4.9</w:t>
      </w:r>
      <w:r w:rsidRPr="009A6F9B">
        <w:rPr>
          <w:rFonts w:ascii="Verdana" w:hAnsi="Verdana"/>
          <w:spacing w:val="-3"/>
        </w:rPr>
        <w:t xml:space="preserve"> </w:t>
      </w:r>
      <w:r w:rsidRPr="009A6F9B">
        <w:rPr>
          <w:rFonts w:ascii="Verdana" w:hAnsi="Verdana"/>
        </w:rPr>
        <w:t>del</w:t>
      </w:r>
      <w:r w:rsidRPr="009A6F9B">
        <w:rPr>
          <w:rFonts w:ascii="Verdana" w:hAnsi="Verdana"/>
          <w:spacing w:val="-7"/>
        </w:rPr>
        <w:t xml:space="preserve"> </w:t>
      </w:r>
      <w:r w:rsidRPr="009A6F9B">
        <w:rPr>
          <w:rFonts w:ascii="Verdana" w:hAnsi="Verdana"/>
        </w:rPr>
        <w:t>Decreto</w:t>
      </w:r>
      <w:r w:rsidRPr="009A6F9B">
        <w:rPr>
          <w:rFonts w:ascii="Verdana" w:hAnsi="Verdana"/>
          <w:spacing w:val="-5"/>
        </w:rPr>
        <w:t xml:space="preserve"> </w:t>
      </w:r>
      <w:r w:rsidRPr="009A6F9B">
        <w:rPr>
          <w:rFonts w:ascii="Verdana" w:hAnsi="Verdana"/>
        </w:rPr>
        <w:t>1082</w:t>
      </w:r>
      <w:r w:rsidRPr="009A6F9B">
        <w:rPr>
          <w:rFonts w:ascii="Verdana" w:hAnsi="Verdana"/>
          <w:spacing w:val="-6"/>
        </w:rPr>
        <w:t xml:space="preserve"> </w:t>
      </w:r>
      <w:r w:rsidRPr="009A6F9B">
        <w:rPr>
          <w:rFonts w:ascii="Verdana" w:hAnsi="Verdana"/>
        </w:rPr>
        <w:t>de 2015 reglamentó la contratación directa para los contratos de servicios profesionales y de apoyo a la gestión, o para la ejecución de trabajos artísticos que sólo pueden encomendarse a determinadas personas naturales, en los siguientes términos:</w:t>
      </w:r>
    </w:p>
    <w:p w14:paraId="7E33C484" w14:textId="77777777" w:rsidR="0063780E" w:rsidRPr="009A6F9B" w:rsidRDefault="0063780E" w:rsidP="00D42615">
      <w:pPr>
        <w:pStyle w:val="Textoindependiente"/>
        <w:spacing w:after="0" w:line="276" w:lineRule="auto"/>
        <w:ind w:firstLine="709"/>
        <w:jc w:val="both"/>
        <w:rPr>
          <w:rFonts w:ascii="Verdana" w:hAnsi="Verdana"/>
        </w:rPr>
      </w:pPr>
    </w:p>
    <w:p w14:paraId="64EE8AFC" w14:textId="77777777" w:rsidR="000A43AA" w:rsidRPr="004F63B2" w:rsidRDefault="000A43AA" w:rsidP="000A43AA">
      <w:pPr>
        <w:spacing w:after="0" w:line="240" w:lineRule="auto"/>
        <w:ind w:left="709" w:right="709"/>
        <w:jc w:val="both"/>
        <w:rPr>
          <w:rFonts w:ascii="Verdana" w:hAnsi="Verdana"/>
          <w:sz w:val="20"/>
          <w:szCs w:val="20"/>
        </w:rPr>
      </w:pPr>
      <w:r w:rsidRPr="004F63B2">
        <w:rPr>
          <w:rFonts w:ascii="Verdana" w:hAnsi="Verdana"/>
          <w:sz w:val="20"/>
          <w:szCs w:val="20"/>
        </w:rPr>
        <w:t>“Las Entidades Estatales pueden contratar bajo la modalidad de contratación directa la</w:t>
      </w:r>
      <w:r w:rsidRPr="004F63B2">
        <w:rPr>
          <w:rFonts w:ascii="Verdana" w:hAnsi="Verdana"/>
          <w:spacing w:val="-1"/>
          <w:sz w:val="20"/>
          <w:szCs w:val="20"/>
        </w:rPr>
        <w:t xml:space="preserve"> </w:t>
      </w:r>
      <w:r w:rsidRPr="004F63B2">
        <w:rPr>
          <w:rFonts w:ascii="Verdana" w:hAnsi="Verdana"/>
          <w:sz w:val="20"/>
          <w:szCs w:val="20"/>
        </w:rPr>
        <w:t>prestación de</w:t>
      </w:r>
      <w:r w:rsidRPr="004F63B2">
        <w:rPr>
          <w:rFonts w:ascii="Verdana" w:hAnsi="Verdana"/>
          <w:spacing w:val="-1"/>
          <w:sz w:val="20"/>
          <w:szCs w:val="20"/>
        </w:rPr>
        <w:t xml:space="preserve"> </w:t>
      </w:r>
      <w:r w:rsidRPr="004F63B2">
        <w:rPr>
          <w:rFonts w:ascii="Verdana" w:hAnsi="Verdana"/>
          <w:sz w:val="20"/>
          <w:szCs w:val="20"/>
        </w:rPr>
        <w:t>servicios profesionales y</w:t>
      </w:r>
      <w:r w:rsidRPr="004F63B2">
        <w:rPr>
          <w:rFonts w:ascii="Verdana" w:hAnsi="Verdana"/>
          <w:spacing w:val="-1"/>
          <w:sz w:val="20"/>
          <w:szCs w:val="20"/>
        </w:rPr>
        <w:t xml:space="preserve"> </w:t>
      </w:r>
      <w:r w:rsidRPr="004F63B2">
        <w:rPr>
          <w:rFonts w:ascii="Verdana" w:hAnsi="Verdana"/>
          <w:sz w:val="20"/>
          <w:szCs w:val="20"/>
        </w:rPr>
        <w:t>de</w:t>
      </w:r>
      <w:r w:rsidRPr="004F63B2">
        <w:rPr>
          <w:rFonts w:ascii="Verdana" w:hAnsi="Verdana"/>
          <w:spacing w:val="-1"/>
          <w:sz w:val="20"/>
          <w:szCs w:val="20"/>
        </w:rPr>
        <w:t xml:space="preserve"> </w:t>
      </w:r>
      <w:r w:rsidRPr="004F63B2">
        <w:rPr>
          <w:rFonts w:ascii="Verdana" w:hAnsi="Verdana"/>
          <w:sz w:val="20"/>
          <w:szCs w:val="20"/>
        </w:rPr>
        <w:t>apoyo a la gestión con la persona natural o jurídica que esté en capacidad de ejecutar el objeto del contrato, siempre y cuando la Entidad Estatal verifique</w:t>
      </w:r>
      <w:r w:rsidRPr="004F63B2">
        <w:rPr>
          <w:rFonts w:ascii="Verdana" w:hAnsi="Verdana"/>
          <w:spacing w:val="-11"/>
          <w:sz w:val="20"/>
          <w:szCs w:val="20"/>
        </w:rPr>
        <w:t xml:space="preserve"> </w:t>
      </w:r>
      <w:r w:rsidRPr="004F63B2">
        <w:rPr>
          <w:rFonts w:ascii="Verdana" w:hAnsi="Verdana"/>
          <w:sz w:val="20"/>
          <w:szCs w:val="20"/>
        </w:rPr>
        <w:t>la</w:t>
      </w:r>
      <w:r w:rsidRPr="004F63B2">
        <w:rPr>
          <w:rFonts w:ascii="Verdana" w:hAnsi="Verdana"/>
          <w:spacing w:val="-13"/>
          <w:sz w:val="20"/>
          <w:szCs w:val="20"/>
        </w:rPr>
        <w:t xml:space="preserve"> </w:t>
      </w:r>
      <w:r w:rsidRPr="004F63B2">
        <w:rPr>
          <w:rFonts w:ascii="Verdana" w:hAnsi="Verdana"/>
          <w:sz w:val="20"/>
          <w:szCs w:val="20"/>
        </w:rPr>
        <w:t>idoneidad</w:t>
      </w:r>
      <w:r w:rsidRPr="004F63B2">
        <w:rPr>
          <w:rFonts w:ascii="Verdana" w:hAnsi="Verdana"/>
          <w:spacing w:val="-11"/>
          <w:sz w:val="20"/>
          <w:szCs w:val="20"/>
        </w:rPr>
        <w:t xml:space="preserve"> </w:t>
      </w:r>
      <w:r w:rsidRPr="004F63B2">
        <w:rPr>
          <w:rFonts w:ascii="Verdana" w:hAnsi="Verdana"/>
          <w:sz w:val="20"/>
          <w:szCs w:val="20"/>
        </w:rPr>
        <w:t>o</w:t>
      </w:r>
      <w:r w:rsidRPr="004F63B2">
        <w:rPr>
          <w:rFonts w:ascii="Verdana" w:hAnsi="Verdana"/>
          <w:spacing w:val="-13"/>
          <w:sz w:val="20"/>
          <w:szCs w:val="20"/>
        </w:rPr>
        <w:t xml:space="preserve"> </w:t>
      </w:r>
      <w:r w:rsidRPr="004F63B2">
        <w:rPr>
          <w:rFonts w:ascii="Verdana" w:hAnsi="Verdana"/>
          <w:sz w:val="20"/>
          <w:szCs w:val="20"/>
        </w:rPr>
        <w:t>experiencia</w:t>
      </w:r>
      <w:r w:rsidRPr="004F63B2">
        <w:rPr>
          <w:rFonts w:ascii="Verdana" w:hAnsi="Verdana"/>
          <w:spacing w:val="-10"/>
          <w:sz w:val="20"/>
          <w:szCs w:val="20"/>
        </w:rPr>
        <w:t xml:space="preserve"> </w:t>
      </w:r>
      <w:r w:rsidRPr="004F63B2">
        <w:rPr>
          <w:rFonts w:ascii="Verdana" w:hAnsi="Verdana"/>
          <w:sz w:val="20"/>
          <w:szCs w:val="20"/>
        </w:rPr>
        <w:t>requerida</w:t>
      </w:r>
      <w:r w:rsidRPr="004F63B2">
        <w:rPr>
          <w:rFonts w:ascii="Verdana" w:hAnsi="Verdana"/>
          <w:spacing w:val="-11"/>
          <w:sz w:val="20"/>
          <w:szCs w:val="20"/>
        </w:rPr>
        <w:t xml:space="preserve"> </w:t>
      </w:r>
      <w:r w:rsidRPr="004F63B2">
        <w:rPr>
          <w:rFonts w:ascii="Verdana" w:hAnsi="Verdana"/>
          <w:sz w:val="20"/>
          <w:szCs w:val="20"/>
        </w:rPr>
        <w:t>y</w:t>
      </w:r>
      <w:r w:rsidRPr="004F63B2">
        <w:rPr>
          <w:rFonts w:ascii="Verdana" w:hAnsi="Verdana"/>
          <w:spacing w:val="-13"/>
          <w:sz w:val="20"/>
          <w:szCs w:val="20"/>
        </w:rPr>
        <w:t xml:space="preserve"> </w:t>
      </w:r>
      <w:r w:rsidRPr="004F63B2">
        <w:rPr>
          <w:rFonts w:ascii="Verdana" w:hAnsi="Verdana"/>
          <w:sz w:val="20"/>
          <w:szCs w:val="20"/>
        </w:rPr>
        <w:t>relacionada</w:t>
      </w:r>
      <w:r w:rsidRPr="004F63B2">
        <w:rPr>
          <w:rFonts w:ascii="Verdana" w:hAnsi="Verdana"/>
          <w:spacing w:val="-10"/>
          <w:sz w:val="20"/>
          <w:szCs w:val="20"/>
        </w:rPr>
        <w:t xml:space="preserve"> </w:t>
      </w:r>
      <w:r w:rsidRPr="004F63B2">
        <w:rPr>
          <w:rFonts w:ascii="Verdana" w:hAnsi="Verdana"/>
          <w:sz w:val="20"/>
          <w:szCs w:val="20"/>
        </w:rPr>
        <w:t>con</w:t>
      </w:r>
      <w:r w:rsidRPr="004F63B2">
        <w:rPr>
          <w:rFonts w:ascii="Verdana" w:hAnsi="Verdana"/>
          <w:spacing w:val="-12"/>
          <w:sz w:val="20"/>
          <w:szCs w:val="20"/>
        </w:rPr>
        <w:t xml:space="preserve"> </w:t>
      </w:r>
      <w:r w:rsidRPr="004F63B2">
        <w:rPr>
          <w:rFonts w:ascii="Verdana" w:hAnsi="Verdana"/>
          <w:sz w:val="20"/>
          <w:szCs w:val="20"/>
        </w:rPr>
        <w:t>el</w:t>
      </w:r>
      <w:r w:rsidRPr="004F63B2">
        <w:rPr>
          <w:rFonts w:ascii="Verdana" w:hAnsi="Verdana"/>
          <w:spacing w:val="-13"/>
          <w:sz w:val="20"/>
          <w:szCs w:val="20"/>
        </w:rPr>
        <w:t xml:space="preserve"> </w:t>
      </w:r>
      <w:r w:rsidRPr="004F63B2">
        <w:rPr>
          <w:rFonts w:ascii="Verdana" w:hAnsi="Verdana"/>
          <w:sz w:val="20"/>
          <w:szCs w:val="20"/>
        </w:rPr>
        <w:t>área</w:t>
      </w:r>
      <w:r w:rsidRPr="004F63B2">
        <w:rPr>
          <w:rFonts w:ascii="Verdana" w:hAnsi="Verdana"/>
          <w:spacing w:val="-12"/>
          <w:sz w:val="20"/>
          <w:szCs w:val="20"/>
        </w:rPr>
        <w:t xml:space="preserve"> </w:t>
      </w:r>
      <w:r w:rsidRPr="004F63B2">
        <w:rPr>
          <w:rFonts w:ascii="Verdana" w:hAnsi="Verdana"/>
          <w:sz w:val="20"/>
          <w:szCs w:val="20"/>
        </w:rPr>
        <w:t xml:space="preserve">de </w:t>
      </w:r>
      <w:r w:rsidRPr="004F63B2">
        <w:rPr>
          <w:rFonts w:ascii="Verdana" w:hAnsi="Verdana"/>
          <w:sz w:val="20"/>
          <w:szCs w:val="20"/>
        </w:rPr>
        <w:lastRenderedPageBreak/>
        <w:t>que se trate. En este caso, no es necesario que la Entidad Estatal haya obtenido previamente varias ofertas, de lo cual el ordenador del gasto debe dejar constancia escrita.</w:t>
      </w:r>
    </w:p>
    <w:p w14:paraId="2E56C7C7" w14:textId="77777777" w:rsidR="000A43AA" w:rsidRPr="004F63B2" w:rsidRDefault="000A43AA" w:rsidP="000A43AA">
      <w:pPr>
        <w:spacing w:after="0" w:line="240" w:lineRule="auto"/>
        <w:ind w:left="709" w:right="709"/>
        <w:jc w:val="both"/>
        <w:rPr>
          <w:rFonts w:ascii="Verdana" w:hAnsi="Verdana"/>
          <w:sz w:val="20"/>
          <w:szCs w:val="20"/>
        </w:rPr>
      </w:pPr>
    </w:p>
    <w:p w14:paraId="523AFC27" w14:textId="77777777" w:rsidR="000A43AA" w:rsidRPr="004F63B2" w:rsidRDefault="000A43AA" w:rsidP="000A43AA">
      <w:pPr>
        <w:spacing w:after="0" w:line="240" w:lineRule="auto"/>
        <w:ind w:left="709" w:right="709"/>
        <w:jc w:val="both"/>
        <w:rPr>
          <w:rFonts w:ascii="Verdana" w:hAnsi="Verdana"/>
          <w:sz w:val="20"/>
          <w:szCs w:val="20"/>
        </w:rPr>
      </w:pPr>
      <w:r w:rsidRPr="004F63B2">
        <w:rPr>
          <w:rFonts w:ascii="Verdana" w:hAnsi="Verdana"/>
          <w:sz w:val="20"/>
          <w:szCs w:val="20"/>
        </w:rPr>
        <w:t>Los</w:t>
      </w:r>
      <w:r w:rsidRPr="004F63B2">
        <w:rPr>
          <w:rFonts w:ascii="Verdana" w:hAnsi="Verdana"/>
          <w:spacing w:val="-18"/>
          <w:sz w:val="20"/>
          <w:szCs w:val="20"/>
        </w:rPr>
        <w:t xml:space="preserve"> </w:t>
      </w:r>
      <w:r w:rsidRPr="004F63B2">
        <w:rPr>
          <w:rFonts w:ascii="Verdana" w:hAnsi="Verdana"/>
          <w:sz w:val="20"/>
          <w:szCs w:val="20"/>
        </w:rPr>
        <w:t>servicios</w:t>
      </w:r>
      <w:r w:rsidRPr="004F63B2">
        <w:rPr>
          <w:rFonts w:ascii="Verdana" w:hAnsi="Verdana"/>
          <w:spacing w:val="-18"/>
          <w:sz w:val="20"/>
          <w:szCs w:val="20"/>
        </w:rPr>
        <w:t xml:space="preserve"> </w:t>
      </w:r>
      <w:r w:rsidRPr="004F63B2">
        <w:rPr>
          <w:rFonts w:ascii="Verdana" w:hAnsi="Verdana"/>
          <w:sz w:val="20"/>
          <w:szCs w:val="20"/>
        </w:rPr>
        <w:t>profesionales</w:t>
      </w:r>
      <w:r w:rsidRPr="004F63B2">
        <w:rPr>
          <w:rFonts w:ascii="Verdana" w:hAnsi="Verdana"/>
          <w:spacing w:val="-17"/>
          <w:sz w:val="20"/>
          <w:szCs w:val="20"/>
        </w:rPr>
        <w:t xml:space="preserve"> </w:t>
      </w:r>
      <w:r w:rsidRPr="004F63B2">
        <w:rPr>
          <w:rFonts w:ascii="Verdana" w:hAnsi="Verdana"/>
          <w:sz w:val="20"/>
          <w:szCs w:val="20"/>
        </w:rPr>
        <w:t>y</w:t>
      </w:r>
      <w:r w:rsidRPr="004F63B2">
        <w:rPr>
          <w:rFonts w:ascii="Verdana" w:hAnsi="Verdana"/>
          <w:spacing w:val="-18"/>
          <w:sz w:val="20"/>
          <w:szCs w:val="20"/>
        </w:rPr>
        <w:t xml:space="preserve"> </w:t>
      </w:r>
      <w:r w:rsidRPr="004F63B2">
        <w:rPr>
          <w:rFonts w:ascii="Verdana" w:hAnsi="Verdana"/>
          <w:sz w:val="20"/>
          <w:szCs w:val="20"/>
        </w:rPr>
        <w:t>de</w:t>
      </w:r>
      <w:r w:rsidRPr="004F63B2">
        <w:rPr>
          <w:rFonts w:ascii="Verdana" w:hAnsi="Verdana"/>
          <w:spacing w:val="-17"/>
          <w:sz w:val="20"/>
          <w:szCs w:val="20"/>
        </w:rPr>
        <w:t xml:space="preserve"> </w:t>
      </w:r>
      <w:r w:rsidRPr="004F63B2">
        <w:rPr>
          <w:rFonts w:ascii="Verdana" w:hAnsi="Verdana"/>
          <w:sz w:val="20"/>
          <w:szCs w:val="20"/>
        </w:rPr>
        <w:t>apoyo</w:t>
      </w:r>
      <w:r w:rsidRPr="004F63B2">
        <w:rPr>
          <w:rFonts w:ascii="Verdana" w:hAnsi="Verdana"/>
          <w:spacing w:val="-18"/>
          <w:sz w:val="20"/>
          <w:szCs w:val="20"/>
        </w:rPr>
        <w:t xml:space="preserve"> </w:t>
      </w:r>
      <w:r w:rsidRPr="004F63B2">
        <w:rPr>
          <w:rFonts w:ascii="Verdana" w:hAnsi="Verdana"/>
          <w:sz w:val="20"/>
          <w:szCs w:val="20"/>
        </w:rPr>
        <w:t>a</w:t>
      </w:r>
      <w:r w:rsidRPr="004F63B2">
        <w:rPr>
          <w:rFonts w:ascii="Verdana" w:hAnsi="Verdana"/>
          <w:spacing w:val="-18"/>
          <w:sz w:val="20"/>
          <w:szCs w:val="20"/>
        </w:rPr>
        <w:t xml:space="preserve"> </w:t>
      </w:r>
      <w:r w:rsidRPr="004F63B2">
        <w:rPr>
          <w:rFonts w:ascii="Verdana" w:hAnsi="Verdana"/>
          <w:sz w:val="20"/>
          <w:szCs w:val="20"/>
        </w:rPr>
        <w:t>la</w:t>
      </w:r>
      <w:r w:rsidRPr="004F63B2">
        <w:rPr>
          <w:rFonts w:ascii="Verdana" w:hAnsi="Verdana"/>
          <w:spacing w:val="-17"/>
          <w:sz w:val="20"/>
          <w:szCs w:val="20"/>
        </w:rPr>
        <w:t xml:space="preserve"> </w:t>
      </w:r>
      <w:r w:rsidRPr="004F63B2">
        <w:rPr>
          <w:rFonts w:ascii="Verdana" w:hAnsi="Verdana"/>
          <w:sz w:val="20"/>
          <w:szCs w:val="20"/>
        </w:rPr>
        <w:t>gestión</w:t>
      </w:r>
      <w:r w:rsidRPr="004F63B2">
        <w:rPr>
          <w:rFonts w:ascii="Verdana" w:hAnsi="Verdana"/>
          <w:spacing w:val="-18"/>
          <w:sz w:val="20"/>
          <w:szCs w:val="20"/>
        </w:rPr>
        <w:t xml:space="preserve"> </w:t>
      </w:r>
      <w:r w:rsidRPr="004F63B2">
        <w:rPr>
          <w:rFonts w:ascii="Verdana" w:hAnsi="Verdana"/>
          <w:sz w:val="20"/>
          <w:szCs w:val="20"/>
        </w:rPr>
        <w:t>corresponden</w:t>
      </w:r>
      <w:r w:rsidRPr="004F63B2">
        <w:rPr>
          <w:rFonts w:ascii="Verdana" w:hAnsi="Verdana"/>
          <w:spacing w:val="-17"/>
          <w:sz w:val="20"/>
          <w:szCs w:val="20"/>
        </w:rPr>
        <w:t xml:space="preserve"> </w:t>
      </w:r>
      <w:r w:rsidRPr="004F63B2">
        <w:rPr>
          <w:rFonts w:ascii="Verdana" w:hAnsi="Verdana"/>
          <w:sz w:val="20"/>
          <w:szCs w:val="20"/>
        </w:rPr>
        <w:t>a</w:t>
      </w:r>
      <w:r w:rsidRPr="004F63B2">
        <w:rPr>
          <w:rFonts w:ascii="Verdana" w:hAnsi="Verdana"/>
          <w:spacing w:val="-18"/>
          <w:sz w:val="20"/>
          <w:szCs w:val="20"/>
        </w:rPr>
        <w:t xml:space="preserve"> </w:t>
      </w:r>
      <w:r w:rsidRPr="004F63B2">
        <w:rPr>
          <w:rFonts w:ascii="Verdana" w:hAnsi="Verdana"/>
          <w:sz w:val="20"/>
          <w:szCs w:val="20"/>
        </w:rPr>
        <w:t>aquellos de naturaleza intelectual diferentes a los de consultoría que se derivan del cumplimiento de las funciones de la Entidad Estatal, así como los relacionados con actividades operativas, logísticas, o asistenciales.</w:t>
      </w:r>
    </w:p>
    <w:p w14:paraId="3BE83C5C" w14:textId="77777777" w:rsidR="000A43AA" w:rsidRPr="004F63B2" w:rsidRDefault="000A43AA" w:rsidP="000A43AA">
      <w:pPr>
        <w:spacing w:after="0" w:line="240" w:lineRule="auto"/>
        <w:ind w:left="709" w:right="709"/>
        <w:jc w:val="both"/>
        <w:rPr>
          <w:rFonts w:ascii="Verdana" w:hAnsi="Verdana"/>
          <w:sz w:val="20"/>
          <w:szCs w:val="20"/>
        </w:rPr>
      </w:pPr>
    </w:p>
    <w:p w14:paraId="5760673E" w14:textId="77777777" w:rsidR="000A43AA" w:rsidRPr="004F63B2" w:rsidRDefault="000A43AA" w:rsidP="000A43AA">
      <w:pPr>
        <w:spacing w:after="0" w:line="240" w:lineRule="auto"/>
        <w:ind w:left="709" w:right="709"/>
        <w:jc w:val="both"/>
        <w:rPr>
          <w:rFonts w:ascii="Verdana" w:hAnsi="Verdana"/>
          <w:sz w:val="20"/>
          <w:szCs w:val="20"/>
        </w:rPr>
      </w:pPr>
      <w:r w:rsidRPr="004F63B2">
        <w:rPr>
          <w:rFonts w:ascii="Verdana" w:hAnsi="Verdana"/>
          <w:sz w:val="20"/>
          <w:szCs w:val="20"/>
        </w:rPr>
        <w:t>La Entidad Estatal, para la contratación de trabajos artísticos que solamente puedan encomendarse a determinadas personas naturales, debe justificar esta situación en los estudios y documentos previos”.</w:t>
      </w:r>
    </w:p>
    <w:p w14:paraId="28659CDA" w14:textId="77777777" w:rsidR="000A43AA" w:rsidRPr="009A6F9B" w:rsidRDefault="000A43AA" w:rsidP="00D42615">
      <w:pPr>
        <w:spacing w:after="0"/>
        <w:jc w:val="both"/>
        <w:rPr>
          <w:rFonts w:ascii="Verdana" w:hAnsi="Verdana"/>
        </w:rPr>
      </w:pPr>
    </w:p>
    <w:p w14:paraId="5D3F1D2D" w14:textId="79C5E91F" w:rsidR="000A43AA" w:rsidRPr="00827711" w:rsidRDefault="009E2208" w:rsidP="000A43AA">
      <w:pPr>
        <w:spacing w:after="120" w:line="276" w:lineRule="auto"/>
        <w:ind w:firstLine="709"/>
        <w:jc w:val="both"/>
        <w:rPr>
          <w:rFonts w:ascii="Verdana" w:eastAsia="Calibri" w:hAnsi="Verdana" w:cs="Arial"/>
          <w:bCs/>
          <w:lang w:val="es-MX"/>
        </w:rPr>
      </w:pPr>
      <w:r>
        <w:rPr>
          <w:rFonts w:ascii="Verdana" w:eastAsia="Calibri" w:hAnsi="Verdana" w:cs="Arial"/>
          <w:bCs/>
          <w:lang w:val="es-MX"/>
        </w:rPr>
        <w:t>Ahora bien, e</w:t>
      </w:r>
      <w:r w:rsidR="000A43AA" w:rsidRPr="00827711">
        <w:rPr>
          <w:rFonts w:ascii="Verdana" w:eastAsia="Calibri" w:hAnsi="Verdana" w:cs="Arial"/>
          <w:bCs/>
          <w:lang w:val="es-MX"/>
        </w:rPr>
        <w:t>l fuero de maternidad es una figura que otorga una protección reforzada a la futura madre y a la que acaba de serlo, es decir, a la mujer que se encuentra en estado de embarazo y en periodo de lactancia, con el fin de que el proceso de gestación no interfiera en la estabilidad laboral que, como trabajadora, le asiste. El propósito es que la</w:t>
      </w:r>
      <w:r w:rsidR="00895A7A">
        <w:rPr>
          <w:rFonts w:ascii="Verdana" w:eastAsia="Calibri" w:hAnsi="Verdana" w:cs="Arial"/>
          <w:bCs/>
          <w:lang w:val="es-MX"/>
        </w:rPr>
        <w:t>s</w:t>
      </w:r>
      <w:r w:rsidR="000A43AA" w:rsidRPr="00827711">
        <w:rPr>
          <w:rFonts w:ascii="Verdana" w:eastAsia="Calibri" w:hAnsi="Verdana" w:cs="Arial"/>
          <w:bCs/>
          <w:lang w:val="es-MX"/>
        </w:rPr>
        <w:t xml:space="preserve"> aspiraciones familiares y profesionales de la mujer no se excluyan y puedan armonizarse, al punto de desarrollar su proyecto de vida y su personalidad en condiciones de dignidad y libertad, pues históricamente el estado de gravidez (embarazo) ha constituido un motivo de exclusión de la mujer en el trabajo, en el que es preciso “impedir la discriminación constituida por el despido, la terminación o la no renovación del contrato por causa o con ocasión del embarazo o la lactancia”</w:t>
      </w:r>
      <w:r w:rsidR="000A43AA" w:rsidRPr="009954A8">
        <w:rPr>
          <w:rStyle w:val="Refdenotaalpie"/>
          <w:rFonts w:ascii="Verdana" w:eastAsia="Calibri" w:hAnsi="Verdana" w:cs="Arial"/>
          <w:bCs/>
        </w:rPr>
        <w:footnoteReference w:id="2"/>
      </w:r>
      <w:r w:rsidR="000A43AA" w:rsidRPr="00827711">
        <w:rPr>
          <w:rFonts w:ascii="Verdana" w:eastAsia="Calibri" w:hAnsi="Verdana" w:cs="Arial"/>
          <w:bCs/>
          <w:lang w:val="es-MX"/>
        </w:rPr>
        <w:t>.</w:t>
      </w:r>
    </w:p>
    <w:p w14:paraId="594F3A36" w14:textId="236EA8C5" w:rsidR="000A43AA" w:rsidRDefault="000A43AA" w:rsidP="000A43AA">
      <w:pPr>
        <w:pStyle w:val="Textoindependiente"/>
        <w:spacing w:line="276" w:lineRule="auto"/>
        <w:ind w:firstLine="709"/>
        <w:jc w:val="both"/>
        <w:rPr>
          <w:rFonts w:ascii="Verdana" w:hAnsi="Verdana" w:cs="Arial"/>
        </w:rPr>
      </w:pPr>
      <w:r w:rsidRPr="009954A8">
        <w:rPr>
          <w:rFonts w:ascii="Verdana" w:hAnsi="Verdana" w:cs="Arial"/>
        </w:rPr>
        <w:t xml:space="preserve">Para desarrollar </w:t>
      </w:r>
      <w:r>
        <w:rPr>
          <w:rFonts w:ascii="Verdana" w:hAnsi="Verdana" w:cs="Arial"/>
        </w:rPr>
        <w:t>el problema planteado</w:t>
      </w:r>
      <w:r w:rsidR="00895A7A">
        <w:rPr>
          <w:rFonts w:ascii="Verdana" w:hAnsi="Verdana" w:cs="Arial"/>
        </w:rPr>
        <w:t xml:space="preserve"> en el presente concepto</w:t>
      </w:r>
      <w:r w:rsidRPr="009954A8">
        <w:rPr>
          <w:rFonts w:ascii="Verdana" w:hAnsi="Verdana" w:cs="Arial"/>
        </w:rPr>
        <w:t>, se explicarán las dos posiciones que ha definido la Corte Constitucional para proteger el fuero de maternidad a una mujer que está vinculada</w:t>
      </w:r>
      <w:r w:rsidRPr="009954A8">
        <w:rPr>
          <w:rFonts w:ascii="Verdana" w:hAnsi="Verdana" w:cs="Arial"/>
          <w:spacing w:val="19"/>
        </w:rPr>
        <w:t xml:space="preserve"> </w:t>
      </w:r>
      <w:r w:rsidRPr="009954A8">
        <w:rPr>
          <w:rFonts w:ascii="Verdana" w:hAnsi="Verdana" w:cs="Arial"/>
        </w:rPr>
        <w:t>a</w:t>
      </w:r>
      <w:r w:rsidRPr="009954A8">
        <w:rPr>
          <w:rFonts w:ascii="Verdana" w:hAnsi="Verdana" w:cs="Arial"/>
          <w:spacing w:val="19"/>
        </w:rPr>
        <w:t xml:space="preserve"> </w:t>
      </w:r>
      <w:r w:rsidRPr="009954A8">
        <w:rPr>
          <w:rFonts w:ascii="Verdana" w:hAnsi="Verdana" w:cs="Arial"/>
        </w:rPr>
        <w:t>través</w:t>
      </w:r>
      <w:r w:rsidRPr="009954A8">
        <w:rPr>
          <w:rFonts w:ascii="Verdana" w:hAnsi="Verdana" w:cs="Arial"/>
          <w:spacing w:val="19"/>
        </w:rPr>
        <w:t xml:space="preserve"> </w:t>
      </w:r>
      <w:r w:rsidRPr="009954A8">
        <w:rPr>
          <w:rFonts w:ascii="Verdana" w:hAnsi="Verdana" w:cs="Arial"/>
        </w:rPr>
        <w:t>de</w:t>
      </w:r>
      <w:r w:rsidRPr="009954A8">
        <w:rPr>
          <w:rFonts w:ascii="Verdana" w:hAnsi="Verdana" w:cs="Arial"/>
          <w:spacing w:val="18"/>
        </w:rPr>
        <w:t xml:space="preserve"> </w:t>
      </w:r>
      <w:r w:rsidRPr="009954A8">
        <w:rPr>
          <w:rFonts w:ascii="Verdana" w:hAnsi="Verdana" w:cs="Arial"/>
        </w:rPr>
        <w:t>un</w:t>
      </w:r>
      <w:r w:rsidRPr="009954A8">
        <w:rPr>
          <w:rFonts w:ascii="Verdana" w:hAnsi="Verdana" w:cs="Arial"/>
          <w:spacing w:val="19"/>
        </w:rPr>
        <w:t xml:space="preserve"> </w:t>
      </w:r>
      <w:r w:rsidRPr="009954A8">
        <w:rPr>
          <w:rFonts w:ascii="Verdana" w:hAnsi="Verdana" w:cs="Arial"/>
        </w:rPr>
        <w:t>contrato</w:t>
      </w:r>
      <w:r w:rsidRPr="009954A8">
        <w:rPr>
          <w:rFonts w:ascii="Verdana" w:hAnsi="Verdana" w:cs="Arial"/>
          <w:spacing w:val="19"/>
        </w:rPr>
        <w:t xml:space="preserve"> </w:t>
      </w:r>
      <w:r w:rsidRPr="009954A8">
        <w:rPr>
          <w:rFonts w:ascii="Verdana" w:hAnsi="Verdana" w:cs="Arial"/>
        </w:rPr>
        <w:t>de</w:t>
      </w:r>
      <w:r w:rsidRPr="009954A8">
        <w:rPr>
          <w:rFonts w:ascii="Verdana" w:hAnsi="Verdana" w:cs="Arial"/>
          <w:spacing w:val="18"/>
        </w:rPr>
        <w:t xml:space="preserve"> </w:t>
      </w:r>
      <w:r w:rsidRPr="009954A8">
        <w:rPr>
          <w:rFonts w:ascii="Verdana" w:hAnsi="Verdana" w:cs="Arial"/>
        </w:rPr>
        <w:t>prestación</w:t>
      </w:r>
      <w:r w:rsidRPr="009954A8">
        <w:rPr>
          <w:rFonts w:ascii="Verdana" w:hAnsi="Verdana" w:cs="Arial"/>
          <w:spacing w:val="19"/>
        </w:rPr>
        <w:t xml:space="preserve"> </w:t>
      </w:r>
      <w:r w:rsidRPr="009954A8">
        <w:rPr>
          <w:rFonts w:ascii="Verdana" w:hAnsi="Verdana" w:cs="Arial"/>
        </w:rPr>
        <w:t>de</w:t>
      </w:r>
      <w:r w:rsidRPr="009954A8">
        <w:rPr>
          <w:rFonts w:ascii="Verdana" w:hAnsi="Verdana" w:cs="Arial"/>
          <w:spacing w:val="19"/>
        </w:rPr>
        <w:t xml:space="preserve"> </w:t>
      </w:r>
      <w:r w:rsidRPr="009954A8">
        <w:rPr>
          <w:rFonts w:ascii="Verdana" w:hAnsi="Verdana" w:cs="Arial"/>
        </w:rPr>
        <w:t>servicios.</w:t>
      </w:r>
      <w:r w:rsidRPr="009954A8">
        <w:rPr>
          <w:rFonts w:ascii="Verdana" w:hAnsi="Verdana" w:cs="Arial"/>
          <w:spacing w:val="18"/>
        </w:rPr>
        <w:t xml:space="preserve"> </w:t>
      </w:r>
      <w:r w:rsidRPr="009954A8">
        <w:rPr>
          <w:rFonts w:ascii="Verdana" w:hAnsi="Verdana" w:cs="Arial"/>
        </w:rPr>
        <w:t>Lo</w:t>
      </w:r>
      <w:r w:rsidRPr="009954A8">
        <w:rPr>
          <w:rFonts w:ascii="Verdana" w:hAnsi="Verdana" w:cs="Arial"/>
          <w:spacing w:val="24"/>
        </w:rPr>
        <w:t xml:space="preserve"> </w:t>
      </w:r>
      <w:r w:rsidRPr="009954A8">
        <w:rPr>
          <w:rFonts w:ascii="Verdana" w:hAnsi="Verdana" w:cs="Arial"/>
        </w:rPr>
        <w:t>anterior</w:t>
      </w:r>
      <w:r w:rsidRPr="009954A8">
        <w:rPr>
          <w:rFonts w:ascii="Verdana" w:hAnsi="Verdana" w:cs="Arial"/>
          <w:spacing w:val="18"/>
        </w:rPr>
        <w:t xml:space="preserve"> </w:t>
      </w:r>
      <w:r w:rsidRPr="009954A8">
        <w:rPr>
          <w:rFonts w:ascii="Verdana" w:hAnsi="Verdana" w:cs="Arial"/>
        </w:rPr>
        <w:t>para</w:t>
      </w:r>
      <w:r w:rsidRPr="009954A8">
        <w:rPr>
          <w:rFonts w:ascii="Verdana" w:hAnsi="Verdana" w:cs="Arial"/>
          <w:spacing w:val="18"/>
        </w:rPr>
        <w:t xml:space="preserve"> </w:t>
      </w:r>
      <w:r w:rsidRPr="009954A8">
        <w:rPr>
          <w:rFonts w:ascii="Verdana" w:hAnsi="Verdana" w:cs="Arial"/>
        </w:rPr>
        <w:t>determinar cuál es la posición actual del Alto Tribunal Constitucional en la defensa el derecho a la estabilidad laboral reforzada.</w:t>
      </w:r>
    </w:p>
    <w:p w14:paraId="4F7914EA" w14:textId="26C9E879" w:rsidR="000A43AA" w:rsidRDefault="000A43AA" w:rsidP="000A43AA">
      <w:pPr>
        <w:pStyle w:val="Textoindependiente"/>
        <w:spacing w:line="276" w:lineRule="auto"/>
        <w:ind w:firstLine="709"/>
        <w:jc w:val="both"/>
        <w:rPr>
          <w:rFonts w:ascii="Verdana" w:hAnsi="Verdana" w:cs="Arial"/>
          <w:lang w:eastAsia="es-CO"/>
        </w:rPr>
      </w:pPr>
      <w:r w:rsidRPr="00805B32">
        <w:rPr>
          <w:rFonts w:ascii="Verdana" w:hAnsi="Verdana" w:cs="Arial"/>
        </w:rPr>
        <w:t xml:space="preserve">La Corte Constitucional, en la Sentencia de Unificación 070 de 2013, con ponencia </w:t>
      </w:r>
      <w:r w:rsidRPr="00107AC4">
        <w:rPr>
          <w:rFonts w:ascii="Verdana" w:eastAsia="Arial" w:hAnsi="Verdana" w:cs="Arial"/>
          <w:color w:val="000000"/>
        </w:rPr>
        <w:t>de</w:t>
      </w:r>
      <w:r>
        <w:rPr>
          <w:rFonts w:ascii="Verdana" w:eastAsia="Arial" w:hAnsi="Verdana" w:cs="Arial"/>
          <w:color w:val="000000"/>
        </w:rPr>
        <w:t>l</w:t>
      </w:r>
      <w:r w:rsidRPr="00107AC4">
        <w:rPr>
          <w:rFonts w:ascii="Verdana" w:eastAsia="Arial" w:hAnsi="Verdana" w:cs="Arial"/>
          <w:color w:val="000000"/>
        </w:rPr>
        <w:t xml:space="preserve"> Magistrad</w:t>
      </w:r>
      <w:r>
        <w:rPr>
          <w:rFonts w:ascii="Verdana" w:eastAsia="Arial" w:hAnsi="Verdana" w:cs="Arial"/>
          <w:color w:val="000000"/>
        </w:rPr>
        <w:t>o</w:t>
      </w:r>
      <w:r w:rsidRPr="00107AC4">
        <w:rPr>
          <w:rFonts w:ascii="Verdana" w:eastAsia="Arial" w:hAnsi="Verdana" w:cs="Arial"/>
          <w:color w:val="000000"/>
        </w:rPr>
        <w:t xml:space="preserve"> </w:t>
      </w:r>
      <w:proofErr w:type="spellStart"/>
      <w:r w:rsidRPr="001D1044">
        <w:rPr>
          <w:rFonts w:ascii="Verdana" w:eastAsia="Arial" w:hAnsi="Verdana" w:cs="Arial"/>
          <w:color w:val="000000"/>
        </w:rPr>
        <w:t>Alexei</w:t>
      </w:r>
      <w:proofErr w:type="spellEnd"/>
      <w:r w:rsidRPr="001D1044">
        <w:rPr>
          <w:rFonts w:ascii="Verdana" w:eastAsia="Arial" w:hAnsi="Verdana" w:cs="Arial"/>
          <w:color w:val="000000"/>
        </w:rPr>
        <w:t xml:space="preserve"> Julio Estrada</w:t>
      </w:r>
      <w:r w:rsidRPr="00805B32">
        <w:rPr>
          <w:rFonts w:ascii="Verdana" w:hAnsi="Verdana" w:cs="Arial"/>
        </w:rPr>
        <w:t>, fijó la primera posición frente el tema</w:t>
      </w:r>
      <w:r w:rsidR="00D968BF">
        <w:rPr>
          <w:rFonts w:ascii="Verdana" w:hAnsi="Verdana" w:cs="Arial"/>
        </w:rPr>
        <w:t>. En dicha providencia</w:t>
      </w:r>
      <w:r w:rsidRPr="00805B32">
        <w:rPr>
          <w:rFonts w:ascii="Verdana" w:hAnsi="Verdana" w:cs="Arial"/>
        </w:rPr>
        <w:t xml:space="preserve"> indic</w:t>
      </w:r>
      <w:r w:rsidR="00D968BF">
        <w:rPr>
          <w:rFonts w:ascii="Verdana" w:hAnsi="Verdana" w:cs="Arial"/>
        </w:rPr>
        <w:t xml:space="preserve">ó </w:t>
      </w:r>
      <w:r w:rsidRPr="00805B32">
        <w:rPr>
          <w:rFonts w:ascii="Verdana" w:hAnsi="Verdana" w:cs="Arial"/>
        </w:rPr>
        <w:t xml:space="preserve">que la protección al fuero de maternidad excluye a las trabajadoras que laboran de manera independiente, y sólo procede su protección si el juez de tutela, al analizar las condiciones propias del contrato de prestación de servicios, comprueba que las partes están vinculadas a través </w:t>
      </w:r>
      <w:r w:rsidRPr="00805B32">
        <w:rPr>
          <w:rFonts w:ascii="Verdana" w:hAnsi="Verdana" w:cs="Arial"/>
        </w:rPr>
        <w:lastRenderedPageBreak/>
        <w:t>de un contrato de trabajo</w:t>
      </w:r>
      <w:r w:rsidRPr="009954A8">
        <w:rPr>
          <w:rStyle w:val="Refdenotaalpie"/>
          <w:rFonts w:ascii="Verdana" w:hAnsi="Verdana" w:cs="Arial"/>
        </w:rPr>
        <w:footnoteReference w:id="3"/>
      </w:r>
      <w:r w:rsidRPr="00805B32">
        <w:rPr>
          <w:rFonts w:ascii="Verdana" w:hAnsi="Verdana" w:cs="Arial"/>
        </w:rPr>
        <w:t xml:space="preserve">. De esta forma, la protección a la estabilidad </w:t>
      </w:r>
      <w:r w:rsidR="00B70136">
        <w:rPr>
          <w:rFonts w:ascii="Verdana" w:hAnsi="Verdana" w:cs="Arial"/>
        </w:rPr>
        <w:t>ocupacional</w:t>
      </w:r>
      <w:r w:rsidR="00B70136" w:rsidRPr="00805B32">
        <w:rPr>
          <w:rFonts w:ascii="Verdana" w:hAnsi="Verdana" w:cs="Arial"/>
        </w:rPr>
        <w:t xml:space="preserve"> </w:t>
      </w:r>
      <w:r w:rsidRPr="00805B32">
        <w:rPr>
          <w:rFonts w:ascii="Verdana" w:hAnsi="Verdana" w:cs="Arial"/>
        </w:rPr>
        <w:t>reforzada de mujeres vinculadas a través de un contrato de prestación de servicios sólo procede frente aquellos casos donde se verifique la concurrencia de los tres (3) elementos del contrato de trabajo.</w:t>
      </w:r>
    </w:p>
    <w:p w14:paraId="7324330A" w14:textId="5AFB4F30" w:rsidR="000A43AA" w:rsidRPr="00827711" w:rsidRDefault="000A43AA" w:rsidP="000A43AA">
      <w:pPr>
        <w:spacing w:after="120" w:line="276" w:lineRule="auto"/>
        <w:ind w:firstLine="709"/>
        <w:jc w:val="both"/>
        <w:rPr>
          <w:rFonts w:ascii="Verdana" w:hAnsi="Verdana" w:cs="Arial"/>
          <w:lang w:eastAsia="es-CO"/>
        </w:rPr>
      </w:pPr>
      <w:r w:rsidRPr="00827711">
        <w:rPr>
          <w:rFonts w:ascii="Verdana" w:hAnsi="Verdana" w:cs="Arial"/>
        </w:rPr>
        <w:t>Ahora bien, el Alto Tribunal Constitucional, en las sentencias T-102 de 2016</w:t>
      </w:r>
      <w:r w:rsidRPr="009954A8">
        <w:rPr>
          <w:rStyle w:val="Refdenotaalpie"/>
          <w:rFonts w:ascii="Verdana" w:hAnsi="Verdana" w:cs="Arial"/>
        </w:rPr>
        <w:footnoteReference w:id="4"/>
      </w:r>
      <w:r w:rsidRPr="00827711">
        <w:rPr>
          <w:rFonts w:ascii="Verdana" w:hAnsi="Verdana" w:cs="Arial"/>
        </w:rPr>
        <w:t xml:space="preserve"> y T-564 de 2017</w:t>
      </w:r>
      <w:r w:rsidRPr="009954A8">
        <w:rPr>
          <w:rStyle w:val="Refdenotaalpie"/>
          <w:rFonts w:ascii="Verdana" w:hAnsi="Verdana" w:cs="Arial"/>
        </w:rPr>
        <w:footnoteReference w:id="5"/>
      </w:r>
      <w:r w:rsidR="002158EA">
        <w:rPr>
          <w:rFonts w:ascii="Verdana" w:hAnsi="Verdana" w:cs="Arial"/>
        </w:rPr>
        <w:t>,</w:t>
      </w:r>
      <w:r w:rsidRPr="00827711">
        <w:rPr>
          <w:rFonts w:ascii="Verdana" w:hAnsi="Verdana" w:cs="Arial"/>
        </w:rPr>
        <w:t xml:space="preserve"> estableció otra posición</w:t>
      </w:r>
      <w:r w:rsidR="009E0217">
        <w:rPr>
          <w:rFonts w:ascii="Verdana" w:hAnsi="Verdana" w:cs="Arial"/>
        </w:rPr>
        <w:t xml:space="preserve"> para aquellos</w:t>
      </w:r>
      <w:r w:rsidRPr="00827711">
        <w:rPr>
          <w:rFonts w:ascii="Verdana" w:hAnsi="Verdana" w:cs="Arial"/>
        </w:rPr>
        <w:t xml:space="preserve"> eventos donde no se prueba la configuración del contrato realidad</w:t>
      </w:r>
      <w:r w:rsidR="009E0217">
        <w:rPr>
          <w:rFonts w:ascii="Verdana" w:hAnsi="Verdana" w:cs="Arial"/>
        </w:rPr>
        <w:t xml:space="preserve">. La Corte </w:t>
      </w:r>
      <w:r w:rsidR="000F3AA5">
        <w:rPr>
          <w:rFonts w:ascii="Verdana" w:hAnsi="Verdana" w:cs="Arial"/>
        </w:rPr>
        <w:t>señaló</w:t>
      </w:r>
      <w:r w:rsidRPr="00827711">
        <w:rPr>
          <w:rFonts w:ascii="Verdana" w:hAnsi="Verdana" w:cs="Arial"/>
        </w:rPr>
        <w:t xml:space="preserve"> que este no es un motivo suficiente para desproteger los derechos de la estabilidad laboral reforzada de la mujer embarazada, si se comprueba que la terminación del contrato es discriminatoria y no atiende a un motivo objetivo.</w:t>
      </w:r>
    </w:p>
    <w:p w14:paraId="4EC70543" w14:textId="55CD8E25" w:rsidR="000A43AA" w:rsidRPr="009954A8" w:rsidRDefault="000A43AA" w:rsidP="000A43AA">
      <w:pPr>
        <w:pStyle w:val="Textoindependiente"/>
        <w:spacing w:line="276" w:lineRule="auto"/>
        <w:ind w:firstLine="709"/>
        <w:jc w:val="both"/>
        <w:rPr>
          <w:rFonts w:ascii="Verdana" w:hAnsi="Verdana" w:cs="Arial"/>
        </w:rPr>
      </w:pPr>
      <w:r w:rsidRPr="009954A8">
        <w:rPr>
          <w:rFonts w:ascii="Verdana" w:hAnsi="Verdana" w:cs="Arial"/>
        </w:rPr>
        <w:t>De acuerdo con la sentencia T-564 de 2017, a pesar de no probarse la configuración del contrato realidad</w:t>
      </w:r>
      <w:r w:rsidR="000F3AA5">
        <w:rPr>
          <w:rFonts w:ascii="Verdana" w:hAnsi="Verdana" w:cs="Arial"/>
        </w:rPr>
        <w:t>,</w:t>
      </w:r>
      <w:r w:rsidRPr="009954A8">
        <w:rPr>
          <w:rFonts w:ascii="Verdana" w:hAnsi="Verdana" w:cs="Arial"/>
        </w:rPr>
        <w:t xml:space="preserve"> se debe proteger a la mujer en estado de embarazo, vinculada a través de un contrato de prestación de servicios, porque </w:t>
      </w:r>
      <w:r w:rsidRPr="009954A8">
        <w:rPr>
          <w:rFonts w:ascii="Verdana" w:hAnsi="Verdana" w:cs="Arial"/>
        </w:rPr>
        <w:lastRenderedPageBreak/>
        <w:t xml:space="preserve">a pesar de que la </w:t>
      </w:r>
      <w:r w:rsidR="00E52061">
        <w:rPr>
          <w:rFonts w:ascii="Verdana" w:hAnsi="Verdana" w:cs="Arial"/>
        </w:rPr>
        <w:t>contratist</w:t>
      </w:r>
      <w:r w:rsidRPr="009954A8">
        <w:rPr>
          <w:rFonts w:ascii="Verdana" w:hAnsi="Verdana" w:cs="Arial"/>
        </w:rPr>
        <w:t xml:space="preserve">a informó al empleador su estado de gestación, éste terminó anticipadamente su contrato, configurándose una terminación por motivos discriminatorios. Por su parte, la sentencia </w:t>
      </w:r>
      <w:r w:rsidRPr="009954A8">
        <w:rPr>
          <w:rFonts w:ascii="Verdana" w:hAnsi="Verdana" w:cs="Arial"/>
          <w:spacing w:val="3"/>
        </w:rPr>
        <w:t>T-</w:t>
      </w:r>
      <w:r w:rsidRPr="009954A8">
        <w:rPr>
          <w:rFonts w:ascii="Verdana" w:hAnsi="Verdana" w:cs="Arial"/>
        </w:rPr>
        <w:t>102 de 2016, si bien reconoce la existencia del contrato realidad, reitera que el empleador no demostró ningún motivo objetivo que justificará la terminación del contrato, ya sea porque la actividad que venía realizando ya no era necesaria, o porque no probó que las causas que originaron la contratación desaparecieron, entre</w:t>
      </w:r>
      <w:r w:rsidRPr="009954A8">
        <w:rPr>
          <w:rFonts w:ascii="Verdana" w:hAnsi="Verdana" w:cs="Arial"/>
          <w:spacing w:val="-12"/>
        </w:rPr>
        <w:t xml:space="preserve"> </w:t>
      </w:r>
      <w:r w:rsidRPr="009954A8">
        <w:rPr>
          <w:rFonts w:ascii="Verdana" w:hAnsi="Verdana" w:cs="Arial"/>
        </w:rPr>
        <w:t>otros.</w:t>
      </w:r>
    </w:p>
    <w:p w14:paraId="5C0DF8EF" w14:textId="08878041" w:rsidR="000A43AA" w:rsidRPr="009954A8" w:rsidRDefault="000A43AA" w:rsidP="00ED454F">
      <w:pPr>
        <w:pStyle w:val="Textoindependiente"/>
        <w:spacing w:after="0" w:line="276" w:lineRule="auto"/>
        <w:ind w:firstLine="709"/>
        <w:jc w:val="both"/>
        <w:rPr>
          <w:rFonts w:ascii="Verdana" w:hAnsi="Verdana" w:cs="Arial"/>
        </w:rPr>
      </w:pPr>
      <w:r w:rsidRPr="009954A8">
        <w:rPr>
          <w:rFonts w:ascii="Verdana" w:hAnsi="Verdana" w:cs="Arial"/>
        </w:rPr>
        <w:t>En el mismo sentido, en el salvamento de voto a la sentencia T-743 de 2017 se reiteró que la protección a la mujer en estado de embarazo, vinculada por un contrato de prestación de servicios, no sólo se realiza cuando se prueba la configuración de contrato realidad, sino, además, cuando se demuestre que la decisión de la terminación es discriminatoria y no atiende a un motivo objetivo:</w:t>
      </w:r>
    </w:p>
    <w:p w14:paraId="1F13CD4E" w14:textId="77777777" w:rsidR="000A43AA" w:rsidRPr="00D42615" w:rsidRDefault="000A43AA" w:rsidP="00D42615">
      <w:pPr>
        <w:spacing w:after="0" w:line="240" w:lineRule="auto"/>
        <w:ind w:left="709" w:right="709"/>
        <w:jc w:val="both"/>
        <w:rPr>
          <w:rFonts w:ascii="Verdana" w:hAnsi="Verdana" w:cs="Arial"/>
          <w:i/>
          <w:sz w:val="20"/>
          <w:szCs w:val="20"/>
        </w:rPr>
      </w:pPr>
      <w:r w:rsidRPr="00D42615">
        <w:rPr>
          <w:rFonts w:ascii="Verdana" w:eastAsia="Yu Gothic UI Semibold" w:hAnsi="Verdana" w:cs="Arial"/>
          <w:sz w:val="20"/>
          <w:szCs w:val="20"/>
          <w:lang w:eastAsia="es-MX"/>
        </w:rPr>
        <w:t>“</w:t>
      </w:r>
      <w:r w:rsidRPr="00D42615">
        <w:rPr>
          <w:rFonts w:ascii="Verdana" w:hAnsi="Verdana" w:cs="Arial"/>
          <w:sz w:val="20"/>
          <w:szCs w:val="20"/>
        </w:rPr>
        <w:t xml:space="preserve">Pues bien, el objeto de la aclaración que presento es la necesidad de subrayar la línea jurisprudencial vigente en materia estabilidad laboral reforzada de mujer embarazada en el marco de un contrato de prestación de servicios. A diferencia de las consideraciones de la sentencia, en las cuales se concluye que si no se comprueban los elementos del contrato laboral en la relación contractual no es posible alegar la violación del derecho a la estabilidad laboral reforzada, considero que existen sentencias recientes de las diferentes Salas de Revisión que han establecido que en el marco de relaciones de prestación de servicios, el juez de tutela, </w:t>
      </w:r>
      <w:r w:rsidRPr="00D42615">
        <w:rPr>
          <w:rFonts w:ascii="Verdana" w:hAnsi="Verdana" w:cs="Arial"/>
          <w:i/>
          <w:sz w:val="20"/>
          <w:szCs w:val="20"/>
        </w:rPr>
        <w:t>a pesar de no encontrar probados los elementos del contrato realidad, sí puede garantizar la estabilidad laboral reforzada de la mujer embarazada, siempre y cuando se demuestre que la decisión de la desvinculación es discriminatoria y no atiende a un motivo</w:t>
      </w:r>
      <w:r w:rsidRPr="00D42615">
        <w:rPr>
          <w:rFonts w:ascii="Verdana" w:hAnsi="Verdana" w:cs="Arial"/>
          <w:i/>
          <w:spacing w:val="-5"/>
          <w:sz w:val="20"/>
          <w:szCs w:val="20"/>
        </w:rPr>
        <w:t xml:space="preserve"> </w:t>
      </w:r>
      <w:r w:rsidRPr="00D42615">
        <w:rPr>
          <w:rFonts w:ascii="Verdana" w:hAnsi="Verdana" w:cs="Arial"/>
          <w:i/>
          <w:sz w:val="20"/>
          <w:szCs w:val="20"/>
        </w:rPr>
        <w:t>objetivo.</w:t>
      </w:r>
    </w:p>
    <w:p w14:paraId="55B7F310" w14:textId="77777777" w:rsidR="000A43AA" w:rsidRPr="00D42615" w:rsidRDefault="000A43AA" w:rsidP="00D42615">
      <w:pPr>
        <w:spacing w:after="0" w:line="240" w:lineRule="auto"/>
        <w:ind w:left="709" w:right="709"/>
        <w:jc w:val="both"/>
        <w:rPr>
          <w:rFonts w:ascii="Verdana" w:hAnsi="Verdana" w:cs="Arial"/>
          <w:i/>
          <w:sz w:val="20"/>
          <w:szCs w:val="20"/>
        </w:rPr>
      </w:pPr>
    </w:p>
    <w:p w14:paraId="0CF4A2D4" w14:textId="77777777" w:rsidR="000A43AA" w:rsidRDefault="000A43AA" w:rsidP="00DD0E8B">
      <w:pPr>
        <w:spacing w:after="0" w:line="240" w:lineRule="auto"/>
        <w:ind w:left="709" w:right="709"/>
        <w:jc w:val="both"/>
        <w:rPr>
          <w:rFonts w:ascii="Verdana" w:hAnsi="Verdana" w:cs="Arial"/>
          <w:sz w:val="20"/>
          <w:szCs w:val="20"/>
        </w:rPr>
      </w:pPr>
      <w:r w:rsidRPr="00D42615">
        <w:rPr>
          <w:rFonts w:ascii="Verdana" w:hAnsi="Verdana" w:cs="Arial"/>
          <w:sz w:val="20"/>
          <w:szCs w:val="20"/>
        </w:rPr>
        <w:t>Son un ejemplo de esta tesis jurisprudencial las sentencias T-102 de 2016, T-350 de 2016 y T-564 de 2017, que sostienen que en el marco de relaciones de contratos de prestación de servicios independientemente de la prueba sobre los elementos del contrato realidad, si se demuestra la necesidad de la función o continuidad del objeto del contrato, se presume que la desvinculación fue en razón del estado de embarazo, y en consecuencia, procede con todos sus efectos el numeral 2º del artículo 239 del Código Sustantivo de Trabajo</w:t>
      </w:r>
      <w:r w:rsidRPr="00D42615">
        <w:rPr>
          <w:rFonts w:ascii="Verdana" w:hAnsi="Verdana" w:cs="Arial"/>
          <w:sz w:val="20"/>
          <w:szCs w:val="20"/>
          <w:lang w:val="es-ES_tradnl"/>
        </w:rPr>
        <w:t>”</w:t>
      </w:r>
      <w:r w:rsidRPr="00D42615">
        <w:rPr>
          <w:rFonts w:ascii="Verdana" w:hAnsi="Verdana" w:cs="Arial"/>
          <w:sz w:val="20"/>
          <w:szCs w:val="20"/>
        </w:rPr>
        <w:t>. [Cursiva por fuera del</w:t>
      </w:r>
      <w:r w:rsidRPr="00D42615">
        <w:rPr>
          <w:rFonts w:ascii="Verdana" w:hAnsi="Verdana" w:cs="Arial"/>
          <w:spacing w:val="-16"/>
          <w:sz w:val="20"/>
          <w:szCs w:val="20"/>
        </w:rPr>
        <w:t xml:space="preserve"> </w:t>
      </w:r>
      <w:r w:rsidRPr="00D42615">
        <w:rPr>
          <w:rFonts w:ascii="Verdana" w:hAnsi="Verdana" w:cs="Arial"/>
          <w:sz w:val="20"/>
          <w:szCs w:val="20"/>
        </w:rPr>
        <w:t>texto].</w:t>
      </w:r>
    </w:p>
    <w:p w14:paraId="63640C34" w14:textId="77777777" w:rsidR="00DD0E8B" w:rsidRPr="00D42615" w:rsidRDefault="00DD0E8B" w:rsidP="00D42615">
      <w:pPr>
        <w:spacing w:after="0" w:line="276" w:lineRule="auto"/>
        <w:ind w:left="709" w:right="709"/>
        <w:jc w:val="both"/>
        <w:rPr>
          <w:rFonts w:ascii="Verdana" w:hAnsi="Verdana" w:cs="Arial"/>
          <w:i/>
        </w:rPr>
      </w:pPr>
    </w:p>
    <w:p w14:paraId="201755B7" w14:textId="77777777" w:rsidR="000A43AA" w:rsidRPr="009954A8" w:rsidRDefault="000A43AA" w:rsidP="00D42615">
      <w:pPr>
        <w:pStyle w:val="Textoindependiente"/>
        <w:spacing w:line="276" w:lineRule="auto"/>
        <w:ind w:firstLine="709"/>
        <w:jc w:val="both"/>
        <w:rPr>
          <w:rFonts w:ascii="Verdana" w:eastAsia="Yu Gothic UI Semibold" w:hAnsi="Verdana" w:cs="Arial"/>
        </w:rPr>
      </w:pPr>
      <w:r w:rsidRPr="009954A8">
        <w:rPr>
          <w:rFonts w:ascii="Verdana" w:eastAsia="Yu Gothic UI Semibold" w:hAnsi="Verdana" w:cs="Arial"/>
        </w:rPr>
        <w:t xml:space="preserve">Finalmente, en el año 2018 la Corte Constitucional profirió la sentencia de unificación SU-075 de 2018, en la cual recoge, entre otras, las sentencias T-030 de 2018 y T-350 del 2016. En esta providencia, el Alto Tribunal establece unos criterios con el fin de impedir la discriminación que se puede presentar a una </w:t>
      </w:r>
      <w:r w:rsidRPr="009954A8">
        <w:rPr>
          <w:rFonts w:ascii="Verdana" w:eastAsia="Yu Gothic UI Semibold" w:hAnsi="Verdana" w:cs="Arial"/>
        </w:rPr>
        <w:lastRenderedPageBreak/>
        <w:t>mujer en estado de embarazo o lactancia, específicamente, respecto a la terminación o la no renovación del contrato. Dando paso a establecer que el denominado</w:t>
      </w:r>
      <w:r w:rsidRPr="009954A8">
        <w:rPr>
          <w:rFonts w:ascii="Verdana" w:eastAsia="Yu Gothic UI Semibold" w:hAnsi="Verdana" w:cs="Arial"/>
          <w:i/>
        </w:rPr>
        <w:t xml:space="preserve"> </w:t>
      </w:r>
      <w:r>
        <w:rPr>
          <w:rFonts w:ascii="Verdana" w:eastAsia="Yu Gothic UI Semibold" w:hAnsi="Verdana" w:cs="Arial"/>
          <w:i/>
          <w:lang w:eastAsia="es-MX"/>
        </w:rPr>
        <w:t>“</w:t>
      </w:r>
      <w:r w:rsidRPr="009954A8">
        <w:rPr>
          <w:rFonts w:ascii="Verdana" w:eastAsia="Yu Gothic UI Semibold" w:hAnsi="Verdana" w:cs="Arial"/>
          <w:i/>
        </w:rPr>
        <w:t>fuero de maternidad</w:t>
      </w:r>
      <w:r>
        <w:rPr>
          <w:rFonts w:ascii="Verdana" w:eastAsia="Yu Gothic UI Semibold" w:hAnsi="Verdana" w:cs="Arial"/>
          <w:i/>
          <w:lang w:eastAsia="es-MX"/>
        </w:rPr>
        <w:t>”</w:t>
      </w:r>
      <w:r w:rsidRPr="009954A8">
        <w:rPr>
          <w:rFonts w:ascii="Verdana" w:eastAsia="Yu Gothic UI Semibold" w:hAnsi="Verdana" w:cs="Arial"/>
          <w:i/>
        </w:rPr>
        <w:t>,</w:t>
      </w:r>
      <w:r w:rsidRPr="009954A8">
        <w:rPr>
          <w:rFonts w:ascii="Verdana" w:eastAsia="Yu Gothic UI Semibold" w:hAnsi="Verdana" w:cs="Arial"/>
        </w:rPr>
        <w:t xml:space="preserve"> encuentra también su sustento en la cláusula general de igualdad de la Constitución </w:t>
      </w:r>
      <w:r>
        <w:rPr>
          <w:rFonts w:ascii="Verdana" w:eastAsia="Yu Gothic UI Semibold" w:hAnsi="Verdana" w:cs="Arial"/>
          <w:i/>
          <w:lang w:eastAsia="es-MX"/>
        </w:rPr>
        <w:t>“</w:t>
      </w:r>
      <w:r w:rsidRPr="009954A8">
        <w:rPr>
          <w:rFonts w:ascii="Verdana" w:eastAsia="Yu Gothic UI Semibold" w:hAnsi="Verdana" w:cs="Arial"/>
          <w:i/>
        </w:rPr>
        <w:t>que proscribe la discriminación por razones de sexo, así como en el ya mencionado artículo 43 Superior, que dispone la igualdad de derechos y oportunidades entre hombres y mujeres</w:t>
      </w:r>
      <w:r>
        <w:rPr>
          <w:rFonts w:ascii="Verdana" w:eastAsia="Yu Gothic UI Semibold" w:hAnsi="Verdana" w:cs="Arial"/>
          <w:i/>
          <w:lang w:eastAsia="es-MX"/>
        </w:rPr>
        <w:t>”</w:t>
      </w:r>
      <w:r w:rsidRPr="009954A8">
        <w:rPr>
          <w:rStyle w:val="Refdenotaalpie"/>
          <w:rFonts w:ascii="Verdana" w:eastAsia="Yu Gothic UI Semibold" w:hAnsi="Verdana" w:cs="Arial"/>
          <w:i/>
          <w:lang w:eastAsia="es-MX"/>
        </w:rPr>
        <w:footnoteReference w:id="6"/>
      </w:r>
      <w:r w:rsidRPr="009954A8">
        <w:rPr>
          <w:rFonts w:ascii="Verdana" w:eastAsia="Yu Gothic UI Semibold" w:hAnsi="Verdana" w:cs="Arial"/>
          <w:i/>
          <w:lang w:eastAsia="es-MX"/>
        </w:rPr>
        <w:t>.</w:t>
      </w:r>
    </w:p>
    <w:p w14:paraId="3A4017E3" w14:textId="77777777" w:rsidR="000A43AA" w:rsidRPr="00827711" w:rsidRDefault="000A43AA" w:rsidP="00300BCD">
      <w:pPr>
        <w:shd w:val="clear" w:color="auto" w:fill="FFFFFF"/>
        <w:spacing w:after="0" w:line="276" w:lineRule="auto"/>
        <w:ind w:firstLine="709"/>
        <w:jc w:val="both"/>
        <w:rPr>
          <w:rFonts w:ascii="Verdana" w:eastAsia="Yu Gothic UI Semibold" w:hAnsi="Verdana" w:cs="Arial"/>
          <w:lang w:eastAsia="es-CO"/>
        </w:rPr>
      </w:pPr>
      <w:r w:rsidRPr="00827711">
        <w:rPr>
          <w:rFonts w:ascii="Verdana" w:eastAsia="Yu Gothic UI Semibold" w:hAnsi="Verdana" w:cs="Arial"/>
          <w:lang w:eastAsia="es-CO"/>
        </w:rPr>
        <w:t xml:space="preserve">La sentencia citada determina el tratamiento que deberían darles las entidades a sus trabajadoras o contratistas cuando se encuentren en estado de embarazo o lactancia, estableciendo su procedencia en los siguientes términos: </w:t>
      </w:r>
    </w:p>
    <w:p w14:paraId="65E7A47A" w14:textId="77777777" w:rsidR="00300BCD" w:rsidRPr="00827711" w:rsidRDefault="00300BCD" w:rsidP="00D42615">
      <w:pPr>
        <w:shd w:val="clear" w:color="auto" w:fill="FFFFFF"/>
        <w:spacing w:after="0" w:line="276" w:lineRule="auto"/>
        <w:ind w:firstLine="709"/>
        <w:jc w:val="both"/>
        <w:rPr>
          <w:rFonts w:ascii="Verdana" w:eastAsia="Yu Gothic UI Semibold" w:hAnsi="Verdana" w:cs="Arial"/>
          <w:lang w:eastAsia="es-CO"/>
        </w:rPr>
      </w:pPr>
    </w:p>
    <w:p w14:paraId="47E1211A" w14:textId="77777777" w:rsidR="000A43AA" w:rsidRPr="00D42615" w:rsidRDefault="000A43AA" w:rsidP="00D42615">
      <w:pPr>
        <w:shd w:val="clear" w:color="auto" w:fill="FFFFFF"/>
        <w:spacing w:after="0" w:line="240" w:lineRule="auto"/>
        <w:ind w:left="709" w:right="709"/>
        <w:contextualSpacing/>
        <w:jc w:val="both"/>
        <w:rPr>
          <w:rFonts w:ascii="Verdana" w:eastAsia="Yu Gothic UI Semibold" w:hAnsi="Verdana" w:cs="Arial"/>
          <w:sz w:val="20"/>
          <w:szCs w:val="20"/>
          <w:lang w:eastAsia="es-CO"/>
        </w:rPr>
      </w:pPr>
      <w:r w:rsidRPr="00D42615">
        <w:rPr>
          <w:rFonts w:ascii="Verdana" w:eastAsia="Yu Gothic UI Semibold" w:hAnsi="Verdana" w:cs="Arial"/>
          <w:sz w:val="20"/>
          <w:szCs w:val="20"/>
          <w:lang w:eastAsia="es-MX"/>
        </w:rPr>
        <w:t>“</w:t>
      </w:r>
      <w:r w:rsidRPr="00D42615">
        <w:rPr>
          <w:rFonts w:ascii="Verdana" w:eastAsia="Yu Gothic UI Semibold" w:hAnsi="Verdana" w:cs="Arial"/>
          <w:sz w:val="20"/>
          <w:szCs w:val="20"/>
          <w:lang w:eastAsia="es-CO"/>
        </w:rPr>
        <w:t>La protección reforzada a la maternidad y la lactancia en el ámbito del trabajo procede cuando se demuestre, sin ninguna otra exigencia adicional, lo siguiente: </w:t>
      </w:r>
    </w:p>
    <w:p w14:paraId="22BFC0C8" w14:textId="77777777" w:rsidR="000A43AA" w:rsidRPr="00D42615" w:rsidRDefault="000A43AA" w:rsidP="00D42615">
      <w:pPr>
        <w:shd w:val="clear" w:color="auto" w:fill="FFFFFF"/>
        <w:spacing w:after="0" w:line="240" w:lineRule="auto"/>
        <w:ind w:left="709" w:right="709"/>
        <w:contextualSpacing/>
        <w:jc w:val="both"/>
        <w:rPr>
          <w:rFonts w:ascii="Verdana" w:eastAsia="Yu Gothic UI Semibold" w:hAnsi="Verdana" w:cs="Arial"/>
          <w:sz w:val="20"/>
          <w:szCs w:val="20"/>
          <w:lang w:eastAsia="es-CO"/>
        </w:rPr>
      </w:pPr>
      <w:r w:rsidRPr="00D42615">
        <w:rPr>
          <w:rFonts w:ascii="Verdana" w:eastAsia="Yu Gothic UI Semibold" w:hAnsi="Verdana" w:cs="Arial"/>
          <w:sz w:val="20"/>
          <w:szCs w:val="20"/>
          <w:lang w:eastAsia="es-CO"/>
        </w:rPr>
        <w:t> </w:t>
      </w:r>
    </w:p>
    <w:p w14:paraId="3153866F" w14:textId="77777777" w:rsidR="000A43AA" w:rsidRPr="00D42615" w:rsidRDefault="000A43AA" w:rsidP="00D42615">
      <w:pPr>
        <w:shd w:val="clear" w:color="auto" w:fill="FFFFFF"/>
        <w:spacing w:after="0" w:line="240" w:lineRule="auto"/>
        <w:ind w:left="709" w:right="709"/>
        <w:contextualSpacing/>
        <w:jc w:val="both"/>
        <w:rPr>
          <w:rFonts w:ascii="Verdana" w:eastAsia="Yu Gothic UI Semibold" w:hAnsi="Verdana" w:cs="Arial"/>
          <w:sz w:val="20"/>
          <w:szCs w:val="20"/>
          <w:lang w:eastAsia="es-CO"/>
        </w:rPr>
      </w:pPr>
      <w:r w:rsidRPr="00D42615">
        <w:rPr>
          <w:rFonts w:ascii="Verdana" w:eastAsia="Yu Gothic UI Semibold" w:hAnsi="Verdana" w:cs="Arial"/>
          <w:sz w:val="20"/>
          <w:szCs w:val="20"/>
          <w:lang w:eastAsia="es-CO"/>
        </w:rPr>
        <w:t>(a) La existencia de una relación laboral o de prestación de servicios y; </w:t>
      </w:r>
    </w:p>
    <w:p w14:paraId="6C5918A1" w14:textId="77777777" w:rsidR="000A43AA" w:rsidRPr="00D42615" w:rsidRDefault="000A43AA" w:rsidP="00D42615">
      <w:pPr>
        <w:shd w:val="clear" w:color="auto" w:fill="FFFFFF"/>
        <w:spacing w:after="0" w:line="240" w:lineRule="auto"/>
        <w:ind w:left="709" w:right="709"/>
        <w:contextualSpacing/>
        <w:jc w:val="both"/>
        <w:rPr>
          <w:rFonts w:ascii="Verdana" w:eastAsia="Yu Gothic UI Semibold" w:hAnsi="Verdana" w:cs="Arial"/>
          <w:sz w:val="20"/>
          <w:szCs w:val="20"/>
          <w:lang w:eastAsia="es-CO"/>
        </w:rPr>
      </w:pPr>
      <w:r w:rsidRPr="00D42615">
        <w:rPr>
          <w:rFonts w:ascii="Verdana" w:eastAsia="Yu Gothic UI Semibold" w:hAnsi="Verdana" w:cs="Arial"/>
          <w:sz w:val="20"/>
          <w:szCs w:val="20"/>
          <w:lang w:eastAsia="es-CO"/>
        </w:rPr>
        <w:t> </w:t>
      </w:r>
    </w:p>
    <w:p w14:paraId="3112BD31" w14:textId="77777777" w:rsidR="000A43AA" w:rsidRPr="00D42615" w:rsidRDefault="000A43AA" w:rsidP="00D42615">
      <w:pPr>
        <w:shd w:val="clear" w:color="auto" w:fill="FFFFFF"/>
        <w:spacing w:after="0" w:line="240" w:lineRule="auto"/>
        <w:ind w:left="709" w:right="709"/>
        <w:contextualSpacing/>
        <w:jc w:val="both"/>
        <w:rPr>
          <w:rFonts w:ascii="Verdana" w:eastAsia="Yu Gothic UI Semibold" w:hAnsi="Verdana" w:cs="Arial"/>
          <w:sz w:val="20"/>
          <w:szCs w:val="20"/>
          <w:lang w:eastAsia="es-CO"/>
        </w:rPr>
      </w:pPr>
      <w:r w:rsidRPr="00D42615">
        <w:rPr>
          <w:rFonts w:ascii="Verdana" w:eastAsia="Yu Gothic UI Semibold" w:hAnsi="Verdana" w:cs="Arial"/>
          <w:sz w:val="20"/>
          <w:szCs w:val="20"/>
          <w:lang w:eastAsia="es-CO"/>
        </w:rPr>
        <w:t>(b) Que la mujer se encuentra en estado de embarazo o dentro de los tres meses siguientes al parto, en vigencia de dicha relación laboral o de prestación.</w:t>
      </w:r>
    </w:p>
    <w:p w14:paraId="36F0DF70" w14:textId="77777777" w:rsidR="000A43AA" w:rsidRPr="00D42615" w:rsidRDefault="000A43AA" w:rsidP="00D42615">
      <w:pPr>
        <w:shd w:val="clear" w:color="auto" w:fill="FFFFFF"/>
        <w:spacing w:after="0" w:line="240" w:lineRule="auto"/>
        <w:ind w:left="709" w:right="709"/>
        <w:contextualSpacing/>
        <w:jc w:val="both"/>
        <w:rPr>
          <w:rFonts w:ascii="Verdana" w:eastAsia="Yu Gothic UI Semibold" w:hAnsi="Verdana" w:cs="Arial"/>
          <w:sz w:val="20"/>
          <w:szCs w:val="20"/>
          <w:lang w:eastAsia="es-CO"/>
        </w:rPr>
      </w:pPr>
      <w:r w:rsidRPr="00D42615">
        <w:rPr>
          <w:rFonts w:ascii="Verdana" w:eastAsia="Yu Gothic UI Semibold" w:hAnsi="Verdana" w:cs="Arial"/>
          <w:sz w:val="20"/>
          <w:szCs w:val="20"/>
          <w:lang w:eastAsia="es-CO"/>
        </w:rPr>
        <w:t> </w:t>
      </w:r>
    </w:p>
    <w:p w14:paraId="51B88EF9" w14:textId="77777777" w:rsidR="000A43AA" w:rsidRPr="00D42615" w:rsidRDefault="000A43AA" w:rsidP="00D42615">
      <w:pPr>
        <w:shd w:val="clear" w:color="auto" w:fill="FFFFFF"/>
        <w:spacing w:after="0" w:line="240" w:lineRule="auto"/>
        <w:ind w:left="709" w:right="709"/>
        <w:contextualSpacing/>
        <w:jc w:val="both"/>
        <w:rPr>
          <w:rFonts w:ascii="Verdana" w:eastAsia="Yu Gothic UI Semibold" w:hAnsi="Verdana" w:cs="Arial"/>
          <w:sz w:val="20"/>
          <w:szCs w:val="20"/>
          <w:lang w:eastAsia="es-CO"/>
        </w:rPr>
      </w:pPr>
      <w:r w:rsidRPr="00D42615">
        <w:rPr>
          <w:rFonts w:ascii="Verdana" w:eastAsia="Yu Gothic UI Semibold" w:hAnsi="Verdana" w:cs="Arial"/>
          <w:sz w:val="20"/>
          <w:szCs w:val="20"/>
          <w:lang w:eastAsia="es-CO"/>
        </w:rPr>
        <w:t>No obstante, el alcance de la protección se debe determinar a partir de dos factores:</w:t>
      </w:r>
    </w:p>
    <w:p w14:paraId="3051C4A5" w14:textId="77777777" w:rsidR="000A43AA" w:rsidRPr="00D42615" w:rsidRDefault="000A43AA" w:rsidP="00D42615">
      <w:pPr>
        <w:shd w:val="clear" w:color="auto" w:fill="FFFFFF"/>
        <w:spacing w:after="0" w:line="240" w:lineRule="auto"/>
        <w:ind w:left="709" w:right="709"/>
        <w:contextualSpacing/>
        <w:jc w:val="both"/>
        <w:rPr>
          <w:rFonts w:ascii="Verdana" w:eastAsia="Yu Gothic UI Semibold" w:hAnsi="Verdana" w:cs="Arial"/>
          <w:sz w:val="20"/>
          <w:szCs w:val="20"/>
          <w:lang w:eastAsia="es-CO"/>
        </w:rPr>
      </w:pPr>
      <w:r w:rsidRPr="00D42615">
        <w:rPr>
          <w:rFonts w:ascii="Verdana" w:eastAsia="Yu Gothic UI Semibold" w:hAnsi="Verdana" w:cs="Arial"/>
          <w:sz w:val="20"/>
          <w:szCs w:val="20"/>
          <w:lang w:eastAsia="es-CO"/>
        </w:rPr>
        <w:t> </w:t>
      </w:r>
    </w:p>
    <w:p w14:paraId="4BF1ADC8" w14:textId="77777777" w:rsidR="000A43AA" w:rsidRPr="00D42615" w:rsidRDefault="000A43AA" w:rsidP="00D42615">
      <w:pPr>
        <w:shd w:val="clear" w:color="auto" w:fill="FFFFFF"/>
        <w:spacing w:after="0" w:line="240" w:lineRule="auto"/>
        <w:ind w:left="709" w:right="709"/>
        <w:contextualSpacing/>
        <w:jc w:val="both"/>
        <w:rPr>
          <w:rFonts w:ascii="Verdana" w:eastAsia="Yu Gothic UI Semibold" w:hAnsi="Verdana" w:cs="Arial"/>
          <w:sz w:val="20"/>
          <w:szCs w:val="20"/>
          <w:lang w:eastAsia="es-CO"/>
        </w:rPr>
      </w:pPr>
      <w:r w:rsidRPr="00D42615">
        <w:rPr>
          <w:rFonts w:ascii="Verdana" w:eastAsia="Yu Gothic UI Semibold" w:hAnsi="Verdana" w:cs="Arial"/>
          <w:sz w:val="20"/>
          <w:szCs w:val="20"/>
          <w:lang w:eastAsia="es-CO"/>
        </w:rPr>
        <w:t>(a) El conocimiento del embarazo por parte del empleador; y</w:t>
      </w:r>
    </w:p>
    <w:p w14:paraId="11A4A235" w14:textId="77777777" w:rsidR="000A43AA" w:rsidRPr="00D42615" w:rsidRDefault="000A43AA" w:rsidP="00D42615">
      <w:pPr>
        <w:shd w:val="clear" w:color="auto" w:fill="FFFFFF"/>
        <w:spacing w:after="0" w:line="240" w:lineRule="auto"/>
        <w:ind w:left="709" w:right="709"/>
        <w:contextualSpacing/>
        <w:jc w:val="both"/>
        <w:rPr>
          <w:rFonts w:ascii="Verdana" w:eastAsia="Yu Gothic UI Semibold" w:hAnsi="Verdana" w:cs="Arial"/>
          <w:sz w:val="20"/>
          <w:szCs w:val="20"/>
          <w:lang w:eastAsia="es-CO"/>
        </w:rPr>
      </w:pPr>
      <w:r w:rsidRPr="00D42615">
        <w:rPr>
          <w:rFonts w:ascii="Verdana" w:eastAsia="Yu Gothic UI Semibold" w:hAnsi="Verdana" w:cs="Arial"/>
          <w:sz w:val="20"/>
          <w:szCs w:val="20"/>
          <w:lang w:eastAsia="es-CO"/>
        </w:rPr>
        <w:t> </w:t>
      </w:r>
    </w:p>
    <w:p w14:paraId="73EF88D8" w14:textId="77777777" w:rsidR="000A43AA" w:rsidRPr="00D42615" w:rsidRDefault="000A43AA" w:rsidP="00D42615">
      <w:pPr>
        <w:shd w:val="clear" w:color="auto" w:fill="FFFFFF"/>
        <w:spacing w:after="0" w:line="240" w:lineRule="auto"/>
        <w:ind w:left="709" w:right="709"/>
        <w:contextualSpacing/>
        <w:jc w:val="both"/>
        <w:rPr>
          <w:rFonts w:ascii="Verdana" w:eastAsia="Yu Gothic UI Semibold" w:hAnsi="Verdana" w:cs="Arial"/>
          <w:sz w:val="20"/>
          <w:szCs w:val="20"/>
          <w:lang w:eastAsia="es-CO"/>
        </w:rPr>
      </w:pPr>
      <w:r w:rsidRPr="00D42615">
        <w:rPr>
          <w:rFonts w:ascii="Verdana" w:eastAsia="Yu Gothic UI Semibold" w:hAnsi="Verdana" w:cs="Arial"/>
          <w:sz w:val="20"/>
          <w:szCs w:val="20"/>
          <w:lang w:eastAsia="es-CO"/>
        </w:rPr>
        <w:t>(b) La alternativa laboral mediante la cual se encontraba vinculada la mujer embarazada</w:t>
      </w:r>
      <w:r w:rsidRPr="00D42615">
        <w:rPr>
          <w:rFonts w:ascii="Verdana" w:hAnsi="Verdana" w:cs="Arial"/>
          <w:sz w:val="20"/>
          <w:szCs w:val="20"/>
          <w:lang w:val="es-ES_tradnl"/>
        </w:rPr>
        <w:t>”.</w:t>
      </w:r>
    </w:p>
    <w:p w14:paraId="4761AC25" w14:textId="77777777" w:rsidR="000A43AA" w:rsidRDefault="000A43AA" w:rsidP="00D42615">
      <w:pPr>
        <w:shd w:val="clear" w:color="auto" w:fill="FFFFFF"/>
        <w:spacing w:after="0" w:line="276" w:lineRule="auto"/>
        <w:jc w:val="both"/>
        <w:rPr>
          <w:rFonts w:ascii="Verdana" w:eastAsia="Yu Gothic UI Semibold" w:hAnsi="Verdana" w:cs="Arial"/>
          <w:lang w:eastAsia="es-CO"/>
        </w:rPr>
      </w:pPr>
    </w:p>
    <w:p w14:paraId="0915F404" w14:textId="77777777" w:rsidR="000A43AA" w:rsidRPr="00827711" w:rsidRDefault="000A43AA" w:rsidP="00300BCD">
      <w:pPr>
        <w:shd w:val="clear" w:color="auto" w:fill="FFFFFF"/>
        <w:spacing w:after="0" w:line="276" w:lineRule="auto"/>
        <w:ind w:firstLine="709"/>
        <w:jc w:val="both"/>
        <w:rPr>
          <w:rFonts w:ascii="Verdana" w:eastAsia="Yu Gothic UI Semibold" w:hAnsi="Verdana" w:cs="Arial"/>
          <w:lang w:eastAsia="es-CO"/>
        </w:rPr>
      </w:pPr>
      <w:r w:rsidRPr="00827711">
        <w:rPr>
          <w:rFonts w:ascii="Verdana" w:eastAsia="Yu Gothic UI Semibold" w:hAnsi="Verdana" w:cs="Arial"/>
          <w:lang w:eastAsia="es-CO"/>
        </w:rPr>
        <w:t xml:space="preserve">Como se evidencia en el texto referido, el criterio de la Corte establece que solo se requiere acreditar la relación laboral o la existencia de un contrato de prestación de servicios y el estado de embarazo o lactancia para acceder a la protección denominada estabilidad laboral reforzada de mujer embarazada y en periodo de lactancia. Para el caso concreto de los contratos de prestación de servicios, la sentencia en mención determina:   </w:t>
      </w:r>
    </w:p>
    <w:p w14:paraId="3A8E33BE" w14:textId="77777777" w:rsidR="00300BCD" w:rsidRPr="00827711" w:rsidRDefault="00300BCD" w:rsidP="00D42615">
      <w:pPr>
        <w:shd w:val="clear" w:color="auto" w:fill="FFFFFF"/>
        <w:spacing w:after="0" w:line="276" w:lineRule="auto"/>
        <w:ind w:firstLine="709"/>
        <w:jc w:val="both"/>
        <w:rPr>
          <w:rFonts w:ascii="Verdana" w:eastAsia="Yu Gothic UI Semibold" w:hAnsi="Verdana" w:cs="Arial"/>
          <w:lang w:eastAsia="es-CO"/>
        </w:rPr>
      </w:pPr>
    </w:p>
    <w:p w14:paraId="2A3EF880" w14:textId="77777777" w:rsidR="000A43AA" w:rsidRPr="00D42615" w:rsidRDefault="000A43AA" w:rsidP="00D42615">
      <w:pPr>
        <w:shd w:val="clear" w:color="auto" w:fill="FFFFFF"/>
        <w:spacing w:after="0" w:line="240" w:lineRule="auto"/>
        <w:ind w:left="709" w:right="709"/>
        <w:contextualSpacing/>
        <w:jc w:val="both"/>
        <w:rPr>
          <w:rFonts w:ascii="Verdana" w:eastAsia="Yu Gothic UI Semibold" w:hAnsi="Verdana" w:cs="Arial"/>
          <w:sz w:val="20"/>
          <w:szCs w:val="20"/>
          <w:lang w:eastAsia="es-CO"/>
        </w:rPr>
      </w:pPr>
      <w:r w:rsidRPr="00D42615">
        <w:rPr>
          <w:rFonts w:ascii="Verdana" w:eastAsia="Yu Gothic UI Semibold" w:hAnsi="Verdana" w:cs="Arial"/>
          <w:sz w:val="20"/>
          <w:szCs w:val="20"/>
          <w:lang w:eastAsia="es-MX"/>
        </w:rPr>
        <w:t>“</w:t>
      </w:r>
      <w:r w:rsidRPr="00D42615">
        <w:rPr>
          <w:rFonts w:ascii="Verdana" w:eastAsia="Yu Gothic UI Semibold" w:hAnsi="Verdana" w:cs="Arial"/>
          <w:sz w:val="20"/>
          <w:szCs w:val="20"/>
          <w:lang w:eastAsia="es-CO"/>
        </w:rPr>
        <w:t xml:space="preserve">[…]  en el supuesto en que la trabajadora gestante o lactante haya estado vinculada mediante un contrato de prestación de servicios </w:t>
      </w:r>
      <w:r w:rsidRPr="00D42615">
        <w:rPr>
          <w:rFonts w:ascii="Verdana" w:eastAsia="Yu Gothic UI Semibold" w:hAnsi="Verdana" w:cs="Arial"/>
          <w:sz w:val="20"/>
          <w:szCs w:val="20"/>
          <w:u w:val="single"/>
          <w:lang w:eastAsia="es-CO"/>
        </w:rPr>
        <w:t>y logre demostrar la existencia de un contrato realidad, se deberán aplicar las reglas propuestas para los contratos a término fijo</w:t>
      </w:r>
      <w:r w:rsidRPr="00D42615">
        <w:rPr>
          <w:rFonts w:ascii="Verdana" w:eastAsia="Yu Gothic UI Semibold" w:hAnsi="Verdana" w:cs="Arial"/>
          <w:sz w:val="20"/>
          <w:szCs w:val="20"/>
          <w:lang w:eastAsia="es-CO"/>
        </w:rPr>
        <w:t xml:space="preserve">, toda vez que, “dentro </w:t>
      </w:r>
      <w:r w:rsidRPr="00D42615">
        <w:rPr>
          <w:rFonts w:ascii="Verdana" w:eastAsia="Yu Gothic UI Semibold" w:hAnsi="Verdana" w:cs="Arial"/>
          <w:sz w:val="20"/>
          <w:szCs w:val="20"/>
          <w:lang w:eastAsia="es-CO"/>
        </w:rPr>
        <w:lastRenderedPageBreak/>
        <w:t>las características del contrato de prestación de servicios, según lo ha entendido esta Corporación, se encuentran que se trata de un contrato temporal, cuya duración es por un tiempo limitado, que es además el indispensable para ejecutar el objeto contractual convenido […]</w:t>
      </w:r>
      <w:r w:rsidRPr="00D42615">
        <w:rPr>
          <w:rFonts w:ascii="Verdana" w:hAnsi="Verdana" w:cs="Arial"/>
          <w:sz w:val="20"/>
          <w:szCs w:val="20"/>
          <w:lang w:val="es-ES_tradnl"/>
        </w:rPr>
        <w:t>”.</w:t>
      </w:r>
    </w:p>
    <w:p w14:paraId="4CCFFF12" w14:textId="77777777" w:rsidR="000A43AA" w:rsidRPr="009954A8" w:rsidRDefault="000A43AA" w:rsidP="000A43AA">
      <w:pPr>
        <w:shd w:val="clear" w:color="auto" w:fill="FFFFFF"/>
        <w:spacing w:line="276" w:lineRule="auto"/>
        <w:ind w:right="51"/>
        <w:contextualSpacing/>
        <w:jc w:val="both"/>
        <w:rPr>
          <w:rFonts w:ascii="Verdana" w:eastAsia="Yu Gothic UI Semibold" w:hAnsi="Verdana" w:cs="Arial"/>
          <w:lang w:eastAsia="es-CO"/>
        </w:rPr>
      </w:pPr>
    </w:p>
    <w:p w14:paraId="627934B2" w14:textId="77777777" w:rsidR="000A43AA" w:rsidRPr="00827711" w:rsidRDefault="000A43AA" w:rsidP="000A43AA">
      <w:pPr>
        <w:widowControl w:val="0"/>
        <w:autoSpaceDE w:val="0"/>
        <w:autoSpaceDN w:val="0"/>
        <w:spacing w:after="120" w:line="276" w:lineRule="auto"/>
        <w:ind w:firstLine="709"/>
        <w:jc w:val="both"/>
        <w:rPr>
          <w:rFonts w:ascii="Verdana" w:eastAsia="Arial" w:hAnsi="Verdana" w:cs="Arial"/>
        </w:rPr>
      </w:pPr>
      <w:r w:rsidRPr="00827711">
        <w:rPr>
          <w:rFonts w:ascii="Verdana" w:eastAsia="Arial" w:hAnsi="Verdana" w:cs="Arial"/>
        </w:rPr>
        <w:t>Conforme a lo anterior, la Corte Constitucional ha expuesto dos (2) posiciones frente a los cuales opera la protección proveniente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827711">
        <w:rPr>
          <w:rFonts w:ascii="Verdana" w:eastAsia="Arial" w:hAnsi="Verdana" w:cs="Arial"/>
        </w:rPr>
        <w:t>ii</w:t>
      </w:r>
      <w:proofErr w:type="spellEnd"/>
      <w:r w:rsidRPr="00827711">
        <w:rPr>
          <w:rFonts w:ascii="Verdana" w:eastAsia="Arial" w:hAnsi="Verdana" w:cs="Arial"/>
        </w:rPr>
        <w:t>) cuando a pesar de no probarse la configuración de un contrato realidad la terminación del contrato de prestación de servicios se fundamenta en criterios discriminatorios, y no en motivos objetivos.</w:t>
      </w:r>
    </w:p>
    <w:p w14:paraId="5EE784BA" w14:textId="3D918FBE" w:rsidR="000A43AA" w:rsidRPr="00827711" w:rsidRDefault="000A43AA" w:rsidP="000A43AA">
      <w:pPr>
        <w:widowControl w:val="0"/>
        <w:autoSpaceDE w:val="0"/>
        <w:autoSpaceDN w:val="0"/>
        <w:spacing w:after="120" w:line="276" w:lineRule="auto"/>
        <w:ind w:firstLine="709"/>
        <w:jc w:val="both"/>
        <w:rPr>
          <w:rFonts w:ascii="Verdana" w:eastAsia="Arial" w:hAnsi="Verdana" w:cs="Arial"/>
        </w:rPr>
      </w:pPr>
      <w:r w:rsidRPr="00827711">
        <w:rPr>
          <w:rFonts w:ascii="Verdana" w:eastAsia="Arial" w:hAnsi="Verdana" w:cs="Arial"/>
        </w:rPr>
        <w:t>Asimismo se resalta que</w:t>
      </w:r>
      <w:r w:rsidR="00FE40A5">
        <w:rPr>
          <w:rFonts w:ascii="Verdana" w:eastAsia="Arial" w:hAnsi="Verdana" w:cs="Arial"/>
        </w:rPr>
        <w:t>,</w:t>
      </w:r>
      <w:r w:rsidRPr="00827711">
        <w:rPr>
          <w:rFonts w:ascii="Verdana" w:eastAsia="Arial" w:hAnsi="Verdana" w:cs="Arial"/>
        </w:rPr>
        <w:t xml:space="preserve"> el Alto Tribunal Constitucional en la sentencia T-743 de 2017, reiteró que la protección a la mujer en estado de embarazo y en periodo de lactancia, está sustentada en cuatro presupuestos de origen constitucional: (i) el deber de protección especial a la mujer gestante; (</w:t>
      </w:r>
      <w:proofErr w:type="spellStart"/>
      <w:r w:rsidRPr="00827711">
        <w:rPr>
          <w:rFonts w:ascii="Verdana" w:eastAsia="Arial" w:hAnsi="Verdana" w:cs="Arial"/>
        </w:rPr>
        <w:t>ii</w:t>
      </w:r>
      <w:proofErr w:type="spellEnd"/>
      <w:r w:rsidRPr="00827711">
        <w:rPr>
          <w:rFonts w:ascii="Verdana" w:eastAsia="Arial" w:hAnsi="Verdana" w:cs="Arial"/>
        </w:rPr>
        <w:t>) la contención de prácticas discriminatorias en el escenario laboral contra la mujer, con ocasión del estado de embarazo; (</w:t>
      </w:r>
      <w:proofErr w:type="spellStart"/>
      <w:r w:rsidRPr="00827711">
        <w:rPr>
          <w:rFonts w:ascii="Verdana" w:eastAsia="Arial" w:hAnsi="Verdana" w:cs="Arial"/>
        </w:rPr>
        <w:t>iii</w:t>
      </w:r>
      <w:proofErr w:type="spellEnd"/>
      <w:r w:rsidRPr="00827711">
        <w:rPr>
          <w:rFonts w:ascii="Verdana" w:eastAsia="Arial" w:hAnsi="Verdana" w:cs="Arial"/>
        </w:rPr>
        <w:t>) la protección a la vida y a la mujer como su gestora; y (</w:t>
      </w:r>
      <w:proofErr w:type="spellStart"/>
      <w:r w:rsidRPr="00827711">
        <w:rPr>
          <w:rFonts w:ascii="Verdana" w:eastAsia="Arial" w:hAnsi="Verdana" w:cs="Arial"/>
        </w:rPr>
        <w:t>iv</w:t>
      </w:r>
      <w:proofErr w:type="spellEnd"/>
      <w:r w:rsidRPr="00827711">
        <w:rPr>
          <w:rFonts w:ascii="Verdana" w:eastAsia="Arial" w:hAnsi="Verdana" w:cs="Arial"/>
        </w:rPr>
        <w:t>) la relevancia de la familia en el ordenamiento social colombiano.</w:t>
      </w:r>
    </w:p>
    <w:p w14:paraId="72DBBB45" w14:textId="14444890" w:rsidR="000A43AA" w:rsidRPr="00D33DEE" w:rsidRDefault="00326F29" w:rsidP="0036163B">
      <w:pPr>
        <w:widowControl w:val="0"/>
        <w:autoSpaceDE w:val="0"/>
        <w:autoSpaceDN w:val="0"/>
        <w:spacing w:after="0" w:line="276" w:lineRule="auto"/>
        <w:ind w:firstLine="709"/>
        <w:jc w:val="both"/>
        <w:rPr>
          <w:rFonts w:ascii="Verdana" w:eastAsia="Arial" w:hAnsi="Verdana" w:cs="Arial"/>
        </w:rPr>
      </w:pPr>
      <w:r>
        <w:rPr>
          <w:rFonts w:ascii="Verdana" w:eastAsia="Arial" w:hAnsi="Verdana" w:cs="Arial"/>
        </w:rPr>
        <w:t>Más r</w:t>
      </w:r>
      <w:r w:rsidR="000A43AA" w:rsidRPr="00827711">
        <w:rPr>
          <w:rFonts w:ascii="Verdana" w:eastAsia="Arial" w:hAnsi="Verdana" w:cs="Arial"/>
        </w:rPr>
        <w:t xml:space="preserve">ecientemente, la Corte Constitucional profirió la sentencia T-329 de 2022, con ponencia de la magistrada </w:t>
      </w:r>
      <w:r w:rsidR="000A43AA" w:rsidRPr="00827711">
        <w:rPr>
          <w:rFonts w:ascii="Verdana" w:hAnsi="Verdana" w:cs="Arial"/>
        </w:rPr>
        <w:t>Natalia Ángel Cabo</w:t>
      </w:r>
      <w:r w:rsidR="000A43AA" w:rsidRPr="00827711">
        <w:rPr>
          <w:rFonts w:ascii="Verdana" w:eastAsia="Arial" w:hAnsi="Verdana" w:cs="Arial"/>
        </w:rPr>
        <w:t xml:space="preserve">, en la cual reiteró el precedente sobre </w:t>
      </w:r>
      <w:bookmarkStart w:id="0" w:name="_Hlk108422441"/>
      <w:r w:rsidR="000A43AA" w:rsidRPr="00827711">
        <w:rPr>
          <w:rFonts w:ascii="Verdana" w:eastAsia="Arial" w:hAnsi="Verdana" w:cs="Arial"/>
        </w:rPr>
        <w:t>la protección de la mujer embarazada y en período de lactancia en contratos de prestación de servicios</w:t>
      </w:r>
      <w:bookmarkEnd w:id="0"/>
      <w:r w:rsidR="000A43AA" w:rsidRPr="00827711">
        <w:rPr>
          <w:rFonts w:ascii="Verdana" w:eastAsia="Arial" w:hAnsi="Verdana" w:cs="Arial"/>
        </w:rPr>
        <w:t xml:space="preserve"> establecido en la Sentencia S-070 de 2013, al indicar lo siguiente: </w:t>
      </w:r>
    </w:p>
    <w:p w14:paraId="0E5BFC62" w14:textId="77777777" w:rsidR="0036163B" w:rsidRPr="00D33DEE" w:rsidRDefault="0036163B" w:rsidP="00D42615">
      <w:pPr>
        <w:widowControl w:val="0"/>
        <w:autoSpaceDE w:val="0"/>
        <w:autoSpaceDN w:val="0"/>
        <w:spacing w:after="0" w:line="276" w:lineRule="auto"/>
        <w:ind w:firstLine="709"/>
        <w:jc w:val="both"/>
        <w:rPr>
          <w:rFonts w:ascii="Verdana" w:eastAsia="Arial" w:hAnsi="Verdana" w:cs="Arial"/>
        </w:rPr>
      </w:pPr>
    </w:p>
    <w:p w14:paraId="72AC2EE3" w14:textId="77777777" w:rsidR="000A43AA" w:rsidRPr="00D42615" w:rsidRDefault="000A43AA" w:rsidP="000A43AA">
      <w:pPr>
        <w:pStyle w:val="Sinespaciado"/>
        <w:ind w:left="709" w:right="709"/>
        <w:contextualSpacing/>
        <w:rPr>
          <w:rFonts w:ascii="Verdana" w:hAnsi="Verdana" w:cs="Arial"/>
          <w:sz w:val="20"/>
          <w:szCs w:val="20"/>
          <w:lang w:val="es-ES_tradnl"/>
        </w:rPr>
      </w:pPr>
      <w:r w:rsidRPr="00D42615">
        <w:rPr>
          <w:rFonts w:ascii="Verdana" w:eastAsia="Yu Gothic UI Semibold" w:hAnsi="Verdana" w:cs="Arial"/>
          <w:sz w:val="20"/>
          <w:szCs w:val="20"/>
          <w:lang w:eastAsia="es-MX"/>
        </w:rPr>
        <w:t>“</w:t>
      </w:r>
      <w:r w:rsidRPr="00D42615">
        <w:rPr>
          <w:rFonts w:ascii="Verdana" w:eastAsia="Yu Gothic UI Semibold" w:hAnsi="Verdana" w:cs="Arial"/>
          <w:sz w:val="20"/>
          <w:szCs w:val="20"/>
          <w:lang w:eastAsia="es-CO"/>
        </w:rPr>
        <w:t>[…]</w:t>
      </w:r>
      <w:r w:rsidRPr="00D42615">
        <w:rPr>
          <w:rFonts w:ascii="Verdana" w:hAnsi="Verdana" w:cs="Arial"/>
          <w:sz w:val="20"/>
          <w:szCs w:val="20"/>
        </w:rPr>
        <w:t xml:space="preserve">En la Sentencia SU-070 de 2013, la Corte reconoció la protección de la mujer embarazada en otras alternativas laborales. En relación con el contrato de prestación de servicios indicó que el juez de tutela debe evaluar si existe un inminente riesgo de afectación al mínimo vital o a otros derechos fundamentales de la accionante. En caso afirmativo, el juez de tutela está obligado a evaluar las circunstancias fácticas particulares para determinar si tras esa figura contractual está oculta una relación laboral o si efectivamente se trata de un contrato de prestación de servicios. En los casos en los que se encuentre que el contrato de </w:t>
      </w:r>
      <w:r w:rsidRPr="00D42615">
        <w:rPr>
          <w:rFonts w:ascii="Verdana" w:hAnsi="Verdana" w:cs="Arial"/>
          <w:sz w:val="20"/>
          <w:szCs w:val="20"/>
        </w:rPr>
        <w:lastRenderedPageBreak/>
        <w:t>prestación de servicios oculta una relación laboral, se deben aplicar las reglas establecidas para el contrato laboral a término fijo</w:t>
      </w:r>
      <w:r w:rsidRPr="00D42615">
        <w:rPr>
          <w:rFonts w:ascii="Verdana" w:hAnsi="Verdana" w:cs="Arial"/>
          <w:sz w:val="20"/>
          <w:szCs w:val="20"/>
          <w:lang w:val="es-ES_tradnl"/>
        </w:rPr>
        <w:t>”.</w:t>
      </w:r>
    </w:p>
    <w:p w14:paraId="528FBF29" w14:textId="77777777" w:rsidR="000A43AA" w:rsidRPr="00D33DEE" w:rsidRDefault="000A43AA" w:rsidP="000A43AA">
      <w:pPr>
        <w:pStyle w:val="Sinespaciado"/>
        <w:ind w:left="709" w:right="709"/>
        <w:contextualSpacing/>
        <w:rPr>
          <w:rFonts w:ascii="Verdana" w:hAnsi="Verdana" w:cs="Arial"/>
          <w:sz w:val="21"/>
          <w:szCs w:val="21"/>
        </w:rPr>
      </w:pPr>
    </w:p>
    <w:p w14:paraId="6FA57C1B" w14:textId="77777777" w:rsidR="000A43AA" w:rsidRPr="00827711" w:rsidRDefault="000A43AA" w:rsidP="000A43AA">
      <w:pPr>
        <w:widowControl w:val="0"/>
        <w:autoSpaceDE w:val="0"/>
        <w:autoSpaceDN w:val="0"/>
        <w:spacing w:after="120" w:line="276" w:lineRule="auto"/>
        <w:ind w:firstLine="709"/>
        <w:jc w:val="both"/>
        <w:rPr>
          <w:rFonts w:ascii="Verdana" w:hAnsi="Verdana" w:cs="Arial"/>
          <w:shd w:val="clear" w:color="auto" w:fill="FFFFFF"/>
        </w:rPr>
      </w:pPr>
      <w:r w:rsidRPr="00827711">
        <w:rPr>
          <w:rFonts w:ascii="Verdana" w:eastAsia="Arial" w:hAnsi="Verdana" w:cs="Arial"/>
        </w:rPr>
        <w:t xml:space="preserve">En dicha providencia la Corte consideró que, en los casos de </w:t>
      </w:r>
      <w:r w:rsidRPr="00827711">
        <w:rPr>
          <w:rFonts w:ascii="Verdana" w:hAnsi="Verdana" w:cs="Arial"/>
        </w:rPr>
        <w:t xml:space="preserve">en los casos de vinculación mediante contrato de prestación de servicios, aun cuando en el trámite de tutela no se logren acreditar los elementos del contrato realidad, hay lugar a la protección derivada de del fuero de maternidad. Lo anterior, en palabras de la Corte encuentra sustento en las siguientes razones: </w:t>
      </w:r>
      <w:r w:rsidRPr="00827711">
        <w:rPr>
          <w:rFonts w:ascii="Verdana" w:eastAsia="Yu Gothic UI Semibold" w:hAnsi="Verdana" w:cs="Arial"/>
          <w:iCs/>
          <w:lang w:eastAsia="es-MX"/>
        </w:rPr>
        <w:t>“</w:t>
      </w:r>
      <w:r w:rsidRPr="00827711">
        <w:rPr>
          <w:rFonts w:ascii="Verdana" w:hAnsi="Verdana" w:cs="Arial"/>
        </w:rPr>
        <w:t>(i) la protección de la mujer gestante o en periodo de lactancia se deriva de, entre otros, los artículos 43, 53 y 13 de la Constitución Nacional; (</w:t>
      </w:r>
      <w:proofErr w:type="spellStart"/>
      <w:r w:rsidRPr="00827711">
        <w:rPr>
          <w:rFonts w:ascii="Verdana" w:hAnsi="Verdana" w:cs="Arial"/>
        </w:rPr>
        <w:t>ii</w:t>
      </w:r>
      <w:proofErr w:type="spellEnd"/>
      <w:r w:rsidRPr="00827711">
        <w:rPr>
          <w:rFonts w:ascii="Verdana" w:hAnsi="Verdana" w:cs="Arial"/>
        </w:rPr>
        <w:t>) la Sentencia SU-070 de 2013 reiteró la protección a la mujer embarazada en todas las alternativas laborales o de trabajo en las que se incluye el contrato de prestación de servicios; (</w:t>
      </w:r>
      <w:proofErr w:type="spellStart"/>
      <w:r w:rsidRPr="00827711">
        <w:rPr>
          <w:rFonts w:ascii="Verdana" w:hAnsi="Verdana" w:cs="Arial"/>
        </w:rPr>
        <w:t>iii</w:t>
      </w:r>
      <w:proofErr w:type="spellEnd"/>
      <w:r w:rsidRPr="00827711">
        <w:rPr>
          <w:rFonts w:ascii="Verdana" w:hAnsi="Verdana" w:cs="Arial"/>
        </w:rPr>
        <w:t xml:space="preserve">) la Sentencia SU-075 de 2018 reiteró que las condiciones para la protección de la mujer embarazada son la existencia de una relación laboral o de prestación de servicios y que </w:t>
      </w:r>
      <w:r w:rsidRPr="00827711">
        <w:rPr>
          <w:rFonts w:ascii="Verdana" w:hAnsi="Verdana" w:cs="Arial"/>
          <w:shd w:val="clear" w:color="auto" w:fill="FFFFFF"/>
        </w:rPr>
        <w:t>la mujer se encuentre en estado de embarazo o dentro de los tres meses siguientes al parto, en vigencia de dicha relación laboral o de prestación de servicios</w:t>
      </w:r>
      <w:r w:rsidRPr="00827711">
        <w:rPr>
          <w:rFonts w:ascii="Verdana" w:hAnsi="Verdana" w:cs="Arial"/>
        </w:rPr>
        <w:t>; y (</w:t>
      </w:r>
      <w:proofErr w:type="spellStart"/>
      <w:r w:rsidRPr="00827711">
        <w:rPr>
          <w:rFonts w:ascii="Verdana" w:hAnsi="Verdana" w:cs="Arial"/>
        </w:rPr>
        <w:t>iv</w:t>
      </w:r>
      <w:proofErr w:type="spellEnd"/>
      <w:r w:rsidRPr="00827711">
        <w:rPr>
          <w:rFonts w:ascii="Verdana" w:hAnsi="Verdana" w:cs="Arial"/>
        </w:rPr>
        <w:t xml:space="preserve">) las salas de revisión de la Corte Constitucional </w:t>
      </w:r>
      <w:r w:rsidRPr="00827711">
        <w:rPr>
          <w:rFonts w:ascii="Verdana" w:hAnsi="Verdana" w:cs="Arial"/>
          <w:shd w:val="clear" w:color="auto" w:fill="FFFFFF"/>
        </w:rPr>
        <w:t>reconocen la protección derivada del fuero de maternidad en los contratos de prestación de servicios</w:t>
      </w:r>
      <w:r w:rsidRPr="00827711">
        <w:rPr>
          <w:rFonts w:ascii="Verdana" w:hAnsi="Verdana" w:cs="Arial"/>
          <w:noProof/>
          <w:lang w:val="es-ES_tradnl"/>
        </w:rPr>
        <w:t>”</w:t>
      </w:r>
      <w:r w:rsidRPr="009954A8">
        <w:rPr>
          <w:rStyle w:val="Refdenotaalpie"/>
          <w:rFonts w:ascii="Verdana" w:hAnsi="Verdana" w:cs="Arial"/>
          <w:noProof/>
          <w:lang w:val="es-ES_tradnl"/>
        </w:rPr>
        <w:footnoteReference w:id="7"/>
      </w:r>
      <w:r w:rsidRPr="00827711">
        <w:rPr>
          <w:rFonts w:ascii="Verdana" w:hAnsi="Verdana" w:cs="Arial"/>
          <w:shd w:val="clear" w:color="auto" w:fill="FFFFFF"/>
        </w:rPr>
        <w:t xml:space="preserve">. </w:t>
      </w:r>
    </w:p>
    <w:p w14:paraId="3A970D72" w14:textId="77777777" w:rsidR="000A43AA" w:rsidRDefault="000A43AA" w:rsidP="008968B6">
      <w:pPr>
        <w:widowControl w:val="0"/>
        <w:autoSpaceDE w:val="0"/>
        <w:autoSpaceDN w:val="0"/>
        <w:spacing w:after="0" w:line="276" w:lineRule="auto"/>
        <w:ind w:firstLine="709"/>
        <w:jc w:val="both"/>
        <w:rPr>
          <w:rFonts w:ascii="Verdana" w:hAnsi="Verdana" w:cs="Arial"/>
        </w:rPr>
      </w:pPr>
      <w:r w:rsidRPr="00827711">
        <w:rPr>
          <w:rFonts w:ascii="Verdana" w:eastAsia="Arial" w:hAnsi="Verdana" w:cs="Arial"/>
        </w:rPr>
        <w:t xml:space="preserve">En atención a dicho pronunciamiento, resulta relevante relacionar </w:t>
      </w:r>
      <w:r w:rsidRPr="00827711">
        <w:rPr>
          <w:rFonts w:ascii="Verdana" w:hAnsi="Verdana" w:cs="Arial"/>
        </w:rPr>
        <w:t>las reglas establecidas en la jurisprudencia constitucional para la protección de las mujeres contratadas mediante contrato de prestación de servicios a quienes no se les renueva dicho contrato mientras se encuentran en estado de embarazo o lactancia:</w:t>
      </w:r>
    </w:p>
    <w:p w14:paraId="75C5E2C8" w14:textId="77777777" w:rsidR="008968B6" w:rsidRPr="00D33DEE" w:rsidRDefault="008968B6" w:rsidP="00D42615">
      <w:pPr>
        <w:widowControl w:val="0"/>
        <w:autoSpaceDE w:val="0"/>
        <w:autoSpaceDN w:val="0"/>
        <w:spacing w:after="0" w:line="276" w:lineRule="auto"/>
        <w:ind w:firstLine="709"/>
        <w:jc w:val="both"/>
        <w:rPr>
          <w:rFonts w:ascii="Verdana" w:eastAsia="Arial" w:hAnsi="Verdana" w:cs="Arial"/>
        </w:rPr>
      </w:pPr>
    </w:p>
    <w:tbl>
      <w:tblPr>
        <w:tblStyle w:val="Tablaconcuadrcula"/>
        <w:tblW w:w="4896" w:type="pct"/>
        <w:tblLook w:val="04A0" w:firstRow="1" w:lastRow="0" w:firstColumn="1" w:lastColumn="0" w:noHBand="0" w:noVBand="1"/>
      </w:tblPr>
      <w:tblGrid>
        <w:gridCol w:w="1775"/>
        <w:gridCol w:w="6869"/>
      </w:tblGrid>
      <w:tr w:rsidR="000A43AA" w:rsidRPr="00D33DEE" w14:paraId="7FE0B2D9" w14:textId="77777777" w:rsidTr="00FA3433">
        <w:trPr>
          <w:trHeight w:val="702"/>
        </w:trPr>
        <w:tc>
          <w:tcPr>
            <w:tcW w:w="1027" w:type="pct"/>
            <w:shd w:val="clear" w:color="auto" w:fill="D9E2F3" w:themeFill="accent1" w:themeFillTint="33"/>
            <w:vAlign w:val="center"/>
          </w:tcPr>
          <w:p w14:paraId="4FEBAF25" w14:textId="77777777" w:rsidR="000A43AA" w:rsidRPr="00D33DEE" w:rsidRDefault="000A43AA" w:rsidP="00FA3433">
            <w:pPr>
              <w:pStyle w:val="Sinespaciado"/>
              <w:ind w:right="0"/>
              <w:jc w:val="center"/>
              <w:rPr>
                <w:rFonts w:ascii="Verdana" w:hAnsi="Verdana" w:cs="Arial"/>
                <w:b/>
                <w:bCs/>
                <w:sz w:val="20"/>
                <w:szCs w:val="20"/>
              </w:rPr>
            </w:pPr>
            <w:r w:rsidRPr="00D33DEE">
              <w:rPr>
                <w:rFonts w:ascii="Verdana" w:hAnsi="Verdana" w:cs="Arial"/>
                <w:b/>
                <w:bCs/>
                <w:sz w:val="20"/>
                <w:szCs w:val="20"/>
              </w:rPr>
              <w:t>Tipo de relación material</w:t>
            </w:r>
          </w:p>
        </w:tc>
        <w:tc>
          <w:tcPr>
            <w:tcW w:w="3973" w:type="pct"/>
            <w:shd w:val="clear" w:color="auto" w:fill="D9E2F3" w:themeFill="accent1" w:themeFillTint="33"/>
            <w:vAlign w:val="center"/>
          </w:tcPr>
          <w:p w14:paraId="1FAB0B64" w14:textId="77777777" w:rsidR="000A43AA" w:rsidRPr="00D33DEE" w:rsidRDefault="000A43AA" w:rsidP="00FA3433">
            <w:pPr>
              <w:pStyle w:val="Sinespaciado"/>
              <w:ind w:right="0"/>
              <w:jc w:val="center"/>
              <w:rPr>
                <w:rFonts w:ascii="Verdana" w:hAnsi="Verdana" w:cs="Arial"/>
                <w:b/>
                <w:bCs/>
                <w:sz w:val="20"/>
                <w:szCs w:val="20"/>
              </w:rPr>
            </w:pPr>
            <w:r w:rsidRPr="00D33DEE">
              <w:rPr>
                <w:rFonts w:ascii="Verdana" w:hAnsi="Verdana" w:cs="Arial"/>
                <w:b/>
                <w:bCs/>
                <w:sz w:val="20"/>
                <w:szCs w:val="20"/>
              </w:rPr>
              <w:t>Alcance de la protección</w:t>
            </w:r>
          </w:p>
        </w:tc>
      </w:tr>
      <w:tr w:rsidR="000A43AA" w:rsidRPr="00D33DEE" w14:paraId="4C048093" w14:textId="77777777" w:rsidTr="00FA3433">
        <w:trPr>
          <w:trHeight w:val="939"/>
        </w:trPr>
        <w:tc>
          <w:tcPr>
            <w:tcW w:w="1027" w:type="pct"/>
            <w:tcBorders>
              <w:bottom w:val="single" w:sz="4" w:space="0" w:color="auto"/>
            </w:tcBorders>
            <w:vAlign w:val="center"/>
          </w:tcPr>
          <w:p w14:paraId="6A3A1F86" w14:textId="77777777" w:rsidR="000A43AA" w:rsidRPr="00D33DEE" w:rsidRDefault="000A43AA" w:rsidP="00FA3433">
            <w:pPr>
              <w:pStyle w:val="Sinespaciado"/>
              <w:ind w:right="0"/>
              <w:jc w:val="center"/>
              <w:rPr>
                <w:rFonts w:ascii="Verdana" w:hAnsi="Verdana" w:cs="Arial"/>
                <w:b/>
                <w:bCs/>
                <w:sz w:val="20"/>
                <w:szCs w:val="20"/>
              </w:rPr>
            </w:pPr>
            <w:r w:rsidRPr="00D33DEE">
              <w:rPr>
                <w:rFonts w:ascii="Verdana" w:hAnsi="Verdana" w:cs="Arial"/>
                <w:b/>
                <w:bCs/>
                <w:sz w:val="20"/>
                <w:szCs w:val="20"/>
              </w:rPr>
              <w:t>Se configura un contrato realidad</w:t>
            </w:r>
          </w:p>
        </w:tc>
        <w:tc>
          <w:tcPr>
            <w:tcW w:w="3973" w:type="pct"/>
          </w:tcPr>
          <w:p w14:paraId="52D838B6" w14:textId="77777777" w:rsidR="000A43AA" w:rsidRPr="00D33DEE" w:rsidRDefault="000A43AA" w:rsidP="00FA3433">
            <w:pPr>
              <w:pStyle w:val="Sinespaciado"/>
              <w:ind w:right="0"/>
              <w:rPr>
                <w:rFonts w:ascii="Verdana" w:hAnsi="Verdana" w:cs="Arial"/>
                <w:sz w:val="20"/>
                <w:szCs w:val="20"/>
              </w:rPr>
            </w:pPr>
            <w:r w:rsidRPr="00D33DEE">
              <w:rPr>
                <w:rFonts w:ascii="Verdana" w:hAnsi="Verdana" w:cs="Arial"/>
                <w:sz w:val="20"/>
                <w:szCs w:val="20"/>
              </w:rPr>
              <w:t>El juez de tutela deberá aplicar las reglas establecidas para el contrato laboral a término fijo, debido a que este contrato, por sus características de temporalidad, es el que mejor se asemeja al contrato de prestación de servicios</w:t>
            </w:r>
            <w:r w:rsidRPr="00D33DEE">
              <w:rPr>
                <w:rStyle w:val="Refdenotaalpie"/>
                <w:rFonts w:ascii="Verdana" w:hAnsi="Verdana" w:cs="Arial"/>
                <w:sz w:val="20"/>
                <w:szCs w:val="20"/>
              </w:rPr>
              <w:t xml:space="preserve"> </w:t>
            </w:r>
            <w:r w:rsidRPr="00D33DEE">
              <w:rPr>
                <w:rStyle w:val="Refdenotaalpie"/>
                <w:rFonts w:ascii="Verdana" w:hAnsi="Verdana" w:cs="Arial"/>
                <w:sz w:val="20"/>
                <w:szCs w:val="20"/>
              </w:rPr>
              <w:footnoteReference w:id="8"/>
            </w:r>
            <w:r w:rsidRPr="00D33DEE">
              <w:rPr>
                <w:rFonts w:ascii="Verdana" w:hAnsi="Verdana" w:cs="Arial"/>
                <w:sz w:val="20"/>
                <w:szCs w:val="20"/>
              </w:rPr>
              <w:t>.</w:t>
            </w:r>
          </w:p>
        </w:tc>
      </w:tr>
      <w:tr w:rsidR="000A43AA" w:rsidRPr="00D33DEE" w14:paraId="3B8A39FA" w14:textId="77777777" w:rsidTr="00FA3433">
        <w:trPr>
          <w:trHeight w:val="259"/>
        </w:trPr>
        <w:tc>
          <w:tcPr>
            <w:tcW w:w="1027" w:type="pct"/>
            <w:tcBorders>
              <w:top w:val="single" w:sz="4" w:space="0" w:color="auto"/>
              <w:left w:val="single" w:sz="4" w:space="0" w:color="auto"/>
              <w:bottom w:val="single" w:sz="4" w:space="0" w:color="auto"/>
              <w:right w:val="single" w:sz="4" w:space="0" w:color="auto"/>
            </w:tcBorders>
            <w:vAlign w:val="center"/>
          </w:tcPr>
          <w:p w14:paraId="63C554CD" w14:textId="77777777" w:rsidR="000A43AA" w:rsidRPr="00D33DEE" w:rsidRDefault="000A43AA" w:rsidP="00FA3433">
            <w:pPr>
              <w:pStyle w:val="Sinespaciado"/>
              <w:ind w:right="0"/>
              <w:jc w:val="center"/>
              <w:rPr>
                <w:rFonts w:ascii="Verdana" w:hAnsi="Verdana" w:cs="Arial"/>
                <w:b/>
                <w:bCs/>
                <w:sz w:val="20"/>
                <w:szCs w:val="20"/>
              </w:rPr>
            </w:pPr>
            <w:r w:rsidRPr="00D33DEE">
              <w:rPr>
                <w:rFonts w:ascii="Verdana" w:hAnsi="Verdana" w:cs="Arial"/>
                <w:b/>
                <w:bCs/>
                <w:sz w:val="20"/>
                <w:szCs w:val="20"/>
              </w:rPr>
              <w:t xml:space="preserve">No se configura un </w:t>
            </w:r>
            <w:r w:rsidRPr="00D33DEE">
              <w:rPr>
                <w:rFonts w:ascii="Verdana" w:hAnsi="Verdana" w:cs="Arial"/>
                <w:b/>
                <w:bCs/>
                <w:sz w:val="20"/>
                <w:szCs w:val="20"/>
              </w:rPr>
              <w:lastRenderedPageBreak/>
              <w:t>contrato realidad</w:t>
            </w:r>
          </w:p>
        </w:tc>
        <w:tc>
          <w:tcPr>
            <w:tcW w:w="3973" w:type="pct"/>
            <w:tcBorders>
              <w:left w:val="single" w:sz="4" w:space="0" w:color="auto"/>
            </w:tcBorders>
            <w:vAlign w:val="center"/>
          </w:tcPr>
          <w:p w14:paraId="24532EAA" w14:textId="77777777" w:rsidR="000A43AA" w:rsidRPr="00D33DEE" w:rsidRDefault="000A43AA" w:rsidP="00FA3433">
            <w:pPr>
              <w:pStyle w:val="Sinespaciado"/>
              <w:ind w:right="0"/>
              <w:rPr>
                <w:rFonts w:ascii="Verdana" w:hAnsi="Verdana" w:cs="Arial"/>
                <w:sz w:val="20"/>
                <w:szCs w:val="20"/>
              </w:rPr>
            </w:pPr>
            <w:r w:rsidRPr="00D33DEE">
              <w:rPr>
                <w:rFonts w:ascii="Verdana" w:hAnsi="Verdana" w:cs="Arial"/>
                <w:sz w:val="20"/>
                <w:szCs w:val="20"/>
              </w:rPr>
              <w:lastRenderedPageBreak/>
              <w:t>Si (i) el contratante conoce el estado de embarazo de la contratista, (</w:t>
            </w:r>
            <w:proofErr w:type="spellStart"/>
            <w:r w:rsidRPr="00D33DEE">
              <w:rPr>
                <w:rFonts w:ascii="Verdana" w:hAnsi="Verdana" w:cs="Arial"/>
                <w:sz w:val="20"/>
                <w:szCs w:val="20"/>
              </w:rPr>
              <w:t>ii</w:t>
            </w:r>
            <w:proofErr w:type="spellEnd"/>
            <w:r w:rsidRPr="00D33DEE">
              <w:rPr>
                <w:rFonts w:ascii="Verdana" w:hAnsi="Verdana" w:cs="Arial"/>
                <w:sz w:val="20"/>
                <w:szCs w:val="20"/>
              </w:rPr>
              <w:t>) subsiste la causa del contrato y (</w:t>
            </w:r>
            <w:proofErr w:type="spellStart"/>
            <w:r w:rsidRPr="00D33DEE">
              <w:rPr>
                <w:rFonts w:ascii="Verdana" w:hAnsi="Verdana" w:cs="Arial"/>
                <w:sz w:val="20"/>
                <w:szCs w:val="20"/>
              </w:rPr>
              <w:t>iii</w:t>
            </w:r>
            <w:proofErr w:type="spellEnd"/>
            <w:r w:rsidRPr="00D33DEE">
              <w:rPr>
                <w:rFonts w:ascii="Verdana" w:hAnsi="Verdana" w:cs="Arial"/>
                <w:sz w:val="20"/>
                <w:szCs w:val="20"/>
              </w:rPr>
              <w:t xml:space="preserve">) no cuenta con </w:t>
            </w:r>
            <w:r w:rsidRPr="00D33DEE">
              <w:rPr>
                <w:rFonts w:ascii="Verdana" w:hAnsi="Verdana" w:cs="Arial"/>
                <w:sz w:val="20"/>
                <w:szCs w:val="20"/>
              </w:rPr>
              <w:lastRenderedPageBreak/>
              <w:t>permiso del inspector del trabajo para terminar el contrato, el juez deberá ordenar:</w:t>
            </w:r>
          </w:p>
          <w:p w14:paraId="263202B5" w14:textId="77777777" w:rsidR="000A43AA" w:rsidRPr="00D33DEE" w:rsidRDefault="000A43AA" w:rsidP="00FA3433">
            <w:pPr>
              <w:pStyle w:val="Sinespaciado"/>
              <w:numPr>
                <w:ilvl w:val="0"/>
                <w:numId w:val="18"/>
              </w:numPr>
              <w:ind w:right="0"/>
              <w:rPr>
                <w:rFonts w:ascii="Verdana" w:hAnsi="Verdana" w:cs="Arial"/>
                <w:sz w:val="20"/>
                <w:szCs w:val="20"/>
              </w:rPr>
            </w:pPr>
            <w:r w:rsidRPr="00D33DEE">
              <w:rPr>
                <w:rFonts w:ascii="Verdana" w:hAnsi="Verdana" w:cs="Arial"/>
                <w:sz w:val="20"/>
                <w:szCs w:val="20"/>
              </w:rPr>
              <w:t xml:space="preserve">La renovación de la relación contractual, la </w:t>
            </w:r>
            <w:proofErr w:type="spellStart"/>
            <w:r w:rsidRPr="00D33DEE">
              <w:rPr>
                <w:rFonts w:ascii="Verdana" w:hAnsi="Verdana" w:cs="Arial"/>
                <w:sz w:val="20"/>
                <w:szCs w:val="20"/>
              </w:rPr>
              <w:t>cuál</w:t>
            </w:r>
            <w:proofErr w:type="spellEnd"/>
            <w:r w:rsidRPr="00D33DEE">
              <w:rPr>
                <w:rFonts w:ascii="Verdana" w:hAnsi="Verdana" w:cs="Arial"/>
                <w:sz w:val="20"/>
                <w:szCs w:val="20"/>
              </w:rPr>
              <w:t xml:space="preserve"> se dará hasta por el término del periodo de lactancia. </w:t>
            </w:r>
          </w:p>
          <w:p w14:paraId="679E9026" w14:textId="77777777" w:rsidR="000A43AA" w:rsidRPr="00D33DEE" w:rsidRDefault="000A43AA" w:rsidP="00FA3433">
            <w:pPr>
              <w:pStyle w:val="Sinespaciado"/>
              <w:numPr>
                <w:ilvl w:val="0"/>
                <w:numId w:val="18"/>
              </w:numPr>
              <w:ind w:right="0"/>
              <w:rPr>
                <w:rFonts w:ascii="Verdana" w:hAnsi="Verdana" w:cs="Arial"/>
                <w:sz w:val="20"/>
                <w:szCs w:val="20"/>
              </w:rPr>
            </w:pPr>
            <w:r w:rsidRPr="00D33DEE">
              <w:rPr>
                <w:rFonts w:ascii="Verdana" w:hAnsi="Verdana" w:cs="Arial"/>
                <w:sz w:val="20"/>
                <w:szCs w:val="20"/>
              </w:rPr>
              <w:t xml:space="preserve">El pago de los honorarios dejados de percibir desde la fecha de no renovación del contrato, hasta la renovación </w:t>
            </w:r>
            <w:proofErr w:type="gramStart"/>
            <w:r w:rsidRPr="00D33DEE">
              <w:rPr>
                <w:rFonts w:ascii="Verdana" w:hAnsi="Verdana" w:cs="Arial"/>
                <w:sz w:val="20"/>
                <w:szCs w:val="20"/>
              </w:rPr>
              <w:t>del mismo</w:t>
            </w:r>
            <w:proofErr w:type="gramEnd"/>
            <w:r w:rsidRPr="00D33DEE">
              <w:rPr>
                <w:rFonts w:ascii="Verdana" w:hAnsi="Verdana" w:cs="Arial"/>
                <w:sz w:val="20"/>
                <w:szCs w:val="20"/>
              </w:rPr>
              <w:t>;</w:t>
            </w:r>
          </w:p>
          <w:p w14:paraId="490CFD10" w14:textId="77777777" w:rsidR="000A43AA" w:rsidRPr="00D33DEE" w:rsidRDefault="000A43AA" w:rsidP="00FA3433">
            <w:pPr>
              <w:pStyle w:val="Sinespaciado"/>
              <w:numPr>
                <w:ilvl w:val="0"/>
                <w:numId w:val="18"/>
              </w:numPr>
              <w:ind w:right="0"/>
              <w:rPr>
                <w:rFonts w:ascii="Verdana" w:hAnsi="Verdana" w:cs="Arial"/>
                <w:sz w:val="20"/>
                <w:szCs w:val="20"/>
              </w:rPr>
            </w:pPr>
            <w:r w:rsidRPr="00D33DEE">
              <w:rPr>
                <w:rFonts w:ascii="Verdana" w:hAnsi="Verdana" w:cs="Arial"/>
                <w:sz w:val="20"/>
                <w:szCs w:val="20"/>
              </w:rPr>
              <w:t>El pago por concepto de la indemnización por despido discriminatorio</w:t>
            </w:r>
            <w:r w:rsidRPr="00D33DEE">
              <w:rPr>
                <w:rStyle w:val="Refdenotaalpie"/>
                <w:rFonts w:ascii="Verdana" w:hAnsi="Verdana" w:cs="Arial"/>
                <w:sz w:val="20"/>
                <w:szCs w:val="20"/>
              </w:rPr>
              <w:footnoteReference w:id="9"/>
            </w:r>
            <w:r w:rsidRPr="00D33DEE">
              <w:rPr>
                <w:rFonts w:ascii="Verdana" w:hAnsi="Verdana" w:cs="Arial"/>
                <w:sz w:val="20"/>
                <w:szCs w:val="20"/>
              </w:rPr>
              <w:t>; y</w:t>
            </w:r>
          </w:p>
          <w:p w14:paraId="125520F0" w14:textId="77777777" w:rsidR="000A43AA" w:rsidRPr="00D33DEE" w:rsidRDefault="000A43AA" w:rsidP="00FA3433">
            <w:pPr>
              <w:pStyle w:val="Sinespaciado"/>
              <w:numPr>
                <w:ilvl w:val="0"/>
                <w:numId w:val="18"/>
              </w:numPr>
              <w:ind w:right="0"/>
              <w:rPr>
                <w:rFonts w:ascii="Verdana" w:hAnsi="Verdana" w:cs="Arial"/>
                <w:sz w:val="20"/>
                <w:szCs w:val="20"/>
              </w:rPr>
            </w:pPr>
            <w:r w:rsidRPr="00D33DEE">
              <w:rPr>
                <w:rFonts w:ascii="Verdana" w:hAnsi="Verdana" w:cs="Arial"/>
                <w:sz w:val="20"/>
                <w:szCs w:val="20"/>
              </w:rPr>
              <w:t>El pago de la licencia de maternidad. Este pago no se realizará si en el caso se acredita que la madre disfrutó de la licencia de maternidad</w:t>
            </w:r>
            <w:r w:rsidRPr="00D33DEE">
              <w:rPr>
                <w:rStyle w:val="Refdenotaalpie"/>
                <w:rFonts w:ascii="Verdana" w:hAnsi="Verdana" w:cs="Arial"/>
                <w:sz w:val="20"/>
                <w:szCs w:val="20"/>
              </w:rPr>
              <w:footnoteReference w:id="10"/>
            </w:r>
            <w:r w:rsidRPr="00D33DEE">
              <w:rPr>
                <w:rFonts w:ascii="Verdana" w:hAnsi="Verdana" w:cs="Arial"/>
                <w:sz w:val="20"/>
                <w:szCs w:val="20"/>
              </w:rPr>
              <w:t>.</w:t>
            </w:r>
          </w:p>
          <w:p w14:paraId="66DD4DA9" w14:textId="77777777" w:rsidR="000A43AA" w:rsidRPr="00D33DEE" w:rsidRDefault="000A43AA" w:rsidP="00FA3433">
            <w:pPr>
              <w:pStyle w:val="Sinespaciado"/>
              <w:numPr>
                <w:ilvl w:val="0"/>
                <w:numId w:val="18"/>
              </w:numPr>
              <w:ind w:right="0"/>
              <w:rPr>
                <w:rFonts w:ascii="Verdana" w:hAnsi="Verdana" w:cs="Arial"/>
                <w:sz w:val="20"/>
                <w:szCs w:val="20"/>
              </w:rPr>
            </w:pPr>
            <w:r w:rsidRPr="00D33DEE">
              <w:rPr>
                <w:rFonts w:ascii="Verdana" w:hAnsi="Verdana" w:cs="Arial"/>
                <w:sz w:val="20"/>
                <w:szCs w:val="20"/>
              </w:rPr>
              <w:t>En el evento en el que el término del periodo de lactancia ya haya terminado, procederá el reconocimiento de los honorarios dejados de percibir hasta la terminación de periodo de lactancia</w:t>
            </w:r>
            <w:r w:rsidRPr="00D33DEE">
              <w:rPr>
                <w:rStyle w:val="Refdenotaalpie"/>
                <w:rFonts w:ascii="Verdana" w:hAnsi="Verdana" w:cs="Arial"/>
                <w:sz w:val="20"/>
                <w:szCs w:val="20"/>
              </w:rPr>
              <w:footnoteReference w:id="11"/>
            </w:r>
            <w:r w:rsidRPr="00D33DEE">
              <w:rPr>
                <w:rFonts w:ascii="Verdana" w:hAnsi="Verdana" w:cs="Arial"/>
                <w:sz w:val="20"/>
                <w:szCs w:val="20"/>
              </w:rPr>
              <w:t>.</w:t>
            </w:r>
          </w:p>
          <w:p w14:paraId="52F92841" w14:textId="77777777" w:rsidR="000A43AA" w:rsidRPr="00D33DEE" w:rsidRDefault="000A43AA" w:rsidP="00FA3433">
            <w:pPr>
              <w:pStyle w:val="Sinespaciado"/>
              <w:keepNext/>
              <w:ind w:right="0"/>
              <w:rPr>
                <w:rFonts w:ascii="Verdana" w:hAnsi="Verdana" w:cs="Arial"/>
                <w:sz w:val="20"/>
                <w:szCs w:val="20"/>
              </w:rPr>
            </w:pPr>
            <w:r w:rsidRPr="00D33DEE">
              <w:rPr>
                <w:rFonts w:ascii="Verdana" w:hAnsi="Verdana" w:cs="Arial"/>
                <w:sz w:val="20"/>
                <w:szCs w:val="20"/>
              </w:rPr>
              <w:t>En todo caso, el juez deberá estudiar la procedencia de cada una de estas medidas de protección para lo cual tendrá en cuenta las particularidades del caso</w:t>
            </w:r>
            <w:r w:rsidRPr="00D33DEE">
              <w:rPr>
                <w:rStyle w:val="Refdenotaalpie"/>
                <w:rFonts w:ascii="Verdana" w:hAnsi="Verdana" w:cs="Arial"/>
                <w:sz w:val="20"/>
                <w:szCs w:val="20"/>
              </w:rPr>
              <w:footnoteReference w:id="12"/>
            </w:r>
            <w:r w:rsidRPr="00D33DEE">
              <w:rPr>
                <w:rFonts w:ascii="Verdana" w:hAnsi="Verdana" w:cs="Arial"/>
                <w:sz w:val="20"/>
                <w:szCs w:val="20"/>
              </w:rPr>
              <w:t>.</w:t>
            </w:r>
          </w:p>
        </w:tc>
      </w:tr>
    </w:tbl>
    <w:p w14:paraId="40DF0908" w14:textId="77777777" w:rsidR="000A43AA" w:rsidRPr="005945E1" w:rsidRDefault="000A43AA" w:rsidP="000A43AA">
      <w:pPr>
        <w:pStyle w:val="Descripcin"/>
        <w:spacing w:after="0"/>
        <w:jc w:val="center"/>
        <w:rPr>
          <w:rFonts w:ascii="Verdana" w:hAnsi="Verdana" w:cs="Arial"/>
          <w:i w:val="0"/>
          <w:color w:val="auto"/>
          <w:sz w:val="16"/>
          <w:szCs w:val="16"/>
        </w:rPr>
      </w:pPr>
      <w:r w:rsidRPr="005945E1">
        <w:rPr>
          <w:rFonts w:ascii="Verdana" w:hAnsi="Verdana" w:cs="Arial"/>
          <w:i w:val="0"/>
          <w:color w:val="auto"/>
          <w:sz w:val="16"/>
          <w:szCs w:val="16"/>
        </w:rPr>
        <w:lastRenderedPageBreak/>
        <w:t xml:space="preserve">Tabla: Reglas para la protección de la mujer embarazada en contratos de prestación de servicios. – Tomada de la Sentencia T-329 de 2022. </w:t>
      </w:r>
    </w:p>
    <w:p w14:paraId="476A503F" w14:textId="77777777" w:rsidR="000A43AA" w:rsidRPr="009954A8" w:rsidRDefault="000A43AA" w:rsidP="000A43AA">
      <w:pPr>
        <w:pStyle w:val="NormalWeb"/>
        <w:shd w:val="clear" w:color="auto" w:fill="FFFFFF"/>
        <w:spacing w:before="0" w:beforeAutospacing="0" w:after="0" w:afterAutospacing="0" w:line="276" w:lineRule="auto"/>
        <w:ind w:firstLine="709"/>
        <w:jc w:val="both"/>
        <w:rPr>
          <w:rFonts w:ascii="Verdana" w:eastAsia="Arial" w:hAnsi="Verdana" w:cs="Arial"/>
          <w:sz w:val="22"/>
          <w:szCs w:val="22"/>
          <w:lang w:val="es-ES"/>
        </w:rPr>
      </w:pPr>
    </w:p>
    <w:p w14:paraId="549560A5" w14:textId="77777777" w:rsidR="000A43AA" w:rsidRPr="00827711" w:rsidRDefault="000A43AA" w:rsidP="000A43AA">
      <w:pPr>
        <w:widowControl w:val="0"/>
        <w:autoSpaceDE w:val="0"/>
        <w:autoSpaceDN w:val="0"/>
        <w:spacing w:after="120" w:line="276" w:lineRule="auto"/>
        <w:ind w:firstLine="709"/>
        <w:jc w:val="both"/>
        <w:rPr>
          <w:rFonts w:ascii="Verdana" w:eastAsia="Arial" w:hAnsi="Verdana" w:cs="Arial"/>
        </w:rPr>
      </w:pPr>
      <w:r w:rsidRPr="00827711">
        <w:rPr>
          <w:rFonts w:ascii="Verdana" w:eastAsia="Arial" w:hAnsi="Verdana" w:cs="Arial"/>
        </w:rPr>
        <w:t>En este sentido, les corresponde a las entidades estatales, en virtud de su autonomía, y de acuerdo con los lineamientos de la Corte Constitucional, determinar la mejor forma para garantizar la estabilidad laboral reforzada de las mujeres embarazadas y en periodo de lactancia vinculadas mediante contratos de prestación de servicios.</w:t>
      </w:r>
    </w:p>
    <w:p w14:paraId="01A97908" w14:textId="77777777" w:rsidR="000A43AA" w:rsidRDefault="000A43AA" w:rsidP="00D42615">
      <w:pPr>
        <w:spacing w:after="0" w:line="276" w:lineRule="auto"/>
        <w:ind w:firstLine="709"/>
        <w:jc w:val="both"/>
        <w:rPr>
          <w:rFonts w:ascii="Verdana" w:hAnsi="Verdana"/>
          <w:shd w:val="clear" w:color="auto" w:fill="FFFFFF"/>
        </w:rPr>
      </w:pPr>
      <w:r w:rsidRPr="00CC5C68">
        <w:rPr>
          <w:rFonts w:ascii="Verdana" w:eastAsia="Times New Roman" w:hAnsi="Verdana" w:cs="Arial"/>
          <w:lang w:eastAsia="es-ES_tradnl"/>
        </w:rPr>
        <w:t xml:space="preserve">Sin perjuicio de las aclaraciones anteriores, debe advertirse que es </w:t>
      </w:r>
      <w:r>
        <w:rPr>
          <w:rFonts w:ascii="Verdana" w:eastAsia="Times New Roman" w:hAnsi="Verdana" w:cs="Arial"/>
          <w:lang w:eastAsia="es-ES_tradnl"/>
        </w:rPr>
        <w:t>c</w:t>
      </w:r>
      <w:r w:rsidRPr="0008338A">
        <w:rPr>
          <w:rFonts w:ascii="Verdana" w:hAnsi="Verdana"/>
          <w:shd w:val="clear" w:color="auto" w:fill="FFFFFF"/>
        </w:rPr>
        <w:t xml:space="preserve">ompetencia de la entidad contratante, en el marco de su gestión contractual, determinar el tratamiento aplicable a la licencia de maternidad de la contratista, conforme a las particularidades del caso concreto y a las reglas contractuales previamente pactadas. En todo caso, lo aquí expuesto se formula en el marco </w:t>
      </w:r>
      <w:r w:rsidRPr="0008338A">
        <w:rPr>
          <w:rFonts w:ascii="Verdana" w:hAnsi="Verdana"/>
          <w:shd w:val="clear" w:color="auto" w:fill="FFFFFF"/>
        </w:rPr>
        <w:lastRenderedPageBreak/>
        <w:t>de la función consultiva de esta Agencia y no comporta pronunciamiento sobre una situación contractual específica</w:t>
      </w:r>
      <w:r>
        <w:rPr>
          <w:rFonts w:ascii="Verdana" w:hAnsi="Verdana"/>
          <w:shd w:val="clear" w:color="auto" w:fill="FFFFFF"/>
        </w:rPr>
        <w:t>.</w:t>
      </w:r>
    </w:p>
    <w:p w14:paraId="5D94C846" w14:textId="77777777" w:rsidR="000A43AA" w:rsidRPr="00CC5C68" w:rsidRDefault="000A43AA" w:rsidP="00D42615">
      <w:pPr>
        <w:spacing w:after="0" w:line="276" w:lineRule="auto"/>
        <w:ind w:firstLine="709"/>
        <w:jc w:val="both"/>
        <w:rPr>
          <w:rFonts w:ascii="Verdana" w:eastAsia="Calibri" w:hAnsi="Verdana" w:cs="Arial"/>
          <w:szCs w:val="24"/>
          <w:lang w:eastAsia="es-ES_tradnl"/>
        </w:rPr>
      </w:pPr>
    </w:p>
    <w:p w14:paraId="2FD41141" w14:textId="77777777" w:rsidR="000A43AA" w:rsidRPr="00CC5C68" w:rsidRDefault="000A43AA" w:rsidP="000A43AA">
      <w:pPr>
        <w:tabs>
          <w:tab w:val="left" w:pos="142"/>
          <w:tab w:val="left" w:pos="284"/>
        </w:tabs>
        <w:spacing w:after="0" w:line="276" w:lineRule="auto"/>
        <w:jc w:val="both"/>
        <w:rPr>
          <w:rFonts w:ascii="Verdana" w:eastAsia="Century Gothic" w:hAnsi="Verdana" w:cs="Century Gothic"/>
          <w:b/>
          <w:bCs/>
        </w:rPr>
      </w:pPr>
      <w:r w:rsidRPr="00CC5C68">
        <w:rPr>
          <w:rFonts w:ascii="Verdana" w:eastAsia="Century Gothic" w:hAnsi="Verdana" w:cs="Century Gothic"/>
          <w:b/>
          <w:bCs/>
        </w:rPr>
        <w:t>4. Referencias normativas, jurisprudenciales y otras fuentes:</w:t>
      </w:r>
    </w:p>
    <w:p w14:paraId="75A6B829" w14:textId="77777777" w:rsidR="000A43AA" w:rsidRPr="00CC5C68" w:rsidRDefault="000A43AA" w:rsidP="000A43AA">
      <w:pPr>
        <w:widowControl w:val="0"/>
        <w:autoSpaceDE w:val="0"/>
        <w:autoSpaceDN w:val="0"/>
        <w:spacing w:after="0" w:line="276" w:lineRule="auto"/>
        <w:jc w:val="both"/>
        <w:rPr>
          <w:rFonts w:ascii="Verdana" w:hAnsi="Verdana" w:cs="Arial"/>
        </w:rPr>
      </w:pPr>
    </w:p>
    <w:tbl>
      <w:tblPr>
        <w:tblStyle w:val="Tablaconcuadrcula"/>
        <w:tblW w:w="864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A43AA" w:rsidRPr="00CC5C68" w14:paraId="56B3B158" w14:textId="77777777" w:rsidTr="00D42615">
        <w:trPr>
          <w:trHeight w:val="870"/>
        </w:trPr>
        <w:tc>
          <w:tcPr>
            <w:tcW w:w="8647" w:type="dxa"/>
          </w:tcPr>
          <w:p w14:paraId="17F3FD06" w14:textId="77777777" w:rsidR="000A43AA" w:rsidRPr="000952AC" w:rsidRDefault="000A43AA" w:rsidP="00D42615">
            <w:pPr>
              <w:pStyle w:val="Prrafodelista"/>
              <w:widowControl w:val="0"/>
              <w:numPr>
                <w:ilvl w:val="0"/>
                <w:numId w:val="17"/>
              </w:numPr>
              <w:autoSpaceDE w:val="0"/>
              <w:autoSpaceDN w:val="0"/>
              <w:spacing w:line="276" w:lineRule="auto"/>
              <w:jc w:val="both"/>
              <w:rPr>
                <w:rFonts w:ascii="Verdana" w:hAnsi="Verdana" w:cs="Arial"/>
                <w:lang w:val="es-CO"/>
              </w:rPr>
            </w:pPr>
            <w:r w:rsidRPr="000952AC">
              <w:rPr>
                <w:rFonts w:ascii="Verdana" w:eastAsia="Calibri" w:hAnsi="Verdana" w:cs="Arial"/>
                <w:bCs/>
                <w:iCs/>
                <w:lang w:val="es-CO" w:eastAsia="es-ES_tradnl"/>
              </w:rPr>
              <w:t xml:space="preserve">Ley 80 de 1993. Artículo 32. </w:t>
            </w:r>
          </w:p>
          <w:p w14:paraId="1071ADBD" w14:textId="77777777" w:rsidR="00E13BD9" w:rsidRPr="00E13BD9" w:rsidRDefault="00E13BD9" w:rsidP="00D42615">
            <w:pPr>
              <w:pStyle w:val="Prrafodelista"/>
              <w:widowControl w:val="0"/>
              <w:numPr>
                <w:ilvl w:val="0"/>
                <w:numId w:val="17"/>
              </w:numPr>
              <w:autoSpaceDE w:val="0"/>
              <w:autoSpaceDN w:val="0"/>
              <w:spacing w:line="276" w:lineRule="auto"/>
              <w:jc w:val="both"/>
              <w:rPr>
                <w:rFonts w:ascii="Verdana" w:hAnsi="Verdana" w:cs="Arial"/>
              </w:rPr>
            </w:pPr>
            <w:r w:rsidRPr="00E13BD9">
              <w:rPr>
                <w:rFonts w:ascii="Verdana" w:hAnsi="Verdana"/>
                <w:lang w:val="es-CO"/>
              </w:rPr>
              <w:t>Ley 1150 de 2007.Artículo 2, numeral 4°, literal h).</w:t>
            </w:r>
          </w:p>
          <w:p w14:paraId="0C8838AC" w14:textId="77777777" w:rsidR="000A43AA" w:rsidRPr="000952AC" w:rsidRDefault="000A43AA" w:rsidP="00D42615">
            <w:pPr>
              <w:pStyle w:val="Prrafodelista"/>
              <w:widowControl w:val="0"/>
              <w:numPr>
                <w:ilvl w:val="0"/>
                <w:numId w:val="17"/>
              </w:numPr>
              <w:autoSpaceDE w:val="0"/>
              <w:autoSpaceDN w:val="0"/>
              <w:spacing w:line="276" w:lineRule="auto"/>
              <w:jc w:val="both"/>
              <w:rPr>
                <w:rFonts w:ascii="Verdana" w:hAnsi="Verdana" w:cs="Arial"/>
                <w:lang w:val="es-CO"/>
              </w:rPr>
            </w:pPr>
            <w:r w:rsidRPr="009A6F9B">
              <w:rPr>
                <w:rFonts w:ascii="Verdana" w:hAnsi="Verdana"/>
              </w:rPr>
              <w:t>Decreto</w:t>
            </w:r>
            <w:r w:rsidRPr="009A6F9B">
              <w:rPr>
                <w:rFonts w:ascii="Verdana" w:hAnsi="Verdana"/>
                <w:spacing w:val="-5"/>
              </w:rPr>
              <w:t xml:space="preserve"> </w:t>
            </w:r>
            <w:r w:rsidRPr="009A6F9B">
              <w:rPr>
                <w:rFonts w:ascii="Verdana" w:hAnsi="Verdana"/>
              </w:rPr>
              <w:t>1082</w:t>
            </w:r>
            <w:r w:rsidRPr="009A6F9B">
              <w:rPr>
                <w:rFonts w:ascii="Verdana" w:hAnsi="Verdana"/>
                <w:spacing w:val="-6"/>
              </w:rPr>
              <w:t xml:space="preserve"> </w:t>
            </w:r>
            <w:r w:rsidRPr="009A6F9B">
              <w:rPr>
                <w:rFonts w:ascii="Verdana" w:hAnsi="Verdana"/>
              </w:rPr>
              <w:t>de 2015</w:t>
            </w:r>
            <w:r>
              <w:rPr>
                <w:rFonts w:ascii="Verdana" w:hAnsi="Verdana"/>
              </w:rPr>
              <w:t>. A</w:t>
            </w:r>
            <w:r w:rsidRPr="009A6F9B">
              <w:rPr>
                <w:rFonts w:ascii="Verdana" w:hAnsi="Verdana"/>
              </w:rPr>
              <w:t>rtículo</w:t>
            </w:r>
            <w:r w:rsidRPr="009A6F9B">
              <w:rPr>
                <w:rFonts w:ascii="Verdana" w:hAnsi="Verdana"/>
                <w:spacing w:val="-5"/>
              </w:rPr>
              <w:t xml:space="preserve"> </w:t>
            </w:r>
            <w:r w:rsidRPr="009A6F9B">
              <w:rPr>
                <w:rFonts w:ascii="Verdana" w:hAnsi="Verdana"/>
              </w:rPr>
              <w:t>2.2.1.2.1.4.9</w:t>
            </w:r>
          </w:p>
          <w:p w14:paraId="3FFFD559" w14:textId="77777777" w:rsidR="000A43AA" w:rsidRPr="00202974" w:rsidRDefault="000A43AA" w:rsidP="00D42615">
            <w:pPr>
              <w:pStyle w:val="Prrafodelista"/>
              <w:numPr>
                <w:ilvl w:val="0"/>
                <w:numId w:val="17"/>
              </w:numPr>
              <w:spacing w:line="276" w:lineRule="auto"/>
              <w:jc w:val="both"/>
              <w:rPr>
                <w:rFonts w:ascii="Verdana" w:hAnsi="Verdana" w:cs="Arial"/>
                <w:lang w:val="es-CO"/>
              </w:rPr>
            </w:pPr>
            <w:r w:rsidRPr="00714EC2">
              <w:rPr>
                <w:rFonts w:ascii="Verdana" w:hAnsi="Verdana" w:cs="Arial"/>
                <w:lang w:val="es-CO"/>
              </w:rPr>
              <w:t xml:space="preserve">Corte Constitucional. Sentencia </w:t>
            </w:r>
            <w:r w:rsidRPr="00714EC2">
              <w:rPr>
                <w:rFonts w:ascii="Verdana" w:hAnsi="Verdana"/>
                <w:lang w:val="es-CO"/>
              </w:rPr>
              <w:t>SU-07</w:t>
            </w:r>
            <w:r w:rsidRPr="00714EC2">
              <w:rPr>
                <w:rFonts w:ascii="Verdana" w:hAnsi="Verdana"/>
              </w:rPr>
              <w:t>0</w:t>
            </w:r>
            <w:r w:rsidRPr="00714EC2">
              <w:rPr>
                <w:rFonts w:ascii="Verdana" w:hAnsi="Verdana"/>
                <w:lang w:val="es-CO"/>
              </w:rPr>
              <w:t xml:space="preserve"> de 201</w:t>
            </w:r>
            <w:r>
              <w:rPr>
                <w:rFonts w:ascii="Verdana" w:hAnsi="Verdana"/>
              </w:rPr>
              <w:t>3</w:t>
            </w:r>
            <w:r w:rsidRPr="00714EC2">
              <w:rPr>
                <w:rFonts w:ascii="Verdana" w:hAnsi="Verdana"/>
                <w:lang w:val="es-CO"/>
              </w:rPr>
              <w:t xml:space="preserve">. M.P: </w:t>
            </w:r>
            <w:proofErr w:type="spellStart"/>
            <w:r w:rsidRPr="00202974">
              <w:rPr>
                <w:rFonts w:ascii="Verdana" w:hAnsi="Verdana" w:cs="Arial"/>
                <w:lang w:val="es-CO"/>
              </w:rPr>
              <w:t>Alexey</w:t>
            </w:r>
            <w:proofErr w:type="spellEnd"/>
            <w:r w:rsidRPr="00202974">
              <w:rPr>
                <w:rFonts w:ascii="Verdana" w:hAnsi="Verdana" w:cs="Arial"/>
                <w:lang w:val="es-CO"/>
              </w:rPr>
              <w:t xml:space="preserve"> Julio Estrada.  </w:t>
            </w:r>
          </w:p>
          <w:p w14:paraId="5E7D7D32" w14:textId="4F07C1C7" w:rsidR="000A43AA" w:rsidRPr="00F118AE" w:rsidRDefault="000A43AA" w:rsidP="00D42615">
            <w:pPr>
              <w:pStyle w:val="Prrafodelista"/>
              <w:widowControl w:val="0"/>
              <w:numPr>
                <w:ilvl w:val="0"/>
                <w:numId w:val="17"/>
              </w:numPr>
              <w:autoSpaceDE w:val="0"/>
              <w:autoSpaceDN w:val="0"/>
              <w:spacing w:line="276" w:lineRule="auto"/>
              <w:jc w:val="both"/>
              <w:rPr>
                <w:rFonts w:ascii="Verdana" w:hAnsi="Verdana" w:cs="Arial"/>
              </w:rPr>
            </w:pPr>
            <w:r w:rsidRPr="00F118AE">
              <w:rPr>
                <w:rFonts w:ascii="Verdana" w:hAnsi="Verdana" w:cs="Arial"/>
              </w:rPr>
              <w:t>Corte Constitucional, sentencia T-102 del 1 de marzo de 2016, M.P: María Victoria Calle Correa</w:t>
            </w:r>
            <w:r w:rsidR="00E13BD9">
              <w:rPr>
                <w:rFonts w:ascii="Verdana" w:hAnsi="Verdana" w:cs="Arial"/>
              </w:rPr>
              <w:t>.</w:t>
            </w:r>
          </w:p>
          <w:p w14:paraId="0F38C102" w14:textId="77777777" w:rsidR="000A43AA" w:rsidRPr="00827711" w:rsidRDefault="000A43AA" w:rsidP="00D42615">
            <w:pPr>
              <w:pStyle w:val="Prrafodelista"/>
              <w:widowControl w:val="0"/>
              <w:numPr>
                <w:ilvl w:val="0"/>
                <w:numId w:val="17"/>
              </w:numPr>
              <w:autoSpaceDE w:val="0"/>
              <w:autoSpaceDN w:val="0"/>
              <w:spacing w:line="276" w:lineRule="auto"/>
              <w:jc w:val="both"/>
              <w:rPr>
                <w:rFonts w:ascii="Verdana" w:hAnsi="Verdana" w:cs="Arial"/>
                <w:lang w:val="it-IT"/>
              </w:rPr>
            </w:pPr>
            <w:r w:rsidRPr="00F118AE">
              <w:rPr>
                <w:rFonts w:ascii="Verdana" w:hAnsi="Verdana" w:cs="Arial"/>
                <w:lang w:val="es-CO"/>
              </w:rPr>
              <w:t xml:space="preserve">Corte Constitucional, Sentencia T-743 de 2017, </w:t>
            </w:r>
            <w:proofErr w:type="spellStart"/>
            <w:r w:rsidRPr="00F118AE">
              <w:rPr>
                <w:rFonts w:ascii="Verdana" w:hAnsi="Verdana" w:cs="Arial"/>
                <w:lang w:val="es-CO"/>
              </w:rPr>
              <w:t>Exp</w:t>
            </w:r>
            <w:proofErr w:type="spellEnd"/>
            <w:r w:rsidRPr="00F118AE">
              <w:rPr>
                <w:rFonts w:ascii="Verdana" w:hAnsi="Verdana" w:cs="Arial"/>
                <w:lang w:val="es-CO"/>
              </w:rPr>
              <w:t xml:space="preserve">. </w:t>
            </w:r>
            <w:r w:rsidRPr="00827711">
              <w:rPr>
                <w:rFonts w:ascii="Verdana" w:hAnsi="Verdana" w:cs="Arial"/>
                <w:lang w:val="it-IT"/>
              </w:rPr>
              <w:t>T-6.366.648 Magistrada Ponente Cristina Pardo Schlesinger.</w:t>
            </w:r>
          </w:p>
          <w:p w14:paraId="0F51150A" w14:textId="24E966F3" w:rsidR="000A43AA" w:rsidRPr="00F118AE" w:rsidRDefault="000A43AA" w:rsidP="00E13BD9">
            <w:pPr>
              <w:pStyle w:val="Prrafodelista"/>
              <w:widowControl w:val="0"/>
              <w:numPr>
                <w:ilvl w:val="0"/>
                <w:numId w:val="17"/>
              </w:numPr>
              <w:autoSpaceDE w:val="0"/>
              <w:autoSpaceDN w:val="0"/>
              <w:spacing w:line="276" w:lineRule="auto"/>
              <w:jc w:val="both"/>
              <w:rPr>
                <w:rFonts w:ascii="Verdana" w:hAnsi="Verdana" w:cs="Arial"/>
              </w:rPr>
            </w:pPr>
            <w:r w:rsidRPr="00F118AE">
              <w:rPr>
                <w:rFonts w:ascii="Verdana" w:hAnsi="Verdana" w:cs="Arial"/>
              </w:rPr>
              <w:t>Corte Constitucional, sentencia T-564 del 6 de septiembre de 2017, M.P: Cristina Pardo Schlesinger</w:t>
            </w:r>
            <w:r w:rsidR="00E13BD9">
              <w:rPr>
                <w:rFonts w:ascii="Verdana" w:hAnsi="Verdana" w:cs="Arial"/>
              </w:rPr>
              <w:t xml:space="preserve">. </w:t>
            </w:r>
          </w:p>
          <w:p w14:paraId="3F1D3B20" w14:textId="77777777" w:rsidR="00E13BD9" w:rsidRPr="00E13BD9" w:rsidRDefault="00E13BD9" w:rsidP="00E13BD9">
            <w:pPr>
              <w:pStyle w:val="Prrafodelista"/>
              <w:numPr>
                <w:ilvl w:val="0"/>
                <w:numId w:val="17"/>
              </w:numPr>
              <w:spacing w:line="276" w:lineRule="auto"/>
              <w:jc w:val="both"/>
              <w:rPr>
                <w:rFonts w:ascii="Verdana" w:hAnsi="Verdana" w:cs="Arial"/>
                <w:lang w:val="es-CO"/>
              </w:rPr>
            </w:pPr>
            <w:r w:rsidRPr="00E13BD9">
              <w:rPr>
                <w:rFonts w:ascii="Verdana" w:hAnsi="Verdana" w:cs="Arial"/>
                <w:lang w:val="es-CO"/>
              </w:rPr>
              <w:t xml:space="preserve">Corte Constitucional. Sentencia </w:t>
            </w:r>
            <w:r w:rsidRPr="00E13BD9">
              <w:rPr>
                <w:rFonts w:ascii="Verdana" w:hAnsi="Verdana"/>
                <w:lang w:val="es-CO"/>
              </w:rPr>
              <w:t>SU-07</w:t>
            </w:r>
            <w:r w:rsidRPr="00E13BD9">
              <w:rPr>
                <w:rFonts w:ascii="Verdana" w:hAnsi="Verdana"/>
              </w:rPr>
              <w:t>5</w:t>
            </w:r>
            <w:r w:rsidRPr="00E13BD9">
              <w:rPr>
                <w:rFonts w:ascii="Verdana" w:hAnsi="Verdana"/>
                <w:lang w:val="es-CO"/>
              </w:rPr>
              <w:t xml:space="preserve"> de 2018. M.P: </w:t>
            </w:r>
            <w:r w:rsidRPr="00E13BD9">
              <w:rPr>
                <w:rFonts w:ascii="Verdana" w:hAnsi="Verdana"/>
              </w:rPr>
              <w:t>Gloria Stella Ortiz Delgado</w:t>
            </w:r>
            <w:r>
              <w:rPr>
                <w:rFonts w:ascii="Verdana" w:hAnsi="Verdana"/>
              </w:rPr>
              <w:t>.</w:t>
            </w:r>
          </w:p>
          <w:p w14:paraId="34A0D3A9" w14:textId="61A3DFC4" w:rsidR="000A43AA" w:rsidRPr="00F118AE" w:rsidRDefault="000A43AA" w:rsidP="00D42615">
            <w:pPr>
              <w:pStyle w:val="Prrafodelista"/>
              <w:widowControl w:val="0"/>
              <w:numPr>
                <w:ilvl w:val="0"/>
                <w:numId w:val="17"/>
              </w:numPr>
              <w:autoSpaceDE w:val="0"/>
              <w:autoSpaceDN w:val="0"/>
              <w:spacing w:line="276" w:lineRule="auto"/>
              <w:jc w:val="both"/>
              <w:rPr>
                <w:rFonts w:ascii="Verdana" w:hAnsi="Verdana" w:cs="Arial"/>
              </w:rPr>
            </w:pPr>
            <w:r w:rsidRPr="00F118AE">
              <w:rPr>
                <w:rFonts w:ascii="Verdana" w:hAnsi="Verdana" w:cs="Arial"/>
              </w:rPr>
              <w:t>Corte Constitucional, sentencia T-329 de 2022, Magistrada Ponente: Natalia Ángel Cabo</w:t>
            </w:r>
            <w:r w:rsidR="00E13BD9">
              <w:rPr>
                <w:rFonts w:ascii="Verdana" w:hAnsi="Verdana" w:cs="Arial"/>
              </w:rPr>
              <w:t>.</w:t>
            </w:r>
          </w:p>
          <w:p w14:paraId="50615F6A" w14:textId="77777777" w:rsidR="00E13BD9" w:rsidRPr="00E13BD9" w:rsidRDefault="00E13BD9" w:rsidP="00E13BD9">
            <w:pPr>
              <w:pStyle w:val="Prrafodelista"/>
              <w:widowControl w:val="0"/>
              <w:numPr>
                <w:ilvl w:val="0"/>
                <w:numId w:val="17"/>
              </w:numPr>
              <w:autoSpaceDE w:val="0"/>
              <w:autoSpaceDN w:val="0"/>
              <w:spacing w:line="276" w:lineRule="auto"/>
              <w:jc w:val="both"/>
              <w:rPr>
                <w:rFonts w:ascii="Verdana" w:hAnsi="Verdana" w:cs="Arial"/>
              </w:rPr>
            </w:pPr>
            <w:r w:rsidRPr="00E13BD9">
              <w:rPr>
                <w:rFonts w:ascii="Verdana" w:hAnsi="Verdana" w:cs="Arial"/>
              </w:rPr>
              <w:t>Consejo de Estado. Sección Tercera. Sentencia del 1 de octubre de 2018. Consejera Ponente: Marta Nubia Velásquez Rico. Expediente: 57.897</w:t>
            </w:r>
            <w:r>
              <w:rPr>
                <w:rFonts w:ascii="Verdana" w:hAnsi="Verdana" w:cs="Arial"/>
              </w:rPr>
              <w:t>.</w:t>
            </w:r>
          </w:p>
          <w:p w14:paraId="18E4C89F" w14:textId="77777777" w:rsidR="000A43AA" w:rsidRPr="00B05C3F" w:rsidRDefault="000A43AA" w:rsidP="00D42615">
            <w:pPr>
              <w:pStyle w:val="Prrafodelista"/>
              <w:widowControl w:val="0"/>
              <w:numPr>
                <w:ilvl w:val="0"/>
                <w:numId w:val="17"/>
              </w:numPr>
              <w:autoSpaceDE w:val="0"/>
              <w:autoSpaceDN w:val="0"/>
              <w:spacing w:line="276" w:lineRule="auto"/>
              <w:jc w:val="both"/>
              <w:rPr>
                <w:rFonts w:ascii="Verdana" w:hAnsi="Verdana" w:cs="Arial"/>
              </w:rPr>
            </w:pPr>
            <w:r w:rsidRPr="00B05C3F">
              <w:rPr>
                <w:rFonts w:ascii="Verdana" w:hAnsi="Verdana" w:cs="Arial"/>
              </w:rPr>
              <w:t xml:space="preserve">Consejo de Estado. Sala de lo Contencioso Administrativo. Sección Segunda, Subsección A. Sentencia del 26 de enero de 2023. </w:t>
            </w:r>
            <w:proofErr w:type="spellStart"/>
            <w:r w:rsidRPr="00B05C3F">
              <w:rPr>
                <w:rFonts w:ascii="Verdana" w:hAnsi="Verdana" w:cs="Arial"/>
              </w:rPr>
              <w:t>Exp</w:t>
            </w:r>
            <w:proofErr w:type="spellEnd"/>
            <w:r w:rsidRPr="00B05C3F">
              <w:rPr>
                <w:rFonts w:ascii="Verdana" w:hAnsi="Verdana" w:cs="Arial"/>
              </w:rPr>
              <w:t xml:space="preserve"> (4620-2017), C.P Gabriel Valbuena Hernández.</w:t>
            </w:r>
          </w:p>
          <w:p w14:paraId="12515EEF" w14:textId="77777777" w:rsidR="000A43AA" w:rsidRPr="00F118AE" w:rsidRDefault="000A43AA" w:rsidP="00D42615">
            <w:pPr>
              <w:pStyle w:val="Prrafodelista"/>
              <w:widowControl w:val="0"/>
              <w:numPr>
                <w:ilvl w:val="0"/>
                <w:numId w:val="17"/>
              </w:numPr>
              <w:autoSpaceDE w:val="0"/>
              <w:autoSpaceDN w:val="0"/>
              <w:spacing w:line="276" w:lineRule="auto"/>
              <w:jc w:val="both"/>
              <w:rPr>
                <w:rFonts w:ascii="Verdana" w:hAnsi="Verdana" w:cs="Arial"/>
              </w:rPr>
            </w:pPr>
            <w:r w:rsidRPr="00F118AE">
              <w:rPr>
                <w:rFonts w:ascii="Verdana" w:hAnsi="Verdana" w:cs="Arial"/>
              </w:rPr>
              <w:t>Ministerio del Trabajo. Concepto 9972 de 5 de marzo de 2014.</w:t>
            </w:r>
          </w:p>
        </w:tc>
      </w:tr>
    </w:tbl>
    <w:p w14:paraId="46A7517D" w14:textId="77777777" w:rsidR="000A43AA" w:rsidRPr="00CC5C68" w:rsidRDefault="000A43AA" w:rsidP="000A43AA">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1BEDFE0E" w14:textId="77777777" w:rsidR="000A43AA" w:rsidRPr="00CC5C68" w:rsidRDefault="000A43AA" w:rsidP="000A43A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CC5C68">
        <w:rPr>
          <w:rFonts w:ascii="Verdana" w:eastAsia="Century Gothic" w:hAnsi="Verdana" w:cs="Century Gothic"/>
          <w:b/>
          <w:bCs/>
          <w:lang w:val="es-CO"/>
        </w:rPr>
        <w:t xml:space="preserve">5. </w:t>
      </w:r>
      <w:r w:rsidRPr="00CC5C68">
        <w:rPr>
          <w:rFonts w:ascii="Verdana" w:eastAsia="Century Gothic" w:hAnsi="Verdana" w:cs="Century Gothic"/>
          <w:b/>
          <w:bCs/>
        </w:rPr>
        <w:t>Doctrina de la Agencia Nacional de Contratación Pública:</w:t>
      </w:r>
    </w:p>
    <w:p w14:paraId="49B6673F" w14:textId="77777777" w:rsidR="000A43AA" w:rsidRPr="00CC5C68" w:rsidRDefault="000A43AA" w:rsidP="000A43AA">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CC5C68">
        <w:rPr>
          <w:rFonts w:ascii="Verdana" w:eastAsia="Calibri" w:hAnsi="Verdana" w:cs="Arial"/>
          <w:lang w:val="es-ES_tradnl" w:eastAsia="es-ES_tradnl"/>
        </w:rPr>
        <w:t xml:space="preserve">Sobre </w:t>
      </w:r>
      <w:r>
        <w:rPr>
          <w:rFonts w:ascii="Verdana" w:eastAsia="Calibri" w:hAnsi="Verdana" w:cs="Arial"/>
          <w:lang w:val="es-ES_tradnl" w:eastAsia="es-ES_tradnl"/>
        </w:rPr>
        <w:t>la licencia de maternidad</w:t>
      </w:r>
      <w:r w:rsidRPr="00CC5C68">
        <w:rPr>
          <w:rFonts w:ascii="Verdana" w:eastAsia="Calibri" w:hAnsi="Verdana" w:cs="Arial"/>
          <w:lang w:val="es-ES_tradnl" w:eastAsia="es-ES_tradnl"/>
        </w:rPr>
        <w:t>, se pronunció esta Subdirección en los conceptos</w:t>
      </w:r>
      <w:r>
        <w:rPr>
          <w:rFonts w:ascii="Verdana" w:eastAsia="Calibri" w:hAnsi="Verdana" w:cs="Arial"/>
          <w:lang w:val="es-ES_tradnl" w:eastAsia="es-ES_tradnl"/>
        </w:rPr>
        <w:t xml:space="preserve"> </w:t>
      </w:r>
      <w:r w:rsidRPr="00CC1341">
        <w:rPr>
          <w:rFonts w:ascii="Verdana" w:eastAsia="Calibri" w:hAnsi="Verdana" w:cs="Arial"/>
          <w:lang w:val="es-ES_tradnl" w:eastAsia="es-ES_tradnl"/>
        </w:rPr>
        <w:t>C-770 del del 7 de diciembre de 2022, C-789 del 22 de noviembre de 2022, C-031 del 17 de marzo de 2023, C-213 de 26 de junio de 2023, C-439 del 20 de octubre de 2023</w:t>
      </w:r>
      <w:r>
        <w:rPr>
          <w:rFonts w:ascii="Verdana" w:eastAsia="Calibri" w:hAnsi="Verdana" w:cs="Arial"/>
          <w:lang w:val="es-ES_tradnl" w:eastAsia="es-ES_tradnl"/>
        </w:rPr>
        <w:t>,</w:t>
      </w:r>
      <w:r w:rsidRPr="00CC1341">
        <w:rPr>
          <w:rFonts w:ascii="Verdana" w:eastAsia="Calibri" w:hAnsi="Verdana" w:cs="Arial"/>
          <w:lang w:val="es-ES_tradnl" w:eastAsia="es-ES_tradnl"/>
        </w:rPr>
        <w:t xml:space="preserve"> C-463 del 22 de noviembre de 2023</w:t>
      </w:r>
      <w:r>
        <w:rPr>
          <w:rFonts w:ascii="Verdana" w:eastAsia="Calibri" w:hAnsi="Verdana" w:cs="Arial"/>
          <w:lang w:val="es-ES_tradnl" w:eastAsia="es-ES_tradnl"/>
        </w:rPr>
        <w:t xml:space="preserve">, </w:t>
      </w:r>
      <w:r>
        <w:rPr>
          <w:rFonts w:ascii="Verdana" w:hAnsi="Verdana"/>
        </w:rPr>
        <w:t>y C-786 del 30 de julio de 2025</w:t>
      </w:r>
      <w:r>
        <w:rPr>
          <w:rFonts w:ascii="Verdana" w:eastAsia="Calibri" w:hAnsi="Verdana" w:cs="Arial"/>
          <w:lang w:val="es-ES_tradnl" w:eastAsia="es-ES_tradnl"/>
        </w:rPr>
        <w:t xml:space="preserve"> y C-1272 del 14 de octubre de 2025</w:t>
      </w:r>
      <w:r w:rsidRPr="00CC5C68">
        <w:rPr>
          <w:rFonts w:ascii="Verdana" w:eastAsia="Calibri" w:hAnsi="Verdana" w:cs="Arial"/>
          <w:lang w:val="es-ES" w:eastAsia="es-ES_tradnl"/>
        </w:rPr>
        <w:t>. Estos</w:t>
      </w:r>
      <w:r w:rsidRPr="00CC5C68">
        <w:rPr>
          <w:rFonts w:ascii="Verdana" w:hAnsi="Verdana"/>
        </w:rPr>
        <w:t xml:space="preserve"> y otros conceptos se encuentran disponibles para consulta en el Sistema de relatoría de la Agencia, al cual se puede acceder a través del siguiente enlace:</w:t>
      </w:r>
      <w:r w:rsidRPr="00CC5C68">
        <w:rPr>
          <w:rStyle w:val="normaltextrun"/>
          <w:rFonts w:ascii="Verdana" w:hAnsi="Verdana" w:cs="Arial"/>
          <w:shd w:val="clear" w:color="auto" w:fill="FFFFFF"/>
          <w:lang w:val="es-ES"/>
        </w:rPr>
        <w:t xml:space="preserve"> </w:t>
      </w:r>
      <w:hyperlink r:id="rId11" w:history="1">
        <w:r w:rsidRPr="00CC5C68">
          <w:rPr>
            <w:rStyle w:val="Hipervnculo"/>
            <w:rFonts w:ascii="Verdana" w:hAnsi="Verdana" w:cs="Arial"/>
            <w:shd w:val="clear" w:color="auto" w:fill="FFFFFF"/>
            <w:lang w:val="es-ES"/>
          </w:rPr>
          <w:t>https://relatoria.colombiacompra.gov.co/busqueda/conceptos</w:t>
        </w:r>
      </w:hyperlink>
    </w:p>
    <w:p w14:paraId="255CC849" w14:textId="77777777" w:rsidR="000A43AA" w:rsidRPr="00DE5CCE" w:rsidRDefault="000A43AA" w:rsidP="00D42615">
      <w:pPr>
        <w:spacing w:after="0" w:line="276" w:lineRule="auto"/>
        <w:jc w:val="both"/>
        <w:rPr>
          <w:rFonts w:ascii="Verdana" w:hAnsi="Verdana"/>
        </w:rPr>
      </w:pPr>
      <w:r>
        <w:rPr>
          <w:rFonts w:ascii="Verdana" w:hAnsi="Verdana"/>
        </w:rPr>
        <w:t>L</w:t>
      </w:r>
      <w:r w:rsidRPr="00DE5CCE">
        <w:rPr>
          <w:rFonts w:ascii="Verdana" w:hAnsi="Verdana"/>
        </w:rPr>
        <w:t>e contamos que ya se encuentra disponible la </w:t>
      </w:r>
      <w:r w:rsidRPr="00DE5CCE">
        <w:rPr>
          <w:rFonts w:ascii="Verdana" w:hAnsi="Verdana"/>
          <w:b/>
          <w:bCs/>
        </w:rPr>
        <w:t>Guía de lineamientos de transparencia y selección objetiva para el departamento de La Guajira – Objetivo sexto constitucional de la Sentencia T-302 del 2017. </w:t>
      </w:r>
      <w:r w:rsidRPr="00DE5CCE">
        <w:rPr>
          <w:rFonts w:ascii="Verdana" w:hAnsi="Verdana"/>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DE5CCE">
        <w:rPr>
          <w:rFonts w:ascii="Verdana" w:hAnsi="Verdana"/>
        </w:rPr>
        <w:t>Wayúu</w:t>
      </w:r>
      <w:proofErr w:type="spellEnd"/>
      <w:r w:rsidRPr="00DE5CCE">
        <w:rPr>
          <w:rFonts w:ascii="Verdana" w:hAnsi="Verdana"/>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DE5CCE">
          <w:rPr>
            <w:rStyle w:val="Hipervnculo"/>
            <w:rFonts w:ascii="Verdana" w:hAnsi="Verdana"/>
          </w:rPr>
          <w:t>Guía de lineamientos de transparencia y selección objetiva para el departamento de La Guajira – Objetivo sexto constitucional de la Sentencia T-302 del 2017</w:t>
        </w:r>
      </w:hyperlink>
      <w:r w:rsidRPr="00DE5CCE">
        <w:rPr>
          <w:rFonts w:ascii="Verdana" w:hAnsi="Verdana"/>
          <w:u w:val="single"/>
        </w:rPr>
        <w:t>"</w:t>
      </w:r>
    </w:p>
    <w:p w14:paraId="737C6791" w14:textId="77777777" w:rsidR="000A43AA" w:rsidRPr="00CC5C68" w:rsidRDefault="000A43AA" w:rsidP="00D42615">
      <w:pPr>
        <w:spacing w:after="0" w:line="276" w:lineRule="auto"/>
        <w:jc w:val="both"/>
        <w:rPr>
          <w:rFonts w:ascii="Verdana" w:hAnsi="Verdana"/>
        </w:rPr>
      </w:pPr>
    </w:p>
    <w:p w14:paraId="069E17B8" w14:textId="77777777" w:rsidR="000A43AA" w:rsidRPr="00CC5C68" w:rsidRDefault="000A43AA" w:rsidP="00D42615">
      <w:pPr>
        <w:spacing w:after="0" w:line="276" w:lineRule="auto"/>
        <w:jc w:val="both"/>
        <w:rPr>
          <w:rFonts w:ascii="Verdana" w:hAnsi="Verdana"/>
        </w:rPr>
      </w:pPr>
      <w:r w:rsidRPr="00CC5C68">
        <w:rPr>
          <w:rFonts w:ascii="Verdana" w:hAnsi="Verdana"/>
        </w:rPr>
        <w:t xml:space="preserve">Por último, lo invitamos a seguirnos en las redes sociales en las cuales se difunde información institucional: </w:t>
      </w:r>
    </w:p>
    <w:p w14:paraId="7A00B300" w14:textId="77777777" w:rsidR="000A43AA" w:rsidRPr="00CC5C68" w:rsidRDefault="000A43AA" w:rsidP="00D42615">
      <w:pPr>
        <w:spacing w:after="0" w:line="276" w:lineRule="auto"/>
        <w:jc w:val="both"/>
        <w:rPr>
          <w:rFonts w:ascii="Verdana" w:hAnsi="Verdana"/>
        </w:rPr>
      </w:pPr>
    </w:p>
    <w:p w14:paraId="07DFF9F2" w14:textId="77777777" w:rsidR="000A43AA" w:rsidRPr="00CC5C68" w:rsidRDefault="000A43AA" w:rsidP="00D42615">
      <w:pPr>
        <w:spacing w:after="0" w:line="276" w:lineRule="auto"/>
        <w:jc w:val="both"/>
        <w:rPr>
          <w:rFonts w:ascii="Verdana" w:hAnsi="Verdana"/>
        </w:rPr>
      </w:pPr>
      <w:r w:rsidRPr="00CC5C68">
        <w:rPr>
          <w:rFonts w:ascii="Verdana" w:hAnsi="Verdana"/>
        </w:rPr>
        <w:t xml:space="preserve">Twitter: </w:t>
      </w:r>
      <w:r w:rsidRPr="00CC5C68">
        <w:rPr>
          <w:rStyle w:val="Hipervnculo"/>
          <w:rFonts w:ascii="Verdana" w:hAnsi="Verdana"/>
          <w:color w:val="4472C4" w:themeColor="accent1"/>
        </w:rPr>
        <w:t>@colombiacompra</w:t>
      </w:r>
      <w:r w:rsidRPr="00CC5C68">
        <w:rPr>
          <w:rFonts w:ascii="Verdana" w:hAnsi="Verdana"/>
          <w:color w:val="4472C4" w:themeColor="accent1"/>
        </w:rPr>
        <w:t xml:space="preserve"> </w:t>
      </w:r>
    </w:p>
    <w:p w14:paraId="36845E9B" w14:textId="77777777" w:rsidR="000A43AA" w:rsidRPr="00CC5C68" w:rsidRDefault="000A43AA" w:rsidP="00D42615">
      <w:pPr>
        <w:spacing w:after="0" w:line="276" w:lineRule="auto"/>
        <w:jc w:val="both"/>
        <w:rPr>
          <w:rFonts w:ascii="Verdana" w:hAnsi="Verdana"/>
        </w:rPr>
      </w:pPr>
      <w:r w:rsidRPr="00CC5C68">
        <w:rPr>
          <w:rFonts w:ascii="Verdana" w:hAnsi="Verdana"/>
        </w:rPr>
        <w:t xml:space="preserve">Facebook: </w:t>
      </w:r>
      <w:proofErr w:type="spellStart"/>
      <w:r w:rsidRPr="00CC5C68">
        <w:rPr>
          <w:rStyle w:val="Hipervnculo"/>
          <w:rFonts w:ascii="Verdana" w:hAnsi="Verdana"/>
          <w:color w:val="4472C4" w:themeColor="accent1"/>
        </w:rPr>
        <w:t>ColombiaCompraEficiente</w:t>
      </w:r>
      <w:proofErr w:type="spellEnd"/>
    </w:p>
    <w:p w14:paraId="0F2E21CD" w14:textId="77777777" w:rsidR="000A43AA" w:rsidRPr="00CC5C68" w:rsidRDefault="000A43AA" w:rsidP="00D42615">
      <w:pPr>
        <w:spacing w:after="0" w:line="276" w:lineRule="auto"/>
        <w:jc w:val="both"/>
        <w:rPr>
          <w:rFonts w:ascii="Verdana" w:hAnsi="Verdana"/>
        </w:rPr>
      </w:pPr>
      <w:r w:rsidRPr="00CC5C68">
        <w:rPr>
          <w:rFonts w:ascii="Verdana" w:hAnsi="Verdana"/>
        </w:rPr>
        <w:t xml:space="preserve">LinkedIn: </w:t>
      </w:r>
      <w:r w:rsidRPr="00CC5C68">
        <w:rPr>
          <w:rStyle w:val="Hipervnculo"/>
          <w:rFonts w:ascii="Verdana" w:hAnsi="Verdana"/>
          <w:color w:val="4472C4" w:themeColor="accent1"/>
        </w:rPr>
        <w:t>Agencia Nacional de Contratación Pública - Colombia Compra Eficiente</w:t>
      </w:r>
      <w:r w:rsidRPr="00CC5C68">
        <w:rPr>
          <w:rFonts w:ascii="Verdana" w:hAnsi="Verdana"/>
          <w:color w:val="4472C4" w:themeColor="accent1"/>
        </w:rPr>
        <w:t xml:space="preserve"> </w:t>
      </w:r>
      <w:r w:rsidRPr="00CC5C68">
        <w:rPr>
          <w:rFonts w:ascii="Verdana" w:hAnsi="Verdana"/>
        </w:rPr>
        <w:t xml:space="preserve">Instagram: </w:t>
      </w:r>
      <w:r w:rsidRPr="00CC5C68">
        <w:rPr>
          <w:rStyle w:val="Hipervnculo"/>
          <w:rFonts w:ascii="Verdana" w:hAnsi="Verdana"/>
          <w:color w:val="4472C4" w:themeColor="accent1"/>
        </w:rPr>
        <w:t>@colombiacompraeficiente_cce</w:t>
      </w:r>
    </w:p>
    <w:p w14:paraId="77D35F81" w14:textId="77777777" w:rsidR="000A43AA" w:rsidRPr="00CC5C68" w:rsidRDefault="000A43AA" w:rsidP="000A43AA">
      <w:pPr>
        <w:widowControl w:val="0"/>
        <w:autoSpaceDE w:val="0"/>
        <w:autoSpaceDN w:val="0"/>
        <w:spacing w:after="0" w:line="276" w:lineRule="auto"/>
        <w:jc w:val="both"/>
        <w:rPr>
          <w:rFonts w:ascii="Verdana" w:hAnsi="Verdana" w:cs="Arial"/>
        </w:rPr>
      </w:pPr>
    </w:p>
    <w:p w14:paraId="0303D440" w14:textId="77777777" w:rsidR="000A43AA" w:rsidRPr="00CC5C68" w:rsidRDefault="000A43AA" w:rsidP="000A43AA">
      <w:pPr>
        <w:widowControl w:val="0"/>
        <w:autoSpaceDE w:val="0"/>
        <w:autoSpaceDN w:val="0"/>
        <w:spacing w:after="0" w:line="276" w:lineRule="auto"/>
        <w:jc w:val="both"/>
        <w:rPr>
          <w:rFonts w:ascii="Verdana" w:hAnsi="Verdana" w:cs="Arial"/>
          <w:lang w:val="es-ES_tradnl"/>
        </w:rPr>
      </w:pPr>
      <w:r w:rsidRPr="00CC5C68">
        <w:rPr>
          <w:rFonts w:ascii="Verdana" w:hAnsi="Verdana" w:cs="Arial"/>
        </w:rPr>
        <w:t xml:space="preserve">Este concepto tiene el alcance previsto en el artículo 28 del Código de Procedimiento Administrativo y de lo Contencioso Administrativo </w:t>
      </w:r>
      <w:r w:rsidRPr="00CC5C68">
        <w:rPr>
          <w:rFonts w:ascii="Verdana" w:hAnsi="Verdana" w:cs="Arial"/>
          <w:lang w:val="es-ES_tradnl"/>
        </w:rPr>
        <w:t>y las expresiones aquí utilizadas con mayúscula inicial deben ser entendidas con el significado que les otorga el artículo 2.2.1.1.1.3.1. del Decreto 1082 de 2015.</w:t>
      </w:r>
    </w:p>
    <w:p w14:paraId="44F23C71" w14:textId="77777777" w:rsidR="000A43AA" w:rsidRDefault="000A43AA" w:rsidP="000A43AA">
      <w:pPr>
        <w:spacing w:after="0" w:line="276" w:lineRule="auto"/>
        <w:jc w:val="both"/>
        <w:rPr>
          <w:rFonts w:ascii="Verdana" w:eastAsia="Times New Roman" w:hAnsi="Verdana" w:cs="Arial"/>
          <w:lang w:eastAsia="es-CO"/>
        </w:rPr>
      </w:pPr>
    </w:p>
    <w:p w14:paraId="1C05A6CD" w14:textId="77777777" w:rsidR="000A43AA" w:rsidRPr="00505CD6" w:rsidRDefault="000A43AA" w:rsidP="000A43AA">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766E1C0D" w14:textId="41309F95" w:rsidR="000A43AA" w:rsidRPr="00073A28" w:rsidRDefault="00ED454F" w:rsidP="000A43AA">
      <w:pPr>
        <w:spacing w:line="276" w:lineRule="auto"/>
        <w:jc w:val="center"/>
        <w:rPr>
          <w:rFonts w:ascii="Verdana" w:hAnsi="Verdana"/>
        </w:rPr>
      </w:pPr>
      <w:r>
        <w:rPr>
          <w:rFonts w:ascii="Verdana" w:hAnsi="Verdana"/>
          <w:noProof/>
        </w:rPr>
        <w:drawing>
          <wp:inline distT="0" distB="0" distL="0" distR="0" wp14:anchorId="0166E61C" wp14:editId="231E3036">
            <wp:extent cx="2468880" cy="911288"/>
            <wp:effectExtent l="0" t="0" r="7620" b="3175"/>
            <wp:docPr id="165652032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520322"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2500380" cy="92291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A43AA" w:rsidRPr="004B0DF3" w14:paraId="135D275C" w14:textId="77777777" w:rsidTr="006D45A1">
        <w:trPr>
          <w:trHeight w:val="315"/>
        </w:trPr>
        <w:tc>
          <w:tcPr>
            <w:tcW w:w="893" w:type="dxa"/>
            <w:vAlign w:val="center"/>
            <w:hideMark/>
          </w:tcPr>
          <w:p w14:paraId="793720F2" w14:textId="77777777" w:rsidR="000A43AA" w:rsidRPr="004B0DF3" w:rsidRDefault="000A43AA" w:rsidP="00FA3433">
            <w:pPr>
              <w:contextualSpacing/>
              <w:jc w:val="both"/>
              <w:rPr>
                <w:rFonts w:ascii="Verdana" w:hAnsi="Verdana" w:cs="Arial"/>
                <w:sz w:val="16"/>
                <w:szCs w:val="16"/>
                <w:lang w:eastAsia="es-ES"/>
              </w:rPr>
            </w:pPr>
            <w:bookmarkStart w:id="2" w:name="_Hlk210670112"/>
            <w:r w:rsidRPr="004B0DF3">
              <w:rPr>
                <w:rFonts w:ascii="Verdana" w:hAnsi="Verdana" w:cs="Arial"/>
                <w:sz w:val="16"/>
                <w:szCs w:val="16"/>
                <w:lang w:eastAsia="es-ES"/>
              </w:rPr>
              <w:t>Elaboró:</w:t>
            </w:r>
          </w:p>
        </w:tc>
        <w:tc>
          <w:tcPr>
            <w:tcW w:w="5628" w:type="dxa"/>
            <w:vAlign w:val="center"/>
            <w:hideMark/>
          </w:tcPr>
          <w:p w14:paraId="52F7D86D" w14:textId="77777777" w:rsidR="000A43AA" w:rsidRPr="004B0DF3" w:rsidRDefault="000A43AA" w:rsidP="00FA3433">
            <w:pPr>
              <w:contextualSpacing/>
              <w:jc w:val="both"/>
              <w:rPr>
                <w:rFonts w:ascii="Verdana" w:hAnsi="Verdana"/>
                <w:sz w:val="16"/>
                <w:szCs w:val="16"/>
              </w:rPr>
            </w:pPr>
            <w:r w:rsidRPr="004B0DF3">
              <w:rPr>
                <w:rFonts w:ascii="Verdana" w:hAnsi="Verdana"/>
                <w:sz w:val="16"/>
                <w:szCs w:val="16"/>
              </w:rPr>
              <w:t>Gloria Elizabeth Arango Builes</w:t>
            </w:r>
          </w:p>
          <w:p w14:paraId="0936B8D3" w14:textId="77777777" w:rsidR="000A43AA" w:rsidRPr="004B0DF3" w:rsidRDefault="000A43AA" w:rsidP="00FA3433">
            <w:pPr>
              <w:contextualSpacing/>
              <w:jc w:val="both"/>
              <w:rPr>
                <w:rFonts w:ascii="Verdana" w:eastAsia="Arial" w:hAnsi="Verdana" w:cs="Arial"/>
                <w:sz w:val="16"/>
                <w:szCs w:val="16"/>
              </w:rPr>
            </w:pPr>
            <w:r w:rsidRPr="004B0DF3">
              <w:rPr>
                <w:rFonts w:ascii="Verdana" w:hAnsi="Verdana"/>
                <w:sz w:val="16"/>
                <w:szCs w:val="16"/>
              </w:rPr>
              <w:t>Contratista de la Subdirección de Gestión Contractual</w:t>
            </w:r>
          </w:p>
        </w:tc>
      </w:tr>
      <w:tr w:rsidR="000A43AA" w:rsidRPr="004B0DF3" w14:paraId="62B7DA0F" w14:textId="77777777" w:rsidTr="006D45A1">
        <w:trPr>
          <w:trHeight w:val="330"/>
        </w:trPr>
        <w:tc>
          <w:tcPr>
            <w:tcW w:w="893" w:type="dxa"/>
            <w:vAlign w:val="center"/>
            <w:hideMark/>
          </w:tcPr>
          <w:p w14:paraId="77BBAA71" w14:textId="77777777" w:rsidR="000A43AA" w:rsidRPr="004B0DF3" w:rsidRDefault="000A43AA" w:rsidP="00FA3433">
            <w:pPr>
              <w:contextualSpacing/>
              <w:jc w:val="both"/>
              <w:rPr>
                <w:rFonts w:ascii="Verdana" w:hAnsi="Verdana" w:cs="Arial"/>
                <w:sz w:val="16"/>
                <w:szCs w:val="16"/>
                <w:lang w:eastAsia="es-ES"/>
              </w:rPr>
            </w:pPr>
            <w:r w:rsidRPr="004B0DF3">
              <w:rPr>
                <w:rFonts w:ascii="Verdana" w:hAnsi="Verdana" w:cs="Arial"/>
                <w:sz w:val="16"/>
                <w:szCs w:val="16"/>
                <w:lang w:eastAsia="es-ES"/>
              </w:rPr>
              <w:t>Revisó:</w:t>
            </w:r>
          </w:p>
        </w:tc>
        <w:tc>
          <w:tcPr>
            <w:tcW w:w="5628" w:type="dxa"/>
            <w:vAlign w:val="center"/>
            <w:hideMark/>
          </w:tcPr>
          <w:p w14:paraId="7586AFD4" w14:textId="77777777" w:rsidR="000A43AA" w:rsidRPr="004B0DF3" w:rsidRDefault="000A43AA" w:rsidP="00FA3433">
            <w:pPr>
              <w:spacing w:line="276" w:lineRule="auto"/>
              <w:contextualSpacing/>
              <w:jc w:val="both"/>
              <w:rPr>
                <w:rFonts w:ascii="Verdana" w:hAnsi="Verdana"/>
                <w:sz w:val="16"/>
                <w:szCs w:val="16"/>
              </w:rPr>
            </w:pPr>
            <w:r w:rsidRPr="004B0DF3">
              <w:rPr>
                <w:rFonts w:ascii="Verdana" w:hAnsi="Verdana"/>
                <w:sz w:val="16"/>
                <w:szCs w:val="16"/>
              </w:rPr>
              <w:t>Diana Lucía Saavedra Castañeda</w:t>
            </w:r>
          </w:p>
          <w:p w14:paraId="4B143EBE" w14:textId="77777777" w:rsidR="000A43AA" w:rsidRPr="004B0DF3" w:rsidRDefault="000A43AA" w:rsidP="00FA3433">
            <w:pPr>
              <w:spacing w:line="276" w:lineRule="auto"/>
              <w:contextualSpacing/>
              <w:jc w:val="both"/>
              <w:rPr>
                <w:rFonts w:ascii="Verdana" w:hAnsi="Verdana" w:cstheme="minorHAnsi"/>
                <w:sz w:val="16"/>
                <w:szCs w:val="16"/>
              </w:rPr>
            </w:pPr>
            <w:r w:rsidRPr="004B0DF3">
              <w:rPr>
                <w:rStyle w:val="normaltextrun"/>
                <w:rFonts w:ascii="Verdana" w:eastAsia="Arial" w:hAnsi="Verdana"/>
                <w:sz w:val="16"/>
                <w:szCs w:val="16"/>
              </w:rPr>
              <w:t>Contratita de la</w:t>
            </w:r>
            <w:r w:rsidRPr="004B0DF3">
              <w:rPr>
                <w:rStyle w:val="normaltextrun"/>
                <w:rFonts w:ascii="Verdana" w:eastAsia="Arial" w:hAnsi="Verdana" w:cs="Arial"/>
                <w:sz w:val="16"/>
                <w:szCs w:val="16"/>
              </w:rPr>
              <w:t xml:space="preserve"> Subdirección de Gestión Contractual</w:t>
            </w:r>
          </w:p>
        </w:tc>
      </w:tr>
      <w:tr w:rsidR="000A43AA" w:rsidRPr="004B0DF3" w14:paraId="5CDABC07" w14:textId="77777777" w:rsidTr="006D45A1">
        <w:trPr>
          <w:trHeight w:val="330"/>
        </w:trPr>
        <w:tc>
          <w:tcPr>
            <w:tcW w:w="893" w:type="dxa"/>
            <w:vAlign w:val="center"/>
          </w:tcPr>
          <w:p w14:paraId="423565E3" w14:textId="77777777" w:rsidR="000A43AA" w:rsidRPr="004B0DF3" w:rsidRDefault="000A43AA" w:rsidP="00FA3433">
            <w:pPr>
              <w:contextualSpacing/>
              <w:jc w:val="both"/>
              <w:rPr>
                <w:rFonts w:ascii="Verdana" w:hAnsi="Verdana" w:cs="Arial"/>
                <w:sz w:val="16"/>
                <w:szCs w:val="16"/>
                <w:lang w:eastAsia="es-ES"/>
              </w:rPr>
            </w:pPr>
            <w:r w:rsidRPr="004B0DF3">
              <w:rPr>
                <w:rFonts w:ascii="Verdana" w:hAnsi="Verdana" w:cs="Arial"/>
                <w:sz w:val="16"/>
                <w:szCs w:val="16"/>
                <w:lang w:eastAsia="es-ES"/>
              </w:rPr>
              <w:t>Aprobó:</w:t>
            </w:r>
          </w:p>
        </w:tc>
        <w:tc>
          <w:tcPr>
            <w:tcW w:w="5628" w:type="dxa"/>
            <w:vAlign w:val="center"/>
          </w:tcPr>
          <w:p w14:paraId="159299A6" w14:textId="77777777" w:rsidR="000A43AA" w:rsidRPr="004B0DF3" w:rsidRDefault="000A43AA" w:rsidP="00FA3433">
            <w:pPr>
              <w:contextualSpacing/>
              <w:jc w:val="both"/>
              <w:rPr>
                <w:rFonts w:ascii="Verdana" w:eastAsia="Calibri" w:hAnsi="Verdana" w:cs="Arial"/>
                <w:sz w:val="16"/>
                <w:szCs w:val="16"/>
                <w:lang w:eastAsia="es-ES"/>
              </w:rPr>
            </w:pPr>
            <w:r w:rsidRPr="004B0DF3">
              <w:rPr>
                <w:rFonts w:ascii="Verdana" w:eastAsia="Calibri" w:hAnsi="Verdana" w:cs="Arial"/>
                <w:sz w:val="16"/>
                <w:szCs w:val="16"/>
                <w:lang w:eastAsia="es-ES"/>
              </w:rPr>
              <w:t xml:space="preserve">Carolina Quintero </w:t>
            </w:r>
            <w:proofErr w:type="spellStart"/>
            <w:r w:rsidRPr="004B0DF3">
              <w:rPr>
                <w:rFonts w:ascii="Verdana" w:eastAsia="Calibri" w:hAnsi="Verdana" w:cs="Arial"/>
                <w:sz w:val="16"/>
                <w:szCs w:val="16"/>
                <w:lang w:eastAsia="es-ES"/>
              </w:rPr>
              <w:t>Gacharná</w:t>
            </w:r>
            <w:proofErr w:type="spellEnd"/>
          </w:p>
          <w:p w14:paraId="341D2329" w14:textId="77777777" w:rsidR="000A43AA" w:rsidRPr="004B0DF3" w:rsidRDefault="000A43AA" w:rsidP="00FA3433">
            <w:pPr>
              <w:spacing w:line="276" w:lineRule="auto"/>
              <w:contextualSpacing/>
              <w:jc w:val="both"/>
              <w:rPr>
                <w:rFonts w:ascii="Verdana" w:hAnsi="Verdana"/>
                <w:sz w:val="16"/>
                <w:szCs w:val="16"/>
              </w:rPr>
            </w:pPr>
            <w:r w:rsidRPr="004B0DF3">
              <w:rPr>
                <w:rFonts w:ascii="Verdana" w:eastAsia="Calibri" w:hAnsi="Verdana" w:cs="Arial"/>
                <w:sz w:val="16"/>
                <w:szCs w:val="16"/>
                <w:lang w:eastAsia="es-ES"/>
              </w:rPr>
              <w:t xml:space="preserve">Subdirectora de Gestión </w:t>
            </w:r>
            <w:proofErr w:type="spellStart"/>
            <w:r w:rsidRPr="004B0DF3">
              <w:rPr>
                <w:rFonts w:ascii="Verdana" w:eastAsia="Calibri" w:hAnsi="Verdana" w:cs="Arial"/>
                <w:sz w:val="16"/>
                <w:szCs w:val="16"/>
                <w:lang w:eastAsia="es-ES"/>
              </w:rPr>
              <w:t>Contratual</w:t>
            </w:r>
            <w:proofErr w:type="spellEnd"/>
            <w:r w:rsidRPr="004B0DF3">
              <w:rPr>
                <w:rFonts w:ascii="Verdana" w:eastAsia="Calibri" w:hAnsi="Verdana" w:cs="Arial"/>
                <w:sz w:val="16"/>
                <w:szCs w:val="16"/>
                <w:lang w:eastAsia="es-ES"/>
              </w:rPr>
              <w:t xml:space="preserve"> - ANCP – CCE</w:t>
            </w:r>
          </w:p>
        </w:tc>
      </w:tr>
      <w:bookmarkEnd w:id="2"/>
    </w:tbl>
    <w:p w14:paraId="4E6C341B" w14:textId="77777777" w:rsidR="000A43AA" w:rsidRPr="00073A28" w:rsidRDefault="000A43AA" w:rsidP="000A43AA">
      <w:pPr>
        <w:jc w:val="both"/>
        <w:rPr>
          <w:rFonts w:ascii="Verdana" w:hAnsi="Verdana"/>
        </w:rPr>
      </w:pPr>
    </w:p>
    <w:p w14:paraId="2817C84D" w14:textId="77777777" w:rsidR="000A43AA" w:rsidRPr="00073A28" w:rsidRDefault="000A43AA" w:rsidP="000A43AA">
      <w:pPr>
        <w:jc w:val="both"/>
        <w:rPr>
          <w:rFonts w:ascii="Verdana" w:hAnsi="Verdana"/>
        </w:rPr>
      </w:pPr>
    </w:p>
    <w:p w14:paraId="336BF94E" w14:textId="77777777" w:rsidR="000A43AA" w:rsidRPr="00073A28" w:rsidRDefault="000A43AA" w:rsidP="000A43AA">
      <w:pPr>
        <w:jc w:val="both"/>
        <w:rPr>
          <w:rFonts w:ascii="Verdana" w:hAnsi="Verdana"/>
        </w:rPr>
      </w:pPr>
    </w:p>
    <w:p w14:paraId="5047FC2D" w14:textId="77777777" w:rsidR="000A43AA" w:rsidRPr="00073A28" w:rsidRDefault="000A43AA" w:rsidP="000A43AA">
      <w:pPr>
        <w:jc w:val="both"/>
        <w:rPr>
          <w:rFonts w:ascii="Verdana" w:hAnsi="Verdana"/>
        </w:rPr>
      </w:pPr>
    </w:p>
    <w:p w14:paraId="74A23831" w14:textId="77777777" w:rsidR="000A43AA" w:rsidRPr="00073A28" w:rsidRDefault="000A43AA" w:rsidP="000A43AA">
      <w:pPr>
        <w:jc w:val="both"/>
        <w:rPr>
          <w:rFonts w:ascii="Verdana" w:hAnsi="Verdana"/>
        </w:rPr>
      </w:pPr>
    </w:p>
    <w:p w14:paraId="0E529495" w14:textId="77777777" w:rsidR="000A43AA" w:rsidRPr="00073A28" w:rsidRDefault="000A43AA" w:rsidP="000A43AA">
      <w:pPr>
        <w:jc w:val="both"/>
        <w:rPr>
          <w:rFonts w:ascii="Verdana" w:hAnsi="Verdana"/>
        </w:rPr>
      </w:pPr>
    </w:p>
    <w:p w14:paraId="111AD772" w14:textId="77777777" w:rsidR="000A43AA" w:rsidRPr="00073A28" w:rsidRDefault="000A43AA" w:rsidP="000A43AA">
      <w:pPr>
        <w:jc w:val="both"/>
        <w:rPr>
          <w:rFonts w:ascii="Verdana" w:hAnsi="Verdana"/>
        </w:rPr>
      </w:pPr>
    </w:p>
    <w:p w14:paraId="4DC7F68C" w14:textId="77777777" w:rsidR="000A43AA" w:rsidRPr="00073A28" w:rsidRDefault="000A43AA" w:rsidP="000A43AA">
      <w:pPr>
        <w:jc w:val="both"/>
        <w:rPr>
          <w:rFonts w:ascii="Verdana" w:hAnsi="Verdana"/>
        </w:rPr>
      </w:pPr>
    </w:p>
    <w:p w14:paraId="0B4A334D" w14:textId="77777777" w:rsidR="000A43AA" w:rsidRPr="00A7247D" w:rsidRDefault="000A43AA" w:rsidP="000A43AA"/>
    <w:p w14:paraId="0F293BF4" w14:textId="3007767C" w:rsidR="00127233" w:rsidRPr="009D51BD" w:rsidRDefault="00127233" w:rsidP="009D51BD"/>
    <w:sectPr w:rsidR="00127233" w:rsidRPr="009D51BD"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837A84" w14:textId="77777777" w:rsidR="00D62902" w:rsidRDefault="00D62902" w:rsidP="004A1847">
      <w:pPr>
        <w:spacing w:after="0" w:line="240" w:lineRule="auto"/>
      </w:pPr>
      <w:r>
        <w:separator/>
      </w:r>
    </w:p>
  </w:endnote>
  <w:endnote w:type="continuationSeparator" w:id="0">
    <w:p w14:paraId="1D13261A" w14:textId="77777777" w:rsidR="00D62902" w:rsidRDefault="00D62902" w:rsidP="004A1847">
      <w:pPr>
        <w:spacing w:after="0" w:line="240" w:lineRule="auto"/>
      </w:pPr>
      <w:r>
        <w:continuationSeparator/>
      </w:r>
    </w:p>
  </w:endnote>
  <w:endnote w:type="continuationNotice" w:id="1">
    <w:p w14:paraId="3A1483EE" w14:textId="77777777" w:rsidR="00D62902" w:rsidRDefault="00D6290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Yu Gothic UI Semibold">
    <w:panose1 w:val="020B0700000000000000"/>
    <w:charset w:val="80"/>
    <w:family w:val="swiss"/>
    <w:pitch w:val="variable"/>
    <w:sig w:usb0="E00002FF" w:usb1="2AC7FDFF" w:usb2="00000016" w:usb3="00000000" w:csb0="000200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D87BFE" w14:textId="77777777" w:rsidR="00D62902" w:rsidRDefault="00D62902" w:rsidP="004A1847">
      <w:pPr>
        <w:spacing w:after="0" w:line="240" w:lineRule="auto"/>
      </w:pPr>
      <w:r>
        <w:separator/>
      </w:r>
    </w:p>
  </w:footnote>
  <w:footnote w:type="continuationSeparator" w:id="0">
    <w:p w14:paraId="09AEA148" w14:textId="77777777" w:rsidR="00D62902" w:rsidRDefault="00D62902" w:rsidP="004A1847">
      <w:pPr>
        <w:spacing w:after="0" w:line="240" w:lineRule="auto"/>
      </w:pPr>
      <w:r>
        <w:continuationSeparator/>
      </w:r>
    </w:p>
  </w:footnote>
  <w:footnote w:type="continuationNotice" w:id="1">
    <w:p w14:paraId="16A1FA1A" w14:textId="77777777" w:rsidR="00D62902" w:rsidRDefault="00D62902">
      <w:pPr>
        <w:spacing w:after="0" w:line="240" w:lineRule="auto"/>
      </w:pPr>
    </w:p>
  </w:footnote>
  <w:footnote w:id="2">
    <w:p w14:paraId="4E2792B8" w14:textId="77777777" w:rsidR="000A43AA" w:rsidRPr="00D42615" w:rsidRDefault="000A43AA" w:rsidP="00D42615">
      <w:pPr>
        <w:shd w:val="clear" w:color="auto" w:fill="FFFFFF"/>
        <w:spacing w:after="0" w:line="240" w:lineRule="auto"/>
        <w:ind w:right="49" w:firstLine="708"/>
        <w:jc w:val="both"/>
        <w:rPr>
          <w:rStyle w:val="Refdenotaalpie"/>
          <w:rFonts w:ascii="Verdana" w:hAnsi="Verdana"/>
          <w:sz w:val="14"/>
          <w:szCs w:val="14"/>
          <w:vertAlign w:val="baseline"/>
        </w:rPr>
      </w:pPr>
      <w:r w:rsidRPr="00D42615">
        <w:rPr>
          <w:rStyle w:val="Refdenotaalpie"/>
          <w:rFonts w:ascii="Verdana" w:hAnsi="Verdana"/>
          <w:sz w:val="14"/>
          <w:szCs w:val="14"/>
        </w:rPr>
        <w:footnoteRef/>
      </w:r>
      <w:r w:rsidRPr="00D42615">
        <w:rPr>
          <w:rStyle w:val="Refdenotaalpie"/>
          <w:rFonts w:ascii="Verdana" w:hAnsi="Verdana"/>
          <w:sz w:val="14"/>
          <w:szCs w:val="14"/>
        </w:rPr>
        <w:t xml:space="preserve"> </w:t>
      </w:r>
      <w:r w:rsidRPr="00D42615">
        <w:rPr>
          <w:rStyle w:val="Refdenotaalpie"/>
          <w:rFonts w:ascii="Verdana" w:hAnsi="Verdana"/>
          <w:sz w:val="14"/>
          <w:szCs w:val="14"/>
          <w:vertAlign w:val="baseline"/>
        </w:rPr>
        <w:t>Corte Constitucional, sentencia T-743 de 2017, Exp. T-6.366.648 Magistrada Ponente Cristina Pardo Schlesinger.</w:t>
      </w:r>
    </w:p>
    <w:p w14:paraId="5F3472C9" w14:textId="77777777" w:rsidR="000A43AA" w:rsidRPr="00D42615" w:rsidRDefault="000A43AA" w:rsidP="00D42615">
      <w:pPr>
        <w:shd w:val="clear" w:color="auto" w:fill="FFFFFF"/>
        <w:spacing w:after="0" w:line="240" w:lineRule="auto"/>
        <w:ind w:right="49" w:firstLine="708"/>
        <w:jc w:val="both"/>
        <w:rPr>
          <w:rStyle w:val="Refdenotaalpie"/>
          <w:rFonts w:ascii="Verdana" w:hAnsi="Verdana"/>
          <w:sz w:val="14"/>
          <w:szCs w:val="14"/>
          <w:vertAlign w:val="baseline"/>
        </w:rPr>
      </w:pPr>
    </w:p>
  </w:footnote>
  <w:footnote w:id="3">
    <w:p w14:paraId="7A246FF8" w14:textId="77777777" w:rsidR="000A43AA" w:rsidRPr="00D42615" w:rsidRDefault="000A43AA" w:rsidP="00D42615">
      <w:pPr>
        <w:shd w:val="clear" w:color="auto" w:fill="FFFFFF"/>
        <w:spacing w:after="0" w:line="240" w:lineRule="auto"/>
        <w:ind w:right="49" w:firstLine="708"/>
        <w:jc w:val="both"/>
        <w:rPr>
          <w:rStyle w:val="Refdenotaalpie"/>
          <w:rFonts w:ascii="Verdana" w:hAnsi="Verdana"/>
          <w:sz w:val="14"/>
          <w:szCs w:val="14"/>
          <w:vertAlign w:val="baseline"/>
        </w:rPr>
      </w:pPr>
      <w:r w:rsidRPr="00D42615">
        <w:rPr>
          <w:rStyle w:val="Refdenotaalpie"/>
          <w:rFonts w:ascii="Verdana" w:hAnsi="Verdana"/>
          <w:sz w:val="14"/>
          <w:szCs w:val="14"/>
        </w:rPr>
        <w:footnoteRef/>
      </w:r>
      <w:r w:rsidRPr="00D42615">
        <w:rPr>
          <w:rStyle w:val="Refdenotaalpie"/>
          <w:rFonts w:ascii="Verdana" w:hAnsi="Verdana"/>
          <w:sz w:val="14"/>
          <w:szCs w:val="14"/>
          <w:vertAlign w:val="baseline"/>
        </w:rPr>
        <w:t xml:space="preserve"> “En el supuesto de vinculación de la mujer gestante o lactante mediante contrato de prestación de servicios, el juez de tutela deberá analizar las circunstancias fácticas que rodean cada caso, para determinar si bajo dicha figura contractual no se está ocultando la existencia de una auténtica relación laboral.</w:t>
      </w:r>
    </w:p>
    <w:p w14:paraId="09A8FA8E" w14:textId="77777777" w:rsidR="000A43AA" w:rsidRPr="00D42615" w:rsidRDefault="000A43AA" w:rsidP="00D42615">
      <w:pPr>
        <w:shd w:val="clear" w:color="auto" w:fill="FFFFFF"/>
        <w:spacing w:after="0" w:line="240" w:lineRule="auto"/>
        <w:ind w:right="49" w:firstLine="708"/>
        <w:jc w:val="both"/>
        <w:rPr>
          <w:rStyle w:val="Refdenotaalpie"/>
          <w:rFonts w:ascii="Verdana" w:hAnsi="Verdana"/>
          <w:sz w:val="14"/>
          <w:szCs w:val="14"/>
          <w:vertAlign w:val="baseline"/>
        </w:rPr>
      </w:pPr>
      <w:r w:rsidRPr="00D42615">
        <w:rPr>
          <w:rStyle w:val="Refdenotaalpie"/>
          <w:rFonts w:ascii="Verdana" w:hAnsi="Verdana"/>
          <w:sz w:val="14"/>
          <w:szCs w:val="14"/>
          <w:vertAlign w:val="baseline"/>
        </w:rPr>
        <w:t>[…]</w:t>
      </w:r>
    </w:p>
    <w:p w14:paraId="5B892BC5" w14:textId="77777777" w:rsidR="000A43AA" w:rsidRPr="00D42615" w:rsidRDefault="000A43AA" w:rsidP="00D42615">
      <w:pPr>
        <w:shd w:val="clear" w:color="auto" w:fill="FFFFFF"/>
        <w:spacing w:after="0" w:line="240" w:lineRule="auto"/>
        <w:ind w:right="49" w:firstLine="708"/>
        <w:jc w:val="both"/>
        <w:rPr>
          <w:rStyle w:val="Refdenotaalpie"/>
          <w:rFonts w:ascii="Verdana" w:hAnsi="Verdana"/>
          <w:sz w:val="14"/>
          <w:szCs w:val="14"/>
          <w:vertAlign w:val="baseline"/>
        </w:rPr>
      </w:pPr>
      <w:r w:rsidRPr="00D42615">
        <w:rPr>
          <w:rStyle w:val="Refdenotaalpie"/>
          <w:rFonts w:ascii="Verdana" w:hAnsi="Verdana"/>
          <w:sz w:val="14"/>
          <w:szCs w:val="14"/>
          <w:vertAlign w:val="baseline"/>
        </w:rPr>
        <w:t>“Bajo esta lógica, deberá verificarse la estructuración material de los elementos fundamentales de un contrato de trabajo, ‘independientemente de la vinculación o denominación que el empleador adopte para el tipo de contrato que suscriba con el trabajador´. Así, la jurisprudencia de la Corte ha reconocido que los elementos que configuran la existencia de un contrato de trabajo son (i) el salario, (ii) la continua subordinación o dependencia y (iii) la prestación personal del servicio. Por lo tanto, si el juez de tutela concluye la concurrencia de estos tres elementos en una vinculación mediante contrato de prestación de servicios de una trabajadora gestante o lactante, podrá concluirse que se está en presencia de un verdadero contrato de trabajo”.</w:t>
      </w:r>
    </w:p>
    <w:p w14:paraId="38611782" w14:textId="77777777" w:rsidR="000A43AA" w:rsidRPr="00D42615" w:rsidRDefault="000A43AA" w:rsidP="00D42615">
      <w:pPr>
        <w:pStyle w:val="Textonotapie"/>
        <w:ind w:left="300" w:right="306"/>
        <w:jc w:val="both"/>
        <w:rPr>
          <w:rFonts w:ascii="Verdana" w:hAnsi="Verdana" w:cs="Arial"/>
          <w:sz w:val="14"/>
          <w:szCs w:val="14"/>
        </w:rPr>
      </w:pPr>
    </w:p>
  </w:footnote>
  <w:footnote w:id="4">
    <w:p w14:paraId="7FCFA220" w14:textId="77777777" w:rsidR="000A43AA" w:rsidRPr="00D42615" w:rsidRDefault="000A43AA" w:rsidP="00D42615">
      <w:pPr>
        <w:shd w:val="clear" w:color="auto" w:fill="FFFFFF"/>
        <w:spacing w:after="0" w:line="240" w:lineRule="auto"/>
        <w:ind w:right="49" w:firstLine="708"/>
        <w:jc w:val="both"/>
        <w:rPr>
          <w:rStyle w:val="Refdenotaalpie"/>
          <w:rFonts w:ascii="Verdana" w:hAnsi="Verdana"/>
          <w:sz w:val="14"/>
          <w:szCs w:val="14"/>
          <w:vertAlign w:val="baseline"/>
        </w:rPr>
      </w:pPr>
      <w:r w:rsidRPr="00D42615">
        <w:rPr>
          <w:rStyle w:val="Refdenotaalpie"/>
          <w:rFonts w:ascii="Verdana" w:hAnsi="Verdana"/>
          <w:sz w:val="14"/>
          <w:szCs w:val="14"/>
        </w:rPr>
        <w:footnoteRef/>
      </w:r>
      <w:r w:rsidRPr="00D42615">
        <w:rPr>
          <w:rStyle w:val="Refdenotaalpie"/>
          <w:rFonts w:ascii="Verdana" w:hAnsi="Verdana"/>
          <w:sz w:val="14"/>
          <w:szCs w:val="14"/>
          <w:vertAlign w:val="baseline"/>
        </w:rPr>
        <w:t xml:space="preserve"> La Corte Constitucional en la sentencia T-102 del 1 de marzo de 2016 (M.P: María Victoria Calle Correa) protegió el derecho a la estabilidad laboral reforzada a dos mujeres que se encontraban en fuero de maternidad por demostrarse la existencia de un contrato realidad. En el expediente T-5.208.798 la Sala asumió la existencia de un contrato laboral de cara a la subordinación, pues estaba demostrado que la accionante, entre otras, cumplía un horario establecido por el contratante: ´Obsérvese que el empleador no demostró, por ningún medio, la existencia de una causal objetiva relevante que justificara la terminación del contrato, por ejemplo, que la actividad que venía realizando la trabajadora ya no fuera necesaria para la asociación sindical, o de una justa causa de terminación de la relación laboral. Por el contrario, la labor asignada como asistente administrativa hace parte de las tareas cotidianas del sindicato’”.</w:t>
      </w:r>
    </w:p>
    <w:p w14:paraId="5B8BA5E7" w14:textId="77777777" w:rsidR="000A43AA" w:rsidRPr="00D42615" w:rsidRDefault="000A43AA" w:rsidP="00D42615">
      <w:pPr>
        <w:shd w:val="clear" w:color="auto" w:fill="FFFFFF"/>
        <w:spacing w:after="0" w:line="240" w:lineRule="auto"/>
        <w:ind w:right="49" w:firstLine="708"/>
        <w:jc w:val="both"/>
        <w:rPr>
          <w:rStyle w:val="Refdenotaalpie"/>
          <w:rFonts w:ascii="Verdana" w:hAnsi="Verdana"/>
          <w:sz w:val="14"/>
          <w:szCs w:val="14"/>
          <w:vertAlign w:val="baseline"/>
        </w:rPr>
      </w:pPr>
    </w:p>
  </w:footnote>
  <w:footnote w:id="5">
    <w:p w14:paraId="17686790" w14:textId="77777777" w:rsidR="000A43AA" w:rsidRPr="00D42615" w:rsidRDefault="000A43AA" w:rsidP="00D42615">
      <w:pPr>
        <w:shd w:val="clear" w:color="auto" w:fill="FFFFFF"/>
        <w:spacing w:after="0" w:line="240" w:lineRule="auto"/>
        <w:ind w:right="49" w:firstLine="708"/>
        <w:jc w:val="both"/>
        <w:rPr>
          <w:rStyle w:val="Refdenotaalpie"/>
          <w:rFonts w:ascii="Verdana" w:hAnsi="Verdana"/>
          <w:sz w:val="14"/>
          <w:szCs w:val="14"/>
          <w:vertAlign w:val="baseline"/>
        </w:rPr>
      </w:pPr>
      <w:r w:rsidRPr="00D42615">
        <w:rPr>
          <w:rStyle w:val="Refdenotaalpie"/>
          <w:rFonts w:ascii="Verdana" w:hAnsi="Verdana"/>
          <w:sz w:val="14"/>
          <w:szCs w:val="14"/>
          <w:vertAlign w:val="baseline"/>
        </w:rPr>
        <w:t xml:space="preserve">  </w:t>
      </w:r>
      <w:r w:rsidRPr="00D42615">
        <w:rPr>
          <w:rStyle w:val="Refdenotaalpie"/>
          <w:rFonts w:ascii="Verdana" w:hAnsi="Verdana"/>
          <w:sz w:val="14"/>
          <w:szCs w:val="14"/>
        </w:rPr>
        <w:footnoteRef/>
      </w:r>
      <w:r w:rsidRPr="00D42615">
        <w:rPr>
          <w:rStyle w:val="Refdenotaalpie"/>
          <w:rFonts w:ascii="Verdana" w:hAnsi="Verdana"/>
          <w:sz w:val="14"/>
          <w:szCs w:val="14"/>
          <w:vertAlign w:val="baseline"/>
        </w:rPr>
        <w:t xml:space="preserve"> Corte Constitucional, sentencia T-564 del 6 de septiembre de 2017, M.P: Cristina Pardo Schlesinger: “La Sala advierte, que ante las contradicciones respecto a los hechos en las cuales incurren las partes involucradas en el asunto de la referencia, en el presente caso no existen suficientes elementos de juicio para la demostración de la relación de trabajo afirmada por la accionante en el escrito de impugnación. La precariedad de las pruebas, los indicios sobre un contrato realidad encubierto y la validez de los documentos aportados al proceso, son asuntos que necesariamente deben ser estudiados por el juez ordinario laboral”.</w:t>
      </w:r>
    </w:p>
    <w:p w14:paraId="5A7D68F1" w14:textId="77777777" w:rsidR="000A43AA" w:rsidRPr="00D42615" w:rsidRDefault="000A43AA" w:rsidP="00D42615">
      <w:pPr>
        <w:shd w:val="clear" w:color="auto" w:fill="FFFFFF"/>
        <w:spacing w:after="0" w:line="240" w:lineRule="auto"/>
        <w:ind w:right="49" w:firstLine="708"/>
        <w:jc w:val="both"/>
        <w:rPr>
          <w:rStyle w:val="Refdenotaalpie"/>
          <w:rFonts w:ascii="Verdana" w:hAnsi="Verdana"/>
          <w:sz w:val="14"/>
          <w:szCs w:val="14"/>
          <w:vertAlign w:val="baseline"/>
        </w:rPr>
      </w:pPr>
      <w:r w:rsidRPr="00D42615">
        <w:rPr>
          <w:rStyle w:val="Refdenotaalpie"/>
          <w:rFonts w:ascii="Verdana" w:hAnsi="Verdana"/>
          <w:sz w:val="14"/>
          <w:szCs w:val="14"/>
          <w:vertAlign w:val="baseline"/>
        </w:rPr>
        <w:t>]…]</w:t>
      </w:r>
    </w:p>
    <w:p w14:paraId="7DEA6D2C" w14:textId="77777777" w:rsidR="000A43AA" w:rsidRPr="00D42615" w:rsidRDefault="000A43AA" w:rsidP="00D42615">
      <w:pPr>
        <w:shd w:val="clear" w:color="auto" w:fill="FFFFFF"/>
        <w:spacing w:after="0" w:line="240" w:lineRule="auto"/>
        <w:ind w:right="49" w:firstLine="708"/>
        <w:jc w:val="both"/>
        <w:rPr>
          <w:rStyle w:val="Refdenotaalpie"/>
          <w:rFonts w:ascii="Verdana" w:hAnsi="Verdana"/>
          <w:sz w:val="14"/>
          <w:szCs w:val="14"/>
          <w:vertAlign w:val="baseline"/>
        </w:rPr>
      </w:pPr>
      <w:r w:rsidRPr="00D42615">
        <w:rPr>
          <w:rStyle w:val="Refdenotaalpie"/>
          <w:rFonts w:ascii="Verdana" w:hAnsi="Verdana"/>
          <w:sz w:val="14"/>
          <w:szCs w:val="14"/>
          <w:vertAlign w:val="baseline"/>
        </w:rPr>
        <w:t>“Así las cosas, encuentra la Sala que se cumplen los criterios determinados por la Corporación para proceder al amparo de los derechos fundamentales de la contratista: (i) existió una relación de prestación de servicios entre las partes; (ii) la accionante se encontraba en estado de embarazo y dicha situación fue informada a la accionada en el mes de noviembre de 2016, y (iii) a pocos días de conocerse el estado de gestación de la peticionaria, la relación contractual que había sido continua durante ocho (8) meses aproximadamente, se terminó por decisión de la parte contratante y sin que mediara autorización del inspector del trabajo, requisito necesario  en el  presente  caso concreto,  aun cuando se trate de un contrato de prestación de servicios, pues el amparo constitucional de la estabilidad laboral reforzada de las mujeres embarazadas también es aplicable a este tipo de vinculación contractual, acudiendo a la asimilación de estas alternativas a una relación laboral sin condiciones específicas de terminación”.</w:t>
      </w:r>
    </w:p>
    <w:p w14:paraId="256B3A1B" w14:textId="77777777" w:rsidR="000A43AA" w:rsidRPr="00D42615" w:rsidRDefault="000A43AA" w:rsidP="00D42615">
      <w:pPr>
        <w:shd w:val="clear" w:color="auto" w:fill="FFFFFF"/>
        <w:spacing w:after="0" w:line="240" w:lineRule="auto"/>
        <w:ind w:right="49" w:firstLine="708"/>
        <w:jc w:val="both"/>
        <w:rPr>
          <w:rStyle w:val="Refdenotaalpie"/>
          <w:sz w:val="14"/>
          <w:szCs w:val="14"/>
          <w:vertAlign w:val="baseline"/>
        </w:rPr>
      </w:pPr>
    </w:p>
    <w:p w14:paraId="1DA0E0DF" w14:textId="77777777" w:rsidR="000A43AA" w:rsidRPr="00D42615" w:rsidRDefault="000A43AA" w:rsidP="00D42615">
      <w:pPr>
        <w:shd w:val="clear" w:color="auto" w:fill="FFFFFF"/>
        <w:spacing w:after="0" w:line="240" w:lineRule="auto"/>
        <w:ind w:right="49" w:firstLine="708"/>
        <w:jc w:val="both"/>
        <w:rPr>
          <w:rStyle w:val="Refdenotaalpie"/>
          <w:sz w:val="14"/>
          <w:szCs w:val="14"/>
          <w:vertAlign w:val="baseline"/>
        </w:rPr>
      </w:pPr>
    </w:p>
  </w:footnote>
  <w:footnote w:id="6">
    <w:p w14:paraId="3FDF944B" w14:textId="77777777" w:rsidR="000A43AA" w:rsidRPr="00D42615" w:rsidRDefault="000A43AA" w:rsidP="00D42615">
      <w:pPr>
        <w:shd w:val="clear" w:color="auto" w:fill="FFFFFF"/>
        <w:spacing w:after="0" w:line="240" w:lineRule="auto"/>
        <w:ind w:right="49" w:firstLine="708"/>
        <w:jc w:val="both"/>
        <w:rPr>
          <w:rStyle w:val="Refdenotaalpie"/>
          <w:sz w:val="14"/>
          <w:szCs w:val="14"/>
          <w:vertAlign w:val="baseline"/>
        </w:rPr>
      </w:pPr>
      <w:r w:rsidRPr="00D42615">
        <w:rPr>
          <w:rStyle w:val="Refdenotaalpie"/>
          <w:rFonts w:ascii="Verdana" w:hAnsi="Verdana"/>
          <w:sz w:val="14"/>
          <w:szCs w:val="14"/>
        </w:rPr>
        <w:footnoteRef/>
      </w:r>
      <w:r w:rsidRPr="00D42615">
        <w:rPr>
          <w:rStyle w:val="Refdenotaalpie"/>
          <w:rFonts w:ascii="Verdana" w:hAnsi="Verdana"/>
          <w:sz w:val="14"/>
          <w:szCs w:val="14"/>
        </w:rPr>
        <w:t xml:space="preserve"> </w:t>
      </w:r>
      <w:r w:rsidRPr="00D42615">
        <w:rPr>
          <w:rStyle w:val="Refdenotaalpie"/>
          <w:rFonts w:ascii="Verdana" w:hAnsi="Verdana"/>
          <w:sz w:val="14"/>
          <w:szCs w:val="14"/>
          <w:vertAlign w:val="baseline"/>
        </w:rPr>
        <w:t>Corte Constitucional. Sentencia SU 075- de 2018. Magistrado Ponente: Gloria Stella Ortiz Delgado</w:t>
      </w:r>
    </w:p>
  </w:footnote>
  <w:footnote w:id="7">
    <w:p w14:paraId="7F48CD72" w14:textId="77777777" w:rsidR="000A43AA" w:rsidRPr="00D42615" w:rsidRDefault="000A43AA" w:rsidP="00D42615">
      <w:pPr>
        <w:shd w:val="clear" w:color="auto" w:fill="FFFFFF"/>
        <w:spacing w:after="0" w:line="240" w:lineRule="auto"/>
        <w:ind w:right="49" w:firstLine="708"/>
        <w:jc w:val="both"/>
        <w:rPr>
          <w:rStyle w:val="Refdenotaalpie"/>
          <w:rFonts w:ascii="Verdana" w:hAnsi="Verdana"/>
          <w:sz w:val="14"/>
          <w:szCs w:val="14"/>
          <w:vertAlign w:val="baseline"/>
        </w:rPr>
      </w:pPr>
      <w:r w:rsidRPr="00D42615">
        <w:rPr>
          <w:rStyle w:val="Refdenotaalpie"/>
          <w:rFonts w:ascii="Verdana" w:hAnsi="Verdana"/>
          <w:sz w:val="14"/>
          <w:szCs w:val="14"/>
        </w:rPr>
        <w:footnoteRef/>
      </w:r>
      <w:r w:rsidRPr="00D42615">
        <w:rPr>
          <w:rStyle w:val="Refdenotaalpie"/>
          <w:rFonts w:ascii="Verdana" w:hAnsi="Verdana"/>
          <w:sz w:val="14"/>
          <w:szCs w:val="14"/>
        </w:rPr>
        <w:t xml:space="preserve"> </w:t>
      </w:r>
      <w:r w:rsidRPr="00D42615">
        <w:rPr>
          <w:rStyle w:val="Refdenotaalpie"/>
          <w:rFonts w:ascii="Verdana" w:hAnsi="Verdana"/>
          <w:sz w:val="14"/>
          <w:szCs w:val="14"/>
          <w:vertAlign w:val="baseline"/>
        </w:rPr>
        <w:t xml:space="preserve">Corte Constitucional. Sentencia T-329 del 19 de septiembre de 2022. Expediente </w:t>
      </w:r>
      <w:bookmarkStart w:id="1" w:name="_Hlk113364075"/>
      <w:r w:rsidRPr="00D42615">
        <w:rPr>
          <w:rStyle w:val="Refdenotaalpie"/>
          <w:rFonts w:ascii="Verdana" w:hAnsi="Verdana"/>
          <w:sz w:val="14"/>
          <w:szCs w:val="14"/>
          <w:vertAlign w:val="baseline"/>
        </w:rPr>
        <w:t>T-8.517.984</w:t>
      </w:r>
      <w:bookmarkEnd w:id="1"/>
      <w:r w:rsidRPr="00D42615">
        <w:rPr>
          <w:rStyle w:val="Refdenotaalpie"/>
          <w:rFonts w:ascii="Verdana" w:hAnsi="Verdana"/>
          <w:sz w:val="14"/>
          <w:szCs w:val="14"/>
          <w:vertAlign w:val="baseline"/>
        </w:rPr>
        <w:t>. Magistrada Ponente: Natalia Ángel Cabo</w:t>
      </w:r>
    </w:p>
    <w:p w14:paraId="26FE8434" w14:textId="77777777" w:rsidR="000A43AA" w:rsidRPr="00D42615" w:rsidRDefault="000A43AA" w:rsidP="00D42615">
      <w:pPr>
        <w:shd w:val="clear" w:color="auto" w:fill="FFFFFF"/>
        <w:spacing w:after="0" w:line="240" w:lineRule="auto"/>
        <w:ind w:right="49" w:firstLine="708"/>
        <w:jc w:val="both"/>
        <w:rPr>
          <w:rStyle w:val="Refdenotaalpie"/>
          <w:rFonts w:ascii="Verdana" w:hAnsi="Verdana"/>
          <w:sz w:val="14"/>
          <w:szCs w:val="14"/>
        </w:rPr>
      </w:pPr>
    </w:p>
  </w:footnote>
  <w:footnote w:id="8">
    <w:p w14:paraId="0D22870D" w14:textId="77777777" w:rsidR="000A43AA" w:rsidRPr="00D42615" w:rsidRDefault="000A43AA" w:rsidP="00D42615">
      <w:pPr>
        <w:shd w:val="clear" w:color="auto" w:fill="FFFFFF"/>
        <w:spacing w:after="0" w:line="240" w:lineRule="auto"/>
        <w:ind w:right="49"/>
        <w:jc w:val="both"/>
        <w:rPr>
          <w:rStyle w:val="Refdenotaalpie"/>
          <w:sz w:val="14"/>
          <w:szCs w:val="14"/>
          <w:vertAlign w:val="baseline"/>
        </w:rPr>
      </w:pPr>
      <w:r w:rsidRPr="00D42615">
        <w:rPr>
          <w:rStyle w:val="Refdenotaalpie"/>
          <w:rFonts w:ascii="Verdana" w:hAnsi="Verdana"/>
          <w:sz w:val="14"/>
          <w:szCs w:val="14"/>
          <w:vertAlign w:val="baseline"/>
        </w:rPr>
        <w:t>Sentencia SU-070 de 2013. Fund. 6. Reiterado en las sentencias SU-040 de 2018 y SU-075 de 2018.</w:t>
      </w:r>
    </w:p>
  </w:footnote>
  <w:footnote w:id="9">
    <w:p w14:paraId="00A3AE21" w14:textId="77777777" w:rsidR="000A43AA" w:rsidRPr="00D42615" w:rsidRDefault="000A43AA" w:rsidP="00D42615">
      <w:pPr>
        <w:shd w:val="clear" w:color="auto" w:fill="FFFFFF"/>
        <w:spacing w:after="0" w:line="240" w:lineRule="auto"/>
        <w:ind w:right="49" w:firstLine="708"/>
        <w:jc w:val="both"/>
        <w:rPr>
          <w:rStyle w:val="Refdenotaalpie"/>
          <w:rFonts w:ascii="Verdana" w:hAnsi="Verdana"/>
          <w:sz w:val="14"/>
          <w:szCs w:val="14"/>
        </w:rPr>
      </w:pPr>
    </w:p>
    <w:p w14:paraId="225BE881" w14:textId="77777777" w:rsidR="000A43AA" w:rsidRPr="00D42615" w:rsidRDefault="000A43AA" w:rsidP="00D42615">
      <w:pPr>
        <w:shd w:val="clear" w:color="auto" w:fill="FFFFFF"/>
        <w:spacing w:after="0" w:line="240" w:lineRule="auto"/>
        <w:ind w:right="49" w:firstLine="708"/>
        <w:jc w:val="both"/>
        <w:rPr>
          <w:rStyle w:val="Refdenotaalpie"/>
          <w:rFonts w:ascii="Verdana" w:hAnsi="Verdana"/>
          <w:sz w:val="14"/>
          <w:szCs w:val="14"/>
          <w:vertAlign w:val="baseline"/>
        </w:rPr>
      </w:pPr>
      <w:r w:rsidRPr="00D42615">
        <w:rPr>
          <w:rStyle w:val="Refdenotaalpie"/>
          <w:rFonts w:ascii="Verdana" w:hAnsi="Verdana"/>
          <w:sz w:val="14"/>
          <w:szCs w:val="14"/>
        </w:rPr>
        <w:footnoteRef/>
      </w:r>
      <w:r w:rsidRPr="00D42615">
        <w:rPr>
          <w:rStyle w:val="Refdenotaalpie"/>
          <w:rFonts w:ascii="Verdana" w:hAnsi="Verdana"/>
          <w:sz w:val="14"/>
          <w:szCs w:val="14"/>
        </w:rPr>
        <w:t xml:space="preserve"> </w:t>
      </w:r>
      <w:r w:rsidRPr="00D42615">
        <w:rPr>
          <w:rStyle w:val="Refdenotaalpie"/>
          <w:rFonts w:ascii="Verdana" w:hAnsi="Verdana"/>
          <w:sz w:val="14"/>
          <w:szCs w:val="14"/>
          <w:vertAlign w:val="baseline"/>
        </w:rPr>
        <w:t>Esta indemnización se ha reconocido en contratos de prestación de servicios, entre otras, en las sentencias T-564 de 2017, T-350 de 2016, 316 de 2016, T-102 de 2016 y T-346 de 2013.</w:t>
      </w:r>
    </w:p>
  </w:footnote>
  <w:footnote w:id="10">
    <w:p w14:paraId="3AF35F67" w14:textId="77777777" w:rsidR="000A43AA" w:rsidRPr="00D42615" w:rsidRDefault="000A43AA" w:rsidP="00D42615">
      <w:pPr>
        <w:shd w:val="clear" w:color="auto" w:fill="FFFFFF"/>
        <w:spacing w:after="0" w:line="240" w:lineRule="auto"/>
        <w:ind w:right="49" w:firstLine="708"/>
        <w:jc w:val="both"/>
        <w:rPr>
          <w:rStyle w:val="Refdenotaalpie"/>
          <w:rFonts w:ascii="Verdana" w:hAnsi="Verdana"/>
          <w:sz w:val="14"/>
          <w:szCs w:val="14"/>
        </w:rPr>
      </w:pPr>
    </w:p>
    <w:p w14:paraId="259FBCC9" w14:textId="77777777" w:rsidR="000A43AA" w:rsidRPr="00D42615" w:rsidRDefault="000A43AA" w:rsidP="00D42615">
      <w:pPr>
        <w:shd w:val="clear" w:color="auto" w:fill="FFFFFF"/>
        <w:spacing w:after="0" w:line="240" w:lineRule="auto"/>
        <w:ind w:right="49" w:firstLine="708"/>
        <w:jc w:val="both"/>
        <w:rPr>
          <w:rStyle w:val="Refdenotaalpie"/>
          <w:rFonts w:ascii="Verdana" w:hAnsi="Verdana"/>
          <w:sz w:val="14"/>
          <w:szCs w:val="14"/>
          <w:vertAlign w:val="baseline"/>
        </w:rPr>
      </w:pPr>
      <w:r w:rsidRPr="00D42615">
        <w:rPr>
          <w:rStyle w:val="Refdenotaalpie"/>
          <w:rFonts w:ascii="Verdana" w:hAnsi="Verdana"/>
          <w:sz w:val="14"/>
          <w:szCs w:val="14"/>
        </w:rPr>
        <w:footnoteRef/>
      </w:r>
      <w:r w:rsidRPr="00D42615">
        <w:rPr>
          <w:rStyle w:val="Refdenotaalpie"/>
          <w:rFonts w:ascii="Verdana" w:hAnsi="Verdana"/>
          <w:sz w:val="14"/>
          <w:szCs w:val="14"/>
        </w:rPr>
        <w:t xml:space="preserve"> </w:t>
      </w:r>
      <w:r w:rsidRPr="00D42615">
        <w:rPr>
          <w:rStyle w:val="Refdenotaalpie"/>
          <w:rFonts w:ascii="Verdana" w:hAnsi="Verdana"/>
          <w:sz w:val="14"/>
          <w:szCs w:val="14"/>
          <w:vertAlign w:val="baseline"/>
        </w:rPr>
        <w:t xml:space="preserve">En las sentencias T-238 de 2015 y T-350 de 2016 la Corte determinó que no procede el pago de la licencia de maternidad cuando en el caso se observe que la licencia de maternidad ya fue disfrutada. </w:t>
      </w:r>
    </w:p>
  </w:footnote>
  <w:footnote w:id="11">
    <w:p w14:paraId="7C1A3C63" w14:textId="77777777" w:rsidR="000A43AA" w:rsidRPr="00D42615" w:rsidRDefault="000A43AA" w:rsidP="00D42615">
      <w:pPr>
        <w:shd w:val="clear" w:color="auto" w:fill="FFFFFF"/>
        <w:spacing w:after="0" w:line="240" w:lineRule="auto"/>
        <w:ind w:right="49" w:firstLine="708"/>
        <w:jc w:val="both"/>
        <w:rPr>
          <w:rStyle w:val="Refdenotaalpie"/>
          <w:rFonts w:ascii="Verdana" w:hAnsi="Verdana"/>
          <w:sz w:val="14"/>
          <w:szCs w:val="14"/>
        </w:rPr>
      </w:pPr>
    </w:p>
    <w:p w14:paraId="158BAC36" w14:textId="77777777" w:rsidR="000A43AA" w:rsidRPr="00D42615" w:rsidRDefault="000A43AA" w:rsidP="00D42615">
      <w:pPr>
        <w:shd w:val="clear" w:color="auto" w:fill="FFFFFF"/>
        <w:spacing w:after="0" w:line="240" w:lineRule="auto"/>
        <w:ind w:right="49" w:firstLine="708"/>
        <w:jc w:val="both"/>
        <w:rPr>
          <w:rStyle w:val="Refdenotaalpie"/>
          <w:rFonts w:ascii="Verdana" w:hAnsi="Verdana"/>
          <w:sz w:val="14"/>
          <w:szCs w:val="14"/>
          <w:vertAlign w:val="baseline"/>
        </w:rPr>
      </w:pPr>
      <w:r w:rsidRPr="00D42615">
        <w:rPr>
          <w:rStyle w:val="Refdenotaalpie"/>
          <w:rFonts w:ascii="Verdana" w:hAnsi="Verdana"/>
          <w:sz w:val="14"/>
          <w:szCs w:val="14"/>
        </w:rPr>
        <w:footnoteRef/>
      </w:r>
      <w:r w:rsidRPr="00D42615">
        <w:rPr>
          <w:rStyle w:val="Refdenotaalpie"/>
          <w:rFonts w:ascii="Verdana" w:hAnsi="Verdana"/>
          <w:sz w:val="14"/>
          <w:szCs w:val="14"/>
        </w:rPr>
        <w:t xml:space="preserve"> </w:t>
      </w:r>
      <w:r w:rsidRPr="00D42615">
        <w:rPr>
          <w:rStyle w:val="Refdenotaalpie"/>
          <w:rFonts w:ascii="Verdana" w:hAnsi="Verdana"/>
          <w:sz w:val="14"/>
          <w:szCs w:val="14"/>
          <w:vertAlign w:val="baseline"/>
        </w:rPr>
        <w:t>Esta media fue aplicada en la Sentencia T-030 de 2018 respecto del caso estudiado bajo el expediente T-6.425.691.</w:t>
      </w:r>
    </w:p>
  </w:footnote>
  <w:footnote w:id="12">
    <w:p w14:paraId="2A5A4C0A" w14:textId="77777777" w:rsidR="000A43AA" w:rsidRPr="00D42615" w:rsidRDefault="000A43AA" w:rsidP="00D42615">
      <w:pPr>
        <w:shd w:val="clear" w:color="auto" w:fill="FFFFFF"/>
        <w:spacing w:after="0" w:line="240" w:lineRule="auto"/>
        <w:ind w:right="49" w:firstLine="708"/>
        <w:jc w:val="both"/>
        <w:rPr>
          <w:rStyle w:val="Refdenotaalpie"/>
          <w:rFonts w:ascii="Verdana" w:hAnsi="Verdana"/>
          <w:sz w:val="14"/>
          <w:szCs w:val="14"/>
          <w:vertAlign w:val="baseline"/>
        </w:rPr>
      </w:pPr>
    </w:p>
    <w:p w14:paraId="6523ECDA" w14:textId="77777777" w:rsidR="000A43AA" w:rsidRDefault="000A43AA" w:rsidP="008968B6">
      <w:pPr>
        <w:shd w:val="clear" w:color="auto" w:fill="FFFFFF"/>
        <w:spacing w:after="0" w:line="240" w:lineRule="auto"/>
        <w:ind w:right="49" w:firstLine="708"/>
        <w:jc w:val="both"/>
        <w:rPr>
          <w:rFonts w:ascii="Verdana" w:hAnsi="Verdana"/>
          <w:sz w:val="14"/>
          <w:szCs w:val="14"/>
        </w:rPr>
      </w:pPr>
      <w:r w:rsidRPr="00D42615">
        <w:rPr>
          <w:rStyle w:val="Refdenotaalpie"/>
          <w:rFonts w:ascii="Verdana" w:hAnsi="Verdana"/>
          <w:sz w:val="14"/>
          <w:szCs w:val="14"/>
        </w:rPr>
        <w:footnoteRef/>
      </w:r>
      <w:r w:rsidRPr="00D42615">
        <w:rPr>
          <w:rStyle w:val="Refdenotaalpie"/>
          <w:rFonts w:ascii="Verdana" w:hAnsi="Verdana"/>
          <w:sz w:val="14"/>
          <w:szCs w:val="14"/>
        </w:rPr>
        <w:t xml:space="preserve"> </w:t>
      </w:r>
      <w:r w:rsidRPr="00D42615">
        <w:rPr>
          <w:rStyle w:val="Refdenotaalpie"/>
          <w:rFonts w:ascii="Verdana" w:hAnsi="Verdana"/>
          <w:sz w:val="14"/>
          <w:szCs w:val="14"/>
          <w:vertAlign w:val="baseline"/>
        </w:rPr>
        <w:t>En algunas oportunidades las salas de revisión han reconocido el pago de las prestaciones en materia de seguridad social en salud. Sentencia T-102 de 2016.</w:t>
      </w:r>
    </w:p>
    <w:p w14:paraId="0DAE794C" w14:textId="77777777" w:rsidR="000A43AA" w:rsidRPr="00D42615" w:rsidRDefault="000A43AA" w:rsidP="004F30C9">
      <w:pPr>
        <w:shd w:val="clear" w:color="auto" w:fill="FFFFFF"/>
        <w:spacing w:after="0" w:line="240" w:lineRule="auto"/>
        <w:ind w:right="49" w:firstLine="708"/>
        <w:jc w:val="both"/>
        <w:rPr>
          <w:rStyle w:val="Refdenotaalpie"/>
          <w:rFonts w:ascii="Verdana" w:hAnsi="Verdana"/>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8B9449D"/>
    <w:multiLevelType w:val="hybridMultilevel"/>
    <w:tmpl w:val="F5EE4B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228268696">
    <w:abstractNumId w:val="10"/>
  </w:num>
  <w:num w:numId="18" w16cid:durableId="195417070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43AA"/>
    <w:rsid w:val="000A683E"/>
    <w:rsid w:val="000B19B9"/>
    <w:rsid w:val="000D0334"/>
    <w:rsid w:val="000D5DA7"/>
    <w:rsid w:val="000F3AA5"/>
    <w:rsid w:val="000F6486"/>
    <w:rsid w:val="00116940"/>
    <w:rsid w:val="00125105"/>
    <w:rsid w:val="00127233"/>
    <w:rsid w:val="00142813"/>
    <w:rsid w:val="0015699B"/>
    <w:rsid w:val="001579D9"/>
    <w:rsid w:val="001622D7"/>
    <w:rsid w:val="00171E21"/>
    <w:rsid w:val="001A33BF"/>
    <w:rsid w:val="001E3C3C"/>
    <w:rsid w:val="001E4177"/>
    <w:rsid w:val="001F0B24"/>
    <w:rsid w:val="001F7DC6"/>
    <w:rsid w:val="002158EA"/>
    <w:rsid w:val="0022400B"/>
    <w:rsid w:val="002421BB"/>
    <w:rsid w:val="0025796E"/>
    <w:rsid w:val="002707A2"/>
    <w:rsid w:val="00294750"/>
    <w:rsid w:val="002951A0"/>
    <w:rsid w:val="002962BC"/>
    <w:rsid w:val="002A093D"/>
    <w:rsid w:val="002A0DD0"/>
    <w:rsid w:val="002A0F5C"/>
    <w:rsid w:val="002A49AC"/>
    <w:rsid w:val="002A64FD"/>
    <w:rsid w:val="002C7A84"/>
    <w:rsid w:val="002E2BF8"/>
    <w:rsid w:val="002E4FD9"/>
    <w:rsid w:val="00300BCD"/>
    <w:rsid w:val="0030657A"/>
    <w:rsid w:val="00306585"/>
    <w:rsid w:val="00322A85"/>
    <w:rsid w:val="00324168"/>
    <w:rsid w:val="00326F29"/>
    <w:rsid w:val="00330834"/>
    <w:rsid w:val="003448F4"/>
    <w:rsid w:val="0036163B"/>
    <w:rsid w:val="00374F5E"/>
    <w:rsid w:val="00377E3E"/>
    <w:rsid w:val="003A779E"/>
    <w:rsid w:val="003D0419"/>
    <w:rsid w:val="003D0F4D"/>
    <w:rsid w:val="003D4425"/>
    <w:rsid w:val="003D5B0D"/>
    <w:rsid w:val="003E0499"/>
    <w:rsid w:val="003E4F80"/>
    <w:rsid w:val="003E6439"/>
    <w:rsid w:val="003F1FC0"/>
    <w:rsid w:val="003F3941"/>
    <w:rsid w:val="00406575"/>
    <w:rsid w:val="00414C74"/>
    <w:rsid w:val="0042722E"/>
    <w:rsid w:val="0044528D"/>
    <w:rsid w:val="00466E39"/>
    <w:rsid w:val="004A1847"/>
    <w:rsid w:val="004A305D"/>
    <w:rsid w:val="004F21C4"/>
    <w:rsid w:val="004F30C9"/>
    <w:rsid w:val="004F685F"/>
    <w:rsid w:val="005566E8"/>
    <w:rsid w:val="00564A9B"/>
    <w:rsid w:val="00574867"/>
    <w:rsid w:val="00591460"/>
    <w:rsid w:val="005A65E0"/>
    <w:rsid w:val="005C3777"/>
    <w:rsid w:val="005C5CDC"/>
    <w:rsid w:val="005D476C"/>
    <w:rsid w:val="006200BF"/>
    <w:rsid w:val="006219F8"/>
    <w:rsid w:val="006302F7"/>
    <w:rsid w:val="0063780E"/>
    <w:rsid w:val="00646B9F"/>
    <w:rsid w:val="00665D70"/>
    <w:rsid w:val="006900D9"/>
    <w:rsid w:val="006D45A1"/>
    <w:rsid w:val="00702851"/>
    <w:rsid w:val="00706C16"/>
    <w:rsid w:val="007340C3"/>
    <w:rsid w:val="0075235A"/>
    <w:rsid w:val="00756841"/>
    <w:rsid w:val="007649AB"/>
    <w:rsid w:val="00771D0C"/>
    <w:rsid w:val="007833AC"/>
    <w:rsid w:val="007B268C"/>
    <w:rsid w:val="007B7171"/>
    <w:rsid w:val="007C0C0F"/>
    <w:rsid w:val="007C3DC2"/>
    <w:rsid w:val="007E353E"/>
    <w:rsid w:val="007E5497"/>
    <w:rsid w:val="007F04B6"/>
    <w:rsid w:val="00806F5F"/>
    <w:rsid w:val="00820278"/>
    <w:rsid w:val="008258C9"/>
    <w:rsid w:val="00844AE9"/>
    <w:rsid w:val="00867F95"/>
    <w:rsid w:val="008843B6"/>
    <w:rsid w:val="00891928"/>
    <w:rsid w:val="00895A7A"/>
    <w:rsid w:val="008968B6"/>
    <w:rsid w:val="008A446D"/>
    <w:rsid w:val="008B25F1"/>
    <w:rsid w:val="008D180B"/>
    <w:rsid w:val="008F0EA7"/>
    <w:rsid w:val="00923EEF"/>
    <w:rsid w:val="009247D6"/>
    <w:rsid w:val="009419F9"/>
    <w:rsid w:val="0095685E"/>
    <w:rsid w:val="00961B09"/>
    <w:rsid w:val="00965334"/>
    <w:rsid w:val="0097093E"/>
    <w:rsid w:val="009A0DFA"/>
    <w:rsid w:val="009A1C6F"/>
    <w:rsid w:val="009B2D26"/>
    <w:rsid w:val="009C71FA"/>
    <w:rsid w:val="009C72E7"/>
    <w:rsid w:val="009C7F7E"/>
    <w:rsid w:val="009D3058"/>
    <w:rsid w:val="009D51BD"/>
    <w:rsid w:val="009E0217"/>
    <w:rsid w:val="009E2208"/>
    <w:rsid w:val="009F3A13"/>
    <w:rsid w:val="00A122D3"/>
    <w:rsid w:val="00A14468"/>
    <w:rsid w:val="00A17F13"/>
    <w:rsid w:val="00A20739"/>
    <w:rsid w:val="00A23AF9"/>
    <w:rsid w:val="00A24F3E"/>
    <w:rsid w:val="00A33C78"/>
    <w:rsid w:val="00A4121A"/>
    <w:rsid w:val="00A948DC"/>
    <w:rsid w:val="00AB0ADB"/>
    <w:rsid w:val="00AF0ECD"/>
    <w:rsid w:val="00AF6D94"/>
    <w:rsid w:val="00B00C0E"/>
    <w:rsid w:val="00B01B1A"/>
    <w:rsid w:val="00B0381D"/>
    <w:rsid w:val="00B44A47"/>
    <w:rsid w:val="00B50E53"/>
    <w:rsid w:val="00B70136"/>
    <w:rsid w:val="00B72CD3"/>
    <w:rsid w:val="00B72FFF"/>
    <w:rsid w:val="00BC3D36"/>
    <w:rsid w:val="00BD54A6"/>
    <w:rsid w:val="00BD7F72"/>
    <w:rsid w:val="00BF7425"/>
    <w:rsid w:val="00C04FB3"/>
    <w:rsid w:val="00C11D8B"/>
    <w:rsid w:val="00C15139"/>
    <w:rsid w:val="00C17F39"/>
    <w:rsid w:val="00C330EB"/>
    <w:rsid w:val="00C50D69"/>
    <w:rsid w:val="00C5365C"/>
    <w:rsid w:val="00C754BE"/>
    <w:rsid w:val="00C76B1C"/>
    <w:rsid w:val="00C925AC"/>
    <w:rsid w:val="00CB6357"/>
    <w:rsid w:val="00CC1B26"/>
    <w:rsid w:val="00D361FD"/>
    <w:rsid w:val="00D37C3B"/>
    <w:rsid w:val="00D423A2"/>
    <w:rsid w:val="00D42615"/>
    <w:rsid w:val="00D44E26"/>
    <w:rsid w:val="00D520D8"/>
    <w:rsid w:val="00D62902"/>
    <w:rsid w:val="00D63AC2"/>
    <w:rsid w:val="00D7383B"/>
    <w:rsid w:val="00D7788A"/>
    <w:rsid w:val="00D90383"/>
    <w:rsid w:val="00D968BF"/>
    <w:rsid w:val="00DA231B"/>
    <w:rsid w:val="00DB6269"/>
    <w:rsid w:val="00DC39FC"/>
    <w:rsid w:val="00DD0E8B"/>
    <w:rsid w:val="00DF5254"/>
    <w:rsid w:val="00E02524"/>
    <w:rsid w:val="00E13BD9"/>
    <w:rsid w:val="00E16408"/>
    <w:rsid w:val="00E20894"/>
    <w:rsid w:val="00E245AB"/>
    <w:rsid w:val="00E24C18"/>
    <w:rsid w:val="00E2764C"/>
    <w:rsid w:val="00E27F2E"/>
    <w:rsid w:val="00E449A0"/>
    <w:rsid w:val="00E50AFE"/>
    <w:rsid w:val="00E52061"/>
    <w:rsid w:val="00E75C92"/>
    <w:rsid w:val="00E771DC"/>
    <w:rsid w:val="00E8772A"/>
    <w:rsid w:val="00E90F6B"/>
    <w:rsid w:val="00E92C27"/>
    <w:rsid w:val="00EA0E3D"/>
    <w:rsid w:val="00EC38A7"/>
    <w:rsid w:val="00ED454F"/>
    <w:rsid w:val="00EE1AA8"/>
    <w:rsid w:val="00EE5C83"/>
    <w:rsid w:val="00F23FEA"/>
    <w:rsid w:val="00F31EDC"/>
    <w:rsid w:val="00F462B3"/>
    <w:rsid w:val="00F52DFF"/>
    <w:rsid w:val="00F5664F"/>
    <w:rsid w:val="00F6483F"/>
    <w:rsid w:val="00F666C4"/>
    <w:rsid w:val="00F76AFC"/>
    <w:rsid w:val="00F9737A"/>
    <w:rsid w:val="00FA47C0"/>
    <w:rsid w:val="00FB5DD1"/>
    <w:rsid w:val="00FC2B5D"/>
    <w:rsid w:val="00FE40A5"/>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A43A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A43AA"/>
    <w:rPr>
      <w:rFonts w:ascii="Geomanist Light" w:hAnsi="Geomanist Light"/>
      <w:lang w:val="es-ES"/>
    </w:rPr>
  </w:style>
  <w:style w:type="character" w:styleId="Textoennegrita">
    <w:name w:val="Strong"/>
    <w:basedOn w:val="Fuentedeprrafopredeter"/>
    <w:uiPriority w:val="22"/>
    <w:qFormat/>
    <w:rsid w:val="000A43AA"/>
    <w:rPr>
      <w:b/>
      <w:bCs/>
    </w:rPr>
  </w:style>
  <w:style w:type="paragraph" w:styleId="Textoindependiente">
    <w:name w:val="Body Text"/>
    <w:basedOn w:val="Normal"/>
    <w:link w:val="TextoindependienteCar"/>
    <w:uiPriority w:val="1"/>
    <w:unhideWhenUsed/>
    <w:qFormat/>
    <w:rsid w:val="000A43AA"/>
    <w:pPr>
      <w:spacing w:after="120"/>
    </w:pPr>
  </w:style>
  <w:style w:type="character" w:customStyle="1" w:styleId="TextoindependienteCar">
    <w:name w:val="Texto independiente Car"/>
    <w:basedOn w:val="Fuentedeprrafopredeter"/>
    <w:link w:val="Textoindependiente"/>
    <w:uiPriority w:val="1"/>
    <w:rsid w:val="000A43AA"/>
  </w:style>
  <w:style w:type="character" w:customStyle="1" w:styleId="NormalWebCar">
    <w:name w:val="Normal (Web) Car"/>
    <w:link w:val="NormalWeb"/>
    <w:uiPriority w:val="99"/>
    <w:rsid w:val="000A43AA"/>
    <w:rPr>
      <w:rFonts w:ascii="Times New Roman" w:eastAsia="Times New Roman" w:hAnsi="Times New Roman" w:cs="Times New Roman"/>
      <w:sz w:val="24"/>
      <w:szCs w:val="24"/>
      <w:lang w:eastAsia="es-CO"/>
    </w:rPr>
  </w:style>
  <w:style w:type="paragraph" w:styleId="Sinespaciado">
    <w:name w:val="No Spacing"/>
    <w:uiPriority w:val="1"/>
    <w:qFormat/>
    <w:rsid w:val="000A43AA"/>
    <w:pPr>
      <w:spacing w:after="0" w:line="240" w:lineRule="auto"/>
      <w:ind w:right="-68"/>
      <w:jc w:val="both"/>
    </w:pPr>
    <w:rPr>
      <w:rFonts w:ascii="Times New Roman" w:eastAsia="Times New Roman" w:hAnsi="Times New Roman" w:cs="Times New Roman"/>
      <w:sz w:val="28"/>
      <w:szCs w:val="28"/>
      <w:lang w:eastAsia="es-ES"/>
    </w:rPr>
  </w:style>
  <w:style w:type="paragraph" w:styleId="Descripcin">
    <w:name w:val="caption"/>
    <w:basedOn w:val="Normal"/>
    <w:next w:val="Normal"/>
    <w:uiPriority w:val="35"/>
    <w:unhideWhenUsed/>
    <w:qFormat/>
    <w:rsid w:val="000A43AA"/>
    <w:pPr>
      <w:spacing w:after="200" w:line="240" w:lineRule="auto"/>
    </w:pPr>
    <w:rPr>
      <w:rFonts w:ascii="Times New Roman" w:eastAsia="Times New Roman" w:hAnsi="Times New Roman" w:cs="Times New Roman"/>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3D6608C-ACC9-4E5F-9E12-4DD996EC29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9d85dbaf-23eb-4e57-a637-93dcacc8b1a1"/>
    <ds:schemaRef ds:uri="http://purl.org/dc/terms/"/>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a6cb9e4b-f1d1-4245-83ec-6cad768d538a"/>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16</Pages>
  <Words>4815</Words>
  <Characters>25953</Characters>
  <Application>Microsoft Office Word</Application>
  <DocSecurity>0</DocSecurity>
  <Lines>576</Lines>
  <Paragraphs>143</Paragraphs>
  <ScaleCrop>false</ScaleCrop>
  <Company/>
  <LinksUpToDate>false</LinksUpToDate>
  <CharactersWithSpaces>30625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2025-11-05T13:50:00Z</dcterms:created>
  <dcterms:modified xsi:type="dcterms:W3CDTF">2025-11-05T13:50:00Z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