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83B32" w14:textId="77777777" w:rsidR="00982AE2" w:rsidRPr="00BB73C5" w:rsidRDefault="00982AE2" w:rsidP="002D5A79">
      <w:pPr>
        <w:spacing w:after="0" w:line="240" w:lineRule="auto"/>
        <w:jc w:val="both"/>
        <w:rPr>
          <w:rFonts w:ascii="Verdana" w:hAnsi="Verdana" w:cs="Arial"/>
          <w:b/>
          <w:lang w:val="es-MX"/>
        </w:rPr>
      </w:pPr>
      <w:bookmarkStart w:id="0" w:name="_Hlk143780582"/>
      <w:r w:rsidRPr="00BB73C5">
        <w:rPr>
          <w:rFonts w:ascii="Verdana" w:hAnsi="Verdana" w:cs="Arial"/>
          <w:b/>
          <w:lang w:val="es-MX"/>
        </w:rPr>
        <w:t xml:space="preserve">INHABILIDADES E INCOMPATIBILIDADES ─ Definición ─ fundamento – clases </w:t>
      </w:r>
    </w:p>
    <w:p w14:paraId="1B63ECD8" w14:textId="77777777" w:rsidR="00982AE2" w:rsidRDefault="00982AE2" w:rsidP="002D5A79">
      <w:pPr>
        <w:spacing w:after="0" w:line="240" w:lineRule="auto"/>
        <w:jc w:val="both"/>
        <w:rPr>
          <w:rFonts w:ascii="Verdana" w:hAnsi="Verdana" w:cs="Arial"/>
          <w:b/>
          <w:lang w:val="es-MX"/>
        </w:rPr>
      </w:pPr>
    </w:p>
    <w:p w14:paraId="6381E1B9" w14:textId="77777777" w:rsidR="00982AE2" w:rsidRPr="00BB73C5" w:rsidRDefault="00982AE2" w:rsidP="002D5A79">
      <w:pPr>
        <w:spacing w:after="0" w:line="240" w:lineRule="auto"/>
        <w:jc w:val="both"/>
        <w:rPr>
          <w:rFonts w:ascii="Verdana" w:hAnsi="Verdana" w:cs="Arial"/>
          <w:sz w:val="20"/>
          <w:lang w:val="es-MX"/>
        </w:rPr>
      </w:pPr>
      <w:r w:rsidRPr="00BB73C5">
        <w:rPr>
          <w:rFonts w:ascii="Verdana" w:hAnsi="Verdana" w:cs="Arial"/>
          <w:sz w:val="20"/>
          <w:lang w:val="es-MX"/>
        </w:rPr>
        <w:t>Las inhabilidades e incompatibilidades pueden enfocarse en varios asuntos: en primer lugar, se encuentran las inhabilidades e incompatibilidades que impiden que u</w:t>
      </w:r>
      <w:proofErr w:type="spellStart"/>
      <w:r w:rsidRPr="00BB73C5">
        <w:rPr>
          <w:rFonts w:ascii="Verdana" w:hAnsi="Verdana" w:cs="Arial"/>
          <w:sz w:val="20"/>
        </w:rPr>
        <w:t>na</w:t>
      </w:r>
      <w:proofErr w:type="spellEnd"/>
      <w:r w:rsidRPr="00BB73C5">
        <w:rPr>
          <w:rFonts w:ascii="Verdana" w:hAnsi="Verdana" w:cs="Arial"/>
          <w:sz w:val="20"/>
        </w:rPr>
        <w:t xml:space="preserve"> persona sea elegida, designada para un cargo público, como también en ciertos eventos impiden que la persona se encuentre vinculada a la función pública continúe en ella; en segundo lugar, se hallan las inhabilidades e incompatibilidades para el ejercicio de una profesión, las cuales se constituyen </w:t>
      </w:r>
      <w:r w:rsidRPr="00BB73C5">
        <w:rPr>
          <w:rFonts w:ascii="Verdana" w:hAnsi="Verdana" w:cs="Arial"/>
          <w:sz w:val="20"/>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contratación públicas que establezca inhabilidades e incompatibilidades para contratar con el Estado. </w:t>
      </w:r>
    </w:p>
    <w:p w14:paraId="08BD6C73" w14:textId="77777777" w:rsidR="00982AE2" w:rsidRPr="00BB73C5" w:rsidRDefault="00982AE2" w:rsidP="002D5A79">
      <w:pPr>
        <w:spacing w:after="0" w:line="240" w:lineRule="auto"/>
        <w:jc w:val="both"/>
        <w:rPr>
          <w:rFonts w:ascii="Verdana" w:hAnsi="Verdana" w:cs="Arial"/>
          <w:b/>
          <w:lang w:val="es-MX"/>
        </w:rPr>
      </w:pPr>
    </w:p>
    <w:p w14:paraId="65F61D04" w14:textId="77777777" w:rsidR="00982AE2" w:rsidRPr="00BB73C5" w:rsidRDefault="00982AE2" w:rsidP="002D5A79">
      <w:pPr>
        <w:spacing w:after="0" w:line="240" w:lineRule="auto"/>
        <w:jc w:val="both"/>
        <w:rPr>
          <w:rFonts w:ascii="Verdana" w:hAnsi="Verdana" w:cs="Arial"/>
          <w:b/>
          <w:lang w:val="es-MX"/>
        </w:rPr>
      </w:pPr>
      <w:r w:rsidRPr="00BB73C5">
        <w:rPr>
          <w:rFonts w:ascii="Verdana" w:hAnsi="Verdana" w:cs="Arial"/>
          <w:b/>
          <w:lang w:val="es-MX"/>
        </w:rPr>
        <w:t xml:space="preserve">INHABILIDADES E INCOMPATIBILIDADES - Finalidad ─ Limitación capacidad contractual </w:t>
      </w:r>
    </w:p>
    <w:p w14:paraId="2DC406DC" w14:textId="77777777" w:rsidR="00982AE2" w:rsidRDefault="00982AE2" w:rsidP="002D5A79">
      <w:pPr>
        <w:spacing w:after="0" w:line="240" w:lineRule="auto"/>
        <w:jc w:val="both"/>
        <w:rPr>
          <w:rFonts w:ascii="Verdana" w:hAnsi="Verdana" w:cs="Arial"/>
          <w:b/>
          <w:lang w:val="es-MX"/>
        </w:rPr>
      </w:pPr>
    </w:p>
    <w:p w14:paraId="5447E8AF" w14:textId="77777777" w:rsidR="00982AE2" w:rsidRPr="00B23D14" w:rsidRDefault="00982AE2" w:rsidP="002D5A79">
      <w:pPr>
        <w:spacing w:after="0" w:line="240" w:lineRule="auto"/>
        <w:jc w:val="both"/>
        <w:rPr>
          <w:rFonts w:ascii="Verdana" w:eastAsia="Calibri" w:hAnsi="Verdana" w:cs="Arial"/>
          <w:sz w:val="20"/>
          <w:lang w:val="es-MX"/>
        </w:rPr>
      </w:pPr>
      <w:r w:rsidRPr="00B23D14">
        <w:rPr>
          <w:rFonts w:ascii="Verdana" w:eastAsia="Calibri" w:hAnsi="Verdana" w:cs="Arial"/>
          <w:sz w:val="20"/>
          <w:lang w:val="es-MX"/>
        </w:rPr>
        <w:t>Para ello, hay que precisar que,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65B65558" w14:textId="77777777" w:rsidR="00982AE2" w:rsidRPr="00BB73C5" w:rsidRDefault="00982AE2" w:rsidP="002D5A79">
      <w:pPr>
        <w:spacing w:after="0" w:line="240" w:lineRule="auto"/>
        <w:jc w:val="both"/>
        <w:rPr>
          <w:rFonts w:ascii="Verdana" w:hAnsi="Verdana" w:cs="Arial"/>
          <w:b/>
          <w:lang w:val="es-MX"/>
        </w:rPr>
      </w:pPr>
    </w:p>
    <w:p w14:paraId="1EF4EDA8" w14:textId="77777777" w:rsidR="00982AE2" w:rsidRPr="00BB73C5" w:rsidRDefault="00982AE2" w:rsidP="002D5A79">
      <w:pPr>
        <w:spacing w:after="0" w:line="240" w:lineRule="auto"/>
        <w:jc w:val="both"/>
        <w:rPr>
          <w:rFonts w:ascii="Verdana" w:hAnsi="Verdana" w:cs="Arial"/>
          <w:b/>
          <w:lang w:val="es-ES_tradnl"/>
        </w:rPr>
      </w:pPr>
      <w:r w:rsidRPr="00BB73C5">
        <w:rPr>
          <w:rFonts w:ascii="Verdana" w:hAnsi="Verdana" w:cs="Arial"/>
          <w:b/>
          <w:lang w:val="es-ES_tradnl"/>
        </w:rPr>
        <w:t>INHABILIDADES – Taxatividad – Principio de legalidad – Interpretación restrictiva</w:t>
      </w:r>
      <w:r w:rsidRPr="00BB73C5" w:rsidDel="00A75E55">
        <w:rPr>
          <w:rFonts w:ascii="Verdana" w:hAnsi="Verdana" w:cs="Arial"/>
          <w:b/>
          <w:lang w:val="es-ES_tradnl"/>
        </w:rPr>
        <w:t xml:space="preserve"> </w:t>
      </w:r>
    </w:p>
    <w:p w14:paraId="354E13F5" w14:textId="77777777" w:rsidR="00982AE2" w:rsidRDefault="00982AE2" w:rsidP="002D5A79">
      <w:pPr>
        <w:spacing w:after="0" w:line="240" w:lineRule="auto"/>
        <w:jc w:val="both"/>
        <w:rPr>
          <w:rFonts w:ascii="Verdana" w:hAnsi="Verdana" w:cs="Arial"/>
          <w:b/>
          <w:lang w:val="es-ES_tradnl"/>
        </w:rPr>
      </w:pPr>
    </w:p>
    <w:p w14:paraId="0F607440" w14:textId="77777777" w:rsidR="00982AE2" w:rsidRDefault="00982AE2" w:rsidP="002D5A79">
      <w:pPr>
        <w:spacing w:after="0" w:line="240" w:lineRule="auto"/>
        <w:jc w:val="both"/>
        <w:rPr>
          <w:rFonts w:ascii="Verdana" w:hAnsi="Verdana" w:cs="Arial"/>
          <w:sz w:val="20"/>
          <w:lang w:val="es-ES_tradnl"/>
        </w:rPr>
      </w:pPr>
      <w:r w:rsidRPr="00B23D14">
        <w:rPr>
          <w:rFonts w:ascii="Verdana" w:hAnsi="Verdana" w:cs="Arial"/>
          <w:sz w:val="20"/>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B23D14">
        <w:rPr>
          <w:rFonts w:ascii="Verdana" w:hAnsi="Verdana" w:cs="Arial"/>
          <w:i/>
          <w:iCs/>
          <w:sz w:val="20"/>
          <w:lang w:val="es-ES_tradnl"/>
        </w:rPr>
        <w:t xml:space="preserve">restrictiva, </w:t>
      </w:r>
      <w:r w:rsidRPr="00B23D14">
        <w:rPr>
          <w:rFonts w:ascii="Verdana" w:hAnsi="Verdana" w:cs="Arial"/>
          <w:sz w:val="20"/>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0258715A" w14:textId="77777777" w:rsidR="00982AE2" w:rsidRPr="00B23D14" w:rsidRDefault="00982AE2" w:rsidP="002D5A79">
      <w:pPr>
        <w:spacing w:after="0" w:line="240" w:lineRule="auto"/>
        <w:jc w:val="both"/>
        <w:rPr>
          <w:rFonts w:ascii="Verdana" w:hAnsi="Verdana" w:cs="Arial"/>
          <w:sz w:val="20"/>
          <w:lang w:val="es-ES_tradnl"/>
        </w:rPr>
      </w:pPr>
    </w:p>
    <w:p w14:paraId="160142B8" w14:textId="77777777" w:rsidR="00982AE2" w:rsidRDefault="00982AE2" w:rsidP="002D5A79">
      <w:pPr>
        <w:spacing w:after="0" w:line="240" w:lineRule="auto"/>
        <w:jc w:val="both"/>
        <w:rPr>
          <w:rFonts w:ascii="Verdana" w:hAnsi="Verdana" w:cs="Arial"/>
          <w:sz w:val="20"/>
          <w:lang w:val="es-ES_tradnl"/>
        </w:rPr>
      </w:pPr>
      <w:r w:rsidRPr="00B23D14">
        <w:rPr>
          <w:rFonts w:ascii="Verdana" w:hAnsi="Verdana" w:cs="Arial"/>
          <w:sz w:val="20"/>
          <w:lang w:val="es-ES_tradnl"/>
        </w:rPr>
        <w:t xml:space="preserve">En efecto, el máximo tribunal constitucional ha indicado, al tratar de precisar el sentido de este tipo de normas, que “[…] el intérprete de las disposiciones legislativas en la materia ha de ceñirse en la mayor medida posible al tenor literal y gramatical de los </w:t>
      </w:r>
      <w:r w:rsidRPr="00B23D14">
        <w:rPr>
          <w:rFonts w:ascii="Verdana" w:hAnsi="Verdana" w:cs="Arial"/>
          <w:sz w:val="20"/>
          <w:lang w:val="es-ES_tradnl"/>
        </w:rPr>
        <w:lastRenderedPageBreak/>
        <w:t>enunciados normativos, sin que pueda acudir prima facie a criterios interpretativos tales como la analogía, la interpretación extensiva para ampliar el alcance de las causales legalmente fijadas”</w:t>
      </w:r>
      <w:r>
        <w:rPr>
          <w:rFonts w:ascii="Verdana" w:hAnsi="Verdana" w:cs="Arial"/>
          <w:sz w:val="20"/>
          <w:lang w:val="es-ES_tradnl"/>
        </w:rPr>
        <w:t>.</w:t>
      </w:r>
    </w:p>
    <w:p w14:paraId="49FA1C96" w14:textId="18DD3064" w:rsidR="00982AE2" w:rsidRDefault="00982AE2" w:rsidP="002D5A79">
      <w:pPr>
        <w:spacing w:after="0" w:line="240" w:lineRule="auto"/>
        <w:jc w:val="both"/>
        <w:rPr>
          <w:rFonts w:ascii="Verdana" w:hAnsi="Verdana"/>
          <w:lang w:val="es-ES_tradnl"/>
        </w:rPr>
      </w:pPr>
    </w:p>
    <w:p w14:paraId="7DF51F38" w14:textId="77777777" w:rsidR="00982AE2" w:rsidRPr="00982AE2" w:rsidRDefault="00982AE2" w:rsidP="002D5A79">
      <w:pPr>
        <w:spacing w:after="0" w:line="240" w:lineRule="auto"/>
        <w:jc w:val="both"/>
        <w:rPr>
          <w:rFonts w:ascii="Verdana" w:hAnsi="Verdana"/>
          <w:b/>
        </w:rPr>
      </w:pPr>
      <w:r w:rsidRPr="00982AE2">
        <w:rPr>
          <w:rFonts w:ascii="Verdana" w:hAnsi="Verdana"/>
          <w:b/>
        </w:rPr>
        <w:t xml:space="preserve">CONTRATO DE PRESTACION DE SERVICIOS – Inhabilidades e incompatibilidades – Arquitectura </w:t>
      </w:r>
    </w:p>
    <w:p w14:paraId="1513F137" w14:textId="77777777" w:rsidR="00982AE2" w:rsidRDefault="00982AE2" w:rsidP="002D5A79">
      <w:pPr>
        <w:spacing w:after="0" w:line="240" w:lineRule="auto"/>
        <w:rPr>
          <w:rFonts w:ascii="Verdana" w:hAnsi="Verdana"/>
        </w:rPr>
      </w:pPr>
    </w:p>
    <w:p w14:paraId="04E8E16D" w14:textId="18D2A23C" w:rsidR="002D5A79" w:rsidRDefault="002D5A79" w:rsidP="002D5A79">
      <w:pPr>
        <w:spacing w:after="0" w:line="240" w:lineRule="auto"/>
        <w:jc w:val="both"/>
        <w:rPr>
          <w:rFonts w:ascii="Verdana" w:hAnsi="Verdana"/>
          <w:sz w:val="20"/>
          <w:lang w:val="es-ES"/>
        </w:rPr>
      </w:pPr>
      <w:r w:rsidRPr="002D5A79">
        <w:rPr>
          <w:rFonts w:ascii="Verdana" w:hAnsi="Verdana"/>
          <w:sz w:val="20"/>
          <w:lang w:val="es-ES"/>
        </w:rPr>
        <w:t xml:space="preserve">En ese sentido, 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 Precisamente, al leer las causales previstas en la Constitución, así como en el artículo 8 de la Ley 80 de 1993 y en otras disposiciones complementarias, no se observa una prohibición para que una misma persona natural preste sus servicios profesionales, a través de contratos distintos y concomitantes. </w:t>
      </w:r>
    </w:p>
    <w:p w14:paraId="63A68FB1" w14:textId="77777777" w:rsidR="002D5A79" w:rsidRPr="002D5A79" w:rsidRDefault="002D5A79" w:rsidP="002D5A79">
      <w:pPr>
        <w:spacing w:after="0" w:line="240" w:lineRule="auto"/>
        <w:jc w:val="both"/>
        <w:rPr>
          <w:rFonts w:ascii="Verdana" w:hAnsi="Verdana"/>
          <w:sz w:val="20"/>
          <w:lang w:val="es-ES"/>
        </w:rPr>
      </w:pPr>
    </w:p>
    <w:p w14:paraId="751CD428" w14:textId="0A2E13F9" w:rsidR="002D5A79" w:rsidRDefault="002D5A79" w:rsidP="002D5A79">
      <w:pPr>
        <w:spacing w:after="0" w:line="240" w:lineRule="auto"/>
        <w:jc w:val="both"/>
        <w:rPr>
          <w:rFonts w:ascii="Verdana" w:hAnsi="Verdana"/>
          <w:bCs/>
          <w:sz w:val="20"/>
        </w:rPr>
      </w:pPr>
      <w:r w:rsidRPr="002D5A79">
        <w:rPr>
          <w:rFonts w:ascii="Verdana" w:hAnsi="Verdana"/>
          <w:sz w:val="20"/>
          <w:lang w:val="es-ES"/>
        </w:rPr>
        <w:t xml:space="preserve">Sin embargo, </w:t>
      </w:r>
      <w:r w:rsidRPr="002D5A79">
        <w:rPr>
          <w:rFonts w:ascii="Verdana" w:hAnsi="Verdana"/>
          <w:sz w:val="20"/>
        </w:rPr>
        <w:t>es pertinente tener en cuenta que el ordenamiento jurídico contempla restricciones sobre aspectos particulares que es importante considerar al momento de analizar una situación como la señalada. Así,</w:t>
      </w:r>
      <w:r w:rsidRPr="002D5A79">
        <w:rPr>
          <w:rFonts w:ascii="Verdana" w:hAnsi="Verdana"/>
          <w:sz w:val="20"/>
          <w:lang w:val="es-ES"/>
        </w:rPr>
        <w:t xml:space="preserve"> la Ley 435 de 1998 “</w:t>
      </w:r>
      <w:r w:rsidRPr="002D5A79">
        <w:rPr>
          <w:rFonts w:ascii="Verdana" w:hAnsi="Verdana"/>
          <w:bCs/>
          <w:sz w:val="20"/>
        </w:rPr>
        <w:t>por la cual se reglamenta el ejercicio de la profesión de Arquitectura y sus profesiones auxiliares, se crea el Consejo Profesional Nacional de Arquitectura y sus profesiones auxiliares, se dicta el Código de Ética Profesional, se establece el Régimen Disciplinario para estas profesiones, se reestructura el Consejo Profesional Nacional de Ingeniería y Arquitectura en Consejo Profesional Nacional de Ingeniería y sus profesiones auxiliares y otras disposiciones”.</w:t>
      </w:r>
    </w:p>
    <w:p w14:paraId="24C0EE62" w14:textId="77777777" w:rsidR="002D5A79" w:rsidRPr="002D5A79" w:rsidRDefault="002D5A79" w:rsidP="002D5A79">
      <w:pPr>
        <w:spacing w:after="0" w:line="240" w:lineRule="auto"/>
        <w:jc w:val="both"/>
        <w:rPr>
          <w:rFonts w:ascii="Verdana" w:hAnsi="Verdana"/>
          <w:bCs/>
          <w:sz w:val="20"/>
        </w:rPr>
      </w:pPr>
    </w:p>
    <w:p w14:paraId="7C3BEC14" w14:textId="39035505" w:rsidR="002D5A79" w:rsidRPr="002D5A79" w:rsidRDefault="002D5A79" w:rsidP="002D5A79">
      <w:pPr>
        <w:spacing w:after="0" w:line="240" w:lineRule="auto"/>
        <w:jc w:val="both"/>
        <w:rPr>
          <w:rFonts w:ascii="Verdana" w:hAnsi="Verdana"/>
          <w:sz w:val="20"/>
        </w:rPr>
      </w:pPr>
      <w:r w:rsidRPr="002D5A79">
        <w:rPr>
          <w:rFonts w:ascii="Verdana" w:hAnsi="Verdana"/>
          <w:bCs/>
          <w:sz w:val="20"/>
        </w:rPr>
        <w:t xml:space="preserve">Dicha Ley </w:t>
      </w:r>
      <w:r w:rsidRPr="002D5A79">
        <w:rPr>
          <w:rFonts w:ascii="Verdana" w:hAnsi="Verdana"/>
          <w:sz w:val="20"/>
          <w:lang w:val="es-ES"/>
        </w:rPr>
        <w:t xml:space="preserve">establece un conjunto de prohibiciones para los profesionales de la arquitectura y sus profesiones auxiliares, algunas de las cuales se aplican en los procedimientos de selección de los contratistas del Estado, se trata de prohibiciones dirigidas a los </w:t>
      </w:r>
      <w:r w:rsidRPr="002D5A79">
        <w:rPr>
          <w:rFonts w:ascii="Verdana" w:hAnsi="Verdana"/>
          <w:i/>
          <w:sz w:val="20"/>
          <w:lang w:val="es-ES"/>
        </w:rPr>
        <w:t>profesionales</w:t>
      </w:r>
      <w:r w:rsidRPr="002D5A79">
        <w:rPr>
          <w:rFonts w:ascii="Verdana" w:hAnsi="Verdana"/>
          <w:sz w:val="20"/>
          <w:lang w:val="es-ES"/>
        </w:rPr>
        <w:t xml:space="preserve">, no necesariamente a los </w:t>
      </w:r>
      <w:r w:rsidRPr="002D5A79">
        <w:rPr>
          <w:rFonts w:ascii="Verdana" w:hAnsi="Verdana"/>
          <w:i/>
          <w:sz w:val="20"/>
          <w:lang w:val="es-ES"/>
        </w:rPr>
        <w:t>proponentes ni a los contratistas</w:t>
      </w:r>
      <w:r w:rsidRPr="002D5A79">
        <w:rPr>
          <w:rFonts w:ascii="Verdana" w:hAnsi="Verdana"/>
          <w:sz w:val="20"/>
          <w:lang w:val="es-ES"/>
        </w:rPr>
        <w:t xml:space="preserve">. </w:t>
      </w:r>
    </w:p>
    <w:p w14:paraId="63185868" w14:textId="7417ED1A" w:rsidR="00982AE2" w:rsidRDefault="00982AE2" w:rsidP="002D5A79">
      <w:pPr>
        <w:spacing w:after="0" w:line="240" w:lineRule="auto"/>
        <w:rPr>
          <w:rFonts w:ascii="Verdana" w:hAnsi="Verdana"/>
        </w:rPr>
      </w:pPr>
    </w:p>
    <w:p w14:paraId="56643083" w14:textId="1E2A9810" w:rsidR="00982AE2" w:rsidRPr="00982AE2" w:rsidRDefault="00982AE2" w:rsidP="002D5A79">
      <w:pPr>
        <w:spacing w:after="0" w:line="240" w:lineRule="auto"/>
        <w:rPr>
          <w:rFonts w:ascii="Verdana" w:hAnsi="Verdana"/>
          <w:lang w:val="es-MX"/>
        </w:rPr>
      </w:pPr>
      <w:r w:rsidRPr="00982AE2">
        <w:rPr>
          <w:rFonts w:ascii="Verdana" w:hAnsi="Verdana"/>
          <w:b/>
        </w:rPr>
        <w:t>CONFLICTO DE INTERÉS – Verificación</w:t>
      </w:r>
      <w:r w:rsidRPr="00982AE2">
        <w:rPr>
          <w:rFonts w:ascii="Verdana" w:hAnsi="Verdana"/>
        </w:rPr>
        <w:t>.</w:t>
      </w:r>
    </w:p>
    <w:p w14:paraId="78962F63" w14:textId="6C5E86AF" w:rsidR="00982AE2" w:rsidRPr="002D5A79" w:rsidRDefault="00982AE2" w:rsidP="002D5A79">
      <w:pPr>
        <w:spacing w:after="0" w:line="240" w:lineRule="auto"/>
        <w:jc w:val="both"/>
        <w:rPr>
          <w:rFonts w:ascii="Verdana" w:hAnsi="Verdana"/>
          <w:sz w:val="20"/>
          <w:lang w:val="es-MX"/>
        </w:rPr>
      </w:pPr>
    </w:p>
    <w:p w14:paraId="68D19867" w14:textId="77777777" w:rsidR="002D5A79" w:rsidRPr="002D5A79" w:rsidRDefault="002D5A79" w:rsidP="002D5A79">
      <w:pPr>
        <w:spacing w:after="0" w:line="240" w:lineRule="auto"/>
        <w:jc w:val="both"/>
        <w:rPr>
          <w:rFonts w:ascii="Verdana" w:hAnsi="Verdana"/>
          <w:sz w:val="20"/>
        </w:rPr>
      </w:pPr>
      <w:r w:rsidRPr="002D5A79">
        <w:rPr>
          <w:rFonts w:ascii="Verdana" w:hAnsi="Verdana"/>
          <w:sz w:val="20"/>
        </w:rPr>
        <w:t xml:space="preserve">Adicionalmente, es fundamental analizar cada caso de manera individual para descartar posibles conflictos de interés, entendidos como situaciones en las que los intereses personales de una persona puedan entrar en contradicción con sus deberes profesionales. En este contexto, resulta especialmente relevante revisar los casos de arquitectos contratistas por prestación de servicios profesionales que, además de cumplir funciones en una dependencia de una entidad pública, ejercen su actividad como independientes y radican licencias de construcción ante otra dependencia de la misma entidad. En este contexto, es indispensable que se analice la ocurrencia de potenciales conflictos de interés de cara a una posible vulneración de la transparencia, imparcialidad, y moralidad administrativa. </w:t>
      </w:r>
    </w:p>
    <w:p w14:paraId="0161E695" w14:textId="6294F1CE" w:rsidR="00982AE2" w:rsidRPr="002D5A79" w:rsidRDefault="00982AE2" w:rsidP="00502A4C">
      <w:pPr>
        <w:spacing w:after="0"/>
        <w:rPr>
          <w:rFonts w:ascii="Verdana" w:hAnsi="Verdana"/>
        </w:rPr>
      </w:pPr>
    </w:p>
    <w:p w14:paraId="070D6479" w14:textId="77777777" w:rsidR="00982AE2" w:rsidRDefault="00982AE2" w:rsidP="00502A4C">
      <w:pPr>
        <w:spacing w:after="0"/>
        <w:rPr>
          <w:rFonts w:ascii="Verdana" w:hAnsi="Verdana"/>
          <w:lang w:val="es-ES_tradnl"/>
        </w:rPr>
      </w:pPr>
    </w:p>
    <w:p w14:paraId="4474A198" w14:textId="000082A5" w:rsidR="00502A4C" w:rsidRPr="0044528D" w:rsidRDefault="00982AE2" w:rsidP="00502A4C">
      <w:pPr>
        <w:spacing w:after="0"/>
        <w:rPr>
          <w:rFonts w:ascii="Verdana" w:hAnsi="Verdana"/>
        </w:rPr>
      </w:pPr>
      <w:r w:rsidRPr="00982AE2">
        <w:rPr>
          <w:rFonts w:ascii="Verdana" w:eastAsia="Calibri" w:hAnsi="Verdana" w:cs="Times New Roman"/>
          <w:b/>
          <w:noProof/>
          <w:lang w:val="en-US"/>
        </w:rPr>
        <w:lastRenderedPageBreak/>
        <w:drawing>
          <wp:anchor distT="0" distB="0" distL="114300" distR="114300" simplePos="0" relativeHeight="251658240" behindDoc="0" locked="0" layoutInCell="1" allowOverlap="1" wp14:anchorId="6712C0FA" wp14:editId="53204EE7">
            <wp:simplePos x="0" y="0"/>
            <wp:positionH relativeFrom="margin">
              <wp:align>right</wp:align>
            </wp:positionH>
            <wp:positionV relativeFrom="paragraph">
              <wp:posOffset>7620</wp:posOffset>
            </wp:positionV>
            <wp:extent cx="2619375" cy="770255"/>
            <wp:effectExtent l="0" t="0" r="952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19375" cy="7702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02A4C" w:rsidRPr="0044528D">
        <w:rPr>
          <w:rFonts w:ascii="Verdana" w:hAnsi="Verdana"/>
        </w:rPr>
        <w:t>Bogotá D.C.,</w:t>
      </w:r>
      <w:r w:rsidR="00502A4C" w:rsidRPr="0044528D">
        <w:rPr>
          <w:rFonts w:ascii="Verdana" w:hAnsi="Verdana"/>
        </w:rPr>
        <w:tab/>
      </w:r>
      <w:r w:rsidR="002D5A79">
        <w:rPr>
          <w:rFonts w:ascii="Verdana" w:hAnsi="Verdana"/>
        </w:rPr>
        <w:t xml:space="preserve"> 30 de octubre de 2025</w:t>
      </w:r>
    </w:p>
    <w:p w14:paraId="4968125E" w14:textId="32732A06" w:rsidR="00502A4C" w:rsidRPr="008D01FC" w:rsidRDefault="00502A4C" w:rsidP="00502A4C">
      <w:pPr>
        <w:spacing w:after="0"/>
        <w:rPr>
          <w:rFonts w:ascii="Verdana" w:hAnsi="Verdana"/>
        </w:rPr>
      </w:pPr>
    </w:p>
    <w:p w14:paraId="38958B4C" w14:textId="3935615A" w:rsidR="00502A4C" w:rsidRPr="0060163E" w:rsidRDefault="00502A4C" w:rsidP="00502A4C">
      <w:pPr>
        <w:spacing w:after="0"/>
        <w:rPr>
          <w:rFonts w:ascii="Verdana" w:hAnsi="Verdana"/>
        </w:rPr>
      </w:pPr>
    </w:p>
    <w:p w14:paraId="5C0DB2B5" w14:textId="4E324E06" w:rsidR="00502A4C" w:rsidRPr="0060163E" w:rsidRDefault="00502A4C" w:rsidP="00502A4C">
      <w:pPr>
        <w:spacing w:after="0" w:line="240" w:lineRule="auto"/>
        <w:rPr>
          <w:rFonts w:ascii="Verdana" w:eastAsia="Calibri" w:hAnsi="Verdana" w:cs="Times New Roman"/>
          <w:lang w:val="es-MX"/>
        </w:rPr>
      </w:pPr>
      <w:r w:rsidRPr="0060163E">
        <w:rPr>
          <w:rFonts w:ascii="Verdana" w:eastAsia="Calibri" w:hAnsi="Verdana" w:cs="Times New Roman"/>
          <w:lang w:val="es-MX"/>
        </w:rPr>
        <w:t>Señor</w:t>
      </w:r>
      <w:r w:rsidR="002821E7">
        <w:rPr>
          <w:rFonts w:ascii="Verdana" w:eastAsia="Calibri" w:hAnsi="Verdana" w:cs="Times New Roman"/>
          <w:lang w:val="es-MX"/>
        </w:rPr>
        <w:t>a</w:t>
      </w:r>
    </w:p>
    <w:p w14:paraId="148DAA44" w14:textId="24102454" w:rsidR="00502A4C" w:rsidRPr="008D2C61" w:rsidRDefault="002821E7" w:rsidP="00502A4C">
      <w:pPr>
        <w:spacing w:after="0" w:line="240" w:lineRule="auto"/>
        <w:rPr>
          <w:rFonts w:ascii="Verdana" w:eastAsia="Calibri" w:hAnsi="Verdana" w:cs="Times New Roman"/>
          <w:b/>
        </w:rPr>
      </w:pPr>
      <w:r>
        <w:rPr>
          <w:rFonts w:ascii="Verdana" w:eastAsia="Calibri" w:hAnsi="Verdana" w:cs="Times New Roman"/>
          <w:b/>
        </w:rPr>
        <w:t>Linda Isabel Muñoz Tirado</w:t>
      </w:r>
    </w:p>
    <w:p w14:paraId="19C9A462" w14:textId="7631BAA8" w:rsidR="00502A4C" w:rsidRPr="008D2C61" w:rsidRDefault="001D7DBF" w:rsidP="00502A4C">
      <w:pPr>
        <w:spacing w:after="0" w:line="240" w:lineRule="auto"/>
        <w:rPr>
          <w:rFonts w:ascii="Verdana" w:eastAsia="Calibri" w:hAnsi="Verdana" w:cs="Times New Roman"/>
        </w:rPr>
      </w:pPr>
      <w:hyperlink r:id="rId12" w:history="1">
        <w:r w:rsidR="002821E7" w:rsidRPr="00485E99">
          <w:rPr>
            <w:rStyle w:val="Hipervnculo"/>
          </w:rPr>
          <w:t>linda.munoz889@gmail.com</w:t>
        </w:r>
      </w:hyperlink>
      <w:r w:rsidR="002821E7">
        <w:rPr>
          <w:rFonts w:ascii="Verdana" w:eastAsia="Calibri" w:hAnsi="Verdana" w:cs="Times New Roman"/>
        </w:rPr>
        <w:t xml:space="preserve"> </w:t>
      </w:r>
    </w:p>
    <w:p w14:paraId="67B4077C" w14:textId="493485D6" w:rsidR="00502A4C" w:rsidRPr="0060163E" w:rsidRDefault="002821E7" w:rsidP="00502A4C">
      <w:pPr>
        <w:spacing w:after="0" w:line="240" w:lineRule="auto"/>
        <w:rPr>
          <w:rFonts w:ascii="Verdana" w:eastAsia="Calibri" w:hAnsi="Verdana" w:cs="Times New Roman"/>
        </w:rPr>
      </w:pPr>
      <w:r>
        <w:rPr>
          <w:rFonts w:ascii="Verdana" w:eastAsia="Calibri" w:hAnsi="Verdana" w:cs="Times New Roman"/>
        </w:rPr>
        <w:t xml:space="preserve">Bogotá D.C. </w:t>
      </w:r>
      <w:r w:rsidR="00502A4C" w:rsidRPr="0060163E">
        <w:rPr>
          <w:rFonts w:ascii="Verdana" w:eastAsia="Calibri" w:hAnsi="Verdana" w:cs="Times New Roman"/>
        </w:rPr>
        <w:t xml:space="preserve"> </w:t>
      </w:r>
    </w:p>
    <w:p w14:paraId="00900F9F" w14:textId="77777777" w:rsidR="00502A4C" w:rsidRPr="0060163E" w:rsidRDefault="00502A4C" w:rsidP="00502A4C">
      <w:pPr>
        <w:spacing w:after="0" w:line="240" w:lineRule="auto"/>
        <w:rPr>
          <w:rFonts w:ascii="Verdana" w:eastAsia="Calibri" w:hAnsi="Verdana" w:cs="Times New Roman"/>
        </w:rPr>
      </w:pPr>
    </w:p>
    <w:p w14:paraId="31B3E5A2" w14:textId="77777777" w:rsidR="00502A4C" w:rsidRPr="0060163E" w:rsidRDefault="00502A4C" w:rsidP="00502A4C">
      <w:pPr>
        <w:spacing w:after="0" w:line="240" w:lineRule="auto"/>
        <w:rPr>
          <w:rFonts w:ascii="Verdana" w:eastAsia="Calibri" w:hAnsi="Verdana" w:cs="Times New Roman"/>
        </w:rPr>
      </w:pPr>
    </w:p>
    <w:p w14:paraId="5D7D4B65" w14:textId="23C43CD4" w:rsidR="00502A4C" w:rsidRPr="0060163E" w:rsidRDefault="00502A4C" w:rsidP="00502A4C">
      <w:pPr>
        <w:spacing w:after="0" w:line="240" w:lineRule="auto"/>
        <w:rPr>
          <w:rFonts w:ascii="Verdana" w:eastAsia="Calibri" w:hAnsi="Verdana" w:cs="Times New Roman"/>
          <w:b/>
          <w:bCs/>
          <w:lang w:val="es-ES"/>
        </w:rPr>
      </w:pPr>
      <w:r w:rsidRPr="0060163E">
        <w:rPr>
          <w:rFonts w:ascii="Verdana" w:eastAsia="Calibri" w:hAnsi="Verdana" w:cs="Times New Roman"/>
          <w:b/>
          <w:bCs/>
        </w:rPr>
        <w:t xml:space="preserve">                                    </w:t>
      </w:r>
      <w:r w:rsidR="002821E7">
        <w:rPr>
          <w:rFonts w:ascii="Verdana" w:eastAsia="Calibri" w:hAnsi="Verdana" w:cs="Times New Roman"/>
          <w:b/>
          <w:bCs/>
          <w:lang w:val="es-ES"/>
        </w:rPr>
        <w:t>Concepto C– 1388</w:t>
      </w:r>
      <w:r w:rsidRPr="0060163E">
        <w:rPr>
          <w:rFonts w:ascii="Verdana" w:eastAsia="Calibri" w:hAnsi="Verdana" w:cs="Times New Roman"/>
          <w:b/>
          <w:bCs/>
          <w:lang w:val="es-ES"/>
        </w:rPr>
        <w:t xml:space="preserve"> de 2025</w:t>
      </w:r>
    </w:p>
    <w:p w14:paraId="2AC25B57" w14:textId="77777777" w:rsidR="00502A4C" w:rsidRPr="0060163E" w:rsidRDefault="00502A4C" w:rsidP="00502A4C">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502A4C" w:rsidRPr="0060163E" w14:paraId="0DDCE1E8" w14:textId="77777777" w:rsidTr="00243BD6">
        <w:trPr>
          <w:trHeight w:val="884"/>
        </w:trPr>
        <w:tc>
          <w:tcPr>
            <w:tcW w:w="2685" w:type="dxa"/>
            <w:hideMark/>
          </w:tcPr>
          <w:p w14:paraId="7D36DB23" w14:textId="77777777" w:rsidR="00502A4C" w:rsidRPr="0060163E" w:rsidRDefault="00502A4C" w:rsidP="00BD2C98">
            <w:pPr>
              <w:rPr>
                <w:rFonts w:ascii="Verdana" w:hAnsi="Verdana"/>
                <w:b/>
                <w:bCs/>
                <w:lang w:val="es-ES_tradnl"/>
              </w:rPr>
            </w:pPr>
            <w:r w:rsidRPr="0060163E">
              <w:rPr>
                <w:rFonts w:ascii="Verdana" w:hAnsi="Verdana"/>
                <w:b/>
                <w:bCs/>
                <w:lang w:val="es-ES_tradnl"/>
              </w:rPr>
              <w:t xml:space="preserve">Temas:                   </w:t>
            </w:r>
          </w:p>
        </w:tc>
        <w:tc>
          <w:tcPr>
            <w:tcW w:w="6241" w:type="dxa"/>
            <w:hideMark/>
          </w:tcPr>
          <w:p w14:paraId="3C81D94F" w14:textId="57C15D0B" w:rsidR="00502A4C" w:rsidRPr="006D2BEC" w:rsidRDefault="00502A4C" w:rsidP="00BD2C98">
            <w:pPr>
              <w:spacing w:line="276" w:lineRule="auto"/>
              <w:jc w:val="both"/>
              <w:rPr>
                <w:rFonts w:ascii="Verdana" w:hAnsi="Verdana" w:cs="Arial"/>
                <w:lang w:val="es-MX"/>
              </w:rPr>
            </w:pPr>
            <w:r w:rsidRPr="006D2BEC">
              <w:rPr>
                <w:rFonts w:ascii="Verdana" w:hAnsi="Verdana" w:cs="Arial"/>
                <w:lang w:val="es-MX"/>
              </w:rPr>
              <w:t xml:space="preserve">INHABILIDADES E INCOMPATIBILIDADES ─ Definición ─ fundamento – clases / INHABILIDADES E INCOMPATIBILIDADES - Finalidad ─ Limitación capacidad contractual </w:t>
            </w:r>
            <w:r w:rsidRPr="006D2BEC">
              <w:rPr>
                <w:rFonts w:ascii="Verdana" w:hAnsi="Verdana" w:cs="Arial"/>
                <w:lang w:val="es-ES_tradnl"/>
              </w:rPr>
              <w:t>/ INHABILIDADES – Taxatividad – Principio de legalidad – Interpretación restrictiva</w:t>
            </w:r>
            <w:r w:rsidRPr="006D2BEC" w:rsidDel="00A75E55">
              <w:rPr>
                <w:rFonts w:ascii="Verdana" w:hAnsi="Verdana" w:cs="Arial"/>
                <w:lang w:val="es-ES_tradnl"/>
              </w:rPr>
              <w:t xml:space="preserve"> </w:t>
            </w:r>
            <w:r w:rsidRPr="006D2BEC">
              <w:rPr>
                <w:rFonts w:ascii="Verdana" w:hAnsi="Verdana" w:cs="Arial"/>
                <w:lang w:val="es-ES_tradnl"/>
              </w:rPr>
              <w:t xml:space="preserve">/ </w:t>
            </w:r>
            <w:r w:rsidR="002821E7" w:rsidRPr="002821E7">
              <w:rPr>
                <w:rFonts w:ascii="Verdana" w:hAnsi="Verdana" w:cs="Arial"/>
              </w:rPr>
              <w:t xml:space="preserve">CONTRATO DE PRESTACION DE SERVICIOS – Inhabilidades e incompatibilidades </w:t>
            </w:r>
            <w:r w:rsidR="002821E7">
              <w:rPr>
                <w:rFonts w:ascii="Verdana" w:hAnsi="Verdana" w:cs="Arial"/>
              </w:rPr>
              <w:t>– Arquitectura / CONF</w:t>
            </w:r>
            <w:r w:rsidR="002821E7" w:rsidRPr="002821E7">
              <w:rPr>
                <w:rFonts w:ascii="Verdana" w:hAnsi="Verdana" w:cs="Arial"/>
              </w:rPr>
              <w:t>L</w:t>
            </w:r>
            <w:r w:rsidR="002821E7">
              <w:rPr>
                <w:rFonts w:ascii="Verdana" w:hAnsi="Verdana" w:cs="Arial"/>
              </w:rPr>
              <w:t>ICTO DE INTERÉS – Verificación.</w:t>
            </w:r>
          </w:p>
          <w:p w14:paraId="5C7A6E75" w14:textId="77777777" w:rsidR="00502A4C" w:rsidRPr="006D2BEC" w:rsidRDefault="00502A4C" w:rsidP="00BD2C98">
            <w:pPr>
              <w:jc w:val="both"/>
              <w:rPr>
                <w:rFonts w:ascii="Verdana" w:hAnsi="Verdana" w:cs="Arial"/>
                <w:lang w:val="es-ES_tradnl"/>
              </w:rPr>
            </w:pPr>
          </w:p>
        </w:tc>
        <w:tc>
          <w:tcPr>
            <w:tcW w:w="6237" w:type="dxa"/>
          </w:tcPr>
          <w:p w14:paraId="5FEC78A3" w14:textId="77777777" w:rsidR="00502A4C" w:rsidRPr="006D2BEC" w:rsidRDefault="00502A4C" w:rsidP="00BD2C98">
            <w:pPr>
              <w:rPr>
                <w:rFonts w:ascii="Verdana" w:hAnsi="Verdana"/>
              </w:rPr>
            </w:pPr>
          </w:p>
        </w:tc>
      </w:tr>
      <w:tr w:rsidR="00502A4C" w:rsidRPr="0060163E" w14:paraId="15D84E01" w14:textId="77777777" w:rsidTr="00243BD6">
        <w:tc>
          <w:tcPr>
            <w:tcW w:w="2685" w:type="dxa"/>
          </w:tcPr>
          <w:p w14:paraId="6DD328D7" w14:textId="77777777" w:rsidR="00502A4C" w:rsidRPr="0060163E" w:rsidRDefault="00502A4C" w:rsidP="00BD2C98">
            <w:pPr>
              <w:rPr>
                <w:rFonts w:ascii="Verdana" w:hAnsi="Verdana"/>
                <w:lang w:val="es-ES_tradnl"/>
              </w:rPr>
            </w:pPr>
          </w:p>
          <w:p w14:paraId="58D2BCB6" w14:textId="77777777" w:rsidR="00502A4C" w:rsidRPr="0060163E" w:rsidRDefault="00502A4C" w:rsidP="00BD2C98">
            <w:pPr>
              <w:rPr>
                <w:rFonts w:ascii="Verdana" w:hAnsi="Verdana"/>
                <w:b/>
                <w:bCs/>
                <w:lang w:val="es-ES_tradnl"/>
              </w:rPr>
            </w:pPr>
            <w:r w:rsidRPr="0060163E">
              <w:rPr>
                <w:rFonts w:ascii="Verdana" w:hAnsi="Verdana"/>
                <w:b/>
                <w:bCs/>
                <w:lang w:val="es-ES_tradnl"/>
              </w:rPr>
              <w:t xml:space="preserve">Radicación:               </w:t>
            </w:r>
          </w:p>
        </w:tc>
        <w:tc>
          <w:tcPr>
            <w:tcW w:w="6241" w:type="dxa"/>
          </w:tcPr>
          <w:p w14:paraId="279E6EA8" w14:textId="77777777" w:rsidR="00502A4C" w:rsidRPr="0060163E" w:rsidRDefault="00502A4C" w:rsidP="00BD2C98">
            <w:pPr>
              <w:jc w:val="both"/>
              <w:rPr>
                <w:rFonts w:ascii="Verdana" w:hAnsi="Verdana"/>
                <w:lang w:val="es-ES_tradnl"/>
              </w:rPr>
            </w:pPr>
          </w:p>
          <w:p w14:paraId="0407E306" w14:textId="1D8FF25C" w:rsidR="00502A4C" w:rsidRPr="0060163E" w:rsidRDefault="00502A4C" w:rsidP="00BD2C98">
            <w:pPr>
              <w:jc w:val="both"/>
              <w:rPr>
                <w:rFonts w:ascii="Verdana" w:hAnsi="Verdana"/>
                <w:lang w:val="es-ES_tradnl"/>
              </w:rPr>
            </w:pPr>
            <w:r w:rsidRPr="0060163E">
              <w:rPr>
                <w:rFonts w:ascii="Verdana" w:hAnsi="Verdana"/>
                <w:lang w:val="es-ES_tradnl"/>
              </w:rPr>
              <w:t>Respue</w:t>
            </w:r>
            <w:r>
              <w:rPr>
                <w:rFonts w:ascii="Verdana" w:hAnsi="Verdana"/>
                <w:lang w:val="es-ES_tradnl"/>
              </w:rPr>
              <w:t xml:space="preserve">sta a consulta con radicado </w:t>
            </w:r>
            <w:r w:rsidR="008211D2" w:rsidRPr="008211D2">
              <w:rPr>
                <w:rFonts w:ascii="Verdana" w:hAnsi="Verdana"/>
              </w:rPr>
              <w:t>1_2025_09_25_010633</w:t>
            </w:r>
          </w:p>
          <w:p w14:paraId="3D9D154D" w14:textId="77777777" w:rsidR="00502A4C" w:rsidRPr="0060163E" w:rsidRDefault="00502A4C" w:rsidP="00BD2C98">
            <w:pPr>
              <w:jc w:val="both"/>
              <w:rPr>
                <w:rFonts w:ascii="Verdana" w:hAnsi="Verdana"/>
              </w:rPr>
            </w:pPr>
          </w:p>
        </w:tc>
        <w:tc>
          <w:tcPr>
            <w:tcW w:w="6237" w:type="dxa"/>
          </w:tcPr>
          <w:p w14:paraId="4E4706AF" w14:textId="77777777" w:rsidR="00502A4C" w:rsidRPr="0060163E" w:rsidRDefault="00502A4C" w:rsidP="00BD2C98">
            <w:pPr>
              <w:rPr>
                <w:rFonts w:ascii="Verdana" w:hAnsi="Verdana"/>
                <w:lang w:val="es-ES_tradnl"/>
              </w:rPr>
            </w:pPr>
          </w:p>
        </w:tc>
      </w:tr>
      <w:tr w:rsidR="00502A4C" w:rsidRPr="0060163E" w14:paraId="2400B23B" w14:textId="77777777" w:rsidTr="00243BD6">
        <w:tc>
          <w:tcPr>
            <w:tcW w:w="2685" w:type="dxa"/>
          </w:tcPr>
          <w:p w14:paraId="26353B74" w14:textId="77777777" w:rsidR="00502A4C" w:rsidRPr="0060163E" w:rsidRDefault="00502A4C" w:rsidP="00BD2C98">
            <w:pPr>
              <w:rPr>
                <w:rFonts w:ascii="Verdana" w:hAnsi="Verdana"/>
                <w:lang w:val="es-ES_tradnl"/>
              </w:rPr>
            </w:pPr>
          </w:p>
        </w:tc>
        <w:tc>
          <w:tcPr>
            <w:tcW w:w="6241" w:type="dxa"/>
          </w:tcPr>
          <w:p w14:paraId="6336A8BB" w14:textId="77777777" w:rsidR="00502A4C" w:rsidRPr="0060163E" w:rsidRDefault="00502A4C" w:rsidP="00BD2C98">
            <w:pPr>
              <w:jc w:val="both"/>
              <w:rPr>
                <w:rFonts w:ascii="Verdana" w:hAnsi="Verdana"/>
                <w:lang w:val="es-ES_tradnl"/>
              </w:rPr>
            </w:pPr>
          </w:p>
        </w:tc>
        <w:tc>
          <w:tcPr>
            <w:tcW w:w="6237" w:type="dxa"/>
          </w:tcPr>
          <w:p w14:paraId="42F3F4BC" w14:textId="77777777" w:rsidR="00502A4C" w:rsidRPr="0060163E" w:rsidRDefault="00502A4C" w:rsidP="00BD2C98">
            <w:pPr>
              <w:rPr>
                <w:rFonts w:ascii="Verdana" w:hAnsi="Verdana"/>
                <w:lang w:val="es-ES_tradnl"/>
              </w:rPr>
            </w:pPr>
          </w:p>
        </w:tc>
      </w:tr>
    </w:tbl>
    <w:p w14:paraId="49C2446B" w14:textId="6338A3B2" w:rsidR="00502A4C" w:rsidRPr="0060163E" w:rsidRDefault="002821E7" w:rsidP="00502A4C">
      <w:pPr>
        <w:spacing w:after="0" w:line="256" w:lineRule="auto"/>
        <w:rPr>
          <w:rFonts w:ascii="Verdana" w:eastAsia="Calibri" w:hAnsi="Verdana" w:cs="Times New Roman"/>
          <w:lang w:val="es-ES"/>
        </w:rPr>
      </w:pPr>
      <w:r>
        <w:rPr>
          <w:rFonts w:ascii="Verdana" w:eastAsia="Calibri" w:hAnsi="Verdana" w:cs="Times New Roman"/>
          <w:lang w:val="es-ES"/>
        </w:rPr>
        <w:t>Estimada Señora Muñoz</w:t>
      </w:r>
      <w:r w:rsidR="00502A4C" w:rsidRPr="0060163E">
        <w:rPr>
          <w:rFonts w:ascii="Verdana" w:eastAsia="Calibri" w:hAnsi="Verdana" w:cs="Times New Roman"/>
          <w:lang w:val="es-ES"/>
        </w:rPr>
        <w:t xml:space="preserve">: </w:t>
      </w:r>
    </w:p>
    <w:p w14:paraId="3CC7A58C" w14:textId="77777777" w:rsidR="00502A4C" w:rsidRPr="0060163E" w:rsidRDefault="00502A4C" w:rsidP="00502A4C">
      <w:pPr>
        <w:spacing w:after="0" w:line="276" w:lineRule="auto"/>
        <w:rPr>
          <w:rFonts w:ascii="Verdana" w:eastAsia="Calibri" w:hAnsi="Verdana" w:cs="Times New Roman"/>
          <w:lang w:val="es-ES"/>
        </w:rPr>
      </w:pPr>
    </w:p>
    <w:p w14:paraId="5B266CA5" w14:textId="5EFE2BE6" w:rsidR="008211D2" w:rsidRPr="008211D2" w:rsidRDefault="008211D2" w:rsidP="008211D2">
      <w:pPr>
        <w:spacing w:after="0" w:line="276" w:lineRule="auto"/>
        <w:jc w:val="both"/>
        <w:rPr>
          <w:rFonts w:ascii="Verdana" w:eastAsia="Calibri" w:hAnsi="Verdana" w:cs="Times New Roman"/>
          <w:bCs/>
          <w:lang w:val="es-ES" w:bidi="es-ES"/>
        </w:rPr>
      </w:pPr>
      <w:r w:rsidRPr="008211D2">
        <w:rPr>
          <w:rFonts w:ascii="Verdana" w:eastAsia="Calibri" w:hAnsi="Verdana" w:cs="Times New Roman"/>
          <w:bCs/>
          <w:lang w:val="es-ES" w:bidi="es-ES"/>
        </w:rPr>
        <w:t xml:space="preserve">En ejercicio de la competencia otorgada por los artículos 3, numeral 5º, y 11, numeral 8º, del Decreto Ley 4170 de 2011, </w:t>
      </w:r>
      <w:r w:rsidRPr="008211D2">
        <w:rPr>
          <w:rFonts w:ascii="Verdana" w:eastAsia="Calibri" w:hAnsi="Verdana" w:cs="Times New Roman"/>
          <w:bCs/>
        </w:rPr>
        <w:t xml:space="preserve">así como lo establecido por la Resolución 469 de 2025 expedida por esta Entidad, </w:t>
      </w:r>
      <w:r w:rsidRPr="008211D2">
        <w:rPr>
          <w:rFonts w:ascii="Verdana" w:eastAsia="Calibri" w:hAnsi="Verdana" w:cs="Times New Roman"/>
          <w:bCs/>
          <w:lang w:val="es-ES" w:bidi="es-ES"/>
        </w:rPr>
        <w:t>la Agencia Nacional de Contratación Pública – Colombia Compra Eficiente– responde las sol</w:t>
      </w:r>
      <w:r>
        <w:rPr>
          <w:rFonts w:ascii="Verdana" w:eastAsia="Calibri" w:hAnsi="Verdana" w:cs="Times New Roman"/>
          <w:bCs/>
          <w:lang w:val="es-ES" w:bidi="es-ES"/>
        </w:rPr>
        <w:t>icitudes de consulta presentada el 25 de septiembre</w:t>
      </w:r>
      <w:r w:rsidRPr="008211D2">
        <w:rPr>
          <w:rFonts w:ascii="Verdana" w:eastAsia="Calibri" w:hAnsi="Verdana" w:cs="Times New Roman"/>
          <w:bCs/>
          <w:lang w:val="es-ES" w:bidi="es-ES"/>
        </w:rPr>
        <w:t xml:space="preserve">, en la cual manifiesta: </w:t>
      </w:r>
    </w:p>
    <w:p w14:paraId="330E2620" w14:textId="77777777" w:rsidR="00502A4C" w:rsidRPr="0060163E" w:rsidRDefault="00502A4C" w:rsidP="00502A4C">
      <w:pPr>
        <w:spacing w:after="0" w:line="276" w:lineRule="auto"/>
        <w:jc w:val="both"/>
        <w:rPr>
          <w:rFonts w:ascii="Verdana" w:eastAsia="Calibri" w:hAnsi="Verdana" w:cs="Times New Roman"/>
          <w:lang w:val="es-ES"/>
        </w:rPr>
      </w:pPr>
    </w:p>
    <w:p w14:paraId="0A8E7F33" w14:textId="4AC5693E" w:rsidR="008211D2" w:rsidRPr="008211D2" w:rsidRDefault="00502A4C" w:rsidP="008211D2">
      <w:pPr>
        <w:spacing w:after="0" w:line="240" w:lineRule="auto"/>
        <w:ind w:left="709" w:right="709"/>
        <w:jc w:val="both"/>
        <w:rPr>
          <w:rFonts w:ascii="Verdana" w:eastAsia="Calibri" w:hAnsi="Verdana" w:cs="Times New Roman"/>
          <w:bCs/>
          <w:sz w:val="20"/>
          <w:szCs w:val="20"/>
        </w:rPr>
      </w:pPr>
      <w:r w:rsidRPr="008211D2">
        <w:rPr>
          <w:rFonts w:ascii="Verdana" w:eastAsia="Calibri" w:hAnsi="Verdana" w:cs="Times New Roman"/>
          <w:bCs/>
          <w:sz w:val="20"/>
          <w:szCs w:val="20"/>
        </w:rPr>
        <w:t>“</w:t>
      </w:r>
      <w:r w:rsidR="008211D2">
        <w:rPr>
          <w:rFonts w:ascii="Verdana" w:eastAsia="Calibri" w:hAnsi="Verdana" w:cs="Times New Roman"/>
          <w:bCs/>
          <w:sz w:val="20"/>
          <w:szCs w:val="20"/>
        </w:rPr>
        <w:t xml:space="preserve">[…] </w:t>
      </w:r>
      <w:r w:rsidR="008211D2" w:rsidRPr="008211D2">
        <w:rPr>
          <w:rFonts w:ascii="Verdana" w:eastAsia="Calibri" w:hAnsi="Verdana" w:cs="Times New Roman"/>
          <w:bCs/>
          <w:sz w:val="20"/>
          <w:szCs w:val="20"/>
        </w:rPr>
        <w:t xml:space="preserve">soy arquitecta, tengo un contrato con la entidad alcaldía municipal de </w:t>
      </w:r>
      <w:proofErr w:type="spellStart"/>
      <w:r w:rsidR="008211D2" w:rsidRPr="008211D2">
        <w:rPr>
          <w:rFonts w:ascii="Verdana" w:eastAsia="Calibri" w:hAnsi="Verdana" w:cs="Times New Roman"/>
          <w:bCs/>
          <w:sz w:val="20"/>
          <w:szCs w:val="20"/>
        </w:rPr>
        <w:t>tenjo</w:t>
      </w:r>
      <w:proofErr w:type="spellEnd"/>
      <w:r w:rsidR="008211D2" w:rsidRPr="008211D2">
        <w:rPr>
          <w:rFonts w:ascii="Verdana" w:eastAsia="Calibri" w:hAnsi="Verdana" w:cs="Times New Roman"/>
          <w:bCs/>
          <w:sz w:val="20"/>
          <w:szCs w:val="20"/>
        </w:rPr>
        <w:t xml:space="preserve"> </w:t>
      </w:r>
      <w:proofErr w:type="spellStart"/>
      <w:r w:rsidR="008211D2" w:rsidRPr="008211D2">
        <w:rPr>
          <w:rFonts w:ascii="Verdana" w:eastAsia="Calibri" w:hAnsi="Verdana" w:cs="Times New Roman"/>
          <w:bCs/>
          <w:sz w:val="20"/>
          <w:szCs w:val="20"/>
        </w:rPr>
        <w:t>cundinamarca</w:t>
      </w:r>
      <w:proofErr w:type="spellEnd"/>
      <w:r w:rsidR="008211D2" w:rsidRPr="008211D2">
        <w:rPr>
          <w:rFonts w:ascii="Verdana" w:eastAsia="Calibri" w:hAnsi="Verdana" w:cs="Times New Roman"/>
          <w:bCs/>
          <w:sz w:val="20"/>
          <w:szCs w:val="20"/>
        </w:rPr>
        <w:t xml:space="preserve">, para la cual presto mis servicios profesionales en la modalidad contrato de </w:t>
      </w:r>
      <w:proofErr w:type="spellStart"/>
      <w:r w:rsidR="008211D2" w:rsidRPr="008211D2">
        <w:rPr>
          <w:rFonts w:ascii="Verdana" w:eastAsia="Calibri" w:hAnsi="Verdana" w:cs="Times New Roman"/>
          <w:bCs/>
          <w:sz w:val="20"/>
          <w:szCs w:val="20"/>
        </w:rPr>
        <w:t>prestacion</w:t>
      </w:r>
      <w:proofErr w:type="spellEnd"/>
      <w:r w:rsidR="008211D2" w:rsidRPr="008211D2">
        <w:rPr>
          <w:rFonts w:ascii="Verdana" w:eastAsia="Calibri" w:hAnsi="Verdana" w:cs="Times New Roman"/>
          <w:bCs/>
          <w:sz w:val="20"/>
          <w:szCs w:val="20"/>
        </w:rPr>
        <w:t xml:space="preserve"> de servicios profesionales en la secretaría de infraestructura y obra pública, sin</w:t>
      </w:r>
      <w:r w:rsidR="008211D2">
        <w:rPr>
          <w:rFonts w:ascii="Verdana" w:eastAsia="Calibri" w:hAnsi="Verdana" w:cs="Times New Roman"/>
          <w:bCs/>
          <w:sz w:val="20"/>
          <w:szCs w:val="20"/>
        </w:rPr>
        <w:t xml:space="preserve"> </w:t>
      </w:r>
      <w:proofErr w:type="gramStart"/>
      <w:r w:rsidR="008211D2" w:rsidRPr="008211D2">
        <w:rPr>
          <w:rFonts w:ascii="Verdana" w:eastAsia="Calibri" w:hAnsi="Verdana" w:cs="Times New Roman"/>
          <w:bCs/>
          <w:sz w:val="20"/>
          <w:szCs w:val="20"/>
        </w:rPr>
        <w:t>embargo</w:t>
      </w:r>
      <w:proofErr w:type="gramEnd"/>
      <w:r w:rsidR="008211D2" w:rsidRPr="008211D2">
        <w:rPr>
          <w:rFonts w:ascii="Verdana" w:eastAsia="Calibri" w:hAnsi="Verdana" w:cs="Times New Roman"/>
          <w:bCs/>
          <w:sz w:val="20"/>
          <w:szCs w:val="20"/>
        </w:rPr>
        <w:t xml:space="preserve"> también tengo mi actividad activa externa como arquitecta y gestiono licencias de construcción. La consulta es la siguiente, yo diseño como arquitecta proyectista en mis proyectos, puedo radicar licencias de construcción para la alcaldía municipal en otra dependencia, en la secretaría de urbanismo, declaro que no tengo ninguna influencia sobre la toma de </w:t>
      </w:r>
      <w:proofErr w:type="spellStart"/>
      <w:r w:rsidR="008211D2" w:rsidRPr="008211D2">
        <w:rPr>
          <w:rFonts w:ascii="Verdana" w:eastAsia="Calibri" w:hAnsi="Verdana" w:cs="Times New Roman"/>
          <w:bCs/>
          <w:sz w:val="20"/>
          <w:szCs w:val="20"/>
        </w:rPr>
        <w:t>decision</w:t>
      </w:r>
      <w:proofErr w:type="spellEnd"/>
      <w:r w:rsidR="008211D2" w:rsidRPr="008211D2">
        <w:rPr>
          <w:rFonts w:ascii="Verdana" w:eastAsia="Calibri" w:hAnsi="Verdana" w:cs="Times New Roman"/>
          <w:bCs/>
          <w:sz w:val="20"/>
          <w:szCs w:val="20"/>
        </w:rPr>
        <w:t xml:space="preserve"> y estoy presentando toda la documentación al día y siguiendo las normativas </w:t>
      </w:r>
      <w:r w:rsidR="008211D2" w:rsidRPr="008211D2">
        <w:rPr>
          <w:rFonts w:ascii="Verdana" w:eastAsia="Calibri" w:hAnsi="Verdana" w:cs="Times New Roman"/>
          <w:bCs/>
          <w:sz w:val="20"/>
          <w:szCs w:val="20"/>
        </w:rPr>
        <w:lastRenderedPageBreak/>
        <w:t>necesarias para la ejecución y aprobación de las licencias, las presento con mi actividad personal como arquitecta no como apoyo a la gestión de otra dependencia, gracias. quedo atenta</w:t>
      </w:r>
      <w:r w:rsidR="008211D2" w:rsidRPr="008211D2">
        <w:rPr>
          <w:rFonts w:ascii="Verdana" w:eastAsia="Calibri" w:hAnsi="Verdana" w:cs="Times New Roman"/>
          <w:bCs/>
          <w:i/>
          <w:iCs/>
          <w:sz w:val="20"/>
          <w:szCs w:val="20"/>
        </w:rPr>
        <w:t>”</w:t>
      </w:r>
    </w:p>
    <w:p w14:paraId="0C84CE29" w14:textId="77777777" w:rsidR="008211D2" w:rsidRPr="008211D2" w:rsidRDefault="008211D2" w:rsidP="008211D2">
      <w:pPr>
        <w:spacing w:after="0" w:line="240" w:lineRule="auto"/>
        <w:ind w:left="709" w:right="709"/>
        <w:jc w:val="both"/>
        <w:rPr>
          <w:rFonts w:ascii="Verdana" w:eastAsia="Calibri" w:hAnsi="Verdana" w:cs="Times New Roman"/>
          <w:bCs/>
          <w:i/>
          <w:iCs/>
          <w:sz w:val="20"/>
          <w:szCs w:val="20"/>
        </w:rPr>
      </w:pPr>
    </w:p>
    <w:p w14:paraId="599BE2F9" w14:textId="77777777" w:rsidR="00502A4C" w:rsidRPr="0060163E" w:rsidRDefault="00502A4C" w:rsidP="00502A4C">
      <w:pPr>
        <w:spacing w:after="120" w:line="276" w:lineRule="auto"/>
        <w:ind w:firstLine="709"/>
        <w:jc w:val="both"/>
        <w:rPr>
          <w:rFonts w:ascii="Verdana" w:eastAsia="Calibri" w:hAnsi="Verdana" w:cs="Times New Roman"/>
          <w:lang w:val="es-ES"/>
        </w:rPr>
      </w:pPr>
      <w:r w:rsidRPr="0060163E">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C5F3E9A" w14:textId="77777777" w:rsidR="00502A4C" w:rsidRPr="0060163E" w:rsidRDefault="00502A4C" w:rsidP="00502A4C">
      <w:pPr>
        <w:spacing w:after="0" w:line="276" w:lineRule="auto"/>
        <w:ind w:firstLine="708"/>
        <w:jc w:val="both"/>
        <w:rPr>
          <w:rFonts w:ascii="Verdana" w:eastAsia="Calibri" w:hAnsi="Verdana" w:cs="Times New Roman"/>
          <w:lang w:val="es-ES"/>
        </w:rPr>
      </w:pPr>
      <w:r w:rsidRPr="0060163E">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7CF1731B" w14:textId="77777777" w:rsidR="00502A4C" w:rsidRPr="0060163E" w:rsidRDefault="00502A4C" w:rsidP="00502A4C">
      <w:pPr>
        <w:spacing w:after="0" w:line="276" w:lineRule="auto"/>
        <w:rPr>
          <w:rFonts w:ascii="Verdana" w:eastAsia="Calibri" w:hAnsi="Verdana" w:cs="Times New Roman"/>
          <w:lang w:val="es-ES"/>
        </w:rPr>
      </w:pPr>
    </w:p>
    <w:p w14:paraId="55D9D8DB" w14:textId="77777777" w:rsidR="00502A4C" w:rsidRPr="0060163E" w:rsidRDefault="00502A4C" w:rsidP="00502A4C">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 </w:t>
      </w:r>
      <w:r w:rsidRPr="0060163E">
        <w:rPr>
          <w:rFonts w:ascii="Verdana" w:eastAsia="Calibri" w:hAnsi="Verdana" w:cs="Times New Roman"/>
          <w:b/>
          <w:bCs/>
          <w:lang w:val="es-ES"/>
        </w:rPr>
        <w:t>Problema planteado:</w:t>
      </w:r>
    </w:p>
    <w:p w14:paraId="216121C0" w14:textId="77777777" w:rsidR="00502A4C" w:rsidRPr="0060163E" w:rsidRDefault="00502A4C" w:rsidP="00502A4C">
      <w:pPr>
        <w:spacing w:after="0" w:line="276" w:lineRule="auto"/>
        <w:rPr>
          <w:rFonts w:ascii="Verdana" w:eastAsia="Calibri" w:hAnsi="Verdana" w:cs="Times New Roman"/>
        </w:rPr>
      </w:pPr>
    </w:p>
    <w:p w14:paraId="2953B05C" w14:textId="637DC5A1" w:rsidR="002F2041" w:rsidRPr="00BB2A21" w:rsidRDefault="00502A4C" w:rsidP="00BB2A21">
      <w:pPr>
        <w:spacing w:after="0" w:line="276" w:lineRule="auto"/>
        <w:jc w:val="both"/>
        <w:rPr>
          <w:rFonts w:ascii="Verdana" w:eastAsia="Calibri" w:hAnsi="Verdana" w:cs="Times New Roman"/>
          <w:bCs/>
          <w:iCs/>
        </w:rPr>
      </w:pPr>
      <w:r w:rsidRPr="0060163E">
        <w:rPr>
          <w:rFonts w:ascii="Verdana" w:eastAsia="Calibri" w:hAnsi="Verdana" w:cs="Times New Roman"/>
        </w:rPr>
        <w:t xml:space="preserve">De acuerdo con el contenido de su solicitud, esta Agencia procede a resolver el siguiente problema jurídico: </w:t>
      </w:r>
      <w:r>
        <w:rPr>
          <w:rFonts w:ascii="Verdana" w:eastAsia="Calibri" w:hAnsi="Verdana" w:cs="Times New Roman"/>
          <w:bCs/>
          <w:iCs/>
        </w:rPr>
        <w:t>¿</w:t>
      </w:r>
      <w:r w:rsidR="00BB2A21" w:rsidRPr="00BB2A21">
        <w:rPr>
          <w:rFonts w:ascii="Verdana" w:eastAsia="Calibri" w:hAnsi="Verdana" w:cs="Times New Roman"/>
          <w:bCs/>
          <w:iCs/>
        </w:rPr>
        <w:t xml:space="preserve">Una arquitecta contratista por prestación de servicios </w:t>
      </w:r>
      <w:r w:rsidR="002821E7">
        <w:rPr>
          <w:rFonts w:ascii="Verdana" w:eastAsia="Calibri" w:hAnsi="Verdana" w:cs="Times New Roman"/>
          <w:bCs/>
          <w:iCs/>
        </w:rPr>
        <w:t xml:space="preserve">profesionales </w:t>
      </w:r>
      <w:r w:rsidR="00BB2A21" w:rsidRPr="00BB2A21">
        <w:rPr>
          <w:rFonts w:ascii="Verdana" w:eastAsia="Calibri" w:hAnsi="Verdana" w:cs="Times New Roman"/>
          <w:bCs/>
          <w:iCs/>
        </w:rPr>
        <w:t xml:space="preserve">en una dependencia de una entidad pública incurre en inhabilidad, incompatibilidad o conflicto de interés </w:t>
      </w:r>
      <w:r w:rsidR="00BB2A21">
        <w:rPr>
          <w:rFonts w:ascii="Verdana" w:eastAsia="Calibri" w:hAnsi="Verdana" w:cs="Times New Roman"/>
          <w:bCs/>
          <w:iCs/>
        </w:rPr>
        <w:t xml:space="preserve">en contratación estatal </w:t>
      </w:r>
      <w:r w:rsidR="00BB2A21" w:rsidRPr="00BB2A21">
        <w:rPr>
          <w:rFonts w:ascii="Verdana" w:eastAsia="Calibri" w:hAnsi="Verdana" w:cs="Times New Roman"/>
          <w:bCs/>
          <w:iCs/>
        </w:rPr>
        <w:t>si, como profesional independiente, radica licencias de construcción ante otra dependencia de la misma entidad?</w:t>
      </w:r>
    </w:p>
    <w:p w14:paraId="552DD489" w14:textId="77777777" w:rsidR="002F2041" w:rsidRPr="0060163E" w:rsidRDefault="002F2041" w:rsidP="00502A4C">
      <w:pPr>
        <w:spacing w:after="0" w:line="276" w:lineRule="auto"/>
        <w:rPr>
          <w:rFonts w:ascii="Verdana" w:eastAsia="Calibri" w:hAnsi="Verdana" w:cs="Times New Roman"/>
        </w:rPr>
      </w:pPr>
    </w:p>
    <w:p w14:paraId="0D3DB823" w14:textId="77777777" w:rsidR="00502A4C" w:rsidRPr="0060163E" w:rsidRDefault="00502A4C" w:rsidP="00502A4C">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II. </w:t>
      </w:r>
      <w:r w:rsidRPr="0060163E">
        <w:rPr>
          <w:rFonts w:ascii="Verdana" w:eastAsia="Calibri" w:hAnsi="Verdana" w:cs="Times New Roman"/>
          <w:b/>
          <w:bCs/>
          <w:lang w:val="es-ES"/>
        </w:rPr>
        <w:t>Respuesta:</w:t>
      </w:r>
    </w:p>
    <w:p w14:paraId="13CDBCDB" w14:textId="77777777" w:rsidR="00502A4C" w:rsidRPr="0060163E" w:rsidRDefault="00502A4C" w:rsidP="00502A4C">
      <w:pPr>
        <w:spacing w:after="0" w:line="276" w:lineRule="auto"/>
        <w:jc w:val="both"/>
        <w:rPr>
          <w:rFonts w:ascii="Verdana" w:eastAsia="Calibri" w:hAnsi="Verdana" w:cs="Times New Roman"/>
          <w:bCs/>
          <w:lang w:val="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02A4C" w:rsidRPr="0060163E" w14:paraId="727A582B" w14:textId="77777777" w:rsidTr="00BD2C98">
        <w:trPr>
          <w:trHeight w:val="870"/>
          <w:jc w:val="center"/>
        </w:trPr>
        <w:tc>
          <w:tcPr>
            <w:tcW w:w="8647" w:type="dxa"/>
          </w:tcPr>
          <w:p w14:paraId="45E0AD31" w14:textId="77777777" w:rsidR="00982AE2" w:rsidRPr="00982AE2" w:rsidRDefault="00982AE2" w:rsidP="00982AE2">
            <w:pPr>
              <w:spacing w:after="120" w:line="276" w:lineRule="auto"/>
              <w:jc w:val="both"/>
              <w:rPr>
                <w:rFonts w:ascii="Verdana" w:eastAsia="Calibri" w:hAnsi="Verdana" w:cs="Arial"/>
                <w:bCs/>
              </w:rPr>
            </w:pPr>
            <w:r w:rsidRPr="00982AE2">
              <w:rPr>
                <w:rFonts w:ascii="Verdana" w:eastAsia="Calibri" w:hAnsi="Verdana" w:cs="Arial"/>
                <w:bCs/>
              </w:rPr>
              <w:t xml:space="preserve">De acuerdo al problema jurídico presentado, y teniendo en cuenta las precisiones tratadas en las razones de la respuesta, se señala que analizado el régimen de inhabilidades e incompatibilidades previsto para la </w:t>
            </w:r>
            <w:r w:rsidRPr="00982AE2">
              <w:rPr>
                <w:rFonts w:ascii="Verdana" w:eastAsia="Calibri" w:hAnsi="Verdana" w:cs="Arial"/>
                <w:bCs/>
              </w:rPr>
              <w:lastRenderedPageBreak/>
              <w:t xml:space="preserve">contratación estatal, se concluye que no existe una inhabilidad o incompatibilidad en aquellos supuestos de arquitectos contratistas por prestación de servicios profesionales que, además de cumplir labores en una dependencia de una entidad pública, ejercen su actividad como independientes y radican licencias de construcción ante otra dependencia de la misma entidad. Esta situación no se subsume en ninguno de los supuestos de hecho, ni se advierte que la hipótesis materia de consulta configure alguna de las causales previstas en el artículo 8 de la Ley 80 de 1993. </w:t>
            </w:r>
          </w:p>
          <w:p w14:paraId="4D27D2AE" w14:textId="3ED0E06E" w:rsidR="00F01413" w:rsidRPr="00C95163" w:rsidRDefault="00982AE2" w:rsidP="00982AE2">
            <w:pPr>
              <w:spacing w:after="120" w:line="276" w:lineRule="auto"/>
              <w:ind w:firstLine="709"/>
              <w:jc w:val="both"/>
              <w:rPr>
                <w:rFonts w:ascii="Verdana" w:hAnsi="Verdana" w:cs="Arial"/>
                <w:color w:val="000000" w:themeColor="text1"/>
                <w:lang w:val="es-ES_tradnl"/>
              </w:rPr>
            </w:pPr>
            <w:r w:rsidRPr="00982AE2">
              <w:rPr>
                <w:rFonts w:ascii="Verdana" w:eastAsia="Calibri" w:hAnsi="Verdana" w:cs="Arial"/>
                <w:bCs/>
              </w:rPr>
              <w:t xml:space="preserve">Sin embargo, es pertinente tener en cuenta que el ordenamiento jurídico contempla restricciones sobre aspectos particulares que es importante considerar al momento de analizar una situación como la señalada. Así, la Ley 435 de 1998 “por la cual se reglamenta el ejercicio de la profesión de Arquitectura y sus profesiones auxiliares, se crea el Consejo Profesional Nacional de Arquitectura y sus profesiones auxiliares, se dicta el Código de Ética Profesional, se establece el Régimen Disciplinario para estas profesiones, se reestructura el Consejo Profesional Nacional de Ingeniería y Arquitectura en Consejo Profesional Nacional de Ingeniería y sus profesiones auxiliares y otras disposiciones”. Al respecto, el artículo 22 de la Ley 435 de 1998 establece restricciones para el ejercicio profesional en contextos públicos y privados, señalando que incurren en falta quienes actúan como asesores o representantes técnicos simultáneamente en empresas con actividades idénticas sin autorización expresa, quienes intervienen en un asunto y luego asesoran a la parte contraria, y quienes participan como peritos en situaciones que les generan inhabilidades o incompatibilidades legales. Además, el parágrafo precisa que, en procesos licitatorios y relaciones contractuales, los profesionales están sometidos a las incompatibilidades previstas en la legislación vigente, lo que implica que deben abstenerse de participar en actuaciones que comprometan su imparcialidad, transparencia, legalidad y moralidad en el ejercicio de sus funciones. </w:t>
            </w:r>
          </w:p>
          <w:p w14:paraId="743E1C39" w14:textId="7980A408" w:rsidR="00982AE2" w:rsidRPr="00982AE2" w:rsidRDefault="00982AE2" w:rsidP="00982AE2">
            <w:pPr>
              <w:spacing w:after="120" w:line="276" w:lineRule="auto"/>
              <w:ind w:firstLine="709"/>
              <w:jc w:val="both"/>
              <w:rPr>
                <w:rFonts w:ascii="Verdana" w:eastAsia="Calibri" w:hAnsi="Verdana" w:cs="Arial"/>
                <w:bCs/>
                <w:color w:val="000000" w:themeColor="text1"/>
              </w:rPr>
            </w:pPr>
            <w:r w:rsidRPr="00982AE2">
              <w:rPr>
                <w:rFonts w:ascii="Verdana" w:eastAsia="Calibri" w:hAnsi="Verdana" w:cs="Arial"/>
                <w:bCs/>
                <w:color w:val="000000" w:themeColor="text1"/>
              </w:rPr>
              <w:t xml:space="preserve">De lo expuesto, la Agencia Nacional de Contratación Pública –Colombia Compra Eficiente no puede definir o catalogar una inhabilidad o incompatibilidad en razón a la profesión de la arquitectura y sus profesiones auxiliares, pues no es competencia de esta, sino revisar si estas implican una restricción para contratar con el Estado. En efecto, se destaca que el supuesto planteado no hay una inhabilidad o incompatibilidad para contratar, </w:t>
            </w:r>
            <w:r w:rsidRPr="00982AE2">
              <w:rPr>
                <w:rFonts w:ascii="Verdana" w:eastAsia="Calibri" w:hAnsi="Verdana" w:cs="Arial"/>
                <w:bCs/>
                <w:color w:val="000000" w:themeColor="text1"/>
              </w:rPr>
              <w:lastRenderedPageBreak/>
              <w:t xml:space="preserve">teniendo en cuenta que, de las normas del sistema de compras y contratación pública, no existe una causal contemplada para ello. </w:t>
            </w:r>
          </w:p>
          <w:p w14:paraId="0DCDBAE2" w14:textId="77777777" w:rsidR="00982AE2" w:rsidRPr="00982AE2" w:rsidRDefault="00982AE2" w:rsidP="00982AE2">
            <w:pPr>
              <w:spacing w:after="120" w:line="276" w:lineRule="auto"/>
              <w:ind w:firstLine="709"/>
              <w:jc w:val="both"/>
              <w:rPr>
                <w:rFonts w:ascii="Verdana" w:eastAsia="Calibri" w:hAnsi="Verdana" w:cs="Arial"/>
                <w:bCs/>
                <w:color w:val="000000" w:themeColor="text1"/>
              </w:rPr>
            </w:pPr>
            <w:r w:rsidRPr="00982AE2">
              <w:rPr>
                <w:rFonts w:ascii="Verdana" w:eastAsia="Calibri" w:hAnsi="Verdana" w:cs="Arial"/>
                <w:bCs/>
                <w:color w:val="000000" w:themeColor="text1"/>
              </w:rPr>
              <w:t xml:space="preserve">Adicionalmente, es fundamental analizar cada caso de manera individual para descartar posibles conflictos de interés, entendidos como situaciones en las que los intereses personales de una persona puedan entrar en contradicción con sus deberes profesionales. En este contexto, resulta especialmente relevante revisar los casos de arquitectos contratistas por prestación de servicios profesionales que, además de cumplir funciones en una dependencia de una entidad pública, ejercen su actividad como independientes y radican licencias de construcción ante otra dependencia de la misma entidad. En este contexto, es indispensable que se analice la ocurrencia de potenciales conflictos de interés de cara a una posible vulneración de la transparencia, imparcialidad, y moralidad administrativa. </w:t>
            </w:r>
          </w:p>
          <w:p w14:paraId="267BB277" w14:textId="00B4ABBE" w:rsidR="00502A4C" w:rsidRPr="00636B74" w:rsidRDefault="00982AE2" w:rsidP="00982AE2">
            <w:pPr>
              <w:spacing w:after="120" w:line="276" w:lineRule="auto"/>
              <w:ind w:firstLine="709"/>
              <w:jc w:val="both"/>
              <w:rPr>
                <w:rFonts w:ascii="Verdana" w:eastAsia="Arial MT" w:hAnsi="Verdana" w:cs="Arial"/>
                <w:lang w:eastAsia="es-ES" w:bidi="es-ES"/>
              </w:rPr>
            </w:pPr>
            <w:r w:rsidRPr="00982AE2">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w:t>
            </w:r>
            <w:r w:rsidR="00A0693C" w:rsidRPr="00DB2A80">
              <w:rPr>
                <w:rFonts w:ascii="Verdana" w:eastAsia="Calibri" w:hAnsi="Verdana" w:cs="Arial"/>
                <w:bCs/>
                <w:color w:val="000000" w:themeColor="text1"/>
              </w:rPr>
              <w:t xml:space="preserve"> </w:t>
            </w:r>
            <w:r w:rsidR="00F01413" w:rsidRPr="00AE22D5">
              <w:rPr>
                <w:rFonts w:ascii="Verdana" w:eastAsia="Calibri" w:hAnsi="Verdana" w:cs="Arial"/>
              </w:rPr>
              <w:t xml:space="preserve"> </w:t>
            </w:r>
          </w:p>
        </w:tc>
      </w:tr>
    </w:tbl>
    <w:p w14:paraId="0B9FB647" w14:textId="14EC7C7F" w:rsidR="002F2041" w:rsidRDefault="002F2041" w:rsidP="00502A4C">
      <w:pPr>
        <w:spacing w:after="0" w:line="276" w:lineRule="auto"/>
        <w:contextualSpacing/>
        <w:rPr>
          <w:rFonts w:ascii="Verdana" w:eastAsia="Calibri" w:hAnsi="Verdana" w:cs="Times New Roman"/>
          <w:b/>
          <w:bCs/>
          <w:lang w:val="es-ES"/>
        </w:rPr>
      </w:pPr>
    </w:p>
    <w:p w14:paraId="2EC7CF78" w14:textId="77777777" w:rsidR="00502A4C" w:rsidRPr="0060163E" w:rsidRDefault="00502A4C" w:rsidP="00502A4C">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III. </w:t>
      </w:r>
      <w:r w:rsidRPr="0060163E">
        <w:rPr>
          <w:rFonts w:ascii="Verdana" w:eastAsia="Calibri" w:hAnsi="Verdana" w:cs="Times New Roman"/>
          <w:b/>
          <w:bCs/>
          <w:lang w:val="es-ES"/>
        </w:rPr>
        <w:t>Razones de la respuesta:</w:t>
      </w:r>
    </w:p>
    <w:p w14:paraId="426F0643" w14:textId="77777777" w:rsidR="00502A4C" w:rsidRPr="0060163E" w:rsidRDefault="00502A4C" w:rsidP="00502A4C">
      <w:pPr>
        <w:spacing w:after="0" w:line="276" w:lineRule="auto"/>
        <w:rPr>
          <w:rFonts w:ascii="Verdana" w:eastAsia="Calibri" w:hAnsi="Verdana" w:cs="Times New Roman"/>
          <w:b/>
          <w:bCs/>
          <w:lang w:val="es-ES"/>
        </w:rPr>
      </w:pPr>
    </w:p>
    <w:p w14:paraId="384FFFBF" w14:textId="77777777" w:rsidR="00502A4C" w:rsidRPr="0060163E" w:rsidRDefault="00502A4C" w:rsidP="00502A4C">
      <w:pPr>
        <w:spacing w:after="0" w:line="276" w:lineRule="auto"/>
        <w:jc w:val="both"/>
        <w:rPr>
          <w:rFonts w:ascii="Verdana" w:eastAsia="Calibri" w:hAnsi="Verdana" w:cs="Arial"/>
          <w:lang w:val="es-ES"/>
        </w:rPr>
      </w:pPr>
      <w:r w:rsidRPr="0060163E">
        <w:rPr>
          <w:rFonts w:ascii="Verdana" w:eastAsia="Calibri" w:hAnsi="Verdana" w:cs="Arial"/>
          <w:lang w:val="es-ES"/>
        </w:rPr>
        <w:t xml:space="preserve">Lo anterior se sustenta en las siguientes consideraciones: </w:t>
      </w:r>
    </w:p>
    <w:p w14:paraId="70132032" w14:textId="77777777" w:rsidR="00502A4C" w:rsidRPr="0060163E" w:rsidRDefault="00502A4C" w:rsidP="00502A4C">
      <w:pPr>
        <w:spacing w:after="0" w:line="276" w:lineRule="auto"/>
        <w:jc w:val="both"/>
        <w:rPr>
          <w:rFonts w:ascii="Verdana" w:eastAsia="Calibri" w:hAnsi="Verdana" w:cs="Arial"/>
          <w:lang w:val="es-MX"/>
        </w:rPr>
      </w:pPr>
    </w:p>
    <w:p w14:paraId="28C707E4" w14:textId="77777777" w:rsidR="00502A4C" w:rsidRDefault="00502A4C" w:rsidP="00502A4C">
      <w:pPr>
        <w:spacing w:after="0" w:line="276" w:lineRule="auto"/>
        <w:jc w:val="both"/>
        <w:rPr>
          <w:rFonts w:ascii="Verdana" w:eastAsia="Calibri" w:hAnsi="Verdana" w:cs="Arial"/>
          <w:lang w:val="es-MX"/>
        </w:rPr>
      </w:pPr>
      <w:r w:rsidRPr="0060163E">
        <w:rPr>
          <w:rFonts w:ascii="Verdana" w:eastAsia="Calibri" w:hAnsi="Verdana" w:cs="Arial"/>
          <w:lang w:val="es-MX"/>
        </w:rPr>
        <w:t>i) Las inhabilidades son circunstancias establecidas por la Constitución o la ley que impiden que personas naturales o jurídicas sean elegidas o d</w:t>
      </w:r>
      <w:r>
        <w:rPr>
          <w:rFonts w:ascii="Verdana" w:eastAsia="Calibri" w:hAnsi="Verdana" w:cs="Arial"/>
          <w:lang w:val="es-MX"/>
        </w:rPr>
        <w:t xml:space="preserve">esignadas en un cargo público, </w:t>
      </w:r>
      <w:r w:rsidRPr="0060163E">
        <w:rPr>
          <w:rFonts w:ascii="Verdana" w:eastAsia="Calibri" w:hAnsi="Verdana" w:cs="Arial"/>
          <w:lang w:val="es-MX"/>
        </w:rPr>
        <w:t>celebren contratos con el Estado</w:t>
      </w:r>
      <w:r>
        <w:rPr>
          <w:rFonts w:ascii="Verdana" w:eastAsia="Calibri" w:hAnsi="Verdana" w:cs="Arial"/>
          <w:lang w:val="es-MX"/>
        </w:rPr>
        <w:t>, o no puedan ejercer una profesión</w:t>
      </w:r>
      <w:r w:rsidRPr="0060163E">
        <w:rPr>
          <w:rFonts w:ascii="Verdana" w:eastAsia="Calibri" w:hAnsi="Verdana" w:cs="Arial"/>
          <w:lang w:val="es-MX"/>
        </w:rPr>
        <w:t xml:space="preserve">, con el objetivo de garantizar la idoneidad, imparcialidad, probidad, transparencia y moralidad de la función pública, garantizando el interés general. </w:t>
      </w:r>
      <w:r>
        <w:rPr>
          <w:rFonts w:ascii="Verdana" w:eastAsia="Calibri" w:hAnsi="Verdana" w:cs="Arial"/>
          <w:lang w:val="es-MX"/>
        </w:rPr>
        <w:t xml:space="preserve">De igual modo, en torno a la incompatibilidad, la Corte Constitucional ha señalado: </w:t>
      </w:r>
    </w:p>
    <w:p w14:paraId="768674B1" w14:textId="77777777" w:rsidR="00502A4C" w:rsidRDefault="00502A4C" w:rsidP="00502A4C">
      <w:pPr>
        <w:spacing w:after="0" w:line="276" w:lineRule="auto"/>
        <w:jc w:val="both"/>
        <w:rPr>
          <w:rFonts w:ascii="Verdana" w:eastAsia="Calibri" w:hAnsi="Verdana" w:cs="Arial"/>
          <w:lang w:val="es-MX"/>
        </w:rPr>
      </w:pPr>
    </w:p>
    <w:p w14:paraId="1F37935A" w14:textId="77777777" w:rsidR="00502A4C" w:rsidRDefault="00502A4C" w:rsidP="00502A4C">
      <w:pPr>
        <w:spacing w:after="0" w:line="240" w:lineRule="auto"/>
        <w:ind w:left="709" w:right="709"/>
        <w:jc w:val="both"/>
        <w:rPr>
          <w:rFonts w:ascii="Verdana" w:eastAsia="Calibri" w:hAnsi="Verdana" w:cs="Arial"/>
          <w:bCs/>
          <w:iCs/>
          <w:sz w:val="21"/>
          <w:szCs w:val="21"/>
          <w:lang w:val="es-ES"/>
        </w:rPr>
      </w:pPr>
      <w:r w:rsidRPr="000B4D9F">
        <w:rPr>
          <w:rFonts w:ascii="Verdana" w:eastAsia="Calibri" w:hAnsi="Verdana" w:cs="Arial"/>
          <w:sz w:val="21"/>
          <w:szCs w:val="21"/>
          <w:lang w:val="es-MX"/>
        </w:rPr>
        <w:t xml:space="preserve"> </w:t>
      </w:r>
      <w:r w:rsidRPr="000B4D9F">
        <w:rPr>
          <w:rFonts w:ascii="Verdana" w:eastAsia="Calibri" w:hAnsi="Verdana" w:cs="Arial"/>
          <w:bCs/>
          <w:iCs/>
          <w:sz w:val="21"/>
          <w:szCs w:val="21"/>
          <w:lang w:val="es-ES"/>
        </w:rPr>
        <w:t xml:space="preserve">“[…] una prohibición dirigida al titular de una función pública a quien, por ese hecho, se le impide ocuparse de ciertas actividades o ejercer, simultáneamente, las competencias propias de la función que desempeña y las correspondientes a otros cargos o empleos, en guarda del interés superior que puede verse afectado por una indebida </w:t>
      </w:r>
      <w:r w:rsidRPr="000B4D9F">
        <w:rPr>
          <w:rFonts w:ascii="Verdana" w:eastAsia="Calibri" w:hAnsi="Verdana" w:cs="Arial"/>
          <w:bCs/>
          <w:iCs/>
          <w:sz w:val="21"/>
          <w:szCs w:val="21"/>
          <w:lang w:val="es-ES"/>
        </w:rPr>
        <w:lastRenderedPageBreak/>
        <w:t>acumulación de funciones o por la confluencia de intereses poco conciliables y capaces, en todo caso, de afectar la imparcialidad y la independencia que deben guiar las actuaciones de quien ejerce la autoridad en nombre del Estado”</w:t>
      </w:r>
      <w:r w:rsidRPr="000B4D9F">
        <w:rPr>
          <w:rFonts w:ascii="Verdana" w:eastAsia="Calibri" w:hAnsi="Verdana" w:cs="Arial"/>
          <w:bCs/>
          <w:iCs/>
          <w:sz w:val="21"/>
          <w:szCs w:val="21"/>
          <w:vertAlign w:val="superscript"/>
          <w:lang w:val="es-ES"/>
        </w:rPr>
        <w:footnoteReference w:id="2"/>
      </w:r>
      <w:r w:rsidRPr="000B4D9F">
        <w:rPr>
          <w:rFonts w:ascii="Verdana" w:eastAsia="Calibri" w:hAnsi="Verdana" w:cs="Arial"/>
          <w:bCs/>
          <w:iCs/>
          <w:sz w:val="21"/>
          <w:szCs w:val="21"/>
          <w:lang w:val="es-ES"/>
        </w:rPr>
        <w:t>.</w:t>
      </w:r>
    </w:p>
    <w:p w14:paraId="321CB0A6" w14:textId="77777777" w:rsidR="00502A4C" w:rsidRPr="000B4D9F" w:rsidRDefault="00502A4C" w:rsidP="00502A4C">
      <w:pPr>
        <w:spacing w:after="0" w:line="240" w:lineRule="auto"/>
        <w:ind w:left="709" w:right="709"/>
        <w:jc w:val="both"/>
        <w:rPr>
          <w:rFonts w:ascii="Verdana" w:eastAsia="Calibri" w:hAnsi="Verdana" w:cs="Arial"/>
          <w:bCs/>
          <w:iCs/>
          <w:sz w:val="21"/>
          <w:szCs w:val="21"/>
          <w:lang w:val="es-ES_tradnl"/>
        </w:rPr>
      </w:pPr>
    </w:p>
    <w:p w14:paraId="11B198B0" w14:textId="77777777" w:rsidR="00502A4C" w:rsidRDefault="00502A4C" w:rsidP="00502A4C">
      <w:pPr>
        <w:spacing w:after="120" w:line="276" w:lineRule="auto"/>
        <w:ind w:firstLine="709"/>
        <w:jc w:val="both"/>
        <w:rPr>
          <w:rFonts w:ascii="Verdana" w:eastAsia="Calibri" w:hAnsi="Verdana" w:cs="Arial"/>
          <w:lang w:val="es-MX"/>
        </w:rPr>
      </w:pPr>
      <w:r>
        <w:rPr>
          <w:rFonts w:ascii="Verdana" w:eastAsia="Calibri" w:hAnsi="Verdana" w:cs="Arial"/>
          <w:lang w:val="es-MX"/>
        </w:rPr>
        <w:t>Las inhabilidades e incompatibilidades pueden enfocarse en varios asuntos: en primer lugar, se encuentran las inhabilidades e incompatibilidades que impiden que u</w:t>
      </w:r>
      <w:proofErr w:type="spellStart"/>
      <w:r w:rsidRPr="007218AE">
        <w:rPr>
          <w:rFonts w:ascii="Verdana" w:eastAsia="Calibri" w:hAnsi="Verdana" w:cs="Arial"/>
        </w:rPr>
        <w:t>na</w:t>
      </w:r>
      <w:proofErr w:type="spellEnd"/>
      <w:r w:rsidRPr="007218AE">
        <w:rPr>
          <w:rFonts w:ascii="Verdana" w:eastAsia="Calibri" w:hAnsi="Verdana" w:cs="Arial"/>
        </w:rPr>
        <w:t xml:space="preserve"> persona sea elegida, designada para un cargo público, como también en ciertos </w:t>
      </w:r>
      <w:r>
        <w:rPr>
          <w:rFonts w:ascii="Verdana" w:eastAsia="Calibri" w:hAnsi="Verdana" w:cs="Arial"/>
        </w:rPr>
        <w:t xml:space="preserve">eventos </w:t>
      </w:r>
      <w:r w:rsidRPr="007218AE">
        <w:rPr>
          <w:rFonts w:ascii="Verdana" w:eastAsia="Calibri" w:hAnsi="Verdana" w:cs="Arial"/>
        </w:rPr>
        <w:t xml:space="preserve">impiden que la persona </w:t>
      </w:r>
      <w:r>
        <w:rPr>
          <w:rFonts w:ascii="Verdana" w:eastAsia="Calibri" w:hAnsi="Verdana" w:cs="Arial"/>
        </w:rPr>
        <w:t xml:space="preserve">se encuentre </w:t>
      </w:r>
      <w:r w:rsidRPr="007218AE">
        <w:rPr>
          <w:rFonts w:ascii="Verdana" w:eastAsia="Calibri" w:hAnsi="Verdana" w:cs="Arial"/>
        </w:rPr>
        <w:t>vinculada a la f</w:t>
      </w:r>
      <w:r>
        <w:rPr>
          <w:rFonts w:ascii="Verdana" w:eastAsia="Calibri" w:hAnsi="Verdana" w:cs="Arial"/>
        </w:rPr>
        <w:t xml:space="preserve">unción pública continúe en ella; en segundo lugar, se hallan las inhabilidades e incompatibilidades para el ejercicio de una profesión, las cuales se constituyen </w:t>
      </w:r>
      <w:r>
        <w:rPr>
          <w:rFonts w:ascii="Verdana" w:eastAsia="Calibri" w:hAnsi="Verdana" w:cs="Arial"/>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contratación públicas que establezca inhabilidades e incompatibilidades para contratar con el Estado. </w:t>
      </w:r>
    </w:p>
    <w:p w14:paraId="653B5D3F" w14:textId="77777777" w:rsidR="00502A4C" w:rsidRPr="0060163E" w:rsidRDefault="00502A4C" w:rsidP="00502A4C">
      <w:pPr>
        <w:spacing w:after="120" w:line="276" w:lineRule="auto"/>
        <w:ind w:firstLine="709"/>
        <w:jc w:val="both"/>
        <w:rPr>
          <w:rFonts w:ascii="Verdana" w:eastAsia="Calibri" w:hAnsi="Verdana" w:cs="Arial"/>
          <w:lang w:val="es-MX"/>
        </w:rPr>
      </w:pPr>
      <w:r>
        <w:rPr>
          <w:rFonts w:ascii="Verdana" w:eastAsia="Calibri" w:hAnsi="Verdana" w:cs="Arial"/>
          <w:lang w:val="es-MX"/>
        </w:rPr>
        <w:t>Para ello, hay que precisar que, el</w:t>
      </w:r>
      <w:r w:rsidRPr="0060163E">
        <w:rPr>
          <w:rFonts w:ascii="Verdana" w:eastAsia="Calibri" w:hAnsi="Verdana" w:cs="Arial"/>
          <w:lang w:val="es-MX"/>
        </w:rPr>
        <w:t xml:space="preserve">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60163E">
        <w:rPr>
          <w:rFonts w:ascii="Verdana" w:eastAsia="Calibri" w:hAnsi="Verdana" w:cs="Arial"/>
          <w:vertAlign w:val="superscript"/>
          <w:lang w:val="es-MX"/>
        </w:rPr>
        <w:footnoteReference w:id="3"/>
      </w:r>
    </w:p>
    <w:p w14:paraId="31751467" w14:textId="7069B9C1" w:rsidR="00502A4C" w:rsidRPr="0060163E" w:rsidRDefault="00502A4C" w:rsidP="00502A4C">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La regulación de las inhabilidades que implican limitaciones a la capacidad jurídica para contratar, que desarrolla los principios de la función administrativa consagrados en el artículo 209 de la Constitución Política, con especial énfasis</w:t>
      </w:r>
      <w:r w:rsidR="00B23D14">
        <w:rPr>
          <w:rFonts w:ascii="Verdana" w:eastAsia="Calibri" w:hAnsi="Verdana" w:cs="Arial"/>
          <w:lang w:val="es-MX"/>
        </w:rPr>
        <w:t>,</w:t>
      </w:r>
      <w:r w:rsidRPr="0060163E">
        <w:rPr>
          <w:rFonts w:ascii="Verdana" w:eastAsia="Calibri" w:hAnsi="Verdana" w:cs="Arial"/>
          <w:lang w:val="es-MX"/>
        </w:rPr>
        <w:t xml:space="preserve"> el de moralidad. Así lo entiende el Consejo de Estado: </w:t>
      </w:r>
    </w:p>
    <w:p w14:paraId="739C7713" w14:textId="77777777" w:rsidR="00502A4C" w:rsidRPr="0060163E" w:rsidRDefault="00502A4C" w:rsidP="00502A4C">
      <w:pPr>
        <w:spacing w:after="0" w:line="276" w:lineRule="auto"/>
        <w:jc w:val="both"/>
        <w:rPr>
          <w:rFonts w:ascii="Verdana" w:eastAsia="Calibri" w:hAnsi="Verdana" w:cs="Arial"/>
          <w:lang w:val="es-MX"/>
        </w:rPr>
      </w:pPr>
    </w:p>
    <w:p w14:paraId="549114EE" w14:textId="77777777" w:rsidR="00502A4C" w:rsidRPr="004218E1" w:rsidRDefault="00502A4C" w:rsidP="00502A4C">
      <w:pPr>
        <w:shd w:val="clear" w:color="auto" w:fill="FFFFFF"/>
        <w:spacing w:after="0" w:line="240" w:lineRule="auto"/>
        <w:ind w:left="709" w:right="709"/>
        <w:jc w:val="both"/>
        <w:rPr>
          <w:rFonts w:ascii="Verdana" w:eastAsia="Calibri" w:hAnsi="Verdana" w:cs="Arial"/>
          <w:sz w:val="21"/>
          <w:szCs w:val="21"/>
          <w:lang w:val="es-ES"/>
        </w:rPr>
      </w:pPr>
      <w:r w:rsidRPr="004218E1">
        <w:rPr>
          <w:rFonts w:ascii="Verdana" w:eastAsia="Calibri" w:hAnsi="Verdana" w:cs="Arial"/>
          <w:sz w:val="21"/>
          <w:szCs w:val="21"/>
          <w:lang w:val="es-ES"/>
        </w:rPr>
        <w:lastRenderedPageBreak/>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5CDCC035" w14:textId="77777777" w:rsidR="00502A4C" w:rsidRPr="004218E1" w:rsidRDefault="00502A4C" w:rsidP="00502A4C">
      <w:pPr>
        <w:shd w:val="clear" w:color="auto" w:fill="FFFFFF"/>
        <w:spacing w:after="0" w:line="240" w:lineRule="auto"/>
        <w:ind w:left="709" w:right="709"/>
        <w:jc w:val="both"/>
        <w:rPr>
          <w:rFonts w:ascii="Verdana" w:eastAsia="Calibri" w:hAnsi="Verdana" w:cs="Arial"/>
          <w:sz w:val="21"/>
          <w:szCs w:val="21"/>
          <w:lang w:val="es-ES"/>
        </w:rPr>
      </w:pPr>
    </w:p>
    <w:p w14:paraId="1BC6919D" w14:textId="77777777" w:rsidR="00502A4C" w:rsidRPr="004218E1" w:rsidRDefault="00502A4C" w:rsidP="00502A4C">
      <w:pPr>
        <w:shd w:val="clear" w:color="auto" w:fill="FFFFFF"/>
        <w:spacing w:after="0" w:line="240" w:lineRule="auto"/>
        <w:ind w:left="709" w:right="709"/>
        <w:jc w:val="both"/>
        <w:rPr>
          <w:rFonts w:ascii="Verdana" w:eastAsia="Calibri" w:hAnsi="Verdana" w:cs="Arial"/>
          <w:sz w:val="21"/>
          <w:szCs w:val="21"/>
          <w:lang w:val="es-ES"/>
        </w:rPr>
      </w:pPr>
      <w:r w:rsidRPr="004218E1">
        <w:rPr>
          <w:rFonts w:ascii="Verdana" w:eastAsia="Calibri" w:hAnsi="Verdana" w:cs="Arial"/>
          <w:sz w:val="21"/>
          <w:szCs w:val="21"/>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4218E1">
        <w:rPr>
          <w:rFonts w:ascii="Verdana" w:eastAsia="Calibri" w:hAnsi="Verdana" w:cs="Arial"/>
          <w:sz w:val="21"/>
          <w:szCs w:val="21"/>
          <w:vertAlign w:val="superscript"/>
          <w:lang w:val="es-ES"/>
        </w:rPr>
        <w:footnoteReference w:id="4"/>
      </w:r>
    </w:p>
    <w:p w14:paraId="2BCCFE24" w14:textId="77777777" w:rsidR="00502A4C" w:rsidRPr="0060163E" w:rsidRDefault="00502A4C" w:rsidP="00502A4C">
      <w:pPr>
        <w:shd w:val="clear" w:color="auto" w:fill="FFFFFF"/>
        <w:spacing w:after="0" w:line="240" w:lineRule="auto"/>
        <w:ind w:left="709" w:right="709"/>
        <w:jc w:val="both"/>
        <w:rPr>
          <w:rFonts w:ascii="Verdana" w:eastAsia="Calibri" w:hAnsi="Verdana" w:cs="Arial"/>
          <w:lang w:val="es-ES"/>
        </w:rPr>
      </w:pPr>
    </w:p>
    <w:p w14:paraId="723E7734" w14:textId="77777777" w:rsidR="00502A4C" w:rsidRPr="0060163E" w:rsidRDefault="00502A4C" w:rsidP="00502A4C">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en la salvaguarda del interés general y que su interpretación es taxativa y restrictiva: </w:t>
      </w:r>
    </w:p>
    <w:p w14:paraId="616FF4B5" w14:textId="77777777" w:rsidR="00502A4C" w:rsidRPr="004218E1" w:rsidRDefault="00502A4C" w:rsidP="00502A4C">
      <w:pPr>
        <w:spacing w:after="0" w:line="276" w:lineRule="auto"/>
        <w:rPr>
          <w:rFonts w:ascii="Verdana" w:eastAsia="Times New Roman" w:hAnsi="Verdana" w:cs="Arial"/>
          <w:sz w:val="21"/>
          <w:szCs w:val="21"/>
          <w:shd w:val="clear" w:color="auto" w:fill="FFFFFF"/>
          <w:lang w:eastAsia="es-ES_tradnl"/>
        </w:rPr>
      </w:pPr>
    </w:p>
    <w:p w14:paraId="1F0BB679" w14:textId="77777777" w:rsidR="00502A4C" w:rsidRPr="004218E1" w:rsidRDefault="00502A4C" w:rsidP="00502A4C">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w:t>
      </w:r>
      <w:r w:rsidRPr="004218E1">
        <w:rPr>
          <w:rFonts w:ascii="Verdana" w:eastAsia="Calibri" w:hAnsi="Verdana" w:cs="Arial"/>
          <w:sz w:val="21"/>
          <w:szCs w:val="21"/>
          <w:lang w:val="es-MX"/>
        </w:rPr>
        <w:lastRenderedPageBreak/>
        <w:t>nulidad del contrato celebrado en esas condiciones (ley 80 de 1993, art. 44).</w:t>
      </w:r>
    </w:p>
    <w:p w14:paraId="1F63F6F5" w14:textId="77777777" w:rsidR="00502A4C" w:rsidRPr="004218E1" w:rsidRDefault="00502A4C" w:rsidP="00502A4C">
      <w:pPr>
        <w:spacing w:after="0" w:line="240" w:lineRule="auto"/>
        <w:ind w:left="709" w:right="709"/>
        <w:jc w:val="both"/>
        <w:rPr>
          <w:rFonts w:ascii="Verdana" w:eastAsia="Calibri" w:hAnsi="Verdana" w:cs="Arial"/>
          <w:sz w:val="21"/>
          <w:szCs w:val="21"/>
          <w:lang w:val="es-MX"/>
        </w:rPr>
      </w:pPr>
    </w:p>
    <w:p w14:paraId="5905D4EB" w14:textId="77777777" w:rsidR="00502A4C" w:rsidRPr="004218E1" w:rsidRDefault="00502A4C" w:rsidP="00502A4C">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4218E1">
        <w:rPr>
          <w:rFonts w:ascii="Verdana" w:eastAsia="Calibri" w:hAnsi="Verdana" w:cs="Arial"/>
          <w:sz w:val="21"/>
          <w:szCs w:val="21"/>
          <w:vertAlign w:val="superscript"/>
          <w:lang w:val="es-MX"/>
        </w:rPr>
        <w:footnoteReference w:id="5"/>
      </w:r>
      <w:r w:rsidRPr="004218E1">
        <w:rPr>
          <w:rFonts w:ascii="Verdana" w:eastAsia="Calibri" w:hAnsi="Verdana" w:cs="Arial"/>
          <w:sz w:val="21"/>
          <w:szCs w:val="21"/>
          <w:lang w:val="es-MX"/>
        </w:rPr>
        <w:t xml:space="preserve">. </w:t>
      </w:r>
    </w:p>
    <w:p w14:paraId="4FC612E3" w14:textId="77777777" w:rsidR="00502A4C" w:rsidRPr="0060163E" w:rsidRDefault="00502A4C" w:rsidP="00502A4C">
      <w:pPr>
        <w:spacing w:after="0" w:line="276" w:lineRule="auto"/>
        <w:ind w:right="709"/>
        <w:jc w:val="both"/>
        <w:rPr>
          <w:rFonts w:ascii="Verdana" w:eastAsia="Calibri" w:hAnsi="Verdana" w:cs="Arial"/>
          <w:lang w:val="es-MX"/>
        </w:rPr>
      </w:pPr>
    </w:p>
    <w:p w14:paraId="7CCF6E4B" w14:textId="77777777" w:rsidR="00502A4C" w:rsidRPr="0060163E" w:rsidRDefault="00502A4C" w:rsidP="00502A4C">
      <w:pPr>
        <w:spacing w:after="0" w:line="276" w:lineRule="auto"/>
        <w:ind w:firstLine="709"/>
        <w:jc w:val="both"/>
        <w:rPr>
          <w:rFonts w:ascii="Verdana" w:eastAsia="Calibri" w:hAnsi="Verdana" w:cs="Arial"/>
          <w:lang w:val="es-MX"/>
        </w:rPr>
      </w:pPr>
      <w:r w:rsidRPr="0060163E">
        <w:rPr>
          <w:rFonts w:ascii="Verdana" w:eastAsia="Calibri" w:hAnsi="Verdana" w:cs="Arial"/>
          <w:lang w:val="es-MX"/>
        </w:rPr>
        <w:t>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3CC73FAA" w14:textId="77777777" w:rsidR="00502A4C" w:rsidRPr="0060163E" w:rsidRDefault="00502A4C" w:rsidP="00502A4C">
      <w:pPr>
        <w:tabs>
          <w:tab w:val="left" w:pos="1532"/>
        </w:tabs>
        <w:spacing w:after="0" w:line="276" w:lineRule="auto"/>
        <w:jc w:val="both"/>
        <w:rPr>
          <w:rFonts w:ascii="Verdana" w:eastAsia="Calibri" w:hAnsi="Verdana" w:cs="Arial"/>
          <w:lang w:val="es-MX"/>
        </w:rPr>
      </w:pPr>
    </w:p>
    <w:p w14:paraId="42E21F85" w14:textId="77777777" w:rsidR="00502A4C" w:rsidRPr="004218E1" w:rsidRDefault="00502A4C" w:rsidP="00502A4C">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w:t>
      </w:r>
      <w:proofErr w:type="spellStart"/>
      <w:r w:rsidRPr="004218E1">
        <w:rPr>
          <w:rFonts w:ascii="Verdana" w:eastAsia="Calibri" w:hAnsi="Verdana" w:cs="Arial"/>
          <w:sz w:val="21"/>
          <w:szCs w:val="21"/>
          <w:lang w:val="es-MX"/>
        </w:rPr>
        <w:t>libertate</w:t>
      </w:r>
      <w:proofErr w:type="spellEnd"/>
      <w:r w:rsidRPr="004218E1">
        <w:rPr>
          <w:rFonts w:ascii="Verdana" w:eastAsia="Calibri" w:hAnsi="Verdana" w:cs="Arial"/>
          <w:sz w:val="21"/>
          <w:szCs w:val="21"/>
          <w:lang w:val="es-MX"/>
        </w:rPr>
        <w:t xml:space="preserve">, sino el de legalidad, el que ordena que la función pública debe someterse estrictamente a lo que disponga la Constitución y la ley (CP art. 6). </w:t>
      </w:r>
    </w:p>
    <w:p w14:paraId="77E00515" w14:textId="77777777" w:rsidR="00502A4C" w:rsidRPr="004218E1" w:rsidRDefault="00502A4C" w:rsidP="00502A4C">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 xml:space="preserve">[…] </w:t>
      </w:r>
    </w:p>
    <w:p w14:paraId="682FF9AD" w14:textId="77777777" w:rsidR="00502A4C" w:rsidRPr="004218E1" w:rsidRDefault="00502A4C" w:rsidP="00502A4C">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4218E1">
        <w:rPr>
          <w:rFonts w:ascii="Verdana" w:eastAsia="Calibri" w:hAnsi="Verdana" w:cs="Arial"/>
          <w:sz w:val="21"/>
          <w:szCs w:val="21"/>
          <w:vertAlign w:val="superscript"/>
          <w:lang w:val="es-MX"/>
        </w:rPr>
        <w:footnoteReference w:id="6"/>
      </w:r>
      <w:r w:rsidRPr="004218E1">
        <w:rPr>
          <w:rFonts w:ascii="Verdana" w:eastAsia="Calibri" w:hAnsi="Verdana" w:cs="Arial"/>
          <w:sz w:val="21"/>
          <w:szCs w:val="21"/>
          <w:lang w:val="es-MX"/>
        </w:rPr>
        <w:t>.</w:t>
      </w:r>
    </w:p>
    <w:p w14:paraId="138A5637" w14:textId="77777777" w:rsidR="00502A4C" w:rsidRPr="0060163E" w:rsidRDefault="00502A4C" w:rsidP="00502A4C">
      <w:pPr>
        <w:spacing w:after="0" w:line="276" w:lineRule="auto"/>
        <w:ind w:left="709" w:right="709"/>
        <w:jc w:val="both"/>
        <w:rPr>
          <w:rFonts w:ascii="Verdana" w:eastAsia="Calibri" w:hAnsi="Verdana" w:cs="Arial"/>
          <w:lang w:val="es-MX"/>
        </w:rPr>
      </w:pPr>
    </w:p>
    <w:p w14:paraId="3D1A32D4" w14:textId="77777777" w:rsidR="00502A4C" w:rsidRPr="0060163E" w:rsidRDefault="00502A4C" w:rsidP="00502A4C">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Conviene también distinguir las fuentes de las inhabilidades, las cuales han sido clasificadas en dos (2) grupos: i) inhabilidades-sanción y </w:t>
      </w:r>
      <w:proofErr w:type="spellStart"/>
      <w:r w:rsidRPr="0060163E">
        <w:rPr>
          <w:rFonts w:ascii="Verdana" w:eastAsia="Calibri" w:hAnsi="Verdana" w:cs="Arial"/>
          <w:lang w:val="es-MX"/>
        </w:rPr>
        <w:t>ii</w:t>
      </w:r>
      <w:proofErr w:type="spellEnd"/>
      <w:r w:rsidRPr="0060163E">
        <w:rPr>
          <w:rFonts w:ascii="Verdana" w:eastAsia="Calibri" w:hAnsi="Verdana" w:cs="Arial"/>
          <w:lang w:val="es-MX"/>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163E">
        <w:rPr>
          <w:rFonts w:ascii="Verdana" w:eastAsia="Calibri" w:hAnsi="Verdana" w:cs="Arial"/>
          <w:vertAlign w:val="superscript"/>
          <w:lang w:val="es-MX"/>
        </w:rPr>
        <w:footnoteReference w:id="7"/>
      </w:r>
      <w:r w:rsidRPr="0060163E">
        <w:rPr>
          <w:rFonts w:ascii="Verdana" w:eastAsia="Calibri" w:hAnsi="Verdana" w:cs="Arial"/>
          <w:lang w:val="es-MX"/>
        </w:rPr>
        <w:t>.</w:t>
      </w:r>
    </w:p>
    <w:p w14:paraId="311CC75B" w14:textId="77777777" w:rsidR="00502A4C" w:rsidRPr="0060163E" w:rsidRDefault="00502A4C" w:rsidP="00502A4C">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8"/>
      </w:r>
      <w:r w:rsidRPr="0060163E">
        <w:rPr>
          <w:rFonts w:ascii="Verdana" w:eastAsia="Calibri" w:hAnsi="Verdana" w:cs="Arial"/>
          <w:lang w:val="es-MX"/>
        </w:rPr>
        <w:t xml:space="preserve"> establecen inhabilidades-sanción, </w:t>
      </w:r>
      <w:r w:rsidRPr="0060163E">
        <w:rPr>
          <w:rFonts w:ascii="Verdana" w:eastAsia="Calibri" w:hAnsi="Verdana" w:cs="Arial"/>
          <w:lang w:val="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3818CDD1" w14:textId="77777777" w:rsidR="00502A4C" w:rsidRPr="0060163E" w:rsidRDefault="00502A4C" w:rsidP="00502A4C">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2A9CAA03" w14:textId="77777777" w:rsidR="00502A4C" w:rsidRPr="0060163E" w:rsidRDefault="00502A4C" w:rsidP="00502A4C">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Ahora bien, las inhabilidades e incompatibilidades al ser restricciones o límites especiales a la capacidad para presentar ofertas y celebrar contratos </w:t>
      </w:r>
      <w:r w:rsidRPr="0060163E">
        <w:rPr>
          <w:rFonts w:ascii="Verdana" w:eastAsia="Calibri" w:hAnsi="Verdana" w:cs="Arial"/>
          <w:lang w:val="es-ES_tradnl"/>
        </w:rPr>
        <w:lastRenderedPageBreak/>
        <w:t xml:space="preserve">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60163E">
        <w:rPr>
          <w:rFonts w:ascii="Verdana" w:eastAsia="Calibri" w:hAnsi="Verdana" w:cs="Arial"/>
          <w:i/>
          <w:iCs/>
          <w:vertAlign w:val="superscript"/>
          <w:lang w:val="es-ES_tradnl"/>
        </w:rPr>
        <w:footnoteReference w:id="9"/>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5732FBD2" w14:textId="77777777" w:rsidR="00502A4C" w:rsidRPr="0060163E" w:rsidRDefault="00502A4C" w:rsidP="00502A4C">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10"/>
      </w:r>
      <w:r w:rsidRPr="0060163E">
        <w:rPr>
          <w:rFonts w:ascii="Verdana" w:eastAsia="Calibri" w:hAnsi="Verdana" w:cs="Arial"/>
          <w:lang w:val="es-ES_tradnl"/>
        </w:rPr>
        <w:t xml:space="preserve">. </w:t>
      </w:r>
    </w:p>
    <w:p w14:paraId="59F3931C" w14:textId="77777777" w:rsidR="00502A4C" w:rsidRPr="0060163E" w:rsidRDefault="00502A4C" w:rsidP="00502A4C">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0163E">
        <w:rPr>
          <w:rFonts w:ascii="Verdana" w:eastAsia="Calibri" w:hAnsi="Verdana" w:cs="Arial"/>
          <w:vertAlign w:val="superscript"/>
          <w:lang w:val="es-ES_tradnl"/>
        </w:rPr>
        <w:footnoteReference w:id="11"/>
      </w:r>
      <w:r w:rsidRPr="0060163E">
        <w:rPr>
          <w:rFonts w:ascii="Verdana" w:eastAsia="Calibri" w:hAnsi="Verdana" w:cs="Arial"/>
          <w:lang w:val="es-ES_tradnl"/>
        </w:rPr>
        <w:t>. En tal sentido, la Sección Tercera ha señalado que:</w:t>
      </w:r>
    </w:p>
    <w:p w14:paraId="705F819F" w14:textId="77777777" w:rsidR="00502A4C" w:rsidRPr="0060163E" w:rsidRDefault="00502A4C" w:rsidP="00502A4C">
      <w:pPr>
        <w:spacing w:after="0" w:line="276" w:lineRule="auto"/>
        <w:ind w:firstLine="709"/>
        <w:jc w:val="both"/>
        <w:rPr>
          <w:rFonts w:ascii="Verdana" w:eastAsia="Calibri" w:hAnsi="Verdana" w:cs="Arial"/>
          <w:lang w:val="es-ES_tradnl"/>
        </w:rPr>
      </w:pPr>
    </w:p>
    <w:p w14:paraId="1AFC928C" w14:textId="77777777" w:rsidR="00502A4C" w:rsidRPr="004218E1" w:rsidRDefault="00502A4C" w:rsidP="00502A4C">
      <w:pPr>
        <w:spacing w:after="0" w:line="240" w:lineRule="auto"/>
        <w:ind w:left="709" w:right="709"/>
        <w:jc w:val="both"/>
        <w:rPr>
          <w:rFonts w:ascii="Verdana" w:eastAsia="Calibri" w:hAnsi="Verdana" w:cs="Arial"/>
          <w:sz w:val="21"/>
          <w:szCs w:val="21"/>
          <w:lang w:val="es-ES_tradnl"/>
        </w:rPr>
      </w:pPr>
      <w:r w:rsidRPr="004218E1">
        <w:rPr>
          <w:rFonts w:ascii="Verdana" w:eastAsia="Calibri" w:hAnsi="Verdana" w:cs="Arial"/>
          <w:sz w:val="21"/>
          <w:szCs w:val="21"/>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4218E1">
        <w:rPr>
          <w:rFonts w:ascii="Verdana" w:eastAsia="Calibri" w:hAnsi="Verdana" w:cs="Arial"/>
          <w:sz w:val="21"/>
          <w:szCs w:val="21"/>
          <w:vertAlign w:val="superscript"/>
          <w:lang w:val="es-ES_tradnl"/>
        </w:rPr>
        <w:footnoteReference w:id="12"/>
      </w:r>
      <w:r w:rsidRPr="004218E1">
        <w:rPr>
          <w:rFonts w:ascii="Verdana" w:eastAsia="Calibri" w:hAnsi="Verdana" w:cs="Arial"/>
          <w:sz w:val="21"/>
          <w:szCs w:val="21"/>
          <w:lang w:val="es-ES_tradnl"/>
        </w:rPr>
        <w:t>.</w:t>
      </w:r>
    </w:p>
    <w:p w14:paraId="668EB9FB" w14:textId="77777777" w:rsidR="00502A4C" w:rsidRPr="004218E1" w:rsidRDefault="00502A4C" w:rsidP="00502A4C">
      <w:pPr>
        <w:spacing w:after="0" w:line="240" w:lineRule="auto"/>
        <w:ind w:firstLine="709"/>
        <w:jc w:val="both"/>
        <w:rPr>
          <w:rFonts w:ascii="Verdana" w:eastAsia="Calibri" w:hAnsi="Verdana" w:cs="Arial"/>
          <w:sz w:val="21"/>
          <w:szCs w:val="21"/>
          <w:lang w:val="es-ES_tradnl"/>
        </w:rPr>
      </w:pPr>
    </w:p>
    <w:p w14:paraId="0C81CA13" w14:textId="77777777" w:rsidR="00502A4C" w:rsidRPr="004218E1" w:rsidRDefault="00502A4C" w:rsidP="00502A4C">
      <w:pPr>
        <w:spacing w:after="0" w:line="240" w:lineRule="auto"/>
        <w:ind w:firstLine="709"/>
        <w:jc w:val="both"/>
        <w:rPr>
          <w:rFonts w:ascii="Verdana" w:eastAsia="Calibri" w:hAnsi="Verdana" w:cs="Arial"/>
          <w:sz w:val="21"/>
          <w:szCs w:val="21"/>
          <w:lang w:val="es-ES_tradnl"/>
        </w:rPr>
      </w:pPr>
      <w:r w:rsidRPr="004218E1">
        <w:rPr>
          <w:rFonts w:ascii="Verdana" w:eastAsia="Calibri" w:hAnsi="Verdana" w:cs="Arial"/>
          <w:sz w:val="21"/>
          <w:szCs w:val="21"/>
          <w:lang w:val="es-ES_tradnl"/>
        </w:rPr>
        <w:t>También ha dicho que:</w:t>
      </w:r>
    </w:p>
    <w:p w14:paraId="6A31DFFD" w14:textId="77777777" w:rsidR="00502A4C" w:rsidRPr="004218E1" w:rsidRDefault="00502A4C" w:rsidP="00502A4C">
      <w:pPr>
        <w:spacing w:after="0" w:line="240" w:lineRule="auto"/>
        <w:ind w:left="709" w:right="616"/>
        <w:jc w:val="both"/>
        <w:rPr>
          <w:rFonts w:ascii="Verdana" w:eastAsia="Calibri" w:hAnsi="Verdana" w:cs="Arial"/>
          <w:sz w:val="21"/>
          <w:szCs w:val="21"/>
          <w:lang w:val="es-ES"/>
        </w:rPr>
      </w:pPr>
      <w:r w:rsidRPr="004218E1">
        <w:rPr>
          <w:rFonts w:ascii="Verdana" w:eastAsia="Calibri" w:hAnsi="Verdana" w:cs="Arial"/>
          <w:sz w:val="21"/>
          <w:szCs w:val="21"/>
          <w:lang w:val="es-ES"/>
        </w:rPr>
        <w:t xml:space="preserve">[…] la aplicación de estos preceptos exige una interpretación restrictiva, dado que según el principio hermenéutico </w:t>
      </w:r>
      <w:r w:rsidRPr="004218E1">
        <w:rPr>
          <w:rFonts w:ascii="Verdana" w:eastAsia="Calibri" w:hAnsi="Verdana" w:cs="Arial"/>
          <w:i/>
          <w:iCs/>
          <w:sz w:val="21"/>
          <w:szCs w:val="21"/>
          <w:lang w:val="es-ES"/>
        </w:rPr>
        <w:t xml:space="preserve">pro </w:t>
      </w:r>
      <w:proofErr w:type="spellStart"/>
      <w:r w:rsidRPr="004218E1">
        <w:rPr>
          <w:rFonts w:ascii="Verdana" w:eastAsia="Calibri" w:hAnsi="Verdana" w:cs="Arial"/>
          <w:i/>
          <w:iCs/>
          <w:sz w:val="21"/>
          <w:szCs w:val="21"/>
          <w:lang w:val="es-ES"/>
        </w:rPr>
        <w:t>libertate</w:t>
      </w:r>
      <w:proofErr w:type="spellEnd"/>
      <w:r w:rsidRPr="004218E1">
        <w:rPr>
          <w:rFonts w:ascii="Verdana" w:eastAsia="Calibri" w:hAnsi="Verdana" w:cs="Arial"/>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4218E1">
        <w:rPr>
          <w:rFonts w:ascii="Verdana" w:eastAsia="Calibri" w:hAnsi="Verdana" w:cs="Arial"/>
          <w:sz w:val="21"/>
          <w:szCs w:val="21"/>
          <w:vertAlign w:val="superscript"/>
          <w:lang w:val="es-ES"/>
        </w:rPr>
        <w:footnoteReference w:id="13"/>
      </w:r>
      <w:r w:rsidRPr="004218E1">
        <w:rPr>
          <w:rFonts w:ascii="Verdana" w:eastAsia="Calibri" w:hAnsi="Verdana" w:cs="Arial"/>
          <w:sz w:val="21"/>
          <w:szCs w:val="21"/>
          <w:lang w:val="es-ES"/>
        </w:rPr>
        <w:t>.</w:t>
      </w:r>
    </w:p>
    <w:p w14:paraId="166AE9BE" w14:textId="77777777" w:rsidR="00502A4C" w:rsidRPr="0060163E" w:rsidRDefault="00502A4C" w:rsidP="00502A4C">
      <w:pPr>
        <w:spacing w:after="0" w:line="276" w:lineRule="auto"/>
        <w:jc w:val="both"/>
        <w:rPr>
          <w:rFonts w:ascii="Verdana" w:eastAsia="Arial" w:hAnsi="Verdana" w:cs="Arial"/>
          <w:color w:val="000000"/>
          <w:lang w:val="es-ES_tradnl"/>
        </w:rPr>
      </w:pPr>
    </w:p>
    <w:p w14:paraId="1E95E907" w14:textId="77777777" w:rsidR="00502A4C" w:rsidRPr="0060163E" w:rsidRDefault="00502A4C" w:rsidP="00502A4C">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 xml:space="preserve">pro </w:t>
      </w:r>
      <w:proofErr w:type="spellStart"/>
      <w:r w:rsidRPr="0060163E">
        <w:rPr>
          <w:rFonts w:ascii="Verdana" w:eastAsia="Arial" w:hAnsi="Verdana" w:cs="Arial"/>
          <w:i/>
          <w:iCs/>
          <w:color w:val="000000"/>
          <w:lang w:val="es-ES_tradnl"/>
        </w:rPr>
        <w:t>libertate</w:t>
      </w:r>
      <w:proofErr w:type="spellEnd"/>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4"/>
      </w:r>
    </w:p>
    <w:p w14:paraId="7819848F" w14:textId="77777777" w:rsidR="00502A4C" w:rsidRPr="0060163E" w:rsidRDefault="00502A4C" w:rsidP="00502A4C">
      <w:pPr>
        <w:spacing w:after="0" w:line="276" w:lineRule="auto"/>
        <w:ind w:firstLine="709"/>
        <w:jc w:val="both"/>
        <w:rPr>
          <w:rFonts w:ascii="Verdana" w:eastAsia="Calibri" w:hAnsi="Verdana" w:cs="Arial"/>
          <w:color w:val="000000"/>
          <w:shd w:val="clear" w:color="auto" w:fill="FFFFFF"/>
          <w:lang w:val="es-MX"/>
        </w:rPr>
      </w:pPr>
      <w:r w:rsidRPr="0060163E">
        <w:rPr>
          <w:rFonts w:ascii="Verdana" w:eastAsia="Calibri" w:hAnsi="Verdana" w:cs="Arial"/>
          <w:shd w:val="clear" w:color="auto" w:fill="FFFFFF"/>
          <w:lang w:val="es-MX"/>
        </w:rP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sidRPr="0060163E">
        <w:rPr>
          <w:rFonts w:ascii="Verdana" w:eastAsia="Calibri" w:hAnsi="Verdana" w:cs="Arial"/>
          <w:shd w:val="clear" w:color="auto" w:fill="FFFFFF"/>
          <w:vertAlign w:val="superscript"/>
          <w:lang w:val="es-MX"/>
        </w:rPr>
        <w:footnoteReference w:id="15"/>
      </w:r>
      <w:r w:rsidRPr="0060163E">
        <w:rPr>
          <w:rFonts w:ascii="Verdana" w:eastAsia="Calibri" w:hAnsi="Verdana" w:cs="Arial"/>
          <w:shd w:val="clear" w:color="auto" w:fill="FFFFFF"/>
          <w:lang w:val="es-MX"/>
        </w:rPr>
        <w:t xml:space="preserve"> En similar sentido, la Sala de Consulta y Servicio Civil del Consejo de Estado expresó </w:t>
      </w:r>
      <w:r w:rsidRPr="0060163E">
        <w:rPr>
          <w:rFonts w:ascii="Verdana" w:eastAsia="Calibri" w:hAnsi="Verdana" w:cs="Arial"/>
          <w:color w:val="000000"/>
          <w:shd w:val="clear" w:color="auto" w:fill="FFFFFF"/>
          <w:lang w:val="es-MX"/>
        </w:rPr>
        <w:t xml:space="preserve">que “[…] las causales de inhabilidad e incompatibilidad deben estar expresa y taxativamente </w:t>
      </w:r>
      <w:r w:rsidRPr="0060163E">
        <w:rPr>
          <w:rFonts w:ascii="Verdana" w:eastAsia="Calibri" w:hAnsi="Verdana" w:cs="Arial"/>
          <w:color w:val="000000"/>
          <w:shd w:val="clear" w:color="auto" w:fill="FFFFFF"/>
          <w:lang w:val="es-MX"/>
        </w:rPr>
        <w:lastRenderedPageBreak/>
        <w:t>establecidas en la Constitución o en la ley y son de aplicación e interpretación restrictivas […]”</w:t>
      </w:r>
      <w:r w:rsidRPr="0060163E">
        <w:rPr>
          <w:rFonts w:ascii="Verdana" w:eastAsia="Calibri" w:hAnsi="Verdana" w:cs="Arial"/>
          <w:color w:val="000000"/>
          <w:shd w:val="clear" w:color="auto" w:fill="FFFFFF"/>
          <w:vertAlign w:val="superscript"/>
          <w:lang w:val="es-MX"/>
        </w:rPr>
        <w:footnoteReference w:id="16"/>
      </w:r>
      <w:r w:rsidRPr="0060163E">
        <w:rPr>
          <w:rFonts w:ascii="Verdana" w:eastAsia="Calibri" w:hAnsi="Verdana" w:cs="Arial"/>
          <w:color w:val="000000"/>
          <w:shd w:val="clear" w:color="auto" w:fill="FFFFFF"/>
          <w:lang w:val="es-MX"/>
        </w:rPr>
        <w:t xml:space="preserve">. </w:t>
      </w:r>
      <w:r w:rsidRPr="0060163E">
        <w:rPr>
          <w:rFonts w:ascii="Verdana" w:eastAsia="MS Mincho" w:hAnsi="Verdana" w:cs="Arial"/>
          <w:color w:val="000000"/>
          <w:shd w:val="clear" w:color="auto" w:fill="FFFFFF"/>
          <w:lang w:val="es-MX"/>
        </w:rPr>
        <w:t xml:space="preserve">Como se observa, </w:t>
      </w:r>
      <w:r w:rsidRPr="0060163E">
        <w:rPr>
          <w:rFonts w:ascii="Verdana" w:eastAsia="MS Mincho" w:hAnsi="Verdana" w:cs="Arial"/>
          <w:color w:val="000000"/>
          <w:shd w:val="clear" w:color="auto" w:fill="FFFFFF"/>
        </w:rPr>
        <w:t>existe consenso, incluso como lo ha expresado esta Agencia en ocasiones anteriores, que la creación de inhabilidades o incompatibilidades está reservada al constituyente o al legislador.</w:t>
      </w:r>
    </w:p>
    <w:p w14:paraId="05FF6C0C" w14:textId="77777777" w:rsidR="00502A4C" w:rsidRPr="00FF2FD4" w:rsidRDefault="00502A4C" w:rsidP="00502A4C">
      <w:pPr>
        <w:spacing w:after="0" w:line="276" w:lineRule="auto"/>
        <w:jc w:val="both"/>
        <w:rPr>
          <w:rFonts w:ascii="Verdana" w:eastAsia="Calibri" w:hAnsi="Verdana" w:cs="Arial"/>
          <w:b/>
          <w:lang w:val="es-ES_tradnl"/>
        </w:rPr>
      </w:pPr>
    </w:p>
    <w:p w14:paraId="38050DE8" w14:textId="6D37C74B" w:rsidR="005638F5" w:rsidRPr="00AE22D5" w:rsidRDefault="00BB2A21" w:rsidP="005638F5">
      <w:pPr>
        <w:spacing w:after="0" w:line="276" w:lineRule="auto"/>
        <w:jc w:val="both"/>
        <w:rPr>
          <w:rFonts w:ascii="Verdana" w:eastAsia="Calibri" w:hAnsi="Verdana" w:cs="Arial"/>
          <w:color w:val="000000"/>
        </w:rPr>
      </w:pPr>
      <w:proofErr w:type="spellStart"/>
      <w:r>
        <w:rPr>
          <w:rFonts w:ascii="Verdana" w:eastAsia="Calibri" w:hAnsi="Verdana" w:cs="Arial"/>
          <w:lang w:val="es-ES"/>
        </w:rPr>
        <w:t>ii</w:t>
      </w:r>
      <w:proofErr w:type="spellEnd"/>
      <w:r w:rsidR="00F90FE0">
        <w:rPr>
          <w:rFonts w:ascii="Verdana" w:eastAsia="Calibri" w:hAnsi="Verdana" w:cs="Arial"/>
          <w:lang w:val="es-ES"/>
        </w:rPr>
        <w:t>.</w:t>
      </w:r>
      <w:r w:rsidR="005638F5" w:rsidRPr="00AE22D5">
        <w:rPr>
          <w:rFonts w:ascii="Verdana" w:hAnsi="Verdana" w:cs="Arial"/>
          <w:color w:val="000000" w:themeColor="text1"/>
          <w:lang w:val="es-ES"/>
        </w:rPr>
        <w:t xml:space="preserve"> </w:t>
      </w:r>
      <w:r w:rsidR="005638F5" w:rsidRPr="00AE22D5">
        <w:rPr>
          <w:rFonts w:ascii="Verdana" w:eastAsia="Calibri" w:hAnsi="Verdana" w:cs="Arial"/>
          <w:color w:val="00000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34F354A6" w14:textId="77777777" w:rsidR="005638F5" w:rsidRPr="00AE22D5" w:rsidRDefault="005638F5" w:rsidP="005638F5">
      <w:pPr>
        <w:spacing w:after="0" w:line="276" w:lineRule="auto"/>
        <w:jc w:val="both"/>
        <w:rPr>
          <w:rFonts w:ascii="Verdana" w:eastAsia="Calibri" w:hAnsi="Verdana" w:cs="Arial"/>
          <w:color w:val="000000"/>
        </w:rPr>
      </w:pPr>
    </w:p>
    <w:p w14:paraId="76033633" w14:textId="77777777" w:rsidR="005638F5" w:rsidRPr="00AE22D5" w:rsidRDefault="005638F5" w:rsidP="005638F5">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744330D2" w14:textId="77777777" w:rsidR="005638F5" w:rsidRPr="00AE22D5" w:rsidRDefault="005638F5" w:rsidP="005638F5">
      <w:pPr>
        <w:spacing w:after="0" w:line="240" w:lineRule="auto"/>
        <w:ind w:left="709" w:right="709"/>
        <w:jc w:val="both"/>
        <w:rPr>
          <w:rFonts w:ascii="Verdana" w:eastAsia="Calibri" w:hAnsi="Verdana" w:cs="Arial"/>
          <w:color w:val="000000"/>
          <w:sz w:val="20"/>
          <w:szCs w:val="20"/>
        </w:rPr>
      </w:pPr>
    </w:p>
    <w:p w14:paraId="50B4D083" w14:textId="77777777" w:rsidR="005638F5" w:rsidRPr="00AE22D5" w:rsidRDefault="005638F5" w:rsidP="005638F5">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En ningún caso estos contratos generan relación laboral ni prestaciones sociales y se celebrarán por el término estrictamente indispensable.</w:t>
      </w:r>
    </w:p>
    <w:p w14:paraId="43B024E8" w14:textId="77777777" w:rsidR="005638F5" w:rsidRPr="00AE22D5" w:rsidRDefault="005638F5" w:rsidP="005638F5">
      <w:pPr>
        <w:tabs>
          <w:tab w:val="left" w:pos="284"/>
        </w:tabs>
        <w:spacing w:after="0" w:line="276" w:lineRule="auto"/>
        <w:contextualSpacing/>
        <w:jc w:val="both"/>
        <w:rPr>
          <w:rFonts w:ascii="Verdana" w:eastAsia="Calibri" w:hAnsi="Verdana" w:cs="Arial"/>
          <w:b/>
          <w:color w:val="000000"/>
        </w:rPr>
      </w:pPr>
    </w:p>
    <w:p w14:paraId="5784A0A9" w14:textId="77777777" w:rsidR="005638F5" w:rsidRPr="00AE22D5" w:rsidRDefault="005638F5" w:rsidP="005638F5">
      <w:pPr>
        <w:spacing w:after="0" w:line="276" w:lineRule="auto"/>
        <w:ind w:firstLine="709"/>
        <w:jc w:val="both"/>
        <w:rPr>
          <w:rFonts w:ascii="Verdana" w:eastAsia="Calibri" w:hAnsi="Verdana" w:cs="Arial"/>
          <w:color w:val="000000"/>
        </w:rPr>
      </w:pPr>
      <w:r w:rsidRPr="00AE22D5">
        <w:rPr>
          <w:rFonts w:ascii="Verdana" w:eastAsia="Calibri" w:hAnsi="Verdana" w:cs="Arial"/>
          <w:color w:val="000000"/>
        </w:rPr>
        <w:t>De otro lado, la celebración de dicho contrato debe efectuarse mediante la modalidad de la contratación directa. Así lo prevé el artículo 2, numeral 4º, literal h) de la Ley 1150 de 2007, que dispone:</w:t>
      </w:r>
    </w:p>
    <w:p w14:paraId="16145F12" w14:textId="77777777" w:rsidR="005638F5" w:rsidRPr="00AE22D5" w:rsidRDefault="005638F5" w:rsidP="005638F5">
      <w:pPr>
        <w:spacing w:after="0" w:line="276" w:lineRule="auto"/>
        <w:ind w:firstLine="709"/>
        <w:jc w:val="both"/>
        <w:rPr>
          <w:rFonts w:ascii="Verdana" w:eastAsia="Calibri" w:hAnsi="Verdana" w:cs="Arial"/>
          <w:color w:val="000000"/>
        </w:rPr>
      </w:pPr>
    </w:p>
    <w:p w14:paraId="268FE9B1" w14:textId="77777777" w:rsidR="005638F5" w:rsidRPr="00AE22D5" w:rsidRDefault="005638F5" w:rsidP="005638F5">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w:t>
      </w:r>
    </w:p>
    <w:p w14:paraId="7A04EEF5" w14:textId="77777777" w:rsidR="005638F5" w:rsidRPr="00AE22D5" w:rsidRDefault="005638F5" w:rsidP="005638F5">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Contratación directa. La modalidad de selección de contratación directa, solamente procederá en los siguientes casos:</w:t>
      </w:r>
    </w:p>
    <w:p w14:paraId="2A502E08" w14:textId="77777777" w:rsidR="005638F5" w:rsidRPr="00AE22D5" w:rsidRDefault="005638F5" w:rsidP="005638F5">
      <w:pPr>
        <w:spacing w:after="0" w:line="240" w:lineRule="auto"/>
        <w:ind w:left="709" w:right="709"/>
        <w:jc w:val="both"/>
        <w:rPr>
          <w:rFonts w:ascii="Verdana" w:eastAsia="Calibri" w:hAnsi="Verdana" w:cs="Arial"/>
          <w:color w:val="000000"/>
          <w:sz w:val="20"/>
          <w:szCs w:val="20"/>
        </w:rPr>
      </w:pPr>
    </w:p>
    <w:p w14:paraId="6102BAA7" w14:textId="77777777" w:rsidR="005638F5" w:rsidRPr="00AE22D5" w:rsidRDefault="005638F5" w:rsidP="005638F5">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w:t>
      </w:r>
    </w:p>
    <w:p w14:paraId="40BF7907" w14:textId="77777777" w:rsidR="005638F5" w:rsidRPr="00AE22D5" w:rsidRDefault="005638F5" w:rsidP="005638F5">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h) Para la prestación de servicios profesionales y de apoyo a la gestión, o para la ejecución de trabajos artísticos que sólo puedan encomendarse a determinadas personas naturales;</w:t>
      </w:r>
    </w:p>
    <w:p w14:paraId="0C92CBA7" w14:textId="77777777" w:rsidR="005638F5" w:rsidRPr="00AE22D5" w:rsidRDefault="005638F5" w:rsidP="005638F5">
      <w:pPr>
        <w:spacing w:after="0" w:line="240" w:lineRule="auto"/>
        <w:ind w:right="709"/>
        <w:jc w:val="both"/>
        <w:rPr>
          <w:rFonts w:ascii="Verdana" w:eastAsia="Calibri" w:hAnsi="Verdana" w:cs="Arial"/>
          <w:color w:val="000000"/>
          <w:sz w:val="20"/>
          <w:szCs w:val="20"/>
        </w:rPr>
      </w:pPr>
    </w:p>
    <w:p w14:paraId="769B6B6E" w14:textId="77777777" w:rsidR="005638F5" w:rsidRPr="00AE22D5" w:rsidRDefault="005638F5" w:rsidP="005638F5">
      <w:pPr>
        <w:spacing w:after="0" w:line="276" w:lineRule="auto"/>
        <w:ind w:firstLine="709"/>
        <w:jc w:val="both"/>
        <w:rPr>
          <w:rFonts w:ascii="Verdana" w:eastAsia="Calibri" w:hAnsi="Verdana" w:cs="Arial"/>
          <w:color w:val="000000"/>
        </w:rPr>
      </w:pPr>
      <w:r w:rsidRPr="00AE22D5">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437549C8" w14:textId="77777777" w:rsidR="005638F5" w:rsidRPr="00AE22D5" w:rsidRDefault="005638F5" w:rsidP="005638F5">
      <w:pPr>
        <w:spacing w:before="120" w:after="120" w:line="276" w:lineRule="auto"/>
        <w:ind w:firstLine="709"/>
        <w:jc w:val="both"/>
        <w:rPr>
          <w:rFonts w:ascii="Verdana" w:eastAsia="Calibri" w:hAnsi="Verdana" w:cs="Arial"/>
          <w:color w:val="000000"/>
        </w:rPr>
      </w:pPr>
      <w:r w:rsidRPr="00AE22D5">
        <w:rPr>
          <w:rFonts w:ascii="Verdana" w:eastAsia="Calibri" w:hAnsi="Verdana" w:cs="Arial"/>
          <w:color w:val="000000"/>
        </w:rPr>
        <w:lastRenderedPageBreak/>
        <w:t>a) Solo puede celebrarse para realizar “actividades relacionadas con la administración o funcionamiento de la entidad”, es decir, que hagan parte de su giro ordinario o quehacer cotidiano.</w:t>
      </w:r>
    </w:p>
    <w:p w14:paraId="059C4A03" w14:textId="77777777" w:rsidR="005638F5" w:rsidRPr="00AE22D5" w:rsidRDefault="005638F5" w:rsidP="005638F5">
      <w:pPr>
        <w:spacing w:before="120" w:after="120" w:line="276" w:lineRule="auto"/>
        <w:ind w:firstLine="709"/>
        <w:jc w:val="both"/>
        <w:rPr>
          <w:rFonts w:ascii="Verdana" w:eastAsia="Calibri" w:hAnsi="Verdana" w:cs="Arial"/>
          <w:color w:val="000000"/>
        </w:rPr>
      </w:pPr>
      <w:r w:rsidRPr="00AE22D5">
        <w:rPr>
          <w:rFonts w:ascii="Verdana" w:eastAsia="Calibri" w:hAnsi="Verdana" w:cs="Arial"/>
          <w:color w:val="00000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57D00C16" w14:textId="77777777" w:rsidR="005638F5" w:rsidRPr="00AE22D5" w:rsidRDefault="005638F5" w:rsidP="005638F5">
      <w:pPr>
        <w:spacing w:before="120" w:after="120" w:line="276" w:lineRule="auto"/>
        <w:ind w:firstLine="709"/>
        <w:jc w:val="both"/>
        <w:rPr>
          <w:rFonts w:ascii="Verdana" w:eastAsia="Calibri" w:hAnsi="Verdana" w:cs="Arial"/>
          <w:color w:val="000000"/>
        </w:rPr>
      </w:pPr>
      <w:r w:rsidRPr="00AE22D5">
        <w:rPr>
          <w:rFonts w:ascii="Verdana" w:eastAsia="Calibri" w:hAnsi="Verdana" w:cs="Arial"/>
          <w:color w:val="000000"/>
        </w:rPr>
        <w:t>c) Si bien se celebran para obtener la prestación personal de un servicio, se diferencian del contrato de trabajo</w:t>
      </w:r>
      <w:r w:rsidRPr="00AE22D5">
        <w:rPr>
          <w:rFonts w:ascii="Verdana" w:eastAsia="Calibri" w:hAnsi="Verdana" w:cs="Arial"/>
          <w:color w:val="000000"/>
          <w:vertAlign w:val="superscript"/>
        </w:rPr>
        <w:footnoteReference w:id="17"/>
      </w:r>
      <w:r w:rsidRPr="00AE22D5">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AE22D5">
        <w:rPr>
          <w:rFonts w:ascii="Verdana" w:eastAsia="Calibri" w:hAnsi="Verdana" w:cs="Arial"/>
          <w:i/>
          <w:color w:val="000000"/>
        </w:rPr>
        <w:t>subordinación y dependencia</w:t>
      </w:r>
      <w:r w:rsidRPr="00AE22D5">
        <w:rPr>
          <w:rFonts w:ascii="Verdana" w:eastAsia="Calibri" w:hAnsi="Verdana" w:cs="Arial"/>
          <w:iCs/>
          <w:color w:val="000000"/>
        </w:rPr>
        <w:t>,</w:t>
      </w:r>
      <w:r w:rsidRPr="00AE22D5">
        <w:rPr>
          <w:rFonts w:ascii="Verdana" w:eastAsia="Calibri" w:hAnsi="Verdana"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AE22D5">
        <w:rPr>
          <w:rFonts w:ascii="Verdana" w:eastAsia="Calibri" w:hAnsi="Verdana" w:cs="Arial"/>
          <w:i/>
          <w:color w:val="000000"/>
        </w:rPr>
        <w:t>no pueden</w:t>
      </w:r>
      <w:r w:rsidRPr="00AE22D5">
        <w:rPr>
          <w:rFonts w:ascii="Verdana" w:eastAsia="Calibri" w:hAnsi="Verdana" w:cs="Arial"/>
          <w:color w:val="000000"/>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AE22D5">
        <w:rPr>
          <w:rFonts w:ascii="Verdana" w:eastAsia="Calibri" w:hAnsi="Verdana" w:cs="Arial"/>
          <w:color w:val="000000"/>
          <w:vertAlign w:val="superscript"/>
        </w:rPr>
        <w:footnoteReference w:id="18"/>
      </w:r>
      <w:r w:rsidRPr="00AE22D5">
        <w:rPr>
          <w:rFonts w:ascii="Verdana" w:eastAsia="Calibri" w:hAnsi="Verdana" w:cs="Arial"/>
          <w:color w:val="000000"/>
        </w:rPr>
        <w:t xml:space="preserve">. Pero es posible </w:t>
      </w:r>
      <w:r w:rsidRPr="00AE22D5">
        <w:rPr>
          <w:rFonts w:ascii="Verdana" w:eastAsia="Calibri" w:hAnsi="Verdana" w:cs="Arial"/>
          <w:color w:val="000000"/>
        </w:rPr>
        <w:lastRenderedPageBreak/>
        <w:t xml:space="preserve">que, a pesar de este mandato deontológico, en la práctica surja la relación laboral, pues, como se sabe, el contrato de trabajo es un </w:t>
      </w:r>
      <w:r w:rsidRPr="00AE22D5">
        <w:rPr>
          <w:rFonts w:ascii="Verdana" w:eastAsia="Calibri" w:hAnsi="Verdana" w:cs="Arial"/>
          <w:i/>
          <w:color w:val="000000"/>
        </w:rPr>
        <w:t>contrato realidad</w:t>
      </w:r>
      <w:r w:rsidRPr="00AE22D5">
        <w:rPr>
          <w:rFonts w:ascii="Verdana" w:eastAsia="Calibri" w:hAnsi="Verdana" w:cs="Arial"/>
          <w:color w:val="000000"/>
        </w:rPr>
        <w:t xml:space="preserve">, ya que para su perfeccionamiento rige el principio de la prevalencia de la realidad sobre las formalidades. </w:t>
      </w:r>
    </w:p>
    <w:p w14:paraId="636C8E44" w14:textId="77777777" w:rsidR="005638F5" w:rsidRPr="00AE22D5" w:rsidRDefault="005638F5" w:rsidP="005638F5">
      <w:pPr>
        <w:spacing w:before="120" w:after="120" w:line="276" w:lineRule="auto"/>
        <w:ind w:firstLine="709"/>
        <w:jc w:val="both"/>
        <w:rPr>
          <w:rFonts w:ascii="Verdana" w:eastAsia="Calibri" w:hAnsi="Verdana" w:cs="Arial"/>
          <w:color w:val="000000"/>
        </w:rPr>
      </w:pPr>
      <w:r w:rsidRPr="00AE22D5">
        <w:rPr>
          <w:rFonts w:ascii="Verdana" w:eastAsia="Calibri" w:hAnsi="Verdana" w:cs="Arial"/>
          <w:color w:val="000000"/>
        </w:rPr>
        <w:t>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AE22D5">
        <w:rPr>
          <w:rFonts w:ascii="Verdana" w:eastAsia="Calibri" w:hAnsi="Verdana" w:cs="Arial"/>
          <w:color w:val="000000"/>
          <w:vertAlign w:val="superscript"/>
        </w:rPr>
        <w:footnoteReference w:id="19"/>
      </w:r>
      <w:r w:rsidRPr="00AE22D5">
        <w:rPr>
          <w:rFonts w:ascii="Verdana" w:eastAsia="Calibri" w:hAnsi="Verdana" w:cs="Arial"/>
          <w:color w:val="000000"/>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AE22D5">
        <w:rPr>
          <w:rFonts w:ascii="Verdana" w:eastAsia="Calibri" w:hAnsi="Verdana" w:cs="Arial"/>
          <w:color w:val="000000"/>
          <w:vertAlign w:val="superscript"/>
        </w:rPr>
        <w:footnoteReference w:id="20"/>
      </w:r>
      <w:r w:rsidRPr="00AE22D5">
        <w:rPr>
          <w:rFonts w:ascii="Verdana" w:eastAsia="Calibri" w:hAnsi="Verdana" w:cs="Arial"/>
          <w:color w:val="000000"/>
        </w:rPr>
        <w:t>. De modo que, bajo la perspectiva indicada, se podría invocar la presunción de la existencia de una relación laboral; siendo contrario a uno de los aspectos más relevantes del contrato de prestación de servicio, la autonomía e independencia en la ejecución del mismo.</w:t>
      </w:r>
    </w:p>
    <w:p w14:paraId="569AC495" w14:textId="77777777" w:rsidR="005638F5" w:rsidRPr="00AE22D5" w:rsidRDefault="005638F5" w:rsidP="005638F5">
      <w:pPr>
        <w:spacing w:after="0" w:line="276" w:lineRule="auto"/>
        <w:ind w:firstLine="709"/>
        <w:jc w:val="both"/>
        <w:rPr>
          <w:rFonts w:ascii="Verdana" w:eastAsia="Calibri" w:hAnsi="Verdana" w:cs="Arial"/>
          <w:color w:val="000000"/>
        </w:rPr>
      </w:pPr>
      <w:r w:rsidRPr="00AE22D5">
        <w:rPr>
          <w:rFonts w:ascii="Verdana" w:eastAsia="Calibri" w:hAnsi="Verdana" w:cs="Arial"/>
          <w:color w:val="000000"/>
        </w:rPr>
        <w:t>d) Deben ser temporales. Así lo señaló la Corte Constitucional en la misma providencia a la que se aludió previamente, expresando que:</w:t>
      </w:r>
    </w:p>
    <w:p w14:paraId="0A7467F7" w14:textId="77777777" w:rsidR="005638F5" w:rsidRPr="00AE22D5" w:rsidRDefault="005638F5" w:rsidP="005638F5">
      <w:pPr>
        <w:spacing w:after="0" w:line="276" w:lineRule="auto"/>
        <w:ind w:firstLine="709"/>
        <w:jc w:val="both"/>
        <w:rPr>
          <w:rFonts w:ascii="Verdana" w:eastAsia="Calibri" w:hAnsi="Verdana" w:cs="Arial"/>
          <w:color w:val="000000"/>
        </w:rPr>
      </w:pPr>
    </w:p>
    <w:p w14:paraId="2EC52E6C" w14:textId="77777777" w:rsidR="005638F5" w:rsidRPr="00AE22D5" w:rsidRDefault="005638F5" w:rsidP="005638F5">
      <w:pPr>
        <w:spacing w:after="0" w:line="240" w:lineRule="auto"/>
        <w:ind w:left="709" w:right="709"/>
        <w:jc w:val="both"/>
        <w:rPr>
          <w:rFonts w:ascii="Verdana" w:eastAsia="Calibri" w:hAnsi="Verdana" w:cs="Arial"/>
          <w:color w:val="000000"/>
          <w:sz w:val="21"/>
          <w:szCs w:val="21"/>
        </w:rPr>
      </w:pPr>
      <w:r w:rsidRPr="00AE22D5">
        <w:rPr>
          <w:rFonts w:ascii="Verdana" w:eastAsia="Calibri" w:hAnsi="Verdana" w:cs="Arial"/>
          <w:color w:val="000000"/>
          <w:sz w:val="20"/>
          <w:szCs w:val="20"/>
        </w:rPr>
        <w:lastRenderedPageBreak/>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AE22D5">
        <w:rPr>
          <w:rFonts w:ascii="Verdana" w:eastAsia="Calibri" w:hAnsi="Verdana" w:cs="Arial"/>
          <w:color w:val="000000"/>
          <w:sz w:val="21"/>
          <w:szCs w:val="21"/>
          <w:vertAlign w:val="superscript"/>
        </w:rPr>
        <w:footnoteReference w:id="21"/>
      </w:r>
      <w:r w:rsidRPr="00AE22D5">
        <w:rPr>
          <w:rFonts w:ascii="Verdana" w:eastAsia="Calibri" w:hAnsi="Verdana" w:cs="Arial"/>
          <w:color w:val="000000"/>
          <w:sz w:val="21"/>
          <w:szCs w:val="21"/>
        </w:rPr>
        <w:t>.</w:t>
      </w:r>
    </w:p>
    <w:p w14:paraId="5D92A7D8" w14:textId="77777777" w:rsidR="005638F5" w:rsidRPr="00AE22D5" w:rsidRDefault="005638F5" w:rsidP="005638F5">
      <w:pPr>
        <w:spacing w:after="0" w:line="276" w:lineRule="auto"/>
        <w:ind w:firstLine="709"/>
        <w:jc w:val="both"/>
        <w:rPr>
          <w:rFonts w:ascii="Verdana" w:eastAsia="Calibri" w:hAnsi="Verdana" w:cs="Arial"/>
          <w:color w:val="000000"/>
        </w:rPr>
      </w:pPr>
    </w:p>
    <w:p w14:paraId="5E3DF5AA" w14:textId="77777777" w:rsidR="005638F5" w:rsidRPr="00AE22D5" w:rsidRDefault="005638F5" w:rsidP="005638F5">
      <w:pPr>
        <w:spacing w:after="120" w:line="276" w:lineRule="auto"/>
        <w:ind w:firstLine="709"/>
        <w:jc w:val="both"/>
        <w:rPr>
          <w:rFonts w:ascii="Verdana" w:eastAsia="Calibri" w:hAnsi="Verdana" w:cs="Arial"/>
          <w:color w:val="000000"/>
          <w:sz w:val="21"/>
          <w:szCs w:val="21"/>
        </w:rPr>
      </w:pPr>
      <w:r w:rsidRPr="00AE22D5">
        <w:rPr>
          <w:rFonts w:ascii="Verdana" w:eastAsia="Calibri" w:hAnsi="Verdana" w:cs="Arial"/>
          <w:color w:val="000000"/>
        </w:rPr>
        <w:t xml:space="preserve">e) Los contratos de prestación de servicios profesionales hacen parte del género denominado </w:t>
      </w:r>
      <w:r w:rsidRPr="00AE22D5">
        <w:rPr>
          <w:rFonts w:ascii="Verdana" w:eastAsia="Calibri" w:hAnsi="Verdana" w:cs="Arial"/>
          <w:i/>
          <w:color w:val="000000"/>
        </w:rPr>
        <w:t>contratos de prestación de servicios</w:t>
      </w:r>
      <w:r w:rsidRPr="00AE22D5">
        <w:rPr>
          <w:rFonts w:ascii="Verdana" w:eastAsia="Calibri" w:hAnsi="Verdana" w:cs="Arial"/>
          <w:color w:val="000000"/>
        </w:rPr>
        <w:t>, dentro del cual también se ubican, como especies, los contratos de prestación de servicios de apoyo a la gestión y los contratos de prestación de servicios artísticos que solo pueden encomendarse a determinadas personas naturales, de acuerdo con lo reglamentado en el artículo 2.2.1.2.4.9. del Decreto 1082 de 2015</w:t>
      </w:r>
      <w:r w:rsidRPr="00AE22D5">
        <w:rPr>
          <w:rFonts w:ascii="Verdana" w:eastAsia="Calibri" w:hAnsi="Verdana" w:cs="Arial"/>
          <w:color w:val="000000"/>
          <w:vertAlign w:val="superscript"/>
        </w:rPr>
        <w:footnoteReference w:id="22"/>
      </w:r>
      <w:r w:rsidRPr="00AE22D5">
        <w:rPr>
          <w:rFonts w:ascii="Verdana" w:eastAsia="Calibri" w:hAnsi="Verdana" w:cs="Arial"/>
          <w:color w:val="000000"/>
        </w:rPr>
        <w:t xml:space="preserve">. </w:t>
      </w:r>
    </w:p>
    <w:p w14:paraId="0A065FB1" w14:textId="77777777" w:rsidR="005638F5" w:rsidRPr="00AE22D5" w:rsidRDefault="005638F5" w:rsidP="005638F5">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f) Su celebración debe realizarse a través de la modalidad de contratación directa, independientemente de la cuantía y del tipo de servicio profesional, siempre que este no ingrese dentro del objeto del contrato de consultoría, pues,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AE22D5">
        <w:rPr>
          <w:rFonts w:ascii="Verdana" w:eastAsia="Calibri" w:hAnsi="Verdana" w:cs="Arial"/>
          <w:color w:val="000000"/>
          <w:vertAlign w:val="superscript"/>
        </w:rPr>
        <w:footnoteReference w:id="23"/>
      </w:r>
      <w:r w:rsidRPr="00AE22D5">
        <w:rPr>
          <w:rFonts w:ascii="Verdana" w:eastAsia="Calibri" w:hAnsi="Verdana" w:cs="Arial"/>
          <w:color w:val="000000"/>
        </w:rPr>
        <w:t xml:space="preserve">. Pero, tampoco puede suscribirse un contrato de prestación de servicios profesionales </w:t>
      </w:r>
      <w:r w:rsidRPr="00AE22D5">
        <w:rPr>
          <w:rFonts w:ascii="Verdana" w:eastAsia="Calibri" w:hAnsi="Verdana" w:cs="Arial"/>
          <w:color w:val="000000"/>
        </w:rPr>
        <w:lastRenderedPageBreak/>
        <w:t>para que el contratista ejecute labores que se enmarcan dentro de los otros contratos tipificados en el artículo 32 de la Ley 80 de 1993, como, por ejemplo, para que el contratista de prestación de servicios construya una obra.</w:t>
      </w:r>
    </w:p>
    <w:p w14:paraId="3191B01D" w14:textId="77777777" w:rsidR="005638F5" w:rsidRPr="00AE22D5" w:rsidRDefault="005638F5" w:rsidP="005638F5">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g) Para su celebración no se requiere la expedición del acto administrativo de justificación de la contratación directa</w:t>
      </w:r>
      <w:r w:rsidRPr="00AE22D5">
        <w:rPr>
          <w:rFonts w:ascii="Verdana" w:eastAsia="Calibri" w:hAnsi="Verdana" w:cs="Arial"/>
          <w:color w:val="000000"/>
          <w:vertAlign w:val="superscript"/>
        </w:rPr>
        <w:footnoteReference w:id="24"/>
      </w:r>
      <w:r w:rsidRPr="00AE22D5">
        <w:rPr>
          <w:rFonts w:ascii="Verdana" w:eastAsia="Calibri" w:hAnsi="Verdana" w:cs="Arial"/>
          <w:color w:val="000000"/>
        </w:rPr>
        <w:t xml:space="preserve">. </w:t>
      </w:r>
    </w:p>
    <w:p w14:paraId="3D1E25D2" w14:textId="77777777" w:rsidR="005638F5" w:rsidRPr="00AE22D5" w:rsidRDefault="005638F5" w:rsidP="005638F5">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h) Admiten el pacto de cláusulas excepcionales. Es decir, en los contratos de prestación de servicios profesionales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AE22D5">
        <w:rPr>
          <w:rFonts w:ascii="Verdana" w:eastAsia="Calibri" w:hAnsi="Verdana" w:cs="Arial"/>
          <w:color w:val="000000"/>
          <w:vertAlign w:val="superscript"/>
        </w:rPr>
        <w:footnoteReference w:id="25"/>
      </w:r>
      <w:r w:rsidRPr="00AE22D5">
        <w:rPr>
          <w:rFonts w:ascii="Verdana" w:eastAsia="Calibri" w:hAnsi="Verdana" w:cs="Arial"/>
          <w:color w:val="000000"/>
        </w:rPr>
        <w:t>.</w:t>
      </w:r>
    </w:p>
    <w:p w14:paraId="489DC899" w14:textId="77777777" w:rsidR="005638F5" w:rsidRPr="00AE22D5" w:rsidRDefault="005638F5" w:rsidP="005638F5">
      <w:pPr>
        <w:spacing w:before="120" w:after="120" w:line="276" w:lineRule="auto"/>
        <w:ind w:firstLine="709"/>
        <w:jc w:val="both"/>
        <w:rPr>
          <w:rFonts w:ascii="Verdana" w:eastAsia="Calibri" w:hAnsi="Verdana" w:cs="Arial"/>
          <w:color w:val="000000"/>
        </w:rPr>
      </w:pPr>
      <w:r w:rsidRPr="00AE22D5">
        <w:rPr>
          <w:rFonts w:ascii="Verdana" w:eastAsia="Calibri" w:hAnsi="Verdana" w:cs="Arial"/>
          <w:color w:val="000000"/>
        </w:rPr>
        <w:t>i) En ellos no es obligatoria la liquidación, pues así lo estableció el artículo 217 del Decreto 019 de 2012, que modificó el artículo 60 de la Ley 80 de 1993</w:t>
      </w:r>
      <w:r w:rsidRPr="00AE22D5">
        <w:rPr>
          <w:rFonts w:ascii="Verdana" w:eastAsia="Calibri" w:hAnsi="Verdana" w:cs="Arial"/>
          <w:color w:val="000000"/>
          <w:vertAlign w:val="superscript"/>
        </w:rPr>
        <w:footnoteReference w:id="26"/>
      </w:r>
      <w:r w:rsidRPr="00AE22D5">
        <w:rPr>
          <w:rFonts w:ascii="Verdana" w:eastAsia="Calibri" w:hAnsi="Verdana" w:cs="Arial"/>
          <w:color w:val="000000"/>
        </w:rPr>
        <w:t xml:space="preserve">, </w:t>
      </w:r>
      <w:r w:rsidRPr="00AE22D5">
        <w:rPr>
          <w:rFonts w:ascii="Verdana" w:eastAsia="Calibri" w:hAnsi="Verdana" w:cs="Arial"/>
          <w:color w:val="000000"/>
          <w:lang w:val="es-ES" w:eastAsia="es-ES"/>
        </w:rPr>
        <w:t>refiriéndose expresamente a los contratos de prestación de servicios profesionales y de apoyo a la gestión.</w:t>
      </w:r>
    </w:p>
    <w:p w14:paraId="68257138" w14:textId="77777777" w:rsidR="005638F5" w:rsidRPr="00AE22D5" w:rsidRDefault="005638F5" w:rsidP="005638F5">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lastRenderedPageBreak/>
        <w:t>j) Para su celebración no se requiere inscripción en el Registro Único de Proponentes (RUP), según lo prevé el artículo 6 de la Ley 1150 de 2007</w:t>
      </w:r>
      <w:r w:rsidRPr="00AE22D5">
        <w:rPr>
          <w:rFonts w:ascii="Verdana" w:eastAsia="Calibri" w:hAnsi="Verdana" w:cs="Arial"/>
          <w:color w:val="000000"/>
          <w:vertAlign w:val="superscript"/>
        </w:rPr>
        <w:footnoteReference w:id="27"/>
      </w:r>
      <w:r w:rsidRPr="00AE22D5">
        <w:rPr>
          <w:rFonts w:ascii="Verdana" w:eastAsia="Calibri" w:hAnsi="Verdana" w:cs="Arial"/>
          <w:color w:val="000000"/>
        </w:rPr>
        <w:t>.</w:t>
      </w:r>
    </w:p>
    <w:p w14:paraId="7F7550CD" w14:textId="77777777" w:rsidR="005638F5" w:rsidRPr="00AE22D5" w:rsidRDefault="005638F5" w:rsidP="005638F5">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k) En ellos no son necesarias las garantías</w:t>
      </w:r>
      <w:r w:rsidRPr="00AE22D5">
        <w:rPr>
          <w:rFonts w:ascii="Verdana" w:eastAsia="Calibri" w:hAnsi="Verdana" w:cs="Arial"/>
          <w:color w:val="000000"/>
          <w:vertAlign w:val="superscript"/>
        </w:rPr>
        <w:footnoteReference w:id="28"/>
      </w:r>
      <w:r w:rsidRPr="00AE22D5">
        <w:rPr>
          <w:rFonts w:ascii="Verdana" w:eastAsia="Calibri" w:hAnsi="Verdana" w:cs="Arial"/>
          <w:color w:val="000000"/>
        </w:rPr>
        <w:t>.</w:t>
      </w:r>
    </w:p>
    <w:p w14:paraId="52A9B20C" w14:textId="77777777" w:rsidR="005638F5" w:rsidRPr="00AE22D5" w:rsidRDefault="005638F5" w:rsidP="005638F5">
      <w:pPr>
        <w:spacing w:after="120" w:line="276" w:lineRule="auto"/>
        <w:ind w:firstLine="709"/>
        <w:jc w:val="both"/>
        <w:rPr>
          <w:rFonts w:ascii="Verdana" w:hAnsi="Verdana" w:cs="Arial"/>
          <w:color w:val="000000" w:themeColor="text1"/>
          <w:lang w:val="es-ES"/>
        </w:rPr>
      </w:pPr>
      <w:r w:rsidRPr="00AE22D5">
        <w:rPr>
          <w:rFonts w:ascii="Verdana" w:hAnsi="Verdana" w:cs="Arial"/>
          <w:color w:val="000000" w:themeColor="text1"/>
          <w:lang w:val="es-ES"/>
        </w:rPr>
        <w:t xml:space="preserve">Teniendo en cuenta las anteriores características del contrato de prestación de servicios profesionales, es claro que quienes celebren contratos de esta naturaleza no son servidores públicos. </w:t>
      </w:r>
    </w:p>
    <w:p w14:paraId="53204DA6" w14:textId="6EEAB26E" w:rsidR="005638F5" w:rsidRPr="00C95163" w:rsidRDefault="005638F5" w:rsidP="00C95163">
      <w:pPr>
        <w:spacing w:after="120" w:line="276" w:lineRule="auto"/>
        <w:ind w:firstLine="709"/>
        <w:jc w:val="both"/>
        <w:rPr>
          <w:rFonts w:ascii="Verdana" w:hAnsi="Verdana" w:cs="Arial"/>
          <w:color w:val="000000" w:themeColor="text1"/>
          <w:lang w:val="es-ES_tradnl"/>
        </w:rPr>
      </w:pPr>
      <w:r w:rsidRPr="00AE22D5">
        <w:rPr>
          <w:rFonts w:ascii="Verdana" w:hAnsi="Verdana" w:cs="Arial"/>
          <w:color w:val="000000" w:themeColor="text1"/>
          <w:lang w:val="es-ES"/>
        </w:rPr>
        <w:t xml:space="preserve">Así, </w:t>
      </w:r>
      <w:r w:rsidRPr="00AE22D5">
        <w:rPr>
          <w:rFonts w:ascii="Verdana" w:hAnsi="Verdana" w:cs="Arial"/>
          <w:bCs/>
          <w:color w:val="000000" w:themeColor="text1"/>
          <w:lang w:val="es-ES_tradnl"/>
        </w:rPr>
        <w:t xml:space="preserve">en atención al objeto de la consulta que origina el presente concepto, </w:t>
      </w:r>
      <w:r w:rsidRPr="00AE22D5">
        <w:rPr>
          <w:rFonts w:ascii="Verdana" w:hAnsi="Verdana" w:cs="Arial"/>
          <w:color w:val="000000" w:themeColor="text1"/>
          <w:lang w:val="es-ES"/>
        </w:rPr>
        <w:t xml:space="preserve">analizado el régimen de inhabilidades e incompatibilidades previsto para la contratación estatal, </w:t>
      </w:r>
      <w:r w:rsidRPr="00AE22D5">
        <w:rPr>
          <w:rFonts w:ascii="Verdana" w:hAnsi="Verdana" w:cs="Arial"/>
          <w:color w:val="000000" w:themeColor="text1"/>
          <w:lang w:val="es-ES_tradnl"/>
        </w:rPr>
        <w:t>se concluye que no existe una inhabilidad o incompatibilidad</w:t>
      </w:r>
      <w:r w:rsidR="00C95163">
        <w:rPr>
          <w:rFonts w:ascii="Verdana" w:hAnsi="Verdana" w:cs="Arial"/>
          <w:color w:val="000000" w:themeColor="text1"/>
          <w:lang w:val="es-ES_tradnl"/>
        </w:rPr>
        <w:t xml:space="preserve"> en aquellos supuestos </w:t>
      </w:r>
      <w:r w:rsidR="00C95163" w:rsidRPr="00913D97">
        <w:rPr>
          <w:rFonts w:ascii="Verdana" w:eastAsia="Arial MT" w:hAnsi="Verdana" w:cs="Arial"/>
          <w:lang w:eastAsia="es-ES" w:bidi="es-ES"/>
        </w:rPr>
        <w:t xml:space="preserve">de arquitectos contratistas por prestación de servicios profesionales que, además de cumplir funciones en una dependencia de una entidad pública, ejercen su actividad como independientes y radican licencias de construcción ante otra </w:t>
      </w:r>
      <w:r w:rsidR="00C95163">
        <w:rPr>
          <w:rFonts w:ascii="Verdana" w:eastAsia="Arial MT" w:hAnsi="Verdana" w:cs="Arial"/>
          <w:lang w:eastAsia="es-ES" w:bidi="es-ES"/>
        </w:rPr>
        <w:t>dependencia de la misma entidad</w:t>
      </w:r>
      <w:r w:rsidRPr="00AE22D5">
        <w:rPr>
          <w:rFonts w:ascii="Verdana" w:eastAsia="Arial MT" w:hAnsi="Verdana" w:cs="Arial"/>
          <w:lang w:eastAsia="es-ES" w:bidi="es-ES"/>
        </w:rPr>
        <w:t>. Esta situación no se subsume en ninguno de los supuestos de hecho, ni se advierte que la hipótesis materia de consulta configure alguna de las causales previstas en el artículo 8 de la Ley 80 de 1993</w:t>
      </w:r>
      <w:r w:rsidRPr="00AE22D5">
        <w:rPr>
          <w:rFonts w:ascii="Verdana" w:hAnsi="Verdana" w:cs="Arial"/>
          <w:color w:val="000000" w:themeColor="text1"/>
          <w:lang w:val="es-ES_tradnl"/>
        </w:rPr>
        <w:t>.</w:t>
      </w:r>
    </w:p>
    <w:p w14:paraId="194FCA99" w14:textId="77777777" w:rsidR="005638F5" w:rsidRPr="00AE22D5" w:rsidRDefault="005638F5" w:rsidP="005638F5">
      <w:pPr>
        <w:spacing w:after="120" w:line="276" w:lineRule="auto"/>
        <w:ind w:firstLine="709"/>
        <w:jc w:val="both"/>
        <w:rPr>
          <w:rFonts w:ascii="Verdana" w:hAnsi="Verdana" w:cs="Arial"/>
          <w:color w:val="000000" w:themeColor="text1"/>
          <w:lang w:val="es-ES"/>
        </w:rPr>
      </w:pPr>
      <w:r w:rsidRPr="00AE22D5">
        <w:rPr>
          <w:rFonts w:ascii="Verdana" w:hAnsi="Verdana" w:cs="Arial"/>
          <w:color w:val="000000" w:themeColor="text1"/>
          <w:lang w:val="es-ES"/>
        </w:rPr>
        <w:t xml:space="preserve">En ese sentido, </w:t>
      </w:r>
      <w:bookmarkStart w:id="1" w:name="_Hlk192056119"/>
      <w:r w:rsidRPr="00AE22D5">
        <w:rPr>
          <w:rFonts w:ascii="Verdana" w:hAnsi="Verdana" w:cs="Arial"/>
          <w:color w:val="000000" w:themeColor="text1"/>
          <w:lang w:val="es-ES"/>
        </w:rPr>
        <w:t xml:space="preserve">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 Precisamente, al leer las causales previstas en la Constitución, así como en el artículo 8 de la Ley 80 de 1993 y en otras disposiciones complementarias, no se observa una </w:t>
      </w:r>
      <w:r w:rsidRPr="00AE22D5">
        <w:rPr>
          <w:rFonts w:ascii="Verdana" w:hAnsi="Verdana" w:cs="Arial"/>
          <w:color w:val="000000" w:themeColor="text1"/>
          <w:lang w:val="es-ES"/>
        </w:rPr>
        <w:lastRenderedPageBreak/>
        <w:t xml:space="preserve">prohibición para que una misma persona natural preste sus servicios profesionales, a través de contratos distintos y concomitantes. </w:t>
      </w:r>
    </w:p>
    <w:bookmarkEnd w:id="1"/>
    <w:p w14:paraId="06BC8A14" w14:textId="3F434DAD" w:rsidR="00EC40F8" w:rsidRDefault="005638F5" w:rsidP="00EC40F8">
      <w:pPr>
        <w:spacing w:after="120" w:line="276" w:lineRule="auto"/>
        <w:ind w:firstLine="709"/>
        <w:jc w:val="both"/>
        <w:rPr>
          <w:rFonts w:ascii="Verdana" w:hAnsi="Verdana" w:cs="Arial"/>
          <w:bCs/>
          <w:color w:val="000000" w:themeColor="text1"/>
        </w:rPr>
      </w:pPr>
      <w:r w:rsidRPr="00AE22D5">
        <w:rPr>
          <w:rFonts w:ascii="Verdana" w:hAnsi="Verdana" w:cs="Arial"/>
          <w:color w:val="000000" w:themeColor="text1"/>
          <w:lang w:val="es-ES"/>
        </w:rPr>
        <w:t xml:space="preserve">Sin embargo, </w:t>
      </w:r>
      <w:r w:rsidRPr="00AE22D5">
        <w:rPr>
          <w:rFonts w:ascii="Verdana" w:eastAsia="Calibri" w:hAnsi="Verdana" w:cs="Arial"/>
          <w:color w:val="000000" w:themeColor="text1"/>
          <w:szCs w:val="24"/>
          <w:lang w:eastAsia="es-ES_tradnl"/>
        </w:rPr>
        <w:t>es pertinente tener en cuenta que el ordenamiento jurídico contempla restricciones sobre aspectos particulares que es importante considerar al momento de analizar una situación como la señalada. Así,</w:t>
      </w:r>
      <w:r w:rsidRPr="00AE22D5">
        <w:rPr>
          <w:rFonts w:ascii="Verdana" w:hAnsi="Verdana" w:cs="Arial"/>
          <w:color w:val="000000" w:themeColor="text1"/>
          <w:lang w:val="es-ES"/>
        </w:rPr>
        <w:t xml:space="preserve"> la</w:t>
      </w:r>
      <w:r w:rsidR="00F90FE0">
        <w:rPr>
          <w:rFonts w:ascii="Verdana" w:hAnsi="Verdana" w:cs="Arial"/>
          <w:color w:val="000000" w:themeColor="text1"/>
          <w:lang w:val="es-ES"/>
        </w:rPr>
        <w:t xml:space="preserve"> Ley 435 de 1998 </w:t>
      </w:r>
      <w:r w:rsidR="00F90FE0" w:rsidRPr="00F90FE0">
        <w:rPr>
          <w:rFonts w:ascii="Verdana" w:hAnsi="Verdana" w:cs="Arial"/>
          <w:color w:val="000000" w:themeColor="text1"/>
          <w:lang w:val="es-ES"/>
        </w:rPr>
        <w:t>“</w:t>
      </w:r>
      <w:r w:rsidR="00F90FE0" w:rsidRPr="00F90FE0">
        <w:rPr>
          <w:rFonts w:ascii="Verdana" w:hAnsi="Verdana" w:cs="Arial"/>
          <w:bCs/>
          <w:color w:val="000000" w:themeColor="text1"/>
        </w:rPr>
        <w:t>por la cual se reglamenta el ejercicio de la profesión de Arquitectura y sus profesiones auxiliares, se crea el Consejo Profesional Nacional de Arquitectura y sus profesiones auxiliares, se dicta el Código de Ética Profesional, se establece el Régimen Disciplinario para estas profesiones, se reestructura el Consejo Profesional Nacional de Ingeniería y Arquitectura en Consejo Profesional Nacional de Ingeniería y sus profesiones auxiliares y otras disposiciones”</w:t>
      </w:r>
      <w:r w:rsidR="00EC40F8">
        <w:rPr>
          <w:rFonts w:ascii="Verdana" w:hAnsi="Verdana" w:cs="Arial"/>
          <w:bCs/>
          <w:color w:val="000000" w:themeColor="text1"/>
        </w:rPr>
        <w:t>.</w:t>
      </w:r>
    </w:p>
    <w:p w14:paraId="6540C566" w14:textId="1C83863C" w:rsidR="005638F5" w:rsidRDefault="00A60696" w:rsidP="00EC40F8">
      <w:pPr>
        <w:spacing w:after="120" w:line="276" w:lineRule="auto"/>
        <w:ind w:firstLine="709"/>
        <w:jc w:val="both"/>
        <w:rPr>
          <w:rFonts w:ascii="Verdana" w:hAnsi="Verdana" w:cs="Arial"/>
          <w:color w:val="000000" w:themeColor="text1"/>
        </w:rPr>
      </w:pPr>
      <w:r>
        <w:rPr>
          <w:rFonts w:ascii="Verdana" w:hAnsi="Verdana" w:cs="Arial"/>
          <w:bCs/>
          <w:color w:val="000000" w:themeColor="text1"/>
        </w:rPr>
        <w:t xml:space="preserve">Dicha Ley </w:t>
      </w:r>
      <w:r w:rsidR="005638F5" w:rsidRPr="00AE22D5">
        <w:rPr>
          <w:rFonts w:ascii="Verdana" w:hAnsi="Verdana" w:cs="Arial"/>
          <w:color w:val="000000" w:themeColor="text1"/>
          <w:lang w:val="es-ES"/>
        </w:rPr>
        <w:t>establece un conjunto de prohibiciones para lo</w:t>
      </w:r>
      <w:r>
        <w:rPr>
          <w:rFonts w:ascii="Verdana" w:hAnsi="Verdana" w:cs="Arial"/>
          <w:color w:val="000000" w:themeColor="text1"/>
          <w:lang w:val="es-ES"/>
        </w:rPr>
        <w:t>s profesionales de la arquitectura y sus profesiones auxiliares</w:t>
      </w:r>
      <w:r w:rsidR="005638F5" w:rsidRPr="00AE22D5">
        <w:rPr>
          <w:rFonts w:ascii="Verdana" w:hAnsi="Verdana" w:cs="Arial"/>
          <w:color w:val="000000" w:themeColor="text1"/>
          <w:lang w:val="es-ES"/>
        </w:rPr>
        <w:t xml:space="preserve">, algunas de las cuales se aplican en los procedimientos de selección de los contratistas del Estado, se trata de prohibiciones dirigidas a los </w:t>
      </w:r>
      <w:r w:rsidR="005638F5" w:rsidRPr="00AE22D5">
        <w:rPr>
          <w:rFonts w:ascii="Verdana" w:hAnsi="Verdana" w:cs="Arial"/>
          <w:i/>
          <w:color w:val="000000" w:themeColor="text1"/>
          <w:lang w:val="es-ES"/>
        </w:rPr>
        <w:t>profesionales</w:t>
      </w:r>
      <w:r w:rsidR="005638F5" w:rsidRPr="00AE22D5">
        <w:rPr>
          <w:rFonts w:ascii="Verdana" w:hAnsi="Verdana" w:cs="Arial"/>
          <w:color w:val="000000" w:themeColor="text1"/>
          <w:lang w:val="es-ES"/>
        </w:rPr>
        <w:t xml:space="preserve">, no necesariamente a los </w:t>
      </w:r>
      <w:r w:rsidR="005638F5" w:rsidRPr="00AE22D5">
        <w:rPr>
          <w:rFonts w:ascii="Verdana" w:hAnsi="Verdana" w:cs="Arial"/>
          <w:i/>
          <w:color w:val="000000" w:themeColor="text1"/>
          <w:lang w:val="es-ES"/>
        </w:rPr>
        <w:t>proponentes ni a los contratistas</w:t>
      </w:r>
      <w:r w:rsidR="005638F5" w:rsidRPr="00AE22D5">
        <w:rPr>
          <w:rFonts w:ascii="Verdana" w:hAnsi="Verdana" w:cs="Arial"/>
          <w:color w:val="000000" w:themeColor="text1"/>
          <w:lang w:val="es-ES"/>
        </w:rPr>
        <w:t>. Así se infiere del artículo</w:t>
      </w:r>
      <w:r w:rsidR="00467A47">
        <w:rPr>
          <w:rFonts w:ascii="Verdana" w:hAnsi="Verdana" w:cs="Arial"/>
          <w:color w:val="000000" w:themeColor="text1"/>
          <w:lang w:val="es-ES"/>
        </w:rPr>
        <w:t xml:space="preserve"> 20, literal b, de la precitada Ley que alude a los deberes de los profesionales de la Arquitectura: “</w:t>
      </w:r>
      <w:r w:rsidR="00467A47" w:rsidRPr="00467A47">
        <w:rPr>
          <w:rFonts w:ascii="Verdana" w:hAnsi="Verdana" w:cs="Arial"/>
          <w:bCs/>
          <w:color w:val="000000" w:themeColor="text1"/>
        </w:rPr>
        <w:t>Artículo 20.</w:t>
      </w:r>
      <w:r w:rsidR="00467A47" w:rsidRPr="00467A47">
        <w:rPr>
          <w:rFonts w:ascii="Verdana" w:hAnsi="Verdana" w:cs="Arial"/>
          <w:color w:val="000000" w:themeColor="text1"/>
        </w:rPr>
        <w:t> Son deberes de los profesionales de quienes trata el presente Código que se desempeñen en funciones públi</w:t>
      </w:r>
      <w:r w:rsidR="00467A47">
        <w:rPr>
          <w:rFonts w:ascii="Verdana" w:hAnsi="Verdana" w:cs="Arial"/>
          <w:color w:val="000000" w:themeColor="text1"/>
        </w:rPr>
        <w:t>cas o privadas, los siguientes: […]</w:t>
      </w:r>
      <w:r w:rsidR="00467A47">
        <w:rPr>
          <w:rFonts w:ascii="Verdana" w:hAnsi="Verdana" w:cs="Arial"/>
          <w:color w:val="000000" w:themeColor="text1"/>
          <w:lang w:val="es-ES"/>
        </w:rPr>
        <w:t xml:space="preserve"> </w:t>
      </w:r>
      <w:r w:rsidR="00467A47" w:rsidRPr="00467A47">
        <w:rPr>
          <w:rFonts w:ascii="Verdana" w:hAnsi="Verdana" w:cs="Arial"/>
          <w:color w:val="000000" w:themeColor="text1"/>
        </w:rPr>
        <w:t>b) Los profesionales que por sus funciones en el sector público o privado sean responsables de fijar, preparar o evaluar condiciones de pliegos de licitaciones o concursos deberán actuar en todos</w:t>
      </w:r>
      <w:r w:rsidR="00467A47">
        <w:rPr>
          <w:rFonts w:ascii="Verdana" w:hAnsi="Verdana" w:cs="Arial"/>
          <w:color w:val="000000" w:themeColor="text1"/>
        </w:rPr>
        <w:t xml:space="preserve"> los casos de manera imparcial […]</w:t>
      </w:r>
      <w:r w:rsidR="00EC40F8">
        <w:rPr>
          <w:rFonts w:ascii="Verdana" w:hAnsi="Verdana" w:cs="Arial"/>
          <w:color w:val="000000" w:themeColor="text1"/>
        </w:rPr>
        <w:t xml:space="preserve">”. En esta línea, es importante tener en cuenta el régimen de inhabilidades e incompatibilidades de esta profesión regulado en el artículo 22 de la precitada Ley: </w:t>
      </w:r>
    </w:p>
    <w:p w14:paraId="3601AA1E" w14:textId="114912AF" w:rsidR="00EC40F8" w:rsidRPr="00582B05" w:rsidRDefault="00EC40F8" w:rsidP="00582B05">
      <w:pPr>
        <w:spacing w:after="0" w:line="240" w:lineRule="auto"/>
        <w:ind w:left="709" w:right="709"/>
        <w:jc w:val="both"/>
        <w:rPr>
          <w:rFonts w:ascii="Verdana" w:eastAsia="Calibri" w:hAnsi="Verdana" w:cs="Arial"/>
          <w:sz w:val="20"/>
          <w:szCs w:val="20"/>
        </w:rPr>
      </w:pPr>
      <w:r w:rsidRPr="00582B05">
        <w:rPr>
          <w:rFonts w:ascii="Verdana" w:eastAsia="Calibri" w:hAnsi="Verdana" w:cs="Arial"/>
          <w:bCs/>
          <w:sz w:val="20"/>
          <w:szCs w:val="20"/>
        </w:rPr>
        <w:t>Artículo 22.</w:t>
      </w:r>
      <w:r w:rsidRPr="00582B05">
        <w:rPr>
          <w:rFonts w:ascii="Verdana" w:eastAsia="Calibri" w:hAnsi="Verdana" w:cs="Arial"/>
          <w:sz w:val="20"/>
          <w:szCs w:val="20"/>
        </w:rPr>
        <w:t> Incurrirán en falta al régimen a que se refiere el presente capítulo: </w:t>
      </w:r>
    </w:p>
    <w:p w14:paraId="7CACA6F0" w14:textId="5F339992" w:rsidR="00EC40F8" w:rsidRPr="00582B05" w:rsidRDefault="00EC40F8" w:rsidP="00582B05">
      <w:pPr>
        <w:spacing w:after="0" w:line="240" w:lineRule="auto"/>
        <w:ind w:left="709" w:right="709"/>
        <w:jc w:val="both"/>
        <w:rPr>
          <w:rFonts w:ascii="Verdana" w:eastAsia="Calibri" w:hAnsi="Verdana" w:cs="Arial"/>
          <w:sz w:val="20"/>
          <w:szCs w:val="20"/>
        </w:rPr>
      </w:pPr>
      <w:r w:rsidRPr="00582B05">
        <w:rPr>
          <w:rFonts w:ascii="Verdana" w:eastAsia="Calibri" w:hAnsi="Verdana" w:cs="Arial"/>
          <w:sz w:val="20"/>
          <w:szCs w:val="20"/>
        </w:rPr>
        <w:t>a) Los profesionales que actúen simultáneamente como representantes técnicos o asesores de más de una empresa que desarrolle idénticas actividades y en un mismo tema, sin expreso consentimiento y autorización de las mismas para tal actuación; </w:t>
      </w:r>
    </w:p>
    <w:p w14:paraId="75DC915D" w14:textId="6CAC8B2D" w:rsidR="00EC40F8" w:rsidRPr="00582B05" w:rsidRDefault="00EC40F8" w:rsidP="00582B05">
      <w:pPr>
        <w:spacing w:after="0" w:line="240" w:lineRule="auto"/>
        <w:ind w:left="709" w:right="709"/>
        <w:jc w:val="both"/>
        <w:rPr>
          <w:rFonts w:ascii="Verdana" w:eastAsia="Calibri" w:hAnsi="Verdana" w:cs="Arial"/>
          <w:sz w:val="20"/>
          <w:szCs w:val="20"/>
        </w:rPr>
      </w:pPr>
      <w:r w:rsidRPr="00582B05">
        <w:rPr>
          <w:rFonts w:ascii="Verdana" w:eastAsia="Calibri" w:hAnsi="Verdana" w:cs="Arial"/>
          <w:sz w:val="20"/>
          <w:szCs w:val="20"/>
        </w:rPr>
        <w:t xml:space="preserve">b) El profesional </w:t>
      </w:r>
      <w:proofErr w:type="gramStart"/>
      <w:r w:rsidRPr="00582B05">
        <w:rPr>
          <w:rFonts w:ascii="Verdana" w:eastAsia="Calibri" w:hAnsi="Verdana" w:cs="Arial"/>
          <w:sz w:val="20"/>
          <w:szCs w:val="20"/>
        </w:rPr>
        <w:t>que</w:t>
      </w:r>
      <w:proofErr w:type="gramEnd"/>
      <w:r w:rsidRPr="00582B05">
        <w:rPr>
          <w:rFonts w:ascii="Verdana" w:eastAsia="Calibri" w:hAnsi="Verdana" w:cs="Arial"/>
          <w:sz w:val="20"/>
          <w:szCs w:val="20"/>
        </w:rPr>
        <w:t xml:space="preserve"> en ejercicio de sus actividades públicas o privadas, hubiese intervenido en determinado asunto, no podrá luego actuar o asesorar directa o indirectamente a la parte contraria en la misma cuestión; </w:t>
      </w:r>
    </w:p>
    <w:p w14:paraId="50FAAEA7" w14:textId="756BFA99" w:rsidR="00EC40F8" w:rsidRPr="00582B05" w:rsidRDefault="00EC40F8" w:rsidP="00582B05">
      <w:pPr>
        <w:spacing w:after="0" w:line="240" w:lineRule="auto"/>
        <w:ind w:left="709" w:right="709"/>
        <w:jc w:val="both"/>
        <w:rPr>
          <w:rFonts w:ascii="Verdana" w:eastAsia="Calibri" w:hAnsi="Verdana" w:cs="Arial"/>
          <w:sz w:val="20"/>
          <w:szCs w:val="20"/>
        </w:rPr>
      </w:pPr>
      <w:r w:rsidRPr="00582B05">
        <w:rPr>
          <w:rFonts w:ascii="Verdana" w:eastAsia="Calibri" w:hAnsi="Verdana" w:cs="Arial"/>
          <w:sz w:val="20"/>
          <w:szCs w:val="20"/>
        </w:rPr>
        <w:t>c) El profesional no debe intervenir como perito o anexar en cuestiones que le comprendan las inhabilidades e incompatibilidades generales de la ley. </w:t>
      </w:r>
    </w:p>
    <w:p w14:paraId="3C0B2E0A" w14:textId="7BC270AD" w:rsidR="00EC40F8" w:rsidRPr="00582B05" w:rsidRDefault="00EC40F8" w:rsidP="00582B05">
      <w:pPr>
        <w:spacing w:after="0" w:line="240" w:lineRule="auto"/>
        <w:ind w:left="709" w:right="709"/>
        <w:jc w:val="both"/>
        <w:rPr>
          <w:rFonts w:ascii="Verdana" w:eastAsia="Calibri" w:hAnsi="Verdana" w:cs="Arial"/>
          <w:sz w:val="20"/>
          <w:szCs w:val="20"/>
        </w:rPr>
      </w:pPr>
      <w:r w:rsidRPr="00582B05">
        <w:rPr>
          <w:rFonts w:ascii="Verdana" w:eastAsia="Calibri" w:hAnsi="Verdana" w:cs="Arial"/>
          <w:bCs/>
          <w:sz w:val="20"/>
          <w:szCs w:val="20"/>
        </w:rPr>
        <w:lastRenderedPageBreak/>
        <w:t>Parágrafo.</w:t>
      </w:r>
      <w:r w:rsidRPr="00582B05">
        <w:rPr>
          <w:rFonts w:ascii="Verdana" w:eastAsia="Calibri" w:hAnsi="Verdana" w:cs="Arial"/>
          <w:sz w:val="20"/>
          <w:szCs w:val="20"/>
        </w:rPr>
        <w:t> En las licitaciones y en lo atinente a sus relaciones contractuales, los profesionales estarán sujetos a las incompatibilidades establec</w:t>
      </w:r>
      <w:r w:rsidR="00582B05">
        <w:rPr>
          <w:rFonts w:ascii="Verdana" w:eastAsia="Calibri" w:hAnsi="Verdana" w:cs="Arial"/>
          <w:sz w:val="20"/>
          <w:szCs w:val="20"/>
        </w:rPr>
        <w:t>idas en la legislación vigente.</w:t>
      </w:r>
    </w:p>
    <w:p w14:paraId="7CC17EBD" w14:textId="77777777" w:rsidR="00EC40F8" w:rsidRPr="00EC40F8" w:rsidRDefault="00EC40F8" w:rsidP="00EC40F8">
      <w:pPr>
        <w:spacing w:after="120" w:line="276" w:lineRule="auto"/>
        <w:ind w:firstLine="709"/>
        <w:jc w:val="both"/>
        <w:rPr>
          <w:rFonts w:ascii="Verdana" w:eastAsia="Calibri" w:hAnsi="Verdana" w:cs="Arial"/>
        </w:rPr>
      </w:pPr>
    </w:p>
    <w:p w14:paraId="7ED306F5" w14:textId="345D06D1" w:rsidR="00EC793E" w:rsidRDefault="00582B05" w:rsidP="00EC793E">
      <w:pPr>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 xml:space="preserve">Este artículo </w:t>
      </w:r>
      <w:r w:rsidRPr="00582B05">
        <w:rPr>
          <w:rFonts w:ascii="Verdana" w:eastAsia="Arial MT" w:hAnsi="Verdana" w:cs="Arial"/>
          <w:lang w:eastAsia="es-ES" w:bidi="es-ES"/>
        </w:rPr>
        <w:t>establece restricciones para el ejercicio profesional en contextos públicos y privados, señalando que incurren en falta quienes actúan como asesores o representantes técnicos simultáneamente en empresas con actividades idénticas sin autorización expresa, quienes intervienen en un asunto y luego asesoran a la parte contraria, y quienes participan como peritos en situaciones que les generan inhabilidades o incompatibilidades legales. Además, el parágrafo aclara que</w:t>
      </w:r>
      <w:r w:rsidR="00EC793E">
        <w:rPr>
          <w:rFonts w:ascii="Verdana" w:eastAsia="Arial MT" w:hAnsi="Verdana" w:cs="Arial"/>
          <w:lang w:eastAsia="es-ES" w:bidi="es-ES"/>
        </w:rPr>
        <w:t>,</w:t>
      </w:r>
      <w:r w:rsidRPr="00582B05">
        <w:rPr>
          <w:rFonts w:ascii="Verdana" w:eastAsia="Arial MT" w:hAnsi="Verdana" w:cs="Arial"/>
          <w:lang w:eastAsia="es-ES" w:bidi="es-ES"/>
        </w:rPr>
        <w:t xml:space="preserve"> en procesos licitatorios y relaciones contractuales, los profesionales están sujetos a las incompatibilidades previstas en la legislación vigente, lo que implica que deben abstenerse de participar en actuaciones que comprometan su</w:t>
      </w:r>
      <w:r w:rsidR="00A0693C">
        <w:rPr>
          <w:rFonts w:ascii="Verdana" w:eastAsia="Arial MT" w:hAnsi="Verdana" w:cs="Arial"/>
          <w:lang w:eastAsia="es-ES" w:bidi="es-ES"/>
        </w:rPr>
        <w:t xml:space="preserve"> imparcialidad, transparencia, </w:t>
      </w:r>
      <w:r w:rsidRPr="00582B05">
        <w:rPr>
          <w:rFonts w:ascii="Verdana" w:eastAsia="Arial MT" w:hAnsi="Verdana" w:cs="Arial"/>
          <w:lang w:eastAsia="es-ES" w:bidi="es-ES"/>
        </w:rPr>
        <w:t>legalidad</w:t>
      </w:r>
      <w:r w:rsidR="00A0693C">
        <w:rPr>
          <w:rFonts w:ascii="Verdana" w:eastAsia="Arial MT" w:hAnsi="Verdana" w:cs="Arial"/>
          <w:lang w:eastAsia="es-ES" w:bidi="es-ES"/>
        </w:rPr>
        <w:t xml:space="preserve"> y moralidad</w:t>
      </w:r>
      <w:r w:rsidRPr="00582B05">
        <w:rPr>
          <w:rFonts w:ascii="Verdana" w:eastAsia="Arial MT" w:hAnsi="Verdana" w:cs="Arial"/>
          <w:lang w:eastAsia="es-ES" w:bidi="es-ES"/>
        </w:rPr>
        <w:t xml:space="preserve"> en el ejercicio de sus funciones.</w:t>
      </w:r>
    </w:p>
    <w:p w14:paraId="0EFE0F4D" w14:textId="1BA60C09" w:rsidR="00EC793E" w:rsidRPr="004A4508" w:rsidRDefault="00EC793E" w:rsidP="004A4508">
      <w:pPr>
        <w:spacing w:after="120" w:line="276" w:lineRule="auto"/>
        <w:ind w:firstLine="709"/>
        <w:jc w:val="both"/>
        <w:rPr>
          <w:rFonts w:ascii="Verdana" w:eastAsia="Arial MT" w:hAnsi="Verdana" w:cs="Arial"/>
          <w:bCs/>
          <w:iCs/>
          <w:lang w:eastAsia="es-ES" w:bidi="es-ES"/>
        </w:rPr>
      </w:pPr>
      <w:r>
        <w:rPr>
          <w:rFonts w:ascii="Verdana" w:eastAsia="Arial MT" w:hAnsi="Verdana" w:cs="Arial"/>
          <w:bCs/>
          <w:iCs/>
          <w:lang w:eastAsia="es-ES" w:bidi="es-ES"/>
        </w:rPr>
        <w:t xml:space="preserve">De lo expuesto, la Agencia Nacional de Contratación Pública –Colombia Compra Eficiente no puede definir o catalogar una inhabilidad </w:t>
      </w:r>
      <w:r w:rsidR="004A4508">
        <w:rPr>
          <w:rFonts w:ascii="Verdana" w:eastAsia="Arial MT" w:hAnsi="Verdana" w:cs="Arial"/>
          <w:bCs/>
          <w:iCs/>
          <w:lang w:eastAsia="es-ES" w:bidi="es-ES"/>
        </w:rPr>
        <w:t xml:space="preserve">o incompatibilidad </w:t>
      </w:r>
      <w:r>
        <w:rPr>
          <w:rFonts w:ascii="Verdana" w:eastAsia="Arial MT" w:hAnsi="Verdana" w:cs="Arial"/>
          <w:bCs/>
          <w:iCs/>
          <w:lang w:eastAsia="es-ES" w:bidi="es-ES"/>
        </w:rPr>
        <w:t xml:space="preserve">en razón a la profesión de la arquitectura </w:t>
      </w:r>
      <w:r w:rsidR="004A4508">
        <w:rPr>
          <w:rFonts w:ascii="Verdana" w:eastAsia="Arial MT" w:hAnsi="Verdana" w:cs="Arial"/>
          <w:bCs/>
          <w:iCs/>
          <w:lang w:eastAsia="es-ES" w:bidi="es-ES"/>
        </w:rPr>
        <w:t xml:space="preserve">y sus profesiones auxiliares, pues no es competencia de esta, </w:t>
      </w:r>
      <w:r w:rsidRPr="00EC793E">
        <w:rPr>
          <w:rFonts w:ascii="Verdana" w:eastAsia="Arial MT" w:hAnsi="Verdana" w:cs="Arial"/>
          <w:bCs/>
          <w:iCs/>
          <w:lang w:eastAsia="es-ES" w:bidi="es-ES"/>
        </w:rPr>
        <w:t>sino revisar si estas implican una restricci</w:t>
      </w:r>
      <w:r w:rsidR="004A4508">
        <w:rPr>
          <w:rFonts w:ascii="Verdana" w:eastAsia="Arial MT" w:hAnsi="Verdana" w:cs="Arial"/>
          <w:bCs/>
          <w:iCs/>
          <w:lang w:eastAsia="es-ES" w:bidi="es-ES"/>
        </w:rPr>
        <w:t xml:space="preserve">ón para contratar con el Estado. En efecto, </w:t>
      </w:r>
      <w:r w:rsidRPr="00EC793E">
        <w:rPr>
          <w:rFonts w:ascii="Verdana" w:eastAsia="Arial MT" w:hAnsi="Verdana" w:cs="Arial"/>
          <w:bCs/>
          <w:lang w:val="es-ES_tradnl" w:eastAsia="es-ES" w:bidi="es-ES"/>
        </w:rPr>
        <w:t xml:space="preserve">se destaca que el supuesto planteado no hay una inhabilidad o incompatibilidad o conflicto de interés para contratar, teniendo en cuenta que, de las normas del sistema de compras y contratación pública, no existe una causal contemplada para ello. </w:t>
      </w:r>
      <w:r w:rsidRPr="00EC793E">
        <w:rPr>
          <w:rFonts w:ascii="Verdana" w:eastAsia="Arial MT" w:hAnsi="Verdana" w:cs="Arial"/>
          <w:bCs/>
          <w:lang w:eastAsia="es-ES" w:bidi="es-ES"/>
        </w:rPr>
        <w:t>No obstante, es importante recordar que no es permitido hacer una interpretación extensiva de los efectos de inhabilidades e incompatibilidades en razón a una p</w:t>
      </w:r>
      <w:r w:rsidR="004A4508">
        <w:rPr>
          <w:rFonts w:ascii="Verdana" w:eastAsia="Arial MT" w:hAnsi="Verdana" w:cs="Arial"/>
          <w:bCs/>
          <w:lang w:eastAsia="es-ES" w:bidi="es-ES"/>
        </w:rPr>
        <w:t xml:space="preserve">rofesión en torno a los contratos estatales, </w:t>
      </w:r>
      <w:r w:rsidRPr="00EC793E">
        <w:rPr>
          <w:rFonts w:ascii="Verdana" w:eastAsia="Arial MT" w:hAnsi="Verdana" w:cs="Arial"/>
          <w:bCs/>
          <w:lang w:eastAsia="es-ES" w:bidi="es-ES"/>
        </w:rPr>
        <w:t xml:space="preserve">pues estas constituyen una aplicación del principio del Estado de Derecho previsto en el artículo 6° de la Constitución Política, según el cual: “Los particulares solo son responsables ante las autoridades por infringir la Constitución y las leyes”. En otras palabras, solo la ley debe definir si determinada inhabilidad o incompatibilidad implica restricciones para contratar con el Estado. </w:t>
      </w:r>
    </w:p>
    <w:p w14:paraId="70C18734" w14:textId="02E545F4" w:rsidR="005638F5" w:rsidRPr="004A4508" w:rsidRDefault="00F84076" w:rsidP="004A4508">
      <w:pPr>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Adicionalmente, es</w:t>
      </w:r>
      <w:r w:rsidR="00913D97" w:rsidRPr="00913D97">
        <w:rPr>
          <w:rFonts w:ascii="Verdana" w:eastAsia="Arial MT" w:hAnsi="Verdana" w:cs="Arial"/>
          <w:lang w:eastAsia="es-ES" w:bidi="es-ES"/>
        </w:rPr>
        <w:t xml:space="preserve"> fundamental analizar cada caso de manera individual para descartar posibles conflictos de interés, entendidos como situaciones en las que los intereses personales de una persona puedan entrar en contradicción con sus deberes profesionales. En este contexto, resulta especialmente relevante revisar los casos de arquitectos contratistas por prestación de servicios profesionales que, además de cumplir funciones en una dependencia de una entidad pública, ejercen su actividad como independientes y radican licencias de </w:t>
      </w:r>
      <w:r w:rsidR="00913D97" w:rsidRPr="00913D97">
        <w:rPr>
          <w:rFonts w:ascii="Verdana" w:eastAsia="Arial MT" w:hAnsi="Verdana" w:cs="Arial"/>
          <w:lang w:eastAsia="es-ES" w:bidi="es-ES"/>
        </w:rPr>
        <w:lastRenderedPageBreak/>
        <w:t>construcción ante otra dependencia de la misma entidad.</w:t>
      </w:r>
      <w:r w:rsidR="004A4508">
        <w:rPr>
          <w:rFonts w:ascii="Verdana" w:eastAsia="Arial MT" w:hAnsi="Verdana" w:cs="Arial"/>
          <w:lang w:eastAsia="es-ES" w:bidi="es-ES"/>
        </w:rPr>
        <w:t xml:space="preserve"> </w:t>
      </w:r>
      <w:r w:rsidR="005638F5" w:rsidRPr="00AE22D5">
        <w:rPr>
          <w:rFonts w:ascii="Verdana" w:eastAsia="Calibri" w:hAnsi="Verdana" w:cs="Arial"/>
        </w:rPr>
        <w:t xml:space="preserve">En este contexto, </w:t>
      </w:r>
      <w:r w:rsidR="005638F5" w:rsidRPr="00AE22D5">
        <w:rPr>
          <w:rFonts w:ascii="Verdana" w:eastAsia="Calibri" w:hAnsi="Verdana" w:cs="Arial"/>
          <w:color w:val="000000" w:themeColor="text1"/>
          <w:szCs w:val="24"/>
          <w:lang w:eastAsia="es-ES_tradnl"/>
        </w:rPr>
        <w:t>es indispensable que se analice la</w:t>
      </w:r>
      <w:r w:rsidR="005638F5" w:rsidRPr="00AE22D5">
        <w:rPr>
          <w:rFonts w:ascii="Verdana" w:eastAsia="Calibri" w:hAnsi="Verdana" w:cs="Arial"/>
        </w:rPr>
        <w:t xml:space="preserve"> ocurrencia de potenciales conflictos de interés de cara a una posible vulneración de la transparencia, imparcialidad, y moralidad administrativa. </w:t>
      </w:r>
    </w:p>
    <w:p w14:paraId="373486E8" w14:textId="2A6A4FD0" w:rsidR="00502A4C" w:rsidRDefault="00502A4C" w:rsidP="00502A4C">
      <w:pPr>
        <w:spacing w:after="0" w:line="276" w:lineRule="auto"/>
        <w:jc w:val="both"/>
        <w:rPr>
          <w:rFonts w:ascii="Verdana" w:eastAsia="Times New Roman" w:hAnsi="Verdana" w:cs="Arial"/>
          <w:color w:val="000000"/>
          <w:lang w:eastAsia="es-ES"/>
        </w:rPr>
      </w:pPr>
    </w:p>
    <w:p w14:paraId="1F3B7F01" w14:textId="77777777" w:rsidR="00DB2A80" w:rsidRPr="00DB2A80" w:rsidRDefault="00DB2A80" w:rsidP="00DB2A80">
      <w:pPr>
        <w:spacing w:after="120" w:line="276" w:lineRule="auto"/>
        <w:jc w:val="both"/>
        <w:rPr>
          <w:rFonts w:ascii="Verdana" w:hAnsi="Verdana"/>
        </w:rPr>
      </w:pPr>
      <w:proofErr w:type="spellStart"/>
      <w:r>
        <w:rPr>
          <w:rFonts w:ascii="Verdana" w:eastAsia="Arial" w:hAnsi="Verdana" w:cs="Arial"/>
          <w:lang w:val="es-ES_tradnl"/>
        </w:rPr>
        <w:t>iii</w:t>
      </w:r>
      <w:proofErr w:type="spellEnd"/>
      <w:r>
        <w:rPr>
          <w:rFonts w:ascii="Verdana" w:eastAsia="Arial" w:hAnsi="Verdana" w:cs="Arial"/>
          <w:lang w:val="es-ES_tradnl"/>
        </w:rPr>
        <w:t xml:space="preserve">. </w:t>
      </w:r>
      <w:r w:rsidRPr="00DB2A80">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8840887" w14:textId="77777777" w:rsidR="00DB2A80" w:rsidRPr="00DB2A80" w:rsidRDefault="00DB2A80" w:rsidP="00DB2A80">
      <w:pPr>
        <w:spacing w:after="0" w:line="276" w:lineRule="auto"/>
        <w:ind w:firstLine="708"/>
        <w:jc w:val="both"/>
        <w:rPr>
          <w:rFonts w:ascii="Verdana" w:eastAsia="Calibri" w:hAnsi="Verdana" w:cs="Arial"/>
          <w:bCs/>
          <w:color w:val="000000" w:themeColor="text1"/>
        </w:rPr>
      </w:pPr>
      <w:r w:rsidRPr="00DB2A80">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B84B88D" w14:textId="1C50AE1C" w:rsidR="00DB2A80" w:rsidRPr="00DB2A80" w:rsidRDefault="00DB2A80" w:rsidP="00502A4C">
      <w:pPr>
        <w:spacing w:after="0" w:line="276" w:lineRule="auto"/>
        <w:jc w:val="both"/>
        <w:rPr>
          <w:rFonts w:ascii="Verdana" w:eastAsia="Arial" w:hAnsi="Verdana" w:cs="Arial"/>
        </w:rPr>
      </w:pPr>
    </w:p>
    <w:p w14:paraId="7528369D" w14:textId="77777777" w:rsidR="00502A4C" w:rsidRPr="0060163E" w:rsidRDefault="00502A4C" w:rsidP="00502A4C">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IV. </w:t>
      </w:r>
      <w:r w:rsidRPr="0060163E">
        <w:rPr>
          <w:rFonts w:ascii="Verdana" w:eastAsia="Calibri" w:hAnsi="Verdana" w:cs="Times New Roman"/>
          <w:b/>
          <w:bCs/>
          <w:lang w:val="es-ES"/>
        </w:rPr>
        <w:t>Referencias normativas, jurisprudenciales y otras fuentes:</w:t>
      </w:r>
    </w:p>
    <w:p w14:paraId="22C4180D" w14:textId="77777777" w:rsidR="00502A4C" w:rsidRPr="0060163E" w:rsidRDefault="00502A4C" w:rsidP="00502A4C">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02A4C" w:rsidRPr="0060163E" w14:paraId="12458731" w14:textId="77777777" w:rsidTr="00BD2C98">
        <w:trPr>
          <w:trHeight w:val="487"/>
          <w:jc w:val="center"/>
        </w:trPr>
        <w:tc>
          <w:tcPr>
            <w:tcW w:w="8647" w:type="dxa"/>
          </w:tcPr>
          <w:p w14:paraId="57DB7DAB" w14:textId="77777777" w:rsidR="00502A4C" w:rsidRPr="000A7D76" w:rsidRDefault="00502A4C" w:rsidP="00502A4C">
            <w:pPr>
              <w:numPr>
                <w:ilvl w:val="0"/>
                <w:numId w:val="26"/>
              </w:numPr>
              <w:spacing w:before="120" w:after="120" w:line="276" w:lineRule="auto"/>
              <w:ind w:left="640" w:hanging="357"/>
              <w:jc w:val="both"/>
              <w:rPr>
                <w:rFonts w:ascii="Verdana" w:hAnsi="Verdana" w:cs="Arial"/>
                <w:lang w:val="es-ES"/>
              </w:rPr>
            </w:pPr>
            <w:r w:rsidRPr="000A7D76">
              <w:rPr>
                <w:rFonts w:ascii="Verdana" w:hAnsi="Verdana" w:cs="Arial"/>
                <w:lang w:val="es-ES"/>
              </w:rPr>
              <w:t xml:space="preserve">Ley 80 de 1993, artículos 2, 8, 25 y 32 </w:t>
            </w:r>
          </w:p>
          <w:p w14:paraId="1A70E5E3" w14:textId="16E5644C" w:rsidR="00502A4C" w:rsidRPr="000A7D76" w:rsidRDefault="00F84076" w:rsidP="00502A4C">
            <w:pPr>
              <w:numPr>
                <w:ilvl w:val="0"/>
                <w:numId w:val="26"/>
              </w:numPr>
              <w:spacing w:before="120" w:after="120" w:line="276" w:lineRule="auto"/>
              <w:ind w:left="640" w:hanging="357"/>
              <w:jc w:val="both"/>
              <w:rPr>
                <w:rFonts w:ascii="Verdana" w:hAnsi="Verdana" w:cs="Arial"/>
                <w:lang w:val="es-ES"/>
              </w:rPr>
            </w:pPr>
            <w:r>
              <w:rPr>
                <w:rFonts w:ascii="Verdana" w:hAnsi="Verdana" w:cs="Arial"/>
                <w:lang w:val="es-ES"/>
              </w:rPr>
              <w:t>Ley 435 de 1998, artículos 20 y 22.</w:t>
            </w:r>
            <w:r w:rsidR="00502A4C" w:rsidRPr="000A7D76">
              <w:rPr>
                <w:rFonts w:ascii="Verdana" w:hAnsi="Verdana" w:cs="Arial"/>
                <w:lang w:val="es-ES"/>
              </w:rPr>
              <w:t xml:space="preserve"> </w:t>
            </w:r>
          </w:p>
          <w:p w14:paraId="63523861" w14:textId="77777777" w:rsidR="00DB2A80" w:rsidRDefault="00502A4C" w:rsidP="00DB2A80">
            <w:pPr>
              <w:numPr>
                <w:ilvl w:val="0"/>
                <w:numId w:val="26"/>
              </w:numPr>
              <w:spacing w:before="120" w:after="120" w:line="276" w:lineRule="auto"/>
              <w:ind w:left="640" w:hanging="357"/>
              <w:jc w:val="both"/>
              <w:rPr>
                <w:rFonts w:ascii="Verdana" w:hAnsi="Verdana" w:cs="Arial"/>
                <w:lang w:val="es-ES"/>
              </w:rPr>
            </w:pPr>
            <w:r w:rsidRPr="000A7D76">
              <w:rPr>
                <w:rFonts w:ascii="Verdana" w:hAnsi="Verdana" w:cs="Arial"/>
                <w:lang w:val="es-ES"/>
              </w:rPr>
              <w:t>Decreto 1082 de 2015:</w:t>
            </w:r>
            <w:r w:rsidR="00DB2A80">
              <w:rPr>
                <w:rFonts w:ascii="Verdana" w:hAnsi="Verdana" w:cs="Arial"/>
                <w:lang w:val="es-ES"/>
              </w:rPr>
              <w:t xml:space="preserve"> artículos</w:t>
            </w:r>
            <w:r w:rsidR="00DB2A80" w:rsidRPr="00DB2A80">
              <w:rPr>
                <w:rFonts w:ascii="Verdana" w:hAnsi="Verdana" w:cs="Arial"/>
                <w:lang w:val="es-ES"/>
              </w:rPr>
              <w:t xml:space="preserve"> 2.2.1.2.1.4.9., 2.2.1.2.1.4.5., 2.2.1.2.3.1.1 al 2.2.1.2.3.5.1.</w:t>
            </w:r>
          </w:p>
          <w:p w14:paraId="50B3B34E" w14:textId="77777777" w:rsid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t>Consejo de Estado. Sala de Consulta y Servicio Civil. Concepto del 29 de abril de 1998. Rad. 1097. C.P. Augusto Trejos Jaramillo.</w:t>
            </w:r>
          </w:p>
          <w:p w14:paraId="2A4B3B4A" w14:textId="77777777" w:rsid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Consejo de Estado. Sección Tercera. Subsección C. Sentencia del 22 de mayo de 2013. Rad. 24.057. C.P. Olga Mélida Valle De </w:t>
            </w:r>
            <w:proofErr w:type="spellStart"/>
            <w:r w:rsidRPr="00DB2A80">
              <w:rPr>
                <w:rFonts w:ascii="Verdana" w:hAnsi="Verdana" w:cs="Arial"/>
                <w:lang w:val="es-ES"/>
              </w:rPr>
              <w:t>De</w:t>
            </w:r>
            <w:proofErr w:type="spellEnd"/>
            <w:r w:rsidRPr="00DB2A80">
              <w:rPr>
                <w:rFonts w:ascii="Verdana" w:hAnsi="Verdana" w:cs="Arial"/>
                <w:lang w:val="es-ES"/>
              </w:rPr>
              <w:t xml:space="preserve"> La Hoz.</w:t>
            </w:r>
          </w:p>
          <w:p w14:paraId="21208425" w14:textId="77777777" w:rsid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lastRenderedPageBreak/>
              <w:t xml:space="preserve">Consejo de Estado. Sección Tercera. Subsección A. Sentencia del 13 de noviembre de 2013. Rad. 25.646. C.P. Mauricio Fajardo Gómez.  </w:t>
            </w:r>
          </w:p>
          <w:p w14:paraId="03CB25A5" w14:textId="77777777" w:rsid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Consejo de Estado. Sala de lo contencioso administrativo. Sentencia del 12 de diciembre de 2014. </w:t>
            </w:r>
            <w:proofErr w:type="spellStart"/>
            <w:r w:rsidRPr="00DB2A80">
              <w:rPr>
                <w:rFonts w:ascii="Verdana" w:hAnsi="Verdana" w:cs="Arial"/>
                <w:lang w:val="es-ES"/>
              </w:rPr>
              <w:t>Exp</w:t>
            </w:r>
            <w:proofErr w:type="spellEnd"/>
            <w:r w:rsidRPr="00DB2A80">
              <w:rPr>
                <w:rFonts w:ascii="Verdana" w:hAnsi="Verdana" w:cs="Arial"/>
                <w:lang w:val="es-ES"/>
              </w:rPr>
              <w:t xml:space="preserve">. 26496. C.P. Ramiro Pazos Guerrero. </w:t>
            </w:r>
          </w:p>
          <w:p w14:paraId="362DE077" w14:textId="77777777" w:rsid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Consejo de Estado. Sala de Consulta y Servicio Civil. Concepto del 30 de abril de 2015. </w:t>
            </w:r>
            <w:proofErr w:type="spellStart"/>
            <w:r w:rsidRPr="00DB2A80">
              <w:rPr>
                <w:rFonts w:ascii="Verdana" w:hAnsi="Verdana" w:cs="Arial"/>
                <w:lang w:val="es-ES"/>
              </w:rPr>
              <w:t>Exp</w:t>
            </w:r>
            <w:proofErr w:type="spellEnd"/>
            <w:r w:rsidRPr="00DB2A80">
              <w:rPr>
                <w:rFonts w:ascii="Verdana" w:hAnsi="Verdana" w:cs="Arial"/>
                <w:lang w:val="es-ES"/>
              </w:rPr>
              <w:t xml:space="preserve">. 2251. C.P. Álvaro </w:t>
            </w:r>
            <w:proofErr w:type="spellStart"/>
            <w:r w:rsidRPr="00DB2A80">
              <w:rPr>
                <w:rFonts w:ascii="Verdana" w:hAnsi="Verdana" w:cs="Arial"/>
                <w:lang w:val="es-ES"/>
              </w:rPr>
              <w:t>Namén</w:t>
            </w:r>
            <w:proofErr w:type="spellEnd"/>
            <w:r w:rsidRPr="00DB2A80">
              <w:rPr>
                <w:rFonts w:ascii="Verdana" w:hAnsi="Verdana" w:cs="Arial"/>
                <w:lang w:val="es-ES"/>
              </w:rPr>
              <w:t xml:space="preserve"> Vargas.</w:t>
            </w:r>
          </w:p>
          <w:p w14:paraId="17ED29B5" w14:textId="77777777" w:rsid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Consejo de Estado. Sección Tercera. Subsección A. Sentencia del 24 de junio de 2015. </w:t>
            </w:r>
            <w:proofErr w:type="spellStart"/>
            <w:r w:rsidRPr="00DB2A80">
              <w:rPr>
                <w:rFonts w:ascii="Verdana" w:hAnsi="Verdana" w:cs="Arial"/>
                <w:lang w:val="es-ES"/>
              </w:rPr>
              <w:t>Exp</w:t>
            </w:r>
            <w:proofErr w:type="spellEnd"/>
            <w:r w:rsidRPr="00DB2A80">
              <w:rPr>
                <w:rFonts w:ascii="Verdana" w:hAnsi="Verdana" w:cs="Arial"/>
                <w:lang w:val="es-ES"/>
              </w:rPr>
              <w:t>. 40.635. C.P. Hernán Andrade Rincón (E).</w:t>
            </w:r>
          </w:p>
          <w:p w14:paraId="7B0061B4" w14:textId="77777777" w:rsid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t>Corte Constitucional. Sentencia C-415 de 1994. M.P. Eduardo Cifuentes Muñoz.</w:t>
            </w:r>
          </w:p>
          <w:p w14:paraId="1D80725F" w14:textId="77777777" w:rsid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Corte Constitucional. Sentencia C-181 de 1997. M.P. Fabio Morón Díaz. </w:t>
            </w:r>
          </w:p>
          <w:p w14:paraId="7670148A" w14:textId="77777777" w:rsid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t>Corte Constitucional. Sentencia C-154 de 1997. Magistrado Ponente: Hernando Herrera Vergara.</w:t>
            </w:r>
          </w:p>
          <w:p w14:paraId="01ACCB19" w14:textId="77777777" w:rsid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Corte Constitucional. Sentencia C-780 de 2001. M.P. Jaime Córdoba Triviño. </w:t>
            </w:r>
          </w:p>
          <w:p w14:paraId="7978C8C5" w14:textId="77777777" w:rsid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Corte Constitucional. Sentencia T-1039 de 2006. M.P. Humberto Sierra Porto. </w:t>
            </w:r>
          </w:p>
          <w:p w14:paraId="7E7001C7" w14:textId="77777777" w:rsid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Corte Constitucional. Sentencia C-614 de 2009. M.P. Jorge Ignacio Pretelt Chaljub. </w:t>
            </w:r>
          </w:p>
          <w:p w14:paraId="16DF5ED3" w14:textId="57E28963" w:rsidR="00502A4C" w:rsidRPr="00DB2A80" w:rsidRDefault="00DB2A80" w:rsidP="00DB2A80">
            <w:pPr>
              <w:numPr>
                <w:ilvl w:val="0"/>
                <w:numId w:val="26"/>
              </w:numPr>
              <w:spacing w:before="120" w:after="120" w:line="276" w:lineRule="auto"/>
              <w:ind w:left="640" w:hanging="357"/>
              <w:jc w:val="both"/>
              <w:rPr>
                <w:rFonts w:ascii="Verdana" w:hAnsi="Verdana" w:cs="Arial"/>
                <w:lang w:val="es-ES"/>
              </w:rPr>
            </w:pPr>
            <w:r w:rsidRPr="00DB2A80">
              <w:rPr>
                <w:rFonts w:ascii="Verdana" w:hAnsi="Verdana" w:cs="Arial"/>
                <w:lang w:val="es-ES"/>
              </w:rPr>
              <w:t>Corte Constitucional. Sentencia C-1016 de 2012. M.P. Jorge Iván Palacio.</w:t>
            </w:r>
          </w:p>
        </w:tc>
      </w:tr>
    </w:tbl>
    <w:p w14:paraId="106021AB" w14:textId="77777777" w:rsidR="00502A4C" w:rsidRPr="0060163E" w:rsidRDefault="00502A4C" w:rsidP="00502A4C">
      <w:pPr>
        <w:spacing w:after="0" w:line="276" w:lineRule="auto"/>
        <w:ind w:left="360"/>
        <w:contextualSpacing/>
        <w:rPr>
          <w:rFonts w:ascii="Verdana" w:eastAsia="Calibri" w:hAnsi="Verdana" w:cs="Times New Roman"/>
          <w:b/>
          <w:bCs/>
          <w:lang w:val="es-ES"/>
        </w:rPr>
      </w:pPr>
    </w:p>
    <w:p w14:paraId="52F85FCE" w14:textId="77777777" w:rsidR="00502A4C" w:rsidRPr="0060163E" w:rsidRDefault="00502A4C" w:rsidP="00502A4C">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V. </w:t>
      </w:r>
      <w:r w:rsidRPr="0060163E">
        <w:rPr>
          <w:rFonts w:ascii="Verdana" w:eastAsia="Calibri" w:hAnsi="Verdana" w:cs="Times New Roman"/>
          <w:b/>
          <w:bCs/>
          <w:lang w:val="es-ES"/>
        </w:rPr>
        <w:t>Doctrina de la Agencia Nacional de Contratación Pública:</w:t>
      </w:r>
    </w:p>
    <w:p w14:paraId="1D805501" w14:textId="77777777" w:rsidR="00502A4C" w:rsidRPr="0060163E" w:rsidRDefault="00502A4C" w:rsidP="00502A4C">
      <w:pPr>
        <w:spacing w:after="0" w:line="276" w:lineRule="auto"/>
        <w:rPr>
          <w:rFonts w:ascii="Verdana" w:eastAsia="Calibri" w:hAnsi="Verdana" w:cs="Times New Roman"/>
          <w:lang w:val="es-ES"/>
        </w:rPr>
      </w:pPr>
    </w:p>
    <w:p w14:paraId="3EA67284" w14:textId="53A1C8D4" w:rsidR="00502A4C" w:rsidRPr="00913D97" w:rsidRDefault="00502A4C" w:rsidP="00502A4C">
      <w:pPr>
        <w:widowControl w:val="0"/>
        <w:autoSpaceDE w:val="0"/>
        <w:autoSpaceDN w:val="0"/>
        <w:spacing w:after="0" w:line="276" w:lineRule="auto"/>
        <w:jc w:val="both"/>
        <w:rPr>
          <w:rFonts w:ascii="Verdana" w:hAnsi="Verdana" w:cs="Arial"/>
          <w:shd w:val="clear" w:color="auto" w:fill="FFFFFF"/>
          <w:lang w:val="es-ES"/>
        </w:rPr>
      </w:pPr>
      <w:r w:rsidRPr="0060163E">
        <w:rPr>
          <w:rFonts w:ascii="Verdana" w:hAnsi="Verdana" w:cs="Arial"/>
          <w:shd w:val="clear" w:color="auto" w:fill="FFFFFF"/>
          <w:lang w:val="es-ES"/>
        </w:rPr>
        <w:t xml:space="preserve">Esta Subdirección se ha pronunciado sobre </w:t>
      </w:r>
      <w:r>
        <w:rPr>
          <w:rFonts w:ascii="Verdana" w:hAnsi="Verdana" w:cs="Arial"/>
          <w:shd w:val="clear" w:color="auto" w:fill="FFFFFF"/>
          <w:lang w:val="es-ES"/>
        </w:rPr>
        <w:t xml:space="preserve">las inhabilidades e incompatibilidades </w:t>
      </w:r>
      <w:r w:rsidRPr="0060163E">
        <w:rPr>
          <w:rFonts w:ascii="Verdana" w:hAnsi="Verdana" w:cs="Arial"/>
          <w:shd w:val="clear" w:color="auto" w:fill="FFFFFF"/>
          <w:lang w:val="es-ES"/>
        </w:rPr>
        <w:t>en algunos conceptos, tales como:</w:t>
      </w:r>
      <w:r w:rsidRPr="0060163E">
        <w:rPr>
          <w:rFonts w:ascii="Arial" w:eastAsia="Calibri" w:hAnsi="Arial" w:cs="Arial"/>
          <w:lang w:val="es-MX"/>
        </w:rPr>
        <w:t xml:space="preserve"> </w:t>
      </w:r>
      <w:r w:rsidRPr="0060163E">
        <w:rPr>
          <w:rFonts w:ascii="Verdana" w:hAnsi="Verdana" w:cs="Arial"/>
          <w:shd w:val="clear" w:color="auto" w:fill="FFFFFF"/>
          <w:lang w:val="es-MX"/>
        </w:rPr>
        <w:t xml:space="preserve">radicados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w:t>
      </w:r>
      <w:r w:rsidRPr="0060163E">
        <w:rPr>
          <w:rFonts w:ascii="Verdana" w:hAnsi="Verdana" w:cs="Arial"/>
          <w:shd w:val="clear" w:color="auto" w:fill="FFFFFF"/>
          <w:lang w:val="es-MX"/>
        </w:rPr>
        <w:lastRenderedPageBreak/>
        <w:t xml:space="preserve">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C-293 del 28 de agosto de 2021, </w:t>
      </w:r>
      <w:r w:rsidRPr="0060163E">
        <w:rPr>
          <w:rFonts w:ascii="Verdana" w:hAnsi="Verdana" w:cs="Arial"/>
          <w:shd w:val="clear" w:color="auto" w:fill="FFFFFF"/>
          <w:lang w:val="es-ES"/>
        </w:rPr>
        <w:t>C-449 del 31 de agosto de 2021, C-028 del 28 de febrero de 2022, C-318 del 18 de mayo de 2022, C-252 del 30 de mayo de 2022, C-619 del 27 de septiembre de 2022, C-731 de 10 de noviembre de 2022, C-059 de 13 de junio de 2023, C-352 del 22 de diciembre de 2023, C-010 del 31 de enero de 2024, C-023 del 26 de febrero de 2024, C-035 del 24 de abril de 2024, C-039 del 23 de abril de 2024, C-041 del 29 de mayo de 2024, C-067 del 16 de mayo de 2024, C-078 del 4 de junio de 2024, C-289 del 15 de agosto de 2023, C-172 de 25 de julio de 2024, C-271 del 22 de julio de 2024, C-904 del 9 de diciembre de 2024,</w:t>
      </w:r>
      <w:r>
        <w:rPr>
          <w:rFonts w:ascii="Verdana" w:hAnsi="Verdana" w:cs="Arial"/>
          <w:shd w:val="clear" w:color="auto" w:fill="FFFFFF"/>
          <w:lang w:val="es-ES"/>
        </w:rPr>
        <w:t xml:space="preserve"> C-170 del 19 de marzo de 2025, C-392 del 8 de mayo de 2025, C-632 del 2 de julio de 2025,</w:t>
      </w:r>
      <w:r w:rsidR="00913D97">
        <w:rPr>
          <w:rFonts w:ascii="Verdana" w:hAnsi="Verdana" w:cs="Arial"/>
          <w:shd w:val="clear" w:color="auto" w:fill="FFFFFF"/>
          <w:lang w:val="es-ES"/>
        </w:rPr>
        <w:t xml:space="preserve"> C-710 del 15 de julio de 2025, </w:t>
      </w:r>
      <w:r w:rsidR="00913D97" w:rsidRPr="00913D97">
        <w:rPr>
          <w:rFonts w:ascii="Verdana" w:hAnsi="Verdana" w:cs="Arial"/>
          <w:shd w:val="clear" w:color="auto" w:fill="FFFFFF"/>
          <w:lang w:val="es-ES"/>
        </w:rPr>
        <w:t xml:space="preserve">C-731 del 21 de agosto de 2025, </w:t>
      </w:r>
      <w:r w:rsidR="00913D97">
        <w:rPr>
          <w:rFonts w:ascii="Verdana" w:hAnsi="Verdana" w:cs="Arial"/>
          <w:shd w:val="clear" w:color="auto" w:fill="FFFFFF"/>
          <w:lang w:val="es-ES"/>
        </w:rPr>
        <w:t>C-1058 del 5 de septiembre de 2025,</w:t>
      </w:r>
      <w:r>
        <w:rPr>
          <w:rFonts w:ascii="Verdana" w:hAnsi="Verdana" w:cs="Arial"/>
          <w:shd w:val="clear" w:color="auto" w:fill="FFFFFF"/>
          <w:lang w:val="es-ES"/>
        </w:rPr>
        <w:t xml:space="preserve"> </w:t>
      </w:r>
      <w:r w:rsidRPr="00640340">
        <w:rPr>
          <w:rFonts w:ascii="Verdana" w:hAnsi="Verdana" w:cs="Arial"/>
          <w:shd w:val="clear" w:color="auto" w:fill="FFFFFF"/>
          <w:lang w:val="es-ES"/>
        </w:rPr>
        <w:t xml:space="preserve">entre otros. </w:t>
      </w:r>
      <w:r w:rsidR="00913D97">
        <w:rPr>
          <w:rFonts w:ascii="Verdana" w:hAnsi="Verdana" w:cs="Arial"/>
          <w:shd w:val="clear" w:color="auto" w:fill="FFFFFF"/>
          <w:lang w:val="es-ES"/>
        </w:rPr>
        <w:t xml:space="preserve">En cuanto a los conflictos de interés sobre el ejercicio de profesiones de la ingeniería y la arquitectura, se destacan los Conceptos C-710 del 15 de julio de 2025 y C-1058 del 5 de septiembre de 2025. </w:t>
      </w:r>
      <w:r w:rsidRPr="0060163E">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Times New Roman"/>
        </w:rPr>
        <w:t xml:space="preserve"> </w:t>
      </w:r>
      <w:hyperlink r:id="rId13" w:history="1">
        <w:r w:rsidRPr="0060163E">
          <w:rPr>
            <w:rFonts w:ascii="Verdana" w:eastAsia="Calibri" w:hAnsi="Verdana" w:cs="Times New Roman"/>
            <w:color w:val="0000FF"/>
            <w:u w:val="single"/>
            <w:lang w:val="es-ES"/>
          </w:rPr>
          <w:t>https://relatoria.colombiacompra.gov.co/busqueda/conceptos</w:t>
        </w:r>
      </w:hyperlink>
      <w:r w:rsidRPr="0060163E">
        <w:rPr>
          <w:rFonts w:ascii="Verdana" w:eastAsia="Calibri" w:hAnsi="Verdana" w:cs="Times New Roman"/>
        </w:rPr>
        <w:t xml:space="preserve">. </w:t>
      </w:r>
    </w:p>
    <w:p w14:paraId="49508F9E" w14:textId="167FBAC5" w:rsidR="00502A4C" w:rsidRPr="0060163E" w:rsidRDefault="00502A4C" w:rsidP="00502A4C">
      <w:pPr>
        <w:spacing w:after="0" w:line="276" w:lineRule="auto"/>
        <w:jc w:val="both"/>
        <w:rPr>
          <w:rFonts w:ascii="Verdana" w:hAnsi="Verdana"/>
        </w:rPr>
      </w:pPr>
    </w:p>
    <w:bookmarkEnd w:id="0"/>
    <w:p w14:paraId="7A7CFFAC" w14:textId="77777777" w:rsidR="00DB2A80" w:rsidRPr="00DB2A80" w:rsidRDefault="00DB2A80" w:rsidP="00DB2A80">
      <w:pPr>
        <w:spacing w:after="0" w:line="256" w:lineRule="auto"/>
        <w:jc w:val="both"/>
        <w:rPr>
          <w:rFonts w:ascii="Verdana" w:eastAsia="Calibri" w:hAnsi="Verdana" w:cs="Times New Roman"/>
        </w:rPr>
      </w:pPr>
      <w:r w:rsidRPr="00DB2A80">
        <w:rPr>
          <w:rFonts w:ascii="Verdana" w:eastAsia="Calibri" w:hAnsi="Verdana" w:cs="Times New Roman"/>
        </w:rPr>
        <w:t xml:space="preserve">Te informamos que ya se encuentra disponible la </w:t>
      </w:r>
      <w:r w:rsidRPr="00DB2A80">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DB2A80">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B2A80">
        <w:rPr>
          <w:rFonts w:ascii="Verdana" w:eastAsia="Calibri" w:hAnsi="Verdana" w:cs="Times New Roman"/>
        </w:rPr>
        <w:t>Wayúu</w:t>
      </w:r>
      <w:proofErr w:type="spellEnd"/>
      <w:r w:rsidRPr="00DB2A80">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28695382" w14:textId="77777777" w:rsidR="00DB2A80" w:rsidRPr="00DB2A80" w:rsidRDefault="00DB2A80" w:rsidP="00DB2A80">
      <w:pPr>
        <w:spacing w:after="0" w:line="256" w:lineRule="auto"/>
        <w:jc w:val="both"/>
        <w:rPr>
          <w:rFonts w:ascii="Verdana" w:eastAsia="Calibri" w:hAnsi="Verdana" w:cs="Times New Roman"/>
        </w:rPr>
      </w:pPr>
    </w:p>
    <w:p w14:paraId="6BB57CF6" w14:textId="77777777" w:rsidR="00DB2A80" w:rsidRPr="00DB2A80" w:rsidRDefault="00DB2A80" w:rsidP="00DB2A80">
      <w:pPr>
        <w:spacing w:after="0" w:line="256" w:lineRule="auto"/>
        <w:jc w:val="both"/>
        <w:rPr>
          <w:rFonts w:ascii="Verdana" w:eastAsia="Calibri" w:hAnsi="Verdana" w:cs="Times New Roman"/>
          <w:bCs/>
          <w:lang w:val="es-ES_tradnl"/>
        </w:rPr>
      </w:pPr>
      <w:r w:rsidRPr="00DB2A80">
        <w:rPr>
          <w:rFonts w:ascii="Verdana" w:eastAsia="Calibri" w:hAnsi="Verdana" w:cs="Times New Roman"/>
          <w:lang w:val="es-ES_tradnl"/>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C87E84C" w14:textId="77777777" w:rsidR="00DB2A80" w:rsidRPr="00DB2A80" w:rsidRDefault="00DB2A80" w:rsidP="00DB2A80">
      <w:pPr>
        <w:spacing w:after="0" w:line="256" w:lineRule="auto"/>
        <w:jc w:val="both"/>
        <w:rPr>
          <w:rFonts w:ascii="Verdana" w:eastAsia="Calibri" w:hAnsi="Verdana" w:cs="Times New Roman"/>
        </w:rPr>
      </w:pPr>
    </w:p>
    <w:p w14:paraId="74E77A0E" w14:textId="77777777" w:rsidR="00DB2A80" w:rsidRPr="00DB2A80" w:rsidRDefault="00DB2A80" w:rsidP="00DB2A80">
      <w:pPr>
        <w:spacing w:after="0" w:line="256" w:lineRule="auto"/>
        <w:jc w:val="both"/>
        <w:rPr>
          <w:rFonts w:ascii="Verdana" w:eastAsia="Calibri" w:hAnsi="Verdana" w:cs="Times New Roman"/>
        </w:rPr>
      </w:pPr>
      <w:r w:rsidRPr="00DB2A80">
        <w:rPr>
          <w:rFonts w:ascii="Verdana" w:eastAsia="Calibri" w:hAnsi="Verdana" w:cs="Times New Roman"/>
        </w:rPr>
        <w:t>Atentamente,</w:t>
      </w:r>
    </w:p>
    <w:p w14:paraId="6F42721B" w14:textId="77777777" w:rsidR="00DB2A80" w:rsidRPr="00DB2A80" w:rsidRDefault="00DB2A80" w:rsidP="00DB2A80">
      <w:pPr>
        <w:spacing w:after="0" w:line="256" w:lineRule="auto"/>
        <w:rPr>
          <w:rFonts w:ascii="Century Gothic" w:hAnsi="Century Gothic"/>
          <w:noProof/>
          <w:lang w:val="en-US"/>
        </w:rPr>
      </w:pPr>
    </w:p>
    <w:p w14:paraId="63205BEF" w14:textId="6D5D30B7" w:rsidR="00DB2A80" w:rsidRPr="00DB2A80" w:rsidRDefault="002D5A79" w:rsidP="00DB2A80">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2B22D5CA" wp14:editId="72708337">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p w14:paraId="6B73CFD7" w14:textId="77777777" w:rsidR="00DB2A80" w:rsidRPr="00DB2A80" w:rsidRDefault="00DB2A80" w:rsidP="00DB2A80">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DB2A80" w:rsidRPr="00DB2A80" w14:paraId="6A4821A3" w14:textId="77777777" w:rsidTr="00900B3D">
        <w:trPr>
          <w:trHeight w:val="409"/>
        </w:trPr>
        <w:tc>
          <w:tcPr>
            <w:tcW w:w="817" w:type="dxa"/>
            <w:tcBorders>
              <w:top w:val="nil"/>
              <w:left w:val="nil"/>
              <w:bottom w:val="nil"/>
              <w:right w:val="nil"/>
            </w:tcBorders>
            <w:vAlign w:val="center"/>
            <w:hideMark/>
          </w:tcPr>
          <w:p w14:paraId="54F95A26" w14:textId="77777777" w:rsidR="00DB2A80" w:rsidRPr="00DB2A80" w:rsidRDefault="00DB2A80" w:rsidP="00DB2A8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7D044522" w14:textId="77777777" w:rsidR="00DB2A80" w:rsidRPr="00DB2A80" w:rsidRDefault="00DB2A80" w:rsidP="00DB2A8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José Luis Sánchez Cardona</w:t>
            </w:r>
          </w:p>
          <w:p w14:paraId="27DD27AF" w14:textId="77777777" w:rsidR="00DB2A80" w:rsidRPr="00DB2A80" w:rsidRDefault="00DB2A80" w:rsidP="00DB2A8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Contratista de la Subdirección de Gestión Contractual</w:t>
            </w:r>
          </w:p>
        </w:tc>
      </w:tr>
      <w:tr w:rsidR="00DB2A80" w:rsidRPr="00DB2A80" w14:paraId="776BBB69" w14:textId="77777777" w:rsidTr="00900B3D">
        <w:trPr>
          <w:trHeight w:val="409"/>
        </w:trPr>
        <w:tc>
          <w:tcPr>
            <w:tcW w:w="817" w:type="dxa"/>
            <w:tcBorders>
              <w:top w:val="nil"/>
              <w:left w:val="nil"/>
              <w:bottom w:val="nil"/>
              <w:right w:val="nil"/>
            </w:tcBorders>
            <w:vAlign w:val="center"/>
            <w:hideMark/>
          </w:tcPr>
          <w:p w14:paraId="6C3F6BD7" w14:textId="77777777" w:rsidR="00DB2A80" w:rsidRPr="00DB2A80" w:rsidRDefault="00DB2A80" w:rsidP="00DB2A8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818FA16" w14:textId="77777777" w:rsidR="00DB2A80" w:rsidRPr="00DB2A80" w:rsidRDefault="00DB2A80" w:rsidP="00DB2A8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Alejandro Sarmiento Cantillo</w:t>
            </w:r>
          </w:p>
          <w:p w14:paraId="513EF5E2" w14:textId="77777777" w:rsidR="00DB2A80" w:rsidRPr="00DB2A80" w:rsidRDefault="00DB2A80" w:rsidP="00DB2A8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Gestor T1-15 de la Subdirección de Gestión Contractual </w:t>
            </w:r>
          </w:p>
        </w:tc>
      </w:tr>
      <w:tr w:rsidR="00DB2A80" w:rsidRPr="00DB2A80" w14:paraId="6E544F63" w14:textId="77777777" w:rsidTr="00900B3D">
        <w:trPr>
          <w:trHeight w:val="389"/>
        </w:trPr>
        <w:tc>
          <w:tcPr>
            <w:tcW w:w="817" w:type="dxa"/>
            <w:tcBorders>
              <w:top w:val="nil"/>
              <w:left w:val="nil"/>
              <w:bottom w:val="nil"/>
              <w:right w:val="nil"/>
            </w:tcBorders>
            <w:vAlign w:val="center"/>
            <w:hideMark/>
          </w:tcPr>
          <w:p w14:paraId="7B01A2F4" w14:textId="77777777" w:rsidR="00DB2A80" w:rsidRPr="00DB2A80" w:rsidRDefault="00DB2A80" w:rsidP="00DB2A8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8D55591" w14:textId="77777777" w:rsidR="00DB2A80" w:rsidRPr="00DB2A80" w:rsidRDefault="00DB2A80" w:rsidP="00DB2A8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 xml:space="preserve">Carolina Quintero </w:t>
            </w:r>
            <w:proofErr w:type="spellStart"/>
            <w:r w:rsidRPr="00DB2A80">
              <w:rPr>
                <w:rFonts w:ascii="Verdana" w:eastAsia="Calibri" w:hAnsi="Verdana" w:cs="Times New Roman"/>
                <w:sz w:val="16"/>
                <w:szCs w:val="16"/>
              </w:rPr>
              <w:t>Gacharná</w:t>
            </w:r>
            <w:proofErr w:type="spellEnd"/>
          </w:p>
          <w:p w14:paraId="7B4056F1" w14:textId="77777777" w:rsidR="00DB2A80" w:rsidRPr="00DB2A80" w:rsidRDefault="00DB2A80" w:rsidP="00DB2A8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Subdirectora de Gestión Contractual ANCP – CCE</w:t>
            </w:r>
          </w:p>
        </w:tc>
      </w:tr>
    </w:tbl>
    <w:p w14:paraId="1A2C984C" w14:textId="77777777" w:rsidR="00502A4C" w:rsidRPr="00492C00" w:rsidRDefault="00502A4C" w:rsidP="00502A4C">
      <w:pPr>
        <w:rPr>
          <w:rFonts w:ascii="Verdana" w:hAnsi="Verdana"/>
        </w:rPr>
      </w:pPr>
    </w:p>
    <w:p w14:paraId="0F293BF4" w14:textId="5961745C" w:rsidR="00127233" w:rsidRPr="00502A4C" w:rsidRDefault="00127233" w:rsidP="00502A4C"/>
    <w:sectPr w:rsidR="00127233" w:rsidRPr="00502A4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50062E" w14:textId="77777777" w:rsidR="001D7DBF" w:rsidRDefault="001D7DBF" w:rsidP="004A1847">
      <w:pPr>
        <w:spacing w:after="0" w:line="240" w:lineRule="auto"/>
      </w:pPr>
      <w:r>
        <w:separator/>
      </w:r>
    </w:p>
  </w:endnote>
  <w:endnote w:type="continuationSeparator" w:id="0">
    <w:p w14:paraId="6C3B7A25" w14:textId="77777777" w:rsidR="001D7DBF" w:rsidRDefault="001D7DBF" w:rsidP="004A1847">
      <w:pPr>
        <w:spacing w:after="0" w:line="240" w:lineRule="auto"/>
      </w:pPr>
      <w:r>
        <w:continuationSeparator/>
      </w:r>
    </w:p>
  </w:endnote>
  <w:endnote w:type="continuationNotice" w:id="1">
    <w:p w14:paraId="16666CDF" w14:textId="77777777" w:rsidR="001D7DBF" w:rsidRDefault="001D7D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rial Nova">
    <w:charset w:val="00"/>
    <w:family w:val="swiss"/>
    <w:pitch w:val="variable"/>
    <w:sig w:usb0="0000028F" w:usb1="00000002"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350BE1" w:rsidRDefault="00350BE1">
    <w:pPr>
      <w:pStyle w:val="Piedepgina"/>
    </w:pPr>
  </w:p>
  <w:p w14:paraId="594D6D9F" w14:textId="239651D8" w:rsidR="00350BE1" w:rsidRPr="00174B77" w:rsidRDefault="00350BE1"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380552">
      <w:rPr>
        <w:rFonts w:ascii="Verdana" w:eastAsia="MS Gothic" w:hAnsi="Verdana" w:cs="Times New Roman"/>
        <w:b/>
        <w:bCs/>
        <w:sz w:val="16"/>
        <w:szCs w:val="16"/>
        <w:lang w:val="es-ES"/>
      </w:rPr>
      <w:t xml:space="preserve">pág. </w:t>
    </w:r>
    <w:r w:rsidRPr="00380552">
      <w:rPr>
        <w:rFonts w:ascii="Verdana" w:eastAsia="MS Mincho" w:hAnsi="Verdana"/>
        <w:b/>
        <w:bCs/>
        <w:sz w:val="16"/>
        <w:szCs w:val="16"/>
      </w:rPr>
      <w:fldChar w:fldCharType="begin"/>
    </w:r>
    <w:r w:rsidRPr="002E1330">
      <w:rPr>
        <w:rFonts w:ascii="Verdana" w:hAnsi="Verdana"/>
        <w:b/>
        <w:bCs/>
        <w:sz w:val="16"/>
        <w:szCs w:val="16"/>
      </w:rPr>
      <w:instrText>PAGE    \* MERGEFORMAT</w:instrText>
    </w:r>
    <w:r w:rsidRPr="00380552">
      <w:rPr>
        <w:rFonts w:ascii="Verdana" w:eastAsia="MS Mincho" w:hAnsi="Verdana"/>
        <w:b/>
        <w:bCs/>
        <w:sz w:val="16"/>
        <w:szCs w:val="16"/>
      </w:rPr>
      <w:fldChar w:fldCharType="separate"/>
    </w:r>
    <w:r w:rsidR="002D5A79" w:rsidRPr="002D5A79">
      <w:rPr>
        <w:rFonts w:ascii="Verdana" w:eastAsia="MS Mincho" w:hAnsi="Verdana"/>
        <w:b/>
        <w:bCs/>
        <w:noProof/>
        <w:sz w:val="16"/>
        <w:szCs w:val="16"/>
      </w:rPr>
      <w:t>1</w:t>
    </w:r>
    <w:r w:rsidRPr="00380552">
      <w:rPr>
        <w:rFonts w:ascii="Verdana" w:eastAsia="MS Gothic"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50BE1" w:rsidRDefault="00350BE1"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50BE1" w:rsidRPr="00E41027" w:rsidRDefault="00350BE1"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350BE1" w:rsidRDefault="00350BE1"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5D793" w14:textId="77777777" w:rsidR="001D7DBF" w:rsidRDefault="001D7DBF" w:rsidP="004A1847">
      <w:pPr>
        <w:spacing w:after="0" w:line="240" w:lineRule="auto"/>
      </w:pPr>
      <w:r>
        <w:separator/>
      </w:r>
    </w:p>
  </w:footnote>
  <w:footnote w:type="continuationSeparator" w:id="0">
    <w:p w14:paraId="7C309FEA" w14:textId="77777777" w:rsidR="001D7DBF" w:rsidRDefault="001D7DBF" w:rsidP="004A1847">
      <w:pPr>
        <w:spacing w:after="0" w:line="240" w:lineRule="auto"/>
      </w:pPr>
      <w:r>
        <w:continuationSeparator/>
      </w:r>
    </w:p>
  </w:footnote>
  <w:footnote w:type="continuationNotice" w:id="1">
    <w:p w14:paraId="2747A5DD" w14:textId="77777777" w:rsidR="001D7DBF" w:rsidRDefault="001D7DBF">
      <w:pPr>
        <w:spacing w:after="0" w:line="240" w:lineRule="auto"/>
      </w:pPr>
    </w:p>
  </w:footnote>
  <w:footnote w:id="2">
    <w:p w14:paraId="7681028A" w14:textId="6393A6F4" w:rsidR="00502A4C" w:rsidRPr="00DB7B3E" w:rsidRDefault="00502A4C" w:rsidP="00502A4C">
      <w:pPr>
        <w:pStyle w:val="Textonotapie"/>
        <w:ind w:firstLine="708"/>
        <w:jc w:val="both"/>
        <w:rPr>
          <w:rFonts w:ascii="Verdana" w:hAnsi="Verdana"/>
          <w:sz w:val="16"/>
          <w:szCs w:val="16"/>
        </w:rPr>
      </w:pPr>
      <w:r w:rsidRPr="00DB7B3E">
        <w:rPr>
          <w:rFonts w:ascii="Verdana" w:hAnsi="Verdana"/>
          <w:sz w:val="16"/>
          <w:szCs w:val="16"/>
          <w:vertAlign w:val="superscript"/>
        </w:rPr>
        <w:footnoteRef/>
      </w:r>
      <w:r w:rsidRPr="00DB7B3E">
        <w:rPr>
          <w:rFonts w:ascii="Verdana" w:hAnsi="Verdana"/>
          <w:sz w:val="16"/>
          <w:szCs w:val="16"/>
        </w:rPr>
        <w:t xml:space="preserve"> </w:t>
      </w:r>
      <w:r w:rsidR="00913D97" w:rsidRPr="00DB7B3E">
        <w:rPr>
          <w:rFonts w:ascii="Verdana" w:hAnsi="Verdana"/>
          <w:sz w:val="16"/>
          <w:szCs w:val="16"/>
        </w:rPr>
        <w:t>Corte Constitucional</w:t>
      </w:r>
      <w:r w:rsidRPr="00DB7B3E">
        <w:rPr>
          <w:rFonts w:ascii="Verdana" w:hAnsi="Verdana"/>
          <w:sz w:val="16"/>
          <w:szCs w:val="16"/>
        </w:rPr>
        <w:t>. Sentencia C-181 de 1997. M.P. Fabio Morón Díaz. Ver también las Sentencias C-540 de 2001, C-893 de 2003 y C-903 de 2008, entre otras.</w:t>
      </w:r>
    </w:p>
  </w:footnote>
  <w:footnote w:id="3">
    <w:p w14:paraId="4E4B5AB3" w14:textId="0207CD17" w:rsidR="00502A4C" w:rsidRPr="00E34BBF" w:rsidRDefault="00502A4C" w:rsidP="00502A4C">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00913D97" w:rsidRPr="00E34BBF">
        <w:rPr>
          <w:rFonts w:ascii="Verdana" w:hAnsi="Verdana"/>
          <w:sz w:val="16"/>
          <w:szCs w:val="16"/>
          <w:lang w:val="pt-BR"/>
        </w:rPr>
        <w:t>Corte Constitucional</w:t>
      </w:r>
      <w:r w:rsidRPr="00E34BBF">
        <w:rPr>
          <w:rFonts w:ascii="Verdana" w:hAnsi="Verdana"/>
          <w:sz w:val="16"/>
          <w:szCs w:val="16"/>
          <w:lang w:val="pt-BR"/>
        </w:rPr>
        <w:t>. Sentencia C-1016 de 2012. M.P. Jorge Iván Palacio.</w:t>
      </w:r>
    </w:p>
  </w:footnote>
  <w:footnote w:id="4">
    <w:p w14:paraId="3BE35487" w14:textId="51343157" w:rsidR="00502A4C" w:rsidRPr="00E34BBF" w:rsidRDefault="00502A4C" w:rsidP="00502A4C">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rPr>
        <w:t xml:space="preserve"> </w:t>
      </w:r>
      <w:r w:rsidR="00913D97">
        <w:rPr>
          <w:rFonts w:ascii="Verdana" w:hAnsi="Verdana"/>
          <w:sz w:val="16"/>
          <w:szCs w:val="16"/>
        </w:rPr>
        <w:t>Consejo d</w:t>
      </w:r>
      <w:r w:rsidR="00913D97" w:rsidRPr="00E34BBF">
        <w:rPr>
          <w:rFonts w:ascii="Verdana" w:hAnsi="Verdana"/>
          <w:sz w:val="16"/>
          <w:szCs w:val="16"/>
        </w:rPr>
        <w:t xml:space="preserve">e Estado. </w:t>
      </w:r>
      <w:r w:rsidRPr="00E34BBF">
        <w:rPr>
          <w:rFonts w:ascii="Verdana" w:hAnsi="Verdana"/>
          <w:sz w:val="16"/>
          <w:szCs w:val="16"/>
        </w:rPr>
        <w:t xml:space="preserve">Sección Tercera. Subsección A. Sentencia del 13 de noviembre de 2013. </w:t>
      </w:r>
      <w:r w:rsidRPr="00E34BBF">
        <w:rPr>
          <w:rFonts w:ascii="Verdana" w:hAnsi="Verdana"/>
          <w:sz w:val="16"/>
          <w:szCs w:val="16"/>
          <w:lang w:val="pt-BR"/>
        </w:rPr>
        <w:t xml:space="preserve">Rad. 25.646. C.P. Mauricio Fajardo Gómez.  </w:t>
      </w:r>
    </w:p>
    <w:p w14:paraId="1B2E8E2B" w14:textId="77777777" w:rsidR="00502A4C" w:rsidRPr="00E34BBF" w:rsidRDefault="00502A4C" w:rsidP="00502A4C">
      <w:pPr>
        <w:pStyle w:val="Textonotapie"/>
        <w:jc w:val="both"/>
        <w:rPr>
          <w:rFonts w:ascii="Verdana" w:hAnsi="Verdana"/>
          <w:sz w:val="16"/>
          <w:szCs w:val="16"/>
          <w:lang w:val="pt-BR"/>
        </w:rPr>
      </w:pPr>
    </w:p>
  </w:footnote>
  <w:footnote w:id="5">
    <w:p w14:paraId="6410DA44" w14:textId="04DE7AA1" w:rsidR="00502A4C" w:rsidRPr="00E34BBF" w:rsidRDefault="00502A4C" w:rsidP="00502A4C">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00913D97" w:rsidRPr="00E34BBF">
        <w:rPr>
          <w:rFonts w:ascii="Verdana" w:hAnsi="Verdana"/>
          <w:sz w:val="16"/>
          <w:szCs w:val="16"/>
          <w:lang w:val="pt-BR"/>
        </w:rPr>
        <w:t xml:space="preserve">Corte Constitucional. </w:t>
      </w:r>
      <w:r w:rsidRPr="00E34BBF">
        <w:rPr>
          <w:rFonts w:ascii="Verdana" w:hAnsi="Verdana"/>
          <w:sz w:val="16"/>
          <w:szCs w:val="16"/>
          <w:lang w:val="pt-BR"/>
        </w:rPr>
        <w:t>Sentencia C-415 de 1994. M.P. Eduardo Cifuentes Muñoz.</w:t>
      </w:r>
    </w:p>
  </w:footnote>
  <w:footnote w:id="6">
    <w:p w14:paraId="759249F4" w14:textId="77777777" w:rsidR="00502A4C" w:rsidRPr="00E34BBF" w:rsidRDefault="00502A4C" w:rsidP="00502A4C">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Ibídem.</w:t>
      </w:r>
    </w:p>
    <w:p w14:paraId="082BFB06" w14:textId="77777777" w:rsidR="00502A4C" w:rsidRPr="00E34BBF" w:rsidRDefault="00502A4C" w:rsidP="00502A4C">
      <w:pPr>
        <w:pStyle w:val="Textonotapie"/>
        <w:jc w:val="both"/>
        <w:rPr>
          <w:rFonts w:ascii="Verdana" w:hAnsi="Verdana"/>
          <w:sz w:val="16"/>
          <w:szCs w:val="16"/>
          <w:lang w:val="pt-BR"/>
        </w:rPr>
      </w:pPr>
    </w:p>
  </w:footnote>
  <w:footnote w:id="7">
    <w:p w14:paraId="1A49BF84" w14:textId="77777777" w:rsidR="00502A4C" w:rsidRPr="00E34BBF" w:rsidRDefault="00502A4C" w:rsidP="00502A4C">
      <w:pPr>
        <w:pStyle w:val="Textonotapie"/>
        <w:ind w:firstLine="708"/>
        <w:jc w:val="both"/>
        <w:rPr>
          <w:rFonts w:ascii="Verdana" w:hAnsi="Verdana"/>
          <w:sz w:val="16"/>
          <w:szCs w:val="16"/>
          <w:lang w:val="es-CO"/>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w:t>
      </w:r>
      <w:r w:rsidRPr="00E34BBF">
        <w:rPr>
          <w:rFonts w:ascii="Verdana" w:hAnsi="Verdana"/>
          <w:sz w:val="16"/>
          <w:szCs w:val="16"/>
        </w:rPr>
        <w:t xml:space="preserve">Sentencia C-780 de 2001. </w:t>
      </w:r>
      <w:r w:rsidRPr="00E34BBF">
        <w:rPr>
          <w:rFonts w:ascii="Verdana" w:hAnsi="Verdana"/>
          <w:sz w:val="16"/>
          <w:szCs w:val="16"/>
          <w:lang w:val="es-CO"/>
        </w:rPr>
        <w:t xml:space="preserve">M.P. Jaime Córdoba Triviño. </w:t>
      </w:r>
    </w:p>
    <w:p w14:paraId="1A44F67C" w14:textId="77777777" w:rsidR="00502A4C" w:rsidRPr="00E34BBF" w:rsidRDefault="00502A4C" w:rsidP="00502A4C">
      <w:pPr>
        <w:pStyle w:val="Textonotapie"/>
        <w:jc w:val="both"/>
        <w:rPr>
          <w:rFonts w:ascii="Verdana" w:hAnsi="Verdana"/>
          <w:sz w:val="16"/>
          <w:szCs w:val="16"/>
          <w:lang w:val="es-CO"/>
        </w:rPr>
      </w:pPr>
    </w:p>
  </w:footnote>
  <w:footnote w:id="8">
    <w:p w14:paraId="62B0AA1E" w14:textId="77777777" w:rsidR="00502A4C" w:rsidRPr="00E34BBF" w:rsidRDefault="00502A4C" w:rsidP="00502A4C">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eastAsia="Calibri" w:hAnsi="Verdana" w:cs="Arial"/>
          <w:sz w:val="16"/>
          <w:szCs w:val="16"/>
          <w:lang w:val="es-ES" w:eastAsia="en-US"/>
        </w:rPr>
        <w:t>Ley 80 de 1993: “</w:t>
      </w:r>
      <w:r w:rsidRPr="00E34BBF">
        <w:rPr>
          <w:rFonts w:ascii="Verdana" w:eastAsia="Calibri" w:hAnsi="Verdana" w:cs="Arial"/>
          <w:sz w:val="16"/>
          <w:szCs w:val="16"/>
          <w:lang w:val="es-ES" w:eastAsia="en-US"/>
        </w:rPr>
        <w:t>Artículo 8: 1o. Son inhábiles para participar en licitaciones o concursos y para celebrar contratos con las entidades estatales: </w:t>
      </w:r>
    </w:p>
    <w:p w14:paraId="2E7B2E25"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a) Las personas que se hallen inhabilitadas para contratar por la Constitución y las leyes. </w:t>
      </w:r>
    </w:p>
    <w:p w14:paraId="46A614D6"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b) Quienes participaron en las licitaciones o concursos o celebraron los contratos de que trata el literal anterior estando inhabilitados. </w:t>
      </w:r>
    </w:p>
    <w:p w14:paraId="6C7A35F3"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c) Quienes dieron lugar a la declaratoria de caducidad. </w:t>
      </w:r>
    </w:p>
    <w:p w14:paraId="27748DCF"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d) Quienes en sentencia judicial hayan sido condenados a la pena accesoria de interdicción de derechos y funciones públicas y quienes hayan sido sancionados disciplinariamente con destitución. </w:t>
      </w:r>
    </w:p>
    <w:p w14:paraId="3D7112A5"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 Quienes sin justa causa se abstengan de suscribir el contrato estatal adjudicado. </w:t>
      </w:r>
    </w:p>
    <w:p w14:paraId="35E5129E"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f) Los servidores públicos. </w:t>
      </w:r>
    </w:p>
    <w:p w14:paraId="30080699"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g) Quienes sean cónyuges o compañeros permanentes y quienes se encuentren dentro del segundo grado de consanguinidad o segundo de afinidad con cualquier otra persona que formalmente haya presentado propuesta para una misma licitación o concurso. </w:t>
      </w:r>
    </w:p>
    <w:p w14:paraId="3EF1F532" w14:textId="77777777" w:rsidR="00502A4C" w:rsidRPr="00E34BBF" w:rsidRDefault="00502A4C" w:rsidP="00502A4C">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6358624B"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i) Los socios de sociedades de personas a las cuales se haya declarado la caducidad, así como las sociedades de personas de las que aquellos formen parte con posterioridad a dicha declaratoria. </w:t>
      </w:r>
    </w:p>
    <w:p w14:paraId="50BFBCFF"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66C27619"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4D3999C3"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E34BBF">
        <w:rPr>
          <w:rFonts w:ascii="Verdana" w:eastAsia="Calibri" w:hAnsi="Verdana" w:cs="Arial"/>
          <w:sz w:val="16"/>
          <w:szCs w:val="16"/>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E34BBF">
        <w:rPr>
          <w:rFonts w:ascii="Verdana" w:eastAsia="Calibri" w:hAnsi="Verdana" w:cs="Arial"/>
          <w:sz w:val="16"/>
          <w:szCs w:val="16"/>
          <w:lang w:val="es-ES" w:eastAsia="en-US"/>
        </w:rPr>
        <w:softHyphen/>
        <w:t>cepción de las sociedades anónimas abiertas. También se considerarán inhabilitadas para contratar, las personas jurídicas sobre las cuales se haya ordenado la suspensión de la perso</w:t>
      </w:r>
      <w:r w:rsidRPr="00E34BBF">
        <w:rPr>
          <w:rFonts w:ascii="Verdana" w:eastAsia="Calibri" w:hAnsi="Verdana" w:cs="Arial"/>
          <w:sz w:val="16"/>
          <w:szCs w:val="16"/>
          <w:lang w:val="es-ES" w:eastAsia="en-US"/>
        </w:rPr>
        <w:softHyphen/>
        <w:t>nería jurídica en los términos de ley, o cuyos representantes legales, ad</w:t>
      </w:r>
      <w:r w:rsidRPr="00E34BBF">
        <w:rPr>
          <w:rFonts w:ascii="Verdana" w:eastAsia="Calibri" w:hAnsi="Verdana" w:cs="Arial"/>
          <w:sz w:val="16"/>
          <w:szCs w:val="16"/>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E34BBF">
        <w:rPr>
          <w:rFonts w:ascii="Verdana" w:eastAsia="Calibri" w:hAnsi="Verdana" w:cs="Arial"/>
          <w:sz w:val="16"/>
          <w:szCs w:val="16"/>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35CCB145"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w:t>
      </w:r>
    </w:p>
    <w:p w14:paraId="08B97F55" w14:textId="77777777" w:rsidR="00502A4C" w:rsidRPr="00E34BBF" w:rsidRDefault="00502A4C" w:rsidP="00502A4C">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2o. Tampoco podrán participar en licitaciones o concursos ni celebrar contratos estatales con la entidad respectiva: </w:t>
      </w:r>
    </w:p>
    <w:p w14:paraId="4F569C7F"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48BE8BF4"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510BE4FC"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c) El cónyuge, compañero o compañera permanente del servidor público en los niveles directivo, asesor, ejecutivo, o de un miembro de la junta o consejo directivo, o de quien ejerza funciones de control interno o de control fiscal. </w:t>
      </w:r>
    </w:p>
    <w:p w14:paraId="505C6D1D"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04D2DC03" w14:textId="77777777" w:rsidR="00502A4C" w:rsidRPr="00E34BBF" w:rsidRDefault="00502A4C" w:rsidP="00502A4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 Los miembros de las juntas o consejos directivos. Esta incompatibilidad sólo se predica respecto de la entidad a la cual prestan sus servicios y de las del sector administrativo al que la misma esté adscrita o vinculada. </w:t>
      </w:r>
    </w:p>
    <w:p w14:paraId="284F16D7" w14:textId="77777777" w:rsidR="00502A4C" w:rsidRPr="00E34BBF" w:rsidRDefault="00502A4C" w:rsidP="00502A4C">
      <w:pPr>
        <w:pStyle w:val="NormalWeb"/>
        <w:spacing w:before="0" w:beforeAutospacing="0" w:after="0" w:afterAutospacing="0"/>
        <w:ind w:firstLine="708"/>
        <w:jc w:val="both"/>
        <w:rPr>
          <w:rFonts w:ascii="Verdana" w:eastAsia="Calibri" w:hAnsi="Verdana" w:cs="Arial"/>
          <w:sz w:val="16"/>
          <w:szCs w:val="16"/>
          <w:lang w:val="pt-BR" w:eastAsia="en-US"/>
        </w:rPr>
      </w:pPr>
      <w:r w:rsidRPr="00E34BBF">
        <w:rPr>
          <w:rFonts w:ascii="Verdana" w:eastAsia="Calibri" w:hAnsi="Verdana" w:cs="Arial"/>
          <w:sz w:val="16"/>
          <w:szCs w:val="16"/>
          <w:lang w:val="es-ES" w:eastAsia="en-US"/>
        </w:rPr>
        <w:t>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w:t>
      </w:r>
      <w:r>
        <w:rPr>
          <w:rFonts w:ascii="Verdana" w:eastAsia="Calibri" w:hAnsi="Verdana" w:cs="Arial"/>
          <w:sz w:val="16"/>
          <w:szCs w:val="16"/>
          <w:lang w:val="es-ES" w:eastAsia="en-US"/>
        </w:rPr>
        <w:t>o civil del ex empleado público”</w:t>
      </w:r>
      <w:r w:rsidRPr="00E34BBF">
        <w:rPr>
          <w:rFonts w:ascii="Verdana" w:eastAsia="Calibri" w:hAnsi="Verdana" w:cs="Arial"/>
          <w:sz w:val="16"/>
          <w:szCs w:val="16"/>
          <w:lang w:val="es-ES" w:eastAsia="en-US"/>
        </w:rPr>
        <w:t xml:space="preserve">. </w:t>
      </w:r>
      <w:r w:rsidRPr="00E34BBF">
        <w:rPr>
          <w:rFonts w:ascii="Verdana" w:eastAsia="Calibri" w:hAnsi="Verdana" w:cs="Arial"/>
          <w:sz w:val="16"/>
          <w:szCs w:val="16"/>
          <w:lang w:val="pt-BR" w:eastAsia="en-US"/>
        </w:rPr>
        <w:t xml:space="preserve">(…). </w:t>
      </w:r>
    </w:p>
    <w:p w14:paraId="7D2BEEF9" w14:textId="77777777" w:rsidR="00502A4C" w:rsidRPr="00E34BBF" w:rsidRDefault="00502A4C" w:rsidP="00502A4C">
      <w:pPr>
        <w:pStyle w:val="Textonotapie"/>
        <w:jc w:val="both"/>
        <w:rPr>
          <w:rFonts w:ascii="Verdana" w:hAnsi="Verdana"/>
          <w:sz w:val="16"/>
          <w:szCs w:val="16"/>
          <w:lang w:val="pt-BR"/>
        </w:rPr>
      </w:pPr>
    </w:p>
  </w:footnote>
  <w:footnote w:id="9">
    <w:p w14:paraId="197BC17E" w14:textId="77777777" w:rsidR="00502A4C" w:rsidRPr="00E34BBF" w:rsidRDefault="00502A4C" w:rsidP="00502A4C">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Ibídem. p. 69.</w:t>
      </w:r>
    </w:p>
  </w:footnote>
  <w:footnote w:id="10">
    <w:p w14:paraId="3BBABC24" w14:textId="6E8319FD" w:rsidR="00502A4C" w:rsidRPr="00E34BBF" w:rsidRDefault="00502A4C" w:rsidP="00502A4C">
      <w:pPr>
        <w:pStyle w:val="Textonotapie"/>
        <w:ind w:firstLine="708"/>
        <w:jc w:val="both"/>
        <w:rPr>
          <w:rFonts w:ascii="Verdana" w:hAnsi="Verdana" w:cs="Arial"/>
          <w:sz w:val="16"/>
          <w:szCs w:val="16"/>
          <w:lang w:val="es-ES"/>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00913D97" w:rsidRPr="00E34BBF">
        <w:rPr>
          <w:rFonts w:ascii="Verdana" w:hAnsi="Verdana" w:cs="Arial"/>
          <w:sz w:val="16"/>
          <w:szCs w:val="16"/>
          <w:lang w:val="pt-BR"/>
        </w:rPr>
        <w:t xml:space="preserve">Corte Constitucional. </w:t>
      </w:r>
      <w:r w:rsidRPr="00E34BBF">
        <w:rPr>
          <w:rFonts w:ascii="Verdana" w:hAnsi="Verdana" w:cs="Arial"/>
          <w:sz w:val="16"/>
          <w:szCs w:val="16"/>
          <w:lang w:val="pt-BR"/>
        </w:rPr>
        <w:t xml:space="preserve">Sentencia T-1039 de 2006. M.P. Humberto Sierra Porto. </w:t>
      </w:r>
      <w:r w:rsidRPr="00E34BBF">
        <w:rPr>
          <w:rFonts w:ascii="Verdana" w:hAnsi="Verdana" w:cs="Arial"/>
          <w:sz w:val="16"/>
          <w:szCs w:val="16"/>
          <w:lang w:val="es-ES"/>
        </w:rPr>
        <w:t xml:space="preserve">La Corte Constitucional ha mantenido este criterio en las sentencias: C-903 de 2008. M.P. Jaime Araujo Rentería; C-101 de 2018. M.P. Gloria Stella Ortiz Delgado; entre otras. </w:t>
      </w:r>
    </w:p>
    <w:p w14:paraId="05D081DB" w14:textId="77777777" w:rsidR="00502A4C" w:rsidRPr="00E34BBF" w:rsidRDefault="00502A4C" w:rsidP="00502A4C">
      <w:pPr>
        <w:pStyle w:val="Textonotapie"/>
        <w:jc w:val="both"/>
        <w:rPr>
          <w:rFonts w:ascii="Verdana" w:hAnsi="Verdana" w:cs="Arial"/>
          <w:sz w:val="16"/>
          <w:szCs w:val="16"/>
          <w:lang w:val="es-ES"/>
        </w:rPr>
      </w:pPr>
    </w:p>
  </w:footnote>
  <w:footnote w:id="11">
    <w:p w14:paraId="2B125AB1" w14:textId="15DF5BC6" w:rsidR="00502A4C" w:rsidRPr="00E34BBF" w:rsidRDefault="00502A4C" w:rsidP="00502A4C">
      <w:pPr>
        <w:pStyle w:val="Textonotapie"/>
        <w:ind w:firstLine="708"/>
        <w:jc w:val="both"/>
        <w:rPr>
          <w:rFonts w:ascii="Verdana" w:hAnsi="Verdana" w:cs="Arial"/>
          <w:sz w:val="16"/>
          <w:szCs w:val="16"/>
          <w:lang w:val="es-ES"/>
        </w:rPr>
      </w:pPr>
      <w:r w:rsidRPr="00E34BBF">
        <w:rPr>
          <w:rStyle w:val="Refdenotaalpie"/>
          <w:rFonts w:ascii="Verdana" w:hAnsi="Verdana"/>
          <w:sz w:val="16"/>
          <w:szCs w:val="16"/>
        </w:rPr>
        <w:footnoteRef/>
      </w:r>
      <w:r w:rsidRPr="00E34BBF">
        <w:rPr>
          <w:rFonts w:ascii="Verdana" w:hAnsi="Verdana"/>
          <w:sz w:val="16"/>
          <w:szCs w:val="16"/>
        </w:rPr>
        <w:t xml:space="preserve"> </w:t>
      </w:r>
      <w:r w:rsidR="00913D97">
        <w:rPr>
          <w:rFonts w:ascii="Verdana" w:hAnsi="Verdana" w:cs="Arial"/>
          <w:sz w:val="16"/>
          <w:szCs w:val="16"/>
          <w:lang w:val="es-ES"/>
        </w:rPr>
        <w:t>Consejo d</w:t>
      </w:r>
      <w:r w:rsidR="00913D97" w:rsidRPr="00E34BBF">
        <w:rPr>
          <w:rFonts w:ascii="Verdana" w:hAnsi="Verdana" w:cs="Arial"/>
          <w:sz w:val="16"/>
          <w:szCs w:val="16"/>
          <w:lang w:val="es-ES"/>
        </w:rPr>
        <w:t xml:space="preserve">e Estado. </w:t>
      </w:r>
      <w:r w:rsidRPr="00E34BBF">
        <w:rPr>
          <w:rFonts w:ascii="Verdana" w:hAnsi="Verdana" w:cs="Arial"/>
          <w:sz w:val="16"/>
          <w:szCs w:val="16"/>
          <w:lang w:val="es-ES"/>
        </w:rPr>
        <w:t>Sala de Consulta y Servicio Civil. Concepto del 30 de abril de 2015. Exp. 2251. C.P. Álvaro Namén Vargas.</w:t>
      </w:r>
    </w:p>
    <w:p w14:paraId="7A2E119D" w14:textId="77777777" w:rsidR="00502A4C" w:rsidRPr="00E34BBF" w:rsidRDefault="00502A4C" w:rsidP="00502A4C">
      <w:pPr>
        <w:pStyle w:val="Textonotapie"/>
        <w:jc w:val="both"/>
        <w:rPr>
          <w:rFonts w:ascii="Verdana" w:hAnsi="Verdana"/>
          <w:sz w:val="16"/>
          <w:szCs w:val="16"/>
          <w:lang w:val="es-ES_tradnl"/>
        </w:rPr>
      </w:pPr>
    </w:p>
  </w:footnote>
  <w:footnote w:id="12">
    <w:p w14:paraId="5466A1A8" w14:textId="7B6F3117" w:rsidR="00502A4C" w:rsidRPr="00E34BBF" w:rsidRDefault="00502A4C" w:rsidP="00502A4C">
      <w:pPr>
        <w:pStyle w:val="Textonotapie"/>
        <w:ind w:firstLine="708"/>
        <w:jc w:val="both"/>
        <w:rPr>
          <w:rFonts w:ascii="Verdana" w:hAnsi="Verdana" w:cs="Arial"/>
          <w:sz w:val="16"/>
          <w:szCs w:val="16"/>
        </w:rPr>
      </w:pPr>
      <w:r w:rsidRPr="00E34BBF">
        <w:rPr>
          <w:rStyle w:val="Refdenotaalpie"/>
          <w:rFonts w:ascii="Verdana" w:hAnsi="Verdana"/>
          <w:sz w:val="16"/>
          <w:szCs w:val="16"/>
        </w:rPr>
        <w:footnoteRef/>
      </w:r>
      <w:r w:rsidRPr="00E34BBF">
        <w:rPr>
          <w:rFonts w:ascii="Verdana" w:hAnsi="Verdana"/>
          <w:sz w:val="16"/>
          <w:szCs w:val="16"/>
        </w:rPr>
        <w:t xml:space="preserve"> </w:t>
      </w:r>
      <w:r w:rsidR="00913D97">
        <w:rPr>
          <w:rFonts w:ascii="Verdana" w:hAnsi="Verdana" w:cs="Arial"/>
          <w:sz w:val="16"/>
          <w:szCs w:val="16"/>
        </w:rPr>
        <w:t>Consejo d</w:t>
      </w:r>
      <w:r w:rsidR="00913D97" w:rsidRPr="00E34BBF">
        <w:rPr>
          <w:rFonts w:ascii="Verdana" w:hAnsi="Verdana" w:cs="Arial"/>
          <w:sz w:val="16"/>
          <w:szCs w:val="16"/>
        </w:rPr>
        <w:t xml:space="preserve">e Estado. </w:t>
      </w:r>
      <w:r w:rsidRPr="00E34BBF">
        <w:rPr>
          <w:rFonts w:ascii="Verdana" w:hAnsi="Verdana" w:cs="Arial"/>
          <w:sz w:val="16"/>
          <w:szCs w:val="16"/>
        </w:rPr>
        <w:t>Sección Tercera. Subsección A. Sentencia del 24 de junio de 2015. Exp. 40.635. C.P. Hernán Andrade Rincón (E).</w:t>
      </w:r>
    </w:p>
    <w:p w14:paraId="005479FC" w14:textId="77777777" w:rsidR="00502A4C" w:rsidRPr="00E34BBF" w:rsidRDefault="00502A4C" w:rsidP="00502A4C">
      <w:pPr>
        <w:pStyle w:val="Textonotapie"/>
        <w:jc w:val="both"/>
        <w:rPr>
          <w:rFonts w:ascii="Verdana" w:hAnsi="Verdana"/>
          <w:sz w:val="16"/>
          <w:szCs w:val="16"/>
          <w:lang w:val="es-ES_tradnl"/>
        </w:rPr>
      </w:pPr>
    </w:p>
  </w:footnote>
  <w:footnote w:id="13">
    <w:p w14:paraId="43D864C1" w14:textId="24EA4EDC" w:rsidR="00502A4C" w:rsidRPr="00E34BBF" w:rsidRDefault="00502A4C" w:rsidP="00502A4C">
      <w:pPr>
        <w:pStyle w:val="Textonotapie"/>
        <w:ind w:firstLine="708"/>
        <w:jc w:val="both"/>
        <w:rPr>
          <w:rFonts w:ascii="Verdana" w:hAnsi="Verdana"/>
          <w:sz w:val="16"/>
          <w:szCs w:val="16"/>
          <w:lang w:val="es-ES_tradnl"/>
        </w:rPr>
      </w:pPr>
      <w:r w:rsidRPr="00E34BBF">
        <w:rPr>
          <w:rStyle w:val="Refdenotaalpie"/>
          <w:rFonts w:ascii="Verdana" w:hAnsi="Verdana"/>
          <w:sz w:val="16"/>
          <w:szCs w:val="16"/>
        </w:rPr>
        <w:footnoteRef/>
      </w:r>
      <w:r w:rsidRPr="00E34BBF">
        <w:rPr>
          <w:rFonts w:ascii="Verdana" w:hAnsi="Verdana"/>
          <w:sz w:val="16"/>
          <w:szCs w:val="16"/>
        </w:rPr>
        <w:t xml:space="preserve"> </w:t>
      </w:r>
      <w:r w:rsidR="00913D97">
        <w:rPr>
          <w:rFonts w:ascii="Verdana" w:hAnsi="Verdana" w:cs="Arial"/>
          <w:sz w:val="16"/>
          <w:szCs w:val="16"/>
        </w:rPr>
        <w:t>Consejo d</w:t>
      </w:r>
      <w:r w:rsidR="00913D97" w:rsidRPr="00E34BBF">
        <w:rPr>
          <w:rFonts w:ascii="Verdana" w:hAnsi="Verdana" w:cs="Arial"/>
          <w:sz w:val="16"/>
          <w:szCs w:val="16"/>
        </w:rPr>
        <w:t xml:space="preserve">e Estado. </w:t>
      </w:r>
      <w:r w:rsidRPr="00E34BBF">
        <w:rPr>
          <w:rFonts w:ascii="Verdana" w:hAnsi="Verdana" w:cs="Arial"/>
          <w:sz w:val="16"/>
          <w:szCs w:val="16"/>
        </w:rPr>
        <w:t>Sección Tercera. Subsección C. Sentencia del 22 de mayo de 2013. Rad. 24.057. C.P. Olga Mélida Valle De De La Hoz.</w:t>
      </w:r>
    </w:p>
  </w:footnote>
  <w:footnote w:id="14">
    <w:p w14:paraId="5F9E2065" w14:textId="226714A8" w:rsidR="00502A4C" w:rsidRPr="00E34BBF" w:rsidRDefault="00502A4C" w:rsidP="00502A4C">
      <w:pPr>
        <w:pStyle w:val="Textonotapie"/>
        <w:ind w:firstLine="708"/>
        <w:jc w:val="both"/>
        <w:rPr>
          <w:rFonts w:ascii="Verdana" w:hAnsi="Verdana" w:cs="Arial"/>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00913D97" w:rsidRPr="00E34BBF">
        <w:rPr>
          <w:rFonts w:ascii="Verdana" w:hAnsi="Verdana" w:cs="Arial"/>
          <w:sz w:val="16"/>
          <w:szCs w:val="16"/>
          <w:lang w:val="pt-BR"/>
        </w:rPr>
        <w:t>Corte Constitucional</w:t>
      </w:r>
      <w:r w:rsidRPr="00E34BBF">
        <w:rPr>
          <w:rFonts w:ascii="Verdana" w:hAnsi="Verdana" w:cs="Arial"/>
          <w:sz w:val="16"/>
          <w:szCs w:val="16"/>
          <w:lang w:val="pt-BR"/>
        </w:rPr>
        <w:t>. Sentencia C-415 de 1994. M.P. Eduardo Cifuentes Muñoz.</w:t>
      </w:r>
    </w:p>
    <w:p w14:paraId="504DBA93" w14:textId="77777777" w:rsidR="00502A4C" w:rsidRPr="00E34BBF" w:rsidRDefault="00502A4C" w:rsidP="00502A4C">
      <w:pPr>
        <w:pStyle w:val="Textonotapie"/>
        <w:jc w:val="both"/>
        <w:rPr>
          <w:rFonts w:ascii="Verdana" w:hAnsi="Verdana"/>
          <w:sz w:val="16"/>
          <w:szCs w:val="16"/>
          <w:lang w:val="pt-BR"/>
        </w:rPr>
      </w:pPr>
    </w:p>
  </w:footnote>
  <w:footnote w:id="15">
    <w:p w14:paraId="50FB8B38" w14:textId="55BD0F27" w:rsidR="00502A4C" w:rsidRPr="00E34BBF" w:rsidRDefault="00502A4C" w:rsidP="00502A4C">
      <w:pPr>
        <w:pStyle w:val="Textonotapie"/>
        <w:ind w:firstLine="708"/>
        <w:jc w:val="both"/>
        <w:rPr>
          <w:rFonts w:ascii="Verdana" w:hAnsi="Verdana" w:cs="Arial"/>
          <w:color w:val="000000"/>
          <w:sz w:val="16"/>
          <w:szCs w:val="16"/>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00913D97">
        <w:rPr>
          <w:rFonts w:ascii="Verdana" w:hAnsi="Verdana" w:cs="Arial"/>
          <w:color w:val="000000"/>
          <w:sz w:val="16"/>
          <w:szCs w:val="16"/>
          <w:lang w:val="pt-BR"/>
        </w:rPr>
        <w:t>Consejo d</w:t>
      </w:r>
      <w:r w:rsidR="00913D97" w:rsidRPr="00E34BBF">
        <w:rPr>
          <w:rFonts w:ascii="Verdana" w:hAnsi="Verdana" w:cs="Arial"/>
          <w:color w:val="000000"/>
          <w:sz w:val="16"/>
          <w:szCs w:val="16"/>
          <w:lang w:val="pt-BR"/>
        </w:rPr>
        <w:t>e Estado</w:t>
      </w:r>
      <w:r w:rsidRPr="00E34BBF">
        <w:rPr>
          <w:rFonts w:ascii="Verdana" w:hAnsi="Verdana" w:cs="Arial"/>
          <w:color w:val="000000"/>
          <w:sz w:val="16"/>
          <w:szCs w:val="16"/>
          <w:lang w:val="pt-BR"/>
        </w:rPr>
        <w:t xml:space="preserve">. Sala de lo contencioso administrativo. Sentencia del 12 de diciembre de 2014. Exp. 26496. C.P. Ramiro Pazos Guerrero. </w:t>
      </w:r>
      <w:r w:rsidRPr="00E34BBF">
        <w:rPr>
          <w:rFonts w:ascii="Verdana" w:hAnsi="Verdana" w:cs="Arial"/>
          <w:color w:val="000000"/>
          <w:sz w:val="16"/>
          <w:szCs w:val="16"/>
        </w:rPr>
        <w:t>En similar sentido, la doctrina expresa que: “[…]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p w14:paraId="5D18B9CF" w14:textId="77777777" w:rsidR="00502A4C" w:rsidRPr="00E34BBF" w:rsidRDefault="00502A4C" w:rsidP="00502A4C">
      <w:pPr>
        <w:pStyle w:val="Textonotapie"/>
        <w:jc w:val="both"/>
        <w:rPr>
          <w:rFonts w:ascii="Verdana" w:hAnsi="Verdana"/>
          <w:sz w:val="16"/>
          <w:szCs w:val="16"/>
          <w:lang w:val="es-ES_tradnl"/>
        </w:rPr>
      </w:pPr>
    </w:p>
  </w:footnote>
  <w:footnote w:id="16">
    <w:p w14:paraId="189D2B92" w14:textId="2C7E15B5" w:rsidR="00502A4C" w:rsidRPr="00E34BBF" w:rsidRDefault="00502A4C" w:rsidP="00502A4C">
      <w:pPr>
        <w:pStyle w:val="Textonotapie"/>
        <w:ind w:firstLine="708"/>
        <w:jc w:val="both"/>
        <w:rPr>
          <w:rFonts w:ascii="Verdana" w:hAnsi="Verdana"/>
          <w:sz w:val="16"/>
          <w:szCs w:val="16"/>
          <w:lang w:val="es-ES_tradnl"/>
        </w:rPr>
      </w:pPr>
      <w:r w:rsidRPr="00E34BBF">
        <w:rPr>
          <w:rStyle w:val="Refdenotaalpie"/>
          <w:rFonts w:ascii="Verdana" w:hAnsi="Verdana"/>
          <w:sz w:val="16"/>
          <w:szCs w:val="16"/>
        </w:rPr>
        <w:footnoteRef/>
      </w:r>
      <w:r w:rsidRPr="00E34BBF">
        <w:rPr>
          <w:rFonts w:ascii="Verdana" w:hAnsi="Verdana"/>
          <w:sz w:val="16"/>
          <w:szCs w:val="16"/>
        </w:rPr>
        <w:t xml:space="preserve"> </w:t>
      </w:r>
      <w:r w:rsidR="00913D97">
        <w:rPr>
          <w:rFonts w:ascii="Verdana" w:hAnsi="Verdana" w:cs="Arial"/>
          <w:color w:val="000000"/>
          <w:sz w:val="16"/>
          <w:szCs w:val="16"/>
        </w:rPr>
        <w:t>Consejo d</w:t>
      </w:r>
      <w:r w:rsidR="00913D97" w:rsidRPr="00E34BBF">
        <w:rPr>
          <w:rFonts w:ascii="Verdana" w:hAnsi="Verdana" w:cs="Arial"/>
          <w:color w:val="000000"/>
          <w:sz w:val="16"/>
          <w:szCs w:val="16"/>
        </w:rPr>
        <w:t>e Estado</w:t>
      </w:r>
      <w:r w:rsidRPr="00E34BBF">
        <w:rPr>
          <w:rFonts w:ascii="Verdana" w:hAnsi="Verdana" w:cs="Arial"/>
          <w:color w:val="000000"/>
          <w:sz w:val="16"/>
          <w:szCs w:val="16"/>
        </w:rPr>
        <w:t>. Sala de Consulta y Servicio Civil. Concepto del 29 de abril de 1998. Rad. 1097. C.P. Augusto Trejos Jaramillo.</w:t>
      </w:r>
    </w:p>
  </w:footnote>
  <w:footnote w:id="17">
    <w:p w14:paraId="01385281"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68C1D3FC"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 Quien presta el servicio se denomina trabajador, quien lo recibe y remunera, empleador, y la remuneración, cualquiera que sea su forma, salario”.</w:t>
      </w:r>
    </w:p>
  </w:footnote>
  <w:footnote w:id="18">
    <w:p w14:paraId="6EEE626E"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4A43133E"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0A45FFFA"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El Gobierno nacional reglamentará el mecanismo para realizar la mensualización de que trata el presente artículo.</w:t>
      </w:r>
    </w:p>
    <w:p w14:paraId="3A79D41D"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6ECB4283" w14:textId="77777777" w:rsidR="005638F5" w:rsidRPr="00FE6A9E" w:rsidRDefault="005638F5" w:rsidP="005638F5">
      <w:pPr>
        <w:pStyle w:val="Textonotapie"/>
        <w:ind w:firstLine="709"/>
        <w:jc w:val="both"/>
        <w:rPr>
          <w:rFonts w:ascii="Verdana" w:hAnsi="Verdana" w:cs="Arial"/>
          <w:color w:val="000000"/>
          <w:sz w:val="16"/>
          <w:szCs w:val="16"/>
          <w:lang w:val="es-ES"/>
        </w:rPr>
      </w:pPr>
    </w:p>
  </w:footnote>
  <w:footnote w:id="19">
    <w:p w14:paraId="06C37D9A" w14:textId="77777777" w:rsidR="005638F5" w:rsidRPr="00FE6A9E" w:rsidRDefault="005638F5" w:rsidP="005638F5">
      <w:pPr>
        <w:pStyle w:val="Textonotapie"/>
        <w:ind w:firstLine="708"/>
        <w:rPr>
          <w:rFonts w:ascii="Verdana" w:hAnsi="Verdana"/>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Corte Constitucional. Sentencia C-154 de 1997. Magistrado Ponente: Hernando Herrera Vergara.</w:t>
      </w:r>
    </w:p>
  </w:footnote>
  <w:footnote w:id="20">
    <w:p w14:paraId="14B6208A" w14:textId="77777777" w:rsidR="005638F5" w:rsidRPr="00FE6A9E" w:rsidRDefault="005638F5" w:rsidP="005638F5">
      <w:pPr>
        <w:spacing w:after="0"/>
        <w:ind w:firstLine="708"/>
        <w:jc w:val="both"/>
        <w:rPr>
          <w:rFonts w:ascii="Verdana" w:eastAsia="Arial Nova" w:hAnsi="Verdana" w:cs="Arial"/>
          <w:sz w:val="16"/>
          <w:szCs w:val="16"/>
          <w:lang w:val="es"/>
        </w:rPr>
      </w:pPr>
      <w:r w:rsidRPr="00FE6A9E">
        <w:rPr>
          <w:rStyle w:val="Refdenotaalpie"/>
          <w:rFonts w:ascii="Verdana" w:hAnsi="Verdana" w:cs="Arial"/>
          <w:sz w:val="16"/>
          <w:szCs w:val="16"/>
        </w:rPr>
        <w:footnoteRef/>
      </w:r>
      <w:r w:rsidRPr="00FE6A9E">
        <w:rPr>
          <w:rFonts w:ascii="Verdana" w:hAnsi="Verdana" w:cs="Arial"/>
          <w:sz w:val="16"/>
          <w:szCs w:val="16"/>
        </w:rPr>
        <w:t xml:space="preserve"> </w:t>
      </w:r>
      <w:r w:rsidRPr="00FE6A9E">
        <w:rPr>
          <w:rFonts w:ascii="Verdana" w:eastAsia="Arial Nova" w:hAnsi="Verdana" w:cs="Arial"/>
          <w:sz w:val="16"/>
          <w:szCs w:val="16"/>
          <w:lang w:val="es"/>
        </w:rPr>
        <w:t xml:space="preserve">Corte Constitucional. Sentencia C-614 de 2009. M.P. Jorge Ignacio Pretelt Chaljub. </w:t>
      </w:r>
    </w:p>
    <w:p w14:paraId="2A0B0C53" w14:textId="77777777" w:rsidR="005638F5" w:rsidRPr="00FE6A9E" w:rsidRDefault="005638F5" w:rsidP="005638F5">
      <w:pPr>
        <w:pStyle w:val="Textonotapie"/>
        <w:rPr>
          <w:rFonts w:ascii="Verdana" w:hAnsi="Verdana"/>
          <w:sz w:val="16"/>
          <w:szCs w:val="16"/>
        </w:rPr>
      </w:pPr>
    </w:p>
  </w:footnote>
  <w:footnote w:id="21">
    <w:p w14:paraId="04E49CDB" w14:textId="77777777" w:rsidR="005638F5" w:rsidRPr="00FE6A9E" w:rsidRDefault="005638F5" w:rsidP="005638F5">
      <w:pPr>
        <w:pStyle w:val="Textonotapie"/>
        <w:ind w:firstLine="708"/>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Corte Constitucional. Sentencia C-154 de 1997. Magistrado Ponente: Hernando Herrera Vergara.</w:t>
      </w:r>
    </w:p>
    <w:p w14:paraId="516222B9" w14:textId="77777777" w:rsidR="005638F5" w:rsidRPr="00FE6A9E" w:rsidRDefault="005638F5" w:rsidP="005638F5">
      <w:pPr>
        <w:pStyle w:val="Textonotapie"/>
        <w:ind w:firstLine="708"/>
        <w:rPr>
          <w:rFonts w:ascii="Verdana" w:hAnsi="Verdana"/>
          <w:sz w:val="16"/>
          <w:szCs w:val="16"/>
        </w:rPr>
      </w:pPr>
    </w:p>
  </w:footnote>
  <w:footnote w:id="22">
    <w:p w14:paraId="3CDAF0A5"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64EB0D3" w14:textId="77777777" w:rsidR="005638F5" w:rsidRPr="00FE6A9E" w:rsidRDefault="005638F5" w:rsidP="005638F5">
      <w:pPr>
        <w:pStyle w:val="Textonotapie"/>
        <w:ind w:firstLine="708"/>
        <w:rPr>
          <w:rFonts w:ascii="Verdana" w:hAnsi="Verdana"/>
          <w:sz w:val="16"/>
          <w:szCs w:val="16"/>
          <w:lang w:val="es-ES"/>
        </w:rPr>
      </w:pPr>
    </w:p>
  </w:footnote>
  <w:footnote w:id="23">
    <w:p w14:paraId="03E2620D"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1ED84692"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6A180B34"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3772C4A0" w14:textId="77777777" w:rsidR="005638F5" w:rsidRPr="00FE6A9E" w:rsidRDefault="005638F5" w:rsidP="005638F5">
      <w:pPr>
        <w:pStyle w:val="Textonotapie"/>
        <w:ind w:firstLine="708"/>
        <w:rPr>
          <w:rFonts w:ascii="Verdana" w:hAnsi="Verdana"/>
          <w:sz w:val="16"/>
          <w:szCs w:val="16"/>
          <w:lang w:val="es-ES"/>
        </w:rPr>
      </w:pPr>
    </w:p>
  </w:footnote>
  <w:footnote w:id="24">
    <w:p w14:paraId="48EDF5D5"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6BFCBFB2"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1. La causal que invoca para contratar directamente.</w:t>
      </w:r>
    </w:p>
    <w:p w14:paraId="5A530F44"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 El objeto del contrato.</w:t>
      </w:r>
    </w:p>
    <w:p w14:paraId="3F7D8A6E"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3. El presupuesto para la contratación y las condiciones que exigirá al contratista.</w:t>
      </w:r>
    </w:p>
    <w:p w14:paraId="4E3478EC"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4. El lugar en el cual los interesados pueden consultar los estudios y documentos previos.</w:t>
      </w:r>
    </w:p>
    <w:p w14:paraId="4E0FE334"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528C2A31" w14:textId="77777777" w:rsidR="005638F5" w:rsidRPr="00FE6A9E" w:rsidRDefault="005638F5" w:rsidP="005638F5">
      <w:pPr>
        <w:pStyle w:val="Textonotapie"/>
        <w:ind w:firstLine="708"/>
        <w:rPr>
          <w:rFonts w:ascii="Verdana" w:hAnsi="Verdana"/>
          <w:sz w:val="16"/>
          <w:szCs w:val="16"/>
          <w:lang w:val="es-ES"/>
        </w:rPr>
      </w:pPr>
    </w:p>
  </w:footnote>
  <w:footnote w:id="25">
    <w:p w14:paraId="663B6DA5"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Esta norma expresa: “</w:t>
      </w:r>
      <w:r w:rsidRPr="00FE6A9E">
        <w:rPr>
          <w:rFonts w:ascii="Verdana" w:hAnsi="Verdana" w:cs="Arial"/>
          <w:color w:val="000000"/>
          <w:sz w:val="16"/>
          <w:szCs w:val="16"/>
        </w:rPr>
        <w:t>P</w:t>
      </w:r>
      <w:r w:rsidRPr="00FE6A9E">
        <w:rPr>
          <w:rFonts w:ascii="Verdana" w:hAnsi="Verdana" w:cs="Arial"/>
          <w:color w:val="000000"/>
          <w:sz w:val="16"/>
          <w:szCs w:val="16"/>
          <w:lang w:val="es-ES"/>
        </w:rPr>
        <w:t>ara el cumplimiento de los fines de la contratación, las entidades estatales al celebrar un contrato:</w:t>
      </w:r>
    </w:p>
    <w:p w14:paraId="10EA3699"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043D5564"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40018D95"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Las entidades estatales podrán pactar estas cláusulas en los contratos de suministro y de prestación de servicios.</w:t>
      </w:r>
    </w:p>
    <w:p w14:paraId="16A16612"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48D58B51" w14:textId="77777777" w:rsidR="005638F5" w:rsidRPr="00FE6A9E" w:rsidRDefault="005638F5" w:rsidP="005638F5">
      <w:pPr>
        <w:pStyle w:val="Textonotapie"/>
        <w:ind w:firstLine="708"/>
        <w:rPr>
          <w:rFonts w:ascii="Verdana" w:hAnsi="Verdana"/>
          <w:sz w:val="16"/>
          <w:szCs w:val="16"/>
        </w:rPr>
      </w:pPr>
    </w:p>
  </w:footnote>
  <w:footnote w:id="26">
    <w:p w14:paraId="434E86E8" w14:textId="77777777" w:rsidR="005638F5" w:rsidRPr="00FE6A9E" w:rsidRDefault="005638F5" w:rsidP="005638F5">
      <w:pPr>
        <w:pStyle w:val="Textonotapie"/>
        <w:ind w:firstLine="708"/>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369A3C03" w14:textId="77777777" w:rsidR="005638F5" w:rsidRPr="00FE6A9E" w:rsidRDefault="005638F5" w:rsidP="005638F5">
      <w:pPr>
        <w:pStyle w:val="Textonotapie"/>
        <w:ind w:firstLine="708"/>
        <w:rPr>
          <w:rFonts w:ascii="Verdana" w:hAnsi="Verdana"/>
          <w:sz w:val="16"/>
          <w:szCs w:val="16"/>
        </w:rPr>
      </w:pPr>
    </w:p>
  </w:footnote>
  <w:footnote w:id="27">
    <w:p w14:paraId="55FD0EBD" w14:textId="77777777" w:rsidR="005638F5" w:rsidRPr="00FE6A9E" w:rsidRDefault="005638F5" w:rsidP="005638F5">
      <w:pPr>
        <w:pStyle w:val="Textonotapie"/>
        <w:ind w:firstLine="709"/>
        <w:jc w:val="both"/>
        <w:rPr>
          <w:rFonts w:ascii="Verdana" w:hAnsi="Verdana" w:cs="Arial"/>
          <w:color w:val="000000"/>
          <w:sz w:val="16"/>
          <w:szCs w:val="16"/>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82B45B8" w14:textId="77777777" w:rsidR="005638F5" w:rsidRPr="00FE6A9E" w:rsidRDefault="005638F5" w:rsidP="005638F5">
      <w:pPr>
        <w:pStyle w:val="Textonotapie"/>
        <w:ind w:firstLine="709"/>
        <w:jc w:val="both"/>
        <w:rPr>
          <w:rFonts w:ascii="Verdana" w:hAnsi="Verdana" w:cs="Arial"/>
          <w:color w:val="000000"/>
          <w:sz w:val="16"/>
          <w:szCs w:val="16"/>
        </w:rPr>
      </w:pPr>
      <w:r w:rsidRPr="00FE6A9E">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5F1E949C" w14:textId="77777777" w:rsidR="005638F5" w:rsidRPr="00FE6A9E" w:rsidRDefault="005638F5" w:rsidP="005638F5">
      <w:pPr>
        <w:pStyle w:val="Textonotapie"/>
        <w:ind w:firstLine="709"/>
        <w:jc w:val="both"/>
        <w:rPr>
          <w:rFonts w:ascii="Verdana" w:hAnsi="Verdana" w:cs="Arial"/>
          <w:color w:val="000000"/>
          <w:sz w:val="16"/>
          <w:szCs w:val="16"/>
        </w:rPr>
      </w:pPr>
      <w:r w:rsidRPr="00FE6A9E">
        <w:rPr>
          <w:rFonts w:ascii="Verdana" w:hAnsi="Verdana" w:cs="Arial"/>
          <w:color w:val="000000"/>
          <w:sz w:val="16"/>
          <w:szCs w:val="16"/>
        </w:rPr>
        <w:t>[…]”.</w:t>
      </w:r>
    </w:p>
    <w:p w14:paraId="33380CAC" w14:textId="77777777" w:rsidR="005638F5" w:rsidRPr="00FE6A9E" w:rsidRDefault="005638F5" w:rsidP="005638F5">
      <w:pPr>
        <w:pStyle w:val="Textonotapie"/>
        <w:ind w:firstLine="708"/>
        <w:rPr>
          <w:rFonts w:ascii="Verdana" w:hAnsi="Verdana"/>
          <w:sz w:val="16"/>
          <w:szCs w:val="16"/>
        </w:rPr>
      </w:pPr>
    </w:p>
  </w:footnote>
  <w:footnote w:id="28">
    <w:p w14:paraId="084B00D3" w14:textId="77777777" w:rsidR="005638F5" w:rsidRPr="00FE6A9E" w:rsidRDefault="005638F5" w:rsidP="005638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406B4611" w14:textId="77777777" w:rsidR="005638F5" w:rsidRPr="00FE6A9E" w:rsidRDefault="005638F5" w:rsidP="005638F5">
      <w:pPr>
        <w:pStyle w:val="Textonotapie"/>
        <w:ind w:firstLine="708"/>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350BE1" w:rsidRDefault="00350BE1">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50BE1" w:rsidRDefault="00350BE1">
    <w:pPr>
      <w:pStyle w:val="Encabezado"/>
    </w:pPr>
  </w:p>
  <w:p w14:paraId="3079FC11" w14:textId="77777777" w:rsidR="00350BE1" w:rsidRDefault="00350BE1" w:rsidP="004A305D">
    <w:pPr>
      <w:spacing w:after="0"/>
      <w:rPr>
        <w:rFonts w:ascii="Verdana" w:hAnsi="Verdana"/>
        <w:b/>
        <w:bCs/>
      </w:rPr>
    </w:pPr>
  </w:p>
  <w:p w14:paraId="5E18350A" w14:textId="705F7B76" w:rsidR="00350BE1" w:rsidRPr="004A305D" w:rsidRDefault="00350BE1" w:rsidP="00B01B1A">
    <w:pPr>
      <w:spacing w:after="0" w:line="120" w:lineRule="auto"/>
      <w:rPr>
        <w:rFonts w:ascii="Century Gothic" w:eastAsia="Geo" w:hAnsi="Century Gothic" w:cs="Geo"/>
        <w:sz w:val="16"/>
        <w:szCs w:val="16"/>
        <w:lang w:eastAsia="es-CO"/>
      </w:rPr>
    </w:pPr>
  </w:p>
  <w:p w14:paraId="1FD1C243" w14:textId="6D74A3CF" w:rsidR="00350BE1" w:rsidRDefault="00350BE1"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pt;height: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2671AB"/>
    <w:multiLevelType w:val="multilevel"/>
    <w:tmpl w:val="1D12B4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4D239F"/>
    <w:multiLevelType w:val="hybridMultilevel"/>
    <w:tmpl w:val="620CC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3C40D6E"/>
    <w:multiLevelType w:val="hybridMultilevel"/>
    <w:tmpl w:val="0A3E2636"/>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A27DCB"/>
    <w:multiLevelType w:val="hybridMultilevel"/>
    <w:tmpl w:val="738E6B9C"/>
    <w:lvl w:ilvl="0" w:tplc="FDA41120">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1B65755"/>
    <w:multiLevelType w:val="hybridMultilevel"/>
    <w:tmpl w:val="608691EE"/>
    <w:lvl w:ilvl="0" w:tplc="B9AA48F0">
      <w:start w:val="1"/>
      <w:numFmt w:val="decimal"/>
      <w:lvlText w:val="%1."/>
      <w:lvlJc w:val="left"/>
      <w:pPr>
        <w:ind w:left="720" w:hanging="360"/>
      </w:pPr>
      <w:rPr>
        <w:b w:val="0"/>
        <w:i w:val="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8" w15:restartNumberingAfterBreak="0">
    <w:nsid w:val="548F3FFF"/>
    <w:multiLevelType w:val="hybridMultilevel"/>
    <w:tmpl w:val="78B2E9F0"/>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9"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abstractNumId w:val="13"/>
  </w:num>
  <w:num w:numId="2">
    <w:abstractNumId w:val="2"/>
  </w:num>
  <w:num w:numId="3">
    <w:abstractNumId w:val="10"/>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3"/>
  </w:num>
  <w:num w:numId="7">
    <w:abstractNumId w:val="12"/>
  </w:num>
  <w:num w:numId="8">
    <w:abstractNumId w:val="22"/>
  </w:num>
  <w:num w:numId="9">
    <w:abstractNumId w:val="14"/>
  </w:num>
  <w:num w:numId="10">
    <w:abstractNumId w:val="21"/>
  </w:num>
  <w:num w:numId="11">
    <w:abstractNumId w:val="15"/>
  </w:num>
  <w:num w:numId="12">
    <w:abstractNumId w:val="1"/>
  </w:num>
  <w:num w:numId="13">
    <w:abstractNumId w:val="7"/>
  </w:num>
  <w:num w:numId="14">
    <w:abstractNumId w:val="24"/>
  </w:num>
  <w:num w:numId="15">
    <w:abstractNumId w:val="2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19"/>
  </w:num>
  <w:num w:numId="19">
    <w:abstractNumId w:val="9"/>
  </w:num>
  <w:num w:numId="20">
    <w:abstractNumId w:val="16"/>
  </w:num>
  <w:num w:numId="21">
    <w:abstractNumId w:val="25"/>
  </w:num>
  <w:num w:numId="22">
    <w:abstractNumId w:val="17"/>
  </w:num>
  <w:num w:numId="23">
    <w:abstractNumId w:val="18"/>
  </w:num>
  <w:num w:numId="24">
    <w:abstractNumId w:val="8"/>
  </w:num>
  <w:num w:numId="25">
    <w:abstractNumId w:val="11"/>
  </w:num>
  <w:num w:numId="26">
    <w:abstractNumId w:val="4"/>
  </w:num>
  <w:num w:numId="27">
    <w:abstractNumId w:val="6"/>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0FA0"/>
    <w:rsid w:val="000039A2"/>
    <w:rsid w:val="000062F3"/>
    <w:rsid w:val="0000797D"/>
    <w:rsid w:val="0001328B"/>
    <w:rsid w:val="00021221"/>
    <w:rsid w:val="000224F2"/>
    <w:rsid w:val="000228B5"/>
    <w:rsid w:val="00023417"/>
    <w:rsid w:val="00023C3E"/>
    <w:rsid w:val="0002653B"/>
    <w:rsid w:val="00041860"/>
    <w:rsid w:val="0004434A"/>
    <w:rsid w:val="0005281E"/>
    <w:rsid w:val="0005682C"/>
    <w:rsid w:val="00056D71"/>
    <w:rsid w:val="00061B2A"/>
    <w:rsid w:val="00062BAF"/>
    <w:rsid w:val="000630B9"/>
    <w:rsid w:val="000635D0"/>
    <w:rsid w:val="000643B2"/>
    <w:rsid w:val="00065E80"/>
    <w:rsid w:val="0007022C"/>
    <w:rsid w:val="000719C7"/>
    <w:rsid w:val="00071DE6"/>
    <w:rsid w:val="00077439"/>
    <w:rsid w:val="000774B8"/>
    <w:rsid w:val="00082362"/>
    <w:rsid w:val="0008328D"/>
    <w:rsid w:val="00087F0C"/>
    <w:rsid w:val="0009387A"/>
    <w:rsid w:val="0009387B"/>
    <w:rsid w:val="000963C6"/>
    <w:rsid w:val="0009762F"/>
    <w:rsid w:val="000A31B9"/>
    <w:rsid w:val="000A3330"/>
    <w:rsid w:val="000A3D63"/>
    <w:rsid w:val="000A67DD"/>
    <w:rsid w:val="000A683A"/>
    <w:rsid w:val="000A683E"/>
    <w:rsid w:val="000A7D76"/>
    <w:rsid w:val="000B19B9"/>
    <w:rsid w:val="000B4D9F"/>
    <w:rsid w:val="000C2889"/>
    <w:rsid w:val="000D0152"/>
    <w:rsid w:val="000D0334"/>
    <w:rsid w:val="000D1D6A"/>
    <w:rsid w:val="000D25D7"/>
    <w:rsid w:val="000D3755"/>
    <w:rsid w:val="000D3B29"/>
    <w:rsid w:val="000D6E6E"/>
    <w:rsid w:val="000E06F4"/>
    <w:rsid w:val="000E4CE4"/>
    <w:rsid w:val="000F6486"/>
    <w:rsid w:val="000F669F"/>
    <w:rsid w:val="001063B3"/>
    <w:rsid w:val="00107ACA"/>
    <w:rsid w:val="001114A9"/>
    <w:rsid w:val="00111979"/>
    <w:rsid w:val="00115584"/>
    <w:rsid w:val="00116537"/>
    <w:rsid w:val="00120766"/>
    <w:rsid w:val="0012113E"/>
    <w:rsid w:val="001240BD"/>
    <w:rsid w:val="00125105"/>
    <w:rsid w:val="00127233"/>
    <w:rsid w:val="00143E81"/>
    <w:rsid w:val="00143FD9"/>
    <w:rsid w:val="00145047"/>
    <w:rsid w:val="00146C57"/>
    <w:rsid w:val="00154A14"/>
    <w:rsid w:val="001565A5"/>
    <w:rsid w:val="0016332F"/>
    <w:rsid w:val="001717E9"/>
    <w:rsid w:val="0017238A"/>
    <w:rsid w:val="001729F8"/>
    <w:rsid w:val="00180A30"/>
    <w:rsid w:val="00185EE9"/>
    <w:rsid w:val="0018792C"/>
    <w:rsid w:val="00187F79"/>
    <w:rsid w:val="00197274"/>
    <w:rsid w:val="001A237A"/>
    <w:rsid w:val="001A26CF"/>
    <w:rsid w:val="001A2919"/>
    <w:rsid w:val="001B1566"/>
    <w:rsid w:val="001B2CFE"/>
    <w:rsid w:val="001C1C8C"/>
    <w:rsid w:val="001C222E"/>
    <w:rsid w:val="001C22F9"/>
    <w:rsid w:val="001D1C29"/>
    <w:rsid w:val="001D7DBF"/>
    <w:rsid w:val="001E3C06"/>
    <w:rsid w:val="001E4177"/>
    <w:rsid w:val="001F4EFD"/>
    <w:rsid w:val="001F5E13"/>
    <w:rsid w:val="001F6D11"/>
    <w:rsid w:val="001F7DC6"/>
    <w:rsid w:val="00202886"/>
    <w:rsid w:val="00206E49"/>
    <w:rsid w:val="00215CEF"/>
    <w:rsid w:val="00217A08"/>
    <w:rsid w:val="00220B77"/>
    <w:rsid w:val="00221D27"/>
    <w:rsid w:val="00237233"/>
    <w:rsid w:val="002421BB"/>
    <w:rsid w:val="00243BD6"/>
    <w:rsid w:val="002467FC"/>
    <w:rsid w:val="00246A81"/>
    <w:rsid w:val="0025144B"/>
    <w:rsid w:val="00251A5F"/>
    <w:rsid w:val="002521F5"/>
    <w:rsid w:val="0025796E"/>
    <w:rsid w:val="002603E5"/>
    <w:rsid w:val="00260AC2"/>
    <w:rsid w:val="002638B2"/>
    <w:rsid w:val="002660F2"/>
    <w:rsid w:val="002662B9"/>
    <w:rsid w:val="002664BB"/>
    <w:rsid w:val="002707A2"/>
    <w:rsid w:val="002715B9"/>
    <w:rsid w:val="0027455C"/>
    <w:rsid w:val="002821E7"/>
    <w:rsid w:val="002835A6"/>
    <w:rsid w:val="002844ED"/>
    <w:rsid w:val="002951A0"/>
    <w:rsid w:val="002962BC"/>
    <w:rsid w:val="002A0049"/>
    <w:rsid w:val="002A093D"/>
    <w:rsid w:val="002A0DD0"/>
    <w:rsid w:val="002A49AC"/>
    <w:rsid w:val="002A64FD"/>
    <w:rsid w:val="002A6BBF"/>
    <w:rsid w:val="002B0867"/>
    <w:rsid w:val="002B1E57"/>
    <w:rsid w:val="002B1F7F"/>
    <w:rsid w:val="002B290B"/>
    <w:rsid w:val="002C110E"/>
    <w:rsid w:val="002C2C9D"/>
    <w:rsid w:val="002C379A"/>
    <w:rsid w:val="002C398E"/>
    <w:rsid w:val="002C765E"/>
    <w:rsid w:val="002C7A84"/>
    <w:rsid w:val="002D09B5"/>
    <w:rsid w:val="002D13A1"/>
    <w:rsid w:val="002D3F0D"/>
    <w:rsid w:val="002D5A79"/>
    <w:rsid w:val="002E1D98"/>
    <w:rsid w:val="002E2C3F"/>
    <w:rsid w:val="002E4FD9"/>
    <w:rsid w:val="002E6F15"/>
    <w:rsid w:val="002F13FD"/>
    <w:rsid w:val="002F2041"/>
    <w:rsid w:val="00303544"/>
    <w:rsid w:val="003039C1"/>
    <w:rsid w:val="00304655"/>
    <w:rsid w:val="00306903"/>
    <w:rsid w:val="0030774B"/>
    <w:rsid w:val="00310DBE"/>
    <w:rsid w:val="00313B0C"/>
    <w:rsid w:val="0031430F"/>
    <w:rsid w:val="00320BBD"/>
    <w:rsid w:val="00322A85"/>
    <w:rsid w:val="00324168"/>
    <w:rsid w:val="0033032A"/>
    <w:rsid w:val="00334C6A"/>
    <w:rsid w:val="00336C05"/>
    <w:rsid w:val="00342675"/>
    <w:rsid w:val="00343512"/>
    <w:rsid w:val="003448F4"/>
    <w:rsid w:val="00345330"/>
    <w:rsid w:val="00345627"/>
    <w:rsid w:val="00350BE1"/>
    <w:rsid w:val="003528DF"/>
    <w:rsid w:val="00352C12"/>
    <w:rsid w:val="00354BCA"/>
    <w:rsid w:val="00355897"/>
    <w:rsid w:val="003636FA"/>
    <w:rsid w:val="0036594E"/>
    <w:rsid w:val="003665EE"/>
    <w:rsid w:val="0037010E"/>
    <w:rsid w:val="00370128"/>
    <w:rsid w:val="003734F4"/>
    <w:rsid w:val="00374F5E"/>
    <w:rsid w:val="00377E3E"/>
    <w:rsid w:val="00380552"/>
    <w:rsid w:val="003815E8"/>
    <w:rsid w:val="00392A49"/>
    <w:rsid w:val="003A26D1"/>
    <w:rsid w:val="003A3B30"/>
    <w:rsid w:val="003A4D1E"/>
    <w:rsid w:val="003A697B"/>
    <w:rsid w:val="003A6DA4"/>
    <w:rsid w:val="003A779E"/>
    <w:rsid w:val="003B005A"/>
    <w:rsid w:val="003C1BFE"/>
    <w:rsid w:val="003C3FA5"/>
    <w:rsid w:val="003D0F4D"/>
    <w:rsid w:val="003D5B0D"/>
    <w:rsid w:val="003E0499"/>
    <w:rsid w:val="003E31C9"/>
    <w:rsid w:val="003E40F2"/>
    <w:rsid w:val="003F0D71"/>
    <w:rsid w:val="003F3941"/>
    <w:rsid w:val="00400676"/>
    <w:rsid w:val="004008A9"/>
    <w:rsid w:val="00406575"/>
    <w:rsid w:val="00406F3F"/>
    <w:rsid w:val="00407C75"/>
    <w:rsid w:val="00410906"/>
    <w:rsid w:val="0041655A"/>
    <w:rsid w:val="00424FD2"/>
    <w:rsid w:val="00426FD7"/>
    <w:rsid w:val="0042722E"/>
    <w:rsid w:val="00427DA0"/>
    <w:rsid w:val="00440391"/>
    <w:rsid w:val="00442C7F"/>
    <w:rsid w:val="0044528D"/>
    <w:rsid w:val="00450920"/>
    <w:rsid w:val="00454D48"/>
    <w:rsid w:val="004554F9"/>
    <w:rsid w:val="0046004D"/>
    <w:rsid w:val="004633DE"/>
    <w:rsid w:val="00465E71"/>
    <w:rsid w:val="00467A47"/>
    <w:rsid w:val="004734BD"/>
    <w:rsid w:val="00481707"/>
    <w:rsid w:val="00482608"/>
    <w:rsid w:val="00483749"/>
    <w:rsid w:val="00484809"/>
    <w:rsid w:val="00484BB1"/>
    <w:rsid w:val="00496771"/>
    <w:rsid w:val="004A0980"/>
    <w:rsid w:val="004A0B8B"/>
    <w:rsid w:val="004A1847"/>
    <w:rsid w:val="004A305D"/>
    <w:rsid w:val="004A30F4"/>
    <w:rsid w:val="004A3312"/>
    <w:rsid w:val="004A4508"/>
    <w:rsid w:val="004A6135"/>
    <w:rsid w:val="004B740F"/>
    <w:rsid w:val="004C4B37"/>
    <w:rsid w:val="004D026D"/>
    <w:rsid w:val="004D3A9E"/>
    <w:rsid w:val="004E221E"/>
    <w:rsid w:val="004E2892"/>
    <w:rsid w:val="004E4C0B"/>
    <w:rsid w:val="004E505B"/>
    <w:rsid w:val="004E7D86"/>
    <w:rsid w:val="004F21C4"/>
    <w:rsid w:val="004F3012"/>
    <w:rsid w:val="004F5559"/>
    <w:rsid w:val="004F685F"/>
    <w:rsid w:val="004F7EC9"/>
    <w:rsid w:val="00502A4C"/>
    <w:rsid w:val="005031CB"/>
    <w:rsid w:val="00504CBE"/>
    <w:rsid w:val="00514598"/>
    <w:rsid w:val="005163B5"/>
    <w:rsid w:val="0052543A"/>
    <w:rsid w:val="0052785C"/>
    <w:rsid w:val="00533E1B"/>
    <w:rsid w:val="005372B2"/>
    <w:rsid w:val="00540C2D"/>
    <w:rsid w:val="00541793"/>
    <w:rsid w:val="00552502"/>
    <w:rsid w:val="005566E8"/>
    <w:rsid w:val="005567AB"/>
    <w:rsid w:val="00560CB5"/>
    <w:rsid w:val="005638F5"/>
    <w:rsid w:val="00564F8B"/>
    <w:rsid w:val="00574122"/>
    <w:rsid w:val="00574867"/>
    <w:rsid w:val="00577D09"/>
    <w:rsid w:val="0058087F"/>
    <w:rsid w:val="00582B05"/>
    <w:rsid w:val="0058424B"/>
    <w:rsid w:val="00591460"/>
    <w:rsid w:val="00592628"/>
    <w:rsid w:val="00597C75"/>
    <w:rsid w:val="005A0868"/>
    <w:rsid w:val="005A0CFB"/>
    <w:rsid w:val="005A282F"/>
    <w:rsid w:val="005A2AC9"/>
    <w:rsid w:val="005A4EBD"/>
    <w:rsid w:val="005B2C3C"/>
    <w:rsid w:val="005B2CCE"/>
    <w:rsid w:val="005B496D"/>
    <w:rsid w:val="005B58C1"/>
    <w:rsid w:val="005B6033"/>
    <w:rsid w:val="005C3777"/>
    <w:rsid w:val="005C5CDC"/>
    <w:rsid w:val="005C6832"/>
    <w:rsid w:val="005C7629"/>
    <w:rsid w:val="005D17C8"/>
    <w:rsid w:val="005D2649"/>
    <w:rsid w:val="005D2B2B"/>
    <w:rsid w:val="005D476C"/>
    <w:rsid w:val="005D5F91"/>
    <w:rsid w:val="005D7B25"/>
    <w:rsid w:val="005E42A9"/>
    <w:rsid w:val="005E666F"/>
    <w:rsid w:val="005F1F84"/>
    <w:rsid w:val="005F7C43"/>
    <w:rsid w:val="0060163E"/>
    <w:rsid w:val="00605A00"/>
    <w:rsid w:val="00610812"/>
    <w:rsid w:val="00612CE7"/>
    <w:rsid w:val="006219C0"/>
    <w:rsid w:val="006219F8"/>
    <w:rsid w:val="0063165E"/>
    <w:rsid w:val="0063166A"/>
    <w:rsid w:val="00632C08"/>
    <w:rsid w:val="00633952"/>
    <w:rsid w:val="00636B74"/>
    <w:rsid w:val="00637381"/>
    <w:rsid w:val="00650FF7"/>
    <w:rsid w:val="00655D88"/>
    <w:rsid w:val="00665D70"/>
    <w:rsid w:val="00667199"/>
    <w:rsid w:val="00671DAC"/>
    <w:rsid w:val="006747C7"/>
    <w:rsid w:val="006752CF"/>
    <w:rsid w:val="006827AC"/>
    <w:rsid w:val="006859A3"/>
    <w:rsid w:val="006900D9"/>
    <w:rsid w:val="006A0008"/>
    <w:rsid w:val="006A10DF"/>
    <w:rsid w:val="006A3147"/>
    <w:rsid w:val="006C0240"/>
    <w:rsid w:val="006C1E81"/>
    <w:rsid w:val="006C5595"/>
    <w:rsid w:val="006D12F8"/>
    <w:rsid w:val="006D2BEC"/>
    <w:rsid w:val="006F0D40"/>
    <w:rsid w:val="006F2501"/>
    <w:rsid w:val="0070266A"/>
    <w:rsid w:val="00704D9B"/>
    <w:rsid w:val="00705E5F"/>
    <w:rsid w:val="00706C16"/>
    <w:rsid w:val="00707E0E"/>
    <w:rsid w:val="00711C85"/>
    <w:rsid w:val="0071458F"/>
    <w:rsid w:val="0071627C"/>
    <w:rsid w:val="007218AE"/>
    <w:rsid w:val="00723A7F"/>
    <w:rsid w:val="00725B23"/>
    <w:rsid w:val="007312C3"/>
    <w:rsid w:val="00737C53"/>
    <w:rsid w:val="00737DFA"/>
    <w:rsid w:val="00745C0D"/>
    <w:rsid w:val="00756841"/>
    <w:rsid w:val="00762AA9"/>
    <w:rsid w:val="007649AB"/>
    <w:rsid w:val="00771D0C"/>
    <w:rsid w:val="007833AC"/>
    <w:rsid w:val="0078358E"/>
    <w:rsid w:val="00784D58"/>
    <w:rsid w:val="00786FBF"/>
    <w:rsid w:val="00790AB7"/>
    <w:rsid w:val="00791769"/>
    <w:rsid w:val="00796340"/>
    <w:rsid w:val="007A23EA"/>
    <w:rsid w:val="007A5189"/>
    <w:rsid w:val="007B0D88"/>
    <w:rsid w:val="007B268C"/>
    <w:rsid w:val="007B7171"/>
    <w:rsid w:val="007B7D02"/>
    <w:rsid w:val="007C0C0F"/>
    <w:rsid w:val="007C3DC2"/>
    <w:rsid w:val="007D0457"/>
    <w:rsid w:val="007D43C9"/>
    <w:rsid w:val="007E5497"/>
    <w:rsid w:val="007F28CA"/>
    <w:rsid w:val="007F52A4"/>
    <w:rsid w:val="007F60FB"/>
    <w:rsid w:val="007F7B94"/>
    <w:rsid w:val="00800250"/>
    <w:rsid w:val="00804981"/>
    <w:rsid w:val="00806F5F"/>
    <w:rsid w:val="008152AD"/>
    <w:rsid w:val="008163D7"/>
    <w:rsid w:val="00820278"/>
    <w:rsid w:val="00820BD4"/>
    <w:rsid w:val="008211D2"/>
    <w:rsid w:val="00834554"/>
    <w:rsid w:val="00834B31"/>
    <w:rsid w:val="00840ADC"/>
    <w:rsid w:val="00843BF7"/>
    <w:rsid w:val="00844950"/>
    <w:rsid w:val="008449B3"/>
    <w:rsid w:val="00846276"/>
    <w:rsid w:val="00850E23"/>
    <w:rsid w:val="00851137"/>
    <w:rsid w:val="00853978"/>
    <w:rsid w:val="0085432F"/>
    <w:rsid w:val="008641C4"/>
    <w:rsid w:val="00864209"/>
    <w:rsid w:val="0087325B"/>
    <w:rsid w:val="008777D3"/>
    <w:rsid w:val="00881ABA"/>
    <w:rsid w:val="008843B6"/>
    <w:rsid w:val="00886C89"/>
    <w:rsid w:val="00891928"/>
    <w:rsid w:val="00894B8B"/>
    <w:rsid w:val="0089556C"/>
    <w:rsid w:val="008960CE"/>
    <w:rsid w:val="0089686B"/>
    <w:rsid w:val="008A00A4"/>
    <w:rsid w:val="008A446D"/>
    <w:rsid w:val="008A4637"/>
    <w:rsid w:val="008A7A64"/>
    <w:rsid w:val="008A7AFE"/>
    <w:rsid w:val="008A7F08"/>
    <w:rsid w:val="008B0AE4"/>
    <w:rsid w:val="008B2F0E"/>
    <w:rsid w:val="008B30C2"/>
    <w:rsid w:val="008B5578"/>
    <w:rsid w:val="008B5A2E"/>
    <w:rsid w:val="008D01FC"/>
    <w:rsid w:val="008D180B"/>
    <w:rsid w:val="008D2C61"/>
    <w:rsid w:val="008D7227"/>
    <w:rsid w:val="008D7786"/>
    <w:rsid w:val="008E1F92"/>
    <w:rsid w:val="008E7333"/>
    <w:rsid w:val="008E7B09"/>
    <w:rsid w:val="008F0EA7"/>
    <w:rsid w:val="008F7BB9"/>
    <w:rsid w:val="009029F9"/>
    <w:rsid w:val="00904692"/>
    <w:rsid w:val="00910097"/>
    <w:rsid w:val="00911C7C"/>
    <w:rsid w:val="00913D97"/>
    <w:rsid w:val="00913DBA"/>
    <w:rsid w:val="0091561E"/>
    <w:rsid w:val="00923EEF"/>
    <w:rsid w:val="009411F5"/>
    <w:rsid w:val="009419F9"/>
    <w:rsid w:val="00947217"/>
    <w:rsid w:val="00950618"/>
    <w:rsid w:val="00953AA4"/>
    <w:rsid w:val="00955305"/>
    <w:rsid w:val="009561EA"/>
    <w:rsid w:val="0095685E"/>
    <w:rsid w:val="009572D9"/>
    <w:rsid w:val="00957AB4"/>
    <w:rsid w:val="009600D2"/>
    <w:rsid w:val="00961409"/>
    <w:rsid w:val="00961B09"/>
    <w:rsid w:val="00962300"/>
    <w:rsid w:val="00962433"/>
    <w:rsid w:val="00965334"/>
    <w:rsid w:val="00966254"/>
    <w:rsid w:val="0097093E"/>
    <w:rsid w:val="00972B33"/>
    <w:rsid w:val="00975B1C"/>
    <w:rsid w:val="00976025"/>
    <w:rsid w:val="00976D9A"/>
    <w:rsid w:val="009800BE"/>
    <w:rsid w:val="00982AE2"/>
    <w:rsid w:val="00982E41"/>
    <w:rsid w:val="00984649"/>
    <w:rsid w:val="009858BE"/>
    <w:rsid w:val="009A0DFA"/>
    <w:rsid w:val="009A3C2C"/>
    <w:rsid w:val="009A4A40"/>
    <w:rsid w:val="009A5F11"/>
    <w:rsid w:val="009B2D26"/>
    <w:rsid w:val="009B6E29"/>
    <w:rsid w:val="009B76B2"/>
    <w:rsid w:val="009B780F"/>
    <w:rsid w:val="009C00CC"/>
    <w:rsid w:val="009C2DD0"/>
    <w:rsid w:val="009C3AC7"/>
    <w:rsid w:val="009C3C97"/>
    <w:rsid w:val="009C71FA"/>
    <w:rsid w:val="009C72E7"/>
    <w:rsid w:val="009D0555"/>
    <w:rsid w:val="009D3058"/>
    <w:rsid w:val="009D3A11"/>
    <w:rsid w:val="009D44C4"/>
    <w:rsid w:val="009D4993"/>
    <w:rsid w:val="009D67FD"/>
    <w:rsid w:val="009E5A30"/>
    <w:rsid w:val="009E7C05"/>
    <w:rsid w:val="009F3831"/>
    <w:rsid w:val="009F3832"/>
    <w:rsid w:val="009F3A13"/>
    <w:rsid w:val="009F4AB2"/>
    <w:rsid w:val="009F73F7"/>
    <w:rsid w:val="00A02465"/>
    <w:rsid w:val="00A03415"/>
    <w:rsid w:val="00A04A81"/>
    <w:rsid w:val="00A0693C"/>
    <w:rsid w:val="00A122D3"/>
    <w:rsid w:val="00A14D3D"/>
    <w:rsid w:val="00A153F4"/>
    <w:rsid w:val="00A1702C"/>
    <w:rsid w:val="00A17F13"/>
    <w:rsid w:val="00A20739"/>
    <w:rsid w:val="00A211D0"/>
    <w:rsid w:val="00A23361"/>
    <w:rsid w:val="00A24433"/>
    <w:rsid w:val="00A2443A"/>
    <w:rsid w:val="00A302A1"/>
    <w:rsid w:val="00A332DD"/>
    <w:rsid w:val="00A339A9"/>
    <w:rsid w:val="00A33C78"/>
    <w:rsid w:val="00A34B38"/>
    <w:rsid w:val="00A34D87"/>
    <w:rsid w:val="00A35538"/>
    <w:rsid w:val="00A37BC4"/>
    <w:rsid w:val="00A42050"/>
    <w:rsid w:val="00A43292"/>
    <w:rsid w:val="00A445C0"/>
    <w:rsid w:val="00A56FCA"/>
    <w:rsid w:val="00A6004A"/>
    <w:rsid w:val="00A60696"/>
    <w:rsid w:val="00A613C2"/>
    <w:rsid w:val="00A74DE6"/>
    <w:rsid w:val="00A8086A"/>
    <w:rsid w:val="00A80F32"/>
    <w:rsid w:val="00A87F7D"/>
    <w:rsid w:val="00A9244C"/>
    <w:rsid w:val="00A94D14"/>
    <w:rsid w:val="00AB0ADB"/>
    <w:rsid w:val="00AB3FD1"/>
    <w:rsid w:val="00AC0EAB"/>
    <w:rsid w:val="00AC4701"/>
    <w:rsid w:val="00AC49A2"/>
    <w:rsid w:val="00AC6FA5"/>
    <w:rsid w:val="00AD26A6"/>
    <w:rsid w:val="00AD73E2"/>
    <w:rsid w:val="00AE2631"/>
    <w:rsid w:val="00AF0ED2"/>
    <w:rsid w:val="00AF1854"/>
    <w:rsid w:val="00AF1BEC"/>
    <w:rsid w:val="00B009B8"/>
    <w:rsid w:val="00B01B1A"/>
    <w:rsid w:val="00B14E03"/>
    <w:rsid w:val="00B23D14"/>
    <w:rsid w:val="00B26B98"/>
    <w:rsid w:val="00B35ADC"/>
    <w:rsid w:val="00B37C24"/>
    <w:rsid w:val="00B40FBC"/>
    <w:rsid w:val="00B46F27"/>
    <w:rsid w:val="00B47FD7"/>
    <w:rsid w:val="00B51F75"/>
    <w:rsid w:val="00B52674"/>
    <w:rsid w:val="00B53E27"/>
    <w:rsid w:val="00B558AF"/>
    <w:rsid w:val="00B615BA"/>
    <w:rsid w:val="00B62D8B"/>
    <w:rsid w:val="00B64162"/>
    <w:rsid w:val="00B72CD3"/>
    <w:rsid w:val="00B72FFF"/>
    <w:rsid w:val="00B73993"/>
    <w:rsid w:val="00B75F3C"/>
    <w:rsid w:val="00B76CEB"/>
    <w:rsid w:val="00B8257D"/>
    <w:rsid w:val="00B82B8B"/>
    <w:rsid w:val="00B86FE2"/>
    <w:rsid w:val="00B87F69"/>
    <w:rsid w:val="00B91186"/>
    <w:rsid w:val="00B93423"/>
    <w:rsid w:val="00B97D74"/>
    <w:rsid w:val="00BA2EF4"/>
    <w:rsid w:val="00BB2A21"/>
    <w:rsid w:val="00BB73C5"/>
    <w:rsid w:val="00BC0036"/>
    <w:rsid w:val="00BC05A6"/>
    <w:rsid w:val="00BC3D36"/>
    <w:rsid w:val="00BC4B34"/>
    <w:rsid w:val="00BD38E0"/>
    <w:rsid w:val="00BD7F72"/>
    <w:rsid w:val="00BE03BC"/>
    <w:rsid w:val="00BE0A18"/>
    <w:rsid w:val="00BE12F9"/>
    <w:rsid w:val="00BE6F43"/>
    <w:rsid w:val="00BF1201"/>
    <w:rsid w:val="00BF1D4A"/>
    <w:rsid w:val="00BF230F"/>
    <w:rsid w:val="00BF7BBF"/>
    <w:rsid w:val="00C002E3"/>
    <w:rsid w:val="00C012CC"/>
    <w:rsid w:val="00C015B1"/>
    <w:rsid w:val="00C03510"/>
    <w:rsid w:val="00C04FB3"/>
    <w:rsid w:val="00C10179"/>
    <w:rsid w:val="00C147D0"/>
    <w:rsid w:val="00C159C1"/>
    <w:rsid w:val="00C16346"/>
    <w:rsid w:val="00C20C65"/>
    <w:rsid w:val="00C21B15"/>
    <w:rsid w:val="00C30833"/>
    <w:rsid w:val="00C32523"/>
    <w:rsid w:val="00C330EB"/>
    <w:rsid w:val="00C371C9"/>
    <w:rsid w:val="00C40E9F"/>
    <w:rsid w:val="00C41481"/>
    <w:rsid w:val="00C42469"/>
    <w:rsid w:val="00C46D91"/>
    <w:rsid w:val="00C47A07"/>
    <w:rsid w:val="00C57281"/>
    <w:rsid w:val="00C65D65"/>
    <w:rsid w:val="00C67703"/>
    <w:rsid w:val="00C7173F"/>
    <w:rsid w:val="00C730B6"/>
    <w:rsid w:val="00C74E08"/>
    <w:rsid w:val="00C754BE"/>
    <w:rsid w:val="00C76466"/>
    <w:rsid w:val="00C76B1C"/>
    <w:rsid w:val="00C915DD"/>
    <w:rsid w:val="00C91B94"/>
    <w:rsid w:val="00C95163"/>
    <w:rsid w:val="00C95AD9"/>
    <w:rsid w:val="00CA47CD"/>
    <w:rsid w:val="00CA6A9D"/>
    <w:rsid w:val="00CA7F6B"/>
    <w:rsid w:val="00CA7FB6"/>
    <w:rsid w:val="00CB06C2"/>
    <w:rsid w:val="00CB6357"/>
    <w:rsid w:val="00CC0FA3"/>
    <w:rsid w:val="00CC1B26"/>
    <w:rsid w:val="00CC49F7"/>
    <w:rsid w:val="00CC54DB"/>
    <w:rsid w:val="00CD087D"/>
    <w:rsid w:val="00CD41CB"/>
    <w:rsid w:val="00CD5EE0"/>
    <w:rsid w:val="00CE509A"/>
    <w:rsid w:val="00CE5414"/>
    <w:rsid w:val="00CE7426"/>
    <w:rsid w:val="00CF7826"/>
    <w:rsid w:val="00D0157A"/>
    <w:rsid w:val="00D02740"/>
    <w:rsid w:val="00D036D8"/>
    <w:rsid w:val="00D038ED"/>
    <w:rsid w:val="00D06D26"/>
    <w:rsid w:val="00D10B75"/>
    <w:rsid w:val="00D11906"/>
    <w:rsid w:val="00D13351"/>
    <w:rsid w:val="00D13D25"/>
    <w:rsid w:val="00D15E25"/>
    <w:rsid w:val="00D20368"/>
    <w:rsid w:val="00D22361"/>
    <w:rsid w:val="00D22598"/>
    <w:rsid w:val="00D26924"/>
    <w:rsid w:val="00D413F6"/>
    <w:rsid w:val="00D4231B"/>
    <w:rsid w:val="00D423A2"/>
    <w:rsid w:val="00D520D8"/>
    <w:rsid w:val="00D52844"/>
    <w:rsid w:val="00D52961"/>
    <w:rsid w:val="00D55048"/>
    <w:rsid w:val="00D5596D"/>
    <w:rsid w:val="00D55978"/>
    <w:rsid w:val="00D57FA4"/>
    <w:rsid w:val="00D62DE7"/>
    <w:rsid w:val="00D63AC2"/>
    <w:rsid w:val="00D665B4"/>
    <w:rsid w:val="00D7383B"/>
    <w:rsid w:val="00D7609E"/>
    <w:rsid w:val="00D81A63"/>
    <w:rsid w:val="00D81D25"/>
    <w:rsid w:val="00D85C60"/>
    <w:rsid w:val="00D94C40"/>
    <w:rsid w:val="00DA231B"/>
    <w:rsid w:val="00DA23A0"/>
    <w:rsid w:val="00DA7F66"/>
    <w:rsid w:val="00DB186F"/>
    <w:rsid w:val="00DB2A80"/>
    <w:rsid w:val="00DB7B3E"/>
    <w:rsid w:val="00DC39FC"/>
    <w:rsid w:val="00DC4385"/>
    <w:rsid w:val="00DC484F"/>
    <w:rsid w:val="00DC4C27"/>
    <w:rsid w:val="00DC51BC"/>
    <w:rsid w:val="00DC793F"/>
    <w:rsid w:val="00DD0BD2"/>
    <w:rsid w:val="00DE0856"/>
    <w:rsid w:val="00DE4629"/>
    <w:rsid w:val="00DF11FD"/>
    <w:rsid w:val="00DF5254"/>
    <w:rsid w:val="00E12426"/>
    <w:rsid w:val="00E16408"/>
    <w:rsid w:val="00E20894"/>
    <w:rsid w:val="00E245AB"/>
    <w:rsid w:val="00E24E36"/>
    <w:rsid w:val="00E26239"/>
    <w:rsid w:val="00E2764C"/>
    <w:rsid w:val="00E27F2E"/>
    <w:rsid w:val="00E3176B"/>
    <w:rsid w:val="00E34BBF"/>
    <w:rsid w:val="00E413EA"/>
    <w:rsid w:val="00E4419D"/>
    <w:rsid w:val="00E47F28"/>
    <w:rsid w:val="00E50AFE"/>
    <w:rsid w:val="00E52E49"/>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8AA"/>
    <w:rsid w:val="00E90F6B"/>
    <w:rsid w:val="00E91079"/>
    <w:rsid w:val="00E92C27"/>
    <w:rsid w:val="00E92E10"/>
    <w:rsid w:val="00EA0E3D"/>
    <w:rsid w:val="00EA1CD8"/>
    <w:rsid w:val="00EA393B"/>
    <w:rsid w:val="00EA39A5"/>
    <w:rsid w:val="00EB2C4B"/>
    <w:rsid w:val="00EB7E00"/>
    <w:rsid w:val="00EC1A2C"/>
    <w:rsid w:val="00EC1FE1"/>
    <w:rsid w:val="00EC38A7"/>
    <w:rsid w:val="00EC40F8"/>
    <w:rsid w:val="00EC793E"/>
    <w:rsid w:val="00ED042A"/>
    <w:rsid w:val="00ED0D4A"/>
    <w:rsid w:val="00EE1AA8"/>
    <w:rsid w:val="00EF26C3"/>
    <w:rsid w:val="00EF419E"/>
    <w:rsid w:val="00EF489F"/>
    <w:rsid w:val="00EF63E1"/>
    <w:rsid w:val="00F01413"/>
    <w:rsid w:val="00F10A35"/>
    <w:rsid w:val="00F11213"/>
    <w:rsid w:val="00F11BAA"/>
    <w:rsid w:val="00F1445A"/>
    <w:rsid w:val="00F177C1"/>
    <w:rsid w:val="00F238F2"/>
    <w:rsid w:val="00F242E8"/>
    <w:rsid w:val="00F260AA"/>
    <w:rsid w:val="00F27B26"/>
    <w:rsid w:val="00F31EDC"/>
    <w:rsid w:val="00F34D02"/>
    <w:rsid w:val="00F34E84"/>
    <w:rsid w:val="00F36447"/>
    <w:rsid w:val="00F40BAD"/>
    <w:rsid w:val="00F462B3"/>
    <w:rsid w:val="00F46F38"/>
    <w:rsid w:val="00F50F8A"/>
    <w:rsid w:val="00F51119"/>
    <w:rsid w:val="00F5184B"/>
    <w:rsid w:val="00F51862"/>
    <w:rsid w:val="00F5258B"/>
    <w:rsid w:val="00F55081"/>
    <w:rsid w:val="00F55168"/>
    <w:rsid w:val="00F5664F"/>
    <w:rsid w:val="00F626C4"/>
    <w:rsid w:val="00F64D9E"/>
    <w:rsid w:val="00F65C51"/>
    <w:rsid w:val="00F665D0"/>
    <w:rsid w:val="00F666C4"/>
    <w:rsid w:val="00F7684C"/>
    <w:rsid w:val="00F76AFC"/>
    <w:rsid w:val="00F80CBE"/>
    <w:rsid w:val="00F84076"/>
    <w:rsid w:val="00F85198"/>
    <w:rsid w:val="00F85A91"/>
    <w:rsid w:val="00F90FE0"/>
    <w:rsid w:val="00F939CB"/>
    <w:rsid w:val="00F9479C"/>
    <w:rsid w:val="00F965EE"/>
    <w:rsid w:val="00F97949"/>
    <w:rsid w:val="00FA1110"/>
    <w:rsid w:val="00FA358D"/>
    <w:rsid w:val="00FA47C0"/>
    <w:rsid w:val="00FB4425"/>
    <w:rsid w:val="00FB5615"/>
    <w:rsid w:val="00FB5DD1"/>
    <w:rsid w:val="00FB5F87"/>
    <w:rsid w:val="00FC07B5"/>
    <w:rsid w:val="00FC2B5D"/>
    <w:rsid w:val="00FD00E9"/>
    <w:rsid w:val="00FD03E3"/>
    <w:rsid w:val="00FE122A"/>
    <w:rsid w:val="00FE20E6"/>
    <w:rsid w:val="00FE429F"/>
    <w:rsid w:val="00FF1187"/>
    <w:rsid w:val="00FF1449"/>
    <w:rsid w:val="00FF2FD4"/>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A4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table" w:customStyle="1" w:styleId="Tablaconcuadrcula11">
    <w:name w:val="Tabla con cuadrícula11"/>
    <w:basedOn w:val="Tablanormal"/>
    <w:next w:val="Tablaconcuadrcula"/>
    <w:uiPriority w:val="39"/>
    <w:qFormat/>
    <w:rsid w:val="00601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60163E"/>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74562185">
      <w:bodyDiv w:val="1"/>
      <w:marLeft w:val="0"/>
      <w:marRight w:val="0"/>
      <w:marTop w:val="0"/>
      <w:marBottom w:val="0"/>
      <w:divBdr>
        <w:top w:val="none" w:sz="0" w:space="0" w:color="auto"/>
        <w:left w:val="none" w:sz="0" w:space="0" w:color="auto"/>
        <w:bottom w:val="none" w:sz="0" w:space="0" w:color="auto"/>
        <w:right w:val="none" w:sz="0" w:space="0" w:color="auto"/>
      </w:divBdr>
    </w:div>
    <w:div w:id="363290210">
      <w:bodyDiv w:val="1"/>
      <w:marLeft w:val="0"/>
      <w:marRight w:val="0"/>
      <w:marTop w:val="0"/>
      <w:marBottom w:val="0"/>
      <w:divBdr>
        <w:top w:val="none" w:sz="0" w:space="0" w:color="auto"/>
        <w:left w:val="none" w:sz="0" w:space="0" w:color="auto"/>
        <w:bottom w:val="none" w:sz="0" w:space="0" w:color="auto"/>
        <w:right w:val="none" w:sz="0" w:space="0" w:color="auto"/>
      </w:divBdr>
    </w:div>
    <w:div w:id="40064275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523596194">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0881481">
      <w:bodyDiv w:val="1"/>
      <w:marLeft w:val="0"/>
      <w:marRight w:val="0"/>
      <w:marTop w:val="0"/>
      <w:marBottom w:val="0"/>
      <w:divBdr>
        <w:top w:val="none" w:sz="0" w:space="0" w:color="auto"/>
        <w:left w:val="none" w:sz="0" w:space="0" w:color="auto"/>
        <w:bottom w:val="none" w:sz="0" w:space="0" w:color="auto"/>
        <w:right w:val="none" w:sz="0" w:space="0" w:color="auto"/>
      </w:divBdr>
      <w:divsChild>
        <w:div w:id="896011737">
          <w:marLeft w:val="0"/>
          <w:marRight w:val="0"/>
          <w:marTop w:val="0"/>
          <w:marBottom w:val="0"/>
          <w:divBdr>
            <w:top w:val="none" w:sz="0" w:space="0" w:color="auto"/>
            <w:left w:val="none" w:sz="0" w:space="0" w:color="auto"/>
            <w:bottom w:val="none" w:sz="0" w:space="0" w:color="auto"/>
            <w:right w:val="none" w:sz="0" w:space="0" w:color="auto"/>
          </w:divBdr>
          <w:divsChild>
            <w:div w:id="64107881">
              <w:marLeft w:val="0"/>
              <w:marRight w:val="0"/>
              <w:marTop w:val="0"/>
              <w:marBottom w:val="0"/>
              <w:divBdr>
                <w:top w:val="none" w:sz="0" w:space="0" w:color="auto"/>
                <w:left w:val="none" w:sz="0" w:space="0" w:color="auto"/>
                <w:bottom w:val="none" w:sz="0" w:space="0" w:color="auto"/>
                <w:right w:val="none" w:sz="0" w:space="0" w:color="auto"/>
              </w:divBdr>
            </w:div>
            <w:div w:id="1510755268">
              <w:marLeft w:val="0"/>
              <w:marRight w:val="0"/>
              <w:marTop w:val="0"/>
              <w:marBottom w:val="0"/>
              <w:divBdr>
                <w:top w:val="none" w:sz="0" w:space="0" w:color="auto"/>
                <w:left w:val="none" w:sz="0" w:space="0" w:color="auto"/>
                <w:bottom w:val="none" w:sz="0" w:space="0" w:color="auto"/>
                <w:right w:val="none" w:sz="0" w:space="0" w:color="auto"/>
              </w:divBdr>
              <w:divsChild>
                <w:div w:id="1455371637">
                  <w:marLeft w:val="0"/>
                  <w:marRight w:val="0"/>
                  <w:marTop w:val="0"/>
                  <w:marBottom w:val="0"/>
                  <w:divBdr>
                    <w:top w:val="none" w:sz="0" w:space="0" w:color="auto"/>
                    <w:left w:val="none" w:sz="0" w:space="0" w:color="auto"/>
                    <w:bottom w:val="none" w:sz="0" w:space="0" w:color="auto"/>
                    <w:right w:val="none" w:sz="0" w:space="0" w:color="auto"/>
                  </w:divBdr>
                  <w:divsChild>
                    <w:div w:id="59147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467575">
          <w:marLeft w:val="0"/>
          <w:marRight w:val="0"/>
          <w:marTop w:val="0"/>
          <w:marBottom w:val="0"/>
          <w:divBdr>
            <w:top w:val="none" w:sz="0" w:space="0" w:color="auto"/>
            <w:left w:val="none" w:sz="0" w:space="0" w:color="auto"/>
            <w:bottom w:val="none" w:sz="0" w:space="0" w:color="auto"/>
            <w:right w:val="none" w:sz="0" w:space="0" w:color="auto"/>
          </w:divBdr>
          <w:divsChild>
            <w:div w:id="1383560765">
              <w:marLeft w:val="0"/>
              <w:marRight w:val="0"/>
              <w:marTop w:val="0"/>
              <w:marBottom w:val="0"/>
              <w:divBdr>
                <w:top w:val="none" w:sz="0" w:space="0" w:color="auto"/>
                <w:left w:val="none" w:sz="0" w:space="0" w:color="auto"/>
                <w:bottom w:val="none" w:sz="0" w:space="0" w:color="auto"/>
                <w:right w:val="none" w:sz="0" w:space="0" w:color="auto"/>
              </w:divBdr>
            </w:div>
          </w:divsChild>
        </w:div>
        <w:div w:id="1058431667">
          <w:marLeft w:val="0"/>
          <w:marRight w:val="0"/>
          <w:marTop w:val="0"/>
          <w:marBottom w:val="0"/>
          <w:divBdr>
            <w:top w:val="none" w:sz="0" w:space="0" w:color="auto"/>
            <w:left w:val="none" w:sz="0" w:space="0" w:color="auto"/>
            <w:bottom w:val="none" w:sz="0" w:space="0" w:color="auto"/>
            <w:right w:val="none" w:sz="0" w:space="0" w:color="auto"/>
          </w:divBdr>
          <w:divsChild>
            <w:div w:id="770708630">
              <w:marLeft w:val="0"/>
              <w:marRight w:val="0"/>
              <w:marTop w:val="0"/>
              <w:marBottom w:val="0"/>
              <w:divBdr>
                <w:top w:val="none" w:sz="0" w:space="0" w:color="auto"/>
                <w:left w:val="none" w:sz="0" w:space="0" w:color="auto"/>
                <w:bottom w:val="none" w:sz="0" w:space="0" w:color="auto"/>
                <w:right w:val="none" w:sz="0" w:space="0" w:color="auto"/>
              </w:divBdr>
            </w:div>
          </w:divsChild>
        </w:div>
        <w:div w:id="875778212">
          <w:marLeft w:val="0"/>
          <w:marRight w:val="0"/>
          <w:marTop w:val="0"/>
          <w:marBottom w:val="0"/>
          <w:divBdr>
            <w:top w:val="none" w:sz="0" w:space="0" w:color="auto"/>
            <w:left w:val="none" w:sz="0" w:space="0" w:color="auto"/>
            <w:bottom w:val="none" w:sz="0" w:space="0" w:color="auto"/>
            <w:right w:val="none" w:sz="0" w:space="0" w:color="auto"/>
          </w:divBdr>
          <w:divsChild>
            <w:div w:id="3483771">
              <w:marLeft w:val="0"/>
              <w:marRight w:val="0"/>
              <w:marTop w:val="0"/>
              <w:marBottom w:val="0"/>
              <w:divBdr>
                <w:top w:val="none" w:sz="0" w:space="0" w:color="auto"/>
                <w:left w:val="none" w:sz="0" w:space="0" w:color="auto"/>
                <w:bottom w:val="none" w:sz="0" w:space="0" w:color="auto"/>
                <w:right w:val="none" w:sz="0" w:space="0" w:color="auto"/>
              </w:divBdr>
            </w:div>
            <w:div w:id="658195392">
              <w:marLeft w:val="0"/>
              <w:marRight w:val="0"/>
              <w:marTop w:val="0"/>
              <w:marBottom w:val="0"/>
              <w:divBdr>
                <w:top w:val="none" w:sz="0" w:space="0" w:color="auto"/>
                <w:left w:val="none" w:sz="0" w:space="0" w:color="auto"/>
                <w:bottom w:val="none" w:sz="0" w:space="0" w:color="auto"/>
                <w:right w:val="none" w:sz="0" w:space="0" w:color="auto"/>
              </w:divBdr>
              <w:divsChild>
                <w:div w:id="1192763946">
                  <w:marLeft w:val="0"/>
                  <w:marRight w:val="0"/>
                  <w:marTop w:val="0"/>
                  <w:marBottom w:val="0"/>
                  <w:divBdr>
                    <w:top w:val="none" w:sz="0" w:space="0" w:color="auto"/>
                    <w:left w:val="none" w:sz="0" w:space="0" w:color="auto"/>
                    <w:bottom w:val="none" w:sz="0" w:space="0" w:color="auto"/>
                    <w:right w:val="none" w:sz="0" w:space="0" w:color="auto"/>
                  </w:divBdr>
                  <w:divsChild>
                    <w:div w:id="36236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962278">
          <w:marLeft w:val="0"/>
          <w:marRight w:val="0"/>
          <w:marTop w:val="0"/>
          <w:marBottom w:val="0"/>
          <w:divBdr>
            <w:top w:val="none" w:sz="0" w:space="0" w:color="auto"/>
            <w:left w:val="none" w:sz="0" w:space="0" w:color="auto"/>
            <w:bottom w:val="none" w:sz="0" w:space="0" w:color="auto"/>
            <w:right w:val="none" w:sz="0" w:space="0" w:color="auto"/>
          </w:divBdr>
          <w:divsChild>
            <w:div w:id="940141584">
              <w:marLeft w:val="0"/>
              <w:marRight w:val="0"/>
              <w:marTop w:val="0"/>
              <w:marBottom w:val="0"/>
              <w:divBdr>
                <w:top w:val="none" w:sz="0" w:space="0" w:color="auto"/>
                <w:left w:val="none" w:sz="0" w:space="0" w:color="auto"/>
                <w:bottom w:val="none" w:sz="0" w:space="0" w:color="auto"/>
                <w:right w:val="none" w:sz="0" w:space="0" w:color="auto"/>
              </w:divBdr>
            </w:div>
            <w:div w:id="1488790439">
              <w:marLeft w:val="0"/>
              <w:marRight w:val="0"/>
              <w:marTop w:val="0"/>
              <w:marBottom w:val="0"/>
              <w:divBdr>
                <w:top w:val="none" w:sz="0" w:space="0" w:color="auto"/>
                <w:left w:val="none" w:sz="0" w:space="0" w:color="auto"/>
                <w:bottom w:val="none" w:sz="0" w:space="0" w:color="auto"/>
                <w:right w:val="none" w:sz="0" w:space="0" w:color="auto"/>
              </w:divBdr>
              <w:divsChild>
                <w:div w:id="1071388426">
                  <w:marLeft w:val="0"/>
                  <w:marRight w:val="0"/>
                  <w:marTop w:val="0"/>
                  <w:marBottom w:val="0"/>
                  <w:divBdr>
                    <w:top w:val="none" w:sz="0" w:space="0" w:color="auto"/>
                    <w:left w:val="none" w:sz="0" w:space="0" w:color="auto"/>
                    <w:bottom w:val="none" w:sz="0" w:space="0" w:color="auto"/>
                    <w:right w:val="none" w:sz="0" w:space="0" w:color="auto"/>
                  </w:divBdr>
                  <w:divsChild>
                    <w:div w:id="120757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55316785">
      <w:bodyDiv w:val="1"/>
      <w:marLeft w:val="0"/>
      <w:marRight w:val="0"/>
      <w:marTop w:val="0"/>
      <w:marBottom w:val="0"/>
      <w:divBdr>
        <w:top w:val="none" w:sz="0" w:space="0" w:color="auto"/>
        <w:left w:val="none" w:sz="0" w:space="0" w:color="auto"/>
        <w:bottom w:val="none" w:sz="0" w:space="0" w:color="auto"/>
        <w:right w:val="none" w:sz="0" w:space="0" w:color="auto"/>
      </w:divBdr>
      <w:divsChild>
        <w:div w:id="1253121883">
          <w:marLeft w:val="0"/>
          <w:marRight w:val="0"/>
          <w:marTop w:val="0"/>
          <w:marBottom w:val="0"/>
          <w:divBdr>
            <w:top w:val="none" w:sz="0" w:space="0" w:color="auto"/>
            <w:left w:val="none" w:sz="0" w:space="0" w:color="auto"/>
            <w:bottom w:val="none" w:sz="0" w:space="0" w:color="auto"/>
            <w:right w:val="none" w:sz="0" w:space="0" w:color="auto"/>
          </w:divBdr>
          <w:divsChild>
            <w:div w:id="1038436993">
              <w:marLeft w:val="0"/>
              <w:marRight w:val="0"/>
              <w:marTop w:val="0"/>
              <w:marBottom w:val="0"/>
              <w:divBdr>
                <w:top w:val="none" w:sz="0" w:space="0" w:color="auto"/>
                <w:left w:val="none" w:sz="0" w:space="0" w:color="auto"/>
                <w:bottom w:val="none" w:sz="0" w:space="0" w:color="auto"/>
                <w:right w:val="none" w:sz="0" w:space="0" w:color="auto"/>
              </w:divBdr>
            </w:div>
            <w:div w:id="589894739">
              <w:marLeft w:val="0"/>
              <w:marRight w:val="0"/>
              <w:marTop w:val="0"/>
              <w:marBottom w:val="0"/>
              <w:divBdr>
                <w:top w:val="none" w:sz="0" w:space="0" w:color="auto"/>
                <w:left w:val="none" w:sz="0" w:space="0" w:color="auto"/>
                <w:bottom w:val="none" w:sz="0" w:space="0" w:color="auto"/>
                <w:right w:val="none" w:sz="0" w:space="0" w:color="auto"/>
              </w:divBdr>
              <w:divsChild>
                <w:div w:id="1403215916">
                  <w:marLeft w:val="0"/>
                  <w:marRight w:val="0"/>
                  <w:marTop w:val="0"/>
                  <w:marBottom w:val="0"/>
                  <w:divBdr>
                    <w:top w:val="none" w:sz="0" w:space="0" w:color="auto"/>
                    <w:left w:val="none" w:sz="0" w:space="0" w:color="auto"/>
                    <w:bottom w:val="none" w:sz="0" w:space="0" w:color="auto"/>
                    <w:right w:val="none" w:sz="0" w:space="0" w:color="auto"/>
                  </w:divBdr>
                  <w:divsChild>
                    <w:div w:id="151040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09676">
          <w:marLeft w:val="0"/>
          <w:marRight w:val="0"/>
          <w:marTop w:val="0"/>
          <w:marBottom w:val="0"/>
          <w:divBdr>
            <w:top w:val="none" w:sz="0" w:space="0" w:color="auto"/>
            <w:left w:val="none" w:sz="0" w:space="0" w:color="auto"/>
            <w:bottom w:val="none" w:sz="0" w:space="0" w:color="auto"/>
            <w:right w:val="none" w:sz="0" w:space="0" w:color="auto"/>
          </w:divBdr>
          <w:divsChild>
            <w:div w:id="100687961">
              <w:marLeft w:val="0"/>
              <w:marRight w:val="0"/>
              <w:marTop w:val="0"/>
              <w:marBottom w:val="0"/>
              <w:divBdr>
                <w:top w:val="none" w:sz="0" w:space="0" w:color="auto"/>
                <w:left w:val="none" w:sz="0" w:space="0" w:color="auto"/>
                <w:bottom w:val="none" w:sz="0" w:space="0" w:color="auto"/>
                <w:right w:val="none" w:sz="0" w:space="0" w:color="auto"/>
              </w:divBdr>
            </w:div>
          </w:divsChild>
        </w:div>
        <w:div w:id="453250805">
          <w:marLeft w:val="0"/>
          <w:marRight w:val="0"/>
          <w:marTop w:val="0"/>
          <w:marBottom w:val="0"/>
          <w:divBdr>
            <w:top w:val="none" w:sz="0" w:space="0" w:color="auto"/>
            <w:left w:val="none" w:sz="0" w:space="0" w:color="auto"/>
            <w:bottom w:val="none" w:sz="0" w:space="0" w:color="auto"/>
            <w:right w:val="none" w:sz="0" w:space="0" w:color="auto"/>
          </w:divBdr>
          <w:divsChild>
            <w:div w:id="232813660">
              <w:marLeft w:val="0"/>
              <w:marRight w:val="0"/>
              <w:marTop w:val="0"/>
              <w:marBottom w:val="0"/>
              <w:divBdr>
                <w:top w:val="none" w:sz="0" w:space="0" w:color="auto"/>
                <w:left w:val="none" w:sz="0" w:space="0" w:color="auto"/>
                <w:bottom w:val="none" w:sz="0" w:space="0" w:color="auto"/>
                <w:right w:val="none" w:sz="0" w:space="0" w:color="auto"/>
              </w:divBdr>
            </w:div>
          </w:divsChild>
        </w:div>
        <w:div w:id="3167415">
          <w:marLeft w:val="0"/>
          <w:marRight w:val="0"/>
          <w:marTop w:val="0"/>
          <w:marBottom w:val="0"/>
          <w:divBdr>
            <w:top w:val="none" w:sz="0" w:space="0" w:color="auto"/>
            <w:left w:val="none" w:sz="0" w:space="0" w:color="auto"/>
            <w:bottom w:val="none" w:sz="0" w:space="0" w:color="auto"/>
            <w:right w:val="none" w:sz="0" w:space="0" w:color="auto"/>
          </w:divBdr>
          <w:divsChild>
            <w:div w:id="1374622214">
              <w:marLeft w:val="0"/>
              <w:marRight w:val="0"/>
              <w:marTop w:val="0"/>
              <w:marBottom w:val="0"/>
              <w:divBdr>
                <w:top w:val="none" w:sz="0" w:space="0" w:color="auto"/>
                <w:left w:val="none" w:sz="0" w:space="0" w:color="auto"/>
                <w:bottom w:val="none" w:sz="0" w:space="0" w:color="auto"/>
                <w:right w:val="none" w:sz="0" w:space="0" w:color="auto"/>
              </w:divBdr>
            </w:div>
            <w:div w:id="1802306240">
              <w:marLeft w:val="0"/>
              <w:marRight w:val="0"/>
              <w:marTop w:val="0"/>
              <w:marBottom w:val="0"/>
              <w:divBdr>
                <w:top w:val="none" w:sz="0" w:space="0" w:color="auto"/>
                <w:left w:val="none" w:sz="0" w:space="0" w:color="auto"/>
                <w:bottom w:val="none" w:sz="0" w:space="0" w:color="auto"/>
                <w:right w:val="none" w:sz="0" w:space="0" w:color="auto"/>
              </w:divBdr>
              <w:divsChild>
                <w:div w:id="385766769">
                  <w:marLeft w:val="0"/>
                  <w:marRight w:val="0"/>
                  <w:marTop w:val="0"/>
                  <w:marBottom w:val="0"/>
                  <w:divBdr>
                    <w:top w:val="none" w:sz="0" w:space="0" w:color="auto"/>
                    <w:left w:val="none" w:sz="0" w:space="0" w:color="auto"/>
                    <w:bottom w:val="none" w:sz="0" w:space="0" w:color="auto"/>
                    <w:right w:val="none" w:sz="0" w:space="0" w:color="auto"/>
                  </w:divBdr>
                  <w:divsChild>
                    <w:div w:id="200003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762500">
          <w:marLeft w:val="0"/>
          <w:marRight w:val="0"/>
          <w:marTop w:val="0"/>
          <w:marBottom w:val="0"/>
          <w:divBdr>
            <w:top w:val="none" w:sz="0" w:space="0" w:color="auto"/>
            <w:left w:val="none" w:sz="0" w:space="0" w:color="auto"/>
            <w:bottom w:val="none" w:sz="0" w:space="0" w:color="auto"/>
            <w:right w:val="none" w:sz="0" w:space="0" w:color="auto"/>
          </w:divBdr>
          <w:divsChild>
            <w:div w:id="482311609">
              <w:marLeft w:val="0"/>
              <w:marRight w:val="0"/>
              <w:marTop w:val="0"/>
              <w:marBottom w:val="0"/>
              <w:divBdr>
                <w:top w:val="none" w:sz="0" w:space="0" w:color="auto"/>
                <w:left w:val="none" w:sz="0" w:space="0" w:color="auto"/>
                <w:bottom w:val="none" w:sz="0" w:space="0" w:color="auto"/>
                <w:right w:val="none" w:sz="0" w:space="0" w:color="auto"/>
              </w:divBdr>
            </w:div>
            <w:div w:id="650253667">
              <w:marLeft w:val="0"/>
              <w:marRight w:val="0"/>
              <w:marTop w:val="0"/>
              <w:marBottom w:val="0"/>
              <w:divBdr>
                <w:top w:val="none" w:sz="0" w:space="0" w:color="auto"/>
                <w:left w:val="none" w:sz="0" w:space="0" w:color="auto"/>
                <w:bottom w:val="none" w:sz="0" w:space="0" w:color="auto"/>
                <w:right w:val="none" w:sz="0" w:space="0" w:color="auto"/>
              </w:divBdr>
              <w:divsChild>
                <w:div w:id="1640765392">
                  <w:marLeft w:val="0"/>
                  <w:marRight w:val="0"/>
                  <w:marTop w:val="0"/>
                  <w:marBottom w:val="0"/>
                  <w:divBdr>
                    <w:top w:val="none" w:sz="0" w:space="0" w:color="auto"/>
                    <w:left w:val="none" w:sz="0" w:space="0" w:color="auto"/>
                    <w:bottom w:val="none" w:sz="0" w:space="0" w:color="auto"/>
                    <w:right w:val="none" w:sz="0" w:space="0" w:color="auto"/>
                  </w:divBdr>
                  <w:divsChild>
                    <w:div w:id="119854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156226">
      <w:bodyDiv w:val="1"/>
      <w:marLeft w:val="0"/>
      <w:marRight w:val="0"/>
      <w:marTop w:val="0"/>
      <w:marBottom w:val="0"/>
      <w:divBdr>
        <w:top w:val="none" w:sz="0" w:space="0" w:color="auto"/>
        <w:left w:val="none" w:sz="0" w:space="0" w:color="auto"/>
        <w:bottom w:val="none" w:sz="0" w:space="0" w:color="auto"/>
        <w:right w:val="none" w:sz="0" w:space="0" w:color="auto"/>
      </w:divBdr>
    </w:div>
    <w:div w:id="1963657488">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inda.munoz889@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05F48CE7-70A3-4A93-B2E1-6213BCEF1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4A04384-AA37-48B2-82A7-78BE10DBD653}">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25</Pages>
  <Words>7916</Words>
  <Characters>43544</Characters>
  <Application>Microsoft Office Word</Application>
  <DocSecurity>0</DocSecurity>
  <Lines>362</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3</cp:revision>
  <cp:lastPrinted>2023-01-10T21:18:00Z</cp:lastPrinted>
  <dcterms:created xsi:type="dcterms:W3CDTF">2025-10-31T18:57:00Z</dcterms:created>
  <dcterms:modified xsi:type="dcterms:W3CDTF">2025-11-01T00:49:00Z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