
<file path=[Content_Types].xml><?xml version="1.0" encoding="utf-8"?>
<Types xmlns="http://schemas.openxmlformats.org/package/2006/content-types">
  <Default Extension="gif" ContentType="image/gif"/>
  <Default Extension="png" ContentType="image/png"/>
  <Default Extension="rels" ContentType="application/vnd.openxmlformats-package.relationships+xml"/>
  <Default Extension="tmp" ContentType="image/png"/>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7AA9F642" w14:textId="77777777" w:rsidR="00AF43FE" w:rsidRPr="00AF43FE" w:rsidRDefault="00AF43FE" w:rsidP="00AF43FE">
      <w:pPr>
        <w:jc w:val="both"/>
        <w:rPr>
          <w:rFonts w:ascii="Verdana" w:eastAsia="Calibri" w:hAnsi="Verdana" w:cs="Arial"/>
          <w:b/>
          <w:bCs/>
          <w:lang w:val="es-ES" w:eastAsia="es-ES"/>
        </w:rPr>
      </w:pPr>
      <w:bookmarkStart w:id="0" w:name="_Hlk143780582"/>
      <w:r w:rsidRPr="00AF43FE">
        <w:rPr>
          <w:rFonts w:ascii="Verdana" w:eastAsia="Calibri" w:hAnsi="Verdana" w:cs="Arial"/>
          <w:b/>
          <w:bCs/>
          <w:lang w:val="es-ES" w:eastAsia="es-ES"/>
        </w:rPr>
        <w:t>INHABILIDADES E INCOMPATIBILIDADES – Concepto – Principio de legalidad – Interpretación restrictiva</w:t>
      </w:r>
    </w:p>
    <w:p w14:paraId="7B56DCAF" w14:textId="68CD01FD" w:rsidR="00AF43FE" w:rsidRDefault="00AF43FE" w:rsidP="00AF43FE">
      <w:pPr>
        <w:jc w:val="both"/>
        <w:rPr>
          <w:rFonts w:ascii="Verdana" w:eastAsia="Calibri" w:hAnsi="Verdana" w:cs="Arial"/>
          <w:lang w:val="es-ES" w:eastAsia="es-ES"/>
        </w:rPr>
      </w:pPr>
      <w:r>
        <w:rPr>
          <w:rFonts w:ascii="Verdana" w:eastAsia="Calibri" w:hAnsi="Verdana" w:cs="Arial"/>
          <w:lang w:val="es-ES"/>
        </w:rPr>
        <w:t>Teniendo en cuenta que en la contratación estatal la capacidad jurídica es un requisito de validez de los contratos, se destaca el régimen de inhabilidades e incompatibilidades como</w:t>
      </w:r>
      <w:r w:rsidRPr="00BE021E">
        <w:rPr>
          <w:rFonts w:ascii="Verdana" w:eastAsia="Calibri" w:hAnsi="Verdana" w:cs="Arial"/>
          <w:lang w:val="es-ES"/>
        </w:rPr>
        <w:t xml:space="preserve"> un conjunto de normas que impone</w:t>
      </w:r>
      <w:r>
        <w:rPr>
          <w:rFonts w:ascii="Verdana" w:eastAsia="Calibri" w:hAnsi="Verdana" w:cs="Arial"/>
          <w:lang w:val="es-ES"/>
        </w:rPr>
        <w:t>n</w:t>
      </w:r>
      <w:r w:rsidRPr="00BE021E">
        <w:rPr>
          <w:rFonts w:ascii="Verdana" w:eastAsia="Calibri" w:hAnsi="Verdana" w:cs="Arial"/>
          <w:lang w:val="es-ES"/>
        </w:rPr>
        <w:t xml:space="preserve"> restricciones para los sujetos que</w:t>
      </w:r>
      <w:r>
        <w:rPr>
          <w:rFonts w:ascii="Verdana" w:eastAsia="Calibri" w:hAnsi="Verdana" w:cs="Arial"/>
          <w:lang w:val="es-ES"/>
        </w:rPr>
        <w:t>,</w:t>
      </w:r>
      <w:r w:rsidRPr="00BE021E">
        <w:rPr>
          <w:rFonts w:ascii="Verdana" w:eastAsia="Calibri" w:hAnsi="Verdana" w:cs="Arial"/>
          <w:lang w:val="es-ES"/>
        </w:rPr>
        <w:t xml:space="preserve"> eventualmente</w:t>
      </w:r>
      <w:r>
        <w:rPr>
          <w:rFonts w:ascii="Verdana" w:eastAsia="Calibri" w:hAnsi="Verdana" w:cs="Arial"/>
          <w:lang w:val="es-ES"/>
        </w:rPr>
        <w:t>,</w:t>
      </w:r>
      <w:r w:rsidRPr="00BE021E">
        <w:rPr>
          <w:rFonts w:ascii="Verdana" w:eastAsia="Calibri" w:hAnsi="Verdana" w:cs="Arial"/>
          <w:lang w:val="es-ES"/>
        </w:rPr>
        <w:t xml:space="preserve"> pretendan participar en los procedimientos de selección o en la celebración de contratos con las entidades estatales, constituyendo “</w:t>
      </w:r>
      <w:r w:rsidRPr="00BE021E">
        <w:rPr>
          <w:rFonts w:ascii="Verdana" w:eastAsia="Calibri" w:hAnsi="Verdana" w:cs="Arial"/>
          <w:i/>
          <w:iCs/>
          <w:lang w:val="es-ES"/>
        </w:rPr>
        <w:t>prohibiciones que restringen la capacidad y la libertad de un contratista para acceder a la contratación</w:t>
      </w:r>
      <w:r>
        <w:rPr>
          <w:rFonts w:ascii="Verdana" w:eastAsia="Calibri" w:hAnsi="Verdana" w:cs="Arial"/>
          <w:i/>
          <w:iCs/>
          <w:lang w:val="es-ES"/>
        </w:rPr>
        <w:t>”</w:t>
      </w:r>
    </w:p>
    <w:p w14:paraId="6651171B" w14:textId="04F437E8" w:rsidR="00AF43FE" w:rsidRDefault="00AF43FE" w:rsidP="00AF43FE">
      <w:pPr>
        <w:jc w:val="both"/>
        <w:rPr>
          <w:rFonts w:ascii="Verdana" w:eastAsia="Calibri" w:hAnsi="Verdana" w:cs="Arial"/>
          <w:lang w:val="es-ES" w:eastAsia="es-ES"/>
        </w:rPr>
      </w:pPr>
      <w:r>
        <w:rPr>
          <w:rFonts w:ascii="Verdana" w:eastAsia="Calibri" w:hAnsi="Verdana" w:cs="Arial"/>
          <w:lang w:val="es-ES" w:eastAsia="es-ES"/>
        </w:rPr>
        <w:t>[…]</w:t>
      </w:r>
    </w:p>
    <w:p w14:paraId="3E883896" w14:textId="77777777" w:rsidR="00AF43FE" w:rsidRDefault="00AF43FE" w:rsidP="00AF43FE">
      <w:pPr>
        <w:widowControl w:val="0"/>
        <w:autoSpaceDE w:val="0"/>
        <w:autoSpaceDN w:val="0"/>
        <w:spacing w:after="120" w:line="276" w:lineRule="auto"/>
        <w:jc w:val="both"/>
        <w:rPr>
          <w:rFonts w:ascii="Verdana" w:eastAsia="Calibri" w:hAnsi="Verdana" w:cs="Arial"/>
          <w:color w:val="7030A0"/>
          <w:lang w:val="es-ES"/>
        </w:rPr>
      </w:pPr>
      <w:r w:rsidRPr="00BE021E">
        <w:rPr>
          <w:rFonts w:ascii="Verdana" w:eastAsia="Calibri" w:hAnsi="Verdana" w:cs="Arial"/>
          <w:lang w:val="es-ES"/>
        </w:rPr>
        <w:t>Debido a las restricciones que impone el régimen de inhabilidades e incompatibilidades, este se tipifica en la Ley expresamente y su interpretación debe ser restrictiva. Es decir, las causales de inhabilidad e i</w:t>
      </w:r>
      <w:r>
        <w:rPr>
          <w:rFonts w:ascii="Verdana" w:eastAsia="Calibri" w:hAnsi="Verdana" w:cs="Arial"/>
          <w:lang w:val="es-ES"/>
        </w:rPr>
        <w:t xml:space="preserve">ncompatibilidad </w:t>
      </w:r>
      <w:r w:rsidRPr="00BE021E">
        <w:rPr>
          <w:rFonts w:ascii="Verdana" w:eastAsia="Calibri" w:hAnsi="Verdana" w:cs="Arial"/>
          <w:lang w:val="es-ES"/>
        </w:rPr>
        <w:t>deben estar enunciadas en las normas de forma taxativa y al aplicarse en una situación particular su interpretación debe ser restrictiva, de tal forma que no se admita una interpretación amplia o extensiva que permita contemplar supuestos indeterminados como causales de inhabilidad o impedimentos.</w:t>
      </w:r>
    </w:p>
    <w:p w14:paraId="155462F6" w14:textId="3D3628A0" w:rsidR="00AF43FE" w:rsidRPr="00D44671" w:rsidRDefault="00AF43FE" w:rsidP="00AF43FE">
      <w:pPr>
        <w:jc w:val="both"/>
        <w:rPr>
          <w:rFonts w:ascii="Verdana" w:eastAsia="Calibri" w:hAnsi="Verdana" w:cs="Arial"/>
          <w:b/>
          <w:bCs/>
          <w:lang w:val="es-ES" w:eastAsia="es-ES"/>
        </w:rPr>
      </w:pPr>
      <w:r w:rsidRPr="00D44671">
        <w:rPr>
          <w:rFonts w:ascii="Verdana" w:eastAsia="Calibri" w:hAnsi="Verdana" w:cs="Arial"/>
          <w:b/>
          <w:bCs/>
          <w:lang w:val="es-ES" w:eastAsia="es-ES"/>
        </w:rPr>
        <w:t>INHABILIDADES E INCOMPATIBILIDADES –Ley 80 de 1993 – Numeral 2, literal F) – Contratación directa e indirecta – Exservidor público – Cargo Directivo – Elemento temporal (2) dos años</w:t>
      </w:r>
    </w:p>
    <w:p w14:paraId="7CAF678E" w14:textId="77777777" w:rsidR="00AF43FE" w:rsidRDefault="00AF43FE" w:rsidP="00C15139">
      <w:pPr>
        <w:spacing w:after="0"/>
        <w:rPr>
          <w:rFonts w:ascii="Verdana" w:hAnsi="Verdana"/>
        </w:rPr>
      </w:pPr>
    </w:p>
    <w:p w14:paraId="4C67300F" w14:textId="7BA68D85" w:rsidR="00AF43FE" w:rsidRDefault="00D44671" w:rsidP="00D44671">
      <w:pPr>
        <w:spacing w:after="0"/>
        <w:jc w:val="both"/>
        <w:rPr>
          <w:rFonts w:ascii="Verdana" w:eastAsia="Calibri" w:hAnsi="Verdana" w:cs="Arial"/>
          <w:color w:val="000000"/>
          <w:lang w:val="es-ES" w:eastAsia="es-ES"/>
        </w:rPr>
      </w:pPr>
      <w:r w:rsidRPr="00ED6FA7">
        <w:rPr>
          <w:rFonts w:ascii="Verdana" w:eastAsia="Calibri" w:hAnsi="Verdana" w:cs="Arial"/>
          <w:i/>
          <w:iCs/>
          <w:color w:val="000000"/>
          <w:lang w:val="es-ES" w:eastAsia="es-ES"/>
        </w:rPr>
        <w:t>El objeto de la causal:</w:t>
      </w:r>
      <w:r w:rsidRPr="4552CAB1">
        <w:rPr>
          <w:rFonts w:ascii="Verdana" w:eastAsia="Calibri" w:hAnsi="Verdana" w:cs="Arial"/>
          <w:color w:val="000000"/>
          <w:lang w:val="es-ES" w:eastAsia="es-ES"/>
        </w:rPr>
        <w:t xml:space="preserve"> es prohibir la celebración de contratos estatales por parte de los sujetos indicados, “cuando el objeto que desarrollen tenga relación con el sector al cual prestaron sus servicios”. Es decir, la norma consagra un criterio mixto funcional y orgánico, pues alude a la relación del objeto contractual con el sector en el que los exempleados se desempeñaron.</w:t>
      </w:r>
    </w:p>
    <w:p w14:paraId="3F90140A" w14:textId="4C6F0F0E" w:rsidR="00D44671" w:rsidRDefault="00D44671" w:rsidP="00C15139">
      <w:pPr>
        <w:spacing w:after="0"/>
        <w:rPr>
          <w:rFonts w:ascii="Verdana" w:eastAsia="Calibri" w:hAnsi="Verdana" w:cs="Arial"/>
          <w:color w:val="000000"/>
          <w:lang w:val="es-ES" w:eastAsia="es-ES"/>
        </w:rPr>
      </w:pPr>
    </w:p>
    <w:p w14:paraId="5BA17655" w14:textId="1997175A" w:rsidR="00D44671" w:rsidRDefault="00D44671" w:rsidP="00C15139">
      <w:pPr>
        <w:spacing w:after="0"/>
        <w:rPr>
          <w:rFonts w:ascii="Verdana" w:eastAsia="Calibri" w:hAnsi="Verdana" w:cs="Arial"/>
          <w:color w:val="000000"/>
          <w:lang w:val="es-ES" w:eastAsia="es-ES"/>
        </w:rPr>
      </w:pPr>
      <w:r>
        <w:rPr>
          <w:rFonts w:ascii="Verdana" w:eastAsia="Calibri" w:hAnsi="Verdana" w:cs="Arial"/>
          <w:color w:val="000000"/>
          <w:lang w:val="es-ES" w:eastAsia="es-ES"/>
        </w:rPr>
        <w:t>[…]</w:t>
      </w:r>
    </w:p>
    <w:p w14:paraId="5467A0D3" w14:textId="2691A348" w:rsidR="00D44671" w:rsidRDefault="00D44671" w:rsidP="00C15139">
      <w:pPr>
        <w:spacing w:after="0"/>
        <w:rPr>
          <w:rFonts w:ascii="Verdana" w:eastAsia="Calibri" w:hAnsi="Verdana" w:cs="Arial"/>
          <w:color w:val="000000"/>
          <w:lang w:val="es-ES" w:eastAsia="es-ES"/>
        </w:rPr>
      </w:pPr>
    </w:p>
    <w:p w14:paraId="5F57DE0F" w14:textId="77777777" w:rsidR="00D44671" w:rsidRDefault="00D44671" w:rsidP="00D44671">
      <w:pPr>
        <w:spacing w:before="120" w:after="120" w:line="276" w:lineRule="auto"/>
        <w:jc w:val="both"/>
        <w:rPr>
          <w:rFonts w:ascii="Verdana" w:eastAsia="Calibri" w:hAnsi="Verdana" w:cs="Arial"/>
          <w:color w:val="000000"/>
          <w:lang w:val="es-ES" w:eastAsia="es-ES"/>
        </w:rPr>
      </w:pPr>
      <w:r>
        <w:rPr>
          <w:rFonts w:ascii="Verdana" w:eastAsia="Calibri" w:hAnsi="Verdana" w:cs="Arial"/>
          <w:color w:val="000000" w:themeColor="text1"/>
          <w:lang w:val="es-ES" w:eastAsia="es-ES"/>
        </w:rPr>
        <w:t>E</w:t>
      </w:r>
      <w:r w:rsidRPr="4552CAB1">
        <w:rPr>
          <w:rFonts w:ascii="Verdana" w:eastAsia="Calibri" w:hAnsi="Verdana" w:cs="Arial"/>
          <w:color w:val="000000" w:themeColor="text1"/>
          <w:lang w:val="es-ES" w:eastAsia="es-ES"/>
        </w:rPr>
        <w:t xml:space="preserve">n cuanto al </w:t>
      </w:r>
      <w:r w:rsidRPr="00ED6FA7">
        <w:rPr>
          <w:rFonts w:ascii="Verdana" w:eastAsia="Calibri" w:hAnsi="Verdana" w:cs="Arial"/>
          <w:i/>
          <w:iCs/>
          <w:color w:val="000000" w:themeColor="text1"/>
          <w:lang w:val="es-ES" w:eastAsia="es-ES"/>
        </w:rPr>
        <w:t>período en el cual rige la prohibición</w:t>
      </w:r>
      <w:r w:rsidRPr="4552CAB1">
        <w:rPr>
          <w:rFonts w:ascii="Verdana" w:eastAsia="Calibri" w:hAnsi="Verdana" w:cs="Arial"/>
          <w:color w:val="000000" w:themeColor="text1"/>
          <w:lang w:val="es-ES" w:eastAsia="es-ES"/>
        </w:rPr>
        <w:t xml:space="preserve">, el segundo inciso del literal f) del artículo 8, numeral 2, de la Ley 80 de 1993, adicionado por el artículo 4 de la Ley 1474 de 2011, señala que, en tal caso, no se pueden celebrar contratos estatales cuyo objeto se relacione con el sector en el cual se desempeñó el exempleado público “durante los dos (2) años siguientes al retiro del ejercicio del cargo público”. Dicho de otro modo, tras haber dejado el cargo el servidor </w:t>
      </w:r>
      <w:r w:rsidRPr="4552CAB1">
        <w:rPr>
          <w:rFonts w:ascii="Verdana" w:eastAsia="Calibri" w:hAnsi="Verdana" w:cs="Arial"/>
          <w:color w:val="000000" w:themeColor="text1"/>
          <w:lang w:val="es-ES" w:eastAsia="es-ES"/>
        </w:rPr>
        <w:lastRenderedPageBreak/>
        <w:t xml:space="preserve">público, comienza a correr un término de dos </w:t>
      </w:r>
      <w:r>
        <w:rPr>
          <w:rFonts w:ascii="Verdana" w:eastAsia="Calibri" w:hAnsi="Verdana" w:cs="Arial"/>
          <w:color w:val="000000" w:themeColor="text1"/>
          <w:lang w:val="es-ES" w:eastAsia="es-ES"/>
        </w:rPr>
        <w:t xml:space="preserve">(2) </w:t>
      </w:r>
      <w:r w:rsidRPr="4552CAB1">
        <w:rPr>
          <w:rFonts w:ascii="Verdana" w:eastAsia="Calibri" w:hAnsi="Verdana" w:cs="Arial"/>
          <w:color w:val="000000" w:themeColor="text1"/>
          <w:lang w:val="es-ES" w:eastAsia="es-ES"/>
        </w:rPr>
        <w:t>años en el cual se aplica la restricción. Esto significa que cuando tal período haya transcurrido, en principio, los sujetos a los que se refiere la causal recobran la capacidad para celebrar contratos estatales, salvo que estén afectados por otras causales de inhabilidad o de incompatibilidad.</w:t>
      </w:r>
    </w:p>
    <w:p w14:paraId="3C31D8D3" w14:textId="77777777" w:rsidR="00D44671" w:rsidRDefault="00D44671" w:rsidP="00C15139">
      <w:pPr>
        <w:spacing w:after="0"/>
        <w:rPr>
          <w:rFonts w:ascii="Verdana" w:eastAsia="Calibri" w:hAnsi="Verdana" w:cs="Arial"/>
          <w:color w:val="000000"/>
          <w:lang w:val="es-ES" w:eastAsia="es-ES"/>
        </w:rPr>
      </w:pPr>
    </w:p>
    <w:p w14:paraId="40EB1999" w14:textId="77777777" w:rsidR="00D44671" w:rsidRDefault="00D44671" w:rsidP="00C15139">
      <w:pPr>
        <w:spacing w:after="0"/>
        <w:rPr>
          <w:rFonts w:ascii="Verdana" w:hAnsi="Verdana"/>
        </w:rPr>
      </w:pPr>
    </w:p>
    <w:p w14:paraId="28B32E13" w14:textId="77777777" w:rsidR="00AF43FE" w:rsidRDefault="00AF43FE" w:rsidP="00C15139">
      <w:pPr>
        <w:spacing w:after="0"/>
        <w:rPr>
          <w:rFonts w:ascii="Verdana" w:hAnsi="Verdana"/>
        </w:rPr>
      </w:pPr>
    </w:p>
    <w:p w14:paraId="5095793C" w14:textId="77777777" w:rsidR="00AF43FE" w:rsidRDefault="00AF43FE" w:rsidP="00C15139">
      <w:pPr>
        <w:spacing w:after="0"/>
        <w:rPr>
          <w:rFonts w:ascii="Verdana" w:hAnsi="Verdana"/>
        </w:rPr>
      </w:pPr>
    </w:p>
    <w:p w14:paraId="16AF5AE4" w14:textId="77777777" w:rsidR="00AF43FE" w:rsidRDefault="00AF43FE" w:rsidP="00C15139">
      <w:pPr>
        <w:spacing w:after="0"/>
        <w:rPr>
          <w:rFonts w:ascii="Verdana" w:hAnsi="Verdana"/>
        </w:rPr>
      </w:pPr>
    </w:p>
    <w:p w14:paraId="5B2192C8" w14:textId="77777777" w:rsidR="00AF43FE" w:rsidRDefault="00AF43FE" w:rsidP="00C15139">
      <w:pPr>
        <w:spacing w:after="0"/>
        <w:rPr>
          <w:rFonts w:ascii="Verdana" w:hAnsi="Verdana"/>
        </w:rPr>
      </w:pPr>
    </w:p>
    <w:p w14:paraId="1CA31BE9" w14:textId="77777777" w:rsidR="00AF43FE" w:rsidRDefault="00AF43FE" w:rsidP="00C15139">
      <w:pPr>
        <w:spacing w:after="0"/>
        <w:rPr>
          <w:rFonts w:ascii="Verdana" w:hAnsi="Verdana"/>
        </w:rPr>
      </w:pPr>
    </w:p>
    <w:p w14:paraId="19DF43C8" w14:textId="77777777" w:rsidR="00AF43FE" w:rsidRDefault="00AF43FE" w:rsidP="00C15139">
      <w:pPr>
        <w:spacing w:after="0"/>
        <w:rPr>
          <w:rFonts w:ascii="Verdana" w:hAnsi="Verdana"/>
        </w:rPr>
      </w:pPr>
    </w:p>
    <w:p w14:paraId="703C0843" w14:textId="77777777" w:rsidR="00AF43FE" w:rsidRDefault="00AF43FE" w:rsidP="00C15139">
      <w:pPr>
        <w:spacing w:after="0"/>
        <w:rPr>
          <w:rFonts w:ascii="Verdana" w:hAnsi="Verdana"/>
        </w:rPr>
      </w:pPr>
    </w:p>
    <w:p w14:paraId="470C4FFC" w14:textId="77777777" w:rsidR="00AF43FE" w:rsidRDefault="00AF43FE" w:rsidP="00C15139">
      <w:pPr>
        <w:spacing w:after="0"/>
        <w:rPr>
          <w:rFonts w:ascii="Verdana" w:hAnsi="Verdana"/>
        </w:rPr>
      </w:pPr>
    </w:p>
    <w:p w14:paraId="4F879A9C" w14:textId="77777777" w:rsidR="00AF43FE" w:rsidRDefault="00AF43FE" w:rsidP="00C15139">
      <w:pPr>
        <w:spacing w:after="0"/>
        <w:rPr>
          <w:rFonts w:ascii="Verdana" w:hAnsi="Verdana"/>
        </w:rPr>
      </w:pPr>
    </w:p>
    <w:p w14:paraId="4EB2F0DF" w14:textId="77777777" w:rsidR="00AF43FE" w:rsidRDefault="00AF43FE" w:rsidP="00C15139">
      <w:pPr>
        <w:spacing w:after="0"/>
        <w:rPr>
          <w:rFonts w:ascii="Verdana" w:hAnsi="Verdana"/>
        </w:rPr>
      </w:pPr>
    </w:p>
    <w:p w14:paraId="4D4A11CF" w14:textId="77777777" w:rsidR="00AF43FE" w:rsidRDefault="00AF43FE" w:rsidP="00C15139">
      <w:pPr>
        <w:spacing w:after="0"/>
        <w:rPr>
          <w:rFonts w:ascii="Verdana" w:hAnsi="Verdana"/>
        </w:rPr>
      </w:pPr>
    </w:p>
    <w:p w14:paraId="0A25C94D" w14:textId="77777777" w:rsidR="00AF43FE" w:rsidRDefault="00AF43FE" w:rsidP="00C15139">
      <w:pPr>
        <w:spacing w:after="0"/>
        <w:rPr>
          <w:rFonts w:ascii="Verdana" w:hAnsi="Verdana"/>
        </w:rPr>
      </w:pPr>
    </w:p>
    <w:p w14:paraId="5E12FE14" w14:textId="77777777" w:rsidR="00AF43FE" w:rsidRDefault="00AF43FE" w:rsidP="00C15139">
      <w:pPr>
        <w:spacing w:after="0"/>
        <w:rPr>
          <w:rFonts w:ascii="Verdana" w:hAnsi="Verdana"/>
        </w:rPr>
      </w:pPr>
    </w:p>
    <w:p w14:paraId="32FE8C5D" w14:textId="77777777" w:rsidR="00AF43FE" w:rsidRDefault="00AF43FE" w:rsidP="00C15139">
      <w:pPr>
        <w:spacing w:after="0"/>
        <w:rPr>
          <w:rFonts w:ascii="Verdana" w:hAnsi="Verdana"/>
        </w:rPr>
      </w:pPr>
    </w:p>
    <w:p w14:paraId="573030D7" w14:textId="77777777" w:rsidR="00AF43FE" w:rsidRDefault="00AF43FE" w:rsidP="00C15139">
      <w:pPr>
        <w:spacing w:after="0"/>
        <w:rPr>
          <w:rFonts w:ascii="Verdana" w:hAnsi="Verdana"/>
        </w:rPr>
      </w:pPr>
    </w:p>
    <w:p w14:paraId="0707E84D" w14:textId="77777777" w:rsidR="00AF43FE" w:rsidRDefault="00AF43FE" w:rsidP="00C15139">
      <w:pPr>
        <w:spacing w:after="0"/>
        <w:rPr>
          <w:rFonts w:ascii="Verdana" w:hAnsi="Verdana"/>
        </w:rPr>
      </w:pPr>
    </w:p>
    <w:p w14:paraId="7EAE2780" w14:textId="77777777" w:rsidR="00AF43FE" w:rsidRDefault="00AF43FE" w:rsidP="00C15139">
      <w:pPr>
        <w:spacing w:after="0"/>
        <w:rPr>
          <w:rFonts w:ascii="Verdana" w:hAnsi="Verdana"/>
        </w:rPr>
      </w:pPr>
    </w:p>
    <w:p w14:paraId="5C5FC0BA" w14:textId="77777777" w:rsidR="00AF43FE" w:rsidRDefault="00AF43FE" w:rsidP="00C15139">
      <w:pPr>
        <w:spacing w:after="0"/>
        <w:rPr>
          <w:rFonts w:ascii="Verdana" w:hAnsi="Verdana"/>
        </w:rPr>
      </w:pPr>
    </w:p>
    <w:p w14:paraId="7DAFF2C7" w14:textId="77777777" w:rsidR="00AF43FE" w:rsidRDefault="00AF43FE" w:rsidP="00C15139">
      <w:pPr>
        <w:spacing w:after="0"/>
        <w:rPr>
          <w:rFonts w:ascii="Verdana" w:hAnsi="Verdana"/>
        </w:rPr>
      </w:pPr>
    </w:p>
    <w:p w14:paraId="75C07BDE" w14:textId="77777777" w:rsidR="00AF43FE" w:rsidRDefault="00AF43FE" w:rsidP="00C15139">
      <w:pPr>
        <w:spacing w:after="0"/>
        <w:rPr>
          <w:rFonts w:ascii="Verdana" w:hAnsi="Verdana"/>
        </w:rPr>
      </w:pPr>
    </w:p>
    <w:p w14:paraId="29BF4981" w14:textId="77777777" w:rsidR="00AF43FE" w:rsidRDefault="00AF43FE" w:rsidP="00C15139">
      <w:pPr>
        <w:spacing w:after="0"/>
        <w:rPr>
          <w:rFonts w:ascii="Verdana" w:hAnsi="Verdana"/>
        </w:rPr>
      </w:pPr>
    </w:p>
    <w:p w14:paraId="2F7203BA" w14:textId="48EEC342" w:rsidR="00AF43FE" w:rsidRDefault="00AF43FE" w:rsidP="00C15139">
      <w:pPr>
        <w:spacing w:after="0"/>
        <w:rPr>
          <w:rFonts w:ascii="Verdana" w:hAnsi="Verdana"/>
        </w:rPr>
      </w:pPr>
    </w:p>
    <w:p w14:paraId="0AC5A4B4" w14:textId="5B4C4C2E" w:rsidR="00D44671" w:rsidRDefault="00D44671" w:rsidP="00C15139">
      <w:pPr>
        <w:spacing w:after="0"/>
        <w:rPr>
          <w:rFonts w:ascii="Verdana" w:hAnsi="Verdana"/>
        </w:rPr>
      </w:pPr>
    </w:p>
    <w:p w14:paraId="191362CB" w14:textId="17C1D6AC" w:rsidR="00D44671" w:rsidRDefault="00D44671" w:rsidP="00C15139">
      <w:pPr>
        <w:spacing w:after="0"/>
        <w:rPr>
          <w:rFonts w:ascii="Verdana" w:hAnsi="Verdana"/>
        </w:rPr>
      </w:pPr>
    </w:p>
    <w:p w14:paraId="02553E8F" w14:textId="1B4D9EA9" w:rsidR="00D44671" w:rsidRDefault="00D44671" w:rsidP="00C15139">
      <w:pPr>
        <w:spacing w:after="0"/>
        <w:rPr>
          <w:rFonts w:ascii="Verdana" w:hAnsi="Verdana"/>
        </w:rPr>
      </w:pPr>
    </w:p>
    <w:p w14:paraId="0BCC8168" w14:textId="3F8D2C40" w:rsidR="00D44671" w:rsidRDefault="00D44671" w:rsidP="00C15139">
      <w:pPr>
        <w:spacing w:after="0"/>
        <w:rPr>
          <w:rFonts w:ascii="Verdana" w:hAnsi="Verdana"/>
        </w:rPr>
      </w:pPr>
    </w:p>
    <w:p w14:paraId="25E7794E" w14:textId="3C2567F3" w:rsidR="00D44671" w:rsidRDefault="00D44671" w:rsidP="00C15139">
      <w:pPr>
        <w:spacing w:after="0"/>
        <w:rPr>
          <w:rFonts w:ascii="Verdana" w:hAnsi="Verdana"/>
        </w:rPr>
      </w:pPr>
    </w:p>
    <w:p w14:paraId="02119B1D" w14:textId="78786619" w:rsidR="00D44671" w:rsidRDefault="00D44671" w:rsidP="00C15139">
      <w:pPr>
        <w:spacing w:after="0"/>
        <w:rPr>
          <w:rFonts w:ascii="Verdana" w:hAnsi="Verdana"/>
        </w:rPr>
      </w:pPr>
    </w:p>
    <w:p w14:paraId="3DF1C0A0" w14:textId="77777777" w:rsidR="00D44671" w:rsidRDefault="00D44671" w:rsidP="00C15139">
      <w:pPr>
        <w:spacing w:after="0"/>
        <w:rPr>
          <w:rFonts w:ascii="Verdana" w:hAnsi="Verdana"/>
        </w:rPr>
      </w:pPr>
    </w:p>
    <w:p w14:paraId="29B81041" w14:textId="77777777" w:rsidR="00AF43FE" w:rsidRDefault="00AF43FE" w:rsidP="00C15139">
      <w:pPr>
        <w:spacing w:after="0"/>
        <w:rPr>
          <w:rFonts w:ascii="Verdana" w:hAnsi="Verdana"/>
        </w:rPr>
      </w:pPr>
    </w:p>
    <w:p w14:paraId="1468C46D" w14:textId="4405B330" w:rsidR="00C15139" w:rsidRPr="0024624F" w:rsidRDefault="00AF43FE" w:rsidP="00C15139">
      <w:pPr>
        <w:spacing w:after="0"/>
        <w:rPr>
          <w:rFonts w:ascii="Verdana" w:hAnsi="Verdana"/>
        </w:rPr>
      </w:pPr>
      <w:r>
        <w:rPr>
          <w:rFonts w:ascii="Verdana" w:hAnsi="Verdana"/>
          <w:noProof/>
        </w:rPr>
        <w:lastRenderedPageBreak/>
        <w:drawing>
          <wp:anchor distT="0" distB="0" distL="114300" distR="114300" simplePos="0" relativeHeight="251658240" behindDoc="0" locked="0" layoutInCell="1" allowOverlap="1" wp14:anchorId="19C7DA88" wp14:editId="4D5FA734">
            <wp:simplePos x="0" y="0"/>
            <wp:positionH relativeFrom="column">
              <wp:posOffset>2689421</wp:posOffset>
            </wp:positionH>
            <wp:positionV relativeFrom="paragraph">
              <wp:posOffset>2540</wp:posOffset>
            </wp:positionV>
            <wp:extent cx="2921508" cy="822960"/>
            <wp:effectExtent l="0" t="0" r="0" b="0"/>
            <wp:wrapNone/>
            <wp:docPr id="2" name="Imagen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Imagen 2"/>
                    <pic:cNvPicPr/>
                  </pic:nvPicPr>
                  <pic:blipFill>
                    <a:blip r:embed="rId10">
                      <a:extLst>
                        <a:ext uri="{28A0092B-C50C-407E-A947-70E740481C1C}">
                          <a14:useLocalDpi xmlns:a14="http://schemas.microsoft.com/office/drawing/2010/main" val="0"/>
                        </a:ext>
                      </a:extLst>
                    </a:blip>
                    <a:stretch>
                      <a:fillRect/>
                    </a:stretch>
                  </pic:blipFill>
                  <pic:spPr>
                    <a:xfrm>
                      <a:off x="0" y="0"/>
                      <a:ext cx="2921508" cy="822960"/>
                    </a:xfrm>
                    <a:prstGeom prst="rect">
                      <a:avLst/>
                    </a:prstGeom>
                  </pic:spPr>
                </pic:pic>
              </a:graphicData>
            </a:graphic>
            <wp14:sizeRelH relativeFrom="page">
              <wp14:pctWidth>0</wp14:pctWidth>
            </wp14:sizeRelH>
            <wp14:sizeRelV relativeFrom="page">
              <wp14:pctHeight>0</wp14:pctHeight>
            </wp14:sizeRelV>
          </wp:anchor>
        </w:drawing>
      </w:r>
      <w:r w:rsidR="00C15139" w:rsidRPr="0024624F">
        <w:rPr>
          <w:rFonts w:ascii="Verdana" w:hAnsi="Verdana"/>
        </w:rPr>
        <w:t xml:space="preserve">Bogotá D.C., </w:t>
      </w:r>
      <w:r>
        <w:rPr>
          <w:rFonts w:ascii="Verdana" w:hAnsi="Verdana"/>
        </w:rPr>
        <w:t xml:space="preserve">04 Noviembre 2025 </w:t>
      </w:r>
      <w:r w:rsidR="00C15139" w:rsidRPr="000E2B93">
        <w:rPr>
          <w:rFonts w:ascii="Verdana" w:hAnsi="Verdana"/>
        </w:rPr>
        <w:tab/>
      </w:r>
      <w:r w:rsidR="00C15139" w:rsidRPr="000E2B93">
        <w:rPr>
          <w:rFonts w:ascii="Verdana" w:hAnsi="Verdana"/>
        </w:rPr>
        <w:br/>
      </w:r>
      <w:r w:rsidR="00C15139" w:rsidRPr="0024624F">
        <w:rPr>
          <w:rFonts w:ascii="Verdana" w:hAnsi="Verdana"/>
        </w:rPr>
        <w:tab/>
      </w:r>
    </w:p>
    <w:bookmarkEnd w:id="0"/>
    <w:p w14:paraId="0A2B1024" w14:textId="77777777" w:rsidR="00CC0DC2" w:rsidRDefault="00CC0DC2" w:rsidP="00CC0DC2">
      <w:pPr>
        <w:spacing w:after="0" w:line="240" w:lineRule="auto"/>
        <w:jc w:val="both"/>
        <w:rPr>
          <w:rFonts w:ascii="Verdana" w:eastAsia="Calibri" w:hAnsi="Verdana" w:cs="Arial"/>
          <w:lang w:val="es-ES" w:eastAsia="es-ES"/>
        </w:rPr>
      </w:pPr>
      <w:r w:rsidRPr="00B96799">
        <w:rPr>
          <w:rFonts w:ascii="Verdana" w:eastAsia="Calibri" w:hAnsi="Verdana" w:cs="Arial"/>
          <w:lang w:val="es-ES" w:eastAsia="es-ES"/>
        </w:rPr>
        <w:t>Señor</w:t>
      </w:r>
      <w:r>
        <w:rPr>
          <w:rFonts w:ascii="Verdana" w:eastAsia="Calibri" w:hAnsi="Verdana" w:cs="Arial"/>
          <w:lang w:val="es-ES" w:eastAsia="es-ES"/>
        </w:rPr>
        <w:t>a</w:t>
      </w:r>
    </w:p>
    <w:p w14:paraId="3116E003" w14:textId="77777777" w:rsidR="00CC0DC2" w:rsidRPr="00B96799" w:rsidRDefault="00CC0DC2" w:rsidP="00CC0DC2">
      <w:pPr>
        <w:spacing w:after="0" w:line="240" w:lineRule="auto"/>
        <w:jc w:val="both"/>
        <w:rPr>
          <w:rFonts w:ascii="Verdana" w:eastAsia="Calibri" w:hAnsi="Verdana" w:cs="Arial"/>
          <w:b/>
          <w:lang w:val="es-ES" w:eastAsia="es-ES"/>
        </w:rPr>
      </w:pPr>
      <w:r w:rsidRPr="6656881A">
        <w:rPr>
          <w:rFonts w:ascii="Verdana" w:eastAsia="Calibri" w:hAnsi="Verdana" w:cs="Arial"/>
          <w:b/>
          <w:lang w:val="es-ES" w:eastAsia="es-ES"/>
        </w:rPr>
        <w:t>Marlen Huertas</w:t>
      </w:r>
    </w:p>
    <w:p w14:paraId="559CB000" w14:textId="77777777" w:rsidR="00CC0DC2" w:rsidRPr="00B96799" w:rsidRDefault="00CC2578" w:rsidP="00CC0DC2">
      <w:pPr>
        <w:spacing w:after="0" w:line="240" w:lineRule="auto"/>
        <w:rPr>
          <w:rFonts w:ascii="Verdana" w:eastAsia="Calibri" w:hAnsi="Verdana" w:cs="Arial"/>
          <w:u w:val="single"/>
          <w:lang w:val="es-ES" w:eastAsia="es-ES"/>
        </w:rPr>
      </w:pPr>
      <w:hyperlink r:id="rId11" w:history="1">
        <w:r w:rsidR="00CC0DC2" w:rsidRPr="00C943E6">
          <w:rPr>
            <w:rStyle w:val="Hipervnculo"/>
            <w:rFonts w:ascii="Verdana" w:eastAsia="Calibri" w:hAnsi="Verdana" w:cs="Arial"/>
            <w:lang w:val="es-ES" w:eastAsia="es-ES"/>
          </w:rPr>
          <w:t>mhuertas00@gmail.com</w:t>
        </w:r>
      </w:hyperlink>
      <w:r w:rsidR="00CC0DC2" w:rsidRPr="00920676">
        <w:rPr>
          <w:rFonts w:ascii="Verdana" w:eastAsia="Calibri" w:hAnsi="Verdana" w:cs="Arial"/>
          <w:u w:val="single"/>
          <w:lang w:val="es-ES" w:eastAsia="es-ES"/>
        </w:rPr>
        <w:t xml:space="preserve"> </w:t>
      </w:r>
    </w:p>
    <w:p w14:paraId="7718D2D4" w14:textId="77777777" w:rsidR="00CC0DC2" w:rsidRPr="00B96799" w:rsidRDefault="00CC0DC2" w:rsidP="00CC0DC2">
      <w:pPr>
        <w:spacing w:after="0" w:line="240" w:lineRule="auto"/>
        <w:rPr>
          <w:rFonts w:ascii="Verdana" w:eastAsia="Calibri" w:hAnsi="Verdana" w:cs="Arial"/>
          <w:b/>
          <w:bCs/>
          <w:lang w:val="es-ES" w:eastAsia="es-ES"/>
        </w:rPr>
      </w:pPr>
      <w:r>
        <w:rPr>
          <w:rFonts w:ascii="Verdana" w:eastAsia="Calibri" w:hAnsi="Verdana" w:cs="Arial"/>
          <w:lang w:val="es-ES" w:eastAsia="es-ES"/>
        </w:rPr>
        <w:t>Bogotá D.C.</w:t>
      </w:r>
    </w:p>
    <w:p w14:paraId="0E5CFF43" w14:textId="77777777" w:rsidR="00CC0DC2" w:rsidRPr="00593A5F" w:rsidRDefault="00CC0DC2" w:rsidP="00CC0DC2">
      <w:pPr>
        <w:spacing w:after="0" w:line="240" w:lineRule="auto"/>
        <w:rPr>
          <w:rFonts w:ascii="Verdana" w:eastAsia="Calibri" w:hAnsi="Verdana" w:cs="Arial"/>
          <w:b/>
          <w:bCs/>
          <w:color w:val="000000"/>
          <w:lang w:val="es-ES_tradnl" w:eastAsia="es-ES_tradnl"/>
        </w:rPr>
      </w:pPr>
    </w:p>
    <w:p w14:paraId="20B964B7" w14:textId="77777777" w:rsidR="00CC0DC2" w:rsidRPr="00593A5F" w:rsidRDefault="00CC0DC2" w:rsidP="00CC0DC2">
      <w:pPr>
        <w:spacing w:after="0" w:line="240" w:lineRule="auto"/>
        <w:rPr>
          <w:rFonts w:ascii="Verdana" w:eastAsia="Calibri" w:hAnsi="Verdana" w:cs="Arial"/>
          <w:b/>
          <w:bCs/>
          <w:color w:val="000000"/>
          <w:lang w:val="es-ES_tradnl" w:eastAsia="es-ES_tradnl"/>
        </w:rPr>
      </w:pPr>
    </w:p>
    <w:tbl>
      <w:tblPr>
        <w:tblStyle w:val="Tablaconcuadrcula"/>
        <w:tblW w:w="8789"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left w:w="0" w:type="dxa"/>
          <w:right w:w="0" w:type="dxa"/>
        </w:tblCellMar>
        <w:tblLook w:val="04A0" w:firstRow="1" w:lastRow="0" w:firstColumn="1" w:lastColumn="0" w:noHBand="0" w:noVBand="1"/>
      </w:tblPr>
      <w:tblGrid>
        <w:gridCol w:w="2689"/>
        <w:gridCol w:w="6100"/>
      </w:tblGrid>
      <w:tr w:rsidR="00CC0DC2" w:rsidRPr="00593A5F" w14:paraId="60EC2F83" w14:textId="77777777" w:rsidTr="003164B9">
        <w:trPr>
          <w:trHeight w:val="190"/>
        </w:trPr>
        <w:tc>
          <w:tcPr>
            <w:tcW w:w="2689" w:type="dxa"/>
          </w:tcPr>
          <w:p w14:paraId="03597CE0" w14:textId="77777777" w:rsidR="00CC0DC2" w:rsidRPr="00C00976" w:rsidRDefault="00CC0DC2" w:rsidP="003164B9">
            <w:pPr>
              <w:jc w:val="both"/>
              <w:rPr>
                <w:rFonts w:ascii="Verdana" w:eastAsia="Calibri" w:hAnsi="Verdana" w:cs="Arial"/>
                <w:b/>
                <w:bCs/>
                <w:color w:val="7030A0"/>
                <w:lang w:val="es-ES_tradnl" w:eastAsia="es-ES_tradnl"/>
              </w:rPr>
            </w:pPr>
          </w:p>
        </w:tc>
        <w:tc>
          <w:tcPr>
            <w:tcW w:w="6100" w:type="dxa"/>
          </w:tcPr>
          <w:p w14:paraId="1B18604A" w14:textId="77777777" w:rsidR="00CC0DC2" w:rsidRPr="00920676" w:rsidRDefault="00CC0DC2" w:rsidP="003164B9">
            <w:pPr>
              <w:jc w:val="both"/>
              <w:rPr>
                <w:rFonts w:ascii="Verdana" w:eastAsia="Calibri" w:hAnsi="Verdana" w:cs="Arial"/>
                <w:b/>
                <w:bCs/>
                <w:lang w:val="es-ES" w:eastAsia="es-ES"/>
              </w:rPr>
            </w:pPr>
            <w:r w:rsidRPr="00247BDE">
              <w:rPr>
                <w:rFonts w:ascii="Verdana" w:eastAsia="Calibri" w:hAnsi="Verdana" w:cs="Arial"/>
                <w:b/>
                <w:bCs/>
                <w:lang w:val="es-ES" w:eastAsia="es-ES"/>
              </w:rPr>
              <w:t>Concepto C-</w:t>
            </w:r>
            <w:r>
              <w:rPr>
                <w:rFonts w:ascii="Verdana" w:eastAsia="Calibri" w:hAnsi="Verdana" w:cs="Arial"/>
                <w:b/>
                <w:bCs/>
                <w:lang w:val="es-ES" w:eastAsia="es-ES"/>
              </w:rPr>
              <w:t>1390</w:t>
            </w:r>
            <w:r w:rsidRPr="00C00976">
              <w:rPr>
                <w:rFonts w:ascii="Verdana" w:eastAsia="Calibri" w:hAnsi="Verdana" w:cs="Arial"/>
                <w:b/>
                <w:bCs/>
                <w:color w:val="7030A0"/>
                <w:lang w:val="es-ES" w:eastAsia="es-ES"/>
              </w:rPr>
              <w:t xml:space="preserve"> </w:t>
            </w:r>
            <w:r w:rsidRPr="008E06BF">
              <w:rPr>
                <w:rFonts w:ascii="Verdana" w:eastAsia="Calibri" w:hAnsi="Verdana" w:cs="Arial"/>
                <w:b/>
                <w:bCs/>
                <w:lang w:val="es-ES" w:eastAsia="es-ES"/>
              </w:rPr>
              <w:t>de 2025</w:t>
            </w:r>
          </w:p>
          <w:p w14:paraId="1132B23B" w14:textId="77777777" w:rsidR="00CC0DC2" w:rsidRPr="00C00976" w:rsidRDefault="00CC0DC2" w:rsidP="003164B9">
            <w:pPr>
              <w:jc w:val="both"/>
              <w:rPr>
                <w:rFonts w:ascii="Verdana" w:eastAsia="Calibri" w:hAnsi="Verdana" w:cs="Arial"/>
                <w:b/>
                <w:bCs/>
                <w:color w:val="7030A0"/>
                <w:lang w:val="es-ES" w:eastAsia="es-ES"/>
              </w:rPr>
            </w:pPr>
          </w:p>
        </w:tc>
      </w:tr>
      <w:tr w:rsidR="00CC0DC2" w:rsidRPr="00593A5F" w14:paraId="5EB4BD8D" w14:textId="77777777" w:rsidTr="003164B9">
        <w:trPr>
          <w:trHeight w:val="884"/>
        </w:trPr>
        <w:tc>
          <w:tcPr>
            <w:tcW w:w="2689" w:type="dxa"/>
          </w:tcPr>
          <w:p w14:paraId="5FE7A9A0" w14:textId="77777777" w:rsidR="00CC0DC2" w:rsidRPr="00593A5F" w:rsidRDefault="00CC0DC2" w:rsidP="003164B9">
            <w:pPr>
              <w:jc w:val="both"/>
              <w:rPr>
                <w:rFonts w:ascii="Verdana" w:eastAsia="Calibri" w:hAnsi="Verdana" w:cs="Arial"/>
                <w:color w:val="000000"/>
                <w:lang w:val="es-ES_tradnl" w:eastAsia="es-ES_tradnl"/>
              </w:rPr>
            </w:pPr>
            <w:r w:rsidRPr="00593A5F">
              <w:rPr>
                <w:rFonts w:ascii="Verdana" w:eastAsia="Calibri" w:hAnsi="Verdana" w:cs="Arial"/>
                <w:b/>
                <w:color w:val="000000"/>
                <w:lang w:val="es-ES_tradnl" w:eastAsia="es-ES_tradnl"/>
              </w:rPr>
              <w:t>Temas:</w:t>
            </w:r>
            <w:r w:rsidRPr="00593A5F">
              <w:rPr>
                <w:rFonts w:ascii="Verdana" w:eastAsia="Calibri" w:hAnsi="Verdana" w:cs="Arial"/>
                <w:color w:val="000000"/>
                <w:lang w:val="es-ES_tradnl" w:eastAsia="es-ES_tradnl"/>
              </w:rPr>
              <w:t xml:space="preserve">                   </w:t>
            </w:r>
          </w:p>
        </w:tc>
        <w:tc>
          <w:tcPr>
            <w:tcW w:w="6100" w:type="dxa"/>
          </w:tcPr>
          <w:p w14:paraId="0A231644" w14:textId="6F4E8F05" w:rsidR="00CC0DC2" w:rsidRDefault="00CC0DC2" w:rsidP="003164B9">
            <w:pPr>
              <w:jc w:val="both"/>
              <w:rPr>
                <w:rFonts w:ascii="Verdana" w:eastAsia="Calibri" w:hAnsi="Verdana" w:cs="Arial"/>
                <w:lang w:val="es-ES" w:eastAsia="es-ES"/>
              </w:rPr>
            </w:pPr>
            <w:r w:rsidRPr="00195334">
              <w:rPr>
                <w:rFonts w:ascii="Verdana" w:eastAsia="Calibri" w:hAnsi="Verdana" w:cs="Arial"/>
                <w:lang w:val="es-ES" w:eastAsia="es-ES"/>
              </w:rPr>
              <w:t>INHABILIDADES E INCOMPATIBILIDADES – Concepto – Principio de legalidad – Interpretación restrictiva / INHABILIDADES E INCOMPATIBILIDADES –Ley 80 de 1993 – Numeral 2, literal F) – Contratación directa e indirecta – Exservidor público – Cargo Directivo – Elemento temporal (2) dos años</w:t>
            </w:r>
          </w:p>
          <w:p w14:paraId="556354B0" w14:textId="77777777" w:rsidR="00CC0DC2" w:rsidRPr="00593A5F" w:rsidRDefault="00CC0DC2" w:rsidP="003164B9">
            <w:pPr>
              <w:jc w:val="both"/>
              <w:rPr>
                <w:rFonts w:ascii="Verdana" w:eastAsia="Calibri" w:hAnsi="Verdana" w:cs="Arial"/>
                <w:lang w:val="es-ES" w:eastAsia="es-ES"/>
              </w:rPr>
            </w:pPr>
          </w:p>
        </w:tc>
      </w:tr>
      <w:tr w:rsidR="00CC0DC2" w:rsidRPr="00593A5F" w14:paraId="191877E2" w14:textId="77777777" w:rsidTr="003164B9">
        <w:tc>
          <w:tcPr>
            <w:tcW w:w="2689" w:type="dxa"/>
          </w:tcPr>
          <w:p w14:paraId="56D8AD5A" w14:textId="77777777" w:rsidR="00CC0DC2" w:rsidRPr="008E06BF" w:rsidRDefault="00CC0DC2" w:rsidP="003164B9">
            <w:pPr>
              <w:jc w:val="both"/>
              <w:rPr>
                <w:rFonts w:ascii="Verdana" w:eastAsia="Calibri" w:hAnsi="Verdana" w:cs="Arial"/>
                <w:b/>
                <w:lang w:val="es-ES_tradnl" w:eastAsia="es-ES_tradnl"/>
              </w:rPr>
            </w:pPr>
            <w:r w:rsidRPr="008E06BF">
              <w:rPr>
                <w:rFonts w:ascii="Verdana" w:eastAsia="Calibri" w:hAnsi="Verdana" w:cs="Arial"/>
                <w:b/>
                <w:lang w:val="es-ES_tradnl" w:eastAsia="es-ES_tradnl"/>
              </w:rPr>
              <w:t>Radicación:</w:t>
            </w:r>
            <w:r w:rsidRPr="008E06BF">
              <w:rPr>
                <w:rFonts w:ascii="Verdana" w:eastAsia="Calibri" w:hAnsi="Verdana" w:cs="Arial"/>
                <w:lang w:val="es-ES_tradnl" w:eastAsia="es-ES_tradnl"/>
              </w:rPr>
              <w:t xml:space="preserve">               </w:t>
            </w:r>
          </w:p>
        </w:tc>
        <w:tc>
          <w:tcPr>
            <w:tcW w:w="6100" w:type="dxa"/>
          </w:tcPr>
          <w:p w14:paraId="517F3B72" w14:textId="77777777" w:rsidR="00CC0DC2" w:rsidRPr="008E06BF" w:rsidRDefault="00CC0DC2" w:rsidP="003164B9">
            <w:pPr>
              <w:jc w:val="both"/>
              <w:rPr>
                <w:rFonts w:ascii="Verdana" w:eastAsia="Calibri" w:hAnsi="Verdana" w:cs="Arial"/>
                <w:lang w:val="es-ES_tradnl" w:eastAsia="es-ES_tradnl"/>
              </w:rPr>
            </w:pPr>
            <w:r w:rsidRPr="008E06BF">
              <w:rPr>
                <w:rFonts w:ascii="Verdana" w:eastAsia="Calibri" w:hAnsi="Verdana" w:cs="Arial"/>
                <w:lang w:val="es-ES_tradnl" w:eastAsia="es-ES_tradnl"/>
              </w:rPr>
              <w:t xml:space="preserve">Respuesta a consulta con radicado No. </w:t>
            </w:r>
            <w:r w:rsidRPr="007D6FCD">
              <w:rPr>
                <w:rFonts w:ascii="Verdana" w:eastAsia="Calibri" w:hAnsi="Verdana" w:cs="Arial"/>
                <w:lang w:val="es-ES_tradnl" w:eastAsia="es-ES_tradnl"/>
              </w:rPr>
              <w:t>1_2025_09_25_010637</w:t>
            </w:r>
          </w:p>
        </w:tc>
      </w:tr>
    </w:tbl>
    <w:p w14:paraId="5ABBC90E" w14:textId="77777777" w:rsidR="00CC0DC2" w:rsidRPr="00593A5F" w:rsidRDefault="00CC0DC2" w:rsidP="00CC0DC2">
      <w:pPr>
        <w:spacing w:after="0" w:line="240" w:lineRule="auto"/>
        <w:jc w:val="both"/>
        <w:rPr>
          <w:rFonts w:ascii="Verdana" w:eastAsia="Calibri" w:hAnsi="Verdana" w:cs="Arial"/>
          <w:color w:val="000000"/>
          <w:lang w:val="es-ES_tradnl" w:eastAsia="es-ES_tradnl"/>
        </w:rPr>
      </w:pPr>
    </w:p>
    <w:p w14:paraId="711D0183" w14:textId="77777777" w:rsidR="00CC0DC2" w:rsidRPr="00593A5F" w:rsidRDefault="00CC0DC2" w:rsidP="00CC0DC2">
      <w:pPr>
        <w:spacing w:after="0" w:line="240" w:lineRule="auto"/>
        <w:jc w:val="both"/>
        <w:rPr>
          <w:rFonts w:ascii="Verdana" w:eastAsia="Calibri" w:hAnsi="Verdana" w:cs="Arial"/>
          <w:color w:val="000000"/>
          <w:lang w:val="es-ES_tradnl" w:eastAsia="es-ES_tradnl"/>
        </w:rPr>
      </w:pPr>
    </w:p>
    <w:p w14:paraId="00D00038" w14:textId="77777777" w:rsidR="00CC0DC2" w:rsidRDefault="00CC0DC2" w:rsidP="00CC0DC2">
      <w:pPr>
        <w:spacing w:after="0" w:line="276" w:lineRule="auto"/>
        <w:jc w:val="both"/>
        <w:rPr>
          <w:rFonts w:ascii="Verdana" w:eastAsia="Calibri" w:hAnsi="Verdana" w:cs="Arial"/>
          <w:color w:val="000000" w:themeColor="text1"/>
          <w:lang w:val="es-ES" w:eastAsia="es-ES"/>
        </w:rPr>
      </w:pPr>
      <w:r w:rsidRPr="00593A5F">
        <w:rPr>
          <w:rFonts w:ascii="Verdana" w:eastAsia="Calibri" w:hAnsi="Verdana" w:cs="Arial"/>
          <w:color w:val="000000" w:themeColor="text1"/>
          <w:lang w:val="es-ES" w:eastAsia="es-ES"/>
        </w:rPr>
        <w:t>Estimad</w:t>
      </w:r>
      <w:r>
        <w:rPr>
          <w:rFonts w:ascii="Verdana" w:eastAsia="Calibri" w:hAnsi="Verdana" w:cs="Arial"/>
          <w:color w:val="000000" w:themeColor="text1"/>
          <w:lang w:val="es-ES" w:eastAsia="es-ES"/>
        </w:rPr>
        <w:t>a</w:t>
      </w:r>
      <w:r w:rsidRPr="00593A5F">
        <w:rPr>
          <w:rFonts w:ascii="Verdana" w:eastAsia="Calibri" w:hAnsi="Verdana" w:cs="Arial"/>
          <w:color w:val="000000" w:themeColor="text1"/>
          <w:lang w:val="es-ES" w:eastAsia="es-ES"/>
        </w:rPr>
        <w:t xml:space="preserve"> </w:t>
      </w:r>
      <w:r w:rsidRPr="000B3285">
        <w:rPr>
          <w:rFonts w:ascii="Verdana" w:eastAsia="Calibri" w:hAnsi="Verdana" w:cs="Arial"/>
          <w:lang w:val="es-ES" w:eastAsia="es-ES"/>
        </w:rPr>
        <w:t xml:space="preserve">señora </w:t>
      </w:r>
      <w:r>
        <w:rPr>
          <w:rFonts w:ascii="Verdana" w:eastAsia="Calibri" w:hAnsi="Verdana" w:cs="Arial"/>
          <w:lang w:val="es-ES" w:eastAsia="es-ES"/>
        </w:rPr>
        <w:t>Huertas</w:t>
      </w:r>
      <w:r w:rsidRPr="000B3285">
        <w:rPr>
          <w:rFonts w:ascii="Verdana" w:eastAsia="Calibri" w:hAnsi="Verdana" w:cs="Arial"/>
          <w:lang w:val="es-ES" w:eastAsia="es-ES"/>
        </w:rPr>
        <w:t xml:space="preserve">: </w:t>
      </w:r>
    </w:p>
    <w:p w14:paraId="46A5211C" w14:textId="77777777" w:rsidR="00CC0DC2" w:rsidRDefault="00CC0DC2" w:rsidP="00CC0DC2">
      <w:pPr>
        <w:tabs>
          <w:tab w:val="left" w:pos="3768"/>
        </w:tabs>
        <w:spacing w:after="0" w:line="276" w:lineRule="auto"/>
        <w:jc w:val="both"/>
        <w:rPr>
          <w:rFonts w:ascii="Verdana" w:eastAsia="Calibri" w:hAnsi="Verdana" w:cs="Arial"/>
          <w:color w:val="000000" w:themeColor="text1"/>
          <w:lang w:val="es-ES" w:eastAsia="es-ES"/>
        </w:rPr>
      </w:pPr>
      <w:r>
        <w:rPr>
          <w:rFonts w:ascii="Verdana" w:eastAsia="Calibri" w:hAnsi="Verdana" w:cs="Arial"/>
          <w:color w:val="000000" w:themeColor="text1"/>
          <w:lang w:val="es-ES" w:eastAsia="es-ES"/>
        </w:rPr>
        <w:tab/>
      </w:r>
    </w:p>
    <w:p w14:paraId="47F414ED" w14:textId="77777777" w:rsidR="00CC0DC2" w:rsidRPr="00593A5F" w:rsidRDefault="00CC0DC2" w:rsidP="00CC0DC2">
      <w:pPr>
        <w:spacing w:after="0" w:line="276" w:lineRule="auto"/>
        <w:jc w:val="both"/>
        <w:rPr>
          <w:rFonts w:ascii="Verdana" w:eastAsia="Calibri" w:hAnsi="Verdana" w:cs="Arial"/>
          <w:color w:val="7030A0"/>
          <w:lang w:val="es-ES" w:eastAsia="es-ES"/>
        </w:rPr>
      </w:pPr>
      <w:r w:rsidRPr="00593A5F">
        <w:rPr>
          <w:rFonts w:ascii="Verdana" w:eastAsia="Calibri" w:hAnsi="Verdana" w:cs="Arial"/>
          <w:color w:val="000000" w:themeColor="text1"/>
          <w:lang w:val="es-ES" w:eastAsia="es-ES"/>
        </w:rPr>
        <w:t>En ejercicio de la competencia otorgada por los artículos 3, numeral 5º, y 11, numeral 8º, del Decreto Ley 4170 de 2011,</w:t>
      </w:r>
      <w:r w:rsidRPr="00593A5F">
        <w:rPr>
          <w:rFonts w:ascii="Verdana" w:eastAsia="Arial MT" w:hAnsi="Verdana" w:cs="Arial MT"/>
          <w:lang w:val="es-ES" w:eastAsia="es-ES"/>
        </w:rPr>
        <w:t xml:space="preserve"> </w:t>
      </w:r>
      <w:r w:rsidRPr="00593A5F">
        <w:rPr>
          <w:rFonts w:ascii="Verdana" w:hAnsi="Verdana" w:cs="Arial"/>
        </w:rPr>
        <w:t xml:space="preserve">así como lo establecido en </w:t>
      </w:r>
      <w:r>
        <w:rPr>
          <w:rFonts w:ascii="Verdana" w:hAnsi="Verdana" w:cs="Arial"/>
        </w:rPr>
        <w:t xml:space="preserve">el artículo 4 de </w:t>
      </w:r>
      <w:r w:rsidRPr="00593A5F">
        <w:rPr>
          <w:rFonts w:ascii="Verdana" w:hAnsi="Verdana" w:cs="Arial"/>
        </w:rPr>
        <w:t xml:space="preserve">la Resolución 1707 de 2018 expedida por esta Entidad, </w:t>
      </w:r>
      <w:r w:rsidRPr="00593A5F">
        <w:rPr>
          <w:rFonts w:ascii="Verdana" w:eastAsia="Calibri" w:hAnsi="Verdana" w:cs="Arial"/>
          <w:color w:val="000000" w:themeColor="text1"/>
          <w:lang w:val="es-ES" w:eastAsia="es-ES"/>
        </w:rPr>
        <w:t>la Agencia Nacional de Contratación Pública – Colombia Compra Eficiente–</w:t>
      </w:r>
      <w:r>
        <w:rPr>
          <w:rFonts w:ascii="Verdana" w:eastAsia="Calibri" w:hAnsi="Verdana" w:cs="Arial"/>
          <w:color w:val="000000" w:themeColor="text1"/>
          <w:lang w:val="es-ES" w:eastAsia="es-ES"/>
        </w:rPr>
        <w:t>,</w:t>
      </w:r>
      <w:r w:rsidRPr="00593A5F">
        <w:rPr>
          <w:rFonts w:ascii="Verdana" w:eastAsia="Calibri" w:hAnsi="Verdana" w:cs="Arial"/>
          <w:color w:val="000000" w:themeColor="text1"/>
          <w:lang w:val="es-ES" w:eastAsia="es-ES"/>
        </w:rPr>
        <w:t xml:space="preserve"> </w:t>
      </w:r>
      <w:r w:rsidRPr="009F42FC">
        <w:rPr>
          <w:rFonts w:ascii="Verdana" w:eastAsia="Calibri" w:hAnsi="Verdana" w:cs="Arial"/>
          <w:lang w:val="es-ES" w:eastAsia="es-ES"/>
        </w:rPr>
        <w:t xml:space="preserve">responde su solicitud de consulta de fecha </w:t>
      </w:r>
      <w:r>
        <w:rPr>
          <w:rFonts w:ascii="Verdana" w:eastAsia="Calibri" w:hAnsi="Verdana" w:cs="Arial"/>
          <w:lang w:val="es-ES" w:eastAsia="es-ES"/>
        </w:rPr>
        <w:t>23</w:t>
      </w:r>
      <w:r w:rsidRPr="009F42FC">
        <w:rPr>
          <w:rFonts w:ascii="Verdana" w:eastAsia="Calibri" w:hAnsi="Verdana" w:cs="Arial"/>
          <w:lang w:val="es-ES" w:eastAsia="es-ES"/>
        </w:rPr>
        <w:t xml:space="preserve"> de </w:t>
      </w:r>
      <w:r>
        <w:rPr>
          <w:rFonts w:ascii="Verdana" w:eastAsia="Calibri" w:hAnsi="Verdana" w:cs="Arial"/>
          <w:lang w:val="es-ES" w:eastAsia="es-ES"/>
        </w:rPr>
        <w:t>septiembre</w:t>
      </w:r>
      <w:r w:rsidRPr="009F42FC">
        <w:rPr>
          <w:rFonts w:ascii="Verdana" w:eastAsia="Calibri" w:hAnsi="Verdana" w:cs="Arial"/>
          <w:lang w:val="es-ES" w:eastAsia="es-ES"/>
        </w:rPr>
        <w:t xml:space="preserve"> de 2025, </w:t>
      </w:r>
      <w:r>
        <w:rPr>
          <w:rFonts w:ascii="Verdana" w:eastAsia="Calibri" w:hAnsi="Verdana" w:cs="Arial"/>
          <w:color w:val="000000" w:themeColor="text1"/>
          <w:lang w:val="es-ES" w:eastAsia="es-ES"/>
        </w:rPr>
        <w:t xml:space="preserve">trasladada por el Departamento Nacional de la Función Pública el 25 de septiembre </w:t>
      </w:r>
      <w:r w:rsidRPr="009F42FC">
        <w:rPr>
          <w:rFonts w:ascii="Verdana" w:eastAsia="Calibri" w:hAnsi="Verdana" w:cs="Arial"/>
          <w:lang w:val="es-ES" w:eastAsia="es-ES"/>
        </w:rPr>
        <w:t>de 2025</w:t>
      </w:r>
      <w:r>
        <w:rPr>
          <w:rFonts w:ascii="Verdana" w:eastAsia="Calibri" w:hAnsi="Verdana" w:cs="Arial"/>
          <w:lang w:val="es-ES" w:eastAsia="es-ES"/>
        </w:rPr>
        <w:t xml:space="preserve">, </w:t>
      </w:r>
      <w:r w:rsidRPr="009F42FC">
        <w:rPr>
          <w:rFonts w:ascii="Verdana" w:eastAsia="Calibri" w:hAnsi="Verdana" w:cs="Arial"/>
          <w:lang w:val="es-ES" w:eastAsia="es-ES"/>
        </w:rPr>
        <w:t xml:space="preserve">en la cual manifiesta lo siguiente: </w:t>
      </w:r>
    </w:p>
    <w:p w14:paraId="79D3A0A9" w14:textId="77777777" w:rsidR="00CC0DC2" w:rsidRPr="00424E14" w:rsidRDefault="00CC0DC2" w:rsidP="00CC0DC2">
      <w:pPr>
        <w:pStyle w:val="Prrafodelista"/>
        <w:tabs>
          <w:tab w:val="left" w:pos="142"/>
          <w:tab w:val="left" w:pos="284"/>
        </w:tabs>
        <w:spacing w:after="0" w:line="240" w:lineRule="auto"/>
        <w:ind w:left="0"/>
        <w:contextualSpacing w:val="0"/>
        <w:jc w:val="both"/>
        <w:rPr>
          <w:rFonts w:ascii="Verdana" w:eastAsia="Century Gothic" w:hAnsi="Verdana" w:cs="Century Gothic"/>
          <w:b/>
          <w:sz w:val="20"/>
          <w:szCs w:val="20"/>
        </w:rPr>
      </w:pPr>
    </w:p>
    <w:p w14:paraId="46C7680F" w14:textId="77777777" w:rsidR="00CC0DC2" w:rsidRPr="000B3285" w:rsidRDefault="00CC0DC2" w:rsidP="00CC0DC2">
      <w:pPr>
        <w:spacing w:after="0" w:line="240" w:lineRule="auto"/>
        <w:ind w:left="709" w:right="709"/>
        <w:jc w:val="both"/>
        <w:rPr>
          <w:rFonts w:ascii="Verdana" w:eastAsia="Century Gothic" w:hAnsi="Verdana" w:cs="Century Gothic"/>
          <w:sz w:val="20"/>
          <w:szCs w:val="20"/>
          <w:lang w:val="es-ES"/>
        </w:rPr>
      </w:pPr>
      <w:bookmarkStart w:id="1" w:name="_Hlk95313578"/>
      <w:r w:rsidRPr="008E06BF">
        <w:rPr>
          <w:rFonts w:ascii="Verdana" w:eastAsia="Century Gothic" w:hAnsi="Verdana" w:cs="Century Gothic"/>
          <w:sz w:val="20"/>
          <w:szCs w:val="20"/>
          <w:lang w:val="es-ES"/>
        </w:rPr>
        <w:t>“</w:t>
      </w:r>
      <w:bookmarkEnd w:id="1"/>
      <w:r>
        <w:rPr>
          <w:rFonts w:ascii="Verdana" w:eastAsia="Century Gothic" w:hAnsi="Verdana" w:cs="Century Gothic"/>
          <w:sz w:val="20"/>
          <w:szCs w:val="20"/>
          <w:lang w:val="es-ES"/>
        </w:rPr>
        <w:t>Un Jefe de Control Interno, cabeza de Sector, cuando se retire de la Entidad puede acceder a un contrato de prestación de servicios de otra Entidad, adscrita o vinculada a la Entidad cabeza de Sector?</w:t>
      </w:r>
      <w:r w:rsidRPr="000B3285">
        <w:rPr>
          <w:rFonts w:ascii="Verdana" w:eastAsia="Century Gothic" w:hAnsi="Verdana" w:cs="Century Gothic"/>
          <w:sz w:val="20"/>
          <w:szCs w:val="20"/>
          <w:lang w:val="es-ES"/>
        </w:rPr>
        <w:t xml:space="preserve"> […]”</w:t>
      </w:r>
    </w:p>
    <w:p w14:paraId="6AEFDA3E" w14:textId="77777777" w:rsidR="00CC0DC2" w:rsidRPr="00593A5F" w:rsidRDefault="00CC0DC2" w:rsidP="00CC0DC2">
      <w:pPr>
        <w:pStyle w:val="Prrafodelista"/>
        <w:tabs>
          <w:tab w:val="left" w:pos="142"/>
          <w:tab w:val="left" w:pos="284"/>
        </w:tabs>
        <w:spacing w:after="0" w:line="276" w:lineRule="auto"/>
        <w:ind w:left="0"/>
        <w:contextualSpacing w:val="0"/>
        <w:jc w:val="both"/>
        <w:rPr>
          <w:rFonts w:ascii="Verdana" w:eastAsia="Century Gothic" w:hAnsi="Verdana" w:cs="Century Gothic"/>
          <w:b/>
          <w:bCs/>
        </w:rPr>
      </w:pPr>
    </w:p>
    <w:p w14:paraId="0E9471B7" w14:textId="77777777" w:rsidR="00CC0DC2" w:rsidRDefault="00CC0DC2" w:rsidP="00CC0DC2">
      <w:pPr>
        <w:spacing w:after="120" w:line="276" w:lineRule="auto"/>
        <w:ind w:firstLine="709"/>
        <w:jc w:val="both"/>
        <w:rPr>
          <w:rFonts w:ascii="Verdana" w:eastAsia="Calibri" w:hAnsi="Verdana" w:cs="Arial"/>
          <w:color w:val="000000"/>
          <w:szCs w:val="24"/>
          <w:lang w:val="es-ES_tradnl" w:eastAsia="es-ES_tradnl"/>
        </w:rPr>
      </w:pPr>
      <w:r w:rsidRPr="00593A5F">
        <w:rPr>
          <w:rFonts w:ascii="Verdana" w:eastAsia="Calibri" w:hAnsi="Verdana" w:cs="Arial"/>
          <w:color w:val="000000"/>
          <w:lang w:val="es-ES" w:eastAsia="es-ES"/>
        </w:rPr>
        <w:t xml:space="preserve">De manera preliminar, resulta necesario acotar que esta entidad solo tiene competencia para responder consultas sobre la aplicación de normas de carácter general en materia de compras y contratación pública. En ese sentido, resolver casos particulares desborda las atribuciones asignadas por el legislador extraordinario, que no concibió a </w:t>
      </w:r>
      <w:r>
        <w:rPr>
          <w:rFonts w:ascii="Verdana" w:eastAsia="Calibri" w:hAnsi="Verdana" w:cs="Arial"/>
          <w:color w:val="000000"/>
          <w:lang w:val="es-ES" w:eastAsia="es-ES"/>
        </w:rPr>
        <w:t xml:space="preserve">la Agencia Nacional de Contratación Pública – </w:t>
      </w:r>
      <w:r w:rsidRPr="00593A5F">
        <w:rPr>
          <w:rFonts w:ascii="Verdana" w:eastAsia="Calibri" w:hAnsi="Verdana" w:cs="Arial"/>
          <w:color w:val="000000"/>
          <w:lang w:val="es-ES" w:eastAsia="es-ES"/>
        </w:rPr>
        <w:lastRenderedPageBreak/>
        <w:t>Colombia</w:t>
      </w:r>
      <w:r>
        <w:rPr>
          <w:rFonts w:ascii="Verdana" w:eastAsia="Calibri" w:hAnsi="Verdana" w:cs="Arial"/>
          <w:color w:val="000000"/>
          <w:lang w:val="es-ES" w:eastAsia="es-ES"/>
        </w:rPr>
        <w:t xml:space="preserve"> </w:t>
      </w:r>
      <w:r w:rsidRPr="00593A5F">
        <w:rPr>
          <w:rFonts w:ascii="Verdana" w:eastAsia="Calibri" w:hAnsi="Verdana" w:cs="Arial"/>
          <w:color w:val="000000"/>
          <w:lang w:val="es-ES" w:eastAsia="es-ES"/>
        </w:rPr>
        <w:t xml:space="preserve">Compra Eficiente como una autoridad para solucionar problemas jurídicos particulares de todos los partícipes del sistema de compra pública. La competencia de esta entidad se fija con límites claros, con el objeto de evitar que la Agencia actúe como una instancia de validación de las actuaciones de las entidades sujetas a la Ley 80 de 1993 o de los demás participantes de la contratación pública. Esta competencia de interpretación de normas generales, por definición, no puede extenderse a la resolución de controversias, ni a brindar asesorías sobre casos puntuales. </w:t>
      </w:r>
      <w:r w:rsidRPr="00593A5F">
        <w:rPr>
          <w:rFonts w:ascii="Verdana" w:eastAsia="Calibri" w:hAnsi="Verdana" w:cs="Arial"/>
          <w:color w:val="000000"/>
          <w:szCs w:val="24"/>
          <w:lang w:val="es-ES_tradnl" w:eastAsia="es-ES_tradnl"/>
        </w:rPr>
        <w:tab/>
      </w:r>
    </w:p>
    <w:p w14:paraId="6FDB3040" w14:textId="77777777" w:rsidR="00CC0DC2" w:rsidRDefault="00CC0DC2" w:rsidP="00CC0DC2">
      <w:pPr>
        <w:spacing w:after="0" w:line="276" w:lineRule="auto"/>
        <w:ind w:firstLine="709"/>
        <w:jc w:val="both"/>
        <w:rPr>
          <w:rFonts w:ascii="Verdana" w:eastAsia="Calibri" w:hAnsi="Verdana" w:cs="Arial"/>
          <w:color w:val="000000"/>
          <w:lang w:val="es-ES" w:eastAsia="es-ES"/>
        </w:rPr>
      </w:pPr>
      <w:r w:rsidRPr="00593A5F">
        <w:rPr>
          <w:rFonts w:ascii="Verdana" w:eastAsia="Calibri" w:hAnsi="Verdana" w:cs="Arial"/>
          <w:color w:val="000000"/>
          <w:lang w:val="es-ES" w:eastAsia="es-ES"/>
        </w:rPr>
        <w:t>Conforme lo expuesto, en aras de satisfacer el derecho fundamental de petición se resolverá su consulta dentro de los límites de la referida competencia consultiva, esto es, haciendo abstracción de la</w:t>
      </w:r>
      <w:r>
        <w:rPr>
          <w:rFonts w:ascii="Verdana" w:eastAsia="Calibri" w:hAnsi="Verdana" w:cs="Arial"/>
          <w:color w:val="000000"/>
          <w:lang w:val="es-ES" w:eastAsia="es-ES"/>
        </w:rPr>
        <w:t>s circunstancias</w:t>
      </w:r>
      <w:r w:rsidRPr="00593A5F">
        <w:rPr>
          <w:rFonts w:ascii="Verdana" w:eastAsia="Calibri" w:hAnsi="Verdana" w:cs="Arial"/>
          <w:color w:val="000000"/>
          <w:lang w:val="es-ES" w:eastAsia="es-ES"/>
        </w:rPr>
        <w:t xml:space="preserve"> particular</w:t>
      </w:r>
      <w:r>
        <w:rPr>
          <w:rFonts w:ascii="Verdana" w:eastAsia="Calibri" w:hAnsi="Verdana" w:cs="Arial"/>
          <w:color w:val="000000"/>
          <w:lang w:val="es-ES" w:eastAsia="es-ES"/>
        </w:rPr>
        <w:t>es</w:t>
      </w:r>
      <w:r w:rsidRPr="00593A5F">
        <w:rPr>
          <w:rFonts w:ascii="Verdana" w:eastAsia="Calibri" w:hAnsi="Verdana" w:cs="Arial"/>
          <w:color w:val="000000"/>
          <w:lang w:val="es-ES" w:eastAsia="es-ES"/>
        </w:rPr>
        <w:t xml:space="preserve"> y concreta</w:t>
      </w:r>
      <w:r>
        <w:rPr>
          <w:rFonts w:ascii="Verdana" w:eastAsia="Calibri" w:hAnsi="Verdana" w:cs="Arial"/>
          <w:color w:val="000000"/>
          <w:lang w:val="es-ES" w:eastAsia="es-ES"/>
        </w:rPr>
        <w:t>s</w:t>
      </w:r>
      <w:r w:rsidRPr="00593A5F">
        <w:rPr>
          <w:rFonts w:ascii="Verdana" w:eastAsia="Calibri" w:hAnsi="Verdana" w:cs="Arial"/>
          <w:color w:val="000000"/>
          <w:lang w:val="es-ES" w:eastAsia="es-ES"/>
        </w:rPr>
        <w:t xml:space="preserve"> mencionada</w:t>
      </w:r>
      <w:r>
        <w:rPr>
          <w:rFonts w:ascii="Verdana" w:eastAsia="Calibri" w:hAnsi="Verdana" w:cs="Arial"/>
          <w:color w:val="000000"/>
          <w:lang w:val="es-ES" w:eastAsia="es-ES"/>
        </w:rPr>
        <w:t>s</w:t>
      </w:r>
      <w:r w:rsidRPr="00593A5F">
        <w:rPr>
          <w:rFonts w:ascii="Verdana" w:eastAsia="Calibri" w:hAnsi="Verdana" w:cs="Arial"/>
          <w:color w:val="000000"/>
          <w:lang w:val="es-ES" w:eastAsia="es-ES"/>
        </w:rPr>
        <w:t xml:space="preserve"> en su petición, pero haciendo unas consideraciones sobre las normas generales relacionadas con </w:t>
      </w:r>
      <w:r>
        <w:rPr>
          <w:rFonts w:ascii="Verdana" w:eastAsia="Calibri" w:hAnsi="Verdana" w:cs="Arial"/>
          <w:color w:val="000000"/>
          <w:lang w:val="es-ES" w:eastAsia="es-ES"/>
        </w:rPr>
        <w:t>el</w:t>
      </w:r>
      <w:r w:rsidRPr="00247BDE">
        <w:rPr>
          <w:rFonts w:ascii="Verdana" w:eastAsia="Calibri" w:hAnsi="Verdana" w:cs="Arial"/>
          <w:color w:val="7030A0"/>
          <w:lang w:val="es-ES" w:eastAsia="es-ES"/>
        </w:rPr>
        <w:t xml:space="preserve"> </w:t>
      </w:r>
      <w:r>
        <w:rPr>
          <w:rFonts w:ascii="Verdana" w:eastAsia="Calibri" w:hAnsi="Verdana" w:cs="Arial"/>
          <w:color w:val="000000"/>
          <w:lang w:val="es-ES" w:eastAsia="es-ES"/>
        </w:rPr>
        <w:t>problema</w:t>
      </w:r>
      <w:r w:rsidRPr="00247BDE">
        <w:rPr>
          <w:rFonts w:ascii="Verdana" w:eastAsia="Calibri" w:hAnsi="Verdana" w:cs="Arial"/>
          <w:color w:val="7030A0"/>
          <w:lang w:val="es-ES" w:eastAsia="es-ES"/>
        </w:rPr>
        <w:t xml:space="preserve"> </w:t>
      </w:r>
      <w:r>
        <w:rPr>
          <w:rFonts w:ascii="Verdana" w:eastAsia="Calibri" w:hAnsi="Verdana" w:cs="Arial"/>
          <w:color w:val="000000"/>
          <w:lang w:val="es-ES" w:eastAsia="es-ES"/>
        </w:rPr>
        <w:t>jurídico</w:t>
      </w:r>
      <w:r w:rsidRPr="00247BDE">
        <w:rPr>
          <w:rFonts w:ascii="Verdana" w:eastAsia="Calibri" w:hAnsi="Verdana" w:cs="Arial"/>
          <w:color w:val="7030A0"/>
          <w:lang w:val="es-ES" w:eastAsia="es-ES"/>
        </w:rPr>
        <w:t xml:space="preserve"> </w:t>
      </w:r>
      <w:r>
        <w:rPr>
          <w:rFonts w:ascii="Verdana" w:eastAsia="Calibri" w:hAnsi="Verdana" w:cs="Arial"/>
          <w:color w:val="000000"/>
          <w:lang w:val="es-ES" w:eastAsia="es-ES"/>
        </w:rPr>
        <w:t>de su</w:t>
      </w:r>
      <w:r w:rsidRPr="00593A5F">
        <w:rPr>
          <w:rFonts w:ascii="Verdana" w:eastAsia="Calibri" w:hAnsi="Verdana" w:cs="Arial"/>
          <w:color w:val="000000"/>
          <w:lang w:val="es-ES" w:eastAsia="es-ES"/>
        </w:rPr>
        <w:t xml:space="preserve"> consulta. </w:t>
      </w:r>
    </w:p>
    <w:p w14:paraId="46D6FEFC" w14:textId="77777777" w:rsidR="00CC0DC2" w:rsidRPr="00593A5F" w:rsidRDefault="00CC0DC2" w:rsidP="00CC0DC2">
      <w:pPr>
        <w:spacing w:after="0" w:line="276" w:lineRule="auto"/>
        <w:ind w:firstLine="709"/>
        <w:jc w:val="both"/>
        <w:rPr>
          <w:rFonts w:ascii="Verdana" w:eastAsia="Calibri" w:hAnsi="Verdana" w:cs="Arial"/>
          <w:color w:val="000000"/>
          <w:lang w:val="es-ES" w:eastAsia="es-ES"/>
        </w:rPr>
      </w:pPr>
    </w:p>
    <w:p w14:paraId="4100ED94" w14:textId="77777777" w:rsidR="00CC0DC2" w:rsidRPr="00593A5F" w:rsidRDefault="00CC0DC2" w:rsidP="00CC0DC2">
      <w:pPr>
        <w:pStyle w:val="Prrafodelista"/>
        <w:numPr>
          <w:ilvl w:val="0"/>
          <w:numId w:val="16"/>
        </w:numPr>
        <w:tabs>
          <w:tab w:val="left" w:pos="142"/>
          <w:tab w:val="left" w:pos="284"/>
        </w:tabs>
        <w:spacing w:after="0" w:line="276" w:lineRule="auto"/>
        <w:ind w:left="0" w:firstLine="0"/>
        <w:contextualSpacing w:val="0"/>
        <w:jc w:val="both"/>
        <w:rPr>
          <w:rFonts w:ascii="Verdana" w:eastAsia="Century Gothic" w:hAnsi="Verdana" w:cs="Century Gothic"/>
          <w:b/>
          <w:bCs/>
        </w:rPr>
      </w:pPr>
      <w:r w:rsidRPr="00593A5F">
        <w:rPr>
          <w:rFonts w:ascii="Verdana" w:eastAsia="Century Gothic" w:hAnsi="Verdana" w:cs="Century Gothic"/>
          <w:b/>
          <w:bCs/>
        </w:rPr>
        <w:t>Problema planteado:</w:t>
      </w:r>
    </w:p>
    <w:p w14:paraId="5BA70D0C" w14:textId="77777777" w:rsidR="00CC0DC2" w:rsidRPr="00593A5F" w:rsidRDefault="00CC0DC2" w:rsidP="00CC0DC2">
      <w:pPr>
        <w:tabs>
          <w:tab w:val="left" w:pos="426"/>
        </w:tabs>
        <w:spacing w:after="0" w:line="276" w:lineRule="auto"/>
        <w:jc w:val="both"/>
        <w:rPr>
          <w:rFonts w:ascii="Verdana" w:eastAsia="Century Gothic" w:hAnsi="Verdana" w:cs="Century Gothic"/>
          <w:lang w:val="es-ES"/>
        </w:rPr>
      </w:pPr>
    </w:p>
    <w:p w14:paraId="32AC6DBC" w14:textId="77777777" w:rsidR="00CC0DC2" w:rsidRPr="00593A5F" w:rsidRDefault="00CC0DC2" w:rsidP="00CC0DC2">
      <w:pPr>
        <w:spacing w:after="0" w:line="276" w:lineRule="auto"/>
        <w:jc w:val="both"/>
        <w:rPr>
          <w:rFonts w:ascii="Verdana" w:eastAsia="Century Gothic" w:hAnsi="Verdana" w:cs="Century Gothic"/>
        </w:rPr>
      </w:pPr>
      <w:r>
        <w:rPr>
          <w:rFonts w:ascii="Verdana" w:eastAsia="Century Gothic" w:hAnsi="Verdana" w:cs="Century Gothic"/>
        </w:rPr>
        <w:t xml:space="preserve">De acuerdo con el contenido de </w:t>
      </w:r>
      <w:r w:rsidRPr="00593A5F">
        <w:rPr>
          <w:rFonts w:ascii="Verdana" w:eastAsia="Century Gothic" w:hAnsi="Verdana" w:cs="Century Gothic"/>
        </w:rPr>
        <w:t>su solicitud, esta Agencia resolverá el siguiente problema jurídico</w:t>
      </w:r>
      <w:r w:rsidRPr="00585E47">
        <w:rPr>
          <w:rFonts w:ascii="Verdana" w:eastAsia="Century Gothic" w:hAnsi="Verdana" w:cs="Century Gothic"/>
        </w:rPr>
        <w:t>:</w:t>
      </w:r>
      <w:r>
        <w:rPr>
          <w:rFonts w:ascii="Verdana" w:eastAsia="Century Gothic" w:hAnsi="Verdana" w:cs="Century Gothic"/>
        </w:rPr>
        <w:t xml:space="preserve"> </w:t>
      </w:r>
      <w:r w:rsidRPr="003621B1">
        <w:rPr>
          <w:rFonts w:ascii="Verdana" w:eastAsia="Century Gothic" w:hAnsi="Verdana" w:cs="Century Gothic"/>
        </w:rPr>
        <w:t>¿</w:t>
      </w:r>
      <w:r w:rsidRPr="006C4D46">
        <w:rPr>
          <w:rFonts w:ascii="Verdana" w:hAnsi="Verdana"/>
        </w:rPr>
        <w:t xml:space="preserve">Existen </w:t>
      </w:r>
      <w:r>
        <w:rPr>
          <w:rFonts w:ascii="Verdana" w:eastAsia="Calibri" w:hAnsi="Verdana" w:cs="Arial"/>
          <w:color w:val="000000"/>
          <w:lang w:val="es-ES_tradnl" w:eastAsia="es-ES_tradnl"/>
        </w:rPr>
        <w:t>inhabilidades</w:t>
      </w:r>
      <w:r w:rsidRPr="006C4D46">
        <w:rPr>
          <w:rFonts w:ascii="Verdana" w:eastAsia="Calibri" w:hAnsi="Verdana" w:cs="Arial"/>
          <w:color w:val="000000"/>
          <w:lang w:val="es-ES_tradnl" w:eastAsia="es-ES_tradnl"/>
        </w:rPr>
        <w:t xml:space="preserve"> </w:t>
      </w:r>
      <w:r>
        <w:rPr>
          <w:rFonts w:ascii="Verdana" w:eastAsia="Calibri" w:hAnsi="Verdana" w:cs="Arial"/>
          <w:color w:val="000000"/>
          <w:lang w:val="es-ES_tradnl" w:eastAsia="es-ES_tradnl"/>
        </w:rPr>
        <w:t xml:space="preserve">para </w:t>
      </w:r>
      <w:r w:rsidRPr="006C4D46">
        <w:rPr>
          <w:rFonts w:ascii="Verdana" w:eastAsia="Calibri" w:hAnsi="Verdana" w:cs="Arial"/>
          <w:color w:val="000000"/>
          <w:lang w:val="es-ES_tradnl" w:eastAsia="es-ES_tradnl"/>
        </w:rPr>
        <w:t>los ex</w:t>
      </w:r>
      <w:r>
        <w:rPr>
          <w:rFonts w:ascii="Verdana" w:eastAsia="Calibri" w:hAnsi="Verdana" w:cs="Arial"/>
          <w:color w:val="000000"/>
          <w:lang w:val="es-ES_tradnl" w:eastAsia="es-ES_tradnl"/>
        </w:rPr>
        <w:t>funcionarios</w:t>
      </w:r>
      <w:r w:rsidRPr="006C4D46">
        <w:rPr>
          <w:rFonts w:ascii="Verdana" w:eastAsia="Calibri" w:hAnsi="Verdana" w:cs="Arial"/>
          <w:color w:val="000000"/>
          <w:lang w:val="es-ES_tradnl" w:eastAsia="es-ES_tradnl"/>
        </w:rPr>
        <w:t xml:space="preserve"> públicos que hayan ejercido cargos de nivel directivo</w:t>
      </w:r>
      <w:r>
        <w:rPr>
          <w:rFonts w:ascii="Verdana" w:eastAsia="Calibri" w:hAnsi="Verdana" w:cs="Arial"/>
          <w:color w:val="000000"/>
          <w:lang w:val="es-ES_tradnl" w:eastAsia="es-ES_tradnl"/>
        </w:rPr>
        <w:t xml:space="preserve"> de</w:t>
      </w:r>
      <w:r w:rsidRPr="006C4D46">
        <w:rPr>
          <w:rFonts w:ascii="Verdana" w:eastAsia="Calibri" w:hAnsi="Verdana" w:cs="Arial"/>
          <w:color w:val="000000"/>
          <w:lang w:val="es-ES_tradnl" w:eastAsia="es-ES_tradnl"/>
        </w:rPr>
        <w:t xml:space="preserve"> celebrar directa o indirectamente contratos estatales</w:t>
      </w:r>
      <w:r>
        <w:rPr>
          <w:rFonts w:ascii="Verdana" w:eastAsia="Calibri" w:hAnsi="Verdana" w:cs="Arial"/>
          <w:color w:val="000000"/>
          <w:lang w:val="es-ES_tradnl" w:eastAsia="es-ES_tradnl"/>
        </w:rPr>
        <w:t xml:space="preserve"> con entidades del mismo sector del cargo</w:t>
      </w:r>
      <w:r w:rsidRPr="00585E47">
        <w:rPr>
          <w:rFonts w:ascii="Verdana" w:eastAsia="Century Gothic" w:hAnsi="Verdana" w:cs="Century Gothic"/>
        </w:rPr>
        <w:t>?</w:t>
      </w:r>
    </w:p>
    <w:p w14:paraId="1BFAA01D" w14:textId="77777777" w:rsidR="00CC0DC2" w:rsidRPr="00593A5F" w:rsidRDefault="00CC0DC2" w:rsidP="00CC0DC2">
      <w:pPr>
        <w:spacing w:after="0" w:line="276" w:lineRule="auto"/>
        <w:jc w:val="both"/>
        <w:rPr>
          <w:rFonts w:ascii="Verdana" w:eastAsia="Calibri" w:hAnsi="Verdana" w:cs="Arial"/>
          <w:color w:val="7030A0"/>
          <w:lang w:val="es-ES"/>
        </w:rPr>
      </w:pPr>
    </w:p>
    <w:p w14:paraId="78DD31B4" w14:textId="77777777" w:rsidR="00CC0DC2" w:rsidRPr="00593A5F" w:rsidRDefault="00CC0DC2" w:rsidP="00CC0DC2">
      <w:pPr>
        <w:pStyle w:val="Prrafodelista"/>
        <w:numPr>
          <w:ilvl w:val="0"/>
          <w:numId w:val="16"/>
        </w:numPr>
        <w:tabs>
          <w:tab w:val="left" w:pos="142"/>
          <w:tab w:val="left" w:pos="284"/>
        </w:tabs>
        <w:spacing w:after="0" w:line="276" w:lineRule="auto"/>
        <w:ind w:left="0" w:firstLine="0"/>
        <w:contextualSpacing w:val="0"/>
        <w:jc w:val="both"/>
        <w:rPr>
          <w:rFonts w:ascii="Verdana" w:eastAsia="Century Gothic" w:hAnsi="Verdana" w:cs="Century Gothic"/>
          <w:b/>
          <w:bCs/>
        </w:rPr>
      </w:pPr>
      <w:r w:rsidRPr="00593A5F">
        <w:rPr>
          <w:rFonts w:ascii="Verdana" w:eastAsia="Century Gothic" w:hAnsi="Verdana" w:cs="Century Gothic"/>
          <w:b/>
          <w:bCs/>
        </w:rPr>
        <w:t>Respuesta:</w:t>
      </w:r>
    </w:p>
    <w:p w14:paraId="58C8B6EF" w14:textId="77777777" w:rsidR="00CC0DC2" w:rsidRPr="00593A5F" w:rsidRDefault="00CC0DC2" w:rsidP="00CC0DC2">
      <w:pPr>
        <w:tabs>
          <w:tab w:val="left" w:pos="142"/>
          <w:tab w:val="left" w:pos="284"/>
        </w:tabs>
        <w:spacing w:after="0" w:line="276" w:lineRule="auto"/>
        <w:jc w:val="both"/>
        <w:rPr>
          <w:rFonts w:ascii="Verdana" w:eastAsia="Century Gothic" w:hAnsi="Verdana" w:cs="Century Gothic"/>
          <w:b/>
          <w:bCs/>
          <w:lang w:val="es-ES"/>
        </w:rPr>
      </w:pPr>
    </w:p>
    <w:tbl>
      <w:tblPr>
        <w:tblStyle w:val="Tablaconcuadrcula"/>
        <w:tblW w:w="0" w:type="auto"/>
        <w:tblBorders>
          <w:top w:val="dotted" w:sz="4" w:space="0" w:color="auto"/>
          <w:left w:val="dotted" w:sz="4" w:space="0" w:color="auto"/>
          <w:bottom w:val="dotted" w:sz="4" w:space="0" w:color="auto"/>
          <w:right w:val="dotted" w:sz="4" w:space="0" w:color="auto"/>
          <w:insideH w:val="dotted" w:sz="4" w:space="0" w:color="auto"/>
          <w:insideV w:val="dotted" w:sz="4" w:space="0" w:color="auto"/>
        </w:tblBorders>
        <w:tblLook w:val="04A0" w:firstRow="1" w:lastRow="0" w:firstColumn="1" w:lastColumn="0" w:noHBand="0" w:noVBand="1"/>
      </w:tblPr>
      <w:tblGrid>
        <w:gridCol w:w="8828"/>
      </w:tblGrid>
      <w:tr w:rsidR="00CC0DC2" w:rsidRPr="00593A5F" w14:paraId="5A9D929F" w14:textId="77777777" w:rsidTr="6656881A">
        <w:tc>
          <w:tcPr>
            <w:tcW w:w="8828" w:type="dxa"/>
          </w:tcPr>
          <w:p w14:paraId="271EC212" w14:textId="33D1A502" w:rsidR="00CC0DC2" w:rsidRDefault="00CC0DC2" w:rsidP="003164B9">
            <w:pPr>
              <w:widowControl w:val="0"/>
              <w:autoSpaceDE w:val="0"/>
              <w:autoSpaceDN w:val="0"/>
              <w:spacing w:after="120" w:line="276" w:lineRule="auto"/>
              <w:jc w:val="both"/>
              <w:rPr>
                <w:rFonts w:ascii="Verdana" w:eastAsia="Arial MT" w:hAnsi="Verdana" w:cs="Arial"/>
                <w:lang w:eastAsia="es-ES" w:bidi="es-ES"/>
              </w:rPr>
            </w:pPr>
            <w:r w:rsidRPr="008B1081">
              <w:rPr>
                <w:rFonts w:ascii="Verdana" w:eastAsia="Arial MT" w:hAnsi="Verdana" w:cs="Arial"/>
                <w:lang w:eastAsia="es-ES" w:bidi="es-ES"/>
              </w:rPr>
              <w:t xml:space="preserve">En el ordenamiento jurídico colombiano, las inhabilidades e incompatibilidades para contratar con el Estado o ejercer cargos públicos están reguladas de manera taxativa y restrictiva, lo que significa que solo pueden aplicarse en los casos expresamente previstos por la ley. </w:t>
            </w:r>
            <w:r>
              <w:rPr>
                <w:rFonts w:ascii="Verdana" w:eastAsia="Arial MT" w:hAnsi="Verdana" w:cs="Arial"/>
                <w:lang w:eastAsia="es-ES" w:bidi="es-ES"/>
              </w:rPr>
              <w:t>Al analizar las causales de inhabilidad e incompatibilidad establecidas en el artículo 8 de la Ley 80 de 1993</w:t>
            </w:r>
            <w:r w:rsidRPr="008B1081">
              <w:rPr>
                <w:rFonts w:ascii="Verdana" w:eastAsia="Arial MT" w:hAnsi="Verdana" w:cs="Arial"/>
                <w:lang w:eastAsia="es-ES" w:bidi="es-ES"/>
              </w:rPr>
              <w:t>,</w:t>
            </w:r>
            <w:r>
              <w:rPr>
                <w:rFonts w:ascii="Verdana" w:eastAsia="Arial MT" w:hAnsi="Verdana" w:cs="Arial"/>
                <w:lang w:eastAsia="es-ES" w:bidi="es-ES"/>
              </w:rPr>
              <w:t xml:space="preserve"> </w:t>
            </w:r>
            <w:r w:rsidRPr="008B1081">
              <w:rPr>
                <w:rFonts w:ascii="Verdana" w:eastAsia="Arial MT" w:hAnsi="Verdana" w:cs="Arial"/>
                <w:lang w:eastAsia="es-ES" w:bidi="es-ES"/>
              </w:rPr>
              <w:t xml:space="preserve">se observa que </w:t>
            </w:r>
            <w:r>
              <w:rPr>
                <w:rFonts w:ascii="Verdana" w:eastAsia="Arial MT" w:hAnsi="Verdana" w:cs="Arial"/>
                <w:lang w:eastAsia="es-ES" w:bidi="es-ES"/>
              </w:rPr>
              <w:t xml:space="preserve">el literal f del numeral 2 </w:t>
            </w:r>
            <w:r w:rsidRPr="00ED6FA7">
              <w:rPr>
                <w:rFonts w:ascii="Verdana" w:hAnsi="Verdana"/>
              </w:rPr>
              <w:t>prevé</w:t>
            </w:r>
            <w:r w:rsidRPr="0022076A">
              <w:rPr>
                <w:rFonts w:ascii="Verdana" w:eastAsia="Calibri" w:hAnsi="Verdana" w:cs="Arial"/>
                <w:color w:val="000000"/>
                <w:lang w:val="es-ES_tradnl" w:eastAsia="es-ES_tradnl"/>
              </w:rPr>
              <w:t xml:space="preserve"> una restricción que prohíbe a los exempleados públicos celebrar contratos estatales tras la dejación del cargo, en un ámbito y en un período definidos por el legislador, extendiendo la prohibición a algunos otros sujetos vinculados a estos.</w:t>
            </w:r>
          </w:p>
          <w:p w14:paraId="6207FECF" w14:textId="77777777" w:rsidR="00CC0DC2" w:rsidRDefault="00CC0DC2" w:rsidP="003164B9">
            <w:pPr>
              <w:spacing w:before="120" w:after="120" w:line="276" w:lineRule="auto"/>
              <w:ind w:firstLine="709"/>
              <w:jc w:val="both"/>
              <w:rPr>
                <w:rFonts w:ascii="Verdana" w:eastAsia="Calibri" w:hAnsi="Verdana" w:cs="Arial"/>
                <w:color w:val="000000"/>
                <w:lang w:val="es-ES" w:eastAsia="es-ES"/>
              </w:rPr>
            </w:pPr>
            <w:r w:rsidRPr="6656881A">
              <w:rPr>
                <w:rFonts w:ascii="Verdana" w:eastAsia="Calibri" w:hAnsi="Verdana" w:cs="Arial"/>
                <w:color w:val="000000" w:themeColor="text1"/>
                <w:lang w:val="es-ES" w:eastAsia="es-ES"/>
              </w:rPr>
              <w:t xml:space="preserve">Así, sus destinatarios, es decir, los </w:t>
            </w:r>
            <w:r w:rsidRPr="006579CD">
              <w:rPr>
                <w:rFonts w:ascii="Verdana" w:eastAsia="Calibri" w:hAnsi="Verdana" w:cs="Arial"/>
                <w:i/>
                <w:color w:val="000000" w:themeColor="text1"/>
                <w:lang w:val="es-ES" w:eastAsia="es-ES"/>
              </w:rPr>
              <w:t>sujetos</w:t>
            </w:r>
            <w:r w:rsidRPr="6656881A">
              <w:rPr>
                <w:rFonts w:ascii="Verdana" w:eastAsia="Calibri" w:hAnsi="Verdana" w:cs="Arial"/>
                <w:color w:val="000000" w:themeColor="text1"/>
                <w:lang w:val="es-ES" w:eastAsia="es-ES"/>
              </w:rPr>
              <w:t xml:space="preserve"> en los que radica la prohibición son: a) las personas naturales que hayan ejercido cargos en el nivel directivo en las entidades estatales a quienes el segundo inciso califica </w:t>
            </w:r>
            <w:r w:rsidRPr="6656881A">
              <w:rPr>
                <w:rFonts w:ascii="Verdana" w:eastAsia="Calibri" w:hAnsi="Verdana" w:cs="Arial"/>
                <w:color w:val="000000" w:themeColor="text1"/>
                <w:lang w:val="es-ES" w:eastAsia="es-ES"/>
              </w:rPr>
              <w:lastRenderedPageBreak/>
              <w:t>como exempleados públicos, b) las sociedades de las cuales dichos exempleados públicos hagan parte o estén vinculados a cualquier título, y c) sus parientes dentro del primer grado de consanguinidad, primero de afinidad o primero civil. También cabe destacar que la norma en comento dice que a estos sujetos les aplica la prohibición cuando pretendan contratar directa o indirectamente; lo que implica que no pueden valerse de intermediarios para intentar eludir esta restricción.</w:t>
            </w:r>
          </w:p>
          <w:p w14:paraId="67C735F8" w14:textId="77777777" w:rsidR="00CC0DC2" w:rsidRDefault="00CC0DC2" w:rsidP="003164B9">
            <w:pPr>
              <w:spacing w:before="120" w:after="120" w:line="276" w:lineRule="auto"/>
              <w:ind w:firstLine="709"/>
              <w:jc w:val="both"/>
              <w:rPr>
                <w:rFonts w:ascii="Verdana" w:eastAsia="Calibri" w:hAnsi="Verdana" w:cs="Arial"/>
                <w:color w:val="000000"/>
                <w:lang w:val="es-ES_tradnl" w:eastAsia="es-ES_tradnl"/>
              </w:rPr>
            </w:pPr>
            <w:r w:rsidRPr="006A3725">
              <w:rPr>
                <w:rFonts w:ascii="Verdana" w:eastAsia="Calibri" w:hAnsi="Verdana" w:cs="Arial"/>
                <w:color w:val="000000"/>
                <w:lang w:val="es-ES" w:eastAsia="es-ES"/>
              </w:rPr>
              <w:t xml:space="preserve">El </w:t>
            </w:r>
            <w:r w:rsidRPr="006A3725">
              <w:rPr>
                <w:rFonts w:ascii="Verdana" w:eastAsia="Calibri" w:hAnsi="Verdana" w:cs="Arial"/>
                <w:i/>
                <w:iCs/>
                <w:color w:val="000000"/>
                <w:lang w:val="es-ES" w:eastAsia="es-ES"/>
              </w:rPr>
              <w:t xml:space="preserve">objeto </w:t>
            </w:r>
            <w:r w:rsidRPr="006A3725">
              <w:rPr>
                <w:rFonts w:ascii="Verdana" w:eastAsia="Calibri" w:hAnsi="Verdana" w:cs="Arial"/>
                <w:color w:val="000000"/>
                <w:lang w:val="es-ES" w:eastAsia="es-ES"/>
              </w:rPr>
              <w:t>de la causal:</w:t>
            </w:r>
            <w:r w:rsidRPr="4552CAB1">
              <w:rPr>
                <w:rFonts w:ascii="Verdana" w:eastAsia="Calibri" w:hAnsi="Verdana" w:cs="Arial"/>
                <w:color w:val="000000"/>
                <w:lang w:val="es-ES" w:eastAsia="es-ES"/>
              </w:rPr>
              <w:t xml:space="preserve"> es prohibir la celebración de contratos estatales por parte de los sujetos indicados, “cuando el objeto que desarrollen tenga relación con el sector al cual prestaron sus servicios”. Es decir, la norma consagra un criterio mixto funcional y orgánico, pues alude a la relación del objeto contractual con el sector en el que los exempleados se desempeñaron.</w:t>
            </w:r>
          </w:p>
          <w:p w14:paraId="606E6513" w14:textId="77777777" w:rsidR="00CC0DC2" w:rsidRDefault="00CC0DC2" w:rsidP="003164B9">
            <w:pPr>
              <w:spacing w:before="120" w:after="120" w:line="276" w:lineRule="auto"/>
              <w:ind w:firstLine="708"/>
              <w:jc w:val="both"/>
              <w:rPr>
                <w:rFonts w:ascii="Verdana" w:eastAsia="Calibri" w:hAnsi="Verdana" w:cs="Arial"/>
                <w:color w:val="000000"/>
                <w:lang w:val="es-ES" w:eastAsia="es-ES"/>
              </w:rPr>
            </w:pPr>
            <w:r>
              <w:rPr>
                <w:rFonts w:ascii="Verdana" w:eastAsia="Calibri" w:hAnsi="Verdana" w:cs="Arial"/>
                <w:color w:val="000000" w:themeColor="text1"/>
                <w:lang w:val="es-ES" w:eastAsia="es-ES"/>
              </w:rPr>
              <w:t>E</w:t>
            </w:r>
            <w:r w:rsidRPr="4552CAB1">
              <w:rPr>
                <w:rFonts w:ascii="Verdana" w:eastAsia="Calibri" w:hAnsi="Verdana" w:cs="Arial"/>
                <w:color w:val="000000" w:themeColor="text1"/>
                <w:lang w:val="es-ES" w:eastAsia="es-ES"/>
              </w:rPr>
              <w:t xml:space="preserve">n cuanto al </w:t>
            </w:r>
            <w:r w:rsidRPr="00ED6FA7">
              <w:rPr>
                <w:rFonts w:ascii="Verdana" w:eastAsia="Calibri" w:hAnsi="Verdana" w:cs="Arial"/>
                <w:i/>
                <w:iCs/>
                <w:color w:val="000000" w:themeColor="text1"/>
                <w:lang w:val="es-ES" w:eastAsia="es-ES"/>
              </w:rPr>
              <w:t>período en el cual rige la prohibición</w:t>
            </w:r>
            <w:r w:rsidRPr="4552CAB1">
              <w:rPr>
                <w:rFonts w:ascii="Verdana" w:eastAsia="Calibri" w:hAnsi="Verdana" w:cs="Arial"/>
                <w:color w:val="000000" w:themeColor="text1"/>
                <w:lang w:val="es-ES" w:eastAsia="es-ES"/>
              </w:rPr>
              <w:t xml:space="preserve">, el segundo inciso del literal f) del artículo 8, numeral 2, de la Ley 80 de 1993, adicionado por el artículo 4 de la Ley 1474 de 2011, señala que, en tal caso, no se pueden celebrar contratos estatales cuyo objeto se relacione con el sector en el cual se desempeñó el exempleado público “durante los dos (2) años siguientes al retiro del ejercicio del cargo público”. Dicho de otro modo, tras haber dejado el cargo el servidor público, comienza a correr un término de dos </w:t>
            </w:r>
            <w:r>
              <w:rPr>
                <w:rFonts w:ascii="Verdana" w:eastAsia="Calibri" w:hAnsi="Verdana" w:cs="Arial"/>
                <w:color w:val="000000" w:themeColor="text1"/>
                <w:lang w:val="es-ES" w:eastAsia="es-ES"/>
              </w:rPr>
              <w:t xml:space="preserve">(2) </w:t>
            </w:r>
            <w:r w:rsidRPr="4552CAB1">
              <w:rPr>
                <w:rFonts w:ascii="Verdana" w:eastAsia="Calibri" w:hAnsi="Verdana" w:cs="Arial"/>
                <w:color w:val="000000" w:themeColor="text1"/>
                <w:lang w:val="es-ES" w:eastAsia="es-ES"/>
              </w:rPr>
              <w:t>años en el cual se aplica la restricción. Esto significa que cuando tal período haya transcurrido, en principio, los sujetos a los que se refiere la causal recobran la capacidad para celebrar contratos estatales, salvo que estén afectados por otras causales de inhabilidad o de incompatibilidad.</w:t>
            </w:r>
          </w:p>
          <w:p w14:paraId="06287F05" w14:textId="77777777" w:rsidR="00CC0DC2" w:rsidRPr="006A3725" w:rsidRDefault="00CC0DC2" w:rsidP="003164B9">
            <w:pPr>
              <w:spacing w:line="276" w:lineRule="auto"/>
              <w:ind w:firstLine="360"/>
              <w:contextualSpacing/>
              <w:jc w:val="both"/>
              <w:rPr>
                <w:rFonts w:ascii="Verdana" w:eastAsia="Calibri" w:hAnsi="Verdana" w:cs="Times New Roman"/>
                <w:lang w:val="es-ES"/>
              </w:rPr>
            </w:pPr>
            <w:r>
              <w:rPr>
                <w:rFonts w:ascii="Verdana" w:eastAsia="Calibri" w:hAnsi="Verdana" w:cs="Times New Roman"/>
                <w:lang w:val="es-ES"/>
              </w:rPr>
              <w:t xml:space="preserve">     </w:t>
            </w:r>
            <w:r w:rsidRPr="00B00396">
              <w:rPr>
                <w:rFonts w:ascii="Verdana" w:eastAsia="Calibri" w:hAnsi="Verdana" w:cs="Times New Roman"/>
                <w:lang w:val="es-ES"/>
              </w:rPr>
              <w:t xml:space="preserve">Finalmente debe advertirse, que el análisis para </w:t>
            </w:r>
            <w:r w:rsidRPr="00DB4737">
              <w:rPr>
                <w:rFonts w:ascii="Verdana" w:eastAsia="Calibri" w:hAnsi="Verdana" w:cs="Times New Roman"/>
                <w:lang w:val="es-ES"/>
              </w:rPr>
              <w:t xml:space="preserve">resolver problemas específicos en torno </w:t>
            </w:r>
            <w:r>
              <w:rPr>
                <w:rFonts w:ascii="Verdana" w:eastAsia="Calibri" w:hAnsi="Verdana" w:cs="Times New Roman"/>
                <w:lang w:val="es-ES"/>
              </w:rPr>
              <w:t>a los procesos de contratación</w:t>
            </w:r>
            <w:r w:rsidRPr="002B5057">
              <w:rPr>
                <w:rFonts w:ascii="Verdana" w:eastAsia="Calibri" w:hAnsi="Verdana" w:cs="Times New Roman"/>
                <w:lang w:val="es-ES"/>
              </w:rPr>
              <w:t xml:space="preserve"> debe ser realizado por quienes tengan interés en ello.</w:t>
            </w:r>
            <w:r w:rsidRPr="00B00396">
              <w:rPr>
                <w:rFonts w:ascii="Verdana" w:eastAsia="Calibri" w:hAnsi="Verdana" w:cs="Times New Roman"/>
                <w:lang w:val="es-ES"/>
              </w:rPr>
              <w:t xml:space="preserve"> De esta forma, las afirmaciones aquí realizadas</w:t>
            </w:r>
            <w:r w:rsidRPr="00DB4737">
              <w:rPr>
                <w:rFonts w:ascii="Verdana" w:eastAsia="Calibri" w:hAnsi="Verdana" w:cs="Times New Roman"/>
                <w:lang w:val="es-ES"/>
              </w:rPr>
              <w:t xml:space="preserve"> no pueden ser interpretadas como juicios de valor sobre circunstancias concretas relacionadas con los hechos que motivan la consulta. Por lo anterior, previo concepto de sus asesores, la solución de situaciones particulares corresponderá a los interesados de adoptar la decisión y, en caso de conflicto, a las autoridades judiciales, fiscales y disciplinarias.</w:t>
            </w:r>
          </w:p>
        </w:tc>
      </w:tr>
    </w:tbl>
    <w:p w14:paraId="6A0EB341" w14:textId="77777777" w:rsidR="00CC0DC2" w:rsidRPr="00593A5F" w:rsidRDefault="00CC0DC2" w:rsidP="00CC0DC2">
      <w:pPr>
        <w:tabs>
          <w:tab w:val="left" w:pos="142"/>
          <w:tab w:val="left" w:pos="284"/>
        </w:tabs>
        <w:spacing w:after="0" w:line="276" w:lineRule="auto"/>
        <w:jc w:val="both"/>
        <w:rPr>
          <w:rFonts w:ascii="Verdana" w:eastAsia="Century Gothic" w:hAnsi="Verdana" w:cs="Century Gothic"/>
          <w:b/>
          <w:bCs/>
          <w:lang w:val="es-ES"/>
        </w:rPr>
      </w:pPr>
    </w:p>
    <w:p w14:paraId="50FFA81E" w14:textId="77777777" w:rsidR="00CC0DC2" w:rsidRPr="00593A5F" w:rsidRDefault="00CC0DC2" w:rsidP="00CC0DC2">
      <w:pPr>
        <w:pStyle w:val="Prrafodelista"/>
        <w:numPr>
          <w:ilvl w:val="0"/>
          <w:numId w:val="16"/>
        </w:numPr>
        <w:tabs>
          <w:tab w:val="left" w:pos="142"/>
          <w:tab w:val="left" w:pos="284"/>
        </w:tabs>
        <w:spacing w:after="0" w:line="276" w:lineRule="auto"/>
        <w:ind w:left="0" w:firstLine="0"/>
        <w:contextualSpacing w:val="0"/>
        <w:jc w:val="both"/>
        <w:rPr>
          <w:rFonts w:ascii="Verdana" w:eastAsia="Century Gothic" w:hAnsi="Verdana" w:cs="Century Gothic"/>
          <w:b/>
          <w:bCs/>
        </w:rPr>
      </w:pPr>
      <w:r w:rsidRPr="00593A5F">
        <w:rPr>
          <w:rFonts w:ascii="Verdana" w:eastAsia="Century Gothic" w:hAnsi="Verdana" w:cs="Century Gothic"/>
          <w:b/>
          <w:bCs/>
        </w:rPr>
        <w:t>Razones de la respuesta:</w:t>
      </w:r>
    </w:p>
    <w:p w14:paraId="7AE16920" w14:textId="77777777" w:rsidR="00CC0DC2" w:rsidRPr="00593A5F" w:rsidRDefault="00CC0DC2" w:rsidP="00CC0DC2">
      <w:pPr>
        <w:spacing w:after="0" w:line="276" w:lineRule="auto"/>
        <w:jc w:val="both"/>
        <w:rPr>
          <w:rFonts w:ascii="Verdana" w:eastAsia="Calibri" w:hAnsi="Verdana" w:cs="Arial"/>
          <w:color w:val="7030A0"/>
          <w:lang w:val="es-ES"/>
        </w:rPr>
      </w:pPr>
    </w:p>
    <w:p w14:paraId="348AF5D9" w14:textId="77777777" w:rsidR="00CC0DC2" w:rsidRPr="00B96799" w:rsidRDefault="00CC0DC2" w:rsidP="00CC0DC2">
      <w:pPr>
        <w:spacing w:after="0" w:line="276" w:lineRule="auto"/>
        <w:jc w:val="both"/>
        <w:rPr>
          <w:rFonts w:ascii="Verdana" w:eastAsia="Calibri" w:hAnsi="Verdana" w:cs="Arial"/>
          <w:lang w:val="es-ES"/>
        </w:rPr>
      </w:pPr>
      <w:r w:rsidRPr="00B96799">
        <w:rPr>
          <w:rFonts w:ascii="Verdana" w:eastAsia="Calibri" w:hAnsi="Verdana" w:cs="Arial"/>
          <w:lang w:val="es-ES"/>
        </w:rPr>
        <w:t xml:space="preserve">Lo anterior se sustenta en las siguientes consideraciones: </w:t>
      </w:r>
    </w:p>
    <w:p w14:paraId="52065E2C" w14:textId="77777777" w:rsidR="00CC0DC2" w:rsidRDefault="00CC0DC2" w:rsidP="00CC0DC2">
      <w:pPr>
        <w:spacing w:after="0" w:line="276" w:lineRule="auto"/>
        <w:jc w:val="both"/>
        <w:rPr>
          <w:rFonts w:ascii="Verdana" w:eastAsia="Calibri" w:hAnsi="Verdana" w:cs="Arial"/>
          <w:color w:val="7030A0"/>
          <w:lang w:val="es-ES"/>
        </w:rPr>
      </w:pPr>
    </w:p>
    <w:p w14:paraId="59579DBE" w14:textId="77777777" w:rsidR="00CC0DC2" w:rsidRPr="00BE021E" w:rsidRDefault="00CC0DC2" w:rsidP="00CC0DC2">
      <w:pPr>
        <w:widowControl w:val="0"/>
        <w:autoSpaceDE w:val="0"/>
        <w:autoSpaceDN w:val="0"/>
        <w:spacing w:after="120" w:line="276" w:lineRule="auto"/>
        <w:jc w:val="both"/>
        <w:rPr>
          <w:rFonts w:ascii="Verdana" w:eastAsia="Calibri" w:hAnsi="Verdana" w:cs="Arial"/>
          <w:lang w:val="es-ES"/>
        </w:rPr>
      </w:pPr>
      <w:r>
        <w:rPr>
          <w:rFonts w:ascii="Verdana" w:eastAsia="Calibri" w:hAnsi="Verdana" w:cs="Arial"/>
          <w:lang w:val="es-ES"/>
        </w:rPr>
        <w:t>Teniendo en cuenta que en la contratación estatal la capacidad jurídica es un requisito de validez de los contratos, se destaca el régimen de inhabilidades e incompatibilidades como</w:t>
      </w:r>
      <w:r w:rsidRPr="00BE021E">
        <w:rPr>
          <w:rFonts w:ascii="Verdana" w:eastAsia="Calibri" w:hAnsi="Verdana" w:cs="Arial"/>
          <w:lang w:val="es-ES"/>
        </w:rPr>
        <w:t xml:space="preserve"> un conjunto de normas que impone</w:t>
      </w:r>
      <w:r>
        <w:rPr>
          <w:rFonts w:ascii="Verdana" w:eastAsia="Calibri" w:hAnsi="Verdana" w:cs="Arial"/>
          <w:lang w:val="es-ES"/>
        </w:rPr>
        <w:t>n</w:t>
      </w:r>
      <w:r w:rsidRPr="00BE021E">
        <w:rPr>
          <w:rFonts w:ascii="Verdana" w:eastAsia="Calibri" w:hAnsi="Verdana" w:cs="Arial"/>
          <w:lang w:val="es-ES"/>
        </w:rPr>
        <w:t xml:space="preserve"> restricciones para los sujetos que</w:t>
      </w:r>
      <w:r>
        <w:rPr>
          <w:rFonts w:ascii="Verdana" w:eastAsia="Calibri" w:hAnsi="Verdana" w:cs="Arial"/>
          <w:lang w:val="es-ES"/>
        </w:rPr>
        <w:t>,</w:t>
      </w:r>
      <w:r w:rsidRPr="00BE021E">
        <w:rPr>
          <w:rFonts w:ascii="Verdana" w:eastAsia="Calibri" w:hAnsi="Verdana" w:cs="Arial"/>
          <w:lang w:val="es-ES"/>
        </w:rPr>
        <w:t xml:space="preserve"> eventualmente</w:t>
      </w:r>
      <w:r>
        <w:rPr>
          <w:rFonts w:ascii="Verdana" w:eastAsia="Calibri" w:hAnsi="Verdana" w:cs="Arial"/>
          <w:lang w:val="es-ES"/>
        </w:rPr>
        <w:t>,</w:t>
      </w:r>
      <w:r w:rsidRPr="00BE021E">
        <w:rPr>
          <w:rFonts w:ascii="Verdana" w:eastAsia="Calibri" w:hAnsi="Verdana" w:cs="Arial"/>
          <w:lang w:val="es-ES"/>
        </w:rPr>
        <w:t xml:space="preserve"> pretendan participar en los procedimientos de selección o en la celebración de contratos con las entidades estatales, constituyendo “</w:t>
      </w:r>
      <w:r w:rsidRPr="00BE021E">
        <w:rPr>
          <w:rFonts w:ascii="Verdana" w:eastAsia="Calibri" w:hAnsi="Verdana" w:cs="Arial"/>
          <w:i/>
          <w:iCs/>
          <w:lang w:val="es-ES"/>
        </w:rPr>
        <w:t>prohibiciones que restringen la capacidad y la libertad de un contratista para acceder a la contratación</w:t>
      </w:r>
      <w:r w:rsidRPr="00BE021E">
        <w:rPr>
          <w:rFonts w:ascii="Verdana" w:eastAsia="Calibri" w:hAnsi="Verdana" w:cs="Arial"/>
          <w:lang w:val="es-ES"/>
        </w:rPr>
        <w:t>”</w:t>
      </w:r>
      <w:r w:rsidRPr="00BE021E">
        <w:rPr>
          <w:rStyle w:val="Refdenotaalpie"/>
          <w:rFonts w:ascii="Verdana" w:eastAsia="Calibri" w:hAnsi="Verdana" w:cs="Arial"/>
          <w:lang w:val="es-ES"/>
        </w:rPr>
        <w:footnoteReference w:id="2"/>
      </w:r>
      <w:r w:rsidRPr="00BE021E">
        <w:rPr>
          <w:rFonts w:ascii="Verdana" w:eastAsia="Calibri" w:hAnsi="Verdana" w:cs="Arial"/>
          <w:lang w:val="es-ES"/>
        </w:rPr>
        <w:t xml:space="preserve">. </w:t>
      </w:r>
    </w:p>
    <w:p w14:paraId="114B611C" w14:textId="77777777" w:rsidR="00CC0DC2" w:rsidRPr="00BE021E" w:rsidRDefault="00CC0DC2" w:rsidP="00CC0DC2">
      <w:pPr>
        <w:widowControl w:val="0"/>
        <w:autoSpaceDE w:val="0"/>
        <w:autoSpaceDN w:val="0"/>
        <w:spacing w:after="120" w:line="276" w:lineRule="auto"/>
        <w:ind w:firstLine="708"/>
        <w:jc w:val="both"/>
        <w:rPr>
          <w:rFonts w:ascii="Verdana" w:eastAsia="Calibri" w:hAnsi="Verdana" w:cs="Arial"/>
          <w:lang w:val="es-ES"/>
        </w:rPr>
      </w:pPr>
      <w:r w:rsidRPr="00BE021E">
        <w:rPr>
          <w:rFonts w:ascii="Verdana" w:eastAsia="Calibri" w:hAnsi="Verdana" w:cs="Arial"/>
          <w:lang w:val="es-ES"/>
        </w:rPr>
        <w:t>De una parte, las inhabilidades son prohibiciones para concurrir a los procedimientos de selección y para contratar con el Estado, que se derivan i) de la existencia de comportamientos reprochables o de sanciones anteriormente impuestas</w:t>
      </w:r>
      <w:r w:rsidRPr="00BE021E">
        <w:rPr>
          <w:rFonts w:ascii="Verdana" w:eastAsia="Calibri" w:hAnsi="Verdana" w:cs="Arial"/>
          <w:vertAlign w:val="superscript"/>
          <w:lang w:val="es-ES"/>
        </w:rPr>
        <w:footnoteReference w:id="3"/>
      </w:r>
      <w:r w:rsidRPr="00BE021E">
        <w:rPr>
          <w:rFonts w:ascii="Verdana" w:eastAsia="Calibri" w:hAnsi="Verdana" w:cs="Arial"/>
          <w:lang w:val="es-ES"/>
        </w:rPr>
        <w:t>, ii) de vínculos personales relativos al parentesco o al estado civil</w:t>
      </w:r>
      <w:r w:rsidRPr="00BE021E">
        <w:rPr>
          <w:rFonts w:ascii="Verdana" w:eastAsia="Calibri" w:hAnsi="Verdana" w:cs="Arial"/>
          <w:vertAlign w:val="superscript"/>
          <w:lang w:val="es-ES"/>
        </w:rPr>
        <w:footnoteReference w:id="4"/>
      </w:r>
      <w:r w:rsidRPr="00BE021E">
        <w:rPr>
          <w:rFonts w:ascii="Verdana" w:eastAsia="Calibri" w:hAnsi="Verdana" w:cs="Arial"/>
          <w:lang w:val="es-ES"/>
        </w:rPr>
        <w:t xml:space="preserve"> o </w:t>
      </w:r>
      <w:r w:rsidRPr="00BE021E">
        <w:rPr>
          <w:rFonts w:ascii="Verdana" w:eastAsia="Calibri" w:hAnsi="Verdana" w:cs="Arial"/>
          <w:lang w:val="es-ES"/>
        </w:rPr>
        <w:lastRenderedPageBreak/>
        <w:t>iii) de una actividad u oficio que se desempeñó en el pasado</w:t>
      </w:r>
      <w:r w:rsidRPr="00BE021E">
        <w:rPr>
          <w:rFonts w:ascii="Verdana" w:eastAsia="Calibri" w:hAnsi="Verdana" w:cs="Arial"/>
          <w:vertAlign w:val="superscript"/>
          <w:lang w:val="es-ES"/>
        </w:rPr>
        <w:footnoteReference w:id="5"/>
      </w:r>
      <w:r w:rsidRPr="00BE021E">
        <w:rPr>
          <w:rFonts w:ascii="Verdana" w:eastAsia="Calibri" w:hAnsi="Verdana" w:cs="Arial"/>
          <w:lang w:val="es-ES"/>
        </w:rPr>
        <w:t>. De otra, las incompatibilidades son prohibiciones para participar en los procedimientos de selección y para celebrar contratos estatales, fundadas en la presencia de una calidad que ostenta el sujeto interesado en realizar alguna de dichas actividades, que no puede coexistir con su calidad de proponente o contratista del Estado</w:t>
      </w:r>
      <w:r w:rsidRPr="00BE021E">
        <w:rPr>
          <w:rFonts w:ascii="Verdana" w:eastAsia="Calibri" w:hAnsi="Verdana" w:cs="Arial"/>
          <w:vertAlign w:val="superscript"/>
          <w:lang w:val="es-ES"/>
        </w:rPr>
        <w:footnoteReference w:id="6"/>
      </w:r>
      <w:r w:rsidRPr="00BE021E">
        <w:rPr>
          <w:rFonts w:ascii="Verdana" w:eastAsia="Calibri" w:hAnsi="Verdana" w:cs="Arial"/>
          <w:lang w:val="es-ES"/>
        </w:rPr>
        <w:t>.</w:t>
      </w:r>
      <w:r>
        <w:rPr>
          <w:rFonts w:ascii="Verdana" w:eastAsia="Calibri" w:hAnsi="Verdana" w:cs="Arial"/>
          <w:lang w:val="es-ES"/>
        </w:rPr>
        <w:t xml:space="preserve"> Tanto las inhabilidades como las incompatibilidades se encuentran principalmente en el artículo 8 de la Ley 80 de 1993.</w:t>
      </w:r>
    </w:p>
    <w:p w14:paraId="13D935E8" w14:textId="77777777" w:rsidR="00CC0DC2" w:rsidRDefault="00CC0DC2" w:rsidP="00CC0DC2">
      <w:pPr>
        <w:widowControl w:val="0"/>
        <w:autoSpaceDE w:val="0"/>
        <w:autoSpaceDN w:val="0"/>
        <w:spacing w:after="120" w:line="276" w:lineRule="auto"/>
        <w:jc w:val="both"/>
        <w:rPr>
          <w:rFonts w:ascii="Verdana" w:eastAsia="Calibri" w:hAnsi="Verdana" w:cs="Arial"/>
          <w:color w:val="7030A0"/>
          <w:lang w:val="es-ES"/>
        </w:rPr>
      </w:pPr>
      <w:r w:rsidRPr="00BE021E">
        <w:rPr>
          <w:rFonts w:ascii="Verdana" w:eastAsia="Calibri" w:hAnsi="Verdana" w:cs="Arial"/>
          <w:lang w:val="es-ES"/>
        </w:rPr>
        <w:tab/>
        <w:t xml:space="preserve">Debido a las restricciones que impone el régimen de inhabilidades e </w:t>
      </w:r>
      <w:r w:rsidRPr="00BE021E">
        <w:rPr>
          <w:rFonts w:ascii="Verdana" w:eastAsia="Calibri" w:hAnsi="Verdana" w:cs="Arial"/>
          <w:lang w:val="es-ES"/>
        </w:rPr>
        <w:lastRenderedPageBreak/>
        <w:t>incompatibilidades, este se tipifica en la Ley expresamente y su interpretación debe ser restrictiva. Es decir, las causales de inhabilidad e i</w:t>
      </w:r>
      <w:r>
        <w:rPr>
          <w:rFonts w:ascii="Verdana" w:eastAsia="Calibri" w:hAnsi="Verdana" w:cs="Arial"/>
          <w:lang w:val="es-ES"/>
        </w:rPr>
        <w:t xml:space="preserve">ncompatibilidad </w:t>
      </w:r>
      <w:r w:rsidRPr="00BE021E">
        <w:rPr>
          <w:rFonts w:ascii="Verdana" w:eastAsia="Calibri" w:hAnsi="Verdana" w:cs="Arial"/>
          <w:lang w:val="es-ES"/>
        </w:rPr>
        <w:t>deben estar enunciadas en las normas de forma taxativa y al aplicarse en una situación particular su interpretación debe ser restrictiva, de tal forma que no se admita una interpretación amplia o extensiva que permita contemplar supuestos indeterminados como causales de inhabilidad o impedimentos.</w:t>
      </w:r>
    </w:p>
    <w:p w14:paraId="0EF5CABE" w14:textId="77777777" w:rsidR="00CC0DC2" w:rsidRDefault="00CC0DC2" w:rsidP="00CC0DC2">
      <w:pPr>
        <w:widowControl w:val="0"/>
        <w:autoSpaceDE w:val="0"/>
        <w:autoSpaceDN w:val="0"/>
        <w:spacing w:after="120" w:line="276" w:lineRule="auto"/>
        <w:ind w:firstLine="708"/>
        <w:jc w:val="both"/>
        <w:rPr>
          <w:rFonts w:ascii="Verdana" w:eastAsia="Arial MT" w:hAnsi="Verdana" w:cs="Arial"/>
        </w:rPr>
      </w:pPr>
      <w:r>
        <w:rPr>
          <w:rFonts w:ascii="Verdana" w:eastAsia="Arial MT" w:hAnsi="Verdana" w:cs="Arial"/>
        </w:rPr>
        <w:t>E</w:t>
      </w:r>
      <w:r w:rsidRPr="006A09D6">
        <w:rPr>
          <w:rFonts w:ascii="Verdana" w:eastAsia="Arial MT" w:hAnsi="Verdana" w:cs="Arial"/>
        </w:rPr>
        <w:t>l</w:t>
      </w:r>
      <w:r w:rsidRPr="006A09D6">
        <w:rPr>
          <w:rFonts w:ascii="Verdana" w:eastAsia="Arial MT" w:hAnsi="Verdana" w:cs="Arial"/>
          <w:spacing w:val="-10"/>
        </w:rPr>
        <w:t xml:space="preserve"> </w:t>
      </w:r>
      <w:r w:rsidRPr="006A09D6">
        <w:rPr>
          <w:rFonts w:ascii="Verdana" w:eastAsia="Arial MT" w:hAnsi="Verdana" w:cs="Arial"/>
        </w:rPr>
        <w:t>máximo</w:t>
      </w:r>
      <w:r w:rsidRPr="006A09D6">
        <w:rPr>
          <w:rFonts w:ascii="Verdana" w:eastAsia="Arial MT" w:hAnsi="Verdana" w:cs="Arial"/>
          <w:spacing w:val="-10"/>
        </w:rPr>
        <w:t xml:space="preserve"> </w:t>
      </w:r>
      <w:r w:rsidRPr="006A09D6">
        <w:rPr>
          <w:rFonts w:ascii="Verdana" w:eastAsia="Arial MT" w:hAnsi="Verdana" w:cs="Arial"/>
        </w:rPr>
        <w:t>tribunal</w:t>
      </w:r>
      <w:r w:rsidRPr="006A09D6">
        <w:rPr>
          <w:rFonts w:ascii="Verdana" w:eastAsia="Arial MT" w:hAnsi="Verdana" w:cs="Arial"/>
          <w:spacing w:val="-9"/>
        </w:rPr>
        <w:t xml:space="preserve"> </w:t>
      </w:r>
      <w:r w:rsidRPr="006A09D6">
        <w:rPr>
          <w:rFonts w:ascii="Verdana" w:eastAsia="Arial MT" w:hAnsi="Verdana" w:cs="Arial"/>
        </w:rPr>
        <w:t>constitucional ha indicado que, al tratar de precisar el sentido de este tipo de normas, “[…] el intérprete de las disposiciones legislativas en la materia ha de ceñirse en la mayor medida posible al tenor literal y gramatical de los enunciados normativos, sin que pueda acudir prima facie a criterios interpretativos tales como la analogía, la interpretación extensiva para ampliar el alcance de las causales legalmente fijadas”</w:t>
      </w:r>
      <w:r w:rsidRPr="006A09D6">
        <w:rPr>
          <w:rFonts w:ascii="Verdana" w:eastAsia="Arial MT" w:hAnsi="Verdana" w:cs="Arial"/>
          <w:vertAlign w:val="superscript"/>
        </w:rPr>
        <w:footnoteReference w:id="7"/>
      </w:r>
      <w:r w:rsidRPr="006A09D6">
        <w:rPr>
          <w:rFonts w:ascii="Verdana" w:eastAsia="Arial MT" w:hAnsi="Verdana" w:cs="Arial"/>
        </w:rPr>
        <w:t xml:space="preserve">. </w:t>
      </w:r>
    </w:p>
    <w:p w14:paraId="066F9D1D" w14:textId="77777777" w:rsidR="00CC0DC2" w:rsidRPr="006A09D6" w:rsidRDefault="00CC0DC2" w:rsidP="00CC0DC2">
      <w:pPr>
        <w:widowControl w:val="0"/>
        <w:autoSpaceDE w:val="0"/>
        <w:autoSpaceDN w:val="0"/>
        <w:spacing w:before="120" w:after="0" w:line="276" w:lineRule="auto"/>
        <w:ind w:firstLine="708"/>
        <w:jc w:val="both"/>
        <w:rPr>
          <w:rFonts w:ascii="Verdana" w:eastAsia="Arial MT" w:hAnsi="Verdana" w:cs="Arial"/>
        </w:rPr>
      </w:pPr>
      <w:r w:rsidRPr="006A09D6">
        <w:rPr>
          <w:rFonts w:ascii="Verdana" w:eastAsia="Arial MT" w:hAnsi="Verdana" w:cs="Arial"/>
        </w:rPr>
        <w:t>Por su parte, el Consejo de Estado también ha acogido este criterio, considerando –como expresa la Sala de Consulta y Servicio Civil–, que “La interpretación restrictiva de las normas que establecen inhabilidades constituye una aplicación del principio del Estado de Derecho previsto en el artículo 6º de la Constitución, según el cual “Los particulares sólo son responsables ante las autoridades por infringir la Constitución y las leyes” lo que se traduce en que “pueden hacer todo aquello que no les esté expresamente prohibido”</w:t>
      </w:r>
      <w:r w:rsidRPr="006A09D6">
        <w:rPr>
          <w:rFonts w:ascii="Verdana" w:eastAsia="Arial MT" w:hAnsi="Verdana" w:cs="Arial"/>
          <w:vertAlign w:val="superscript"/>
        </w:rPr>
        <w:footnoteReference w:id="8"/>
      </w:r>
      <w:r w:rsidRPr="006A09D6">
        <w:rPr>
          <w:rFonts w:ascii="Verdana" w:eastAsia="Arial MT" w:hAnsi="Verdana" w:cs="Arial"/>
        </w:rPr>
        <w:t>. En tal sentido, la Sección Tercera ha señalado que:</w:t>
      </w:r>
    </w:p>
    <w:p w14:paraId="02EB1CF5" w14:textId="77777777" w:rsidR="00CC0DC2" w:rsidRPr="006579CD" w:rsidRDefault="00CC0DC2" w:rsidP="00CC0DC2">
      <w:pPr>
        <w:widowControl w:val="0"/>
        <w:autoSpaceDE w:val="0"/>
        <w:autoSpaceDN w:val="0"/>
        <w:spacing w:after="0" w:line="276" w:lineRule="auto"/>
        <w:ind w:firstLine="708"/>
        <w:jc w:val="both"/>
        <w:rPr>
          <w:rFonts w:ascii="Verdana" w:eastAsia="Arial MT" w:hAnsi="Verdana" w:cs="Arial"/>
        </w:rPr>
      </w:pPr>
    </w:p>
    <w:p w14:paraId="10C2980E" w14:textId="77777777" w:rsidR="00CC0DC2" w:rsidRPr="006A09D6" w:rsidRDefault="00CC0DC2" w:rsidP="00CC0DC2">
      <w:pPr>
        <w:widowControl w:val="0"/>
        <w:autoSpaceDE w:val="0"/>
        <w:autoSpaceDN w:val="0"/>
        <w:spacing w:after="0" w:line="240" w:lineRule="auto"/>
        <w:ind w:left="709" w:right="709"/>
        <w:jc w:val="both"/>
        <w:rPr>
          <w:rFonts w:ascii="Verdana" w:eastAsia="Calibri" w:hAnsi="Verdana" w:cs="Arial"/>
          <w:sz w:val="20"/>
          <w:szCs w:val="20"/>
        </w:rPr>
      </w:pPr>
      <w:r w:rsidRPr="006A09D6">
        <w:rPr>
          <w:rFonts w:ascii="Verdana" w:eastAsia="Arial MT" w:hAnsi="Verdana" w:cs="Arial"/>
          <w:sz w:val="20"/>
          <w:szCs w:val="20"/>
        </w:rPr>
        <w:t>“[…]</w:t>
      </w:r>
      <w:r w:rsidRPr="006A09D6">
        <w:rPr>
          <w:rFonts w:ascii="Verdana" w:eastAsia="Arial MT" w:hAnsi="Verdana" w:cs="Arial"/>
          <w:spacing w:val="1"/>
          <w:sz w:val="20"/>
          <w:szCs w:val="20"/>
        </w:rPr>
        <w:t xml:space="preserve"> </w:t>
      </w:r>
      <w:r w:rsidRPr="006A09D6">
        <w:rPr>
          <w:rFonts w:ascii="Verdana" w:eastAsia="Arial MT" w:hAnsi="Verdana" w:cs="Arial"/>
          <w:sz w:val="20"/>
          <w:szCs w:val="20"/>
        </w:rPr>
        <w:t>de</w:t>
      </w:r>
      <w:r w:rsidRPr="006A09D6">
        <w:rPr>
          <w:rFonts w:ascii="Verdana" w:eastAsia="Arial MT" w:hAnsi="Verdana" w:cs="Arial"/>
          <w:spacing w:val="1"/>
          <w:sz w:val="20"/>
          <w:szCs w:val="20"/>
        </w:rPr>
        <w:t xml:space="preserve"> </w:t>
      </w:r>
      <w:r w:rsidRPr="006A09D6">
        <w:rPr>
          <w:rFonts w:ascii="Verdana" w:eastAsia="Arial MT" w:hAnsi="Verdana" w:cs="Arial"/>
          <w:sz w:val="20"/>
          <w:szCs w:val="20"/>
        </w:rPr>
        <w:t>conformidad</w:t>
      </w:r>
      <w:r w:rsidRPr="006A09D6">
        <w:rPr>
          <w:rFonts w:ascii="Verdana" w:eastAsia="Arial MT" w:hAnsi="Verdana" w:cs="Arial"/>
          <w:spacing w:val="1"/>
          <w:sz w:val="20"/>
          <w:szCs w:val="20"/>
        </w:rPr>
        <w:t xml:space="preserve"> </w:t>
      </w:r>
      <w:r w:rsidRPr="006A09D6">
        <w:rPr>
          <w:rFonts w:ascii="Verdana" w:eastAsia="Arial MT" w:hAnsi="Verdana" w:cs="Arial"/>
          <w:sz w:val="20"/>
          <w:szCs w:val="20"/>
        </w:rPr>
        <w:t>con</w:t>
      </w:r>
      <w:r w:rsidRPr="006A09D6">
        <w:rPr>
          <w:rFonts w:ascii="Verdana" w:eastAsia="Arial MT" w:hAnsi="Verdana" w:cs="Arial"/>
          <w:spacing w:val="1"/>
          <w:sz w:val="20"/>
          <w:szCs w:val="20"/>
        </w:rPr>
        <w:t xml:space="preserve"> </w:t>
      </w:r>
      <w:r w:rsidRPr="006A09D6">
        <w:rPr>
          <w:rFonts w:ascii="Verdana" w:eastAsia="Arial MT" w:hAnsi="Verdana" w:cs="Arial"/>
          <w:sz w:val="20"/>
          <w:szCs w:val="20"/>
        </w:rPr>
        <w:t>la</w:t>
      </w:r>
      <w:r w:rsidRPr="006A09D6">
        <w:rPr>
          <w:rFonts w:ascii="Verdana" w:eastAsia="Arial MT" w:hAnsi="Verdana" w:cs="Arial"/>
          <w:spacing w:val="1"/>
          <w:sz w:val="20"/>
          <w:szCs w:val="20"/>
        </w:rPr>
        <w:t xml:space="preserve"> </w:t>
      </w:r>
      <w:r w:rsidRPr="006A09D6">
        <w:rPr>
          <w:rFonts w:ascii="Verdana" w:eastAsia="Arial MT" w:hAnsi="Verdana" w:cs="Arial"/>
          <w:sz w:val="20"/>
          <w:szCs w:val="20"/>
        </w:rPr>
        <w:t>jurisprudencia</w:t>
      </w:r>
      <w:r w:rsidRPr="006A09D6">
        <w:rPr>
          <w:rFonts w:ascii="Verdana" w:eastAsia="Arial MT" w:hAnsi="Verdana" w:cs="Arial"/>
          <w:spacing w:val="1"/>
          <w:sz w:val="20"/>
          <w:szCs w:val="20"/>
        </w:rPr>
        <w:t xml:space="preserve"> </w:t>
      </w:r>
      <w:r w:rsidRPr="006A09D6">
        <w:rPr>
          <w:rFonts w:ascii="Verdana" w:eastAsia="Arial MT" w:hAnsi="Verdana" w:cs="Arial"/>
          <w:sz w:val="20"/>
          <w:szCs w:val="20"/>
        </w:rPr>
        <w:t>uniforme</w:t>
      </w:r>
      <w:r w:rsidRPr="006A09D6">
        <w:rPr>
          <w:rFonts w:ascii="Verdana" w:eastAsia="Arial MT" w:hAnsi="Verdana" w:cs="Arial"/>
          <w:spacing w:val="1"/>
          <w:sz w:val="20"/>
          <w:szCs w:val="20"/>
        </w:rPr>
        <w:t xml:space="preserve"> </w:t>
      </w:r>
      <w:r w:rsidRPr="006A09D6">
        <w:rPr>
          <w:rFonts w:ascii="Verdana" w:eastAsia="Arial MT" w:hAnsi="Verdana" w:cs="Arial"/>
          <w:sz w:val="20"/>
          <w:szCs w:val="20"/>
        </w:rPr>
        <w:t>y</w:t>
      </w:r>
      <w:r w:rsidRPr="006A09D6">
        <w:rPr>
          <w:rFonts w:ascii="Verdana" w:eastAsia="Arial MT" w:hAnsi="Verdana" w:cs="Arial"/>
          <w:spacing w:val="1"/>
          <w:sz w:val="20"/>
          <w:szCs w:val="20"/>
        </w:rPr>
        <w:t xml:space="preserve"> </w:t>
      </w:r>
      <w:r w:rsidRPr="006A09D6">
        <w:rPr>
          <w:rFonts w:ascii="Verdana" w:eastAsia="Arial MT" w:hAnsi="Verdana" w:cs="Arial"/>
          <w:sz w:val="20"/>
          <w:szCs w:val="20"/>
        </w:rPr>
        <w:t>reiterada</w:t>
      </w:r>
      <w:r w:rsidRPr="006A09D6">
        <w:rPr>
          <w:rFonts w:ascii="Verdana" w:eastAsia="Arial MT" w:hAnsi="Verdana" w:cs="Arial"/>
          <w:spacing w:val="1"/>
          <w:sz w:val="20"/>
          <w:szCs w:val="20"/>
        </w:rPr>
        <w:t xml:space="preserve"> </w:t>
      </w:r>
      <w:r w:rsidRPr="006A09D6">
        <w:rPr>
          <w:rFonts w:ascii="Verdana" w:eastAsia="Arial MT" w:hAnsi="Verdana" w:cs="Arial"/>
          <w:sz w:val="20"/>
          <w:szCs w:val="20"/>
        </w:rPr>
        <w:t>de</w:t>
      </w:r>
      <w:r w:rsidRPr="006A09D6">
        <w:rPr>
          <w:rFonts w:ascii="Verdana" w:eastAsia="Arial MT" w:hAnsi="Verdana" w:cs="Arial"/>
          <w:spacing w:val="1"/>
          <w:sz w:val="20"/>
          <w:szCs w:val="20"/>
        </w:rPr>
        <w:t xml:space="preserve"> </w:t>
      </w:r>
      <w:r w:rsidRPr="006A09D6">
        <w:rPr>
          <w:rFonts w:ascii="Verdana" w:eastAsia="Arial MT" w:hAnsi="Verdana" w:cs="Arial"/>
          <w:sz w:val="20"/>
          <w:szCs w:val="20"/>
        </w:rPr>
        <w:t>esta</w:t>
      </w:r>
      <w:r w:rsidRPr="006A09D6">
        <w:rPr>
          <w:rFonts w:ascii="Verdana" w:eastAsia="Arial MT" w:hAnsi="Verdana" w:cs="Arial"/>
          <w:spacing w:val="-56"/>
          <w:sz w:val="20"/>
          <w:szCs w:val="20"/>
        </w:rPr>
        <w:t xml:space="preserve"> </w:t>
      </w:r>
      <w:r w:rsidRPr="006A09D6">
        <w:rPr>
          <w:rFonts w:ascii="Verdana" w:eastAsia="Arial MT" w:hAnsi="Verdana" w:cs="Arial"/>
          <w:sz w:val="20"/>
          <w:szCs w:val="20"/>
        </w:rPr>
        <w:t>Corporación, la aplicación de las normas que contemplan inhabilidades e</w:t>
      </w:r>
      <w:r w:rsidRPr="006A09D6">
        <w:rPr>
          <w:rFonts w:ascii="Verdana" w:eastAsia="Arial MT" w:hAnsi="Verdana" w:cs="Arial"/>
          <w:spacing w:val="1"/>
          <w:sz w:val="20"/>
          <w:szCs w:val="20"/>
        </w:rPr>
        <w:t xml:space="preserve"> </w:t>
      </w:r>
      <w:r w:rsidRPr="006A09D6">
        <w:rPr>
          <w:rFonts w:ascii="Verdana" w:eastAsia="Arial MT" w:hAnsi="Verdana" w:cs="Arial"/>
          <w:sz w:val="20"/>
          <w:szCs w:val="20"/>
        </w:rPr>
        <w:t>incompatibilidades,</w:t>
      </w:r>
      <w:r w:rsidRPr="006A09D6">
        <w:rPr>
          <w:rFonts w:ascii="Verdana" w:eastAsia="Arial MT" w:hAnsi="Verdana" w:cs="Arial"/>
          <w:spacing w:val="1"/>
          <w:sz w:val="20"/>
          <w:szCs w:val="20"/>
        </w:rPr>
        <w:t xml:space="preserve"> </w:t>
      </w:r>
      <w:r w:rsidRPr="006A09D6">
        <w:rPr>
          <w:rFonts w:ascii="Verdana" w:eastAsia="Arial MT" w:hAnsi="Verdana" w:cs="Arial"/>
          <w:sz w:val="20"/>
          <w:szCs w:val="20"/>
        </w:rPr>
        <w:t>como</w:t>
      </w:r>
      <w:r w:rsidRPr="006A09D6">
        <w:rPr>
          <w:rFonts w:ascii="Verdana" w:eastAsia="Arial MT" w:hAnsi="Verdana" w:cs="Arial"/>
          <w:spacing w:val="1"/>
          <w:sz w:val="20"/>
          <w:szCs w:val="20"/>
        </w:rPr>
        <w:t xml:space="preserve"> </w:t>
      </w:r>
      <w:r w:rsidRPr="006A09D6">
        <w:rPr>
          <w:rFonts w:ascii="Verdana" w:eastAsia="Arial MT" w:hAnsi="Verdana" w:cs="Arial"/>
          <w:sz w:val="20"/>
          <w:szCs w:val="20"/>
        </w:rPr>
        <w:t>en</w:t>
      </w:r>
      <w:r w:rsidRPr="006A09D6">
        <w:rPr>
          <w:rFonts w:ascii="Verdana" w:eastAsia="Arial MT" w:hAnsi="Verdana" w:cs="Arial"/>
          <w:spacing w:val="1"/>
          <w:sz w:val="20"/>
          <w:szCs w:val="20"/>
        </w:rPr>
        <w:t xml:space="preserve"> </w:t>
      </w:r>
      <w:r w:rsidRPr="006A09D6">
        <w:rPr>
          <w:rFonts w:ascii="Verdana" w:eastAsia="Arial MT" w:hAnsi="Verdana" w:cs="Arial"/>
          <w:sz w:val="20"/>
          <w:szCs w:val="20"/>
        </w:rPr>
        <w:t>general</w:t>
      </w:r>
      <w:r w:rsidRPr="006A09D6">
        <w:rPr>
          <w:rFonts w:ascii="Verdana" w:eastAsia="Arial MT" w:hAnsi="Verdana" w:cs="Arial"/>
          <w:spacing w:val="1"/>
          <w:sz w:val="20"/>
          <w:szCs w:val="20"/>
        </w:rPr>
        <w:t xml:space="preserve"> </w:t>
      </w:r>
      <w:r w:rsidRPr="006A09D6">
        <w:rPr>
          <w:rFonts w:ascii="Verdana" w:eastAsia="Arial MT" w:hAnsi="Verdana" w:cs="Arial"/>
          <w:sz w:val="20"/>
          <w:szCs w:val="20"/>
        </w:rPr>
        <w:t>de</w:t>
      </w:r>
      <w:r w:rsidRPr="006A09D6">
        <w:rPr>
          <w:rFonts w:ascii="Verdana" w:eastAsia="Arial MT" w:hAnsi="Verdana" w:cs="Arial"/>
          <w:spacing w:val="1"/>
          <w:sz w:val="20"/>
          <w:szCs w:val="20"/>
        </w:rPr>
        <w:t xml:space="preserve"> </w:t>
      </w:r>
      <w:r w:rsidRPr="006A09D6">
        <w:rPr>
          <w:rFonts w:ascii="Verdana" w:eastAsia="Arial MT" w:hAnsi="Verdana" w:cs="Arial"/>
          <w:sz w:val="20"/>
          <w:szCs w:val="20"/>
        </w:rPr>
        <w:t>todas</w:t>
      </w:r>
      <w:r w:rsidRPr="006A09D6">
        <w:rPr>
          <w:rFonts w:ascii="Verdana" w:eastAsia="Arial MT" w:hAnsi="Verdana" w:cs="Arial"/>
          <w:spacing w:val="1"/>
          <w:sz w:val="20"/>
          <w:szCs w:val="20"/>
        </w:rPr>
        <w:t xml:space="preserve"> </w:t>
      </w:r>
      <w:r w:rsidRPr="006A09D6">
        <w:rPr>
          <w:rFonts w:ascii="Verdana" w:eastAsia="Arial MT" w:hAnsi="Verdana" w:cs="Arial"/>
          <w:sz w:val="20"/>
          <w:szCs w:val="20"/>
        </w:rPr>
        <w:t>aquellas</w:t>
      </w:r>
      <w:r w:rsidRPr="006A09D6">
        <w:rPr>
          <w:rFonts w:ascii="Verdana" w:eastAsia="Arial MT" w:hAnsi="Verdana" w:cs="Arial"/>
          <w:spacing w:val="1"/>
          <w:sz w:val="20"/>
          <w:szCs w:val="20"/>
        </w:rPr>
        <w:t xml:space="preserve"> </w:t>
      </w:r>
      <w:r w:rsidRPr="006A09D6">
        <w:rPr>
          <w:rFonts w:ascii="Verdana" w:eastAsia="Arial MT" w:hAnsi="Verdana" w:cs="Arial"/>
          <w:sz w:val="20"/>
          <w:szCs w:val="20"/>
        </w:rPr>
        <w:t>que</w:t>
      </w:r>
      <w:r w:rsidRPr="006A09D6">
        <w:rPr>
          <w:rFonts w:ascii="Verdana" w:eastAsia="Arial MT" w:hAnsi="Verdana" w:cs="Arial"/>
          <w:spacing w:val="1"/>
          <w:sz w:val="20"/>
          <w:szCs w:val="20"/>
        </w:rPr>
        <w:t xml:space="preserve"> </w:t>
      </w:r>
      <w:r w:rsidRPr="006A09D6">
        <w:rPr>
          <w:rFonts w:ascii="Verdana" w:eastAsia="Arial MT" w:hAnsi="Verdana" w:cs="Arial"/>
          <w:sz w:val="20"/>
          <w:szCs w:val="20"/>
        </w:rPr>
        <w:t>comportan</w:t>
      </w:r>
      <w:r w:rsidRPr="006A09D6">
        <w:rPr>
          <w:rFonts w:ascii="Verdana" w:eastAsia="Arial MT" w:hAnsi="Verdana" w:cs="Arial"/>
          <w:spacing w:val="-56"/>
          <w:sz w:val="20"/>
          <w:szCs w:val="20"/>
        </w:rPr>
        <w:t xml:space="preserve"> </w:t>
      </w:r>
      <w:r w:rsidRPr="006A09D6">
        <w:rPr>
          <w:rFonts w:ascii="Verdana" w:eastAsia="Arial MT" w:hAnsi="Verdana" w:cs="Arial"/>
          <w:sz w:val="20"/>
          <w:szCs w:val="20"/>
        </w:rPr>
        <w:t>prohibiciones</w:t>
      </w:r>
      <w:r w:rsidRPr="006A09D6">
        <w:rPr>
          <w:rFonts w:ascii="Verdana" w:eastAsia="Arial MT" w:hAnsi="Verdana" w:cs="Arial"/>
          <w:spacing w:val="-12"/>
          <w:sz w:val="20"/>
          <w:szCs w:val="20"/>
        </w:rPr>
        <w:t xml:space="preserve"> </w:t>
      </w:r>
      <w:r w:rsidRPr="006A09D6">
        <w:rPr>
          <w:rFonts w:ascii="Verdana" w:eastAsia="Arial MT" w:hAnsi="Verdana" w:cs="Arial"/>
          <w:sz w:val="20"/>
          <w:szCs w:val="20"/>
        </w:rPr>
        <w:t>o</w:t>
      </w:r>
      <w:r w:rsidRPr="006A09D6">
        <w:rPr>
          <w:rFonts w:ascii="Verdana" w:eastAsia="Arial MT" w:hAnsi="Verdana" w:cs="Arial"/>
          <w:spacing w:val="-13"/>
          <w:sz w:val="20"/>
          <w:szCs w:val="20"/>
        </w:rPr>
        <w:t xml:space="preserve"> </w:t>
      </w:r>
      <w:r w:rsidRPr="006A09D6">
        <w:rPr>
          <w:rFonts w:ascii="Verdana" w:eastAsia="Arial MT" w:hAnsi="Verdana" w:cs="Arial"/>
          <w:sz w:val="20"/>
          <w:szCs w:val="20"/>
        </w:rPr>
        <w:t>limitaciones,</w:t>
      </w:r>
      <w:r w:rsidRPr="006A09D6">
        <w:rPr>
          <w:rFonts w:ascii="Verdana" w:eastAsia="Arial MT" w:hAnsi="Verdana" w:cs="Arial"/>
          <w:spacing w:val="-12"/>
          <w:sz w:val="20"/>
          <w:szCs w:val="20"/>
        </w:rPr>
        <w:t xml:space="preserve"> </w:t>
      </w:r>
      <w:r w:rsidRPr="006A09D6">
        <w:rPr>
          <w:rFonts w:ascii="Verdana" w:eastAsia="Arial MT" w:hAnsi="Verdana" w:cs="Arial"/>
          <w:sz w:val="20"/>
          <w:szCs w:val="20"/>
        </w:rPr>
        <w:t>deben</w:t>
      </w:r>
      <w:r w:rsidRPr="006A09D6">
        <w:rPr>
          <w:rFonts w:ascii="Verdana" w:eastAsia="Arial MT" w:hAnsi="Verdana" w:cs="Arial"/>
          <w:spacing w:val="-13"/>
          <w:sz w:val="20"/>
          <w:szCs w:val="20"/>
        </w:rPr>
        <w:t xml:space="preserve"> </w:t>
      </w:r>
      <w:r w:rsidRPr="006A09D6">
        <w:rPr>
          <w:rFonts w:ascii="Verdana" w:eastAsia="Arial MT" w:hAnsi="Verdana" w:cs="Arial"/>
          <w:sz w:val="20"/>
          <w:szCs w:val="20"/>
        </w:rPr>
        <w:t>responder</w:t>
      </w:r>
      <w:r w:rsidRPr="006A09D6">
        <w:rPr>
          <w:rFonts w:ascii="Verdana" w:eastAsia="Arial MT" w:hAnsi="Verdana" w:cs="Arial"/>
          <w:spacing w:val="-13"/>
          <w:sz w:val="20"/>
          <w:szCs w:val="20"/>
        </w:rPr>
        <w:t xml:space="preserve"> </w:t>
      </w:r>
      <w:r w:rsidRPr="006A09D6">
        <w:rPr>
          <w:rFonts w:ascii="Verdana" w:eastAsia="Arial MT" w:hAnsi="Verdana" w:cs="Arial"/>
          <w:sz w:val="20"/>
          <w:szCs w:val="20"/>
        </w:rPr>
        <w:t>a</w:t>
      </w:r>
      <w:r w:rsidRPr="006A09D6">
        <w:rPr>
          <w:rFonts w:ascii="Verdana" w:eastAsia="Arial MT" w:hAnsi="Verdana" w:cs="Arial"/>
          <w:spacing w:val="-12"/>
          <w:sz w:val="20"/>
          <w:szCs w:val="20"/>
        </w:rPr>
        <w:t xml:space="preserve"> </w:t>
      </w:r>
      <w:r w:rsidRPr="006A09D6">
        <w:rPr>
          <w:rFonts w:ascii="Verdana" w:eastAsia="Arial MT" w:hAnsi="Verdana" w:cs="Arial"/>
          <w:sz w:val="20"/>
          <w:szCs w:val="20"/>
        </w:rPr>
        <w:t>una</w:t>
      </w:r>
      <w:r w:rsidRPr="006A09D6">
        <w:rPr>
          <w:rFonts w:ascii="Verdana" w:eastAsia="Arial MT" w:hAnsi="Verdana" w:cs="Arial"/>
          <w:spacing w:val="-13"/>
          <w:sz w:val="20"/>
          <w:szCs w:val="20"/>
        </w:rPr>
        <w:t xml:space="preserve"> </w:t>
      </w:r>
      <w:r w:rsidRPr="006A09D6">
        <w:rPr>
          <w:rFonts w:ascii="Verdana" w:eastAsia="Arial MT" w:hAnsi="Verdana" w:cs="Arial"/>
          <w:sz w:val="20"/>
          <w:szCs w:val="20"/>
        </w:rPr>
        <w:t>interpretación</w:t>
      </w:r>
      <w:r w:rsidRPr="006A09D6">
        <w:rPr>
          <w:rFonts w:ascii="Verdana" w:eastAsia="Arial MT" w:hAnsi="Verdana" w:cs="Arial"/>
          <w:spacing w:val="-12"/>
          <w:sz w:val="20"/>
          <w:szCs w:val="20"/>
        </w:rPr>
        <w:t xml:space="preserve"> </w:t>
      </w:r>
      <w:r w:rsidRPr="006A09D6">
        <w:rPr>
          <w:rFonts w:ascii="Verdana" w:eastAsia="Arial MT" w:hAnsi="Verdana" w:cs="Arial"/>
          <w:sz w:val="20"/>
          <w:szCs w:val="20"/>
        </w:rPr>
        <w:t xml:space="preserve">restrictiva </w:t>
      </w:r>
      <w:r w:rsidRPr="006A09D6">
        <w:rPr>
          <w:rFonts w:ascii="Verdana" w:eastAsia="Calibri" w:hAnsi="Verdana" w:cs="Arial"/>
          <w:sz w:val="20"/>
          <w:szCs w:val="20"/>
        </w:rPr>
        <w:t>que</w:t>
      </w:r>
      <w:r w:rsidRPr="006A09D6">
        <w:rPr>
          <w:rFonts w:ascii="Verdana" w:eastAsia="Calibri" w:hAnsi="Verdana" w:cs="Arial"/>
          <w:spacing w:val="-6"/>
          <w:sz w:val="20"/>
          <w:szCs w:val="20"/>
        </w:rPr>
        <w:t xml:space="preserve"> </w:t>
      </w:r>
      <w:r w:rsidRPr="006A09D6">
        <w:rPr>
          <w:rFonts w:ascii="Verdana" w:eastAsia="Calibri" w:hAnsi="Verdana" w:cs="Arial"/>
          <w:sz w:val="20"/>
          <w:szCs w:val="20"/>
        </w:rPr>
        <w:t>no</w:t>
      </w:r>
      <w:r w:rsidRPr="006A09D6">
        <w:rPr>
          <w:rFonts w:ascii="Verdana" w:eastAsia="Calibri" w:hAnsi="Verdana" w:cs="Arial"/>
          <w:spacing w:val="-5"/>
          <w:sz w:val="20"/>
          <w:szCs w:val="20"/>
        </w:rPr>
        <w:t xml:space="preserve"> </w:t>
      </w:r>
      <w:r w:rsidRPr="006A09D6">
        <w:rPr>
          <w:rFonts w:ascii="Verdana" w:eastAsia="Calibri" w:hAnsi="Verdana" w:cs="Arial"/>
          <w:sz w:val="20"/>
          <w:szCs w:val="20"/>
        </w:rPr>
        <w:t>permite</w:t>
      </w:r>
      <w:r w:rsidRPr="006A09D6">
        <w:rPr>
          <w:rFonts w:ascii="Verdana" w:eastAsia="Calibri" w:hAnsi="Verdana" w:cs="Arial"/>
          <w:spacing w:val="-6"/>
          <w:sz w:val="20"/>
          <w:szCs w:val="20"/>
        </w:rPr>
        <w:t xml:space="preserve"> </w:t>
      </w:r>
      <w:r w:rsidRPr="006A09D6">
        <w:rPr>
          <w:rFonts w:ascii="Verdana" w:eastAsia="Calibri" w:hAnsi="Verdana" w:cs="Arial"/>
          <w:sz w:val="20"/>
          <w:szCs w:val="20"/>
        </w:rPr>
        <w:t>su</w:t>
      </w:r>
      <w:r w:rsidRPr="006A09D6">
        <w:rPr>
          <w:rFonts w:ascii="Verdana" w:eastAsia="Calibri" w:hAnsi="Verdana" w:cs="Arial"/>
          <w:spacing w:val="-5"/>
          <w:sz w:val="20"/>
          <w:szCs w:val="20"/>
        </w:rPr>
        <w:t xml:space="preserve"> </w:t>
      </w:r>
      <w:r w:rsidRPr="006A09D6">
        <w:rPr>
          <w:rFonts w:ascii="Verdana" w:eastAsia="Calibri" w:hAnsi="Verdana" w:cs="Arial"/>
          <w:sz w:val="20"/>
          <w:szCs w:val="20"/>
        </w:rPr>
        <w:t>extensión,</w:t>
      </w:r>
      <w:r w:rsidRPr="006A09D6">
        <w:rPr>
          <w:rFonts w:ascii="Verdana" w:eastAsia="Calibri" w:hAnsi="Verdana" w:cs="Arial"/>
          <w:spacing w:val="-6"/>
          <w:sz w:val="20"/>
          <w:szCs w:val="20"/>
        </w:rPr>
        <w:t xml:space="preserve"> </w:t>
      </w:r>
      <w:r w:rsidRPr="006A09D6">
        <w:rPr>
          <w:rFonts w:ascii="Verdana" w:eastAsia="Calibri" w:hAnsi="Verdana" w:cs="Arial"/>
          <w:sz w:val="20"/>
          <w:szCs w:val="20"/>
        </w:rPr>
        <w:t>por</w:t>
      </w:r>
      <w:r w:rsidRPr="006A09D6">
        <w:rPr>
          <w:rFonts w:ascii="Verdana" w:eastAsia="Calibri" w:hAnsi="Verdana" w:cs="Arial"/>
          <w:spacing w:val="-5"/>
          <w:sz w:val="20"/>
          <w:szCs w:val="20"/>
        </w:rPr>
        <w:t xml:space="preserve"> </w:t>
      </w:r>
      <w:r w:rsidRPr="006A09D6">
        <w:rPr>
          <w:rFonts w:ascii="Verdana" w:eastAsia="Calibri" w:hAnsi="Verdana" w:cs="Arial"/>
          <w:sz w:val="20"/>
          <w:szCs w:val="20"/>
        </w:rPr>
        <w:t>vía</w:t>
      </w:r>
      <w:r w:rsidRPr="006A09D6">
        <w:rPr>
          <w:rFonts w:ascii="Verdana" w:eastAsia="Calibri" w:hAnsi="Verdana" w:cs="Arial"/>
          <w:spacing w:val="-6"/>
          <w:sz w:val="20"/>
          <w:szCs w:val="20"/>
        </w:rPr>
        <w:t xml:space="preserve"> </w:t>
      </w:r>
      <w:r w:rsidRPr="006A09D6">
        <w:rPr>
          <w:rFonts w:ascii="Verdana" w:eastAsia="Calibri" w:hAnsi="Verdana" w:cs="Arial"/>
          <w:sz w:val="20"/>
          <w:szCs w:val="20"/>
        </w:rPr>
        <w:t>de</w:t>
      </w:r>
      <w:r w:rsidRPr="006A09D6">
        <w:rPr>
          <w:rFonts w:ascii="Verdana" w:eastAsia="Calibri" w:hAnsi="Verdana" w:cs="Arial"/>
          <w:spacing w:val="-5"/>
          <w:sz w:val="20"/>
          <w:szCs w:val="20"/>
        </w:rPr>
        <w:t xml:space="preserve"> </w:t>
      </w:r>
      <w:r w:rsidRPr="006A09D6">
        <w:rPr>
          <w:rFonts w:ascii="Verdana" w:eastAsia="Calibri" w:hAnsi="Verdana" w:cs="Arial"/>
          <w:sz w:val="20"/>
          <w:szCs w:val="20"/>
        </w:rPr>
        <w:t>la</w:t>
      </w:r>
      <w:r w:rsidRPr="006A09D6">
        <w:rPr>
          <w:rFonts w:ascii="Verdana" w:eastAsia="Calibri" w:hAnsi="Verdana" w:cs="Arial"/>
          <w:spacing w:val="-6"/>
          <w:sz w:val="20"/>
          <w:szCs w:val="20"/>
        </w:rPr>
        <w:t xml:space="preserve"> </w:t>
      </w:r>
      <w:r w:rsidRPr="006A09D6">
        <w:rPr>
          <w:rFonts w:ascii="Verdana" w:eastAsia="Calibri" w:hAnsi="Verdana" w:cs="Arial"/>
          <w:sz w:val="20"/>
          <w:szCs w:val="20"/>
        </w:rPr>
        <w:t>figura</w:t>
      </w:r>
      <w:r w:rsidRPr="006A09D6">
        <w:rPr>
          <w:rFonts w:ascii="Verdana" w:eastAsia="Calibri" w:hAnsi="Verdana" w:cs="Arial"/>
          <w:spacing w:val="-4"/>
          <w:sz w:val="20"/>
          <w:szCs w:val="20"/>
        </w:rPr>
        <w:t xml:space="preserve"> </w:t>
      </w:r>
      <w:r w:rsidRPr="006A09D6">
        <w:rPr>
          <w:rFonts w:ascii="Verdana" w:eastAsia="Calibri" w:hAnsi="Verdana" w:cs="Arial"/>
          <w:sz w:val="20"/>
          <w:szCs w:val="20"/>
        </w:rPr>
        <w:t>de</w:t>
      </w:r>
      <w:r w:rsidRPr="006A09D6">
        <w:rPr>
          <w:rFonts w:ascii="Verdana" w:eastAsia="Calibri" w:hAnsi="Verdana" w:cs="Arial"/>
          <w:spacing w:val="-6"/>
          <w:sz w:val="20"/>
          <w:szCs w:val="20"/>
        </w:rPr>
        <w:t xml:space="preserve"> </w:t>
      </w:r>
      <w:r w:rsidRPr="006A09D6">
        <w:rPr>
          <w:rFonts w:ascii="Verdana" w:eastAsia="Calibri" w:hAnsi="Verdana" w:cs="Arial"/>
          <w:sz w:val="20"/>
          <w:szCs w:val="20"/>
        </w:rPr>
        <w:t>la</w:t>
      </w:r>
      <w:r w:rsidRPr="006A09D6">
        <w:rPr>
          <w:rFonts w:ascii="Verdana" w:eastAsia="Calibri" w:hAnsi="Verdana" w:cs="Arial"/>
          <w:spacing w:val="-5"/>
          <w:sz w:val="20"/>
          <w:szCs w:val="20"/>
        </w:rPr>
        <w:t xml:space="preserve"> </w:t>
      </w:r>
      <w:r w:rsidRPr="006A09D6">
        <w:rPr>
          <w:rFonts w:ascii="Verdana" w:eastAsia="Calibri" w:hAnsi="Verdana" w:cs="Arial"/>
          <w:sz w:val="20"/>
          <w:szCs w:val="20"/>
        </w:rPr>
        <w:t>analogía,</w:t>
      </w:r>
      <w:r w:rsidRPr="006A09D6">
        <w:rPr>
          <w:rFonts w:ascii="Verdana" w:eastAsia="Calibri" w:hAnsi="Verdana" w:cs="Arial"/>
          <w:spacing w:val="-6"/>
          <w:sz w:val="20"/>
          <w:szCs w:val="20"/>
        </w:rPr>
        <w:t xml:space="preserve"> </w:t>
      </w:r>
      <w:r w:rsidRPr="006A09D6">
        <w:rPr>
          <w:rFonts w:ascii="Verdana" w:eastAsia="Calibri" w:hAnsi="Verdana" w:cs="Arial"/>
          <w:sz w:val="20"/>
          <w:szCs w:val="20"/>
        </w:rPr>
        <w:t>a</w:t>
      </w:r>
      <w:r w:rsidRPr="006A09D6">
        <w:rPr>
          <w:rFonts w:ascii="Verdana" w:eastAsia="Calibri" w:hAnsi="Verdana" w:cs="Arial"/>
          <w:spacing w:val="-5"/>
          <w:sz w:val="20"/>
          <w:szCs w:val="20"/>
        </w:rPr>
        <w:t xml:space="preserve"> </w:t>
      </w:r>
      <w:r w:rsidRPr="006A09D6">
        <w:rPr>
          <w:rFonts w:ascii="Verdana" w:eastAsia="Arial MT" w:hAnsi="Verdana" w:cs="Arial"/>
          <w:sz w:val="20"/>
          <w:szCs w:val="20"/>
        </w:rPr>
        <w:t>supuestos no contemplados</w:t>
      </w:r>
      <w:r w:rsidRPr="006A09D6">
        <w:rPr>
          <w:rFonts w:ascii="Verdana" w:eastAsia="Calibri" w:hAnsi="Verdana" w:cs="Arial"/>
          <w:spacing w:val="-1"/>
          <w:sz w:val="20"/>
          <w:szCs w:val="20"/>
        </w:rPr>
        <w:t xml:space="preserve"> </w:t>
      </w:r>
      <w:r w:rsidRPr="006A09D6">
        <w:rPr>
          <w:rFonts w:ascii="Verdana" w:eastAsia="Calibri" w:hAnsi="Verdana" w:cs="Arial"/>
          <w:sz w:val="20"/>
          <w:szCs w:val="20"/>
        </w:rPr>
        <w:t>por</w:t>
      </w:r>
      <w:r w:rsidRPr="006A09D6">
        <w:rPr>
          <w:rFonts w:ascii="Verdana" w:eastAsia="Calibri" w:hAnsi="Verdana" w:cs="Arial"/>
          <w:spacing w:val="-1"/>
          <w:sz w:val="20"/>
          <w:szCs w:val="20"/>
        </w:rPr>
        <w:t xml:space="preserve"> </w:t>
      </w:r>
      <w:r w:rsidRPr="006A09D6">
        <w:rPr>
          <w:rFonts w:ascii="Verdana" w:eastAsia="Calibri" w:hAnsi="Verdana" w:cs="Arial"/>
          <w:sz w:val="20"/>
          <w:szCs w:val="20"/>
        </w:rPr>
        <w:t>el</w:t>
      </w:r>
      <w:r w:rsidRPr="006A09D6">
        <w:rPr>
          <w:rFonts w:ascii="Verdana" w:eastAsia="Calibri" w:hAnsi="Verdana" w:cs="Arial"/>
          <w:spacing w:val="-1"/>
          <w:sz w:val="20"/>
          <w:szCs w:val="20"/>
        </w:rPr>
        <w:t xml:space="preserve"> </w:t>
      </w:r>
      <w:r w:rsidRPr="006A09D6">
        <w:rPr>
          <w:rFonts w:ascii="Verdana" w:eastAsia="Calibri" w:hAnsi="Verdana" w:cs="Arial"/>
          <w:sz w:val="20"/>
          <w:szCs w:val="20"/>
        </w:rPr>
        <w:t>ordenamiento”</w:t>
      </w:r>
      <w:r w:rsidRPr="006A09D6">
        <w:rPr>
          <w:rFonts w:ascii="Verdana" w:eastAsia="Calibri" w:hAnsi="Verdana" w:cs="Arial"/>
          <w:sz w:val="20"/>
          <w:szCs w:val="20"/>
          <w:vertAlign w:val="superscript"/>
        </w:rPr>
        <w:footnoteReference w:id="9"/>
      </w:r>
      <w:r w:rsidRPr="006A09D6">
        <w:rPr>
          <w:rFonts w:ascii="Verdana" w:eastAsia="Calibri" w:hAnsi="Verdana" w:cs="Arial"/>
          <w:sz w:val="20"/>
          <w:szCs w:val="20"/>
        </w:rPr>
        <w:t>.</w:t>
      </w:r>
    </w:p>
    <w:p w14:paraId="14501BA5" w14:textId="77777777" w:rsidR="00CC0DC2" w:rsidRPr="00773889" w:rsidRDefault="00CC0DC2" w:rsidP="00CC0DC2">
      <w:pPr>
        <w:widowControl w:val="0"/>
        <w:autoSpaceDE w:val="0"/>
        <w:autoSpaceDN w:val="0"/>
        <w:spacing w:after="0" w:line="276" w:lineRule="auto"/>
        <w:ind w:left="709" w:right="709"/>
        <w:jc w:val="both"/>
        <w:rPr>
          <w:rFonts w:ascii="Verdana" w:eastAsia="Arial MT" w:hAnsi="Verdana" w:cs="Arial"/>
        </w:rPr>
      </w:pPr>
    </w:p>
    <w:p w14:paraId="60414927" w14:textId="77777777" w:rsidR="00CC0DC2" w:rsidRPr="006A09D6" w:rsidRDefault="00CC0DC2" w:rsidP="00CC0DC2">
      <w:pPr>
        <w:widowControl w:val="0"/>
        <w:autoSpaceDE w:val="0"/>
        <w:autoSpaceDN w:val="0"/>
        <w:spacing w:after="0" w:line="276" w:lineRule="auto"/>
        <w:ind w:right="709" w:firstLine="708"/>
        <w:jc w:val="both"/>
        <w:rPr>
          <w:rFonts w:ascii="Verdana" w:eastAsia="Arial MT" w:hAnsi="Verdana" w:cs="Arial"/>
        </w:rPr>
      </w:pPr>
      <w:r w:rsidRPr="006A09D6">
        <w:rPr>
          <w:rFonts w:ascii="Verdana" w:eastAsia="Arial MT" w:hAnsi="Verdana" w:cs="Arial"/>
        </w:rPr>
        <w:t>En el mismo sentido ha expuesto que:</w:t>
      </w:r>
    </w:p>
    <w:p w14:paraId="43A0508F" w14:textId="77777777" w:rsidR="00CC0DC2" w:rsidRPr="006A09D6" w:rsidRDefault="00CC0DC2" w:rsidP="00CC0DC2">
      <w:pPr>
        <w:widowControl w:val="0"/>
        <w:autoSpaceDE w:val="0"/>
        <w:autoSpaceDN w:val="0"/>
        <w:spacing w:after="0" w:line="276" w:lineRule="auto"/>
        <w:ind w:right="709"/>
        <w:jc w:val="both"/>
        <w:rPr>
          <w:rFonts w:ascii="Verdana" w:eastAsia="Arial MT" w:hAnsi="Verdana" w:cs="Arial"/>
        </w:rPr>
      </w:pPr>
    </w:p>
    <w:p w14:paraId="783F4D4C" w14:textId="77777777" w:rsidR="00CC0DC2" w:rsidRPr="006A09D6" w:rsidRDefault="00CC0DC2" w:rsidP="00CC0DC2">
      <w:pPr>
        <w:widowControl w:val="0"/>
        <w:autoSpaceDE w:val="0"/>
        <w:autoSpaceDN w:val="0"/>
        <w:spacing w:after="0" w:line="240" w:lineRule="auto"/>
        <w:ind w:left="709" w:right="709"/>
        <w:jc w:val="both"/>
        <w:rPr>
          <w:rFonts w:ascii="Verdana" w:eastAsia="Arial MT" w:hAnsi="Verdana" w:cs="Arial"/>
          <w:sz w:val="20"/>
          <w:szCs w:val="20"/>
        </w:rPr>
      </w:pPr>
      <w:r w:rsidRPr="006A09D6">
        <w:rPr>
          <w:rFonts w:ascii="Verdana" w:eastAsia="Arial MT" w:hAnsi="Verdana" w:cs="Arial"/>
          <w:sz w:val="20"/>
          <w:szCs w:val="20"/>
        </w:rPr>
        <w:t>“[…] la aplicación de estos preceptos exige una interpretación restrictiva, dado que según el principio hermenéutico pro libertate, entre varias interpretaciones posibles de una norma que regula una inhabilidad, debe preferirse aquella que menos limita el derecho de las personas; en otros términos, se encuentra prohibida constitucionalmente la interpretación extensiva de las causales de inhabilidad, toda vez que las palabras de la ley son la frontera que no se puede traspasar en el ejercicio hermenéutico de las mismas, pues de hacerlo se vulnerarían los derechos fundamentales al debido proceso (art. 29 CN) y a la igualdad (art. 13 Ibid.); […]”</w:t>
      </w:r>
      <w:r w:rsidRPr="006A09D6">
        <w:rPr>
          <w:rFonts w:ascii="Verdana" w:eastAsia="Arial MT" w:hAnsi="Verdana" w:cs="Arial"/>
          <w:sz w:val="20"/>
          <w:szCs w:val="20"/>
          <w:vertAlign w:val="superscript"/>
        </w:rPr>
        <w:footnoteReference w:id="10"/>
      </w:r>
      <w:r w:rsidRPr="006A09D6">
        <w:rPr>
          <w:rFonts w:ascii="Verdana" w:eastAsia="Arial MT" w:hAnsi="Verdana" w:cs="Arial"/>
          <w:sz w:val="20"/>
          <w:szCs w:val="20"/>
        </w:rPr>
        <w:t>.</w:t>
      </w:r>
    </w:p>
    <w:p w14:paraId="2F854429" w14:textId="77777777" w:rsidR="00CC0DC2" w:rsidRDefault="00CC0DC2" w:rsidP="00CC0DC2">
      <w:pPr>
        <w:widowControl w:val="0"/>
        <w:autoSpaceDE w:val="0"/>
        <w:autoSpaceDN w:val="0"/>
        <w:spacing w:after="0" w:line="276" w:lineRule="auto"/>
        <w:jc w:val="both"/>
        <w:rPr>
          <w:rFonts w:ascii="Verdana" w:eastAsia="Calibri" w:hAnsi="Verdana" w:cs="Arial"/>
          <w:color w:val="7030A0"/>
          <w:lang w:val="es-ES"/>
        </w:rPr>
      </w:pPr>
    </w:p>
    <w:p w14:paraId="2694B3EF" w14:textId="3CE2DCE8" w:rsidR="00CC0DC2" w:rsidRDefault="00CC0DC2" w:rsidP="00CC0DC2">
      <w:pPr>
        <w:widowControl w:val="0"/>
        <w:autoSpaceDE w:val="0"/>
        <w:autoSpaceDN w:val="0"/>
        <w:spacing w:after="120" w:line="276" w:lineRule="auto"/>
        <w:ind w:firstLine="709"/>
        <w:jc w:val="both"/>
        <w:rPr>
          <w:rFonts w:ascii="Verdana" w:eastAsia="Arial MT" w:hAnsi="Verdana" w:cs="Arial"/>
          <w:lang w:eastAsia="es-ES" w:bidi="es-ES"/>
        </w:rPr>
      </w:pPr>
      <w:r>
        <w:rPr>
          <w:rFonts w:ascii="Verdana" w:eastAsia="Arial MT" w:hAnsi="Verdana" w:cs="Arial"/>
          <w:lang w:eastAsia="es-ES" w:bidi="es-ES"/>
        </w:rPr>
        <w:t>Ahora bien, en</w:t>
      </w:r>
      <w:r w:rsidRPr="006A09D6">
        <w:rPr>
          <w:rFonts w:ascii="Verdana" w:eastAsia="Arial MT" w:hAnsi="Verdana" w:cs="Arial"/>
          <w:lang w:eastAsia="es-ES" w:bidi="es-ES"/>
        </w:rPr>
        <w:t xml:space="preserve"> relación </w:t>
      </w:r>
      <w:r>
        <w:rPr>
          <w:rFonts w:ascii="Verdana" w:eastAsia="Arial MT" w:hAnsi="Verdana" w:cs="Arial"/>
          <w:lang w:eastAsia="es-ES" w:bidi="es-ES"/>
        </w:rPr>
        <w:t>con e</w:t>
      </w:r>
      <w:r w:rsidRPr="006A09D6">
        <w:rPr>
          <w:rFonts w:ascii="Verdana" w:eastAsia="Arial MT" w:hAnsi="Verdana" w:cs="Arial"/>
          <w:lang w:eastAsia="es-ES" w:bidi="es-ES"/>
        </w:rPr>
        <w:t xml:space="preserve">l objeto de la consulta, </w:t>
      </w:r>
      <w:r>
        <w:rPr>
          <w:rFonts w:ascii="Verdana" w:eastAsia="Arial MT" w:hAnsi="Verdana" w:cs="Arial"/>
          <w:lang w:eastAsia="es-ES" w:bidi="es-ES"/>
        </w:rPr>
        <w:t>dado</w:t>
      </w:r>
      <w:r w:rsidRPr="006A09D6">
        <w:rPr>
          <w:rFonts w:ascii="Verdana" w:eastAsia="Arial MT" w:hAnsi="Verdana" w:cs="Arial"/>
          <w:lang w:eastAsia="es-ES" w:bidi="es-ES"/>
        </w:rPr>
        <w:t xml:space="preserve"> que lo que se pretende a través del interrogante planteado es establecer si se configura alguna inhabilidad</w:t>
      </w:r>
      <w:r>
        <w:rPr>
          <w:rFonts w:ascii="Verdana" w:eastAsia="Arial MT" w:hAnsi="Verdana" w:cs="Arial"/>
          <w:lang w:eastAsia="es-ES" w:bidi="es-ES"/>
        </w:rPr>
        <w:t xml:space="preserve"> para</w:t>
      </w:r>
      <w:r w:rsidRPr="006A09D6">
        <w:rPr>
          <w:rFonts w:ascii="Verdana" w:eastAsia="Arial MT" w:hAnsi="Verdana" w:cs="Arial"/>
          <w:lang w:eastAsia="es-ES" w:bidi="es-ES"/>
        </w:rPr>
        <w:t xml:space="preserve"> </w:t>
      </w:r>
      <w:r>
        <w:rPr>
          <w:rFonts w:ascii="Verdana" w:eastAsia="Arial MT" w:hAnsi="Verdana" w:cs="Arial"/>
          <w:lang w:eastAsia="es-ES" w:bidi="es-ES"/>
        </w:rPr>
        <w:t>el exfuncionario público de nivel directivo que</w:t>
      </w:r>
      <w:r w:rsidRPr="006A09D6">
        <w:rPr>
          <w:rFonts w:ascii="Verdana" w:eastAsia="Arial MT" w:hAnsi="Verdana" w:cs="Arial"/>
          <w:lang w:eastAsia="es-ES" w:bidi="es-ES"/>
        </w:rPr>
        <w:t xml:space="preserve"> pretenda vincularse como </w:t>
      </w:r>
      <w:r>
        <w:rPr>
          <w:rFonts w:ascii="Verdana" w:eastAsia="Arial MT" w:hAnsi="Verdana" w:cs="Arial"/>
          <w:lang w:eastAsia="es-ES" w:bidi="es-ES"/>
        </w:rPr>
        <w:t>contratista con una entidad estatal</w:t>
      </w:r>
      <w:r w:rsidRPr="006A09D6">
        <w:rPr>
          <w:rFonts w:ascii="Verdana" w:eastAsia="Arial MT" w:hAnsi="Verdana" w:cs="Arial"/>
          <w:lang w:eastAsia="es-ES" w:bidi="es-ES"/>
        </w:rPr>
        <w:t xml:space="preserve">, </w:t>
      </w:r>
      <w:r>
        <w:rPr>
          <w:rFonts w:ascii="Verdana" w:eastAsia="Arial MT" w:hAnsi="Verdana" w:cs="Arial"/>
          <w:lang w:eastAsia="es-ES" w:bidi="es-ES"/>
        </w:rPr>
        <w:t>se precisa que</w:t>
      </w:r>
      <w:r w:rsidRPr="006A09D6">
        <w:rPr>
          <w:rFonts w:ascii="Verdana" w:eastAsia="Arial MT" w:hAnsi="Verdana" w:cs="Arial"/>
          <w:lang w:eastAsia="es-ES" w:bidi="es-ES"/>
        </w:rPr>
        <w:t xml:space="preserve"> en virtud del artículo 3.5 del Decreto </w:t>
      </w:r>
      <w:r>
        <w:rPr>
          <w:rFonts w:ascii="Verdana" w:eastAsia="Arial MT" w:hAnsi="Verdana" w:cs="Arial"/>
          <w:lang w:eastAsia="es-ES" w:bidi="es-ES"/>
        </w:rPr>
        <w:t xml:space="preserve">Ley </w:t>
      </w:r>
      <w:r w:rsidRPr="006A09D6">
        <w:rPr>
          <w:rFonts w:ascii="Verdana" w:eastAsia="Arial MT" w:hAnsi="Verdana" w:cs="Arial"/>
          <w:lang w:eastAsia="es-ES" w:bidi="es-ES"/>
        </w:rPr>
        <w:t>4170 de 2011, esta Agencia tiene competencia para absolver consultas sobre la aplicación de normas de carácter general en materia de compras y contratación pública, de manera que la interpretación de normas que no hagan parte de dicha materia desborda las facultades y competencias consultivas que otorgó la disposición en cita.</w:t>
      </w:r>
    </w:p>
    <w:p w14:paraId="31C7A5E7" w14:textId="77777777" w:rsidR="00CC0DC2" w:rsidRDefault="00CC0DC2" w:rsidP="00915421">
      <w:pPr>
        <w:spacing w:before="120" w:after="0" w:line="276" w:lineRule="auto"/>
        <w:ind w:firstLine="709"/>
        <w:jc w:val="both"/>
        <w:rPr>
          <w:rFonts w:ascii="Verdana" w:eastAsia="Calibri" w:hAnsi="Verdana" w:cs="Arial"/>
          <w:color w:val="000000"/>
          <w:lang w:val="es-ES_tradnl" w:eastAsia="es-ES_tradnl"/>
        </w:rPr>
      </w:pPr>
      <w:r>
        <w:rPr>
          <w:rFonts w:ascii="Verdana" w:eastAsia="Arial MT" w:hAnsi="Verdana" w:cs="Arial"/>
          <w:lang w:eastAsia="es-ES" w:bidi="es-ES"/>
        </w:rPr>
        <w:t xml:space="preserve">Así, al analizar las causales de inhabilidad e incompatibilidad contenidas en el artículo 8 de la Ley 80 de 1993, para el objeto preciso de esta consulta, se resalta la enunciada en </w:t>
      </w:r>
      <w:r w:rsidRPr="00ED6FA7">
        <w:rPr>
          <w:rFonts w:ascii="Verdana" w:hAnsi="Verdana"/>
        </w:rPr>
        <w:t>el literal f) del numeral 2°,</w:t>
      </w:r>
      <w:r>
        <w:rPr>
          <w:rFonts w:ascii="Verdana" w:hAnsi="Verdana"/>
        </w:rPr>
        <w:t xml:space="preserve"> que fue adicionado por el artículo 4 de l</w:t>
      </w:r>
      <w:r w:rsidRPr="0022076A">
        <w:rPr>
          <w:rFonts w:ascii="Verdana" w:eastAsia="Calibri" w:hAnsi="Verdana" w:cs="Arial"/>
          <w:color w:val="000000"/>
          <w:lang w:val="es-ES_tradnl" w:eastAsia="es-ES_tradnl"/>
        </w:rPr>
        <w:t>a Ley 1474 de 2011, “Por la cual se dictan normas orientadas a fortalecer los mecanismos de prevención, investigación y sanción de actos de corrupción y la efectividad del control de la gestión pública”,</w:t>
      </w:r>
      <w:r>
        <w:rPr>
          <w:rFonts w:ascii="Verdana" w:eastAsia="Calibri" w:hAnsi="Verdana" w:cs="Arial"/>
          <w:color w:val="000000"/>
          <w:lang w:val="es-ES_tradnl" w:eastAsia="es-ES_tradnl"/>
        </w:rPr>
        <w:t xml:space="preserve"> que </w:t>
      </w:r>
      <w:r w:rsidRPr="00ED6FA7">
        <w:rPr>
          <w:rFonts w:ascii="Verdana" w:hAnsi="Verdana"/>
        </w:rPr>
        <w:t>prevé</w:t>
      </w:r>
      <w:r w:rsidRPr="0022076A">
        <w:rPr>
          <w:rFonts w:ascii="Verdana" w:eastAsia="Calibri" w:hAnsi="Verdana" w:cs="Arial"/>
          <w:color w:val="000000"/>
          <w:lang w:val="es-ES_tradnl" w:eastAsia="es-ES_tradnl"/>
        </w:rPr>
        <w:t xml:space="preserve"> una restricción que prohíbe a los exempleados públicos celebrar contratos estatales tras la dejación del cargo, en un ámbito y en un período definidos por el legislador, extendiendo la prohibición a algunos otros sujetos vinculados a estos. La norma establece:</w:t>
      </w:r>
    </w:p>
    <w:p w14:paraId="68C3A639" w14:textId="77777777" w:rsidR="00915421" w:rsidRPr="003F4FB4" w:rsidRDefault="00915421" w:rsidP="006579CD">
      <w:pPr>
        <w:spacing w:after="0" w:line="276" w:lineRule="auto"/>
        <w:ind w:firstLine="709"/>
        <w:jc w:val="both"/>
        <w:rPr>
          <w:rFonts w:ascii="Verdana" w:eastAsia="Times New Roman" w:hAnsi="Verdana" w:cs="Arial"/>
          <w:color w:val="000000"/>
          <w:shd w:val="clear" w:color="auto" w:fill="FFFFFF"/>
          <w:lang w:val="es-ES" w:eastAsia="es-ES_tradnl"/>
        </w:rPr>
      </w:pPr>
    </w:p>
    <w:p w14:paraId="53344CBC" w14:textId="53136A2F" w:rsidR="00CC0DC2" w:rsidRPr="0022076A" w:rsidRDefault="00915421" w:rsidP="00915421">
      <w:pPr>
        <w:spacing w:after="0"/>
        <w:ind w:left="709" w:right="709"/>
        <w:jc w:val="both"/>
        <w:rPr>
          <w:rFonts w:ascii="Verdana" w:eastAsia="Calibri" w:hAnsi="Verdana" w:cs="Arial"/>
          <w:color w:val="000000"/>
          <w:sz w:val="20"/>
          <w:szCs w:val="20"/>
          <w:lang w:val="es-ES_tradnl" w:eastAsia="es-ES_tradnl"/>
        </w:rPr>
      </w:pPr>
      <w:r>
        <w:rPr>
          <w:rFonts w:ascii="Verdana" w:eastAsia="Calibri" w:hAnsi="Verdana" w:cs="Arial"/>
          <w:color w:val="000000"/>
          <w:sz w:val="20"/>
          <w:szCs w:val="20"/>
          <w:lang w:val="es-ES_tradnl" w:eastAsia="es-ES_tradnl"/>
        </w:rPr>
        <w:t>“</w:t>
      </w:r>
      <w:r w:rsidR="00CC0DC2" w:rsidRPr="0022076A">
        <w:rPr>
          <w:rFonts w:ascii="Verdana" w:eastAsia="Calibri" w:hAnsi="Verdana" w:cs="Arial"/>
          <w:color w:val="000000"/>
          <w:sz w:val="20"/>
          <w:szCs w:val="20"/>
          <w:lang w:val="es-ES_tradnl" w:eastAsia="es-ES_tradnl"/>
        </w:rPr>
        <w:t>Adiciónese un literal f) al numeral 2 del artículo 8o de la Ley 80 de 1993, el cual quedará así:</w:t>
      </w:r>
    </w:p>
    <w:p w14:paraId="5CF45DEC" w14:textId="77777777" w:rsidR="00915421" w:rsidRPr="0022076A" w:rsidRDefault="00915421" w:rsidP="006579CD">
      <w:pPr>
        <w:spacing w:after="0"/>
        <w:ind w:left="709" w:right="709"/>
        <w:jc w:val="both"/>
        <w:rPr>
          <w:rFonts w:ascii="Verdana" w:eastAsia="Calibri" w:hAnsi="Verdana" w:cs="Arial"/>
          <w:color w:val="000000"/>
          <w:sz w:val="20"/>
          <w:szCs w:val="20"/>
          <w:lang w:val="es-ES_tradnl" w:eastAsia="es-ES_tradnl"/>
        </w:rPr>
      </w:pPr>
    </w:p>
    <w:p w14:paraId="18709C85" w14:textId="77777777" w:rsidR="00CC0DC2" w:rsidRPr="0022076A" w:rsidRDefault="00CC0DC2" w:rsidP="00915421">
      <w:pPr>
        <w:spacing w:after="0"/>
        <w:ind w:left="709" w:right="709"/>
        <w:jc w:val="both"/>
        <w:rPr>
          <w:rFonts w:ascii="Verdana" w:eastAsia="Calibri" w:hAnsi="Verdana" w:cs="Arial"/>
          <w:color w:val="000000"/>
          <w:sz w:val="20"/>
          <w:szCs w:val="20"/>
          <w:lang w:val="es-ES_tradnl" w:eastAsia="es-ES_tradnl"/>
        </w:rPr>
      </w:pPr>
      <w:r w:rsidRPr="0022076A">
        <w:rPr>
          <w:rFonts w:ascii="Verdana" w:eastAsia="Calibri" w:hAnsi="Verdana" w:cs="Arial"/>
          <w:color w:val="000000"/>
          <w:sz w:val="20"/>
          <w:szCs w:val="20"/>
          <w:lang w:val="es-ES_tradnl" w:eastAsia="es-ES_tradnl"/>
        </w:rPr>
        <w:t xml:space="preserve">Directa o indirectamente las personas que hayan ejercido cargos en el nivel directivo en entidades del Estado y las sociedades en las cuales estos </w:t>
      </w:r>
      <w:r w:rsidRPr="0022076A">
        <w:rPr>
          <w:rFonts w:ascii="Verdana" w:eastAsia="Calibri" w:hAnsi="Verdana" w:cs="Arial"/>
          <w:color w:val="000000"/>
          <w:sz w:val="20"/>
          <w:szCs w:val="20"/>
          <w:lang w:val="es-ES_tradnl" w:eastAsia="es-ES_tradnl"/>
        </w:rPr>
        <w:lastRenderedPageBreak/>
        <w:t>hagan parte o estén vinculados a cualquier título, durante los dos (2) años siguientes al retiro del ejercicio del cargo público, cuando el objeto que desarrollen tenga relación con el sector al cual prestaron sus servicios.</w:t>
      </w:r>
    </w:p>
    <w:p w14:paraId="08EBF18A" w14:textId="77777777" w:rsidR="00915421" w:rsidRPr="0022076A" w:rsidRDefault="00915421" w:rsidP="006579CD">
      <w:pPr>
        <w:spacing w:after="0"/>
        <w:ind w:left="709" w:right="709"/>
        <w:jc w:val="both"/>
        <w:rPr>
          <w:rFonts w:ascii="Verdana" w:eastAsia="Calibri" w:hAnsi="Verdana" w:cs="Arial"/>
          <w:color w:val="000000"/>
          <w:sz w:val="20"/>
          <w:szCs w:val="20"/>
          <w:lang w:val="es-ES_tradnl" w:eastAsia="es-ES_tradnl"/>
        </w:rPr>
      </w:pPr>
    </w:p>
    <w:p w14:paraId="33315416" w14:textId="61560757" w:rsidR="00CC0DC2" w:rsidRDefault="00CC0DC2" w:rsidP="00915421">
      <w:pPr>
        <w:spacing w:after="0"/>
        <w:ind w:left="709" w:right="709"/>
        <w:jc w:val="both"/>
        <w:rPr>
          <w:rFonts w:ascii="Verdana" w:eastAsia="Calibri" w:hAnsi="Verdana" w:cs="Arial"/>
          <w:color w:val="000000" w:themeColor="text1"/>
          <w:sz w:val="20"/>
          <w:szCs w:val="20"/>
          <w:lang w:val="es-ES" w:eastAsia="es-ES"/>
        </w:rPr>
      </w:pPr>
      <w:r w:rsidRPr="4552CAB1">
        <w:rPr>
          <w:rFonts w:ascii="Verdana" w:eastAsia="Calibri" w:hAnsi="Verdana" w:cs="Arial"/>
          <w:color w:val="000000" w:themeColor="text1"/>
          <w:sz w:val="20"/>
          <w:szCs w:val="20"/>
          <w:lang w:val="es-ES" w:eastAsia="es-ES"/>
        </w:rPr>
        <w:t>Esta incompatibilidad también operará para las personas que se encuentren dentro del primer grado de consanguinidad, primero de afinidad, o primero civil del ex empleado público</w:t>
      </w:r>
      <w:r w:rsidR="00915421">
        <w:rPr>
          <w:rFonts w:ascii="Verdana" w:eastAsia="Calibri" w:hAnsi="Verdana" w:cs="Arial"/>
          <w:color w:val="000000" w:themeColor="text1"/>
          <w:sz w:val="20"/>
          <w:szCs w:val="20"/>
          <w:lang w:val="es-ES" w:eastAsia="es-ES"/>
        </w:rPr>
        <w:t>”</w:t>
      </w:r>
      <w:r w:rsidRPr="4552CAB1">
        <w:rPr>
          <w:rFonts w:ascii="Verdana" w:eastAsia="Calibri" w:hAnsi="Verdana" w:cs="Arial"/>
          <w:color w:val="000000" w:themeColor="text1"/>
          <w:sz w:val="20"/>
          <w:szCs w:val="20"/>
          <w:lang w:val="es-ES" w:eastAsia="es-ES"/>
        </w:rPr>
        <w:t>.</w:t>
      </w:r>
    </w:p>
    <w:p w14:paraId="4C946649" w14:textId="77777777" w:rsidR="00915421" w:rsidRDefault="00915421" w:rsidP="006579CD">
      <w:pPr>
        <w:spacing w:after="0"/>
        <w:ind w:left="709" w:right="709"/>
        <w:jc w:val="both"/>
        <w:rPr>
          <w:rFonts w:ascii="Verdana" w:eastAsia="Calibri" w:hAnsi="Verdana" w:cs="Arial"/>
          <w:color w:val="000000"/>
          <w:sz w:val="20"/>
          <w:szCs w:val="20"/>
          <w:lang w:val="es-ES" w:eastAsia="es-ES"/>
        </w:rPr>
      </w:pPr>
    </w:p>
    <w:p w14:paraId="0673AB8F" w14:textId="77777777" w:rsidR="00CC0DC2" w:rsidRDefault="00CC0DC2" w:rsidP="006579CD">
      <w:pPr>
        <w:spacing w:after="120" w:line="276" w:lineRule="auto"/>
        <w:ind w:firstLine="709"/>
        <w:jc w:val="both"/>
        <w:rPr>
          <w:rFonts w:ascii="Verdana" w:eastAsia="Calibri" w:hAnsi="Verdana" w:cs="Arial"/>
          <w:color w:val="000000"/>
          <w:lang w:val="es-ES_tradnl" w:eastAsia="es-ES_tradnl"/>
        </w:rPr>
      </w:pPr>
      <w:r w:rsidRPr="0022076A">
        <w:rPr>
          <w:rFonts w:ascii="Verdana" w:eastAsia="Calibri" w:hAnsi="Verdana" w:cs="Arial"/>
          <w:color w:val="000000"/>
          <w:lang w:val="es-ES_tradnl" w:eastAsia="es-ES_tradnl"/>
        </w:rPr>
        <w:t>Como se observa, esta disposición normativa prevé una restricción para la contratación estatal, compuesta por los siguientes elementos:</w:t>
      </w:r>
    </w:p>
    <w:p w14:paraId="1E893F14" w14:textId="77777777" w:rsidR="00CC0DC2" w:rsidRDefault="00CC0DC2" w:rsidP="00CC0DC2">
      <w:pPr>
        <w:spacing w:before="120" w:after="120" w:line="276" w:lineRule="auto"/>
        <w:ind w:firstLine="709"/>
        <w:jc w:val="both"/>
        <w:rPr>
          <w:rFonts w:ascii="Verdana" w:eastAsia="Calibri" w:hAnsi="Verdana" w:cs="Arial"/>
          <w:color w:val="000000"/>
          <w:lang w:val="es-ES_tradnl" w:eastAsia="es-ES_tradnl"/>
        </w:rPr>
      </w:pPr>
      <w:r w:rsidRPr="00E40972">
        <w:rPr>
          <w:rFonts w:ascii="Verdana" w:eastAsia="Calibri" w:hAnsi="Verdana" w:cs="Arial"/>
          <w:color w:val="000000"/>
          <w:lang w:val="es-ES_tradnl" w:eastAsia="es-ES_tradnl"/>
        </w:rPr>
        <w:t>Sus destinatarios. Es decir, los sujetos en los que radica la prohibición son: a) las personas naturales que hayan ejercido cargos en el nivel directivo en las entidades estatales a quienes el segundo inciso califica como exempleados públicos, b) las</w:t>
      </w:r>
      <w:r w:rsidRPr="0022076A">
        <w:rPr>
          <w:rFonts w:ascii="Verdana" w:eastAsia="Calibri" w:hAnsi="Verdana" w:cs="Arial"/>
          <w:color w:val="000000"/>
          <w:lang w:val="es-ES_tradnl" w:eastAsia="es-ES_tradnl"/>
        </w:rPr>
        <w:t xml:space="preserve"> sociedades de las cuales dichos exempleados públicos hagan parte o estén vinculados a cualquier título, y </w:t>
      </w:r>
      <w:r w:rsidRPr="00E40972">
        <w:rPr>
          <w:rFonts w:ascii="Verdana" w:eastAsia="Calibri" w:hAnsi="Verdana" w:cs="Arial"/>
          <w:color w:val="000000"/>
          <w:lang w:val="es-ES_tradnl" w:eastAsia="es-ES_tradnl"/>
        </w:rPr>
        <w:t>c) sus parientes dentro del primer grado de consanguinidad, primero de afinidad o primero civil. También cabe destacar que la norma en comento dice que a estos sujetos les aplica la prohibición cuando pretendan contratar directa o indirectamente; lo que implica que no pueden valerse de intermediarios para intentar eludir esta restricción.</w:t>
      </w:r>
    </w:p>
    <w:p w14:paraId="1245A99A" w14:textId="77777777" w:rsidR="00CC0DC2" w:rsidRDefault="00CC0DC2" w:rsidP="00915421">
      <w:pPr>
        <w:spacing w:before="120" w:after="0" w:line="276" w:lineRule="auto"/>
        <w:ind w:firstLine="709"/>
        <w:jc w:val="both"/>
        <w:rPr>
          <w:rFonts w:ascii="Verdana" w:eastAsia="Calibri" w:hAnsi="Verdana" w:cs="Arial"/>
          <w:color w:val="000000"/>
          <w:lang w:val="es-ES_tradnl" w:eastAsia="es-ES_tradnl"/>
        </w:rPr>
      </w:pPr>
      <w:r w:rsidRPr="0022076A">
        <w:rPr>
          <w:rFonts w:ascii="Verdana" w:eastAsia="Calibri" w:hAnsi="Verdana" w:cs="Arial"/>
          <w:color w:val="000000"/>
          <w:lang w:val="es-ES_tradnl" w:eastAsia="es-ES_tradnl"/>
        </w:rPr>
        <w:t>Ahora bien, la Corte Constitucional, en la Sentencia C-257 del 7 de mayo de 2013</w:t>
      </w:r>
      <w:r w:rsidRPr="0022076A">
        <w:rPr>
          <w:rFonts w:ascii="Verdana" w:eastAsia="Calibri" w:hAnsi="Verdana" w:cs="Arial"/>
          <w:color w:val="000000"/>
          <w:vertAlign w:val="superscript"/>
          <w:lang w:val="es-ES_tradnl" w:eastAsia="es-ES_tradnl"/>
        </w:rPr>
        <w:footnoteReference w:id="11"/>
      </w:r>
      <w:r w:rsidRPr="0022076A">
        <w:rPr>
          <w:rFonts w:ascii="Verdana" w:eastAsia="Calibri" w:hAnsi="Verdana" w:cs="Arial"/>
          <w:color w:val="000000"/>
          <w:lang w:val="es-ES_tradnl" w:eastAsia="es-ES_tradnl"/>
        </w:rPr>
        <w:t xml:space="preserve">, hizo una importante precisión en relación con las </w:t>
      </w:r>
      <w:r w:rsidRPr="00E40972">
        <w:rPr>
          <w:rFonts w:ascii="Verdana" w:eastAsia="Calibri" w:hAnsi="Verdana" w:cs="Arial"/>
          <w:color w:val="000000"/>
          <w:lang w:val="es-ES_tradnl" w:eastAsia="es-ES_tradnl"/>
        </w:rPr>
        <w:t>sociedades</w:t>
      </w:r>
      <w:r w:rsidRPr="0022076A">
        <w:rPr>
          <w:rFonts w:ascii="Verdana" w:eastAsia="Calibri" w:hAnsi="Verdana" w:cs="Arial"/>
          <w:color w:val="000000"/>
          <w:lang w:val="es-ES_tradnl" w:eastAsia="es-ES_tradnl"/>
        </w:rPr>
        <w:t>, como sujetos pasivos de la prohibición, en el sentido de que se debe tener en cuenta el nivel de influencia que puede ostentar el exempleado público o sus parientes, en los grados señalados en el artículo 4 de la Ley 1474 de 2011, para determinar si la restricción aplica o no al tipo societario. En tal sentido, el máximo tribunal indicó:</w:t>
      </w:r>
    </w:p>
    <w:p w14:paraId="778284D0" w14:textId="77777777" w:rsidR="00915421" w:rsidRDefault="00915421" w:rsidP="006579CD">
      <w:pPr>
        <w:spacing w:after="0" w:line="276" w:lineRule="auto"/>
        <w:ind w:firstLine="709"/>
        <w:jc w:val="both"/>
        <w:rPr>
          <w:rFonts w:ascii="Verdana" w:eastAsia="Calibri" w:hAnsi="Verdana" w:cs="Arial"/>
          <w:color w:val="000000"/>
          <w:lang w:val="es-ES_tradnl" w:eastAsia="es-ES_tradnl"/>
        </w:rPr>
      </w:pPr>
    </w:p>
    <w:p w14:paraId="1588296D" w14:textId="77777777" w:rsidR="00CC0DC2" w:rsidRDefault="00CC0DC2" w:rsidP="00915421">
      <w:pPr>
        <w:spacing w:after="0" w:line="240" w:lineRule="auto"/>
        <w:ind w:left="709" w:right="709"/>
        <w:jc w:val="both"/>
        <w:rPr>
          <w:rFonts w:ascii="Verdana" w:eastAsia="Calibri" w:hAnsi="Verdana" w:cs="Arial"/>
          <w:color w:val="000000" w:themeColor="text1"/>
          <w:sz w:val="20"/>
          <w:szCs w:val="20"/>
          <w:lang w:val="es-ES" w:eastAsia="es-ES"/>
        </w:rPr>
      </w:pPr>
      <w:r w:rsidRPr="4552CAB1">
        <w:rPr>
          <w:rFonts w:ascii="Verdana" w:eastAsia="Calibri" w:hAnsi="Verdana" w:cs="Arial"/>
          <w:color w:val="000000" w:themeColor="text1"/>
          <w:sz w:val="20"/>
          <w:szCs w:val="20"/>
          <w:lang w:val="es-ES" w:eastAsia="es-ES"/>
        </w:rPr>
        <w:t xml:space="preserve">“(…) tratándose de sociedades anónimas por acciones, dadas sus características esenciales, la restricción no podría aplicarse, pues en estos casos no existe posibilidad de control sobre los accionistas que puedan acceder a la compra de acciones, y que lo pueden hacer con plena libertad, incluso en el mercado bursátil abierto, en razón de la capacidad económica y voluntad del inversionista y no por sus condiciones personales y de manera particular por su condición de ex servidor público. Esta circunstancia de suyo no implica que la norma deba ser declarada inconstitucional o la necesidad de que la Corte profiera una sentencia </w:t>
      </w:r>
      <w:r w:rsidRPr="4552CAB1">
        <w:rPr>
          <w:rFonts w:ascii="Verdana" w:eastAsia="Calibri" w:hAnsi="Verdana" w:cs="Arial"/>
          <w:color w:val="000000" w:themeColor="text1"/>
          <w:sz w:val="20"/>
          <w:szCs w:val="20"/>
          <w:lang w:val="es-ES" w:eastAsia="es-ES"/>
        </w:rPr>
        <w:lastRenderedPageBreak/>
        <w:t xml:space="preserve">condicionada, pues de lo que se trata en este caso es de fijar el alcance material de la proposición normativa objeto de control. </w:t>
      </w:r>
    </w:p>
    <w:p w14:paraId="20517A74" w14:textId="77777777" w:rsidR="00915421" w:rsidRDefault="00915421" w:rsidP="006579CD">
      <w:pPr>
        <w:spacing w:after="0" w:line="240" w:lineRule="auto"/>
        <w:ind w:left="709" w:right="709"/>
        <w:jc w:val="both"/>
        <w:rPr>
          <w:rFonts w:ascii="Verdana" w:eastAsia="Calibri" w:hAnsi="Verdana" w:cs="Arial"/>
          <w:color w:val="000000"/>
          <w:sz w:val="20"/>
          <w:szCs w:val="20"/>
          <w:lang w:val="es-ES" w:eastAsia="es-ES"/>
        </w:rPr>
      </w:pPr>
    </w:p>
    <w:p w14:paraId="23AA0215" w14:textId="77777777" w:rsidR="00CC0DC2" w:rsidRPr="00E40972" w:rsidRDefault="00CC0DC2" w:rsidP="00915421">
      <w:pPr>
        <w:spacing w:after="0" w:line="240" w:lineRule="auto"/>
        <w:ind w:left="709" w:right="709"/>
        <w:jc w:val="both"/>
        <w:rPr>
          <w:rFonts w:ascii="Verdana" w:eastAsia="Calibri" w:hAnsi="Verdana" w:cs="Arial"/>
          <w:color w:val="000000"/>
          <w:sz w:val="20"/>
          <w:szCs w:val="20"/>
          <w:lang w:val="es-ES_tradnl" w:eastAsia="es-ES_tradnl"/>
        </w:rPr>
      </w:pPr>
      <w:r w:rsidRPr="00E40972">
        <w:rPr>
          <w:rFonts w:ascii="Verdana" w:eastAsia="Calibri" w:hAnsi="Verdana" w:cs="Arial"/>
          <w:color w:val="000000"/>
          <w:sz w:val="20"/>
          <w:szCs w:val="20"/>
          <w:lang w:val="es-ES_tradnl" w:eastAsia="es-ES_tradnl"/>
        </w:rPr>
        <w:t>“Para la Corte es claro que la prohibición establecida en el artículo 4 de la ley 1474 de 2011, que adiciona el literal F al numeral 2 del artículo 8 de la Ley 80 de 1993, no aplica respecto de aquellos tipos societarios en donde la forma de vinculación de los socios hace imposible un control directo y efectivo sobre su ingreso y sobre las calidades personales de los mismos.</w:t>
      </w:r>
    </w:p>
    <w:p w14:paraId="2EBAC134" w14:textId="77777777" w:rsidR="00915421" w:rsidRPr="00E40972" w:rsidRDefault="00915421" w:rsidP="006579CD">
      <w:pPr>
        <w:spacing w:after="0" w:line="240" w:lineRule="auto"/>
        <w:ind w:left="709" w:right="709"/>
        <w:jc w:val="both"/>
        <w:rPr>
          <w:rFonts w:ascii="Verdana" w:eastAsia="Calibri" w:hAnsi="Verdana" w:cs="Arial"/>
          <w:color w:val="000000"/>
          <w:sz w:val="20"/>
          <w:szCs w:val="20"/>
          <w:lang w:val="es-ES_tradnl" w:eastAsia="es-ES_tradnl"/>
        </w:rPr>
      </w:pPr>
    </w:p>
    <w:p w14:paraId="4C1E9E0B" w14:textId="77777777" w:rsidR="00CC0DC2" w:rsidRDefault="00CC0DC2" w:rsidP="00915421">
      <w:pPr>
        <w:spacing w:after="0" w:line="240" w:lineRule="auto"/>
        <w:ind w:left="709" w:right="709"/>
        <w:jc w:val="both"/>
        <w:rPr>
          <w:rFonts w:ascii="Verdana" w:eastAsia="Calibri" w:hAnsi="Verdana" w:cs="Arial"/>
          <w:color w:val="000000" w:themeColor="text1"/>
          <w:sz w:val="20"/>
          <w:szCs w:val="20"/>
          <w:lang w:val="es-ES" w:eastAsia="es-ES"/>
        </w:rPr>
      </w:pPr>
      <w:r w:rsidRPr="4552CAB1">
        <w:rPr>
          <w:rFonts w:ascii="Verdana" w:eastAsia="Calibri" w:hAnsi="Verdana" w:cs="Arial"/>
          <w:color w:val="000000" w:themeColor="text1"/>
          <w:sz w:val="20"/>
          <w:szCs w:val="20"/>
          <w:lang w:val="es-ES" w:eastAsia="es-ES"/>
        </w:rPr>
        <w:t>“Esta hipó tesis es distinta, se aclara, a la del ex servidor público que tiene la condición de directivo o representante legal de este tipo de sociedades y pretende en nombre de aquella contratar con la entidad a la cual estuvo vinculado y cuyo objeto tenga relación con las funciones públicas que desempeñó”.</w:t>
      </w:r>
    </w:p>
    <w:p w14:paraId="220C1EE6" w14:textId="77777777" w:rsidR="00915421" w:rsidRDefault="00915421" w:rsidP="006579CD">
      <w:pPr>
        <w:spacing w:after="0" w:line="240" w:lineRule="auto"/>
        <w:ind w:left="709" w:right="709"/>
        <w:jc w:val="both"/>
        <w:rPr>
          <w:rFonts w:ascii="Verdana" w:eastAsia="Calibri" w:hAnsi="Verdana" w:cs="Arial"/>
          <w:color w:val="000000"/>
          <w:sz w:val="20"/>
          <w:szCs w:val="20"/>
          <w:lang w:val="es-ES" w:eastAsia="es-ES"/>
        </w:rPr>
      </w:pPr>
    </w:p>
    <w:p w14:paraId="4DA1F199" w14:textId="77777777" w:rsidR="00CC0DC2" w:rsidRDefault="00CC0DC2" w:rsidP="006579CD">
      <w:pPr>
        <w:spacing w:after="120" w:line="276" w:lineRule="auto"/>
        <w:ind w:firstLine="709"/>
        <w:jc w:val="both"/>
        <w:rPr>
          <w:rFonts w:ascii="Verdana" w:eastAsia="Calibri" w:hAnsi="Verdana" w:cs="Arial"/>
          <w:color w:val="000000"/>
          <w:lang w:val="es-ES_tradnl" w:eastAsia="es-ES_tradnl"/>
        </w:rPr>
      </w:pPr>
      <w:r w:rsidRPr="00E40972">
        <w:rPr>
          <w:rFonts w:ascii="Verdana" w:eastAsia="Calibri" w:hAnsi="Verdana" w:cs="Arial"/>
          <w:color w:val="000000"/>
          <w:szCs w:val="24"/>
          <w:lang w:val="es-ES_tradnl" w:eastAsia="es-ES_tradnl"/>
        </w:rPr>
        <w:t>Más allá del lenguaje empleado por el legislador en torno a la consideración de inhabilidad o incompatibilidad de la causal analizada, lo importante es comprender el alcance de la restricción a la capacidad contractual prevista en la norma. En otras palabras, independientemente de la denominación, lo cierto es que luego de la dejación del cargo directivo en la entidad estatal, ni el exempleado público, ni las sociedades en las que haga parte con el matiz introducido por la Corte Constitucional, comentado previamente, ni sus parientes cercanos en las tipologías y grados referidos podrán contratar con la entidad en la cual aquel estuvo vinculado, ni con las demás del sector relacionado con el objeto del contrato.</w:t>
      </w:r>
    </w:p>
    <w:p w14:paraId="58BE601C" w14:textId="77777777" w:rsidR="00CC0DC2" w:rsidRDefault="00CC0DC2" w:rsidP="00DA7ABE">
      <w:pPr>
        <w:spacing w:before="120" w:after="0" w:line="276" w:lineRule="auto"/>
        <w:ind w:firstLine="709"/>
        <w:jc w:val="both"/>
        <w:rPr>
          <w:rFonts w:ascii="Verdana" w:eastAsia="Calibri" w:hAnsi="Verdana" w:cs="Arial"/>
          <w:color w:val="000000" w:themeColor="text1"/>
          <w:lang w:val="es-ES" w:eastAsia="es-ES"/>
        </w:rPr>
      </w:pPr>
      <w:r w:rsidRPr="4552CAB1">
        <w:rPr>
          <w:rFonts w:ascii="Verdana" w:eastAsia="Calibri" w:hAnsi="Verdana" w:cs="Arial"/>
          <w:color w:val="000000" w:themeColor="text1"/>
          <w:lang w:val="es-ES" w:eastAsia="es-ES"/>
        </w:rPr>
        <w:t xml:space="preserve">La finalidad de la causal es evitar que las personas que han ejercido cargos directivos en las entidades estatales se valgan de esa circunstancia privilegiada para asegurarse para ellas, para las sociedades de las que hagan parte o para sus parientes cercanos un contrato con entidades del mismo sector una vez finalice su relación laboral. Así lo señaló la Corte Constitucional en la Sentencia C-257 de 2013 mencionada con anterioridad, en la cual se declaró exequible la norma que se analiza, es decir, el artículo 4 de la Ley 1474 de 2011, indicando que:  </w:t>
      </w:r>
    </w:p>
    <w:p w14:paraId="5C54E7A8" w14:textId="77777777" w:rsidR="00DA7ABE" w:rsidRPr="003E006C" w:rsidRDefault="00DA7ABE" w:rsidP="006579CD">
      <w:pPr>
        <w:spacing w:after="0" w:line="276" w:lineRule="auto"/>
        <w:ind w:firstLine="709"/>
        <w:jc w:val="both"/>
        <w:rPr>
          <w:rFonts w:ascii="Verdana" w:eastAsia="Calibri" w:hAnsi="Verdana" w:cs="Arial"/>
          <w:color w:val="000000"/>
          <w:lang w:val="es-ES" w:eastAsia="es-ES"/>
        </w:rPr>
      </w:pPr>
    </w:p>
    <w:p w14:paraId="1A79F0BC" w14:textId="66419090" w:rsidR="00CC0DC2" w:rsidRDefault="00CC0DC2" w:rsidP="00DA7ABE">
      <w:pPr>
        <w:spacing w:after="0" w:line="240" w:lineRule="auto"/>
        <w:ind w:left="709" w:right="709"/>
        <w:jc w:val="both"/>
        <w:rPr>
          <w:rFonts w:ascii="Verdana" w:eastAsia="Calibri" w:hAnsi="Verdana" w:cs="Arial"/>
          <w:color w:val="000000"/>
          <w:sz w:val="20"/>
          <w:szCs w:val="20"/>
          <w:lang w:val="es-ES_tradnl" w:eastAsia="es-ES_tradnl"/>
        </w:rPr>
      </w:pPr>
      <w:r w:rsidRPr="00E40972">
        <w:rPr>
          <w:rFonts w:ascii="Verdana" w:eastAsia="Calibri" w:hAnsi="Verdana" w:cs="Arial"/>
          <w:color w:val="000000"/>
          <w:sz w:val="20"/>
          <w:szCs w:val="20"/>
          <w:lang w:val="es-ES_tradnl" w:eastAsia="es-ES_tradnl"/>
        </w:rPr>
        <w:t xml:space="preserve">“Es claro que la norma  señala que la inhabilidad se aplica  en relación con aquellos servidores públicos que desempeñaron funciones de dirección para  evitar  que puedan utilizar los vínculos, influencia y ascendencia que estos ex directivos –o sus familiares cercanos– puedan tener con la entidad y sus funcionarios encargados de los procesos de selección,  </w:t>
      </w:r>
      <w:r w:rsidRPr="00E40972">
        <w:rPr>
          <w:rFonts w:ascii="Verdana" w:eastAsia="Calibri" w:hAnsi="Verdana" w:cs="Arial"/>
          <w:color w:val="000000"/>
          <w:sz w:val="20"/>
          <w:szCs w:val="20"/>
          <w:lang w:val="es-ES_tradnl" w:eastAsia="es-ES_tradnl"/>
        </w:rPr>
        <w:lastRenderedPageBreak/>
        <w:t>precisamente por el rol de jerarquía y mando que ejerció, con lo cual se trata de poner a salvo los principios constitucionales de la administración pública ya referidos”</w:t>
      </w:r>
      <w:r w:rsidRPr="00E40972">
        <w:rPr>
          <w:rFonts w:ascii="Verdana" w:eastAsia="Calibri" w:hAnsi="Verdana" w:cs="Arial"/>
          <w:color w:val="000000"/>
          <w:sz w:val="20"/>
          <w:szCs w:val="20"/>
          <w:vertAlign w:val="superscript"/>
          <w:lang w:val="es-ES_tradnl" w:eastAsia="es-ES_tradnl"/>
        </w:rPr>
        <w:footnoteReference w:id="12"/>
      </w:r>
      <w:r w:rsidRPr="00E40972">
        <w:rPr>
          <w:rFonts w:ascii="Verdana" w:eastAsia="Calibri" w:hAnsi="Verdana" w:cs="Arial"/>
          <w:color w:val="000000"/>
          <w:sz w:val="20"/>
          <w:szCs w:val="20"/>
          <w:lang w:val="es-ES_tradnl" w:eastAsia="es-ES_tradnl"/>
        </w:rPr>
        <w:t>.</w:t>
      </w:r>
    </w:p>
    <w:p w14:paraId="0B35A020" w14:textId="77777777" w:rsidR="00DA7ABE" w:rsidRPr="006579CD" w:rsidRDefault="00DA7ABE" w:rsidP="006579CD">
      <w:pPr>
        <w:spacing w:after="0" w:line="240" w:lineRule="auto"/>
        <w:ind w:left="709" w:right="709"/>
        <w:jc w:val="both"/>
        <w:rPr>
          <w:rFonts w:ascii="Verdana" w:eastAsia="Calibri" w:hAnsi="Verdana" w:cs="Arial"/>
          <w:color w:val="000000"/>
          <w:lang w:val="es-ES_tradnl" w:eastAsia="es-ES_tradnl"/>
        </w:rPr>
      </w:pPr>
    </w:p>
    <w:p w14:paraId="5315189D" w14:textId="77777777" w:rsidR="00CC0DC2" w:rsidRDefault="00CC0DC2" w:rsidP="0081631E">
      <w:pPr>
        <w:spacing w:after="0" w:line="276" w:lineRule="auto"/>
        <w:ind w:firstLine="709"/>
        <w:jc w:val="both"/>
        <w:rPr>
          <w:rFonts w:ascii="Verdana" w:eastAsia="Calibri" w:hAnsi="Verdana" w:cs="Arial"/>
          <w:lang w:val="es-ES" w:eastAsia="es-ES"/>
        </w:rPr>
      </w:pPr>
      <w:r w:rsidRPr="00ED6FA7">
        <w:rPr>
          <w:rFonts w:ascii="Verdana" w:eastAsia="Calibri" w:hAnsi="Verdana" w:cs="Arial"/>
          <w:i/>
          <w:iCs/>
          <w:color w:val="000000"/>
          <w:lang w:val="es-ES" w:eastAsia="es-ES"/>
        </w:rPr>
        <w:t>El objeto de la causal:</w:t>
      </w:r>
      <w:r w:rsidRPr="4552CAB1">
        <w:rPr>
          <w:rFonts w:ascii="Verdana" w:eastAsia="Calibri" w:hAnsi="Verdana" w:cs="Arial"/>
          <w:color w:val="000000"/>
          <w:lang w:val="es-ES" w:eastAsia="es-ES"/>
        </w:rPr>
        <w:t xml:space="preserve"> es prohibir la celebración de contratos estatales por parte de los sujetos indicados, “cuando el objeto que desarrollen tenga relación con el sector al cual prestaron sus servicios”. Es decir, la norma consagra un criterio mixto funcional y orgánico, pues alude a la relación del objeto contractual con el sector en el que los exempleados se desempeñaron. Aunque la causal no define el concepto sector, el contexto normativo en el que se ubica permite concluir que por aquel debe entenderse “sector administrativo”. Ello a partir de una “interpretación contextual” o “sistemática”. </w:t>
      </w:r>
      <w:r w:rsidRPr="4552CAB1">
        <w:rPr>
          <w:rFonts w:ascii="Verdana" w:eastAsia="Calibri" w:hAnsi="Verdana" w:cs="Arial"/>
          <w:lang w:val="es-ES" w:eastAsia="es-ES"/>
        </w:rPr>
        <w:t>Como dice Guastini, la interpretación literal suele ser una “(…) interpretación no contextual o a-contextual”</w:t>
      </w:r>
      <w:r w:rsidRPr="4552CAB1">
        <w:rPr>
          <w:rFonts w:ascii="Verdana" w:eastAsia="Calibri" w:hAnsi="Verdana" w:cs="Arial"/>
          <w:vertAlign w:val="superscript"/>
          <w:lang w:val="es-ES" w:eastAsia="es-ES"/>
        </w:rPr>
        <w:footnoteReference w:id="13"/>
      </w:r>
      <w:r w:rsidRPr="4552CAB1">
        <w:rPr>
          <w:rFonts w:ascii="Verdana" w:eastAsia="Calibri" w:hAnsi="Verdana" w:cs="Arial"/>
          <w:lang w:val="es-ES" w:eastAsia="es-ES"/>
        </w:rPr>
        <w:t>, es decir, una “(…) interpretación que, para acreditar el significado elegido (el significado “objetivo” del texto), no aduce más que las reglas semánticas y sintácticas de la lengua”</w:t>
      </w:r>
      <w:r w:rsidRPr="4552CAB1">
        <w:rPr>
          <w:rFonts w:ascii="Verdana" w:eastAsia="Calibri" w:hAnsi="Verdana" w:cs="Arial"/>
          <w:vertAlign w:val="superscript"/>
          <w:lang w:val="es-ES" w:eastAsia="es-ES"/>
        </w:rPr>
        <w:footnoteReference w:id="14"/>
      </w:r>
      <w:r w:rsidRPr="4552CAB1">
        <w:rPr>
          <w:rFonts w:ascii="Verdana" w:eastAsia="Calibri" w:hAnsi="Verdana" w:cs="Arial"/>
          <w:lang w:val="es-ES" w:eastAsia="es-ES"/>
        </w:rPr>
        <w:t>. Se diferencia de la “interpretación contextual”, es decir, de “(…) aquella interpretación que, para acreditar el significado elegido, aduce elementos extra-textuales”</w:t>
      </w:r>
      <w:r w:rsidRPr="4552CAB1">
        <w:rPr>
          <w:rFonts w:ascii="Verdana" w:eastAsia="Calibri" w:hAnsi="Verdana" w:cs="Arial"/>
          <w:vertAlign w:val="superscript"/>
          <w:lang w:val="es-ES" w:eastAsia="es-ES"/>
        </w:rPr>
        <w:footnoteReference w:id="15"/>
      </w:r>
      <w:r w:rsidRPr="4552CAB1">
        <w:rPr>
          <w:rFonts w:ascii="Verdana" w:eastAsia="Calibri" w:hAnsi="Verdana" w:cs="Arial"/>
          <w:lang w:val="es-ES" w:eastAsia="es-ES"/>
        </w:rPr>
        <w:t>, como, por ejemplo, los antecedentes legislativos. Una exigencia de la interpretación contextual es el argumento de “interpretación sistemática”. Al respecto, el mencionado autor señala:</w:t>
      </w:r>
    </w:p>
    <w:p w14:paraId="1F522A3E" w14:textId="77777777" w:rsidR="0081631E" w:rsidRDefault="0081631E" w:rsidP="006579CD">
      <w:pPr>
        <w:spacing w:after="0" w:line="276" w:lineRule="auto"/>
        <w:ind w:firstLine="709"/>
        <w:jc w:val="both"/>
        <w:rPr>
          <w:rFonts w:ascii="Verdana" w:eastAsia="Calibri" w:hAnsi="Verdana" w:cs="Arial"/>
          <w:lang w:val="es-ES" w:eastAsia="es-ES"/>
        </w:rPr>
      </w:pPr>
    </w:p>
    <w:p w14:paraId="6B5E2157" w14:textId="7C53CDCF" w:rsidR="00CC0DC2" w:rsidRDefault="00CC0DC2" w:rsidP="006579CD">
      <w:pPr>
        <w:spacing w:after="0" w:line="240" w:lineRule="auto"/>
        <w:ind w:left="709" w:right="709"/>
        <w:jc w:val="both"/>
        <w:rPr>
          <w:rFonts w:ascii="Verdana" w:eastAsia="Calibri" w:hAnsi="Verdana" w:cs="Arial"/>
          <w:sz w:val="20"/>
          <w:szCs w:val="20"/>
          <w:lang w:val="es-ES_tradnl" w:eastAsia="es-ES_tradnl"/>
        </w:rPr>
      </w:pPr>
      <w:r w:rsidRPr="00C6544D">
        <w:rPr>
          <w:rFonts w:ascii="Verdana" w:eastAsia="Calibri" w:hAnsi="Verdana" w:cs="Arial"/>
          <w:sz w:val="20"/>
          <w:szCs w:val="20"/>
          <w:lang w:val="es-ES_tradnl" w:eastAsia="es-ES_tradnl"/>
        </w:rPr>
        <w:t>“En la práctica, se usa un argumento de tipo sistemático siempre que, para acreditar la interpretación escogida, se alega no el texto de la disposición interpretada aisladamente considerada, sino algún elemento del contexto en el que la disposición está colocada. Tal contexto puede ser más o menos extenso: los otros apartados de un mismo artículo, los otros artículos de una misma ley, el conjunto de las leyes que se refieren a una misma materia, etc., hasta llegar a la totalidad de las disposiciones que componen un ordenamiento jurídico”</w:t>
      </w:r>
      <w:r w:rsidRPr="00C6544D">
        <w:rPr>
          <w:rFonts w:ascii="Verdana" w:eastAsia="Calibri" w:hAnsi="Verdana" w:cs="Arial"/>
          <w:sz w:val="20"/>
          <w:szCs w:val="20"/>
          <w:vertAlign w:val="superscript"/>
          <w:lang w:val="es-ES_tradnl" w:eastAsia="es-ES_tradnl"/>
        </w:rPr>
        <w:footnoteReference w:id="16"/>
      </w:r>
      <w:r w:rsidRPr="00C6544D">
        <w:rPr>
          <w:rFonts w:ascii="Verdana" w:eastAsia="Calibri" w:hAnsi="Verdana" w:cs="Arial"/>
          <w:sz w:val="20"/>
          <w:szCs w:val="20"/>
          <w:lang w:val="es-ES_tradnl" w:eastAsia="es-ES_tradnl"/>
        </w:rPr>
        <w:t>.</w:t>
      </w:r>
    </w:p>
    <w:p w14:paraId="1531EC70" w14:textId="77777777" w:rsidR="00CC0DC2" w:rsidRDefault="00CC0DC2" w:rsidP="006579CD">
      <w:pPr>
        <w:spacing w:after="120" w:line="276" w:lineRule="auto"/>
        <w:ind w:firstLine="708"/>
        <w:jc w:val="both"/>
        <w:rPr>
          <w:rFonts w:ascii="Verdana" w:eastAsia="Calibri" w:hAnsi="Verdana" w:cs="Arial"/>
          <w:color w:val="000000"/>
          <w:lang w:val="es-ES_tradnl" w:eastAsia="es-ES_tradnl"/>
        </w:rPr>
      </w:pPr>
      <w:r w:rsidRPr="00C6544D">
        <w:rPr>
          <w:rFonts w:ascii="Verdana" w:eastAsia="Calibri" w:hAnsi="Verdana" w:cs="Arial"/>
          <w:lang w:val="es-ES_tradnl" w:eastAsia="es-ES_tradnl"/>
        </w:rPr>
        <w:lastRenderedPageBreak/>
        <w:t>El ordenamiento jurídico colombiano se acoge la posibilidad de la interpretación sistemática que es consecuencia, según se ha visto, de una interpretación contextual, cuando se presenten dudas en el sentido literal de un texto normativo. En esta línea, el artículo 30 del Código Civil señala que “El contexto de la ley servirá para ilustrar el sentido de cada una de sus partes, de manera que haya entre todas ellas la debida correspondencia y armonía” y que “Los pasajes oscuros de una ley pueden ser ilustrados por medio de otras leyes, particularmente si versan sobre el mismo asunto”</w:t>
      </w:r>
      <w:r w:rsidRPr="00C6544D">
        <w:rPr>
          <w:rFonts w:ascii="Verdana" w:eastAsia="Calibri" w:hAnsi="Verdana" w:cs="Arial"/>
          <w:vertAlign w:val="superscript"/>
          <w:lang w:val="es-ES_tradnl" w:eastAsia="es-ES_tradnl"/>
        </w:rPr>
        <w:footnoteReference w:id="17"/>
      </w:r>
      <w:r w:rsidRPr="00C6544D">
        <w:rPr>
          <w:rFonts w:ascii="Verdana" w:eastAsia="Calibri" w:hAnsi="Verdana" w:cs="Arial"/>
          <w:lang w:val="es-ES_tradnl" w:eastAsia="es-ES_tradnl"/>
        </w:rPr>
        <w:t>.</w:t>
      </w:r>
    </w:p>
    <w:p w14:paraId="37483278" w14:textId="77777777" w:rsidR="00CC0DC2" w:rsidRDefault="00CC0DC2" w:rsidP="00CC0DC2">
      <w:pPr>
        <w:spacing w:before="120" w:after="120" w:line="276" w:lineRule="auto"/>
        <w:ind w:firstLine="709"/>
        <w:jc w:val="both"/>
        <w:rPr>
          <w:rFonts w:ascii="Verdana" w:eastAsia="Calibri" w:hAnsi="Verdana" w:cs="Arial"/>
          <w:color w:val="000000"/>
          <w:lang w:val="es-ES_tradnl" w:eastAsia="es-ES_tradnl"/>
        </w:rPr>
      </w:pPr>
      <w:r w:rsidRPr="00C6544D">
        <w:rPr>
          <w:rFonts w:ascii="Verdana" w:eastAsia="Calibri" w:hAnsi="Verdana" w:cs="Arial"/>
          <w:color w:val="000000"/>
          <w:szCs w:val="24"/>
          <w:lang w:val="es-ES_tradnl" w:eastAsia="es-ES_tradnl"/>
        </w:rPr>
        <w:t>Pues bien, con fundamento en una interpretación contextual o sistemática, puede afirmarse que el literal f) que contiene la causal objeto de análisis se agregó al listado previsto en el numeral 2 del artículo 8 de la Ley 80 de 1993, y que el literal e) o sea, el literal inmediatamente anterior emplea el concepto “sector administrativo”</w:t>
      </w:r>
      <w:r w:rsidRPr="00C6544D">
        <w:rPr>
          <w:rFonts w:ascii="Verdana" w:eastAsia="Calibri" w:hAnsi="Verdana" w:cs="Arial"/>
          <w:color w:val="000000"/>
          <w:szCs w:val="24"/>
          <w:vertAlign w:val="superscript"/>
          <w:lang w:val="es-ES_tradnl" w:eastAsia="es-ES_tradnl"/>
        </w:rPr>
        <w:footnoteReference w:id="18"/>
      </w:r>
      <w:r w:rsidRPr="00C6544D">
        <w:rPr>
          <w:rFonts w:ascii="Verdana" w:eastAsia="Calibri" w:hAnsi="Verdana" w:cs="Arial"/>
          <w:color w:val="000000"/>
          <w:szCs w:val="24"/>
          <w:lang w:val="es-ES_tradnl" w:eastAsia="es-ES_tradnl"/>
        </w:rPr>
        <w:t>. Por tanto, si el artículo 4 de la Ley 1474 de 2011 adicionó una causal posterior a la del literal e), incluyendo la palabra sector, es legítimo interpretarla en el contexto normativo al cual fue agregada, para entender que dicha palabra debe entenderse como sector administrativo, pues es a este al que se refiere el legislador en el ámbito del artículo 8, numeral 2, de la Ley 80 de 1993</w:t>
      </w:r>
      <w:r w:rsidRPr="00C6544D">
        <w:rPr>
          <w:rFonts w:ascii="Verdana" w:eastAsia="Calibri" w:hAnsi="Verdana" w:cs="Arial"/>
          <w:color w:val="000000"/>
          <w:szCs w:val="24"/>
          <w:vertAlign w:val="superscript"/>
          <w:lang w:val="es-ES_tradnl" w:eastAsia="es-ES_tradnl"/>
        </w:rPr>
        <w:footnoteReference w:id="19"/>
      </w:r>
      <w:r w:rsidRPr="00C6544D">
        <w:rPr>
          <w:rFonts w:ascii="Verdana" w:eastAsia="Calibri" w:hAnsi="Verdana" w:cs="Arial"/>
          <w:color w:val="000000"/>
          <w:szCs w:val="24"/>
          <w:lang w:val="es-ES_tradnl" w:eastAsia="es-ES_tradnl"/>
        </w:rPr>
        <w:t>. Ahora bien, esta interpretación solo es posible prima facie para las entidades del orden o nivel nacional.</w:t>
      </w:r>
    </w:p>
    <w:p w14:paraId="67C4FEC2" w14:textId="77777777" w:rsidR="00CC0DC2" w:rsidRDefault="00CC0DC2" w:rsidP="00CC0DC2">
      <w:pPr>
        <w:spacing w:before="120" w:after="120" w:line="276" w:lineRule="auto"/>
        <w:ind w:firstLine="708"/>
        <w:jc w:val="both"/>
        <w:rPr>
          <w:rFonts w:ascii="Verdana" w:eastAsia="Calibri" w:hAnsi="Verdana" w:cs="Arial"/>
          <w:color w:val="000000"/>
          <w:lang w:val="es-ES" w:eastAsia="es-ES"/>
        </w:rPr>
      </w:pPr>
      <w:r>
        <w:rPr>
          <w:rFonts w:ascii="Verdana" w:eastAsia="Calibri" w:hAnsi="Verdana" w:cs="Arial"/>
          <w:color w:val="000000" w:themeColor="text1"/>
          <w:lang w:val="es-ES" w:eastAsia="es-ES"/>
        </w:rPr>
        <w:t>E</w:t>
      </w:r>
      <w:r w:rsidRPr="4552CAB1">
        <w:rPr>
          <w:rFonts w:ascii="Verdana" w:eastAsia="Calibri" w:hAnsi="Verdana" w:cs="Arial"/>
          <w:color w:val="000000" w:themeColor="text1"/>
          <w:lang w:val="es-ES" w:eastAsia="es-ES"/>
        </w:rPr>
        <w:t xml:space="preserve">n cuanto al </w:t>
      </w:r>
      <w:r w:rsidRPr="00ED6FA7">
        <w:rPr>
          <w:rFonts w:ascii="Verdana" w:eastAsia="Calibri" w:hAnsi="Verdana" w:cs="Arial"/>
          <w:i/>
          <w:iCs/>
          <w:color w:val="000000" w:themeColor="text1"/>
          <w:lang w:val="es-ES" w:eastAsia="es-ES"/>
        </w:rPr>
        <w:t>período en el cual rige la prohibición</w:t>
      </w:r>
      <w:r w:rsidRPr="4552CAB1">
        <w:rPr>
          <w:rFonts w:ascii="Verdana" w:eastAsia="Calibri" w:hAnsi="Verdana" w:cs="Arial"/>
          <w:color w:val="000000" w:themeColor="text1"/>
          <w:lang w:val="es-ES" w:eastAsia="es-ES"/>
        </w:rPr>
        <w:t xml:space="preserve">, el segundo inciso del literal f) del artículo 8, numeral 2, de la Ley 80 de 1993, adicionado por el artículo 4 de la Ley 1474 de 2011, señala que, en tal caso, no se pueden celebrar </w:t>
      </w:r>
      <w:r w:rsidRPr="4552CAB1">
        <w:rPr>
          <w:rFonts w:ascii="Verdana" w:eastAsia="Calibri" w:hAnsi="Verdana" w:cs="Arial"/>
          <w:color w:val="000000" w:themeColor="text1"/>
          <w:lang w:val="es-ES" w:eastAsia="es-ES"/>
        </w:rPr>
        <w:lastRenderedPageBreak/>
        <w:t xml:space="preserve">contratos estatales cuyo objeto se relacione con el sector en el cual se desempeñó el exempleado público “durante los dos (2) años siguientes al retiro del ejercicio del cargo público”. Dicho de otro modo, tras haber dejado el cargo el servidor público, comienza a correr un término de dos </w:t>
      </w:r>
      <w:r>
        <w:rPr>
          <w:rFonts w:ascii="Verdana" w:eastAsia="Calibri" w:hAnsi="Verdana" w:cs="Arial"/>
          <w:color w:val="000000" w:themeColor="text1"/>
          <w:lang w:val="es-ES" w:eastAsia="es-ES"/>
        </w:rPr>
        <w:t xml:space="preserve">(2) </w:t>
      </w:r>
      <w:r w:rsidRPr="4552CAB1">
        <w:rPr>
          <w:rFonts w:ascii="Verdana" w:eastAsia="Calibri" w:hAnsi="Verdana" w:cs="Arial"/>
          <w:color w:val="000000" w:themeColor="text1"/>
          <w:lang w:val="es-ES" w:eastAsia="es-ES"/>
        </w:rPr>
        <w:t>años en el cual se aplica la restricción. Esto significa que cuando tal período haya transcurrido, en principio, los sujetos a los que se refiere la causal recobran la capacidad para celebrar contratos estatales, salvo que estén afectados por otras causales de inhabilidad o de incompatibilidad.</w:t>
      </w:r>
    </w:p>
    <w:p w14:paraId="0B6E382A" w14:textId="77777777" w:rsidR="00CC0DC2" w:rsidRPr="00DB4737" w:rsidRDefault="00CC0DC2" w:rsidP="006579CD">
      <w:pPr>
        <w:spacing w:after="120" w:line="276" w:lineRule="auto"/>
        <w:ind w:firstLine="357"/>
        <w:jc w:val="both"/>
        <w:rPr>
          <w:rFonts w:ascii="Verdana" w:eastAsia="Calibri" w:hAnsi="Verdana" w:cs="Times New Roman"/>
          <w:lang w:val="es-ES"/>
        </w:rPr>
      </w:pPr>
      <w:r>
        <w:rPr>
          <w:rFonts w:ascii="Verdana" w:eastAsia="Calibri" w:hAnsi="Verdana" w:cs="Times New Roman"/>
          <w:lang w:val="es-ES"/>
        </w:rPr>
        <w:t xml:space="preserve">     </w:t>
      </w:r>
      <w:r w:rsidRPr="00B00396">
        <w:rPr>
          <w:rFonts w:ascii="Verdana" w:eastAsia="Calibri" w:hAnsi="Verdana" w:cs="Times New Roman"/>
          <w:lang w:val="es-ES"/>
        </w:rPr>
        <w:t xml:space="preserve">Finalmente debe advertirse, que el análisis para </w:t>
      </w:r>
      <w:r w:rsidRPr="00DB4737">
        <w:rPr>
          <w:rFonts w:ascii="Verdana" w:eastAsia="Calibri" w:hAnsi="Verdana" w:cs="Times New Roman"/>
          <w:lang w:val="es-ES"/>
        </w:rPr>
        <w:t xml:space="preserve">resolver problemas específicos en torno </w:t>
      </w:r>
      <w:r>
        <w:rPr>
          <w:rFonts w:ascii="Verdana" w:eastAsia="Calibri" w:hAnsi="Verdana" w:cs="Times New Roman"/>
          <w:lang w:val="es-ES"/>
        </w:rPr>
        <w:t>a los procesos de contratación</w:t>
      </w:r>
      <w:r w:rsidRPr="002B5057">
        <w:rPr>
          <w:rFonts w:ascii="Verdana" w:eastAsia="Calibri" w:hAnsi="Verdana" w:cs="Times New Roman"/>
          <w:lang w:val="es-ES"/>
        </w:rPr>
        <w:t xml:space="preserve"> debe ser realizado por quienes tengan interés en ello.</w:t>
      </w:r>
      <w:r w:rsidRPr="00B00396">
        <w:rPr>
          <w:rFonts w:ascii="Verdana" w:eastAsia="Calibri" w:hAnsi="Verdana" w:cs="Times New Roman"/>
          <w:lang w:val="es-ES"/>
        </w:rPr>
        <w:t xml:space="preserve"> De esta forma, las afirmaciones aquí realizadas</w:t>
      </w:r>
      <w:r w:rsidRPr="00DB4737">
        <w:rPr>
          <w:rFonts w:ascii="Verdana" w:eastAsia="Calibri" w:hAnsi="Verdana" w:cs="Times New Roman"/>
          <w:lang w:val="es-ES"/>
        </w:rPr>
        <w:t xml:space="preserve"> no pueden ser interpretadas como juicios de valor sobre circunstancias concretas relacionadas con los hechos que motivan la consulta. Por lo anterior, previo concepto de sus asesores, la solución de situaciones particulares corresponderá a los interesados de adoptar la decisión y, en caso de conflicto, a las autoridades judiciales, fiscales y disciplinarias.</w:t>
      </w:r>
    </w:p>
    <w:p w14:paraId="63631EF1" w14:textId="77777777" w:rsidR="00CC0DC2" w:rsidRPr="00195334" w:rsidRDefault="00CC0DC2" w:rsidP="001A6CD5">
      <w:pPr>
        <w:spacing w:after="0" w:line="276" w:lineRule="auto"/>
        <w:ind w:firstLine="709"/>
        <w:jc w:val="both"/>
        <w:rPr>
          <w:rFonts w:ascii="Verdana" w:eastAsia="Calibri" w:hAnsi="Verdana" w:cs="Times New Roman"/>
          <w:lang w:val="es-ES"/>
        </w:rPr>
      </w:pPr>
      <w:r w:rsidRPr="00DB4737">
        <w:rPr>
          <w:rFonts w:ascii="Verdana" w:eastAsia="Calibri" w:hAnsi="Verdana" w:cs="Times New Roman"/>
          <w:lang w:val="es-ES"/>
        </w:rPr>
        <w:t>En ese sentido, al tratarse de un análisis que debe realizarse en un procedimiento contractual específico, esta Agencia no puede definir un criterio universal y absoluto por vía consultiva, sino que brinda elementos de carácter general para que los partícipes del Sistema de Compras y Contratación Pública adopten la decisión que corresponda, lo cual es acorde con el principio de juridicidad. Así cada entidad definirá la forma de adelantar su gestión contractual, sin que sea atribución de la Agencia Nacional de Contratación Pública – Colombia Compra Eficiente, validar sus actuaciones</w:t>
      </w:r>
      <w:r>
        <w:rPr>
          <w:rFonts w:ascii="Verdana" w:eastAsia="Calibri" w:hAnsi="Verdana" w:cs="Times New Roman"/>
          <w:lang w:val="es-ES"/>
        </w:rPr>
        <w:t>.</w:t>
      </w:r>
    </w:p>
    <w:p w14:paraId="69626D32" w14:textId="77777777" w:rsidR="001A6CD5" w:rsidRPr="00195334" w:rsidRDefault="001A6CD5" w:rsidP="006579CD">
      <w:pPr>
        <w:spacing w:after="0" w:line="276" w:lineRule="auto"/>
        <w:ind w:firstLine="709"/>
        <w:jc w:val="both"/>
        <w:rPr>
          <w:rFonts w:ascii="Verdana" w:eastAsia="Calibri" w:hAnsi="Verdana" w:cs="Times New Roman"/>
          <w:lang w:val="es-ES"/>
        </w:rPr>
      </w:pPr>
    </w:p>
    <w:p w14:paraId="6CA6EEFF" w14:textId="77777777" w:rsidR="00CC0DC2" w:rsidRPr="00593A5F" w:rsidRDefault="00CC0DC2" w:rsidP="00CC0DC2">
      <w:pPr>
        <w:pStyle w:val="Prrafodelista"/>
        <w:numPr>
          <w:ilvl w:val="0"/>
          <w:numId w:val="16"/>
        </w:numPr>
        <w:tabs>
          <w:tab w:val="left" w:pos="142"/>
          <w:tab w:val="left" w:pos="284"/>
        </w:tabs>
        <w:spacing w:after="0" w:line="276" w:lineRule="auto"/>
        <w:ind w:left="0" w:firstLine="0"/>
        <w:contextualSpacing w:val="0"/>
        <w:jc w:val="both"/>
        <w:rPr>
          <w:rFonts w:ascii="Verdana" w:eastAsia="Century Gothic" w:hAnsi="Verdana" w:cs="Century Gothic"/>
          <w:b/>
          <w:bCs/>
        </w:rPr>
      </w:pPr>
      <w:r w:rsidRPr="00593A5F">
        <w:rPr>
          <w:rFonts w:ascii="Verdana" w:eastAsia="Century Gothic" w:hAnsi="Verdana" w:cs="Century Gothic"/>
          <w:b/>
          <w:bCs/>
        </w:rPr>
        <w:t>Referencias normativas, jurisprudenciales y otras fuentes:</w:t>
      </w:r>
    </w:p>
    <w:p w14:paraId="5B2B989B" w14:textId="77777777" w:rsidR="00CC0DC2" w:rsidRPr="00593A5F" w:rsidRDefault="00CC0DC2" w:rsidP="00CC0DC2">
      <w:pPr>
        <w:widowControl w:val="0"/>
        <w:autoSpaceDE w:val="0"/>
        <w:autoSpaceDN w:val="0"/>
        <w:spacing w:after="0" w:line="276" w:lineRule="auto"/>
        <w:jc w:val="both"/>
        <w:rPr>
          <w:rFonts w:ascii="Verdana" w:hAnsi="Verdana" w:cs="Arial"/>
        </w:rPr>
      </w:pPr>
    </w:p>
    <w:tbl>
      <w:tblPr>
        <w:tblStyle w:val="Tablaconcuadrcula"/>
        <w:tblW w:w="8647" w:type="dxa"/>
        <w:tblInd w:w="137" w:type="dxa"/>
        <w:tblBorders>
          <w:top w:val="dotted" w:sz="4" w:space="0" w:color="auto"/>
          <w:left w:val="dotted" w:sz="4" w:space="0" w:color="auto"/>
          <w:bottom w:val="dotted" w:sz="4" w:space="0" w:color="auto"/>
          <w:right w:val="dotted" w:sz="4" w:space="0" w:color="auto"/>
          <w:insideH w:val="dotted" w:sz="4" w:space="0" w:color="auto"/>
          <w:insideV w:val="dotted" w:sz="4" w:space="0" w:color="auto"/>
        </w:tblBorders>
        <w:tblLayout w:type="fixed"/>
        <w:tblLook w:val="04A0" w:firstRow="1" w:lastRow="0" w:firstColumn="1" w:lastColumn="0" w:noHBand="0" w:noVBand="1"/>
      </w:tblPr>
      <w:tblGrid>
        <w:gridCol w:w="8647"/>
      </w:tblGrid>
      <w:tr w:rsidR="00CC0DC2" w:rsidRPr="00593A5F" w14:paraId="38590F65" w14:textId="77777777" w:rsidTr="003164B9">
        <w:trPr>
          <w:trHeight w:val="870"/>
        </w:trPr>
        <w:tc>
          <w:tcPr>
            <w:tcW w:w="8647" w:type="dxa"/>
          </w:tcPr>
          <w:p w14:paraId="328A68C5" w14:textId="519681BE" w:rsidR="00CC0DC2" w:rsidRDefault="00CC0DC2" w:rsidP="003164B9">
            <w:pPr>
              <w:pStyle w:val="Prrafodelista"/>
              <w:numPr>
                <w:ilvl w:val="0"/>
                <w:numId w:val="17"/>
              </w:numPr>
              <w:spacing w:line="276" w:lineRule="auto"/>
              <w:contextualSpacing w:val="0"/>
              <w:rPr>
                <w:rFonts w:ascii="Verdana" w:hAnsi="Verdana"/>
              </w:rPr>
            </w:pPr>
            <w:r w:rsidRPr="00340535">
              <w:rPr>
                <w:rFonts w:ascii="Verdana" w:hAnsi="Verdana"/>
              </w:rPr>
              <w:t xml:space="preserve">Ley 80 de 1993. Artículos </w:t>
            </w:r>
            <w:r>
              <w:rPr>
                <w:rFonts w:ascii="Verdana" w:hAnsi="Verdana"/>
              </w:rPr>
              <w:t>6 y 8</w:t>
            </w:r>
            <w:r w:rsidR="001A6CD5">
              <w:rPr>
                <w:rFonts w:ascii="Verdana" w:hAnsi="Verdana"/>
              </w:rPr>
              <w:t>.</w:t>
            </w:r>
          </w:p>
          <w:p w14:paraId="02E22E14" w14:textId="5848A6FB" w:rsidR="00CC0DC2" w:rsidRPr="00340535" w:rsidRDefault="00CC0DC2" w:rsidP="003164B9">
            <w:pPr>
              <w:pStyle w:val="Prrafodelista"/>
              <w:numPr>
                <w:ilvl w:val="0"/>
                <w:numId w:val="17"/>
              </w:numPr>
              <w:spacing w:line="276" w:lineRule="auto"/>
              <w:contextualSpacing w:val="0"/>
              <w:rPr>
                <w:rFonts w:ascii="Verdana" w:hAnsi="Verdana"/>
              </w:rPr>
            </w:pPr>
            <w:r w:rsidRPr="0022076A">
              <w:rPr>
                <w:rFonts w:ascii="Verdana" w:eastAsia="Calibri" w:hAnsi="Verdana" w:cs="Arial"/>
                <w:color w:val="000000"/>
                <w:lang w:val="es-ES_tradnl" w:eastAsia="es-ES_tradnl"/>
              </w:rPr>
              <w:t>Ley 1474 de 2011</w:t>
            </w:r>
            <w:r>
              <w:rPr>
                <w:rFonts w:ascii="Verdana" w:eastAsia="Calibri" w:hAnsi="Verdana" w:cs="Arial"/>
                <w:color w:val="000000"/>
                <w:lang w:val="es-ES_tradnl" w:eastAsia="es-ES_tradnl"/>
              </w:rPr>
              <w:t>. Artículo 4</w:t>
            </w:r>
            <w:r w:rsidR="001A6CD5">
              <w:rPr>
                <w:rFonts w:ascii="Verdana" w:eastAsia="Calibri" w:hAnsi="Verdana" w:cs="Arial"/>
                <w:color w:val="000000"/>
                <w:lang w:val="es-ES_tradnl" w:eastAsia="es-ES_tradnl"/>
              </w:rPr>
              <w:t>.</w:t>
            </w:r>
          </w:p>
          <w:p w14:paraId="3A0E66F2" w14:textId="77777777" w:rsidR="00CC0DC2" w:rsidRPr="00F73A1F" w:rsidRDefault="00CC0DC2" w:rsidP="003164B9">
            <w:pPr>
              <w:pStyle w:val="Textonotapie"/>
              <w:numPr>
                <w:ilvl w:val="0"/>
                <w:numId w:val="17"/>
              </w:numPr>
              <w:spacing w:line="276" w:lineRule="auto"/>
              <w:jc w:val="both"/>
              <w:rPr>
                <w:rFonts w:ascii="Verdana" w:hAnsi="Verdana" w:cs="Arial"/>
                <w:color w:val="000000"/>
                <w:sz w:val="22"/>
                <w:szCs w:val="22"/>
                <w:lang w:val="it-IT"/>
              </w:rPr>
            </w:pPr>
            <w:r w:rsidRPr="00195334">
              <w:rPr>
                <w:rFonts w:ascii="Verdana" w:hAnsi="Verdana" w:cs="Arial"/>
                <w:color w:val="000000"/>
                <w:sz w:val="22"/>
                <w:szCs w:val="22"/>
                <w:lang w:val="es-CO"/>
              </w:rPr>
              <w:t xml:space="preserve">Corte Constitucional. Sentencia T-1039 de 2006. </w:t>
            </w:r>
            <w:r w:rsidRPr="00195334">
              <w:rPr>
                <w:rFonts w:ascii="Verdana" w:hAnsi="Verdana" w:cs="Arial"/>
                <w:color w:val="000000"/>
                <w:sz w:val="22"/>
                <w:szCs w:val="22"/>
                <w:lang w:val="it-IT"/>
              </w:rPr>
              <w:t xml:space="preserve">Magistrado Ponente: Humberto Sierra Porto. </w:t>
            </w:r>
          </w:p>
          <w:p w14:paraId="559015CD" w14:textId="501F96E7" w:rsidR="00CC0DC2" w:rsidRPr="00195334" w:rsidRDefault="00CC0DC2" w:rsidP="003164B9">
            <w:pPr>
              <w:widowControl w:val="0"/>
              <w:numPr>
                <w:ilvl w:val="0"/>
                <w:numId w:val="17"/>
              </w:numPr>
              <w:autoSpaceDE w:val="0"/>
              <w:autoSpaceDN w:val="0"/>
              <w:spacing w:line="276" w:lineRule="auto"/>
              <w:contextualSpacing/>
              <w:jc w:val="both"/>
              <w:rPr>
                <w:rFonts w:ascii="Verdana" w:hAnsi="Verdana" w:cs="Arial"/>
              </w:rPr>
            </w:pPr>
            <w:r w:rsidRPr="0070729B">
              <w:rPr>
                <w:rFonts w:ascii="Verdana" w:hAnsi="Verdana" w:cs="Arial"/>
              </w:rPr>
              <w:t>Corte Constitucional. Sentencia C-257 del 7 de mayo de 2013. M</w:t>
            </w:r>
            <w:r>
              <w:rPr>
                <w:rFonts w:ascii="Verdana" w:hAnsi="Verdana" w:cs="Arial"/>
              </w:rPr>
              <w:t>.</w:t>
            </w:r>
            <w:r w:rsidRPr="0070729B">
              <w:rPr>
                <w:rFonts w:ascii="Verdana" w:hAnsi="Verdana" w:cs="Arial"/>
              </w:rPr>
              <w:t>P: Jaime Córdoba Triviño</w:t>
            </w:r>
            <w:r w:rsidR="001A6CD5">
              <w:rPr>
                <w:rFonts w:ascii="Verdana" w:hAnsi="Verdana" w:cs="Arial"/>
              </w:rPr>
              <w:t>.</w:t>
            </w:r>
          </w:p>
          <w:p w14:paraId="13A139AF" w14:textId="77777777" w:rsidR="00CC0DC2" w:rsidRPr="00195334" w:rsidRDefault="00CC0DC2" w:rsidP="003164B9">
            <w:pPr>
              <w:pStyle w:val="Textonotapie"/>
              <w:numPr>
                <w:ilvl w:val="0"/>
                <w:numId w:val="17"/>
              </w:numPr>
              <w:spacing w:line="276" w:lineRule="auto"/>
              <w:jc w:val="both"/>
              <w:rPr>
                <w:rFonts w:ascii="Verdana" w:hAnsi="Verdana" w:cs="Arial"/>
                <w:color w:val="000000"/>
                <w:sz w:val="22"/>
                <w:szCs w:val="22"/>
                <w:lang w:val="es-CO"/>
              </w:rPr>
            </w:pPr>
            <w:r w:rsidRPr="00195334">
              <w:rPr>
                <w:rFonts w:ascii="Verdana" w:hAnsi="Verdana" w:cs="Arial"/>
                <w:color w:val="000000"/>
                <w:sz w:val="22"/>
                <w:szCs w:val="22"/>
                <w:lang w:val="es-CO"/>
              </w:rPr>
              <w:lastRenderedPageBreak/>
              <w:t>Consejo de Estado. Sala de Consulta y Servicio Civil. Concepto del 30 de abril de 2015. Expediente: 2251. Consejero Ponente: Álvaro Namén Vargas.</w:t>
            </w:r>
          </w:p>
          <w:p w14:paraId="2B2EAABE" w14:textId="77777777" w:rsidR="00CC0DC2" w:rsidRPr="00340535" w:rsidRDefault="00CC0DC2" w:rsidP="003164B9">
            <w:pPr>
              <w:pStyle w:val="Prrafodelista"/>
              <w:numPr>
                <w:ilvl w:val="0"/>
                <w:numId w:val="17"/>
              </w:numPr>
              <w:spacing w:line="276" w:lineRule="auto"/>
              <w:contextualSpacing w:val="0"/>
              <w:jc w:val="both"/>
              <w:rPr>
                <w:rFonts w:ascii="Verdana" w:hAnsi="Verdana" w:cs="Arial"/>
                <w:color w:val="000000"/>
                <w:sz w:val="20"/>
                <w:szCs w:val="20"/>
              </w:rPr>
            </w:pPr>
            <w:r w:rsidRPr="00340535">
              <w:rPr>
                <w:rFonts w:ascii="Verdana" w:hAnsi="Verdana" w:cs="Arial"/>
                <w:color w:val="000000"/>
              </w:rPr>
              <w:t>Consejo</w:t>
            </w:r>
            <w:r w:rsidRPr="00340535">
              <w:rPr>
                <w:rFonts w:ascii="Verdana" w:hAnsi="Verdana" w:cs="Arial"/>
                <w:color w:val="000000"/>
                <w:spacing w:val="12"/>
              </w:rPr>
              <w:t xml:space="preserve"> </w:t>
            </w:r>
            <w:r w:rsidRPr="00340535">
              <w:rPr>
                <w:rFonts w:ascii="Verdana" w:hAnsi="Verdana" w:cs="Arial"/>
                <w:color w:val="000000"/>
              </w:rPr>
              <w:t>de</w:t>
            </w:r>
            <w:r w:rsidRPr="00340535">
              <w:rPr>
                <w:rFonts w:ascii="Verdana" w:hAnsi="Verdana" w:cs="Arial"/>
                <w:color w:val="000000"/>
                <w:spacing w:val="11"/>
              </w:rPr>
              <w:t xml:space="preserve"> </w:t>
            </w:r>
            <w:r w:rsidRPr="00340535">
              <w:rPr>
                <w:rFonts w:ascii="Verdana" w:hAnsi="Verdana" w:cs="Arial"/>
                <w:color w:val="000000"/>
              </w:rPr>
              <w:t>Estado.</w:t>
            </w:r>
            <w:r w:rsidRPr="00340535">
              <w:rPr>
                <w:rFonts w:ascii="Verdana" w:hAnsi="Verdana" w:cs="Arial"/>
                <w:color w:val="000000"/>
                <w:spacing w:val="12"/>
              </w:rPr>
              <w:t xml:space="preserve"> </w:t>
            </w:r>
            <w:r w:rsidRPr="00340535">
              <w:rPr>
                <w:rFonts w:ascii="Verdana" w:hAnsi="Verdana" w:cs="Arial"/>
                <w:color w:val="000000"/>
              </w:rPr>
              <w:t>Sección</w:t>
            </w:r>
            <w:r w:rsidRPr="00340535">
              <w:rPr>
                <w:rFonts w:ascii="Verdana" w:hAnsi="Verdana" w:cs="Arial"/>
                <w:color w:val="000000"/>
                <w:spacing w:val="12"/>
              </w:rPr>
              <w:t xml:space="preserve"> </w:t>
            </w:r>
            <w:r w:rsidRPr="00340535">
              <w:rPr>
                <w:rFonts w:ascii="Verdana" w:hAnsi="Verdana" w:cs="Arial"/>
                <w:color w:val="000000"/>
              </w:rPr>
              <w:t>Tercera.</w:t>
            </w:r>
            <w:r w:rsidRPr="00340535">
              <w:rPr>
                <w:rFonts w:ascii="Verdana" w:hAnsi="Verdana" w:cs="Arial"/>
                <w:color w:val="000000"/>
                <w:spacing w:val="12"/>
              </w:rPr>
              <w:t xml:space="preserve"> </w:t>
            </w:r>
            <w:r w:rsidRPr="00340535">
              <w:rPr>
                <w:rFonts w:ascii="Verdana" w:hAnsi="Verdana" w:cs="Arial"/>
                <w:color w:val="000000"/>
              </w:rPr>
              <w:t>Subsección</w:t>
            </w:r>
            <w:r w:rsidRPr="00340535">
              <w:rPr>
                <w:rFonts w:ascii="Verdana" w:hAnsi="Verdana" w:cs="Arial"/>
                <w:color w:val="000000"/>
                <w:spacing w:val="13"/>
              </w:rPr>
              <w:t xml:space="preserve"> </w:t>
            </w:r>
            <w:r w:rsidRPr="00340535">
              <w:rPr>
                <w:rFonts w:ascii="Verdana" w:hAnsi="Verdana" w:cs="Arial"/>
                <w:color w:val="000000"/>
              </w:rPr>
              <w:t>A.</w:t>
            </w:r>
            <w:r w:rsidRPr="00340535">
              <w:rPr>
                <w:rFonts w:ascii="Verdana" w:hAnsi="Verdana" w:cs="Arial"/>
                <w:color w:val="000000"/>
                <w:spacing w:val="12"/>
              </w:rPr>
              <w:t xml:space="preserve"> </w:t>
            </w:r>
            <w:r w:rsidRPr="00340535">
              <w:rPr>
                <w:rFonts w:ascii="Verdana" w:hAnsi="Verdana" w:cs="Arial"/>
                <w:color w:val="000000"/>
              </w:rPr>
              <w:t>Sentencia</w:t>
            </w:r>
            <w:r w:rsidRPr="00340535">
              <w:rPr>
                <w:rFonts w:ascii="Verdana" w:hAnsi="Verdana" w:cs="Arial"/>
                <w:color w:val="000000"/>
                <w:spacing w:val="13"/>
              </w:rPr>
              <w:t xml:space="preserve"> </w:t>
            </w:r>
            <w:r w:rsidRPr="00340535">
              <w:rPr>
                <w:rFonts w:ascii="Verdana" w:hAnsi="Verdana" w:cs="Arial"/>
                <w:color w:val="000000"/>
              </w:rPr>
              <w:t>del</w:t>
            </w:r>
            <w:r w:rsidRPr="00340535">
              <w:rPr>
                <w:rFonts w:ascii="Verdana" w:hAnsi="Verdana" w:cs="Arial"/>
                <w:color w:val="000000"/>
                <w:spacing w:val="11"/>
              </w:rPr>
              <w:t xml:space="preserve"> </w:t>
            </w:r>
            <w:r w:rsidRPr="00340535">
              <w:rPr>
                <w:rFonts w:ascii="Verdana" w:hAnsi="Verdana" w:cs="Arial"/>
                <w:color w:val="000000"/>
              </w:rPr>
              <w:t>24</w:t>
            </w:r>
            <w:r w:rsidRPr="00340535">
              <w:rPr>
                <w:rFonts w:ascii="Verdana" w:hAnsi="Verdana" w:cs="Arial"/>
                <w:color w:val="000000"/>
                <w:spacing w:val="11"/>
              </w:rPr>
              <w:t xml:space="preserve"> </w:t>
            </w:r>
            <w:r w:rsidRPr="00340535">
              <w:rPr>
                <w:rFonts w:ascii="Verdana" w:hAnsi="Verdana" w:cs="Arial"/>
                <w:color w:val="000000"/>
              </w:rPr>
              <w:t>de</w:t>
            </w:r>
            <w:r w:rsidRPr="00340535">
              <w:rPr>
                <w:rFonts w:ascii="Verdana" w:hAnsi="Verdana" w:cs="Arial"/>
                <w:color w:val="000000"/>
                <w:spacing w:val="11"/>
              </w:rPr>
              <w:t xml:space="preserve"> </w:t>
            </w:r>
            <w:r w:rsidRPr="00340535">
              <w:rPr>
                <w:rFonts w:ascii="Verdana" w:hAnsi="Verdana" w:cs="Arial"/>
                <w:color w:val="000000"/>
              </w:rPr>
              <w:t>junio</w:t>
            </w:r>
            <w:r w:rsidRPr="00340535">
              <w:rPr>
                <w:rFonts w:ascii="Verdana" w:hAnsi="Verdana" w:cs="Arial"/>
                <w:color w:val="000000"/>
                <w:spacing w:val="11"/>
              </w:rPr>
              <w:t xml:space="preserve"> </w:t>
            </w:r>
            <w:r w:rsidRPr="00340535">
              <w:rPr>
                <w:rFonts w:ascii="Verdana" w:hAnsi="Verdana" w:cs="Arial"/>
                <w:color w:val="000000"/>
              </w:rPr>
              <w:t>de</w:t>
            </w:r>
            <w:r w:rsidRPr="00340535">
              <w:rPr>
                <w:rFonts w:ascii="Verdana" w:hAnsi="Verdana" w:cs="Arial"/>
                <w:color w:val="000000"/>
                <w:spacing w:val="11"/>
              </w:rPr>
              <w:t xml:space="preserve"> </w:t>
            </w:r>
            <w:r w:rsidRPr="00340535">
              <w:rPr>
                <w:rFonts w:ascii="Verdana" w:hAnsi="Verdana" w:cs="Arial"/>
                <w:color w:val="000000"/>
              </w:rPr>
              <w:t>2015.</w:t>
            </w:r>
            <w:r w:rsidRPr="00340535">
              <w:rPr>
                <w:rFonts w:ascii="Verdana" w:hAnsi="Verdana" w:cs="Arial"/>
                <w:color w:val="000000"/>
                <w:spacing w:val="1"/>
              </w:rPr>
              <w:t xml:space="preserve"> </w:t>
            </w:r>
            <w:r w:rsidRPr="00340535">
              <w:rPr>
                <w:rFonts w:ascii="Verdana" w:hAnsi="Verdana" w:cs="Arial"/>
                <w:color w:val="000000"/>
              </w:rPr>
              <w:t>Exp.</w:t>
            </w:r>
            <w:r w:rsidRPr="00340535">
              <w:rPr>
                <w:rFonts w:ascii="Verdana" w:hAnsi="Verdana" w:cs="Arial"/>
                <w:color w:val="000000"/>
                <w:spacing w:val="-2"/>
              </w:rPr>
              <w:t xml:space="preserve"> </w:t>
            </w:r>
            <w:r w:rsidRPr="00340535">
              <w:rPr>
                <w:rFonts w:ascii="Verdana" w:hAnsi="Verdana" w:cs="Arial"/>
                <w:color w:val="000000"/>
              </w:rPr>
              <w:t>40.635.</w:t>
            </w:r>
            <w:r w:rsidRPr="00340535">
              <w:rPr>
                <w:rFonts w:ascii="Verdana" w:hAnsi="Verdana" w:cs="Arial"/>
                <w:color w:val="000000"/>
                <w:spacing w:val="-2"/>
              </w:rPr>
              <w:t xml:space="preserve"> </w:t>
            </w:r>
            <w:r w:rsidRPr="00340535">
              <w:rPr>
                <w:rFonts w:ascii="Verdana" w:hAnsi="Verdana" w:cs="Arial"/>
                <w:color w:val="000000"/>
              </w:rPr>
              <w:t>Consejero</w:t>
            </w:r>
            <w:r w:rsidRPr="00340535">
              <w:rPr>
                <w:rFonts w:ascii="Verdana" w:hAnsi="Verdana" w:cs="Arial"/>
                <w:color w:val="000000"/>
                <w:spacing w:val="-1"/>
              </w:rPr>
              <w:t xml:space="preserve"> </w:t>
            </w:r>
            <w:r w:rsidRPr="00340535">
              <w:rPr>
                <w:rFonts w:ascii="Verdana" w:hAnsi="Verdana" w:cs="Arial"/>
                <w:color w:val="000000"/>
              </w:rPr>
              <w:t>Ponente:</w:t>
            </w:r>
            <w:r w:rsidRPr="00340535">
              <w:rPr>
                <w:rFonts w:ascii="Verdana" w:hAnsi="Verdana" w:cs="Arial"/>
                <w:color w:val="000000"/>
                <w:spacing w:val="-2"/>
              </w:rPr>
              <w:t xml:space="preserve"> </w:t>
            </w:r>
            <w:r w:rsidRPr="00340535">
              <w:rPr>
                <w:rFonts w:ascii="Verdana" w:hAnsi="Verdana" w:cs="Arial"/>
                <w:color w:val="000000"/>
              </w:rPr>
              <w:t>Hernán</w:t>
            </w:r>
            <w:r w:rsidRPr="00340535">
              <w:rPr>
                <w:rFonts w:ascii="Verdana" w:hAnsi="Verdana" w:cs="Arial"/>
                <w:color w:val="000000"/>
                <w:spacing w:val="-1"/>
              </w:rPr>
              <w:t xml:space="preserve"> </w:t>
            </w:r>
            <w:r w:rsidRPr="00340535">
              <w:rPr>
                <w:rFonts w:ascii="Verdana" w:hAnsi="Verdana" w:cs="Arial"/>
                <w:color w:val="000000"/>
              </w:rPr>
              <w:t>Andrade</w:t>
            </w:r>
            <w:r w:rsidRPr="00340535">
              <w:rPr>
                <w:rFonts w:ascii="Verdana" w:hAnsi="Verdana" w:cs="Arial"/>
                <w:color w:val="000000"/>
                <w:spacing w:val="-2"/>
              </w:rPr>
              <w:t xml:space="preserve"> </w:t>
            </w:r>
            <w:r w:rsidRPr="00340535">
              <w:rPr>
                <w:rFonts w:ascii="Verdana" w:hAnsi="Verdana" w:cs="Arial"/>
                <w:color w:val="000000"/>
              </w:rPr>
              <w:t>Rincón</w:t>
            </w:r>
            <w:r w:rsidRPr="00340535">
              <w:rPr>
                <w:rFonts w:ascii="Verdana" w:hAnsi="Verdana" w:cs="Arial"/>
                <w:color w:val="000000"/>
                <w:spacing w:val="-1"/>
              </w:rPr>
              <w:t xml:space="preserve"> </w:t>
            </w:r>
            <w:r w:rsidRPr="00340535">
              <w:rPr>
                <w:rFonts w:ascii="Verdana" w:hAnsi="Verdana" w:cs="Arial"/>
                <w:color w:val="000000"/>
              </w:rPr>
              <w:t>(E).</w:t>
            </w:r>
          </w:p>
        </w:tc>
      </w:tr>
    </w:tbl>
    <w:p w14:paraId="4BB05D66" w14:textId="77777777" w:rsidR="00CC0DC2" w:rsidRPr="00593A5F" w:rsidRDefault="00CC0DC2" w:rsidP="00CC0DC2">
      <w:pPr>
        <w:widowControl w:val="0"/>
        <w:autoSpaceDE w:val="0"/>
        <w:autoSpaceDN w:val="0"/>
        <w:spacing w:after="0" w:line="276" w:lineRule="auto"/>
        <w:jc w:val="both"/>
        <w:rPr>
          <w:rFonts w:ascii="Verdana" w:hAnsi="Verdana" w:cs="Arial"/>
        </w:rPr>
      </w:pPr>
    </w:p>
    <w:p w14:paraId="47FBE560" w14:textId="77777777" w:rsidR="00CC0DC2" w:rsidRPr="00593A5F" w:rsidRDefault="00CC0DC2" w:rsidP="00CC0DC2">
      <w:pPr>
        <w:pStyle w:val="Prrafodelista"/>
        <w:numPr>
          <w:ilvl w:val="0"/>
          <w:numId w:val="16"/>
        </w:numPr>
        <w:tabs>
          <w:tab w:val="left" w:pos="142"/>
          <w:tab w:val="left" w:pos="284"/>
        </w:tabs>
        <w:spacing w:after="0" w:line="276" w:lineRule="auto"/>
        <w:ind w:left="0" w:firstLine="0"/>
        <w:contextualSpacing w:val="0"/>
        <w:jc w:val="both"/>
        <w:rPr>
          <w:rFonts w:ascii="Verdana" w:eastAsia="Century Gothic" w:hAnsi="Verdana" w:cs="Century Gothic"/>
          <w:b/>
          <w:bCs/>
        </w:rPr>
      </w:pPr>
      <w:r>
        <w:rPr>
          <w:rFonts w:ascii="Verdana" w:eastAsia="Century Gothic" w:hAnsi="Verdana" w:cs="Century Gothic"/>
          <w:b/>
          <w:bCs/>
        </w:rPr>
        <w:t>Doctrina de la Agencia Nacional de Contratación Pública</w:t>
      </w:r>
      <w:r w:rsidRPr="00593A5F">
        <w:rPr>
          <w:rFonts w:ascii="Verdana" w:eastAsia="Century Gothic" w:hAnsi="Verdana" w:cs="Century Gothic"/>
          <w:b/>
          <w:bCs/>
        </w:rPr>
        <w:t>:</w:t>
      </w:r>
    </w:p>
    <w:p w14:paraId="259B6D1E" w14:textId="77777777" w:rsidR="00CC0DC2" w:rsidRDefault="00CC0DC2" w:rsidP="00CC0DC2">
      <w:pPr>
        <w:widowControl w:val="0"/>
        <w:autoSpaceDE w:val="0"/>
        <w:autoSpaceDN w:val="0"/>
        <w:spacing w:after="0" w:line="276" w:lineRule="auto"/>
        <w:jc w:val="both"/>
        <w:rPr>
          <w:rFonts w:ascii="Verdana" w:eastAsia="Calibri" w:hAnsi="Verdana" w:cs="Arial"/>
          <w:lang w:val="es-ES_tradnl" w:eastAsia="es-ES_tradnl"/>
        </w:rPr>
      </w:pPr>
    </w:p>
    <w:p w14:paraId="56B5D830" w14:textId="77777777" w:rsidR="00CC0DC2" w:rsidRDefault="00CC0DC2" w:rsidP="00CC0DC2">
      <w:pPr>
        <w:widowControl w:val="0"/>
        <w:autoSpaceDE w:val="0"/>
        <w:autoSpaceDN w:val="0"/>
        <w:spacing w:after="0" w:line="276" w:lineRule="auto"/>
        <w:jc w:val="both"/>
        <w:rPr>
          <w:rStyle w:val="normaltextrun"/>
          <w:rFonts w:ascii="Verdana" w:hAnsi="Verdana" w:cs="Arial"/>
          <w:color w:val="FF0000"/>
          <w:shd w:val="clear" w:color="auto" w:fill="FFFFFF"/>
          <w:lang w:val="es-ES"/>
        </w:rPr>
      </w:pPr>
      <w:r w:rsidRPr="00BA1192">
        <w:rPr>
          <w:rFonts w:ascii="Verdana" w:eastAsia="Calibri" w:hAnsi="Verdana" w:cs="Arial"/>
          <w:lang w:val="es-ES_tradnl" w:eastAsia="es-ES_tradnl"/>
        </w:rPr>
        <w:t>Sobre el régimen de inhabilidades e incompatibilidades esta Subdirección se pronunció en los</w:t>
      </w:r>
      <w:r w:rsidRPr="00BA1192">
        <w:rPr>
          <w:rFonts w:ascii="Verdana" w:eastAsia="Calibri" w:hAnsi="Verdana" w:cs="Arial"/>
          <w:lang w:val="es-MX"/>
        </w:rPr>
        <w:t xml:space="preserve"> C−410 del 7 de julio de 2021, C−491 del 14 de septiembre de 2021, C−522 del 1 de octubre de 2021, C−128 del 25 de marzo de 2022, C−252 del 3 de mayo de 2022, C−376 del 14 de junio de 2022, C−413 del 24 de junio de 2022, C−691 del 20 de octubre de 2022, C−731 del 10 de noviembre de 2022, C−928 del 26 de enero de 2023, C−126 del 24 de abril de 2023, C−175 del 4 de mayo de 2023, C−234 del 5 de julio de 2023, C−010 del 31 de enero de 2024, la respuesta </w:t>
      </w:r>
      <w:r w:rsidRPr="00BA1192">
        <w:rPr>
          <w:rFonts w:ascii="Verdana" w:hAnsi="Verdana" w:cs="Arial"/>
        </w:rPr>
        <w:t xml:space="preserve">al radicado </w:t>
      </w:r>
      <w:r w:rsidRPr="00BA1192">
        <w:rPr>
          <w:rFonts w:ascii="Verdana" w:eastAsia="Aptos" w:hAnsi="Verdana" w:cs="Calibri"/>
        </w:rPr>
        <w:t>P20240308002646 del 24 de abril de 2024,</w:t>
      </w:r>
      <w:r w:rsidRPr="00BA1192">
        <w:rPr>
          <w:rFonts w:ascii="Verdana" w:eastAsia="Calibri" w:hAnsi="Verdana" w:cs="Arial"/>
          <w:lang w:val="es-MX"/>
        </w:rPr>
        <w:t xml:space="preserve"> el C-039 del 23 de abril de 2024, </w:t>
      </w:r>
      <w:r>
        <w:rPr>
          <w:rFonts w:ascii="Verdana" w:eastAsia="Calibri" w:hAnsi="Verdana" w:cs="Arial"/>
          <w:lang w:val="es-MX"/>
        </w:rPr>
        <w:t xml:space="preserve">C-811 de 2024, </w:t>
      </w:r>
      <w:r w:rsidRPr="00BA1192">
        <w:rPr>
          <w:rFonts w:ascii="Verdana" w:hAnsi="Verdana" w:cs="Arial"/>
        </w:rPr>
        <w:t>C-085 del 3 de marzo de 2025</w:t>
      </w:r>
      <w:r>
        <w:rPr>
          <w:rFonts w:ascii="Verdana" w:hAnsi="Verdana" w:cs="Arial"/>
        </w:rPr>
        <w:t xml:space="preserve">, </w:t>
      </w:r>
      <w:r w:rsidRPr="00BA1192">
        <w:rPr>
          <w:rFonts w:ascii="Verdana" w:eastAsia="Aptos" w:hAnsi="Verdana" w:cs="Calibri"/>
        </w:rPr>
        <w:t>C-170 del 19 de marzo de 2025</w:t>
      </w:r>
      <w:r>
        <w:rPr>
          <w:rFonts w:ascii="Verdana" w:eastAsia="Aptos" w:hAnsi="Verdana" w:cs="Calibri"/>
        </w:rPr>
        <w:t xml:space="preserve">, </w:t>
      </w:r>
      <w:r>
        <w:rPr>
          <w:rFonts w:ascii="Verdana" w:hAnsi="Verdana" w:cs="Arial"/>
        </w:rPr>
        <w:t xml:space="preserve">C-061 del 25 de febrero de 2025, C-026 del 24 de febrero de 2025, C-034 de 2025, C-887 de 2025, C-1233 de 2025,  </w:t>
      </w:r>
      <w:r w:rsidRPr="00A1554D">
        <w:rPr>
          <w:rStyle w:val="normaltextrun"/>
          <w:rFonts w:ascii="Verdana" w:hAnsi="Verdana" w:cs="Arial"/>
          <w:shd w:val="clear" w:color="auto" w:fill="FFFFFF"/>
          <w:lang w:val="es-ES"/>
        </w:rPr>
        <w:t>Es</w:t>
      </w:r>
      <w:r w:rsidRPr="00A1554D">
        <w:rPr>
          <w:rFonts w:ascii="Verdana" w:hAnsi="Verdana"/>
        </w:rPr>
        <w:t xml:space="preserve">tos y otros conceptos se encuentran disponibles para consulta en el Sistema de </w:t>
      </w:r>
      <w:r>
        <w:rPr>
          <w:rFonts w:ascii="Verdana" w:hAnsi="Verdana"/>
        </w:rPr>
        <w:t>r</w:t>
      </w:r>
      <w:r w:rsidRPr="00A1554D">
        <w:rPr>
          <w:rFonts w:ascii="Verdana" w:hAnsi="Verdana"/>
        </w:rPr>
        <w:t>elatoría de la Agencia, al cual se puede acceder a través del siguiente enlace:</w:t>
      </w:r>
      <w:r w:rsidRPr="00A1554D">
        <w:rPr>
          <w:rStyle w:val="normaltextrun"/>
          <w:rFonts w:ascii="Verdana" w:hAnsi="Verdana" w:cs="Arial"/>
          <w:shd w:val="clear" w:color="auto" w:fill="FFFFFF"/>
          <w:lang w:val="es-ES"/>
        </w:rPr>
        <w:t xml:space="preserve"> </w:t>
      </w:r>
      <w:hyperlink r:id="rId12" w:history="1">
        <w:r w:rsidRPr="005E6C56">
          <w:rPr>
            <w:rStyle w:val="Hipervnculo"/>
            <w:rFonts w:ascii="Verdana" w:hAnsi="Verdana" w:cs="Arial"/>
            <w:shd w:val="clear" w:color="auto" w:fill="FFFFFF"/>
            <w:lang w:val="es-ES"/>
          </w:rPr>
          <w:t>https://relatoria.colombiacompra.gov.co/busqueda/conceptos</w:t>
        </w:r>
      </w:hyperlink>
      <w:r w:rsidRPr="005E6C56">
        <w:rPr>
          <w:rStyle w:val="normaltextrun"/>
          <w:rFonts w:ascii="Verdana" w:hAnsi="Verdana" w:cs="Arial"/>
          <w:color w:val="FF0000"/>
          <w:shd w:val="clear" w:color="auto" w:fill="FFFFFF"/>
          <w:lang w:val="es-ES"/>
        </w:rPr>
        <w:t xml:space="preserve"> </w:t>
      </w:r>
    </w:p>
    <w:p w14:paraId="19337D6F" w14:textId="77777777" w:rsidR="00CC0DC2" w:rsidRDefault="00CC0DC2" w:rsidP="00CC0DC2">
      <w:pPr>
        <w:shd w:val="clear" w:color="auto" w:fill="FFFFFF"/>
        <w:spacing w:after="0" w:line="276" w:lineRule="auto"/>
        <w:jc w:val="both"/>
        <w:textAlignment w:val="baseline"/>
        <w:rPr>
          <w:rFonts w:ascii="Verdana" w:hAnsi="Verdana"/>
          <w:color w:val="000000"/>
          <w:bdr w:val="none" w:sz="0" w:space="0" w:color="auto" w:frame="1"/>
        </w:rPr>
      </w:pPr>
    </w:p>
    <w:p w14:paraId="675FD68D" w14:textId="77777777" w:rsidR="00CC0DC2" w:rsidRPr="003E2460" w:rsidRDefault="00CC0DC2" w:rsidP="00CC0DC2">
      <w:pPr>
        <w:spacing w:after="0" w:line="276" w:lineRule="auto"/>
        <w:jc w:val="both"/>
        <w:rPr>
          <w:rFonts w:ascii="Verdana" w:hAnsi="Verdana"/>
        </w:rPr>
      </w:pPr>
      <w:r w:rsidRPr="003E2460">
        <w:rPr>
          <w:rFonts w:ascii="Verdana" w:hAnsi="Verdana"/>
        </w:rPr>
        <w:t xml:space="preserve">Por último, lo invitamos a seguirnos en las redes sociales en las cuales se difunde información institucional: </w:t>
      </w:r>
    </w:p>
    <w:p w14:paraId="62B6C725" w14:textId="77777777" w:rsidR="00CC0DC2" w:rsidRPr="003E2460" w:rsidRDefault="00CC0DC2" w:rsidP="00CC0DC2">
      <w:pPr>
        <w:spacing w:after="0" w:line="276" w:lineRule="auto"/>
        <w:jc w:val="both"/>
        <w:rPr>
          <w:rFonts w:ascii="Verdana" w:hAnsi="Verdana"/>
        </w:rPr>
      </w:pPr>
    </w:p>
    <w:p w14:paraId="1902D42C" w14:textId="77777777" w:rsidR="00CC0DC2" w:rsidRPr="003E2460" w:rsidRDefault="00CC0DC2" w:rsidP="00CC0DC2">
      <w:pPr>
        <w:spacing w:after="0" w:line="276" w:lineRule="auto"/>
        <w:jc w:val="both"/>
        <w:rPr>
          <w:rFonts w:ascii="Verdana" w:hAnsi="Verdana"/>
        </w:rPr>
      </w:pPr>
      <w:r w:rsidRPr="003E2460">
        <w:rPr>
          <w:rFonts w:ascii="Verdana" w:hAnsi="Verdana"/>
        </w:rPr>
        <w:t xml:space="preserve">Twitter: </w:t>
      </w:r>
      <w:r w:rsidRPr="003E2460">
        <w:rPr>
          <w:rStyle w:val="Hipervnculo"/>
          <w:rFonts w:ascii="Verdana" w:hAnsi="Verdana"/>
          <w:color w:val="4472C4" w:themeColor="accent1"/>
        </w:rPr>
        <w:t>@colombiacompra</w:t>
      </w:r>
      <w:r w:rsidRPr="003E2460">
        <w:rPr>
          <w:rFonts w:ascii="Verdana" w:hAnsi="Verdana"/>
          <w:color w:val="4472C4" w:themeColor="accent1"/>
        </w:rPr>
        <w:t xml:space="preserve"> </w:t>
      </w:r>
    </w:p>
    <w:p w14:paraId="1C926DE2" w14:textId="77777777" w:rsidR="00CC0DC2" w:rsidRPr="003E2460" w:rsidRDefault="00CC0DC2" w:rsidP="00CC0DC2">
      <w:pPr>
        <w:spacing w:after="0" w:line="276" w:lineRule="auto"/>
        <w:jc w:val="both"/>
        <w:rPr>
          <w:rFonts w:ascii="Verdana" w:hAnsi="Verdana"/>
        </w:rPr>
      </w:pPr>
      <w:r w:rsidRPr="003E2460">
        <w:rPr>
          <w:rFonts w:ascii="Verdana" w:hAnsi="Verdana"/>
        </w:rPr>
        <w:t xml:space="preserve">Facebook: </w:t>
      </w:r>
      <w:r w:rsidRPr="003E2460">
        <w:rPr>
          <w:rStyle w:val="Hipervnculo"/>
          <w:rFonts w:ascii="Verdana" w:hAnsi="Verdana"/>
          <w:color w:val="4472C4" w:themeColor="accent1"/>
        </w:rPr>
        <w:t>ColombiaCompraEficiente</w:t>
      </w:r>
    </w:p>
    <w:p w14:paraId="388E3F09" w14:textId="77777777" w:rsidR="00CC0DC2" w:rsidRPr="003E2460" w:rsidRDefault="00CC0DC2" w:rsidP="00CC0DC2">
      <w:pPr>
        <w:spacing w:after="0" w:line="276" w:lineRule="auto"/>
        <w:jc w:val="both"/>
        <w:rPr>
          <w:rFonts w:ascii="Verdana" w:hAnsi="Verdana"/>
        </w:rPr>
      </w:pPr>
      <w:r w:rsidRPr="003E2460">
        <w:rPr>
          <w:rFonts w:ascii="Verdana" w:hAnsi="Verdana"/>
        </w:rPr>
        <w:t xml:space="preserve">LinkedIn: </w:t>
      </w:r>
      <w:r w:rsidRPr="003E2460">
        <w:rPr>
          <w:rStyle w:val="Hipervnculo"/>
          <w:rFonts w:ascii="Verdana" w:hAnsi="Verdana"/>
          <w:color w:val="4472C4" w:themeColor="accent1"/>
        </w:rPr>
        <w:t>Agencia Nacional de Contratación Pública - Colombia Compra Eficiente</w:t>
      </w:r>
      <w:r w:rsidRPr="003E2460">
        <w:rPr>
          <w:rFonts w:ascii="Verdana" w:hAnsi="Verdana"/>
          <w:color w:val="4472C4" w:themeColor="accent1"/>
        </w:rPr>
        <w:t xml:space="preserve"> </w:t>
      </w:r>
      <w:r w:rsidRPr="003E2460">
        <w:rPr>
          <w:rFonts w:ascii="Verdana" w:hAnsi="Verdana"/>
        </w:rPr>
        <w:t xml:space="preserve">Instagram: </w:t>
      </w:r>
      <w:r w:rsidRPr="003E2460">
        <w:rPr>
          <w:rStyle w:val="Hipervnculo"/>
          <w:rFonts w:ascii="Verdana" w:hAnsi="Verdana"/>
          <w:color w:val="4472C4" w:themeColor="accent1"/>
        </w:rPr>
        <w:t>@colombiacompraeficiente_cce</w:t>
      </w:r>
    </w:p>
    <w:p w14:paraId="4414FE22" w14:textId="77777777" w:rsidR="00CC0DC2" w:rsidRPr="00593A5F" w:rsidRDefault="00CC0DC2" w:rsidP="00CC0DC2">
      <w:pPr>
        <w:widowControl w:val="0"/>
        <w:autoSpaceDE w:val="0"/>
        <w:autoSpaceDN w:val="0"/>
        <w:spacing w:after="0" w:line="276" w:lineRule="auto"/>
        <w:jc w:val="both"/>
        <w:rPr>
          <w:rFonts w:ascii="Verdana" w:hAnsi="Verdana" w:cs="Arial"/>
        </w:rPr>
      </w:pPr>
    </w:p>
    <w:p w14:paraId="74662B3A" w14:textId="77777777" w:rsidR="00CC0DC2" w:rsidRPr="00593A5F" w:rsidRDefault="00CC0DC2" w:rsidP="00CC0DC2">
      <w:pPr>
        <w:widowControl w:val="0"/>
        <w:autoSpaceDE w:val="0"/>
        <w:autoSpaceDN w:val="0"/>
        <w:spacing w:after="0" w:line="276" w:lineRule="auto"/>
        <w:jc w:val="both"/>
        <w:rPr>
          <w:rFonts w:ascii="Verdana" w:hAnsi="Verdana" w:cs="Arial"/>
          <w:lang w:val="es-ES_tradnl"/>
        </w:rPr>
      </w:pPr>
      <w:r w:rsidRPr="00593A5F">
        <w:rPr>
          <w:rFonts w:ascii="Verdana" w:hAnsi="Verdana" w:cs="Arial"/>
        </w:rPr>
        <w:t xml:space="preserve">Este concepto tiene el alcance previsto en el artículo 28 del Código de Procedimiento Administrativo y de lo Contencioso Administrativo </w:t>
      </w:r>
      <w:r w:rsidRPr="00593A5F">
        <w:rPr>
          <w:rFonts w:ascii="Verdana" w:hAnsi="Verdana" w:cs="Arial"/>
          <w:lang w:val="es-ES_tradnl"/>
        </w:rPr>
        <w:t>y las expresiones aquí utilizadas con mayúscula inicial deben ser entendidas con el significado que les otorga el artículo 2.2.1.1.1.3.1. del Decreto 1082 de 2015.</w:t>
      </w:r>
    </w:p>
    <w:p w14:paraId="0E9537D9" w14:textId="77777777" w:rsidR="00CC0DC2" w:rsidRPr="00593A5F" w:rsidRDefault="00CC0DC2" w:rsidP="00CC0DC2">
      <w:pPr>
        <w:widowControl w:val="0"/>
        <w:autoSpaceDE w:val="0"/>
        <w:autoSpaceDN w:val="0"/>
        <w:spacing w:after="0" w:line="276" w:lineRule="auto"/>
        <w:jc w:val="both"/>
        <w:rPr>
          <w:rFonts w:ascii="Verdana" w:hAnsi="Verdana" w:cs="Arial"/>
        </w:rPr>
      </w:pPr>
    </w:p>
    <w:p w14:paraId="0D8C4957" w14:textId="77777777" w:rsidR="00CC0DC2" w:rsidRPr="00593A5F" w:rsidRDefault="00CC0DC2" w:rsidP="00CC0DC2">
      <w:pPr>
        <w:spacing w:after="0" w:line="276" w:lineRule="auto"/>
        <w:rPr>
          <w:rFonts w:ascii="Verdana" w:hAnsi="Verdana" w:cs="Arial"/>
          <w:lang w:eastAsia="es-CO"/>
        </w:rPr>
      </w:pPr>
      <w:r w:rsidRPr="00593A5F">
        <w:rPr>
          <w:rFonts w:ascii="Verdana" w:eastAsia="Times New Roman" w:hAnsi="Verdana" w:cs="Arial"/>
          <w:lang w:eastAsia="es-CO"/>
        </w:rPr>
        <w:t>Atentamente,</w:t>
      </w:r>
      <w:r w:rsidRPr="00593A5F">
        <w:rPr>
          <w:rFonts w:ascii="Verdana" w:hAnsi="Verdana" w:cs="Arial"/>
          <w:lang w:eastAsia="es-CO"/>
        </w:rPr>
        <w:t xml:space="preserve"> </w:t>
      </w:r>
    </w:p>
    <w:p w14:paraId="59E64959" w14:textId="0983891F" w:rsidR="00CC0DC2" w:rsidRPr="00593A5F" w:rsidRDefault="00D44671" w:rsidP="00CC0DC2">
      <w:pPr>
        <w:spacing w:line="276" w:lineRule="auto"/>
        <w:jc w:val="center"/>
        <w:rPr>
          <w:rFonts w:ascii="Verdana" w:hAnsi="Verdana" w:cs="Arial"/>
          <w:color w:val="000000"/>
          <w:lang w:val="es-ES_tradnl" w:eastAsia="es-CO"/>
        </w:rPr>
      </w:pPr>
      <w:r>
        <w:rPr>
          <w:noProof/>
        </w:rPr>
        <w:drawing>
          <wp:inline distT="0" distB="0" distL="0" distR="0" wp14:anchorId="16301054" wp14:editId="4CEF247B">
            <wp:extent cx="3768725" cy="1399540"/>
            <wp:effectExtent l="0" t="0" r="3175" b="0"/>
            <wp:docPr id="3" name="Imagen 3"/>
            <wp:cNvGraphicFramePr/>
            <a:graphic xmlns:a="http://schemas.openxmlformats.org/drawingml/2006/main">
              <a:graphicData uri="http://schemas.openxmlformats.org/drawingml/2006/picture">
                <pic:pic xmlns:pic="http://schemas.openxmlformats.org/drawingml/2006/picture">
                  <pic:nvPicPr>
                    <pic:cNvPr id="2" name="Imagen 2"/>
                    <pic:cNvPicPr/>
                  </pic:nvPicPr>
                  <pic:blipFill>
                    <a:blip r:embed="rId13">
                      <a:extLst>
                        <a:ext uri="{28A0092B-C50C-407E-A947-70E740481C1C}">
                          <a14:useLocalDpi xmlns:a14="http://schemas.microsoft.com/office/drawing/2010/main" val="0"/>
                        </a:ext>
                      </a:extLst>
                    </a:blip>
                    <a:srcRect/>
                    <a:stretch>
                      <a:fillRect/>
                    </a:stretch>
                  </pic:blipFill>
                  <pic:spPr bwMode="auto">
                    <a:xfrm>
                      <a:off x="0" y="0"/>
                      <a:ext cx="3768725" cy="1399540"/>
                    </a:xfrm>
                    <a:prstGeom prst="rect">
                      <a:avLst/>
                    </a:prstGeom>
                    <a:noFill/>
                    <a:ln>
                      <a:noFill/>
                    </a:ln>
                  </pic:spPr>
                </pic:pic>
              </a:graphicData>
            </a:graphic>
          </wp:inline>
        </w:drawing>
      </w:r>
    </w:p>
    <w:tbl>
      <w:tblPr>
        <w:tblStyle w:val="Tablaconcuadrcula"/>
        <w:tblW w:w="6521"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893"/>
        <w:gridCol w:w="5628"/>
      </w:tblGrid>
      <w:tr w:rsidR="00CC0DC2" w:rsidRPr="00593A5F" w14:paraId="71FE0F60" w14:textId="77777777" w:rsidTr="003164B9">
        <w:trPr>
          <w:trHeight w:val="315"/>
        </w:trPr>
        <w:tc>
          <w:tcPr>
            <w:tcW w:w="893" w:type="dxa"/>
            <w:vAlign w:val="center"/>
            <w:hideMark/>
          </w:tcPr>
          <w:p w14:paraId="7298C4C1" w14:textId="77777777" w:rsidR="00CC0DC2" w:rsidRPr="003751C7" w:rsidRDefault="00CC0DC2" w:rsidP="003164B9">
            <w:pPr>
              <w:contextualSpacing/>
              <w:rPr>
                <w:rFonts w:ascii="Verdana" w:hAnsi="Verdana" w:cs="Arial"/>
                <w:sz w:val="16"/>
                <w:szCs w:val="16"/>
                <w:lang w:val="es-ES" w:eastAsia="es-ES"/>
              </w:rPr>
            </w:pPr>
            <w:r w:rsidRPr="003751C7">
              <w:rPr>
                <w:rFonts w:ascii="Verdana" w:hAnsi="Verdana" w:cs="Arial"/>
                <w:sz w:val="16"/>
                <w:szCs w:val="16"/>
                <w:lang w:val="es-ES" w:eastAsia="es-ES"/>
              </w:rPr>
              <w:t>Elaboró:</w:t>
            </w:r>
          </w:p>
        </w:tc>
        <w:tc>
          <w:tcPr>
            <w:tcW w:w="5628" w:type="dxa"/>
            <w:tcBorders>
              <w:top w:val="nil"/>
              <w:left w:val="nil"/>
              <w:bottom w:val="dotted" w:sz="4" w:space="0" w:color="7F7F7F" w:themeColor="text1" w:themeTint="80"/>
              <w:right w:val="nil"/>
            </w:tcBorders>
            <w:vAlign w:val="center"/>
            <w:hideMark/>
          </w:tcPr>
          <w:p w14:paraId="69C10FC1" w14:textId="77777777" w:rsidR="00CC0DC2" w:rsidRPr="008E06BF" w:rsidRDefault="00CC0DC2" w:rsidP="003164B9">
            <w:pPr>
              <w:contextualSpacing/>
              <w:rPr>
                <w:rFonts w:ascii="Verdana" w:eastAsia="Arial" w:hAnsi="Verdana" w:cs="Arial"/>
                <w:sz w:val="16"/>
                <w:szCs w:val="16"/>
              </w:rPr>
            </w:pPr>
            <w:r w:rsidRPr="008E06BF">
              <w:rPr>
                <w:rStyle w:val="normaltextrun"/>
                <w:rFonts w:ascii="Verdana" w:hAnsi="Verdana"/>
                <w:sz w:val="16"/>
                <w:szCs w:val="16"/>
              </w:rPr>
              <w:t>Catalina Cubides Estupiñan</w:t>
            </w:r>
          </w:p>
          <w:p w14:paraId="2E8651D4" w14:textId="77777777" w:rsidR="00CC0DC2" w:rsidRPr="008E06BF" w:rsidRDefault="00CC0DC2" w:rsidP="003164B9">
            <w:pPr>
              <w:contextualSpacing/>
              <w:rPr>
                <w:rFonts w:ascii="Verdana" w:eastAsia="Arial" w:hAnsi="Verdana" w:cs="Arial"/>
                <w:sz w:val="16"/>
                <w:szCs w:val="16"/>
              </w:rPr>
            </w:pPr>
            <w:r w:rsidRPr="008E06BF">
              <w:rPr>
                <w:rStyle w:val="normaltextrun"/>
                <w:rFonts w:ascii="Verdana" w:eastAsia="Arial" w:hAnsi="Verdana" w:cs="Arial"/>
                <w:sz w:val="16"/>
                <w:szCs w:val="16"/>
              </w:rPr>
              <w:t>C</w:t>
            </w:r>
            <w:r w:rsidRPr="008E06BF">
              <w:rPr>
                <w:rStyle w:val="normaltextrun"/>
                <w:rFonts w:ascii="Verdana" w:eastAsia="Arial" w:hAnsi="Verdana"/>
                <w:sz w:val="16"/>
                <w:szCs w:val="16"/>
              </w:rPr>
              <w:t>ontratista d</w:t>
            </w:r>
            <w:r w:rsidRPr="008E06BF">
              <w:rPr>
                <w:rStyle w:val="normaltextrun"/>
                <w:rFonts w:ascii="Verdana" w:eastAsia="Arial" w:hAnsi="Verdana" w:cs="Arial"/>
                <w:sz w:val="16"/>
                <w:szCs w:val="16"/>
              </w:rPr>
              <w:t>e la Subdirección de Gestión Contractual</w:t>
            </w:r>
          </w:p>
        </w:tc>
      </w:tr>
      <w:tr w:rsidR="00CC0DC2" w:rsidRPr="00593A5F" w14:paraId="7E2F0DB9" w14:textId="77777777" w:rsidTr="003164B9">
        <w:trPr>
          <w:trHeight w:val="330"/>
        </w:trPr>
        <w:tc>
          <w:tcPr>
            <w:tcW w:w="893" w:type="dxa"/>
            <w:vAlign w:val="center"/>
            <w:hideMark/>
          </w:tcPr>
          <w:p w14:paraId="3AA0BC27" w14:textId="77777777" w:rsidR="00CC0DC2" w:rsidRPr="003751C7" w:rsidRDefault="00CC0DC2" w:rsidP="003164B9">
            <w:pPr>
              <w:contextualSpacing/>
              <w:rPr>
                <w:rFonts w:ascii="Verdana" w:hAnsi="Verdana" w:cs="Arial"/>
                <w:sz w:val="16"/>
                <w:szCs w:val="16"/>
                <w:lang w:val="es-ES" w:eastAsia="es-ES"/>
              </w:rPr>
            </w:pPr>
            <w:r w:rsidRPr="003751C7">
              <w:rPr>
                <w:rFonts w:ascii="Verdana" w:hAnsi="Verdana" w:cs="Arial"/>
                <w:sz w:val="16"/>
                <w:szCs w:val="16"/>
                <w:lang w:val="es-ES" w:eastAsia="es-ES"/>
              </w:rPr>
              <w:t>Revisó:</w:t>
            </w:r>
          </w:p>
        </w:tc>
        <w:tc>
          <w:tcPr>
            <w:tcW w:w="5628" w:type="dxa"/>
            <w:tcBorders>
              <w:top w:val="dotted" w:sz="4" w:space="0" w:color="7F7F7F" w:themeColor="text1" w:themeTint="80"/>
              <w:left w:val="nil"/>
              <w:bottom w:val="dotted" w:sz="4" w:space="0" w:color="7F7F7F" w:themeColor="text1" w:themeTint="80"/>
              <w:right w:val="nil"/>
            </w:tcBorders>
            <w:vAlign w:val="center"/>
            <w:hideMark/>
          </w:tcPr>
          <w:p w14:paraId="435EFBC2" w14:textId="77777777" w:rsidR="00CC0DC2" w:rsidRPr="008E06BF" w:rsidRDefault="00CC0DC2" w:rsidP="003164B9">
            <w:pPr>
              <w:pStyle w:val="paragraph"/>
              <w:spacing w:before="0" w:beforeAutospacing="0" w:after="0" w:afterAutospacing="0"/>
              <w:contextualSpacing/>
              <w:textAlignment w:val="baseline"/>
              <w:rPr>
                <w:rFonts w:ascii="Verdana" w:hAnsi="Verdana" w:cs="Segoe UI"/>
                <w:sz w:val="16"/>
                <w:szCs w:val="16"/>
              </w:rPr>
            </w:pPr>
            <w:r w:rsidRPr="008E06BF">
              <w:rPr>
                <w:rFonts w:ascii="Verdana" w:hAnsi="Verdana" w:cs="Segoe UI"/>
                <w:sz w:val="16"/>
                <w:szCs w:val="16"/>
              </w:rPr>
              <w:t>Diana Lucía Saavedra</w:t>
            </w:r>
            <w:r>
              <w:rPr>
                <w:rFonts w:ascii="Verdana" w:hAnsi="Verdana" w:cs="Segoe UI"/>
                <w:sz w:val="16"/>
                <w:szCs w:val="16"/>
              </w:rPr>
              <w:t xml:space="preserve"> Castañed</w:t>
            </w:r>
            <w:r w:rsidRPr="008E06BF">
              <w:rPr>
                <w:rFonts w:ascii="Verdana" w:hAnsi="Verdana" w:cs="Segoe UI"/>
                <w:sz w:val="16"/>
                <w:szCs w:val="16"/>
              </w:rPr>
              <w:t>a</w:t>
            </w:r>
          </w:p>
          <w:p w14:paraId="2DED2848" w14:textId="77777777" w:rsidR="00CC0DC2" w:rsidRPr="008E06BF" w:rsidRDefault="00CC0DC2" w:rsidP="003164B9">
            <w:pPr>
              <w:pStyle w:val="paragraph"/>
              <w:spacing w:before="0" w:beforeAutospacing="0" w:after="0" w:afterAutospacing="0"/>
              <w:contextualSpacing/>
              <w:textAlignment w:val="baseline"/>
              <w:rPr>
                <w:rFonts w:ascii="Verdana" w:hAnsi="Verdana" w:cs="Segoe UI"/>
                <w:sz w:val="16"/>
                <w:szCs w:val="16"/>
              </w:rPr>
            </w:pPr>
            <w:r w:rsidRPr="008E06BF">
              <w:rPr>
                <w:rStyle w:val="normaltextrun"/>
                <w:rFonts w:ascii="Verdana" w:hAnsi="Verdana" w:cs="Arial"/>
                <w:sz w:val="16"/>
                <w:szCs w:val="16"/>
                <w:lang w:val="es-ES"/>
              </w:rPr>
              <w:t>Contratista de la Subdirección de Gestión Contractual</w:t>
            </w:r>
            <w:r w:rsidRPr="008E06BF">
              <w:rPr>
                <w:rStyle w:val="eop"/>
                <w:rFonts w:ascii="Verdana" w:hAnsi="Verdana" w:cs="Arial"/>
                <w:sz w:val="16"/>
                <w:szCs w:val="16"/>
              </w:rPr>
              <w:t> </w:t>
            </w:r>
          </w:p>
        </w:tc>
      </w:tr>
      <w:tr w:rsidR="00CC0DC2" w:rsidRPr="00593A5F" w14:paraId="6DA6A575" w14:textId="77777777" w:rsidTr="003164B9">
        <w:trPr>
          <w:trHeight w:val="300"/>
        </w:trPr>
        <w:tc>
          <w:tcPr>
            <w:tcW w:w="893" w:type="dxa"/>
            <w:vAlign w:val="center"/>
          </w:tcPr>
          <w:p w14:paraId="6E2E5B8E" w14:textId="77777777" w:rsidR="00CC0DC2" w:rsidRPr="003751C7" w:rsidRDefault="00CC0DC2" w:rsidP="003164B9">
            <w:pPr>
              <w:contextualSpacing/>
              <w:rPr>
                <w:rFonts w:ascii="Verdana" w:hAnsi="Verdana" w:cs="Arial"/>
                <w:sz w:val="16"/>
                <w:szCs w:val="16"/>
                <w:lang w:val="es-ES" w:eastAsia="es-ES"/>
              </w:rPr>
            </w:pPr>
            <w:r w:rsidRPr="003751C7">
              <w:rPr>
                <w:rFonts w:ascii="Verdana" w:hAnsi="Verdana" w:cs="Arial"/>
                <w:sz w:val="16"/>
                <w:szCs w:val="16"/>
                <w:lang w:val="es-ES" w:eastAsia="es-ES"/>
              </w:rPr>
              <w:t>Aprobó:</w:t>
            </w:r>
          </w:p>
        </w:tc>
        <w:tc>
          <w:tcPr>
            <w:tcW w:w="5628" w:type="dxa"/>
            <w:tcBorders>
              <w:top w:val="dotted" w:sz="4" w:space="0" w:color="7F7F7F" w:themeColor="text1" w:themeTint="80"/>
              <w:left w:val="nil"/>
              <w:bottom w:val="dotted" w:sz="4" w:space="0" w:color="7F7F7F" w:themeColor="text1" w:themeTint="80"/>
              <w:right w:val="nil"/>
            </w:tcBorders>
            <w:vAlign w:val="center"/>
          </w:tcPr>
          <w:p w14:paraId="037B3F6A" w14:textId="77777777" w:rsidR="00CC0DC2" w:rsidRPr="003751C7" w:rsidRDefault="00CC0DC2" w:rsidP="003164B9">
            <w:pPr>
              <w:contextualSpacing/>
              <w:rPr>
                <w:rFonts w:ascii="Verdana" w:eastAsia="Calibri" w:hAnsi="Verdana" w:cs="Arial"/>
                <w:sz w:val="16"/>
                <w:szCs w:val="16"/>
                <w:lang w:val="pt-BR" w:eastAsia="es-ES"/>
              </w:rPr>
            </w:pPr>
            <w:r w:rsidRPr="003751C7">
              <w:rPr>
                <w:rFonts w:ascii="Verdana" w:eastAsia="Calibri" w:hAnsi="Verdana" w:cs="Arial"/>
                <w:sz w:val="16"/>
                <w:szCs w:val="16"/>
                <w:lang w:val="pt-BR" w:eastAsia="es-ES"/>
              </w:rPr>
              <w:t>Carolina Quintero Gacharná</w:t>
            </w:r>
          </w:p>
          <w:p w14:paraId="2A3C7D7B" w14:textId="77777777" w:rsidR="00CC0DC2" w:rsidRPr="003751C7" w:rsidRDefault="00CC0DC2" w:rsidP="003164B9">
            <w:pPr>
              <w:contextualSpacing/>
              <w:rPr>
                <w:rFonts w:ascii="Verdana" w:eastAsia="Calibri" w:hAnsi="Verdana" w:cs="Arial"/>
                <w:sz w:val="16"/>
                <w:szCs w:val="16"/>
                <w:lang w:val="pt-BR" w:eastAsia="es-ES"/>
              </w:rPr>
            </w:pPr>
            <w:r w:rsidRPr="003751C7">
              <w:rPr>
                <w:rFonts w:ascii="Verdana" w:eastAsia="Calibri" w:hAnsi="Verdana" w:cs="Arial"/>
                <w:sz w:val="16"/>
                <w:szCs w:val="16"/>
                <w:lang w:eastAsia="es-ES"/>
              </w:rPr>
              <w:t>Subdirectora</w:t>
            </w:r>
            <w:r w:rsidRPr="003751C7">
              <w:rPr>
                <w:rFonts w:ascii="Verdana" w:eastAsia="Calibri" w:hAnsi="Verdana" w:cs="Arial"/>
                <w:sz w:val="16"/>
                <w:szCs w:val="16"/>
                <w:lang w:val="pt-BR" w:eastAsia="es-ES"/>
              </w:rPr>
              <w:t xml:space="preserve"> de Gestión Contractual ANCP – CCE</w:t>
            </w:r>
          </w:p>
        </w:tc>
      </w:tr>
    </w:tbl>
    <w:p w14:paraId="2D26682D" w14:textId="77777777" w:rsidR="00CC0DC2" w:rsidRPr="000C4D38" w:rsidRDefault="00CC0DC2" w:rsidP="00CC0DC2"/>
    <w:p w14:paraId="0F293BF4" w14:textId="3741E924" w:rsidR="00127233" w:rsidRPr="0015699B" w:rsidRDefault="00127233" w:rsidP="00CC0DC2">
      <w:pPr>
        <w:spacing w:after="0"/>
        <w:rPr>
          <w:rFonts w:ascii="Verdana" w:eastAsia="Times New Roman" w:hAnsi="Verdana" w:cs="Segoe UI"/>
          <w:lang w:eastAsia="es-CO"/>
        </w:rPr>
      </w:pPr>
    </w:p>
    <w:sectPr w:rsidR="00127233" w:rsidRPr="0015699B" w:rsidSect="007C0C0F">
      <w:headerReference w:type="default" r:id="rId14"/>
      <w:footerReference w:type="default" r:id="rId15"/>
      <w:pgSz w:w="12240" w:h="15840" w:code="1"/>
      <w:pgMar w:top="1417" w:right="1701" w:bottom="1417" w:left="1701"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35DF3E87" w14:textId="77777777" w:rsidR="00CC2578" w:rsidRDefault="00CC2578" w:rsidP="004A1847">
      <w:pPr>
        <w:spacing w:after="0" w:line="240" w:lineRule="auto"/>
      </w:pPr>
      <w:r>
        <w:separator/>
      </w:r>
    </w:p>
  </w:endnote>
  <w:endnote w:type="continuationSeparator" w:id="0">
    <w:p w14:paraId="3CF3D063" w14:textId="77777777" w:rsidR="00CC2578" w:rsidRDefault="00CC2578" w:rsidP="004A1847">
      <w:pPr>
        <w:spacing w:after="0" w:line="240" w:lineRule="auto"/>
      </w:pPr>
      <w:r>
        <w:continuationSeparator/>
      </w:r>
    </w:p>
  </w:endnote>
  <w:endnote w:type="continuationNotice" w:id="1">
    <w:p w14:paraId="1CED6B1B" w14:textId="77777777" w:rsidR="00CC2578" w:rsidRDefault="00CC2578">
      <w:pPr>
        <w:spacing w:after="0"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Geomanist Light">
    <w:altName w:val="Calibri"/>
    <w:panose1 w:val="00000000000000000000"/>
    <w:charset w:val="00"/>
    <w:family w:val="modern"/>
    <w:notTrueType/>
    <w:pitch w:val="variable"/>
    <w:sig w:usb0="A000002F" w:usb1="1000004A" w:usb2="00000000" w:usb3="00000000" w:csb0="00000193" w:csb1="00000000"/>
  </w:font>
  <w:font w:name="Geomanist">
    <w:altName w:val="Calibri"/>
    <w:panose1 w:val="00000000000000000000"/>
    <w:charset w:val="00"/>
    <w:family w:val="modern"/>
    <w:notTrueType/>
    <w:pitch w:val="variable"/>
    <w:sig w:usb0="A000002F" w:usb1="1000004A" w:usb2="00000000" w:usb3="00000000" w:csb0="00000193" w:csb1="00000000"/>
  </w:font>
  <w:font w:name="Verdana">
    <w:panose1 w:val="020B0604030504040204"/>
    <w:charset w:val="00"/>
    <w:family w:val="swiss"/>
    <w:pitch w:val="variable"/>
    <w:sig w:usb0="A00006FF" w:usb1="4000205B" w:usb2="00000010" w:usb3="00000000" w:csb0="0000019F" w:csb1="00000000"/>
  </w:font>
  <w:font w:name="Arial MT">
    <w:altName w:val="Arial"/>
    <w:charset w:val="01"/>
    <w:family w:val="swiss"/>
    <w:pitch w:val="variable"/>
  </w:font>
  <w:font w:name="Century Gothic">
    <w:panose1 w:val="020B0502020202020204"/>
    <w:charset w:val="00"/>
    <w:family w:val="swiss"/>
    <w:pitch w:val="variable"/>
    <w:sig w:usb0="00000287" w:usb1="00000000" w:usb2="00000000" w:usb3="00000000" w:csb0="0000009F" w:csb1="00000000"/>
  </w:font>
  <w:font w:name="Aptos">
    <w:charset w:val="00"/>
    <w:family w:val="swiss"/>
    <w:pitch w:val="variable"/>
    <w:sig w:usb0="20000287" w:usb1="00000003" w:usb2="00000000" w:usb3="00000000" w:csb0="0000019F" w:csb1="00000000"/>
  </w:font>
  <w:font w:name="Segoe UI">
    <w:panose1 w:val="020B0502040204020203"/>
    <w:charset w:val="00"/>
    <w:family w:val="swiss"/>
    <w:pitch w:val="variable"/>
    <w:sig w:usb0="E4002EFF" w:usb1="C000E47F" w:usb2="00000009" w:usb3="00000000" w:csb0="000001FF" w:csb1="00000000"/>
  </w:font>
  <w:font w:name="Geomanist Bold">
    <w:altName w:val="Calibri"/>
    <w:panose1 w:val="00000000000000000000"/>
    <w:charset w:val="00"/>
    <w:family w:val="modern"/>
    <w:notTrueType/>
    <w:pitch w:val="variable"/>
    <w:sig w:usb0="A000002F" w:usb1="1000004A" w:usb2="00000000" w:usb3="00000000" w:csb0="00000193" w:csb1="00000000"/>
  </w:font>
  <w:font w:name="Geo">
    <w:altName w:val="Calibri"/>
    <w:charset w:val="00"/>
    <w:family w:val="auto"/>
    <w:pitch w:val="variable"/>
    <w:sig w:usb0="8000002F" w:usb1="40000048" w:usb2="00000000" w:usb3="00000000" w:csb0="00000001" w:csb1="00000000"/>
  </w:font>
  <w:font w:name="Arial Nova">
    <w:charset w:val="00"/>
    <w:family w:val="swiss"/>
    <w:pitch w:val="variable"/>
    <w:sig w:usb0="0000028F" w:usb1="00000002" w:usb2="00000000" w:usb3="00000000" w:csb0="0000019F"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18911A32" w14:textId="6CE791A4" w:rsidR="004A1847" w:rsidRDefault="004A1847">
    <w:pPr>
      <w:pStyle w:val="Piedepgina"/>
    </w:pPr>
  </w:p>
  <w:p w14:paraId="594D6D9F" w14:textId="77777777" w:rsidR="00D520D8" w:rsidRPr="00174B77" w:rsidRDefault="00D520D8" w:rsidP="00D520D8">
    <w:pPr>
      <w:pBdr>
        <w:top w:val="single" w:sz="4" w:space="1" w:color="auto"/>
      </w:pBdr>
      <w:spacing w:after="0"/>
      <w:rPr>
        <w:rFonts w:ascii="Verdana" w:hAnsi="Verdana"/>
        <w:b/>
        <w:bCs/>
        <w:sz w:val="20"/>
        <w:szCs w:val="20"/>
      </w:rPr>
    </w:pPr>
    <w:r>
      <w:rPr>
        <w:rFonts w:ascii="Verdana" w:hAnsi="Verdana"/>
        <w:b/>
        <w:bCs/>
        <w:sz w:val="20"/>
        <w:szCs w:val="20"/>
      </w:rPr>
      <w:t>A</w:t>
    </w:r>
    <w:r w:rsidRPr="008E4D59">
      <w:rPr>
        <w:rFonts w:ascii="Verdana" w:hAnsi="Verdana"/>
        <w:b/>
        <w:bCs/>
        <w:sz w:val="20"/>
        <w:szCs w:val="20"/>
      </w:rPr>
      <w:t>gencia Nacional de Contratación</w:t>
    </w:r>
    <w:r>
      <w:rPr>
        <w:rFonts w:ascii="Verdana" w:hAnsi="Verdana"/>
        <w:b/>
        <w:bCs/>
        <w:sz w:val="20"/>
        <w:szCs w:val="20"/>
      </w:rPr>
      <w:t xml:space="preserve"> </w:t>
    </w:r>
    <w:r w:rsidRPr="008E4D59">
      <w:rPr>
        <w:rFonts w:ascii="Verdana" w:hAnsi="Verdana"/>
        <w:b/>
        <w:bCs/>
        <w:sz w:val="20"/>
        <w:szCs w:val="20"/>
      </w:rPr>
      <w:t>Pública</w:t>
    </w:r>
    <w:r>
      <w:rPr>
        <w:rFonts w:ascii="Verdana" w:hAnsi="Verdana"/>
        <w:b/>
        <w:bCs/>
        <w:sz w:val="20"/>
        <w:szCs w:val="20"/>
      </w:rPr>
      <w:t xml:space="preserve">                                              </w:t>
    </w:r>
    <w:r w:rsidRPr="002E1330">
      <w:rPr>
        <w:rFonts w:ascii="Verdana" w:eastAsiaTheme="majorEastAsia" w:hAnsi="Verdana" w:cstheme="majorBidi"/>
        <w:b/>
        <w:bCs/>
        <w:sz w:val="16"/>
        <w:szCs w:val="16"/>
        <w:lang w:val="es-ES"/>
      </w:rPr>
      <w:t xml:space="preserve">pág. </w:t>
    </w:r>
    <w:r w:rsidRPr="002E1330">
      <w:rPr>
        <w:rFonts w:ascii="Verdana" w:eastAsiaTheme="minorEastAsia" w:hAnsi="Verdana"/>
        <w:b/>
        <w:bCs/>
        <w:sz w:val="16"/>
        <w:szCs w:val="16"/>
      </w:rPr>
      <w:fldChar w:fldCharType="begin"/>
    </w:r>
    <w:r w:rsidRPr="002E1330">
      <w:rPr>
        <w:rFonts w:ascii="Verdana" w:hAnsi="Verdana"/>
        <w:b/>
        <w:bCs/>
        <w:sz w:val="16"/>
        <w:szCs w:val="16"/>
      </w:rPr>
      <w:instrText>PAGE    \* MERGEFORMAT</w:instrText>
    </w:r>
    <w:r w:rsidRPr="002E1330">
      <w:rPr>
        <w:rFonts w:ascii="Verdana" w:eastAsiaTheme="minorEastAsia" w:hAnsi="Verdana"/>
        <w:b/>
        <w:bCs/>
        <w:sz w:val="16"/>
        <w:szCs w:val="16"/>
      </w:rPr>
      <w:fldChar w:fldCharType="separate"/>
    </w:r>
    <w:r>
      <w:rPr>
        <w:rFonts w:ascii="Verdana" w:eastAsiaTheme="minorEastAsia" w:hAnsi="Verdana"/>
        <w:b/>
        <w:bCs/>
        <w:sz w:val="16"/>
        <w:szCs w:val="16"/>
      </w:rPr>
      <w:t>1</w:t>
    </w:r>
    <w:r w:rsidRPr="002E1330">
      <w:rPr>
        <w:rFonts w:ascii="Verdana" w:eastAsiaTheme="majorEastAsia" w:hAnsi="Verdana" w:cstheme="majorBidi"/>
        <w:b/>
        <w:bCs/>
        <w:sz w:val="16"/>
        <w:szCs w:val="16"/>
      </w:rPr>
      <w:fldChar w:fldCharType="end"/>
    </w:r>
    <w:r>
      <w:rPr>
        <w:rFonts w:ascii="Verdana" w:hAnsi="Verdana"/>
        <w:b/>
        <w:bCs/>
        <w:sz w:val="20"/>
        <w:szCs w:val="20"/>
      </w:rPr>
      <w:t xml:space="preserve">              </w:t>
    </w:r>
    <w:r w:rsidRPr="008E4D59">
      <w:rPr>
        <w:rFonts w:ascii="Verdana" w:hAnsi="Verdana"/>
        <w:b/>
        <w:bCs/>
        <w:sz w:val="20"/>
        <w:szCs w:val="20"/>
      </w:rPr>
      <w:t xml:space="preserve">Colombia Compra Eficiente         </w:t>
    </w:r>
    <w:r w:rsidRPr="008E4D59">
      <w:rPr>
        <w:rFonts w:ascii="Verdana" w:hAnsi="Verdana"/>
        <w:b/>
        <w:bCs/>
        <w:sz w:val="20"/>
        <w:szCs w:val="20"/>
        <w:lang w:val="es-ES"/>
      </w:rPr>
      <w:t xml:space="preserve"> </w:t>
    </w:r>
    <w:r>
      <w:rPr>
        <w:rFonts w:ascii="Verdana" w:hAnsi="Verdana"/>
        <w:b/>
        <w:bCs/>
        <w:sz w:val="20"/>
        <w:szCs w:val="20"/>
      </w:rPr>
      <w:t xml:space="preserve">                                                  </w:t>
    </w:r>
  </w:p>
  <w:p w14:paraId="0A735DD5" w14:textId="77777777" w:rsidR="00D520D8" w:rsidRDefault="00D520D8" w:rsidP="00D520D8">
    <w:pPr>
      <w:spacing w:after="0"/>
      <w:jc w:val="both"/>
      <w:rPr>
        <w:rFonts w:ascii="Verdana" w:hAnsi="Verdana"/>
        <w:sz w:val="18"/>
        <w:szCs w:val="18"/>
      </w:rPr>
    </w:pPr>
    <w:r w:rsidRPr="00E41027">
      <w:rPr>
        <w:rFonts w:ascii="Verdana" w:hAnsi="Verdana"/>
        <w:sz w:val="18"/>
        <w:szCs w:val="18"/>
      </w:rPr>
      <w:t>Dirección: Carrera 7 # 26 – 20 - Bogotá, Colombia</w:t>
    </w:r>
  </w:p>
  <w:p w14:paraId="06E36B88" w14:textId="77777777" w:rsidR="00D520D8" w:rsidRPr="00E41027" w:rsidRDefault="00D520D8" w:rsidP="00D520D8">
    <w:pPr>
      <w:spacing w:after="0"/>
      <w:jc w:val="both"/>
      <w:rPr>
        <w:rFonts w:ascii="Verdana" w:hAnsi="Verdana"/>
        <w:sz w:val="18"/>
        <w:szCs w:val="18"/>
      </w:rPr>
    </w:pPr>
    <w:r w:rsidRPr="00E41027">
      <w:rPr>
        <w:rFonts w:ascii="Verdana" w:hAnsi="Verdana"/>
        <w:sz w:val="18"/>
        <w:szCs w:val="18"/>
      </w:rPr>
      <w:t>Mesa de servicio: (+57) 601 7456788</w:t>
    </w:r>
  </w:p>
  <w:p w14:paraId="744661F5" w14:textId="22B9E88F" w:rsidR="006219F8" w:rsidRDefault="356CEDFD" w:rsidP="356CEDFD">
    <w:pPr>
      <w:pBdr>
        <w:top w:val="nil"/>
        <w:left w:val="nil"/>
        <w:bottom w:val="nil"/>
        <w:right w:val="nil"/>
        <w:between w:val="nil"/>
      </w:pBdr>
      <w:tabs>
        <w:tab w:val="center" w:pos="4419"/>
        <w:tab w:val="right" w:pos="8838"/>
        <w:tab w:val="center" w:pos="5400"/>
      </w:tabs>
      <w:spacing w:after="0"/>
      <w:jc w:val="right"/>
    </w:pPr>
    <w:r w:rsidRPr="356CEDFD">
      <w:rPr>
        <w:rFonts w:ascii="Century Gothic" w:eastAsia="Geo" w:hAnsi="Century Gothic" w:cs="Geo"/>
        <w:b/>
        <w:bCs/>
        <w:color w:val="000000" w:themeColor="text1"/>
        <w:sz w:val="16"/>
        <w:szCs w:val="16"/>
        <w:lang w:eastAsia="es-CO"/>
      </w:rPr>
      <w:t xml:space="preserve">Código: </w:t>
    </w:r>
    <w:r w:rsidRPr="356CEDFD">
      <w:rPr>
        <w:rFonts w:ascii="Century Gothic" w:eastAsia="Geo" w:hAnsi="Century Gothic" w:cs="Geo"/>
        <w:color w:val="000000" w:themeColor="text1"/>
        <w:sz w:val="16"/>
        <w:szCs w:val="16"/>
        <w:lang w:eastAsia="es-CO"/>
      </w:rPr>
      <w:t xml:space="preserve">CCE-REC-FM-17 </w:t>
    </w:r>
    <w:r w:rsidRPr="356CEDFD">
      <w:rPr>
        <w:rFonts w:ascii="Century Gothic" w:eastAsia="Geo" w:hAnsi="Century Gothic" w:cs="Geo"/>
        <w:b/>
        <w:bCs/>
        <w:color w:val="000000" w:themeColor="text1"/>
        <w:sz w:val="16"/>
        <w:szCs w:val="16"/>
        <w:lang w:eastAsia="es-CO"/>
      </w:rPr>
      <w:t>V</w:t>
    </w:r>
    <w:r w:rsidRPr="356CEDFD">
      <w:rPr>
        <w:rFonts w:ascii="Century Gothic" w:eastAsia="Arial Nova" w:hAnsi="Century Gothic" w:cs="Arial Nova"/>
        <w:b/>
        <w:bCs/>
        <w:color w:val="000000" w:themeColor="text1"/>
        <w:sz w:val="16"/>
        <w:szCs w:val="16"/>
        <w:lang w:eastAsia="es-CO"/>
      </w:rPr>
      <w:t xml:space="preserve">: </w:t>
    </w:r>
    <w:r w:rsidRPr="356CEDFD">
      <w:rPr>
        <w:rFonts w:ascii="Century Gothic" w:eastAsia="Geo" w:hAnsi="Century Gothic" w:cs="Geo"/>
        <w:sz w:val="16"/>
        <w:szCs w:val="16"/>
        <w:lang w:eastAsia="es-CO"/>
      </w:rPr>
      <w:t>03 Fecha: 21-10-2025</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2BE6A788" w14:textId="77777777" w:rsidR="00CC2578" w:rsidRDefault="00CC2578" w:rsidP="004A1847">
      <w:pPr>
        <w:spacing w:after="0" w:line="240" w:lineRule="auto"/>
      </w:pPr>
      <w:r>
        <w:separator/>
      </w:r>
    </w:p>
  </w:footnote>
  <w:footnote w:type="continuationSeparator" w:id="0">
    <w:p w14:paraId="3F2C521C" w14:textId="77777777" w:rsidR="00CC2578" w:rsidRDefault="00CC2578" w:rsidP="004A1847">
      <w:pPr>
        <w:spacing w:after="0" w:line="240" w:lineRule="auto"/>
      </w:pPr>
      <w:r>
        <w:continuationSeparator/>
      </w:r>
    </w:p>
  </w:footnote>
  <w:footnote w:type="continuationNotice" w:id="1">
    <w:p w14:paraId="79F53065" w14:textId="77777777" w:rsidR="00CC2578" w:rsidRDefault="00CC2578">
      <w:pPr>
        <w:spacing w:after="0" w:line="240" w:lineRule="auto"/>
      </w:pPr>
    </w:p>
  </w:footnote>
  <w:footnote w:id="2">
    <w:p w14:paraId="7DB71E93" w14:textId="77777777" w:rsidR="00CC0DC2" w:rsidRPr="008258D9" w:rsidRDefault="00CC0DC2" w:rsidP="00CC0DC2">
      <w:pPr>
        <w:pStyle w:val="Textonotapie"/>
        <w:ind w:firstLine="708"/>
        <w:rPr>
          <w:rFonts w:ascii="Verdana" w:hAnsi="Verdana"/>
          <w:sz w:val="16"/>
          <w:szCs w:val="16"/>
          <w:lang w:val="es-ES"/>
        </w:rPr>
      </w:pPr>
      <w:bookmarkStart w:id="2" w:name="_Hlk194585808"/>
      <w:r w:rsidRPr="008258D9">
        <w:rPr>
          <w:rStyle w:val="Refdenotaalpie"/>
          <w:rFonts w:ascii="Verdana" w:hAnsi="Verdana"/>
          <w:sz w:val="16"/>
          <w:szCs w:val="16"/>
        </w:rPr>
        <w:footnoteRef/>
      </w:r>
      <w:r w:rsidRPr="008258D9">
        <w:rPr>
          <w:rFonts w:ascii="Verdana" w:hAnsi="Verdana"/>
          <w:sz w:val="16"/>
          <w:szCs w:val="16"/>
        </w:rPr>
        <w:t xml:space="preserve"> </w:t>
      </w:r>
      <w:r w:rsidRPr="008258D9">
        <w:rPr>
          <w:rFonts w:ascii="Verdana" w:hAnsi="Verdana"/>
          <w:sz w:val="16"/>
          <w:szCs w:val="16"/>
          <w:lang w:val="es-ES"/>
        </w:rPr>
        <w:t>Corte Constitucional. Sentencia C-489/96. M.P: Antonio Barrera Carbonell</w:t>
      </w:r>
      <w:bookmarkEnd w:id="2"/>
    </w:p>
    <w:p w14:paraId="751CF252" w14:textId="77777777" w:rsidR="00CC0DC2" w:rsidRPr="008258D9" w:rsidRDefault="00CC0DC2" w:rsidP="00CC0DC2">
      <w:pPr>
        <w:pStyle w:val="Textonotapie"/>
        <w:ind w:firstLine="708"/>
        <w:rPr>
          <w:rFonts w:ascii="Verdana" w:hAnsi="Verdana"/>
          <w:sz w:val="16"/>
          <w:szCs w:val="16"/>
          <w:lang w:val="es-ES"/>
        </w:rPr>
      </w:pPr>
    </w:p>
  </w:footnote>
  <w:footnote w:id="3">
    <w:p w14:paraId="72893CFB" w14:textId="77777777" w:rsidR="00CC0DC2" w:rsidRPr="001A625A" w:rsidRDefault="00CC0DC2" w:rsidP="00CC0DC2">
      <w:pPr>
        <w:spacing w:after="0" w:line="240" w:lineRule="auto"/>
        <w:ind w:firstLine="709"/>
        <w:jc w:val="both"/>
        <w:rPr>
          <w:rFonts w:ascii="Verdana" w:hAnsi="Verdana" w:cs="Arial"/>
          <w:color w:val="000000" w:themeColor="text1"/>
          <w:sz w:val="16"/>
          <w:szCs w:val="16"/>
          <w:lang w:val="es-ES"/>
        </w:rPr>
      </w:pPr>
      <w:r w:rsidRPr="001A625A">
        <w:rPr>
          <w:rStyle w:val="Refdenotaalpie"/>
          <w:rFonts w:ascii="Verdana" w:hAnsi="Verdana" w:cs="Arial"/>
          <w:color w:val="000000" w:themeColor="text1"/>
          <w:sz w:val="16"/>
          <w:szCs w:val="16"/>
        </w:rPr>
        <w:footnoteRef/>
      </w:r>
      <w:r w:rsidRPr="001A625A">
        <w:rPr>
          <w:rFonts w:ascii="Verdana" w:hAnsi="Verdana" w:cs="Arial"/>
          <w:color w:val="000000" w:themeColor="text1"/>
          <w:sz w:val="16"/>
          <w:szCs w:val="16"/>
        </w:rPr>
        <w:t xml:space="preserve"> </w:t>
      </w:r>
      <w:r w:rsidRPr="001A625A">
        <w:rPr>
          <w:rFonts w:ascii="Verdana" w:hAnsi="Verdana" w:cs="Arial"/>
          <w:color w:val="000000" w:themeColor="text1"/>
          <w:sz w:val="16"/>
          <w:szCs w:val="16"/>
          <w:lang w:val="es-ES"/>
        </w:rPr>
        <w:t>Son inhabilidades que responden a esta circunstancia, entre otras, las siguientes: “Quienes participaron en las licitaciones o celebraron los contratos de que trata el literal anterior estando inhabilitados” (art. 8, num. 1º, lit. b, Ley 80/93); “Quienes dieron lugar a la declaratoria de caducidad” (art. 8, num. 1º, lit. c), Ley 80/93); “Quienes en sentencia judicial hayan sido condenados a la pena accesoria de interdicción de derechos y funciones públicas y quienes hayan sido sancionados disciplinariamente con destitución” (art. 8, num. 1º, lit. d), Ley 80/93); “Quienes sin justa causa se abstengan de suscribir el contrato estatal adjudicado” (art. 8, num. 1º, lit. e), Ley 80/93); “i) Los socios de sociedades de personas a las cuales se haya declarado la caducidad, así como las sociedades de personas de las que aquellos formen parte con posterioridad a dicha declaratoria” (art. 8, num. 1º, lit. i), Ley 80/93); “Las personas naturales que hayan sido declaradas responsables judicialmente por la comisión de delitos contra la Administración Pública o de cualquiera de los delitos o faltas contemplados por la Ley 1474 de 2011 y sus normas modificatorias o de cualquiera de las conductas delictivas contempladas por las convenciones o tratados de lucha contra la corrupción suscritos y ratificados por Colombia, así como las personas jurídicas que hayan sido declaradas responsables administrativamente por la conducta de soborno transnacional” (art. 8, num. 1º, lit. j), Ley 80/93); “El interventor que incumpla el deber de entregar información a la entidad contratante relacionada con el incumplimiento del contrato, con hechos o circunstancias que puedan constituir actos de corrupción tipificados como conductas punibles, o que puedan poner o pongan en riesgo el cumplimiento del contrato” (art. 8, num. 1º, lit. k), Ley 80/93); “Haber sido objeto de imposición de cinco (5) o más multas durante la ejecución de uno o varios contratos, con una o varias entidades estatales, durante los últimos tres (3) años; […] Haber sido objeto de declaratorias de incumplimiento contractual en por lo menos dos (2) contratos, con una o varias entidades estatales, durante los últimos tres (3) años; […] Haber sido objeto de imposición de dos (2) multas y un (1) incumplimiento durante una misma vigencia fiscal, con una o varias entidades estatales” (art. 90, lit. a), b) y c), Ley 1474/11, modificado por el art. 43, Ley 1955/19).</w:t>
      </w:r>
    </w:p>
    <w:p w14:paraId="15F55981" w14:textId="77777777" w:rsidR="00CC0DC2" w:rsidRPr="001A625A" w:rsidRDefault="00CC0DC2" w:rsidP="00CC0DC2">
      <w:pPr>
        <w:spacing w:after="0" w:line="240" w:lineRule="auto"/>
        <w:ind w:firstLine="709"/>
        <w:jc w:val="both"/>
        <w:rPr>
          <w:rFonts w:ascii="Verdana" w:hAnsi="Verdana" w:cs="Arial"/>
          <w:color w:val="000000" w:themeColor="text1"/>
          <w:sz w:val="16"/>
          <w:szCs w:val="16"/>
          <w:lang w:val="es-ES"/>
        </w:rPr>
      </w:pPr>
    </w:p>
  </w:footnote>
  <w:footnote w:id="4">
    <w:p w14:paraId="00776822" w14:textId="77777777" w:rsidR="00CC0DC2" w:rsidRPr="001A625A" w:rsidRDefault="00CC0DC2" w:rsidP="00CC0DC2">
      <w:pPr>
        <w:pStyle w:val="Textonotapie"/>
        <w:ind w:firstLine="709"/>
        <w:jc w:val="both"/>
        <w:rPr>
          <w:rFonts w:ascii="Verdana" w:hAnsi="Verdana" w:cs="Arial"/>
          <w:color w:val="000000" w:themeColor="text1"/>
          <w:sz w:val="16"/>
          <w:szCs w:val="16"/>
          <w:lang w:val="es-ES"/>
        </w:rPr>
      </w:pPr>
      <w:r w:rsidRPr="001A625A">
        <w:rPr>
          <w:rStyle w:val="Refdenotaalpie"/>
          <w:rFonts w:ascii="Verdana" w:hAnsi="Verdana" w:cs="Arial"/>
          <w:color w:val="000000" w:themeColor="text1"/>
          <w:sz w:val="16"/>
          <w:szCs w:val="16"/>
        </w:rPr>
        <w:footnoteRef/>
      </w:r>
      <w:r w:rsidRPr="001A625A">
        <w:rPr>
          <w:rFonts w:ascii="Verdana" w:hAnsi="Verdana" w:cs="Arial"/>
          <w:color w:val="000000" w:themeColor="text1"/>
          <w:sz w:val="16"/>
          <w:szCs w:val="16"/>
        </w:rPr>
        <w:t xml:space="preserve"> </w:t>
      </w:r>
      <w:r w:rsidRPr="001A625A">
        <w:rPr>
          <w:rFonts w:ascii="Verdana" w:hAnsi="Verdana" w:cs="Arial"/>
          <w:color w:val="000000" w:themeColor="text1"/>
          <w:sz w:val="16"/>
          <w:szCs w:val="16"/>
          <w:lang w:val="es-ES"/>
        </w:rPr>
        <w:t>Por ejemplo, a título enunciativo, las siguientes: “Quienes sean cónyuges o compañeros permanentes y quienes se encuentren dentro del segundo grado de consanguinidad o segundo de afinidad con cualquier otra persona que formalmente haya presentado propuesta para una misma licitación” (art. 8, num. 1º, lit. g), Ley 80/93); “Las sociedades distintas de las anónimas abiertas, en las cuales el representante legal o cualquiera de sus socios tenga parentesco en segundo grado de consanguinidad o segundo de afinidad con el representante legal o con cualquiera de los socios de una sociedad que formalmente haya presentado propuesta, para una misma licitación” (art. 8, num. 1º, lit. h), Ley 80/93); “Las personas que tengan vínculos de parentesco, hasta el segundo grado de consanguinidad, segundo de afinidad o primero civil con los servidores públicos de los niveles directivo, asesor, ejecutivo o con los miembros de la junta o consejo directivo, o con las personas que ejerzan el control interno o fiscal de la entidad contratante” (art. 8, num. 2º, lit. b), Ley 80/93); “El cónyuge, compañero o compañera permanente del servidor público en los niveles directivo, asesor, ejecutivo, o de un miembro de la junta o consejo directivo, o de quien ejerza funciones de control interno o de control fiscal” (art. 8, num. 2º, lit. c), Ley 80/93); “Las corporaciones, asociaciones, fundaciones y las sociedades anónimas que no tengan el carácter de abiertas, así como las sociedades de responsabilidad limitada y las demás sociedades de personas en las que el servidor público en los niveles directivo, asesor o ejecutivo, o el miembro de la junta o consejo directivo, o el cónyuge, compañero o compañera permanente o los parientes hasta el segundo grado de consanguinidad, afinidad o civil de cualquiera de ellos, tenga participación o desempeñe cargos de dirección o manejo” (art. 8, num. 2º, lit. d), Ley 80/93).</w:t>
      </w:r>
    </w:p>
    <w:p w14:paraId="7FE291A7" w14:textId="77777777" w:rsidR="00CC0DC2" w:rsidRPr="001A625A" w:rsidRDefault="00CC0DC2" w:rsidP="00CC0DC2">
      <w:pPr>
        <w:pStyle w:val="Textonotapie"/>
        <w:ind w:firstLine="709"/>
        <w:jc w:val="both"/>
        <w:rPr>
          <w:rFonts w:ascii="Verdana" w:hAnsi="Verdana" w:cs="Arial"/>
          <w:color w:val="000000" w:themeColor="text1"/>
          <w:sz w:val="16"/>
          <w:szCs w:val="16"/>
          <w:lang w:val="es-CO"/>
        </w:rPr>
      </w:pPr>
    </w:p>
  </w:footnote>
  <w:footnote w:id="5">
    <w:p w14:paraId="31FAA171" w14:textId="77777777" w:rsidR="00CC0DC2" w:rsidRPr="001A625A" w:rsidRDefault="00CC0DC2" w:rsidP="00CC0DC2">
      <w:pPr>
        <w:pStyle w:val="Textonotapie"/>
        <w:ind w:firstLine="709"/>
        <w:jc w:val="both"/>
        <w:rPr>
          <w:rFonts w:ascii="Verdana" w:hAnsi="Verdana" w:cs="Arial"/>
          <w:color w:val="000000" w:themeColor="text1"/>
          <w:sz w:val="16"/>
          <w:szCs w:val="16"/>
          <w:lang w:val="es-ES"/>
        </w:rPr>
      </w:pPr>
      <w:r w:rsidRPr="001A625A">
        <w:rPr>
          <w:rStyle w:val="Refdenotaalpie"/>
          <w:rFonts w:ascii="Verdana" w:hAnsi="Verdana" w:cs="Arial"/>
          <w:color w:val="000000" w:themeColor="text1"/>
          <w:sz w:val="16"/>
          <w:szCs w:val="16"/>
        </w:rPr>
        <w:footnoteRef/>
      </w:r>
      <w:r w:rsidRPr="001A625A">
        <w:rPr>
          <w:rFonts w:ascii="Verdana" w:hAnsi="Verdana" w:cs="Arial"/>
          <w:color w:val="000000" w:themeColor="text1"/>
          <w:sz w:val="16"/>
          <w:szCs w:val="16"/>
        </w:rPr>
        <w:t xml:space="preserve"> </w:t>
      </w:r>
      <w:r w:rsidRPr="001A625A">
        <w:rPr>
          <w:rFonts w:ascii="Verdana" w:hAnsi="Verdana" w:cs="Arial"/>
          <w:color w:val="000000" w:themeColor="text1"/>
          <w:sz w:val="16"/>
          <w:szCs w:val="16"/>
          <w:lang w:val="es-ES"/>
        </w:rPr>
        <w:t xml:space="preserve">Verbigracia, entre otras, las que se indican a continuación: “Las personas que hayan financiado campañas políticas a la Presidencia de la República, a las gobernaciones o a las alcaldías con aportes superiores al dos punto cinco por ciento (2.5%) de las sumas máximas a invertir por los candidatos en las campañas electorales en cada circunscripción electoral, quienes no podrán celebrar contratos con las entidades públicas, incluso descentralizadas, del respectivo nivel administrativo para el cual fue elegido el candidato” (art. 8, num. 1º, lit. k), Ley 80/93, modificado por el art. 33, Ley 1778/16); “Quienes fueron miembros de la junta o consejo directivo o servidores públicos de la entidad contratante” (art. 8, num. 2º, lit. a), Ley 80/93) [a pesar de que la norma la califica como una incompatibilidad, en realidad se trata de una inhabilidad, ya que en dicha causal no existe concurrencia de calidades en un sujeto]; “Directa o indirectamente las personas que hayan ejercido cargos en el nivel directivo en entidades del Estado y las sociedades en las cuales estos hagan parte o estén vinculados a cualquier título, durante los dos (2) años siguientes al retiro del ejercicio del cargo público, cuando el objeto que desarrollen tenga relación con el sector al cual prestaron sus servicios” (art. 8, num. 2º, lit. f), Ley 80/93, adicionado por el art. 4º, Ley 1474/2011) [a pesar de que la norma la califica como una incompatibilidad, en realidad se trata de una inhabilidad, ya que en dicha causal no existe concurrencia de calidades en un sujeto]. </w:t>
      </w:r>
    </w:p>
    <w:p w14:paraId="77102F1C" w14:textId="77777777" w:rsidR="00CC0DC2" w:rsidRPr="001A625A" w:rsidRDefault="00CC0DC2" w:rsidP="00CC0DC2">
      <w:pPr>
        <w:pStyle w:val="Textonotapie"/>
        <w:ind w:firstLine="709"/>
        <w:jc w:val="both"/>
        <w:rPr>
          <w:rFonts w:ascii="Verdana" w:hAnsi="Verdana" w:cs="Arial"/>
          <w:color w:val="000000" w:themeColor="text1"/>
          <w:sz w:val="16"/>
          <w:szCs w:val="16"/>
          <w:lang w:val="es-CO"/>
        </w:rPr>
      </w:pPr>
      <w:r w:rsidRPr="001A625A">
        <w:rPr>
          <w:rFonts w:ascii="Verdana" w:hAnsi="Verdana" w:cs="Arial"/>
          <w:color w:val="000000" w:themeColor="text1"/>
          <w:sz w:val="16"/>
          <w:szCs w:val="16"/>
          <w:lang w:val="es-ES"/>
        </w:rPr>
        <w:t xml:space="preserve">  </w:t>
      </w:r>
    </w:p>
  </w:footnote>
  <w:footnote w:id="6">
    <w:p w14:paraId="42EC34D1" w14:textId="77777777" w:rsidR="00CC0DC2" w:rsidRPr="001A625A" w:rsidRDefault="00CC0DC2" w:rsidP="00CC0DC2">
      <w:pPr>
        <w:spacing w:after="0" w:line="240" w:lineRule="auto"/>
        <w:ind w:firstLine="709"/>
        <w:jc w:val="both"/>
        <w:rPr>
          <w:rFonts w:ascii="Verdana" w:hAnsi="Verdana" w:cs="Arial"/>
          <w:color w:val="000000" w:themeColor="text1"/>
          <w:sz w:val="16"/>
          <w:szCs w:val="16"/>
          <w:lang w:val="es-ES"/>
        </w:rPr>
      </w:pPr>
      <w:r w:rsidRPr="001A625A">
        <w:rPr>
          <w:rStyle w:val="Refdenotaalpie"/>
          <w:rFonts w:ascii="Verdana" w:hAnsi="Verdana" w:cs="Arial"/>
          <w:color w:val="000000" w:themeColor="text1"/>
          <w:sz w:val="16"/>
          <w:szCs w:val="16"/>
        </w:rPr>
        <w:footnoteRef/>
      </w:r>
      <w:r w:rsidRPr="001A625A">
        <w:rPr>
          <w:rFonts w:ascii="Verdana" w:hAnsi="Verdana" w:cs="Arial"/>
          <w:color w:val="000000" w:themeColor="text1"/>
          <w:sz w:val="16"/>
          <w:szCs w:val="16"/>
        </w:rPr>
        <w:t xml:space="preserve"> </w:t>
      </w:r>
      <w:r w:rsidRPr="001A625A">
        <w:rPr>
          <w:rFonts w:ascii="Verdana" w:hAnsi="Verdana" w:cs="Arial"/>
          <w:color w:val="000000" w:themeColor="text1"/>
          <w:sz w:val="16"/>
          <w:szCs w:val="16"/>
          <w:lang w:val="es-ES"/>
        </w:rPr>
        <w:t xml:space="preserve">Como las señaladas a continuación: “Los servidores públicos” (art. 8, num. 1º, lit. f), Ley 80/93); “Las corporaciones, asociaciones, fundaciones y las sociedades anónimas que no tengan el carácter de abiertas, así como las sociedades de responsabilidad limitada y las demás sociedades de personas en las que el servidor público en los niveles directivo, asesor o ejecutivo, o el miembro de la junta o consejo directivo, o el cónyuge, compañero o compañera permanente o los parientes hasta el segundo grado de consanguinidad, afinidad o civil de cualquiera de ellos, tenga participación o desempeñe cargos de dirección o manejo” (art. 8, num. 2º, lit. d), Ley 80/93); “Los miembros de las juntas o consejos directivos. Esta incompatibilidad sólo se predica respecto de la entidad a la cual prestan sus servicios y de las del sector administrativo al que la misma esté adscrita o vinculada” (art. 8, num. 2º, lit. e), Ley 80/93); “Quien haya celebrado un contrato estatal de obra pública, de concesión, suministro de medicamentos y de alimentos o su cónyuge, compañero o compañera permanente, pariente hasta el segundo grado de consaguinidad, segundo de afinidad y/o primero civil o sus socios en sociedades distintas de las anónimas abiertas, con las entidades a que se refiere el artículo 2o de la Ley 80 de 1993, durante el plazo de ejecución y hasta la liquidación del mismo, no podrán celebrar contratos de interventoría con la misma entidad” (art. 5, Ley 1474/11). </w:t>
      </w:r>
    </w:p>
    <w:p w14:paraId="7AB30246" w14:textId="77777777" w:rsidR="00CC0DC2" w:rsidRPr="001A625A" w:rsidRDefault="00CC0DC2" w:rsidP="00CC0DC2">
      <w:pPr>
        <w:spacing w:after="0" w:line="240" w:lineRule="auto"/>
        <w:ind w:firstLine="709"/>
        <w:jc w:val="both"/>
        <w:rPr>
          <w:rFonts w:ascii="Verdana" w:hAnsi="Verdana" w:cs="Arial"/>
          <w:color w:val="000000" w:themeColor="text1"/>
          <w:sz w:val="16"/>
          <w:szCs w:val="16"/>
          <w:lang w:val="es-ES"/>
        </w:rPr>
      </w:pPr>
    </w:p>
  </w:footnote>
  <w:footnote w:id="7">
    <w:p w14:paraId="406B3B27" w14:textId="77777777" w:rsidR="00CC0DC2" w:rsidRPr="008258D9" w:rsidRDefault="00CC0DC2" w:rsidP="00CC0DC2">
      <w:pPr>
        <w:pStyle w:val="Textonotapie"/>
        <w:ind w:firstLine="709"/>
        <w:jc w:val="both"/>
        <w:rPr>
          <w:rFonts w:ascii="Verdana" w:hAnsi="Verdana" w:cs="Arial"/>
          <w:color w:val="000000"/>
          <w:sz w:val="16"/>
          <w:szCs w:val="16"/>
          <w:lang w:val="es-CO"/>
        </w:rPr>
      </w:pPr>
      <w:r w:rsidRPr="008258D9">
        <w:rPr>
          <w:rStyle w:val="Refdenotaalpie"/>
          <w:rFonts w:ascii="Verdana" w:hAnsi="Verdana" w:cs="Arial"/>
          <w:color w:val="000000"/>
          <w:sz w:val="16"/>
          <w:szCs w:val="16"/>
          <w:lang w:val="es-CO"/>
        </w:rPr>
        <w:footnoteRef/>
      </w:r>
      <w:r w:rsidRPr="008258D9">
        <w:rPr>
          <w:rFonts w:ascii="Verdana" w:hAnsi="Verdana" w:cs="Arial"/>
          <w:color w:val="000000"/>
          <w:sz w:val="16"/>
          <w:szCs w:val="16"/>
          <w:lang w:val="es-CO"/>
        </w:rPr>
        <w:t xml:space="preserve"> Corte Constitucional. Sentencia T-1039 de 2006. </w:t>
      </w:r>
      <w:r w:rsidRPr="008258D9">
        <w:rPr>
          <w:rFonts w:ascii="Verdana" w:hAnsi="Verdana" w:cs="Arial"/>
          <w:color w:val="000000"/>
          <w:sz w:val="16"/>
          <w:szCs w:val="16"/>
          <w:lang w:val="it-IT"/>
        </w:rPr>
        <w:t xml:space="preserve">Magistrado Ponente: Humberto Sierra Porto. </w:t>
      </w:r>
      <w:r w:rsidRPr="008258D9">
        <w:rPr>
          <w:rFonts w:ascii="Verdana" w:hAnsi="Verdana" w:cs="Arial"/>
          <w:color w:val="000000"/>
          <w:sz w:val="16"/>
          <w:szCs w:val="16"/>
          <w:lang w:val="es-CO"/>
        </w:rPr>
        <w:t>La Corte ha mantenido este criterio en las sentencias: C-903 de 2008. Magistrado Ponente: Jaime Araujo Rentería; C-101 de 2018. Magistrada Ponente Gloria Stella Ortiz Delgado; entre otras.</w:t>
      </w:r>
    </w:p>
    <w:p w14:paraId="6CC92D98" w14:textId="77777777" w:rsidR="00CC0DC2" w:rsidRPr="008258D9" w:rsidRDefault="00CC0DC2" w:rsidP="00CC0DC2">
      <w:pPr>
        <w:pStyle w:val="Textonotapie"/>
        <w:ind w:firstLine="709"/>
        <w:jc w:val="both"/>
        <w:rPr>
          <w:rFonts w:ascii="Verdana" w:hAnsi="Verdana" w:cs="Arial"/>
          <w:color w:val="000000"/>
          <w:sz w:val="16"/>
          <w:szCs w:val="16"/>
          <w:lang w:val="es-CO"/>
        </w:rPr>
      </w:pPr>
    </w:p>
  </w:footnote>
  <w:footnote w:id="8">
    <w:p w14:paraId="7CE705AB" w14:textId="77777777" w:rsidR="00CC0DC2" w:rsidRPr="008258D9" w:rsidRDefault="00CC0DC2" w:rsidP="00CC0DC2">
      <w:pPr>
        <w:pStyle w:val="Textonotapie"/>
        <w:ind w:firstLine="709"/>
        <w:jc w:val="both"/>
        <w:rPr>
          <w:rFonts w:ascii="Verdana" w:hAnsi="Verdana" w:cs="Arial"/>
          <w:color w:val="000000"/>
          <w:sz w:val="16"/>
          <w:szCs w:val="16"/>
          <w:lang w:val="es-CO"/>
        </w:rPr>
      </w:pPr>
      <w:r w:rsidRPr="008258D9">
        <w:rPr>
          <w:rStyle w:val="Refdenotaalpie"/>
          <w:rFonts w:ascii="Verdana" w:hAnsi="Verdana" w:cs="Arial"/>
          <w:color w:val="000000"/>
          <w:sz w:val="16"/>
          <w:szCs w:val="16"/>
          <w:lang w:val="es-CO"/>
        </w:rPr>
        <w:footnoteRef/>
      </w:r>
      <w:r w:rsidRPr="008258D9">
        <w:rPr>
          <w:rFonts w:ascii="Verdana" w:hAnsi="Verdana" w:cs="Arial"/>
          <w:color w:val="000000"/>
          <w:sz w:val="16"/>
          <w:szCs w:val="16"/>
          <w:lang w:val="es-CO"/>
        </w:rPr>
        <w:t xml:space="preserve"> Consejo de Estado. Sala de Consulta y Servicio Civil. Concepto del 30 de abril de 2015. Expediente: 2251. Consejero Ponente: Álvaro Namén Vargas.</w:t>
      </w:r>
    </w:p>
    <w:p w14:paraId="45D16F3A" w14:textId="77777777" w:rsidR="00CC0DC2" w:rsidRPr="008258D9" w:rsidRDefault="00CC0DC2" w:rsidP="00CC0DC2">
      <w:pPr>
        <w:pStyle w:val="Textonotapie"/>
        <w:ind w:firstLine="709"/>
        <w:jc w:val="both"/>
        <w:rPr>
          <w:rFonts w:ascii="Verdana" w:hAnsi="Verdana" w:cs="Arial"/>
          <w:color w:val="000000"/>
          <w:sz w:val="16"/>
          <w:szCs w:val="16"/>
          <w:lang w:val="es-CO"/>
        </w:rPr>
      </w:pPr>
    </w:p>
  </w:footnote>
  <w:footnote w:id="9">
    <w:p w14:paraId="0EA4D286" w14:textId="77777777" w:rsidR="00CC0DC2" w:rsidRPr="008258D9" w:rsidRDefault="00CC0DC2" w:rsidP="00CC0DC2">
      <w:pPr>
        <w:spacing w:after="0" w:line="240" w:lineRule="auto"/>
        <w:ind w:firstLine="709"/>
        <w:jc w:val="both"/>
        <w:rPr>
          <w:rFonts w:ascii="Verdana" w:hAnsi="Verdana" w:cs="Arial"/>
          <w:color w:val="000000"/>
          <w:sz w:val="16"/>
          <w:szCs w:val="16"/>
        </w:rPr>
      </w:pPr>
      <w:r w:rsidRPr="008258D9">
        <w:rPr>
          <w:rStyle w:val="Refdenotaalpie"/>
          <w:rFonts w:ascii="Verdana" w:hAnsi="Verdana" w:cs="Arial"/>
          <w:color w:val="000000"/>
          <w:sz w:val="16"/>
          <w:szCs w:val="16"/>
        </w:rPr>
        <w:footnoteRef/>
      </w:r>
      <w:r w:rsidRPr="008258D9">
        <w:rPr>
          <w:rFonts w:ascii="Verdana" w:hAnsi="Verdana" w:cs="Arial"/>
          <w:color w:val="000000"/>
          <w:sz w:val="16"/>
          <w:szCs w:val="16"/>
        </w:rPr>
        <w:t xml:space="preserve"> Consejo</w:t>
      </w:r>
      <w:r w:rsidRPr="008258D9">
        <w:rPr>
          <w:rFonts w:ascii="Verdana" w:hAnsi="Verdana" w:cs="Arial"/>
          <w:color w:val="000000"/>
          <w:spacing w:val="12"/>
          <w:sz w:val="16"/>
          <w:szCs w:val="16"/>
        </w:rPr>
        <w:t xml:space="preserve"> </w:t>
      </w:r>
      <w:r w:rsidRPr="008258D9">
        <w:rPr>
          <w:rFonts w:ascii="Verdana" w:hAnsi="Verdana" w:cs="Arial"/>
          <w:color w:val="000000"/>
          <w:sz w:val="16"/>
          <w:szCs w:val="16"/>
        </w:rPr>
        <w:t>de</w:t>
      </w:r>
      <w:r w:rsidRPr="008258D9">
        <w:rPr>
          <w:rFonts w:ascii="Verdana" w:hAnsi="Verdana" w:cs="Arial"/>
          <w:color w:val="000000"/>
          <w:spacing w:val="11"/>
          <w:sz w:val="16"/>
          <w:szCs w:val="16"/>
        </w:rPr>
        <w:t xml:space="preserve"> </w:t>
      </w:r>
      <w:r w:rsidRPr="008258D9">
        <w:rPr>
          <w:rFonts w:ascii="Verdana" w:hAnsi="Verdana" w:cs="Arial"/>
          <w:color w:val="000000"/>
          <w:sz w:val="16"/>
          <w:szCs w:val="16"/>
        </w:rPr>
        <w:t>Estado.</w:t>
      </w:r>
      <w:r w:rsidRPr="008258D9">
        <w:rPr>
          <w:rFonts w:ascii="Verdana" w:hAnsi="Verdana" w:cs="Arial"/>
          <w:color w:val="000000"/>
          <w:spacing w:val="12"/>
          <w:sz w:val="16"/>
          <w:szCs w:val="16"/>
        </w:rPr>
        <w:t xml:space="preserve"> </w:t>
      </w:r>
      <w:r w:rsidRPr="008258D9">
        <w:rPr>
          <w:rFonts w:ascii="Verdana" w:hAnsi="Verdana" w:cs="Arial"/>
          <w:color w:val="000000"/>
          <w:sz w:val="16"/>
          <w:szCs w:val="16"/>
        </w:rPr>
        <w:t>Sección</w:t>
      </w:r>
      <w:r w:rsidRPr="008258D9">
        <w:rPr>
          <w:rFonts w:ascii="Verdana" w:hAnsi="Verdana" w:cs="Arial"/>
          <w:color w:val="000000"/>
          <w:spacing w:val="12"/>
          <w:sz w:val="16"/>
          <w:szCs w:val="16"/>
        </w:rPr>
        <w:t xml:space="preserve"> </w:t>
      </w:r>
      <w:r w:rsidRPr="008258D9">
        <w:rPr>
          <w:rFonts w:ascii="Verdana" w:hAnsi="Verdana" w:cs="Arial"/>
          <w:color w:val="000000"/>
          <w:sz w:val="16"/>
          <w:szCs w:val="16"/>
        </w:rPr>
        <w:t>Tercera.</w:t>
      </w:r>
      <w:r w:rsidRPr="008258D9">
        <w:rPr>
          <w:rFonts w:ascii="Verdana" w:hAnsi="Verdana" w:cs="Arial"/>
          <w:color w:val="000000"/>
          <w:spacing w:val="12"/>
          <w:sz w:val="16"/>
          <w:szCs w:val="16"/>
        </w:rPr>
        <w:t xml:space="preserve"> </w:t>
      </w:r>
      <w:r w:rsidRPr="008258D9">
        <w:rPr>
          <w:rFonts w:ascii="Verdana" w:hAnsi="Verdana" w:cs="Arial"/>
          <w:color w:val="000000"/>
          <w:sz w:val="16"/>
          <w:szCs w:val="16"/>
        </w:rPr>
        <w:t>Subsección</w:t>
      </w:r>
      <w:r w:rsidRPr="008258D9">
        <w:rPr>
          <w:rFonts w:ascii="Verdana" w:hAnsi="Verdana" w:cs="Arial"/>
          <w:color w:val="000000"/>
          <w:spacing w:val="13"/>
          <w:sz w:val="16"/>
          <w:szCs w:val="16"/>
        </w:rPr>
        <w:t xml:space="preserve"> </w:t>
      </w:r>
      <w:r w:rsidRPr="008258D9">
        <w:rPr>
          <w:rFonts w:ascii="Verdana" w:hAnsi="Verdana" w:cs="Arial"/>
          <w:color w:val="000000"/>
          <w:sz w:val="16"/>
          <w:szCs w:val="16"/>
        </w:rPr>
        <w:t>A.</w:t>
      </w:r>
      <w:r w:rsidRPr="008258D9">
        <w:rPr>
          <w:rFonts w:ascii="Verdana" w:hAnsi="Verdana" w:cs="Arial"/>
          <w:color w:val="000000"/>
          <w:spacing w:val="12"/>
          <w:sz w:val="16"/>
          <w:szCs w:val="16"/>
        </w:rPr>
        <w:t xml:space="preserve"> </w:t>
      </w:r>
      <w:r w:rsidRPr="008258D9">
        <w:rPr>
          <w:rFonts w:ascii="Verdana" w:hAnsi="Verdana" w:cs="Arial"/>
          <w:color w:val="000000"/>
          <w:sz w:val="16"/>
          <w:szCs w:val="16"/>
        </w:rPr>
        <w:t>Sentencia</w:t>
      </w:r>
      <w:r w:rsidRPr="008258D9">
        <w:rPr>
          <w:rFonts w:ascii="Verdana" w:hAnsi="Verdana" w:cs="Arial"/>
          <w:color w:val="000000"/>
          <w:spacing w:val="13"/>
          <w:sz w:val="16"/>
          <w:szCs w:val="16"/>
        </w:rPr>
        <w:t xml:space="preserve"> </w:t>
      </w:r>
      <w:r w:rsidRPr="008258D9">
        <w:rPr>
          <w:rFonts w:ascii="Verdana" w:hAnsi="Verdana" w:cs="Arial"/>
          <w:color w:val="000000"/>
          <w:sz w:val="16"/>
          <w:szCs w:val="16"/>
        </w:rPr>
        <w:t>del</w:t>
      </w:r>
      <w:r w:rsidRPr="008258D9">
        <w:rPr>
          <w:rFonts w:ascii="Verdana" w:hAnsi="Verdana" w:cs="Arial"/>
          <w:color w:val="000000"/>
          <w:spacing w:val="11"/>
          <w:sz w:val="16"/>
          <w:szCs w:val="16"/>
        </w:rPr>
        <w:t xml:space="preserve"> </w:t>
      </w:r>
      <w:r w:rsidRPr="008258D9">
        <w:rPr>
          <w:rFonts w:ascii="Verdana" w:hAnsi="Verdana" w:cs="Arial"/>
          <w:color w:val="000000"/>
          <w:sz w:val="16"/>
          <w:szCs w:val="16"/>
        </w:rPr>
        <w:t>24</w:t>
      </w:r>
      <w:r w:rsidRPr="008258D9">
        <w:rPr>
          <w:rFonts w:ascii="Verdana" w:hAnsi="Verdana" w:cs="Arial"/>
          <w:color w:val="000000"/>
          <w:spacing w:val="11"/>
          <w:sz w:val="16"/>
          <w:szCs w:val="16"/>
        </w:rPr>
        <w:t xml:space="preserve"> </w:t>
      </w:r>
      <w:r w:rsidRPr="008258D9">
        <w:rPr>
          <w:rFonts w:ascii="Verdana" w:hAnsi="Verdana" w:cs="Arial"/>
          <w:color w:val="000000"/>
          <w:sz w:val="16"/>
          <w:szCs w:val="16"/>
        </w:rPr>
        <w:t>de</w:t>
      </w:r>
      <w:r w:rsidRPr="008258D9">
        <w:rPr>
          <w:rFonts w:ascii="Verdana" w:hAnsi="Verdana" w:cs="Arial"/>
          <w:color w:val="000000"/>
          <w:spacing w:val="11"/>
          <w:sz w:val="16"/>
          <w:szCs w:val="16"/>
        </w:rPr>
        <w:t xml:space="preserve"> </w:t>
      </w:r>
      <w:r w:rsidRPr="008258D9">
        <w:rPr>
          <w:rFonts w:ascii="Verdana" w:hAnsi="Verdana" w:cs="Arial"/>
          <w:color w:val="000000"/>
          <w:sz w:val="16"/>
          <w:szCs w:val="16"/>
        </w:rPr>
        <w:t>junio</w:t>
      </w:r>
      <w:r w:rsidRPr="008258D9">
        <w:rPr>
          <w:rFonts w:ascii="Verdana" w:hAnsi="Verdana" w:cs="Arial"/>
          <w:color w:val="000000"/>
          <w:spacing w:val="11"/>
          <w:sz w:val="16"/>
          <w:szCs w:val="16"/>
        </w:rPr>
        <w:t xml:space="preserve"> </w:t>
      </w:r>
      <w:r w:rsidRPr="008258D9">
        <w:rPr>
          <w:rFonts w:ascii="Verdana" w:hAnsi="Verdana" w:cs="Arial"/>
          <w:color w:val="000000"/>
          <w:sz w:val="16"/>
          <w:szCs w:val="16"/>
        </w:rPr>
        <w:t>de</w:t>
      </w:r>
      <w:r w:rsidRPr="008258D9">
        <w:rPr>
          <w:rFonts w:ascii="Verdana" w:hAnsi="Verdana" w:cs="Arial"/>
          <w:color w:val="000000"/>
          <w:spacing w:val="11"/>
          <w:sz w:val="16"/>
          <w:szCs w:val="16"/>
        </w:rPr>
        <w:t xml:space="preserve"> </w:t>
      </w:r>
      <w:r w:rsidRPr="008258D9">
        <w:rPr>
          <w:rFonts w:ascii="Verdana" w:hAnsi="Verdana" w:cs="Arial"/>
          <w:color w:val="000000"/>
          <w:sz w:val="16"/>
          <w:szCs w:val="16"/>
        </w:rPr>
        <w:t>2015.</w:t>
      </w:r>
      <w:r w:rsidRPr="008258D9">
        <w:rPr>
          <w:rFonts w:ascii="Verdana" w:hAnsi="Verdana" w:cs="Arial"/>
          <w:color w:val="000000"/>
          <w:spacing w:val="1"/>
          <w:sz w:val="16"/>
          <w:szCs w:val="16"/>
        </w:rPr>
        <w:t xml:space="preserve"> </w:t>
      </w:r>
      <w:r w:rsidRPr="008258D9">
        <w:rPr>
          <w:rFonts w:ascii="Verdana" w:hAnsi="Verdana" w:cs="Arial"/>
          <w:color w:val="000000"/>
          <w:sz w:val="16"/>
          <w:szCs w:val="16"/>
        </w:rPr>
        <w:t>Exp.</w:t>
      </w:r>
      <w:r w:rsidRPr="008258D9">
        <w:rPr>
          <w:rFonts w:ascii="Verdana" w:hAnsi="Verdana" w:cs="Arial"/>
          <w:color w:val="000000"/>
          <w:spacing w:val="-2"/>
          <w:sz w:val="16"/>
          <w:szCs w:val="16"/>
        </w:rPr>
        <w:t xml:space="preserve"> </w:t>
      </w:r>
      <w:r w:rsidRPr="008258D9">
        <w:rPr>
          <w:rFonts w:ascii="Verdana" w:hAnsi="Verdana" w:cs="Arial"/>
          <w:color w:val="000000"/>
          <w:sz w:val="16"/>
          <w:szCs w:val="16"/>
        </w:rPr>
        <w:t>40.635.</w:t>
      </w:r>
      <w:r w:rsidRPr="008258D9">
        <w:rPr>
          <w:rFonts w:ascii="Verdana" w:hAnsi="Verdana" w:cs="Arial"/>
          <w:color w:val="000000"/>
          <w:spacing w:val="-2"/>
          <w:sz w:val="16"/>
          <w:szCs w:val="16"/>
        </w:rPr>
        <w:t xml:space="preserve"> </w:t>
      </w:r>
      <w:r w:rsidRPr="008258D9">
        <w:rPr>
          <w:rFonts w:ascii="Verdana" w:hAnsi="Verdana" w:cs="Arial"/>
          <w:color w:val="000000"/>
          <w:sz w:val="16"/>
          <w:szCs w:val="16"/>
        </w:rPr>
        <w:t>Consejero</w:t>
      </w:r>
      <w:r w:rsidRPr="008258D9">
        <w:rPr>
          <w:rFonts w:ascii="Verdana" w:hAnsi="Verdana" w:cs="Arial"/>
          <w:color w:val="000000"/>
          <w:spacing w:val="-1"/>
          <w:sz w:val="16"/>
          <w:szCs w:val="16"/>
        </w:rPr>
        <w:t xml:space="preserve"> </w:t>
      </w:r>
      <w:r w:rsidRPr="008258D9">
        <w:rPr>
          <w:rFonts w:ascii="Verdana" w:hAnsi="Verdana" w:cs="Arial"/>
          <w:color w:val="000000"/>
          <w:sz w:val="16"/>
          <w:szCs w:val="16"/>
        </w:rPr>
        <w:t>Ponente:</w:t>
      </w:r>
      <w:r w:rsidRPr="008258D9">
        <w:rPr>
          <w:rFonts w:ascii="Verdana" w:hAnsi="Verdana" w:cs="Arial"/>
          <w:color w:val="000000"/>
          <w:spacing w:val="-2"/>
          <w:sz w:val="16"/>
          <w:szCs w:val="16"/>
        </w:rPr>
        <w:t xml:space="preserve"> </w:t>
      </w:r>
      <w:r w:rsidRPr="008258D9">
        <w:rPr>
          <w:rFonts w:ascii="Verdana" w:hAnsi="Verdana" w:cs="Arial"/>
          <w:color w:val="000000"/>
          <w:sz w:val="16"/>
          <w:szCs w:val="16"/>
        </w:rPr>
        <w:t>Hernán</w:t>
      </w:r>
      <w:r w:rsidRPr="008258D9">
        <w:rPr>
          <w:rFonts w:ascii="Verdana" w:hAnsi="Verdana" w:cs="Arial"/>
          <w:color w:val="000000"/>
          <w:spacing w:val="-1"/>
          <w:sz w:val="16"/>
          <w:szCs w:val="16"/>
        </w:rPr>
        <w:t xml:space="preserve"> </w:t>
      </w:r>
      <w:r w:rsidRPr="008258D9">
        <w:rPr>
          <w:rFonts w:ascii="Verdana" w:hAnsi="Verdana" w:cs="Arial"/>
          <w:color w:val="000000"/>
          <w:sz w:val="16"/>
          <w:szCs w:val="16"/>
        </w:rPr>
        <w:t>Andrade</w:t>
      </w:r>
      <w:r w:rsidRPr="008258D9">
        <w:rPr>
          <w:rFonts w:ascii="Verdana" w:hAnsi="Verdana" w:cs="Arial"/>
          <w:color w:val="000000"/>
          <w:spacing w:val="-2"/>
          <w:sz w:val="16"/>
          <w:szCs w:val="16"/>
        </w:rPr>
        <w:t xml:space="preserve"> </w:t>
      </w:r>
      <w:r w:rsidRPr="008258D9">
        <w:rPr>
          <w:rFonts w:ascii="Verdana" w:hAnsi="Verdana" w:cs="Arial"/>
          <w:color w:val="000000"/>
          <w:sz w:val="16"/>
          <w:szCs w:val="16"/>
        </w:rPr>
        <w:t>Rincón</w:t>
      </w:r>
      <w:r w:rsidRPr="008258D9">
        <w:rPr>
          <w:rFonts w:ascii="Verdana" w:hAnsi="Verdana" w:cs="Arial"/>
          <w:color w:val="000000"/>
          <w:spacing w:val="-1"/>
          <w:sz w:val="16"/>
          <w:szCs w:val="16"/>
        </w:rPr>
        <w:t xml:space="preserve"> </w:t>
      </w:r>
      <w:r w:rsidRPr="008258D9">
        <w:rPr>
          <w:rFonts w:ascii="Verdana" w:hAnsi="Verdana" w:cs="Arial"/>
          <w:color w:val="000000"/>
          <w:sz w:val="16"/>
          <w:szCs w:val="16"/>
        </w:rPr>
        <w:t>(E).</w:t>
      </w:r>
    </w:p>
    <w:p w14:paraId="642D18F9" w14:textId="77777777" w:rsidR="00CC0DC2" w:rsidRPr="008258D9" w:rsidRDefault="00CC0DC2" w:rsidP="00CC0DC2">
      <w:pPr>
        <w:spacing w:after="0" w:line="240" w:lineRule="auto"/>
        <w:ind w:firstLine="709"/>
        <w:jc w:val="both"/>
        <w:rPr>
          <w:rFonts w:ascii="Verdana" w:hAnsi="Verdana" w:cs="Arial"/>
          <w:color w:val="000000"/>
          <w:sz w:val="16"/>
          <w:szCs w:val="16"/>
        </w:rPr>
      </w:pPr>
    </w:p>
  </w:footnote>
  <w:footnote w:id="10">
    <w:p w14:paraId="3123EE70" w14:textId="77777777" w:rsidR="00CC0DC2" w:rsidRPr="008258D9" w:rsidRDefault="00CC0DC2" w:rsidP="00CC0DC2">
      <w:pPr>
        <w:pStyle w:val="Textonotapie"/>
        <w:ind w:firstLine="709"/>
        <w:jc w:val="both"/>
        <w:rPr>
          <w:rFonts w:ascii="Verdana" w:hAnsi="Verdana" w:cs="Arial"/>
          <w:color w:val="000000"/>
          <w:sz w:val="16"/>
          <w:szCs w:val="16"/>
          <w:lang w:val="es-CO"/>
        </w:rPr>
      </w:pPr>
      <w:r w:rsidRPr="008258D9">
        <w:rPr>
          <w:rStyle w:val="Refdenotaalpie"/>
          <w:rFonts w:ascii="Verdana" w:hAnsi="Verdana" w:cs="Arial"/>
          <w:color w:val="000000"/>
          <w:sz w:val="16"/>
          <w:szCs w:val="16"/>
          <w:lang w:val="es-CO"/>
        </w:rPr>
        <w:footnoteRef/>
      </w:r>
      <w:r w:rsidRPr="008258D9">
        <w:rPr>
          <w:rFonts w:ascii="Verdana" w:hAnsi="Verdana" w:cs="Arial"/>
          <w:color w:val="000000"/>
          <w:sz w:val="16"/>
          <w:szCs w:val="16"/>
          <w:lang w:val="es-CO"/>
        </w:rPr>
        <w:t xml:space="preserve"> Consejo de Estado. Sección Tercera. Subsección C. Sentencia del 22 de mayo de 2013. Exp. 24.057. C.P. Olga Melida Valle De La Hoz.</w:t>
      </w:r>
    </w:p>
    <w:p w14:paraId="4A7EFA55" w14:textId="77777777" w:rsidR="00CC0DC2" w:rsidRPr="008258D9" w:rsidRDefault="00CC0DC2" w:rsidP="00CC0DC2">
      <w:pPr>
        <w:pStyle w:val="Textonotapie"/>
        <w:ind w:firstLine="709"/>
        <w:jc w:val="both"/>
        <w:rPr>
          <w:rFonts w:ascii="Verdana" w:hAnsi="Verdana" w:cs="Arial"/>
          <w:color w:val="000000"/>
          <w:sz w:val="16"/>
          <w:szCs w:val="16"/>
          <w:lang w:val="es-CO"/>
        </w:rPr>
      </w:pPr>
    </w:p>
  </w:footnote>
  <w:footnote w:id="11">
    <w:p w14:paraId="045658D6" w14:textId="77777777" w:rsidR="00CC0DC2" w:rsidRPr="0078715D" w:rsidRDefault="00CC0DC2" w:rsidP="00CC0DC2">
      <w:pPr>
        <w:pStyle w:val="Textonotapie"/>
        <w:ind w:firstLine="709"/>
        <w:jc w:val="both"/>
        <w:rPr>
          <w:rFonts w:ascii="Verdana" w:hAnsi="Verdana"/>
          <w:sz w:val="16"/>
          <w:szCs w:val="16"/>
          <w:lang w:val="es-ES"/>
        </w:rPr>
      </w:pPr>
      <w:r w:rsidRPr="0078715D">
        <w:rPr>
          <w:rStyle w:val="Refdenotaalpie"/>
          <w:rFonts w:ascii="Verdana" w:hAnsi="Verdana"/>
          <w:sz w:val="16"/>
          <w:szCs w:val="16"/>
        </w:rPr>
        <w:footnoteRef/>
      </w:r>
      <w:r w:rsidRPr="0078715D">
        <w:rPr>
          <w:rFonts w:ascii="Verdana" w:hAnsi="Verdana"/>
          <w:sz w:val="16"/>
          <w:szCs w:val="16"/>
        </w:rPr>
        <w:t xml:space="preserve"> </w:t>
      </w:r>
      <w:r w:rsidRPr="0078715D">
        <w:rPr>
          <w:rFonts w:ascii="Verdana" w:hAnsi="Verdana"/>
          <w:sz w:val="16"/>
          <w:szCs w:val="16"/>
          <w:lang w:val="es-ES"/>
        </w:rPr>
        <w:t>Magistrado Ponente: Jaime Córdoba Triviño.</w:t>
      </w:r>
    </w:p>
  </w:footnote>
  <w:footnote w:id="12">
    <w:p w14:paraId="7F9AC7EE" w14:textId="77777777" w:rsidR="00CC0DC2" w:rsidRPr="0078715D" w:rsidRDefault="00CC0DC2" w:rsidP="00CC0DC2">
      <w:pPr>
        <w:pStyle w:val="Textonotapie"/>
        <w:jc w:val="both"/>
        <w:rPr>
          <w:rFonts w:ascii="Verdana" w:hAnsi="Verdana"/>
          <w:sz w:val="16"/>
          <w:szCs w:val="16"/>
        </w:rPr>
      </w:pPr>
    </w:p>
    <w:p w14:paraId="6FF4EC85" w14:textId="77777777" w:rsidR="00CC0DC2" w:rsidRPr="0078715D" w:rsidRDefault="00CC0DC2" w:rsidP="00CC0DC2">
      <w:pPr>
        <w:pStyle w:val="Textonotapie"/>
        <w:ind w:firstLine="709"/>
        <w:jc w:val="both"/>
        <w:rPr>
          <w:rFonts w:ascii="Verdana" w:hAnsi="Verdana"/>
          <w:sz w:val="16"/>
          <w:szCs w:val="16"/>
          <w:lang w:val="es-ES"/>
        </w:rPr>
      </w:pPr>
      <w:r w:rsidRPr="0078715D">
        <w:rPr>
          <w:rStyle w:val="Refdenotaalpie"/>
          <w:rFonts w:ascii="Verdana" w:hAnsi="Verdana"/>
          <w:sz w:val="16"/>
          <w:szCs w:val="16"/>
        </w:rPr>
        <w:footnoteRef/>
      </w:r>
      <w:r w:rsidRPr="0078715D">
        <w:rPr>
          <w:rFonts w:ascii="Verdana" w:hAnsi="Verdana"/>
          <w:sz w:val="16"/>
          <w:szCs w:val="16"/>
        </w:rPr>
        <w:t xml:space="preserve"> </w:t>
      </w:r>
      <w:r w:rsidRPr="0078715D">
        <w:rPr>
          <w:rFonts w:ascii="Verdana" w:hAnsi="Verdana"/>
          <w:sz w:val="16"/>
          <w:szCs w:val="16"/>
          <w:lang w:val="es-ES"/>
        </w:rPr>
        <w:t>Ibíd.</w:t>
      </w:r>
    </w:p>
    <w:p w14:paraId="22229C49" w14:textId="77777777" w:rsidR="00CC0DC2" w:rsidRPr="0078715D" w:rsidRDefault="00CC0DC2" w:rsidP="00CC0DC2">
      <w:pPr>
        <w:pStyle w:val="Textonotapie"/>
        <w:ind w:firstLine="709"/>
        <w:jc w:val="both"/>
        <w:rPr>
          <w:rFonts w:ascii="Verdana" w:hAnsi="Verdana"/>
          <w:sz w:val="16"/>
          <w:szCs w:val="16"/>
          <w:lang w:val="es-ES"/>
        </w:rPr>
      </w:pPr>
    </w:p>
  </w:footnote>
  <w:footnote w:id="13">
    <w:p w14:paraId="24D25AA3" w14:textId="77777777" w:rsidR="00CC0DC2" w:rsidRPr="0078715D" w:rsidRDefault="00CC0DC2" w:rsidP="00CC0DC2">
      <w:pPr>
        <w:pStyle w:val="Textonotapie"/>
        <w:ind w:firstLine="709"/>
        <w:jc w:val="both"/>
        <w:rPr>
          <w:rFonts w:ascii="Verdana" w:hAnsi="Verdana"/>
          <w:sz w:val="16"/>
          <w:szCs w:val="16"/>
        </w:rPr>
      </w:pPr>
      <w:r w:rsidRPr="0078715D">
        <w:rPr>
          <w:rStyle w:val="Refdenotaalpie"/>
          <w:rFonts w:ascii="Verdana" w:hAnsi="Verdana"/>
          <w:sz w:val="16"/>
          <w:szCs w:val="16"/>
        </w:rPr>
        <w:footnoteRef/>
      </w:r>
      <w:r w:rsidRPr="0078715D">
        <w:rPr>
          <w:rFonts w:ascii="Verdana" w:hAnsi="Verdana"/>
          <w:sz w:val="16"/>
          <w:szCs w:val="16"/>
        </w:rPr>
        <w:t xml:space="preserve"> GUASTINI, Riccardo. Interpretar y argumentar. Madrid: Centro de Estudios Políticos y Constitucionales, 2017, p. 110.</w:t>
      </w:r>
    </w:p>
  </w:footnote>
  <w:footnote w:id="14">
    <w:p w14:paraId="34EBE8F2" w14:textId="77777777" w:rsidR="00CC0DC2" w:rsidRPr="0078715D" w:rsidRDefault="00CC0DC2" w:rsidP="00CC0DC2">
      <w:pPr>
        <w:pStyle w:val="Textonotapie"/>
        <w:jc w:val="both"/>
        <w:rPr>
          <w:rFonts w:ascii="Verdana" w:hAnsi="Verdana"/>
          <w:sz w:val="16"/>
          <w:szCs w:val="16"/>
        </w:rPr>
      </w:pPr>
    </w:p>
    <w:p w14:paraId="59545B90" w14:textId="77777777" w:rsidR="00CC0DC2" w:rsidRPr="0078715D" w:rsidRDefault="00CC0DC2" w:rsidP="00CC0DC2">
      <w:pPr>
        <w:pStyle w:val="Textonotapie"/>
        <w:ind w:firstLine="709"/>
        <w:jc w:val="both"/>
        <w:rPr>
          <w:rFonts w:ascii="Verdana" w:hAnsi="Verdana"/>
          <w:sz w:val="16"/>
          <w:szCs w:val="16"/>
        </w:rPr>
      </w:pPr>
      <w:r w:rsidRPr="0078715D">
        <w:rPr>
          <w:rStyle w:val="Refdenotaalpie"/>
          <w:rFonts w:ascii="Verdana" w:hAnsi="Verdana"/>
          <w:sz w:val="16"/>
          <w:szCs w:val="16"/>
        </w:rPr>
        <w:footnoteRef/>
      </w:r>
      <w:r w:rsidRPr="0078715D">
        <w:rPr>
          <w:rFonts w:ascii="Verdana" w:hAnsi="Verdana"/>
          <w:sz w:val="16"/>
          <w:szCs w:val="16"/>
        </w:rPr>
        <w:t xml:space="preserve"> Ibíd., p. 110.</w:t>
      </w:r>
    </w:p>
    <w:p w14:paraId="14498060" w14:textId="77777777" w:rsidR="00CC0DC2" w:rsidRPr="0078715D" w:rsidRDefault="00CC0DC2" w:rsidP="00CC0DC2">
      <w:pPr>
        <w:pStyle w:val="Textonotapie"/>
        <w:ind w:firstLine="709"/>
        <w:jc w:val="both"/>
        <w:rPr>
          <w:rFonts w:ascii="Verdana" w:hAnsi="Verdana"/>
          <w:sz w:val="16"/>
          <w:szCs w:val="16"/>
        </w:rPr>
      </w:pPr>
    </w:p>
  </w:footnote>
  <w:footnote w:id="15">
    <w:p w14:paraId="62CEAD47" w14:textId="77777777" w:rsidR="00CC0DC2" w:rsidRPr="0078715D" w:rsidRDefault="00CC0DC2" w:rsidP="00CC0DC2">
      <w:pPr>
        <w:pStyle w:val="Textonotapie"/>
        <w:ind w:firstLine="709"/>
        <w:jc w:val="both"/>
        <w:rPr>
          <w:rFonts w:ascii="Verdana" w:hAnsi="Verdana"/>
          <w:sz w:val="16"/>
          <w:szCs w:val="16"/>
        </w:rPr>
      </w:pPr>
      <w:r w:rsidRPr="0078715D">
        <w:rPr>
          <w:rStyle w:val="Refdenotaalpie"/>
          <w:rFonts w:ascii="Verdana" w:hAnsi="Verdana"/>
          <w:sz w:val="16"/>
          <w:szCs w:val="16"/>
        </w:rPr>
        <w:footnoteRef/>
      </w:r>
      <w:r w:rsidRPr="0078715D">
        <w:rPr>
          <w:rFonts w:ascii="Verdana" w:hAnsi="Verdana"/>
          <w:sz w:val="16"/>
          <w:szCs w:val="16"/>
        </w:rPr>
        <w:t xml:space="preserve"> Ibíd., p. 110.</w:t>
      </w:r>
    </w:p>
  </w:footnote>
  <w:footnote w:id="16">
    <w:p w14:paraId="2DDA64CB" w14:textId="77777777" w:rsidR="00CC0DC2" w:rsidRPr="0078715D" w:rsidRDefault="00CC0DC2" w:rsidP="00CC0DC2">
      <w:pPr>
        <w:pStyle w:val="Textonotapie"/>
        <w:ind w:firstLine="709"/>
        <w:jc w:val="both"/>
        <w:rPr>
          <w:rFonts w:ascii="Verdana" w:hAnsi="Verdana"/>
          <w:sz w:val="16"/>
          <w:szCs w:val="16"/>
        </w:rPr>
      </w:pPr>
    </w:p>
    <w:p w14:paraId="2E599E15" w14:textId="77777777" w:rsidR="00CC0DC2" w:rsidRPr="0078715D" w:rsidRDefault="00CC0DC2" w:rsidP="00CC0DC2">
      <w:pPr>
        <w:pStyle w:val="Textonotapie"/>
        <w:ind w:firstLine="709"/>
        <w:jc w:val="both"/>
        <w:rPr>
          <w:rFonts w:ascii="Verdana" w:hAnsi="Verdana"/>
          <w:sz w:val="16"/>
          <w:szCs w:val="16"/>
        </w:rPr>
      </w:pPr>
      <w:r w:rsidRPr="0078715D">
        <w:rPr>
          <w:rStyle w:val="Refdenotaalpie"/>
          <w:rFonts w:ascii="Verdana" w:hAnsi="Verdana"/>
          <w:sz w:val="16"/>
          <w:szCs w:val="16"/>
        </w:rPr>
        <w:footnoteRef/>
      </w:r>
      <w:r w:rsidRPr="0078715D">
        <w:rPr>
          <w:rFonts w:ascii="Verdana" w:hAnsi="Verdana"/>
          <w:sz w:val="16"/>
          <w:szCs w:val="16"/>
        </w:rPr>
        <w:t xml:space="preserve"> Ibíd., p. 290.</w:t>
      </w:r>
    </w:p>
    <w:p w14:paraId="3F125968" w14:textId="77777777" w:rsidR="00CC0DC2" w:rsidRPr="0078715D" w:rsidRDefault="00CC0DC2" w:rsidP="00CC0DC2">
      <w:pPr>
        <w:pStyle w:val="Textonotapie"/>
        <w:ind w:firstLine="709"/>
        <w:jc w:val="both"/>
        <w:rPr>
          <w:rFonts w:ascii="Verdana" w:hAnsi="Verdana"/>
          <w:sz w:val="16"/>
          <w:szCs w:val="16"/>
        </w:rPr>
      </w:pPr>
    </w:p>
  </w:footnote>
  <w:footnote w:id="17">
    <w:p w14:paraId="3DFCB316" w14:textId="77777777" w:rsidR="00CC0DC2" w:rsidRPr="0078715D" w:rsidRDefault="00CC0DC2" w:rsidP="00CC0DC2">
      <w:pPr>
        <w:pStyle w:val="Textonotapie"/>
        <w:ind w:firstLine="709"/>
        <w:jc w:val="both"/>
        <w:rPr>
          <w:rFonts w:ascii="Verdana" w:hAnsi="Verdana"/>
          <w:sz w:val="16"/>
          <w:szCs w:val="16"/>
        </w:rPr>
      </w:pPr>
      <w:r w:rsidRPr="0078715D">
        <w:rPr>
          <w:rStyle w:val="Refdenotaalpie"/>
          <w:rFonts w:ascii="Verdana" w:hAnsi="Verdana"/>
          <w:sz w:val="16"/>
          <w:szCs w:val="16"/>
        </w:rPr>
        <w:footnoteRef/>
      </w:r>
      <w:r w:rsidRPr="0078715D">
        <w:rPr>
          <w:rFonts w:ascii="Verdana" w:hAnsi="Verdana"/>
          <w:sz w:val="16"/>
          <w:szCs w:val="16"/>
        </w:rPr>
        <w:t xml:space="preserve"> Este criterio también ha sido admitido por la Corte Constitucional. Al respecto, puede verse la sentencia C-054 de 2016, M.P. Luis Ernesto Vargas Silva.</w:t>
      </w:r>
    </w:p>
  </w:footnote>
  <w:footnote w:id="18">
    <w:p w14:paraId="226F37B3" w14:textId="77777777" w:rsidR="00CC0DC2" w:rsidRPr="0078715D" w:rsidRDefault="00CC0DC2" w:rsidP="00CC0DC2">
      <w:pPr>
        <w:pStyle w:val="Textonotapie"/>
        <w:jc w:val="both"/>
        <w:rPr>
          <w:rFonts w:ascii="Verdana" w:hAnsi="Verdana"/>
          <w:sz w:val="16"/>
          <w:szCs w:val="16"/>
        </w:rPr>
      </w:pPr>
    </w:p>
    <w:p w14:paraId="1FB8864D" w14:textId="77777777" w:rsidR="00CC0DC2" w:rsidRPr="0078715D" w:rsidRDefault="00CC0DC2" w:rsidP="00CC0DC2">
      <w:pPr>
        <w:pStyle w:val="Textonotapie"/>
        <w:ind w:firstLine="709"/>
        <w:jc w:val="both"/>
        <w:rPr>
          <w:rFonts w:ascii="Verdana" w:hAnsi="Verdana"/>
          <w:sz w:val="16"/>
          <w:szCs w:val="16"/>
          <w:lang w:val="es-CO"/>
        </w:rPr>
      </w:pPr>
      <w:r w:rsidRPr="0078715D">
        <w:rPr>
          <w:rStyle w:val="Refdenotaalpie"/>
          <w:rFonts w:ascii="Verdana" w:hAnsi="Verdana"/>
          <w:sz w:val="16"/>
          <w:szCs w:val="16"/>
        </w:rPr>
        <w:footnoteRef/>
      </w:r>
      <w:r w:rsidRPr="0078715D">
        <w:rPr>
          <w:rFonts w:ascii="Verdana" w:hAnsi="Verdana"/>
          <w:sz w:val="16"/>
          <w:szCs w:val="16"/>
        </w:rPr>
        <w:t xml:space="preserve"> </w:t>
      </w:r>
      <w:r w:rsidRPr="0078715D">
        <w:rPr>
          <w:rFonts w:ascii="Verdana" w:hAnsi="Verdana"/>
          <w:sz w:val="16"/>
          <w:szCs w:val="16"/>
          <w:lang w:val="es-ES"/>
        </w:rPr>
        <w:t>La causal prevista en el literal e) del numeral 2 del artículo 8 de la Ley 80 de 1993 dispone que tampoco podrán participar en procedimientos de selección ni celebrar contratos estatales: “</w:t>
      </w:r>
      <w:r w:rsidRPr="0078715D">
        <w:rPr>
          <w:rFonts w:ascii="Verdana" w:hAnsi="Verdana"/>
          <w:sz w:val="16"/>
          <w:szCs w:val="16"/>
          <w:lang w:val="es-CO"/>
        </w:rPr>
        <w:t>Los miembros de las juntas o consejos directivos. Esta incompatibilidad sólo se predica respecto de la entidad a la cual prestan sus servicios y de las del sector administrativo al que la misma esté adscrita o vinculada”.</w:t>
      </w:r>
    </w:p>
    <w:p w14:paraId="0504FB43" w14:textId="77777777" w:rsidR="00CC0DC2" w:rsidRPr="0078715D" w:rsidRDefault="00CC0DC2" w:rsidP="00CC0DC2">
      <w:pPr>
        <w:pStyle w:val="Textonotapie"/>
        <w:ind w:firstLine="709"/>
        <w:jc w:val="both"/>
        <w:rPr>
          <w:rFonts w:ascii="Verdana" w:hAnsi="Verdana"/>
          <w:sz w:val="16"/>
          <w:szCs w:val="16"/>
          <w:lang w:val="es-CO"/>
        </w:rPr>
      </w:pPr>
    </w:p>
  </w:footnote>
  <w:footnote w:id="19">
    <w:p w14:paraId="2B27F12A" w14:textId="77777777" w:rsidR="00CC0DC2" w:rsidRPr="0078715D" w:rsidRDefault="00CC0DC2" w:rsidP="00CC0DC2">
      <w:pPr>
        <w:pStyle w:val="Textonotapie"/>
        <w:ind w:firstLine="709"/>
        <w:jc w:val="both"/>
        <w:rPr>
          <w:rFonts w:ascii="Verdana" w:hAnsi="Verdana"/>
          <w:sz w:val="16"/>
          <w:szCs w:val="16"/>
          <w:lang w:val="es-ES"/>
        </w:rPr>
      </w:pPr>
      <w:r w:rsidRPr="0078715D">
        <w:rPr>
          <w:rStyle w:val="Refdenotaalpie"/>
          <w:rFonts w:ascii="Verdana" w:hAnsi="Verdana"/>
          <w:sz w:val="16"/>
          <w:szCs w:val="16"/>
        </w:rPr>
        <w:footnoteRef/>
      </w:r>
      <w:r w:rsidRPr="0078715D">
        <w:rPr>
          <w:rFonts w:ascii="Verdana" w:hAnsi="Verdana"/>
          <w:sz w:val="16"/>
          <w:szCs w:val="16"/>
        </w:rPr>
        <w:t xml:space="preserve"> </w:t>
      </w:r>
      <w:r w:rsidRPr="0078715D">
        <w:rPr>
          <w:rFonts w:ascii="Verdana" w:hAnsi="Verdana"/>
          <w:sz w:val="16"/>
          <w:szCs w:val="16"/>
          <w:lang w:val="es-ES"/>
        </w:rPr>
        <w:t xml:space="preserve">Esta interpretación ha sido sostenida por la doctrina, al afirmar que el artículo 4 de la Ley 1474 de 2011 extendió la causal prevista en el artículo 8, numeral 2, literal a) de la Ley 80 de 1993 “[…] hasta dos años para contratos que tengan por objeto asuntos relacionados con el sector al cual prestaron sus servicios las personas que ocuparon cargos del nivel directivo exclusivamente, </w:t>
      </w:r>
      <w:r w:rsidRPr="0078715D">
        <w:rPr>
          <w:rFonts w:ascii="Verdana" w:hAnsi="Verdana"/>
          <w:i/>
          <w:sz w:val="16"/>
          <w:szCs w:val="16"/>
          <w:lang w:val="es-ES"/>
        </w:rPr>
        <w:t>entendiéndose por tal la concepción que se hizo en el anterior numeral cuando nos referíamos a lo que abarca el sector administrativo para efectos de la aplicación del literal e)</w:t>
      </w:r>
      <w:r w:rsidRPr="0078715D">
        <w:rPr>
          <w:rFonts w:ascii="Verdana" w:hAnsi="Verdana"/>
          <w:sz w:val="16"/>
          <w:szCs w:val="16"/>
          <w:lang w:val="es-ES"/>
        </w:rPr>
        <w:t>, numeral 2 del artículo 8º de la Ley 80 de 1993. Es decir, que el ex gerente del SENA, no podría suscribir ningún contrato con esa entidad ni con ninguna de las adscritas o vinculadas al Ministerio de Trabajo ni con este. […]” [énfasis fuera del texto original] (DÁVILA VINUEZA. Luis Guillermo. Régimen jurídico de la contratación estatal. 3ª ed. Bogotá: Legis, 2016. p. 192). Obsérvese que este autor interpreta el concepto de “sector”, contenido en el literal f), de la misma manera que en el literal e) es decir, como “sector administrativo”. Por otra parte, el ejemplo que brinda sobre la aplicación de la causal en el sector administrativo se refiere a entidades nacionales.</w:t>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35F4D03" w14:textId="0903BF04" w:rsidR="00756841" w:rsidRDefault="009D3058" w:rsidP="00844AE9">
    <w:pPr>
      <w:pStyle w:val="Encabezado"/>
      <w:spacing w:line="120" w:lineRule="auto"/>
    </w:pPr>
    <w:r>
      <w:rPr>
        <w:rFonts w:ascii="Geomanist Bold" w:hAnsi="Geomanist Bold"/>
        <w:b/>
        <w:bCs/>
        <w:noProof/>
        <w:color w:val="002060"/>
        <w:sz w:val="24"/>
        <w:szCs w:val="24"/>
      </w:rPr>
      <w:drawing>
        <wp:anchor distT="0" distB="0" distL="114300" distR="114300" simplePos="0" relativeHeight="251658241" behindDoc="1" locked="0" layoutInCell="1" allowOverlap="1" wp14:anchorId="6FC3B35F" wp14:editId="51872E67">
          <wp:simplePos x="0" y="0"/>
          <wp:positionH relativeFrom="margin">
            <wp:align>center</wp:align>
          </wp:positionH>
          <wp:positionV relativeFrom="paragraph">
            <wp:posOffset>-256388</wp:posOffset>
          </wp:positionV>
          <wp:extent cx="1924050" cy="856004"/>
          <wp:effectExtent l="0" t="0" r="0" b="1270"/>
          <wp:wrapNone/>
          <wp:docPr id="1309089902" name="Imagen 1" descr="Imagen que contiene Interfaz de usuario gráfica&#10;&#10;Descripción generada automá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09089902" name="Imagen 1" descr="Imagen que contiene Interfaz de usuario gráfica&#10;&#10;Descripción generada automáticamente"/>
                  <pic:cNvPicPr/>
                </pic:nvPicPr>
                <pic:blipFill>
                  <a:blip r:embed="rId1">
                    <a:extLst>
                      <a:ext uri="{28A0092B-C50C-407E-A947-70E740481C1C}">
                        <a14:useLocalDpi xmlns:a14="http://schemas.microsoft.com/office/drawing/2010/main" val="0"/>
                      </a:ext>
                    </a:extLst>
                  </a:blip>
                  <a:stretch>
                    <a:fillRect/>
                  </a:stretch>
                </pic:blipFill>
                <pic:spPr>
                  <a:xfrm>
                    <a:off x="0" y="0"/>
                    <a:ext cx="1924050" cy="856004"/>
                  </a:xfrm>
                  <a:prstGeom prst="rect">
                    <a:avLst/>
                  </a:prstGeom>
                </pic:spPr>
              </pic:pic>
            </a:graphicData>
          </a:graphic>
          <wp14:sizeRelH relativeFrom="margin">
            <wp14:pctWidth>0</wp14:pctWidth>
          </wp14:sizeRelH>
          <wp14:sizeRelV relativeFrom="margin">
            <wp14:pctHeight>0</wp14:pctHeight>
          </wp14:sizeRelV>
        </wp:anchor>
      </w:drawing>
    </w:r>
    <w:r w:rsidR="00E90F6B">
      <w:rPr>
        <w:rFonts w:ascii="Geomanist Bold" w:hAnsi="Geomanist Bold"/>
        <w:b/>
        <w:bCs/>
        <w:noProof/>
        <w:color w:val="002060"/>
        <w:sz w:val="24"/>
        <w:szCs w:val="24"/>
      </w:rPr>
      <w:drawing>
        <wp:anchor distT="0" distB="0" distL="114300" distR="114300" simplePos="0" relativeHeight="251658240" behindDoc="0" locked="0" layoutInCell="1" allowOverlap="1" wp14:anchorId="4F745D08" wp14:editId="02405FCC">
          <wp:simplePos x="0" y="0"/>
          <wp:positionH relativeFrom="margin">
            <wp:posOffset>8420100</wp:posOffset>
          </wp:positionH>
          <wp:positionV relativeFrom="margin">
            <wp:posOffset>-1377950</wp:posOffset>
          </wp:positionV>
          <wp:extent cx="665480" cy="3098800"/>
          <wp:effectExtent l="0" t="0" r="0" b="0"/>
          <wp:wrapThrough wrapText="bothSides">
            <wp:wrapPolygon edited="0">
              <wp:start x="6183" y="0"/>
              <wp:lineTo x="0" y="1416"/>
              <wp:lineTo x="5359" y="2833"/>
              <wp:lineTo x="2061" y="4249"/>
              <wp:lineTo x="412" y="4780"/>
              <wp:lineTo x="824" y="5134"/>
              <wp:lineTo x="3298" y="5666"/>
              <wp:lineTo x="4534" y="7082"/>
              <wp:lineTo x="412" y="7967"/>
              <wp:lineTo x="0" y="8233"/>
              <wp:lineTo x="5771" y="9915"/>
              <wp:lineTo x="0" y="11508"/>
              <wp:lineTo x="0" y="11685"/>
              <wp:lineTo x="4122" y="12748"/>
              <wp:lineTo x="2061" y="14164"/>
              <wp:lineTo x="0" y="14872"/>
              <wp:lineTo x="0" y="15049"/>
              <wp:lineTo x="2061" y="15580"/>
              <wp:lineTo x="4534" y="16997"/>
              <wp:lineTo x="0" y="18059"/>
              <wp:lineTo x="0" y="18413"/>
              <wp:lineTo x="10718" y="21246"/>
              <wp:lineTo x="12366" y="21511"/>
              <wp:lineTo x="14427" y="21511"/>
              <wp:lineTo x="14840" y="21511"/>
              <wp:lineTo x="17313" y="20980"/>
              <wp:lineTo x="20611" y="20007"/>
              <wp:lineTo x="20198" y="19830"/>
              <wp:lineTo x="13603" y="18413"/>
              <wp:lineTo x="21023" y="16643"/>
              <wp:lineTo x="16489" y="15580"/>
              <wp:lineTo x="17313" y="14164"/>
              <wp:lineTo x="21023" y="13279"/>
              <wp:lineTo x="18962" y="12748"/>
              <wp:lineTo x="15664" y="11331"/>
              <wp:lineTo x="21023" y="10003"/>
              <wp:lineTo x="21023" y="9826"/>
              <wp:lineTo x="18137" y="9207"/>
              <wp:lineTo x="15664" y="8498"/>
              <wp:lineTo x="19374" y="7082"/>
              <wp:lineTo x="21023" y="6639"/>
              <wp:lineTo x="21023" y="6374"/>
              <wp:lineTo x="18137" y="5666"/>
              <wp:lineTo x="16901" y="4249"/>
              <wp:lineTo x="21023" y="3275"/>
              <wp:lineTo x="21023" y="3098"/>
              <wp:lineTo x="20611" y="2833"/>
              <wp:lineTo x="8244" y="0"/>
              <wp:lineTo x="6183" y="0"/>
            </wp:wrapPolygon>
          </wp:wrapThrough>
          <wp:docPr id="962149914" name="Imagen 9621499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87974706" name="Imagen 1987974706"/>
                  <pic:cNvPicPr/>
                </pic:nvPicPr>
                <pic:blipFill>
                  <a:blip r:embed="rId2" cstate="print">
                    <a:extLst>
                      <a:ext uri="{28A0092B-C50C-407E-A947-70E740481C1C}">
                        <a14:useLocalDpi xmlns:a14="http://schemas.microsoft.com/office/drawing/2010/main" val="0"/>
                      </a:ext>
                    </a:extLst>
                  </a:blip>
                  <a:stretch>
                    <a:fillRect/>
                  </a:stretch>
                </pic:blipFill>
                <pic:spPr>
                  <a:xfrm>
                    <a:off x="0" y="0"/>
                    <a:ext cx="665480" cy="3098800"/>
                  </a:xfrm>
                  <a:prstGeom prst="rect">
                    <a:avLst/>
                  </a:prstGeom>
                </pic:spPr>
              </pic:pic>
            </a:graphicData>
          </a:graphic>
          <wp14:sizeRelH relativeFrom="margin">
            <wp14:pctWidth>0</wp14:pctWidth>
          </wp14:sizeRelH>
          <wp14:sizeRelV relativeFrom="margin">
            <wp14:pctHeight>0</wp14:pctHeight>
          </wp14:sizeRelV>
        </wp:anchor>
      </w:drawing>
    </w:r>
  </w:p>
  <w:p w14:paraId="1BE2B9AE" w14:textId="4B94DB3B" w:rsidR="00756841" w:rsidRDefault="00756841">
    <w:pPr>
      <w:pStyle w:val="Encabezado"/>
    </w:pPr>
  </w:p>
  <w:p w14:paraId="5E18350A" w14:textId="705F7B76" w:rsidR="004A305D" w:rsidRPr="004A305D" w:rsidRDefault="004A305D" w:rsidP="00B01B1A">
    <w:pPr>
      <w:spacing w:after="0" w:line="120" w:lineRule="auto"/>
      <w:rPr>
        <w:rFonts w:ascii="Century Gothic" w:eastAsia="Geo" w:hAnsi="Century Gothic" w:cs="Geo"/>
        <w:sz w:val="16"/>
        <w:szCs w:val="16"/>
        <w:lang w:eastAsia="es-CO"/>
      </w:rPr>
    </w:pPr>
  </w:p>
  <w:p w14:paraId="211B7F5D" w14:textId="77777777" w:rsidR="00C925AC" w:rsidRDefault="00C925AC" w:rsidP="00844AE9">
    <w:pPr>
      <w:spacing w:after="0" w:line="240" w:lineRule="auto"/>
      <w:rPr>
        <w:rFonts w:ascii="Verdana" w:hAnsi="Verdana"/>
        <w:sz w:val="24"/>
        <w:szCs w:val="24"/>
      </w:rPr>
    </w:pPr>
  </w:p>
  <w:p w14:paraId="5A0054B1" w14:textId="77777777" w:rsidR="00A14468" w:rsidRPr="00C925AC" w:rsidRDefault="00A14468" w:rsidP="00844AE9">
    <w:pPr>
      <w:spacing w:after="0" w:line="240" w:lineRule="auto"/>
      <w:rPr>
        <w:rFonts w:ascii="Verdana" w:hAnsi="Verdana"/>
        <w:sz w:val="24"/>
        <w:szCs w:val="24"/>
      </w:rPr>
    </w:pPr>
  </w:p>
  <w:p w14:paraId="1FD1C243" w14:textId="37C5500A" w:rsidR="008A446D" w:rsidRPr="00C925AC" w:rsidRDefault="00C925AC" w:rsidP="000D5DA7">
    <w:pPr>
      <w:spacing w:after="0" w:line="480" w:lineRule="auto"/>
      <w:rPr>
        <w:rFonts w:ascii="Verdana" w:hAnsi="Verdana"/>
        <w:b/>
        <w:bCs/>
        <w:sz w:val="24"/>
        <w:szCs w:val="24"/>
      </w:rPr>
    </w:pPr>
    <w:r w:rsidRPr="00C925AC">
      <w:rPr>
        <w:rFonts w:ascii="Verdana" w:hAnsi="Verdana"/>
        <w:b/>
        <w:bCs/>
        <w:sz w:val="24"/>
        <w:szCs w:val="24"/>
      </w:rPr>
      <w:t>FORMATO</w:t>
    </w:r>
    <w:r w:rsidR="00BF7425">
      <w:rPr>
        <w:rFonts w:ascii="Verdana" w:hAnsi="Verdana"/>
        <w:b/>
        <w:bCs/>
        <w:sz w:val="24"/>
        <w:szCs w:val="24"/>
      </w:rPr>
      <w:t xml:space="preserve"> DE RESPUESTA </w:t>
    </w:r>
    <w:r w:rsidRPr="00C925AC">
      <w:rPr>
        <w:rFonts w:ascii="Verdana" w:hAnsi="Verdana"/>
        <w:b/>
        <w:bCs/>
        <w:sz w:val="24"/>
        <w:szCs w:val="24"/>
      </w:rPr>
      <w:t>PQRSD</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numPicBullet w:numPicBulletId="0">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39" type="#_x0000_t75" style="width:11.65pt;height:11.65pt" o:bullet="t">
        <v:imagedata r:id="rId1" o:title="mso1B13"/>
      </v:shape>
    </w:pict>
  </w:numPicBullet>
  <w:abstractNum w:abstractNumId="0" w15:restartNumberingAfterBreak="0">
    <w:nsid w:val="01C06310"/>
    <w:multiLevelType w:val="multilevel"/>
    <w:tmpl w:val="25FEEF8E"/>
    <w:lvl w:ilvl="0">
      <w:start w:val="1"/>
      <w:numFmt w:val="decimal"/>
      <w:lvlText w:val="%1."/>
      <w:lvlJc w:val="left"/>
      <w:pPr>
        <w:ind w:left="6601" w:hanging="360"/>
      </w:pPr>
      <w:rPr>
        <w:b/>
        <w:color w:val="000000" w:themeColor="text1"/>
      </w:rPr>
    </w:lvl>
    <w:lvl w:ilvl="1">
      <w:start w:val="2"/>
      <w:numFmt w:val="decimal"/>
      <w:isLgl/>
      <w:lvlText w:val="%1.%2"/>
      <w:lvlJc w:val="left"/>
      <w:pPr>
        <w:ind w:left="6241" w:hanging="360"/>
      </w:pPr>
    </w:lvl>
    <w:lvl w:ilvl="2">
      <w:start w:val="1"/>
      <w:numFmt w:val="decimal"/>
      <w:isLgl/>
      <w:lvlText w:val="%1.%2.%3"/>
      <w:lvlJc w:val="left"/>
      <w:pPr>
        <w:ind w:left="6961" w:hanging="720"/>
      </w:pPr>
    </w:lvl>
    <w:lvl w:ilvl="3">
      <w:start w:val="1"/>
      <w:numFmt w:val="decimal"/>
      <w:isLgl/>
      <w:lvlText w:val="%1.%2.%3.%4"/>
      <w:lvlJc w:val="left"/>
      <w:pPr>
        <w:ind w:left="6961" w:hanging="720"/>
      </w:pPr>
    </w:lvl>
    <w:lvl w:ilvl="4">
      <w:start w:val="1"/>
      <w:numFmt w:val="decimal"/>
      <w:isLgl/>
      <w:lvlText w:val="%1.%2.%3.%4.%5"/>
      <w:lvlJc w:val="left"/>
      <w:pPr>
        <w:ind w:left="7321" w:hanging="1080"/>
      </w:pPr>
    </w:lvl>
    <w:lvl w:ilvl="5">
      <w:start w:val="1"/>
      <w:numFmt w:val="decimal"/>
      <w:isLgl/>
      <w:lvlText w:val="%1.%2.%3.%4.%5.%6"/>
      <w:lvlJc w:val="left"/>
      <w:pPr>
        <w:ind w:left="7321" w:hanging="1080"/>
      </w:pPr>
    </w:lvl>
    <w:lvl w:ilvl="6">
      <w:start w:val="1"/>
      <w:numFmt w:val="decimal"/>
      <w:isLgl/>
      <w:lvlText w:val="%1.%2.%3.%4.%5.%6.%7"/>
      <w:lvlJc w:val="left"/>
      <w:pPr>
        <w:ind w:left="7681" w:hanging="1440"/>
      </w:pPr>
    </w:lvl>
    <w:lvl w:ilvl="7">
      <w:start w:val="1"/>
      <w:numFmt w:val="decimal"/>
      <w:isLgl/>
      <w:lvlText w:val="%1.%2.%3.%4.%5.%6.%7.%8"/>
      <w:lvlJc w:val="left"/>
      <w:pPr>
        <w:ind w:left="7681" w:hanging="1440"/>
      </w:pPr>
    </w:lvl>
    <w:lvl w:ilvl="8">
      <w:start w:val="1"/>
      <w:numFmt w:val="decimal"/>
      <w:isLgl/>
      <w:lvlText w:val="%1.%2.%3.%4.%5.%6.%7.%8.%9"/>
      <w:lvlJc w:val="left"/>
      <w:pPr>
        <w:ind w:left="8041" w:hanging="1800"/>
      </w:pPr>
    </w:lvl>
  </w:abstractNum>
  <w:abstractNum w:abstractNumId="1" w15:restartNumberingAfterBreak="0">
    <w:nsid w:val="0337782A"/>
    <w:multiLevelType w:val="multilevel"/>
    <w:tmpl w:val="90D242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 w15:restartNumberingAfterBreak="0">
    <w:nsid w:val="06D30BDC"/>
    <w:multiLevelType w:val="hybridMultilevel"/>
    <w:tmpl w:val="734ED3EC"/>
    <w:lvl w:ilvl="0" w:tplc="834431CA">
      <w:numFmt w:val="bullet"/>
      <w:lvlText w:val="-"/>
      <w:lvlJc w:val="left"/>
      <w:pPr>
        <w:ind w:left="1080" w:hanging="360"/>
      </w:pPr>
      <w:rPr>
        <w:rFonts w:ascii="Arial" w:eastAsia="Times New Roman" w:hAnsi="Arial" w:cs="Arial" w:hint="default"/>
        <w:b/>
      </w:rPr>
    </w:lvl>
    <w:lvl w:ilvl="1" w:tplc="0C0A0003" w:tentative="1">
      <w:start w:val="1"/>
      <w:numFmt w:val="bullet"/>
      <w:lvlText w:val="o"/>
      <w:lvlJc w:val="left"/>
      <w:pPr>
        <w:ind w:left="1800" w:hanging="360"/>
      </w:pPr>
      <w:rPr>
        <w:rFonts w:ascii="Courier New" w:hAnsi="Courier New" w:cs="Courier New" w:hint="default"/>
      </w:rPr>
    </w:lvl>
    <w:lvl w:ilvl="2" w:tplc="0C0A0005" w:tentative="1">
      <w:start w:val="1"/>
      <w:numFmt w:val="bullet"/>
      <w:lvlText w:val=""/>
      <w:lvlJc w:val="left"/>
      <w:pPr>
        <w:ind w:left="2520" w:hanging="360"/>
      </w:pPr>
      <w:rPr>
        <w:rFonts w:ascii="Wingdings" w:hAnsi="Wingdings" w:hint="default"/>
      </w:rPr>
    </w:lvl>
    <w:lvl w:ilvl="3" w:tplc="0C0A0001" w:tentative="1">
      <w:start w:val="1"/>
      <w:numFmt w:val="bullet"/>
      <w:lvlText w:val=""/>
      <w:lvlJc w:val="left"/>
      <w:pPr>
        <w:ind w:left="3240" w:hanging="360"/>
      </w:pPr>
      <w:rPr>
        <w:rFonts w:ascii="Symbol" w:hAnsi="Symbol" w:hint="default"/>
      </w:rPr>
    </w:lvl>
    <w:lvl w:ilvl="4" w:tplc="0C0A0003" w:tentative="1">
      <w:start w:val="1"/>
      <w:numFmt w:val="bullet"/>
      <w:lvlText w:val="o"/>
      <w:lvlJc w:val="left"/>
      <w:pPr>
        <w:ind w:left="3960" w:hanging="360"/>
      </w:pPr>
      <w:rPr>
        <w:rFonts w:ascii="Courier New" w:hAnsi="Courier New" w:cs="Courier New" w:hint="default"/>
      </w:rPr>
    </w:lvl>
    <w:lvl w:ilvl="5" w:tplc="0C0A0005" w:tentative="1">
      <w:start w:val="1"/>
      <w:numFmt w:val="bullet"/>
      <w:lvlText w:val=""/>
      <w:lvlJc w:val="left"/>
      <w:pPr>
        <w:ind w:left="4680" w:hanging="360"/>
      </w:pPr>
      <w:rPr>
        <w:rFonts w:ascii="Wingdings" w:hAnsi="Wingdings" w:hint="default"/>
      </w:rPr>
    </w:lvl>
    <w:lvl w:ilvl="6" w:tplc="0C0A0001" w:tentative="1">
      <w:start w:val="1"/>
      <w:numFmt w:val="bullet"/>
      <w:lvlText w:val=""/>
      <w:lvlJc w:val="left"/>
      <w:pPr>
        <w:ind w:left="5400" w:hanging="360"/>
      </w:pPr>
      <w:rPr>
        <w:rFonts w:ascii="Symbol" w:hAnsi="Symbol" w:hint="default"/>
      </w:rPr>
    </w:lvl>
    <w:lvl w:ilvl="7" w:tplc="0C0A0003" w:tentative="1">
      <w:start w:val="1"/>
      <w:numFmt w:val="bullet"/>
      <w:lvlText w:val="o"/>
      <w:lvlJc w:val="left"/>
      <w:pPr>
        <w:ind w:left="6120" w:hanging="360"/>
      </w:pPr>
      <w:rPr>
        <w:rFonts w:ascii="Courier New" w:hAnsi="Courier New" w:cs="Courier New" w:hint="default"/>
      </w:rPr>
    </w:lvl>
    <w:lvl w:ilvl="8" w:tplc="0C0A0005" w:tentative="1">
      <w:start w:val="1"/>
      <w:numFmt w:val="bullet"/>
      <w:lvlText w:val=""/>
      <w:lvlJc w:val="left"/>
      <w:pPr>
        <w:ind w:left="6840" w:hanging="360"/>
      </w:pPr>
      <w:rPr>
        <w:rFonts w:ascii="Wingdings" w:hAnsi="Wingdings" w:hint="default"/>
      </w:rPr>
    </w:lvl>
  </w:abstractNum>
  <w:abstractNum w:abstractNumId="3" w15:restartNumberingAfterBreak="0">
    <w:nsid w:val="25352E86"/>
    <w:multiLevelType w:val="multilevel"/>
    <w:tmpl w:val="E81277DA"/>
    <w:lvl w:ilvl="0">
      <w:start w:val="7"/>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 w15:restartNumberingAfterBreak="0">
    <w:nsid w:val="31280020"/>
    <w:multiLevelType w:val="hybridMultilevel"/>
    <w:tmpl w:val="DA8CAD24"/>
    <w:lvl w:ilvl="0" w:tplc="240A000F">
      <w:start w:val="1"/>
      <w:numFmt w:val="decimal"/>
      <w:lvlText w:val="%1."/>
      <w:lvlJc w:val="left"/>
      <w:pPr>
        <w:ind w:left="720" w:hanging="360"/>
      </w:pPr>
      <w:rPr>
        <w:rFonts w:hint="default"/>
      </w:rPr>
    </w:lvl>
    <w:lvl w:ilvl="1" w:tplc="240A0019" w:tentative="1">
      <w:start w:val="1"/>
      <w:numFmt w:val="lowerLetter"/>
      <w:lvlText w:val="%2."/>
      <w:lvlJc w:val="left"/>
      <w:pPr>
        <w:ind w:left="1440" w:hanging="360"/>
      </w:pPr>
    </w:lvl>
    <w:lvl w:ilvl="2" w:tplc="240A001B" w:tentative="1">
      <w:start w:val="1"/>
      <w:numFmt w:val="lowerRoman"/>
      <w:lvlText w:val="%3."/>
      <w:lvlJc w:val="right"/>
      <w:pPr>
        <w:ind w:left="2160" w:hanging="180"/>
      </w:pPr>
    </w:lvl>
    <w:lvl w:ilvl="3" w:tplc="240A000F" w:tentative="1">
      <w:start w:val="1"/>
      <w:numFmt w:val="decimal"/>
      <w:lvlText w:val="%4."/>
      <w:lvlJc w:val="left"/>
      <w:pPr>
        <w:ind w:left="2880" w:hanging="360"/>
      </w:pPr>
    </w:lvl>
    <w:lvl w:ilvl="4" w:tplc="240A0019" w:tentative="1">
      <w:start w:val="1"/>
      <w:numFmt w:val="lowerLetter"/>
      <w:lvlText w:val="%5."/>
      <w:lvlJc w:val="left"/>
      <w:pPr>
        <w:ind w:left="3600" w:hanging="360"/>
      </w:pPr>
    </w:lvl>
    <w:lvl w:ilvl="5" w:tplc="240A001B" w:tentative="1">
      <w:start w:val="1"/>
      <w:numFmt w:val="lowerRoman"/>
      <w:lvlText w:val="%6."/>
      <w:lvlJc w:val="right"/>
      <w:pPr>
        <w:ind w:left="4320" w:hanging="180"/>
      </w:pPr>
    </w:lvl>
    <w:lvl w:ilvl="6" w:tplc="240A000F" w:tentative="1">
      <w:start w:val="1"/>
      <w:numFmt w:val="decimal"/>
      <w:lvlText w:val="%7."/>
      <w:lvlJc w:val="left"/>
      <w:pPr>
        <w:ind w:left="5040" w:hanging="360"/>
      </w:pPr>
    </w:lvl>
    <w:lvl w:ilvl="7" w:tplc="240A0019" w:tentative="1">
      <w:start w:val="1"/>
      <w:numFmt w:val="lowerLetter"/>
      <w:lvlText w:val="%8."/>
      <w:lvlJc w:val="left"/>
      <w:pPr>
        <w:ind w:left="5760" w:hanging="360"/>
      </w:pPr>
    </w:lvl>
    <w:lvl w:ilvl="8" w:tplc="240A001B" w:tentative="1">
      <w:start w:val="1"/>
      <w:numFmt w:val="lowerRoman"/>
      <w:lvlText w:val="%9."/>
      <w:lvlJc w:val="right"/>
      <w:pPr>
        <w:ind w:left="6480" w:hanging="180"/>
      </w:pPr>
    </w:lvl>
  </w:abstractNum>
  <w:abstractNum w:abstractNumId="5" w15:restartNumberingAfterBreak="0">
    <w:nsid w:val="320B0C74"/>
    <w:multiLevelType w:val="multilevel"/>
    <w:tmpl w:val="FCE0A7DE"/>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 w15:restartNumberingAfterBreak="0">
    <w:nsid w:val="33614460"/>
    <w:multiLevelType w:val="hybridMultilevel"/>
    <w:tmpl w:val="7FC88522"/>
    <w:lvl w:ilvl="0" w:tplc="A22AAB2E">
      <w:start w:val="1"/>
      <w:numFmt w:val="decimal"/>
      <w:lvlText w:val="%1)"/>
      <w:lvlJc w:val="left"/>
      <w:pPr>
        <w:ind w:left="720" w:hanging="360"/>
      </w:pPr>
      <w:rPr>
        <w:rFonts w:hint="default"/>
        <w:b/>
      </w:r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7" w15:restartNumberingAfterBreak="0">
    <w:nsid w:val="35E001C8"/>
    <w:multiLevelType w:val="hybridMultilevel"/>
    <w:tmpl w:val="57B88D6A"/>
    <w:lvl w:ilvl="0" w:tplc="240A0001">
      <w:start w:val="1"/>
      <w:numFmt w:val="bullet"/>
      <w:lvlText w:val=""/>
      <w:lvlJc w:val="left"/>
      <w:pPr>
        <w:ind w:left="360" w:hanging="360"/>
      </w:pPr>
      <w:rPr>
        <w:rFonts w:ascii="Symbol" w:hAnsi="Symbol" w:hint="default"/>
      </w:rPr>
    </w:lvl>
    <w:lvl w:ilvl="1" w:tplc="240A0003" w:tentative="1">
      <w:start w:val="1"/>
      <w:numFmt w:val="bullet"/>
      <w:lvlText w:val="o"/>
      <w:lvlJc w:val="left"/>
      <w:pPr>
        <w:ind w:left="1080" w:hanging="360"/>
      </w:pPr>
      <w:rPr>
        <w:rFonts w:ascii="Courier New" w:hAnsi="Courier New" w:cs="Courier New" w:hint="default"/>
      </w:rPr>
    </w:lvl>
    <w:lvl w:ilvl="2" w:tplc="240A0005" w:tentative="1">
      <w:start w:val="1"/>
      <w:numFmt w:val="bullet"/>
      <w:lvlText w:val=""/>
      <w:lvlJc w:val="left"/>
      <w:pPr>
        <w:ind w:left="1800" w:hanging="360"/>
      </w:pPr>
      <w:rPr>
        <w:rFonts w:ascii="Wingdings" w:hAnsi="Wingdings" w:hint="default"/>
      </w:rPr>
    </w:lvl>
    <w:lvl w:ilvl="3" w:tplc="240A0001" w:tentative="1">
      <w:start w:val="1"/>
      <w:numFmt w:val="bullet"/>
      <w:lvlText w:val=""/>
      <w:lvlJc w:val="left"/>
      <w:pPr>
        <w:ind w:left="2520" w:hanging="360"/>
      </w:pPr>
      <w:rPr>
        <w:rFonts w:ascii="Symbol" w:hAnsi="Symbol" w:hint="default"/>
      </w:rPr>
    </w:lvl>
    <w:lvl w:ilvl="4" w:tplc="240A0003" w:tentative="1">
      <w:start w:val="1"/>
      <w:numFmt w:val="bullet"/>
      <w:lvlText w:val="o"/>
      <w:lvlJc w:val="left"/>
      <w:pPr>
        <w:ind w:left="3240" w:hanging="360"/>
      </w:pPr>
      <w:rPr>
        <w:rFonts w:ascii="Courier New" w:hAnsi="Courier New" w:cs="Courier New" w:hint="default"/>
      </w:rPr>
    </w:lvl>
    <w:lvl w:ilvl="5" w:tplc="240A0005" w:tentative="1">
      <w:start w:val="1"/>
      <w:numFmt w:val="bullet"/>
      <w:lvlText w:val=""/>
      <w:lvlJc w:val="left"/>
      <w:pPr>
        <w:ind w:left="3960" w:hanging="360"/>
      </w:pPr>
      <w:rPr>
        <w:rFonts w:ascii="Wingdings" w:hAnsi="Wingdings" w:hint="default"/>
      </w:rPr>
    </w:lvl>
    <w:lvl w:ilvl="6" w:tplc="240A0001" w:tentative="1">
      <w:start w:val="1"/>
      <w:numFmt w:val="bullet"/>
      <w:lvlText w:val=""/>
      <w:lvlJc w:val="left"/>
      <w:pPr>
        <w:ind w:left="4680" w:hanging="360"/>
      </w:pPr>
      <w:rPr>
        <w:rFonts w:ascii="Symbol" w:hAnsi="Symbol" w:hint="default"/>
      </w:rPr>
    </w:lvl>
    <w:lvl w:ilvl="7" w:tplc="240A0003" w:tentative="1">
      <w:start w:val="1"/>
      <w:numFmt w:val="bullet"/>
      <w:lvlText w:val="o"/>
      <w:lvlJc w:val="left"/>
      <w:pPr>
        <w:ind w:left="5400" w:hanging="360"/>
      </w:pPr>
      <w:rPr>
        <w:rFonts w:ascii="Courier New" w:hAnsi="Courier New" w:cs="Courier New" w:hint="default"/>
      </w:rPr>
    </w:lvl>
    <w:lvl w:ilvl="8" w:tplc="240A0005" w:tentative="1">
      <w:start w:val="1"/>
      <w:numFmt w:val="bullet"/>
      <w:lvlText w:val=""/>
      <w:lvlJc w:val="left"/>
      <w:pPr>
        <w:ind w:left="6120" w:hanging="360"/>
      </w:pPr>
      <w:rPr>
        <w:rFonts w:ascii="Wingdings" w:hAnsi="Wingdings" w:hint="default"/>
      </w:rPr>
    </w:lvl>
  </w:abstractNum>
  <w:abstractNum w:abstractNumId="8" w15:restartNumberingAfterBreak="0">
    <w:nsid w:val="370F0516"/>
    <w:multiLevelType w:val="multilevel"/>
    <w:tmpl w:val="BAD28BB2"/>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9" w15:restartNumberingAfterBreak="0">
    <w:nsid w:val="37D933EA"/>
    <w:multiLevelType w:val="multilevel"/>
    <w:tmpl w:val="8BFCD550"/>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0" w15:restartNumberingAfterBreak="0">
    <w:nsid w:val="636C03B0"/>
    <w:multiLevelType w:val="hybridMultilevel"/>
    <w:tmpl w:val="53AC8484"/>
    <w:lvl w:ilvl="0" w:tplc="1F14B5D2">
      <w:start w:val="1"/>
      <w:numFmt w:val="bullet"/>
      <w:lvlText w:val="·"/>
      <w:lvlJc w:val="left"/>
      <w:pPr>
        <w:ind w:left="785" w:hanging="360"/>
      </w:pPr>
      <w:rPr>
        <w:rFonts w:ascii="Symbol" w:hAnsi="Symbol" w:hint="default"/>
        <w:color w:val="auto"/>
      </w:rPr>
    </w:lvl>
    <w:lvl w:ilvl="1" w:tplc="240A0003" w:tentative="1">
      <w:start w:val="1"/>
      <w:numFmt w:val="bullet"/>
      <w:lvlText w:val="o"/>
      <w:lvlJc w:val="left"/>
      <w:pPr>
        <w:ind w:left="1505" w:hanging="360"/>
      </w:pPr>
      <w:rPr>
        <w:rFonts w:ascii="Courier New" w:hAnsi="Courier New" w:cs="Courier New" w:hint="default"/>
      </w:rPr>
    </w:lvl>
    <w:lvl w:ilvl="2" w:tplc="240A0005" w:tentative="1">
      <w:start w:val="1"/>
      <w:numFmt w:val="bullet"/>
      <w:lvlText w:val=""/>
      <w:lvlJc w:val="left"/>
      <w:pPr>
        <w:ind w:left="2225" w:hanging="360"/>
      </w:pPr>
      <w:rPr>
        <w:rFonts w:ascii="Wingdings" w:hAnsi="Wingdings" w:hint="default"/>
      </w:rPr>
    </w:lvl>
    <w:lvl w:ilvl="3" w:tplc="240A0001" w:tentative="1">
      <w:start w:val="1"/>
      <w:numFmt w:val="bullet"/>
      <w:lvlText w:val=""/>
      <w:lvlJc w:val="left"/>
      <w:pPr>
        <w:ind w:left="2945" w:hanging="360"/>
      </w:pPr>
      <w:rPr>
        <w:rFonts w:ascii="Symbol" w:hAnsi="Symbol" w:hint="default"/>
      </w:rPr>
    </w:lvl>
    <w:lvl w:ilvl="4" w:tplc="240A0003" w:tentative="1">
      <w:start w:val="1"/>
      <w:numFmt w:val="bullet"/>
      <w:lvlText w:val="o"/>
      <w:lvlJc w:val="left"/>
      <w:pPr>
        <w:ind w:left="3665" w:hanging="360"/>
      </w:pPr>
      <w:rPr>
        <w:rFonts w:ascii="Courier New" w:hAnsi="Courier New" w:cs="Courier New" w:hint="default"/>
      </w:rPr>
    </w:lvl>
    <w:lvl w:ilvl="5" w:tplc="240A0005" w:tentative="1">
      <w:start w:val="1"/>
      <w:numFmt w:val="bullet"/>
      <w:lvlText w:val=""/>
      <w:lvlJc w:val="left"/>
      <w:pPr>
        <w:ind w:left="4385" w:hanging="360"/>
      </w:pPr>
      <w:rPr>
        <w:rFonts w:ascii="Wingdings" w:hAnsi="Wingdings" w:hint="default"/>
      </w:rPr>
    </w:lvl>
    <w:lvl w:ilvl="6" w:tplc="240A0001" w:tentative="1">
      <w:start w:val="1"/>
      <w:numFmt w:val="bullet"/>
      <w:lvlText w:val=""/>
      <w:lvlJc w:val="left"/>
      <w:pPr>
        <w:ind w:left="5105" w:hanging="360"/>
      </w:pPr>
      <w:rPr>
        <w:rFonts w:ascii="Symbol" w:hAnsi="Symbol" w:hint="default"/>
      </w:rPr>
    </w:lvl>
    <w:lvl w:ilvl="7" w:tplc="240A0003" w:tentative="1">
      <w:start w:val="1"/>
      <w:numFmt w:val="bullet"/>
      <w:lvlText w:val="o"/>
      <w:lvlJc w:val="left"/>
      <w:pPr>
        <w:ind w:left="5825" w:hanging="360"/>
      </w:pPr>
      <w:rPr>
        <w:rFonts w:ascii="Courier New" w:hAnsi="Courier New" w:cs="Courier New" w:hint="default"/>
      </w:rPr>
    </w:lvl>
    <w:lvl w:ilvl="8" w:tplc="240A0005" w:tentative="1">
      <w:start w:val="1"/>
      <w:numFmt w:val="bullet"/>
      <w:lvlText w:val=""/>
      <w:lvlJc w:val="left"/>
      <w:pPr>
        <w:ind w:left="6545" w:hanging="360"/>
      </w:pPr>
      <w:rPr>
        <w:rFonts w:ascii="Wingdings" w:hAnsi="Wingdings" w:hint="default"/>
      </w:rPr>
    </w:lvl>
  </w:abstractNum>
  <w:abstractNum w:abstractNumId="11" w15:restartNumberingAfterBreak="0">
    <w:nsid w:val="6BF97060"/>
    <w:multiLevelType w:val="multilevel"/>
    <w:tmpl w:val="B3E004E0"/>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2" w15:restartNumberingAfterBreak="0">
    <w:nsid w:val="6C3C082A"/>
    <w:multiLevelType w:val="multilevel"/>
    <w:tmpl w:val="A80420EA"/>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3" w15:restartNumberingAfterBreak="0">
    <w:nsid w:val="6F4922CE"/>
    <w:multiLevelType w:val="multilevel"/>
    <w:tmpl w:val="E5E6373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4" w15:restartNumberingAfterBreak="0">
    <w:nsid w:val="6FB367B7"/>
    <w:multiLevelType w:val="multilevel"/>
    <w:tmpl w:val="4E0EF642"/>
    <w:lvl w:ilvl="0">
      <w:start w:val="8"/>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num w:numId="1">
    <w:abstractNumId w:val="6"/>
  </w:num>
  <w:num w:numId="2">
    <w:abstractNumId w:val="2"/>
  </w:num>
  <w:num w:numId="3">
    <w:abstractNumId w:val="4"/>
  </w:num>
  <w:num w:numId="4">
    <w:abstractNumId w:val="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
    <w:abstractNumId w:val="2"/>
  </w:num>
  <w:num w:numId="6">
    <w:abstractNumId w:val="13"/>
  </w:num>
  <w:num w:numId="7">
    <w:abstractNumId w:val="5"/>
  </w:num>
  <w:num w:numId="8">
    <w:abstractNumId w:val="12"/>
  </w:num>
  <w:num w:numId="9">
    <w:abstractNumId w:val="8"/>
  </w:num>
  <w:num w:numId="10">
    <w:abstractNumId w:val="11"/>
  </w:num>
  <w:num w:numId="11">
    <w:abstractNumId w:val="9"/>
  </w:num>
  <w:num w:numId="12">
    <w:abstractNumId w:val="1"/>
  </w:num>
  <w:num w:numId="13">
    <w:abstractNumId w:val="3"/>
  </w:num>
  <w:num w:numId="14">
    <w:abstractNumId w:val="14"/>
  </w:num>
  <w:num w:numId="15">
    <w:abstractNumId w:val="10"/>
  </w:num>
  <w:num w:numId="16">
    <w:abstractNumId w:val="0"/>
  </w:num>
  <w:num w:numId="17">
    <w:abstractNumId w:val="7"/>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90"/>
  <w:defaultTabStop w:val="708"/>
  <w:hyphenationZone w:val="425"/>
  <w:characterSpacingControl w:val="doNotCompress"/>
  <w:hdrShapeDefaults>
    <o:shapedefaults v:ext="edit" spidmax="2049"/>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A1847"/>
    <w:rsid w:val="00016F78"/>
    <w:rsid w:val="00046945"/>
    <w:rsid w:val="00061B2A"/>
    <w:rsid w:val="00082362"/>
    <w:rsid w:val="000A683E"/>
    <w:rsid w:val="000B19B9"/>
    <w:rsid w:val="000D0334"/>
    <w:rsid w:val="000D5DA7"/>
    <w:rsid w:val="000F6486"/>
    <w:rsid w:val="00116940"/>
    <w:rsid w:val="00125105"/>
    <w:rsid w:val="00127233"/>
    <w:rsid w:val="0015699B"/>
    <w:rsid w:val="00170872"/>
    <w:rsid w:val="001A33BF"/>
    <w:rsid w:val="001A6CD5"/>
    <w:rsid w:val="001E4177"/>
    <w:rsid w:val="001F0B24"/>
    <w:rsid w:val="001F7DC6"/>
    <w:rsid w:val="0022400B"/>
    <w:rsid w:val="002421BB"/>
    <w:rsid w:val="0025796E"/>
    <w:rsid w:val="002707A2"/>
    <w:rsid w:val="002951A0"/>
    <w:rsid w:val="002962BC"/>
    <w:rsid w:val="002A093D"/>
    <w:rsid w:val="002A0DD0"/>
    <w:rsid w:val="002A49AC"/>
    <w:rsid w:val="002A64FD"/>
    <w:rsid w:val="002C7A84"/>
    <w:rsid w:val="002E2BF8"/>
    <w:rsid w:val="002E4FD9"/>
    <w:rsid w:val="0030657A"/>
    <w:rsid w:val="00322A85"/>
    <w:rsid w:val="00324168"/>
    <w:rsid w:val="00330834"/>
    <w:rsid w:val="003448F4"/>
    <w:rsid w:val="00361625"/>
    <w:rsid w:val="00374F5E"/>
    <w:rsid w:val="00377E3E"/>
    <w:rsid w:val="003A779E"/>
    <w:rsid w:val="003D0F4D"/>
    <w:rsid w:val="003D5B0D"/>
    <w:rsid w:val="003E0499"/>
    <w:rsid w:val="003E4F80"/>
    <w:rsid w:val="003E6439"/>
    <w:rsid w:val="003F3941"/>
    <w:rsid w:val="00406575"/>
    <w:rsid w:val="00414C74"/>
    <w:rsid w:val="0042722E"/>
    <w:rsid w:val="0044528D"/>
    <w:rsid w:val="00466E39"/>
    <w:rsid w:val="004A1847"/>
    <w:rsid w:val="004A305D"/>
    <w:rsid w:val="004F21C4"/>
    <w:rsid w:val="004F685F"/>
    <w:rsid w:val="005566E8"/>
    <w:rsid w:val="00574867"/>
    <w:rsid w:val="00591460"/>
    <w:rsid w:val="005A65E0"/>
    <w:rsid w:val="005C1131"/>
    <w:rsid w:val="005C3777"/>
    <w:rsid w:val="005C5CDC"/>
    <w:rsid w:val="005D476C"/>
    <w:rsid w:val="005F45B2"/>
    <w:rsid w:val="006200BF"/>
    <w:rsid w:val="006219F8"/>
    <w:rsid w:val="006302F7"/>
    <w:rsid w:val="00646B9F"/>
    <w:rsid w:val="006579CD"/>
    <w:rsid w:val="00665D70"/>
    <w:rsid w:val="006900D9"/>
    <w:rsid w:val="006C64E8"/>
    <w:rsid w:val="00706C16"/>
    <w:rsid w:val="007340C3"/>
    <w:rsid w:val="0075235A"/>
    <w:rsid w:val="00756841"/>
    <w:rsid w:val="007649AB"/>
    <w:rsid w:val="00771D0C"/>
    <w:rsid w:val="007833AC"/>
    <w:rsid w:val="007B268C"/>
    <w:rsid w:val="007B7171"/>
    <w:rsid w:val="007C0C0F"/>
    <w:rsid w:val="007C3DC2"/>
    <w:rsid w:val="007E5497"/>
    <w:rsid w:val="00806F5F"/>
    <w:rsid w:val="0081631E"/>
    <w:rsid w:val="00820278"/>
    <w:rsid w:val="00823942"/>
    <w:rsid w:val="008258C9"/>
    <w:rsid w:val="00844AE9"/>
    <w:rsid w:val="00867F95"/>
    <w:rsid w:val="008843B6"/>
    <w:rsid w:val="00891928"/>
    <w:rsid w:val="008A446D"/>
    <w:rsid w:val="008B25F1"/>
    <w:rsid w:val="008D180B"/>
    <w:rsid w:val="008F0EA7"/>
    <w:rsid w:val="00915421"/>
    <w:rsid w:val="00920CC6"/>
    <w:rsid w:val="00923EEF"/>
    <w:rsid w:val="009419F9"/>
    <w:rsid w:val="0095685E"/>
    <w:rsid w:val="00961B09"/>
    <w:rsid w:val="00965334"/>
    <w:rsid w:val="0097093E"/>
    <w:rsid w:val="009A0DFA"/>
    <w:rsid w:val="009A1C6F"/>
    <w:rsid w:val="009B2D26"/>
    <w:rsid w:val="009C71FA"/>
    <w:rsid w:val="009C72E7"/>
    <w:rsid w:val="009C7F7E"/>
    <w:rsid w:val="009D3058"/>
    <w:rsid w:val="009D7B84"/>
    <w:rsid w:val="009F3A13"/>
    <w:rsid w:val="00A122D3"/>
    <w:rsid w:val="00A14468"/>
    <w:rsid w:val="00A17F13"/>
    <w:rsid w:val="00A20739"/>
    <w:rsid w:val="00A23AF9"/>
    <w:rsid w:val="00A33C78"/>
    <w:rsid w:val="00AB0ADB"/>
    <w:rsid w:val="00AF43FE"/>
    <w:rsid w:val="00B00C0E"/>
    <w:rsid w:val="00B01B1A"/>
    <w:rsid w:val="00B0381D"/>
    <w:rsid w:val="00B44A47"/>
    <w:rsid w:val="00B72CD3"/>
    <w:rsid w:val="00B72FFF"/>
    <w:rsid w:val="00BC3D36"/>
    <w:rsid w:val="00BD54A6"/>
    <w:rsid w:val="00BD7F72"/>
    <w:rsid w:val="00BF7425"/>
    <w:rsid w:val="00C04FB3"/>
    <w:rsid w:val="00C11D8B"/>
    <w:rsid w:val="00C15139"/>
    <w:rsid w:val="00C330EB"/>
    <w:rsid w:val="00C50D69"/>
    <w:rsid w:val="00C5338F"/>
    <w:rsid w:val="00C5365C"/>
    <w:rsid w:val="00C754BE"/>
    <w:rsid w:val="00C76B1C"/>
    <w:rsid w:val="00C828D1"/>
    <w:rsid w:val="00C925AC"/>
    <w:rsid w:val="00CB6357"/>
    <w:rsid w:val="00CC0DC2"/>
    <w:rsid w:val="00CC1B26"/>
    <w:rsid w:val="00CC2578"/>
    <w:rsid w:val="00D361FD"/>
    <w:rsid w:val="00D423A2"/>
    <w:rsid w:val="00D44671"/>
    <w:rsid w:val="00D44E26"/>
    <w:rsid w:val="00D520D8"/>
    <w:rsid w:val="00D63AC2"/>
    <w:rsid w:val="00D7383B"/>
    <w:rsid w:val="00D7788A"/>
    <w:rsid w:val="00DA231B"/>
    <w:rsid w:val="00DA7ABE"/>
    <w:rsid w:val="00DC39FC"/>
    <w:rsid w:val="00DF5254"/>
    <w:rsid w:val="00E02524"/>
    <w:rsid w:val="00E16408"/>
    <w:rsid w:val="00E20894"/>
    <w:rsid w:val="00E245AB"/>
    <w:rsid w:val="00E2764C"/>
    <w:rsid w:val="00E27F2E"/>
    <w:rsid w:val="00E50AFE"/>
    <w:rsid w:val="00E75C92"/>
    <w:rsid w:val="00E771DC"/>
    <w:rsid w:val="00E8772A"/>
    <w:rsid w:val="00E90F6B"/>
    <w:rsid w:val="00E92C27"/>
    <w:rsid w:val="00EA0E3D"/>
    <w:rsid w:val="00EC38A7"/>
    <w:rsid w:val="00EE1AA8"/>
    <w:rsid w:val="00F23FEA"/>
    <w:rsid w:val="00F31EDC"/>
    <w:rsid w:val="00F462B3"/>
    <w:rsid w:val="00F5664F"/>
    <w:rsid w:val="00F666C4"/>
    <w:rsid w:val="00F73A1F"/>
    <w:rsid w:val="00F76AFC"/>
    <w:rsid w:val="00FA47C0"/>
    <w:rsid w:val="00FB5DD1"/>
    <w:rsid w:val="00FC2B5D"/>
    <w:rsid w:val="00FF1449"/>
    <w:rsid w:val="00FF7963"/>
    <w:rsid w:val="09908A09"/>
    <w:rsid w:val="13CFC91B"/>
    <w:rsid w:val="19A2EC2C"/>
    <w:rsid w:val="2859CA1B"/>
    <w:rsid w:val="32A4F9CF"/>
    <w:rsid w:val="356CEDFD"/>
    <w:rsid w:val="6656881A"/>
    <w:rsid w:val="69614A15"/>
    <w:rsid w:val="7BB183BC"/>
  </w:rsids>
  <m:mathPr>
    <m:mathFont m:val="Cambria Math"/>
    <m:brkBin m:val="before"/>
    <m:brkBinSub m:val="--"/>
    <m:smallFrac m:val="0"/>
    <m:dispDef/>
    <m:lMargin m:val="0"/>
    <m:rMargin m:val="0"/>
    <m:defJc m:val="centerGroup"/>
    <m:wrapIndent m:val="1440"/>
    <m:intLim m:val="subSup"/>
    <m:naryLim m:val="undOvr"/>
  </m:mathPr>
  <w:themeFontLang w:val="es-CO"/>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279607BD"/>
  <w15:chartTrackingRefBased/>
  <w15:docId w15:val="{AA18BD11-F4B5-4A67-BA3F-63EFCCB41AF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s-CO"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qFormat="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qFormat="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qFormat="1"/>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E245AB"/>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Encabezado">
    <w:name w:val="header"/>
    <w:basedOn w:val="Normal"/>
    <w:link w:val="EncabezadoCar"/>
    <w:uiPriority w:val="99"/>
    <w:unhideWhenUsed/>
    <w:rsid w:val="004A1847"/>
    <w:pPr>
      <w:tabs>
        <w:tab w:val="center" w:pos="4419"/>
        <w:tab w:val="right" w:pos="8838"/>
      </w:tabs>
      <w:spacing w:after="0" w:line="240" w:lineRule="auto"/>
    </w:pPr>
  </w:style>
  <w:style w:type="character" w:customStyle="1" w:styleId="EncabezadoCar">
    <w:name w:val="Encabezado Car"/>
    <w:basedOn w:val="Fuentedeprrafopredeter"/>
    <w:link w:val="Encabezado"/>
    <w:uiPriority w:val="99"/>
    <w:rsid w:val="004A1847"/>
  </w:style>
  <w:style w:type="paragraph" w:styleId="Piedepgina">
    <w:name w:val="footer"/>
    <w:basedOn w:val="Normal"/>
    <w:link w:val="PiedepginaCar"/>
    <w:uiPriority w:val="99"/>
    <w:unhideWhenUsed/>
    <w:rsid w:val="004A1847"/>
    <w:pPr>
      <w:tabs>
        <w:tab w:val="center" w:pos="4419"/>
        <w:tab w:val="right" w:pos="8838"/>
      </w:tabs>
      <w:spacing w:after="0" w:line="240" w:lineRule="auto"/>
    </w:pPr>
  </w:style>
  <w:style w:type="character" w:customStyle="1" w:styleId="PiedepginaCar">
    <w:name w:val="Pie de página Car"/>
    <w:basedOn w:val="Fuentedeprrafopredeter"/>
    <w:link w:val="Piedepgina"/>
    <w:uiPriority w:val="99"/>
    <w:rsid w:val="004A1847"/>
  </w:style>
  <w:style w:type="paragraph" w:customStyle="1" w:styleId="Default">
    <w:name w:val="Default"/>
    <w:rsid w:val="006219F8"/>
    <w:pPr>
      <w:autoSpaceDE w:val="0"/>
      <w:autoSpaceDN w:val="0"/>
      <w:adjustRightInd w:val="0"/>
      <w:spacing w:after="0" w:line="240" w:lineRule="auto"/>
    </w:pPr>
    <w:rPr>
      <w:rFonts w:ascii="Arial" w:hAnsi="Arial" w:cs="Arial"/>
      <w:color w:val="000000"/>
      <w:sz w:val="24"/>
      <w:szCs w:val="24"/>
    </w:rPr>
  </w:style>
  <w:style w:type="character" w:customStyle="1" w:styleId="TextonotapieCar">
    <w:name w:val="Texto nota pie Car"/>
    <w:aliases w:val="Ref. de nota al pie1 Car,Texto de nota al pie Car,referencia nota al pie Car,Appel note de bas de page Car,Footnotes refss Car,Footnote number Car,BVI fnr Car,Footnote Text Char Char Char Char Char Car,Footnote reference Car,FA Fu Car"/>
    <w:basedOn w:val="Fuentedeprrafopredeter"/>
    <w:link w:val="Textonotapie"/>
    <w:uiPriority w:val="99"/>
    <w:qFormat/>
    <w:locked/>
    <w:rsid w:val="006219F8"/>
    <w:rPr>
      <w:sz w:val="20"/>
      <w:szCs w:val="20"/>
      <w:lang w:val="es-MX"/>
    </w:rPr>
  </w:style>
  <w:style w:type="paragraph" w:styleId="Textonotapie">
    <w:name w:val="footnote text"/>
    <w:aliases w:val="Ref. de nota al pie1,Texto de nota al pie,referencia nota al pie,Appel note de bas de page,Footnotes refss,Footnote number,BVI fnr,Footnote Text Char Char Char Char Char,Footnote Text Char Char Char Char,Footnote reference,FA Fu,ft,fn,Car"/>
    <w:basedOn w:val="Normal"/>
    <w:link w:val="TextonotapieCar"/>
    <w:uiPriority w:val="99"/>
    <w:unhideWhenUsed/>
    <w:qFormat/>
    <w:rsid w:val="006219F8"/>
    <w:pPr>
      <w:spacing w:after="0" w:line="240" w:lineRule="auto"/>
    </w:pPr>
    <w:rPr>
      <w:sz w:val="20"/>
      <w:szCs w:val="20"/>
      <w:lang w:val="es-MX"/>
    </w:rPr>
  </w:style>
  <w:style w:type="character" w:customStyle="1" w:styleId="TextonotapieCar1">
    <w:name w:val="Texto nota pie Car1"/>
    <w:basedOn w:val="Fuentedeprrafopredeter"/>
    <w:uiPriority w:val="99"/>
    <w:semiHidden/>
    <w:rsid w:val="006219F8"/>
    <w:rPr>
      <w:sz w:val="20"/>
      <w:szCs w:val="20"/>
    </w:rPr>
  </w:style>
  <w:style w:type="character" w:styleId="Refdenotaalpie">
    <w:name w:val="footnote reference"/>
    <w:aliases w:val="Ref. de nota al pie 2,Ref,de nota al pie,FC,Appel note de bas de p,f,4_G,16 Point,Superscript 6 Point,Texto nota al pie,Pie de Página,Texto de nota al pi,Nota de pie,Texto de nota al p,Footnote Reference Char3,Texto nota pie Car2,F,R"/>
    <w:basedOn w:val="Fuentedeprrafopredeter"/>
    <w:link w:val="Appelnotedebasde"/>
    <w:uiPriority w:val="99"/>
    <w:unhideWhenUsed/>
    <w:qFormat/>
    <w:rsid w:val="006219F8"/>
    <w:rPr>
      <w:vertAlign w:val="superscript"/>
    </w:rPr>
  </w:style>
  <w:style w:type="character" w:customStyle="1" w:styleId="normaltextrun">
    <w:name w:val="normaltextrun"/>
    <w:basedOn w:val="Fuentedeprrafopredeter"/>
    <w:rsid w:val="006219F8"/>
  </w:style>
  <w:style w:type="table" w:styleId="Tablaconcuadrcula">
    <w:name w:val="Table Grid"/>
    <w:basedOn w:val="Tablanormal"/>
    <w:uiPriority w:val="39"/>
    <w:qFormat/>
    <w:rsid w:val="006219F8"/>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Prrafodelista">
    <w:name w:val="List Paragraph"/>
    <w:aliases w:val="Fotografía,Párrafo de lista1,Bullet List,FooterText,numbered,Paragraphe de liste1,lp1,Scitum normal,HOJA,Bolita,Párrafo de lista4,BOLADEF,Párrafo de lista3,Párrafo de lista21,BOLA,Nivel 1 OS,Colorful List Accent 1"/>
    <w:basedOn w:val="Normal"/>
    <w:link w:val="PrrafodelistaCar"/>
    <w:uiPriority w:val="34"/>
    <w:qFormat/>
    <w:rsid w:val="005566E8"/>
    <w:pPr>
      <w:ind w:left="720"/>
      <w:contextualSpacing/>
    </w:pPr>
    <w:rPr>
      <w:rFonts w:ascii="Geomanist Light" w:hAnsi="Geomanist Light"/>
      <w:lang w:val="es-ES"/>
    </w:rPr>
  </w:style>
  <w:style w:type="paragraph" w:styleId="Ttulo">
    <w:name w:val="Title"/>
    <w:basedOn w:val="Normal"/>
    <w:next w:val="Normal"/>
    <w:link w:val="TtuloCar"/>
    <w:uiPriority w:val="10"/>
    <w:qFormat/>
    <w:rsid w:val="005566E8"/>
    <w:pPr>
      <w:spacing w:after="0" w:line="240" w:lineRule="auto"/>
      <w:contextualSpacing/>
    </w:pPr>
    <w:rPr>
      <w:rFonts w:ascii="Geomanist" w:eastAsiaTheme="majorEastAsia" w:hAnsi="Geomanist" w:cstheme="majorBidi"/>
      <w:spacing w:val="-10"/>
      <w:kern w:val="28"/>
      <w:szCs w:val="56"/>
      <w:lang w:val="es-ES"/>
    </w:rPr>
  </w:style>
  <w:style w:type="character" w:customStyle="1" w:styleId="TtuloCar">
    <w:name w:val="Título Car"/>
    <w:basedOn w:val="Fuentedeprrafopredeter"/>
    <w:link w:val="Ttulo"/>
    <w:uiPriority w:val="10"/>
    <w:rsid w:val="005566E8"/>
    <w:rPr>
      <w:rFonts w:ascii="Geomanist" w:eastAsiaTheme="majorEastAsia" w:hAnsi="Geomanist" w:cstheme="majorBidi"/>
      <w:spacing w:val="-10"/>
      <w:kern w:val="28"/>
      <w:szCs w:val="56"/>
      <w:lang w:val="es-ES"/>
    </w:rPr>
  </w:style>
  <w:style w:type="character" w:customStyle="1" w:styleId="ui-provider">
    <w:name w:val="ui-provider"/>
    <w:basedOn w:val="Fuentedeprrafopredeter"/>
    <w:rsid w:val="00DA231B"/>
  </w:style>
  <w:style w:type="character" w:styleId="Hipervnculo">
    <w:name w:val="Hyperlink"/>
    <w:basedOn w:val="Fuentedeprrafopredeter"/>
    <w:uiPriority w:val="99"/>
    <w:unhideWhenUsed/>
    <w:rsid w:val="00125105"/>
    <w:rPr>
      <w:color w:val="0000FF"/>
      <w:u w:val="single"/>
    </w:rPr>
  </w:style>
  <w:style w:type="character" w:styleId="Hipervnculovisitado">
    <w:name w:val="FollowedHyperlink"/>
    <w:basedOn w:val="Fuentedeprrafopredeter"/>
    <w:uiPriority w:val="99"/>
    <w:semiHidden/>
    <w:unhideWhenUsed/>
    <w:rsid w:val="00125105"/>
    <w:rPr>
      <w:color w:val="954F72" w:themeColor="followedHyperlink"/>
      <w:u w:val="single"/>
    </w:rPr>
  </w:style>
  <w:style w:type="paragraph" w:customStyle="1" w:styleId="paragraph">
    <w:name w:val="paragraph"/>
    <w:basedOn w:val="Normal"/>
    <w:rsid w:val="00322A85"/>
    <w:pPr>
      <w:spacing w:before="100" w:beforeAutospacing="1" w:after="100" w:afterAutospacing="1" w:line="240" w:lineRule="auto"/>
    </w:pPr>
    <w:rPr>
      <w:rFonts w:ascii="Times New Roman" w:eastAsia="Times New Roman" w:hAnsi="Times New Roman" w:cs="Times New Roman"/>
      <w:sz w:val="24"/>
      <w:szCs w:val="24"/>
      <w:lang w:eastAsia="es-CO"/>
    </w:rPr>
  </w:style>
  <w:style w:type="character" w:customStyle="1" w:styleId="tabchar">
    <w:name w:val="tabchar"/>
    <w:basedOn w:val="Fuentedeprrafopredeter"/>
    <w:rsid w:val="00322A85"/>
  </w:style>
  <w:style w:type="character" w:customStyle="1" w:styleId="eop">
    <w:name w:val="eop"/>
    <w:basedOn w:val="Fuentedeprrafopredeter"/>
    <w:rsid w:val="00322A85"/>
  </w:style>
  <w:style w:type="character" w:styleId="Mencinsinresolver">
    <w:name w:val="Unresolved Mention"/>
    <w:basedOn w:val="Fuentedeprrafopredeter"/>
    <w:uiPriority w:val="99"/>
    <w:semiHidden/>
    <w:unhideWhenUsed/>
    <w:rsid w:val="001F7DC6"/>
    <w:rPr>
      <w:color w:val="605E5C"/>
      <w:shd w:val="clear" w:color="auto" w:fill="E1DFDD"/>
    </w:rPr>
  </w:style>
  <w:style w:type="paragraph" w:styleId="NormalWeb">
    <w:name w:val="Normal (Web)"/>
    <w:basedOn w:val="Normal"/>
    <w:uiPriority w:val="99"/>
    <w:semiHidden/>
    <w:unhideWhenUsed/>
    <w:rsid w:val="00DF5254"/>
    <w:pPr>
      <w:spacing w:before="100" w:beforeAutospacing="1" w:after="100" w:afterAutospacing="1" w:line="240" w:lineRule="auto"/>
    </w:pPr>
    <w:rPr>
      <w:rFonts w:ascii="Times New Roman" w:eastAsia="Times New Roman" w:hAnsi="Times New Roman" w:cs="Times New Roman"/>
      <w:sz w:val="24"/>
      <w:szCs w:val="24"/>
      <w:lang w:eastAsia="es-CO"/>
    </w:rPr>
  </w:style>
  <w:style w:type="paragraph" w:customStyle="1" w:styleId="blanco">
    <w:name w:val="blanco"/>
    <w:basedOn w:val="Normal"/>
    <w:rsid w:val="00C76B1C"/>
    <w:pPr>
      <w:spacing w:before="100" w:beforeAutospacing="1" w:after="100" w:afterAutospacing="1" w:line="240" w:lineRule="auto"/>
    </w:pPr>
    <w:rPr>
      <w:rFonts w:ascii="Times New Roman" w:eastAsia="Times New Roman" w:hAnsi="Times New Roman" w:cs="Times New Roman"/>
      <w:sz w:val="24"/>
      <w:szCs w:val="24"/>
      <w:lang w:eastAsia="es-CO"/>
    </w:rPr>
  </w:style>
  <w:style w:type="paragraph" w:styleId="Revisin">
    <w:name w:val="Revision"/>
    <w:hidden/>
    <w:uiPriority w:val="99"/>
    <w:semiHidden/>
    <w:rsid w:val="009F3A13"/>
    <w:pPr>
      <w:spacing w:after="0" w:line="240" w:lineRule="auto"/>
    </w:pPr>
  </w:style>
  <w:style w:type="paragraph" w:customStyle="1" w:styleId="Appelnotedebasde">
    <w:name w:val="Appel note de bas de..."/>
    <w:basedOn w:val="Normal"/>
    <w:link w:val="Refdenotaalpie"/>
    <w:uiPriority w:val="99"/>
    <w:rsid w:val="00CC0DC2"/>
    <w:pPr>
      <w:spacing w:line="240" w:lineRule="exact"/>
    </w:pPr>
    <w:rPr>
      <w:vertAlign w:val="superscript"/>
    </w:rPr>
  </w:style>
  <w:style w:type="character" w:customStyle="1" w:styleId="PrrafodelistaCar">
    <w:name w:val="Párrafo de lista Car"/>
    <w:aliases w:val="Fotografía Car,Párrafo de lista1 Car,Bullet List Car,FooterText Car,numbered Car,Paragraphe de liste1 Car,lp1 Car,Scitum normal Car,HOJA Car,Bolita Car,Párrafo de lista4 Car,BOLADEF Car,Párrafo de lista3 Car,Párrafo de lista21 Car"/>
    <w:link w:val="Prrafodelista"/>
    <w:uiPriority w:val="34"/>
    <w:qFormat/>
    <w:locked/>
    <w:rsid w:val="00CC0DC2"/>
    <w:rPr>
      <w:rFonts w:ascii="Geomanist Light" w:hAnsi="Geomanist Light"/>
      <w:lang w:val="es-E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621767828">
      <w:bodyDiv w:val="1"/>
      <w:marLeft w:val="0"/>
      <w:marRight w:val="0"/>
      <w:marTop w:val="0"/>
      <w:marBottom w:val="0"/>
      <w:divBdr>
        <w:top w:val="none" w:sz="0" w:space="0" w:color="auto"/>
        <w:left w:val="none" w:sz="0" w:space="0" w:color="auto"/>
        <w:bottom w:val="none" w:sz="0" w:space="0" w:color="auto"/>
        <w:right w:val="none" w:sz="0" w:space="0" w:color="auto"/>
      </w:divBdr>
    </w:div>
    <w:div w:id="755788902">
      <w:bodyDiv w:val="1"/>
      <w:marLeft w:val="0"/>
      <w:marRight w:val="0"/>
      <w:marTop w:val="0"/>
      <w:marBottom w:val="0"/>
      <w:divBdr>
        <w:top w:val="none" w:sz="0" w:space="0" w:color="auto"/>
        <w:left w:val="none" w:sz="0" w:space="0" w:color="auto"/>
        <w:bottom w:val="none" w:sz="0" w:space="0" w:color="auto"/>
        <w:right w:val="none" w:sz="0" w:space="0" w:color="auto"/>
      </w:divBdr>
    </w:div>
    <w:div w:id="1132796275">
      <w:bodyDiv w:val="1"/>
      <w:marLeft w:val="0"/>
      <w:marRight w:val="0"/>
      <w:marTop w:val="0"/>
      <w:marBottom w:val="0"/>
      <w:divBdr>
        <w:top w:val="none" w:sz="0" w:space="0" w:color="auto"/>
        <w:left w:val="none" w:sz="0" w:space="0" w:color="auto"/>
        <w:bottom w:val="none" w:sz="0" w:space="0" w:color="auto"/>
        <w:right w:val="none" w:sz="0" w:space="0" w:color="auto"/>
      </w:divBdr>
    </w:div>
    <w:div w:id="1270429918">
      <w:bodyDiv w:val="1"/>
      <w:marLeft w:val="0"/>
      <w:marRight w:val="0"/>
      <w:marTop w:val="0"/>
      <w:marBottom w:val="0"/>
      <w:divBdr>
        <w:top w:val="none" w:sz="0" w:space="0" w:color="auto"/>
        <w:left w:val="none" w:sz="0" w:space="0" w:color="auto"/>
        <w:bottom w:val="none" w:sz="0" w:space="0" w:color="auto"/>
        <w:right w:val="none" w:sz="0" w:space="0" w:color="auto"/>
      </w:divBdr>
    </w:div>
    <w:div w:id="1291863859">
      <w:bodyDiv w:val="1"/>
      <w:marLeft w:val="0"/>
      <w:marRight w:val="0"/>
      <w:marTop w:val="0"/>
      <w:marBottom w:val="0"/>
      <w:divBdr>
        <w:top w:val="none" w:sz="0" w:space="0" w:color="auto"/>
        <w:left w:val="none" w:sz="0" w:space="0" w:color="auto"/>
        <w:bottom w:val="none" w:sz="0" w:space="0" w:color="auto"/>
        <w:right w:val="none" w:sz="0" w:space="0" w:color="auto"/>
      </w:divBdr>
      <w:divsChild>
        <w:div w:id="1814251553">
          <w:marLeft w:val="0"/>
          <w:marRight w:val="0"/>
          <w:marTop w:val="0"/>
          <w:marBottom w:val="0"/>
          <w:divBdr>
            <w:top w:val="none" w:sz="0" w:space="0" w:color="auto"/>
            <w:left w:val="none" w:sz="0" w:space="0" w:color="auto"/>
            <w:bottom w:val="none" w:sz="0" w:space="0" w:color="auto"/>
            <w:right w:val="none" w:sz="0" w:space="0" w:color="auto"/>
          </w:divBdr>
        </w:div>
        <w:div w:id="1098216012">
          <w:marLeft w:val="0"/>
          <w:marRight w:val="0"/>
          <w:marTop w:val="0"/>
          <w:marBottom w:val="0"/>
          <w:divBdr>
            <w:top w:val="none" w:sz="0" w:space="0" w:color="auto"/>
            <w:left w:val="none" w:sz="0" w:space="0" w:color="auto"/>
            <w:bottom w:val="none" w:sz="0" w:space="0" w:color="auto"/>
            <w:right w:val="none" w:sz="0" w:space="0" w:color="auto"/>
          </w:divBdr>
        </w:div>
        <w:div w:id="2036272205">
          <w:marLeft w:val="0"/>
          <w:marRight w:val="0"/>
          <w:marTop w:val="0"/>
          <w:marBottom w:val="0"/>
          <w:divBdr>
            <w:top w:val="none" w:sz="0" w:space="0" w:color="auto"/>
            <w:left w:val="none" w:sz="0" w:space="0" w:color="auto"/>
            <w:bottom w:val="none" w:sz="0" w:space="0" w:color="auto"/>
            <w:right w:val="none" w:sz="0" w:space="0" w:color="auto"/>
          </w:divBdr>
        </w:div>
        <w:div w:id="1963534490">
          <w:marLeft w:val="0"/>
          <w:marRight w:val="0"/>
          <w:marTop w:val="0"/>
          <w:marBottom w:val="0"/>
          <w:divBdr>
            <w:top w:val="none" w:sz="0" w:space="0" w:color="auto"/>
            <w:left w:val="none" w:sz="0" w:space="0" w:color="auto"/>
            <w:bottom w:val="none" w:sz="0" w:space="0" w:color="auto"/>
            <w:right w:val="none" w:sz="0" w:space="0" w:color="auto"/>
          </w:divBdr>
        </w:div>
        <w:div w:id="1009718320">
          <w:marLeft w:val="0"/>
          <w:marRight w:val="0"/>
          <w:marTop w:val="0"/>
          <w:marBottom w:val="0"/>
          <w:divBdr>
            <w:top w:val="none" w:sz="0" w:space="0" w:color="auto"/>
            <w:left w:val="none" w:sz="0" w:space="0" w:color="auto"/>
            <w:bottom w:val="none" w:sz="0" w:space="0" w:color="auto"/>
            <w:right w:val="none" w:sz="0" w:space="0" w:color="auto"/>
          </w:divBdr>
        </w:div>
        <w:div w:id="2075656958">
          <w:marLeft w:val="0"/>
          <w:marRight w:val="0"/>
          <w:marTop w:val="0"/>
          <w:marBottom w:val="0"/>
          <w:divBdr>
            <w:top w:val="none" w:sz="0" w:space="0" w:color="auto"/>
            <w:left w:val="none" w:sz="0" w:space="0" w:color="auto"/>
            <w:bottom w:val="none" w:sz="0" w:space="0" w:color="auto"/>
            <w:right w:val="none" w:sz="0" w:space="0" w:color="auto"/>
          </w:divBdr>
        </w:div>
        <w:div w:id="1227495006">
          <w:marLeft w:val="0"/>
          <w:marRight w:val="0"/>
          <w:marTop w:val="0"/>
          <w:marBottom w:val="0"/>
          <w:divBdr>
            <w:top w:val="none" w:sz="0" w:space="0" w:color="auto"/>
            <w:left w:val="none" w:sz="0" w:space="0" w:color="auto"/>
            <w:bottom w:val="none" w:sz="0" w:space="0" w:color="auto"/>
            <w:right w:val="none" w:sz="0" w:space="0" w:color="auto"/>
          </w:divBdr>
        </w:div>
        <w:div w:id="390231839">
          <w:marLeft w:val="0"/>
          <w:marRight w:val="0"/>
          <w:marTop w:val="0"/>
          <w:marBottom w:val="0"/>
          <w:divBdr>
            <w:top w:val="none" w:sz="0" w:space="0" w:color="auto"/>
            <w:left w:val="none" w:sz="0" w:space="0" w:color="auto"/>
            <w:bottom w:val="none" w:sz="0" w:space="0" w:color="auto"/>
            <w:right w:val="none" w:sz="0" w:space="0" w:color="auto"/>
          </w:divBdr>
        </w:div>
        <w:div w:id="117142684">
          <w:marLeft w:val="0"/>
          <w:marRight w:val="0"/>
          <w:marTop w:val="0"/>
          <w:marBottom w:val="0"/>
          <w:divBdr>
            <w:top w:val="none" w:sz="0" w:space="0" w:color="auto"/>
            <w:left w:val="none" w:sz="0" w:space="0" w:color="auto"/>
            <w:bottom w:val="none" w:sz="0" w:space="0" w:color="auto"/>
            <w:right w:val="none" w:sz="0" w:space="0" w:color="auto"/>
          </w:divBdr>
        </w:div>
        <w:div w:id="882060613">
          <w:marLeft w:val="0"/>
          <w:marRight w:val="0"/>
          <w:marTop w:val="0"/>
          <w:marBottom w:val="0"/>
          <w:divBdr>
            <w:top w:val="none" w:sz="0" w:space="0" w:color="auto"/>
            <w:left w:val="none" w:sz="0" w:space="0" w:color="auto"/>
            <w:bottom w:val="none" w:sz="0" w:space="0" w:color="auto"/>
            <w:right w:val="none" w:sz="0" w:space="0" w:color="auto"/>
          </w:divBdr>
        </w:div>
        <w:div w:id="1343312156">
          <w:marLeft w:val="0"/>
          <w:marRight w:val="0"/>
          <w:marTop w:val="0"/>
          <w:marBottom w:val="0"/>
          <w:divBdr>
            <w:top w:val="none" w:sz="0" w:space="0" w:color="auto"/>
            <w:left w:val="none" w:sz="0" w:space="0" w:color="auto"/>
            <w:bottom w:val="none" w:sz="0" w:space="0" w:color="auto"/>
            <w:right w:val="none" w:sz="0" w:space="0" w:color="auto"/>
          </w:divBdr>
        </w:div>
        <w:div w:id="807745514">
          <w:marLeft w:val="0"/>
          <w:marRight w:val="0"/>
          <w:marTop w:val="0"/>
          <w:marBottom w:val="0"/>
          <w:divBdr>
            <w:top w:val="none" w:sz="0" w:space="0" w:color="auto"/>
            <w:left w:val="none" w:sz="0" w:space="0" w:color="auto"/>
            <w:bottom w:val="none" w:sz="0" w:space="0" w:color="auto"/>
            <w:right w:val="none" w:sz="0" w:space="0" w:color="auto"/>
          </w:divBdr>
        </w:div>
        <w:div w:id="688798703">
          <w:marLeft w:val="0"/>
          <w:marRight w:val="0"/>
          <w:marTop w:val="0"/>
          <w:marBottom w:val="0"/>
          <w:divBdr>
            <w:top w:val="none" w:sz="0" w:space="0" w:color="auto"/>
            <w:left w:val="none" w:sz="0" w:space="0" w:color="auto"/>
            <w:bottom w:val="none" w:sz="0" w:space="0" w:color="auto"/>
            <w:right w:val="none" w:sz="0" w:space="0" w:color="auto"/>
          </w:divBdr>
        </w:div>
        <w:div w:id="1324310022">
          <w:marLeft w:val="0"/>
          <w:marRight w:val="0"/>
          <w:marTop w:val="0"/>
          <w:marBottom w:val="0"/>
          <w:divBdr>
            <w:top w:val="none" w:sz="0" w:space="0" w:color="auto"/>
            <w:left w:val="none" w:sz="0" w:space="0" w:color="auto"/>
            <w:bottom w:val="none" w:sz="0" w:space="0" w:color="auto"/>
            <w:right w:val="none" w:sz="0" w:space="0" w:color="auto"/>
          </w:divBdr>
        </w:div>
        <w:div w:id="715542045">
          <w:marLeft w:val="0"/>
          <w:marRight w:val="0"/>
          <w:marTop w:val="0"/>
          <w:marBottom w:val="0"/>
          <w:divBdr>
            <w:top w:val="none" w:sz="0" w:space="0" w:color="auto"/>
            <w:left w:val="none" w:sz="0" w:space="0" w:color="auto"/>
            <w:bottom w:val="none" w:sz="0" w:space="0" w:color="auto"/>
            <w:right w:val="none" w:sz="0" w:space="0" w:color="auto"/>
          </w:divBdr>
        </w:div>
        <w:div w:id="1065952338">
          <w:marLeft w:val="0"/>
          <w:marRight w:val="0"/>
          <w:marTop w:val="0"/>
          <w:marBottom w:val="0"/>
          <w:divBdr>
            <w:top w:val="none" w:sz="0" w:space="0" w:color="auto"/>
            <w:left w:val="none" w:sz="0" w:space="0" w:color="auto"/>
            <w:bottom w:val="none" w:sz="0" w:space="0" w:color="auto"/>
            <w:right w:val="none" w:sz="0" w:space="0" w:color="auto"/>
          </w:divBdr>
        </w:div>
        <w:div w:id="2092659859">
          <w:marLeft w:val="0"/>
          <w:marRight w:val="0"/>
          <w:marTop w:val="0"/>
          <w:marBottom w:val="0"/>
          <w:divBdr>
            <w:top w:val="none" w:sz="0" w:space="0" w:color="auto"/>
            <w:left w:val="none" w:sz="0" w:space="0" w:color="auto"/>
            <w:bottom w:val="none" w:sz="0" w:space="0" w:color="auto"/>
            <w:right w:val="none" w:sz="0" w:space="0" w:color="auto"/>
          </w:divBdr>
        </w:div>
        <w:div w:id="1134103737">
          <w:marLeft w:val="0"/>
          <w:marRight w:val="0"/>
          <w:marTop w:val="0"/>
          <w:marBottom w:val="0"/>
          <w:divBdr>
            <w:top w:val="none" w:sz="0" w:space="0" w:color="auto"/>
            <w:left w:val="none" w:sz="0" w:space="0" w:color="auto"/>
            <w:bottom w:val="none" w:sz="0" w:space="0" w:color="auto"/>
            <w:right w:val="none" w:sz="0" w:space="0" w:color="auto"/>
          </w:divBdr>
        </w:div>
        <w:div w:id="511727059">
          <w:marLeft w:val="0"/>
          <w:marRight w:val="0"/>
          <w:marTop w:val="0"/>
          <w:marBottom w:val="0"/>
          <w:divBdr>
            <w:top w:val="none" w:sz="0" w:space="0" w:color="auto"/>
            <w:left w:val="none" w:sz="0" w:space="0" w:color="auto"/>
            <w:bottom w:val="none" w:sz="0" w:space="0" w:color="auto"/>
            <w:right w:val="none" w:sz="0" w:space="0" w:color="auto"/>
          </w:divBdr>
        </w:div>
        <w:div w:id="860240521">
          <w:marLeft w:val="0"/>
          <w:marRight w:val="0"/>
          <w:marTop w:val="0"/>
          <w:marBottom w:val="0"/>
          <w:divBdr>
            <w:top w:val="none" w:sz="0" w:space="0" w:color="auto"/>
            <w:left w:val="none" w:sz="0" w:space="0" w:color="auto"/>
            <w:bottom w:val="none" w:sz="0" w:space="0" w:color="auto"/>
            <w:right w:val="none" w:sz="0" w:space="0" w:color="auto"/>
          </w:divBdr>
        </w:div>
        <w:div w:id="892691556">
          <w:marLeft w:val="0"/>
          <w:marRight w:val="0"/>
          <w:marTop w:val="0"/>
          <w:marBottom w:val="0"/>
          <w:divBdr>
            <w:top w:val="none" w:sz="0" w:space="0" w:color="auto"/>
            <w:left w:val="none" w:sz="0" w:space="0" w:color="auto"/>
            <w:bottom w:val="none" w:sz="0" w:space="0" w:color="auto"/>
            <w:right w:val="none" w:sz="0" w:space="0" w:color="auto"/>
          </w:divBdr>
        </w:div>
        <w:div w:id="24454764">
          <w:marLeft w:val="0"/>
          <w:marRight w:val="0"/>
          <w:marTop w:val="0"/>
          <w:marBottom w:val="0"/>
          <w:divBdr>
            <w:top w:val="none" w:sz="0" w:space="0" w:color="auto"/>
            <w:left w:val="none" w:sz="0" w:space="0" w:color="auto"/>
            <w:bottom w:val="none" w:sz="0" w:space="0" w:color="auto"/>
            <w:right w:val="none" w:sz="0" w:space="0" w:color="auto"/>
          </w:divBdr>
        </w:div>
        <w:div w:id="541678020">
          <w:marLeft w:val="0"/>
          <w:marRight w:val="0"/>
          <w:marTop w:val="0"/>
          <w:marBottom w:val="0"/>
          <w:divBdr>
            <w:top w:val="none" w:sz="0" w:space="0" w:color="auto"/>
            <w:left w:val="none" w:sz="0" w:space="0" w:color="auto"/>
            <w:bottom w:val="none" w:sz="0" w:space="0" w:color="auto"/>
            <w:right w:val="none" w:sz="0" w:space="0" w:color="auto"/>
          </w:divBdr>
        </w:div>
        <w:div w:id="1404261026">
          <w:marLeft w:val="0"/>
          <w:marRight w:val="0"/>
          <w:marTop w:val="0"/>
          <w:marBottom w:val="0"/>
          <w:divBdr>
            <w:top w:val="none" w:sz="0" w:space="0" w:color="auto"/>
            <w:left w:val="none" w:sz="0" w:space="0" w:color="auto"/>
            <w:bottom w:val="none" w:sz="0" w:space="0" w:color="auto"/>
            <w:right w:val="none" w:sz="0" w:space="0" w:color="auto"/>
          </w:divBdr>
        </w:div>
        <w:div w:id="638808706">
          <w:marLeft w:val="0"/>
          <w:marRight w:val="0"/>
          <w:marTop w:val="0"/>
          <w:marBottom w:val="0"/>
          <w:divBdr>
            <w:top w:val="none" w:sz="0" w:space="0" w:color="auto"/>
            <w:left w:val="none" w:sz="0" w:space="0" w:color="auto"/>
            <w:bottom w:val="none" w:sz="0" w:space="0" w:color="auto"/>
            <w:right w:val="none" w:sz="0" w:space="0" w:color="auto"/>
          </w:divBdr>
        </w:div>
        <w:div w:id="238516275">
          <w:marLeft w:val="0"/>
          <w:marRight w:val="0"/>
          <w:marTop w:val="0"/>
          <w:marBottom w:val="0"/>
          <w:divBdr>
            <w:top w:val="none" w:sz="0" w:space="0" w:color="auto"/>
            <w:left w:val="none" w:sz="0" w:space="0" w:color="auto"/>
            <w:bottom w:val="none" w:sz="0" w:space="0" w:color="auto"/>
            <w:right w:val="none" w:sz="0" w:space="0" w:color="auto"/>
          </w:divBdr>
        </w:div>
        <w:div w:id="1694109704">
          <w:marLeft w:val="0"/>
          <w:marRight w:val="0"/>
          <w:marTop w:val="0"/>
          <w:marBottom w:val="0"/>
          <w:divBdr>
            <w:top w:val="none" w:sz="0" w:space="0" w:color="auto"/>
            <w:left w:val="none" w:sz="0" w:space="0" w:color="auto"/>
            <w:bottom w:val="none" w:sz="0" w:space="0" w:color="auto"/>
            <w:right w:val="none" w:sz="0" w:space="0" w:color="auto"/>
          </w:divBdr>
        </w:div>
        <w:div w:id="2120836280">
          <w:marLeft w:val="0"/>
          <w:marRight w:val="0"/>
          <w:marTop w:val="0"/>
          <w:marBottom w:val="0"/>
          <w:divBdr>
            <w:top w:val="none" w:sz="0" w:space="0" w:color="auto"/>
            <w:left w:val="none" w:sz="0" w:space="0" w:color="auto"/>
            <w:bottom w:val="none" w:sz="0" w:space="0" w:color="auto"/>
            <w:right w:val="none" w:sz="0" w:space="0" w:color="auto"/>
          </w:divBdr>
        </w:div>
        <w:div w:id="455296425">
          <w:marLeft w:val="0"/>
          <w:marRight w:val="0"/>
          <w:marTop w:val="0"/>
          <w:marBottom w:val="0"/>
          <w:divBdr>
            <w:top w:val="none" w:sz="0" w:space="0" w:color="auto"/>
            <w:left w:val="none" w:sz="0" w:space="0" w:color="auto"/>
            <w:bottom w:val="none" w:sz="0" w:space="0" w:color="auto"/>
            <w:right w:val="none" w:sz="0" w:space="0" w:color="auto"/>
          </w:divBdr>
        </w:div>
        <w:div w:id="1932930429">
          <w:marLeft w:val="0"/>
          <w:marRight w:val="0"/>
          <w:marTop w:val="0"/>
          <w:marBottom w:val="0"/>
          <w:divBdr>
            <w:top w:val="none" w:sz="0" w:space="0" w:color="auto"/>
            <w:left w:val="none" w:sz="0" w:space="0" w:color="auto"/>
            <w:bottom w:val="none" w:sz="0" w:space="0" w:color="auto"/>
            <w:right w:val="none" w:sz="0" w:space="0" w:color="auto"/>
          </w:divBdr>
        </w:div>
        <w:div w:id="538082317">
          <w:marLeft w:val="0"/>
          <w:marRight w:val="0"/>
          <w:marTop w:val="0"/>
          <w:marBottom w:val="0"/>
          <w:divBdr>
            <w:top w:val="none" w:sz="0" w:space="0" w:color="auto"/>
            <w:left w:val="none" w:sz="0" w:space="0" w:color="auto"/>
            <w:bottom w:val="none" w:sz="0" w:space="0" w:color="auto"/>
            <w:right w:val="none" w:sz="0" w:space="0" w:color="auto"/>
          </w:divBdr>
        </w:div>
        <w:div w:id="679356651">
          <w:marLeft w:val="0"/>
          <w:marRight w:val="0"/>
          <w:marTop w:val="0"/>
          <w:marBottom w:val="0"/>
          <w:divBdr>
            <w:top w:val="none" w:sz="0" w:space="0" w:color="auto"/>
            <w:left w:val="none" w:sz="0" w:space="0" w:color="auto"/>
            <w:bottom w:val="none" w:sz="0" w:space="0" w:color="auto"/>
            <w:right w:val="none" w:sz="0" w:space="0" w:color="auto"/>
          </w:divBdr>
        </w:div>
        <w:div w:id="1638532409">
          <w:marLeft w:val="0"/>
          <w:marRight w:val="0"/>
          <w:marTop w:val="0"/>
          <w:marBottom w:val="0"/>
          <w:divBdr>
            <w:top w:val="none" w:sz="0" w:space="0" w:color="auto"/>
            <w:left w:val="none" w:sz="0" w:space="0" w:color="auto"/>
            <w:bottom w:val="none" w:sz="0" w:space="0" w:color="auto"/>
            <w:right w:val="none" w:sz="0" w:space="0" w:color="auto"/>
          </w:divBdr>
        </w:div>
        <w:div w:id="1464275602">
          <w:marLeft w:val="0"/>
          <w:marRight w:val="0"/>
          <w:marTop w:val="0"/>
          <w:marBottom w:val="0"/>
          <w:divBdr>
            <w:top w:val="none" w:sz="0" w:space="0" w:color="auto"/>
            <w:left w:val="none" w:sz="0" w:space="0" w:color="auto"/>
            <w:bottom w:val="none" w:sz="0" w:space="0" w:color="auto"/>
            <w:right w:val="none" w:sz="0" w:space="0" w:color="auto"/>
          </w:divBdr>
        </w:div>
        <w:div w:id="1916237550">
          <w:marLeft w:val="0"/>
          <w:marRight w:val="0"/>
          <w:marTop w:val="0"/>
          <w:marBottom w:val="0"/>
          <w:divBdr>
            <w:top w:val="none" w:sz="0" w:space="0" w:color="auto"/>
            <w:left w:val="none" w:sz="0" w:space="0" w:color="auto"/>
            <w:bottom w:val="none" w:sz="0" w:space="0" w:color="auto"/>
            <w:right w:val="none" w:sz="0" w:space="0" w:color="auto"/>
          </w:divBdr>
        </w:div>
        <w:div w:id="2095541977">
          <w:marLeft w:val="0"/>
          <w:marRight w:val="0"/>
          <w:marTop w:val="0"/>
          <w:marBottom w:val="0"/>
          <w:divBdr>
            <w:top w:val="none" w:sz="0" w:space="0" w:color="auto"/>
            <w:left w:val="none" w:sz="0" w:space="0" w:color="auto"/>
            <w:bottom w:val="none" w:sz="0" w:space="0" w:color="auto"/>
            <w:right w:val="none" w:sz="0" w:space="0" w:color="auto"/>
          </w:divBdr>
          <w:divsChild>
            <w:div w:id="1488938398">
              <w:marLeft w:val="-75"/>
              <w:marRight w:val="0"/>
              <w:marTop w:val="30"/>
              <w:marBottom w:val="30"/>
              <w:divBdr>
                <w:top w:val="none" w:sz="0" w:space="0" w:color="auto"/>
                <w:left w:val="none" w:sz="0" w:space="0" w:color="auto"/>
                <w:bottom w:val="none" w:sz="0" w:space="0" w:color="auto"/>
                <w:right w:val="none" w:sz="0" w:space="0" w:color="auto"/>
              </w:divBdr>
              <w:divsChild>
                <w:div w:id="283007184">
                  <w:marLeft w:val="0"/>
                  <w:marRight w:val="0"/>
                  <w:marTop w:val="0"/>
                  <w:marBottom w:val="0"/>
                  <w:divBdr>
                    <w:top w:val="none" w:sz="0" w:space="0" w:color="auto"/>
                    <w:left w:val="none" w:sz="0" w:space="0" w:color="auto"/>
                    <w:bottom w:val="none" w:sz="0" w:space="0" w:color="auto"/>
                    <w:right w:val="none" w:sz="0" w:space="0" w:color="auto"/>
                  </w:divBdr>
                  <w:divsChild>
                    <w:div w:id="928538327">
                      <w:marLeft w:val="0"/>
                      <w:marRight w:val="0"/>
                      <w:marTop w:val="0"/>
                      <w:marBottom w:val="0"/>
                      <w:divBdr>
                        <w:top w:val="none" w:sz="0" w:space="0" w:color="auto"/>
                        <w:left w:val="none" w:sz="0" w:space="0" w:color="auto"/>
                        <w:bottom w:val="none" w:sz="0" w:space="0" w:color="auto"/>
                        <w:right w:val="none" w:sz="0" w:space="0" w:color="auto"/>
                      </w:divBdr>
                    </w:div>
                  </w:divsChild>
                </w:div>
                <w:div w:id="1080567943">
                  <w:marLeft w:val="0"/>
                  <w:marRight w:val="0"/>
                  <w:marTop w:val="0"/>
                  <w:marBottom w:val="0"/>
                  <w:divBdr>
                    <w:top w:val="none" w:sz="0" w:space="0" w:color="auto"/>
                    <w:left w:val="none" w:sz="0" w:space="0" w:color="auto"/>
                    <w:bottom w:val="none" w:sz="0" w:space="0" w:color="auto"/>
                    <w:right w:val="none" w:sz="0" w:space="0" w:color="auto"/>
                  </w:divBdr>
                  <w:divsChild>
                    <w:div w:id="1112624978">
                      <w:marLeft w:val="0"/>
                      <w:marRight w:val="0"/>
                      <w:marTop w:val="0"/>
                      <w:marBottom w:val="0"/>
                      <w:divBdr>
                        <w:top w:val="none" w:sz="0" w:space="0" w:color="auto"/>
                        <w:left w:val="none" w:sz="0" w:space="0" w:color="auto"/>
                        <w:bottom w:val="none" w:sz="0" w:space="0" w:color="auto"/>
                        <w:right w:val="none" w:sz="0" w:space="0" w:color="auto"/>
                      </w:divBdr>
                    </w:div>
                    <w:div w:id="539319864">
                      <w:marLeft w:val="0"/>
                      <w:marRight w:val="0"/>
                      <w:marTop w:val="0"/>
                      <w:marBottom w:val="0"/>
                      <w:divBdr>
                        <w:top w:val="none" w:sz="0" w:space="0" w:color="auto"/>
                        <w:left w:val="none" w:sz="0" w:space="0" w:color="auto"/>
                        <w:bottom w:val="none" w:sz="0" w:space="0" w:color="auto"/>
                        <w:right w:val="none" w:sz="0" w:space="0" w:color="auto"/>
                      </w:divBdr>
                    </w:div>
                  </w:divsChild>
                </w:div>
                <w:div w:id="344208591">
                  <w:marLeft w:val="0"/>
                  <w:marRight w:val="0"/>
                  <w:marTop w:val="0"/>
                  <w:marBottom w:val="0"/>
                  <w:divBdr>
                    <w:top w:val="none" w:sz="0" w:space="0" w:color="auto"/>
                    <w:left w:val="none" w:sz="0" w:space="0" w:color="auto"/>
                    <w:bottom w:val="none" w:sz="0" w:space="0" w:color="auto"/>
                    <w:right w:val="none" w:sz="0" w:space="0" w:color="auto"/>
                  </w:divBdr>
                  <w:divsChild>
                    <w:div w:id="1723020549">
                      <w:marLeft w:val="0"/>
                      <w:marRight w:val="0"/>
                      <w:marTop w:val="0"/>
                      <w:marBottom w:val="0"/>
                      <w:divBdr>
                        <w:top w:val="none" w:sz="0" w:space="0" w:color="auto"/>
                        <w:left w:val="none" w:sz="0" w:space="0" w:color="auto"/>
                        <w:bottom w:val="none" w:sz="0" w:space="0" w:color="auto"/>
                        <w:right w:val="none" w:sz="0" w:space="0" w:color="auto"/>
                      </w:divBdr>
                    </w:div>
                  </w:divsChild>
                </w:div>
                <w:div w:id="233929418">
                  <w:marLeft w:val="0"/>
                  <w:marRight w:val="0"/>
                  <w:marTop w:val="0"/>
                  <w:marBottom w:val="0"/>
                  <w:divBdr>
                    <w:top w:val="none" w:sz="0" w:space="0" w:color="auto"/>
                    <w:left w:val="none" w:sz="0" w:space="0" w:color="auto"/>
                    <w:bottom w:val="none" w:sz="0" w:space="0" w:color="auto"/>
                    <w:right w:val="none" w:sz="0" w:space="0" w:color="auto"/>
                  </w:divBdr>
                  <w:divsChild>
                    <w:div w:id="193542531">
                      <w:marLeft w:val="0"/>
                      <w:marRight w:val="0"/>
                      <w:marTop w:val="0"/>
                      <w:marBottom w:val="0"/>
                      <w:divBdr>
                        <w:top w:val="none" w:sz="0" w:space="0" w:color="auto"/>
                        <w:left w:val="none" w:sz="0" w:space="0" w:color="auto"/>
                        <w:bottom w:val="none" w:sz="0" w:space="0" w:color="auto"/>
                        <w:right w:val="none" w:sz="0" w:space="0" w:color="auto"/>
                      </w:divBdr>
                    </w:div>
                    <w:div w:id="2029217062">
                      <w:marLeft w:val="0"/>
                      <w:marRight w:val="0"/>
                      <w:marTop w:val="0"/>
                      <w:marBottom w:val="0"/>
                      <w:divBdr>
                        <w:top w:val="none" w:sz="0" w:space="0" w:color="auto"/>
                        <w:left w:val="none" w:sz="0" w:space="0" w:color="auto"/>
                        <w:bottom w:val="none" w:sz="0" w:space="0" w:color="auto"/>
                        <w:right w:val="none" w:sz="0" w:space="0" w:color="auto"/>
                      </w:divBdr>
                    </w:div>
                  </w:divsChild>
                </w:div>
                <w:div w:id="231042282">
                  <w:marLeft w:val="0"/>
                  <w:marRight w:val="0"/>
                  <w:marTop w:val="0"/>
                  <w:marBottom w:val="0"/>
                  <w:divBdr>
                    <w:top w:val="none" w:sz="0" w:space="0" w:color="auto"/>
                    <w:left w:val="none" w:sz="0" w:space="0" w:color="auto"/>
                    <w:bottom w:val="none" w:sz="0" w:space="0" w:color="auto"/>
                    <w:right w:val="none" w:sz="0" w:space="0" w:color="auto"/>
                  </w:divBdr>
                  <w:divsChild>
                    <w:div w:id="1200582818">
                      <w:marLeft w:val="0"/>
                      <w:marRight w:val="0"/>
                      <w:marTop w:val="0"/>
                      <w:marBottom w:val="0"/>
                      <w:divBdr>
                        <w:top w:val="none" w:sz="0" w:space="0" w:color="auto"/>
                        <w:left w:val="none" w:sz="0" w:space="0" w:color="auto"/>
                        <w:bottom w:val="none" w:sz="0" w:space="0" w:color="auto"/>
                        <w:right w:val="none" w:sz="0" w:space="0" w:color="auto"/>
                      </w:divBdr>
                    </w:div>
                  </w:divsChild>
                </w:div>
                <w:div w:id="431166015">
                  <w:marLeft w:val="0"/>
                  <w:marRight w:val="0"/>
                  <w:marTop w:val="0"/>
                  <w:marBottom w:val="0"/>
                  <w:divBdr>
                    <w:top w:val="none" w:sz="0" w:space="0" w:color="auto"/>
                    <w:left w:val="none" w:sz="0" w:space="0" w:color="auto"/>
                    <w:bottom w:val="none" w:sz="0" w:space="0" w:color="auto"/>
                    <w:right w:val="none" w:sz="0" w:space="0" w:color="auto"/>
                  </w:divBdr>
                  <w:divsChild>
                    <w:div w:id="6338374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816871884">
          <w:marLeft w:val="0"/>
          <w:marRight w:val="0"/>
          <w:marTop w:val="0"/>
          <w:marBottom w:val="0"/>
          <w:divBdr>
            <w:top w:val="none" w:sz="0" w:space="0" w:color="auto"/>
            <w:left w:val="none" w:sz="0" w:space="0" w:color="auto"/>
            <w:bottom w:val="none" w:sz="0" w:space="0" w:color="auto"/>
            <w:right w:val="none" w:sz="0" w:space="0" w:color="auto"/>
          </w:divBdr>
        </w:div>
        <w:div w:id="1002320289">
          <w:marLeft w:val="0"/>
          <w:marRight w:val="0"/>
          <w:marTop w:val="0"/>
          <w:marBottom w:val="0"/>
          <w:divBdr>
            <w:top w:val="none" w:sz="0" w:space="0" w:color="auto"/>
            <w:left w:val="none" w:sz="0" w:space="0" w:color="auto"/>
            <w:bottom w:val="none" w:sz="0" w:space="0" w:color="auto"/>
            <w:right w:val="none" w:sz="0" w:space="0" w:color="auto"/>
          </w:divBdr>
        </w:div>
        <w:div w:id="2033648475">
          <w:marLeft w:val="0"/>
          <w:marRight w:val="0"/>
          <w:marTop w:val="0"/>
          <w:marBottom w:val="0"/>
          <w:divBdr>
            <w:top w:val="none" w:sz="0" w:space="0" w:color="auto"/>
            <w:left w:val="none" w:sz="0" w:space="0" w:color="auto"/>
            <w:bottom w:val="none" w:sz="0" w:space="0" w:color="auto"/>
            <w:right w:val="none" w:sz="0" w:space="0" w:color="auto"/>
          </w:divBdr>
        </w:div>
        <w:div w:id="1053582647">
          <w:marLeft w:val="0"/>
          <w:marRight w:val="0"/>
          <w:marTop w:val="0"/>
          <w:marBottom w:val="0"/>
          <w:divBdr>
            <w:top w:val="none" w:sz="0" w:space="0" w:color="auto"/>
            <w:left w:val="none" w:sz="0" w:space="0" w:color="auto"/>
            <w:bottom w:val="none" w:sz="0" w:space="0" w:color="auto"/>
            <w:right w:val="none" w:sz="0" w:space="0" w:color="auto"/>
          </w:divBdr>
        </w:div>
        <w:div w:id="165822881">
          <w:marLeft w:val="0"/>
          <w:marRight w:val="0"/>
          <w:marTop w:val="0"/>
          <w:marBottom w:val="0"/>
          <w:divBdr>
            <w:top w:val="none" w:sz="0" w:space="0" w:color="auto"/>
            <w:left w:val="none" w:sz="0" w:space="0" w:color="auto"/>
            <w:bottom w:val="none" w:sz="0" w:space="0" w:color="auto"/>
            <w:right w:val="none" w:sz="0" w:space="0" w:color="auto"/>
          </w:divBdr>
        </w:div>
        <w:div w:id="1919947877">
          <w:marLeft w:val="0"/>
          <w:marRight w:val="0"/>
          <w:marTop w:val="0"/>
          <w:marBottom w:val="0"/>
          <w:divBdr>
            <w:top w:val="none" w:sz="0" w:space="0" w:color="auto"/>
            <w:left w:val="none" w:sz="0" w:space="0" w:color="auto"/>
            <w:bottom w:val="none" w:sz="0" w:space="0" w:color="auto"/>
            <w:right w:val="none" w:sz="0" w:space="0" w:color="auto"/>
          </w:divBdr>
          <w:divsChild>
            <w:div w:id="1192113255">
              <w:marLeft w:val="0"/>
              <w:marRight w:val="0"/>
              <w:marTop w:val="0"/>
              <w:marBottom w:val="0"/>
              <w:divBdr>
                <w:top w:val="none" w:sz="0" w:space="0" w:color="auto"/>
                <w:left w:val="none" w:sz="0" w:space="0" w:color="auto"/>
                <w:bottom w:val="none" w:sz="0" w:space="0" w:color="auto"/>
                <w:right w:val="none" w:sz="0" w:space="0" w:color="auto"/>
              </w:divBdr>
            </w:div>
            <w:div w:id="524707673">
              <w:marLeft w:val="0"/>
              <w:marRight w:val="0"/>
              <w:marTop w:val="0"/>
              <w:marBottom w:val="0"/>
              <w:divBdr>
                <w:top w:val="none" w:sz="0" w:space="0" w:color="auto"/>
                <w:left w:val="none" w:sz="0" w:space="0" w:color="auto"/>
                <w:bottom w:val="none" w:sz="0" w:space="0" w:color="auto"/>
                <w:right w:val="none" w:sz="0" w:space="0" w:color="auto"/>
              </w:divBdr>
            </w:div>
            <w:div w:id="1477457551">
              <w:marLeft w:val="0"/>
              <w:marRight w:val="0"/>
              <w:marTop w:val="0"/>
              <w:marBottom w:val="0"/>
              <w:divBdr>
                <w:top w:val="none" w:sz="0" w:space="0" w:color="auto"/>
                <w:left w:val="none" w:sz="0" w:space="0" w:color="auto"/>
                <w:bottom w:val="none" w:sz="0" w:space="0" w:color="auto"/>
                <w:right w:val="none" w:sz="0" w:space="0" w:color="auto"/>
              </w:divBdr>
            </w:div>
            <w:div w:id="1905212490">
              <w:marLeft w:val="0"/>
              <w:marRight w:val="0"/>
              <w:marTop w:val="0"/>
              <w:marBottom w:val="0"/>
              <w:divBdr>
                <w:top w:val="none" w:sz="0" w:space="0" w:color="auto"/>
                <w:left w:val="none" w:sz="0" w:space="0" w:color="auto"/>
                <w:bottom w:val="none" w:sz="0" w:space="0" w:color="auto"/>
                <w:right w:val="none" w:sz="0" w:space="0" w:color="auto"/>
              </w:divBdr>
            </w:div>
            <w:div w:id="1960529064">
              <w:marLeft w:val="0"/>
              <w:marRight w:val="0"/>
              <w:marTop w:val="0"/>
              <w:marBottom w:val="0"/>
              <w:divBdr>
                <w:top w:val="none" w:sz="0" w:space="0" w:color="auto"/>
                <w:left w:val="none" w:sz="0" w:space="0" w:color="auto"/>
                <w:bottom w:val="none" w:sz="0" w:space="0" w:color="auto"/>
                <w:right w:val="none" w:sz="0" w:space="0" w:color="auto"/>
              </w:divBdr>
            </w:div>
          </w:divsChild>
        </w:div>
        <w:div w:id="1791318772">
          <w:marLeft w:val="0"/>
          <w:marRight w:val="0"/>
          <w:marTop w:val="0"/>
          <w:marBottom w:val="0"/>
          <w:divBdr>
            <w:top w:val="none" w:sz="0" w:space="0" w:color="auto"/>
            <w:left w:val="none" w:sz="0" w:space="0" w:color="auto"/>
            <w:bottom w:val="none" w:sz="0" w:space="0" w:color="auto"/>
            <w:right w:val="none" w:sz="0" w:space="0" w:color="auto"/>
          </w:divBdr>
        </w:div>
        <w:div w:id="1672679863">
          <w:marLeft w:val="0"/>
          <w:marRight w:val="0"/>
          <w:marTop w:val="0"/>
          <w:marBottom w:val="0"/>
          <w:divBdr>
            <w:top w:val="none" w:sz="0" w:space="0" w:color="auto"/>
            <w:left w:val="none" w:sz="0" w:space="0" w:color="auto"/>
            <w:bottom w:val="none" w:sz="0" w:space="0" w:color="auto"/>
            <w:right w:val="none" w:sz="0" w:space="0" w:color="auto"/>
          </w:divBdr>
        </w:div>
        <w:div w:id="896629501">
          <w:marLeft w:val="0"/>
          <w:marRight w:val="0"/>
          <w:marTop w:val="0"/>
          <w:marBottom w:val="0"/>
          <w:divBdr>
            <w:top w:val="none" w:sz="0" w:space="0" w:color="auto"/>
            <w:left w:val="none" w:sz="0" w:space="0" w:color="auto"/>
            <w:bottom w:val="none" w:sz="0" w:space="0" w:color="auto"/>
            <w:right w:val="none" w:sz="0" w:space="0" w:color="auto"/>
          </w:divBdr>
        </w:div>
        <w:div w:id="1492059971">
          <w:marLeft w:val="0"/>
          <w:marRight w:val="0"/>
          <w:marTop w:val="0"/>
          <w:marBottom w:val="0"/>
          <w:divBdr>
            <w:top w:val="none" w:sz="0" w:space="0" w:color="auto"/>
            <w:left w:val="none" w:sz="0" w:space="0" w:color="auto"/>
            <w:bottom w:val="none" w:sz="0" w:space="0" w:color="auto"/>
            <w:right w:val="none" w:sz="0" w:space="0" w:color="auto"/>
          </w:divBdr>
        </w:div>
        <w:div w:id="743262102">
          <w:marLeft w:val="0"/>
          <w:marRight w:val="0"/>
          <w:marTop w:val="0"/>
          <w:marBottom w:val="0"/>
          <w:divBdr>
            <w:top w:val="none" w:sz="0" w:space="0" w:color="auto"/>
            <w:left w:val="none" w:sz="0" w:space="0" w:color="auto"/>
            <w:bottom w:val="none" w:sz="0" w:space="0" w:color="auto"/>
            <w:right w:val="none" w:sz="0" w:space="0" w:color="auto"/>
          </w:divBdr>
        </w:div>
        <w:div w:id="1966614619">
          <w:marLeft w:val="0"/>
          <w:marRight w:val="0"/>
          <w:marTop w:val="0"/>
          <w:marBottom w:val="0"/>
          <w:divBdr>
            <w:top w:val="none" w:sz="0" w:space="0" w:color="auto"/>
            <w:left w:val="none" w:sz="0" w:space="0" w:color="auto"/>
            <w:bottom w:val="none" w:sz="0" w:space="0" w:color="auto"/>
            <w:right w:val="none" w:sz="0" w:space="0" w:color="auto"/>
          </w:divBdr>
          <w:divsChild>
            <w:div w:id="1375154655">
              <w:marLeft w:val="0"/>
              <w:marRight w:val="0"/>
              <w:marTop w:val="0"/>
              <w:marBottom w:val="0"/>
              <w:divBdr>
                <w:top w:val="none" w:sz="0" w:space="0" w:color="auto"/>
                <w:left w:val="none" w:sz="0" w:space="0" w:color="auto"/>
                <w:bottom w:val="none" w:sz="0" w:space="0" w:color="auto"/>
                <w:right w:val="none" w:sz="0" w:space="0" w:color="auto"/>
              </w:divBdr>
            </w:div>
            <w:div w:id="1193155926">
              <w:marLeft w:val="0"/>
              <w:marRight w:val="0"/>
              <w:marTop w:val="0"/>
              <w:marBottom w:val="0"/>
              <w:divBdr>
                <w:top w:val="none" w:sz="0" w:space="0" w:color="auto"/>
                <w:left w:val="none" w:sz="0" w:space="0" w:color="auto"/>
                <w:bottom w:val="none" w:sz="0" w:space="0" w:color="auto"/>
                <w:right w:val="none" w:sz="0" w:space="0" w:color="auto"/>
              </w:divBdr>
            </w:div>
            <w:div w:id="152644634">
              <w:marLeft w:val="0"/>
              <w:marRight w:val="0"/>
              <w:marTop w:val="0"/>
              <w:marBottom w:val="0"/>
              <w:divBdr>
                <w:top w:val="none" w:sz="0" w:space="0" w:color="auto"/>
                <w:left w:val="none" w:sz="0" w:space="0" w:color="auto"/>
                <w:bottom w:val="none" w:sz="0" w:space="0" w:color="auto"/>
                <w:right w:val="none" w:sz="0" w:space="0" w:color="auto"/>
              </w:divBdr>
            </w:div>
            <w:div w:id="1745906066">
              <w:marLeft w:val="0"/>
              <w:marRight w:val="0"/>
              <w:marTop w:val="0"/>
              <w:marBottom w:val="0"/>
              <w:divBdr>
                <w:top w:val="none" w:sz="0" w:space="0" w:color="auto"/>
                <w:left w:val="none" w:sz="0" w:space="0" w:color="auto"/>
                <w:bottom w:val="none" w:sz="0" w:space="0" w:color="auto"/>
                <w:right w:val="none" w:sz="0" w:space="0" w:color="auto"/>
              </w:divBdr>
            </w:div>
            <w:div w:id="293171294">
              <w:marLeft w:val="0"/>
              <w:marRight w:val="0"/>
              <w:marTop w:val="0"/>
              <w:marBottom w:val="0"/>
              <w:divBdr>
                <w:top w:val="none" w:sz="0" w:space="0" w:color="auto"/>
                <w:left w:val="none" w:sz="0" w:space="0" w:color="auto"/>
                <w:bottom w:val="none" w:sz="0" w:space="0" w:color="auto"/>
                <w:right w:val="none" w:sz="0" w:space="0" w:color="auto"/>
              </w:divBdr>
            </w:div>
          </w:divsChild>
        </w:div>
        <w:div w:id="1836526458">
          <w:marLeft w:val="0"/>
          <w:marRight w:val="0"/>
          <w:marTop w:val="0"/>
          <w:marBottom w:val="0"/>
          <w:divBdr>
            <w:top w:val="none" w:sz="0" w:space="0" w:color="auto"/>
            <w:left w:val="none" w:sz="0" w:space="0" w:color="auto"/>
            <w:bottom w:val="none" w:sz="0" w:space="0" w:color="auto"/>
            <w:right w:val="none" w:sz="0" w:space="0" w:color="auto"/>
          </w:divBdr>
          <w:divsChild>
            <w:div w:id="1153059618">
              <w:marLeft w:val="0"/>
              <w:marRight w:val="0"/>
              <w:marTop w:val="0"/>
              <w:marBottom w:val="0"/>
              <w:divBdr>
                <w:top w:val="none" w:sz="0" w:space="0" w:color="auto"/>
                <w:left w:val="none" w:sz="0" w:space="0" w:color="auto"/>
                <w:bottom w:val="none" w:sz="0" w:space="0" w:color="auto"/>
                <w:right w:val="none" w:sz="0" w:space="0" w:color="auto"/>
              </w:divBdr>
            </w:div>
            <w:div w:id="252974095">
              <w:marLeft w:val="0"/>
              <w:marRight w:val="0"/>
              <w:marTop w:val="0"/>
              <w:marBottom w:val="0"/>
              <w:divBdr>
                <w:top w:val="none" w:sz="0" w:space="0" w:color="auto"/>
                <w:left w:val="none" w:sz="0" w:space="0" w:color="auto"/>
                <w:bottom w:val="none" w:sz="0" w:space="0" w:color="auto"/>
                <w:right w:val="none" w:sz="0" w:space="0" w:color="auto"/>
              </w:divBdr>
            </w:div>
            <w:div w:id="465974370">
              <w:marLeft w:val="0"/>
              <w:marRight w:val="0"/>
              <w:marTop w:val="0"/>
              <w:marBottom w:val="0"/>
              <w:divBdr>
                <w:top w:val="none" w:sz="0" w:space="0" w:color="auto"/>
                <w:left w:val="none" w:sz="0" w:space="0" w:color="auto"/>
                <w:bottom w:val="none" w:sz="0" w:space="0" w:color="auto"/>
                <w:right w:val="none" w:sz="0" w:space="0" w:color="auto"/>
              </w:divBdr>
            </w:div>
            <w:div w:id="762535188">
              <w:marLeft w:val="0"/>
              <w:marRight w:val="0"/>
              <w:marTop w:val="0"/>
              <w:marBottom w:val="0"/>
              <w:divBdr>
                <w:top w:val="none" w:sz="0" w:space="0" w:color="auto"/>
                <w:left w:val="none" w:sz="0" w:space="0" w:color="auto"/>
                <w:bottom w:val="none" w:sz="0" w:space="0" w:color="auto"/>
                <w:right w:val="none" w:sz="0" w:space="0" w:color="auto"/>
              </w:divBdr>
            </w:div>
            <w:div w:id="1513228375">
              <w:marLeft w:val="0"/>
              <w:marRight w:val="0"/>
              <w:marTop w:val="0"/>
              <w:marBottom w:val="0"/>
              <w:divBdr>
                <w:top w:val="none" w:sz="0" w:space="0" w:color="auto"/>
                <w:left w:val="none" w:sz="0" w:space="0" w:color="auto"/>
                <w:bottom w:val="none" w:sz="0" w:space="0" w:color="auto"/>
                <w:right w:val="none" w:sz="0" w:space="0" w:color="auto"/>
              </w:divBdr>
            </w:div>
          </w:divsChild>
        </w:div>
        <w:div w:id="1128550095">
          <w:marLeft w:val="0"/>
          <w:marRight w:val="0"/>
          <w:marTop w:val="0"/>
          <w:marBottom w:val="0"/>
          <w:divBdr>
            <w:top w:val="none" w:sz="0" w:space="0" w:color="auto"/>
            <w:left w:val="none" w:sz="0" w:space="0" w:color="auto"/>
            <w:bottom w:val="none" w:sz="0" w:space="0" w:color="auto"/>
            <w:right w:val="none" w:sz="0" w:space="0" w:color="auto"/>
          </w:divBdr>
          <w:divsChild>
            <w:div w:id="407390849">
              <w:marLeft w:val="0"/>
              <w:marRight w:val="0"/>
              <w:marTop w:val="0"/>
              <w:marBottom w:val="0"/>
              <w:divBdr>
                <w:top w:val="none" w:sz="0" w:space="0" w:color="auto"/>
                <w:left w:val="none" w:sz="0" w:space="0" w:color="auto"/>
                <w:bottom w:val="none" w:sz="0" w:space="0" w:color="auto"/>
                <w:right w:val="none" w:sz="0" w:space="0" w:color="auto"/>
              </w:divBdr>
            </w:div>
            <w:div w:id="1142380584">
              <w:marLeft w:val="0"/>
              <w:marRight w:val="0"/>
              <w:marTop w:val="0"/>
              <w:marBottom w:val="0"/>
              <w:divBdr>
                <w:top w:val="none" w:sz="0" w:space="0" w:color="auto"/>
                <w:left w:val="none" w:sz="0" w:space="0" w:color="auto"/>
                <w:bottom w:val="none" w:sz="0" w:space="0" w:color="auto"/>
                <w:right w:val="none" w:sz="0" w:space="0" w:color="auto"/>
              </w:divBdr>
            </w:div>
            <w:div w:id="1192953861">
              <w:marLeft w:val="0"/>
              <w:marRight w:val="0"/>
              <w:marTop w:val="0"/>
              <w:marBottom w:val="0"/>
              <w:divBdr>
                <w:top w:val="none" w:sz="0" w:space="0" w:color="auto"/>
                <w:left w:val="none" w:sz="0" w:space="0" w:color="auto"/>
                <w:bottom w:val="none" w:sz="0" w:space="0" w:color="auto"/>
                <w:right w:val="none" w:sz="0" w:space="0" w:color="auto"/>
              </w:divBdr>
            </w:div>
          </w:divsChild>
        </w:div>
        <w:div w:id="953637238">
          <w:marLeft w:val="0"/>
          <w:marRight w:val="0"/>
          <w:marTop w:val="0"/>
          <w:marBottom w:val="0"/>
          <w:divBdr>
            <w:top w:val="none" w:sz="0" w:space="0" w:color="auto"/>
            <w:left w:val="none" w:sz="0" w:space="0" w:color="auto"/>
            <w:bottom w:val="none" w:sz="0" w:space="0" w:color="auto"/>
            <w:right w:val="none" w:sz="0" w:space="0" w:color="auto"/>
          </w:divBdr>
          <w:divsChild>
            <w:div w:id="330067371">
              <w:marLeft w:val="0"/>
              <w:marRight w:val="0"/>
              <w:marTop w:val="0"/>
              <w:marBottom w:val="0"/>
              <w:divBdr>
                <w:top w:val="none" w:sz="0" w:space="0" w:color="auto"/>
                <w:left w:val="none" w:sz="0" w:space="0" w:color="auto"/>
                <w:bottom w:val="none" w:sz="0" w:space="0" w:color="auto"/>
                <w:right w:val="none" w:sz="0" w:space="0" w:color="auto"/>
              </w:divBdr>
            </w:div>
            <w:div w:id="1721204122">
              <w:marLeft w:val="0"/>
              <w:marRight w:val="0"/>
              <w:marTop w:val="0"/>
              <w:marBottom w:val="0"/>
              <w:divBdr>
                <w:top w:val="none" w:sz="0" w:space="0" w:color="auto"/>
                <w:left w:val="none" w:sz="0" w:space="0" w:color="auto"/>
                <w:bottom w:val="none" w:sz="0" w:space="0" w:color="auto"/>
                <w:right w:val="none" w:sz="0" w:space="0" w:color="auto"/>
              </w:divBdr>
            </w:div>
            <w:div w:id="543758897">
              <w:marLeft w:val="0"/>
              <w:marRight w:val="0"/>
              <w:marTop w:val="0"/>
              <w:marBottom w:val="0"/>
              <w:divBdr>
                <w:top w:val="none" w:sz="0" w:space="0" w:color="auto"/>
                <w:left w:val="none" w:sz="0" w:space="0" w:color="auto"/>
                <w:bottom w:val="none" w:sz="0" w:space="0" w:color="auto"/>
                <w:right w:val="none" w:sz="0" w:space="0" w:color="auto"/>
              </w:divBdr>
            </w:div>
            <w:div w:id="1286548090">
              <w:marLeft w:val="0"/>
              <w:marRight w:val="0"/>
              <w:marTop w:val="0"/>
              <w:marBottom w:val="0"/>
              <w:divBdr>
                <w:top w:val="none" w:sz="0" w:space="0" w:color="auto"/>
                <w:left w:val="none" w:sz="0" w:space="0" w:color="auto"/>
                <w:bottom w:val="none" w:sz="0" w:space="0" w:color="auto"/>
                <w:right w:val="none" w:sz="0" w:space="0" w:color="auto"/>
              </w:divBdr>
            </w:div>
            <w:div w:id="220364327">
              <w:marLeft w:val="0"/>
              <w:marRight w:val="0"/>
              <w:marTop w:val="0"/>
              <w:marBottom w:val="0"/>
              <w:divBdr>
                <w:top w:val="none" w:sz="0" w:space="0" w:color="auto"/>
                <w:left w:val="none" w:sz="0" w:space="0" w:color="auto"/>
                <w:bottom w:val="none" w:sz="0" w:space="0" w:color="auto"/>
                <w:right w:val="none" w:sz="0" w:space="0" w:color="auto"/>
              </w:divBdr>
            </w:div>
          </w:divsChild>
        </w:div>
        <w:div w:id="568075362">
          <w:marLeft w:val="0"/>
          <w:marRight w:val="0"/>
          <w:marTop w:val="0"/>
          <w:marBottom w:val="0"/>
          <w:divBdr>
            <w:top w:val="none" w:sz="0" w:space="0" w:color="auto"/>
            <w:left w:val="none" w:sz="0" w:space="0" w:color="auto"/>
            <w:bottom w:val="none" w:sz="0" w:space="0" w:color="auto"/>
            <w:right w:val="none" w:sz="0" w:space="0" w:color="auto"/>
          </w:divBdr>
        </w:div>
        <w:div w:id="1538200560">
          <w:marLeft w:val="0"/>
          <w:marRight w:val="0"/>
          <w:marTop w:val="0"/>
          <w:marBottom w:val="0"/>
          <w:divBdr>
            <w:top w:val="none" w:sz="0" w:space="0" w:color="auto"/>
            <w:left w:val="none" w:sz="0" w:space="0" w:color="auto"/>
            <w:bottom w:val="none" w:sz="0" w:space="0" w:color="auto"/>
            <w:right w:val="none" w:sz="0" w:space="0" w:color="auto"/>
          </w:divBdr>
          <w:divsChild>
            <w:div w:id="1030690503">
              <w:marLeft w:val="-75"/>
              <w:marRight w:val="0"/>
              <w:marTop w:val="30"/>
              <w:marBottom w:val="30"/>
              <w:divBdr>
                <w:top w:val="none" w:sz="0" w:space="0" w:color="auto"/>
                <w:left w:val="none" w:sz="0" w:space="0" w:color="auto"/>
                <w:bottom w:val="none" w:sz="0" w:space="0" w:color="auto"/>
                <w:right w:val="none" w:sz="0" w:space="0" w:color="auto"/>
              </w:divBdr>
              <w:divsChild>
                <w:div w:id="439450645">
                  <w:marLeft w:val="0"/>
                  <w:marRight w:val="0"/>
                  <w:marTop w:val="0"/>
                  <w:marBottom w:val="0"/>
                  <w:divBdr>
                    <w:top w:val="none" w:sz="0" w:space="0" w:color="auto"/>
                    <w:left w:val="none" w:sz="0" w:space="0" w:color="auto"/>
                    <w:bottom w:val="none" w:sz="0" w:space="0" w:color="auto"/>
                    <w:right w:val="none" w:sz="0" w:space="0" w:color="auto"/>
                  </w:divBdr>
                  <w:divsChild>
                    <w:div w:id="1359618204">
                      <w:marLeft w:val="0"/>
                      <w:marRight w:val="0"/>
                      <w:marTop w:val="0"/>
                      <w:marBottom w:val="0"/>
                      <w:divBdr>
                        <w:top w:val="none" w:sz="0" w:space="0" w:color="auto"/>
                        <w:left w:val="none" w:sz="0" w:space="0" w:color="auto"/>
                        <w:bottom w:val="none" w:sz="0" w:space="0" w:color="auto"/>
                        <w:right w:val="none" w:sz="0" w:space="0" w:color="auto"/>
                      </w:divBdr>
                    </w:div>
                  </w:divsChild>
                </w:div>
                <w:div w:id="835262197">
                  <w:marLeft w:val="0"/>
                  <w:marRight w:val="0"/>
                  <w:marTop w:val="0"/>
                  <w:marBottom w:val="0"/>
                  <w:divBdr>
                    <w:top w:val="none" w:sz="0" w:space="0" w:color="auto"/>
                    <w:left w:val="none" w:sz="0" w:space="0" w:color="auto"/>
                    <w:bottom w:val="none" w:sz="0" w:space="0" w:color="auto"/>
                    <w:right w:val="none" w:sz="0" w:space="0" w:color="auto"/>
                  </w:divBdr>
                  <w:divsChild>
                    <w:div w:id="1468469984">
                      <w:marLeft w:val="0"/>
                      <w:marRight w:val="0"/>
                      <w:marTop w:val="0"/>
                      <w:marBottom w:val="0"/>
                      <w:divBdr>
                        <w:top w:val="none" w:sz="0" w:space="0" w:color="auto"/>
                        <w:left w:val="none" w:sz="0" w:space="0" w:color="auto"/>
                        <w:bottom w:val="none" w:sz="0" w:space="0" w:color="auto"/>
                        <w:right w:val="none" w:sz="0" w:space="0" w:color="auto"/>
                      </w:divBdr>
                    </w:div>
                  </w:divsChild>
                </w:div>
                <w:div w:id="1874032042">
                  <w:marLeft w:val="0"/>
                  <w:marRight w:val="0"/>
                  <w:marTop w:val="0"/>
                  <w:marBottom w:val="0"/>
                  <w:divBdr>
                    <w:top w:val="none" w:sz="0" w:space="0" w:color="auto"/>
                    <w:left w:val="none" w:sz="0" w:space="0" w:color="auto"/>
                    <w:bottom w:val="none" w:sz="0" w:space="0" w:color="auto"/>
                    <w:right w:val="none" w:sz="0" w:space="0" w:color="auto"/>
                  </w:divBdr>
                  <w:divsChild>
                    <w:div w:id="1346664389">
                      <w:marLeft w:val="0"/>
                      <w:marRight w:val="0"/>
                      <w:marTop w:val="0"/>
                      <w:marBottom w:val="0"/>
                      <w:divBdr>
                        <w:top w:val="none" w:sz="0" w:space="0" w:color="auto"/>
                        <w:left w:val="none" w:sz="0" w:space="0" w:color="auto"/>
                        <w:bottom w:val="none" w:sz="0" w:space="0" w:color="auto"/>
                        <w:right w:val="none" w:sz="0" w:space="0" w:color="auto"/>
                      </w:divBdr>
                    </w:div>
                  </w:divsChild>
                </w:div>
                <w:div w:id="1896239809">
                  <w:marLeft w:val="0"/>
                  <w:marRight w:val="0"/>
                  <w:marTop w:val="0"/>
                  <w:marBottom w:val="0"/>
                  <w:divBdr>
                    <w:top w:val="none" w:sz="0" w:space="0" w:color="auto"/>
                    <w:left w:val="none" w:sz="0" w:space="0" w:color="auto"/>
                    <w:bottom w:val="none" w:sz="0" w:space="0" w:color="auto"/>
                    <w:right w:val="none" w:sz="0" w:space="0" w:color="auto"/>
                  </w:divBdr>
                  <w:divsChild>
                    <w:div w:id="385639604">
                      <w:marLeft w:val="0"/>
                      <w:marRight w:val="0"/>
                      <w:marTop w:val="0"/>
                      <w:marBottom w:val="0"/>
                      <w:divBdr>
                        <w:top w:val="none" w:sz="0" w:space="0" w:color="auto"/>
                        <w:left w:val="none" w:sz="0" w:space="0" w:color="auto"/>
                        <w:bottom w:val="none" w:sz="0" w:space="0" w:color="auto"/>
                        <w:right w:val="none" w:sz="0" w:space="0" w:color="auto"/>
                      </w:divBdr>
                    </w:div>
                  </w:divsChild>
                </w:div>
                <w:div w:id="738094220">
                  <w:marLeft w:val="0"/>
                  <w:marRight w:val="0"/>
                  <w:marTop w:val="0"/>
                  <w:marBottom w:val="0"/>
                  <w:divBdr>
                    <w:top w:val="none" w:sz="0" w:space="0" w:color="auto"/>
                    <w:left w:val="none" w:sz="0" w:space="0" w:color="auto"/>
                    <w:bottom w:val="none" w:sz="0" w:space="0" w:color="auto"/>
                    <w:right w:val="none" w:sz="0" w:space="0" w:color="auto"/>
                  </w:divBdr>
                  <w:divsChild>
                    <w:div w:id="1453859116">
                      <w:marLeft w:val="0"/>
                      <w:marRight w:val="0"/>
                      <w:marTop w:val="0"/>
                      <w:marBottom w:val="0"/>
                      <w:divBdr>
                        <w:top w:val="none" w:sz="0" w:space="0" w:color="auto"/>
                        <w:left w:val="none" w:sz="0" w:space="0" w:color="auto"/>
                        <w:bottom w:val="none" w:sz="0" w:space="0" w:color="auto"/>
                        <w:right w:val="none" w:sz="0" w:space="0" w:color="auto"/>
                      </w:divBdr>
                    </w:div>
                  </w:divsChild>
                </w:div>
                <w:div w:id="1785539217">
                  <w:marLeft w:val="0"/>
                  <w:marRight w:val="0"/>
                  <w:marTop w:val="0"/>
                  <w:marBottom w:val="0"/>
                  <w:divBdr>
                    <w:top w:val="none" w:sz="0" w:space="0" w:color="auto"/>
                    <w:left w:val="none" w:sz="0" w:space="0" w:color="auto"/>
                    <w:bottom w:val="none" w:sz="0" w:space="0" w:color="auto"/>
                    <w:right w:val="none" w:sz="0" w:space="0" w:color="auto"/>
                  </w:divBdr>
                  <w:divsChild>
                    <w:div w:id="1682002375">
                      <w:marLeft w:val="0"/>
                      <w:marRight w:val="0"/>
                      <w:marTop w:val="0"/>
                      <w:marBottom w:val="0"/>
                      <w:divBdr>
                        <w:top w:val="none" w:sz="0" w:space="0" w:color="auto"/>
                        <w:left w:val="none" w:sz="0" w:space="0" w:color="auto"/>
                        <w:bottom w:val="none" w:sz="0" w:space="0" w:color="auto"/>
                        <w:right w:val="none" w:sz="0" w:space="0" w:color="auto"/>
                      </w:divBdr>
                    </w:div>
                  </w:divsChild>
                </w:div>
                <w:div w:id="618798070">
                  <w:marLeft w:val="0"/>
                  <w:marRight w:val="0"/>
                  <w:marTop w:val="0"/>
                  <w:marBottom w:val="0"/>
                  <w:divBdr>
                    <w:top w:val="none" w:sz="0" w:space="0" w:color="auto"/>
                    <w:left w:val="none" w:sz="0" w:space="0" w:color="auto"/>
                    <w:bottom w:val="none" w:sz="0" w:space="0" w:color="auto"/>
                    <w:right w:val="none" w:sz="0" w:space="0" w:color="auto"/>
                  </w:divBdr>
                  <w:divsChild>
                    <w:div w:id="429785129">
                      <w:marLeft w:val="0"/>
                      <w:marRight w:val="0"/>
                      <w:marTop w:val="0"/>
                      <w:marBottom w:val="0"/>
                      <w:divBdr>
                        <w:top w:val="none" w:sz="0" w:space="0" w:color="auto"/>
                        <w:left w:val="none" w:sz="0" w:space="0" w:color="auto"/>
                        <w:bottom w:val="none" w:sz="0" w:space="0" w:color="auto"/>
                        <w:right w:val="none" w:sz="0" w:space="0" w:color="auto"/>
                      </w:divBdr>
                    </w:div>
                  </w:divsChild>
                </w:div>
                <w:div w:id="252473224">
                  <w:marLeft w:val="0"/>
                  <w:marRight w:val="0"/>
                  <w:marTop w:val="0"/>
                  <w:marBottom w:val="0"/>
                  <w:divBdr>
                    <w:top w:val="none" w:sz="0" w:space="0" w:color="auto"/>
                    <w:left w:val="none" w:sz="0" w:space="0" w:color="auto"/>
                    <w:bottom w:val="none" w:sz="0" w:space="0" w:color="auto"/>
                    <w:right w:val="none" w:sz="0" w:space="0" w:color="auto"/>
                  </w:divBdr>
                  <w:divsChild>
                    <w:div w:id="1209220644">
                      <w:marLeft w:val="0"/>
                      <w:marRight w:val="0"/>
                      <w:marTop w:val="0"/>
                      <w:marBottom w:val="0"/>
                      <w:divBdr>
                        <w:top w:val="none" w:sz="0" w:space="0" w:color="auto"/>
                        <w:left w:val="none" w:sz="0" w:space="0" w:color="auto"/>
                        <w:bottom w:val="none" w:sz="0" w:space="0" w:color="auto"/>
                        <w:right w:val="none" w:sz="0" w:space="0" w:color="auto"/>
                      </w:divBdr>
                    </w:div>
                  </w:divsChild>
                </w:div>
                <w:div w:id="837228363">
                  <w:marLeft w:val="0"/>
                  <w:marRight w:val="0"/>
                  <w:marTop w:val="0"/>
                  <w:marBottom w:val="0"/>
                  <w:divBdr>
                    <w:top w:val="none" w:sz="0" w:space="0" w:color="auto"/>
                    <w:left w:val="none" w:sz="0" w:space="0" w:color="auto"/>
                    <w:bottom w:val="none" w:sz="0" w:space="0" w:color="auto"/>
                    <w:right w:val="none" w:sz="0" w:space="0" w:color="auto"/>
                  </w:divBdr>
                  <w:divsChild>
                    <w:div w:id="1391149772">
                      <w:marLeft w:val="0"/>
                      <w:marRight w:val="0"/>
                      <w:marTop w:val="0"/>
                      <w:marBottom w:val="0"/>
                      <w:divBdr>
                        <w:top w:val="none" w:sz="0" w:space="0" w:color="auto"/>
                        <w:left w:val="none" w:sz="0" w:space="0" w:color="auto"/>
                        <w:bottom w:val="none" w:sz="0" w:space="0" w:color="auto"/>
                        <w:right w:val="none" w:sz="0" w:space="0" w:color="auto"/>
                      </w:divBdr>
                    </w:div>
                  </w:divsChild>
                </w:div>
                <w:div w:id="1081558220">
                  <w:marLeft w:val="0"/>
                  <w:marRight w:val="0"/>
                  <w:marTop w:val="0"/>
                  <w:marBottom w:val="0"/>
                  <w:divBdr>
                    <w:top w:val="none" w:sz="0" w:space="0" w:color="auto"/>
                    <w:left w:val="none" w:sz="0" w:space="0" w:color="auto"/>
                    <w:bottom w:val="none" w:sz="0" w:space="0" w:color="auto"/>
                    <w:right w:val="none" w:sz="0" w:space="0" w:color="auto"/>
                  </w:divBdr>
                  <w:divsChild>
                    <w:div w:id="520363348">
                      <w:marLeft w:val="0"/>
                      <w:marRight w:val="0"/>
                      <w:marTop w:val="0"/>
                      <w:marBottom w:val="0"/>
                      <w:divBdr>
                        <w:top w:val="none" w:sz="0" w:space="0" w:color="auto"/>
                        <w:left w:val="none" w:sz="0" w:space="0" w:color="auto"/>
                        <w:bottom w:val="none" w:sz="0" w:space="0" w:color="auto"/>
                        <w:right w:val="none" w:sz="0" w:space="0" w:color="auto"/>
                      </w:divBdr>
                    </w:div>
                  </w:divsChild>
                </w:div>
                <w:div w:id="784075614">
                  <w:marLeft w:val="0"/>
                  <w:marRight w:val="0"/>
                  <w:marTop w:val="0"/>
                  <w:marBottom w:val="0"/>
                  <w:divBdr>
                    <w:top w:val="none" w:sz="0" w:space="0" w:color="auto"/>
                    <w:left w:val="none" w:sz="0" w:space="0" w:color="auto"/>
                    <w:bottom w:val="none" w:sz="0" w:space="0" w:color="auto"/>
                    <w:right w:val="none" w:sz="0" w:space="0" w:color="auto"/>
                  </w:divBdr>
                  <w:divsChild>
                    <w:div w:id="1669867117">
                      <w:marLeft w:val="0"/>
                      <w:marRight w:val="0"/>
                      <w:marTop w:val="0"/>
                      <w:marBottom w:val="0"/>
                      <w:divBdr>
                        <w:top w:val="none" w:sz="0" w:space="0" w:color="auto"/>
                        <w:left w:val="none" w:sz="0" w:space="0" w:color="auto"/>
                        <w:bottom w:val="none" w:sz="0" w:space="0" w:color="auto"/>
                        <w:right w:val="none" w:sz="0" w:space="0" w:color="auto"/>
                      </w:divBdr>
                    </w:div>
                    <w:div w:id="1061059177">
                      <w:marLeft w:val="0"/>
                      <w:marRight w:val="0"/>
                      <w:marTop w:val="0"/>
                      <w:marBottom w:val="0"/>
                      <w:divBdr>
                        <w:top w:val="none" w:sz="0" w:space="0" w:color="auto"/>
                        <w:left w:val="none" w:sz="0" w:space="0" w:color="auto"/>
                        <w:bottom w:val="none" w:sz="0" w:space="0" w:color="auto"/>
                        <w:right w:val="none" w:sz="0" w:space="0" w:color="auto"/>
                      </w:divBdr>
                    </w:div>
                  </w:divsChild>
                </w:div>
                <w:div w:id="1620144540">
                  <w:marLeft w:val="0"/>
                  <w:marRight w:val="0"/>
                  <w:marTop w:val="0"/>
                  <w:marBottom w:val="0"/>
                  <w:divBdr>
                    <w:top w:val="none" w:sz="0" w:space="0" w:color="auto"/>
                    <w:left w:val="none" w:sz="0" w:space="0" w:color="auto"/>
                    <w:bottom w:val="none" w:sz="0" w:space="0" w:color="auto"/>
                    <w:right w:val="none" w:sz="0" w:space="0" w:color="auto"/>
                  </w:divBdr>
                  <w:divsChild>
                    <w:div w:id="419764345">
                      <w:marLeft w:val="0"/>
                      <w:marRight w:val="0"/>
                      <w:marTop w:val="0"/>
                      <w:marBottom w:val="0"/>
                      <w:divBdr>
                        <w:top w:val="none" w:sz="0" w:space="0" w:color="auto"/>
                        <w:left w:val="none" w:sz="0" w:space="0" w:color="auto"/>
                        <w:bottom w:val="none" w:sz="0" w:space="0" w:color="auto"/>
                        <w:right w:val="none" w:sz="0" w:space="0" w:color="auto"/>
                      </w:divBdr>
                    </w:div>
                  </w:divsChild>
                </w:div>
                <w:div w:id="851533023">
                  <w:marLeft w:val="0"/>
                  <w:marRight w:val="0"/>
                  <w:marTop w:val="0"/>
                  <w:marBottom w:val="0"/>
                  <w:divBdr>
                    <w:top w:val="none" w:sz="0" w:space="0" w:color="auto"/>
                    <w:left w:val="none" w:sz="0" w:space="0" w:color="auto"/>
                    <w:bottom w:val="none" w:sz="0" w:space="0" w:color="auto"/>
                    <w:right w:val="none" w:sz="0" w:space="0" w:color="auto"/>
                  </w:divBdr>
                  <w:divsChild>
                    <w:div w:id="421223715">
                      <w:marLeft w:val="0"/>
                      <w:marRight w:val="0"/>
                      <w:marTop w:val="0"/>
                      <w:marBottom w:val="0"/>
                      <w:divBdr>
                        <w:top w:val="none" w:sz="0" w:space="0" w:color="auto"/>
                        <w:left w:val="none" w:sz="0" w:space="0" w:color="auto"/>
                        <w:bottom w:val="none" w:sz="0" w:space="0" w:color="auto"/>
                        <w:right w:val="none" w:sz="0" w:space="0" w:color="auto"/>
                      </w:divBdr>
                    </w:div>
                  </w:divsChild>
                </w:div>
                <w:div w:id="300615503">
                  <w:marLeft w:val="0"/>
                  <w:marRight w:val="0"/>
                  <w:marTop w:val="0"/>
                  <w:marBottom w:val="0"/>
                  <w:divBdr>
                    <w:top w:val="none" w:sz="0" w:space="0" w:color="auto"/>
                    <w:left w:val="none" w:sz="0" w:space="0" w:color="auto"/>
                    <w:bottom w:val="none" w:sz="0" w:space="0" w:color="auto"/>
                    <w:right w:val="none" w:sz="0" w:space="0" w:color="auto"/>
                  </w:divBdr>
                  <w:divsChild>
                    <w:div w:id="1767268462">
                      <w:marLeft w:val="0"/>
                      <w:marRight w:val="0"/>
                      <w:marTop w:val="0"/>
                      <w:marBottom w:val="0"/>
                      <w:divBdr>
                        <w:top w:val="none" w:sz="0" w:space="0" w:color="auto"/>
                        <w:left w:val="none" w:sz="0" w:space="0" w:color="auto"/>
                        <w:bottom w:val="none" w:sz="0" w:space="0" w:color="auto"/>
                        <w:right w:val="none" w:sz="0" w:space="0" w:color="auto"/>
                      </w:divBdr>
                    </w:div>
                    <w:div w:id="2067948171">
                      <w:marLeft w:val="0"/>
                      <w:marRight w:val="0"/>
                      <w:marTop w:val="0"/>
                      <w:marBottom w:val="0"/>
                      <w:divBdr>
                        <w:top w:val="none" w:sz="0" w:space="0" w:color="auto"/>
                        <w:left w:val="none" w:sz="0" w:space="0" w:color="auto"/>
                        <w:bottom w:val="none" w:sz="0" w:space="0" w:color="auto"/>
                        <w:right w:val="none" w:sz="0" w:space="0" w:color="auto"/>
                      </w:divBdr>
                    </w:div>
                  </w:divsChild>
                </w:div>
                <w:div w:id="1439057601">
                  <w:marLeft w:val="0"/>
                  <w:marRight w:val="0"/>
                  <w:marTop w:val="0"/>
                  <w:marBottom w:val="0"/>
                  <w:divBdr>
                    <w:top w:val="none" w:sz="0" w:space="0" w:color="auto"/>
                    <w:left w:val="none" w:sz="0" w:space="0" w:color="auto"/>
                    <w:bottom w:val="none" w:sz="0" w:space="0" w:color="auto"/>
                    <w:right w:val="none" w:sz="0" w:space="0" w:color="auto"/>
                  </w:divBdr>
                  <w:divsChild>
                    <w:div w:id="1578132383">
                      <w:marLeft w:val="0"/>
                      <w:marRight w:val="0"/>
                      <w:marTop w:val="0"/>
                      <w:marBottom w:val="0"/>
                      <w:divBdr>
                        <w:top w:val="none" w:sz="0" w:space="0" w:color="auto"/>
                        <w:left w:val="none" w:sz="0" w:space="0" w:color="auto"/>
                        <w:bottom w:val="none" w:sz="0" w:space="0" w:color="auto"/>
                        <w:right w:val="none" w:sz="0" w:space="0" w:color="auto"/>
                      </w:divBdr>
                    </w:div>
                    <w:div w:id="1578437451">
                      <w:marLeft w:val="0"/>
                      <w:marRight w:val="0"/>
                      <w:marTop w:val="0"/>
                      <w:marBottom w:val="0"/>
                      <w:divBdr>
                        <w:top w:val="none" w:sz="0" w:space="0" w:color="auto"/>
                        <w:left w:val="none" w:sz="0" w:space="0" w:color="auto"/>
                        <w:bottom w:val="none" w:sz="0" w:space="0" w:color="auto"/>
                        <w:right w:val="none" w:sz="0" w:space="0" w:color="auto"/>
                      </w:divBdr>
                    </w:div>
                  </w:divsChild>
                </w:div>
                <w:div w:id="1259679740">
                  <w:marLeft w:val="0"/>
                  <w:marRight w:val="0"/>
                  <w:marTop w:val="0"/>
                  <w:marBottom w:val="0"/>
                  <w:divBdr>
                    <w:top w:val="none" w:sz="0" w:space="0" w:color="auto"/>
                    <w:left w:val="none" w:sz="0" w:space="0" w:color="auto"/>
                    <w:bottom w:val="none" w:sz="0" w:space="0" w:color="auto"/>
                    <w:right w:val="none" w:sz="0" w:space="0" w:color="auto"/>
                  </w:divBdr>
                  <w:divsChild>
                    <w:div w:id="54084858">
                      <w:marLeft w:val="0"/>
                      <w:marRight w:val="0"/>
                      <w:marTop w:val="0"/>
                      <w:marBottom w:val="0"/>
                      <w:divBdr>
                        <w:top w:val="none" w:sz="0" w:space="0" w:color="auto"/>
                        <w:left w:val="none" w:sz="0" w:space="0" w:color="auto"/>
                        <w:bottom w:val="none" w:sz="0" w:space="0" w:color="auto"/>
                        <w:right w:val="none" w:sz="0" w:space="0" w:color="auto"/>
                      </w:divBdr>
                    </w:div>
                  </w:divsChild>
                </w:div>
                <w:div w:id="440225636">
                  <w:marLeft w:val="0"/>
                  <w:marRight w:val="0"/>
                  <w:marTop w:val="0"/>
                  <w:marBottom w:val="0"/>
                  <w:divBdr>
                    <w:top w:val="none" w:sz="0" w:space="0" w:color="auto"/>
                    <w:left w:val="none" w:sz="0" w:space="0" w:color="auto"/>
                    <w:bottom w:val="none" w:sz="0" w:space="0" w:color="auto"/>
                    <w:right w:val="none" w:sz="0" w:space="0" w:color="auto"/>
                  </w:divBdr>
                  <w:divsChild>
                    <w:div w:id="1617329362">
                      <w:marLeft w:val="0"/>
                      <w:marRight w:val="0"/>
                      <w:marTop w:val="0"/>
                      <w:marBottom w:val="0"/>
                      <w:divBdr>
                        <w:top w:val="none" w:sz="0" w:space="0" w:color="auto"/>
                        <w:left w:val="none" w:sz="0" w:space="0" w:color="auto"/>
                        <w:bottom w:val="none" w:sz="0" w:space="0" w:color="auto"/>
                        <w:right w:val="none" w:sz="0" w:space="0" w:color="auto"/>
                      </w:divBdr>
                    </w:div>
                    <w:div w:id="521668105">
                      <w:marLeft w:val="0"/>
                      <w:marRight w:val="0"/>
                      <w:marTop w:val="0"/>
                      <w:marBottom w:val="0"/>
                      <w:divBdr>
                        <w:top w:val="none" w:sz="0" w:space="0" w:color="auto"/>
                        <w:left w:val="none" w:sz="0" w:space="0" w:color="auto"/>
                        <w:bottom w:val="none" w:sz="0" w:space="0" w:color="auto"/>
                        <w:right w:val="none" w:sz="0" w:space="0" w:color="auto"/>
                      </w:divBdr>
                    </w:div>
                  </w:divsChild>
                </w:div>
                <w:div w:id="1393964384">
                  <w:marLeft w:val="0"/>
                  <w:marRight w:val="0"/>
                  <w:marTop w:val="0"/>
                  <w:marBottom w:val="0"/>
                  <w:divBdr>
                    <w:top w:val="none" w:sz="0" w:space="0" w:color="auto"/>
                    <w:left w:val="none" w:sz="0" w:space="0" w:color="auto"/>
                    <w:bottom w:val="none" w:sz="0" w:space="0" w:color="auto"/>
                    <w:right w:val="none" w:sz="0" w:space="0" w:color="auto"/>
                  </w:divBdr>
                  <w:divsChild>
                    <w:div w:id="12248765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02491009">
          <w:marLeft w:val="0"/>
          <w:marRight w:val="0"/>
          <w:marTop w:val="0"/>
          <w:marBottom w:val="0"/>
          <w:divBdr>
            <w:top w:val="none" w:sz="0" w:space="0" w:color="auto"/>
            <w:left w:val="none" w:sz="0" w:space="0" w:color="auto"/>
            <w:bottom w:val="none" w:sz="0" w:space="0" w:color="auto"/>
            <w:right w:val="none" w:sz="0" w:space="0" w:color="auto"/>
          </w:divBdr>
        </w:div>
        <w:div w:id="1668825297">
          <w:marLeft w:val="0"/>
          <w:marRight w:val="0"/>
          <w:marTop w:val="0"/>
          <w:marBottom w:val="0"/>
          <w:divBdr>
            <w:top w:val="none" w:sz="0" w:space="0" w:color="auto"/>
            <w:left w:val="none" w:sz="0" w:space="0" w:color="auto"/>
            <w:bottom w:val="none" w:sz="0" w:space="0" w:color="auto"/>
            <w:right w:val="none" w:sz="0" w:space="0" w:color="auto"/>
          </w:divBdr>
        </w:div>
        <w:div w:id="596713425">
          <w:marLeft w:val="0"/>
          <w:marRight w:val="0"/>
          <w:marTop w:val="0"/>
          <w:marBottom w:val="0"/>
          <w:divBdr>
            <w:top w:val="none" w:sz="0" w:space="0" w:color="auto"/>
            <w:left w:val="none" w:sz="0" w:space="0" w:color="auto"/>
            <w:bottom w:val="none" w:sz="0" w:space="0" w:color="auto"/>
            <w:right w:val="none" w:sz="0" w:space="0" w:color="auto"/>
          </w:divBdr>
        </w:div>
        <w:div w:id="355544057">
          <w:marLeft w:val="0"/>
          <w:marRight w:val="0"/>
          <w:marTop w:val="0"/>
          <w:marBottom w:val="0"/>
          <w:divBdr>
            <w:top w:val="none" w:sz="0" w:space="0" w:color="auto"/>
            <w:left w:val="none" w:sz="0" w:space="0" w:color="auto"/>
            <w:bottom w:val="none" w:sz="0" w:space="0" w:color="auto"/>
            <w:right w:val="none" w:sz="0" w:space="0" w:color="auto"/>
          </w:divBdr>
        </w:div>
        <w:div w:id="210045895">
          <w:marLeft w:val="0"/>
          <w:marRight w:val="0"/>
          <w:marTop w:val="0"/>
          <w:marBottom w:val="0"/>
          <w:divBdr>
            <w:top w:val="none" w:sz="0" w:space="0" w:color="auto"/>
            <w:left w:val="none" w:sz="0" w:space="0" w:color="auto"/>
            <w:bottom w:val="none" w:sz="0" w:space="0" w:color="auto"/>
            <w:right w:val="none" w:sz="0" w:space="0" w:color="auto"/>
          </w:divBdr>
        </w:div>
        <w:div w:id="1252810003">
          <w:marLeft w:val="0"/>
          <w:marRight w:val="0"/>
          <w:marTop w:val="0"/>
          <w:marBottom w:val="0"/>
          <w:divBdr>
            <w:top w:val="none" w:sz="0" w:space="0" w:color="auto"/>
            <w:left w:val="none" w:sz="0" w:space="0" w:color="auto"/>
            <w:bottom w:val="none" w:sz="0" w:space="0" w:color="auto"/>
            <w:right w:val="none" w:sz="0" w:space="0" w:color="auto"/>
          </w:divBdr>
        </w:div>
      </w:divsChild>
    </w:div>
    <w:div w:id="213425382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13" Type="http://schemas.openxmlformats.org/officeDocument/2006/relationships/image" Target="media/image3.png"/><Relationship Id="rId3" Type="http://schemas.openxmlformats.org/officeDocument/2006/relationships/customXml" Target="../customXml/item3.xml"/><Relationship Id="rId7" Type="http://schemas.openxmlformats.org/officeDocument/2006/relationships/webSettings" Target="webSettings.xml"/><Relationship Id="rId12" Type="http://schemas.openxmlformats.org/officeDocument/2006/relationships/hyperlink" Target="https://relatoria.colombiacompra.gov.co/busqueda/conceptos" TargetMode="External"/><Relationship Id="rId17" Type="http://schemas.openxmlformats.org/officeDocument/2006/relationships/theme" Target="theme/theme1.xml"/><Relationship Id="rId2" Type="http://schemas.openxmlformats.org/officeDocument/2006/relationships/customXml" Target="../customXml/item2.xml"/><Relationship Id="rId16"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hyperlink" Target="mailto:mhuertas00@gmail.com" TargetMode="External"/><Relationship Id="rId5" Type="http://schemas.openxmlformats.org/officeDocument/2006/relationships/styles" Target="styles.xml"/><Relationship Id="rId15" Type="http://schemas.openxmlformats.org/officeDocument/2006/relationships/footer" Target="footer1.xml"/><Relationship Id="rId10" Type="http://schemas.openxmlformats.org/officeDocument/2006/relationships/image" Target="media/image2.tmp"/><Relationship Id="rId4" Type="http://schemas.openxmlformats.org/officeDocument/2006/relationships/numbering" Target="numbering.xml"/><Relationship Id="rId9" Type="http://schemas.openxmlformats.org/officeDocument/2006/relationships/endnotes" Target="endnotes.xml"/><Relationship Id="rId14" Type="http://schemas.openxmlformats.org/officeDocument/2006/relationships/header" Target="header1.xml"/></Relationships>
</file>

<file path=word/_rels/header1.xml.rels><?xml version="1.0" encoding="UTF-8" standalone="yes"?>
<Relationships xmlns="http://schemas.openxmlformats.org/package/2006/relationships"><Relationship Id="rId2" Type="http://schemas.openxmlformats.org/officeDocument/2006/relationships/image" Target="media/image5.png"/><Relationship Id="rId1" Type="http://schemas.openxmlformats.org/officeDocument/2006/relationships/image" Target="media/image4.png"/></Relationships>
</file>

<file path=word/_rels/numbering.xml.rels><?xml version="1.0" encoding="UTF-8" standalone="yes"?>
<Relationships xmlns="http://schemas.openxmlformats.org/package/2006/relationships"><Relationship Id="rId1" Type="http://schemas.openxmlformats.org/officeDocument/2006/relationships/image" Target="media/image1.gif"/></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p:properties xmlns:p="http://schemas.microsoft.com/office/2006/metadata/properties" xmlns:xsi="http://www.w3.org/2001/XMLSchema-instance" xmlns:pc="http://schemas.microsoft.com/office/infopath/2007/PartnerControls">
  <documentManagement>
    <No xmlns="9d85dbaf-23eb-4e57-a637-93dcacc8b1a1" xsi:nil="true"/>
    <TaxCatchAll xmlns="a6cb9e4b-f1d1-4245-83ec-6cad768d538a" xsi:nil="true"/>
    <_Flow_SignoffStatus xmlns="9d85dbaf-23eb-4e57-a637-93dcacc8b1a1" xsi:nil="true"/>
    <lcf76f155ced4ddcb4097134ff3c332f xmlns="9d85dbaf-23eb-4e57-a637-93dcacc8b1a1">
      <Terms xmlns="http://schemas.microsoft.com/office/infopath/2007/PartnerControls"/>
    </lcf76f155ced4ddcb4097134ff3c332f>
  </documentManagement>
</p:properties>
</file>

<file path=customXml/item3.xml><?xml version="1.0" encoding="utf-8"?>
<ct:contentTypeSchema xmlns:ct="http://schemas.microsoft.com/office/2006/metadata/contentType" xmlns:ma="http://schemas.microsoft.com/office/2006/metadata/properties/metaAttributes" ct:_="" ma:_="" ma:contentTypeName="Documento" ma:contentTypeID="0x010100F2E0F32964D9B84EA054B84E5D4157A0" ma:contentTypeVersion="20" ma:contentTypeDescription="Crear nuevo documento." ma:contentTypeScope="" ma:versionID="e12b00258f526aca9cff1c58808bc7a0">
  <xsd:schema xmlns:xsd="http://www.w3.org/2001/XMLSchema" xmlns:xs="http://www.w3.org/2001/XMLSchema" xmlns:p="http://schemas.microsoft.com/office/2006/metadata/properties" xmlns:ns2="9d85dbaf-23eb-4e57-a637-93dcacc8b1a1" xmlns:ns3="a6cb9e4b-f1d1-4245-83ec-6cad768d538a" targetNamespace="http://schemas.microsoft.com/office/2006/metadata/properties" ma:root="true" ma:fieldsID="b730abbc8c4891a3f3c16b4680e17684" ns2:_="" ns3:_="">
    <xsd:import namespace="9d85dbaf-23eb-4e57-a637-93dcacc8b1a1"/>
    <xsd:import namespace="a6cb9e4b-f1d1-4245-83ec-6cad768d538a"/>
    <xsd:element name="properties">
      <xsd:complexType>
        <xsd:sequence>
          <xsd:element name="documentManagement">
            <xsd:complexType>
              <xsd:all>
                <xsd:element ref="ns2:MediaServiceMetadata" minOccurs="0"/>
                <xsd:element ref="ns2:MediaServiceFastMetadata" minOccurs="0"/>
                <xsd:element ref="ns2:MediaServiceEventHashCode" minOccurs="0"/>
                <xsd:element ref="ns2:MediaServiceGenerationTime" minOccurs="0"/>
                <xsd:element ref="ns3:SharedWithUsers" minOccurs="0"/>
                <xsd:element ref="ns3:SharedWithDetails" minOccurs="0"/>
                <xsd:element ref="ns2:MediaServiceAutoTags" minOccurs="0"/>
                <xsd:element ref="ns2:MediaServiceOCR" minOccurs="0"/>
                <xsd:element ref="ns2:MediaServiceDateTaken" minOccurs="0"/>
                <xsd:element ref="ns2:MediaServiceAutoKeyPoints" minOccurs="0"/>
                <xsd:element ref="ns2:MediaServiceKeyPoints" minOccurs="0"/>
                <xsd:element ref="ns2:No" minOccurs="0"/>
                <xsd:element ref="ns2:MediaLengthInSeconds" minOccurs="0"/>
                <xsd:element ref="ns2:lcf76f155ced4ddcb4097134ff3c332f" minOccurs="0"/>
                <xsd:element ref="ns3:TaxCatchAll" minOccurs="0"/>
                <xsd:element ref="ns2:MediaServiceObjectDetectorVersions" minOccurs="0"/>
                <xsd:element ref="ns2:_Flow_SignoffStatus" minOccurs="0"/>
                <xsd:element ref="ns2:MediaServiceLocation" minOccurs="0"/>
                <xsd:element ref="ns2: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9d85dbaf-23eb-4e57-a637-93dcacc8b1a1"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EventHashCode" ma:index="10" nillable="true" ma:displayName="MediaServiceEventHashCode" ma:hidden="true" ma:internalName="MediaServiceEventHashCode" ma:readOnly="true">
      <xsd:simpleType>
        <xsd:restriction base="dms:Text"/>
      </xsd:simpleType>
    </xsd:element>
    <xsd:element name="MediaServiceGenerationTime" ma:index="11" nillable="true" ma:displayName="MediaServiceGenerationTime" ma:hidden="true" ma:internalName="MediaServiceGenerationTime" ma:readOnly="true">
      <xsd:simpleType>
        <xsd:restriction base="dms:Text"/>
      </xsd:simpleType>
    </xsd:element>
    <xsd:element name="MediaServiceAutoTags" ma:index="14" nillable="true" ma:displayName="Tags" ma:internalName="MediaServiceAutoTags" ma:readOnly="true">
      <xsd:simpleType>
        <xsd:restriction base="dms:Text"/>
      </xsd:simpleType>
    </xsd:element>
    <xsd:element name="MediaServiceOCR" ma:index="15" nillable="true" ma:displayName="Extracted Text" ma:internalName="MediaServiceOCR" ma:readOnly="true">
      <xsd:simpleType>
        <xsd:restriction base="dms:Note">
          <xsd:maxLength value="255"/>
        </xsd:restriction>
      </xsd:simpleType>
    </xsd:element>
    <xsd:element name="MediaServiceDateTaken" ma:index="16" nillable="true" ma:displayName="MediaServiceDateTaken" ma:hidden="true" ma:internalName="MediaServiceDateTaken" ma:readOnly="true">
      <xsd:simpleType>
        <xsd:restriction base="dms:Text"/>
      </xsd:simpleType>
    </xsd:element>
    <xsd:element name="MediaServiceAutoKeyPoints" ma:index="17" nillable="true" ma:displayName="MediaServiceAutoKeyPoints" ma:hidden="true" ma:internalName="MediaServiceAutoKeyPoints" ma:readOnly="true">
      <xsd:simpleType>
        <xsd:restriction base="dms:Note"/>
      </xsd:simpleType>
    </xsd:element>
    <xsd:element name="MediaServiceKeyPoints" ma:index="18" nillable="true" ma:displayName="KeyPoints" ma:internalName="MediaServiceKeyPoints" ma:readOnly="true">
      <xsd:simpleType>
        <xsd:restriction base="dms:Note">
          <xsd:maxLength value="255"/>
        </xsd:restriction>
      </xsd:simpleType>
    </xsd:element>
    <xsd:element name="No" ma:index="19" nillable="true" ma:displayName="No" ma:format="Dropdown" ma:internalName="No" ma:percentage="FALSE">
      <xsd:simpleType>
        <xsd:restriction base="dms:Number"/>
      </xsd:simpleType>
    </xsd:element>
    <xsd:element name="MediaLengthInSeconds" ma:index="20" nillable="true" ma:displayName="Length (seconds)" ma:internalName="MediaLengthInSeconds" ma:readOnly="true">
      <xsd:simpleType>
        <xsd:restriction base="dms:Unknown"/>
      </xsd:simpleType>
    </xsd:element>
    <xsd:element name="lcf76f155ced4ddcb4097134ff3c332f" ma:index="22" nillable="true" ma:taxonomy="true" ma:internalName="lcf76f155ced4ddcb4097134ff3c332f" ma:taxonomyFieldName="MediaServiceImageTags" ma:displayName="Etiquetas de imagen" ma:readOnly="false" ma:fieldId="{5cf76f15-5ced-4ddc-b409-7134ff3c332f}" ma:taxonomyMulti="true" ma:sspId="d11a0eb6-ad86-4071-a759-4f0356bdcc6a" ma:termSetId="09814cd3-568e-fe90-9814-8d621ff8fb84" ma:anchorId="fba54fb3-c3e1-fe81-a776-ca4b69148c4d" ma:open="true" ma:isKeyword="false">
      <xsd:complexType>
        <xsd:sequence>
          <xsd:element ref="pc:Terms" minOccurs="0" maxOccurs="1"/>
        </xsd:sequence>
      </xsd:complexType>
    </xsd:element>
    <xsd:element name="MediaServiceObjectDetectorVersions" ma:index="24" nillable="true" ma:displayName="MediaServiceObjectDetectorVersions" ma:description="" ma:hidden="true" ma:indexed="true" ma:internalName="MediaServiceObjectDetectorVersions" ma:readOnly="true">
      <xsd:simpleType>
        <xsd:restriction base="dms:Text"/>
      </xsd:simpleType>
    </xsd:element>
    <xsd:element name="_Flow_SignoffStatus" ma:index="25" nillable="true" ma:displayName="Estado de aprobación" ma:internalName="Estado_x0020_de_x0020_aprobaci_x00f3_n">
      <xsd:simpleType>
        <xsd:restriction base="dms:Text"/>
      </xsd:simpleType>
    </xsd:element>
    <xsd:element name="MediaServiceLocation" ma:index="26" nillable="true" ma:displayName="Location" ma:description="" ma:indexed="true" ma:internalName="MediaServiceLocation" ma:readOnly="true">
      <xsd:simpleType>
        <xsd:restriction base="dms:Text"/>
      </xsd:simpleType>
    </xsd:element>
    <xsd:element name="MediaServiceSearchProperties" ma:index="27" nillable="true" ma:displayName="MediaServiceSearchProperties" ma:hidden="true" ma:internalName="MediaServiceSearchPropertie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a6cb9e4b-f1d1-4245-83ec-6cad768d538a" elementFormDefault="qualified">
    <xsd:import namespace="http://schemas.microsoft.com/office/2006/documentManagement/types"/>
    <xsd:import namespace="http://schemas.microsoft.com/office/infopath/2007/PartnerControls"/>
    <xsd:element name="SharedWithUsers" ma:index="12" nillable="true" ma:displayName="Compartido con"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3" nillable="true" ma:displayName="Detalles de uso compartido" ma:internalName="SharedWithDetails" ma:readOnly="true">
      <xsd:simpleType>
        <xsd:restriction base="dms:Note">
          <xsd:maxLength value="255"/>
        </xsd:restriction>
      </xsd:simpleType>
    </xsd:element>
    <xsd:element name="TaxCatchAll" ma:index="23" nillable="true" ma:displayName="Taxonomy Catch All Column" ma:hidden="true" ma:list="{1105a6f2-09f1-4f7d-bab9-e03f1dc4ac6e}" ma:internalName="TaxCatchAll" ma:showField="CatchAllData" ma:web="a6cb9e4b-f1d1-4245-83ec-6cad768d538a">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Tipo de contenido"/>
        <xsd:element ref="dc:title" minOccurs="0" maxOccurs="1" ma:index="4" ma:displayName="Título"/>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Props1.xml><?xml version="1.0" encoding="utf-8"?>
<ds:datastoreItem xmlns:ds="http://schemas.openxmlformats.org/officeDocument/2006/customXml" ds:itemID="{19B0637E-D058-473B-8FE7-AA861F69C797}">
  <ds:schemaRefs>
    <ds:schemaRef ds:uri="http://schemas.microsoft.com/sharepoint/v3/contenttype/forms"/>
  </ds:schemaRefs>
</ds:datastoreItem>
</file>

<file path=customXml/itemProps2.xml><?xml version="1.0" encoding="utf-8"?>
<ds:datastoreItem xmlns:ds="http://schemas.openxmlformats.org/officeDocument/2006/customXml" ds:itemID="{163618BE-28CB-4D69-955E-CDA788483BED}">
  <ds:schemaRefs>
    <ds:schemaRef ds:uri="http://schemas.microsoft.com/office/2006/metadata/properties"/>
    <ds:schemaRef ds:uri="http://schemas.microsoft.com/office/infopath/2007/PartnerControls"/>
  </ds:schemaRefs>
</ds:datastoreItem>
</file>

<file path=customXml/itemProps3.xml><?xml version="1.0" encoding="utf-8"?>
<ds:datastoreItem xmlns:ds="http://schemas.openxmlformats.org/officeDocument/2006/customXml" ds:itemID="{A88B8899-DF75-40C1-A5A2-19D7772FB3FA}"/>
</file>

<file path=docProps/app.xml><?xml version="1.0" encoding="utf-8"?>
<Properties xmlns="http://schemas.openxmlformats.org/officeDocument/2006/extended-properties" xmlns:vt="http://schemas.openxmlformats.org/officeDocument/2006/docPropsVTypes">
  <Template>Normal</Template>
  <TotalTime>20</TotalTime>
  <Pages>16</Pages>
  <Words>4206</Words>
  <Characters>23136</Characters>
  <Application>Microsoft Office Word</Application>
  <DocSecurity>0</DocSecurity>
  <Lines>192</Lines>
  <Paragraphs>54</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27288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Andrés Felipe Ospina Acosta</dc:creator>
  <cp:keywords/>
  <dc:description/>
  <cp:lastModifiedBy>Catalina del Pilar Lisa Cubides Estupinan</cp:lastModifiedBy>
  <cp:revision>3</cp:revision>
  <cp:lastPrinted>2023-01-10T21:18:00Z</cp:lastPrinted>
  <dcterms:created xsi:type="dcterms:W3CDTF">2025-11-04T15:29:00Z</dcterms:created>
  <dcterms:modified xsi:type="dcterms:W3CDTF">2025-11-10T12:37:00Z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0x010100F2E0F32964D9B84EA054B84E5D4157A0</vt:lpwstr>
  </property>
  <property fmtid="{D5CDD505-2E9C-101B-9397-08002B2CF9AE}" pid="3" name="MediaServiceImageTags">
    <vt:lpwstr/>
  </property>
</Properties>
</file>