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71C97" w14:textId="77777777" w:rsidR="008A4752" w:rsidRDefault="008A4752" w:rsidP="008A4752">
      <w:pPr>
        <w:pStyle w:val="Textoindependiente"/>
        <w:spacing w:before="1"/>
        <w:rPr>
          <w:rFonts w:ascii="Verdana" w:hAnsi="Verdana"/>
        </w:rPr>
      </w:pPr>
      <w:bookmarkStart w:id="0" w:name="_Hlk143780582"/>
    </w:p>
    <w:p w14:paraId="7E31C676" w14:textId="6805CE43"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Style w:val="Textoennegrita"/>
          <w:rFonts w:ascii="Verdana" w:hAnsi="Verdana" w:cs="Segoe UI"/>
          <w:color w:val="686868"/>
          <w:sz w:val="22"/>
          <w:szCs w:val="22"/>
        </w:rPr>
        <w:t>ENTIDADES CON RÉGIMEN ESPECIAL – Definición</w:t>
      </w:r>
    </w:p>
    <w:p w14:paraId="0FF05E9E" w14:textId="75A4EFE1"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En primer lugar, 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EGCAP–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136A9C88" w14:textId="77777777"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Así las cosas, teniendo en cuenta que algunas de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7C03CBAB" w14:textId="77777777"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Style w:val="Textoennegrita"/>
          <w:rFonts w:ascii="Verdana" w:hAnsi="Verdana" w:cs="Segoe UI"/>
          <w:color w:val="686868"/>
          <w:sz w:val="22"/>
          <w:szCs w:val="22"/>
        </w:rPr>
        <w:t>EMPRESAS SOCIALES DEL ESTADO – Régimen jurídico – Reglas aplicables</w:t>
      </w:r>
    </w:p>
    <w:p w14:paraId="54676893" w14:textId="04B10002"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 Una de las Entidades Estatales con régimen especial son las Empresas Sociales del Estado – ESE, sobre las que redunda el objeto de su concepto. Estas empresas han sido entendidas como Entidades Públicas que, conforme al artículo 194 de la Ley 100 de 1993, constituyen una categoría especial, descentralizada por servicios, con personería jurídica, patrimonio propio y autonomía administrativa. A través de ellas la Nación o las entidades territoriales prestan el servicio de salud de manera directa, es decir, las Empresas Sociales del Estado son, esencialmente, los hospitales públicos.</w:t>
      </w:r>
    </w:p>
    <w:p w14:paraId="59B8DA57" w14:textId="15F4F7F7"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 xml:space="preserve">Como se señaló anteriormente, el régimen de derecho privado que, por regla general, caracteriza a los regímenes especiales no implica la ausencia de elementos de derecho público que tienen como fin último garantizar que los </w:t>
      </w:r>
      <w:r w:rsidRPr="008A4752">
        <w:rPr>
          <w:rFonts w:ascii="Verdana" w:hAnsi="Verdana" w:cs="Segoe UI"/>
          <w:color w:val="686868"/>
          <w:sz w:val="22"/>
          <w:szCs w:val="22"/>
        </w:rPr>
        <w:lastRenderedPageBreak/>
        <w:t>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p>
    <w:p w14:paraId="5DFE948E" w14:textId="622F1C6A"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Ahora bien, puede decirse que una de las reglas para las –ESE–, derivada de las normas de derecho público estudiadas,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0A9602E0" w14:textId="77777777"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De esta forma, las reglas establecidas en los manuales o reglamentos internos de contratación son muy importantes, toda vez que las entidades se obligan a cumplir su contenido. Además, tratándose de un acto administrativo, concretamente de un reglamento, le aplican los atributos propios de estos tipos de actos, entre otras cosas, la presunción de legalidad y la regla de inderogabilidad singular del reglamento. En tal sentido, su contenido vincula a la propia entidad que lo expidió y no puede desconocerlo a su capricho en casos específicos; sin perjuicio de la posibilidad de expedir un nuevo manual o de modificar el existente.</w:t>
      </w:r>
    </w:p>
    <w:p w14:paraId="6752B77C" w14:textId="05144E4C"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Style w:val="Textoennegrita"/>
          <w:rFonts w:ascii="Verdana" w:hAnsi="Verdana" w:cs="Segoe UI"/>
          <w:color w:val="686868"/>
          <w:sz w:val="22"/>
          <w:szCs w:val="22"/>
        </w:rPr>
        <w:t>EMPRESAS SOCIALES DEL ESTADO – Resolución 5185 de 2013 – Lineamientos en la adopción del Estatuto de Contratación – Manual de contratación – Resolución 1440 de 2024 </w:t>
      </w:r>
    </w:p>
    <w:p w14:paraId="00B01D26" w14:textId="114660AF"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En lo referente a las –ESE–, el Ministerio de Salud y Protección Social, expidió la Resolución No. 5185 de 2013, modificada por la Resolución 1440 del 14 de agosto de 2024, mediante la cual se fijan los lineamientos para que tales entidades adopten los manuales de contratación que regirán su actividad contractual. Este acto administrativo, dictado en ejercicio de las facultades conferidas por el artículo 76 de la Ley 1438 de 2011, contiene varios criterios que se deberán cuenta a la hora de adoptar los manuales de contratación.</w:t>
      </w:r>
    </w:p>
    <w:p w14:paraId="7F5AFC97" w14:textId="77777777"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 xml:space="preserve">En las disposiciones de Resolución No. 5185 de 2013 se reitera el régimen de contratación de estas entidades –Art.2–, se alude a los fines de la contratación –Art. 3–, se establece –, se establece los principios a observarse en el desarrollo </w:t>
      </w:r>
      <w:r w:rsidRPr="008A4752">
        <w:rPr>
          <w:rFonts w:ascii="Verdana" w:hAnsi="Verdana" w:cs="Segoe UI"/>
          <w:color w:val="686868"/>
          <w:sz w:val="22"/>
          <w:szCs w:val="22"/>
        </w:rPr>
        <w:lastRenderedPageBreak/>
        <w:t>de la contratación –Art. 4–, se  hace referencia a las modalidades y mecanismos de selección –Art. 5–, se reitera la aplicabilidad del régimen de inhabilidades e incompatibilidades–Art. 6–, se establece la obligación de publicar un Plan Anual de Adquisiciones–Art. 7–, se alude al proceso de contratación –Art 8–, se refiere a la fase de planeación –Art 9–, se dispone sobre la fase de selección –Art 10–, sobre la fase de contratación, y se regulan otros aspectos. En cuanto a la contratación y ejecución de los contratos, son relevantes los artículos 11 y 12 de la citada resolución. Por su parte el artículo 14 de la resolución establece que las Empresas Sociales del Estado están obligadas a publicar oportunamente su actividad contractual en el SECOP.</w:t>
      </w:r>
    </w:p>
    <w:p w14:paraId="60991920" w14:textId="77777777"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En efecto, la Resolución 1440 de 2024, expedida por el Ministerio de Salud y Protección Social, introdujo ajustes a la Resolución 5185 de 2013 con el propósito de fortalecer la transparencia y la selección objetiva en los procesos contractuales de dichas entidades, especialmente en proyectos de alto impacto.</w:t>
      </w:r>
    </w:p>
    <w:p w14:paraId="1A1BC5F3" w14:textId="77777777"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Entre los cambios más relevantes se encuentra lo dispuesto en el parágrafo 2 al cual usted alude en su consulta y, según el cual, los contratos relacionados con obras de adecuación, ampliación y construcción de infraestructura, así como con dotación biomédica, cuando sean financiados con recursos del Presupuesto General de la Nación, deben adelantarse obligatoriamente bajo la modalidad de convocatoria pública, sin importar la cuantía.</w:t>
      </w:r>
    </w:p>
    <w:p w14:paraId="455F47D0" w14:textId="77777777" w:rsidR="008A4752" w:rsidRPr="008A4752" w:rsidRDefault="008A4752" w:rsidP="008A4752">
      <w:pPr>
        <w:pStyle w:val="NormalWeb"/>
        <w:shd w:val="clear" w:color="auto" w:fill="FFFFFF"/>
        <w:spacing w:before="0" w:beforeAutospacing="0" w:after="340" w:afterAutospacing="0"/>
        <w:jc w:val="both"/>
        <w:rPr>
          <w:rFonts w:ascii="Verdana" w:hAnsi="Verdana" w:cs="Segoe UI"/>
          <w:color w:val="686868"/>
          <w:sz w:val="22"/>
          <w:szCs w:val="22"/>
        </w:rPr>
      </w:pPr>
      <w:r w:rsidRPr="008A4752">
        <w:rPr>
          <w:rFonts w:ascii="Verdana" w:hAnsi="Verdana" w:cs="Segoe UI"/>
          <w:color w:val="686868"/>
          <w:sz w:val="22"/>
          <w:szCs w:val="22"/>
        </w:rPr>
        <w:t>Aquí es bueno aclarar que, como se viene sosteniendo, aunque las Empresas Sociales del Estado cuentan con un régimen contractual de derecho privado, previsto en el artículo 195 de la Ley 100 de 1993, ello no significa que estén exentas de observar los principios de la contratación estatal. Al contrario, el ordenamiento jurídico ha sido enfático en señalar —a través de normas como el artículo 3 de la Ley 80 de 1993 y el artículo 13 de la Ley 1150 de 2007— que todas las entidades que administran recursos públicos, independientemente de su régimen, deben garantizar los principios de transparencia, selección objetiva, eficiencia, igualdad y responsabilidad. En este sentido, las disposiciones fijadas por el Ministerio de Salud y Protección Social se convierten en lineamientos obligatorios que las ESE deben incorporar en sus estatutos y manuales de contratación.</w:t>
      </w:r>
    </w:p>
    <w:p w14:paraId="5F7E8779" w14:textId="77777777" w:rsidR="008A4752" w:rsidRPr="008A4752" w:rsidRDefault="008A4752" w:rsidP="008A4752">
      <w:pPr>
        <w:pStyle w:val="Textoindependiente"/>
        <w:spacing w:before="1" w:line="240" w:lineRule="auto"/>
        <w:jc w:val="both"/>
        <w:rPr>
          <w:rFonts w:ascii="Verdana" w:hAnsi="Verdana"/>
        </w:rPr>
      </w:pPr>
    </w:p>
    <w:p w14:paraId="352B0EE4" w14:textId="77777777" w:rsidR="008A4752" w:rsidRPr="008A4752" w:rsidRDefault="008A4752" w:rsidP="008A4752">
      <w:pPr>
        <w:pStyle w:val="Textoindependiente"/>
        <w:spacing w:before="1" w:line="240" w:lineRule="auto"/>
        <w:jc w:val="both"/>
        <w:rPr>
          <w:rFonts w:ascii="Verdana" w:hAnsi="Verdana"/>
        </w:rPr>
      </w:pPr>
    </w:p>
    <w:p w14:paraId="6D508250" w14:textId="77777777" w:rsidR="008A4752" w:rsidRPr="008A4752" w:rsidRDefault="008A4752" w:rsidP="008A4752">
      <w:pPr>
        <w:pStyle w:val="Textoindependiente"/>
        <w:spacing w:before="1" w:line="240" w:lineRule="auto"/>
        <w:jc w:val="both"/>
        <w:rPr>
          <w:rFonts w:ascii="Verdana" w:hAnsi="Verdana"/>
        </w:rPr>
      </w:pPr>
    </w:p>
    <w:p w14:paraId="153B5BA2" w14:textId="77777777" w:rsidR="008A4752" w:rsidRPr="008A4752" w:rsidRDefault="008A4752" w:rsidP="008A4752">
      <w:pPr>
        <w:pStyle w:val="Textoindependiente"/>
        <w:spacing w:before="1" w:line="240" w:lineRule="auto"/>
        <w:jc w:val="both"/>
        <w:rPr>
          <w:rFonts w:ascii="Verdana" w:hAnsi="Verdana"/>
        </w:rPr>
      </w:pPr>
    </w:p>
    <w:p w14:paraId="5B2DC1FE" w14:textId="77777777" w:rsidR="008A4752" w:rsidRPr="008A4752" w:rsidRDefault="008A4752" w:rsidP="008A4752">
      <w:pPr>
        <w:pStyle w:val="Textoindependiente"/>
        <w:spacing w:before="1" w:line="240" w:lineRule="auto"/>
        <w:jc w:val="both"/>
        <w:rPr>
          <w:rFonts w:ascii="Verdana" w:hAnsi="Verdana"/>
        </w:rPr>
      </w:pPr>
    </w:p>
    <w:p w14:paraId="78FA3EFC" w14:textId="77777777" w:rsidR="008A4752" w:rsidRPr="008A4752" w:rsidRDefault="008A4752" w:rsidP="008A4752">
      <w:pPr>
        <w:pStyle w:val="Textoindependiente"/>
        <w:spacing w:before="1" w:line="240" w:lineRule="auto"/>
        <w:jc w:val="both"/>
        <w:rPr>
          <w:rFonts w:ascii="Verdana" w:hAnsi="Verdana"/>
        </w:rPr>
      </w:pPr>
    </w:p>
    <w:p w14:paraId="2C5D6F60" w14:textId="46DCC606" w:rsidR="008A4752" w:rsidRPr="008A4752" w:rsidRDefault="008A4752" w:rsidP="008A4752">
      <w:pPr>
        <w:pStyle w:val="Textoindependiente"/>
        <w:spacing w:before="1"/>
        <w:rPr>
          <w:rFonts w:ascii="Verdana" w:hAnsi="Verdana"/>
        </w:rPr>
      </w:pPr>
      <w:r w:rsidRPr="008A4752">
        <w:rPr>
          <w:rFonts w:ascii="Verdana" w:hAnsi="Verdana"/>
          <w:noProof/>
        </w:rPr>
        <w:drawing>
          <wp:anchor distT="0" distB="0" distL="0" distR="0" simplePos="0" relativeHeight="251659264" behindDoc="0" locked="0" layoutInCell="1" allowOverlap="1" wp14:anchorId="1D617264" wp14:editId="3E6E30A8">
            <wp:simplePos x="0" y="0"/>
            <wp:positionH relativeFrom="page">
              <wp:posOffset>4291965</wp:posOffset>
            </wp:positionH>
            <wp:positionV relativeFrom="paragraph">
              <wp:posOffset>-1250</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400300" cy="615950"/>
                    </a:xfrm>
                    <a:prstGeom prst="rect">
                      <a:avLst/>
                    </a:prstGeom>
                  </pic:spPr>
                </pic:pic>
              </a:graphicData>
            </a:graphic>
          </wp:anchor>
        </w:drawing>
      </w:r>
      <w:r w:rsidRPr="008A4752">
        <w:rPr>
          <w:rFonts w:ascii="Verdana" w:hAnsi="Verdana"/>
        </w:rPr>
        <w:t>Bogotá</w:t>
      </w:r>
      <w:r w:rsidRPr="008A4752">
        <w:rPr>
          <w:rFonts w:ascii="Verdana" w:hAnsi="Verdana"/>
          <w:spacing w:val="-8"/>
        </w:rPr>
        <w:t xml:space="preserve"> </w:t>
      </w:r>
      <w:r w:rsidRPr="008A4752">
        <w:rPr>
          <w:rFonts w:ascii="Verdana" w:hAnsi="Verdana"/>
        </w:rPr>
        <w:t>D.C.,</w:t>
      </w:r>
      <w:r w:rsidRPr="008A4752">
        <w:rPr>
          <w:rFonts w:ascii="Verdana" w:hAnsi="Verdana"/>
          <w:spacing w:val="-1"/>
        </w:rPr>
        <w:t xml:space="preserve"> </w:t>
      </w:r>
      <w:r w:rsidRPr="008A4752">
        <w:rPr>
          <w:rFonts w:ascii="Verdana" w:hAnsi="Verdana"/>
        </w:rPr>
        <w:t>04</w:t>
      </w:r>
      <w:r w:rsidRPr="008A4752">
        <w:rPr>
          <w:rFonts w:ascii="Verdana" w:hAnsi="Verdana"/>
          <w:spacing w:val="-4"/>
        </w:rPr>
        <w:t xml:space="preserve"> </w:t>
      </w:r>
      <w:r w:rsidRPr="008A4752">
        <w:rPr>
          <w:rFonts w:ascii="Verdana" w:hAnsi="Verdana"/>
        </w:rPr>
        <w:t>Noviembre</w:t>
      </w:r>
      <w:r w:rsidRPr="008A4752">
        <w:rPr>
          <w:rFonts w:ascii="Verdana" w:hAnsi="Verdana"/>
          <w:spacing w:val="-6"/>
        </w:rPr>
        <w:t xml:space="preserve"> </w:t>
      </w:r>
      <w:r w:rsidRPr="008A4752">
        <w:rPr>
          <w:rFonts w:ascii="Verdana" w:hAnsi="Verdana"/>
          <w:spacing w:val="-4"/>
        </w:rPr>
        <w:t>2025</w:t>
      </w:r>
    </w:p>
    <w:p w14:paraId="17867C76" w14:textId="77777777" w:rsidR="008A4752" w:rsidRDefault="008A4752" w:rsidP="008A4752">
      <w:pPr>
        <w:pStyle w:val="Textoindependiente"/>
        <w:spacing w:before="40"/>
      </w:pPr>
    </w:p>
    <w:p w14:paraId="1468C46D" w14:textId="5C9A743C" w:rsidR="00C15139" w:rsidRPr="0024624F" w:rsidRDefault="00C15139" w:rsidP="00C15139">
      <w:pPr>
        <w:spacing w:after="0"/>
        <w:rPr>
          <w:rFonts w:ascii="Verdana" w:hAnsi="Verdana"/>
        </w:rPr>
      </w:pPr>
      <w:r w:rsidRPr="0024624F">
        <w:rPr>
          <w:rFonts w:ascii="Verdana" w:hAnsi="Verdana"/>
        </w:rPr>
        <w:tab/>
      </w:r>
    </w:p>
    <w:p w14:paraId="2EC6FCED" w14:textId="77777777" w:rsidR="00785986" w:rsidRPr="00B96799" w:rsidRDefault="00785986" w:rsidP="00785986">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22E1E811" w14:textId="77777777" w:rsidR="00785986" w:rsidRDefault="00785986" w:rsidP="00785986">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Anónimo </w:t>
      </w:r>
    </w:p>
    <w:p w14:paraId="4F909118" w14:textId="77777777" w:rsidR="00785986" w:rsidRPr="00593A5F" w:rsidRDefault="00785986" w:rsidP="00785986">
      <w:pPr>
        <w:spacing w:after="0" w:line="240" w:lineRule="auto"/>
        <w:rPr>
          <w:rFonts w:ascii="Verdana" w:eastAsia="Calibri" w:hAnsi="Verdana" w:cs="Arial"/>
          <w:b/>
          <w:bCs/>
          <w:color w:val="000000"/>
          <w:lang w:val="es-ES_tradnl" w:eastAsia="es-ES_tradnl"/>
        </w:rPr>
      </w:pPr>
    </w:p>
    <w:p w14:paraId="781B130B" w14:textId="77777777" w:rsidR="00785986" w:rsidRPr="00593A5F" w:rsidRDefault="00785986" w:rsidP="0078598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85986" w:rsidRPr="00593A5F" w14:paraId="6F741F66" w14:textId="77777777" w:rsidTr="0086642C">
        <w:trPr>
          <w:trHeight w:val="884"/>
        </w:trPr>
        <w:tc>
          <w:tcPr>
            <w:tcW w:w="2689" w:type="dxa"/>
          </w:tcPr>
          <w:p w14:paraId="41B67838" w14:textId="77777777" w:rsidR="00785986" w:rsidRPr="00C00976" w:rsidRDefault="00785986" w:rsidP="0086642C">
            <w:pPr>
              <w:jc w:val="both"/>
              <w:rPr>
                <w:rFonts w:ascii="Verdana" w:eastAsia="Calibri" w:hAnsi="Verdana" w:cs="Arial"/>
                <w:b/>
                <w:bCs/>
                <w:color w:val="7030A0"/>
                <w:lang w:val="es-ES_tradnl" w:eastAsia="es-ES_tradnl"/>
              </w:rPr>
            </w:pPr>
          </w:p>
        </w:tc>
        <w:tc>
          <w:tcPr>
            <w:tcW w:w="6100" w:type="dxa"/>
          </w:tcPr>
          <w:p w14:paraId="102ED37D" w14:textId="77777777" w:rsidR="00785986" w:rsidRPr="00C00976" w:rsidRDefault="00785986" w:rsidP="0086642C">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- 1392</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w:t>
            </w:r>
            <w:r>
              <w:rPr>
                <w:rFonts w:ascii="Verdana" w:eastAsia="Calibri" w:hAnsi="Verdana" w:cs="Arial"/>
                <w:b/>
                <w:bCs/>
                <w:lang w:val="es-ES" w:eastAsia="es-ES"/>
              </w:rPr>
              <w:t>e 2025</w:t>
            </w:r>
          </w:p>
        </w:tc>
      </w:tr>
      <w:tr w:rsidR="00785986" w:rsidRPr="00593A5F" w14:paraId="00D9C3C8" w14:textId="77777777" w:rsidTr="0086642C">
        <w:trPr>
          <w:trHeight w:val="884"/>
        </w:trPr>
        <w:tc>
          <w:tcPr>
            <w:tcW w:w="2689" w:type="dxa"/>
          </w:tcPr>
          <w:p w14:paraId="54E586B6" w14:textId="77777777" w:rsidR="00785986" w:rsidRPr="00593A5F" w:rsidRDefault="00785986" w:rsidP="0086642C">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46DDB4C" w14:textId="77777777" w:rsidR="00785986" w:rsidRPr="00B04A47" w:rsidRDefault="00785986" w:rsidP="0086642C">
            <w:pPr>
              <w:spacing w:line="276" w:lineRule="auto"/>
              <w:jc w:val="both"/>
              <w:rPr>
                <w:rFonts w:ascii="Verdana" w:hAnsi="Verdana"/>
              </w:rPr>
            </w:pPr>
            <w:r w:rsidRPr="00B04A47">
              <w:rPr>
                <w:rFonts w:ascii="Verdana" w:hAnsi="Verdana"/>
              </w:rPr>
              <w:t>ENTIDADES CON RÉGIMEN ESPECIAL – Régimen jurídico – Principios de la función administrativa y gestión fiscal / EMPRESAS SOCIALES DEL ESTADO – Manual de contratación – Autonomía y límites / PLANEACIÓN CONTRACTUAL – Estudios previos – Estudio de mercado / ESTUDIO DE MERCADO – Cotización única.</w:t>
            </w:r>
          </w:p>
          <w:p w14:paraId="0582AAA9" w14:textId="77777777" w:rsidR="00785986" w:rsidRPr="00593A5F" w:rsidRDefault="00785986" w:rsidP="0086642C">
            <w:pPr>
              <w:spacing w:line="276" w:lineRule="auto"/>
              <w:jc w:val="both"/>
              <w:rPr>
                <w:rFonts w:ascii="Verdana" w:eastAsia="Calibri" w:hAnsi="Verdana" w:cs="Arial"/>
                <w:lang w:val="es-ES" w:eastAsia="es-ES"/>
              </w:rPr>
            </w:pPr>
          </w:p>
        </w:tc>
      </w:tr>
      <w:tr w:rsidR="00785986" w:rsidRPr="00593A5F" w14:paraId="22E41DA2" w14:textId="77777777" w:rsidTr="0086642C">
        <w:tc>
          <w:tcPr>
            <w:tcW w:w="2689" w:type="dxa"/>
          </w:tcPr>
          <w:p w14:paraId="3D386D7A" w14:textId="77777777" w:rsidR="00785986" w:rsidRPr="0047129A" w:rsidRDefault="00785986" w:rsidP="0086642C">
            <w:pPr>
              <w:jc w:val="both"/>
              <w:rPr>
                <w:rFonts w:ascii="Verdana" w:eastAsia="Calibri" w:hAnsi="Verdana" w:cs="Arial"/>
                <w:b/>
                <w:color w:val="000000" w:themeColor="text1"/>
                <w:lang w:val="es-ES_tradnl" w:eastAsia="es-ES_tradnl"/>
              </w:rPr>
            </w:pPr>
            <w:r w:rsidRPr="0047129A">
              <w:rPr>
                <w:rFonts w:ascii="Verdana" w:eastAsia="Calibri" w:hAnsi="Verdana" w:cs="Arial"/>
                <w:b/>
                <w:color w:val="000000" w:themeColor="text1"/>
                <w:lang w:val="es-ES_tradnl" w:eastAsia="es-ES_tradnl"/>
              </w:rPr>
              <w:t>Radicación:</w:t>
            </w:r>
            <w:r w:rsidRPr="0047129A">
              <w:rPr>
                <w:rFonts w:ascii="Verdana" w:eastAsia="Calibri" w:hAnsi="Verdana" w:cs="Arial"/>
                <w:color w:val="000000" w:themeColor="text1"/>
                <w:lang w:val="es-ES_tradnl" w:eastAsia="es-ES_tradnl"/>
              </w:rPr>
              <w:t xml:space="preserve">               </w:t>
            </w:r>
          </w:p>
        </w:tc>
        <w:tc>
          <w:tcPr>
            <w:tcW w:w="6100" w:type="dxa"/>
          </w:tcPr>
          <w:p w14:paraId="38CCC667" w14:textId="77777777" w:rsidR="00785986" w:rsidRPr="0047129A" w:rsidRDefault="00785986" w:rsidP="0086642C">
            <w:pPr>
              <w:jc w:val="both"/>
              <w:rPr>
                <w:rFonts w:ascii="Verdana" w:eastAsia="Calibri" w:hAnsi="Verdana" w:cs="Arial"/>
                <w:color w:val="000000" w:themeColor="text1"/>
                <w:lang w:val="es-ES_tradnl" w:eastAsia="es-ES_tradnl"/>
              </w:rPr>
            </w:pPr>
            <w:r w:rsidRPr="0047129A">
              <w:rPr>
                <w:rFonts w:ascii="Verdana" w:eastAsia="Calibri" w:hAnsi="Verdana" w:cs="Arial"/>
                <w:color w:val="000000" w:themeColor="text1"/>
                <w:lang w:val="es-ES_tradnl" w:eastAsia="es-ES_tradnl"/>
              </w:rPr>
              <w:t xml:space="preserve">Respuesta a consulta con radicado No. </w:t>
            </w:r>
            <w:r w:rsidRPr="0047129A">
              <w:rPr>
                <w:rFonts w:ascii="Verdana" w:hAnsi="Verdana" w:cs="Segoe UI"/>
                <w:color w:val="000000" w:themeColor="text1"/>
                <w:shd w:val="clear" w:color="auto" w:fill="FFFFFF"/>
              </w:rPr>
              <w:t>1_2025_09_25_010625</w:t>
            </w:r>
          </w:p>
        </w:tc>
      </w:tr>
    </w:tbl>
    <w:p w14:paraId="24519CE1" w14:textId="77777777" w:rsidR="00785986" w:rsidRPr="00593A5F" w:rsidRDefault="00785986" w:rsidP="00785986">
      <w:pPr>
        <w:spacing w:after="0" w:line="240" w:lineRule="auto"/>
        <w:jc w:val="both"/>
        <w:rPr>
          <w:rFonts w:ascii="Verdana" w:eastAsia="Calibri" w:hAnsi="Verdana" w:cs="Arial"/>
          <w:color w:val="000000"/>
          <w:lang w:val="es-ES_tradnl" w:eastAsia="es-ES_tradnl"/>
        </w:rPr>
      </w:pPr>
    </w:p>
    <w:p w14:paraId="69FC3316" w14:textId="77777777" w:rsidR="00785986" w:rsidRPr="0047129A" w:rsidRDefault="00785986" w:rsidP="00785986">
      <w:pPr>
        <w:spacing w:after="0" w:line="240" w:lineRule="auto"/>
        <w:jc w:val="both"/>
        <w:rPr>
          <w:rFonts w:ascii="Verdana" w:eastAsia="Calibri" w:hAnsi="Verdana" w:cs="Arial"/>
          <w:color w:val="000000" w:themeColor="text1"/>
          <w:lang w:val="es-ES_tradnl" w:eastAsia="es-ES_tradnl"/>
        </w:rPr>
      </w:pPr>
    </w:p>
    <w:p w14:paraId="0B40BA8C" w14:textId="77777777" w:rsidR="00785986" w:rsidRPr="0047129A" w:rsidRDefault="00785986" w:rsidP="00785986">
      <w:pPr>
        <w:spacing w:after="0" w:line="276" w:lineRule="auto"/>
        <w:jc w:val="both"/>
        <w:rPr>
          <w:rFonts w:ascii="Verdana" w:eastAsia="Calibri" w:hAnsi="Verdana" w:cs="Arial"/>
          <w:color w:val="000000" w:themeColor="text1"/>
          <w:lang w:val="es-ES" w:eastAsia="es-ES"/>
        </w:rPr>
      </w:pPr>
      <w:r w:rsidRPr="0047129A">
        <w:rPr>
          <w:rFonts w:ascii="Verdana" w:eastAsia="Calibri" w:hAnsi="Verdana" w:cs="Arial"/>
          <w:color w:val="000000" w:themeColor="text1"/>
          <w:lang w:val="es-ES" w:eastAsia="es-ES"/>
        </w:rPr>
        <w:t xml:space="preserve">Estimado señor Anónimo:  </w:t>
      </w:r>
    </w:p>
    <w:p w14:paraId="4D414162" w14:textId="77777777" w:rsidR="00785986" w:rsidRDefault="00785986" w:rsidP="0078598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B76331A" w14:textId="77777777" w:rsidR="00785986" w:rsidRPr="0047129A" w:rsidRDefault="00785986" w:rsidP="00785986">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 </w:t>
      </w:r>
      <w:r w:rsidRPr="0047129A">
        <w:rPr>
          <w:rFonts w:ascii="Verdana" w:eastAsia="Calibri" w:hAnsi="Verdana" w:cs="Arial"/>
          <w:color w:val="000000" w:themeColor="text1"/>
          <w:lang w:val="es-ES" w:eastAsia="es-ES"/>
        </w:rPr>
        <w:t xml:space="preserve">Colombia Compra Eficiente– responde su solicitud de consulta de fecha 25 de septiembre de 2025, en la cual manifiesta lo siguiente: </w:t>
      </w:r>
    </w:p>
    <w:p w14:paraId="609358DD" w14:textId="77777777" w:rsidR="00785986" w:rsidRPr="00272A7B" w:rsidRDefault="00785986" w:rsidP="00785986">
      <w:pPr>
        <w:pStyle w:val="Prrafodelista"/>
        <w:tabs>
          <w:tab w:val="left" w:pos="142"/>
          <w:tab w:val="left" w:pos="284"/>
        </w:tabs>
        <w:spacing w:line="276" w:lineRule="auto"/>
        <w:ind w:left="0"/>
        <w:jc w:val="both"/>
        <w:rPr>
          <w:rFonts w:ascii="Verdana" w:eastAsia="Century Gothic" w:hAnsi="Verdana" w:cs="Century Gothic"/>
          <w:b/>
          <w:bCs/>
        </w:rPr>
      </w:pPr>
    </w:p>
    <w:p w14:paraId="0FC5101F" w14:textId="77777777" w:rsidR="00785986" w:rsidRPr="0047129A" w:rsidRDefault="00785986" w:rsidP="00785986">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r w:rsidRPr="0047129A">
        <w:rPr>
          <w:rFonts w:ascii="Verdana" w:eastAsia="Century Gothic" w:hAnsi="Verdana" w:cs="Century Gothic"/>
          <w:color w:val="000000" w:themeColor="text1"/>
          <w:sz w:val="20"/>
          <w:szCs w:val="20"/>
          <w:lang w:val="es-ES"/>
        </w:rPr>
        <w:t>“</w:t>
      </w:r>
      <w:bookmarkEnd w:id="1"/>
      <w:r w:rsidRPr="0047129A">
        <w:rPr>
          <w:rFonts w:ascii="Verdana" w:eastAsia="Century Gothic" w:hAnsi="Verdana" w:cs="Century Gothic"/>
          <w:color w:val="000000" w:themeColor="text1"/>
          <w:sz w:val="20"/>
          <w:szCs w:val="20"/>
          <w:lang w:val="es-ES"/>
        </w:rPr>
        <w:t xml:space="preserve">Desde la Dirección de Contratación de la Subred Integrada de Servicios de Salud Norte E.S.E., la unidad técnica nos ha consultado respecto a la viabilidad de realizar un estudio de mercado con una sola oferta recibida. </w:t>
      </w:r>
      <w:r w:rsidRPr="0047129A">
        <w:rPr>
          <w:rFonts w:ascii="Verdana" w:eastAsia="Century Gothic" w:hAnsi="Verdana" w:cs="Century Gothic"/>
          <w:color w:val="000000" w:themeColor="text1"/>
          <w:sz w:val="20"/>
          <w:szCs w:val="20"/>
          <w:lang w:val="es-ES"/>
        </w:rPr>
        <w:lastRenderedPageBreak/>
        <w:t>En consecuencia, se requiere definir si, bajo las condiciones actuales, es posible adelantar un proceso de selección sustentado únicamente en dicho resultado, donde se obtuvo una oferta exclusiva dentro del estudio de mercado”.</w:t>
      </w:r>
    </w:p>
    <w:p w14:paraId="16083614" w14:textId="77777777" w:rsidR="00785986" w:rsidRPr="00593A5F" w:rsidRDefault="00785986" w:rsidP="00785986">
      <w:pPr>
        <w:pStyle w:val="Prrafodelista"/>
        <w:tabs>
          <w:tab w:val="left" w:pos="142"/>
          <w:tab w:val="left" w:pos="284"/>
        </w:tabs>
        <w:spacing w:line="276" w:lineRule="auto"/>
        <w:ind w:left="0"/>
        <w:jc w:val="both"/>
        <w:rPr>
          <w:rFonts w:ascii="Verdana" w:eastAsia="Century Gothic" w:hAnsi="Verdana" w:cs="Century Gothic"/>
          <w:b/>
          <w:bCs/>
        </w:rPr>
      </w:pPr>
    </w:p>
    <w:p w14:paraId="540F5550" w14:textId="77777777" w:rsidR="00785986" w:rsidRDefault="00785986" w:rsidP="00785986">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B48B2CE" w14:textId="77777777" w:rsidR="00785986" w:rsidRDefault="00785986" w:rsidP="0078598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5F007362" w14:textId="77777777" w:rsidR="00785986" w:rsidRPr="00593A5F" w:rsidRDefault="00785986" w:rsidP="00785986">
      <w:pPr>
        <w:spacing w:after="0" w:line="276" w:lineRule="auto"/>
        <w:ind w:firstLine="709"/>
        <w:jc w:val="both"/>
        <w:rPr>
          <w:rFonts w:ascii="Verdana" w:eastAsia="Calibri" w:hAnsi="Verdana" w:cs="Arial"/>
          <w:color w:val="000000"/>
          <w:lang w:val="es-ES" w:eastAsia="es-ES"/>
        </w:rPr>
      </w:pPr>
    </w:p>
    <w:p w14:paraId="2F575BAE" w14:textId="77777777" w:rsidR="00785986" w:rsidRPr="00593A5F" w:rsidRDefault="00785986" w:rsidP="0078598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564FD53" w14:textId="77777777" w:rsidR="00785986" w:rsidRPr="00593A5F" w:rsidRDefault="00785986" w:rsidP="00785986">
      <w:pPr>
        <w:tabs>
          <w:tab w:val="left" w:pos="426"/>
        </w:tabs>
        <w:spacing w:after="0" w:line="276" w:lineRule="auto"/>
        <w:jc w:val="both"/>
        <w:rPr>
          <w:rFonts w:ascii="Verdana" w:eastAsia="Century Gothic" w:hAnsi="Verdana" w:cs="Century Gothic"/>
          <w:lang w:val="es-ES"/>
        </w:rPr>
      </w:pPr>
    </w:p>
    <w:p w14:paraId="4E572E32" w14:textId="41CA81BC" w:rsidR="00785986" w:rsidRPr="00181630" w:rsidRDefault="00785986" w:rsidP="00785986">
      <w:pPr>
        <w:spacing w:after="0" w:line="276" w:lineRule="auto"/>
        <w:jc w:val="both"/>
        <w:rPr>
          <w:rFonts w:ascii="Verdana" w:eastAsia="Century Gothic" w:hAnsi="Verdana" w:cs="Century Gothic"/>
          <w:color w:val="000000" w:themeColor="text1"/>
        </w:rPr>
      </w:pPr>
      <w:r w:rsidRPr="1F9252E4">
        <w:rPr>
          <w:rFonts w:ascii="Verdana" w:eastAsia="Century Gothic" w:hAnsi="Verdana" w:cs="Century Gothic"/>
        </w:rPr>
        <w:t>De acuerdo con el contenido de su solicitud, esta Agencia resolverá el  siguiente problemas jurídico</w:t>
      </w:r>
      <w:r w:rsidRPr="00181630">
        <w:rPr>
          <w:rFonts w:ascii="Verdana" w:eastAsia="Century Gothic" w:hAnsi="Verdana" w:cs="Century Gothic"/>
          <w:color w:val="000000" w:themeColor="text1"/>
        </w:rPr>
        <w:t>: ¿Es</w:t>
      </w:r>
      <w:r w:rsidRPr="00181630">
        <w:rPr>
          <w:rFonts w:ascii="Verdana" w:eastAsia="Times New Roman" w:hAnsi="Verdana" w:cs="Times New Roman"/>
          <w:color w:val="000000" w:themeColor="text1"/>
          <w:lang w:eastAsia="es-MX"/>
        </w:rPr>
        <w:t xml:space="preserve"> viable </w:t>
      </w:r>
      <w:r>
        <w:rPr>
          <w:rFonts w:ascii="Verdana" w:eastAsia="Times New Roman" w:hAnsi="Verdana" w:cs="Times New Roman"/>
          <w:color w:val="000000" w:themeColor="text1"/>
          <w:lang w:eastAsia="es-MX"/>
        </w:rPr>
        <w:t xml:space="preserve">que una E.S.E, </w:t>
      </w:r>
      <w:r w:rsidRPr="00181630">
        <w:rPr>
          <w:rFonts w:ascii="Verdana" w:eastAsia="Times New Roman" w:hAnsi="Verdana" w:cs="Times New Roman"/>
          <w:color w:val="000000" w:themeColor="text1"/>
          <w:lang w:eastAsia="es-MX"/>
        </w:rPr>
        <w:t>adelant</w:t>
      </w:r>
      <w:r>
        <w:rPr>
          <w:rFonts w:ascii="Verdana" w:eastAsia="Times New Roman" w:hAnsi="Verdana" w:cs="Times New Roman"/>
          <w:color w:val="000000" w:themeColor="text1"/>
          <w:lang w:eastAsia="es-MX"/>
        </w:rPr>
        <w:t xml:space="preserve">e </w:t>
      </w:r>
      <w:r w:rsidRPr="00181630">
        <w:rPr>
          <w:rFonts w:ascii="Verdana" w:eastAsia="Times New Roman" w:hAnsi="Verdana" w:cs="Times New Roman"/>
          <w:color w:val="000000" w:themeColor="text1"/>
          <w:lang w:eastAsia="es-MX"/>
        </w:rPr>
        <w:t xml:space="preserve">un proceso de selección con base en una única </w:t>
      </w:r>
      <w:r w:rsidR="2C032625" w:rsidRPr="68B7763A">
        <w:rPr>
          <w:rFonts w:ascii="Verdana" w:eastAsia="Times New Roman" w:hAnsi="Verdana" w:cs="Times New Roman"/>
          <w:color w:val="000000" w:themeColor="text1"/>
          <w:lang w:eastAsia="es-MX"/>
        </w:rPr>
        <w:t>cotización</w:t>
      </w:r>
      <w:r w:rsidRPr="00181630">
        <w:rPr>
          <w:rFonts w:ascii="Verdana" w:eastAsia="Times New Roman" w:hAnsi="Verdana" w:cs="Times New Roman"/>
          <w:color w:val="000000" w:themeColor="text1"/>
          <w:lang w:eastAsia="es-MX"/>
        </w:rPr>
        <w:t xml:space="preserve"> recibida durante el estudio de mercado?</w:t>
      </w:r>
    </w:p>
    <w:p w14:paraId="0194143A" w14:textId="77777777" w:rsidR="00785986" w:rsidRPr="0047129A" w:rsidRDefault="00785986" w:rsidP="00785986">
      <w:pPr>
        <w:spacing w:after="0" w:line="276" w:lineRule="auto"/>
        <w:jc w:val="both"/>
        <w:rPr>
          <w:rFonts w:ascii="Verdana" w:eastAsia="Calibri" w:hAnsi="Verdana" w:cs="Arial"/>
          <w:color w:val="7030A0"/>
        </w:rPr>
      </w:pPr>
    </w:p>
    <w:p w14:paraId="28D8A34E" w14:textId="77777777" w:rsidR="00785986" w:rsidRPr="00593A5F" w:rsidRDefault="00785986" w:rsidP="0078598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9FD9D96" w14:textId="77777777" w:rsidR="00785986" w:rsidRPr="00593A5F" w:rsidRDefault="00785986" w:rsidP="0078598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85986" w:rsidRPr="00593A5F" w14:paraId="4959881F" w14:textId="77777777" w:rsidTr="0086642C">
        <w:tc>
          <w:tcPr>
            <w:tcW w:w="8828" w:type="dxa"/>
          </w:tcPr>
          <w:p w14:paraId="319355F4" w14:textId="14D40A69" w:rsidR="00785986" w:rsidRDefault="00785986" w:rsidP="0086642C">
            <w:pPr>
              <w:spacing w:after="120" w:line="276" w:lineRule="auto"/>
              <w:jc w:val="both"/>
              <w:rPr>
                <w:rFonts w:ascii="Verdana" w:eastAsia="Times New Roman" w:hAnsi="Verdana"/>
                <w:lang w:eastAsia="es-MX"/>
              </w:rPr>
            </w:pPr>
            <w:r w:rsidRPr="00181630">
              <w:rPr>
                <w:rFonts w:ascii="Verdana" w:eastAsia="Times New Roman" w:hAnsi="Verdana" w:cs="Times New Roman"/>
                <w:lang w:eastAsia="es-MX"/>
              </w:rPr>
              <w:t xml:space="preserve">En atención al marco normativo expuesto, y al interrogante planteado sobre la viabilidad </w:t>
            </w:r>
            <w:r w:rsidRPr="00B34DA4">
              <w:rPr>
                <w:rFonts w:ascii="Verdana" w:eastAsia="Times New Roman" w:hAnsi="Verdana" w:cs="Times New Roman"/>
                <w:lang w:eastAsia="es-MX"/>
              </w:rPr>
              <w:t xml:space="preserve">de que una E.S.E, </w:t>
            </w:r>
            <w:r w:rsidRPr="00181630">
              <w:rPr>
                <w:rFonts w:ascii="Verdana" w:eastAsia="Times New Roman" w:hAnsi="Verdana" w:cs="Times New Roman"/>
                <w:lang w:eastAsia="es-MX"/>
              </w:rPr>
              <w:t>adelant</w:t>
            </w:r>
            <w:r w:rsidRPr="00B34DA4">
              <w:rPr>
                <w:rFonts w:ascii="Verdana" w:eastAsia="Times New Roman" w:hAnsi="Verdana" w:cs="Times New Roman"/>
                <w:lang w:eastAsia="es-MX"/>
              </w:rPr>
              <w:t>e</w:t>
            </w:r>
            <w:r w:rsidRPr="00181630">
              <w:rPr>
                <w:rFonts w:ascii="Verdana" w:eastAsia="Times New Roman" w:hAnsi="Verdana" w:cs="Times New Roman"/>
                <w:lang w:eastAsia="es-MX"/>
              </w:rPr>
              <w:t xml:space="preserve"> un proceso de selección con base en una única </w:t>
            </w:r>
            <w:r w:rsidR="0464D613" w:rsidRPr="68B7763A">
              <w:rPr>
                <w:rFonts w:ascii="Verdana" w:eastAsia="Times New Roman" w:hAnsi="Verdana" w:cs="Times New Roman"/>
                <w:lang w:eastAsia="es-MX"/>
              </w:rPr>
              <w:t>cotización</w:t>
            </w:r>
            <w:r w:rsidR="00C64812">
              <w:rPr>
                <w:rFonts w:ascii="Verdana" w:eastAsia="Times New Roman" w:hAnsi="Verdana" w:cs="Times New Roman"/>
                <w:lang w:eastAsia="es-MX"/>
              </w:rPr>
              <w:t xml:space="preserve"> </w:t>
            </w:r>
            <w:r w:rsidRPr="00181630">
              <w:rPr>
                <w:rFonts w:ascii="Verdana" w:eastAsia="Times New Roman" w:hAnsi="Verdana" w:cs="Times New Roman"/>
                <w:lang w:eastAsia="es-MX"/>
              </w:rPr>
              <w:t>recibida durante el estudio de mercado,</w:t>
            </w:r>
            <w:r w:rsidRPr="00B34DA4">
              <w:rPr>
                <w:rFonts w:ascii="Verdana" w:eastAsia="Times New Roman" w:hAnsi="Verdana"/>
                <w:lang w:eastAsia="es-MX"/>
              </w:rPr>
              <w:t xml:space="preserve"> se concluye que</w:t>
            </w:r>
            <w:r>
              <w:rPr>
                <w:rFonts w:ascii="Verdana" w:eastAsia="Times New Roman" w:hAnsi="Verdana"/>
                <w:lang w:eastAsia="es-MX"/>
              </w:rPr>
              <w:t>,</w:t>
            </w:r>
            <w:r w:rsidRPr="00B34DA4">
              <w:rPr>
                <w:rFonts w:ascii="Verdana" w:eastAsia="Times New Roman" w:hAnsi="Verdana"/>
                <w:lang w:eastAsia="es-MX"/>
              </w:rPr>
              <w:t xml:space="preserve"> </w:t>
            </w:r>
            <w:r w:rsidR="07B6A28B" w:rsidRPr="68B7763A">
              <w:rPr>
                <w:rFonts w:ascii="Verdana" w:eastAsia="Times New Roman" w:hAnsi="Verdana"/>
                <w:lang w:eastAsia="es-MX"/>
              </w:rPr>
              <w:t>e</w:t>
            </w:r>
            <w:r w:rsidRPr="00B34DA4">
              <w:rPr>
                <w:rFonts w:ascii="Verdana" w:eastAsia="Times New Roman" w:hAnsi="Verdana"/>
                <w:lang w:eastAsia="es-MX"/>
              </w:rPr>
              <w:t xml:space="preserve">n primer lugar, dado que las E.S.E. </w:t>
            </w:r>
            <w:r w:rsidR="52FE2F57" w:rsidRPr="68B7763A">
              <w:rPr>
                <w:rFonts w:ascii="Verdana" w:eastAsia="Times New Roman" w:hAnsi="Verdana"/>
                <w:lang w:eastAsia="es-MX"/>
              </w:rPr>
              <w:t xml:space="preserve">dada su naturaleza </w:t>
            </w:r>
            <w:r w:rsidR="37DF4A8C" w:rsidRPr="68B7763A">
              <w:rPr>
                <w:rFonts w:ascii="Verdana" w:eastAsia="Times New Roman" w:hAnsi="Verdana"/>
                <w:lang w:eastAsia="es-MX"/>
              </w:rPr>
              <w:t>jurídica</w:t>
            </w:r>
            <w:r w:rsidR="52FE2F57" w:rsidRPr="68B7763A">
              <w:rPr>
                <w:rFonts w:ascii="Verdana" w:eastAsia="Times New Roman" w:hAnsi="Verdana"/>
                <w:lang w:eastAsia="es-MX"/>
              </w:rPr>
              <w:t xml:space="preserve"> </w:t>
            </w:r>
            <w:r w:rsidRPr="00B34DA4">
              <w:rPr>
                <w:rFonts w:ascii="Verdana" w:eastAsia="Times New Roman" w:hAnsi="Verdana"/>
                <w:lang w:eastAsia="es-MX"/>
              </w:rPr>
              <w:t xml:space="preserve">se rigen por el derecho privado y gozan de autonomía para definir sus procedimientos, </w:t>
            </w:r>
            <w:r w:rsidRPr="68B7763A">
              <w:rPr>
                <w:rFonts w:ascii="Verdana" w:eastAsia="Times New Roman" w:hAnsi="Verdana"/>
                <w:lang w:eastAsia="es-MX"/>
              </w:rPr>
              <w:lastRenderedPageBreak/>
              <w:t>debe</w:t>
            </w:r>
            <w:r w:rsidR="24AC96F9" w:rsidRPr="68B7763A">
              <w:rPr>
                <w:rFonts w:ascii="Verdana" w:eastAsia="Times New Roman" w:hAnsi="Verdana"/>
                <w:lang w:eastAsia="es-MX"/>
              </w:rPr>
              <w:t xml:space="preserve">n sujetar sus actividades </w:t>
            </w:r>
            <w:r w:rsidR="64041E13" w:rsidRPr="68B7763A">
              <w:rPr>
                <w:rFonts w:ascii="Verdana" w:eastAsia="Times New Roman" w:hAnsi="Verdana"/>
                <w:lang w:eastAsia="es-MX"/>
              </w:rPr>
              <w:t>contractuales</w:t>
            </w:r>
            <w:r w:rsidR="24AC96F9" w:rsidRPr="68B7763A">
              <w:rPr>
                <w:rFonts w:ascii="Verdana" w:eastAsia="Times New Roman" w:hAnsi="Verdana"/>
                <w:lang w:eastAsia="es-MX"/>
              </w:rPr>
              <w:t xml:space="preserve"> a la </w:t>
            </w:r>
            <w:r w:rsidR="4BB16280" w:rsidRPr="68B7763A">
              <w:rPr>
                <w:rFonts w:ascii="Verdana" w:eastAsia="Times New Roman" w:hAnsi="Verdana"/>
                <w:lang w:eastAsia="es-MX"/>
              </w:rPr>
              <w:t>normatividad</w:t>
            </w:r>
            <w:r w:rsidR="24AC96F9" w:rsidRPr="68B7763A">
              <w:rPr>
                <w:rFonts w:ascii="Verdana" w:eastAsia="Times New Roman" w:hAnsi="Verdana"/>
                <w:lang w:eastAsia="es-MX"/>
              </w:rPr>
              <w:t xml:space="preserve"> que le es </w:t>
            </w:r>
            <w:r w:rsidR="2A7A8E4A" w:rsidRPr="68B7763A">
              <w:rPr>
                <w:rFonts w:ascii="Verdana" w:eastAsia="Times New Roman" w:hAnsi="Verdana"/>
                <w:lang w:eastAsia="es-MX"/>
              </w:rPr>
              <w:t>aplicable</w:t>
            </w:r>
            <w:r w:rsidR="24AC96F9" w:rsidRPr="68B7763A">
              <w:rPr>
                <w:rFonts w:ascii="Verdana" w:eastAsia="Times New Roman" w:hAnsi="Verdana"/>
                <w:lang w:eastAsia="es-MX"/>
              </w:rPr>
              <w:t xml:space="preserve"> y </w:t>
            </w:r>
            <w:r w:rsidRPr="00B34DA4">
              <w:rPr>
                <w:rFonts w:ascii="Verdana" w:eastAsia="Times New Roman" w:hAnsi="Verdana"/>
                <w:lang w:eastAsia="es-MX"/>
              </w:rPr>
              <w:t xml:space="preserve">verificar el Manual de Contratación </w:t>
            </w:r>
            <w:r w:rsidRPr="68B7763A">
              <w:rPr>
                <w:rFonts w:ascii="Verdana" w:eastAsia="Times New Roman" w:hAnsi="Verdana"/>
                <w:lang w:eastAsia="es-MX"/>
              </w:rPr>
              <w:t>intern</w:t>
            </w:r>
            <w:r w:rsidR="11614A0B" w:rsidRPr="68B7763A">
              <w:rPr>
                <w:rFonts w:ascii="Verdana" w:eastAsia="Times New Roman" w:hAnsi="Verdana"/>
                <w:lang w:eastAsia="es-MX"/>
              </w:rPr>
              <w:t>o</w:t>
            </w:r>
            <w:r w:rsidRPr="00B34DA4">
              <w:rPr>
                <w:rFonts w:ascii="Verdana" w:eastAsia="Times New Roman" w:hAnsi="Verdana"/>
                <w:lang w:eastAsia="es-MX"/>
              </w:rPr>
              <w:t xml:space="preserve"> de la Entidad. Dicho manual</w:t>
            </w:r>
            <w:r w:rsidR="2F9780C6" w:rsidRPr="68B7763A">
              <w:rPr>
                <w:rFonts w:ascii="Verdana" w:eastAsia="Times New Roman" w:hAnsi="Verdana"/>
                <w:lang w:eastAsia="es-MX"/>
              </w:rPr>
              <w:t xml:space="preserve"> que debe expedirse en el marco de ley y</w:t>
            </w:r>
            <w:r w:rsidRPr="00B34DA4">
              <w:rPr>
                <w:rFonts w:ascii="Verdana" w:eastAsia="Times New Roman" w:hAnsi="Verdana"/>
                <w:lang w:eastAsia="es-MX"/>
              </w:rPr>
              <w:t xml:space="preserve"> en ejercicio de esa autonomía, </w:t>
            </w:r>
            <w:r w:rsidR="6F36CE26" w:rsidRPr="68B7763A">
              <w:rPr>
                <w:rFonts w:ascii="Verdana" w:eastAsia="Times New Roman" w:hAnsi="Verdana"/>
                <w:lang w:eastAsia="es-MX"/>
              </w:rPr>
              <w:t>contiene</w:t>
            </w:r>
            <w:r w:rsidR="5689AC08" w:rsidRPr="68B7763A">
              <w:rPr>
                <w:rFonts w:ascii="Verdana" w:eastAsia="Times New Roman" w:hAnsi="Verdana"/>
                <w:lang w:eastAsia="es-MX"/>
              </w:rPr>
              <w:t xml:space="preserve"> las disposiciones </w:t>
            </w:r>
            <w:r w:rsidR="22177E22" w:rsidRPr="68B7763A">
              <w:rPr>
                <w:rFonts w:ascii="Verdana" w:eastAsia="Times New Roman" w:hAnsi="Verdana"/>
                <w:lang w:eastAsia="es-MX"/>
              </w:rPr>
              <w:t>bajo</w:t>
            </w:r>
            <w:r w:rsidR="5689AC08" w:rsidRPr="68B7763A">
              <w:rPr>
                <w:rFonts w:ascii="Verdana" w:eastAsia="Times New Roman" w:hAnsi="Verdana"/>
                <w:lang w:eastAsia="es-MX"/>
              </w:rPr>
              <w:t xml:space="preserve"> las cuales debe adelantarse toda la </w:t>
            </w:r>
            <w:r w:rsidR="024BD45D" w:rsidRPr="68B7763A">
              <w:rPr>
                <w:rFonts w:ascii="Verdana" w:eastAsia="Times New Roman" w:hAnsi="Verdana"/>
                <w:lang w:eastAsia="es-MX"/>
              </w:rPr>
              <w:t xml:space="preserve">gestión </w:t>
            </w:r>
            <w:r w:rsidR="00C64812" w:rsidRPr="68B7763A">
              <w:rPr>
                <w:rFonts w:ascii="Verdana" w:eastAsia="Times New Roman" w:hAnsi="Verdana"/>
                <w:lang w:eastAsia="es-MX"/>
              </w:rPr>
              <w:t>contractual</w:t>
            </w:r>
            <w:r w:rsidR="5689AC08" w:rsidRPr="68B7763A">
              <w:rPr>
                <w:rFonts w:ascii="Verdana" w:eastAsia="Times New Roman" w:hAnsi="Verdana"/>
                <w:lang w:eastAsia="es-MX"/>
              </w:rPr>
              <w:t xml:space="preserve">, entre ellas la precontractual </w:t>
            </w:r>
            <w:r w:rsidR="4AA1DBDE" w:rsidRPr="68B7763A">
              <w:rPr>
                <w:rFonts w:ascii="Verdana" w:eastAsia="Times New Roman" w:hAnsi="Verdana"/>
                <w:lang w:eastAsia="es-MX"/>
              </w:rPr>
              <w:t>específicamente</w:t>
            </w:r>
            <w:r w:rsidR="5689AC08" w:rsidRPr="68B7763A">
              <w:rPr>
                <w:rFonts w:ascii="Verdana" w:eastAsia="Times New Roman" w:hAnsi="Verdana"/>
                <w:lang w:eastAsia="es-MX"/>
              </w:rPr>
              <w:t xml:space="preserve"> en lo </w:t>
            </w:r>
            <w:r w:rsidR="73335A78" w:rsidRPr="68B7763A">
              <w:rPr>
                <w:rFonts w:ascii="Verdana" w:eastAsia="Times New Roman" w:hAnsi="Verdana"/>
                <w:lang w:eastAsia="es-MX"/>
              </w:rPr>
              <w:t>relacionado</w:t>
            </w:r>
            <w:r w:rsidR="5689AC08" w:rsidRPr="68B7763A">
              <w:rPr>
                <w:rFonts w:ascii="Verdana" w:eastAsia="Times New Roman" w:hAnsi="Verdana"/>
                <w:lang w:eastAsia="es-MX"/>
              </w:rPr>
              <w:t xml:space="preserve"> con la elaboración de</w:t>
            </w:r>
            <w:r w:rsidR="760D982F" w:rsidRPr="68B7763A">
              <w:rPr>
                <w:rFonts w:ascii="Verdana" w:eastAsia="Times New Roman" w:hAnsi="Verdana"/>
                <w:lang w:eastAsia="es-MX"/>
              </w:rPr>
              <w:t xml:space="preserve"> </w:t>
            </w:r>
            <w:r w:rsidR="5689AC08" w:rsidRPr="68B7763A">
              <w:rPr>
                <w:rFonts w:ascii="Verdana" w:eastAsia="Times New Roman" w:hAnsi="Verdana"/>
                <w:lang w:eastAsia="es-MX"/>
              </w:rPr>
              <w:t xml:space="preserve">los </w:t>
            </w:r>
            <w:r w:rsidRPr="00B34DA4">
              <w:rPr>
                <w:rFonts w:ascii="Verdana" w:eastAsia="Times New Roman" w:hAnsi="Verdana"/>
                <w:lang w:eastAsia="es-MX"/>
              </w:rPr>
              <w:t xml:space="preserve"> </w:t>
            </w:r>
            <w:r w:rsidRPr="68B7763A">
              <w:rPr>
                <w:rFonts w:ascii="Verdana" w:eastAsia="Times New Roman" w:hAnsi="Verdana"/>
                <w:lang w:eastAsia="es-MX"/>
              </w:rPr>
              <w:t>estudio</w:t>
            </w:r>
            <w:r w:rsidR="1B950390" w:rsidRPr="68B7763A">
              <w:rPr>
                <w:rFonts w:ascii="Verdana" w:eastAsia="Times New Roman" w:hAnsi="Verdana"/>
                <w:lang w:eastAsia="es-MX"/>
              </w:rPr>
              <w:t>s</w:t>
            </w:r>
            <w:r w:rsidRPr="00B34DA4">
              <w:rPr>
                <w:rFonts w:ascii="Verdana" w:eastAsia="Times New Roman" w:hAnsi="Verdana"/>
                <w:lang w:eastAsia="es-MX"/>
              </w:rPr>
              <w:t xml:space="preserve"> de mercado, pudiendo definir la suficiencia del mismo o establecer un número mínimo de cotizaciones para su conformación.</w:t>
            </w:r>
          </w:p>
          <w:p w14:paraId="7C553449" w14:textId="201FC84A" w:rsidR="00785986" w:rsidRDefault="00785986" w:rsidP="0086642C">
            <w:pPr>
              <w:spacing w:after="120" w:line="276" w:lineRule="auto"/>
              <w:ind w:firstLine="708"/>
              <w:jc w:val="both"/>
              <w:rPr>
                <w:rFonts w:ascii="Verdana" w:eastAsia="Times New Roman" w:hAnsi="Verdana"/>
                <w:lang w:eastAsia="es-MX"/>
              </w:rPr>
            </w:pPr>
            <w:r w:rsidRPr="00B34DA4">
              <w:rPr>
                <w:rFonts w:ascii="Verdana" w:eastAsia="Times New Roman" w:hAnsi="Verdana" w:cs="Times New Roman"/>
                <w:lang w:eastAsia="es-MX"/>
              </w:rPr>
              <w:t xml:space="preserve">En segundo lugar, y solo ante el supuesto de que el manual guarde silencio sobre esta circunstancia particular, se debe concluir que adelantar el proceso con un único referente no </w:t>
            </w:r>
            <w:r w:rsidR="65841DCD" w:rsidRPr="68B7763A">
              <w:rPr>
                <w:rFonts w:ascii="Verdana" w:eastAsia="Times New Roman" w:hAnsi="Verdana" w:cs="Times New Roman"/>
                <w:lang w:eastAsia="es-MX"/>
              </w:rPr>
              <w:t xml:space="preserve">determina la realidad del mercado </w:t>
            </w:r>
            <w:r w:rsidRPr="00B34DA4">
              <w:rPr>
                <w:rFonts w:ascii="Verdana" w:eastAsia="Times New Roman" w:hAnsi="Verdana" w:cs="Times New Roman"/>
                <w:lang w:eastAsia="es-MX"/>
              </w:rPr>
              <w:t>. Esto se debe a que, si bien es cierto que las E.S.E. gozan de una "amplia libertad de configuración del contenido del manual de contratación" y, por ende, podrían en principio regular la suficiencia de sus estudios de mercado, dicha libertad encuentra importantes limit</w:t>
            </w:r>
            <w:r>
              <w:rPr>
                <w:rFonts w:ascii="Verdana" w:eastAsia="Times New Roman" w:hAnsi="Verdana" w:cs="Times New Roman"/>
                <w:lang w:eastAsia="es-MX"/>
              </w:rPr>
              <w:t xml:space="preserve">aciones a la luz de </w:t>
            </w:r>
            <w:r w:rsidRPr="00B34DA4">
              <w:rPr>
                <w:rFonts w:ascii="Verdana" w:eastAsia="Times New Roman" w:hAnsi="Verdana" w:cs="Times New Roman"/>
                <w:lang w:eastAsia="es-MX"/>
              </w:rPr>
              <w:t>los principios de la función administrativa y de la gestión fiscal.</w:t>
            </w:r>
          </w:p>
          <w:p w14:paraId="6BC3D761" w14:textId="77777777" w:rsidR="00785986" w:rsidRDefault="00785986" w:rsidP="0086642C">
            <w:pPr>
              <w:spacing w:after="120" w:line="276" w:lineRule="auto"/>
              <w:ind w:firstLine="708"/>
              <w:jc w:val="both"/>
              <w:rPr>
                <w:rFonts w:ascii="Verdana" w:eastAsia="Times New Roman" w:hAnsi="Verdana"/>
                <w:lang w:eastAsia="es-MX"/>
              </w:rPr>
            </w:pPr>
            <w:r w:rsidRPr="00181630">
              <w:rPr>
                <w:rFonts w:ascii="Verdana" w:eastAsia="Times New Roman" w:hAnsi="Verdana" w:cs="Times New Roman"/>
                <w:lang w:eastAsia="es-MX"/>
              </w:rPr>
              <w:t xml:space="preserve">En efecto, </w:t>
            </w:r>
            <w:r>
              <w:rPr>
                <w:rFonts w:ascii="Verdana" w:eastAsia="Times New Roman" w:hAnsi="Verdana" w:cs="Times New Roman"/>
                <w:lang w:eastAsia="es-MX"/>
              </w:rPr>
              <w:t>e</w:t>
            </w:r>
            <w:r w:rsidRPr="00181630">
              <w:rPr>
                <w:rFonts w:ascii="Verdana" w:eastAsia="Times New Roman" w:hAnsi="Verdana" w:cs="Times New Roman"/>
                <w:lang w:eastAsia="es-MX"/>
              </w:rPr>
              <w:t>l estudio de mercado tal como lo ha definido esta Agencia Nacional de Contratación Pública, tiene como fin "comprender la dinámica de los precios" mediante "un análisis de los diferentes precios de los bienes o servicios a contratar"</w:t>
            </w:r>
            <w:r w:rsidRPr="00181630">
              <w:rPr>
                <w:rStyle w:val="Refdenotaalpie"/>
                <w:rFonts w:ascii="Verdana" w:eastAsia="Times New Roman" w:hAnsi="Verdana" w:cs="Times New Roman"/>
                <w:lang w:eastAsia="es-MX"/>
              </w:rPr>
              <w:footnoteReference w:id="1"/>
            </w:r>
            <w:r w:rsidRPr="00181630">
              <w:rPr>
                <w:rFonts w:ascii="Verdana" w:eastAsia="Times New Roman" w:hAnsi="Verdana" w:cs="Times New Roman"/>
                <w:lang w:eastAsia="es-MX"/>
              </w:rPr>
              <w:t>.</w:t>
            </w:r>
            <w:r>
              <w:rPr>
                <w:rFonts w:ascii="Verdana" w:eastAsia="Times New Roman" w:hAnsi="Verdana"/>
                <w:lang w:eastAsia="es-MX"/>
              </w:rPr>
              <w:t xml:space="preserve"> </w:t>
            </w:r>
            <w:r w:rsidRPr="00181630">
              <w:rPr>
                <w:rFonts w:ascii="Verdana" w:eastAsia="Times New Roman" w:hAnsi="Verdana" w:cs="Times New Roman"/>
                <w:lang w:eastAsia="es-MX"/>
              </w:rPr>
              <w:t>Más importante aún, dicho estudio exige que la entidad realice un análisis crítico, pues "al recibir las cotizaciones, debe verificarse la ocurrencia de circunstancias que eventualmente pueden distorsionar los precios del mercado, como ofertas especiales de almacenes de cadena, fenómenos de escasez o abundancia del producto, entre otros aspectos".</w:t>
            </w:r>
          </w:p>
          <w:p w14:paraId="532A9A40" w14:textId="2E9750A6" w:rsidR="00785986" w:rsidRDefault="00785986" w:rsidP="0086642C">
            <w:pPr>
              <w:spacing w:after="120" w:line="276" w:lineRule="auto"/>
              <w:ind w:firstLine="708"/>
              <w:jc w:val="both"/>
              <w:rPr>
                <w:rFonts w:ascii="Verdana" w:eastAsia="Times New Roman" w:hAnsi="Verdana"/>
                <w:lang w:eastAsia="es-MX"/>
              </w:rPr>
            </w:pPr>
            <w:r w:rsidRPr="00181630">
              <w:rPr>
                <w:rFonts w:ascii="Verdana" w:eastAsia="Times New Roman" w:hAnsi="Verdana" w:cs="Times New Roman"/>
                <w:lang w:eastAsia="es-MX"/>
              </w:rPr>
              <w:t>Es</w:t>
            </w:r>
            <w:r>
              <w:rPr>
                <w:rFonts w:ascii="Verdana" w:eastAsia="Times New Roman" w:hAnsi="Verdana" w:cs="Times New Roman"/>
                <w:lang w:eastAsia="es-MX"/>
              </w:rPr>
              <w:t xml:space="preserve">te deber se desdibuja , cuando </w:t>
            </w:r>
            <w:r w:rsidR="2F44F938" w:rsidRPr="68B7763A">
              <w:rPr>
                <w:rFonts w:ascii="Verdana" w:eastAsia="Times New Roman" w:hAnsi="Verdana" w:cs="Times New Roman"/>
                <w:lang w:eastAsia="es-MX"/>
              </w:rPr>
              <w:t>se</w:t>
            </w:r>
            <w:r w:rsidRPr="00181630">
              <w:rPr>
                <w:rFonts w:ascii="Verdana" w:eastAsia="Times New Roman" w:hAnsi="Verdana" w:cs="Times New Roman"/>
                <w:lang w:eastAsia="es-MX"/>
              </w:rPr>
              <w:t xml:space="preserve"> verifica</w:t>
            </w:r>
            <w:r>
              <w:rPr>
                <w:rFonts w:ascii="Verdana" w:eastAsia="Times New Roman" w:hAnsi="Verdana" w:cs="Times New Roman"/>
                <w:lang w:eastAsia="es-MX"/>
              </w:rPr>
              <w:t xml:space="preserve"> a través de </w:t>
            </w:r>
            <w:r w:rsidRPr="00181630">
              <w:rPr>
                <w:rFonts w:ascii="Verdana" w:eastAsia="Times New Roman" w:hAnsi="Verdana" w:cs="Times New Roman"/>
                <w:lang w:eastAsia="es-MX"/>
              </w:rPr>
              <w:t xml:space="preserve">un único precio </w:t>
            </w:r>
            <w:r>
              <w:rPr>
                <w:rFonts w:ascii="Verdana" w:eastAsia="Times New Roman" w:hAnsi="Verdana" w:cs="Times New Roman"/>
                <w:lang w:eastAsia="es-MX"/>
              </w:rPr>
              <w:t xml:space="preserve">si este </w:t>
            </w:r>
            <w:r w:rsidRPr="00181630">
              <w:rPr>
                <w:rFonts w:ascii="Verdana" w:eastAsia="Times New Roman" w:hAnsi="Verdana" w:cs="Times New Roman"/>
                <w:lang w:eastAsia="es-MX"/>
              </w:rPr>
              <w:t xml:space="preserve">está distorsionado, o si es producto </w:t>
            </w:r>
            <w:r>
              <w:rPr>
                <w:rFonts w:ascii="Verdana" w:eastAsia="Times New Roman" w:hAnsi="Verdana" w:cs="Times New Roman"/>
                <w:lang w:eastAsia="es-MX"/>
              </w:rPr>
              <w:t xml:space="preserve">en </w:t>
            </w:r>
            <w:r w:rsidRPr="00181630">
              <w:rPr>
                <w:rFonts w:ascii="Verdana" w:eastAsia="Times New Roman" w:hAnsi="Verdana" w:cs="Times New Roman"/>
                <w:lang w:eastAsia="es-MX"/>
              </w:rPr>
              <w:t>escasez o abundancia. Asimismo,</w:t>
            </w:r>
            <w:r>
              <w:rPr>
                <w:rFonts w:ascii="Verdana" w:eastAsia="Times New Roman" w:hAnsi="Verdana" w:cs="Times New Roman"/>
                <w:lang w:eastAsia="es-MX"/>
              </w:rPr>
              <w:t xml:space="preserve"> y por sentido lógico,</w:t>
            </w:r>
            <w:r w:rsidRPr="00181630">
              <w:rPr>
                <w:rFonts w:ascii="Verdana" w:eastAsia="Times New Roman" w:hAnsi="Verdana" w:cs="Times New Roman"/>
                <w:lang w:eastAsia="es-MX"/>
              </w:rPr>
              <w:t xml:space="preserve"> una única cotización no permite analizar diferentes precios ni permite sustentar con el rigor y la razonabilidad exigidos por los lineamientos del Ministerio de Salud</w:t>
            </w:r>
            <w:r>
              <w:rPr>
                <w:rFonts w:ascii="Verdana" w:eastAsia="Times New Roman" w:hAnsi="Verdana" w:cs="Times New Roman"/>
                <w:lang w:eastAsia="es-MX"/>
              </w:rPr>
              <w:t xml:space="preserve">, </w:t>
            </w:r>
            <w:r w:rsidRPr="00181630">
              <w:rPr>
                <w:rFonts w:ascii="Verdana" w:eastAsia="Times New Roman" w:hAnsi="Verdana" w:cs="Times New Roman"/>
                <w:lang w:eastAsia="es-MX"/>
              </w:rPr>
              <w:t>el presupuesto oficial.</w:t>
            </w:r>
          </w:p>
          <w:p w14:paraId="246C6663" w14:textId="7DFDADF8" w:rsidR="00785986" w:rsidRDefault="00785986" w:rsidP="0086642C">
            <w:pPr>
              <w:spacing w:after="120" w:line="276" w:lineRule="auto"/>
              <w:ind w:firstLine="708"/>
              <w:jc w:val="both"/>
              <w:rPr>
                <w:rFonts w:ascii="Verdana" w:hAnsi="Verdana"/>
              </w:rPr>
            </w:pPr>
            <w:r w:rsidRPr="00181630">
              <w:rPr>
                <w:rFonts w:ascii="Verdana" w:eastAsia="Times New Roman" w:hAnsi="Verdana" w:cs="Times New Roman"/>
                <w:lang w:eastAsia="es-MX"/>
              </w:rPr>
              <w:t xml:space="preserve">En consecuencia, si bien la E.S.E. es autónoma para definir </w:t>
            </w:r>
            <w:r w:rsidRPr="00181630">
              <w:rPr>
                <w:rFonts w:ascii="Verdana" w:eastAsia="Times New Roman" w:hAnsi="Verdana" w:cs="Times New Roman"/>
                <w:i/>
                <w:iCs/>
                <w:lang w:eastAsia="es-MX"/>
              </w:rPr>
              <w:t>el procedimiento</w:t>
            </w:r>
            <w:r w:rsidRPr="00181630">
              <w:rPr>
                <w:rFonts w:ascii="Verdana" w:eastAsia="Times New Roman" w:hAnsi="Verdana" w:cs="Times New Roman"/>
                <w:lang w:eastAsia="es-MX"/>
              </w:rPr>
              <w:t xml:space="preserve"> en su manual, no puede usar esa autonomía para desconocer </w:t>
            </w:r>
            <w:r w:rsidRPr="00181630">
              <w:rPr>
                <w:rFonts w:ascii="Verdana" w:eastAsia="Times New Roman" w:hAnsi="Verdana" w:cs="Times New Roman"/>
                <w:i/>
                <w:iCs/>
                <w:lang w:eastAsia="es-MX"/>
              </w:rPr>
              <w:t>los principios</w:t>
            </w:r>
            <w:r w:rsidRPr="00181630">
              <w:rPr>
                <w:rFonts w:ascii="Verdana" w:eastAsia="Times New Roman" w:hAnsi="Verdana" w:cs="Times New Roman"/>
                <w:lang w:eastAsia="es-MX"/>
              </w:rPr>
              <w:t xml:space="preserve"> de planeación y gestión fiscal. Un estudio de mercado fundamentado en un único dato se considera insuficiente, incompleto y riesgoso, pues carece de los elementos comparativos mínimos necesarios para </w:t>
            </w:r>
            <w:r w:rsidRPr="00181630">
              <w:rPr>
                <w:rFonts w:ascii="Verdana" w:eastAsia="Times New Roman" w:hAnsi="Verdana" w:cs="Times New Roman"/>
                <w:lang w:eastAsia="es-MX"/>
              </w:rPr>
              <w:lastRenderedPageBreak/>
              <w:t>garantizar la protección de</w:t>
            </w:r>
            <w:r>
              <w:rPr>
                <w:rFonts w:ascii="Verdana" w:eastAsia="Times New Roman" w:hAnsi="Verdana" w:cs="Times New Roman"/>
                <w:lang w:eastAsia="es-MX"/>
              </w:rPr>
              <w:t xml:space="preserve"> </w:t>
            </w:r>
            <w:r w:rsidRPr="00181630">
              <w:rPr>
                <w:rFonts w:ascii="Verdana" w:eastAsia="Times New Roman" w:hAnsi="Verdana" w:cs="Times New Roman"/>
                <w:lang w:eastAsia="es-MX"/>
              </w:rPr>
              <w:t>l</w:t>
            </w:r>
            <w:r>
              <w:rPr>
                <w:rFonts w:ascii="Verdana" w:eastAsia="Times New Roman" w:hAnsi="Verdana" w:cs="Times New Roman"/>
                <w:lang w:eastAsia="es-MX"/>
              </w:rPr>
              <w:t>os</w:t>
            </w:r>
            <w:r w:rsidRPr="00181630">
              <w:rPr>
                <w:rFonts w:ascii="Verdana" w:eastAsia="Times New Roman" w:hAnsi="Verdana" w:cs="Times New Roman"/>
                <w:lang w:eastAsia="es-MX"/>
              </w:rPr>
              <w:t xml:space="preserve"> recurso</w:t>
            </w:r>
            <w:r>
              <w:rPr>
                <w:rFonts w:ascii="Verdana" w:eastAsia="Times New Roman" w:hAnsi="Verdana" w:cs="Times New Roman"/>
                <w:lang w:eastAsia="es-MX"/>
              </w:rPr>
              <w:t>s</w:t>
            </w:r>
            <w:r w:rsidRPr="00181630">
              <w:rPr>
                <w:rFonts w:ascii="Verdana" w:eastAsia="Times New Roman" w:hAnsi="Verdana" w:cs="Times New Roman"/>
                <w:lang w:eastAsia="es-MX"/>
              </w:rPr>
              <w:t xml:space="preserve"> público</w:t>
            </w:r>
            <w:r>
              <w:rPr>
                <w:rFonts w:ascii="Verdana" w:eastAsia="Times New Roman" w:hAnsi="Verdana" w:cs="Times New Roman"/>
                <w:lang w:eastAsia="es-MX"/>
              </w:rPr>
              <w:t>s</w:t>
            </w:r>
            <w:r w:rsidRPr="00181630">
              <w:rPr>
                <w:rFonts w:ascii="Verdana" w:eastAsia="Times New Roman" w:hAnsi="Verdana" w:cs="Times New Roman"/>
                <w:lang w:eastAsia="es-MX"/>
              </w:rPr>
              <w:t xml:space="preserve"> y la selección objetiva. Lo procedente es que la </w:t>
            </w:r>
            <w:r w:rsidR="1C36C878" w:rsidRPr="68B7763A">
              <w:rPr>
                <w:rFonts w:ascii="Verdana" w:eastAsia="Times New Roman" w:hAnsi="Verdana" w:cs="Times New Roman"/>
                <w:lang w:eastAsia="es-MX"/>
              </w:rPr>
              <w:t>entidad</w:t>
            </w:r>
            <w:r w:rsidRPr="00181630">
              <w:rPr>
                <w:rFonts w:ascii="Verdana" w:eastAsia="Times New Roman" w:hAnsi="Verdana" w:cs="Times New Roman"/>
                <w:lang w:eastAsia="es-MX"/>
              </w:rPr>
              <w:t xml:space="preserve"> agote otros mecanismos</w:t>
            </w:r>
            <w:r w:rsidRPr="00B90B20">
              <w:rPr>
                <w:rFonts w:ascii="Verdana" w:eastAsia="Times New Roman" w:hAnsi="Verdana" w:cs="Times New Roman"/>
                <w:lang w:eastAsia="es-MX"/>
              </w:rPr>
              <w:t xml:space="preserve"> </w:t>
            </w:r>
            <w:r w:rsidRPr="00B90B20">
              <w:rPr>
                <w:rFonts w:ascii="Verdana" w:hAnsi="Verdana"/>
              </w:rPr>
              <w:t>hasta obtener la pluralidad de referentes necesarios para estructurar un presupuesto debidamente justificado. Estos mecanismos incluyen, fundamentalmente, la revisión de precios históricos y el análisis de procesos análogos adjudicados por otras entidades, información que puede ser consultada en bases de datos públicas como el SECOP.</w:t>
            </w:r>
          </w:p>
          <w:p w14:paraId="6DA0B556" w14:textId="77777777" w:rsidR="00785986" w:rsidRPr="00B90B20" w:rsidRDefault="00785986" w:rsidP="0086642C">
            <w:pPr>
              <w:spacing w:after="120" w:line="276" w:lineRule="auto"/>
              <w:ind w:firstLine="708"/>
              <w:jc w:val="both"/>
              <w:rPr>
                <w:rFonts w:ascii="Verdana" w:eastAsia="Times New Roman" w:hAnsi="Verdana" w:cs="Times New Roman"/>
                <w:lang w:eastAsia="es-MX"/>
              </w:rPr>
            </w:pPr>
            <w:r w:rsidRPr="00B90B20">
              <w:rPr>
                <w:rFonts w:ascii="Verdana" w:hAnsi="Verdana"/>
              </w:rPr>
              <w:t>Finalmente, el análisis sobre la suficiencia del estudio de mercado y la consecuente viabilidad de iniciar el proceso de selección, debe ser realizado por la Entidad Estatal en el caso concreto. Las afirmaciones aquí realizadas no pueden ser interpretadas como juicios de valor sobre circunstancias concretas.</w:t>
            </w:r>
          </w:p>
        </w:tc>
      </w:tr>
    </w:tbl>
    <w:p w14:paraId="0AC7EC0D" w14:textId="77777777" w:rsidR="00785986" w:rsidRPr="00593A5F" w:rsidRDefault="00785986" w:rsidP="00785986">
      <w:pPr>
        <w:tabs>
          <w:tab w:val="left" w:pos="142"/>
          <w:tab w:val="left" w:pos="284"/>
        </w:tabs>
        <w:spacing w:after="0" w:line="276" w:lineRule="auto"/>
        <w:jc w:val="both"/>
        <w:rPr>
          <w:rFonts w:ascii="Verdana" w:eastAsia="Century Gothic" w:hAnsi="Verdana" w:cs="Century Gothic"/>
          <w:b/>
          <w:bCs/>
          <w:lang w:val="es-ES"/>
        </w:rPr>
      </w:pPr>
    </w:p>
    <w:p w14:paraId="32B75995" w14:textId="77777777" w:rsidR="00785986" w:rsidRPr="00593A5F" w:rsidRDefault="00785986" w:rsidP="0078598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EF47F12" w14:textId="77777777" w:rsidR="00785986" w:rsidRPr="00593A5F" w:rsidRDefault="00785986" w:rsidP="00785986">
      <w:pPr>
        <w:spacing w:after="0" w:line="276" w:lineRule="auto"/>
        <w:jc w:val="both"/>
        <w:rPr>
          <w:rFonts w:ascii="Verdana" w:eastAsia="Calibri" w:hAnsi="Verdana" w:cs="Arial"/>
          <w:color w:val="7030A0"/>
          <w:lang w:val="es-ES"/>
        </w:rPr>
      </w:pPr>
    </w:p>
    <w:p w14:paraId="44BBBC7E" w14:textId="77777777" w:rsidR="00785986" w:rsidRPr="00B96799" w:rsidRDefault="00785986" w:rsidP="00785986">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13AF747" w14:textId="77777777" w:rsidR="00785986" w:rsidRDefault="00785986" w:rsidP="00785986">
      <w:pPr>
        <w:spacing w:after="0" w:line="276" w:lineRule="auto"/>
        <w:jc w:val="both"/>
        <w:rPr>
          <w:rFonts w:ascii="Verdana" w:eastAsia="Calibri" w:hAnsi="Verdana" w:cs="Arial"/>
          <w:color w:val="7030A0"/>
          <w:lang w:val="es-ES"/>
        </w:rPr>
      </w:pPr>
    </w:p>
    <w:p w14:paraId="7E2D3FE6" w14:textId="77777777" w:rsidR="00785986" w:rsidRPr="002A22E2" w:rsidRDefault="00785986" w:rsidP="00785986">
      <w:pPr>
        <w:tabs>
          <w:tab w:val="left" w:pos="426"/>
        </w:tabs>
        <w:spacing w:after="120" w:line="276" w:lineRule="auto"/>
        <w:jc w:val="both"/>
        <w:rPr>
          <w:rFonts w:ascii="Verdana" w:hAnsi="Verdana" w:cs="Arial"/>
          <w:b/>
          <w:bCs/>
          <w:lang w:val="es-ES"/>
        </w:rPr>
      </w:pPr>
      <w:r>
        <w:rPr>
          <w:rFonts w:ascii="Verdana" w:hAnsi="Verdana" w:cs="Arial"/>
          <w:lang w:val="es-ES"/>
        </w:rPr>
        <w:t xml:space="preserve">i) </w:t>
      </w:r>
      <w:r w:rsidRPr="107C5DB8">
        <w:rPr>
          <w:rFonts w:ascii="Verdana" w:hAnsi="Verdana" w:cs="Arial"/>
          <w:lang w:val="es-ES"/>
        </w:rPr>
        <w:t xml:space="preserve">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w:t>
      </w:r>
      <w:bookmarkStart w:id="2" w:name="_Hlk97724318"/>
      <w:r w:rsidRPr="107C5DB8">
        <w:rPr>
          <w:rFonts w:ascii="Verdana" w:hAnsi="Verdana" w:cs="Arial"/>
          <w:lang w:val="es-ES"/>
        </w:rPr>
        <w:t>EGCAP</w:t>
      </w:r>
      <w:bookmarkEnd w:id="2"/>
      <w:r w:rsidRPr="107C5DB8">
        <w:rPr>
          <w:rFonts w:ascii="Verdana" w:hAnsi="Verdana" w:cs="Arial"/>
          <w:lang w:val="es-ES"/>
        </w:rPr>
        <w:t>–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28F943FB" w14:textId="77777777" w:rsidR="00785986" w:rsidRPr="002A22E2" w:rsidRDefault="00785986" w:rsidP="00785986">
      <w:pPr>
        <w:spacing w:after="120" w:line="276" w:lineRule="auto"/>
        <w:ind w:firstLine="709"/>
        <w:jc w:val="both"/>
        <w:rPr>
          <w:rFonts w:ascii="Verdana" w:hAnsi="Verdana" w:cs="Arial"/>
          <w:lang w:val="es-ES"/>
        </w:rPr>
      </w:pPr>
      <w:r w:rsidRPr="002A22E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7DB1BD89" w14:textId="77777777" w:rsidR="00785986" w:rsidRPr="00A46177" w:rsidRDefault="00785986" w:rsidP="00785986">
      <w:pPr>
        <w:spacing w:after="120" w:line="276" w:lineRule="auto"/>
        <w:ind w:firstLine="709"/>
        <w:jc w:val="both"/>
        <w:rPr>
          <w:rFonts w:ascii="Verdana" w:hAnsi="Verdana" w:cs="Arial"/>
          <w:bCs/>
          <w:lang w:val="es-ES"/>
        </w:rPr>
      </w:pPr>
      <w:r>
        <w:rPr>
          <w:rFonts w:ascii="Verdana" w:hAnsi="Verdana" w:cs="Arial"/>
          <w:lang w:val="es-ES"/>
        </w:rPr>
        <w:t>Por su parte, l</w:t>
      </w:r>
      <w:r w:rsidRPr="002A22E2">
        <w:rPr>
          <w:rFonts w:ascii="Verdana" w:hAnsi="Verdana" w:cs="Arial"/>
          <w:lang w:val="es-ES"/>
        </w:rPr>
        <w:t xml:space="preserve">a Agencia Nacional de Contratación Pública – Colombia Compra Eficiente expidió la “Guía para las Entidades Estatales con régimen especial de contratación”, que define a estas entidades como aquellas que </w:t>
      </w:r>
      <w:r w:rsidRPr="002A22E2">
        <w:rPr>
          <w:rFonts w:ascii="Verdana" w:hAnsi="Verdana" w:cs="Arial"/>
          <w:lang w:val="es-ES"/>
        </w:rPr>
        <w:lastRenderedPageBreak/>
        <w:t>contratan con un régimen distinto a las Leyes 80 de 1993 y 1150 de 2007</w:t>
      </w:r>
      <w:r w:rsidRPr="002A22E2">
        <w:rPr>
          <w:rFonts w:ascii="Verdana" w:hAnsi="Verdana" w:cs="Arial"/>
          <w:vertAlign w:val="superscript"/>
          <w:lang w:val="es-ES"/>
        </w:rPr>
        <w:footnoteReference w:id="2"/>
      </w:r>
      <w:r w:rsidRPr="002A22E2">
        <w:rPr>
          <w:rFonts w:ascii="Verdana" w:hAnsi="Verdana" w:cs="Arial"/>
          <w:lang w:val="es-ES"/>
        </w:rPr>
        <w:t xml:space="preserve">. </w:t>
      </w:r>
      <w:r w:rsidRPr="00A46177">
        <w:rPr>
          <w:rFonts w:ascii="Verdana" w:hAnsi="Verdana" w:cs="Arial"/>
          <w:bCs/>
          <w:lang w:val="es-ES"/>
        </w:rPr>
        <w:t xml:space="preserve">Por lo mismo, tanto uno como otro régimen están sometidos, en principio, al derecho privado, pero con algunas particularidades propias del derecho público. </w:t>
      </w:r>
    </w:p>
    <w:p w14:paraId="26C12A4E" w14:textId="77777777" w:rsidR="00785986" w:rsidRPr="00A46177" w:rsidRDefault="00785986" w:rsidP="00785986">
      <w:pPr>
        <w:spacing w:after="0" w:line="276" w:lineRule="auto"/>
        <w:ind w:firstLine="709"/>
        <w:jc w:val="both"/>
        <w:rPr>
          <w:rFonts w:ascii="Verdana" w:hAnsi="Verdana" w:cs="Arial"/>
          <w:bCs/>
          <w:lang w:val="es-ES"/>
        </w:rPr>
      </w:pPr>
      <w:r>
        <w:rPr>
          <w:rFonts w:ascii="Verdana" w:hAnsi="Verdana" w:cs="Arial"/>
          <w:lang w:val="es-ES"/>
        </w:rPr>
        <w:t>En ese orden, pese</w:t>
      </w:r>
      <w:r w:rsidRPr="002A22E2">
        <w:rPr>
          <w:rFonts w:ascii="Verdana" w:hAnsi="Verdana" w:cs="Arial"/>
          <w:lang w:val="es-ES"/>
        </w:rPr>
        <w:t xml:space="preserve"> a que</w:t>
      </w:r>
      <w:r w:rsidRPr="002A22E2">
        <w:rPr>
          <w:rFonts w:ascii="Verdana" w:eastAsia="Calibri" w:hAnsi="Verdana"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2A22E2">
        <w:rPr>
          <w:rFonts w:ascii="Verdana" w:hAnsi="Verdana" w:cs="Arial"/>
          <w:bCs/>
          <w:lang w:val="es-ES"/>
        </w:rPr>
        <w:t>de</w:t>
      </w:r>
      <w:r w:rsidRPr="00A46177">
        <w:rPr>
          <w:rFonts w:ascii="Verdana" w:hAnsi="Verdana" w:cs="Arial"/>
          <w:bCs/>
          <w:lang w:val="es-ES"/>
        </w:rPr>
        <w:t xml:space="preserve"> la Ley 1150 de 2007 preceptúa lo siguiente:</w:t>
      </w:r>
    </w:p>
    <w:p w14:paraId="5B80BDA3" w14:textId="77777777" w:rsidR="00785986" w:rsidRPr="00A46177" w:rsidRDefault="00785986" w:rsidP="00785986">
      <w:pPr>
        <w:spacing w:after="0" w:line="276" w:lineRule="auto"/>
        <w:ind w:firstLine="708"/>
        <w:jc w:val="both"/>
        <w:rPr>
          <w:rFonts w:ascii="Verdana" w:hAnsi="Verdana" w:cs="Arial"/>
          <w:bCs/>
          <w:lang w:val="es-ES"/>
        </w:rPr>
      </w:pPr>
      <w:r w:rsidRPr="00A46177">
        <w:rPr>
          <w:rFonts w:ascii="Verdana" w:hAnsi="Verdana" w:cs="Arial"/>
          <w:bCs/>
          <w:lang w:val="es-ES"/>
        </w:rPr>
        <w:t xml:space="preserve"> </w:t>
      </w:r>
    </w:p>
    <w:p w14:paraId="74F8051B" w14:textId="77777777" w:rsidR="00785986" w:rsidRPr="00896490" w:rsidRDefault="00785986" w:rsidP="00785986">
      <w:pPr>
        <w:spacing w:after="0" w:line="240" w:lineRule="auto"/>
        <w:ind w:left="708" w:right="709"/>
        <w:jc w:val="both"/>
        <w:rPr>
          <w:rFonts w:ascii="Verdana" w:hAnsi="Verdana" w:cs="Arial"/>
          <w:bCs/>
          <w:sz w:val="21"/>
          <w:szCs w:val="21"/>
          <w:lang w:val="es-ES"/>
        </w:rPr>
      </w:pPr>
      <w:r w:rsidRPr="00896490">
        <w:rPr>
          <w:rFonts w:ascii="Verdana" w:hAnsi="Verdana" w:cs="Arial"/>
          <w:bCs/>
          <w:sz w:val="21"/>
          <w:szCs w:val="21"/>
          <w:lang w:val="es-ES"/>
        </w:rPr>
        <w:t>“Artículo 13. Principios generales de la actividad contractual para entidades no sometidas al estatuto general de contratación de la administración pública.</w:t>
      </w:r>
      <w:r w:rsidRPr="00896490">
        <w:rPr>
          <w:rFonts w:ascii="Verdana" w:hAnsi="Verdana" w:cs="Arial"/>
          <w:b/>
          <w:sz w:val="21"/>
          <w:szCs w:val="21"/>
          <w:lang w:val="es-ES"/>
        </w:rPr>
        <w:t xml:space="preserve"> </w:t>
      </w:r>
      <w:r w:rsidRPr="00896490">
        <w:rPr>
          <w:rFonts w:ascii="Verdana" w:hAnsi="Verdana" w:cs="Arial"/>
          <w:bCs/>
          <w:sz w:val="21"/>
          <w:szCs w:val="21"/>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1" w:anchor="209" w:history="1">
        <w:r w:rsidRPr="00896490">
          <w:rPr>
            <w:rFonts w:ascii="Verdana" w:hAnsi="Verdana" w:cs="Arial"/>
            <w:bCs/>
            <w:sz w:val="21"/>
            <w:szCs w:val="21"/>
            <w:lang w:val="es-ES"/>
          </w:rPr>
          <w:t>209</w:t>
        </w:r>
      </w:hyperlink>
      <w:r w:rsidRPr="00896490">
        <w:rPr>
          <w:rFonts w:ascii="Verdana" w:hAnsi="Verdana" w:cs="Arial"/>
          <w:bCs/>
          <w:sz w:val="21"/>
          <w:szCs w:val="21"/>
          <w:lang w:val="es-ES"/>
        </w:rPr>
        <w:t> y </w:t>
      </w:r>
      <w:hyperlink r:id="rId12" w:anchor="267" w:history="1">
        <w:r w:rsidRPr="00896490">
          <w:rPr>
            <w:rFonts w:ascii="Verdana" w:hAnsi="Verdana" w:cs="Arial"/>
            <w:bCs/>
            <w:sz w:val="21"/>
            <w:szCs w:val="21"/>
            <w:lang w:val="es-ES"/>
          </w:rPr>
          <w:t>267</w:t>
        </w:r>
      </w:hyperlink>
      <w:r w:rsidRPr="00896490">
        <w:rPr>
          <w:rFonts w:ascii="Verdana" w:hAnsi="Verdana" w:cs="Arial"/>
          <w:bCs/>
          <w:sz w:val="21"/>
          <w:szCs w:val="21"/>
          <w:lang w:val="es-ES"/>
        </w:rPr>
        <w:t> de la Constitución Política, respectivamente según sea el caso y estarán sometidas al régimen de inhabilidades e incompatibilidades previsto legalmente para la contratación estatal”.</w:t>
      </w:r>
    </w:p>
    <w:p w14:paraId="69E8D66A" w14:textId="77777777" w:rsidR="00785986" w:rsidRPr="002A22E2" w:rsidRDefault="00785986" w:rsidP="00785986">
      <w:pPr>
        <w:spacing w:after="0" w:line="276" w:lineRule="auto"/>
        <w:ind w:firstLine="709"/>
        <w:jc w:val="both"/>
        <w:rPr>
          <w:rFonts w:ascii="Verdana" w:eastAsia="Calibri" w:hAnsi="Verdana" w:cs="Arial"/>
          <w:lang w:val="es-ES_tradnl"/>
        </w:rPr>
      </w:pPr>
    </w:p>
    <w:p w14:paraId="24769938" w14:textId="77777777" w:rsidR="00785986" w:rsidRPr="002A22E2" w:rsidRDefault="00785986" w:rsidP="00785986">
      <w:pPr>
        <w:spacing w:after="0" w:line="276" w:lineRule="auto"/>
        <w:ind w:firstLine="709"/>
        <w:jc w:val="both"/>
        <w:rPr>
          <w:rFonts w:ascii="Verdana" w:eastAsia="Calibri" w:hAnsi="Verdana" w:cs="Arial"/>
          <w:lang w:val="es-ES_tradnl"/>
        </w:rPr>
      </w:pPr>
      <w:r w:rsidRPr="002A22E2">
        <w:rPr>
          <w:rFonts w:ascii="Verdana" w:eastAsia="Calibri" w:hAnsi="Verdana" w:cs="Arial"/>
          <w:lang w:val="es-ES_tradnl"/>
        </w:rPr>
        <w:t>Lo anterior es reafirmado por el Consejo de Estado, que destaca las reglas que sigue la contratación de las entidades de régimen especial:</w:t>
      </w:r>
    </w:p>
    <w:p w14:paraId="74E0C4B8" w14:textId="77777777" w:rsidR="00785986" w:rsidRPr="002A22E2" w:rsidRDefault="00785986" w:rsidP="00785986">
      <w:pPr>
        <w:spacing w:after="0" w:line="276" w:lineRule="auto"/>
        <w:ind w:firstLine="709"/>
        <w:jc w:val="both"/>
        <w:rPr>
          <w:rFonts w:ascii="Verdana" w:eastAsia="Calibri" w:hAnsi="Verdana" w:cs="Arial"/>
          <w:lang w:val="es-ES_tradnl"/>
        </w:rPr>
      </w:pPr>
    </w:p>
    <w:p w14:paraId="6DE7BCB4" w14:textId="77777777" w:rsidR="00785986" w:rsidRPr="00896490" w:rsidRDefault="00785986" w:rsidP="00785986">
      <w:pPr>
        <w:spacing w:after="0" w:line="240" w:lineRule="auto"/>
        <w:ind w:left="709" w:right="709"/>
        <w:jc w:val="both"/>
        <w:rPr>
          <w:rFonts w:ascii="Verdana" w:eastAsia="Calibri" w:hAnsi="Verdana" w:cs="Arial"/>
          <w:sz w:val="21"/>
          <w:szCs w:val="21"/>
          <w:lang w:val="es-ES_tradnl"/>
        </w:rPr>
      </w:pPr>
      <w:r w:rsidRPr="00896490">
        <w:rPr>
          <w:rFonts w:ascii="Verdana" w:eastAsia="Calibri" w:hAnsi="Verdana" w:cs="Arial"/>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6E3F3AF3" w14:textId="77777777" w:rsidR="00785986" w:rsidRPr="00896490" w:rsidRDefault="00785986" w:rsidP="00785986">
      <w:pPr>
        <w:spacing w:after="0" w:line="240" w:lineRule="auto"/>
        <w:ind w:left="709" w:right="709"/>
        <w:jc w:val="both"/>
        <w:rPr>
          <w:rFonts w:ascii="Verdana" w:eastAsia="Calibri" w:hAnsi="Verdana" w:cs="Arial"/>
          <w:sz w:val="21"/>
          <w:szCs w:val="21"/>
          <w:lang w:val="es-ES_tradnl"/>
        </w:rPr>
      </w:pPr>
    </w:p>
    <w:p w14:paraId="0AC57C55" w14:textId="77777777" w:rsidR="00785986" w:rsidRPr="00896490" w:rsidRDefault="00785986" w:rsidP="00785986">
      <w:pPr>
        <w:spacing w:after="0" w:line="240" w:lineRule="auto"/>
        <w:ind w:left="709" w:right="709"/>
        <w:jc w:val="both"/>
        <w:rPr>
          <w:rFonts w:ascii="Verdana" w:eastAsia="Calibri" w:hAnsi="Verdana" w:cs="Arial"/>
          <w:sz w:val="21"/>
          <w:szCs w:val="21"/>
          <w:lang w:val="es-ES_tradnl"/>
        </w:rPr>
      </w:pPr>
      <w:r w:rsidRPr="00896490">
        <w:rPr>
          <w:rFonts w:ascii="Verdana" w:eastAsia="Calibri" w:hAnsi="Verdana" w:cs="Arial"/>
          <w:sz w:val="21"/>
          <w:szCs w:val="21"/>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553F8CB0" w14:textId="77777777" w:rsidR="00785986" w:rsidRPr="00896490" w:rsidRDefault="00785986" w:rsidP="00785986">
      <w:pPr>
        <w:spacing w:after="0" w:line="240" w:lineRule="auto"/>
        <w:ind w:left="709" w:right="709"/>
        <w:jc w:val="both"/>
        <w:rPr>
          <w:rFonts w:ascii="Verdana" w:eastAsia="Calibri" w:hAnsi="Verdana" w:cs="Arial"/>
          <w:sz w:val="21"/>
          <w:szCs w:val="21"/>
          <w:lang w:val="es-ES_tradnl"/>
        </w:rPr>
      </w:pPr>
    </w:p>
    <w:p w14:paraId="0205248B" w14:textId="77777777" w:rsidR="00785986" w:rsidRPr="002A22E2" w:rsidRDefault="00785986" w:rsidP="00785986">
      <w:pPr>
        <w:spacing w:after="0" w:line="240" w:lineRule="auto"/>
        <w:ind w:left="709" w:right="709"/>
        <w:jc w:val="both"/>
        <w:rPr>
          <w:rFonts w:ascii="Verdana" w:eastAsia="Calibri" w:hAnsi="Verdana" w:cs="Arial"/>
          <w:sz w:val="20"/>
          <w:szCs w:val="20"/>
          <w:lang w:val="es-ES_tradnl"/>
        </w:rPr>
      </w:pPr>
      <w:r w:rsidRPr="00896490">
        <w:rPr>
          <w:rFonts w:ascii="Verdana" w:eastAsia="Calibri" w:hAnsi="Verdana" w:cs="Arial"/>
          <w:sz w:val="21"/>
          <w:szCs w:val="21"/>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2A22E2">
        <w:rPr>
          <w:rFonts w:ascii="Verdana" w:eastAsia="Calibri" w:hAnsi="Verdana" w:cs="Arial"/>
          <w:sz w:val="20"/>
          <w:szCs w:val="20"/>
          <w:vertAlign w:val="superscript"/>
          <w:lang w:val="es-ES_tradnl"/>
        </w:rPr>
        <w:footnoteReference w:id="3"/>
      </w:r>
      <w:r w:rsidRPr="002A22E2">
        <w:rPr>
          <w:rFonts w:ascii="Verdana" w:eastAsia="Calibri" w:hAnsi="Verdana" w:cs="Arial"/>
          <w:sz w:val="20"/>
          <w:szCs w:val="20"/>
          <w:lang w:val="es-ES_tradnl"/>
        </w:rPr>
        <w:t>.</w:t>
      </w:r>
    </w:p>
    <w:p w14:paraId="1A578B7E" w14:textId="77777777" w:rsidR="00785986" w:rsidRPr="00A46177" w:rsidRDefault="00785986" w:rsidP="00785986">
      <w:pPr>
        <w:spacing w:after="0" w:line="276" w:lineRule="auto"/>
        <w:ind w:left="709" w:right="709"/>
        <w:jc w:val="both"/>
        <w:rPr>
          <w:rFonts w:ascii="Verdana" w:eastAsia="Calibri" w:hAnsi="Verdana" w:cs="Arial"/>
          <w:lang w:val="es-ES_tradnl"/>
        </w:rPr>
      </w:pPr>
    </w:p>
    <w:p w14:paraId="2B8F0D96" w14:textId="77777777" w:rsidR="00785986" w:rsidRPr="002A22E2" w:rsidRDefault="00785986" w:rsidP="00785986">
      <w:pPr>
        <w:spacing w:after="0" w:line="276" w:lineRule="auto"/>
        <w:ind w:firstLine="708"/>
        <w:jc w:val="both"/>
        <w:rPr>
          <w:rFonts w:ascii="Verdana" w:eastAsia="Calibri" w:hAnsi="Verdana" w:cs="Arial"/>
          <w:lang w:val="es-ES"/>
        </w:rPr>
      </w:pPr>
      <w:r w:rsidRPr="002A22E2">
        <w:rPr>
          <w:rFonts w:ascii="Verdana" w:eastAsia="Calibri" w:hAnsi="Verdana" w:cs="Arial"/>
          <w:lang w:val="es-ES"/>
        </w:rPr>
        <w:t>Así las cosas, teniendo en cuenta que algunas de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w:t>
      </w:r>
      <w:r>
        <w:rPr>
          <w:rFonts w:ascii="Verdana" w:eastAsia="Calibri" w:hAnsi="Verdana" w:cs="Arial"/>
          <w:lang w:val="es-ES"/>
        </w:rPr>
        <w:t>,</w:t>
      </w:r>
      <w:r w:rsidRPr="002A22E2">
        <w:rPr>
          <w:rFonts w:ascii="Verdana" w:eastAsia="Calibri" w:hAnsi="Verdana" w:cs="Arial"/>
          <w:lang w:val="es-ES"/>
        </w:rPr>
        <w:t xml:space="preserve">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2A08EF70" w14:textId="77777777" w:rsidR="00785986" w:rsidRPr="002A22E2" w:rsidRDefault="00785986" w:rsidP="00785986">
      <w:pPr>
        <w:spacing w:after="0" w:line="276" w:lineRule="auto"/>
        <w:jc w:val="both"/>
        <w:rPr>
          <w:rFonts w:ascii="Verdana" w:hAnsi="Verdana" w:cs="Arial"/>
          <w:lang w:val="es-MX"/>
        </w:rPr>
      </w:pPr>
    </w:p>
    <w:p w14:paraId="33D65B27" w14:textId="77777777" w:rsidR="00785986" w:rsidRPr="002A22E2" w:rsidRDefault="00785986" w:rsidP="00785986">
      <w:pPr>
        <w:spacing w:after="0" w:line="276" w:lineRule="auto"/>
        <w:jc w:val="both"/>
        <w:rPr>
          <w:rFonts w:ascii="Verdana" w:hAnsi="Verdana" w:cs="Arial"/>
          <w:lang w:val="es-MX"/>
        </w:rPr>
      </w:pPr>
      <w:r w:rsidRPr="002A22E2">
        <w:rPr>
          <w:rFonts w:ascii="Verdana" w:hAnsi="Verdana" w:cs="Arial"/>
          <w:lang w:val="es-MX"/>
        </w:rPr>
        <w:t>ii) Una de las Entidades Estatales con régimen especial son las Empresas Sociales del Estado – ESE</w:t>
      </w:r>
      <w:r>
        <w:rPr>
          <w:rFonts w:ascii="Verdana" w:hAnsi="Verdana" w:cs="Arial"/>
          <w:lang w:val="es-MX"/>
        </w:rPr>
        <w:t xml:space="preserve">, sobre las que redunda el objeto de su concepto. Estas empresas han sido </w:t>
      </w:r>
      <w:r w:rsidRPr="002A22E2">
        <w:rPr>
          <w:rFonts w:ascii="Verdana" w:hAnsi="Verdana" w:cs="Arial"/>
          <w:lang w:val="es-MX"/>
        </w:rPr>
        <w:t>entendidas como Entidades Públicas que, conforme al artículo 194 de la Ley 100 de 1993, constituyen una categoría especial, descentralizada por servicios, con personería jurídica, patrimonio propio y autonomía administrativa</w:t>
      </w:r>
      <w:r w:rsidRPr="002A22E2">
        <w:rPr>
          <w:rFonts w:ascii="Verdana" w:hAnsi="Verdana" w:cs="Arial"/>
          <w:vertAlign w:val="superscript"/>
          <w:lang w:val="es-MX"/>
        </w:rPr>
        <w:footnoteReference w:id="4"/>
      </w:r>
      <w:r w:rsidRPr="002A22E2">
        <w:rPr>
          <w:rFonts w:ascii="Verdana" w:hAnsi="Verdana" w:cs="Arial"/>
          <w:lang w:val="es-MX"/>
        </w:rPr>
        <w:t xml:space="preserve">. A través de ellas la Nación o las entidades territoriales prestan </w:t>
      </w:r>
      <w:r w:rsidRPr="002A22E2">
        <w:rPr>
          <w:rFonts w:ascii="Verdana" w:hAnsi="Verdana" w:cs="Arial"/>
          <w:lang w:val="es-MX"/>
        </w:rPr>
        <w:lastRenderedPageBreak/>
        <w:t xml:space="preserve">el servicio de salud de manera directa, es decir, las Empresas Sociales del Estado son, esencialmente, los hospitales públicos. El Consejo de Estado, en relación con la naturaleza jurídica de estas entidades, precisó: </w:t>
      </w:r>
    </w:p>
    <w:p w14:paraId="4173BB3D" w14:textId="77777777" w:rsidR="00785986" w:rsidRPr="002A22E2" w:rsidRDefault="00785986" w:rsidP="00785986">
      <w:pPr>
        <w:spacing w:after="0" w:line="276" w:lineRule="auto"/>
        <w:ind w:firstLine="709"/>
        <w:jc w:val="both"/>
        <w:rPr>
          <w:rFonts w:ascii="Verdana" w:hAnsi="Verdana" w:cs="Arial"/>
          <w:lang w:val="es-MX"/>
        </w:rPr>
      </w:pPr>
    </w:p>
    <w:p w14:paraId="0FE2E55C" w14:textId="77777777" w:rsidR="00785986" w:rsidRPr="002A22E2" w:rsidRDefault="00785986" w:rsidP="00785986">
      <w:pPr>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w:t>
      </w:r>
      <w:r w:rsidRPr="002A22E2">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Pr>
          <w:rFonts w:ascii="Verdana" w:eastAsia="Calibri" w:hAnsi="Verdana" w:cs="Arial"/>
          <w:sz w:val="20"/>
          <w:szCs w:val="20"/>
        </w:rPr>
        <w:t>”</w:t>
      </w:r>
      <w:r w:rsidRPr="002A22E2">
        <w:rPr>
          <w:rStyle w:val="Refdenotaalpie"/>
          <w:rFonts w:ascii="Verdana" w:eastAsia="Calibri" w:hAnsi="Verdana" w:cs="Arial"/>
          <w:sz w:val="20"/>
          <w:szCs w:val="20"/>
        </w:rPr>
        <w:footnoteReference w:id="5"/>
      </w:r>
      <w:r w:rsidRPr="002A22E2">
        <w:rPr>
          <w:rFonts w:ascii="Verdana" w:eastAsia="Calibri" w:hAnsi="Verdana" w:cs="Arial"/>
          <w:sz w:val="20"/>
          <w:szCs w:val="20"/>
        </w:rPr>
        <w:t xml:space="preserve">. </w:t>
      </w:r>
    </w:p>
    <w:p w14:paraId="0E85B7DE" w14:textId="77777777" w:rsidR="00785986" w:rsidRPr="002A22E2" w:rsidRDefault="00785986" w:rsidP="00785986">
      <w:pPr>
        <w:spacing w:after="0" w:line="276" w:lineRule="auto"/>
        <w:ind w:left="709" w:right="709"/>
        <w:jc w:val="both"/>
        <w:rPr>
          <w:rFonts w:ascii="Verdana" w:eastAsia="Calibri" w:hAnsi="Verdana" w:cs="Arial"/>
        </w:rPr>
      </w:pPr>
    </w:p>
    <w:p w14:paraId="3AEB7107" w14:textId="77777777" w:rsidR="00785986" w:rsidRPr="002A22E2" w:rsidRDefault="00785986" w:rsidP="00785986">
      <w:pPr>
        <w:pStyle w:val="Textoindependiente"/>
        <w:spacing w:line="276" w:lineRule="auto"/>
        <w:ind w:right="102" w:firstLine="709"/>
        <w:jc w:val="both"/>
        <w:rPr>
          <w:rFonts w:ascii="Verdana" w:hAnsi="Verdana"/>
        </w:rPr>
      </w:pPr>
      <w:r w:rsidRPr="002A22E2">
        <w:rPr>
          <w:rFonts w:ascii="Verdana" w:hAnsi="Verdana"/>
        </w:rPr>
        <w:t>De la cita precedente se puede concluir entonces que, las Empresas Sociales del Estado</w:t>
      </w:r>
      <w:r>
        <w:rPr>
          <w:rFonts w:ascii="Verdana" w:hAnsi="Verdana"/>
        </w:rPr>
        <w:t xml:space="preserve"> </w:t>
      </w:r>
      <w:r w:rsidRPr="002A22E2">
        <w:rPr>
          <w:rFonts w:ascii="Verdana" w:hAnsi="Verdana"/>
          <w:lang w:val="es-MX"/>
        </w:rPr>
        <w:t>–ESE–</w:t>
      </w:r>
      <w:r w:rsidRPr="002A22E2">
        <w:rPr>
          <w:rFonts w:ascii="Verdana" w:hAnsi="Verdana"/>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755BE7EA" w14:textId="77777777" w:rsidR="00785986" w:rsidRPr="002A22E2" w:rsidRDefault="00785986" w:rsidP="00785986">
      <w:pPr>
        <w:spacing w:after="120" w:line="276" w:lineRule="auto"/>
        <w:ind w:firstLine="709"/>
        <w:jc w:val="both"/>
        <w:rPr>
          <w:rFonts w:ascii="Verdana" w:hAnsi="Verdana" w:cs="Arial"/>
        </w:rPr>
      </w:pPr>
      <w:r w:rsidRPr="002A22E2">
        <w:rPr>
          <w:rFonts w:ascii="Verdana" w:hAnsi="Verdana" w:cs="Arial"/>
        </w:rPr>
        <w:t xml:space="preserve">Por su parte, </w:t>
      </w:r>
      <w:r>
        <w:rPr>
          <w:rFonts w:ascii="Verdana" w:hAnsi="Verdana" w:cs="Arial"/>
        </w:rPr>
        <w:t xml:space="preserve">en lo que a materia contractual se refiere, </w:t>
      </w:r>
      <w:r w:rsidRPr="002A22E2">
        <w:rPr>
          <w:rFonts w:ascii="Verdana" w:hAnsi="Verdana" w:cs="Arial"/>
        </w:rPr>
        <w:t xml:space="preserve">de conformidad con el numeral 6 del artículo 195 de la Ley 100 de 1993, el régimen de contratación de las </w:t>
      </w:r>
      <w:r w:rsidRPr="002A22E2">
        <w:rPr>
          <w:rFonts w:ascii="Verdana" w:hAnsi="Verdana" w:cs="Arial"/>
          <w:lang w:val="es-MX"/>
        </w:rPr>
        <w:t>–ESE–</w:t>
      </w:r>
      <w:r w:rsidRPr="002A22E2">
        <w:rPr>
          <w:rFonts w:ascii="Verdana" w:hAnsi="Verdana"/>
        </w:rPr>
        <w:t xml:space="preserve"> </w:t>
      </w:r>
      <w:r w:rsidRPr="002A22E2">
        <w:rPr>
          <w:rFonts w:ascii="Verdana" w:hAnsi="Verdana" w:cs="Arial"/>
        </w:rPr>
        <w:t xml:space="preserve">es el de derecho privado, es decir, se rige por las disposiciones contenidas en el Código de Comercio y en el Código Civil, aplicables en lo que resulten pertinentes, salvo en las materias particularmente reguladas </w:t>
      </w:r>
      <w:r w:rsidRPr="002A22E2">
        <w:rPr>
          <w:rFonts w:ascii="Verdana" w:eastAsia="Calibri" w:hAnsi="Verdana" w:cs="Arial"/>
        </w:rPr>
        <w:t xml:space="preserve">por el derecho público. </w:t>
      </w:r>
      <w:r w:rsidRPr="002A22E2">
        <w:rPr>
          <w:rFonts w:ascii="Verdana" w:hAnsi="Verdana" w:cs="Arial"/>
        </w:rPr>
        <w:t>La norma referida prescribe que</w:t>
      </w:r>
      <w:r>
        <w:rPr>
          <w:rFonts w:ascii="Verdana" w:hAnsi="Verdana" w:cs="Arial"/>
        </w:rPr>
        <w:t>:</w:t>
      </w:r>
      <w:r w:rsidRPr="002A22E2">
        <w:rPr>
          <w:rFonts w:ascii="Verdana" w:hAnsi="Verdana" w:cs="Arial"/>
        </w:rPr>
        <w:t xml:space="preserve"> “En materia contractual se regirá por el derecho privado, pero podrá discrecionalmente utilizar las cláusulas exorbitantes previstas en el estatuto general de contratación de la administración pública”.</w:t>
      </w:r>
    </w:p>
    <w:p w14:paraId="61DCFC0F" w14:textId="77777777" w:rsidR="00785986" w:rsidRPr="002A22E2" w:rsidRDefault="00785986" w:rsidP="00785986">
      <w:pPr>
        <w:pStyle w:val="Textoindependiente"/>
        <w:spacing w:after="0" w:line="276" w:lineRule="auto"/>
        <w:ind w:right="102" w:firstLine="709"/>
        <w:jc w:val="both"/>
        <w:rPr>
          <w:rFonts w:ascii="Verdana" w:hAnsi="Verdana"/>
        </w:rPr>
      </w:pPr>
      <w:r w:rsidRPr="002A22E2">
        <w:rPr>
          <w:rFonts w:ascii="Verdana" w:hAnsi="Verdana"/>
        </w:rPr>
        <w:t xml:space="preserve">En consecuencia, </w:t>
      </w:r>
      <w:r w:rsidRPr="00A46177">
        <w:rPr>
          <w:rFonts w:ascii="Verdana" w:eastAsia="Calibri" w:hAnsi="Verdana"/>
          <w:color w:val="000000" w:themeColor="text1"/>
          <w:lang w:val="es-MX"/>
        </w:rPr>
        <w:t xml:space="preserve">las </w:t>
      </w:r>
      <w:r w:rsidRPr="002A22E2">
        <w:rPr>
          <w:rFonts w:ascii="Verdana" w:hAnsi="Verdana"/>
          <w:lang w:val="es-MX"/>
        </w:rPr>
        <w:t>–ESE–</w:t>
      </w:r>
      <w:r w:rsidRPr="002A22E2">
        <w:rPr>
          <w:rFonts w:ascii="Verdana" w:hAnsi="Verdana"/>
        </w:rPr>
        <w:t xml:space="preserve"> </w:t>
      </w:r>
      <w:r w:rsidRPr="00A46177">
        <w:rPr>
          <w:rFonts w:ascii="Verdana" w:eastAsia="Calibri" w:hAnsi="Verdana"/>
          <w:color w:val="000000" w:themeColor="text1"/>
          <w:lang w:val="es-MX"/>
        </w:rPr>
        <w:t xml:space="preserve">no están sometidas al EGCAP ni a las normas que lo reglamentan o complementan, ya que, por disposición expresa de la norma transcrita, sus </w:t>
      </w:r>
      <w:r w:rsidRPr="002A22E2">
        <w:rPr>
          <w:rFonts w:ascii="Verdana" w:hAnsi="Verdana"/>
        </w:rPr>
        <w:t xml:space="preserve">contratos se rigen por el derecho privado. Sin embargo, esta circunstancia no implica la inobservancia de los principios de la función administrativa y la gestión fiscal, teniendo en cuenta que su objeto, conforme </w:t>
      </w:r>
      <w:r w:rsidRPr="002A22E2">
        <w:rPr>
          <w:rFonts w:ascii="Verdana" w:hAnsi="Verdana"/>
        </w:rPr>
        <w:lastRenderedPageBreak/>
        <w:t>a la Sentencia C-555 de 2000 de la Corte Constitucional, corresponde a la prestación del servicio de salud a cargo del Estado o como parte del servicio de seguridad social</w:t>
      </w:r>
      <w:r w:rsidRPr="002A22E2">
        <w:rPr>
          <w:rStyle w:val="Refdenotaalpie"/>
          <w:rFonts w:ascii="Verdana" w:hAnsi="Verdana"/>
        </w:rPr>
        <w:footnoteReference w:id="6"/>
      </w:r>
      <w:r w:rsidRPr="002A22E2">
        <w:rPr>
          <w:rFonts w:ascii="Verdana" w:hAnsi="Verdana"/>
        </w:rPr>
        <w:t>. En esta misma línea, el artículo 83 de la Ley 489 de 1998, dispuso lo</w:t>
      </w:r>
      <w:r w:rsidRPr="002A22E2">
        <w:rPr>
          <w:rFonts w:ascii="Verdana" w:hAnsi="Verdana"/>
          <w:spacing w:val="-12"/>
        </w:rPr>
        <w:t xml:space="preserve"> </w:t>
      </w:r>
      <w:r w:rsidRPr="002A22E2">
        <w:rPr>
          <w:rFonts w:ascii="Verdana" w:hAnsi="Verdana"/>
        </w:rPr>
        <w:t>siguiente:</w:t>
      </w:r>
    </w:p>
    <w:p w14:paraId="75BEB59F" w14:textId="77777777" w:rsidR="00785986" w:rsidRPr="002A22E2" w:rsidRDefault="00785986" w:rsidP="00785986">
      <w:pPr>
        <w:pStyle w:val="Textoindependiente"/>
        <w:spacing w:after="0" w:line="276" w:lineRule="auto"/>
        <w:ind w:right="102" w:firstLine="709"/>
        <w:jc w:val="both"/>
        <w:rPr>
          <w:rFonts w:ascii="Verdana" w:hAnsi="Verdana"/>
        </w:rPr>
      </w:pPr>
    </w:p>
    <w:p w14:paraId="304A7D5D" w14:textId="77777777" w:rsidR="00785986" w:rsidRPr="002A22E2" w:rsidRDefault="00785986" w:rsidP="00785986">
      <w:pPr>
        <w:pStyle w:val="Textoindependiente"/>
        <w:spacing w:after="0" w:line="240" w:lineRule="auto"/>
        <w:ind w:left="709" w:right="709"/>
        <w:jc w:val="both"/>
        <w:rPr>
          <w:rFonts w:ascii="Verdana" w:hAnsi="Verdana"/>
          <w:sz w:val="20"/>
          <w:szCs w:val="20"/>
        </w:rPr>
      </w:pPr>
      <w:r w:rsidRPr="002A22E2">
        <w:rPr>
          <w:rFonts w:ascii="Verdana" w:hAnsi="Verdana"/>
          <w:sz w:val="20"/>
          <w:szCs w:val="20"/>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2A22E2">
        <w:rPr>
          <w:rFonts w:ascii="Verdana" w:hAnsi="Verdana"/>
          <w:spacing w:val="-1"/>
          <w:sz w:val="20"/>
          <w:szCs w:val="20"/>
        </w:rPr>
        <w:t xml:space="preserve"> </w:t>
      </w:r>
      <w:r w:rsidRPr="002A22E2">
        <w:rPr>
          <w:rFonts w:ascii="Verdana" w:hAnsi="Verdana"/>
          <w:sz w:val="20"/>
          <w:szCs w:val="20"/>
        </w:rPr>
        <w:t>adicionen.”</w:t>
      </w:r>
    </w:p>
    <w:p w14:paraId="34B82224" w14:textId="77777777" w:rsidR="00785986" w:rsidRPr="002A22E2" w:rsidRDefault="00785986" w:rsidP="00785986">
      <w:pPr>
        <w:pStyle w:val="Textoindependiente"/>
        <w:spacing w:after="0" w:line="276" w:lineRule="auto"/>
        <w:jc w:val="both"/>
        <w:rPr>
          <w:rFonts w:ascii="Verdana" w:hAnsi="Verdana"/>
        </w:rPr>
      </w:pPr>
    </w:p>
    <w:p w14:paraId="17029240" w14:textId="77777777" w:rsidR="00785986" w:rsidRPr="00A46177" w:rsidRDefault="00785986" w:rsidP="00785986">
      <w:pPr>
        <w:tabs>
          <w:tab w:val="left" w:pos="709"/>
        </w:tabs>
        <w:spacing w:after="120" w:line="276" w:lineRule="auto"/>
        <w:jc w:val="both"/>
        <w:rPr>
          <w:rFonts w:ascii="Verdana" w:eastAsia="Calibri" w:hAnsi="Verdana" w:cs="Arial"/>
          <w:color w:val="000000" w:themeColor="text1"/>
        </w:rPr>
      </w:pPr>
      <w:r w:rsidRPr="00A46177">
        <w:rPr>
          <w:rFonts w:ascii="Verdana" w:eastAsia="Calibri" w:hAnsi="Verdana" w:cs="Arial"/>
          <w:color w:val="000000" w:themeColor="text1"/>
          <w:lang w:val="es-ES"/>
        </w:rPr>
        <w:tab/>
        <w:t xml:space="preserve">Esta también ha sido la interpretación del Ministerio de Salud y Protección Social, que en el Concepto No. </w:t>
      </w:r>
      <w:r w:rsidRPr="00A46177">
        <w:rPr>
          <w:rFonts w:ascii="Verdana" w:eastAsia="Calibri" w:hAnsi="Verdana" w:cs="Arial"/>
          <w:color w:val="000000" w:themeColor="text1"/>
        </w:rPr>
        <w:t>201942301304712</w:t>
      </w:r>
      <w:r w:rsidRPr="00A46177">
        <w:rPr>
          <w:rFonts w:ascii="Verdana" w:eastAsia="Calibri" w:hAnsi="Verdana" w:cs="Arial"/>
          <w:color w:val="000000" w:themeColor="text1"/>
          <w:lang w:val="es-ES"/>
        </w:rPr>
        <w:t xml:space="preserve"> de 2019, reiterando lo expuesto por la Sala de Consulta y Servicio Civil del Consejo de Estado</w:t>
      </w:r>
      <w:r w:rsidRPr="00A46177">
        <w:rPr>
          <w:rFonts w:ascii="Verdana" w:eastAsia="Calibri" w:hAnsi="Verdana" w:cs="Arial"/>
          <w:color w:val="000000" w:themeColor="text1"/>
          <w:vertAlign w:val="superscript"/>
          <w:lang w:val="es-ES"/>
        </w:rPr>
        <w:footnoteReference w:id="7"/>
      </w:r>
      <w:r w:rsidRPr="00A46177">
        <w:rPr>
          <w:rFonts w:ascii="Verdana" w:eastAsia="Calibri" w:hAnsi="Verdana" w:cs="Arial"/>
          <w:color w:val="000000" w:themeColor="text1"/>
          <w:lang w:val="es-ES"/>
        </w:rPr>
        <w:t xml:space="preserve">, expresó que “[…] </w:t>
      </w:r>
      <w:r w:rsidRPr="00A46177">
        <w:rPr>
          <w:rFonts w:ascii="Verdana" w:eastAsia="Calibri" w:hAnsi="Verdana"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A46177">
        <w:rPr>
          <w:rFonts w:ascii="Verdana" w:eastAsia="Calibri" w:hAnsi="Verdana" w:cs="Arial"/>
          <w:color w:val="000000" w:themeColor="text1"/>
          <w:vertAlign w:val="superscript"/>
          <w:lang w:val="es-ES"/>
        </w:rPr>
        <w:footnoteReference w:id="8"/>
      </w:r>
      <w:r w:rsidRPr="00A46177">
        <w:rPr>
          <w:rFonts w:ascii="Verdana" w:eastAsia="Calibri" w:hAnsi="Verdana" w:cs="Arial"/>
          <w:color w:val="000000" w:themeColor="text1"/>
          <w:lang w:val="es-ES"/>
        </w:rPr>
        <w:t xml:space="preserve">. </w:t>
      </w:r>
    </w:p>
    <w:p w14:paraId="58B16C8D" w14:textId="77777777" w:rsidR="00785986" w:rsidRPr="002A22E2" w:rsidRDefault="00785986" w:rsidP="00785986">
      <w:pPr>
        <w:spacing w:after="120" w:line="276" w:lineRule="auto"/>
        <w:ind w:firstLine="709"/>
        <w:jc w:val="both"/>
        <w:rPr>
          <w:rFonts w:ascii="Verdana" w:hAnsi="Verdana" w:cs="Arial"/>
          <w:lang w:val="es-ES"/>
        </w:rPr>
      </w:pPr>
      <w:r w:rsidRPr="002A22E2">
        <w:rPr>
          <w:rFonts w:ascii="Verdana" w:hAnsi="Verdana"/>
        </w:rPr>
        <w:t xml:space="preserve">En consecuencia, por mandato del legislador, el régimen jurídico de los contratos de las </w:t>
      </w:r>
      <w:r w:rsidRPr="002A22E2">
        <w:rPr>
          <w:rFonts w:ascii="Verdana" w:hAnsi="Verdana" w:cs="Arial"/>
          <w:lang w:val="es-MX"/>
        </w:rPr>
        <w:t>–ESE–</w:t>
      </w:r>
      <w:r w:rsidRPr="002A22E2">
        <w:rPr>
          <w:rFonts w:ascii="Verdana" w:hAnsi="Verdana"/>
        </w:rPr>
        <w:t xml:space="preserve">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w:t>
      </w:r>
      <w:r w:rsidRPr="002A22E2">
        <w:rPr>
          <w:rFonts w:ascii="Verdana" w:hAnsi="Verdana" w:cs="Arial"/>
          <w:lang w:val="es-MX"/>
        </w:rPr>
        <w:t>–ESE–</w:t>
      </w:r>
      <w:r w:rsidRPr="002A22E2">
        <w:rPr>
          <w:rFonts w:ascii="Verdana" w:hAnsi="Verdana"/>
        </w:rPr>
        <w:t xml:space="preserve">,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colombiano se reconoció que las entidades exceptuadas del EGCAP debían </w:t>
      </w:r>
      <w:r w:rsidRPr="002A22E2">
        <w:rPr>
          <w:rFonts w:ascii="Verdana" w:hAnsi="Verdana"/>
        </w:rPr>
        <w:lastRenderedPageBreak/>
        <w:t>respetar los principios de la función administrativa, tesis que luego fue acogida por el legislador con la expedición de la Ley 1150 de 2007.</w:t>
      </w:r>
    </w:p>
    <w:p w14:paraId="299E4C1E" w14:textId="77777777" w:rsidR="00785986" w:rsidRPr="002A22E2" w:rsidRDefault="00785986" w:rsidP="00785986">
      <w:pPr>
        <w:spacing w:after="120" w:line="276" w:lineRule="auto"/>
        <w:ind w:firstLine="709"/>
        <w:jc w:val="both"/>
        <w:rPr>
          <w:rFonts w:ascii="Verdana" w:hAnsi="Verdana" w:cs="Arial"/>
          <w:sz w:val="20"/>
          <w:szCs w:val="20"/>
          <w:lang w:val="es-MX"/>
        </w:rPr>
      </w:pPr>
      <w:r w:rsidRPr="002A22E2">
        <w:rPr>
          <w:rFonts w:ascii="Verdana" w:hAnsi="Verdana" w:cs="Arial"/>
          <w:lang w:val="es-MX"/>
        </w:rPr>
        <w:t>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r w:rsidRPr="002A22E2">
        <w:rPr>
          <w:rFonts w:ascii="Verdana" w:hAnsi="Verdana" w:cs="Arial"/>
          <w:sz w:val="20"/>
          <w:szCs w:val="20"/>
          <w:lang w:val="es-MX"/>
        </w:rPr>
        <w:t xml:space="preserve">. </w:t>
      </w:r>
    </w:p>
    <w:p w14:paraId="38DAEE25" w14:textId="77777777" w:rsidR="00785986" w:rsidRPr="002A22E2" w:rsidRDefault="00785986" w:rsidP="00785986">
      <w:pPr>
        <w:spacing w:after="120" w:line="276" w:lineRule="auto"/>
        <w:ind w:firstLine="709"/>
        <w:jc w:val="both"/>
        <w:rPr>
          <w:rFonts w:ascii="Verdana" w:hAnsi="Verdana" w:cs="Arial"/>
          <w:lang w:val="es-MX"/>
        </w:rPr>
      </w:pPr>
      <w:r w:rsidRPr="002A22E2">
        <w:rPr>
          <w:rFonts w:ascii="Verdana" w:hAnsi="Verdana" w:cs="Arial"/>
          <w:lang w:val="es-MX"/>
        </w:rPr>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2A22E2">
        <w:rPr>
          <w:rFonts w:ascii="Verdana" w:hAnsi="Verdana"/>
        </w:rPr>
        <w:t xml:space="preserve"> </w:t>
      </w:r>
      <w:r w:rsidRPr="002A22E2">
        <w:rPr>
          <w:rFonts w:ascii="Verdana" w:hAnsi="Verdana" w:cs="Arial"/>
          <w:lang w:val="es-MX"/>
        </w:rPr>
        <w:t>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w:t>
      </w:r>
    </w:p>
    <w:p w14:paraId="41EED3B6" w14:textId="77777777" w:rsidR="00785986" w:rsidRPr="00A46177" w:rsidRDefault="00785986" w:rsidP="00785986">
      <w:pPr>
        <w:spacing w:before="120" w:after="0" w:line="276" w:lineRule="auto"/>
        <w:ind w:firstLine="709"/>
        <w:jc w:val="both"/>
        <w:rPr>
          <w:rFonts w:ascii="Verdana" w:eastAsia="Calibri" w:hAnsi="Verdana" w:cs="Arial"/>
          <w:color w:val="000000" w:themeColor="text1"/>
          <w:lang w:val="es-ES_tradnl"/>
        </w:rPr>
      </w:pPr>
      <w:r w:rsidRPr="00A46177">
        <w:rPr>
          <w:rFonts w:ascii="Verdana" w:eastAsia="Calibri" w:hAnsi="Verdana" w:cs="Arial"/>
          <w:color w:val="000000" w:themeColor="text1"/>
          <w:lang w:val="es-ES_tradnl"/>
        </w:rPr>
        <w:t>Lo anterior es reafirmado por el Consejo de Estado en el caso particular de los manuales de contratación, que contiene algunas reglas que deben seguir las entidades con régimen especial en su actividad contractual:</w:t>
      </w:r>
    </w:p>
    <w:p w14:paraId="023CD7E5" w14:textId="77777777" w:rsidR="00785986" w:rsidRPr="00A46177" w:rsidRDefault="00785986" w:rsidP="00785986">
      <w:pPr>
        <w:spacing w:after="0" w:line="240" w:lineRule="auto"/>
        <w:jc w:val="both"/>
        <w:rPr>
          <w:rFonts w:ascii="Verdana" w:eastAsia="Calibri" w:hAnsi="Verdana" w:cs="Arial"/>
          <w:color w:val="000000" w:themeColor="text1"/>
          <w:lang w:val="es-ES_tradnl"/>
        </w:rPr>
      </w:pPr>
    </w:p>
    <w:p w14:paraId="73331972" w14:textId="77777777" w:rsidR="00785986" w:rsidRPr="009C0CC0" w:rsidRDefault="00785986" w:rsidP="00785986">
      <w:pPr>
        <w:spacing w:after="0" w:line="240" w:lineRule="auto"/>
        <w:ind w:left="709" w:right="709"/>
        <w:jc w:val="both"/>
        <w:rPr>
          <w:rFonts w:ascii="Verdana" w:eastAsia="Calibri" w:hAnsi="Verdana" w:cs="Arial"/>
          <w:color w:val="000000" w:themeColor="text1"/>
          <w:sz w:val="21"/>
          <w:szCs w:val="21"/>
          <w:lang w:val="es-ES_tradnl"/>
        </w:rPr>
      </w:pPr>
      <w:r w:rsidRPr="009C0CC0">
        <w:rPr>
          <w:rFonts w:ascii="Verdana" w:eastAsia="Calibri" w:hAnsi="Verdana" w:cs="Arial"/>
          <w:color w:val="000000" w:themeColor="text1"/>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A641F88" w14:textId="77777777" w:rsidR="00785986" w:rsidRPr="009C0CC0" w:rsidRDefault="00785986" w:rsidP="00785986">
      <w:pPr>
        <w:spacing w:after="0" w:line="240" w:lineRule="auto"/>
        <w:ind w:left="709" w:right="709"/>
        <w:jc w:val="both"/>
        <w:rPr>
          <w:rFonts w:ascii="Verdana" w:eastAsia="Calibri" w:hAnsi="Verdana" w:cs="Arial"/>
          <w:color w:val="000000" w:themeColor="text1"/>
          <w:sz w:val="21"/>
          <w:szCs w:val="21"/>
          <w:lang w:val="es-ES_tradnl"/>
        </w:rPr>
      </w:pPr>
    </w:p>
    <w:p w14:paraId="3E1A6B37" w14:textId="77777777" w:rsidR="00785986" w:rsidRPr="009C0CC0" w:rsidRDefault="00785986" w:rsidP="00785986">
      <w:pPr>
        <w:spacing w:after="0" w:line="240" w:lineRule="auto"/>
        <w:ind w:left="709" w:right="709"/>
        <w:jc w:val="both"/>
        <w:rPr>
          <w:rFonts w:ascii="Verdana" w:eastAsia="Calibri" w:hAnsi="Verdana" w:cs="Arial"/>
          <w:color w:val="000000" w:themeColor="text1"/>
          <w:sz w:val="21"/>
          <w:szCs w:val="21"/>
          <w:lang w:val="es-ES"/>
        </w:rPr>
      </w:pPr>
      <w:r w:rsidRPr="009C0CC0">
        <w:rPr>
          <w:rFonts w:ascii="Verdana" w:eastAsia="Calibri" w:hAnsi="Verdana" w:cs="Arial"/>
          <w:color w:val="000000" w:themeColor="text1"/>
          <w:sz w:val="21"/>
          <w:szCs w:val="21"/>
          <w:lang w:val="es-ES"/>
        </w:rPr>
        <w:t xml:space="preserve">La Sala entiende que el régimen preponderante domina y aporta el gran volumen de normas contractuales y que el régimen inspirador </w:t>
      </w:r>
      <w:r w:rsidRPr="009C0CC0">
        <w:rPr>
          <w:rFonts w:ascii="Verdana" w:eastAsia="Calibri" w:hAnsi="Verdana" w:cs="Arial"/>
          <w:color w:val="000000" w:themeColor="text1"/>
          <w:sz w:val="21"/>
          <w:szCs w:val="21"/>
          <w:lang w:val="es-ES"/>
        </w:rPr>
        <w:lastRenderedPageBreak/>
        <w:t>influye y ayuda a interpretar, pero también transforma parte de esas instituciones, porque se suma a ellas, lo que no siempre se logra conservando intacta la institución privada sino introduciéndole modificaciones”</w:t>
      </w:r>
      <w:r w:rsidRPr="009C0CC0">
        <w:rPr>
          <w:rFonts w:ascii="Verdana" w:eastAsia="Calibri" w:hAnsi="Verdana" w:cs="Arial"/>
          <w:color w:val="000000" w:themeColor="text1"/>
          <w:sz w:val="21"/>
          <w:szCs w:val="21"/>
          <w:vertAlign w:val="superscript"/>
          <w:lang w:val="es-ES_tradnl"/>
        </w:rPr>
        <w:footnoteReference w:id="9"/>
      </w:r>
      <w:r w:rsidRPr="009C0CC0">
        <w:rPr>
          <w:rFonts w:ascii="Verdana" w:eastAsia="Calibri" w:hAnsi="Verdana" w:cs="Arial"/>
          <w:color w:val="000000" w:themeColor="text1"/>
          <w:sz w:val="21"/>
          <w:szCs w:val="21"/>
          <w:lang w:val="es-ES"/>
        </w:rPr>
        <w:t>.</w:t>
      </w:r>
    </w:p>
    <w:p w14:paraId="168FE969" w14:textId="77777777" w:rsidR="00785986" w:rsidRPr="00A46177" w:rsidRDefault="00785986" w:rsidP="00785986">
      <w:pPr>
        <w:spacing w:after="0" w:line="276" w:lineRule="auto"/>
        <w:ind w:firstLine="709"/>
        <w:jc w:val="both"/>
        <w:rPr>
          <w:rFonts w:ascii="Verdana" w:hAnsi="Verdana" w:cs="Arial"/>
          <w:lang w:val="es-ES_tradnl"/>
        </w:rPr>
      </w:pPr>
    </w:p>
    <w:p w14:paraId="29FA1F1D" w14:textId="77777777" w:rsidR="00785986" w:rsidRPr="002A22E2" w:rsidRDefault="00785986" w:rsidP="00785986">
      <w:pPr>
        <w:spacing w:after="120" w:line="276" w:lineRule="auto"/>
        <w:ind w:firstLine="709"/>
        <w:jc w:val="both"/>
        <w:rPr>
          <w:rFonts w:ascii="Verdana" w:eastAsia="Arial" w:hAnsi="Verdana" w:cs="Arial"/>
        </w:rPr>
      </w:pPr>
      <w:r w:rsidRPr="002A22E2">
        <w:rPr>
          <w:rFonts w:ascii="Verdana" w:eastAsia="Arial" w:hAnsi="Verdana" w:cs="Arial"/>
        </w:rPr>
        <w:t xml:space="preserve">Ahora bien, puede decirse que una de las reglas para las </w:t>
      </w:r>
      <w:r w:rsidRPr="002A22E2">
        <w:rPr>
          <w:rFonts w:ascii="Verdana" w:hAnsi="Verdana" w:cs="Arial"/>
          <w:lang w:val="es-MX"/>
        </w:rPr>
        <w:t>–ESE–</w:t>
      </w:r>
      <w:r w:rsidRPr="002A22E2">
        <w:rPr>
          <w:rFonts w:ascii="Verdana" w:eastAsia="Arial" w:hAnsi="Verdana" w:cs="Arial"/>
        </w:rPr>
        <w:t>, deriva</w:t>
      </w:r>
      <w:r>
        <w:rPr>
          <w:rFonts w:ascii="Verdana" w:eastAsia="Arial" w:hAnsi="Verdana" w:cs="Arial"/>
        </w:rPr>
        <w:t>da</w:t>
      </w:r>
      <w:r w:rsidRPr="002A22E2">
        <w:rPr>
          <w:rFonts w:ascii="Verdana" w:eastAsia="Arial" w:hAnsi="Verdana" w:cs="Arial"/>
        </w:rPr>
        <w:t xml:space="preserve"> de las normas de derecho público estudiadas, consiste en el deber de expedir un manual de contratación</w:t>
      </w:r>
      <w:r>
        <w:rPr>
          <w:rFonts w:ascii="Verdana" w:eastAsia="Arial" w:hAnsi="Verdana" w:cs="Arial"/>
        </w:rPr>
        <w:t>. En este documento</w:t>
      </w:r>
      <w:r w:rsidRPr="002A22E2">
        <w:rPr>
          <w:rFonts w:ascii="Verdana" w:eastAsia="Arial" w:hAnsi="Verdana" w:cs="Arial"/>
        </w:rPr>
        <w:t xml:space="preserve"> deben concretarse los principios de la función administrativa y de la gestión fiscal, </w:t>
      </w:r>
      <w:r>
        <w:rPr>
          <w:rFonts w:ascii="Verdana" w:eastAsia="Arial" w:hAnsi="Verdana" w:cs="Arial"/>
        </w:rPr>
        <w:t>así como</w:t>
      </w:r>
      <w:r w:rsidRPr="002A22E2">
        <w:rPr>
          <w:rFonts w:ascii="Verdana" w:eastAsia="Arial" w:hAnsi="Verdana" w:cs="Arial"/>
        </w:rPr>
        <w:t xml:space="preserve"> determinarse la manera concreta como dichos principios </w:t>
      </w:r>
      <w:r>
        <w:rPr>
          <w:rFonts w:ascii="Verdana" w:eastAsia="Arial" w:hAnsi="Verdana" w:cs="Arial"/>
        </w:rPr>
        <w:t>orientarán</w:t>
      </w:r>
      <w:r w:rsidRPr="002A22E2">
        <w:rPr>
          <w:rFonts w:ascii="Verdana" w:eastAsia="Arial" w:hAnsi="Verdana" w:cs="Arial"/>
        </w:rPr>
        <w:t xml:space="preserve"> el derecho privado en el ejercicio de la actividad contractual. De esta manera, los potenciales oferentes podrán identificar las reglas que aplica la entidad en sus procesos contractuales.</w:t>
      </w:r>
    </w:p>
    <w:p w14:paraId="7B885753" w14:textId="77777777" w:rsidR="00785986" w:rsidRPr="002A22E2" w:rsidRDefault="00785986" w:rsidP="00785986">
      <w:pPr>
        <w:spacing w:after="120" w:line="276" w:lineRule="auto"/>
        <w:ind w:firstLine="708"/>
        <w:jc w:val="both"/>
        <w:rPr>
          <w:rFonts w:ascii="Verdana" w:eastAsia="Calibri" w:hAnsi="Verdana" w:cs="Arial"/>
          <w:lang w:val="es-ES"/>
        </w:rPr>
      </w:pPr>
      <w:r w:rsidRPr="3378D0DF">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3378D0DF">
        <w:rPr>
          <w:rStyle w:val="Refdenotaalpie"/>
          <w:rFonts w:ascii="Verdana" w:eastAsia="Calibri" w:hAnsi="Verdana" w:cs="Arial"/>
          <w:lang w:val="es-ES"/>
        </w:rPr>
        <w:footnoteReference w:id="10"/>
      </w:r>
      <w:r w:rsidRPr="3378D0DF">
        <w:rPr>
          <w:rFonts w:ascii="Verdana" w:eastAsia="Calibri" w:hAnsi="Verdana" w:cs="Arial"/>
          <w:lang w:val="es-ES"/>
        </w:rPr>
        <w:t>. Ahora bien, dicha libertad es similar a la reconocida a los particulares por el derecho privado, pero no es idéntica a aquella, en la medida en que encuentra importantes limitantes.</w:t>
      </w:r>
    </w:p>
    <w:p w14:paraId="388B0968" w14:textId="77777777" w:rsidR="00785986" w:rsidRPr="002A22E2" w:rsidRDefault="00785986" w:rsidP="00785986">
      <w:pPr>
        <w:spacing w:after="120" w:line="276" w:lineRule="auto"/>
        <w:ind w:firstLine="709"/>
        <w:jc w:val="both"/>
        <w:rPr>
          <w:rFonts w:ascii="Verdana" w:eastAsia="Calibri" w:hAnsi="Verdana" w:cs="Arial"/>
          <w:lang w:val="es-ES"/>
        </w:rPr>
      </w:pPr>
      <w:r w:rsidRPr="002A22E2">
        <w:rPr>
          <w:rFonts w:ascii="Verdana" w:eastAsia="Calibri" w:hAnsi="Verdana" w:cs="Arial"/>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w:t>
      </w:r>
      <w:r>
        <w:rPr>
          <w:rFonts w:ascii="Verdana" w:eastAsia="Calibri" w:hAnsi="Verdana" w:cs="Arial"/>
          <w:lang w:val="es-ES"/>
        </w:rPr>
        <w:t>.</w:t>
      </w:r>
      <w:r w:rsidRPr="002A22E2">
        <w:rPr>
          <w:rFonts w:ascii="Verdana" w:eastAsia="Calibri" w:hAnsi="Verdana" w:cs="Arial"/>
          <w:lang w:val="es-ES"/>
        </w:rPr>
        <w:t xml:space="preserve"> </w:t>
      </w:r>
      <w:r>
        <w:rPr>
          <w:rFonts w:ascii="Verdana" w:eastAsia="Calibri" w:hAnsi="Verdana" w:cs="Arial"/>
          <w:lang w:val="es-ES"/>
        </w:rPr>
        <w:t>E</w:t>
      </w:r>
      <w:r w:rsidRPr="002A22E2">
        <w:rPr>
          <w:rFonts w:ascii="Verdana" w:eastAsia="Calibri" w:hAnsi="Verdana" w:cs="Arial"/>
          <w:lang w:val="es-ES"/>
        </w:rPr>
        <w:t>s decir</w:t>
      </w:r>
      <w:r>
        <w:rPr>
          <w:rFonts w:ascii="Verdana" w:eastAsia="Calibri" w:hAnsi="Verdana" w:cs="Arial"/>
          <w:lang w:val="es-ES"/>
        </w:rPr>
        <w:t>, deben reflejar</w:t>
      </w:r>
      <w:r w:rsidRPr="002A22E2">
        <w:rPr>
          <w:rFonts w:ascii="Verdana" w:eastAsia="Calibri" w:hAnsi="Verdana" w:cs="Arial"/>
          <w:lang w:val="es-ES"/>
        </w:rPr>
        <w:t xml:space="preserve">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w:t>
      </w:r>
      <w:r>
        <w:rPr>
          <w:rFonts w:ascii="Verdana" w:eastAsia="Calibri" w:hAnsi="Verdana" w:cs="Arial"/>
          <w:lang w:val="es-ES"/>
        </w:rPr>
        <w:t>los manuales</w:t>
      </w:r>
      <w:r w:rsidRPr="002A22E2">
        <w:rPr>
          <w:rFonts w:ascii="Verdana" w:eastAsia="Calibri" w:hAnsi="Verdana" w:cs="Arial"/>
          <w:lang w:val="es-ES"/>
        </w:rPr>
        <w:t xml:space="preserve"> diseñad</w:t>
      </w:r>
      <w:r>
        <w:rPr>
          <w:rFonts w:ascii="Verdana" w:eastAsia="Calibri" w:hAnsi="Verdana" w:cs="Arial"/>
          <w:lang w:val="es-ES"/>
        </w:rPr>
        <w:t>os</w:t>
      </w:r>
      <w:r w:rsidRPr="002A22E2">
        <w:rPr>
          <w:rFonts w:ascii="Verdana" w:eastAsia="Calibri" w:hAnsi="Verdana" w:cs="Arial"/>
          <w:lang w:val="es-ES"/>
        </w:rPr>
        <w:t xml:space="preserve"> por la entidad se deben indicar cuáles son sus procedimientos de selección y una descripción </w:t>
      </w:r>
      <w:r w:rsidRPr="002A22E2">
        <w:rPr>
          <w:rFonts w:ascii="Verdana" w:eastAsia="Calibri" w:hAnsi="Verdana" w:cs="Arial"/>
          <w:lang w:val="es-ES"/>
        </w:rPr>
        <w:lastRenderedPageBreak/>
        <w:t>de cada uno de ellos, al igual que las etapas que los componen, los cuales deben estar alineados con la garantía de los principios de la función administrativa</w:t>
      </w:r>
      <w:r w:rsidRPr="002A22E2">
        <w:rPr>
          <w:rStyle w:val="Refdenotaalpie"/>
          <w:rFonts w:ascii="Verdana" w:eastAsia="Calibri" w:hAnsi="Verdana" w:cs="Arial"/>
          <w:lang w:val="es-ES"/>
        </w:rPr>
        <w:footnoteReference w:id="11"/>
      </w:r>
      <w:r w:rsidRPr="002A22E2">
        <w:rPr>
          <w:rFonts w:ascii="Verdana" w:eastAsia="Calibri" w:hAnsi="Verdana" w:cs="Arial"/>
          <w:lang w:val="es-ES"/>
        </w:rPr>
        <w:t xml:space="preserve">. </w:t>
      </w:r>
    </w:p>
    <w:p w14:paraId="48F4B72B" w14:textId="77777777" w:rsidR="00785986" w:rsidRPr="00A46177" w:rsidRDefault="00785986" w:rsidP="00785986">
      <w:pPr>
        <w:pStyle w:val="Textoindependiente"/>
        <w:spacing w:line="276" w:lineRule="auto"/>
        <w:ind w:firstLine="608"/>
        <w:jc w:val="both"/>
        <w:rPr>
          <w:rFonts w:ascii="Verdana" w:hAnsi="Verdana"/>
        </w:rPr>
      </w:pPr>
      <w:r w:rsidRPr="00A46177">
        <w:rPr>
          <w:rFonts w:ascii="Verdana" w:hAnsi="Verdana"/>
        </w:rPr>
        <w:t>De esta forma, las</w:t>
      </w:r>
      <w:r w:rsidRPr="00A46177">
        <w:rPr>
          <w:rFonts w:ascii="Verdana" w:hAnsi="Verdana"/>
          <w:spacing w:val="-7"/>
        </w:rPr>
        <w:t xml:space="preserve"> </w:t>
      </w:r>
      <w:r w:rsidRPr="00A46177">
        <w:rPr>
          <w:rFonts w:ascii="Verdana" w:hAnsi="Verdana"/>
        </w:rPr>
        <w:t>reglas</w:t>
      </w:r>
      <w:r w:rsidRPr="00A46177">
        <w:rPr>
          <w:rFonts w:ascii="Verdana" w:hAnsi="Verdana"/>
          <w:spacing w:val="-6"/>
        </w:rPr>
        <w:t xml:space="preserve"> </w:t>
      </w:r>
      <w:r w:rsidRPr="00A46177">
        <w:rPr>
          <w:rFonts w:ascii="Verdana" w:hAnsi="Verdana"/>
        </w:rPr>
        <w:t>establecidas</w:t>
      </w:r>
      <w:r w:rsidRPr="00A46177">
        <w:rPr>
          <w:rFonts w:ascii="Verdana" w:hAnsi="Verdana"/>
          <w:spacing w:val="-5"/>
        </w:rPr>
        <w:t xml:space="preserve"> </w:t>
      </w:r>
      <w:r w:rsidRPr="00A46177">
        <w:rPr>
          <w:rFonts w:ascii="Verdana" w:hAnsi="Verdana"/>
        </w:rPr>
        <w:t>en</w:t>
      </w:r>
      <w:r w:rsidRPr="00A46177">
        <w:rPr>
          <w:rFonts w:ascii="Verdana" w:hAnsi="Verdana"/>
          <w:spacing w:val="-7"/>
        </w:rPr>
        <w:t xml:space="preserve"> </w:t>
      </w:r>
      <w:r w:rsidRPr="00A46177">
        <w:rPr>
          <w:rFonts w:ascii="Verdana" w:hAnsi="Verdana"/>
        </w:rPr>
        <w:t>los</w:t>
      </w:r>
      <w:r w:rsidRPr="00A46177">
        <w:rPr>
          <w:rFonts w:ascii="Verdana" w:hAnsi="Verdana"/>
          <w:spacing w:val="-6"/>
        </w:rPr>
        <w:t xml:space="preserve"> </w:t>
      </w:r>
      <w:r w:rsidRPr="00A46177">
        <w:rPr>
          <w:rFonts w:ascii="Verdana" w:hAnsi="Verdana"/>
        </w:rPr>
        <w:t>manuales</w:t>
      </w:r>
      <w:r w:rsidRPr="00A46177">
        <w:rPr>
          <w:rFonts w:ascii="Verdana" w:hAnsi="Verdana"/>
          <w:spacing w:val="-6"/>
        </w:rPr>
        <w:t xml:space="preserve"> </w:t>
      </w:r>
      <w:r w:rsidRPr="00A46177">
        <w:rPr>
          <w:rFonts w:ascii="Verdana" w:hAnsi="Verdana"/>
        </w:rPr>
        <w:t>o</w:t>
      </w:r>
      <w:r w:rsidRPr="00A46177">
        <w:rPr>
          <w:rFonts w:ascii="Verdana" w:hAnsi="Verdana"/>
          <w:spacing w:val="-6"/>
        </w:rPr>
        <w:t xml:space="preserve"> </w:t>
      </w:r>
      <w:r w:rsidRPr="00A46177">
        <w:rPr>
          <w:rFonts w:ascii="Verdana" w:hAnsi="Verdana"/>
        </w:rPr>
        <w:t>reglamentos</w:t>
      </w:r>
      <w:r w:rsidRPr="00A46177">
        <w:rPr>
          <w:rFonts w:ascii="Verdana" w:hAnsi="Verdana"/>
          <w:spacing w:val="-7"/>
        </w:rPr>
        <w:t xml:space="preserve"> </w:t>
      </w:r>
      <w:r w:rsidRPr="00A46177">
        <w:rPr>
          <w:rFonts w:ascii="Verdana" w:hAnsi="Verdana"/>
        </w:rPr>
        <w:t>internos</w:t>
      </w:r>
      <w:r w:rsidRPr="00A46177">
        <w:rPr>
          <w:rFonts w:ascii="Verdana" w:hAnsi="Verdana"/>
          <w:spacing w:val="-5"/>
        </w:rPr>
        <w:t xml:space="preserve"> </w:t>
      </w:r>
      <w:r w:rsidRPr="00A46177">
        <w:rPr>
          <w:rFonts w:ascii="Verdana" w:hAnsi="Verdana"/>
        </w:rPr>
        <w:t>de</w:t>
      </w:r>
      <w:r w:rsidRPr="00A46177">
        <w:rPr>
          <w:rFonts w:ascii="Verdana" w:hAnsi="Verdana"/>
          <w:spacing w:val="-6"/>
        </w:rPr>
        <w:t xml:space="preserve"> </w:t>
      </w:r>
      <w:r w:rsidRPr="00A46177">
        <w:rPr>
          <w:rFonts w:ascii="Verdana" w:hAnsi="Verdana"/>
        </w:rPr>
        <w:t>contratación</w:t>
      </w:r>
      <w:r>
        <w:rPr>
          <w:rFonts w:ascii="Verdana" w:hAnsi="Verdana"/>
        </w:rPr>
        <w:t xml:space="preserve"> </w:t>
      </w:r>
      <w:r w:rsidRPr="00A46177">
        <w:rPr>
          <w:rFonts w:ascii="Verdana" w:hAnsi="Verdana"/>
        </w:rPr>
        <w:t>son muy importantes, toda vez que las entidades se obligan a cumplir su contenido.</w:t>
      </w:r>
      <w:r w:rsidRPr="00A46177">
        <w:rPr>
          <w:rFonts w:ascii="Verdana" w:hAnsi="Verdana"/>
          <w:spacing w:val="1"/>
        </w:rPr>
        <w:t xml:space="preserve"> </w:t>
      </w:r>
      <w:r w:rsidRPr="00A46177">
        <w:rPr>
          <w:rFonts w:ascii="Verdana" w:hAnsi="Verdana"/>
        </w:rPr>
        <w:t>Además, tratándose de un acto administrativo, concretamente de un reglamento, le</w:t>
      </w:r>
      <w:r w:rsidRPr="00A46177">
        <w:rPr>
          <w:rFonts w:ascii="Verdana" w:hAnsi="Verdana"/>
          <w:spacing w:val="1"/>
        </w:rPr>
        <w:t xml:space="preserve"> </w:t>
      </w:r>
      <w:r w:rsidRPr="00A46177">
        <w:rPr>
          <w:rFonts w:ascii="Verdana" w:hAnsi="Verdana"/>
        </w:rPr>
        <w:t>aplican</w:t>
      </w:r>
      <w:r w:rsidRPr="00A46177">
        <w:rPr>
          <w:rFonts w:ascii="Verdana" w:hAnsi="Verdana"/>
          <w:spacing w:val="-10"/>
        </w:rPr>
        <w:t xml:space="preserve"> </w:t>
      </w:r>
      <w:r w:rsidRPr="00A46177">
        <w:rPr>
          <w:rFonts w:ascii="Verdana" w:hAnsi="Verdana"/>
        </w:rPr>
        <w:t>los</w:t>
      </w:r>
      <w:r w:rsidRPr="00A46177">
        <w:rPr>
          <w:rFonts w:ascii="Verdana" w:hAnsi="Verdana"/>
          <w:spacing w:val="-10"/>
        </w:rPr>
        <w:t xml:space="preserve"> </w:t>
      </w:r>
      <w:r w:rsidRPr="00A46177">
        <w:rPr>
          <w:rFonts w:ascii="Verdana" w:hAnsi="Verdana"/>
        </w:rPr>
        <w:t>atributos</w:t>
      </w:r>
      <w:r w:rsidRPr="00A46177">
        <w:rPr>
          <w:rFonts w:ascii="Verdana" w:hAnsi="Verdana"/>
          <w:spacing w:val="-10"/>
        </w:rPr>
        <w:t xml:space="preserve"> </w:t>
      </w:r>
      <w:r w:rsidRPr="00A46177">
        <w:rPr>
          <w:rFonts w:ascii="Verdana" w:hAnsi="Verdana"/>
        </w:rPr>
        <w:t>propios</w:t>
      </w:r>
      <w:r w:rsidRPr="00A46177">
        <w:rPr>
          <w:rFonts w:ascii="Verdana" w:hAnsi="Verdana"/>
          <w:spacing w:val="-10"/>
        </w:rPr>
        <w:t xml:space="preserve"> </w:t>
      </w:r>
      <w:r w:rsidRPr="00A46177">
        <w:rPr>
          <w:rFonts w:ascii="Verdana" w:hAnsi="Verdana"/>
        </w:rPr>
        <w:t>de</w:t>
      </w:r>
      <w:r w:rsidRPr="00A46177">
        <w:rPr>
          <w:rFonts w:ascii="Verdana" w:hAnsi="Verdana"/>
          <w:spacing w:val="-9"/>
        </w:rPr>
        <w:t xml:space="preserve"> </w:t>
      </w:r>
      <w:r w:rsidRPr="00A46177">
        <w:rPr>
          <w:rFonts w:ascii="Verdana" w:hAnsi="Verdana"/>
        </w:rPr>
        <w:t>estos</w:t>
      </w:r>
      <w:r w:rsidRPr="00A46177">
        <w:rPr>
          <w:rFonts w:ascii="Verdana" w:hAnsi="Verdana"/>
          <w:spacing w:val="-10"/>
        </w:rPr>
        <w:t xml:space="preserve"> </w:t>
      </w:r>
      <w:r w:rsidRPr="00A46177">
        <w:rPr>
          <w:rFonts w:ascii="Verdana" w:hAnsi="Verdana"/>
        </w:rPr>
        <w:t>tipos</w:t>
      </w:r>
      <w:r w:rsidRPr="00A46177">
        <w:rPr>
          <w:rFonts w:ascii="Verdana" w:hAnsi="Verdana"/>
          <w:spacing w:val="-10"/>
        </w:rPr>
        <w:t xml:space="preserve"> </w:t>
      </w:r>
      <w:r w:rsidRPr="00A46177">
        <w:rPr>
          <w:rFonts w:ascii="Verdana" w:hAnsi="Verdana"/>
        </w:rPr>
        <w:t>de</w:t>
      </w:r>
      <w:r w:rsidRPr="00A46177">
        <w:rPr>
          <w:rFonts w:ascii="Verdana" w:hAnsi="Verdana"/>
          <w:spacing w:val="-10"/>
        </w:rPr>
        <w:t xml:space="preserve"> </w:t>
      </w:r>
      <w:r w:rsidRPr="00A46177">
        <w:rPr>
          <w:rFonts w:ascii="Verdana" w:hAnsi="Verdana"/>
        </w:rPr>
        <w:t>actos,</w:t>
      </w:r>
      <w:r w:rsidRPr="00A46177">
        <w:rPr>
          <w:rFonts w:ascii="Verdana" w:hAnsi="Verdana"/>
          <w:spacing w:val="-9"/>
        </w:rPr>
        <w:t xml:space="preserve"> </w:t>
      </w:r>
      <w:r w:rsidRPr="00A46177">
        <w:rPr>
          <w:rFonts w:ascii="Verdana" w:hAnsi="Verdana"/>
        </w:rPr>
        <w:t>entre</w:t>
      </w:r>
      <w:r w:rsidRPr="00A46177">
        <w:rPr>
          <w:rFonts w:ascii="Verdana" w:hAnsi="Verdana"/>
          <w:spacing w:val="-10"/>
        </w:rPr>
        <w:t xml:space="preserve"> </w:t>
      </w:r>
      <w:r w:rsidRPr="00A46177">
        <w:rPr>
          <w:rFonts w:ascii="Verdana" w:hAnsi="Verdana"/>
        </w:rPr>
        <w:t>otras</w:t>
      </w:r>
      <w:r w:rsidRPr="00A46177">
        <w:rPr>
          <w:rFonts w:ascii="Verdana" w:hAnsi="Verdana"/>
          <w:spacing w:val="-10"/>
        </w:rPr>
        <w:t xml:space="preserve"> </w:t>
      </w:r>
      <w:r w:rsidRPr="00A46177">
        <w:rPr>
          <w:rFonts w:ascii="Verdana" w:hAnsi="Verdana"/>
        </w:rPr>
        <w:t>cosas,</w:t>
      </w:r>
      <w:r w:rsidRPr="00A46177">
        <w:rPr>
          <w:rFonts w:ascii="Verdana" w:hAnsi="Verdana"/>
          <w:spacing w:val="-10"/>
        </w:rPr>
        <w:t xml:space="preserve"> </w:t>
      </w:r>
      <w:r w:rsidRPr="00A46177">
        <w:rPr>
          <w:rFonts w:ascii="Verdana" w:hAnsi="Verdana"/>
        </w:rPr>
        <w:t>la</w:t>
      </w:r>
      <w:r w:rsidRPr="00A46177">
        <w:rPr>
          <w:rFonts w:ascii="Verdana" w:hAnsi="Verdana"/>
          <w:spacing w:val="-9"/>
        </w:rPr>
        <w:t xml:space="preserve"> </w:t>
      </w:r>
      <w:r w:rsidRPr="00A46177">
        <w:rPr>
          <w:rFonts w:ascii="Verdana" w:hAnsi="Verdana"/>
        </w:rPr>
        <w:t>presunción</w:t>
      </w:r>
      <w:r w:rsidRPr="00A46177">
        <w:rPr>
          <w:rFonts w:ascii="Verdana" w:hAnsi="Verdana"/>
          <w:spacing w:val="-10"/>
        </w:rPr>
        <w:t xml:space="preserve"> </w:t>
      </w:r>
      <w:r w:rsidRPr="00A46177">
        <w:rPr>
          <w:rFonts w:ascii="Verdana" w:hAnsi="Verdana"/>
        </w:rPr>
        <w:t xml:space="preserve">de legalidad y la regla de </w:t>
      </w:r>
      <w:r w:rsidRPr="00A46177">
        <w:rPr>
          <w:rFonts w:ascii="Verdana" w:hAnsi="Verdana"/>
          <w:i/>
        </w:rPr>
        <w:t>inderogabilidad singular del reglamento</w:t>
      </w:r>
      <w:r w:rsidRPr="00A46177">
        <w:rPr>
          <w:rStyle w:val="Refdenotaalpie"/>
          <w:rFonts w:ascii="Verdana" w:hAnsi="Verdana"/>
          <w:i/>
        </w:rPr>
        <w:footnoteReference w:id="12"/>
      </w:r>
      <w:r w:rsidRPr="00A46177">
        <w:rPr>
          <w:rFonts w:ascii="Verdana" w:hAnsi="Verdana"/>
        </w:rPr>
        <w:t>. En tal sentido, su</w:t>
      </w:r>
      <w:r w:rsidRPr="00A46177">
        <w:rPr>
          <w:rFonts w:ascii="Verdana" w:hAnsi="Verdana"/>
          <w:spacing w:val="1"/>
        </w:rPr>
        <w:t xml:space="preserve"> </w:t>
      </w:r>
      <w:r w:rsidRPr="00A46177">
        <w:rPr>
          <w:rFonts w:ascii="Verdana" w:hAnsi="Verdana"/>
        </w:rPr>
        <w:t>contenido vincula a la propia entidad que lo expidió y no puede desconocerlo a su</w:t>
      </w:r>
      <w:r w:rsidRPr="00A46177">
        <w:rPr>
          <w:rFonts w:ascii="Verdana" w:hAnsi="Verdana"/>
          <w:spacing w:val="1"/>
        </w:rPr>
        <w:t xml:space="preserve"> </w:t>
      </w:r>
      <w:r w:rsidRPr="00A46177">
        <w:rPr>
          <w:rFonts w:ascii="Verdana" w:hAnsi="Verdana"/>
          <w:spacing w:val="-1"/>
        </w:rPr>
        <w:t>capricho</w:t>
      </w:r>
      <w:r w:rsidRPr="00A46177">
        <w:rPr>
          <w:rFonts w:ascii="Verdana" w:hAnsi="Verdana"/>
          <w:spacing w:val="-15"/>
        </w:rPr>
        <w:t xml:space="preserve"> </w:t>
      </w:r>
      <w:r w:rsidRPr="00A46177">
        <w:rPr>
          <w:rFonts w:ascii="Verdana" w:hAnsi="Verdana"/>
          <w:spacing w:val="-1"/>
        </w:rPr>
        <w:t>en</w:t>
      </w:r>
      <w:r w:rsidRPr="00A46177">
        <w:rPr>
          <w:rFonts w:ascii="Verdana" w:hAnsi="Verdana"/>
          <w:spacing w:val="-14"/>
        </w:rPr>
        <w:t xml:space="preserve"> </w:t>
      </w:r>
      <w:r w:rsidRPr="00A46177">
        <w:rPr>
          <w:rFonts w:ascii="Verdana" w:hAnsi="Verdana"/>
          <w:spacing w:val="-1"/>
        </w:rPr>
        <w:t>casos</w:t>
      </w:r>
      <w:r w:rsidRPr="00A46177">
        <w:rPr>
          <w:rFonts w:ascii="Verdana" w:hAnsi="Verdana"/>
          <w:spacing w:val="-14"/>
        </w:rPr>
        <w:t xml:space="preserve"> </w:t>
      </w:r>
      <w:r w:rsidRPr="00A46177">
        <w:rPr>
          <w:rFonts w:ascii="Verdana" w:hAnsi="Verdana"/>
          <w:spacing w:val="-1"/>
        </w:rPr>
        <w:t>específicos;</w:t>
      </w:r>
      <w:r w:rsidRPr="00A46177">
        <w:rPr>
          <w:rFonts w:ascii="Verdana" w:hAnsi="Verdana"/>
          <w:spacing w:val="-15"/>
        </w:rPr>
        <w:t xml:space="preserve"> </w:t>
      </w:r>
      <w:r w:rsidRPr="00A46177">
        <w:rPr>
          <w:rFonts w:ascii="Verdana" w:hAnsi="Verdana"/>
          <w:spacing w:val="-1"/>
        </w:rPr>
        <w:t>sin</w:t>
      </w:r>
      <w:r w:rsidRPr="00A46177">
        <w:rPr>
          <w:rFonts w:ascii="Verdana" w:hAnsi="Verdana"/>
          <w:spacing w:val="-14"/>
        </w:rPr>
        <w:t xml:space="preserve"> </w:t>
      </w:r>
      <w:r w:rsidRPr="00A46177">
        <w:rPr>
          <w:rFonts w:ascii="Verdana" w:hAnsi="Verdana"/>
          <w:spacing w:val="-1"/>
        </w:rPr>
        <w:t>perjuicio</w:t>
      </w:r>
      <w:r w:rsidRPr="00A46177">
        <w:rPr>
          <w:rFonts w:ascii="Verdana" w:hAnsi="Verdana"/>
          <w:spacing w:val="-14"/>
        </w:rPr>
        <w:t xml:space="preserve"> </w:t>
      </w:r>
      <w:r w:rsidRPr="00A46177">
        <w:rPr>
          <w:rFonts w:ascii="Verdana" w:hAnsi="Verdana"/>
          <w:spacing w:val="-1"/>
        </w:rPr>
        <w:t>de</w:t>
      </w:r>
      <w:r w:rsidRPr="00A46177">
        <w:rPr>
          <w:rFonts w:ascii="Verdana" w:hAnsi="Verdana"/>
          <w:spacing w:val="-15"/>
        </w:rPr>
        <w:t xml:space="preserve"> </w:t>
      </w:r>
      <w:r w:rsidRPr="00A46177">
        <w:rPr>
          <w:rFonts w:ascii="Verdana" w:hAnsi="Verdana"/>
          <w:spacing w:val="-1"/>
        </w:rPr>
        <w:t>la</w:t>
      </w:r>
      <w:r w:rsidRPr="00A46177">
        <w:rPr>
          <w:rFonts w:ascii="Verdana" w:hAnsi="Verdana"/>
          <w:spacing w:val="-14"/>
        </w:rPr>
        <w:t xml:space="preserve"> </w:t>
      </w:r>
      <w:r w:rsidRPr="00A46177">
        <w:rPr>
          <w:rFonts w:ascii="Verdana" w:hAnsi="Verdana"/>
          <w:spacing w:val="-1"/>
        </w:rPr>
        <w:t>posibilidad</w:t>
      </w:r>
      <w:r w:rsidRPr="00A46177">
        <w:rPr>
          <w:rFonts w:ascii="Verdana" w:hAnsi="Verdana"/>
          <w:spacing w:val="-14"/>
        </w:rPr>
        <w:t xml:space="preserve"> </w:t>
      </w:r>
      <w:r w:rsidRPr="00A46177">
        <w:rPr>
          <w:rFonts w:ascii="Verdana" w:hAnsi="Verdana"/>
        </w:rPr>
        <w:t>de</w:t>
      </w:r>
      <w:r w:rsidRPr="00A46177">
        <w:rPr>
          <w:rFonts w:ascii="Verdana" w:hAnsi="Verdana"/>
          <w:spacing w:val="-14"/>
        </w:rPr>
        <w:t xml:space="preserve"> </w:t>
      </w:r>
      <w:r w:rsidRPr="00A46177">
        <w:rPr>
          <w:rFonts w:ascii="Verdana" w:hAnsi="Verdana"/>
        </w:rPr>
        <w:t>expedir</w:t>
      </w:r>
      <w:r w:rsidRPr="00A46177">
        <w:rPr>
          <w:rFonts w:ascii="Verdana" w:hAnsi="Verdana"/>
          <w:spacing w:val="-15"/>
        </w:rPr>
        <w:t xml:space="preserve"> </w:t>
      </w:r>
      <w:r w:rsidRPr="00A46177">
        <w:rPr>
          <w:rFonts w:ascii="Verdana" w:hAnsi="Verdana"/>
        </w:rPr>
        <w:t>un</w:t>
      </w:r>
      <w:r w:rsidRPr="00A46177">
        <w:rPr>
          <w:rFonts w:ascii="Verdana" w:hAnsi="Verdana"/>
          <w:spacing w:val="-14"/>
        </w:rPr>
        <w:t xml:space="preserve"> </w:t>
      </w:r>
      <w:r w:rsidRPr="00A46177">
        <w:rPr>
          <w:rFonts w:ascii="Verdana" w:hAnsi="Verdana"/>
        </w:rPr>
        <w:t>nuevo</w:t>
      </w:r>
      <w:r w:rsidRPr="00A46177">
        <w:rPr>
          <w:rFonts w:ascii="Verdana" w:hAnsi="Verdana"/>
          <w:spacing w:val="-14"/>
        </w:rPr>
        <w:t xml:space="preserve"> </w:t>
      </w:r>
      <w:r w:rsidRPr="00A46177">
        <w:rPr>
          <w:rFonts w:ascii="Verdana" w:hAnsi="Verdana"/>
        </w:rPr>
        <w:t>manual o</w:t>
      </w:r>
      <w:r w:rsidRPr="00A46177">
        <w:rPr>
          <w:rFonts w:ascii="Verdana" w:hAnsi="Verdana"/>
          <w:spacing w:val="-2"/>
        </w:rPr>
        <w:t xml:space="preserve"> </w:t>
      </w:r>
      <w:r w:rsidRPr="00A46177">
        <w:rPr>
          <w:rFonts w:ascii="Verdana" w:hAnsi="Verdana"/>
        </w:rPr>
        <w:t>de</w:t>
      </w:r>
      <w:r w:rsidRPr="00A46177">
        <w:rPr>
          <w:rFonts w:ascii="Verdana" w:hAnsi="Verdana"/>
          <w:spacing w:val="-1"/>
        </w:rPr>
        <w:t xml:space="preserve"> </w:t>
      </w:r>
      <w:r w:rsidRPr="00A46177">
        <w:rPr>
          <w:rFonts w:ascii="Verdana" w:hAnsi="Verdana"/>
        </w:rPr>
        <w:t>modificar</w:t>
      </w:r>
      <w:r w:rsidRPr="00A46177">
        <w:rPr>
          <w:rFonts w:ascii="Verdana" w:hAnsi="Verdana"/>
          <w:spacing w:val="-1"/>
        </w:rPr>
        <w:t xml:space="preserve"> </w:t>
      </w:r>
      <w:r w:rsidRPr="00A46177">
        <w:rPr>
          <w:rFonts w:ascii="Verdana" w:hAnsi="Verdana"/>
        </w:rPr>
        <w:t>el</w:t>
      </w:r>
      <w:r w:rsidRPr="00A46177">
        <w:rPr>
          <w:rFonts w:ascii="Verdana" w:hAnsi="Verdana"/>
          <w:spacing w:val="-1"/>
        </w:rPr>
        <w:t xml:space="preserve"> </w:t>
      </w:r>
      <w:r w:rsidRPr="00A46177">
        <w:rPr>
          <w:rFonts w:ascii="Verdana" w:hAnsi="Verdana"/>
        </w:rPr>
        <w:t>existente.</w:t>
      </w:r>
    </w:p>
    <w:p w14:paraId="6F23C509" w14:textId="77777777" w:rsidR="00785986" w:rsidRPr="00A46177" w:rsidRDefault="00785986" w:rsidP="00785986">
      <w:pPr>
        <w:spacing w:after="120" w:line="276" w:lineRule="auto"/>
        <w:ind w:firstLine="709"/>
        <w:jc w:val="both"/>
        <w:rPr>
          <w:rFonts w:ascii="Verdana" w:eastAsia="Calibri" w:hAnsi="Verdana" w:cs="Arial"/>
          <w:color w:val="000000" w:themeColor="text1"/>
          <w:lang w:val="es-ES_tradnl"/>
        </w:rPr>
      </w:pPr>
      <w:r w:rsidRPr="00A46177">
        <w:rPr>
          <w:rFonts w:ascii="Verdana" w:eastAsia="Calibri" w:hAnsi="Verdana" w:cs="Arial"/>
          <w:color w:val="000000" w:themeColor="text1"/>
          <w:lang w:val="es-ES_tradn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4A4AD0FF" w14:textId="77777777" w:rsidR="00785986" w:rsidRPr="00A46177" w:rsidRDefault="00785986" w:rsidP="00785986">
      <w:pPr>
        <w:spacing w:after="120" w:line="276" w:lineRule="auto"/>
        <w:ind w:firstLine="709"/>
        <w:jc w:val="both"/>
        <w:rPr>
          <w:rFonts w:ascii="Verdana" w:eastAsia="Calibri" w:hAnsi="Verdana" w:cs="Arial"/>
          <w:color w:val="000000" w:themeColor="text1"/>
          <w:lang w:val="es-ES"/>
        </w:rPr>
      </w:pPr>
      <w:r w:rsidRPr="00A46177">
        <w:rPr>
          <w:rFonts w:ascii="Verdana" w:eastAsia="Calibri" w:hAnsi="Verdana" w:cs="Arial"/>
          <w:color w:val="000000" w:themeColor="text1"/>
          <w:lang w:val="es-ES"/>
        </w:rPr>
        <w:t xml:space="preserve">De otro lado, existen ciertos contenidos determinados por el ordenamiento </w:t>
      </w:r>
      <w:r w:rsidRPr="5DE29535">
        <w:rPr>
          <w:rFonts w:ascii="Verdana" w:eastAsia="Calibri" w:hAnsi="Verdana" w:cs="Arial"/>
          <w:color w:val="000000" w:themeColor="text1"/>
          <w:lang w:val="es-ES"/>
        </w:rPr>
        <w:t xml:space="preserve">jurídico </w:t>
      </w:r>
      <w:r w:rsidRPr="00A46177">
        <w:rPr>
          <w:rFonts w:ascii="Verdana" w:eastAsia="Calibri" w:hAnsi="Verdana" w:cs="Arial"/>
          <w:color w:val="000000" w:themeColor="text1"/>
          <w:lang w:val="es-ES"/>
        </w:rPr>
        <w:t>que no pueden ser modificados por los manuales internos, por tratarse de asuntos con reserva de ley. En este sentido, estos reglamentos internos de las entidades con régimen especial no pueden crear causales de inhabilidad o incompatibilidad, crear nuevos supuestos de conflictos de interés, 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0A46177">
        <w:rPr>
          <w:rFonts w:ascii="Verdana" w:eastAsia="Calibri" w:hAnsi="Verdana" w:cs="Arial"/>
          <w:color w:val="000000" w:themeColor="text1"/>
          <w:vertAlign w:val="superscript"/>
          <w:lang w:val="es-ES_tradnl"/>
        </w:rPr>
        <w:footnoteReference w:id="13"/>
      </w:r>
      <w:r w:rsidRPr="00A46177">
        <w:rPr>
          <w:rFonts w:ascii="Verdana" w:eastAsia="Calibri" w:hAnsi="Verdana" w:cs="Arial"/>
          <w:color w:val="000000" w:themeColor="text1"/>
          <w:lang w:val="es-ES"/>
        </w:rPr>
        <w:t>.</w:t>
      </w:r>
    </w:p>
    <w:p w14:paraId="3340A1AD" w14:textId="77777777" w:rsidR="00785986" w:rsidRPr="00A46177" w:rsidRDefault="00785986" w:rsidP="00785986">
      <w:pPr>
        <w:spacing w:after="120" w:line="276" w:lineRule="auto"/>
        <w:ind w:firstLine="709"/>
        <w:jc w:val="both"/>
        <w:rPr>
          <w:rFonts w:ascii="Verdana" w:eastAsia="Calibri" w:hAnsi="Verdana" w:cs="Arial"/>
          <w:color w:val="000000" w:themeColor="text1"/>
          <w:lang w:val="es-ES"/>
        </w:rPr>
      </w:pPr>
      <w:r w:rsidRPr="00A46177">
        <w:rPr>
          <w:rFonts w:ascii="Verdana" w:eastAsia="Calibri" w:hAnsi="Verdana" w:cs="Arial"/>
          <w:color w:val="000000" w:themeColor="text1"/>
          <w:lang w:val="es-ES"/>
        </w:rPr>
        <w:lastRenderedPageBreak/>
        <w:t>Sin perjuicio de lo anterior, existen múltiples contenidos que pueden ser objeto de regulación en el manual de contratación, por hacer parte del ámbito de configuración en desarrollo de su autonomía contractual</w:t>
      </w:r>
      <w:r w:rsidRPr="5DE29535">
        <w:rPr>
          <w:rFonts w:ascii="Verdana" w:eastAsia="Calibri" w:hAnsi="Verdana" w:cs="Arial"/>
          <w:color w:val="000000" w:themeColor="text1"/>
          <w:lang w:val="es-ES"/>
        </w:rPr>
        <w:t>, siempre que no contravengan la Constitución ni</w:t>
      </w:r>
      <w:r w:rsidRPr="00A46177">
        <w:rPr>
          <w:rFonts w:ascii="Verdana" w:eastAsia="Calibri" w:hAnsi="Verdana" w:cs="Arial"/>
          <w:color w:val="000000" w:themeColor="text1"/>
          <w:lang w:val="es-ES"/>
        </w:rPr>
        <w:t xml:space="preserve"> la ley</w:t>
      </w:r>
      <w:r w:rsidRPr="5DE29535">
        <w:rPr>
          <w:rFonts w:ascii="Verdana" w:eastAsia="Calibri" w:hAnsi="Verdana" w:cs="Arial"/>
          <w:color w:val="000000" w:themeColor="text1"/>
          <w:lang w:val="es-ES"/>
        </w:rPr>
        <w:t>. Por ejemplo,</w:t>
      </w:r>
      <w:r w:rsidRPr="00A46177">
        <w:rPr>
          <w:rFonts w:ascii="Verdana" w:eastAsia="Calibri" w:hAnsi="Verdana" w:cs="Arial"/>
          <w:color w:val="000000" w:themeColor="text1"/>
          <w:lang w:val="es-ES"/>
        </w:rPr>
        <w:t xml:space="preserve">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w:t>
      </w:r>
    </w:p>
    <w:p w14:paraId="518737EC" w14:textId="77777777" w:rsidR="00785986" w:rsidRPr="00A46177" w:rsidRDefault="00785986" w:rsidP="00785986">
      <w:pPr>
        <w:widowControl w:val="0"/>
        <w:autoSpaceDE w:val="0"/>
        <w:autoSpaceDN w:val="0"/>
        <w:spacing w:after="120" w:line="276" w:lineRule="auto"/>
        <w:jc w:val="both"/>
        <w:rPr>
          <w:rFonts w:ascii="Verdana" w:eastAsia="Arial" w:hAnsi="Verdana" w:cs="Arial"/>
          <w:lang w:val="es-ES"/>
        </w:rPr>
      </w:pPr>
      <w:proofErr w:type="spellStart"/>
      <w:r>
        <w:rPr>
          <w:rFonts w:ascii="Verdana" w:eastAsia="Arial" w:hAnsi="Verdana" w:cs="Arial"/>
          <w:lang w:val="es-ES"/>
        </w:rPr>
        <w:t>iii</w:t>
      </w:r>
      <w:proofErr w:type="spellEnd"/>
      <w:r>
        <w:rPr>
          <w:rFonts w:ascii="Verdana" w:eastAsia="Arial" w:hAnsi="Verdana" w:cs="Arial"/>
          <w:lang w:val="es-ES"/>
        </w:rPr>
        <w:t xml:space="preserve">) </w:t>
      </w:r>
      <w:r w:rsidRPr="00A46177">
        <w:rPr>
          <w:rFonts w:ascii="Verdana" w:eastAsia="Arial" w:hAnsi="Verdana" w:cs="Arial"/>
          <w:lang w:val="es-ES"/>
        </w:rPr>
        <w:t xml:space="preserve">En lo referente a las </w:t>
      </w:r>
      <w:r w:rsidRPr="002A22E2">
        <w:rPr>
          <w:rFonts w:ascii="Verdana" w:hAnsi="Verdana" w:cs="Arial"/>
          <w:lang w:val="es-MX"/>
        </w:rPr>
        <w:t>–ESE–</w:t>
      </w:r>
      <w:r w:rsidRPr="00A46177">
        <w:rPr>
          <w:rFonts w:ascii="Verdana" w:eastAsia="Arial" w:hAnsi="Verdana" w:cs="Arial"/>
          <w:lang w:val="es-ES"/>
        </w:rPr>
        <w:t>, el Ministerio de Salud y</w:t>
      </w:r>
      <w:r w:rsidRPr="00A46177">
        <w:rPr>
          <w:rFonts w:ascii="Verdana" w:eastAsia="Arial" w:hAnsi="Verdana" w:cs="Arial"/>
          <w:spacing w:val="1"/>
          <w:lang w:val="es-ES"/>
        </w:rPr>
        <w:t xml:space="preserve"> </w:t>
      </w:r>
      <w:r w:rsidRPr="00A46177">
        <w:rPr>
          <w:rFonts w:ascii="Verdana" w:eastAsia="Arial" w:hAnsi="Verdana" w:cs="Arial"/>
          <w:lang w:val="es-ES"/>
        </w:rPr>
        <w:t xml:space="preserve">Protección Social, </w:t>
      </w:r>
      <w:r>
        <w:rPr>
          <w:rFonts w:ascii="Verdana" w:eastAsia="Arial" w:hAnsi="Verdana" w:cs="Arial"/>
          <w:lang w:val="es-ES"/>
        </w:rPr>
        <w:t>expidió</w:t>
      </w:r>
      <w:r w:rsidRPr="00A46177">
        <w:rPr>
          <w:rFonts w:ascii="Verdana" w:eastAsia="Arial" w:hAnsi="Verdana" w:cs="Arial"/>
          <w:lang w:val="es-ES"/>
        </w:rPr>
        <w:t xml:space="preserve"> la Resolución No. 5185 de 2013, modificad</w:t>
      </w:r>
      <w:r>
        <w:rPr>
          <w:rFonts w:ascii="Verdana" w:eastAsia="Arial" w:hAnsi="Verdana" w:cs="Arial"/>
          <w:lang w:val="es-ES"/>
        </w:rPr>
        <w:t>a</w:t>
      </w:r>
      <w:r w:rsidRPr="00A46177">
        <w:rPr>
          <w:rFonts w:ascii="Verdana" w:eastAsia="Arial" w:hAnsi="Verdana" w:cs="Arial"/>
          <w:lang w:val="es-ES"/>
        </w:rPr>
        <w:t xml:space="preserve"> por la Resolución 1440 del 14 de agosto de 2024</w:t>
      </w:r>
      <w:r>
        <w:rPr>
          <w:rStyle w:val="Refdenotaalpie"/>
          <w:rFonts w:ascii="Verdana" w:eastAsia="Arial" w:hAnsi="Verdana" w:cs="Arial"/>
          <w:lang w:val="es-ES"/>
        </w:rPr>
        <w:footnoteReference w:id="14"/>
      </w:r>
      <w:r w:rsidRPr="00A46177">
        <w:rPr>
          <w:rFonts w:ascii="Verdana" w:eastAsia="Arial" w:hAnsi="Verdana" w:cs="Arial"/>
          <w:lang w:val="es-ES"/>
        </w:rPr>
        <w:t xml:space="preserve">, </w:t>
      </w:r>
      <w:r>
        <w:rPr>
          <w:rFonts w:ascii="Verdana" w:eastAsia="Arial" w:hAnsi="Verdana" w:cs="Arial"/>
          <w:lang w:val="es-ES"/>
        </w:rPr>
        <w:t xml:space="preserve">mediante la cual se </w:t>
      </w:r>
      <w:r w:rsidRPr="00A46177">
        <w:rPr>
          <w:rFonts w:ascii="Verdana" w:eastAsia="Arial" w:hAnsi="Verdana" w:cs="Arial"/>
          <w:lang w:val="es-ES"/>
        </w:rPr>
        <w:t>fij</w:t>
      </w:r>
      <w:r>
        <w:rPr>
          <w:rFonts w:ascii="Verdana" w:eastAsia="Arial" w:hAnsi="Verdana" w:cs="Arial"/>
          <w:lang w:val="es-ES"/>
        </w:rPr>
        <w:t>an</w:t>
      </w:r>
      <w:r w:rsidRPr="00A46177">
        <w:rPr>
          <w:rFonts w:ascii="Verdana" w:eastAsia="Arial" w:hAnsi="Verdana" w:cs="Arial"/>
          <w:lang w:val="es-ES"/>
        </w:rPr>
        <w:t xml:space="preserve"> los lineamientos</w:t>
      </w:r>
      <w:r w:rsidRPr="00A46177">
        <w:rPr>
          <w:rFonts w:ascii="Verdana" w:eastAsia="Arial" w:hAnsi="Verdana" w:cs="Arial"/>
          <w:spacing w:val="1"/>
          <w:lang w:val="es-ES"/>
        </w:rPr>
        <w:t xml:space="preserve"> </w:t>
      </w:r>
      <w:r w:rsidRPr="00A46177">
        <w:rPr>
          <w:rFonts w:ascii="Verdana" w:eastAsia="Arial" w:hAnsi="Verdana" w:cs="Arial"/>
          <w:lang w:val="es-ES"/>
        </w:rPr>
        <w:t>para</w:t>
      </w:r>
      <w:r w:rsidRPr="00A46177">
        <w:rPr>
          <w:rFonts w:ascii="Verdana" w:eastAsia="Arial" w:hAnsi="Verdana" w:cs="Arial"/>
          <w:spacing w:val="-10"/>
          <w:lang w:val="es-ES"/>
        </w:rPr>
        <w:t xml:space="preserve"> </w:t>
      </w:r>
      <w:r w:rsidRPr="00A46177">
        <w:rPr>
          <w:rFonts w:ascii="Verdana" w:eastAsia="Arial" w:hAnsi="Verdana" w:cs="Arial"/>
          <w:lang w:val="es-ES"/>
        </w:rPr>
        <w:t>que</w:t>
      </w:r>
      <w:r w:rsidRPr="00A46177">
        <w:rPr>
          <w:rFonts w:ascii="Verdana" w:eastAsia="Arial" w:hAnsi="Verdana" w:cs="Arial"/>
          <w:spacing w:val="-10"/>
          <w:lang w:val="es-ES"/>
        </w:rPr>
        <w:t xml:space="preserve"> </w:t>
      </w:r>
      <w:r w:rsidRPr="00A46177">
        <w:rPr>
          <w:rFonts w:ascii="Verdana" w:eastAsia="Arial" w:hAnsi="Verdana" w:cs="Arial"/>
          <w:lang w:val="es-ES"/>
        </w:rPr>
        <w:t>tales</w:t>
      </w:r>
      <w:r w:rsidRPr="00A46177">
        <w:rPr>
          <w:rFonts w:ascii="Verdana" w:eastAsia="Arial" w:hAnsi="Verdana" w:cs="Arial"/>
          <w:spacing w:val="-10"/>
          <w:lang w:val="es-ES"/>
        </w:rPr>
        <w:t xml:space="preserve"> </w:t>
      </w:r>
      <w:r w:rsidRPr="00A46177">
        <w:rPr>
          <w:rFonts w:ascii="Verdana" w:eastAsia="Arial" w:hAnsi="Verdana" w:cs="Arial"/>
          <w:lang w:val="es-ES"/>
        </w:rPr>
        <w:t>entidades</w:t>
      </w:r>
      <w:r w:rsidRPr="00A46177">
        <w:rPr>
          <w:rFonts w:ascii="Verdana" w:eastAsia="Arial" w:hAnsi="Verdana" w:cs="Arial"/>
          <w:spacing w:val="-10"/>
          <w:lang w:val="es-ES"/>
        </w:rPr>
        <w:t xml:space="preserve"> </w:t>
      </w:r>
      <w:r w:rsidRPr="00A46177">
        <w:rPr>
          <w:rFonts w:ascii="Verdana" w:eastAsia="Arial" w:hAnsi="Verdana" w:cs="Arial"/>
          <w:lang w:val="es-ES"/>
        </w:rPr>
        <w:t>adopten</w:t>
      </w:r>
      <w:r w:rsidRPr="00A46177">
        <w:rPr>
          <w:rFonts w:ascii="Verdana" w:eastAsia="Arial" w:hAnsi="Verdana" w:cs="Arial"/>
          <w:spacing w:val="-10"/>
          <w:lang w:val="es-ES"/>
        </w:rPr>
        <w:t xml:space="preserve"> </w:t>
      </w:r>
      <w:r w:rsidRPr="00A46177">
        <w:rPr>
          <w:rFonts w:ascii="Verdana" w:eastAsia="Arial" w:hAnsi="Verdana" w:cs="Arial"/>
          <w:lang w:val="es-ES"/>
        </w:rPr>
        <w:t>los</w:t>
      </w:r>
      <w:r w:rsidRPr="00A46177">
        <w:rPr>
          <w:rFonts w:ascii="Verdana" w:eastAsia="Arial" w:hAnsi="Verdana" w:cs="Arial"/>
          <w:spacing w:val="-10"/>
          <w:lang w:val="es-ES"/>
        </w:rPr>
        <w:t xml:space="preserve"> </w:t>
      </w:r>
      <w:r w:rsidRPr="00A46177">
        <w:rPr>
          <w:rFonts w:ascii="Verdana" w:eastAsia="Arial" w:hAnsi="Verdana" w:cs="Arial"/>
          <w:lang w:val="es-ES"/>
        </w:rPr>
        <w:t>manuales</w:t>
      </w:r>
      <w:r w:rsidRPr="00A46177">
        <w:rPr>
          <w:rFonts w:ascii="Verdana" w:eastAsia="Arial" w:hAnsi="Verdana" w:cs="Arial"/>
          <w:spacing w:val="-10"/>
          <w:lang w:val="es-ES"/>
        </w:rPr>
        <w:t xml:space="preserve"> </w:t>
      </w:r>
      <w:r w:rsidRPr="00A46177">
        <w:rPr>
          <w:rFonts w:ascii="Verdana" w:eastAsia="Arial" w:hAnsi="Verdana" w:cs="Arial"/>
          <w:lang w:val="es-ES"/>
        </w:rPr>
        <w:t>de</w:t>
      </w:r>
      <w:r w:rsidRPr="00A46177">
        <w:rPr>
          <w:rFonts w:ascii="Verdana" w:eastAsia="Arial" w:hAnsi="Verdana" w:cs="Arial"/>
          <w:spacing w:val="-10"/>
          <w:lang w:val="es-ES"/>
        </w:rPr>
        <w:t xml:space="preserve"> </w:t>
      </w:r>
      <w:r w:rsidRPr="00A46177">
        <w:rPr>
          <w:rFonts w:ascii="Verdana" w:eastAsia="Arial" w:hAnsi="Verdana" w:cs="Arial"/>
          <w:lang w:val="es-ES"/>
        </w:rPr>
        <w:t>contratación</w:t>
      </w:r>
      <w:r w:rsidRPr="00A46177">
        <w:rPr>
          <w:rFonts w:ascii="Verdana" w:eastAsia="Arial" w:hAnsi="Verdana" w:cs="Arial"/>
          <w:spacing w:val="-10"/>
          <w:lang w:val="es-ES"/>
        </w:rPr>
        <w:t xml:space="preserve"> </w:t>
      </w:r>
      <w:r w:rsidRPr="00A46177">
        <w:rPr>
          <w:rFonts w:ascii="Verdana" w:eastAsia="Arial" w:hAnsi="Verdana" w:cs="Arial"/>
          <w:lang w:val="es-ES"/>
        </w:rPr>
        <w:t>que</w:t>
      </w:r>
      <w:r w:rsidRPr="00A46177">
        <w:rPr>
          <w:rFonts w:ascii="Verdana" w:eastAsia="Arial" w:hAnsi="Verdana" w:cs="Arial"/>
          <w:spacing w:val="-9"/>
          <w:lang w:val="es-ES"/>
        </w:rPr>
        <w:t xml:space="preserve"> </w:t>
      </w:r>
      <w:r w:rsidRPr="00A46177">
        <w:rPr>
          <w:rFonts w:ascii="Verdana" w:eastAsia="Arial" w:hAnsi="Verdana" w:cs="Arial"/>
          <w:lang w:val="es-ES"/>
        </w:rPr>
        <w:t>regirán</w:t>
      </w:r>
      <w:r w:rsidRPr="00A46177">
        <w:rPr>
          <w:rFonts w:ascii="Verdana" w:eastAsia="Arial" w:hAnsi="Verdana" w:cs="Arial"/>
          <w:spacing w:val="-10"/>
          <w:lang w:val="es-ES"/>
        </w:rPr>
        <w:t xml:space="preserve"> </w:t>
      </w:r>
      <w:r w:rsidRPr="00A46177">
        <w:rPr>
          <w:rFonts w:ascii="Verdana" w:eastAsia="Arial" w:hAnsi="Verdana" w:cs="Arial"/>
          <w:lang w:val="es-ES"/>
        </w:rPr>
        <w:t>su</w:t>
      </w:r>
      <w:r w:rsidRPr="00A46177">
        <w:rPr>
          <w:rFonts w:ascii="Verdana" w:eastAsia="Arial" w:hAnsi="Verdana" w:cs="Arial"/>
          <w:spacing w:val="-10"/>
          <w:lang w:val="es-ES"/>
        </w:rPr>
        <w:t xml:space="preserve"> </w:t>
      </w:r>
      <w:r w:rsidRPr="00A46177">
        <w:rPr>
          <w:rFonts w:ascii="Verdana" w:eastAsia="Arial" w:hAnsi="Verdana" w:cs="Arial"/>
          <w:lang w:val="es-ES"/>
        </w:rPr>
        <w:t>actividad</w:t>
      </w:r>
      <w:r w:rsidRPr="00A46177">
        <w:rPr>
          <w:rFonts w:ascii="Verdana" w:eastAsia="Arial" w:hAnsi="Verdana" w:cs="Arial"/>
          <w:spacing w:val="-59"/>
          <w:lang w:val="es-ES"/>
        </w:rPr>
        <w:t xml:space="preserve"> </w:t>
      </w:r>
      <w:r w:rsidRPr="00A46177">
        <w:rPr>
          <w:rFonts w:ascii="Verdana" w:eastAsia="Arial" w:hAnsi="Verdana" w:cs="Arial"/>
          <w:lang w:val="es-ES"/>
        </w:rPr>
        <w:t>contractual. Este acto administrativo, dictado en ejercicio de las facultades conferidas</w:t>
      </w:r>
      <w:r w:rsidRPr="00A46177">
        <w:rPr>
          <w:rFonts w:ascii="Verdana" w:eastAsia="Arial" w:hAnsi="Verdana" w:cs="Arial"/>
          <w:spacing w:val="1"/>
          <w:lang w:val="es-ES"/>
        </w:rPr>
        <w:t xml:space="preserve"> </w:t>
      </w:r>
      <w:r w:rsidRPr="00A46177">
        <w:rPr>
          <w:rFonts w:ascii="Verdana" w:eastAsia="Arial" w:hAnsi="Verdana" w:cs="Arial"/>
          <w:lang w:val="es-ES"/>
        </w:rPr>
        <w:t>por el artículo 76 de la Ley 1438 de 2011</w:t>
      </w:r>
      <w:r w:rsidRPr="00A46177">
        <w:rPr>
          <w:rStyle w:val="Refdenotaalpie"/>
          <w:rFonts w:ascii="Verdana" w:eastAsia="Arial" w:hAnsi="Verdana" w:cs="Arial"/>
          <w:lang w:val="es-ES"/>
        </w:rPr>
        <w:footnoteReference w:id="15"/>
      </w:r>
      <w:r w:rsidRPr="00A46177">
        <w:rPr>
          <w:rFonts w:ascii="Verdana" w:eastAsia="Arial" w:hAnsi="Verdana" w:cs="Arial"/>
          <w:lang w:val="es-ES"/>
        </w:rPr>
        <w:t>, contiene varios criterios que se deberán</w:t>
      </w:r>
      <w:r w:rsidRPr="00A46177">
        <w:rPr>
          <w:rFonts w:ascii="Verdana" w:eastAsia="Arial" w:hAnsi="Verdana" w:cs="Arial"/>
          <w:spacing w:val="1"/>
          <w:lang w:val="es-ES"/>
        </w:rPr>
        <w:t xml:space="preserve"> </w:t>
      </w:r>
      <w:r w:rsidRPr="00A46177">
        <w:rPr>
          <w:rFonts w:ascii="Verdana" w:eastAsia="Arial" w:hAnsi="Verdana" w:cs="Arial"/>
          <w:lang w:val="es-ES"/>
        </w:rPr>
        <w:t>cuenta</w:t>
      </w:r>
      <w:r w:rsidRPr="00A46177">
        <w:rPr>
          <w:rFonts w:ascii="Verdana" w:eastAsia="Arial" w:hAnsi="Verdana" w:cs="Arial"/>
          <w:spacing w:val="-2"/>
          <w:lang w:val="es-ES"/>
        </w:rPr>
        <w:t xml:space="preserve"> </w:t>
      </w:r>
      <w:r w:rsidRPr="00A46177">
        <w:rPr>
          <w:rFonts w:ascii="Verdana" w:eastAsia="Arial" w:hAnsi="Verdana" w:cs="Arial"/>
          <w:lang w:val="es-ES"/>
        </w:rPr>
        <w:t>a</w:t>
      </w:r>
      <w:r w:rsidRPr="00A46177">
        <w:rPr>
          <w:rFonts w:ascii="Verdana" w:eastAsia="Arial" w:hAnsi="Verdana" w:cs="Arial"/>
          <w:spacing w:val="-1"/>
          <w:lang w:val="es-ES"/>
        </w:rPr>
        <w:t xml:space="preserve"> </w:t>
      </w:r>
      <w:r w:rsidRPr="00A46177">
        <w:rPr>
          <w:rFonts w:ascii="Verdana" w:eastAsia="Arial" w:hAnsi="Verdana" w:cs="Arial"/>
          <w:lang w:val="es-ES"/>
        </w:rPr>
        <w:t>la</w:t>
      </w:r>
      <w:r w:rsidRPr="00A46177">
        <w:rPr>
          <w:rFonts w:ascii="Verdana" w:eastAsia="Arial" w:hAnsi="Verdana" w:cs="Arial"/>
          <w:spacing w:val="-1"/>
          <w:lang w:val="es-ES"/>
        </w:rPr>
        <w:t xml:space="preserve"> </w:t>
      </w:r>
      <w:r w:rsidRPr="00A46177">
        <w:rPr>
          <w:rFonts w:ascii="Verdana" w:eastAsia="Arial" w:hAnsi="Verdana" w:cs="Arial"/>
          <w:lang w:val="es-ES"/>
        </w:rPr>
        <w:t>hora</w:t>
      </w:r>
      <w:r w:rsidRPr="00A46177">
        <w:rPr>
          <w:rFonts w:ascii="Verdana" w:eastAsia="Arial" w:hAnsi="Verdana" w:cs="Arial"/>
          <w:spacing w:val="-1"/>
          <w:lang w:val="es-ES"/>
        </w:rPr>
        <w:t xml:space="preserve"> </w:t>
      </w:r>
      <w:r w:rsidRPr="00A46177">
        <w:rPr>
          <w:rFonts w:ascii="Verdana" w:eastAsia="Arial" w:hAnsi="Verdana" w:cs="Arial"/>
          <w:lang w:val="es-ES"/>
        </w:rPr>
        <w:t>de</w:t>
      </w:r>
      <w:r w:rsidRPr="00A46177">
        <w:rPr>
          <w:rFonts w:ascii="Verdana" w:eastAsia="Arial" w:hAnsi="Verdana" w:cs="Arial"/>
          <w:spacing w:val="-2"/>
          <w:lang w:val="es-ES"/>
        </w:rPr>
        <w:t xml:space="preserve"> </w:t>
      </w:r>
      <w:r w:rsidRPr="00A46177">
        <w:rPr>
          <w:rFonts w:ascii="Verdana" w:eastAsia="Arial" w:hAnsi="Verdana" w:cs="Arial"/>
          <w:lang w:val="es-ES"/>
        </w:rPr>
        <w:t>adoptar</w:t>
      </w:r>
      <w:r w:rsidRPr="00A46177">
        <w:rPr>
          <w:rFonts w:ascii="Verdana" w:eastAsia="Arial" w:hAnsi="Verdana" w:cs="Arial"/>
          <w:spacing w:val="-1"/>
          <w:lang w:val="es-ES"/>
        </w:rPr>
        <w:t xml:space="preserve"> </w:t>
      </w:r>
      <w:r w:rsidRPr="00A46177">
        <w:rPr>
          <w:rFonts w:ascii="Verdana" w:eastAsia="Arial" w:hAnsi="Verdana" w:cs="Arial"/>
          <w:lang w:val="es-ES"/>
        </w:rPr>
        <w:t>los</w:t>
      </w:r>
      <w:r w:rsidRPr="00A46177">
        <w:rPr>
          <w:rFonts w:ascii="Verdana" w:eastAsia="Arial" w:hAnsi="Verdana" w:cs="Arial"/>
          <w:spacing w:val="-1"/>
          <w:lang w:val="es-ES"/>
        </w:rPr>
        <w:t xml:space="preserve"> </w:t>
      </w:r>
      <w:r w:rsidRPr="00A46177">
        <w:rPr>
          <w:rFonts w:ascii="Verdana" w:eastAsia="Arial" w:hAnsi="Verdana" w:cs="Arial"/>
          <w:lang w:val="es-ES"/>
        </w:rPr>
        <w:t>manuales</w:t>
      </w:r>
      <w:r w:rsidRPr="00A46177">
        <w:rPr>
          <w:rFonts w:ascii="Verdana" w:eastAsia="Arial" w:hAnsi="Verdana" w:cs="Arial"/>
          <w:spacing w:val="-1"/>
          <w:lang w:val="es-ES"/>
        </w:rPr>
        <w:t xml:space="preserve"> </w:t>
      </w:r>
      <w:r w:rsidRPr="00A46177">
        <w:rPr>
          <w:rFonts w:ascii="Verdana" w:eastAsia="Arial" w:hAnsi="Verdana" w:cs="Arial"/>
          <w:lang w:val="es-ES"/>
        </w:rPr>
        <w:t>de</w:t>
      </w:r>
      <w:r w:rsidRPr="00A46177">
        <w:rPr>
          <w:rFonts w:ascii="Verdana" w:eastAsia="Arial" w:hAnsi="Verdana" w:cs="Arial"/>
          <w:spacing w:val="-2"/>
          <w:lang w:val="es-ES"/>
        </w:rPr>
        <w:t xml:space="preserve"> </w:t>
      </w:r>
      <w:r w:rsidRPr="00A46177">
        <w:rPr>
          <w:rFonts w:ascii="Verdana" w:eastAsia="Arial" w:hAnsi="Verdana" w:cs="Arial"/>
          <w:lang w:val="es-ES"/>
        </w:rPr>
        <w:t>contratación.</w:t>
      </w:r>
    </w:p>
    <w:p w14:paraId="4B793CEA" w14:textId="77777777" w:rsidR="00785986" w:rsidRDefault="00785986" w:rsidP="00785986">
      <w:pPr>
        <w:spacing w:after="120" w:line="276" w:lineRule="auto"/>
        <w:ind w:firstLine="708"/>
        <w:jc w:val="both"/>
        <w:rPr>
          <w:rFonts w:ascii="Verdana" w:eastAsia="Calibri" w:hAnsi="Verdana" w:cs="Arial"/>
          <w:lang w:val="es-ES"/>
        </w:rPr>
      </w:pPr>
      <w:r w:rsidRPr="00A46177">
        <w:rPr>
          <w:rFonts w:ascii="Verdana" w:eastAsia="Arial" w:hAnsi="Verdana" w:cs="Arial"/>
          <w:lang w:val="es-ES"/>
        </w:rPr>
        <w:t>En las disposiciones de Resolución No. 5185 de 2013 se reitera el régimen de</w:t>
      </w:r>
      <w:r w:rsidRPr="00A46177">
        <w:rPr>
          <w:rFonts w:ascii="Verdana" w:eastAsia="Arial" w:hAnsi="Verdana" w:cs="Arial"/>
          <w:spacing w:val="1"/>
          <w:lang w:val="es-ES"/>
        </w:rPr>
        <w:t xml:space="preserve"> </w:t>
      </w:r>
      <w:r w:rsidRPr="00A46177">
        <w:rPr>
          <w:rFonts w:ascii="Verdana" w:eastAsia="Arial" w:hAnsi="Verdana" w:cs="Arial"/>
          <w:lang w:val="es-ES"/>
        </w:rPr>
        <w:t>contratación</w:t>
      </w:r>
      <w:r w:rsidRPr="00A46177">
        <w:rPr>
          <w:rFonts w:ascii="Verdana" w:eastAsia="Arial" w:hAnsi="Verdana" w:cs="Arial"/>
          <w:spacing w:val="-12"/>
          <w:lang w:val="es-ES"/>
        </w:rPr>
        <w:t xml:space="preserve"> </w:t>
      </w:r>
      <w:r w:rsidRPr="00A46177">
        <w:rPr>
          <w:rFonts w:ascii="Verdana" w:eastAsia="Arial" w:hAnsi="Verdana" w:cs="Arial"/>
          <w:lang w:val="es-ES"/>
        </w:rPr>
        <w:t>de</w:t>
      </w:r>
      <w:r w:rsidRPr="00A46177">
        <w:rPr>
          <w:rFonts w:ascii="Verdana" w:eastAsia="Arial" w:hAnsi="Verdana" w:cs="Arial"/>
          <w:spacing w:val="-12"/>
          <w:lang w:val="es-ES"/>
        </w:rPr>
        <w:t xml:space="preserve"> </w:t>
      </w:r>
      <w:r w:rsidRPr="00A46177">
        <w:rPr>
          <w:rFonts w:ascii="Verdana" w:eastAsia="Arial" w:hAnsi="Verdana" w:cs="Arial"/>
          <w:lang w:val="es-ES"/>
        </w:rPr>
        <w:t>estas</w:t>
      </w:r>
      <w:r w:rsidRPr="00A46177">
        <w:rPr>
          <w:rFonts w:ascii="Verdana" w:eastAsia="Arial" w:hAnsi="Verdana" w:cs="Arial"/>
          <w:spacing w:val="-12"/>
          <w:lang w:val="es-ES"/>
        </w:rPr>
        <w:t xml:space="preserve"> </w:t>
      </w:r>
      <w:r w:rsidRPr="00A46177">
        <w:rPr>
          <w:rFonts w:ascii="Verdana" w:eastAsia="Arial" w:hAnsi="Verdana" w:cs="Arial"/>
          <w:lang w:val="es-ES"/>
        </w:rPr>
        <w:t>entidades</w:t>
      </w:r>
      <w:r w:rsidRPr="00A46177">
        <w:rPr>
          <w:rFonts w:ascii="Verdana" w:eastAsia="Arial" w:hAnsi="Verdana" w:cs="Arial"/>
          <w:spacing w:val="-12"/>
          <w:lang w:val="es-ES"/>
        </w:rPr>
        <w:t xml:space="preserve"> </w:t>
      </w:r>
      <w:r w:rsidRPr="00A46177">
        <w:rPr>
          <w:rFonts w:ascii="Verdana" w:eastAsia="Arial" w:hAnsi="Verdana" w:cs="Arial"/>
          <w:lang w:val="es-ES"/>
        </w:rPr>
        <w:t>–Art.2–,</w:t>
      </w:r>
      <w:r w:rsidRPr="00A46177">
        <w:rPr>
          <w:rFonts w:ascii="Verdana" w:eastAsia="Arial" w:hAnsi="Verdana" w:cs="Arial"/>
          <w:spacing w:val="-12"/>
          <w:lang w:val="es-ES"/>
        </w:rPr>
        <w:t xml:space="preserve"> </w:t>
      </w:r>
      <w:r w:rsidRPr="00A46177">
        <w:rPr>
          <w:rFonts w:ascii="Verdana" w:eastAsia="Arial" w:hAnsi="Verdana" w:cs="Arial"/>
          <w:lang w:val="es-ES"/>
        </w:rPr>
        <w:t>se</w:t>
      </w:r>
      <w:r w:rsidRPr="00A46177">
        <w:rPr>
          <w:rFonts w:ascii="Verdana" w:eastAsia="Arial" w:hAnsi="Verdana" w:cs="Arial"/>
          <w:spacing w:val="-12"/>
          <w:lang w:val="es-ES"/>
        </w:rPr>
        <w:t xml:space="preserve"> </w:t>
      </w:r>
      <w:r w:rsidRPr="00A46177">
        <w:rPr>
          <w:rFonts w:ascii="Verdana" w:eastAsia="Arial" w:hAnsi="Verdana" w:cs="Arial"/>
          <w:lang w:val="es-ES"/>
        </w:rPr>
        <w:t>alude</w:t>
      </w:r>
      <w:r w:rsidRPr="00A46177">
        <w:rPr>
          <w:rFonts w:ascii="Verdana" w:eastAsia="Arial" w:hAnsi="Verdana" w:cs="Arial"/>
          <w:spacing w:val="-12"/>
          <w:lang w:val="es-ES"/>
        </w:rPr>
        <w:t xml:space="preserve"> </w:t>
      </w:r>
      <w:r w:rsidRPr="00A46177">
        <w:rPr>
          <w:rFonts w:ascii="Verdana" w:eastAsia="Arial" w:hAnsi="Verdana" w:cs="Arial"/>
          <w:lang w:val="es-ES"/>
        </w:rPr>
        <w:t>a</w:t>
      </w:r>
      <w:r w:rsidRPr="00A46177">
        <w:rPr>
          <w:rFonts w:ascii="Verdana" w:eastAsia="Arial" w:hAnsi="Verdana" w:cs="Arial"/>
          <w:spacing w:val="-12"/>
          <w:lang w:val="es-ES"/>
        </w:rPr>
        <w:t xml:space="preserve"> </w:t>
      </w:r>
      <w:r w:rsidRPr="00A46177">
        <w:rPr>
          <w:rFonts w:ascii="Verdana" w:eastAsia="Arial" w:hAnsi="Verdana" w:cs="Arial"/>
          <w:lang w:val="es-ES"/>
        </w:rPr>
        <w:t>los</w:t>
      </w:r>
      <w:r w:rsidRPr="00A46177">
        <w:rPr>
          <w:rFonts w:ascii="Verdana" w:eastAsia="Arial" w:hAnsi="Verdana" w:cs="Arial"/>
          <w:spacing w:val="-12"/>
          <w:lang w:val="es-ES"/>
        </w:rPr>
        <w:t xml:space="preserve"> </w:t>
      </w:r>
      <w:r w:rsidRPr="00A46177">
        <w:rPr>
          <w:rFonts w:ascii="Verdana" w:eastAsia="Arial" w:hAnsi="Verdana" w:cs="Arial"/>
          <w:lang w:val="es-ES"/>
        </w:rPr>
        <w:t>fines</w:t>
      </w:r>
      <w:r w:rsidRPr="00A46177">
        <w:rPr>
          <w:rFonts w:ascii="Verdana" w:eastAsia="Arial" w:hAnsi="Verdana" w:cs="Arial"/>
          <w:spacing w:val="-11"/>
          <w:lang w:val="es-ES"/>
        </w:rPr>
        <w:t xml:space="preserve"> </w:t>
      </w:r>
      <w:r w:rsidRPr="00A46177">
        <w:rPr>
          <w:rFonts w:ascii="Verdana" w:eastAsia="Arial" w:hAnsi="Verdana" w:cs="Arial"/>
          <w:lang w:val="es-ES"/>
        </w:rPr>
        <w:t>de</w:t>
      </w:r>
      <w:r w:rsidRPr="00A46177">
        <w:rPr>
          <w:rFonts w:ascii="Verdana" w:eastAsia="Arial" w:hAnsi="Verdana" w:cs="Arial"/>
          <w:spacing w:val="-12"/>
          <w:lang w:val="es-ES"/>
        </w:rPr>
        <w:t xml:space="preserve"> </w:t>
      </w:r>
      <w:r w:rsidRPr="00A46177">
        <w:rPr>
          <w:rFonts w:ascii="Verdana" w:eastAsia="Arial" w:hAnsi="Verdana" w:cs="Arial"/>
          <w:lang w:val="es-ES"/>
        </w:rPr>
        <w:t>la</w:t>
      </w:r>
      <w:r w:rsidRPr="00A46177">
        <w:rPr>
          <w:rFonts w:ascii="Verdana" w:eastAsia="Arial" w:hAnsi="Verdana" w:cs="Arial"/>
          <w:spacing w:val="-12"/>
          <w:lang w:val="es-ES"/>
        </w:rPr>
        <w:t xml:space="preserve"> </w:t>
      </w:r>
      <w:r w:rsidRPr="00A46177">
        <w:rPr>
          <w:rFonts w:ascii="Verdana" w:eastAsia="Arial" w:hAnsi="Verdana" w:cs="Arial"/>
          <w:lang w:val="es-ES"/>
        </w:rPr>
        <w:t>contratación</w:t>
      </w:r>
      <w:r w:rsidRPr="00A46177">
        <w:rPr>
          <w:rFonts w:ascii="Verdana" w:eastAsia="Arial" w:hAnsi="Verdana" w:cs="Arial"/>
          <w:spacing w:val="-12"/>
          <w:lang w:val="es-ES"/>
        </w:rPr>
        <w:t xml:space="preserve"> </w:t>
      </w:r>
      <w:r w:rsidRPr="00A46177">
        <w:rPr>
          <w:rFonts w:ascii="Verdana" w:eastAsia="Arial" w:hAnsi="Verdana" w:cs="Arial"/>
          <w:lang w:val="es-ES"/>
        </w:rPr>
        <w:t>–Art.</w:t>
      </w:r>
      <w:r w:rsidRPr="00A46177">
        <w:rPr>
          <w:rFonts w:ascii="Verdana" w:eastAsia="Arial" w:hAnsi="Verdana" w:cs="Arial"/>
          <w:spacing w:val="-11"/>
          <w:lang w:val="es-ES"/>
        </w:rPr>
        <w:t xml:space="preserve"> </w:t>
      </w:r>
      <w:r w:rsidRPr="00A46177">
        <w:rPr>
          <w:rFonts w:ascii="Verdana" w:eastAsia="Arial" w:hAnsi="Verdana" w:cs="Arial"/>
          <w:lang w:val="es-ES"/>
        </w:rPr>
        <w:t>3–,</w:t>
      </w:r>
      <w:r w:rsidRPr="00A46177">
        <w:rPr>
          <w:rFonts w:ascii="Verdana" w:eastAsia="Arial" w:hAnsi="Verdana" w:cs="Arial"/>
          <w:spacing w:val="1"/>
          <w:lang w:val="es-ES"/>
        </w:rPr>
        <w:t xml:space="preserve"> </w:t>
      </w:r>
      <w:r w:rsidRPr="00A46177">
        <w:rPr>
          <w:rFonts w:ascii="Verdana" w:eastAsia="Arial" w:hAnsi="Verdana" w:cs="Arial"/>
          <w:lang w:val="es-ES"/>
        </w:rPr>
        <w:t>se establece los principios a observarse en el desarrollo de la contratación –Art. 4–, se</w:t>
      </w:r>
      <w:r w:rsidRPr="00A46177">
        <w:rPr>
          <w:rFonts w:ascii="Verdana" w:eastAsia="Arial" w:hAnsi="Verdana" w:cs="Arial"/>
          <w:spacing w:val="-59"/>
          <w:lang w:val="es-ES"/>
        </w:rPr>
        <w:t xml:space="preserve">  </w:t>
      </w:r>
      <w:r w:rsidRPr="00A46177">
        <w:rPr>
          <w:rFonts w:ascii="Verdana" w:eastAsia="Arial" w:hAnsi="Verdana" w:cs="Arial"/>
          <w:lang w:val="es-ES"/>
        </w:rPr>
        <w:t>hace referencia a las modalidades y mecanismos de selección –Art. 5–, se reitera la</w:t>
      </w:r>
      <w:r w:rsidRPr="00A46177">
        <w:rPr>
          <w:rFonts w:ascii="Verdana" w:eastAsia="Arial" w:hAnsi="Verdana" w:cs="Arial"/>
          <w:spacing w:val="1"/>
          <w:lang w:val="es-ES"/>
        </w:rPr>
        <w:t xml:space="preserve"> </w:t>
      </w:r>
      <w:r w:rsidRPr="00A46177">
        <w:rPr>
          <w:rFonts w:ascii="Verdana" w:eastAsia="Arial" w:hAnsi="Verdana" w:cs="Arial"/>
          <w:lang w:val="es-ES"/>
        </w:rPr>
        <w:t>aplicabilidad del régimen de inhabilidades e incompatibilidades–Art. 6–, se establece la</w:t>
      </w:r>
      <w:r w:rsidRPr="00A46177">
        <w:rPr>
          <w:rFonts w:ascii="Verdana" w:eastAsia="Arial" w:hAnsi="Verdana" w:cs="Arial"/>
          <w:spacing w:val="-59"/>
          <w:lang w:val="es-ES"/>
        </w:rPr>
        <w:t xml:space="preserve"> </w:t>
      </w:r>
      <w:r w:rsidRPr="00A46177">
        <w:rPr>
          <w:rFonts w:ascii="Verdana" w:eastAsia="Arial" w:hAnsi="Verdana" w:cs="Arial"/>
          <w:lang w:val="es-ES"/>
        </w:rPr>
        <w:t>obligación de publicar un Plan Anual de Adquisiciones–Art. 7–, se alude al proceso de contratación –Art 8–, se refiere a la fase de planeación –Art 9–, se dispone sobre la fase de selección –Art 10–, sobre la fase de contratación, y se regulan otros</w:t>
      </w:r>
      <w:r w:rsidRPr="00A46177">
        <w:rPr>
          <w:rFonts w:ascii="Verdana" w:eastAsia="Arial" w:hAnsi="Verdana" w:cs="Arial"/>
          <w:spacing w:val="1"/>
          <w:lang w:val="es-ES"/>
        </w:rPr>
        <w:t xml:space="preserve"> </w:t>
      </w:r>
      <w:r w:rsidRPr="00A46177">
        <w:rPr>
          <w:rFonts w:ascii="Verdana" w:eastAsia="Arial" w:hAnsi="Verdana" w:cs="Arial"/>
          <w:lang w:val="es-ES"/>
        </w:rPr>
        <w:t xml:space="preserve">aspectos. En cuanto a la </w:t>
      </w:r>
      <w:r w:rsidRPr="00A46177">
        <w:rPr>
          <w:rFonts w:ascii="Verdana" w:eastAsia="Arial" w:hAnsi="Verdana" w:cs="Arial"/>
          <w:lang w:val="es-ES"/>
        </w:rPr>
        <w:lastRenderedPageBreak/>
        <w:t>contratación y ejecución de los contratos,</w:t>
      </w:r>
      <w:r w:rsidRPr="00A46177">
        <w:rPr>
          <w:rFonts w:ascii="Verdana" w:eastAsia="Arial" w:hAnsi="Verdana" w:cs="Arial"/>
          <w:spacing w:val="-2"/>
          <w:lang w:val="es-ES"/>
        </w:rPr>
        <w:t xml:space="preserve"> </w:t>
      </w:r>
      <w:r w:rsidRPr="00A46177">
        <w:rPr>
          <w:rFonts w:ascii="Verdana" w:eastAsia="Arial" w:hAnsi="Verdana" w:cs="Arial"/>
          <w:lang w:val="es-ES"/>
        </w:rPr>
        <w:t>son</w:t>
      </w:r>
      <w:r w:rsidRPr="00A46177">
        <w:rPr>
          <w:rFonts w:ascii="Verdana" w:eastAsia="Arial" w:hAnsi="Verdana" w:cs="Arial"/>
          <w:spacing w:val="-1"/>
          <w:lang w:val="es-ES"/>
        </w:rPr>
        <w:t xml:space="preserve"> </w:t>
      </w:r>
      <w:r w:rsidRPr="00A46177">
        <w:rPr>
          <w:rFonts w:ascii="Verdana" w:eastAsia="Arial" w:hAnsi="Verdana" w:cs="Arial"/>
          <w:lang w:val="es-ES"/>
        </w:rPr>
        <w:t>relevantes</w:t>
      </w:r>
      <w:r w:rsidRPr="00A46177">
        <w:rPr>
          <w:rFonts w:ascii="Verdana" w:eastAsia="Arial" w:hAnsi="Verdana" w:cs="Arial"/>
          <w:spacing w:val="-2"/>
          <w:lang w:val="es-ES"/>
        </w:rPr>
        <w:t xml:space="preserve"> </w:t>
      </w:r>
      <w:r w:rsidRPr="00A46177">
        <w:rPr>
          <w:rFonts w:ascii="Verdana" w:eastAsia="Arial" w:hAnsi="Verdana" w:cs="Arial"/>
          <w:lang w:val="es-ES"/>
        </w:rPr>
        <w:t>los</w:t>
      </w:r>
      <w:r w:rsidRPr="00A46177">
        <w:rPr>
          <w:rFonts w:ascii="Verdana" w:eastAsia="Arial" w:hAnsi="Verdana" w:cs="Arial"/>
          <w:spacing w:val="-2"/>
          <w:lang w:val="es-ES"/>
        </w:rPr>
        <w:t xml:space="preserve"> </w:t>
      </w:r>
      <w:r w:rsidRPr="00A46177">
        <w:rPr>
          <w:rFonts w:ascii="Verdana" w:eastAsia="Arial" w:hAnsi="Verdana" w:cs="Arial"/>
          <w:lang w:val="es-ES"/>
        </w:rPr>
        <w:t>artículos 11</w:t>
      </w:r>
      <w:r w:rsidRPr="00633DFF">
        <w:rPr>
          <w:rStyle w:val="Refdenotaalpie"/>
          <w:rFonts w:ascii="Verdana" w:eastAsia="Arial" w:hAnsi="Verdana" w:cs="Arial"/>
          <w:lang w:val="es-ES"/>
        </w:rPr>
        <w:footnoteReference w:id="16"/>
      </w:r>
      <w:r w:rsidRPr="00A46177">
        <w:rPr>
          <w:rFonts w:ascii="Verdana" w:eastAsia="Arial" w:hAnsi="Verdana" w:cs="Arial"/>
          <w:lang w:val="es-ES"/>
        </w:rPr>
        <w:t xml:space="preserve"> y 12</w:t>
      </w:r>
      <w:r w:rsidRPr="00633DFF">
        <w:rPr>
          <w:rStyle w:val="Refdenotaalpie"/>
          <w:rFonts w:ascii="Verdana" w:eastAsia="Arial" w:hAnsi="Verdana" w:cs="Arial"/>
          <w:lang w:val="es-ES"/>
        </w:rPr>
        <w:footnoteReference w:id="17"/>
      </w:r>
      <w:r w:rsidRPr="00A46177">
        <w:rPr>
          <w:rFonts w:ascii="Verdana" w:eastAsia="Arial" w:hAnsi="Verdana" w:cs="Arial"/>
          <w:lang w:val="es-ES"/>
        </w:rPr>
        <w:t xml:space="preserve"> de la citada resolución. Por su parte el artículo 14</w:t>
      </w:r>
      <w:r w:rsidRPr="00A46177">
        <w:rPr>
          <w:rStyle w:val="Refdenotaalpie"/>
          <w:rFonts w:ascii="Verdana" w:eastAsia="Arial" w:hAnsi="Verdana" w:cs="Arial"/>
          <w:lang w:val="es-ES"/>
        </w:rPr>
        <w:footnoteReference w:id="18"/>
      </w:r>
      <w:r w:rsidRPr="00A46177">
        <w:rPr>
          <w:rFonts w:ascii="Verdana" w:eastAsia="Arial" w:hAnsi="Verdana" w:cs="Arial"/>
          <w:lang w:val="es-ES"/>
        </w:rPr>
        <w:t xml:space="preserve"> de la resolución establece que las Empresas Sociales del Estado están obligadas a publicar oportunamente su actividad contractual en el SECOP.  </w:t>
      </w:r>
    </w:p>
    <w:p w14:paraId="0522B13B" w14:textId="77777777" w:rsidR="00785986" w:rsidRDefault="00785986" w:rsidP="00785986">
      <w:pPr>
        <w:spacing w:after="120" w:line="276" w:lineRule="auto"/>
        <w:ind w:firstLine="708"/>
        <w:jc w:val="both"/>
        <w:rPr>
          <w:rStyle w:val="normaltextrun"/>
          <w:rFonts w:ascii="Verdana" w:hAnsi="Verdana"/>
          <w:color w:val="000000"/>
          <w:shd w:val="clear" w:color="auto" w:fill="FFFFFF"/>
        </w:rPr>
      </w:pPr>
      <w:r w:rsidRPr="007F303A">
        <w:rPr>
          <w:rStyle w:val="normaltextrun"/>
          <w:rFonts w:ascii="Verdana" w:hAnsi="Verdana"/>
          <w:color w:val="000000"/>
          <w:shd w:val="clear" w:color="auto" w:fill="FFFFFF"/>
        </w:rPr>
        <w:t>En efecto, la Resolución 1440 de 2024, expedida por el Ministerio de Salud y Protección Social, introdujo ajustes a la Resolución 5185 de 2013 con el propósito de fortalecer la transparencia y la selección objetiva en los procesos contractuales de dichas entidades</w:t>
      </w:r>
      <w:r>
        <w:rPr>
          <w:rStyle w:val="normaltextrun"/>
          <w:rFonts w:ascii="Verdana" w:hAnsi="Verdana"/>
          <w:color w:val="000000"/>
          <w:shd w:val="clear" w:color="auto" w:fill="FFFFFF"/>
        </w:rPr>
        <w:t xml:space="preserve">, especialmente en proyectos de alto impacto. </w:t>
      </w:r>
      <w:r w:rsidRPr="0007366C">
        <w:rPr>
          <w:rStyle w:val="normaltextrun"/>
          <w:rFonts w:ascii="Verdana" w:hAnsi="Verdana"/>
          <w:color w:val="000000"/>
          <w:shd w:val="clear" w:color="auto" w:fill="FFFFFF"/>
        </w:rPr>
        <w:t>Entre los principales ajustes está la modificación del artículo 9, 10, 16 y 18 de la Resolución 5185 de 2013, que introduciría las siguientes modificaciones:</w:t>
      </w:r>
    </w:p>
    <w:p w14:paraId="1EF5DE35" w14:textId="77777777" w:rsidR="00785986" w:rsidRDefault="00785986" w:rsidP="00785986">
      <w:pPr>
        <w:spacing w:after="120" w:line="276" w:lineRule="auto"/>
        <w:ind w:firstLine="708"/>
        <w:jc w:val="both"/>
        <w:rPr>
          <w:rFonts w:ascii="Verdana" w:hAnsi="Verdana"/>
          <w:color w:val="000000"/>
          <w:shd w:val="clear" w:color="auto" w:fill="FFFFFF"/>
        </w:rPr>
      </w:pPr>
      <w:r w:rsidRPr="00246F84">
        <w:rPr>
          <w:rFonts w:ascii="Verdana" w:hAnsi="Verdana"/>
          <w:color w:val="000000"/>
          <w:shd w:val="clear" w:color="auto" w:fill="FFFFFF"/>
        </w:rPr>
        <w:t xml:space="preserve">La Resolución enfatiza que, en la fase de planeación, los estudios y documentos previos constituyen un insumo esencial para la adecuada estructuración de los procesos de contratación de la entidad. Dichos documentos deben contener, de manera ordenada y suficiente, varios elementos fundamentales: en primer lugar, la definición clara de la necesidad que se busca atender mediante el proceso contractual; en segundo lugar, la descripción del objeto a contratar, acompañada de las autorizaciones, permisos y licencias que resulten necesarios para su ejecución; en tercer lugar, cuando se trate de contratos que incluyan actividades de diseño y construcción, la incorporación de los documentos técnicos indispensables para el desarrollo del proyecto; y, </w:t>
      </w:r>
      <w:r w:rsidRPr="00246F84">
        <w:rPr>
          <w:rFonts w:ascii="Verdana" w:hAnsi="Verdana"/>
          <w:color w:val="000000"/>
          <w:shd w:val="clear" w:color="auto" w:fill="FFFFFF"/>
        </w:rPr>
        <w:lastRenderedPageBreak/>
        <w:t>finalmente, la justificación de la modalidad de selección del contratista, sustentada en los fundamentos jurídicos aplicables.</w:t>
      </w:r>
    </w:p>
    <w:p w14:paraId="595A4C74" w14:textId="77777777" w:rsidR="00785986" w:rsidRPr="004D60EF" w:rsidRDefault="00785986" w:rsidP="00785986">
      <w:pPr>
        <w:spacing w:after="120" w:line="276" w:lineRule="auto"/>
        <w:ind w:firstLine="708"/>
        <w:jc w:val="both"/>
        <w:rPr>
          <w:rFonts w:ascii="Verdana" w:hAnsi="Verdana"/>
          <w:color w:val="000000"/>
          <w:shd w:val="clear" w:color="auto" w:fill="FFFFFF"/>
        </w:rPr>
      </w:pPr>
      <w:r w:rsidRPr="004D60EF">
        <w:rPr>
          <w:rFonts w:ascii="Verdana" w:hAnsi="Verdana"/>
          <w:color w:val="000000"/>
          <w:shd w:val="clear" w:color="auto" w:fill="FFFFFF"/>
        </w:rPr>
        <w:t xml:space="preserve">De otro lado, los estudios y documentos previos deben incorporar el valor estimado del contrato, el cual </w:t>
      </w:r>
      <w:r w:rsidRPr="0052666C">
        <w:rPr>
          <w:rFonts w:ascii="Verdana" w:hAnsi="Verdana"/>
          <w:b/>
          <w:color w:val="000000"/>
          <w:shd w:val="clear" w:color="auto" w:fill="FFFFFF"/>
        </w:rPr>
        <w:t>debe calcularse con rigor</w:t>
      </w:r>
      <w:r w:rsidRPr="004D60EF">
        <w:rPr>
          <w:rFonts w:ascii="Verdana" w:hAnsi="Verdana"/>
          <w:color w:val="000000"/>
          <w:shd w:val="clear" w:color="auto" w:fill="FFFFFF"/>
        </w:rPr>
        <w:t xml:space="preserve"> </w:t>
      </w:r>
      <w:r w:rsidRPr="0052666C">
        <w:rPr>
          <w:rFonts w:ascii="Verdana" w:hAnsi="Verdana"/>
          <w:b/>
          <w:color w:val="000000"/>
          <w:shd w:val="clear" w:color="auto" w:fill="FFFFFF"/>
        </w:rPr>
        <w:t>y sustentarse en criterios técnicos y financieros que justifiquen su razonabilidad</w:t>
      </w:r>
      <w:r w:rsidRPr="004D60EF">
        <w:rPr>
          <w:rFonts w:ascii="Verdana" w:hAnsi="Verdana"/>
          <w:color w:val="000000"/>
          <w:shd w:val="clear" w:color="auto" w:fill="FFFFFF"/>
        </w:rPr>
        <w:t>. Igualmente, es necesario definir los criterios de selección de la oferta más favorable, de manera que se asegure un proceso transparente y ajustado a los principios de la contratación pública. A lo anterior se suma la obligación de realizar un análisis de riesgos, identificando los posibles escenarios que puedan afectar la ejecución contractual, así como las estrategias destinadas a mitigarlos y asignarlos adecuadamente entre las partes. De igual forma, debe establecerse el esquema de garantías contractuales, precisando su alcance y las condiciones en que resultan exigibles.</w:t>
      </w:r>
    </w:p>
    <w:p w14:paraId="766A5268" w14:textId="77777777" w:rsidR="00337B59" w:rsidRDefault="00785986" w:rsidP="00337B59">
      <w:pPr>
        <w:spacing w:after="120" w:line="276" w:lineRule="auto"/>
        <w:ind w:firstLine="708"/>
        <w:jc w:val="both"/>
        <w:rPr>
          <w:rFonts w:ascii="Verdana" w:hAnsi="Verdana"/>
          <w:color w:val="000000"/>
          <w:shd w:val="clear" w:color="auto" w:fill="FFFFFF"/>
        </w:rPr>
      </w:pPr>
      <w:r w:rsidRPr="004D60EF">
        <w:rPr>
          <w:rFonts w:ascii="Verdana" w:hAnsi="Verdana"/>
          <w:color w:val="000000"/>
          <w:shd w:val="clear" w:color="auto" w:fill="FFFFFF"/>
        </w:rPr>
        <w:t>Ahora bien, cuando se trate de convocatorias públicas, los términos de condiciones deben elaborarse con especial cuidado y precisión, abarcando, entre otros aspectos, la descripción técnica del bien o servicio a contratar; la justificación clara de la modalidad de selección; los criterios de evaluación, los cuales deben ser completos, objetivos y diseñados de manera que no induzcan a error ni restrinjan injustificadamente la participación de posibles oferentes. Así mismo, deben señalarse las condiciones de costos y calidad que regirán la evaluación; las reglas de presentación y valoración de las ofertas, incluidas las de desempate y adjudicación; las causales específicas de rechazo, garantizando que no se excluya a un proponente por la ausencia de documentos no esenciales; así como las especificaciones relacionadas con el valor, plazo, cronograma de pagos y condiciones de anticipo. Finalmente, deben detallarse los certificados y requisitos habilitantes necesarios para la contratación y reiterarse la identificación y distribución de los riesgos contractuales, con el fin de asegurar equilibrio, claridad y seguridad jurídica en la ejecución del contrato.</w:t>
      </w:r>
      <w:bookmarkStart w:id="3" w:name="OLE_LINK3"/>
    </w:p>
    <w:p w14:paraId="60CD7B84" w14:textId="604FF4AC" w:rsidR="00337B59" w:rsidRPr="00337B59" w:rsidRDefault="00337B59" w:rsidP="00337B59">
      <w:pPr>
        <w:spacing w:after="120" w:line="276" w:lineRule="auto"/>
        <w:ind w:firstLine="708"/>
        <w:jc w:val="both"/>
        <w:rPr>
          <w:rFonts w:ascii="Verdana" w:hAnsi="Verdana"/>
          <w:color w:val="000000"/>
          <w:shd w:val="clear" w:color="auto" w:fill="FFFFFF"/>
        </w:rPr>
      </w:pPr>
      <w:r w:rsidRPr="00181630">
        <w:rPr>
          <w:rFonts w:ascii="Verdana" w:eastAsia="Times New Roman" w:hAnsi="Verdana" w:cs="Times New Roman"/>
          <w:lang w:eastAsia="es-MX"/>
        </w:rPr>
        <w:t xml:space="preserve">En atención al marco normativo expuesto, y al interrogante planteado sobre la viabilidad </w:t>
      </w:r>
      <w:r w:rsidRPr="00B34DA4">
        <w:rPr>
          <w:rFonts w:ascii="Verdana" w:eastAsia="Times New Roman" w:hAnsi="Verdana" w:cs="Times New Roman"/>
          <w:lang w:eastAsia="es-MX"/>
        </w:rPr>
        <w:t xml:space="preserve">de que una E.S.E, </w:t>
      </w:r>
      <w:r w:rsidRPr="00181630">
        <w:rPr>
          <w:rFonts w:ascii="Verdana" w:eastAsia="Times New Roman" w:hAnsi="Verdana" w:cs="Times New Roman"/>
          <w:lang w:eastAsia="es-MX"/>
        </w:rPr>
        <w:t>adelant</w:t>
      </w:r>
      <w:r w:rsidRPr="00B34DA4">
        <w:rPr>
          <w:rFonts w:ascii="Verdana" w:eastAsia="Times New Roman" w:hAnsi="Verdana" w:cs="Times New Roman"/>
          <w:lang w:eastAsia="es-MX"/>
        </w:rPr>
        <w:t>e</w:t>
      </w:r>
      <w:r w:rsidRPr="00181630">
        <w:rPr>
          <w:rFonts w:ascii="Verdana" w:eastAsia="Times New Roman" w:hAnsi="Verdana" w:cs="Times New Roman"/>
          <w:lang w:eastAsia="es-MX"/>
        </w:rPr>
        <w:t xml:space="preserve"> un proceso de selección con base en una única </w:t>
      </w:r>
      <w:r w:rsidRPr="68B7763A">
        <w:rPr>
          <w:rFonts w:ascii="Verdana" w:eastAsia="Times New Roman" w:hAnsi="Verdana" w:cs="Times New Roman"/>
          <w:lang w:eastAsia="es-MX"/>
        </w:rPr>
        <w:t>cotización</w:t>
      </w:r>
      <w:r>
        <w:rPr>
          <w:rFonts w:ascii="Verdana" w:eastAsia="Times New Roman" w:hAnsi="Verdana" w:cs="Times New Roman"/>
          <w:lang w:eastAsia="es-MX"/>
        </w:rPr>
        <w:t xml:space="preserve"> </w:t>
      </w:r>
      <w:r w:rsidRPr="00181630">
        <w:rPr>
          <w:rFonts w:ascii="Verdana" w:eastAsia="Times New Roman" w:hAnsi="Verdana" w:cs="Times New Roman"/>
          <w:lang w:eastAsia="es-MX"/>
        </w:rPr>
        <w:t>recibida durante el estudio de mercado,</w:t>
      </w:r>
      <w:r w:rsidRPr="00B34DA4">
        <w:rPr>
          <w:rFonts w:ascii="Verdana" w:eastAsia="Times New Roman" w:hAnsi="Verdana"/>
          <w:lang w:eastAsia="es-MX"/>
        </w:rPr>
        <w:t xml:space="preserve"> se concluye que</w:t>
      </w:r>
      <w:r>
        <w:rPr>
          <w:rFonts w:ascii="Verdana" w:eastAsia="Times New Roman" w:hAnsi="Verdana"/>
          <w:lang w:eastAsia="es-MX"/>
        </w:rPr>
        <w:t>,</w:t>
      </w:r>
      <w:r w:rsidRPr="00B34DA4">
        <w:rPr>
          <w:rFonts w:ascii="Verdana" w:eastAsia="Times New Roman" w:hAnsi="Verdana"/>
          <w:lang w:eastAsia="es-MX"/>
        </w:rPr>
        <w:t xml:space="preserve"> </w:t>
      </w:r>
      <w:r w:rsidRPr="68B7763A">
        <w:rPr>
          <w:rFonts w:ascii="Verdana" w:eastAsia="Times New Roman" w:hAnsi="Verdana"/>
          <w:lang w:eastAsia="es-MX"/>
        </w:rPr>
        <w:t>e</w:t>
      </w:r>
      <w:r w:rsidRPr="00B34DA4">
        <w:rPr>
          <w:rFonts w:ascii="Verdana" w:eastAsia="Times New Roman" w:hAnsi="Verdana"/>
          <w:lang w:eastAsia="es-MX"/>
        </w:rPr>
        <w:t xml:space="preserve">n primer lugar, dado que las E.S.E. </w:t>
      </w:r>
      <w:r w:rsidRPr="68B7763A">
        <w:rPr>
          <w:rFonts w:ascii="Verdana" w:eastAsia="Times New Roman" w:hAnsi="Verdana"/>
          <w:lang w:eastAsia="es-MX"/>
        </w:rPr>
        <w:t xml:space="preserve">dada su naturaleza jurídica </w:t>
      </w:r>
      <w:r w:rsidRPr="00B34DA4">
        <w:rPr>
          <w:rFonts w:ascii="Verdana" w:eastAsia="Times New Roman" w:hAnsi="Verdana"/>
          <w:lang w:eastAsia="es-MX"/>
        </w:rPr>
        <w:t xml:space="preserve">se rigen por el derecho privado y gozan de autonomía para definir sus procedimientos, </w:t>
      </w:r>
      <w:r w:rsidRPr="68B7763A">
        <w:rPr>
          <w:rFonts w:ascii="Verdana" w:eastAsia="Times New Roman" w:hAnsi="Verdana"/>
          <w:lang w:eastAsia="es-MX"/>
        </w:rPr>
        <w:t xml:space="preserve">deben sujetar sus actividades contractuales a la normatividad que le es aplicable y </w:t>
      </w:r>
      <w:r w:rsidRPr="00B34DA4">
        <w:rPr>
          <w:rFonts w:ascii="Verdana" w:eastAsia="Times New Roman" w:hAnsi="Verdana"/>
          <w:lang w:eastAsia="es-MX"/>
        </w:rPr>
        <w:t xml:space="preserve">verificar el Manual de Contratación </w:t>
      </w:r>
      <w:r w:rsidRPr="68B7763A">
        <w:rPr>
          <w:rFonts w:ascii="Verdana" w:eastAsia="Times New Roman" w:hAnsi="Verdana"/>
          <w:lang w:eastAsia="es-MX"/>
        </w:rPr>
        <w:t>interno</w:t>
      </w:r>
      <w:r w:rsidRPr="00B34DA4">
        <w:rPr>
          <w:rFonts w:ascii="Verdana" w:eastAsia="Times New Roman" w:hAnsi="Verdana"/>
          <w:lang w:eastAsia="es-MX"/>
        </w:rPr>
        <w:t xml:space="preserve"> de la Entidad. Dicho manual</w:t>
      </w:r>
      <w:r w:rsidRPr="68B7763A">
        <w:rPr>
          <w:rFonts w:ascii="Verdana" w:eastAsia="Times New Roman" w:hAnsi="Verdana"/>
          <w:lang w:eastAsia="es-MX"/>
        </w:rPr>
        <w:t xml:space="preserve"> que debe </w:t>
      </w:r>
      <w:r w:rsidRPr="68B7763A">
        <w:rPr>
          <w:rFonts w:ascii="Verdana" w:eastAsia="Times New Roman" w:hAnsi="Verdana"/>
          <w:lang w:eastAsia="es-MX"/>
        </w:rPr>
        <w:lastRenderedPageBreak/>
        <w:t>expedirse en el marco de ley y</w:t>
      </w:r>
      <w:r w:rsidRPr="00B34DA4">
        <w:rPr>
          <w:rFonts w:ascii="Verdana" w:eastAsia="Times New Roman" w:hAnsi="Verdana"/>
          <w:lang w:eastAsia="es-MX"/>
        </w:rPr>
        <w:t xml:space="preserve"> en ejercicio de esa autonomía, </w:t>
      </w:r>
      <w:r w:rsidRPr="68B7763A">
        <w:rPr>
          <w:rFonts w:ascii="Verdana" w:eastAsia="Times New Roman" w:hAnsi="Verdana"/>
          <w:lang w:eastAsia="es-MX"/>
        </w:rPr>
        <w:t xml:space="preserve">contiene las disposiciones bajo las cuales debe adelantarse toda la gestión contractual, entre ellas la precontractual específicamente en lo relacionado con la elaboración de los </w:t>
      </w:r>
      <w:r w:rsidRPr="00B34DA4">
        <w:rPr>
          <w:rFonts w:ascii="Verdana" w:eastAsia="Times New Roman" w:hAnsi="Verdana"/>
          <w:lang w:eastAsia="es-MX"/>
        </w:rPr>
        <w:t xml:space="preserve"> </w:t>
      </w:r>
      <w:r w:rsidRPr="68B7763A">
        <w:rPr>
          <w:rFonts w:ascii="Verdana" w:eastAsia="Times New Roman" w:hAnsi="Verdana"/>
          <w:lang w:eastAsia="es-MX"/>
        </w:rPr>
        <w:t>estudios</w:t>
      </w:r>
      <w:r w:rsidRPr="00B34DA4">
        <w:rPr>
          <w:rFonts w:ascii="Verdana" w:eastAsia="Times New Roman" w:hAnsi="Verdana"/>
          <w:lang w:eastAsia="es-MX"/>
        </w:rPr>
        <w:t xml:space="preserve"> de mercado, pudiendo definir la suficiencia del mismo o establecer un número mínimo de cotizaciones para su conformación.</w:t>
      </w:r>
    </w:p>
    <w:p w14:paraId="46086207" w14:textId="77777777" w:rsidR="00337B59" w:rsidRDefault="00337B59" w:rsidP="00337B59">
      <w:pPr>
        <w:spacing w:after="120" w:line="276" w:lineRule="auto"/>
        <w:ind w:firstLine="708"/>
        <w:jc w:val="both"/>
        <w:rPr>
          <w:rFonts w:ascii="Verdana" w:eastAsia="Times New Roman" w:hAnsi="Verdana"/>
          <w:lang w:eastAsia="es-MX"/>
        </w:rPr>
      </w:pPr>
      <w:r w:rsidRPr="00B34DA4">
        <w:rPr>
          <w:rFonts w:ascii="Verdana" w:eastAsia="Times New Roman" w:hAnsi="Verdana" w:cs="Times New Roman"/>
          <w:lang w:eastAsia="es-MX"/>
        </w:rPr>
        <w:t xml:space="preserve">En segundo lugar, y solo ante el supuesto de que el manual guarde silencio sobre esta circunstancia particular, se debe concluir que adelantar el proceso con un único referente no </w:t>
      </w:r>
      <w:r w:rsidRPr="68B7763A">
        <w:rPr>
          <w:rFonts w:ascii="Verdana" w:eastAsia="Times New Roman" w:hAnsi="Verdana" w:cs="Times New Roman"/>
          <w:lang w:eastAsia="es-MX"/>
        </w:rPr>
        <w:t xml:space="preserve">determina la realidad del mercado </w:t>
      </w:r>
      <w:r w:rsidRPr="00B34DA4">
        <w:rPr>
          <w:rFonts w:ascii="Verdana" w:eastAsia="Times New Roman" w:hAnsi="Verdana" w:cs="Times New Roman"/>
          <w:lang w:eastAsia="es-MX"/>
        </w:rPr>
        <w:t>. Esto se debe a que, si bien es cierto que las E.S.E. gozan de una "amplia libertad de configuración del contenido del manual de contratación" y, por ende, podrían en principio regular la suficiencia de sus estudios de mercado, dicha libertad encuentra importantes limit</w:t>
      </w:r>
      <w:r>
        <w:rPr>
          <w:rFonts w:ascii="Verdana" w:eastAsia="Times New Roman" w:hAnsi="Verdana" w:cs="Times New Roman"/>
          <w:lang w:eastAsia="es-MX"/>
        </w:rPr>
        <w:t xml:space="preserve">aciones a la luz de </w:t>
      </w:r>
      <w:r w:rsidRPr="00B34DA4">
        <w:rPr>
          <w:rFonts w:ascii="Verdana" w:eastAsia="Times New Roman" w:hAnsi="Verdana" w:cs="Times New Roman"/>
          <w:lang w:eastAsia="es-MX"/>
        </w:rPr>
        <w:t>los principios de la función administrativa y de la gestión fiscal.</w:t>
      </w:r>
    </w:p>
    <w:p w14:paraId="4AA56FAC" w14:textId="77777777" w:rsidR="00337B59" w:rsidRDefault="00337B59" w:rsidP="00337B59">
      <w:pPr>
        <w:spacing w:after="120" w:line="276" w:lineRule="auto"/>
        <w:ind w:firstLine="708"/>
        <w:jc w:val="both"/>
        <w:rPr>
          <w:rFonts w:ascii="Verdana" w:eastAsia="Times New Roman" w:hAnsi="Verdana"/>
          <w:lang w:eastAsia="es-MX"/>
        </w:rPr>
      </w:pPr>
      <w:r w:rsidRPr="00181630">
        <w:rPr>
          <w:rFonts w:ascii="Verdana" w:eastAsia="Times New Roman" w:hAnsi="Verdana" w:cs="Times New Roman"/>
          <w:lang w:eastAsia="es-MX"/>
        </w:rPr>
        <w:t xml:space="preserve">En efecto, </w:t>
      </w:r>
      <w:r>
        <w:rPr>
          <w:rFonts w:ascii="Verdana" w:eastAsia="Times New Roman" w:hAnsi="Verdana" w:cs="Times New Roman"/>
          <w:lang w:eastAsia="es-MX"/>
        </w:rPr>
        <w:t>e</w:t>
      </w:r>
      <w:r w:rsidRPr="00181630">
        <w:rPr>
          <w:rFonts w:ascii="Verdana" w:eastAsia="Times New Roman" w:hAnsi="Verdana" w:cs="Times New Roman"/>
          <w:lang w:eastAsia="es-MX"/>
        </w:rPr>
        <w:t>l estudio de mercado tal como lo ha definido esta Agencia Nacional de Contratación Pública, tiene como fin "comprender la dinámica de los precios" mediante "un análisis de los diferentes precios de los bienes o servicios a contratar"</w:t>
      </w:r>
      <w:r w:rsidRPr="00181630">
        <w:rPr>
          <w:rStyle w:val="Refdenotaalpie"/>
          <w:rFonts w:ascii="Verdana" w:eastAsia="Times New Roman" w:hAnsi="Verdana" w:cs="Times New Roman"/>
          <w:lang w:eastAsia="es-MX"/>
        </w:rPr>
        <w:footnoteReference w:id="19"/>
      </w:r>
      <w:r w:rsidRPr="00181630">
        <w:rPr>
          <w:rFonts w:ascii="Verdana" w:eastAsia="Times New Roman" w:hAnsi="Verdana" w:cs="Times New Roman"/>
          <w:lang w:eastAsia="es-MX"/>
        </w:rPr>
        <w:t>.</w:t>
      </w:r>
      <w:r>
        <w:rPr>
          <w:rFonts w:ascii="Verdana" w:eastAsia="Times New Roman" w:hAnsi="Verdana"/>
          <w:lang w:eastAsia="es-MX"/>
        </w:rPr>
        <w:t xml:space="preserve"> </w:t>
      </w:r>
      <w:r w:rsidRPr="00181630">
        <w:rPr>
          <w:rFonts w:ascii="Verdana" w:eastAsia="Times New Roman" w:hAnsi="Verdana" w:cs="Times New Roman"/>
          <w:lang w:eastAsia="es-MX"/>
        </w:rPr>
        <w:t>Más importante aún, dicho estudio exige que la entidad realice un análisis crítico, pues "al recibir las cotizaciones, debe verificarse la ocurrencia de circunstancias que eventualmente pueden distorsionar los precios del mercado, como ofertas especiales de almacenes de cadena, fenómenos de escasez o abundancia del producto, entre otros aspectos".</w:t>
      </w:r>
    </w:p>
    <w:p w14:paraId="47B9FE1D" w14:textId="77777777" w:rsidR="00337B59" w:rsidRDefault="00337B59" w:rsidP="00337B59">
      <w:pPr>
        <w:spacing w:after="120" w:line="276" w:lineRule="auto"/>
        <w:ind w:firstLine="708"/>
        <w:jc w:val="both"/>
        <w:rPr>
          <w:rFonts w:ascii="Verdana" w:eastAsia="Times New Roman" w:hAnsi="Verdana"/>
          <w:lang w:eastAsia="es-MX"/>
        </w:rPr>
      </w:pPr>
      <w:r w:rsidRPr="00181630">
        <w:rPr>
          <w:rFonts w:ascii="Verdana" w:eastAsia="Times New Roman" w:hAnsi="Verdana" w:cs="Times New Roman"/>
          <w:lang w:eastAsia="es-MX"/>
        </w:rPr>
        <w:t>Es</w:t>
      </w:r>
      <w:r>
        <w:rPr>
          <w:rFonts w:ascii="Verdana" w:eastAsia="Times New Roman" w:hAnsi="Verdana" w:cs="Times New Roman"/>
          <w:lang w:eastAsia="es-MX"/>
        </w:rPr>
        <w:t xml:space="preserve">te deber se desdibuja , cuando </w:t>
      </w:r>
      <w:r w:rsidRPr="68B7763A">
        <w:rPr>
          <w:rFonts w:ascii="Verdana" w:eastAsia="Times New Roman" w:hAnsi="Verdana" w:cs="Times New Roman"/>
          <w:lang w:eastAsia="es-MX"/>
        </w:rPr>
        <w:t>se</w:t>
      </w:r>
      <w:r w:rsidRPr="00181630">
        <w:rPr>
          <w:rFonts w:ascii="Verdana" w:eastAsia="Times New Roman" w:hAnsi="Verdana" w:cs="Times New Roman"/>
          <w:lang w:eastAsia="es-MX"/>
        </w:rPr>
        <w:t xml:space="preserve"> verifica</w:t>
      </w:r>
      <w:r>
        <w:rPr>
          <w:rFonts w:ascii="Verdana" w:eastAsia="Times New Roman" w:hAnsi="Verdana" w:cs="Times New Roman"/>
          <w:lang w:eastAsia="es-MX"/>
        </w:rPr>
        <w:t xml:space="preserve"> a través de </w:t>
      </w:r>
      <w:r w:rsidRPr="00181630">
        <w:rPr>
          <w:rFonts w:ascii="Verdana" w:eastAsia="Times New Roman" w:hAnsi="Verdana" w:cs="Times New Roman"/>
          <w:lang w:eastAsia="es-MX"/>
        </w:rPr>
        <w:t xml:space="preserve">un único precio </w:t>
      </w:r>
      <w:r>
        <w:rPr>
          <w:rFonts w:ascii="Verdana" w:eastAsia="Times New Roman" w:hAnsi="Verdana" w:cs="Times New Roman"/>
          <w:lang w:eastAsia="es-MX"/>
        </w:rPr>
        <w:t xml:space="preserve">si este </w:t>
      </w:r>
      <w:r w:rsidRPr="00181630">
        <w:rPr>
          <w:rFonts w:ascii="Verdana" w:eastAsia="Times New Roman" w:hAnsi="Verdana" w:cs="Times New Roman"/>
          <w:lang w:eastAsia="es-MX"/>
        </w:rPr>
        <w:t xml:space="preserve">está distorsionado, o si es producto </w:t>
      </w:r>
      <w:r>
        <w:rPr>
          <w:rFonts w:ascii="Verdana" w:eastAsia="Times New Roman" w:hAnsi="Verdana" w:cs="Times New Roman"/>
          <w:lang w:eastAsia="es-MX"/>
        </w:rPr>
        <w:t xml:space="preserve">en </w:t>
      </w:r>
      <w:r w:rsidRPr="00181630">
        <w:rPr>
          <w:rFonts w:ascii="Verdana" w:eastAsia="Times New Roman" w:hAnsi="Verdana" w:cs="Times New Roman"/>
          <w:lang w:eastAsia="es-MX"/>
        </w:rPr>
        <w:t>escasez o abundancia. Asimismo,</w:t>
      </w:r>
      <w:r>
        <w:rPr>
          <w:rFonts w:ascii="Verdana" w:eastAsia="Times New Roman" w:hAnsi="Verdana" w:cs="Times New Roman"/>
          <w:lang w:eastAsia="es-MX"/>
        </w:rPr>
        <w:t xml:space="preserve"> y por sentido lógico,</w:t>
      </w:r>
      <w:r w:rsidRPr="00181630">
        <w:rPr>
          <w:rFonts w:ascii="Verdana" w:eastAsia="Times New Roman" w:hAnsi="Verdana" w:cs="Times New Roman"/>
          <w:lang w:eastAsia="es-MX"/>
        </w:rPr>
        <w:t xml:space="preserve"> una única cotización no permite analizar diferentes precios ni permite sustentar con el rigor y la razonabilidad exigidos por los lineamientos del Ministerio de Salud</w:t>
      </w:r>
      <w:r>
        <w:rPr>
          <w:rFonts w:ascii="Verdana" w:eastAsia="Times New Roman" w:hAnsi="Verdana" w:cs="Times New Roman"/>
          <w:lang w:eastAsia="es-MX"/>
        </w:rPr>
        <w:t xml:space="preserve">, </w:t>
      </w:r>
      <w:r w:rsidRPr="00181630">
        <w:rPr>
          <w:rFonts w:ascii="Verdana" w:eastAsia="Times New Roman" w:hAnsi="Verdana" w:cs="Times New Roman"/>
          <w:lang w:eastAsia="es-MX"/>
        </w:rPr>
        <w:t>el presupuesto oficial.</w:t>
      </w:r>
    </w:p>
    <w:p w14:paraId="45567634" w14:textId="77777777" w:rsidR="00337B59" w:rsidRDefault="00337B59" w:rsidP="00337B59">
      <w:pPr>
        <w:spacing w:after="120" w:line="276" w:lineRule="auto"/>
        <w:ind w:firstLine="708"/>
        <w:jc w:val="both"/>
        <w:rPr>
          <w:rFonts w:ascii="Verdana" w:hAnsi="Verdana"/>
        </w:rPr>
      </w:pPr>
      <w:r w:rsidRPr="00181630">
        <w:rPr>
          <w:rFonts w:ascii="Verdana" w:eastAsia="Times New Roman" w:hAnsi="Verdana" w:cs="Times New Roman"/>
          <w:lang w:eastAsia="es-MX"/>
        </w:rPr>
        <w:t xml:space="preserve">En consecuencia, si bien la E.S.E. es autónoma para definir </w:t>
      </w:r>
      <w:r w:rsidRPr="00181630">
        <w:rPr>
          <w:rFonts w:ascii="Verdana" w:eastAsia="Times New Roman" w:hAnsi="Verdana" w:cs="Times New Roman"/>
          <w:i/>
          <w:iCs/>
          <w:lang w:eastAsia="es-MX"/>
        </w:rPr>
        <w:t>el procedimiento</w:t>
      </w:r>
      <w:r w:rsidRPr="00181630">
        <w:rPr>
          <w:rFonts w:ascii="Verdana" w:eastAsia="Times New Roman" w:hAnsi="Verdana" w:cs="Times New Roman"/>
          <w:lang w:eastAsia="es-MX"/>
        </w:rPr>
        <w:t xml:space="preserve"> en su manual, no puede usar esa autonomía para desconocer </w:t>
      </w:r>
      <w:r w:rsidRPr="00181630">
        <w:rPr>
          <w:rFonts w:ascii="Verdana" w:eastAsia="Times New Roman" w:hAnsi="Verdana" w:cs="Times New Roman"/>
          <w:i/>
          <w:iCs/>
          <w:lang w:eastAsia="es-MX"/>
        </w:rPr>
        <w:t>los principios</w:t>
      </w:r>
      <w:r w:rsidRPr="00181630">
        <w:rPr>
          <w:rFonts w:ascii="Verdana" w:eastAsia="Times New Roman" w:hAnsi="Verdana" w:cs="Times New Roman"/>
          <w:lang w:eastAsia="es-MX"/>
        </w:rPr>
        <w:t xml:space="preserve"> de planeación y gestión fiscal. Un estudio de mercado fundamentado en un único dato se considera insuficiente, incompleto y riesgoso, pues carece de los elementos comparativos mínimos necesarios para garantizar la protección de</w:t>
      </w:r>
      <w:r>
        <w:rPr>
          <w:rFonts w:ascii="Verdana" w:eastAsia="Times New Roman" w:hAnsi="Verdana" w:cs="Times New Roman"/>
          <w:lang w:eastAsia="es-MX"/>
        </w:rPr>
        <w:t xml:space="preserve"> </w:t>
      </w:r>
      <w:r w:rsidRPr="00181630">
        <w:rPr>
          <w:rFonts w:ascii="Verdana" w:eastAsia="Times New Roman" w:hAnsi="Verdana" w:cs="Times New Roman"/>
          <w:lang w:eastAsia="es-MX"/>
        </w:rPr>
        <w:t>l</w:t>
      </w:r>
      <w:r>
        <w:rPr>
          <w:rFonts w:ascii="Verdana" w:eastAsia="Times New Roman" w:hAnsi="Verdana" w:cs="Times New Roman"/>
          <w:lang w:eastAsia="es-MX"/>
        </w:rPr>
        <w:t>os</w:t>
      </w:r>
      <w:r w:rsidRPr="00181630">
        <w:rPr>
          <w:rFonts w:ascii="Verdana" w:eastAsia="Times New Roman" w:hAnsi="Verdana" w:cs="Times New Roman"/>
          <w:lang w:eastAsia="es-MX"/>
        </w:rPr>
        <w:t xml:space="preserve"> recurso</w:t>
      </w:r>
      <w:r>
        <w:rPr>
          <w:rFonts w:ascii="Verdana" w:eastAsia="Times New Roman" w:hAnsi="Verdana" w:cs="Times New Roman"/>
          <w:lang w:eastAsia="es-MX"/>
        </w:rPr>
        <w:t>s</w:t>
      </w:r>
      <w:r w:rsidRPr="00181630">
        <w:rPr>
          <w:rFonts w:ascii="Verdana" w:eastAsia="Times New Roman" w:hAnsi="Verdana" w:cs="Times New Roman"/>
          <w:lang w:eastAsia="es-MX"/>
        </w:rPr>
        <w:t xml:space="preserve"> público</w:t>
      </w:r>
      <w:r>
        <w:rPr>
          <w:rFonts w:ascii="Verdana" w:eastAsia="Times New Roman" w:hAnsi="Verdana" w:cs="Times New Roman"/>
          <w:lang w:eastAsia="es-MX"/>
        </w:rPr>
        <w:t>s</w:t>
      </w:r>
      <w:r w:rsidRPr="00181630">
        <w:rPr>
          <w:rFonts w:ascii="Verdana" w:eastAsia="Times New Roman" w:hAnsi="Verdana" w:cs="Times New Roman"/>
          <w:lang w:eastAsia="es-MX"/>
        </w:rPr>
        <w:t xml:space="preserve"> y la selección objetiva. Lo procedente es que la </w:t>
      </w:r>
      <w:r w:rsidRPr="68B7763A">
        <w:rPr>
          <w:rFonts w:ascii="Verdana" w:eastAsia="Times New Roman" w:hAnsi="Verdana" w:cs="Times New Roman"/>
          <w:lang w:eastAsia="es-MX"/>
        </w:rPr>
        <w:t>entidad</w:t>
      </w:r>
      <w:r w:rsidRPr="00181630">
        <w:rPr>
          <w:rFonts w:ascii="Verdana" w:eastAsia="Times New Roman" w:hAnsi="Verdana" w:cs="Times New Roman"/>
          <w:lang w:eastAsia="es-MX"/>
        </w:rPr>
        <w:t xml:space="preserve"> agote otros mecanismos</w:t>
      </w:r>
      <w:r w:rsidRPr="00B90B20">
        <w:rPr>
          <w:rFonts w:ascii="Verdana" w:eastAsia="Times New Roman" w:hAnsi="Verdana" w:cs="Times New Roman"/>
          <w:lang w:eastAsia="es-MX"/>
        </w:rPr>
        <w:t xml:space="preserve"> </w:t>
      </w:r>
      <w:r w:rsidRPr="00B90B20">
        <w:rPr>
          <w:rFonts w:ascii="Verdana" w:hAnsi="Verdana"/>
        </w:rPr>
        <w:t xml:space="preserve">hasta obtener la pluralidad de referentes necesarios </w:t>
      </w:r>
      <w:r w:rsidRPr="00B90B20">
        <w:rPr>
          <w:rFonts w:ascii="Verdana" w:hAnsi="Verdana"/>
        </w:rPr>
        <w:lastRenderedPageBreak/>
        <w:t>para estructurar un presupuesto debidamente justificado. Estos mecanismos incluyen, fundamentalmente, la revisión de precios históricos y el análisis de procesos análogos adjudicados por otras entidades, información que puede ser consultada en bases de datos públicas como el SECOP.</w:t>
      </w:r>
    </w:p>
    <w:p w14:paraId="709533C1" w14:textId="2101704D" w:rsidR="00337B59" w:rsidRDefault="00337B59" w:rsidP="00337B59">
      <w:pPr>
        <w:spacing w:after="120" w:line="276" w:lineRule="auto"/>
        <w:ind w:firstLine="708"/>
        <w:jc w:val="both"/>
        <w:rPr>
          <w:rFonts w:ascii="Verdana" w:hAnsi="Verdana"/>
          <w:color w:val="000000"/>
          <w:shd w:val="clear" w:color="auto" w:fill="FFFFFF"/>
        </w:rPr>
      </w:pPr>
      <w:r w:rsidRPr="00B90B20">
        <w:rPr>
          <w:rFonts w:ascii="Verdana" w:hAnsi="Verdana"/>
        </w:rPr>
        <w:t>Finalmente, el análisis sobre la suficiencia del estudio de mercado y la consecuente viabilidad de iniciar el proceso de selección, debe ser realizado por la Entidad Estatal en el caso concreto. Las afirmaciones aquí realizadas no pueden ser interpretadas como juicios de valor sobre circunstancias concretas</w:t>
      </w:r>
    </w:p>
    <w:bookmarkEnd w:id="3"/>
    <w:p w14:paraId="25DE08C0" w14:textId="77777777" w:rsidR="00785986" w:rsidRPr="00593A5F" w:rsidRDefault="00785986" w:rsidP="0078598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2027BD3" w14:textId="77777777" w:rsidR="00785986" w:rsidRPr="00593A5F" w:rsidRDefault="00785986" w:rsidP="0078598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85986" w:rsidRPr="00593A5F" w14:paraId="63191AF8" w14:textId="77777777" w:rsidTr="0086642C">
        <w:trPr>
          <w:trHeight w:val="870"/>
        </w:trPr>
        <w:tc>
          <w:tcPr>
            <w:tcW w:w="8647" w:type="dxa"/>
          </w:tcPr>
          <w:p w14:paraId="445531D5" w14:textId="77777777" w:rsidR="00785986" w:rsidRPr="00B04A47" w:rsidRDefault="00785986" w:rsidP="00785986">
            <w:pPr>
              <w:widowControl w:val="0"/>
              <w:numPr>
                <w:ilvl w:val="0"/>
                <w:numId w:val="17"/>
              </w:numPr>
              <w:autoSpaceDE w:val="0"/>
              <w:autoSpaceDN w:val="0"/>
              <w:spacing w:line="276" w:lineRule="auto"/>
              <w:contextualSpacing/>
              <w:jc w:val="both"/>
              <w:rPr>
                <w:rFonts w:ascii="Verdana" w:eastAsia="Aptos" w:hAnsi="Verdana" w:cs="Arial"/>
                <w:sz w:val="20"/>
                <w:szCs w:val="20"/>
              </w:rPr>
            </w:pPr>
            <w:bookmarkStart w:id="4" w:name="OLE_LINK5"/>
            <w:r w:rsidRPr="00B04A47">
              <w:rPr>
                <w:rFonts w:ascii="Verdana" w:eastAsia="Aptos" w:hAnsi="Verdana" w:cs="Arial"/>
                <w:sz w:val="20"/>
                <w:szCs w:val="20"/>
              </w:rPr>
              <w:t>Constitución Política de Colombia, artículo 209 y 267.</w:t>
            </w:r>
          </w:p>
          <w:p w14:paraId="13658C9A" w14:textId="77777777" w:rsidR="00785986" w:rsidRPr="00B04A47" w:rsidRDefault="00785986" w:rsidP="00785986">
            <w:pPr>
              <w:widowControl w:val="0"/>
              <w:numPr>
                <w:ilvl w:val="0"/>
                <w:numId w:val="17"/>
              </w:numPr>
              <w:autoSpaceDE w:val="0"/>
              <w:autoSpaceDN w:val="0"/>
              <w:spacing w:line="276" w:lineRule="auto"/>
              <w:contextualSpacing/>
              <w:jc w:val="both"/>
              <w:rPr>
                <w:rFonts w:ascii="Verdana" w:eastAsia="Aptos" w:hAnsi="Verdana" w:cs="Arial"/>
                <w:sz w:val="20"/>
                <w:szCs w:val="20"/>
              </w:rPr>
            </w:pPr>
            <w:r w:rsidRPr="00B04A47">
              <w:rPr>
                <w:rFonts w:ascii="Verdana" w:eastAsia="Aptos" w:hAnsi="Verdana" w:cs="Arial"/>
                <w:sz w:val="20"/>
                <w:szCs w:val="20"/>
              </w:rPr>
              <w:t>Ley 100 de 1993, artículo 194.</w:t>
            </w:r>
          </w:p>
          <w:p w14:paraId="39CFA9B7" w14:textId="77777777" w:rsidR="00785986" w:rsidRPr="00B04A47" w:rsidRDefault="00785986" w:rsidP="00785986">
            <w:pPr>
              <w:widowControl w:val="0"/>
              <w:numPr>
                <w:ilvl w:val="0"/>
                <w:numId w:val="17"/>
              </w:numPr>
              <w:autoSpaceDE w:val="0"/>
              <w:autoSpaceDN w:val="0"/>
              <w:spacing w:line="276" w:lineRule="auto"/>
              <w:contextualSpacing/>
              <w:jc w:val="both"/>
              <w:rPr>
                <w:rFonts w:ascii="Verdana" w:eastAsia="Aptos" w:hAnsi="Verdana" w:cs="Arial"/>
                <w:sz w:val="20"/>
                <w:szCs w:val="20"/>
              </w:rPr>
            </w:pPr>
            <w:r w:rsidRPr="00B04A47">
              <w:rPr>
                <w:rFonts w:ascii="Verdana" w:eastAsia="Aptos" w:hAnsi="Verdana" w:cs="Arial"/>
                <w:sz w:val="20"/>
                <w:szCs w:val="20"/>
              </w:rPr>
              <w:t>Ley 80 de 1993, artículo 2.</w:t>
            </w:r>
          </w:p>
          <w:p w14:paraId="6EAEAD0A" w14:textId="77777777" w:rsidR="00785986" w:rsidRPr="00B04A47" w:rsidRDefault="00785986" w:rsidP="00785986">
            <w:pPr>
              <w:widowControl w:val="0"/>
              <w:numPr>
                <w:ilvl w:val="0"/>
                <w:numId w:val="17"/>
              </w:numPr>
              <w:autoSpaceDE w:val="0"/>
              <w:autoSpaceDN w:val="0"/>
              <w:spacing w:line="276" w:lineRule="auto"/>
              <w:contextualSpacing/>
              <w:jc w:val="both"/>
              <w:rPr>
                <w:rFonts w:ascii="Verdana" w:eastAsia="Aptos" w:hAnsi="Verdana" w:cs="Arial"/>
                <w:sz w:val="20"/>
                <w:szCs w:val="20"/>
              </w:rPr>
            </w:pPr>
            <w:r w:rsidRPr="00B04A47">
              <w:rPr>
                <w:rFonts w:ascii="Verdana" w:eastAsia="Aptos" w:hAnsi="Verdana" w:cs="Arial"/>
                <w:sz w:val="20"/>
                <w:szCs w:val="20"/>
              </w:rPr>
              <w:t>Ley 1150 de 2007, artículo 13.</w:t>
            </w:r>
          </w:p>
          <w:p w14:paraId="3E31577D" w14:textId="77777777" w:rsidR="00785986" w:rsidRPr="00B04A47" w:rsidRDefault="00785986" w:rsidP="00785986">
            <w:pPr>
              <w:widowControl w:val="0"/>
              <w:numPr>
                <w:ilvl w:val="0"/>
                <w:numId w:val="17"/>
              </w:numPr>
              <w:autoSpaceDE w:val="0"/>
              <w:autoSpaceDN w:val="0"/>
              <w:spacing w:line="276" w:lineRule="auto"/>
              <w:contextualSpacing/>
              <w:jc w:val="both"/>
              <w:rPr>
                <w:rFonts w:ascii="Verdana" w:eastAsia="Aptos" w:hAnsi="Verdana" w:cs="Arial"/>
                <w:sz w:val="20"/>
                <w:szCs w:val="20"/>
              </w:rPr>
            </w:pPr>
            <w:r w:rsidRPr="00B04A47">
              <w:rPr>
                <w:rFonts w:ascii="Verdana" w:eastAsia="Aptos" w:hAnsi="Verdana" w:cs="Arial"/>
                <w:sz w:val="20"/>
                <w:szCs w:val="20"/>
              </w:rPr>
              <w:t xml:space="preserve">Resolución No. 5185 de 2013, modificada por la Resolución 1440 de 2024, artículo 10. </w:t>
            </w:r>
          </w:p>
          <w:p w14:paraId="05F61DD2" w14:textId="77777777" w:rsidR="00785986" w:rsidRPr="00B04A47" w:rsidRDefault="00785986" w:rsidP="00785986">
            <w:pPr>
              <w:widowControl w:val="0"/>
              <w:numPr>
                <w:ilvl w:val="0"/>
                <w:numId w:val="17"/>
              </w:numPr>
              <w:autoSpaceDE w:val="0"/>
              <w:autoSpaceDN w:val="0"/>
              <w:spacing w:line="276" w:lineRule="auto"/>
              <w:contextualSpacing/>
              <w:jc w:val="both"/>
              <w:rPr>
                <w:rFonts w:ascii="Verdana" w:eastAsia="Aptos" w:hAnsi="Verdana" w:cs="Arial"/>
                <w:sz w:val="20"/>
                <w:szCs w:val="20"/>
              </w:rPr>
            </w:pPr>
            <w:r w:rsidRPr="00B04A47">
              <w:rPr>
                <w:rFonts w:ascii="Verdana" w:eastAsia="Aptos" w:hAnsi="Verdana" w:cs="Arial"/>
                <w:sz w:val="20"/>
                <w:szCs w:val="20"/>
              </w:rPr>
              <w:t xml:space="preserve">Resolución </w:t>
            </w:r>
            <w:r w:rsidRPr="00B04A47">
              <w:rPr>
                <w:rFonts w:ascii="Verdana" w:eastAsia="Calibri" w:hAnsi="Verdana" w:cs="Arial"/>
                <w:sz w:val="20"/>
                <w:szCs w:val="20"/>
              </w:rPr>
              <w:t>485 del 27 de marzo de 2025 “</w:t>
            </w:r>
            <w:r w:rsidRPr="00B04A47">
              <w:rPr>
                <w:rFonts w:ascii="Verdana" w:eastAsia="Calibri" w:hAnsi="Verdana" w:cs="Arial"/>
                <w:i/>
                <w:iCs/>
                <w:sz w:val="20"/>
                <w:szCs w:val="20"/>
              </w:rPr>
              <w:t>Por la cual se establecen los requisitos para la expedición de los conceptos técnicos de viabilidad de los proyectos de inversión cuya fuente de financiación o cofinanciación sea el Presupuesto General de la Nación - Ministerio de Salud y Protección Social y/o recursos de las entidades territoriales, y los proyectos de infraestructura física, equipamiento fijo y dotación biomédica, considerados de control especial de oferta para la prestación de servicios de salud, cuyo fin último es el fortalecimiento de la capacidad instalada para la prestación del servicio de salud, y se dictan otras disposiciones</w:t>
            </w:r>
            <w:r w:rsidRPr="00B04A47">
              <w:rPr>
                <w:rFonts w:ascii="Verdana" w:eastAsia="Calibri" w:hAnsi="Verdana" w:cs="Arial"/>
                <w:sz w:val="20"/>
                <w:szCs w:val="20"/>
              </w:rPr>
              <w:t>”, artículo 3</w:t>
            </w:r>
          </w:p>
          <w:p w14:paraId="4DE2B8BC" w14:textId="77777777" w:rsidR="00785986" w:rsidRPr="00B04A47" w:rsidRDefault="00785986" w:rsidP="00785986">
            <w:pPr>
              <w:widowControl w:val="0"/>
              <w:numPr>
                <w:ilvl w:val="0"/>
                <w:numId w:val="17"/>
              </w:numPr>
              <w:autoSpaceDE w:val="0"/>
              <w:autoSpaceDN w:val="0"/>
              <w:spacing w:line="276" w:lineRule="auto"/>
              <w:contextualSpacing/>
              <w:jc w:val="both"/>
              <w:rPr>
                <w:rFonts w:ascii="Verdana" w:eastAsia="Aptos" w:hAnsi="Verdana" w:cs="Arial"/>
                <w:sz w:val="20"/>
                <w:szCs w:val="20"/>
              </w:rPr>
            </w:pPr>
            <w:r w:rsidRPr="00B04A47">
              <w:rPr>
                <w:rFonts w:ascii="Verdana" w:eastAsia="Aptos" w:hAnsi="Verdana" w:cs="Arial"/>
                <w:sz w:val="20"/>
                <w:szCs w:val="20"/>
              </w:rPr>
              <w:t xml:space="preserve">Agencia Nacional de Contratación Pública - Colombia Compra Eficiente. Guía para las Entidades Estatales con Régimen Especial de Contratación. </w:t>
            </w:r>
            <w:hyperlink r:id="rId13" w:history="1">
              <w:r w:rsidRPr="00B04A47">
                <w:rPr>
                  <w:rStyle w:val="Hipervnculo"/>
                  <w:rFonts w:ascii="Verdana" w:eastAsia="Aptos" w:hAnsi="Verdana" w:cs="Arial"/>
                  <w:sz w:val="20"/>
                  <w:szCs w:val="20"/>
                </w:rPr>
                <w:t>https://www.colombiacompra.gov.co/archivos/manual/guia-para-entidades-estatales-con-regimen-especial-de-contratacion</w:t>
              </w:r>
            </w:hyperlink>
            <w:r w:rsidRPr="00B04A47">
              <w:rPr>
                <w:rFonts w:ascii="Verdana" w:eastAsia="Aptos" w:hAnsi="Verdana" w:cs="Arial"/>
                <w:sz w:val="20"/>
                <w:szCs w:val="20"/>
              </w:rPr>
              <w:t xml:space="preserve"> </w:t>
            </w:r>
          </w:p>
          <w:p w14:paraId="0DD5EE06" w14:textId="77777777" w:rsidR="00785986" w:rsidRPr="00B04A47" w:rsidRDefault="00785986" w:rsidP="00785986">
            <w:pPr>
              <w:widowControl w:val="0"/>
              <w:numPr>
                <w:ilvl w:val="0"/>
                <w:numId w:val="17"/>
              </w:numPr>
              <w:autoSpaceDE w:val="0"/>
              <w:autoSpaceDN w:val="0"/>
              <w:spacing w:line="276" w:lineRule="auto"/>
              <w:contextualSpacing/>
              <w:jc w:val="both"/>
              <w:rPr>
                <w:rFonts w:ascii="Verdana" w:eastAsia="Aptos" w:hAnsi="Verdana" w:cs="Arial"/>
                <w:sz w:val="20"/>
                <w:szCs w:val="20"/>
              </w:rPr>
            </w:pPr>
            <w:r w:rsidRPr="00B04A47">
              <w:rPr>
                <w:rFonts w:ascii="Verdana" w:eastAsia="Aptos" w:hAnsi="Verdana" w:cs="Arial"/>
                <w:sz w:val="20"/>
                <w:szCs w:val="20"/>
              </w:rPr>
              <w:t>Agencia Nacional de Contratación Pública - Colombia Compra Eficiente. Lineamientos Generales para la Expedición de Manuales de Contratación. Lineamientos generales para la expedición de manuales de contratación | Colombia Compra Eficiente | Agencia Nacional de Contratación Pública.</w:t>
            </w:r>
            <w:bookmarkEnd w:id="4"/>
          </w:p>
        </w:tc>
      </w:tr>
    </w:tbl>
    <w:p w14:paraId="552C7E2D" w14:textId="77777777" w:rsidR="00785986" w:rsidRPr="00593A5F" w:rsidRDefault="00785986" w:rsidP="00785986">
      <w:pPr>
        <w:widowControl w:val="0"/>
        <w:autoSpaceDE w:val="0"/>
        <w:autoSpaceDN w:val="0"/>
        <w:spacing w:after="0" w:line="276" w:lineRule="auto"/>
        <w:jc w:val="both"/>
        <w:rPr>
          <w:rFonts w:ascii="Verdana" w:hAnsi="Verdana" w:cs="Arial"/>
        </w:rPr>
      </w:pPr>
    </w:p>
    <w:p w14:paraId="26F15546" w14:textId="77777777" w:rsidR="00785986" w:rsidRPr="00593A5F" w:rsidRDefault="00785986" w:rsidP="0078598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3611881" w14:textId="77777777" w:rsidR="00785986" w:rsidRDefault="00785986" w:rsidP="00785986">
      <w:pPr>
        <w:widowControl w:val="0"/>
        <w:autoSpaceDE w:val="0"/>
        <w:autoSpaceDN w:val="0"/>
        <w:spacing w:after="0" w:line="276" w:lineRule="auto"/>
        <w:jc w:val="both"/>
        <w:rPr>
          <w:rFonts w:ascii="Verdana" w:hAnsi="Verdana" w:cs="Arial"/>
        </w:rPr>
      </w:pPr>
    </w:p>
    <w:p w14:paraId="0EF5B793" w14:textId="77777777" w:rsidR="00785986" w:rsidRPr="00E76CD6" w:rsidRDefault="00785986" w:rsidP="00785986">
      <w:pPr>
        <w:widowControl w:val="0"/>
        <w:autoSpaceDE w:val="0"/>
        <w:autoSpaceDN w:val="0"/>
        <w:spacing w:after="0" w:line="276" w:lineRule="auto"/>
        <w:jc w:val="both"/>
        <w:rPr>
          <w:rFonts w:ascii="Verdana" w:hAnsi="Verdana"/>
        </w:rPr>
      </w:pPr>
      <w:r w:rsidRPr="002A22E2">
        <w:rPr>
          <w:rFonts w:ascii="Verdana" w:eastAsia="Calibri" w:hAnsi="Verdana" w:cs="Arial"/>
          <w:color w:val="000000" w:themeColor="text1"/>
          <w:lang w:val="es-ES_tradnl" w:eastAsia="es-ES_tradnl"/>
        </w:rPr>
        <w:t xml:space="preserve">Sobre las Empresas Sociales del Estado esta Agencia se pronunció en los </w:t>
      </w:r>
      <w:r w:rsidRPr="002A22E2">
        <w:rPr>
          <w:rFonts w:ascii="Verdana" w:eastAsia="Calibri" w:hAnsi="Verdana" w:cs="Arial"/>
          <w:color w:val="000000" w:themeColor="text1"/>
          <w:lang w:val="es-ES_tradnl" w:eastAsia="es-ES_tradnl"/>
        </w:rPr>
        <w:lastRenderedPageBreak/>
        <w:t>conceptos con radicado 2201913000007228 de 30 de septiembre de 2019, 2201913000007955 24 de octubre de 2019, 2201913000009314 17 de diciembre de 2020, 2201913000009591 24 de diciembre de 2019, 2201913000009469 20 de diciembre de 2019, CU-003 del 15 de enero de 2020, C-079 de 5 de febrero de 2020, C-168 de 31 de marzo de 2020, C-658 de 2020, C-038 del 23 de abril de 2024</w:t>
      </w:r>
      <w:r>
        <w:rPr>
          <w:rFonts w:ascii="Verdana" w:eastAsia="Calibri" w:hAnsi="Verdana" w:cs="Arial"/>
          <w:color w:val="000000" w:themeColor="text1"/>
          <w:lang w:val="es-ES_tradnl" w:eastAsia="es-ES_tradnl"/>
        </w:rPr>
        <w:t xml:space="preserve">,  C-673 del 8 de julio de 2025 y C-912 de 2025, </w:t>
      </w:r>
      <w:r>
        <w:rPr>
          <w:rFonts w:ascii="Verdana" w:hAnsi="Verdana" w:cs="Arial"/>
          <w:shd w:val="clear" w:color="auto" w:fill="FFFFFF"/>
          <w:lang w:val="es-ES"/>
        </w:rPr>
        <w:t xml:space="preserve"> </w:t>
      </w:r>
      <w:r w:rsidRPr="00C661E5">
        <w:rPr>
          <w:rFonts w:ascii="Verdana" w:hAnsi="Verdana" w:cs="Arial"/>
          <w:shd w:val="clear" w:color="auto" w:fill="FFFFFF"/>
          <w:lang w:val="es-ES"/>
        </w:rPr>
        <w:t>entre otros</w:t>
      </w:r>
      <w:r w:rsidRPr="00E76CD6">
        <w:rPr>
          <w:rFonts w:ascii="Verdana" w:hAnsi="Verdana" w:cs="Arial"/>
        </w:rPr>
        <w:t xml:space="preserve">. </w:t>
      </w:r>
      <w:r w:rsidRPr="00E76CD6">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p>
    <w:p w14:paraId="03904A6A" w14:textId="77777777" w:rsidR="00785986" w:rsidRPr="00E76CD6" w:rsidRDefault="00785986" w:rsidP="00785986">
      <w:pPr>
        <w:widowControl w:val="0"/>
        <w:autoSpaceDE w:val="0"/>
        <w:autoSpaceDN w:val="0"/>
        <w:spacing w:after="0" w:line="276" w:lineRule="auto"/>
        <w:jc w:val="both"/>
        <w:rPr>
          <w:rStyle w:val="normaltextrun"/>
          <w:rFonts w:ascii="Verdana" w:hAnsi="Verdana"/>
          <w:color w:val="000000"/>
        </w:rPr>
      </w:pPr>
    </w:p>
    <w:p w14:paraId="518366F9" w14:textId="77777777" w:rsidR="00785986" w:rsidRPr="00E76CD6" w:rsidRDefault="009620D9" w:rsidP="00785986">
      <w:pPr>
        <w:widowControl w:val="0"/>
        <w:autoSpaceDE w:val="0"/>
        <w:autoSpaceDN w:val="0"/>
        <w:spacing w:after="0" w:line="276" w:lineRule="auto"/>
        <w:jc w:val="both"/>
        <w:rPr>
          <w:rFonts w:ascii="Verdana" w:eastAsia="Calibri" w:hAnsi="Verdana" w:cs="Arial"/>
          <w:lang w:eastAsia="es-ES_tradnl"/>
        </w:rPr>
      </w:pPr>
      <w:hyperlink r:id="rId14" w:history="1">
        <w:r w:rsidR="00785986" w:rsidRPr="00E76CD6">
          <w:rPr>
            <w:rStyle w:val="Hipervnculo"/>
            <w:rFonts w:ascii="Verdana" w:eastAsia="Calibri" w:hAnsi="Verdana" w:cs="Arial"/>
            <w:lang w:eastAsia="es-ES_tradnl"/>
          </w:rPr>
          <w:t>https://relatoria.colombiacompra.gov.co/</w:t>
        </w:r>
      </w:hyperlink>
      <w:r w:rsidR="00785986" w:rsidRPr="00E76CD6">
        <w:rPr>
          <w:rFonts w:ascii="Verdana" w:eastAsia="Calibri" w:hAnsi="Verdana" w:cs="Arial"/>
          <w:lang w:eastAsia="es-ES_tradnl"/>
        </w:rPr>
        <w:t> </w:t>
      </w:r>
    </w:p>
    <w:p w14:paraId="39124D94" w14:textId="77777777" w:rsidR="00785986" w:rsidRPr="00E76CD6" w:rsidRDefault="00785986" w:rsidP="00785986">
      <w:pPr>
        <w:widowControl w:val="0"/>
        <w:autoSpaceDE w:val="0"/>
        <w:autoSpaceDN w:val="0"/>
        <w:spacing w:after="0" w:line="276" w:lineRule="auto"/>
        <w:jc w:val="both"/>
        <w:rPr>
          <w:rFonts w:ascii="Verdana" w:eastAsia="Calibri" w:hAnsi="Verdana" w:cs="Arial"/>
          <w:lang w:eastAsia="es-ES_tradnl"/>
        </w:rPr>
      </w:pPr>
    </w:p>
    <w:p w14:paraId="0E36E88E" w14:textId="77777777" w:rsidR="00785986" w:rsidRPr="00E76CD6" w:rsidRDefault="00785986" w:rsidP="00785986">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E76CD6">
        <w:rPr>
          <w:rFonts w:ascii="Verdana" w:eastAsia="Times New Roman" w:hAnsi="Verdana" w:cs="Times New Roman"/>
          <w:color w:val="000000"/>
          <w:bdr w:val="none" w:sz="0" w:space="0" w:color="auto" w:frame="1"/>
          <w:lang w:eastAsia="es-CO"/>
        </w:rPr>
        <w:t xml:space="preserve">También le contamos que ya se encuentra disponible la </w:t>
      </w:r>
      <w:r w:rsidRPr="00E76CD6">
        <w:rPr>
          <w:rFonts w:ascii="Verdana" w:eastAsia="Times New Roman" w:hAnsi="Verdana" w:cs="Times New Roman"/>
          <w:b/>
          <w:bCs/>
          <w:color w:val="000000"/>
          <w:bdr w:val="none" w:sz="0" w:space="0" w:color="auto" w:frame="1"/>
          <w:lang w:eastAsia="es-CO"/>
        </w:rPr>
        <w:t xml:space="preserve">Guía de lineamientos de transparencia y selección objetiva para el departamento de La Guajira – Objetivo sexto constitucional de la Sentencia T-302 del 2017. </w:t>
      </w:r>
      <w:r w:rsidRPr="00E76CD6">
        <w:rPr>
          <w:rFonts w:ascii="Verdana" w:eastAsia="Times New Roman" w:hAnsi="Verdana" w:cs="Times New Roman"/>
          <w:color w:val="000000"/>
          <w:bdr w:val="none" w:sz="0" w:space="0" w:color="auto"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76CD6">
        <w:rPr>
          <w:rFonts w:ascii="Verdana" w:eastAsia="Times New Roman" w:hAnsi="Verdana" w:cs="Times New Roman"/>
          <w:color w:val="000000"/>
          <w:bdr w:val="none" w:sz="0" w:space="0" w:color="auto" w:frame="1"/>
          <w:lang w:eastAsia="es-CO"/>
        </w:rPr>
        <w:t>Wayúu</w:t>
      </w:r>
      <w:proofErr w:type="spellEnd"/>
      <w:r w:rsidRPr="00E76CD6">
        <w:rPr>
          <w:rFonts w:ascii="Verdana" w:eastAsia="Times New Roman" w:hAnsi="Verdana" w:cs="Times New Roman"/>
          <w:color w:val="000000"/>
          <w:bdr w:val="none" w:sz="0" w:space="0" w:color="auto" w:frame="1"/>
          <w:lang w:eastAsia="es-CO"/>
        </w:rPr>
        <w:t xml:space="preserve">. Puede consultar la guía en el siguiente enlace: </w:t>
      </w:r>
    </w:p>
    <w:p w14:paraId="6B84557E" w14:textId="77777777" w:rsidR="00785986" w:rsidRPr="00E76CD6" w:rsidRDefault="00785986" w:rsidP="00785986">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4ED0AEAB" w14:textId="77777777" w:rsidR="00785986" w:rsidRPr="00E76CD6" w:rsidRDefault="009620D9" w:rsidP="00785986">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hyperlink r:id="rId15" w:tgtFrame="_blank" w:tooltip="Dirección URL original: https://www.colombiacompra.gov.co/wp-content/uploads/2025/05/GUIA-DE-LINEAMIENTOS-DE-TRANSPARENCIA-Y-SELECCION-OBJETIVA-1.0.pdf. Haga clic o pulse si confía en este vínculo." w:history="1">
        <w:r w:rsidR="00785986" w:rsidRPr="00E76CD6">
          <w:rPr>
            <w:rStyle w:val="Hipervnculo"/>
            <w:rFonts w:ascii="Verdana" w:eastAsia="Times New Roman" w:hAnsi="Verdana"/>
            <w:bdr w:val="none" w:sz="0" w:space="0" w:color="auto" w:frame="1"/>
            <w:lang w:eastAsia="es-CO"/>
          </w:rPr>
          <w:t>Guía de lineamientos de transparencia y selección objetiva para el departamento de La Guajira – Objetivo sexto constitucional de la Sentencia T-302 del 2017</w:t>
        </w:r>
      </w:hyperlink>
    </w:p>
    <w:p w14:paraId="36C9C58A" w14:textId="77777777" w:rsidR="00785986" w:rsidRPr="00E76CD6" w:rsidRDefault="00785986" w:rsidP="00785986">
      <w:pPr>
        <w:widowControl w:val="0"/>
        <w:autoSpaceDE w:val="0"/>
        <w:autoSpaceDN w:val="0"/>
        <w:spacing w:after="0" w:line="276" w:lineRule="auto"/>
        <w:jc w:val="both"/>
        <w:rPr>
          <w:rFonts w:ascii="Verdana" w:hAnsi="Verdana" w:cs="Arial"/>
        </w:rPr>
      </w:pPr>
    </w:p>
    <w:p w14:paraId="75AC1CCA" w14:textId="77777777" w:rsidR="00785986" w:rsidRPr="00E76CD6" w:rsidRDefault="00785986" w:rsidP="00785986">
      <w:pPr>
        <w:spacing w:after="0" w:line="276" w:lineRule="auto"/>
        <w:jc w:val="both"/>
        <w:rPr>
          <w:rFonts w:ascii="Verdana" w:hAnsi="Verdana"/>
        </w:rPr>
      </w:pPr>
      <w:r w:rsidRPr="00E76CD6">
        <w:rPr>
          <w:rFonts w:ascii="Verdana" w:hAnsi="Verdana"/>
        </w:rPr>
        <w:t xml:space="preserve">Por último, lo invitamos a seguirnos en las redes sociales en las cuales se difunde información institucional: </w:t>
      </w:r>
    </w:p>
    <w:p w14:paraId="66D97388" w14:textId="77777777" w:rsidR="00785986" w:rsidRPr="00E76CD6" w:rsidRDefault="00785986" w:rsidP="00785986">
      <w:pPr>
        <w:spacing w:after="0" w:line="276" w:lineRule="auto"/>
        <w:jc w:val="both"/>
        <w:rPr>
          <w:rFonts w:ascii="Verdana" w:hAnsi="Verdana"/>
        </w:rPr>
      </w:pPr>
    </w:p>
    <w:p w14:paraId="3F3215E0" w14:textId="77777777" w:rsidR="00785986" w:rsidRPr="00E76CD6" w:rsidRDefault="00785986" w:rsidP="00785986">
      <w:pPr>
        <w:spacing w:after="0" w:line="276" w:lineRule="auto"/>
        <w:jc w:val="both"/>
        <w:rPr>
          <w:rFonts w:ascii="Verdana" w:hAnsi="Verdana"/>
        </w:rPr>
      </w:pPr>
      <w:r w:rsidRPr="00E76CD6">
        <w:rPr>
          <w:rFonts w:ascii="Verdana" w:hAnsi="Verdana"/>
        </w:rPr>
        <w:t xml:space="preserve">Twitter: </w:t>
      </w:r>
      <w:r w:rsidRPr="00E76CD6">
        <w:rPr>
          <w:rStyle w:val="Hipervnculo"/>
          <w:rFonts w:ascii="Verdana" w:hAnsi="Verdana"/>
          <w:color w:val="4472C4" w:themeColor="accent1"/>
        </w:rPr>
        <w:t>@colombiacompra</w:t>
      </w:r>
      <w:r w:rsidRPr="00E76CD6">
        <w:rPr>
          <w:rFonts w:ascii="Verdana" w:hAnsi="Verdana"/>
          <w:color w:val="4472C4" w:themeColor="accent1"/>
        </w:rPr>
        <w:t xml:space="preserve"> </w:t>
      </w:r>
    </w:p>
    <w:p w14:paraId="7F7E1AAC" w14:textId="77777777" w:rsidR="00785986" w:rsidRPr="00E76CD6" w:rsidRDefault="00785986" w:rsidP="00785986">
      <w:pPr>
        <w:spacing w:after="0" w:line="276" w:lineRule="auto"/>
        <w:jc w:val="both"/>
        <w:rPr>
          <w:rFonts w:ascii="Verdana" w:hAnsi="Verdana"/>
        </w:rPr>
      </w:pPr>
      <w:r w:rsidRPr="00E76CD6">
        <w:rPr>
          <w:rFonts w:ascii="Verdana" w:hAnsi="Verdana"/>
        </w:rPr>
        <w:t xml:space="preserve">Facebook: </w:t>
      </w:r>
      <w:proofErr w:type="spellStart"/>
      <w:r w:rsidRPr="00E76CD6">
        <w:rPr>
          <w:rStyle w:val="Hipervnculo"/>
          <w:rFonts w:ascii="Verdana" w:hAnsi="Verdana"/>
          <w:color w:val="4472C4" w:themeColor="accent1"/>
        </w:rPr>
        <w:t>ColombiaCompraEficiente</w:t>
      </w:r>
      <w:proofErr w:type="spellEnd"/>
    </w:p>
    <w:p w14:paraId="23D232B2" w14:textId="77777777" w:rsidR="00785986" w:rsidRPr="00E76CD6" w:rsidRDefault="00785986" w:rsidP="00785986">
      <w:pPr>
        <w:spacing w:after="0" w:line="276" w:lineRule="auto"/>
        <w:jc w:val="both"/>
        <w:rPr>
          <w:rFonts w:ascii="Verdana" w:hAnsi="Verdana"/>
        </w:rPr>
      </w:pPr>
      <w:r w:rsidRPr="00E76CD6">
        <w:rPr>
          <w:rFonts w:ascii="Verdana" w:hAnsi="Verdana"/>
        </w:rPr>
        <w:t xml:space="preserve">LinkedIn: </w:t>
      </w:r>
      <w:r w:rsidRPr="00E76CD6">
        <w:rPr>
          <w:rStyle w:val="Hipervnculo"/>
          <w:rFonts w:ascii="Verdana" w:hAnsi="Verdana"/>
          <w:color w:val="4472C4" w:themeColor="accent1"/>
        </w:rPr>
        <w:t>Agencia Nacional de Contratación Pública - Colombia Compra Eficiente</w:t>
      </w:r>
      <w:r w:rsidRPr="00E76CD6">
        <w:rPr>
          <w:rFonts w:ascii="Verdana" w:hAnsi="Verdana"/>
          <w:color w:val="4472C4" w:themeColor="accent1"/>
        </w:rPr>
        <w:t xml:space="preserve"> </w:t>
      </w:r>
      <w:r w:rsidRPr="00E76CD6">
        <w:rPr>
          <w:rFonts w:ascii="Verdana" w:hAnsi="Verdana"/>
        </w:rPr>
        <w:t xml:space="preserve">Instagram: </w:t>
      </w:r>
      <w:r w:rsidRPr="00E76CD6">
        <w:rPr>
          <w:rStyle w:val="Hipervnculo"/>
          <w:rFonts w:ascii="Verdana" w:hAnsi="Verdana"/>
          <w:color w:val="4472C4" w:themeColor="accent1"/>
        </w:rPr>
        <w:t>@colombiacompraeficiente_cce</w:t>
      </w:r>
    </w:p>
    <w:p w14:paraId="51EF9408" w14:textId="77777777" w:rsidR="00785986" w:rsidRPr="00E76CD6" w:rsidRDefault="00785986" w:rsidP="00785986">
      <w:pPr>
        <w:widowControl w:val="0"/>
        <w:autoSpaceDE w:val="0"/>
        <w:autoSpaceDN w:val="0"/>
        <w:spacing w:after="0" w:line="276" w:lineRule="auto"/>
        <w:jc w:val="both"/>
        <w:rPr>
          <w:rFonts w:ascii="Verdana" w:hAnsi="Verdana"/>
        </w:rPr>
      </w:pPr>
    </w:p>
    <w:p w14:paraId="6F0EC7AD" w14:textId="77777777" w:rsidR="00785986" w:rsidRPr="00E76CD6" w:rsidRDefault="00785986" w:rsidP="00785986">
      <w:pPr>
        <w:widowControl w:val="0"/>
        <w:autoSpaceDE w:val="0"/>
        <w:autoSpaceDN w:val="0"/>
        <w:spacing w:after="0" w:line="276" w:lineRule="auto"/>
        <w:jc w:val="both"/>
        <w:rPr>
          <w:rFonts w:ascii="Verdana" w:hAnsi="Verdana" w:cs="Arial"/>
        </w:rPr>
      </w:pPr>
      <w:r w:rsidRPr="00E76CD6">
        <w:rPr>
          <w:rFonts w:ascii="Verdana" w:hAnsi="Verdana" w:cs="Arial"/>
        </w:rPr>
        <w:t xml:space="preserve">Este concepto tiene el alcance previsto en el artículo 28 del Código de </w:t>
      </w:r>
      <w:r w:rsidRPr="00E76CD6">
        <w:rPr>
          <w:rFonts w:ascii="Verdana" w:hAnsi="Verdana" w:cs="Arial"/>
        </w:rPr>
        <w:lastRenderedPageBreak/>
        <w:t>Procedimiento Administrativo y de lo Contencioso Administrativo y las expresiones aquí utilizadas con mayúscula inicial deben ser entendidas con el significado que les otorga el artículo 2.2.1.1.1.3.1. del Decreto 1082 de 2015.</w:t>
      </w:r>
    </w:p>
    <w:p w14:paraId="250F30B5" w14:textId="77777777" w:rsidR="00785986" w:rsidRPr="00E76CD6" w:rsidRDefault="00785986" w:rsidP="00785986">
      <w:pPr>
        <w:spacing w:after="0" w:line="276" w:lineRule="auto"/>
        <w:ind w:firstLine="709"/>
        <w:jc w:val="both"/>
        <w:rPr>
          <w:rFonts w:ascii="Verdana" w:eastAsia="Times New Roman" w:hAnsi="Verdana" w:cs="Arial"/>
          <w:lang w:eastAsia="es-ES_tradnl"/>
        </w:rPr>
      </w:pPr>
    </w:p>
    <w:p w14:paraId="52CC6924" w14:textId="77777777" w:rsidR="00785986" w:rsidRPr="00E76CD6" w:rsidRDefault="00785986" w:rsidP="00785986">
      <w:pPr>
        <w:spacing w:after="0" w:line="276" w:lineRule="auto"/>
        <w:jc w:val="both"/>
        <w:rPr>
          <w:rFonts w:ascii="Verdana" w:eastAsia="Times New Roman" w:hAnsi="Verdana" w:cs="Arial"/>
          <w:lang w:eastAsia="es-CO"/>
        </w:rPr>
      </w:pPr>
      <w:bookmarkStart w:id="5" w:name="_Hlk117695077"/>
      <w:r w:rsidRPr="00E76CD6">
        <w:rPr>
          <w:rFonts w:ascii="Verdana" w:eastAsia="Times New Roman" w:hAnsi="Verdana" w:cs="Arial"/>
          <w:lang w:eastAsia="es-CO"/>
        </w:rPr>
        <w:t>Atentamente,</w:t>
      </w:r>
      <w:bookmarkEnd w:id="5"/>
    </w:p>
    <w:p w14:paraId="06EA7EAC" w14:textId="77777777" w:rsidR="00785986" w:rsidRPr="00593A5F" w:rsidRDefault="00785986" w:rsidP="00785986">
      <w:pPr>
        <w:widowControl w:val="0"/>
        <w:autoSpaceDE w:val="0"/>
        <w:autoSpaceDN w:val="0"/>
        <w:spacing w:after="0" w:line="276" w:lineRule="auto"/>
        <w:jc w:val="both"/>
        <w:rPr>
          <w:rFonts w:ascii="Verdana" w:hAnsi="Verdana" w:cs="Arial"/>
        </w:rPr>
      </w:pPr>
    </w:p>
    <w:p w14:paraId="0EED9F95" w14:textId="6EA416D6" w:rsidR="00785986" w:rsidRPr="00593A5F" w:rsidRDefault="008A4752" w:rsidP="008A4752">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6BD067F1" wp14:editId="35306F3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pPr w:leftFromText="141" w:rightFromText="141" w:vertAnchor="text" w:horzAnchor="margin" w:tblpY="-9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85986" w:rsidRPr="00EA1223" w14:paraId="055C0A3C" w14:textId="77777777" w:rsidTr="0086642C">
        <w:trPr>
          <w:trHeight w:val="315"/>
        </w:trPr>
        <w:tc>
          <w:tcPr>
            <w:tcW w:w="893" w:type="dxa"/>
            <w:vAlign w:val="center"/>
            <w:hideMark/>
          </w:tcPr>
          <w:p w14:paraId="4D0FC549" w14:textId="77777777" w:rsidR="00785986" w:rsidRPr="00EA1223" w:rsidRDefault="00785986" w:rsidP="0086642C">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1105729" w14:textId="77777777" w:rsidR="00785986" w:rsidRPr="00EA1223" w:rsidRDefault="00785986" w:rsidP="0086642C">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1AECB157" w14:textId="77777777" w:rsidR="00785986" w:rsidRPr="00EA1223" w:rsidRDefault="00785986" w:rsidP="0086642C">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785986" w:rsidRPr="00EA1223" w14:paraId="5AE8AB94" w14:textId="77777777" w:rsidTr="0086642C">
        <w:trPr>
          <w:trHeight w:val="330"/>
        </w:trPr>
        <w:tc>
          <w:tcPr>
            <w:tcW w:w="893" w:type="dxa"/>
            <w:vAlign w:val="center"/>
            <w:hideMark/>
          </w:tcPr>
          <w:p w14:paraId="3701590B" w14:textId="77777777" w:rsidR="00785986" w:rsidRPr="00EA1223" w:rsidRDefault="00785986" w:rsidP="0086642C">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9C1CC25" w14:textId="77777777" w:rsidR="00785986" w:rsidRPr="00EA1223" w:rsidRDefault="00785986" w:rsidP="0086642C">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 xml:space="preserve">Juan Carlos </w:t>
            </w:r>
            <w:r w:rsidRPr="7DF5FA7F">
              <w:rPr>
                <w:rStyle w:val="normaltextrun"/>
                <w:rFonts w:ascii="Verdana" w:hAnsi="Verdana" w:cs="Arial"/>
                <w:sz w:val="16"/>
                <w:szCs w:val="16"/>
                <w:lang w:val="es-ES"/>
              </w:rPr>
              <w:t>González</w:t>
            </w:r>
            <w:r>
              <w:rPr>
                <w:rStyle w:val="normaltextrun"/>
                <w:rFonts w:ascii="Verdana" w:hAnsi="Verdana" w:cs="Arial"/>
                <w:sz w:val="16"/>
                <w:szCs w:val="16"/>
                <w:lang w:val="es-ES"/>
              </w:rPr>
              <w:t xml:space="preserve"> Vásquez</w:t>
            </w:r>
          </w:p>
          <w:p w14:paraId="2AC1766B" w14:textId="77777777" w:rsidR="00785986" w:rsidRPr="00EA1223" w:rsidRDefault="00785986" w:rsidP="0086642C">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785986" w:rsidRPr="00EA1223" w14:paraId="32759F3A" w14:textId="77777777" w:rsidTr="0086642C">
        <w:trPr>
          <w:trHeight w:val="300"/>
        </w:trPr>
        <w:tc>
          <w:tcPr>
            <w:tcW w:w="893" w:type="dxa"/>
            <w:vAlign w:val="center"/>
          </w:tcPr>
          <w:p w14:paraId="2B0B3C43" w14:textId="77777777" w:rsidR="00785986" w:rsidRPr="00EA1223" w:rsidRDefault="00785986" w:rsidP="0086642C">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913949A" w14:textId="77777777" w:rsidR="00785986" w:rsidRPr="00EA1223" w:rsidRDefault="00785986" w:rsidP="0086642C">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2F38D5FA" w14:textId="77777777" w:rsidR="00785986" w:rsidRPr="00EA1223" w:rsidRDefault="00785986" w:rsidP="0086642C">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w:t>
            </w:r>
            <w:proofErr w:type="spellStart"/>
            <w:r w:rsidRPr="00EA1223">
              <w:rPr>
                <w:rFonts w:ascii="Verdana" w:eastAsia="Calibri" w:hAnsi="Verdana" w:cs="Arial"/>
                <w:sz w:val="16"/>
                <w:szCs w:val="16"/>
                <w:lang w:val="pt-BR" w:eastAsia="es-ES"/>
              </w:rPr>
              <w:t>Gestión</w:t>
            </w:r>
            <w:proofErr w:type="spellEnd"/>
            <w:r w:rsidRPr="00EA1223">
              <w:rPr>
                <w:rFonts w:ascii="Verdana" w:eastAsia="Calibri" w:hAnsi="Verdana" w:cs="Arial"/>
                <w:sz w:val="16"/>
                <w:szCs w:val="16"/>
                <w:lang w:val="pt-BR" w:eastAsia="es-ES"/>
              </w:rPr>
              <w:t xml:space="preserve">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656A51E1" w14:textId="77777777" w:rsidR="00785986" w:rsidRPr="00593A5F" w:rsidRDefault="00785986" w:rsidP="00785986">
      <w:pPr>
        <w:spacing w:after="0" w:line="240" w:lineRule="auto"/>
        <w:rPr>
          <w:rFonts w:ascii="Verdana" w:eastAsia="Times New Roman" w:hAnsi="Verdana" w:cs="Arial"/>
          <w:sz w:val="24"/>
          <w:szCs w:val="24"/>
          <w:lang w:eastAsia="es-ES"/>
        </w:rPr>
      </w:pPr>
    </w:p>
    <w:p w14:paraId="3AD40E76" w14:textId="77777777" w:rsidR="00785986" w:rsidRPr="00871B59" w:rsidRDefault="00785986" w:rsidP="00785986"/>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0EAB50" w14:textId="77777777" w:rsidR="005C1F1A" w:rsidRDefault="005C1F1A" w:rsidP="004A1847">
      <w:pPr>
        <w:spacing w:after="0" w:line="240" w:lineRule="auto"/>
      </w:pPr>
      <w:r>
        <w:separator/>
      </w:r>
    </w:p>
  </w:endnote>
  <w:endnote w:type="continuationSeparator" w:id="0">
    <w:p w14:paraId="58E60ADC" w14:textId="77777777" w:rsidR="005C1F1A" w:rsidRDefault="005C1F1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CC128A" w14:textId="77777777" w:rsidR="005C1F1A" w:rsidRDefault="005C1F1A" w:rsidP="004A1847">
      <w:pPr>
        <w:spacing w:after="0" w:line="240" w:lineRule="auto"/>
      </w:pPr>
      <w:r>
        <w:separator/>
      </w:r>
    </w:p>
  </w:footnote>
  <w:footnote w:type="continuationSeparator" w:id="0">
    <w:p w14:paraId="565B07AF" w14:textId="77777777" w:rsidR="005C1F1A" w:rsidRDefault="005C1F1A" w:rsidP="004A1847">
      <w:pPr>
        <w:spacing w:after="0" w:line="240" w:lineRule="auto"/>
      </w:pPr>
      <w:r>
        <w:continuationSeparator/>
      </w:r>
    </w:p>
  </w:footnote>
  <w:footnote w:id="1">
    <w:p w14:paraId="1A633F8E" w14:textId="77777777" w:rsidR="00785986" w:rsidRPr="00181630" w:rsidRDefault="00785986" w:rsidP="00785986">
      <w:pPr>
        <w:pStyle w:val="Textonotapie"/>
        <w:rPr>
          <w:lang w:val="es-CO"/>
        </w:rPr>
      </w:pPr>
      <w:r>
        <w:rPr>
          <w:rStyle w:val="Refdenotaalpie"/>
        </w:rPr>
        <w:footnoteRef/>
      </w:r>
      <w:r>
        <w:t xml:space="preserve"> C- 1437 del 29 de octubre de 2025. </w:t>
      </w:r>
    </w:p>
  </w:footnote>
  <w:footnote w:id="2">
    <w:p w14:paraId="6C89EB9F" w14:textId="77777777" w:rsidR="00785986" w:rsidRPr="00C95CD8" w:rsidRDefault="00785986" w:rsidP="00785986">
      <w:pPr>
        <w:pStyle w:val="Textonotapie"/>
        <w:ind w:firstLine="709"/>
        <w:jc w:val="both"/>
        <w:rPr>
          <w:rFonts w:ascii="Verdana" w:hAnsi="Verdana" w:cs="Arial"/>
          <w:color w:val="000000"/>
          <w:sz w:val="12"/>
          <w:szCs w:val="12"/>
        </w:rPr>
      </w:pPr>
      <w:r w:rsidRPr="00C95CD8">
        <w:rPr>
          <w:rStyle w:val="Refdenotaalpie"/>
          <w:rFonts w:ascii="Verdana" w:hAnsi="Verdana" w:cs="Arial"/>
          <w:color w:val="000000"/>
          <w:sz w:val="12"/>
          <w:szCs w:val="12"/>
        </w:rPr>
        <w:footnoteRef/>
      </w:r>
      <w:r w:rsidRPr="00C95CD8">
        <w:rPr>
          <w:rFonts w:ascii="Verdana" w:hAnsi="Verdana" w:cs="Arial"/>
          <w:color w:val="000000"/>
          <w:sz w:val="12"/>
          <w:szCs w:val="12"/>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02212615" w14:textId="77777777" w:rsidR="00785986" w:rsidRPr="00C95CD8" w:rsidRDefault="00785986" w:rsidP="00785986">
      <w:pPr>
        <w:pStyle w:val="Textonotapie"/>
        <w:ind w:firstLine="709"/>
        <w:jc w:val="both"/>
        <w:rPr>
          <w:rFonts w:ascii="Verdana" w:hAnsi="Verdana" w:cs="Arial"/>
          <w:color w:val="000000"/>
          <w:sz w:val="12"/>
          <w:szCs w:val="12"/>
        </w:rPr>
      </w:pPr>
    </w:p>
  </w:footnote>
  <w:footnote w:id="3">
    <w:p w14:paraId="4CBE95B9" w14:textId="77777777" w:rsidR="00785986" w:rsidRPr="00C95CD8" w:rsidRDefault="00785986" w:rsidP="00785986">
      <w:pPr>
        <w:pStyle w:val="Textonotapie"/>
        <w:ind w:firstLine="709"/>
        <w:jc w:val="both"/>
        <w:rPr>
          <w:rFonts w:ascii="Verdana" w:hAnsi="Verdana" w:cs="Arial"/>
          <w:color w:val="000000"/>
          <w:sz w:val="12"/>
          <w:szCs w:val="12"/>
        </w:rPr>
      </w:pPr>
      <w:r w:rsidRPr="00C95CD8">
        <w:rPr>
          <w:rStyle w:val="Refdenotaalpie"/>
          <w:rFonts w:ascii="Verdana" w:hAnsi="Verdana" w:cs="Arial"/>
          <w:color w:val="000000"/>
          <w:sz w:val="12"/>
          <w:szCs w:val="12"/>
        </w:rPr>
        <w:footnoteRef/>
      </w:r>
      <w:r w:rsidRPr="00C95CD8">
        <w:rPr>
          <w:rFonts w:ascii="Verdana" w:hAnsi="Verdana" w:cs="Arial"/>
          <w:color w:val="000000"/>
          <w:sz w:val="12"/>
          <w:szCs w:val="12"/>
        </w:rPr>
        <w:t xml:space="preserve"> Consejo de Estado. Sección Tercera. Radicado No. 45.607 del 24 de octubre de 2016. Consejera Ponente: María Nubia Velásquez Rico.</w:t>
      </w:r>
    </w:p>
    <w:p w14:paraId="4682A67C" w14:textId="77777777" w:rsidR="00785986" w:rsidRPr="00C95CD8" w:rsidRDefault="00785986" w:rsidP="00785986">
      <w:pPr>
        <w:pStyle w:val="Textonotapie"/>
        <w:ind w:firstLine="709"/>
        <w:jc w:val="both"/>
        <w:rPr>
          <w:rFonts w:ascii="Verdana" w:hAnsi="Verdana" w:cs="Arial"/>
          <w:color w:val="000000"/>
          <w:sz w:val="12"/>
          <w:szCs w:val="12"/>
          <w:lang w:val="es-ES"/>
        </w:rPr>
      </w:pPr>
    </w:p>
  </w:footnote>
  <w:footnote w:id="4">
    <w:p w14:paraId="1D39D072" w14:textId="77777777" w:rsidR="00785986" w:rsidRPr="00C95CD8" w:rsidRDefault="00785986" w:rsidP="00785986">
      <w:pPr>
        <w:pStyle w:val="Textonotapie"/>
        <w:ind w:firstLine="709"/>
        <w:jc w:val="both"/>
        <w:rPr>
          <w:rFonts w:ascii="Verdana" w:hAnsi="Verdana" w:cs="Arial"/>
          <w:sz w:val="12"/>
          <w:szCs w:val="12"/>
          <w:lang w:val="es-ES"/>
        </w:rPr>
      </w:pPr>
      <w:r w:rsidRPr="00C95CD8">
        <w:rPr>
          <w:rStyle w:val="Refdenotaalpie"/>
          <w:rFonts w:ascii="Verdana" w:hAnsi="Verdana" w:cs="Arial"/>
          <w:sz w:val="12"/>
          <w:szCs w:val="12"/>
        </w:rPr>
        <w:footnoteRef/>
      </w:r>
      <w:r w:rsidRPr="00C95CD8">
        <w:rPr>
          <w:rFonts w:ascii="Verdana" w:hAnsi="Verdana" w:cs="Arial"/>
          <w:sz w:val="12"/>
          <w:szCs w:val="12"/>
        </w:rPr>
        <w:t xml:space="preserve"> </w:t>
      </w:r>
      <w:r w:rsidRPr="00C95CD8">
        <w:rPr>
          <w:rFonts w:ascii="Verdana" w:hAnsi="Verdana" w:cs="Arial"/>
          <w:sz w:val="12"/>
          <w:szCs w:val="12"/>
          <w:lang w:val="es-ES"/>
        </w:rPr>
        <w:t>“</w:t>
      </w:r>
      <w:r w:rsidRPr="00C95CD8">
        <w:rPr>
          <w:rFonts w:ascii="Verdana" w:hAnsi="Verdana" w:cs="Arial"/>
          <w:sz w:val="12"/>
          <w:szCs w:val="12"/>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C95CD8">
        <w:rPr>
          <w:rFonts w:ascii="Verdana" w:hAnsi="Verdana" w:cs="Arial"/>
          <w:sz w:val="12"/>
          <w:szCs w:val="12"/>
          <w:lang w:val="es-ES"/>
        </w:rPr>
        <w:t>”.</w:t>
      </w:r>
    </w:p>
    <w:p w14:paraId="4DFE6062" w14:textId="77777777" w:rsidR="00785986" w:rsidRPr="00C95CD8" w:rsidRDefault="00785986" w:rsidP="00785986">
      <w:pPr>
        <w:pStyle w:val="Textonotapie"/>
        <w:ind w:firstLine="709"/>
        <w:jc w:val="both"/>
        <w:rPr>
          <w:rFonts w:ascii="Verdana" w:hAnsi="Verdana" w:cs="Arial"/>
          <w:sz w:val="12"/>
          <w:szCs w:val="12"/>
        </w:rPr>
      </w:pPr>
    </w:p>
  </w:footnote>
  <w:footnote w:id="5">
    <w:p w14:paraId="32C46792" w14:textId="77777777" w:rsidR="00785986" w:rsidRPr="00C95CD8" w:rsidRDefault="00785986" w:rsidP="00785986">
      <w:pPr>
        <w:pStyle w:val="Textonotapie"/>
        <w:ind w:firstLine="709"/>
        <w:jc w:val="both"/>
        <w:rPr>
          <w:rFonts w:ascii="Verdana" w:hAnsi="Verdana" w:cs="Arial"/>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Consejo de Estado. Sección Tercera. Sentencia 18 de febrero de 2010. Rad: 11001-03-26-000-2009-00058-00(37004). CP: Enrique Gil Botero. </w:t>
      </w:r>
    </w:p>
    <w:p w14:paraId="33C608F5" w14:textId="77777777" w:rsidR="00785986" w:rsidRPr="00C95CD8" w:rsidRDefault="00785986" w:rsidP="00785986">
      <w:pPr>
        <w:pStyle w:val="Textonotapie"/>
        <w:ind w:firstLine="709"/>
        <w:jc w:val="both"/>
        <w:rPr>
          <w:rFonts w:ascii="Verdana" w:hAnsi="Verdana" w:cs="Arial"/>
          <w:sz w:val="12"/>
          <w:szCs w:val="12"/>
        </w:rPr>
      </w:pPr>
    </w:p>
  </w:footnote>
  <w:footnote w:id="6">
    <w:p w14:paraId="4F526C54" w14:textId="77777777" w:rsidR="00785986" w:rsidRPr="00C95CD8" w:rsidRDefault="00785986" w:rsidP="00785986">
      <w:pPr>
        <w:pStyle w:val="Textonotapie"/>
        <w:ind w:firstLine="709"/>
        <w:jc w:val="both"/>
        <w:rPr>
          <w:rFonts w:ascii="Verdana" w:hAnsi="Verdana" w:cs="Arial"/>
          <w:color w:val="000000"/>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En sentencia C-655 de 2000, la Corte Constitucional se pronunció, así: </w:t>
      </w:r>
      <w:r w:rsidRPr="00C95CD8">
        <w:rPr>
          <w:rFonts w:ascii="Verdana" w:hAnsi="Verdana" w:cs="Arial"/>
          <w:sz w:val="12"/>
          <w:szCs w:val="12"/>
          <w:lang w:val="es-ES_tradnl"/>
        </w:rPr>
        <w:t>“</w:t>
      </w:r>
      <w:r w:rsidRPr="00C95CD8">
        <w:rPr>
          <w:rFonts w:ascii="Verdana" w:hAnsi="Verdana" w:cs="Arial"/>
          <w:color w:val="000000"/>
          <w:sz w:val="12"/>
          <w:szCs w:val="12"/>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C95CD8">
        <w:rPr>
          <w:rFonts w:ascii="Verdana" w:hAnsi="Verdana" w:cs="Arial"/>
          <w:sz w:val="12"/>
          <w:szCs w:val="12"/>
          <w:lang w:val="es-ES_tradnl"/>
        </w:rPr>
        <w:t>”</w:t>
      </w:r>
      <w:r w:rsidRPr="00C95CD8">
        <w:rPr>
          <w:rFonts w:ascii="Verdana" w:hAnsi="Verdana" w:cs="Arial"/>
          <w:color w:val="000000"/>
          <w:sz w:val="12"/>
          <w:szCs w:val="12"/>
        </w:rPr>
        <w:t>.</w:t>
      </w:r>
    </w:p>
    <w:p w14:paraId="2812BDBD" w14:textId="77777777" w:rsidR="00785986" w:rsidRPr="00C95CD8" w:rsidRDefault="00785986" w:rsidP="00785986">
      <w:pPr>
        <w:pStyle w:val="Textonotapie"/>
        <w:ind w:firstLine="709"/>
        <w:jc w:val="both"/>
        <w:rPr>
          <w:rFonts w:ascii="Verdana" w:hAnsi="Verdana" w:cs="Arial"/>
          <w:sz w:val="12"/>
          <w:szCs w:val="12"/>
        </w:rPr>
      </w:pPr>
    </w:p>
  </w:footnote>
  <w:footnote w:id="7">
    <w:p w14:paraId="7205D2B9" w14:textId="77777777" w:rsidR="00785986" w:rsidRPr="00C95CD8" w:rsidRDefault="00785986" w:rsidP="00785986">
      <w:pPr>
        <w:pStyle w:val="Textonotapie"/>
        <w:ind w:firstLine="708"/>
        <w:jc w:val="both"/>
        <w:rPr>
          <w:rFonts w:ascii="Verdana" w:hAnsi="Verdana" w:cs="Arial"/>
          <w:color w:val="000000" w:themeColor="text1"/>
          <w:sz w:val="12"/>
          <w:szCs w:val="12"/>
          <w:lang w:val="es-CO"/>
        </w:rPr>
      </w:pPr>
      <w:r w:rsidRPr="00C95CD8">
        <w:rPr>
          <w:rStyle w:val="Refdenotaalpie"/>
          <w:rFonts w:ascii="Verdana" w:hAnsi="Verdana" w:cs="Arial"/>
          <w:color w:val="000000" w:themeColor="text1"/>
          <w:sz w:val="12"/>
          <w:szCs w:val="12"/>
        </w:rPr>
        <w:footnoteRef/>
      </w:r>
      <w:r w:rsidRPr="00C95CD8">
        <w:rPr>
          <w:rFonts w:ascii="Verdana" w:hAnsi="Verdana" w:cs="Arial"/>
          <w:color w:val="000000" w:themeColor="text1"/>
          <w:sz w:val="12"/>
          <w:szCs w:val="12"/>
        </w:rPr>
        <w:t xml:space="preserve"> Consejo de Estado. Sala de Consulta y Servicio Civil. Concepto del 27 de agosto de 1998, radicación No. 1.127, M.P. Javier Henao Hidrón; y </w:t>
      </w:r>
      <w:r w:rsidRPr="00C95CD8">
        <w:rPr>
          <w:rFonts w:ascii="Verdana" w:hAnsi="Verdana" w:cs="Arial"/>
          <w:color w:val="000000" w:themeColor="text1"/>
          <w:sz w:val="12"/>
          <w:szCs w:val="12"/>
          <w:lang w:val="es-CO"/>
        </w:rPr>
        <w:t xml:space="preserve">concepto del 6 de abril de 2000. Radicación No. 1.263, M.P. Flavio Augusto </w:t>
      </w:r>
      <w:r w:rsidRPr="00C95CD8">
        <w:rPr>
          <w:rFonts w:ascii="Verdana" w:hAnsi="Verdana" w:cs="Arial"/>
          <w:color w:val="000000" w:themeColor="text1"/>
          <w:sz w:val="12"/>
          <w:szCs w:val="12"/>
          <w:lang w:val="es-CO"/>
        </w:rPr>
        <w:t>Rodriguez Arce</w:t>
      </w:r>
    </w:p>
    <w:p w14:paraId="647205F4" w14:textId="77777777" w:rsidR="00785986" w:rsidRPr="00C95CD8" w:rsidRDefault="00785986" w:rsidP="00785986">
      <w:pPr>
        <w:pStyle w:val="Textonotapie"/>
        <w:jc w:val="both"/>
        <w:rPr>
          <w:rFonts w:ascii="Verdana" w:hAnsi="Verdana" w:cs="Arial"/>
          <w:color w:val="000000" w:themeColor="text1"/>
          <w:sz w:val="12"/>
          <w:szCs w:val="12"/>
        </w:rPr>
      </w:pPr>
    </w:p>
  </w:footnote>
  <w:footnote w:id="8">
    <w:p w14:paraId="055B6080" w14:textId="77777777" w:rsidR="00785986" w:rsidRPr="00C95CD8" w:rsidRDefault="00785986" w:rsidP="00785986">
      <w:pPr>
        <w:pStyle w:val="Textonotapie"/>
        <w:ind w:firstLine="709"/>
        <w:jc w:val="both"/>
        <w:rPr>
          <w:rFonts w:ascii="Verdana" w:hAnsi="Verdana" w:cs="Arial"/>
          <w:color w:val="000000" w:themeColor="text1"/>
          <w:sz w:val="12"/>
          <w:szCs w:val="12"/>
        </w:rPr>
      </w:pPr>
      <w:r w:rsidRPr="00C95CD8">
        <w:rPr>
          <w:rStyle w:val="Refdenotaalpie"/>
          <w:rFonts w:ascii="Verdana" w:hAnsi="Verdana" w:cs="Arial"/>
          <w:color w:val="000000" w:themeColor="text1"/>
          <w:sz w:val="12"/>
          <w:szCs w:val="12"/>
        </w:rPr>
        <w:footnoteRef/>
      </w:r>
      <w:r w:rsidRPr="00C95CD8">
        <w:rPr>
          <w:rFonts w:ascii="Verdana" w:hAnsi="Verdana" w:cs="Arial"/>
          <w:color w:val="000000" w:themeColor="text1"/>
          <w:sz w:val="12"/>
          <w:szCs w:val="12"/>
        </w:rPr>
        <w:t xml:space="preserve"> Ministerio de Salud y la Protección Social. Concepto del 16 de agosto de 2019. Expediente No. 201942301304712. </w:t>
      </w:r>
    </w:p>
    <w:p w14:paraId="1D91AF79" w14:textId="77777777" w:rsidR="00785986" w:rsidRPr="00C95CD8" w:rsidRDefault="00785986" w:rsidP="00785986">
      <w:pPr>
        <w:pStyle w:val="Textonotapie"/>
        <w:ind w:firstLine="709"/>
        <w:jc w:val="both"/>
        <w:rPr>
          <w:rFonts w:ascii="Verdana" w:hAnsi="Verdana" w:cs="Arial"/>
          <w:color w:val="000000" w:themeColor="text1"/>
          <w:sz w:val="12"/>
          <w:szCs w:val="12"/>
        </w:rPr>
      </w:pPr>
    </w:p>
  </w:footnote>
  <w:footnote w:id="9">
    <w:p w14:paraId="7905656F" w14:textId="77777777" w:rsidR="00785986" w:rsidRPr="00C95CD8" w:rsidRDefault="00785986" w:rsidP="00785986">
      <w:pPr>
        <w:pStyle w:val="Textonotapie"/>
        <w:ind w:firstLine="709"/>
        <w:jc w:val="both"/>
        <w:rPr>
          <w:rFonts w:ascii="Verdana" w:hAnsi="Verdana" w:cs="Arial"/>
          <w:color w:val="000000" w:themeColor="text1"/>
          <w:sz w:val="12"/>
          <w:szCs w:val="12"/>
        </w:rPr>
      </w:pPr>
      <w:r w:rsidRPr="00C95CD8">
        <w:rPr>
          <w:rStyle w:val="Refdenotaalpie"/>
          <w:rFonts w:ascii="Verdana" w:hAnsi="Verdana" w:cs="Arial"/>
          <w:color w:val="000000" w:themeColor="text1"/>
          <w:sz w:val="12"/>
          <w:szCs w:val="12"/>
        </w:rPr>
        <w:footnoteRef/>
      </w:r>
      <w:r w:rsidRPr="00C95CD8">
        <w:rPr>
          <w:rFonts w:ascii="Verdana" w:hAnsi="Verdana" w:cs="Arial"/>
          <w:color w:val="000000" w:themeColor="text1"/>
          <w:sz w:val="12"/>
          <w:szCs w:val="12"/>
        </w:rPr>
        <w:t xml:space="preserve"> CONSEJO DE ESTADO. Sección Tercera. Subsección A. Sentencia del 24 de octubre de 2016. Exp. 45.607. C.P. Marta Nubia Velásquez Rico.</w:t>
      </w:r>
    </w:p>
    <w:p w14:paraId="5F11412B" w14:textId="77777777" w:rsidR="00785986" w:rsidRPr="00C95CD8" w:rsidRDefault="00785986" w:rsidP="00785986">
      <w:pPr>
        <w:pStyle w:val="Textonotapie"/>
        <w:ind w:firstLine="709"/>
        <w:jc w:val="both"/>
        <w:rPr>
          <w:rFonts w:ascii="Verdana" w:hAnsi="Verdana" w:cs="Arial"/>
          <w:color w:val="000000" w:themeColor="text1"/>
          <w:sz w:val="12"/>
          <w:szCs w:val="12"/>
          <w:lang w:val="es-ES"/>
        </w:rPr>
      </w:pPr>
    </w:p>
  </w:footnote>
  <w:footnote w:id="10">
    <w:p w14:paraId="33FDF367" w14:textId="77777777" w:rsidR="00785986" w:rsidRPr="00C95CD8" w:rsidRDefault="00785986" w:rsidP="00785986">
      <w:pPr>
        <w:pStyle w:val="Textonotapie"/>
        <w:ind w:firstLine="708"/>
        <w:jc w:val="both"/>
        <w:rPr>
          <w:rFonts w:ascii="Verdana" w:hAnsi="Verdana" w:cs="Arial"/>
          <w:color w:val="000000" w:themeColor="text1"/>
          <w:sz w:val="12"/>
          <w:szCs w:val="12"/>
        </w:rPr>
      </w:pPr>
      <w:r w:rsidRPr="00C95CD8">
        <w:rPr>
          <w:rStyle w:val="Refdenotaalpie"/>
          <w:rFonts w:ascii="Verdana" w:hAnsi="Verdana" w:cs="Arial"/>
          <w:color w:val="000000" w:themeColor="text1"/>
          <w:sz w:val="12"/>
          <w:szCs w:val="12"/>
        </w:rPr>
        <w:footnoteRef/>
      </w:r>
      <w:r w:rsidRPr="00C95CD8">
        <w:rPr>
          <w:rFonts w:ascii="Verdana" w:hAnsi="Verdana" w:cs="Arial"/>
          <w:color w:val="000000" w:themeColor="text1"/>
          <w:sz w:val="12"/>
          <w:szCs w:val="12"/>
        </w:rPr>
        <w:t xml:space="preserve"> HINESTROSA FORERO, Fernando. Tratado de las Obligaciones II. De las fuentes de las obligaciones: el negocio jurídico. Volumen I. Bogotá: Universidad Externado de Colombia, 2015. p. 116.  </w:t>
      </w:r>
    </w:p>
    <w:p w14:paraId="306F75A9" w14:textId="77777777" w:rsidR="00785986" w:rsidRPr="00C95CD8" w:rsidRDefault="00785986" w:rsidP="00785986">
      <w:pPr>
        <w:pStyle w:val="Textonotapie"/>
        <w:ind w:firstLine="708"/>
        <w:jc w:val="both"/>
        <w:rPr>
          <w:rFonts w:ascii="Verdana" w:hAnsi="Verdana" w:cs="Arial"/>
          <w:color w:val="000000" w:themeColor="text1"/>
          <w:sz w:val="12"/>
          <w:szCs w:val="12"/>
        </w:rPr>
      </w:pPr>
    </w:p>
  </w:footnote>
  <w:footnote w:id="11">
    <w:p w14:paraId="3F01938F" w14:textId="77777777" w:rsidR="00785986" w:rsidRPr="00C95CD8" w:rsidRDefault="00785986" w:rsidP="00785986">
      <w:pPr>
        <w:pStyle w:val="Textonotapie"/>
        <w:ind w:firstLine="708"/>
        <w:jc w:val="both"/>
        <w:rPr>
          <w:rFonts w:ascii="Verdana" w:hAnsi="Verdana" w:cs="Arial"/>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Cfr. Colombia Compra Eficiente. Subdirección de Gestión Contractual. Concepto C-362 del 3 de julio de 2020. Pág. 9.</w:t>
      </w:r>
    </w:p>
    <w:p w14:paraId="3A86B382" w14:textId="77777777" w:rsidR="00785986" w:rsidRPr="00C95CD8" w:rsidRDefault="00785986" w:rsidP="00785986">
      <w:pPr>
        <w:pStyle w:val="Textonotapie"/>
        <w:ind w:firstLine="708"/>
        <w:jc w:val="both"/>
        <w:rPr>
          <w:rFonts w:ascii="Verdana" w:hAnsi="Verdana" w:cs="Arial"/>
          <w:sz w:val="12"/>
          <w:szCs w:val="12"/>
        </w:rPr>
      </w:pPr>
    </w:p>
  </w:footnote>
  <w:footnote w:id="12">
    <w:p w14:paraId="5CA164E8" w14:textId="77777777" w:rsidR="00785986" w:rsidRPr="00C95CD8" w:rsidRDefault="00785986" w:rsidP="00785986">
      <w:pPr>
        <w:spacing w:after="0" w:line="240" w:lineRule="auto"/>
        <w:ind w:firstLine="708"/>
        <w:jc w:val="both"/>
        <w:rPr>
          <w:rFonts w:ascii="Verdana" w:hAnsi="Verdana" w:cs="Arial"/>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“La</w:t>
      </w:r>
      <w:r w:rsidRPr="00C95CD8">
        <w:rPr>
          <w:rFonts w:ascii="Verdana" w:hAnsi="Verdana" w:cs="Arial"/>
          <w:spacing w:val="-12"/>
          <w:sz w:val="12"/>
          <w:szCs w:val="12"/>
        </w:rPr>
        <w:t xml:space="preserve"> </w:t>
      </w:r>
      <w:r w:rsidRPr="00C95CD8">
        <w:rPr>
          <w:rFonts w:ascii="Verdana" w:hAnsi="Verdana" w:cs="Arial"/>
          <w:sz w:val="12"/>
          <w:szCs w:val="12"/>
        </w:rPr>
        <w:t>fuerza</w:t>
      </w:r>
      <w:r w:rsidRPr="00C95CD8">
        <w:rPr>
          <w:rFonts w:ascii="Verdana" w:hAnsi="Verdana" w:cs="Arial"/>
          <w:spacing w:val="-12"/>
          <w:sz w:val="12"/>
          <w:szCs w:val="12"/>
        </w:rPr>
        <w:t xml:space="preserve"> </w:t>
      </w:r>
      <w:r w:rsidRPr="00C95CD8">
        <w:rPr>
          <w:rFonts w:ascii="Verdana" w:hAnsi="Verdana" w:cs="Arial"/>
          <w:sz w:val="12"/>
          <w:szCs w:val="12"/>
        </w:rPr>
        <w:t>vinculante</w:t>
      </w:r>
      <w:r w:rsidRPr="00C95CD8">
        <w:rPr>
          <w:rFonts w:ascii="Verdana" w:hAnsi="Verdana" w:cs="Arial"/>
          <w:spacing w:val="-12"/>
          <w:sz w:val="12"/>
          <w:szCs w:val="12"/>
        </w:rPr>
        <w:t xml:space="preserve"> </w:t>
      </w:r>
      <w:r w:rsidRPr="00C95CD8">
        <w:rPr>
          <w:rFonts w:ascii="Verdana" w:hAnsi="Verdana" w:cs="Arial"/>
          <w:sz w:val="12"/>
          <w:szCs w:val="12"/>
        </w:rPr>
        <w:t>de</w:t>
      </w:r>
      <w:r w:rsidRPr="00C95CD8">
        <w:rPr>
          <w:rFonts w:ascii="Verdana" w:hAnsi="Verdana" w:cs="Arial"/>
          <w:spacing w:val="-11"/>
          <w:sz w:val="12"/>
          <w:szCs w:val="12"/>
        </w:rPr>
        <w:t xml:space="preserve"> </w:t>
      </w:r>
      <w:r w:rsidRPr="00C95CD8">
        <w:rPr>
          <w:rFonts w:ascii="Verdana" w:hAnsi="Verdana" w:cs="Arial"/>
          <w:sz w:val="12"/>
          <w:szCs w:val="12"/>
        </w:rPr>
        <w:t>los</w:t>
      </w:r>
      <w:r w:rsidRPr="00C95CD8">
        <w:rPr>
          <w:rFonts w:ascii="Verdana" w:hAnsi="Verdana" w:cs="Arial"/>
          <w:spacing w:val="-12"/>
          <w:sz w:val="12"/>
          <w:szCs w:val="12"/>
        </w:rPr>
        <w:t xml:space="preserve"> </w:t>
      </w:r>
      <w:r w:rsidRPr="00C95CD8">
        <w:rPr>
          <w:rFonts w:ascii="Verdana" w:hAnsi="Verdana" w:cs="Arial"/>
          <w:sz w:val="12"/>
          <w:szCs w:val="12"/>
        </w:rPr>
        <w:t>reglamentos</w:t>
      </w:r>
      <w:r w:rsidRPr="00C95CD8">
        <w:rPr>
          <w:rFonts w:ascii="Verdana" w:hAnsi="Verdana" w:cs="Arial"/>
          <w:spacing w:val="-12"/>
          <w:sz w:val="12"/>
          <w:szCs w:val="12"/>
        </w:rPr>
        <w:t xml:space="preserve"> </w:t>
      </w:r>
      <w:r w:rsidRPr="00C95CD8">
        <w:rPr>
          <w:rFonts w:ascii="Verdana" w:hAnsi="Verdana" w:cs="Arial"/>
          <w:sz w:val="12"/>
          <w:szCs w:val="12"/>
        </w:rPr>
        <w:t>–tanto</w:t>
      </w:r>
      <w:r w:rsidRPr="00C95CD8">
        <w:rPr>
          <w:rFonts w:ascii="Verdana" w:hAnsi="Verdana" w:cs="Arial"/>
          <w:spacing w:val="-12"/>
          <w:sz w:val="12"/>
          <w:szCs w:val="12"/>
        </w:rPr>
        <w:t xml:space="preserve"> </w:t>
      </w:r>
      <w:r w:rsidRPr="00C95CD8">
        <w:rPr>
          <w:rFonts w:ascii="Verdana" w:hAnsi="Verdana" w:cs="Arial"/>
          <w:sz w:val="12"/>
          <w:szCs w:val="12"/>
        </w:rPr>
        <w:t>para</w:t>
      </w:r>
      <w:r w:rsidRPr="00C95CD8">
        <w:rPr>
          <w:rFonts w:ascii="Verdana" w:hAnsi="Verdana" w:cs="Arial"/>
          <w:spacing w:val="-12"/>
          <w:sz w:val="12"/>
          <w:szCs w:val="12"/>
        </w:rPr>
        <w:t xml:space="preserve"> </w:t>
      </w:r>
      <w:r w:rsidRPr="00C95CD8">
        <w:rPr>
          <w:rFonts w:ascii="Verdana" w:hAnsi="Verdana" w:cs="Arial"/>
          <w:sz w:val="12"/>
          <w:szCs w:val="12"/>
        </w:rPr>
        <w:t>los</w:t>
      </w:r>
      <w:r w:rsidRPr="00C95CD8">
        <w:rPr>
          <w:rFonts w:ascii="Verdana" w:hAnsi="Verdana" w:cs="Arial"/>
          <w:spacing w:val="-11"/>
          <w:sz w:val="12"/>
          <w:szCs w:val="12"/>
        </w:rPr>
        <w:t xml:space="preserve"> </w:t>
      </w:r>
      <w:r w:rsidRPr="00C95CD8">
        <w:rPr>
          <w:rFonts w:ascii="Verdana" w:hAnsi="Verdana" w:cs="Arial"/>
          <w:sz w:val="12"/>
          <w:szCs w:val="12"/>
        </w:rPr>
        <w:t>administrados</w:t>
      </w:r>
      <w:r w:rsidRPr="00C95CD8">
        <w:rPr>
          <w:rFonts w:ascii="Verdana" w:hAnsi="Verdana" w:cs="Arial"/>
          <w:spacing w:val="-12"/>
          <w:sz w:val="12"/>
          <w:szCs w:val="12"/>
        </w:rPr>
        <w:t xml:space="preserve"> </w:t>
      </w:r>
      <w:r w:rsidRPr="00C95CD8">
        <w:rPr>
          <w:rFonts w:ascii="Verdana" w:hAnsi="Verdana" w:cs="Arial"/>
          <w:sz w:val="12"/>
          <w:szCs w:val="12"/>
        </w:rPr>
        <w:t>como</w:t>
      </w:r>
      <w:r w:rsidRPr="00C95CD8">
        <w:rPr>
          <w:rFonts w:ascii="Verdana" w:hAnsi="Verdana" w:cs="Arial"/>
          <w:spacing w:val="-12"/>
          <w:sz w:val="12"/>
          <w:szCs w:val="12"/>
        </w:rPr>
        <w:t xml:space="preserve"> </w:t>
      </w:r>
      <w:r w:rsidRPr="00C95CD8">
        <w:rPr>
          <w:rFonts w:ascii="Verdana" w:hAnsi="Verdana" w:cs="Arial"/>
          <w:sz w:val="12"/>
          <w:szCs w:val="12"/>
        </w:rPr>
        <w:t>para</w:t>
      </w:r>
      <w:r w:rsidRPr="00C95CD8">
        <w:rPr>
          <w:rFonts w:ascii="Verdana" w:hAnsi="Verdana" w:cs="Arial"/>
          <w:spacing w:val="-12"/>
          <w:sz w:val="12"/>
          <w:szCs w:val="12"/>
        </w:rPr>
        <w:t xml:space="preserve"> </w:t>
      </w:r>
      <w:r w:rsidRPr="00C95CD8">
        <w:rPr>
          <w:rFonts w:ascii="Verdana" w:hAnsi="Verdana" w:cs="Arial"/>
          <w:sz w:val="12"/>
          <w:szCs w:val="12"/>
        </w:rPr>
        <w:t>la</w:t>
      </w:r>
      <w:r w:rsidRPr="00C95CD8">
        <w:rPr>
          <w:rFonts w:ascii="Verdana" w:hAnsi="Verdana" w:cs="Arial"/>
          <w:spacing w:val="-12"/>
          <w:sz w:val="12"/>
          <w:szCs w:val="12"/>
        </w:rPr>
        <w:t xml:space="preserve"> </w:t>
      </w:r>
      <w:r w:rsidRPr="00C95CD8">
        <w:rPr>
          <w:rFonts w:ascii="Verdana" w:hAnsi="Verdana" w:cs="Arial"/>
          <w:sz w:val="12"/>
          <w:szCs w:val="12"/>
        </w:rPr>
        <w:t>propia</w:t>
      </w:r>
      <w:r w:rsidRPr="00C95CD8">
        <w:rPr>
          <w:rFonts w:ascii="Verdana" w:hAnsi="Verdana" w:cs="Arial"/>
          <w:spacing w:val="-50"/>
          <w:sz w:val="12"/>
          <w:szCs w:val="12"/>
        </w:rPr>
        <w:t xml:space="preserve"> </w:t>
      </w:r>
      <w:r w:rsidRPr="00C95CD8">
        <w:rPr>
          <w:rFonts w:ascii="Verdana" w:hAnsi="Verdana" w:cs="Arial"/>
          <w:sz w:val="12"/>
          <w:szCs w:val="12"/>
        </w:rPr>
        <w:t>administración– surge del hecho de ser una norma jurídica, y de compartir la naturaleza del acto</w:t>
      </w:r>
      <w:r w:rsidRPr="00C95CD8">
        <w:rPr>
          <w:rFonts w:ascii="Verdana" w:hAnsi="Verdana" w:cs="Arial"/>
          <w:spacing w:val="1"/>
          <w:sz w:val="12"/>
          <w:szCs w:val="12"/>
        </w:rPr>
        <w:t xml:space="preserve"> </w:t>
      </w:r>
      <w:r w:rsidRPr="00C95CD8">
        <w:rPr>
          <w:rFonts w:ascii="Verdana" w:hAnsi="Verdana" w:cs="Arial"/>
          <w:sz w:val="12"/>
          <w:szCs w:val="12"/>
        </w:rPr>
        <w:t>administrativo,</w:t>
      </w:r>
      <w:r w:rsidRPr="00C95CD8">
        <w:rPr>
          <w:rFonts w:ascii="Verdana" w:hAnsi="Verdana" w:cs="Arial"/>
          <w:spacing w:val="-4"/>
          <w:sz w:val="12"/>
          <w:szCs w:val="12"/>
        </w:rPr>
        <w:t xml:space="preserve"> </w:t>
      </w:r>
      <w:r w:rsidRPr="00C95CD8">
        <w:rPr>
          <w:rFonts w:ascii="Verdana" w:hAnsi="Verdana" w:cs="Arial"/>
          <w:sz w:val="12"/>
          <w:szCs w:val="12"/>
        </w:rPr>
        <w:t>luego,</w:t>
      </w:r>
      <w:r w:rsidRPr="00C95CD8">
        <w:rPr>
          <w:rFonts w:ascii="Verdana" w:hAnsi="Verdana" w:cs="Arial"/>
          <w:spacing w:val="-4"/>
          <w:sz w:val="12"/>
          <w:szCs w:val="12"/>
        </w:rPr>
        <w:t xml:space="preserve"> </w:t>
      </w:r>
      <w:r w:rsidRPr="00C95CD8">
        <w:rPr>
          <w:rFonts w:ascii="Verdana" w:hAnsi="Verdana" w:cs="Arial"/>
          <w:sz w:val="12"/>
          <w:szCs w:val="12"/>
        </w:rPr>
        <w:t>de</w:t>
      </w:r>
      <w:r w:rsidRPr="00C95CD8">
        <w:rPr>
          <w:rFonts w:ascii="Verdana" w:hAnsi="Verdana" w:cs="Arial"/>
          <w:spacing w:val="-4"/>
          <w:sz w:val="12"/>
          <w:szCs w:val="12"/>
        </w:rPr>
        <w:t xml:space="preserve"> </w:t>
      </w:r>
      <w:r w:rsidRPr="00C95CD8">
        <w:rPr>
          <w:rFonts w:ascii="Verdana" w:hAnsi="Verdana" w:cs="Arial"/>
          <w:sz w:val="12"/>
          <w:szCs w:val="12"/>
        </w:rPr>
        <w:t>allí</w:t>
      </w:r>
      <w:r w:rsidRPr="00C95CD8">
        <w:rPr>
          <w:rFonts w:ascii="Verdana" w:hAnsi="Verdana" w:cs="Arial"/>
          <w:spacing w:val="-4"/>
          <w:sz w:val="12"/>
          <w:szCs w:val="12"/>
        </w:rPr>
        <w:t xml:space="preserve"> </w:t>
      </w:r>
      <w:r w:rsidRPr="00C95CD8">
        <w:rPr>
          <w:rFonts w:ascii="Verdana" w:hAnsi="Verdana" w:cs="Arial"/>
          <w:sz w:val="12"/>
          <w:szCs w:val="12"/>
        </w:rPr>
        <w:t>también</w:t>
      </w:r>
      <w:r w:rsidRPr="00C95CD8">
        <w:rPr>
          <w:rFonts w:ascii="Verdana" w:hAnsi="Verdana" w:cs="Arial"/>
          <w:spacing w:val="-4"/>
          <w:sz w:val="12"/>
          <w:szCs w:val="12"/>
        </w:rPr>
        <w:t xml:space="preserve"> </w:t>
      </w:r>
      <w:r w:rsidRPr="00C95CD8">
        <w:rPr>
          <w:rFonts w:ascii="Verdana" w:hAnsi="Verdana" w:cs="Arial"/>
          <w:sz w:val="12"/>
          <w:szCs w:val="12"/>
        </w:rPr>
        <w:t>se</w:t>
      </w:r>
      <w:r w:rsidRPr="00C95CD8">
        <w:rPr>
          <w:rFonts w:ascii="Verdana" w:hAnsi="Verdana" w:cs="Arial"/>
          <w:spacing w:val="-4"/>
          <w:sz w:val="12"/>
          <w:szCs w:val="12"/>
        </w:rPr>
        <w:t xml:space="preserve"> </w:t>
      </w:r>
      <w:r w:rsidRPr="00C95CD8">
        <w:rPr>
          <w:rFonts w:ascii="Verdana" w:hAnsi="Verdana" w:cs="Arial"/>
          <w:sz w:val="12"/>
          <w:szCs w:val="12"/>
        </w:rPr>
        <w:t>desprende</w:t>
      </w:r>
      <w:r w:rsidRPr="00C95CD8">
        <w:rPr>
          <w:rFonts w:ascii="Verdana" w:hAnsi="Verdana" w:cs="Arial"/>
          <w:spacing w:val="-4"/>
          <w:sz w:val="12"/>
          <w:szCs w:val="12"/>
        </w:rPr>
        <w:t xml:space="preserve"> </w:t>
      </w:r>
      <w:r w:rsidRPr="00C95CD8">
        <w:rPr>
          <w:rFonts w:ascii="Verdana" w:hAnsi="Verdana" w:cs="Arial"/>
          <w:sz w:val="12"/>
          <w:szCs w:val="12"/>
        </w:rPr>
        <w:t>que</w:t>
      </w:r>
      <w:r w:rsidRPr="00C95CD8">
        <w:rPr>
          <w:rFonts w:ascii="Verdana" w:hAnsi="Verdana" w:cs="Arial"/>
          <w:spacing w:val="-3"/>
          <w:sz w:val="12"/>
          <w:szCs w:val="12"/>
        </w:rPr>
        <w:t xml:space="preserve"> </w:t>
      </w:r>
      <w:r w:rsidRPr="00C95CD8">
        <w:rPr>
          <w:rFonts w:ascii="Verdana" w:hAnsi="Verdana" w:cs="Arial"/>
          <w:sz w:val="12"/>
          <w:szCs w:val="12"/>
        </w:rPr>
        <w:t>se</w:t>
      </w:r>
      <w:r w:rsidRPr="00C95CD8">
        <w:rPr>
          <w:rFonts w:ascii="Verdana" w:hAnsi="Verdana" w:cs="Arial"/>
          <w:spacing w:val="-4"/>
          <w:sz w:val="12"/>
          <w:szCs w:val="12"/>
        </w:rPr>
        <w:t xml:space="preserve"> </w:t>
      </w:r>
      <w:r w:rsidRPr="00C95CD8">
        <w:rPr>
          <w:rFonts w:ascii="Verdana" w:hAnsi="Verdana" w:cs="Arial"/>
          <w:sz w:val="12"/>
          <w:szCs w:val="12"/>
        </w:rPr>
        <w:t>presuman</w:t>
      </w:r>
      <w:r w:rsidRPr="00C95CD8">
        <w:rPr>
          <w:rFonts w:ascii="Verdana" w:hAnsi="Verdana" w:cs="Arial"/>
          <w:spacing w:val="-4"/>
          <w:sz w:val="12"/>
          <w:szCs w:val="12"/>
        </w:rPr>
        <w:t xml:space="preserve"> </w:t>
      </w:r>
      <w:r w:rsidRPr="00C95CD8">
        <w:rPr>
          <w:rFonts w:ascii="Verdana" w:hAnsi="Verdana" w:cs="Arial"/>
          <w:sz w:val="12"/>
          <w:szCs w:val="12"/>
        </w:rPr>
        <w:t>legales</w:t>
      </w:r>
      <w:r w:rsidRPr="00C95CD8">
        <w:rPr>
          <w:rFonts w:ascii="Verdana" w:hAnsi="Verdana" w:cs="Arial"/>
          <w:spacing w:val="-4"/>
          <w:sz w:val="12"/>
          <w:szCs w:val="12"/>
        </w:rPr>
        <w:t xml:space="preserve"> </w:t>
      </w:r>
      <w:r w:rsidRPr="00C95CD8">
        <w:rPr>
          <w:rFonts w:ascii="Verdana" w:hAnsi="Verdana" w:cs="Arial"/>
          <w:sz w:val="12"/>
          <w:szCs w:val="12"/>
        </w:rPr>
        <w:t>y</w:t>
      </w:r>
      <w:r w:rsidRPr="00C95CD8">
        <w:rPr>
          <w:rFonts w:ascii="Verdana" w:hAnsi="Verdana" w:cs="Arial"/>
          <w:spacing w:val="-4"/>
          <w:sz w:val="12"/>
          <w:szCs w:val="12"/>
        </w:rPr>
        <w:t xml:space="preserve"> </w:t>
      </w:r>
      <w:r w:rsidRPr="00C95CD8">
        <w:rPr>
          <w:rFonts w:ascii="Verdana" w:hAnsi="Verdana" w:cs="Arial"/>
          <w:sz w:val="12"/>
          <w:szCs w:val="12"/>
        </w:rPr>
        <w:t>sean</w:t>
      </w:r>
      <w:r w:rsidRPr="00C95CD8">
        <w:rPr>
          <w:rFonts w:ascii="Verdana" w:hAnsi="Verdana" w:cs="Arial"/>
          <w:spacing w:val="-4"/>
          <w:sz w:val="12"/>
          <w:szCs w:val="12"/>
        </w:rPr>
        <w:t xml:space="preserve"> </w:t>
      </w:r>
      <w:r w:rsidRPr="00C95CD8">
        <w:rPr>
          <w:rFonts w:ascii="Verdana" w:hAnsi="Verdana" w:cs="Arial"/>
          <w:sz w:val="12"/>
          <w:szCs w:val="12"/>
        </w:rPr>
        <w:t>ejecutorios.</w:t>
      </w:r>
    </w:p>
    <w:p w14:paraId="36A8FA97" w14:textId="77777777" w:rsidR="00785986" w:rsidRPr="00C95CD8" w:rsidRDefault="00785986" w:rsidP="00785986">
      <w:pPr>
        <w:spacing w:after="0" w:line="240" w:lineRule="auto"/>
        <w:ind w:firstLine="708"/>
        <w:jc w:val="both"/>
        <w:rPr>
          <w:rFonts w:ascii="Verdana" w:hAnsi="Verdana" w:cs="Arial"/>
          <w:sz w:val="12"/>
          <w:szCs w:val="12"/>
        </w:rPr>
      </w:pPr>
      <w:r w:rsidRPr="00C95CD8">
        <w:rPr>
          <w:rFonts w:ascii="Verdana" w:hAnsi="Verdana" w:cs="Arial"/>
          <w:sz w:val="12"/>
          <w:szCs w:val="12"/>
        </w:rPr>
        <w:t>Por esta misma razón, la doctrina española –con especial fuerza– ha señalado que su</w:t>
      </w:r>
      <w:r w:rsidRPr="00C95CD8">
        <w:rPr>
          <w:rFonts w:ascii="Verdana" w:hAnsi="Verdana" w:cs="Arial"/>
          <w:spacing w:val="1"/>
          <w:sz w:val="12"/>
          <w:szCs w:val="12"/>
        </w:rPr>
        <w:t xml:space="preserve"> </w:t>
      </w:r>
      <w:r w:rsidRPr="00C95CD8">
        <w:rPr>
          <w:rFonts w:ascii="Verdana" w:hAnsi="Verdana" w:cs="Arial"/>
          <w:sz w:val="12"/>
          <w:szCs w:val="12"/>
        </w:rPr>
        <w:t>observancia</w:t>
      </w:r>
      <w:r w:rsidRPr="00C95CD8">
        <w:rPr>
          <w:rFonts w:ascii="Verdana" w:hAnsi="Verdana" w:cs="Arial"/>
          <w:spacing w:val="-5"/>
          <w:sz w:val="12"/>
          <w:szCs w:val="12"/>
        </w:rPr>
        <w:t xml:space="preserve"> </w:t>
      </w:r>
      <w:r w:rsidRPr="00C95CD8">
        <w:rPr>
          <w:rFonts w:ascii="Verdana" w:hAnsi="Verdana" w:cs="Arial"/>
          <w:sz w:val="12"/>
          <w:szCs w:val="12"/>
        </w:rPr>
        <w:t>no</w:t>
      </w:r>
      <w:r w:rsidRPr="00C95CD8">
        <w:rPr>
          <w:rFonts w:ascii="Verdana" w:hAnsi="Verdana" w:cs="Arial"/>
          <w:spacing w:val="-4"/>
          <w:sz w:val="12"/>
          <w:szCs w:val="12"/>
        </w:rPr>
        <w:t xml:space="preserve"> </w:t>
      </w:r>
      <w:r w:rsidRPr="00C95CD8">
        <w:rPr>
          <w:rFonts w:ascii="Verdana" w:hAnsi="Verdana" w:cs="Arial"/>
          <w:sz w:val="12"/>
          <w:szCs w:val="12"/>
        </w:rPr>
        <w:t>queda</w:t>
      </w:r>
      <w:r w:rsidRPr="00C95CD8">
        <w:rPr>
          <w:rFonts w:ascii="Verdana" w:hAnsi="Verdana" w:cs="Arial"/>
          <w:spacing w:val="-5"/>
          <w:sz w:val="12"/>
          <w:szCs w:val="12"/>
        </w:rPr>
        <w:t xml:space="preserve"> </w:t>
      </w:r>
      <w:r w:rsidRPr="00C95CD8">
        <w:rPr>
          <w:rFonts w:ascii="Verdana" w:hAnsi="Verdana" w:cs="Arial"/>
          <w:sz w:val="12"/>
          <w:szCs w:val="12"/>
        </w:rPr>
        <w:t>al</w:t>
      </w:r>
      <w:r w:rsidRPr="00C95CD8">
        <w:rPr>
          <w:rFonts w:ascii="Verdana" w:hAnsi="Verdana" w:cs="Arial"/>
          <w:spacing w:val="-4"/>
          <w:sz w:val="12"/>
          <w:szCs w:val="12"/>
        </w:rPr>
        <w:t xml:space="preserve"> </w:t>
      </w:r>
      <w:r w:rsidRPr="00C95CD8">
        <w:rPr>
          <w:rFonts w:ascii="Verdana" w:hAnsi="Verdana" w:cs="Arial"/>
          <w:sz w:val="12"/>
          <w:szCs w:val="12"/>
        </w:rPr>
        <w:t>capricho</w:t>
      </w:r>
      <w:r w:rsidRPr="00C95CD8">
        <w:rPr>
          <w:rFonts w:ascii="Verdana" w:hAnsi="Verdana" w:cs="Arial"/>
          <w:spacing w:val="-5"/>
          <w:sz w:val="12"/>
          <w:szCs w:val="12"/>
        </w:rPr>
        <w:t xml:space="preserve"> </w:t>
      </w:r>
      <w:r w:rsidRPr="00C95CD8">
        <w:rPr>
          <w:rFonts w:ascii="Verdana" w:hAnsi="Verdana" w:cs="Arial"/>
          <w:sz w:val="12"/>
          <w:szCs w:val="12"/>
        </w:rPr>
        <w:t>del</w:t>
      </w:r>
      <w:r w:rsidRPr="00C95CD8">
        <w:rPr>
          <w:rFonts w:ascii="Verdana" w:hAnsi="Verdana" w:cs="Arial"/>
          <w:spacing w:val="-4"/>
          <w:sz w:val="12"/>
          <w:szCs w:val="12"/>
        </w:rPr>
        <w:t xml:space="preserve"> </w:t>
      </w:r>
      <w:r w:rsidRPr="00C95CD8">
        <w:rPr>
          <w:rFonts w:ascii="Verdana" w:hAnsi="Verdana" w:cs="Arial"/>
          <w:sz w:val="12"/>
          <w:szCs w:val="12"/>
        </w:rPr>
        <w:t>órgano</w:t>
      </w:r>
      <w:r w:rsidRPr="00C95CD8">
        <w:rPr>
          <w:rFonts w:ascii="Verdana" w:hAnsi="Verdana" w:cs="Arial"/>
          <w:spacing w:val="-5"/>
          <w:sz w:val="12"/>
          <w:szCs w:val="12"/>
        </w:rPr>
        <w:t xml:space="preserve"> </w:t>
      </w:r>
      <w:r w:rsidRPr="00C95CD8">
        <w:rPr>
          <w:rFonts w:ascii="Verdana" w:hAnsi="Verdana" w:cs="Arial"/>
          <w:sz w:val="12"/>
          <w:szCs w:val="12"/>
        </w:rPr>
        <w:t>que</w:t>
      </w:r>
      <w:r w:rsidRPr="00C95CD8">
        <w:rPr>
          <w:rFonts w:ascii="Verdana" w:hAnsi="Verdana" w:cs="Arial"/>
          <w:spacing w:val="-4"/>
          <w:sz w:val="12"/>
          <w:szCs w:val="12"/>
        </w:rPr>
        <w:t xml:space="preserve"> </w:t>
      </w:r>
      <w:r w:rsidRPr="00C95CD8">
        <w:rPr>
          <w:rFonts w:ascii="Verdana" w:hAnsi="Verdana" w:cs="Arial"/>
          <w:sz w:val="12"/>
          <w:szCs w:val="12"/>
        </w:rPr>
        <w:t>la</w:t>
      </w:r>
      <w:r w:rsidRPr="00C95CD8">
        <w:rPr>
          <w:rFonts w:ascii="Verdana" w:hAnsi="Verdana" w:cs="Arial"/>
          <w:spacing w:val="-5"/>
          <w:sz w:val="12"/>
          <w:szCs w:val="12"/>
        </w:rPr>
        <w:t xml:space="preserve"> </w:t>
      </w:r>
      <w:r w:rsidRPr="00C95CD8">
        <w:rPr>
          <w:rFonts w:ascii="Verdana" w:hAnsi="Verdana" w:cs="Arial"/>
          <w:sz w:val="12"/>
          <w:szCs w:val="12"/>
        </w:rPr>
        <w:t>expidió,</w:t>
      </w:r>
      <w:r w:rsidRPr="00C95CD8">
        <w:rPr>
          <w:rFonts w:ascii="Verdana" w:hAnsi="Verdana" w:cs="Arial"/>
          <w:spacing w:val="-4"/>
          <w:sz w:val="12"/>
          <w:szCs w:val="12"/>
        </w:rPr>
        <w:t xml:space="preserve"> </w:t>
      </w:r>
      <w:r w:rsidRPr="00C95CD8">
        <w:rPr>
          <w:rFonts w:ascii="Verdana" w:hAnsi="Verdana" w:cs="Arial"/>
          <w:sz w:val="12"/>
          <w:szCs w:val="12"/>
        </w:rPr>
        <w:t>pues</w:t>
      </w:r>
      <w:r w:rsidRPr="00C95CD8">
        <w:rPr>
          <w:rFonts w:ascii="Verdana" w:hAnsi="Verdana" w:cs="Arial"/>
          <w:spacing w:val="-5"/>
          <w:sz w:val="12"/>
          <w:szCs w:val="12"/>
        </w:rPr>
        <w:t xml:space="preserve"> </w:t>
      </w:r>
      <w:r w:rsidRPr="00C95CD8">
        <w:rPr>
          <w:rFonts w:ascii="Verdana" w:hAnsi="Verdana" w:cs="Arial"/>
          <w:sz w:val="12"/>
          <w:szCs w:val="12"/>
        </w:rPr>
        <w:t>si</w:t>
      </w:r>
      <w:r w:rsidRPr="00C95CD8">
        <w:rPr>
          <w:rFonts w:ascii="Verdana" w:hAnsi="Verdana" w:cs="Arial"/>
          <w:spacing w:val="-4"/>
          <w:sz w:val="12"/>
          <w:szCs w:val="12"/>
        </w:rPr>
        <w:t xml:space="preserve"> </w:t>
      </w:r>
      <w:r w:rsidRPr="00C95CD8">
        <w:rPr>
          <w:rFonts w:ascii="Verdana" w:hAnsi="Verdana" w:cs="Arial"/>
          <w:sz w:val="12"/>
          <w:szCs w:val="12"/>
        </w:rPr>
        <w:t>quisiera</w:t>
      </w:r>
      <w:r w:rsidRPr="00C95CD8">
        <w:rPr>
          <w:rFonts w:ascii="Verdana" w:hAnsi="Verdana" w:cs="Arial"/>
          <w:spacing w:val="-5"/>
          <w:sz w:val="12"/>
          <w:szCs w:val="12"/>
        </w:rPr>
        <w:t xml:space="preserve"> </w:t>
      </w:r>
      <w:r w:rsidRPr="00C95CD8">
        <w:rPr>
          <w:rFonts w:ascii="Verdana" w:hAnsi="Verdana" w:cs="Arial"/>
          <w:sz w:val="12"/>
          <w:szCs w:val="12"/>
        </w:rPr>
        <w:t>él</w:t>
      </w:r>
      <w:r w:rsidRPr="00C95CD8">
        <w:rPr>
          <w:rFonts w:ascii="Verdana" w:hAnsi="Verdana" w:cs="Arial"/>
          <w:spacing w:val="-4"/>
          <w:sz w:val="12"/>
          <w:szCs w:val="12"/>
        </w:rPr>
        <w:t xml:space="preserve"> </w:t>
      </w:r>
      <w:r w:rsidRPr="00C95CD8">
        <w:rPr>
          <w:rFonts w:ascii="Verdana" w:hAnsi="Verdana" w:cs="Arial"/>
          <w:sz w:val="12"/>
          <w:szCs w:val="12"/>
        </w:rPr>
        <w:t>lo</w:t>
      </w:r>
      <w:r w:rsidRPr="00C95CD8">
        <w:rPr>
          <w:rFonts w:ascii="Verdana" w:hAnsi="Verdana" w:cs="Arial"/>
          <w:spacing w:val="-4"/>
          <w:sz w:val="12"/>
          <w:szCs w:val="12"/>
        </w:rPr>
        <w:t xml:space="preserve"> </w:t>
      </w:r>
      <w:r w:rsidRPr="00C95CD8">
        <w:rPr>
          <w:rFonts w:ascii="Verdana" w:hAnsi="Verdana" w:cs="Arial"/>
          <w:sz w:val="12"/>
          <w:szCs w:val="12"/>
        </w:rPr>
        <w:t>puede</w:t>
      </w:r>
      <w:r w:rsidRPr="00C95CD8">
        <w:rPr>
          <w:rFonts w:ascii="Verdana" w:hAnsi="Verdana" w:cs="Arial"/>
          <w:spacing w:val="-5"/>
          <w:sz w:val="12"/>
          <w:szCs w:val="12"/>
        </w:rPr>
        <w:t xml:space="preserve"> </w:t>
      </w:r>
      <w:r w:rsidRPr="00C95CD8">
        <w:rPr>
          <w:rFonts w:ascii="Verdana" w:hAnsi="Verdana" w:cs="Arial"/>
          <w:sz w:val="12"/>
          <w:szCs w:val="12"/>
        </w:rPr>
        <w:t>desconocer.</w:t>
      </w:r>
      <w:r w:rsidRPr="00C95CD8">
        <w:rPr>
          <w:rFonts w:ascii="Verdana" w:hAnsi="Verdana" w:cs="Arial"/>
          <w:spacing w:val="1"/>
          <w:sz w:val="12"/>
          <w:szCs w:val="12"/>
        </w:rPr>
        <w:t xml:space="preserve"> </w:t>
      </w:r>
      <w:r w:rsidRPr="00C95CD8">
        <w:rPr>
          <w:rFonts w:ascii="Verdana" w:hAnsi="Verdana" w:cs="Arial"/>
          <w:sz w:val="12"/>
          <w:szCs w:val="12"/>
        </w:rPr>
        <w:t>De algún modo, como acontece con todo acto administrativo, el acto cobra vida propia, y autonomía</w:t>
      </w:r>
      <w:r w:rsidRPr="00C95CD8">
        <w:rPr>
          <w:rFonts w:ascii="Verdana" w:hAnsi="Verdana" w:cs="Arial"/>
          <w:spacing w:val="1"/>
          <w:sz w:val="12"/>
          <w:szCs w:val="12"/>
        </w:rPr>
        <w:t xml:space="preserve"> </w:t>
      </w:r>
      <w:r w:rsidRPr="00C95CD8">
        <w:rPr>
          <w:rFonts w:ascii="Verdana" w:hAnsi="Verdana" w:cs="Arial"/>
          <w:sz w:val="12"/>
          <w:szCs w:val="12"/>
        </w:rPr>
        <w:t>en</w:t>
      </w:r>
      <w:r w:rsidRPr="00C95CD8">
        <w:rPr>
          <w:rFonts w:ascii="Verdana" w:hAnsi="Verdana" w:cs="Arial"/>
          <w:spacing w:val="-7"/>
          <w:sz w:val="12"/>
          <w:szCs w:val="12"/>
        </w:rPr>
        <w:t xml:space="preserve"> </w:t>
      </w:r>
      <w:r w:rsidRPr="00C95CD8">
        <w:rPr>
          <w:rFonts w:ascii="Verdana" w:hAnsi="Verdana" w:cs="Arial"/>
          <w:sz w:val="12"/>
          <w:szCs w:val="12"/>
        </w:rPr>
        <w:t>relación</w:t>
      </w:r>
      <w:r w:rsidRPr="00C95CD8">
        <w:rPr>
          <w:rFonts w:ascii="Verdana" w:hAnsi="Verdana" w:cs="Arial"/>
          <w:spacing w:val="-7"/>
          <w:sz w:val="12"/>
          <w:szCs w:val="12"/>
        </w:rPr>
        <w:t xml:space="preserve"> </w:t>
      </w:r>
      <w:r w:rsidRPr="00C95CD8">
        <w:rPr>
          <w:rFonts w:ascii="Verdana" w:hAnsi="Verdana" w:cs="Arial"/>
          <w:sz w:val="12"/>
          <w:szCs w:val="12"/>
        </w:rPr>
        <w:t>con</w:t>
      </w:r>
      <w:r w:rsidRPr="00C95CD8">
        <w:rPr>
          <w:rFonts w:ascii="Verdana" w:hAnsi="Verdana" w:cs="Arial"/>
          <w:spacing w:val="-6"/>
          <w:sz w:val="12"/>
          <w:szCs w:val="12"/>
        </w:rPr>
        <w:t xml:space="preserve"> </w:t>
      </w:r>
      <w:r w:rsidRPr="00C95CD8">
        <w:rPr>
          <w:rFonts w:ascii="Verdana" w:hAnsi="Verdana" w:cs="Arial"/>
          <w:sz w:val="12"/>
          <w:szCs w:val="12"/>
        </w:rPr>
        <w:t>su</w:t>
      </w:r>
      <w:r w:rsidRPr="00C95CD8">
        <w:rPr>
          <w:rFonts w:ascii="Verdana" w:hAnsi="Verdana" w:cs="Arial"/>
          <w:spacing w:val="-7"/>
          <w:sz w:val="12"/>
          <w:szCs w:val="12"/>
        </w:rPr>
        <w:t xml:space="preserve"> </w:t>
      </w:r>
      <w:r w:rsidRPr="00C95CD8">
        <w:rPr>
          <w:rFonts w:ascii="Verdana" w:hAnsi="Verdana" w:cs="Arial"/>
          <w:sz w:val="12"/>
          <w:szCs w:val="12"/>
        </w:rPr>
        <w:t>propio</w:t>
      </w:r>
      <w:r w:rsidRPr="00C95CD8">
        <w:rPr>
          <w:rFonts w:ascii="Verdana" w:hAnsi="Verdana" w:cs="Arial"/>
          <w:spacing w:val="-7"/>
          <w:sz w:val="12"/>
          <w:szCs w:val="12"/>
        </w:rPr>
        <w:t xml:space="preserve"> </w:t>
      </w:r>
      <w:r w:rsidRPr="00C95CD8">
        <w:rPr>
          <w:rFonts w:ascii="Verdana" w:hAnsi="Verdana" w:cs="Arial"/>
          <w:sz w:val="12"/>
          <w:szCs w:val="12"/>
        </w:rPr>
        <w:t>creador.</w:t>
      </w:r>
      <w:r w:rsidRPr="00C95CD8">
        <w:rPr>
          <w:rFonts w:ascii="Verdana" w:hAnsi="Verdana" w:cs="Arial"/>
          <w:spacing w:val="-6"/>
          <w:sz w:val="12"/>
          <w:szCs w:val="12"/>
        </w:rPr>
        <w:t xml:space="preserve"> </w:t>
      </w:r>
      <w:r w:rsidRPr="00C95CD8">
        <w:rPr>
          <w:rFonts w:ascii="Verdana" w:hAnsi="Verdana" w:cs="Arial"/>
          <w:sz w:val="12"/>
          <w:szCs w:val="12"/>
        </w:rPr>
        <w:t>A</w:t>
      </w:r>
      <w:r w:rsidRPr="00C95CD8">
        <w:rPr>
          <w:rFonts w:ascii="Verdana" w:hAnsi="Verdana" w:cs="Arial"/>
          <w:spacing w:val="-7"/>
          <w:sz w:val="12"/>
          <w:szCs w:val="12"/>
        </w:rPr>
        <w:t xml:space="preserve"> </w:t>
      </w:r>
      <w:r w:rsidRPr="00C95CD8">
        <w:rPr>
          <w:rFonts w:ascii="Verdana" w:hAnsi="Verdana" w:cs="Arial"/>
          <w:sz w:val="12"/>
          <w:szCs w:val="12"/>
        </w:rPr>
        <w:t>este</w:t>
      </w:r>
      <w:r w:rsidRPr="00C95CD8">
        <w:rPr>
          <w:rFonts w:ascii="Verdana" w:hAnsi="Verdana" w:cs="Arial"/>
          <w:spacing w:val="-6"/>
          <w:sz w:val="12"/>
          <w:szCs w:val="12"/>
        </w:rPr>
        <w:t xml:space="preserve"> </w:t>
      </w:r>
      <w:r w:rsidRPr="00C95CD8">
        <w:rPr>
          <w:rFonts w:ascii="Verdana" w:hAnsi="Verdana" w:cs="Arial"/>
          <w:sz w:val="12"/>
          <w:szCs w:val="12"/>
        </w:rPr>
        <w:t>último</w:t>
      </w:r>
      <w:r w:rsidRPr="00C95CD8">
        <w:rPr>
          <w:rFonts w:ascii="Verdana" w:hAnsi="Verdana" w:cs="Arial"/>
          <w:spacing w:val="-7"/>
          <w:sz w:val="12"/>
          <w:szCs w:val="12"/>
        </w:rPr>
        <w:t xml:space="preserve"> </w:t>
      </w:r>
      <w:r w:rsidRPr="00C95CD8">
        <w:rPr>
          <w:rFonts w:ascii="Verdana" w:hAnsi="Verdana" w:cs="Arial"/>
          <w:sz w:val="12"/>
          <w:szCs w:val="12"/>
        </w:rPr>
        <w:t>evento</w:t>
      </w:r>
      <w:r w:rsidRPr="00C95CD8">
        <w:rPr>
          <w:rFonts w:ascii="Verdana" w:hAnsi="Verdana" w:cs="Arial"/>
          <w:spacing w:val="-7"/>
          <w:sz w:val="12"/>
          <w:szCs w:val="12"/>
        </w:rPr>
        <w:t xml:space="preserve"> </w:t>
      </w:r>
      <w:r w:rsidRPr="00C95CD8">
        <w:rPr>
          <w:rFonts w:ascii="Verdana" w:hAnsi="Verdana" w:cs="Arial"/>
          <w:sz w:val="12"/>
          <w:szCs w:val="12"/>
        </w:rPr>
        <w:t>se</w:t>
      </w:r>
      <w:r w:rsidRPr="00C95CD8">
        <w:rPr>
          <w:rFonts w:ascii="Verdana" w:hAnsi="Verdana" w:cs="Arial"/>
          <w:spacing w:val="-6"/>
          <w:sz w:val="12"/>
          <w:szCs w:val="12"/>
        </w:rPr>
        <w:t xml:space="preserve"> </w:t>
      </w:r>
      <w:r w:rsidRPr="00C95CD8">
        <w:rPr>
          <w:rFonts w:ascii="Verdana" w:hAnsi="Verdana" w:cs="Arial"/>
          <w:sz w:val="12"/>
          <w:szCs w:val="12"/>
        </w:rPr>
        <w:t>le</w:t>
      </w:r>
      <w:r w:rsidRPr="00C95CD8">
        <w:rPr>
          <w:rFonts w:ascii="Verdana" w:hAnsi="Verdana" w:cs="Arial"/>
          <w:spacing w:val="-7"/>
          <w:sz w:val="12"/>
          <w:szCs w:val="12"/>
        </w:rPr>
        <w:t xml:space="preserve"> </w:t>
      </w:r>
      <w:r w:rsidRPr="00C95CD8">
        <w:rPr>
          <w:rFonts w:ascii="Verdana" w:hAnsi="Verdana" w:cs="Arial"/>
          <w:sz w:val="12"/>
          <w:szCs w:val="12"/>
        </w:rPr>
        <w:t>denomina</w:t>
      </w:r>
      <w:r w:rsidRPr="00C95CD8">
        <w:rPr>
          <w:rFonts w:ascii="Verdana" w:hAnsi="Verdana" w:cs="Arial"/>
          <w:spacing w:val="-6"/>
          <w:sz w:val="12"/>
          <w:szCs w:val="12"/>
        </w:rPr>
        <w:t xml:space="preserve"> </w:t>
      </w:r>
      <w:r w:rsidRPr="00C95CD8">
        <w:rPr>
          <w:rFonts w:ascii="Verdana" w:hAnsi="Verdana" w:cs="Arial"/>
          <w:sz w:val="12"/>
          <w:szCs w:val="12"/>
        </w:rPr>
        <w:t>la</w:t>
      </w:r>
      <w:r w:rsidRPr="00C95CD8">
        <w:rPr>
          <w:rFonts w:ascii="Verdana" w:hAnsi="Verdana" w:cs="Arial"/>
          <w:spacing w:val="-6"/>
          <w:sz w:val="12"/>
          <w:szCs w:val="12"/>
        </w:rPr>
        <w:t xml:space="preserve"> </w:t>
      </w:r>
      <w:r w:rsidRPr="00C95CD8">
        <w:rPr>
          <w:rFonts w:ascii="Verdana" w:hAnsi="Verdana" w:cs="Arial"/>
          <w:sz w:val="12"/>
          <w:szCs w:val="12"/>
        </w:rPr>
        <w:t>inderogabilidad</w:t>
      </w:r>
      <w:r w:rsidRPr="00C95CD8">
        <w:rPr>
          <w:rFonts w:ascii="Verdana" w:hAnsi="Verdana" w:cs="Arial"/>
          <w:spacing w:val="-6"/>
          <w:sz w:val="12"/>
          <w:szCs w:val="12"/>
        </w:rPr>
        <w:t xml:space="preserve"> </w:t>
      </w:r>
      <w:r w:rsidRPr="00C95CD8">
        <w:rPr>
          <w:rFonts w:ascii="Verdana" w:hAnsi="Verdana" w:cs="Arial"/>
          <w:sz w:val="12"/>
          <w:szCs w:val="12"/>
        </w:rPr>
        <w:t>singular</w:t>
      </w:r>
      <w:r w:rsidRPr="00C95CD8">
        <w:rPr>
          <w:rFonts w:ascii="Verdana" w:hAnsi="Verdana" w:cs="Arial"/>
          <w:spacing w:val="-6"/>
          <w:sz w:val="12"/>
          <w:szCs w:val="12"/>
        </w:rPr>
        <w:t xml:space="preserve"> </w:t>
      </w:r>
      <w:r w:rsidRPr="00C95CD8">
        <w:rPr>
          <w:rFonts w:ascii="Verdana" w:hAnsi="Verdana" w:cs="Arial"/>
          <w:sz w:val="12"/>
          <w:szCs w:val="12"/>
        </w:rPr>
        <w:t>del</w:t>
      </w:r>
      <w:r w:rsidRPr="00C95CD8">
        <w:rPr>
          <w:rFonts w:ascii="Verdana" w:hAnsi="Verdana" w:cs="Arial"/>
          <w:spacing w:val="1"/>
          <w:sz w:val="12"/>
          <w:szCs w:val="12"/>
        </w:rPr>
        <w:t xml:space="preserve"> </w:t>
      </w:r>
      <w:r w:rsidRPr="00C95CD8">
        <w:rPr>
          <w:rFonts w:ascii="Verdana" w:hAnsi="Verdana" w:cs="Arial"/>
          <w:sz w:val="12"/>
          <w:szCs w:val="12"/>
        </w:rPr>
        <w:t>reglamento,</w:t>
      </w:r>
      <w:r w:rsidRPr="00C95CD8">
        <w:rPr>
          <w:rFonts w:ascii="Verdana" w:hAnsi="Verdana" w:cs="Arial"/>
          <w:spacing w:val="-3"/>
          <w:sz w:val="12"/>
          <w:szCs w:val="12"/>
        </w:rPr>
        <w:t xml:space="preserve"> </w:t>
      </w:r>
      <w:r w:rsidRPr="00C95CD8">
        <w:rPr>
          <w:rFonts w:ascii="Verdana" w:hAnsi="Verdana" w:cs="Arial"/>
          <w:sz w:val="12"/>
          <w:szCs w:val="12"/>
        </w:rPr>
        <w:t>que</w:t>
      </w:r>
      <w:r w:rsidRPr="00C95CD8">
        <w:rPr>
          <w:rFonts w:ascii="Verdana" w:hAnsi="Verdana" w:cs="Arial"/>
          <w:spacing w:val="-2"/>
          <w:sz w:val="12"/>
          <w:szCs w:val="12"/>
        </w:rPr>
        <w:t xml:space="preserve"> </w:t>
      </w:r>
      <w:r w:rsidRPr="00C95CD8">
        <w:rPr>
          <w:rFonts w:ascii="Verdana" w:hAnsi="Verdana" w:cs="Arial"/>
          <w:sz w:val="12"/>
          <w:szCs w:val="12"/>
        </w:rPr>
        <w:t>no</w:t>
      </w:r>
      <w:r w:rsidRPr="00C95CD8">
        <w:rPr>
          <w:rFonts w:ascii="Verdana" w:hAnsi="Verdana" w:cs="Arial"/>
          <w:spacing w:val="-2"/>
          <w:sz w:val="12"/>
          <w:szCs w:val="12"/>
        </w:rPr>
        <w:t xml:space="preserve"> </w:t>
      </w:r>
      <w:r w:rsidRPr="00C95CD8">
        <w:rPr>
          <w:rFonts w:ascii="Verdana" w:hAnsi="Verdana" w:cs="Arial"/>
          <w:sz w:val="12"/>
          <w:szCs w:val="12"/>
        </w:rPr>
        <w:t>es</w:t>
      </w:r>
      <w:r w:rsidRPr="00C95CD8">
        <w:rPr>
          <w:rFonts w:ascii="Verdana" w:hAnsi="Verdana" w:cs="Arial"/>
          <w:spacing w:val="-2"/>
          <w:sz w:val="12"/>
          <w:szCs w:val="12"/>
        </w:rPr>
        <w:t xml:space="preserve"> </w:t>
      </w:r>
      <w:r w:rsidRPr="00C95CD8">
        <w:rPr>
          <w:rFonts w:ascii="Verdana" w:hAnsi="Verdana" w:cs="Arial"/>
          <w:sz w:val="12"/>
          <w:szCs w:val="12"/>
        </w:rPr>
        <w:t>otra</w:t>
      </w:r>
      <w:r w:rsidRPr="00C95CD8">
        <w:rPr>
          <w:rFonts w:ascii="Verdana" w:hAnsi="Verdana" w:cs="Arial"/>
          <w:spacing w:val="-2"/>
          <w:sz w:val="12"/>
          <w:szCs w:val="12"/>
        </w:rPr>
        <w:t xml:space="preserve"> </w:t>
      </w:r>
      <w:r w:rsidRPr="00C95CD8">
        <w:rPr>
          <w:rFonts w:ascii="Verdana" w:hAnsi="Verdana" w:cs="Arial"/>
          <w:sz w:val="12"/>
          <w:szCs w:val="12"/>
        </w:rPr>
        <w:t>cosa</w:t>
      </w:r>
      <w:r w:rsidRPr="00C95CD8">
        <w:rPr>
          <w:rFonts w:ascii="Verdana" w:hAnsi="Verdana" w:cs="Arial"/>
          <w:spacing w:val="-2"/>
          <w:sz w:val="12"/>
          <w:szCs w:val="12"/>
        </w:rPr>
        <w:t xml:space="preserve"> </w:t>
      </w:r>
      <w:r w:rsidRPr="00C95CD8">
        <w:rPr>
          <w:rFonts w:ascii="Verdana" w:hAnsi="Verdana" w:cs="Arial"/>
          <w:sz w:val="12"/>
          <w:szCs w:val="12"/>
        </w:rPr>
        <w:t>que</w:t>
      </w:r>
      <w:r w:rsidRPr="00C95CD8">
        <w:rPr>
          <w:rFonts w:ascii="Verdana" w:hAnsi="Verdana" w:cs="Arial"/>
          <w:spacing w:val="-2"/>
          <w:sz w:val="12"/>
          <w:szCs w:val="12"/>
        </w:rPr>
        <w:t xml:space="preserve"> </w:t>
      </w:r>
      <w:r w:rsidRPr="00C95CD8">
        <w:rPr>
          <w:rFonts w:ascii="Verdana" w:hAnsi="Verdana" w:cs="Arial"/>
          <w:sz w:val="12"/>
          <w:szCs w:val="12"/>
        </w:rPr>
        <w:t>la</w:t>
      </w:r>
      <w:r w:rsidRPr="00C95CD8">
        <w:rPr>
          <w:rFonts w:ascii="Verdana" w:hAnsi="Verdana" w:cs="Arial"/>
          <w:spacing w:val="-2"/>
          <w:sz w:val="12"/>
          <w:szCs w:val="12"/>
        </w:rPr>
        <w:t xml:space="preserve"> </w:t>
      </w:r>
      <w:r w:rsidRPr="00C95CD8">
        <w:rPr>
          <w:rFonts w:ascii="Verdana" w:hAnsi="Verdana" w:cs="Arial"/>
          <w:sz w:val="12"/>
          <w:szCs w:val="12"/>
        </w:rPr>
        <w:t>prohibición</w:t>
      </w:r>
      <w:r w:rsidRPr="00C95CD8">
        <w:rPr>
          <w:rFonts w:ascii="Verdana" w:hAnsi="Verdana" w:cs="Arial"/>
          <w:spacing w:val="-2"/>
          <w:sz w:val="12"/>
          <w:szCs w:val="12"/>
        </w:rPr>
        <w:t xml:space="preserve"> </w:t>
      </w:r>
      <w:r w:rsidRPr="00C95CD8">
        <w:rPr>
          <w:rFonts w:ascii="Verdana" w:hAnsi="Verdana" w:cs="Arial"/>
          <w:sz w:val="12"/>
          <w:szCs w:val="12"/>
        </w:rPr>
        <w:t>de</w:t>
      </w:r>
      <w:r w:rsidRPr="00C95CD8">
        <w:rPr>
          <w:rFonts w:ascii="Verdana" w:hAnsi="Verdana" w:cs="Arial"/>
          <w:spacing w:val="-2"/>
          <w:sz w:val="12"/>
          <w:szCs w:val="12"/>
        </w:rPr>
        <w:t xml:space="preserve"> </w:t>
      </w:r>
      <w:r w:rsidRPr="00C95CD8">
        <w:rPr>
          <w:rFonts w:ascii="Verdana" w:hAnsi="Verdana" w:cs="Arial"/>
          <w:sz w:val="12"/>
          <w:szCs w:val="12"/>
        </w:rPr>
        <w:t>insertarlo</w:t>
      </w:r>
      <w:r w:rsidRPr="00C95CD8">
        <w:rPr>
          <w:rFonts w:ascii="Verdana" w:hAnsi="Verdana" w:cs="Arial"/>
          <w:spacing w:val="-2"/>
          <w:sz w:val="12"/>
          <w:szCs w:val="12"/>
        </w:rPr>
        <w:t xml:space="preserve"> </w:t>
      </w:r>
      <w:r w:rsidRPr="00C95CD8">
        <w:rPr>
          <w:rFonts w:ascii="Verdana" w:hAnsi="Verdana" w:cs="Arial"/>
          <w:sz w:val="12"/>
          <w:szCs w:val="12"/>
        </w:rPr>
        <w:t>en</w:t>
      </w:r>
      <w:r w:rsidRPr="00C95CD8">
        <w:rPr>
          <w:rFonts w:ascii="Verdana" w:hAnsi="Verdana" w:cs="Arial"/>
          <w:spacing w:val="-3"/>
          <w:sz w:val="12"/>
          <w:szCs w:val="12"/>
        </w:rPr>
        <w:t xml:space="preserve"> </w:t>
      </w:r>
      <w:r w:rsidRPr="00C95CD8">
        <w:rPr>
          <w:rFonts w:ascii="Verdana" w:hAnsi="Verdana" w:cs="Arial"/>
          <w:sz w:val="12"/>
          <w:szCs w:val="12"/>
        </w:rPr>
        <w:t>un</w:t>
      </w:r>
      <w:r w:rsidRPr="00C95CD8">
        <w:rPr>
          <w:rFonts w:ascii="Verdana" w:hAnsi="Verdana" w:cs="Arial"/>
          <w:spacing w:val="-2"/>
          <w:sz w:val="12"/>
          <w:szCs w:val="12"/>
        </w:rPr>
        <w:t xml:space="preserve"> </w:t>
      </w:r>
      <w:r w:rsidRPr="00C95CD8">
        <w:rPr>
          <w:rFonts w:ascii="Verdana" w:hAnsi="Verdana" w:cs="Arial"/>
          <w:sz w:val="12"/>
          <w:szCs w:val="12"/>
        </w:rPr>
        <w:t>caso</w:t>
      </w:r>
      <w:r w:rsidRPr="00C95CD8">
        <w:rPr>
          <w:rFonts w:ascii="Verdana" w:hAnsi="Verdana" w:cs="Arial"/>
          <w:spacing w:val="-2"/>
          <w:sz w:val="12"/>
          <w:szCs w:val="12"/>
        </w:rPr>
        <w:t xml:space="preserve"> </w:t>
      </w:r>
      <w:r w:rsidRPr="00C95CD8">
        <w:rPr>
          <w:rFonts w:ascii="Verdana" w:hAnsi="Verdana" w:cs="Arial"/>
          <w:sz w:val="12"/>
          <w:szCs w:val="12"/>
        </w:rPr>
        <w:t>particular.</w:t>
      </w:r>
    </w:p>
    <w:p w14:paraId="0BA23253" w14:textId="77777777" w:rsidR="00785986" w:rsidRPr="00C95CD8" w:rsidRDefault="00785986" w:rsidP="00785986">
      <w:pPr>
        <w:spacing w:after="0" w:line="240" w:lineRule="auto"/>
        <w:ind w:firstLine="708"/>
        <w:jc w:val="both"/>
        <w:rPr>
          <w:rFonts w:ascii="Verdana" w:hAnsi="Verdana" w:cs="Arial"/>
          <w:sz w:val="12"/>
          <w:szCs w:val="12"/>
        </w:rPr>
      </w:pPr>
      <w:r w:rsidRPr="00C95CD8">
        <w:rPr>
          <w:rFonts w:ascii="Verdana" w:hAnsi="Verdana" w:cs="Arial"/>
          <w:sz w:val="12"/>
          <w:szCs w:val="12"/>
        </w:rPr>
        <w:t>Esta tesis –de absoluta razonabilidad–, protege tanto al ciudadano como al ordenamiento</w:t>
      </w:r>
      <w:r w:rsidRPr="00C95CD8">
        <w:rPr>
          <w:rFonts w:ascii="Verdana" w:hAnsi="Verdana" w:cs="Arial"/>
          <w:spacing w:val="1"/>
          <w:sz w:val="12"/>
          <w:szCs w:val="12"/>
        </w:rPr>
        <w:t xml:space="preserve"> </w:t>
      </w:r>
      <w:r w:rsidRPr="00C95CD8">
        <w:rPr>
          <w:rFonts w:ascii="Verdana" w:hAnsi="Verdana" w:cs="Arial"/>
          <w:sz w:val="12"/>
          <w:szCs w:val="12"/>
        </w:rPr>
        <w:t>jurídico en general, de la arbitrariedad de la administración, pues si se admitiera que pese a estar en</w:t>
      </w:r>
      <w:r w:rsidRPr="00C95CD8">
        <w:rPr>
          <w:rFonts w:ascii="Verdana" w:hAnsi="Verdana" w:cs="Arial"/>
          <w:spacing w:val="-50"/>
          <w:sz w:val="12"/>
          <w:szCs w:val="12"/>
        </w:rPr>
        <w:t xml:space="preserve"> </w:t>
      </w:r>
      <w:r w:rsidRPr="00C95CD8">
        <w:rPr>
          <w:rFonts w:ascii="Verdana" w:hAnsi="Verdana" w:cs="Arial"/>
          <w:sz w:val="12"/>
          <w:szCs w:val="12"/>
        </w:rPr>
        <w:t>vigencia</w:t>
      </w:r>
      <w:r w:rsidRPr="00C95CD8">
        <w:rPr>
          <w:rFonts w:ascii="Verdana" w:hAnsi="Verdana" w:cs="Arial"/>
          <w:spacing w:val="-10"/>
          <w:sz w:val="12"/>
          <w:szCs w:val="12"/>
        </w:rPr>
        <w:t xml:space="preserve"> </w:t>
      </w:r>
      <w:r w:rsidRPr="00C95CD8">
        <w:rPr>
          <w:rFonts w:ascii="Verdana" w:hAnsi="Verdana" w:cs="Arial"/>
          <w:sz w:val="12"/>
          <w:szCs w:val="12"/>
        </w:rPr>
        <w:t>un</w:t>
      </w:r>
      <w:r w:rsidRPr="00C95CD8">
        <w:rPr>
          <w:rFonts w:ascii="Verdana" w:hAnsi="Verdana" w:cs="Arial"/>
          <w:spacing w:val="-9"/>
          <w:sz w:val="12"/>
          <w:szCs w:val="12"/>
        </w:rPr>
        <w:t xml:space="preserve"> </w:t>
      </w:r>
      <w:r w:rsidRPr="00C95CD8">
        <w:rPr>
          <w:rFonts w:ascii="Verdana" w:hAnsi="Verdana" w:cs="Arial"/>
          <w:sz w:val="12"/>
          <w:szCs w:val="12"/>
        </w:rPr>
        <w:t>reglamento</w:t>
      </w:r>
      <w:r w:rsidRPr="00C95CD8">
        <w:rPr>
          <w:rFonts w:ascii="Verdana" w:hAnsi="Verdana" w:cs="Arial"/>
          <w:spacing w:val="-10"/>
          <w:sz w:val="12"/>
          <w:szCs w:val="12"/>
        </w:rPr>
        <w:t xml:space="preserve"> </w:t>
      </w:r>
      <w:r w:rsidRPr="00C95CD8">
        <w:rPr>
          <w:rFonts w:ascii="Verdana" w:hAnsi="Verdana" w:cs="Arial"/>
          <w:sz w:val="12"/>
          <w:szCs w:val="12"/>
        </w:rPr>
        <w:t>la</w:t>
      </w:r>
      <w:r w:rsidRPr="00C95CD8">
        <w:rPr>
          <w:rFonts w:ascii="Verdana" w:hAnsi="Verdana" w:cs="Arial"/>
          <w:spacing w:val="-9"/>
          <w:sz w:val="12"/>
          <w:szCs w:val="12"/>
        </w:rPr>
        <w:t xml:space="preserve"> </w:t>
      </w:r>
      <w:r w:rsidRPr="00C95CD8">
        <w:rPr>
          <w:rFonts w:ascii="Verdana" w:hAnsi="Verdana" w:cs="Arial"/>
          <w:sz w:val="12"/>
          <w:szCs w:val="12"/>
        </w:rPr>
        <w:t>propia</w:t>
      </w:r>
      <w:r w:rsidRPr="00C95CD8">
        <w:rPr>
          <w:rFonts w:ascii="Verdana" w:hAnsi="Verdana" w:cs="Arial"/>
          <w:spacing w:val="-10"/>
          <w:sz w:val="12"/>
          <w:szCs w:val="12"/>
        </w:rPr>
        <w:t xml:space="preserve"> </w:t>
      </w:r>
      <w:r w:rsidRPr="00C95CD8">
        <w:rPr>
          <w:rFonts w:ascii="Verdana" w:hAnsi="Verdana" w:cs="Arial"/>
          <w:sz w:val="12"/>
          <w:szCs w:val="12"/>
        </w:rPr>
        <w:t>administración</w:t>
      </w:r>
      <w:r w:rsidRPr="00C95CD8">
        <w:rPr>
          <w:rFonts w:ascii="Verdana" w:hAnsi="Verdana" w:cs="Arial"/>
          <w:spacing w:val="-9"/>
          <w:sz w:val="12"/>
          <w:szCs w:val="12"/>
        </w:rPr>
        <w:t xml:space="preserve"> </w:t>
      </w:r>
      <w:r w:rsidRPr="00C95CD8">
        <w:rPr>
          <w:rFonts w:ascii="Verdana" w:hAnsi="Verdana" w:cs="Arial"/>
          <w:sz w:val="12"/>
          <w:szCs w:val="12"/>
        </w:rPr>
        <w:t>que</w:t>
      </w:r>
      <w:r w:rsidRPr="00C95CD8">
        <w:rPr>
          <w:rFonts w:ascii="Verdana" w:hAnsi="Verdana" w:cs="Arial"/>
          <w:spacing w:val="-10"/>
          <w:sz w:val="12"/>
          <w:szCs w:val="12"/>
        </w:rPr>
        <w:t xml:space="preserve"> </w:t>
      </w:r>
      <w:r w:rsidRPr="00C95CD8">
        <w:rPr>
          <w:rFonts w:ascii="Verdana" w:hAnsi="Verdana" w:cs="Arial"/>
          <w:sz w:val="12"/>
          <w:szCs w:val="12"/>
        </w:rPr>
        <w:t>lo</w:t>
      </w:r>
      <w:r w:rsidRPr="00C95CD8">
        <w:rPr>
          <w:rFonts w:ascii="Verdana" w:hAnsi="Verdana" w:cs="Arial"/>
          <w:spacing w:val="-9"/>
          <w:sz w:val="12"/>
          <w:szCs w:val="12"/>
        </w:rPr>
        <w:t xml:space="preserve"> </w:t>
      </w:r>
      <w:r w:rsidRPr="00C95CD8">
        <w:rPr>
          <w:rFonts w:ascii="Verdana" w:hAnsi="Verdana" w:cs="Arial"/>
          <w:sz w:val="12"/>
          <w:szCs w:val="12"/>
        </w:rPr>
        <w:t>dictó</w:t>
      </w:r>
      <w:r w:rsidRPr="00C95CD8">
        <w:rPr>
          <w:rFonts w:ascii="Verdana" w:hAnsi="Verdana" w:cs="Arial"/>
          <w:spacing w:val="-10"/>
          <w:sz w:val="12"/>
          <w:szCs w:val="12"/>
        </w:rPr>
        <w:t xml:space="preserve"> </w:t>
      </w:r>
      <w:r w:rsidRPr="00C95CD8">
        <w:rPr>
          <w:rFonts w:ascii="Verdana" w:hAnsi="Verdana" w:cs="Arial"/>
          <w:sz w:val="12"/>
          <w:szCs w:val="12"/>
        </w:rPr>
        <w:t>lo</w:t>
      </w:r>
      <w:r w:rsidRPr="00C95CD8">
        <w:rPr>
          <w:rFonts w:ascii="Verdana" w:hAnsi="Verdana" w:cs="Arial"/>
          <w:spacing w:val="-9"/>
          <w:sz w:val="12"/>
          <w:szCs w:val="12"/>
        </w:rPr>
        <w:t xml:space="preserve"> </w:t>
      </w:r>
      <w:r w:rsidRPr="00C95CD8">
        <w:rPr>
          <w:rFonts w:ascii="Verdana" w:hAnsi="Verdana" w:cs="Arial"/>
          <w:sz w:val="12"/>
          <w:szCs w:val="12"/>
        </w:rPr>
        <w:t>pudiera</w:t>
      </w:r>
      <w:r w:rsidRPr="00C95CD8">
        <w:rPr>
          <w:rFonts w:ascii="Verdana" w:hAnsi="Verdana" w:cs="Arial"/>
          <w:spacing w:val="-10"/>
          <w:sz w:val="12"/>
          <w:szCs w:val="12"/>
        </w:rPr>
        <w:t xml:space="preserve"> </w:t>
      </w:r>
      <w:r w:rsidRPr="00C95CD8">
        <w:rPr>
          <w:rFonts w:ascii="Verdana" w:hAnsi="Verdana" w:cs="Arial"/>
          <w:sz w:val="12"/>
          <w:szCs w:val="12"/>
        </w:rPr>
        <w:t>inaplicar,</w:t>
      </w:r>
      <w:r w:rsidRPr="00C95CD8">
        <w:rPr>
          <w:rFonts w:ascii="Verdana" w:hAnsi="Verdana" w:cs="Arial"/>
          <w:spacing w:val="-9"/>
          <w:sz w:val="12"/>
          <w:szCs w:val="12"/>
        </w:rPr>
        <w:t xml:space="preserve"> </w:t>
      </w:r>
      <w:r w:rsidRPr="00C95CD8">
        <w:rPr>
          <w:rFonts w:ascii="Verdana" w:hAnsi="Verdana" w:cs="Arial"/>
          <w:sz w:val="12"/>
          <w:szCs w:val="12"/>
        </w:rPr>
        <w:t>aduciendo</w:t>
      </w:r>
      <w:r w:rsidRPr="00C95CD8">
        <w:rPr>
          <w:rFonts w:ascii="Verdana" w:hAnsi="Verdana" w:cs="Arial"/>
          <w:spacing w:val="-10"/>
          <w:sz w:val="12"/>
          <w:szCs w:val="12"/>
        </w:rPr>
        <w:t xml:space="preserve"> </w:t>
      </w:r>
      <w:r w:rsidRPr="00C95CD8">
        <w:rPr>
          <w:rFonts w:ascii="Verdana" w:hAnsi="Verdana" w:cs="Arial"/>
          <w:sz w:val="12"/>
          <w:szCs w:val="12"/>
        </w:rPr>
        <w:t>que</w:t>
      </w:r>
      <w:r w:rsidRPr="00C95CD8">
        <w:rPr>
          <w:rFonts w:ascii="Verdana" w:hAnsi="Verdana" w:cs="Arial"/>
          <w:spacing w:val="-9"/>
          <w:sz w:val="12"/>
          <w:szCs w:val="12"/>
        </w:rPr>
        <w:t xml:space="preserve"> </w:t>
      </w:r>
      <w:r w:rsidRPr="00C95CD8">
        <w:rPr>
          <w:rFonts w:ascii="Verdana" w:hAnsi="Verdana" w:cs="Arial"/>
          <w:sz w:val="12"/>
          <w:szCs w:val="12"/>
        </w:rPr>
        <w:t>si</w:t>
      </w:r>
      <w:r w:rsidRPr="00C95CD8">
        <w:rPr>
          <w:rFonts w:ascii="Verdana" w:hAnsi="Verdana" w:cs="Arial"/>
          <w:spacing w:val="-10"/>
          <w:sz w:val="12"/>
          <w:szCs w:val="12"/>
        </w:rPr>
        <w:t xml:space="preserve"> </w:t>
      </w:r>
      <w:r w:rsidRPr="00C95CD8">
        <w:rPr>
          <w:rFonts w:ascii="Verdana" w:hAnsi="Verdana" w:cs="Arial"/>
          <w:sz w:val="12"/>
          <w:szCs w:val="12"/>
        </w:rPr>
        <w:t>ella</w:t>
      </w:r>
      <w:r w:rsidRPr="00C95CD8">
        <w:rPr>
          <w:rFonts w:ascii="Verdana" w:hAnsi="Verdana" w:cs="Arial"/>
          <w:spacing w:val="1"/>
          <w:sz w:val="12"/>
          <w:szCs w:val="12"/>
        </w:rPr>
        <w:t xml:space="preserve"> </w:t>
      </w:r>
      <w:r w:rsidRPr="00C95CD8">
        <w:rPr>
          <w:rFonts w:ascii="Verdana" w:hAnsi="Verdana" w:cs="Arial"/>
          <w:sz w:val="12"/>
          <w:szCs w:val="12"/>
        </w:rPr>
        <w:t>lo</w:t>
      </w:r>
      <w:r w:rsidRPr="00C95CD8">
        <w:rPr>
          <w:rFonts w:ascii="Verdana" w:hAnsi="Verdana" w:cs="Arial"/>
          <w:spacing w:val="-13"/>
          <w:sz w:val="12"/>
          <w:szCs w:val="12"/>
        </w:rPr>
        <w:t xml:space="preserve"> </w:t>
      </w:r>
      <w:r w:rsidRPr="00C95CD8">
        <w:rPr>
          <w:rFonts w:ascii="Verdana" w:hAnsi="Verdana" w:cs="Arial"/>
          <w:sz w:val="12"/>
          <w:szCs w:val="12"/>
        </w:rPr>
        <w:t>produjo</w:t>
      </w:r>
      <w:r w:rsidRPr="00C95CD8">
        <w:rPr>
          <w:rFonts w:ascii="Verdana" w:hAnsi="Verdana" w:cs="Arial"/>
          <w:spacing w:val="-12"/>
          <w:sz w:val="12"/>
          <w:szCs w:val="12"/>
        </w:rPr>
        <w:t xml:space="preserve"> </w:t>
      </w:r>
      <w:r w:rsidRPr="00C95CD8">
        <w:rPr>
          <w:rFonts w:ascii="Verdana" w:hAnsi="Verdana" w:cs="Arial"/>
          <w:sz w:val="12"/>
          <w:szCs w:val="12"/>
        </w:rPr>
        <w:t>entonces</w:t>
      </w:r>
      <w:r w:rsidRPr="00C95CD8">
        <w:rPr>
          <w:rFonts w:ascii="Verdana" w:hAnsi="Verdana" w:cs="Arial"/>
          <w:spacing w:val="-12"/>
          <w:sz w:val="12"/>
          <w:szCs w:val="12"/>
        </w:rPr>
        <w:t xml:space="preserve"> </w:t>
      </w:r>
      <w:r w:rsidRPr="00C95CD8">
        <w:rPr>
          <w:rFonts w:ascii="Verdana" w:hAnsi="Verdana" w:cs="Arial"/>
          <w:sz w:val="12"/>
          <w:szCs w:val="12"/>
        </w:rPr>
        <w:t>cuenta</w:t>
      </w:r>
      <w:r w:rsidRPr="00C95CD8">
        <w:rPr>
          <w:rFonts w:ascii="Verdana" w:hAnsi="Verdana" w:cs="Arial"/>
          <w:spacing w:val="-12"/>
          <w:sz w:val="12"/>
          <w:szCs w:val="12"/>
        </w:rPr>
        <w:t xml:space="preserve"> </w:t>
      </w:r>
      <w:r w:rsidRPr="00C95CD8">
        <w:rPr>
          <w:rFonts w:ascii="Verdana" w:hAnsi="Verdana" w:cs="Arial"/>
          <w:sz w:val="12"/>
          <w:szCs w:val="12"/>
        </w:rPr>
        <w:t>con</w:t>
      </w:r>
      <w:r w:rsidRPr="00C95CD8">
        <w:rPr>
          <w:rFonts w:ascii="Verdana" w:hAnsi="Verdana" w:cs="Arial"/>
          <w:spacing w:val="-12"/>
          <w:sz w:val="12"/>
          <w:szCs w:val="12"/>
        </w:rPr>
        <w:t xml:space="preserve"> </w:t>
      </w:r>
      <w:r w:rsidRPr="00C95CD8">
        <w:rPr>
          <w:rFonts w:ascii="Verdana" w:hAnsi="Verdana" w:cs="Arial"/>
          <w:sz w:val="12"/>
          <w:szCs w:val="12"/>
        </w:rPr>
        <w:t>la</w:t>
      </w:r>
      <w:r w:rsidRPr="00C95CD8">
        <w:rPr>
          <w:rFonts w:ascii="Verdana" w:hAnsi="Verdana" w:cs="Arial"/>
          <w:spacing w:val="-12"/>
          <w:sz w:val="12"/>
          <w:szCs w:val="12"/>
        </w:rPr>
        <w:t xml:space="preserve"> </w:t>
      </w:r>
      <w:r w:rsidRPr="00C95CD8">
        <w:rPr>
          <w:rFonts w:ascii="Verdana" w:hAnsi="Verdana" w:cs="Arial"/>
          <w:sz w:val="12"/>
          <w:szCs w:val="12"/>
        </w:rPr>
        <w:t>autoridad</w:t>
      </w:r>
      <w:r w:rsidRPr="00C95CD8">
        <w:rPr>
          <w:rFonts w:ascii="Verdana" w:hAnsi="Verdana" w:cs="Arial"/>
          <w:spacing w:val="-12"/>
          <w:sz w:val="12"/>
          <w:szCs w:val="12"/>
        </w:rPr>
        <w:t xml:space="preserve"> </w:t>
      </w:r>
      <w:r w:rsidRPr="00C95CD8">
        <w:rPr>
          <w:rFonts w:ascii="Verdana" w:hAnsi="Verdana" w:cs="Arial"/>
          <w:sz w:val="12"/>
          <w:szCs w:val="12"/>
        </w:rPr>
        <w:t>para</w:t>
      </w:r>
      <w:r w:rsidRPr="00C95CD8">
        <w:rPr>
          <w:rFonts w:ascii="Verdana" w:hAnsi="Verdana" w:cs="Arial"/>
          <w:spacing w:val="-12"/>
          <w:sz w:val="12"/>
          <w:szCs w:val="12"/>
        </w:rPr>
        <w:t xml:space="preserve"> </w:t>
      </w:r>
      <w:r w:rsidRPr="00C95CD8">
        <w:rPr>
          <w:rFonts w:ascii="Verdana" w:hAnsi="Verdana" w:cs="Arial"/>
          <w:sz w:val="12"/>
          <w:szCs w:val="12"/>
        </w:rPr>
        <w:t>desconocerlo,</w:t>
      </w:r>
      <w:r w:rsidRPr="00C95CD8">
        <w:rPr>
          <w:rFonts w:ascii="Verdana" w:hAnsi="Verdana" w:cs="Arial"/>
          <w:spacing w:val="-12"/>
          <w:sz w:val="12"/>
          <w:szCs w:val="12"/>
        </w:rPr>
        <w:t xml:space="preserve"> </w:t>
      </w:r>
      <w:r w:rsidRPr="00C95CD8">
        <w:rPr>
          <w:rFonts w:ascii="Verdana" w:hAnsi="Verdana" w:cs="Arial"/>
          <w:sz w:val="12"/>
          <w:szCs w:val="12"/>
        </w:rPr>
        <w:t>los</w:t>
      </w:r>
      <w:r w:rsidRPr="00C95CD8">
        <w:rPr>
          <w:rFonts w:ascii="Verdana" w:hAnsi="Verdana" w:cs="Arial"/>
          <w:spacing w:val="-12"/>
          <w:sz w:val="12"/>
          <w:szCs w:val="12"/>
        </w:rPr>
        <w:t xml:space="preserve"> </w:t>
      </w:r>
      <w:r w:rsidRPr="00C95CD8">
        <w:rPr>
          <w:rFonts w:ascii="Verdana" w:hAnsi="Verdana" w:cs="Arial"/>
          <w:sz w:val="12"/>
          <w:szCs w:val="12"/>
        </w:rPr>
        <w:t>abusos</w:t>
      </w:r>
      <w:r w:rsidRPr="00C95CD8">
        <w:rPr>
          <w:rFonts w:ascii="Verdana" w:hAnsi="Verdana" w:cs="Arial"/>
          <w:spacing w:val="-12"/>
          <w:sz w:val="12"/>
          <w:szCs w:val="12"/>
        </w:rPr>
        <w:t xml:space="preserve"> </w:t>
      </w:r>
      <w:r w:rsidRPr="00C95CD8">
        <w:rPr>
          <w:rFonts w:ascii="Verdana" w:hAnsi="Verdana" w:cs="Arial"/>
          <w:sz w:val="12"/>
          <w:szCs w:val="12"/>
        </w:rPr>
        <w:t>y</w:t>
      </w:r>
      <w:r w:rsidRPr="00C95CD8">
        <w:rPr>
          <w:rFonts w:ascii="Verdana" w:hAnsi="Verdana" w:cs="Arial"/>
          <w:spacing w:val="-12"/>
          <w:sz w:val="12"/>
          <w:szCs w:val="12"/>
        </w:rPr>
        <w:t xml:space="preserve"> </w:t>
      </w:r>
      <w:r w:rsidRPr="00C95CD8">
        <w:rPr>
          <w:rFonts w:ascii="Verdana" w:hAnsi="Verdana" w:cs="Arial"/>
          <w:sz w:val="12"/>
          <w:szCs w:val="12"/>
        </w:rPr>
        <w:t>la</w:t>
      </w:r>
      <w:r w:rsidRPr="00C95CD8">
        <w:rPr>
          <w:rFonts w:ascii="Verdana" w:hAnsi="Verdana" w:cs="Arial"/>
          <w:spacing w:val="-12"/>
          <w:sz w:val="12"/>
          <w:szCs w:val="12"/>
        </w:rPr>
        <w:t xml:space="preserve"> </w:t>
      </w:r>
      <w:r w:rsidRPr="00C95CD8">
        <w:rPr>
          <w:rFonts w:ascii="Verdana" w:hAnsi="Verdana" w:cs="Arial"/>
          <w:sz w:val="12"/>
          <w:szCs w:val="12"/>
        </w:rPr>
        <w:t>violación</w:t>
      </w:r>
      <w:r w:rsidRPr="00C95CD8">
        <w:rPr>
          <w:rFonts w:ascii="Verdana" w:hAnsi="Verdana" w:cs="Arial"/>
          <w:spacing w:val="-12"/>
          <w:sz w:val="12"/>
          <w:szCs w:val="12"/>
        </w:rPr>
        <w:t xml:space="preserve"> </w:t>
      </w:r>
      <w:r w:rsidRPr="00C95CD8">
        <w:rPr>
          <w:rFonts w:ascii="Verdana" w:hAnsi="Verdana" w:cs="Arial"/>
          <w:sz w:val="12"/>
          <w:szCs w:val="12"/>
        </w:rPr>
        <w:t>a</w:t>
      </w:r>
      <w:r w:rsidRPr="00C95CD8">
        <w:rPr>
          <w:rFonts w:ascii="Verdana" w:hAnsi="Verdana" w:cs="Arial"/>
          <w:spacing w:val="-12"/>
          <w:sz w:val="12"/>
          <w:szCs w:val="12"/>
        </w:rPr>
        <w:t xml:space="preserve"> </w:t>
      </w:r>
      <w:r w:rsidRPr="00C95CD8">
        <w:rPr>
          <w:rFonts w:ascii="Verdana" w:hAnsi="Verdana" w:cs="Arial"/>
          <w:sz w:val="12"/>
          <w:szCs w:val="12"/>
        </w:rPr>
        <w:t>sus</w:t>
      </w:r>
      <w:r w:rsidRPr="00C95CD8">
        <w:rPr>
          <w:rFonts w:ascii="Verdana" w:hAnsi="Verdana" w:cs="Arial"/>
          <w:spacing w:val="-12"/>
          <w:sz w:val="12"/>
          <w:szCs w:val="12"/>
        </w:rPr>
        <w:t xml:space="preserve"> </w:t>
      </w:r>
      <w:r w:rsidRPr="00C95CD8">
        <w:rPr>
          <w:rFonts w:ascii="Verdana" w:hAnsi="Verdana" w:cs="Arial"/>
          <w:sz w:val="12"/>
          <w:szCs w:val="12"/>
        </w:rPr>
        <w:t>propias</w:t>
      </w:r>
      <w:r w:rsidRPr="00C95CD8">
        <w:rPr>
          <w:rFonts w:ascii="Verdana" w:hAnsi="Verdana" w:cs="Arial"/>
          <w:spacing w:val="1"/>
          <w:sz w:val="12"/>
          <w:szCs w:val="12"/>
        </w:rPr>
        <w:t xml:space="preserve"> </w:t>
      </w:r>
      <w:r w:rsidRPr="00C95CD8">
        <w:rPr>
          <w:rFonts w:ascii="Verdana" w:hAnsi="Verdana" w:cs="Arial"/>
          <w:sz w:val="12"/>
          <w:szCs w:val="12"/>
        </w:rPr>
        <w:t>reglas propiciaría el atropello y la corrupción”. (MARÍN CORTÉS, Fabián G. El reglamento como</w:t>
      </w:r>
      <w:r w:rsidRPr="00C95CD8">
        <w:rPr>
          <w:rFonts w:ascii="Verdana" w:hAnsi="Verdana" w:cs="Arial"/>
          <w:spacing w:val="1"/>
          <w:sz w:val="12"/>
          <w:szCs w:val="12"/>
        </w:rPr>
        <w:t xml:space="preserve"> </w:t>
      </w:r>
      <w:r w:rsidRPr="00C95CD8">
        <w:rPr>
          <w:rFonts w:ascii="Verdana" w:hAnsi="Verdana" w:cs="Arial"/>
          <w:sz w:val="12"/>
          <w:szCs w:val="12"/>
        </w:rPr>
        <w:t>fuente</w:t>
      </w:r>
      <w:r w:rsidRPr="00C95CD8">
        <w:rPr>
          <w:rFonts w:ascii="Verdana" w:hAnsi="Verdana" w:cs="Arial"/>
          <w:spacing w:val="-12"/>
          <w:sz w:val="12"/>
          <w:szCs w:val="12"/>
        </w:rPr>
        <w:t xml:space="preserve"> </w:t>
      </w:r>
      <w:r w:rsidRPr="00C95CD8">
        <w:rPr>
          <w:rFonts w:ascii="Verdana" w:hAnsi="Verdana" w:cs="Arial"/>
          <w:sz w:val="12"/>
          <w:szCs w:val="12"/>
        </w:rPr>
        <w:t>del</w:t>
      </w:r>
      <w:r w:rsidRPr="00C95CD8">
        <w:rPr>
          <w:rFonts w:ascii="Verdana" w:hAnsi="Verdana" w:cs="Arial"/>
          <w:spacing w:val="-12"/>
          <w:sz w:val="12"/>
          <w:szCs w:val="12"/>
        </w:rPr>
        <w:t xml:space="preserve"> </w:t>
      </w:r>
      <w:r w:rsidRPr="00C95CD8">
        <w:rPr>
          <w:rFonts w:ascii="Verdana" w:hAnsi="Verdana" w:cs="Arial"/>
          <w:sz w:val="12"/>
          <w:szCs w:val="12"/>
        </w:rPr>
        <w:t>derecho</w:t>
      </w:r>
      <w:r w:rsidRPr="00C95CD8">
        <w:rPr>
          <w:rFonts w:ascii="Verdana" w:hAnsi="Verdana" w:cs="Arial"/>
          <w:spacing w:val="-12"/>
          <w:sz w:val="12"/>
          <w:szCs w:val="12"/>
        </w:rPr>
        <w:t xml:space="preserve"> </w:t>
      </w:r>
      <w:r w:rsidRPr="00C95CD8">
        <w:rPr>
          <w:rFonts w:ascii="Verdana" w:hAnsi="Verdana" w:cs="Arial"/>
          <w:sz w:val="12"/>
          <w:szCs w:val="12"/>
        </w:rPr>
        <w:t>administrativo.</w:t>
      </w:r>
      <w:r w:rsidRPr="00C95CD8">
        <w:rPr>
          <w:rFonts w:ascii="Verdana" w:hAnsi="Verdana" w:cs="Arial"/>
          <w:spacing w:val="-11"/>
          <w:sz w:val="12"/>
          <w:szCs w:val="12"/>
        </w:rPr>
        <w:t xml:space="preserve"> </w:t>
      </w:r>
      <w:r w:rsidRPr="00C95CD8">
        <w:rPr>
          <w:rFonts w:ascii="Verdana" w:hAnsi="Verdana" w:cs="Arial"/>
          <w:sz w:val="12"/>
          <w:szCs w:val="12"/>
        </w:rPr>
        <w:t>En:</w:t>
      </w:r>
      <w:r w:rsidRPr="00C95CD8">
        <w:rPr>
          <w:rFonts w:ascii="Verdana" w:hAnsi="Verdana" w:cs="Arial"/>
          <w:spacing w:val="-12"/>
          <w:sz w:val="12"/>
          <w:szCs w:val="12"/>
        </w:rPr>
        <w:t xml:space="preserve"> </w:t>
      </w:r>
      <w:r w:rsidRPr="00C95CD8">
        <w:rPr>
          <w:rFonts w:ascii="Verdana" w:hAnsi="Verdana" w:cs="Arial"/>
          <w:sz w:val="12"/>
          <w:szCs w:val="12"/>
        </w:rPr>
        <w:t>Las</w:t>
      </w:r>
      <w:r w:rsidRPr="00C95CD8">
        <w:rPr>
          <w:rFonts w:ascii="Verdana" w:hAnsi="Verdana" w:cs="Arial"/>
          <w:spacing w:val="-12"/>
          <w:sz w:val="12"/>
          <w:szCs w:val="12"/>
        </w:rPr>
        <w:t xml:space="preserve"> </w:t>
      </w:r>
      <w:r w:rsidRPr="00C95CD8">
        <w:rPr>
          <w:rFonts w:ascii="Verdana" w:hAnsi="Verdana" w:cs="Arial"/>
          <w:sz w:val="12"/>
          <w:szCs w:val="12"/>
        </w:rPr>
        <w:t>fuentes</w:t>
      </w:r>
      <w:r w:rsidRPr="00C95CD8">
        <w:rPr>
          <w:rFonts w:ascii="Verdana" w:hAnsi="Verdana" w:cs="Arial"/>
          <w:spacing w:val="-11"/>
          <w:sz w:val="12"/>
          <w:szCs w:val="12"/>
        </w:rPr>
        <w:t xml:space="preserve"> </w:t>
      </w:r>
      <w:r w:rsidRPr="00C95CD8">
        <w:rPr>
          <w:rFonts w:ascii="Verdana" w:hAnsi="Verdana" w:cs="Arial"/>
          <w:sz w:val="12"/>
          <w:szCs w:val="12"/>
        </w:rPr>
        <w:t>del</w:t>
      </w:r>
      <w:r w:rsidRPr="00C95CD8">
        <w:rPr>
          <w:rFonts w:ascii="Verdana" w:hAnsi="Verdana" w:cs="Arial"/>
          <w:spacing w:val="-12"/>
          <w:sz w:val="12"/>
          <w:szCs w:val="12"/>
        </w:rPr>
        <w:t xml:space="preserve"> </w:t>
      </w:r>
      <w:r w:rsidRPr="00C95CD8">
        <w:rPr>
          <w:rFonts w:ascii="Verdana" w:hAnsi="Verdana" w:cs="Arial"/>
          <w:sz w:val="12"/>
          <w:szCs w:val="12"/>
        </w:rPr>
        <w:t>derecho</w:t>
      </w:r>
      <w:r w:rsidRPr="00C95CD8">
        <w:rPr>
          <w:rFonts w:ascii="Verdana" w:hAnsi="Verdana" w:cs="Arial"/>
          <w:spacing w:val="-12"/>
          <w:sz w:val="12"/>
          <w:szCs w:val="12"/>
        </w:rPr>
        <w:t xml:space="preserve"> </w:t>
      </w:r>
      <w:r w:rsidRPr="00C95CD8">
        <w:rPr>
          <w:rFonts w:ascii="Verdana" w:hAnsi="Verdana" w:cs="Arial"/>
          <w:sz w:val="12"/>
          <w:szCs w:val="12"/>
        </w:rPr>
        <w:t>administrativo.</w:t>
      </w:r>
      <w:r w:rsidRPr="00C95CD8">
        <w:rPr>
          <w:rFonts w:ascii="Verdana" w:hAnsi="Verdana" w:cs="Arial"/>
          <w:spacing w:val="-12"/>
          <w:sz w:val="12"/>
          <w:szCs w:val="12"/>
        </w:rPr>
        <w:t xml:space="preserve"> </w:t>
      </w:r>
      <w:r w:rsidRPr="00C95CD8">
        <w:rPr>
          <w:rFonts w:ascii="Verdana" w:hAnsi="Verdana" w:cs="Arial"/>
          <w:sz w:val="12"/>
          <w:szCs w:val="12"/>
        </w:rPr>
        <w:t>Texto</w:t>
      </w:r>
      <w:r w:rsidRPr="00C95CD8">
        <w:rPr>
          <w:rFonts w:ascii="Verdana" w:hAnsi="Verdana" w:cs="Arial"/>
          <w:spacing w:val="-11"/>
          <w:sz w:val="12"/>
          <w:szCs w:val="12"/>
        </w:rPr>
        <w:t xml:space="preserve"> </w:t>
      </w:r>
      <w:r w:rsidRPr="00C95CD8">
        <w:rPr>
          <w:rFonts w:ascii="Verdana" w:hAnsi="Verdana" w:cs="Arial"/>
          <w:sz w:val="12"/>
          <w:szCs w:val="12"/>
        </w:rPr>
        <w:t>inédito.</w:t>
      </w:r>
      <w:r w:rsidRPr="00C95CD8">
        <w:rPr>
          <w:rFonts w:ascii="Verdana" w:hAnsi="Verdana" w:cs="Arial"/>
          <w:spacing w:val="-12"/>
          <w:sz w:val="12"/>
          <w:szCs w:val="12"/>
        </w:rPr>
        <w:t xml:space="preserve"> </w:t>
      </w:r>
      <w:r w:rsidRPr="00C95CD8">
        <w:rPr>
          <w:rFonts w:ascii="Verdana" w:hAnsi="Verdana" w:cs="Arial"/>
          <w:sz w:val="12"/>
          <w:szCs w:val="12"/>
        </w:rPr>
        <w:t>2010.</w:t>
      </w:r>
      <w:r w:rsidRPr="00C95CD8">
        <w:rPr>
          <w:rFonts w:ascii="Verdana" w:hAnsi="Verdana" w:cs="Arial"/>
          <w:spacing w:val="-12"/>
          <w:sz w:val="12"/>
          <w:szCs w:val="12"/>
        </w:rPr>
        <w:t xml:space="preserve"> </w:t>
      </w:r>
      <w:r w:rsidRPr="00C95CD8">
        <w:rPr>
          <w:rFonts w:ascii="Verdana" w:hAnsi="Verdana" w:cs="Arial"/>
          <w:sz w:val="12"/>
          <w:szCs w:val="12"/>
        </w:rPr>
        <w:t>pp.</w:t>
      </w:r>
      <w:r w:rsidRPr="00C95CD8">
        <w:rPr>
          <w:rFonts w:ascii="Verdana" w:hAnsi="Verdana" w:cs="Arial"/>
          <w:spacing w:val="1"/>
          <w:sz w:val="12"/>
          <w:szCs w:val="12"/>
        </w:rPr>
        <w:t xml:space="preserve"> </w:t>
      </w:r>
      <w:r w:rsidRPr="00C95CD8">
        <w:rPr>
          <w:rFonts w:ascii="Verdana" w:hAnsi="Verdana" w:cs="Arial"/>
          <w:sz w:val="12"/>
          <w:szCs w:val="12"/>
        </w:rPr>
        <w:t>200-201).</w:t>
      </w:r>
    </w:p>
    <w:p w14:paraId="687147DB" w14:textId="77777777" w:rsidR="00785986" w:rsidRPr="00C95CD8" w:rsidRDefault="00785986" w:rsidP="00785986">
      <w:pPr>
        <w:spacing w:after="0" w:line="240" w:lineRule="auto"/>
        <w:ind w:firstLine="708"/>
        <w:jc w:val="both"/>
        <w:rPr>
          <w:rFonts w:ascii="Verdana" w:hAnsi="Verdana" w:cs="Arial"/>
          <w:sz w:val="12"/>
          <w:szCs w:val="12"/>
        </w:rPr>
      </w:pPr>
    </w:p>
  </w:footnote>
  <w:footnote w:id="13">
    <w:p w14:paraId="5CDE951E" w14:textId="77777777" w:rsidR="00785986" w:rsidRPr="00C95CD8" w:rsidRDefault="00785986" w:rsidP="00785986">
      <w:pPr>
        <w:pStyle w:val="Textonotapie"/>
        <w:ind w:firstLine="708"/>
        <w:jc w:val="both"/>
        <w:rPr>
          <w:rFonts w:ascii="Verdana" w:hAnsi="Verdana" w:cs="Arial"/>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Ibíd. </w:t>
      </w:r>
    </w:p>
    <w:p w14:paraId="620B83B3" w14:textId="77777777" w:rsidR="00785986" w:rsidRPr="00C95CD8" w:rsidRDefault="00785986" w:rsidP="00785986">
      <w:pPr>
        <w:pStyle w:val="Textonotapie"/>
        <w:ind w:firstLine="708"/>
        <w:jc w:val="both"/>
        <w:rPr>
          <w:rFonts w:ascii="Verdana" w:hAnsi="Verdana" w:cs="Arial"/>
          <w:sz w:val="12"/>
          <w:szCs w:val="12"/>
        </w:rPr>
      </w:pPr>
    </w:p>
  </w:footnote>
  <w:footnote w:id="14">
    <w:p w14:paraId="6EC86821" w14:textId="77777777" w:rsidR="00785986" w:rsidRPr="00C95CD8" w:rsidRDefault="00785986" w:rsidP="00785986">
      <w:pPr>
        <w:pStyle w:val="Textonotapie"/>
        <w:ind w:firstLine="708"/>
        <w:jc w:val="both"/>
        <w:rPr>
          <w:rFonts w:ascii="Verdana" w:eastAsia="Arial" w:hAnsi="Verdana" w:cs="Arial"/>
          <w:sz w:val="12"/>
          <w:szCs w:val="12"/>
          <w:lang w:val="es-ES"/>
        </w:rPr>
      </w:pPr>
      <w:r w:rsidRPr="00C95CD8">
        <w:rPr>
          <w:rStyle w:val="Refdenotaalpie"/>
          <w:rFonts w:ascii="Verdana" w:hAnsi="Verdana"/>
          <w:sz w:val="12"/>
          <w:szCs w:val="12"/>
        </w:rPr>
        <w:footnoteRef/>
      </w:r>
      <w:r w:rsidRPr="00C95CD8">
        <w:rPr>
          <w:rFonts w:ascii="Verdana" w:hAnsi="Verdana"/>
          <w:sz w:val="12"/>
          <w:szCs w:val="12"/>
        </w:rPr>
        <w:t xml:space="preserve"> </w:t>
      </w:r>
      <w:r w:rsidRPr="00C95CD8">
        <w:rPr>
          <w:rFonts w:ascii="Verdana" w:eastAsia="Arial" w:hAnsi="Verdana" w:cs="Arial"/>
          <w:sz w:val="12"/>
          <w:szCs w:val="12"/>
          <w:lang w:val="es-ES"/>
        </w:rPr>
        <w:t xml:space="preserve">La Resolución 1440 del 14 de agosto de 2024 se encuentra disponible en: </w:t>
      </w:r>
      <w:hyperlink r:id="rId1" w:history="1">
        <w:r w:rsidRPr="00C95CD8">
          <w:rPr>
            <w:rStyle w:val="Hipervnculo"/>
            <w:rFonts w:ascii="Verdana" w:eastAsia="Arial" w:hAnsi="Verdana" w:cs="Arial"/>
            <w:sz w:val="12"/>
            <w:szCs w:val="12"/>
            <w:lang w:val="es-ES"/>
          </w:rPr>
          <w:t>https://www.minsalud.gov.co/Normatividad_Nuevo/Resoluci%C3%B3n%20No%201440%20de%202024.pdf</w:t>
        </w:r>
      </w:hyperlink>
      <w:r w:rsidRPr="00C95CD8">
        <w:rPr>
          <w:rFonts w:ascii="Verdana" w:eastAsia="Arial" w:hAnsi="Verdana" w:cs="Arial"/>
          <w:sz w:val="12"/>
          <w:szCs w:val="12"/>
          <w:lang w:val="es-ES"/>
        </w:rPr>
        <w:t xml:space="preserve"> </w:t>
      </w:r>
    </w:p>
    <w:p w14:paraId="194FAEBB" w14:textId="77777777" w:rsidR="00785986" w:rsidRPr="00C95CD8" w:rsidRDefault="00785986" w:rsidP="00785986">
      <w:pPr>
        <w:pStyle w:val="Textonotapie"/>
        <w:ind w:firstLine="708"/>
        <w:jc w:val="both"/>
        <w:rPr>
          <w:rFonts w:ascii="Verdana" w:hAnsi="Verdana"/>
          <w:sz w:val="12"/>
          <w:szCs w:val="12"/>
        </w:rPr>
      </w:pPr>
    </w:p>
  </w:footnote>
  <w:footnote w:id="15">
    <w:p w14:paraId="20EEEF43" w14:textId="77777777" w:rsidR="00785986" w:rsidRPr="00C95CD8" w:rsidRDefault="00785986" w:rsidP="00785986">
      <w:pPr>
        <w:spacing w:after="0" w:line="240" w:lineRule="auto"/>
        <w:ind w:firstLine="708"/>
        <w:jc w:val="both"/>
        <w:rPr>
          <w:rFonts w:ascii="Verdana" w:hAnsi="Verdana" w:cs="Arial"/>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Ley 1438 de 2011: “Artículo 76. Eficiencia y transparencia en contratación, adquisiciones</w:t>
      </w:r>
      <w:r w:rsidRPr="00C95CD8">
        <w:rPr>
          <w:rFonts w:ascii="Verdana" w:hAnsi="Verdana" w:cs="Arial"/>
          <w:spacing w:val="1"/>
          <w:sz w:val="12"/>
          <w:szCs w:val="12"/>
        </w:rPr>
        <w:t xml:space="preserve"> </w:t>
      </w:r>
      <w:r w:rsidRPr="00C95CD8">
        <w:rPr>
          <w:rFonts w:ascii="Verdana" w:hAnsi="Verdana" w:cs="Arial"/>
          <w:sz w:val="12"/>
          <w:szCs w:val="12"/>
        </w:rPr>
        <w:t>y compras de las Empresas Sociales del Estado. Con el propósito de promover la eficiencia y</w:t>
      </w:r>
      <w:r w:rsidRPr="00C95CD8">
        <w:rPr>
          <w:rFonts w:ascii="Verdana" w:hAnsi="Verdana" w:cs="Arial"/>
          <w:spacing w:val="1"/>
          <w:sz w:val="12"/>
          <w:szCs w:val="12"/>
        </w:rPr>
        <w:t xml:space="preserve"> </w:t>
      </w:r>
      <w:r w:rsidRPr="00C95CD8">
        <w:rPr>
          <w:rFonts w:ascii="Verdana" w:hAnsi="Verdana" w:cs="Arial"/>
          <w:sz w:val="12"/>
          <w:szCs w:val="12"/>
        </w:rPr>
        <w:t>transparencia</w:t>
      </w:r>
      <w:r w:rsidRPr="00C95CD8">
        <w:rPr>
          <w:rFonts w:ascii="Verdana" w:hAnsi="Verdana" w:cs="Arial"/>
          <w:spacing w:val="1"/>
          <w:sz w:val="12"/>
          <w:szCs w:val="12"/>
        </w:rPr>
        <w:t xml:space="preserve"> </w:t>
      </w:r>
      <w:r w:rsidRPr="00C95CD8">
        <w:rPr>
          <w:rFonts w:ascii="Verdana" w:hAnsi="Verdana" w:cs="Arial"/>
          <w:sz w:val="12"/>
          <w:szCs w:val="12"/>
        </w:rPr>
        <w:t>en la contratación las Empresas Sociales del Estado podrán asociarse entre sí,</w:t>
      </w:r>
      <w:r w:rsidRPr="00C95CD8">
        <w:rPr>
          <w:rFonts w:ascii="Verdana" w:hAnsi="Verdana" w:cs="Arial"/>
          <w:spacing w:val="1"/>
          <w:sz w:val="12"/>
          <w:szCs w:val="12"/>
        </w:rPr>
        <w:t xml:space="preserve"> </w:t>
      </w:r>
      <w:r w:rsidRPr="00C95CD8">
        <w:rPr>
          <w:rFonts w:ascii="Verdana" w:hAnsi="Verdana" w:cs="Arial"/>
          <w:sz w:val="12"/>
          <w:szCs w:val="12"/>
        </w:rPr>
        <w:t>constituir cooperativas o utilizar sistemas de compras electrónicas o cualquier otro mecanismo que</w:t>
      </w:r>
      <w:r w:rsidRPr="00C95CD8">
        <w:rPr>
          <w:rFonts w:ascii="Verdana" w:hAnsi="Verdana" w:cs="Arial"/>
          <w:spacing w:val="1"/>
          <w:sz w:val="12"/>
          <w:szCs w:val="12"/>
        </w:rPr>
        <w:t xml:space="preserve"> </w:t>
      </w:r>
      <w:r w:rsidRPr="00C95CD8">
        <w:rPr>
          <w:rFonts w:ascii="Verdana" w:hAnsi="Verdana" w:cs="Arial"/>
          <w:sz w:val="12"/>
          <w:szCs w:val="12"/>
        </w:rPr>
        <w:t>beneficie a las entidades con economías de escala, calidad, oportunidad y eficiencia, respetando los</w:t>
      </w:r>
      <w:r w:rsidRPr="00C95CD8">
        <w:rPr>
          <w:rFonts w:ascii="Verdana" w:hAnsi="Verdana" w:cs="Arial"/>
          <w:spacing w:val="-50"/>
          <w:sz w:val="12"/>
          <w:szCs w:val="12"/>
        </w:rPr>
        <w:t xml:space="preserve"> </w:t>
      </w:r>
      <w:r w:rsidRPr="00C95CD8">
        <w:rPr>
          <w:rFonts w:ascii="Verdana" w:hAnsi="Verdana" w:cs="Arial"/>
          <w:sz w:val="12"/>
          <w:szCs w:val="12"/>
        </w:rPr>
        <w:t>principios de la actuación administrativa y la contratación pública. Para lo anterior la Junta Directiva</w:t>
      </w:r>
      <w:r w:rsidRPr="00C95CD8">
        <w:rPr>
          <w:rFonts w:ascii="Verdana" w:hAnsi="Verdana" w:cs="Arial"/>
          <w:spacing w:val="1"/>
          <w:sz w:val="12"/>
          <w:szCs w:val="12"/>
        </w:rPr>
        <w:t xml:space="preserve"> </w:t>
      </w:r>
      <w:r w:rsidRPr="00C95CD8">
        <w:rPr>
          <w:rFonts w:ascii="Verdana" w:hAnsi="Verdana" w:cs="Arial"/>
          <w:sz w:val="12"/>
          <w:szCs w:val="12"/>
        </w:rPr>
        <w:t>deberá adoptar un estatuto de contratación de acuerdo con los lineamientos que defina el Ministerio</w:t>
      </w:r>
      <w:r w:rsidRPr="00C95CD8">
        <w:rPr>
          <w:rFonts w:ascii="Verdana" w:hAnsi="Verdana" w:cs="Arial"/>
          <w:spacing w:val="1"/>
          <w:sz w:val="12"/>
          <w:szCs w:val="12"/>
        </w:rPr>
        <w:t xml:space="preserve"> </w:t>
      </w:r>
      <w:r w:rsidRPr="00C95CD8">
        <w:rPr>
          <w:rFonts w:ascii="Verdana" w:hAnsi="Verdana" w:cs="Arial"/>
          <w:sz w:val="12"/>
          <w:szCs w:val="12"/>
        </w:rPr>
        <w:t>de</w:t>
      </w:r>
      <w:r w:rsidRPr="00C95CD8">
        <w:rPr>
          <w:rFonts w:ascii="Verdana" w:hAnsi="Verdana" w:cs="Arial"/>
          <w:spacing w:val="-2"/>
          <w:sz w:val="12"/>
          <w:szCs w:val="12"/>
        </w:rPr>
        <w:t xml:space="preserve"> </w:t>
      </w:r>
      <w:r w:rsidRPr="00C95CD8">
        <w:rPr>
          <w:rFonts w:ascii="Verdana" w:hAnsi="Verdana" w:cs="Arial"/>
          <w:sz w:val="12"/>
          <w:szCs w:val="12"/>
        </w:rPr>
        <w:t>la</w:t>
      </w:r>
      <w:r w:rsidRPr="00C95CD8">
        <w:rPr>
          <w:rFonts w:ascii="Verdana" w:hAnsi="Verdana" w:cs="Arial"/>
          <w:spacing w:val="-1"/>
          <w:sz w:val="12"/>
          <w:szCs w:val="12"/>
        </w:rPr>
        <w:t xml:space="preserve"> </w:t>
      </w:r>
      <w:r w:rsidRPr="00C95CD8">
        <w:rPr>
          <w:rFonts w:ascii="Verdana" w:hAnsi="Verdana" w:cs="Arial"/>
          <w:sz w:val="12"/>
          <w:szCs w:val="12"/>
        </w:rPr>
        <w:t>Protección</w:t>
      </w:r>
      <w:r w:rsidRPr="00C95CD8">
        <w:rPr>
          <w:rFonts w:ascii="Verdana" w:hAnsi="Verdana" w:cs="Arial"/>
          <w:spacing w:val="-1"/>
          <w:sz w:val="12"/>
          <w:szCs w:val="12"/>
        </w:rPr>
        <w:t xml:space="preserve"> </w:t>
      </w:r>
      <w:r w:rsidRPr="00C95CD8">
        <w:rPr>
          <w:rFonts w:ascii="Verdana" w:hAnsi="Verdana" w:cs="Arial"/>
          <w:sz w:val="12"/>
          <w:szCs w:val="12"/>
        </w:rPr>
        <w:t>Social.</w:t>
      </w:r>
    </w:p>
    <w:p w14:paraId="095DA114" w14:textId="77777777" w:rsidR="00785986" w:rsidRPr="00C95CD8" w:rsidRDefault="00785986" w:rsidP="00785986">
      <w:pPr>
        <w:spacing w:after="0" w:line="240" w:lineRule="auto"/>
        <w:ind w:firstLine="708"/>
        <w:jc w:val="both"/>
        <w:rPr>
          <w:rFonts w:ascii="Verdana" w:hAnsi="Verdana" w:cs="Arial"/>
          <w:sz w:val="12"/>
          <w:szCs w:val="12"/>
        </w:rPr>
      </w:pPr>
    </w:p>
    <w:p w14:paraId="67F93788" w14:textId="77777777" w:rsidR="00785986" w:rsidRPr="00C95CD8" w:rsidRDefault="00785986" w:rsidP="00785986">
      <w:pPr>
        <w:spacing w:after="0" w:line="240" w:lineRule="auto"/>
        <w:ind w:firstLine="708"/>
        <w:jc w:val="both"/>
        <w:rPr>
          <w:rFonts w:ascii="Verdana" w:hAnsi="Verdana" w:cs="Arial"/>
          <w:sz w:val="12"/>
          <w:szCs w:val="12"/>
        </w:rPr>
      </w:pPr>
      <w:r w:rsidRPr="00C95CD8">
        <w:rPr>
          <w:rFonts w:ascii="Verdana" w:hAnsi="Verdana" w:cs="Arial"/>
          <w:sz w:val="12"/>
          <w:szCs w:val="12"/>
        </w:rPr>
        <w:t>Igualmente,</w:t>
      </w:r>
      <w:r w:rsidRPr="00C95CD8">
        <w:rPr>
          <w:rFonts w:ascii="Verdana" w:hAnsi="Verdana" w:cs="Arial"/>
          <w:spacing w:val="1"/>
          <w:sz w:val="12"/>
          <w:szCs w:val="12"/>
        </w:rPr>
        <w:t xml:space="preserve"> </w:t>
      </w:r>
      <w:r w:rsidRPr="00C95CD8">
        <w:rPr>
          <w:rFonts w:ascii="Verdana" w:hAnsi="Verdana" w:cs="Arial"/>
          <w:sz w:val="12"/>
          <w:szCs w:val="12"/>
        </w:rPr>
        <w:t>las</w:t>
      </w:r>
      <w:r w:rsidRPr="00C95CD8">
        <w:rPr>
          <w:rFonts w:ascii="Verdana" w:hAnsi="Verdana" w:cs="Arial"/>
          <w:spacing w:val="1"/>
          <w:sz w:val="12"/>
          <w:szCs w:val="12"/>
        </w:rPr>
        <w:t xml:space="preserve"> </w:t>
      </w:r>
      <w:r w:rsidRPr="00C95CD8">
        <w:rPr>
          <w:rFonts w:ascii="Verdana" w:hAnsi="Verdana" w:cs="Arial"/>
          <w:sz w:val="12"/>
          <w:szCs w:val="12"/>
        </w:rPr>
        <w:t>Empresas</w:t>
      </w:r>
      <w:r w:rsidRPr="00C95CD8">
        <w:rPr>
          <w:rFonts w:ascii="Verdana" w:hAnsi="Verdana" w:cs="Arial"/>
          <w:spacing w:val="1"/>
          <w:sz w:val="12"/>
          <w:szCs w:val="12"/>
        </w:rPr>
        <w:t xml:space="preserve"> </w:t>
      </w:r>
      <w:r w:rsidRPr="00C95CD8">
        <w:rPr>
          <w:rFonts w:ascii="Verdana" w:hAnsi="Verdana" w:cs="Arial"/>
          <w:sz w:val="12"/>
          <w:szCs w:val="12"/>
        </w:rPr>
        <w:t>Sociales</w:t>
      </w:r>
      <w:r w:rsidRPr="00C95CD8">
        <w:rPr>
          <w:rFonts w:ascii="Verdana" w:hAnsi="Verdana" w:cs="Arial"/>
          <w:spacing w:val="1"/>
          <w:sz w:val="12"/>
          <w:szCs w:val="12"/>
        </w:rPr>
        <w:t xml:space="preserve"> </w:t>
      </w:r>
      <w:r w:rsidRPr="00C95CD8">
        <w:rPr>
          <w:rFonts w:ascii="Verdana" w:hAnsi="Verdana" w:cs="Arial"/>
          <w:sz w:val="12"/>
          <w:szCs w:val="12"/>
        </w:rPr>
        <w:t>del</w:t>
      </w:r>
      <w:r w:rsidRPr="00C95CD8">
        <w:rPr>
          <w:rFonts w:ascii="Verdana" w:hAnsi="Verdana" w:cs="Arial"/>
          <w:spacing w:val="1"/>
          <w:sz w:val="12"/>
          <w:szCs w:val="12"/>
        </w:rPr>
        <w:t xml:space="preserve"> </w:t>
      </w:r>
      <w:r w:rsidRPr="00C95CD8">
        <w:rPr>
          <w:rFonts w:ascii="Verdana" w:hAnsi="Verdana" w:cs="Arial"/>
          <w:sz w:val="12"/>
          <w:szCs w:val="12"/>
        </w:rPr>
        <w:t>Estado</w:t>
      </w:r>
      <w:r w:rsidRPr="00C95CD8">
        <w:rPr>
          <w:rFonts w:ascii="Verdana" w:hAnsi="Verdana" w:cs="Arial"/>
          <w:spacing w:val="1"/>
          <w:sz w:val="12"/>
          <w:szCs w:val="12"/>
        </w:rPr>
        <w:t xml:space="preserve"> </w:t>
      </w:r>
      <w:r w:rsidRPr="00C95CD8">
        <w:rPr>
          <w:rFonts w:ascii="Verdana" w:hAnsi="Verdana" w:cs="Arial"/>
          <w:sz w:val="12"/>
          <w:szCs w:val="12"/>
        </w:rPr>
        <w:t>podrán</w:t>
      </w:r>
      <w:r w:rsidRPr="00C95CD8">
        <w:rPr>
          <w:rFonts w:ascii="Verdana" w:hAnsi="Verdana" w:cs="Arial"/>
          <w:spacing w:val="1"/>
          <w:sz w:val="12"/>
          <w:szCs w:val="12"/>
        </w:rPr>
        <w:t xml:space="preserve"> </w:t>
      </w:r>
      <w:r w:rsidRPr="00C95CD8">
        <w:rPr>
          <w:rFonts w:ascii="Verdana" w:hAnsi="Verdana" w:cs="Arial"/>
          <w:sz w:val="12"/>
          <w:szCs w:val="12"/>
        </w:rPr>
        <w:t>contratar</w:t>
      </w:r>
      <w:r w:rsidRPr="00C95CD8">
        <w:rPr>
          <w:rFonts w:ascii="Verdana" w:hAnsi="Verdana" w:cs="Arial"/>
          <w:spacing w:val="1"/>
          <w:sz w:val="12"/>
          <w:szCs w:val="12"/>
        </w:rPr>
        <w:t xml:space="preserve"> </w:t>
      </w:r>
      <w:r w:rsidRPr="00C95CD8">
        <w:rPr>
          <w:rFonts w:ascii="Verdana" w:hAnsi="Verdana" w:cs="Arial"/>
          <w:sz w:val="12"/>
          <w:szCs w:val="12"/>
        </w:rPr>
        <w:t>de</w:t>
      </w:r>
      <w:r w:rsidRPr="00C95CD8">
        <w:rPr>
          <w:rFonts w:ascii="Verdana" w:hAnsi="Verdana" w:cs="Arial"/>
          <w:spacing w:val="1"/>
          <w:sz w:val="12"/>
          <w:szCs w:val="12"/>
        </w:rPr>
        <w:t xml:space="preserve"> </w:t>
      </w:r>
      <w:r w:rsidRPr="00C95CD8">
        <w:rPr>
          <w:rFonts w:ascii="Verdana" w:hAnsi="Verdana" w:cs="Arial"/>
          <w:sz w:val="12"/>
          <w:szCs w:val="12"/>
        </w:rPr>
        <w:t>manera</w:t>
      </w:r>
      <w:r w:rsidRPr="00C95CD8">
        <w:rPr>
          <w:rFonts w:ascii="Verdana" w:hAnsi="Verdana" w:cs="Arial"/>
          <w:spacing w:val="1"/>
          <w:sz w:val="12"/>
          <w:szCs w:val="12"/>
        </w:rPr>
        <w:t xml:space="preserve"> </w:t>
      </w:r>
      <w:r w:rsidRPr="00C95CD8">
        <w:rPr>
          <w:rFonts w:ascii="Verdana" w:hAnsi="Verdana" w:cs="Arial"/>
          <w:sz w:val="12"/>
          <w:szCs w:val="12"/>
        </w:rPr>
        <w:t>conjunta</w:t>
      </w:r>
      <w:r w:rsidRPr="00C95CD8">
        <w:rPr>
          <w:rFonts w:ascii="Verdana" w:hAnsi="Verdana" w:cs="Arial"/>
          <w:spacing w:val="1"/>
          <w:sz w:val="12"/>
          <w:szCs w:val="12"/>
        </w:rPr>
        <w:t xml:space="preserve"> </w:t>
      </w:r>
      <w:r w:rsidRPr="00C95CD8">
        <w:rPr>
          <w:rFonts w:ascii="Verdana" w:hAnsi="Verdana" w:cs="Arial"/>
          <w:sz w:val="12"/>
          <w:szCs w:val="12"/>
        </w:rPr>
        <w:t>sistemas</w:t>
      </w:r>
      <w:r w:rsidRPr="00C95CD8">
        <w:rPr>
          <w:rFonts w:ascii="Verdana" w:hAnsi="Verdana" w:cs="Arial"/>
          <w:spacing w:val="-10"/>
          <w:sz w:val="12"/>
          <w:szCs w:val="12"/>
        </w:rPr>
        <w:t xml:space="preserve"> </w:t>
      </w:r>
      <w:r w:rsidRPr="00C95CD8">
        <w:rPr>
          <w:rFonts w:ascii="Verdana" w:hAnsi="Verdana" w:cs="Arial"/>
          <w:sz w:val="12"/>
          <w:szCs w:val="12"/>
        </w:rPr>
        <w:t>de</w:t>
      </w:r>
      <w:r w:rsidRPr="00C95CD8">
        <w:rPr>
          <w:rFonts w:ascii="Verdana" w:hAnsi="Verdana" w:cs="Arial"/>
          <w:spacing w:val="-10"/>
          <w:sz w:val="12"/>
          <w:szCs w:val="12"/>
        </w:rPr>
        <w:t xml:space="preserve"> </w:t>
      </w:r>
      <w:r w:rsidRPr="00C95CD8">
        <w:rPr>
          <w:rFonts w:ascii="Verdana" w:hAnsi="Verdana" w:cs="Arial"/>
          <w:sz w:val="12"/>
          <w:szCs w:val="12"/>
        </w:rPr>
        <w:t>información,</w:t>
      </w:r>
      <w:r w:rsidRPr="00C95CD8">
        <w:rPr>
          <w:rFonts w:ascii="Verdana" w:hAnsi="Verdana" w:cs="Arial"/>
          <w:spacing w:val="-10"/>
          <w:sz w:val="12"/>
          <w:szCs w:val="12"/>
        </w:rPr>
        <w:t xml:space="preserve"> </w:t>
      </w:r>
      <w:r w:rsidRPr="00C95CD8">
        <w:rPr>
          <w:rFonts w:ascii="Verdana" w:hAnsi="Verdana" w:cs="Arial"/>
          <w:sz w:val="12"/>
          <w:szCs w:val="12"/>
        </w:rPr>
        <w:t>sistema</w:t>
      </w:r>
      <w:r w:rsidRPr="00C95CD8">
        <w:rPr>
          <w:rFonts w:ascii="Verdana" w:hAnsi="Verdana" w:cs="Arial"/>
          <w:spacing w:val="-9"/>
          <w:sz w:val="12"/>
          <w:szCs w:val="12"/>
        </w:rPr>
        <w:t xml:space="preserve"> </w:t>
      </w:r>
      <w:r w:rsidRPr="00C95CD8">
        <w:rPr>
          <w:rFonts w:ascii="Verdana" w:hAnsi="Verdana" w:cs="Arial"/>
          <w:sz w:val="12"/>
          <w:szCs w:val="12"/>
        </w:rPr>
        <w:t>de</w:t>
      </w:r>
      <w:r w:rsidRPr="00C95CD8">
        <w:rPr>
          <w:rFonts w:ascii="Verdana" w:hAnsi="Verdana" w:cs="Arial"/>
          <w:spacing w:val="-10"/>
          <w:sz w:val="12"/>
          <w:szCs w:val="12"/>
        </w:rPr>
        <w:t xml:space="preserve"> </w:t>
      </w:r>
      <w:r w:rsidRPr="00C95CD8">
        <w:rPr>
          <w:rFonts w:ascii="Verdana" w:hAnsi="Verdana" w:cs="Arial"/>
          <w:sz w:val="12"/>
          <w:szCs w:val="12"/>
        </w:rPr>
        <w:t>control</w:t>
      </w:r>
      <w:r w:rsidRPr="00C95CD8">
        <w:rPr>
          <w:rFonts w:ascii="Verdana" w:hAnsi="Verdana" w:cs="Arial"/>
          <w:spacing w:val="-10"/>
          <w:sz w:val="12"/>
          <w:szCs w:val="12"/>
        </w:rPr>
        <w:t xml:space="preserve"> </w:t>
      </w:r>
      <w:r w:rsidRPr="00C95CD8">
        <w:rPr>
          <w:rFonts w:ascii="Verdana" w:hAnsi="Verdana" w:cs="Arial"/>
          <w:sz w:val="12"/>
          <w:szCs w:val="12"/>
        </w:rPr>
        <w:t>interno,</w:t>
      </w:r>
      <w:r w:rsidRPr="00C95CD8">
        <w:rPr>
          <w:rFonts w:ascii="Verdana" w:hAnsi="Verdana" w:cs="Arial"/>
          <w:spacing w:val="-9"/>
          <w:sz w:val="12"/>
          <w:szCs w:val="12"/>
        </w:rPr>
        <w:t xml:space="preserve"> </w:t>
      </w:r>
      <w:r w:rsidRPr="00C95CD8">
        <w:rPr>
          <w:rFonts w:ascii="Verdana" w:hAnsi="Verdana" w:cs="Arial"/>
          <w:sz w:val="12"/>
          <w:szCs w:val="12"/>
        </w:rPr>
        <w:t>de</w:t>
      </w:r>
      <w:r w:rsidRPr="00C95CD8">
        <w:rPr>
          <w:rFonts w:ascii="Verdana" w:hAnsi="Verdana" w:cs="Arial"/>
          <w:spacing w:val="-10"/>
          <w:sz w:val="12"/>
          <w:szCs w:val="12"/>
        </w:rPr>
        <w:t xml:space="preserve"> </w:t>
      </w:r>
      <w:r w:rsidRPr="00C95CD8">
        <w:rPr>
          <w:rFonts w:ascii="Verdana" w:hAnsi="Verdana" w:cs="Arial"/>
          <w:sz w:val="12"/>
          <w:szCs w:val="12"/>
        </w:rPr>
        <w:t>interventorías,</w:t>
      </w:r>
      <w:r w:rsidRPr="00C95CD8">
        <w:rPr>
          <w:rFonts w:ascii="Verdana" w:hAnsi="Verdana" w:cs="Arial"/>
          <w:spacing w:val="-10"/>
          <w:sz w:val="12"/>
          <w:szCs w:val="12"/>
        </w:rPr>
        <w:t xml:space="preserve"> </w:t>
      </w:r>
      <w:r w:rsidRPr="00C95CD8">
        <w:rPr>
          <w:rFonts w:ascii="Verdana" w:hAnsi="Verdana" w:cs="Arial"/>
          <w:sz w:val="12"/>
          <w:szCs w:val="12"/>
        </w:rPr>
        <w:t>gestión</w:t>
      </w:r>
      <w:r w:rsidRPr="00C95CD8">
        <w:rPr>
          <w:rFonts w:ascii="Verdana" w:hAnsi="Verdana" w:cs="Arial"/>
          <w:spacing w:val="-10"/>
          <w:sz w:val="12"/>
          <w:szCs w:val="12"/>
        </w:rPr>
        <w:t xml:space="preserve"> </w:t>
      </w:r>
      <w:r w:rsidRPr="00C95CD8">
        <w:rPr>
          <w:rFonts w:ascii="Verdana" w:hAnsi="Verdana" w:cs="Arial"/>
          <w:sz w:val="12"/>
          <w:szCs w:val="12"/>
        </w:rPr>
        <w:t>de</w:t>
      </w:r>
      <w:r w:rsidRPr="00C95CD8">
        <w:rPr>
          <w:rFonts w:ascii="Verdana" w:hAnsi="Verdana" w:cs="Arial"/>
          <w:spacing w:val="-9"/>
          <w:sz w:val="12"/>
          <w:szCs w:val="12"/>
        </w:rPr>
        <w:t xml:space="preserve"> </w:t>
      </w:r>
      <w:r w:rsidRPr="00C95CD8">
        <w:rPr>
          <w:rFonts w:ascii="Verdana" w:hAnsi="Verdana" w:cs="Arial"/>
          <w:sz w:val="12"/>
          <w:szCs w:val="12"/>
        </w:rPr>
        <w:t>calidad</w:t>
      </w:r>
      <w:r w:rsidRPr="00C95CD8">
        <w:rPr>
          <w:rFonts w:ascii="Verdana" w:hAnsi="Verdana" w:cs="Arial"/>
          <w:spacing w:val="-10"/>
          <w:sz w:val="12"/>
          <w:szCs w:val="12"/>
        </w:rPr>
        <w:t xml:space="preserve"> </w:t>
      </w:r>
      <w:r w:rsidRPr="00C95CD8">
        <w:rPr>
          <w:rFonts w:ascii="Verdana" w:hAnsi="Verdana" w:cs="Arial"/>
          <w:sz w:val="12"/>
          <w:szCs w:val="12"/>
        </w:rPr>
        <w:t>y</w:t>
      </w:r>
      <w:r w:rsidRPr="00C95CD8">
        <w:rPr>
          <w:rFonts w:ascii="Verdana" w:hAnsi="Verdana" w:cs="Arial"/>
          <w:spacing w:val="-10"/>
          <w:sz w:val="12"/>
          <w:szCs w:val="12"/>
        </w:rPr>
        <w:t xml:space="preserve"> </w:t>
      </w:r>
      <w:r w:rsidRPr="00C95CD8">
        <w:rPr>
          <w:rFonts w:ascii="Verdana" w:hAnsi="Verdana" w:cs="Arial"/>
          <w:sz w:val="12"/>
          <w:szCs w:val="12"/>
        </w:rPr>
        <w:t>auditorías,</w:t>
      </w:r>
      <w:r w:rsidRPr="00C95CD8">
        <w:rPr>
          <w:rFonts w:ascii="Verdana" w:hAnsi="Verdana" w:cs="Arial"/>
          <w:spacing w:val="1"/>
          <w:sz w:val="12"/>
          <w:szCs w:val="12"/>
        </w:rPr>
        <w:t xml:space="preserve"> </w:t>
      </w:r>
      <w:r w:rsidRPr="00C95CD8">
        <w:rPr>
          <w:rFonts w:ascii="Verdana" w:hAnsi="Verdana" w:cs="Arial"/>
          <w:sz w:val="12"/>
          <w:szCs w:val="12"/>
        </w:rPr>
        <w:t>de</w:t>
      </w:r>
      <w:r w:rsidRPr="00C95CD8">
        <w:rPr>
          <w:rFonts w:ascii="Verdana" w:hAnsi="Verdana" w:cs="Arial"/>
          <w:spacing w:val="1"/>
          <w:sz w:val="12"/>
          <w:szCs w:val="12"/>
        </w:rPr>
        <w:t xml:space="preserve"> </w:t>
      </w:r>
      <w:r w:rsidRPr="00C95CD8">
        <w:rPr>
          <w:rFonts w:ascii="Verdana" w:hAnsi="Verdana" w:cs="Arial"/>
          <w:sz w:val="12"/>
          <w:szCs w:val="12"/>
        </w:rPr>
        <w:t>recurso</w:t>
      </w:r>
      <w:r w:rsidRPr="00C95CD8">
        <w:rPr>
          <w:rFonts w:ascii="Verdana" w:hAnsi="Verdana" w:cs="Arial"/>
          <w:spacing w:val="1"/>
          <w:sz w:val="12"/>
          <w:szCs w:val="12"/>
        </w:rPr>
        <w:t xml:space="preserve"> </w:t>
      </w:r>
      <w:r w:rsidRPr="00C95CD8">
        <w:rPr>
          <w:rFonts w:ascii="Verdana" w:hAnsi="Verdana" w:cs="Arial"/>
          <w:sz w:val="12"/>
          <w:szCs w:val="12"/>
        </w:rPr>
        <w:t>humano</w:t>
      </w:r>
      <w:r w:rsidRPr="00C95CD8">
        <w:rPr>
          <w:rFonts w:ascii="Verdana" w:hAnsi="Verdana" w:cs="Arial"/>
          <w:spacing w:val="1"/>
          <w:sz w:val="12"/>
          <w:szCs w:val="12"/>
        </w:rPr>
        <w:t xml:space="preserve"> </w:t>
      </w:r>
      <w:r w:rsidRPr="00C95CD8">
        <w:rPr>
          <w:rFonts w:ascii="Verdana" w:hAnsi="Verdana" w:cs="Arial"/>
          <w:sz w:val="12"/>
          <w:szCs w:val="12"/>
        </w:rPr>
        <w:t>y</w:t>
      </w:r>
      <w:r w:rsidRPr="00C95CD8">
        <w:rPr>
          <w:rFonts w:ascii="Verdana" w:hAnsi="Verdana" w:cs="Arial"/>
          <w:spacing w:val="1"/>
          <w:sz w:val="12"/>
          <w:szCs w:val="12"/>
        </w:rPr>
        <w:t xml:space="preserve"> </w:t>
      </w:r>
      <w:r w:rsidRPr="00C95CD8">
        <w:rPr>
          <w:rFonts w:ascii="Verdana" w:hAnsi="Verdana" w:cs="Arial"/>
          <w:sz w:val="12"/>
          <w:szCs w:val="12"/>
        </w:rPr>
        <w:t>demás</w:t>
      </w:r>
      <w:r w:rsidRPr="00C95CD8">
        <w:rPr>
          <w:rFonts w:ascii="Verdana" w:hAnsi="Verdana" w:cs="Arial"/>
          <w:spacing w:val="1"/>
          <w:sz w:val="12"/>
          <w:szCs w:val="12"/>
        </w:rPr>
        <w:t xml:space="preserve"> </w:t>
      </w:r>
      <w:r w:rsidRPr="00C95CD8">
        <w:rPr>
          <w:rFonts w:ascii="Verdana" w:hAnsi="Verdana" w:cs="Arial"/>
          <w:sz w:val="12"/>
          <w:szCs w:val="12"/>
        </w:rPr>
        <w:t>funciones</w:t>
      </w:r>
      <w:r w:rsidRPr="00C95CD8">
        <w:rPr>
          <w:rFonts w:ascii="Verdana" w:hAnsi="Verdana" w:cs="Arial"/>
          <w:spacing w:val="1"/>
          <w:sz w:val="12"/>
          <w:szCs w:val="12"/>
        </w:rPr>
        <w:t xml:space="preserve"> </w:t>
      </w:r>
      <w:r w:rsidRPr="00C95CD8">
        <w:rPr>
          <w:rFonts w:ascii="Verdana" w:hAnsi="Verdana" w:cs="Arial"/>
          <w:sz w:val="12"/>
          <w:szCs w:val="12"/>
        </w:rPr>
        <w:t>administrativas,</w:t>
      </w:r>
      <w:r w:rsidRPr="00C95CD8">
        <w:rPr>
          <w:rFonts w:ascii="Verdana" w:hAnsi="Verdana" w:cs="Arial"/>
          <w:spacing w:val="1"/>
          <w:sz w:val="12"/>
          <w:szCs w:val="12"/>
        </w:rPr>
        <w:t xml:space="preserve"> </w:t>
      </w:r>
      <w:r w:rsidRPr="00C95CD8">
        <w:rPr>
          <w:rFonts w:ascii="Verdana" w:hAnsi="Verdana" w:cs="Arial"/>
          <w:sz w:val="12"/>
          <w:szCs w:val="12"/>
        </w:rPr>
        <w:t>para</w:t>
      </w:r>
      <w:r w:rsidRPr="00C95CD8">
        <w:rPr>
          <w:rFonts w:ascii="Verdana" w:hAnsi="Verdana" w:cs="Arial"/>
          <w:spacing w:val="1"/>
          <w:sz w:val="12"/>
          <w:szCs w:val="12"/>
        </w:rPr>
        <w:t xml:space="preserve"> </w:t>
      </w:r>
      <w:r w:rsidRPr="00C95CD8">
        <w:rPr>
          <w:rFonts w:ascii="Verdana" w:hAnsi="Verdana" w:cs="Arial"/>
          <w:sz w:val="12"/>
          <w:szCs w:val="12"/>
        </w:rPr>
        <w:t>el</w:t>
      </w:r>
      <w:r w:rsidRPr="00C95CD8">
        <w:rPr>
          <w:rFonts w:ascii="Verdana" w:hAnsi="Verdana" w:cs="Arial"/>
          <w:spacing w:val="1"/>
          <w:sz w:val="12"/>
          <w:szCs w:val="12"/>
        </w:rPr>
        <w:t xml:space="preserve"> </w:t>
      </w:r>
      <w:r w:rsidRPr="00C95CD8">
        <w:rPr>
          <w:rFonts w:ascii="Verdana" w:hAnsi="Verdana" w:cs="Arial"/>
          <w:sz w:val="12"/>
          <w:szCs w:val="12"/>
        </w:rPr>
        <w:t>desarrollo</w:t>
      </w:r>
      <w:r w:rsidRPr="00C95CD8">
        <w:rPr>
          <w:rFonts w:ascii="Verdana" w:hAnsi="Verdana" w:cs="Arial"/>
          <w:spacing w:val="1"/>
          <w:sz w:val="12"/>
          <w:szCs w:val="12"/>
        </w:rPr>
        <w:t xml:space="preserve"> </w:t>
      </w:r>
      <w:r w:rsidRPr="00C95CD8">
        <w:rPr>
          <w:rFonts w:ascii="Verdana" w:hAnsi="Verdana" w:cs="Arial"/>
          <w:sz w:val="12"/>
          <w:szCs w:val="12"/>
        </w:rPr>
        <w:t>de</w:t>
      </w:r>
      <w:r w:rsidRPr="00C95CD8">
        <w:rPr>
          <w:rFonts w:ascii="Verdana" w:hAnsi="Verdana" w:cs="Arial"/>
          <w:spacing w:val="1"/>
          <w:sz w:val="12"/>
          <w:szCs w:val="12"/>
        </w:rPr>
        <w:t xml:space="preserve"> </w:t>
      </w:r>
      <w:r w:rsidRPr="00C95CD8">
        <w:rPr>
          <w:rFonts w:ascii="Verdana" w:hAnsi="Verdana" w:cs="Arial"/>
          <w:sz w:val="12"/>
          <w:szCs w:val="12"/>
        </w:rPr>
        <w:t>actividades</w:t>
      </w:r>
      <w:r w:rsidRPr="00C95CD8">
        <w:rPr>
          <w:rFonts w:ascii="Verdana" w:hAnsi="Verdana" w:cs="Arial"/>
          <w:spacing w:val="1"/>
          <w:sz w:val="12"/>
          <w:szCs w:val="12"/>
        </w:rPr>
        <w:t xml:space="preserve"> </w:t>
      </w:r>
      <w:r w:rsidRPr="00C95CD8">
        <w:rPr>
          <w:rFonts w:ascii="Verdana" w:hAnsi="Verdana" w:cs="Arial"/>
          <w:sz w:val="12"/>
          <w:szCs w:val="12"/>
        </w:rPr>
        <w:t>especializadas, de tipo operativo y de apoyo que puedan cubrir las necesidades de la empresa, de</w:t>
      </w:r>
      <w:r w:rsidRPr="00C95CD8">
        <w:rPr>
          <w:rFonts w:ascii="Verdana" w:hAnsi="Verdana" w:cs="Arial"/>
          <w:spacing w:val="1"/>
          <w:sz w:val="12"/>
          <w:szCs w:val="12"/>
        </w:rPr>
        <w:t xml:space="preserve"> </w:t>
      </w:r>
      <w:r w:rsidRPr="00C95CD8">
        <w:rPr>
          <w:rFonts w:ascii="Verdana" w:hAnsi="Verdana" w:cs="Arial"/>
          <w:sz w:val="12"/>
          <w:szCs w:val="12"/>
        </w:rPr>
        <w:t>forma</w:t>
      </w:r>
      <w:r w:rsidRPr="00C95CD8">
        <w:rPr>
          <w:rFonts w:ascii="Verdana" w:hAnsi="Verdana" w:cs="Arial"/>
          <w:spacing w:val="-2"/>
          <w:sz w:val="12"/>
          <w:szCs w:val="12"/>
        </w:rPr>
        <w:t xml:space="preserve"> </w:t>
      </w:r>
      <w:r w:rsidRPr="00C95CD8">
        <w:rPr>
          <w:rFonts w:ascii="Verdana" w:hAnsi="Verdana" w:cs="Arial"/>
          <w:sz w:val="12"/>
          <w:szCs w:val="12"/>
        </w:rPr>
        <w:t>tal</w:t>
      </w:r>
      <w:r w:rsidRPr="00C95CD8">
        <w:rPr>
          <w:rFonts w:ascii="Verdana" w:hAnsi="Verdana" w:cs="Arial"/>
          <w:spacing w:val="-2"/>
          <w:sz w:val="12"/>
          <w:szCs w:val="12"/>
        </w:rPr>
        <w:t xml:space="preserve"> </w:t>
      </w:r>
      <w:r w:rsidRPr="00C95CD8">
        <w:rPr>
          <w:rFonts w:ascii="Verdana" w:hAnsi="Verdana" w:cs="Arial"/>
          <w:sz w:val="12"/>
          <w:szCs w:val="12"/>
        </w:rPr>
        <w:t>que</w:t>
      </w:r>
      <w:r w:rsidRPr="00C95CD8">
        <w:rPr>
          <w:rFonts w:ascii="Verdana" w:hAnsi="Verdana" w:cs="Arial"/>
          <w:spacing w:val="-2"/>
          <w:sz w:val="12"/>
          <w:szCs w:val="12"/>
        </w:rPr>
        <w:t xml:space="preserve"> </w:t>
      </w:r>
      <w:r w:rsidRPr="00C95CD8">
        <w:rPr>
          <w:rFonts w:ascii="Verdana" w:hAnsi="Verdana" w:cs="Arial"/>
          <w:sz w:val="12"/>
          <w:szCs w:val="12"/>
        </w:rPr>
        <w:t>la</w:t>
      </w:r>
      <w:r w:rsidRPr="00C95CD8">
        <w:rPr>
          <w:rFonts w:ascii="Verdana" w:hAnsi="Verdana" w:cs="Arial"/>
          <w:spacing w:val="-1"/>
          <w:sz w:val="12"/>
          <w:szCs w:val="12"/>
        </w:rPr>
        <w:t xml:space="preserve"> </w:t>
      </w:r>
      <w:r w:rsidRPr="00C95CD8">
        <w:rPr>
          <w:rFonts w:ascii="Verdana" w:hAnsi="Verdana" w:cs="Arial"/>
          <w:sz w:val="12"/>
          <w:szCs w:val="12"/>
        </w:rPr>
        <w:t>gestión</w:t>
      </w:r>
      <w:r w:rsidRPr="00C95CD8">
        <w:rPr>
          <w:rFonts w:ascii="Verdana" w:hAnsi="Verdana" w:cs="Arial"/>
          <w:spacing w:val="-2"/>
          <w:sz w:val="12"/>
          <w:szCs w:val="12"/>
        </w:rPr>
        <w:t xml:space="preserve"> </w:t>
      </w:r>
      <w:r w:rsidRPr="00C95CD8">
        <w:rPr>
          <w:rFonts w:ascii="Verdana" w:hAnsi="Verdana" w:cs="Arial"/>
          <w:sz w:val="12"/>
          <w:szCs w:val="12"/>
        </w:rPr>
        <w:t>resulte</w:t>
      </w:r>
      <w:r w:rsidRPr="00C95CD8">
        <w:rPr>
          <w:rFonts w:ascii="Verdana" w:hAnsi="Verdana" w:cs="Arial"/>
          <w:spacing w:val="-2"/>
          <w:sz w:val="12"/>
          <w:szCs w:val="12"/>
        </w:rPr>
        <w:t xml:space="preserve"> </w:t>
      </w:r>
      <w:r w:rsidRPr="00C95CD8">
        <w:rPr>
          <w:rFonts w:ascii="Verdana" w:hAnsi="Verdana" w:cs="Arial"/>
          <w:sz w:val="12"/>
          <w:szCs w:val="12"/>
        </w:rPr>
        <w:t>más</w:t>
      </w:r>
      <w:r w:rsidRPr="00C95CD8">
        <w:rPr>
          <w:rFonts w:ascii="Verdana" w:hAnsi="Verdana" w:cs="Arial"/>
          <w:spacing w:val="-1"/>
          <w:sz w:val="12"/>
          <w:szCs w:val="12"/>
        </w:rPr>
        <w:t xml:space="preserve"> </w:t>
      </w:r>
      <w:r w:rsidRPr="00C95CD8">
        <w:rPr>
          <w:rFonts w:ascii="Verdana" w:hAnsi="Verdana" w:cs="Arial"/>
          <w:sz w:val="12"/>
          <w:szCs w:val="12"/>
        </w:rPr>
        <w:t>eficiente,</w:t>
      </w:r>
      <w:r w:rsidRPr="00C95CD8">
        <w:rPr>
          <w:rFonts w:ascii="Verdana" w:hAnsi="Verdana" w:cs="Arial"/>
          <w:spacing w:val="-2"/>
          <w:sz w:val="12"/>
          <w:szCs w:val="12"/>
        </w:rPr>
        <w:t xml:space="preserve"> </w:t>
      </w:r>
      <w:r w:rsidRPr="00C95CD8">
        <w:rPr>
          <w:rFonts w:ascii="Verdana" w:hAnsi="Verdana" w:cs="Arial"/>
          <w:sz w:val="12"/>
          <w:szCs w:val="12"/>
        </w:rPr>
        <w:t>con</w:t>
      </w:r>
      <w:r w:rsidRPr="00C95CD8">
        <w:rPr>
          <w:rFonts w:ascii="Verdana" w:hAnsi="Verdana" w:cs="Arial"/>
          <w:spacing w:val="-2"/>
          <w:sz w:val="12"/>
          <w:szCs w:val="12"/>
        </w:rPr>
        <w:t xml:space="preserve"> </w:t>
      </w:r>
      <w:r w:rsidRPr="00C95CD8">
        <w:rPr>
          <w:rFonts w:ascii="Verdana" w:hAnsi="Verdana" w:cs="Arial"/>
          <w:sz w:val="12"/>
          <w:szCs w:val="12"/>
        </w:rPr>
        <w:t>calidad</w:t>
      </w:r>
      <w:r w:rsidRPr="00C95CD8">
        <w:rPr>
          <w:rFonts w:ascii="Verdana" w:hAnsi="Verdana" w:cs="Arial"/>
          <w:spacing w:val="-1"/>
          <w:sz w:val="12"/>
          <w:szCs w:val="12"/>
        </w:rPr>
        <w:t xml:space="preserve"> </w:t>
      </w:r>
      <w:r w:rsidRPr="00C95CD8">
        <w:rPr>
          <w:rFonts w:ascii="Verdana" w:hAnsi="Verdana" w:cs="Arial"/>
          <w:sz w:val="12"/>
          <w:szCs w:val="12"/>
        </w:rPr>
        <w:t>e</w:t>
      </w:r>
      <w:r w:rsidRPr="00C95CD8">
        <w:rPr>
          <w:rFonts w:ascii="Verdana" w:hAnsi="Verdana" w:cs="Arial"/>
          <w:spacing w:val="-2"/>
          <w:sz w:val="12"/>
          <w:szCs w:val="12"/>
        </w:rPr>
        <w:t xml:space="preserve"> </w:t>
      </w:r>
      <w:r w:rsidRPr="00C95CD8">
        <w:rPr>
          <w:rFonts w:ascii="Verdana" w:hAnsi="Verdana" w:cs="Arial"/>
          <w:sz w:val="12"/>
          <w:szCs w:val="12"/>
        </w:rPr>
        <w:t>implique</w:t>
      </w:r>
      <w:r w:rsidRPr="00C95CD8">
        <w:rPr>
          <w:rFonts w:ascii="Verdana" w:hAnsi="Verdana" w:cs="Arial"/>
          <w:spacing w:val="-2"/>
          <w:sz w:val="12"/>
          <w:szCs w:val="12"/>
        </w:rPr>
        <w:t xml:space="preserve"> </w:t>
      </w:r>
      <w:r w:rsidRPr="00C95CD8">
        <w:rPr>
          <w:rFonts w:ascii="Verdana" w:hAnsi="Verdana" w:cs="Arial"/>
          <w:sz w:val="12"/>
          <w:szCs w:val="12"/>
        </w:rPr>
        <w:t>menor</w:t>
      </w:r>
      <w:r w:rsidRPr="00C95CD8">
        <w:rPr>
          <w:rFonts w:ascii="Verdana" w:hAnsi="Verdana" w:cs="Arial"/>
          <w:spacing w:val="-2"/>
          <w:sz w:val="12"/>
          <w:szCs w:val="12"/>
        </w:rPr>
        <w:t xml:space="preserve"> </w:t>
      </w:r>
      <w:r w:rsidRPr="00C95CD8">
        <w:rPr>
          <w:rFonts w:ascii="Verdana" w:hAnsi="Verdana" w:cs="Arial"/>
          <w:sz w:val="12"/>
          <w:szCs w:val="12"/>
        </w:rPr>
        <w:t>costo.</w:t>
      </w:r>
    </w:p>
    <w:p w14:paraId="5ED4503E" w14:textId="77777777" w:rsidR="00785986" w:rsidRPr="00C95CD8" w:rsidRDefault="00785986" w:rsidP="00785986">
      <w:pPr>
        <w:spacing w:after="0" w:line="240" w:lineRule="auto"/>
        <w:ind w:firstLine="708"/>
        <w:jc w:val="both"/>
        <w:rPr>
          <w:rFonts w:ascii="Verdana" w:hAnsi="Verdana" w:cs="Arial"/>
          <w:sz w:val="12"/>
          <w:szCs w:val="12"/>
        </w:rPr>
      </w:pPr>
    </w:p>
    <w:p w14:paraId="121753B0" w14:textId="77777777" w:rsidR="00785986" w:rsidRPr="00C95CD8" w:rsidRDefault="00785986" w:rsidP="00785986">
      <w:pPr>
        <w:spacing w:after="0" w:line="240" w:lineRule="auto"/>
        <w:ind w:firstLine="708"/>
        <w:jc w:val="both"/>
        <w:rPr>
          <w:rFonts w:ascii="Verdana" w:hAnsi="Verdana" w:cs="Arial"/>
          <w:sz w:val="12"/>
          <w:szCs w:val="12"/>
        </w:rPr>
      </w:pPr>
      <w:r w:rsidRPr="00C95CD8">
        <w:rPr>
          <w:rFonts w:ascii="Verdana" w:hAnsi="Verdana" w:cs="Arial"/>
          <w:sz w:val="12"/>
          <w:szCs w:val="12"/>
        </w:rPr>
        <w:t>Estas</w:t>
      </w:r>
      <w:r w:rsidRPr="00C95CD8">
        <w:rPr>
          <w:rFonts w:ascii="Verdana" w:hAnsi="Verdana" w:cs="Arial"/>
          <w:spacing w:val="1"/>
          <w:sz w:val="12"/>
          <w:szCs w:val="12"/>
        </w:rPr>
        <w:t xml:space="preserve"> </w:t>
      </w:r>
      <w:r w:rsidRPr="00C95CD8">
        <w:rPr>
          <w:rFonts w:ascii="Verdana" w:hAnsi="Verdana" w:cs="Arial"/>
          <w:sz w:val="12"/>
          <w:szCs w:val="12"/>
        </w:rPr>
        <w:t>instituciones</w:t>
      </w:r>
      <w:r w:rsidRPr="00C95CD8">
        <w:rPr>
          <w:rFonts w:ascii="Verdana" w:hAnsi="Verdana" w:cs="Arial"/>
          <w:spacing w:val="1"/>
          <w:sz w:val="12"/>
          <w:szCs w:val="12"/>
        </w:rPr>
        <w:t xml:space="preserve"> </w:t>
      </w:r>
      <w:r w:rsidRPr="00C95CD8">
        <w:rPr>
          <w:rFonts w:ascii="Verdana" w:hAnsi="Verdana" w:cs="Arial"/>
          <w:sz w:val="12"/>
          <w:szCs w:val="12"/>
        </w:rPr>
        <w:t>podrán</w:t>
      </w:r>
      <w:r w:rsidRPr="00C95CD8">
        <w:rPr>
          <w:rFonts w:ascii="Verdana" w:hAnsi="Verdana" w:cs="Arial"/>
          <w:spacing w:val="1"/>
          <w:sz w:val="12"/>
          <w:szCs w:val="12"/>
        </w:rPr>
        <w:t xml:space="preserve"> </w:t>
      </w:r>
      <w:r w:rsidRPr="00C95CD8">
        <w:rPr>
          <w:rFonts w:ascii="Verdana" w:hAnsi="Verdana" w:cs="Arial"/>
          <w:sz w:val="12"/>
          <w:szCs w:val="12"/>
        </w:rPr>
        <w:t>utilizar</w:t>
      </w:r>
      <w:r w:rsidRPr="00C95CD8">
        <w:rPr>
          <w:rFonts w:ascii="Verdana" w:hAnsi="Verdana" w:cs="Arial"/>
          <w:spacing w:val="1"/>
          <w:sz w:val="12"/>
          <w:szCs w:val="12"/>
        </w:rPr>
        <w:t xml:space="preserve"> </w:t>
      </w:r>
      <w:r w:rsidRPr="00C95CD8">
        <w:rPr>
          <w:rFonts w:ascii="Verdana" w:hAnsi="Verdana" w:cs="Arial"/>
          <w:sz w:val="12"/>
          <w:szCs w:val="12"/>
        </w:rPr>
        <w:t>mecanismos</w:t>
      </w:r>
      <w:r w:rsidRPr="00C95CD8">
        <w:rPr>
          <w:rFonts w:ascii="Verdana" w:hAnsi="Verdana" w:cs="Arial"/>
          <w:spacing w:val="1"/>
          <w:sz w:val="12"/>
          <w:szCs w:val="12"/>
        </w:rPr>
        <w:t xml:space="preserve"> </w:t>
      </w:r>
      <w:r w:rsidRPr="00C95CD8">
        <w:rPr>
          <w:rFonts w:ascii="Verdana" w:hAnsi="Verdana" w:cs="Arial"/>
          <w:sz w:val="12"/>
          <w:szCs w:val="12"/>
        </w:rPr>
        <w:t>de</w:t>
      </w:r>
      <w:r w:rsidRPr="00C95CD8">
        <w:rPr>
          <w:rFonts w:ascii="Verdana" w:hAnsi="Verdana" w:cs="Arial"/>
          <w:spacing w:val="1"/>
          <w:sz w:val="12"/>
          <w:szCs w:val="12"/>
        </w:rPr>
        <w:t xml:space="preserve"> </w:t>
      </w:r>
      <w:r w:rsidRPr="00C95CD8">
        <w:rPr>
          <w:rFonts w:ascii="Verdana" w:hAnsi="Verdana" w:cs="Arial"/>
          <w:sz w:val="12"/>
          <w:szCs w:val="12"/>
        </w:rPr>
        <w:t>subasta</w:t>
      </w:r>
      <w:r w:rsidRPr="00C95CD8">
        <w:rPr>
          <w:rFonts w:ascii="Verdana" w:hAnsi="Verdana" w:cs="Arial"/>
          <w:spacing w:val="1"/>
          <w:sz w:val="12"/>
          <w:szCs w:val="12"/>
        </w:rPr>
        <w:t xml:space="preserve"> </w:t>
      </w:r>
      <w:r w:rsidRPr="00C95CD8">
        <w:rPr>
          <w:rFonts w:ascii="Verdana" w:hAnsi="Verdana" w:cs="Arial"/>
          <w:sz w:val="12"/>
          <w:szCs w:val="12"/>
        </w:rPr>
        <w:t>inversa</w:t>
      </w:r>
      <w:r w:rsidRPr="00C95CD8">
        <w:rPr>
          <w:rFonts w:ascii="Verdana" w:hAnsi="Verdana" w:cs="Arial"/>
          <w:spacing w:val="1"/>
          <w:sz w:val="12"/>
          <w:szCs w:val="12"/>
        </w:rPr>
        <w:t xml:space="preserve"> </w:t>
      </w:r>
      <w:r w:rsidRPr="00C95CD8">
        <w:rPr>
          <w:rFonts w:ascii="Verdana" w:hAnsi="Verdana" w:cs="Arial"/>
          <w:sz w:val="12"/>
          <w:szCs w:val="12"/>
        </w:rPr>
        <w:t>para</w:t>
      </w:r>
      <w:r w:rsidRPr="00C95CD8">
        <w:rPr>
          <w:rFonts w:ascii="Verdana" w:hAnsi="Verdana" w:cs="Arial"/>
          <w:spacing w:val="1"/>
          <w:sz w:val="12"/>
          <w:szCs w:val="12"/>
        </w:rPr>
        <w:t xml:space="preserve"> </w:t>
      </w:r>
      <w:r w:rsidRPr="00C95CD8">
        <w:rPr>
          <w:rFonts w:ascii="Verdana" w:hAnsi="Verdana" w:cs="Arial"/>
          <w:sz w:val="12"/>
          <w:szCs w:val="12"/>
        </w:rPr>
        <w:t>lograr</w:t>
      </w:r>
      <w:r w:rsidRPr="00C95CD8">
        <w:rPr>
          <w:rFonts w:ascii="Verdana" w:hAnsi="Verdana" w:cs="Arial"/>
          <w:spacing w:val="1"/>
          <w:sz w:val="12"/>
          <w:szCs w:val="12"/>
        </w:rPr>
        <w:t xml:space="preserve"> </w:t>
      </w:r>
      <w:r w:rsidRPr="00C95CD8">
        <w:rPr>
          <w:rFonts w:ascii="Verdana" w:hAnsi="Verdana" w:cs="Arial"/>
          <w:sz w:val="12"/>
          <w:szCs w:val="12"/>
        </w:rPr>
        <w:t>mayor</w:t>
      </w:r>
      <w:r w:rsidRPr="00C95CD8">
        <w:rPr>
          <w:rFonts w:ascii="Verdana" w:hAnsi="Verdana" w:cs="Arial"/>
          <w:spacing w:val="-50"/>
          <w:sz w:val="12"/>
          <w:szCs w:val="12"/>
        </w:rPr>
        <w:t xml:space="preserve"> </w:t>
      </w:r>
      <w:r w:rsidRPr="00C95CD8">
        <w:rPr>
          <w:rFonts w:ascii="Verdana" w:hAnsi="Verdana" w:cs="Arial"/>
          <w:sz w:val="12"/>
          <w:szCs w:val="12"/>
        </w:rPr>
        <w:t>eficiencia</w:t>
      </w:r>
      <w:r w:rsidRPr="00C95CD8">
        <w:rPr>
          <w:rFonts w:ascii="Verdana" w:hAnsi="Verdana" w:cs="Arial"/>
          <w:spacing w:val="-2"/>
          <w:sz w:val="12"/>
          <w:szCs w:val="12"/>
        </w:rPr>
        <w:t xml:space="preserve"> </w:t>
      </w:r>
      <w:r w:rsidRPr="00C95CD8">
        <w:rPr>
          <w:rFonts w:ascii="Verdana" w:hAnsi="Verdana" w:cs="Arial"/>
          <w:sz w:val="12"/>
          <w:szCs w:val="12"/>
        </w:rPr>
        <w:t>en</w:t>
      </w:r>
      <w:r w:rsidRPr="00C95CD8">
        <w:rPr>
          <w:rFonts w:ascii="Verdana" w:hAnsi="Verdana" w:cs="Arial"/>
          <w:spacing w:val="-1"/>
          <w:sz w:val="12"/>
          <w:szCs w:val="12"/>
        </w:rPr>
        <w:t xml:space="preserve"> </w:t>
      </w:r>
      <w:r w:rsidRPr="00C95CD8">
        <w:rPr>
          <w:rFonts w:ascii="Verdana" w:hAnsi="Verdana" w:cs="Arial"/>
          <w:sz w:val="12"/>
          <w:szCs w:val="12"/>
        </w:rPr>
        <w:t>sus</w:t>
      </w:r>
      <w:r w:rsidRPr="00C95CD8">
        <w:rPr>
          <w:rFonts w:ascii="Verdana" w:hAnsi="Verdana" w:cs="Arial"/>
          <w:spacing w:val="-1"/>
          <w:sz w:val="12"/>
          <w:szCs w:val="12"/>
        </w:rPr>
        <w:t xml:space="preserve"> </w:t>
      </w:r>
      <w:r w:rsidRPr="00C95CD8">
        <w:rPr>
          <w:rFonts w:ascii="Verdana" w:hAnsi="Verdana" w:cs="Arial"/>
          <w:sz w:val="12"/>
          <w:szCs w:val="12"/>
        </w:rPr>
        <w:t>adquisiciones”.</w:t>
      </w:r>
    </w:p>
    <w:p w14:paraId="23F22F67" w14:textId="77777777" w:rsidR="00785986" w:rsidRPr="00C95CD8" w:rsidRDefault="00785986" w:rsidP="00785986">
      <w:pPr>
        <w:spacing w:after="0" w:line="240" w:lineRule="auto"/>
        <w:ind w:firstLine="708"/>
        <w:jc w:val="both"/>
        <w:rPr>
          <w:rFonts w:ascii="Verdana" w:hAnsi="Verdana" w:cs="Arial"/>
          <w:sz w:val="12"/>
          <w:szCs w:val="12"/>
        </w:rPr>
      </w:pPr>
    </w:p>
  </w:footnote>
  <w:footnote w:id="16">
    <w:p w14:paraId="1D113931" w14:textId="77777777" w:rsidR="00785986" w:rsidRPr="00C95CD8" w:rsidRDefault="00785986" w:rsidP="00785986">
      <w:pPr>
        <w:pStyle w:val="NormalWeb"/>
        <w:shd w:val="clear" w:color="auto" w:fill="FFFFFF"/>
        <w:spacing w:after="0"/>
        <w:ind w:firstLine="708"/>
        <w:jc w:val="both"/>
        <w:rPr>
          <w:rFonts w:ascii="Verdana" w:hAnsi="Verdana" w:cs="Arial"/>
          <w:color w:val="333333"/>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w:t>
      </w:r>
      <w:r w:rsidRPr="00C95CD8">
        <w:rPr>
          <w:rFonts w:ascii="Verdana" w:hAnsi="Verdana" w:cs="Arial"/>
          <w:color w:val="333333"/>
          <w:sz w:val="12"/>
          <w:szCs w:val="12"/>
        </w:rPr>
        <w:t>Artículo 11. </w:t>
      </w:r>
      <w:r w:rsidRPr="00C95CD8">
        <w:rPr>
          <w:rFonts w:ascii="Verdana" w:hAnsi="Verdana" w:cs="Arial"/>
          <w:i/>
          <w:iCs/>
          <w:color w:val="333333"/>
          <w:sz w:val="12"/>
          <w:szCs w:val="12"/>
        </w:rPr>
        <w:t>Fase de contratación</w:t>
      </w:r>
      <w:r w:rsidRPr="00C95CD8">
        <w:rPr>
          <w:rFonts w:ascii="Verdana" w:hAnsi="Verdana" w:cs="Arial"/>
          <w:color w:val="333333"/>
          <w:sz w:val="12"/>
          <w:szCs w:val="12"/>
        </w:rPr>
        <w:t>. Corresponde al período comprendido entre la sus</w:t>
      </w:r>
      <w:r w:rsidRPr="00C95CD8">
        <w:rPr>
          <w:rFonts w:ascii="Verdana" w:hAnsi="Verdana" w:cs="Arial"/>
          <w:color w:val="333333"/>
          <w:sz w:val="12"/>
          <w:szCs w:val="12"/>
        </w:rPr>
        <w:softHyphen/>
        <w:t xml:space="preserve">cripción del contrato y la publicación en el </w:t>
      </w:r>
      <w:r w:rsidRPr="00C95CD8">
        <w:rPr>
          <w:rFonts w:ascii="Verdana" w:hAnsi="Verdana" w:cs="Arial"/>
          <w:color w:val="333333"/>
          <w:sz w:val="12"/>
          <w:szCs w:val="12"/>
        </w:rPr>
        <w:t>Secop, pasando por la obtención del registro presupuestal y la aprobación de las garantías si las hay.</w:t>
      </w:r>
    </w:p>
    <w:p w14:paraId="38CBDE2C" w14:textId="77777777" w:rsidR="00785986" w:rsidRPr="00C95CD8" w:rsidRDefault="00785986" w:rsidP="00785986">
      <w:pPr>
        <w:shd w:val="clear" w:color="auto" w:fill="FFFFFF"/>
        <w:spacing w:after="0" w:line="240" w:lineRule="auto"/>
        <w:ind w:firstLine="708"/>
        <w:jc w:val="both"/>
        <w:rPr>
          <w:rFonts w:ascii="Verdana" w:eastAsia="Times New Roman" w:hAnsi="Verdana" w:cs="Arial"/>
          <w:color w:val="333333"/>
          <w:sz w:val="12"/>
          <w:szCs w:val="12"/>
          <w:lang w:eastAsia="es-CO"/>
        </w:rPr>
      </w:pPr>
      <w:r w:rsidRPr="00C95CD8">
        <w:rPr>
          <w:rFonts w:ascii="Verdana" w:eastAsia="Times New Roman" w:hAnsi="Verdana" w:cs="Arial"/>
          <w:color w:val="333333"/>
          <w:sz w:val="12"/>
          <w:szCs w:val="12"/>
          <w:lang w:eastAsia="es-CO"/>
        </w:rPr>
        <w:t>En el estatuto de contratación se deberán definir las garantías que deberá solicitar la Empresa Social del Estado de acuerdo con la modalidad, naturaleza, objeto, riesgos y cuantía del contrato, con ocasión de la presentación de las ofertas, los contratos y su liquidación y los riesgos a los que se encuentra expuesta la entidad.</w:t>
      </w:r>
    </w:p>
    <w:p w14:paraId="001721DE" w14:textId="77777777" w:rsidR="00785986" w:rsidRPr="00C95CD8" w:rsidRDefault="00785986" w:rsidP="00785986">
      <w:pPr>
        <w:shd w:val="clear" w:color="auto" w:fill="FFFFFF"/>
        <w:spacing w:after="0" w:line="240" w:lineRule="auto"/>
        <w:ind w:firstLine="708"/>
        <w:jc w:val="both"/>
        <w:rPr>
          <w:rFonts w:ascii="Verdana" w:hAnsi="Verdana" w:cs="Arial"/>
          <w:sz w:val="12"/>
          <w:szCs w:val="12"/>
        </w:rPr>
      </w:pPr>
    </w:p>
  </w:footnote>
  <w:footnote w:id="17">
    <w:p w14:paraId="127AF9FF" w14:textId="77777777" w:rsidR="00785986" w:rsidRPr="00C95CD8" w:rsidRDefault="00785986" w:rsidP="00785986">
      <w:pPr>
        <w:pStyle w:val="NormalWeb"/>
        <w:shd w:val="clear" w:color="auto" w:fill="FFFFFF"/>
        <w:spacing w:after="0"/>
        <w:ind w:firstLine="708"/>
        <w:jc w:val="both"/>
        <w:rPr>
          <w:rFonts w:ascii="Verdana" w:hAnsi="Verdana" w:cs="Arial"/>
          <w:color w:val="333333"/>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w:t>
      </w:r>
      <w:r w:rsidRPr="00C95CD8">
        <w:rPr>
          <w:rFonts w:ascii="Verdana" w:hAnsi="Verdana" w:cs="Arial"/>
          <w:color w:val="333333"/>
          <w:sz w:val="12"/>
          <w:szCs w:val="12"/>
        </w:rPr>
        <w:t>Artículo 12. </w:t>
      </w:r>
      <w:r w:rsidRPr="00C95CD8">
        <w:rPr>
          <w:rFonts w:ascii="Verdana" w:hAnsi="Verdana" w:cs="Arial"/>
          <w:i/>
          <w:iCs/>
          <w:color w:val="333333"/>
          <w:sz w:val="12"/>
          <w:szCs w:val="12"/>
        </w:rPr>
        <w:t>Fase de ejecución. </w:t>
      </w:r>
      <w:r w:rsidRPr="00C95CD8">
        <w:rPr>
          <w:rFonts w:ascii="Verdana" w:hAnsi="Verdana" w:cs="Arial"/>
          <w:color w:val="333333"/>
          <w:sz w:val="12"/>
          <w:szCs w:val="12"/>
        </w:rPr>
        <w:t>Corresponde al período comprendido entre la legalización del contrato hasta su liquidación. El estatuto de contratación deberá regular las siguientes acciones:</w:t>
      </w:r>
    </w:p>
    <w:p w14:paraId="12D575E5" w14:textId="77777777" w:rsidR="00785986" w:rsidRPr="00C95CD8" w:rsidRDefault="00785986" w:rsidP="00785986">
      <w:pPr>
        <w:shd w:val="clear" w:color="auto" w:fill="FFFFFF"/>
        <w:spacing w:after="0" w:line="240" w:lineRule="auto"/>
        <w:ind w:firstLine="708"/>
        <w:jc w:val="both"/>
        <w:rPr>
          <w:rFonts w:ascii="Verdana" w:eastAsia="Times New Roman" w:hAnsi="Verdana" w:cs="Arial"/>
          <w:color w:val="333333"/>
          <w:sz w:val="12"/>
          <w:szCs w:val="12"/>
          <w:lang w:eastAsia="es-CO"/>
        </w:rPr>
      </w:pPr>
      <w:r w:rsidRPr="00C95CD8">
        <w:rPr>
          <w:rFonts w:ascii="Verdana" w:eastAsia="Times New Roman" w:hAnsi="Verdana" w:cs="Arial"/>
          <w:color w:val="333333"/>
          <w:sz w:val="12"/>
          <w:szCs w:val="12"/>
          <w:lang w:eastAsia="es-CO"/>
        </w:rPr>
        <w:t>12.1. La forma de designación de la persona responsable encargada de las labores de supervisión e interventoría del contrato y del seguimiento a la ejecución del mismo dentro de una correcta actividad gerencial y adecuados criterios de gestión.</w:t>
      </w:r>
    </w:p>
    <w:p w14:paraId="2218938D" w14:textId="77777777" w:rsidR="00785986" w:rsidRPr="00C95CD8" w:rsidRDefault="00785986" w:rsidP="00785986">
      <w:pPr>
        <w:shd w:val="clear" w:color="auto" w:fill="FFFFFF"/>
        <w:spacing w:after="0" w:line="240" w:lineRule="auto"/>
        <w:ind w:firstLine="708"/>
        <w:jc w:val="both"/>
        <w:rPr>
          <w:rFonts w:ascii="Verdana" w:eastAsia="Times New Roman" w:hAnsi="Verdana" w:cs="Arial"/>
          <w:color w:val="333333"/>
          <w:sz w:val="12"/>
          <w:szCs w:val="12"/>
          <w:lang w:eastAsia="es-CO"/>
        </w:rPr>
      </w:pPr>
      <w:r w:rsidRPr="00C95CD8">
        <w:rPr>
          <w:rFonts w:ascii="Verdana" w:eastAsia="Times New Roman" w:hAnsi="Verdana" w:cs="Arial"/>
          <w:color w:val="333333"/>
          <w:sz w:val="12"/>
          <w:szCs w:val="12"/>
          <w:lang w:eastAsia="es-CO"/>
        </w:rPr>
        <w:t>12.2. Las alertas en materia de vencimiento del contrato en el marco de la planeación.</w:t>
      </w:r>
    </w:p>
    <w:p w14:paraId="23E142D6" w14:textId="77777777" w:rsidR="00785986" w:rsidRPr="00C95CD8" w:rsidRDefault="00785986" w:rsidP="00785986">
      <w:pPr>
        <w:shd w:val="clear" w:color="auto" w:fill="FFFFFF"/>
        <w:spacing w:after="0" w:line="240" w:lineRule="auto"/>
        <w:ind w:firstLine="708"/>
        <w:jc w:val="both"/>
        <w:rPr>
          <w:rFonts w:ascii="Verdana" w:eastAsia="Times New Roman" w:hAnsi="Verdana" w:cs="Arial"/>
          <w:color w:val="333333"/>
          <w:sz w:val="12"/>
          <w:szCs w:val="12"/>
          <w:lang w:eastAsia="es-CO"/>
        </w:rPr>
      </w:pPr>
      <w:r w:rsidRPr="00C95CD8">
        <w:rPr>
          <w:rFonts w:ascii="Verdana" w:eastAsia="Times New Roman" w:hAnsi="Verdana" w:cs="Arial"/>
          <w:color w:val="333333"/>
          <w:sz w:val="12"/>
          <w:szCs w:val="12"/>
          <w:lang w:eastAsia="es-CO"/>
        </w:rPr>
        <w:t>12.3. La obligación de hacer efectivas las cláusulas excepcionales, en caso de haberlas pactado en los contratos, cuando haya lugar a ello, dentro del plazo del contrato.</w:t>
      </w:r>
    </w:p>
    <w:p w14:paraId="13CDDF67" w14:textId="77777777" w:rsidR="00785986" w:rsidRPr="00C95CD8" w:rsidRDefault="00785986" w:rsidP="00785986">
      <w:pPr>
        <w:shd w:val="clear" w:color="auto" w:fill="FFFFFF"/>
        <w:spacing w:after="0" w:line="240" w:lineRule="auto"/>
        <w:ind w:firstLine="708"/>
        <w:jc w:val="both"/>
        <w:rPr>
          <w:rFonts w:ascii="Verdana" w:eastAsia="Times New Roman" w:hAnsi="Verdana" w:cs="Arial"/>
          <w:color w:val="333333"/>
          <w:sz w:val="12"/>
          <w:szCs w:val="12"/>
          <w:lang w:eastAsia="es-CO"/>
        </w:rPr>
      </w:pPr>
      <w:r w:rsidRPr="00C95CD8">
        <w:rPr>
          <w:rFonts w:ascii="Verdana" w:eastAsia="Times New Roman" w:hAnsi="Verdana" w:cs="Arial"/>
          <w:color w:val="333333"/>
          <w:sz w:val="12"/>
          <w:szCs w:val="12"/>
          <w:lang w:eastAsia="es-CO"/>
        </w:rPr>
        <w:t>12.4. La necesidad de suscribir las actas de inicio del contrato, así como las prórrogas y adiciones si las hay, y las de suspensión del contrato en caso de presentarse dicha situación.</w:t>
      </w:r>
    </w:p>
    <w:p w14:paraId="5C003178" w14:textId="77777777" w:rsidR="00785986" w:rsidRPr="00C95CD8" w:rsidRDefault="00785986" w:rsidP="00785986">
      <w:pPr>
        <w:shd w:val="clear" w:color="auto" w:fill="FFFFFF"/>
        <w:spacing w:after="0" w:line="240" w:lineRule="auto"/>
        <w:ind w:firstLine="708"/>
        <w:jc w:val="both"/>
        <w:rPr>
          <w:rFonts w:ascii="Verdana" w:eastAsia="Times New Roman" w:hAnsi="Verdana" w:cs="Arial"/>
          <w:color w:val="333333"/>
          <w:sz w:val="12"/>
          <w:szCs w:val="12"/>
          <w:lang w:eastAsia="es-CO"/>
        </w:rPr>
      </w:pPr>
      <w:r w:rsidRPr="00C95CD8">
        <w:rPr>
          <w:rFonts w:ascii="Verdana" w:eastAsia="Times New Roman" w:hAnsi="Verdana" w:cs="Arial"/>
          <w:color w:val="333333"/>
          <w:sz w:val="12"/>
          <w:szCs w:val="12"/>
          <w:lang w:eastAsia="es-CO"/>
        </w:rPr>
        <w:t>12.5. Las demás disposiciones por medio de las cuales se desarrolle la dirección general del contrato con el fin de garantizar su ejecución y las medidas para evitar su incumplimiento.</w:t>
      </w:r>
    </w:p>
    <w:p w14:paraId="0E76AFE3" w14:textId="77777777" w:rsidR="00785986" w:rsidRPr="00C95CD8" w:rsidRDefault="00785986" w:rsidP="00785986">
      <w:pPr>
        <w:shd w:val="clear" w:color="auto" w:fill="FFFFFF"/>
        <w:spacing w:after="0" w:line="240" w:lineRule="auto"/>
        <w:ind w:firstLine="708"/>
        <w:jc w:val="both"/>
        <w:rPr>
          <w:rFonts w:ascii="Verdana" w:hAnsi="Verdana" w:cs="Arial"/>
          <w:sz w:val="12"/>
          <w:szCs w:val="12"/>
        </w:rPr>
      </w:pPr>
    </w:p>
  </w:footnote>
  <w:footnote w:id="18">
    <w:p w14:paraId="7A4646D1" w14:textId="77777777" w:rsidR="00785986" w:rsidRPr="00C95CD8" w:rsidRDefault="00785986" w:rsidP="00785986">
      <w:pPr>
        <w:pStyle w:val="Textonotapie"/>
        <w:ind w:firstLine="708"/>
        <w:jc w:val="both"/>
        <w:rPr>
          <w:rFonts w:ascii="Verdana" w:hAnsi="Verdana" w:cs="Arial"/>
          <w:sz w:val="12"/>
          <w:szCs w:val="12"/>
          <w:lang w:val="es-CO" w:eastAsia="es-CO"/>
        </w:rPr>
      </w:pPr>
      <w:r w:rsidRPr="00C95CD8">
        <w:rPr>
          <w:rStyle w:val="Refdenotaalpie"/>
          <w:rFonts w:ascii="Verdana" w:hAnsi="Verdana" w:cs="Arial"/>
          <w:sz w:val="12"/>
          <w:szCs w:val="12"/>
        </w:rPr>
        <w:footnoteRef/>
      </w:r>
      <w:r w:rsidRPr="00C95CD8">
        <w:rPr>
          <w:rFonts w:ascii="Verdana" w:hAnsi="Verdana" w:cs="Arial"/>
          <w:sz w:val="12"/>
          <w:szCs w:val="12"/>
        </w:rPr>
        <w:t xml:space="preserve"> </w:t>
      </w:r>
      <w:r w:rsidRPr="00C95CD8">
        <w:rPr>
          <w:rFonts w:ascii="Verdana" w:hAnsi="Verdana" w:cs="Arial"/>
          <w:sz w:val="12"/>
          <w:szCs w:val="12"/>
          <w:lang w:val="es-CO" w:eastAsia="es-CO"/>
        </w:rPr>
        <w:t xml:space="preserve">Artículo 14. Publicación. Las Empresas Sociales del Estado están obligadas a publicar oportunamente su actividad contractual en el </w:t>
      </w:r>
      <w:r w:rsidRPr="00C95CD8">
        <w:rPr>
          <w:rFonts w:ascii="Verdana" w:hAnsi="Verdana" w:cs="Arial"/>
          <w:sz w:val="12"/>
          <w:szCs w:val="12"/>
          <w:lang w:val="es-CO" w:eastAsia="es-CO"/>
        </w:rPr>
        <w:t>Secop.</w:t>
      </w:r>
    </w:p>
    <w:p w14:paraId="7517B855" w14:textId="77777777" w:rsidR="00785986" w:rsidRPr="00C95CD8" w:rsidRDefault="00785986" w:rsidP="00785986">
      <w:pPr>
        <w:pStyle w:val="Textonotapie"/>
        <w:ind w:firstLine="708"/>
        <w:jc w:val="both"/>
        <w:rPr>
          <w:rFonts w:ascii="Verdana" w:hAnsi="Verdana" w:cs="Arial"/>
          <w:sz w:val="12"/>
          <w:szCs w:val="12"/>
          <w:lang w:val="es-CO"/>
        </w:rPr>
      </w:pPr>
    </w:p>
  </w:footnote>
  <w:footnote w:id="19">
    <w:p w14:paraId="4F3DF16B" w14:textId="77777777" w:rsidR="00337B59" w:rsidRPr="00181630" w:rsidRDefault="00337B59" w:rsidP="00337B59">
      <w:pPr>
        <w:pStyle w:val="Textonotapie"/>
        <w:rPr>
          <w:lang w:val="es-CO"/>
        </w:rPr>
      </w:pPr>
      <w:r>
        <w:rPr>
          <w:rStyle w:val="Refdenotaalpie"/>
        </w:rPr>
        <w:footnoteRef/>
      </w:r>
      <w:r>
        <w:t xml:space="preserve"> C- 1437 del 29 de octubre de 2025.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B2D"/>
    <w:rsid w:val="00046945"/>
    <w:rsid w:val="00061B2A"/>
    <w:rsid w:val="00082362"/>
    <w:rsid w:val="000A683E"/>
    <w:rsid w:val="000B19B9"/>
    <w:rsid w:val="000D0334"/>
    <w:rsid w:val="000D5DA7"/>
    <w:rsid w:val="000D5F5F"/>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7B59"/>
    <w:rsid w:val="003448F4"/>
    <w:rsid w:val="00374F5E"/>
    <w:rsid w:val="00377E3E"/>
    <w:rsid w:val="003A779E"/>
    <w:rsid w:val="003D0F4D"/>
    <w:rsid w:val="003D5B0D"/>
    <w:rsid w:val="003E0499"/>
    <w:rsid w:val="003E4F80"/>
    <w:rsid w:val="003E6439"/>
    <w:rsid w:val="003F3941"/>
    <w:rsid w:val="00403835"/>
    <w:rsid w:val="00406575"/>
    <w:rsid w:val="00414C74"/>
    <w:rsid w:val="0042722E"/>
    <w:rsid w:val="0044528D"/>
    <w:rsid w:val="00466E39"/>
    <w:rsid w:val="00472546"/>
    <w:rsid w:val="004A1847"/>
    <w:rsid w:val="004A305D"/>
    <w:rsid w:val="004F21C4"/>
    <w:rsid w:val="004F685F"/>
    <w:rsid w:val="0052666C"/>
    <w:rsid w:val="005566E8"/>
    <w:rsid w:val="00574867"/>
    <w:rsid w:val="00591460"/>
    <w:rsid w:val="005A65E0"/>
    <w:rsid w:val="005C1F1A"/>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85986"/>
    <w:rsid w:val="007B268C"/>
    <w:rsid w:val="007B7171"/>
    <w:rsid w:val="007C0C0F"/>
    <w:rsid w:val="007C3DC2"/>
    <w:rsid w:val="007E5497"/>
    <w:rsid w:val="00806F5F"/>
    <w:rsid w:val="00820278"/>
    <w:rsid w:val="008258C9"/>
    <w:rsid w:val="00842FEF"/>
    <w:rsid w:val="00844AE9"/>
    <w:rsid w:val="00867F95"/>
    <w:rsid w:val="008843B6"/>
    <w:rsid w:val="00891928"/>
    <w:rsid w:val="008A446D"/>
    <w:rsid w:val="008A4752"/>
    <w:rsid w:val="008B25F1"/>
    <w:rsid w:val="008D180B"/>
    <w:rsid w:val="008F0EA7"/>
    <w:rsid w:val="00923EEF"/>
    <w:rsid w:val="009419F9"/>
    <w:rsid w:val="0095685E"/>
    <w:rsid w:val="00961B09"/>
    <w:rsid w:val="009620D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0FCE"/>
    <w:rsid w:val="00AB0ADB"/>
    <w:rsid w:val="00B00C0E"/>
    <w:rsid w:val="00B01B1A"/>
    <w:rsid w:val="00B0381D"/>
    <w:rsid w:val="00B44A47"/>
    <w:rsid w:val="00B72CD3"/>
    <w:rsid w:val="00B72FFF"/>
    <w:rsid w:val="00BC3D36"/>
    <w:rsid w:val="00BD54A6"/>
    <w:rsid w:val="00BD7F72"/>
    <w:rsid w:val="00BF211C"/>
    <w:rsid w:val="00BF7425"/>
    <w:rsid w:val="00C04FB3"/>
    <w:rsid w:val="00C11D8B"/>
    <w:rsid w:val="00C15139"/>
    <w:rsid w:val="00C330EB"/>
    <w:rsid w:val="00C50D69"/>
    <w:rsid w:val="00C5365C"/>
    <w:rsid w:val="00C64812"/>
    <w:rsid w:val="00C754BE"/>
    <w:rsid w:val="00C76B1C"/>
    <w:rsid w:val="00C925AC"/>
    <w:rsid w:val="00C97F0F"/>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24BD45D"/>
    <w:rsid w:val="0464D613"/>
    <w:rsid w:val="048D1DCF"/>
    <w:rsid w:val="051016DC"/>
    <w:rsid w:val="07B6A28B"/>
    <w:rsid w:val="09908A09"/>
    <w:rsid w:val="0A931CFC"/>
    <w:rsid w:val="108E5A1B"/>
    <w:rsid w:val="11614A0B"/>
    <w:rsid w:val="13CFC91B"/>
    <w:rsid w:val="16042307"/>
    <w:rsid w:val="19A2EC2C"/>
    <w:rsid w:val="1B950390"/>
    <w:rsid w:val="1C36C878"/>
    <w:rsid w:val="22177E22"/>
    <w:rsid w:val="24AC96F9"/>
    <w:rsid w:val="272FD947"/>
    <w:rsid w:val="2859CA1B"/>
    <w:rsid w:val="2A7A8E4A"/>
    <w:rsid w:val="2C032625"/>
    <w:rsid w:val="2CC51BA9"/>
    <w:rsid w:val="2F44F938"/>
    <w:rsid w:val="2F9780C6"/>
    <w:rsid w:val="32A4F9CF"/>
    <w:rsid w:val="3378D0DF"/>
    <w:rsid w:val="356CEDFD"/>
    <w:rsid w:val="37DF4A8C"/>
    <w:rsid w:val="3F28E010"/>
    <w:rsid w:val="44FD68FD"/>
    <w:rsid w:val="4554ABFC"/>
    <w:rsid w:val="47CED228"/>
    <w:rsid w:val="4AA1DBDE"/>
    <w:rsid w:val="4BB16280"/>
    <w:rsid w:val="4DEFBD47"/>
    <w:rsid w:val="52FE2F57"/>
    <w:rsid w:val="5687F1E4"/>
    <w:rsid w:val="5689AC08"/>
    <w:rsid w:val="60D660A1"/>
    <w:rsid w:val="64041E13"/>
    <w:rsid w:val="65841DCD"/>
    <w:rsid w:val="68B7763A"/>
    <w:rsid w:val="69614A15"/>
    <w:rsid w:val="6B879395"/>
    <w:rsid w:val="6F36CE26"/>
    <w:rsid w:val="6F9C42BE"/>
    <w:rsid w:val="7045BCF7"/>
    <w:rsid w:val="713169FE"/>
    <w:rsid w:val="73335A78"/>
    <w:rsid w:val="760D982F"/>
    <w:rsid w:val="7801D687"/>
    <w:rsid w:val="7BB183BC"/>
    <w:rsid w:val="7CE21C2C"/>
    <w:rsid w:val="7FC8041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85986"/>
    <w:pPr>
      <w:spacing w:line="240" w:lineRule="exact"/>
    </w:pPr>
    <w:rPr>
      <w:vertAlign w:val="superscript"/>
    </w:rPr>
  </w:style>
  <w:style w:type="paragraph" w:styleId="Textoindependiente">
    <w:name w:val="Body Text"/>
    <w:basedOn w:val="Normal"/>
    <w:link w:val="TextoindependienteCar"/>
    <w:uiPriority w:val="1"/>
    <w:unhideWhenUsed/>
    <w:qFormat/>
    <w:rsid w:val="00785986"/>
    <w:pPr>
      <w:spacing w:after="120"/>
    </w:pPr>
  </w:style>
  <w:style w:type="character" w:customStyle="1" w:styleId="TextoindependienteCar">
    <w:name w:val="Texto independiente Car"/>
    <w:basedOn w:val="Fuentedeprrafopredeter"/>
    <w:link w:val="Textoindependiente"/>
    <w:uiPriority w:val="1"/>
    <w:rsid w:val="00785986"/>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85986"/>
    <w:rPr>
      <w:rFonts w:ascii="Geomanist Light" w:hAnsi="Geomanist Light"/>
      <w:lang w:val="es-ES"/>
    </w:rPr>
  </w:style>
  <w:style w:type="paragraph" w:styleId="Textocomentario">
    <w:name w:val="annotation text"/>
    <w:basedOn w:val="Normal"/>
    <w:link w:val="TextocomentarioCar"/>
    <w:uiPriority w:val="99"/>
    <w:semiHidden/>
    <w:unhideWhenUsed/>
    <w:rsid w:val="0040383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03835"/>
    <w:rPr>
      <w:sz w:val="20"/>
      <w:szCs w:val="20"/>
    </w:rPr>
  </w:style>
  <w:style w:type="character" w:styleId="Refdecomentario">
    <w:name w:val="annotation reference"/>
    <w:basedOn w:val="Fuentedeprrafopredeter"/>
    <w:uiPriority w:val="99"/>
    <w:semiHidden/>
    <w:unhideWhenUsed/>
    <w:rsid w:val="00403835"/>
    <w:rPr>
      <w:sz w:val="16"/>
      <w:szCs w:val="16"/>
    </w:rPr>
  </w:style>
  <w:style w:type="character" w:styleId="Textoennegrita">
    <w:name w:val="Strong"/>
    <w:basedOn w:val="Fuentedeprrafopredeter"/>
    <w:uiPriority w:val="22"/>
    <w:qFormat/>
    <w:rsid w:val="008A47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manual/guia-para-entidades-estatales-con-regimen-especial-de-contratacion"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about:blan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about:blank"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minsalud.gov.co/Normatividad_Nuevo/Resoluci%C3%B3n%20No%201440%20de%20202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1E5DF6-E67C-447F-B62A-4C343788D9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elements/1.1/"/>
    <ds:schemaRef ds:uri="http://purl.org/dc/dcmitype/"/>
    <ds:schemaRef ds:uri="http://schemas.microsoft.com/office/2006/documentManagement/types"/>
    <ds:schemaRef ds:uri="http://schemas.openxmlformats.org/package/2006/metadata/core-properties"/>
    <ds:schemaRef ds:uri="http://www.w3.org/XML/1998/namespace"/>
    <ds:schemaRef ds:uri="http://schemas.microsoft.com/office/2006/metadata/properties"/>
    <ds:schemaRef ds:uri="http://purl.org/dc/terms/"/>
    <ds:schemaRef ds:uri="9d85dbaf-23eb-4e57-a637-93dcacc8b1a1"/>
    <ds:schemaRef ds:uri="http://schemas.microsoft.com/office/infopath/2007/PartnerControls"/>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21</Pages>
  <Words>6877</Words>
  <Characters>37824</Characters>
  <Application>Microsoft Office Word</Application>
  <DocSecurity>0</DocSecurity>
  <Lines>315</Lines>
  <Paragraphs>89</Paragraphs>
  <ScaleCrop>false</ScaleCrop>
  <Company/>
  <LinksUpToDate>false</LinksUpToDate>
  <CharactersWithSpaces>44612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2025-11-09T19:34:00Z</dcterms:created>
  <dcterms:modified xsi:type="dcterms:W3CDTF">2025-11-09T19:34:00Z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