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D1440" w14:textId="77777777" w:rsidR="00453BFB" w:rsidRPr="004E7E1E" w:rsidRDefault="00453BFB" w:rsidP="00453BFB">
      <w:pPr>
        <w:spacing w:after="0" w:line="240" w:lineRule="auto"/>
        <w:jc w:val="both"/>
        <w:rPr>
          <w:rFonts w:ascii="Verdana" w:eastAsia="Arial MT" w:hAnsi="Verdana" w:cs="Arial MT"/>
          <w:b/>
          <w:bCs/>
          <w:lang w:val="es-ES_tradnl"/>
        </w:rPr>
      </w:pPr>
      <w:bookmarkStart w:id="0" w:name="_Hlk181166130"/>
      <w:bookmarkStart w:id="1" w:name="_Hlk209714638"/>
      <w:r w:rsidRPr="004E7E1E">
        <w:rPr>
          <w:rFonts w:ascii="Verdana" w:eastAsia="Arial MT" w:hAnsi="Verdana" w:cs="Arial MT"/>
          <w:b/>
          <w:bCs/>
          <w:lang w:val="es-ES_tradnl"/>
        </w:rPr>
        <w:t>PRECIOS ARTIFICIALMENTE BAJOS – Noción –</w:t>
      </w:r>
      <w:r>
        <w:rPr>
          <w:rFonts w:ascii="Verdana" w:eastAsia="Arial MT" w:hAnsi="Verdana" w:cs="Arial MT"/>
          <w:b/>
          <w:bCs/>
          <w:lang w:val="es-ES_tradnl"/>
        </w:rPr>
        <w:t xml:space="preserve"> </w:t>
      </w:r>
      <w:r w:rsidRPr="004E7E1E">
        <w:rPr>
          <w:rFonts w:ascii="Verdana" w:eastAsia="Arial MT" w:hAnsi="Verdana" w:cs="Arial MT"/>
          <w:b/>
          <w:bCs/>
          <w:lang w:val="es-ES_tradnl"/>
        </w:rPr>
        <w:t xml:space="preserve">Deber de las entidades estatales </w:t>
      </w:r>
    </w:p>
    <w:p w14:paraId="6A3EC0B3" w14:textId="77777777" w:rsidR="00453BFB" w:rsidRPr="004E7E1E" w:rsidRDefault="00453BFB" w:rsidP="00453BFB">
      <w:pPr>
        <w:spacing w:after="0" w:line="240" w:lineRule="auto"/>
        <w:jc w:val="both"/>
        <w:rPr>
          <w:rFonts w:ascii="Verdana" w:eastAsia="Arial MT" w:hAnsi="Verdana" w:cs="Arial MT"/>
          <w:b/>
          <w:bCs/>
          <w:sz w:val="20"/>
          <w:szCs w:val="20"/>
          <w:lang w:val="es-ES_tradnl"/>
        </w:rPr>
      </w:pPr>
    </w:p>
    <w:p w14:paraId="047390FC" w14:textId="77777777" w:rsidR="00453BFB" w:rsidRPr="004E7E1E" w:rsidRDefault="00453BFB" w:rsidP="00453BFB">
      <w:pPr>
        <w:spacing w:after="0" w:line="240" w:lineRule="auto"/>
        <w:jc w:val="both"/>
        <w:rPr>
          <w:rFonts w:ascii="Verdana" w:eastAsia="Arial" w:hAnsi="Verdana" w:cs="Arial"/>
          <w:sz w:val="20"/>
          <w:szCs w:val="20"/>
          <w:lang w:val="es-ES" w:eastAsia="es-ES" w:bidi="es-ES"/>
        </w:rPr>
      </w:pPr>
      <w:r w:rsidRPr="004E7E1E">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608DD3FC" w14:textId="77777777" w:rsidR="00453BFB" w:rsidRPr="004E7E1E" w:rsidRDefault="00453BFB" w:rsidP="00453BFB">
      <w:pPr>
        <w:spacing w:after="0" w:line="240" w:lineRule="auto"/>
        <w:jc w:val="both"/>
        <w:rPr>
          <w:rFonts w:ascii="Verdana" w:eastAsia="Arial MT" w:hAnsi="Verdana" w:cs="Arial MT"/>
          <w:bCs/>
          <w:sz w:val="20"/>
          <w:szCs w:val="20"/>
          <w:lang w:val="es-ES"/>
        </w:rPr>
      </w:pPr>
      <w:r w:rsidRPr="004E7E1E">
        <w:rPr>
          <w:rFonts w:ascii="Verdana" w:eastAsia="Arial MT" w:hAnsi="Verdana" w:cs="Arial MT"/>
          <w:bCs/>
          <w:sz w:val="20"/>
          <w:szCs w:val="20"/>
          <w:lang w:val="es-ES"/>
        </w:rPr>
        <w:t>[…]</w:t>
      </w:r>
    </w:p>
    <w:p w14:paraId="3C0A4C7B" w14:textId="77777777" w:rsidR="00453BFB" w:rsidRPr="004E7E1E" w:rsidRDefault="00453BFB" w:rsidP="00453BFB">
      <w:pPr>
        <w:spacing w:after="0" w:line="240" w:lineRule="auto"/>
        <w:jc w:val="both"/>
        <w:rPr>
          <w:rFonts w:ascii="Verdana" w:eastAsia="Calibri" w:hAnsi="Verdana" w:cs="Arial"/>
          <w:sz w:val="20"/>
          <w:szCs w:val="20"/>
          <w:lang w:val="es-ES"/>
        </w:rPr>
      </w:pPr>
      <w:r w:rsidRPr="004E7E1E">
        <w:rPr>
          <w:rFonts w:ascii="Verdana" w:eastAsia="Calibri" w:hAnsi="Verdana" w:cs="Arial"/>
          <w:sz w:val="20"/>
          <w:szCs w:val="20"/>
          <w:lang w:val="es-MX"/>
        </w:rPr>
        <w:t xml:space="preserve">Así pues, el artículo 2.2.1.1.2.2.4 ibidem, establece lo que debe hacer la entidad cuando el precio de una oferta parece artificialmente bajo, esto es: i) solicitar explicación al oferente, </w:t>
      </w:r>
      <w:proofErr w:type="spellStart"/>
      <w:r w:rsidRPr="004E7E1E">
        <w:rPr>
          <w:rFonts w:ascii="Verdana" w:eastAsia="Calibri" w:hAnsi="Verdana" w:cs="Arial"/>
          <w:sz w:val="20"/>
          <w:szCs w:val="20"/>
          <w:lang w:val="es-MX"/>
        </w:rPr>
        <w:t>ii</w:t>
      </w:r>
      <w:proofErr w:type="spellEnd"/>
      <w:r w:rsidRPr="004E7E1E">
        <w:rPr>
          <w:rFonts w:ascii="Verdana" w:eastAsia="Calibri" w:hAnsi="Verdana" w:cs="Arial"/>
          <w:sz w:val="20"/>
          <w:szCs w:val="20"/>
          <w:lang w:val="es-MX"/>
        </w:rPr>
        <w:t xml:space="preserve">) analizar las explicaciones del oferente, </w:t>
      </w:r>
      <w:proofErr w:type="spellStart"/>
      <w:r w:rsidRPr="004E7E1E">
        <w:rPr>
          <w:rFonts w:ascii="Verdana" w:eastAsia="Calibri" w:hAnsi="Verdana" w:cs="Arial"/>
          <w:sz w:val="20"/>
          <w:szCs w:val="20"/>
          <w:lang w:val="es-MX"/>
        </w:rPr>
        <w:t>iii</w:t>
      </w:r>
      <w:proofErr w:type="spellEnd"/>
      <w:r w:rsidRPr="004E7E1E">
        <w:rPr>
          <w:rFonts w:ascii="Verdana" w:eastAsia="Calibri" w:hAnsi="Verdana" w:cs="Arial"/>
          <w:sz w:val="20"/>
          <w:szCs w:val="20"/>
          <w:lang w:val="es-MX"/>
        </w:rPr>
        <w:t xml:space="preserve">) el responsable de la evaluación de las ofertas debe recomendar rechazar o continuar la evaluación de la oferta, y </w:t>
      </w:r>
      <w:proofErr w:type="spellStart"/>
      <w:r w:rsidRPr="004E7E1E">
        <w:rPr>
          <w:rFonts w:ascii="Verdana" w:eastAsia="Calibri" w:hAnsi="Verdana" w:cs="Arial"/>
          <w:sz w:val="20"/>
          <w:szCs w:val="20"/>
          <w:lang w:val="es-MX"/>
        </w:rPr>
        <w:t>iv</w:t>
      </w:r>
      <w:proofErr w:type="spellEnd"/>
      <w:r w:rsidRPr="004E7E1E">
        <w:rPr>
          <w:rFonts w:ascii="Verdana" w:eastAsia="Calibri" w:hAnsi="Verdana" w:cs="Arial"/>
          <w:sz w:val="20"/>
          <w:szCs w:val="20"/>
          <w:lang w:val="es-MX"/>
        </w:rPr>
        <w:t>) para la subasta inversa, lo anterior se debe hacer al finalizar el evento.</w:t>
      </w:r>
    </w:p>
    <w:p w14:paraId="7224CDAB" w14:textId="77777777" w:rsidR="00453BFB" w:rsidRPr="004E7E1E" w:rsidRDefault="00453BFB" w:rsidP="00453BFB">
      <w:pPr>
        <w:spacing w:after="0" w:line="240" w:lineRule="auto"/>
        <w:jc w:val="both"/>
        <w:rPr>
          <w:rFonts w:ascii="Verdana" w:eastAsia="Arial MT" w:hAnsi="Verdana" w:cs="Arial MT"/>
          <w:b/>
          <w:bCs/>
          <w:lang w:val="es-ES"/>
        </w:rPr>
      </w:pPr>
    </w:p>
    <w:p w14:paraId="08F301CD" w14:textId="77777777" w:rsidR="00453BFB" w:rsidRPr="004E7E1E" w:rsidRDefault="00453BFB" w:rsidP="00453BFB">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EVALUACIÓN DE LAS OFERTAS – Finalidad – Oportunidad </w:t>
      </w:r>
    </w:p>
    <w:p w14:paraId="6D98BF81" w14:textId="77777777" w:rsidR="00453BFB" w:rsidRDefault="00453BFB" w:rsidP="00453BFB">
      <w:pPr>
        <w:spacing w:after="0" w:line="240" w:lineRule="auto"/>
        <w:jc w:val="both"/>
        <w:rPr>
          <w:rFonts w:ascii="Verdana" w:eastAsia="Calibri" w:hAnsi="Verdana" w:cs="Arial"/>
          <w:lang w:val="es-ES"/>
        </w:rPr>
      </w:pPr>
    </w:p>
    <w:p w14:paraId="17F7B43F" w14:textId="77777777" w:rsidR="00453BFB" w:rsidRPr="004E7E1E" w:rsidRDefault="00453BFB" w:rsidP="00453BFB">
      <w:pPr>
        <w:spacing w:after="0" w:line="240" w:lineRule="auto"/>
        <w:jc w:val="both"/>
        <w:rPr>
          <w:rFonts w:ascii="Verdana" w:eastAsia="Arial MT" w:hAnsi="Verdana" w:cs="Arial MT"/>
          <w:bCs/>
          <w:sz w:val="20"/>
          <w:lang w:val="es-MX"/>
        </w:rPr>
      </w:pPr>
      <w:r w:rsidRPr="004E7E1E">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4E7E1E">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14CA9C72" w14:textId="77777777" w:rsidR="00453BFB" w:rsidRPr="004E7E1E" w:rsidRDefault="00453BFB" w:rsidP="00453BFB">
      <w:pPr>
        <w:spacing w:after="0" w:line="240" w:lineRule="auto"/>
        <w:jc w:val="both"/>
        <w:rPr>
          <w:rFonts w:ascii="Verdana" w:eastAsia="Arial MT" w:hAnsi="Verdana" w:cs="Arial MT"/>
          <w:bCs/>
          <w:sz w:val="20"/>
        </w:rPr>
      </w:pPr>
    </w:p>
    <w:p w14:paraId="3BE086CC" w14:textId="77777777" w:rsidR="00453BFB" w:rsidRPr="004E7E1E" w:rsidRDefault="00453BFB" w:rsidP="00453BFB">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2FA02198" w14:textId="77777777" w:rsidR="00453BFB" w:rsidRPr="004E7E1E" w:rsidRDefault="00453BFB" w:rsidP="00453BFB">
      <w:pPr>
        <w:spacing w:after="0" w:line="240" w:lineRule="auto"/>
        <w:jc w:val="both"/>
        <w:rPr>
          <w:rFonts w:ascii="Verdana" w:eastAsia="Arial MT" w:hAnsi="Verdana" w:cs="Arial MT"/>
          <w:b/>
          <w:bCs/>
          <w:lang w:val="es-ES"/>
        </w:rPr>
      </w:pPr>
    </w:p>
    <w:p w14:paraId="2D3583C2" w14:textId="77777777" w:rsidR="00453BFB" w:rsidRPr="004E7E1E" w:rsidRDefault="00453BFB" w:rsidP="00453BFB">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GUÍA DE OFERTAS ARTIFICIALMENTE BAJAS – Manejo </w:t>
      </w:r>
    </w:p>
    <w:p w14:paraId="790C8483" w14:textId="77777777" w:rsidR="00453BFB" w:rsidRPr="004E7E1E" w:rsidRDefault="00453BFB" w:rsidP="00453BFB">
      <w:pPr>
        <w:spacing w:after="0" w:line="240" w:lineRule="auto"/>
        <w:jc w:val="both"/>
        <w:rPr>
          <w:rFonts w:ascii="Verdana" w:eastAsia="Arial MT" w:hAnsi="Verdana" w:cs="Arial MT"/>
          <w:bCs/>
          <w:sz w:val="20"/>
          <w:lang w:val="es-ES_tradnl"/>
        </w:rPr>
      </w:pPr>
    </w:p>
    <w:p w14:paraId="70448A07" w14:textId="77777777" w:rsidR="00453BFB" w:rsidRDefault="00453BFB" w:rsidP="00453BFB">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4E7E1E">
        <w:rPr>
          <w:rFonts w:ascii="Verdana" w:eastAsia="Arial MT" w:hAnsi="Verdana" w:cs="Arial MT"/>
          <w:bCs/>
          <w:sz w:val="20"/>
          <w:lang w:val="es-ES"/>
        </w:rPr>
        <w:t>ii</w:t>
      </w:r>
      <w:proofErr w:type="spellEnd"/>
      <w:r w:rsidRPr="004E7E1E">
        <w:rPr>
          <w:rFonts w:ascii="Verdana" w:eastAsia="Arial MT" w:hAnsi="Verdana" w:cs="Arial MT"/>
          <w:bCs/>
          <w:sz w:val="20"/>
          <w:lang w:val="es-ES"/>
        </w:rPr>
        <w:t xml:space="preserve">) la comparación relativa. </w:t>
      </w:r>
    </w:p>
    <w:p w14:paraId="107012E0" w14:textId="77777777" w:rsidR="00453BFB" w:rsidRPr="004E7E1E" w:rsidRDefault="00453BFB" w:rsidP="00453BFB">
      <w:pPr>
        <w:spacing w:after="0" w:line="240" w:lineRule="auto"/>
        <w:jc w:val="both"/>
        <w:rPr>
          <w:rFonts w:ascii="Verdana" w:eastAsia="Arial MT" w:hAnsi="Verdana" w:cs="Arial MT"/>
          <w:bCs/>
          <w:sz w:val="20"/>
          <w:lang w:val="es-ES"/>
        </w:rPr>
      </w:pPr>
    </w:p>
    <w:p w14:paraId="3690D73E" w14:textId="77777777" w:rsidR="00453BFB" w:rsidRDefault="00453BFB" w:rsidP="00453BFB">
      <w:pPr>
        <w:spacing w:after="0" w:line="240" w:lineRule="auto"/>
        <w:jc w:val="both"/>
        <w:rPr>
          <w:rFonts w:ascii="Verdana" w:eastAsia="Arial MT" w:hAnsi="Verdana" w:cs="Arial MT"/>
          <w:bCs/>
          <w:sz w:val="20"/>
        </w:rPr>
      </w:pPr>
      <w:r w:rsidRPr="004E7E1E">
        <w:rPr>
          <w:rFonts w:ascii="Verdana" w:eastAsia="Arial MT" w:hAnsi="Verdana" w:cs="Arial MT"/>
          <w:bCs/>
          <w:sz w:val="20"/>
          <w:lang w:val="es-ES"/>
        </w:rPr>
        <w:t xml:space="preserve">Es importante precisar que dentro de la Guía para el manejo de ofertas artificialmente bajas en Procesos de Contratación” efectúa un análisis especial en torno a la subasta inversa, la cual puede ser </w:t>
      </w:r>
      <w:r w:rsidRPr="004E7E1E">
        <w:rPr>
          <w:rFonts w:ascii="Verdana" w:eastAsia="Arial MT" w:hAnsi="Verdana" w:cs="Arial MT"/>
          <w:bCs/>
          <w:sz w:val="20"/>
        </w:rPr>
        <w:t xml:space="preserve">ordinaria y a la inversa. La primera consiste en que los compradores compiten para obtener un bien o servicio, ofreciendo precios cada vez más </w:t>
      </w:r>
      <w:r w:rsidRPr="004E7E1E">
        <w:rPr>
          <w:rFonts w:ascii="Verdana" w:eastAsia="Arial MT" w:hAnsi="Verdana" w:cs="Arial MT"/>
          <w:bCs/>
          <w:sz w:val="20"/>
        </w:rPr>
        <w:lastRenderedPageBreak/>
        <w:t>altos, mediante lances, como es el caso de los procesos de contratación de enajenación directa a través de subasta pública mediante la modalidad de selección abreviada, de acuerdo a lo prescrito en el artículo 2.2.1.2.2.2.2 del Decreto 1082 de 1025. El segundo, es la subasta inversa que consiste en que los vendedores compiten para obtener un negocio del comprador, y para ello, los lances realizados sobre la oferta económica tienen como objetivo disminuir los precios de los bienes y servicios que se están ofertando.</w:t>
      </w:r>
    </w:p>
    <w:p w14:paraId="6D9E4461" w14:textId="77777777" w:rsidR="00453BFB" w:rsidRPr="004E7E1E" w:rsidRDefault="00453BFB" w:rsidP="00453BFB">
      <w:pPr>
        <w:spacing w:after="0" w:line="240" w:lineRule="auto"/>
        <w:jc w:val="both"/>
        <w:rPr>
          <w:rFonts w:ascii="Verdana" w:eastAsia="Arial MT" w:hAnsi="Verdana" w:cs="Arial MT"/>
          <w:bCs/>
          <w:sz w:val="20"/>
          <w:lang w:val="es-ES_tradnl"/>
        </w:rPr>
      </w:pPr>
    </w:p>
    <w:p w14:paraId="6BB23BCA" w14:textId="77777777" w:rsidR="00453BFB" w:rsidRPr="004E7E1E" w:rsidRDefault="00453BFB" w:rsidP="00453BFB">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PRECIOS ARTIFICIALMENTE BAJOS – Guía – Procesos de </w:t>
      </w:r>
      <w:r>
        <w:rPr>
          <w:rFonts w:ascii="Verdana" w:eastAsia="Arial MT" w:hAnsi="Verdana" w:cs="Arial MT"/>
          <w:b/>
          <w:bCs/>
          <w:lang w:val="es-ES_tradnl"/>
        </w:rPr>
        <w:t>s</w:t>
      </w:r>
      <w:r w:rsidRPr="004E7E1E">
        <w:rPr>
          <w:rFonts w:ascii="Verdana" w:eastAsia="Arial MT" w:hAnsi="Verdana" w:cs="Arial MT"/>
          <w:b/>
          <w:bCs/>
          <w:lang w:val="es-ES_tradnl"/>
        </w:rPr>
        <w:t xml:space="preserve">ubasta – Subasta </w:t>
      </w:r>
      <w:r>
        <w:rPr>
          <w:rFonts w:ascii="Verdana" w:eastAsia="Arial MT" w:hAnsi="Verdana" w:cs="Arial MT"/>
          <w:b/>
          <w:bCs/>
          <w:lang w:val="es-ES_tradnl"/>
        </w:rPr>
        <w:t>i</w:t>
      </w:r>
      <w:r w:rsidRPr="004E7E1E">
        <w:rPr>
          <w:rFonts w:ascii="Verdana" w:eastAsia="Arial MT" w:hAnsi="Verdana" w:cs="Arial MT"/>
          <w:b/>
          <w:bCs/>
          <w:lang w:val="es-ES_tradnl"/>
        </w:rPr>
        <w:t>nversa</w:t>
      </w:r>
    </w:p>
    <w:p w14:paraId="2FACACA5" w14:textId="77777777" w:rsidR="00453BFB" w:rsidRDefault="00453BFB" w:rsidP="00453BFB">
      <w:pPr>
        <w:spacing w:after="0" w:line="240" w:lineRule="auto"/>
        <w:jc w:val="both"/>
        <w:rPr>
          <w:rFonts w:ascii="Verdana" w:eastAsia="Arial MT" w:hAnsi="Verdana" w:cs="Arial MT"/>
          <w:b/>
          <w:bCs/>
          <w:lang w:val="es-ES_tradnl"/>
        </w:rPr>
      </w:pPr>
    </w:p>
    <w:p w14:paraId="0E67FDF3" w14:textId="77777777" w:rsidR="00453BFB" w:rsidRPr="005C2082" w:rsidRDefault="00453BFB" w:rsidP="00453BFB">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5C2082">
        <w:rPr>
          <w:rFonts w:ascii="Verdana" w:eastAsia="Arial MT" w:hAnsi="Verdana" w:cs="Arial MT"/>
          <w:bCs/>
          <w:sz w:val="20"/>
          <w:szCs w:val="20"/>
        </w:rPr>
        <w:t>ii</w:t>
      </w:r>
      <w:proofErr w:type="spellEnd"/>
      <w:r w:rsidRPr="005C2082">
        <w:rPr>
          <w:rFonts w:ascii="Verdana" w:eastAsia="Arial MT" w:hAnsi="Verdana" w:cs="Arial MT"/>
          <w:bCs/>
          <w:sz w:val="20"/>
          <w:szCs w:val="20"/>
        </w:rPr>
        <w:t xml:space="preserve">) analizar las explicaciones del oferente, para verificar si están sustentados en los valores ofrecidos y si son suficientes para ejecutar el contrato; </w:t>
      </w:r>
      <w:proofErr w:type="spellStart"/>
      <w:r w:rsidRPr="005C2082">
        <w:rPr>
          <w:rFonts w:ascii="Verdana" w:eastAsia="Arial MT" w:hAnsi="Verdana" w:cs="Arial MT"/>
          <w:bCs/>
          <w:sz w:val="20"/>
          <w:szCs w:val="20"/>
        </w:rPr>
        <w:t>iii</w:t>
      </w:r>
      <w:proofErr w:type="spellEnd"/>
      <w:r w:rsidRPr="005C2082">
        <w:rPr>
          <w:rFonts w:ascii="Verdana" w:eastAsia="Arial MT" w:hAnsi="Verdana" w:cs="Arial MT"/>
          <w:bCs/>
          <w:sz w:val="20"/>
          <w:szCs w:val="20"/>
        </w:rPr>
        <w:t xml:space="preserve">) definir si continúa con la evaluación de la oferta, en el sentido de que la explicación demuestra la capacidad del proponente para cumplir adecuadamente con el contrato con los precios ofertados o, si por el contrario, rechaza la oferta porque no fue sustentada. Esto debe realizarse al finalizar el evento de subasta, de acuerdo con el precio ofrecido al final de esta. </w:t>
      </w:r>
    </w:p>
    <w:p w14:paraId="46861C1C" w14:textId="77777777" w:rsidR="00453BFB" w:rsidRPr="005C2082" w:rsidRDefault="00453BFB" w:rsidP="00453BFB">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w:t>
      </w:r>
    </w:p>
    <w:p w14:paraId="21F126EE" w14:textId="77777777" w:rsidR="00453BFB" w:rsidRPr="005C2082" w:rsidRDefault="00453BFB" w:rsidP="00453BFB">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En este escenario, dentro de la Guía expresa: “[…] la entidad en el marco de su autonomía puede evaluar la procedencia de volver a realizar el evento de subasta, retirando al proponente si está contemplado inicialmente en los pliegos; esto, con el fin de evitar que un participante de la subasta beneficie a otro a través de la presentación de una oferta artificialmente baja”. De igual modo, dichos eventos deben ponerse al conocimiento de la Superintendencia de Industria y Comercio. </w:t>
      </w:r>
    </w:p>
    <w:p w14:paraId="3B6F3A40" w14:textId="77777777" w:rsidR="00453BFB" w:rsidRPr="004E7E1E" w:rsidRDefault="00453BFB" w:rsidP="00453BFB">
      <w:pPr>
        <w:spacing w:after="0" w:line="240" w:lineRule="auto"/>
        <w:jc w:val="both"/>
        <w:rPr>
          <w:rFonts w:ascii="Verdana" w:eastAsia="Arial MT" w:hAnsi="Verdana" w:cs="Arial MT"/>
          <w:b/>
          <w:bCs/>
        </w:rPr>
      </w:pPr>
    </w:p>
    <w:p w14:paraId="351A6F29" w14:textId="77777777" w:rsidR="00453BFB" w:rsidRDefault="00453BFB" w:rsidP="00453BFB">
      <w:pPr>
        <w:spacing w:before="1" w:after="0" w:line="240" w:lineRule="auto"/>
        <w:jc w:val="both"/>
        <w:rPr>
          <w:rFonts w:ascii="Verdana" w:hAnsi="Verdana" w:cs="Arial"/>
          <w:sz w:val="20"/>
          <w:szCs w:val="20"/>
          <w:lang w:val="es-ES"/>
        </w:rPr>
      </w:pPr>
    </w:p>
    <w:p w14:paraId="52273D6D" w14:textId="77777777" w:rsidR="00453BFB" w:rsidRDefault="00453BFB" w:rsidP="00453BFB">
      <w:pPr>
        <w:spacing w:before="1" w:after="0" w:line="240" w:lineRule="auto"/>
        <w:jc w:val="both"/>
        <w:rPr>
          <w:rFonts w:ascii="Verdana" w:hAnsi="Verdana" w:cs="Arial"/>
          <w:sz w:val="20"/>
          <w:szCs w:val="20"/>
          <w:lang w:val="es-ES"/>
        </w:rPr>
      </w:pPr>
    </w:p>
    <w:p w14:paraId="466C6E04" w14:textId="77777777" w:rsidR="00453BFB" w:rsidRDefault="00453BFB" w:rsidP="00453BFB">
      <w:pPr>
        <w:spacing w:before="1" w:after="0" w:line="240" w:lineRule="auto"/>
        <w:jc w:val="both"/>
        <w:rPr>
          <w:rFonts w:ascii="Verdana" w:hAnsi="Verdana" w:cs="Arial"/>
          <w:sz w:val="20"/>
          <w:szCs w:val="20"/>
          <w:lang w:val="es-ES"/>
        </w:rPr>
      </w:pPr>
    </w:p>
    <w:p w14:paraId="4454A3AD" w14:textId="77777777" w:rsidR="00EC5C8D" w:rsidRDefault="00EC5C8D" w:rsidP="00103B90">
      <w:pPr>
        <w:spacing w:after="0" w:line="240" w:lineRule="auto"/>
        <w:rPr>
          <w:rFonts w:ascii="Verdana" w:hAnsi="Verdana"/>
        </w:rPr>
      </w:pPr>
    </w:p>
    <w:p w14:paraId="76BA39A5" w14:textId="77777777" w:rsidR="00EC5C8D" w:rsidRDefault="00EC5C8D" w:rsidP="00103B90">
      <w:pPr>
        <w:spacing w:after="0" w:line="240" w:lineRule="auto"/>
        <w:rPr>
          <w:rFonts w:ascii="Verdana" w:hAnsi="Verdana"/>
        </w:rPr>
      </w:pPr>
    </w:p>
    <w:p w14:paraId="4B613F31" w14:textId="77777777" w:rsidR="00EC5C8D" w:rsidRDefault="00EC5C8D" w:rsidP="00103B90">
      <w:pPr>
        <w:spacing w:after="0" w:line="240" w:lineRule="auto"/>
        <w:rPr>
          <w:rFonts w:ascii="Verdana" w:hAnsi="Verdana"/>
        </w:rPr>
      </w:pPr>
    </w:p>
    <w:p w14:paraId="6A7F61B1" w14:textId="77777777" w:rsidR="00EC5C8D" w:rsidRDefault="00EC5C8D" w:rsidP="00103B90">
      <w:pPr>
        <w:spacing w:after="0" w:line="240" w:lineRule="auto"/>
        <w:rPr>
          <w:rFonts w:ascii="Verdana" w:hAnsi="Verdana"/>
        </w:rPr>
      </w:pPr>
    </w:p>
    <w:p w14:paraId="59EF6C5A" w14:textId="77777777" w:rsidR="00EC5C8D" w:rsidRDefault="00EC5C8D" w:rsidP="00103B90">
      <w:pPr>
        <w:spacing w:after="0" w:line="240" w:lineRule="auto"/>
        <w:rPr>
          <w:rFonts w:ascii="Verdana" w:hAnsi="Verdana"/>
        </w:rPr>
      </w:pPr>
    </w:p>
    <w:p w14:paraId="7E58A460" w14:textId="77777777" w:rsidR="00911185" w:rsidRDefault="00911185" w:rsidP="00103B90">
      <w:pPr>
        <w:spacing w:after="0" w:line="240" w:lineRule="auto"/>
        <w:rPr>
          <w:rFonts w:ascii="Verdana" w:hAnsi="Verdana"/>
        </w:rPr>
      </w:pPr>
    </w:p>
    <w:p w14:paraId="04E03D4D" w14:textId="77777777" w:rsidR="00911185" w:rsidRDefault="00911185" w:rsidP="00103B90">
      <w:pPr>
        <w:spacing w:after="0" w:line="240" w:lineRule="auto"/>
        <w:rPr>
          <w:rFonts w:ascii="Verdana" w:hAnsi="Verdana"/>
        </w:rPr>
      </w:pPr>
    </w:p>
    <w:p w14:paraId="6EE54907" w14:textId="77777777" w:rsidR="00911185" w:rsidRDefault="00911185" w:rsidP="00103B90">
      <w:pPr>
        <w:spacing w:after="0" w:line="240" w:lineRule="auto"/>
        <w:rPr>
          <w:rFonts w:ascii="Verdana" w:hAnsi="Verdana"/>
        </w:rPr>
      </w:pPr>
    </w:p>
    <w:p w14:paraId="50C12E8E" w14:textId="77777777" w:rsidR="00911185" w:rsidRDefault="00911185" w:rsidP="00103B90">
      <w:pPr>
        <w:spacing w:after="0" w:line="240" w:lineRule="auto"/>
        <w:rPr>
          <w:rFonts w:ascii="Verdana" w:hAnsi="Verdana"/>
        </w:rPr>
      </w:pPr>
    </w:p>
    <w:p w14:paraId="619EB02A" w14:textId="77777777" w:rsidR="00911185" w:rsidRDefault="00911185" w:rsidP="00103B90">
      <w:pPr>
        <w:spacing w:after="0" w:line="240" w:lineRule="auto"/>
        <w:rPr>
          <w:rFonts w:ascii="Verdana" w:hAnsi="Verdana"/>
        </w:rPr>
      </w:pPr>
    </w:p>
    <w:p w14:paraId="65C0751D" w14:textId="77777777" w:rsidR="00911185" w:rsidRDefault="00911185" w:rsidP="00103B90">
      <w:pPr>
        <w:spacing w:after="0" w:line="240" w:lineRule="auto"/>
        <w:rPr>
          <w:rFonts w:ascii="Verdana" w:hAnsi="Verdana"/>
        </w:rPr>
      </w:pPr>
    </w:p>
    <w:p w14:paraId="47C107D1" w14:textId="77777777" w:rsidR="00911185" w:rsidRDefault="00911185" w:rsidP="00103B90">
      <w:pPr>
        <w:spacing w:after="0" w:line="240" w:lineRule="auto"/>
        <w:rPr>
          <w:rFonts w:ascii="Verdana" w:hAnsi="Verdana"/>
        </w:rPr>
      </w:pPr>
    </w:p>
    <w:p w14:paraId="65C455FD" w14:textId="77777777" w:rsidR="00172258" w:rsidRDefault="00172258" w:rsidP="00103B90">
      <w:pPr>
        <w:spacing w:after="0" w:line="240" w:lineRule="auto"/>
        <w:rPr>
          <w:rFonts w:ascii="Verdana" w:hAnsi="Verdana"/>
        </w:rPr>
      </w:pPr>
    </w:p>
    <w:p w14:paraId="4C14F8AB" w14:textId="77777777" w:rsidR="00172258" w:rsidRDefault="00172258" w:rsidP="00103B90">
      <w:pPr>
        <w:spacing w:after="0" w:line="240" w:lineRule="auto"/>
        <w:rPr>
          <w:rFonts w:ascii="Verdana" w:hAnsi="Verdana"/>
        </w:rPr>
      </w:pPr>
    </w:p>
    <w:p w14:paraId="1A6E0D96" w14:textId="77777777" w:rsidR="00911185" w:rsidRDefault="00911185" w:rsidP="00103B90">
      <w:pPr>
        <w:spacing w:after="0" w:line="240" w:lineRule="auto"/>
        <w:rPr>
          <w:rFonts w:ascii="Verdana" w:hAnsi="Verdana"/>
        </w:rPr>
      </w:pPr>
    </w:p>
    <w:p w14:paraId="622A0F74" w14:textId="77777777" w:rsidR="00911185" w:rsidRDefault="00911185" w:rsidP="00103B90">
      <w:pPr>
        <w:spacing w:after="0" w:line="240" w:lineRule="auto"/>
        <w:rPr>
          <w:rFonts w:ascii="Verdana" w:hAnsi="Verdana"/>
        </w:rPr>
      </w:pPr>
    </w:p>
    <w:p w14:paraId="734BF481" w14:textId="50355BAA" w:rsidR="00A64017" w:rsidRDefault="00EF17C6" w:rsidP="00103B90">
      <w:pPr>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2F2A705C" wp14:editId="4724943D">
            <wp:simplePos x="0" y="0"/>
            <wp:positionH relativeFrom="column">
              <wp:posOffset>3014112</wp:posOffset>
            </wp:positionH>
            <wp:positionV relativeFrom="paragraph">
              <wp:posOffset>20418</wp:posOffset>
            </wp:positionV>
            <wp:extent cx="2597248" cy="783297"/>
            <wp:effectExtent l="0" t="0" r="0" b="0"/>
            <wp:wrapNone/>
            <wp:docPr id="1481218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7248" cy="783297"/>
                    </a:xfrm>
                    <a:prstGeom prst="rect">
                      <a:avLst/>
                    </a:prstGeom>
                    <a:noFill/>
                    <a:ln>
                      <a:noFill/>
                    </a:ln>
                  </pic:spPr>
                </pic:pic>
              </a:graphicData>
            </a:graphic>
            <wp14:sizeRelH relativeFrom="page">
              <wp14:pctWidth>0</wp14:pctWidth>
            </wp14:sizeRelH>
            <wp14:sizeRelV relativeFrom="page">
              <wp14:pctHeight>0</wp14:pctHeight>
            </wp14:sizeRelV>
          </wp:anchor>
        </w:drawing>
      </w:r>
      <w:r w:rsidR="00A800B4">
        <w:rPr>
          <w:rFonts w:ascii="Verdana" w:hAnsi="Verdana"/>
        </w:rPr>
        <w:t>B</w:t>
      </w:r>
      <w:r w:rsidR="00A64017" w:rsidRPr="0044528D">
        <w:rPr>
          <w:rFonts w:ascii="Verdana" w:hAnsi="Verdana"/>
        </w:rPr>
        <w:t xml:space="preserve">ogotá D.C., </w:t>
      </w:r>
      <w:r w:rsidR="00B11FE1">
        <w:rPr>
          <w:rFonts w:ascii="Verdana" w:hAnsi="Verdana"/>
        </w:rPr>
        <w:t>04</w:t>
      </w:r>
      <w:r w:rsidR="00324E0B">
        <w:rPr>
          <w:rFonts w:ascii="Verdana" w:hAnsi="Verdana"/>
        </w:rPr>
        <w:t xml:space="preserve"> </w:t>
      </w:r>
      <w:r w:rsidR="00763E4A">
        <w:rPr>
          <w:rFonts w:ascii="Verdana" w:hAnsi="Verdana"/>
        </w:rPr>
        <w:t xml:space="preserve">de </w:t>
      </w:r>
      <w:r w:rsidR="00B11FE1">
        <w:rPr>
          <w:rFonts w:ascii="Verdana" w:hAnsi="Verdana"/>
        </w:rPr>
        <w:t>noviembre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05A3879" w:rsidR="00A64017" w:rsidRDefault="00A64017" w:rsidP="00103B90">
      <w:pPr>
        <w:spacing w:after="0" w:line="240" w:lineRule="auto"/>
        <w:rPr>
          <w:rFonts w:ascii="Verdana" w:hAnsi="Verdana"/>
        </w:rPr>
      </w:pPr>
    </w:p>
    <w:p w14:paraId="24B08334" w14:textId="45470646" w:rsidR="00331CD0" w:rsidRDefault="00331CD0" w:rsidP="00331CD0">
      <w:pPr>
        <w:spacing w:after="0" w:line="240" w:lineRule="auto"/>
        <w:jc w:val="right"/>
        <w:rPr>
          <w:rFonts w:ascii="Verdana" w:hAnsi="Verdana"/>
        </w:rPr>
      </w:pPr>
    </w:p>
    <w:p w14:paraId="32625BB2" w14:textId="47E88957" w:rsidR="00CE32D1" w:rsidRDefault="00CE32D1" w:rsidP="00331CD0">
      <w:pPr>
        <w:spacing w:after="0" w:line="240" w:lineRule="auto"/>
        <w:jc w:val="right"/>
        <w:rPr>
          <w:rFonts w:ascii="Verdana" w:hAnsi="Verdana"/>
        </w:rPr>
      </w:pPr>
    </w:p>
    <w:p w14:paraId="6EF9D4E0" w14:textId="5F07F081"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423BFF">
        <w:rPr>
          <w:rFonts w:ascii="Verdana" w:eastAsia="Calibri" w:hAnsi="Verdana" w:cs="Arial"/>
          <w:lang w:eastAsia="es-ES"/>
        </w:rPr>
        <w:t>a</w:t>
      </w:r>
      <w:r w:rsidRPr="00631045">
        <w:rPr>
          <w:rFonts w:ascii="Verdana" w:eastAsia="Calibri" w:hAnsi="Verdana" w:cs="Arial"/>
          <w:lang w:eastAsia="es-ES"/>
        </w:rPr>
        <w:tab/>
      </w:r>
    </w:p>
    <w:p w14:paraId="200679A4" w14:textId="067A3F42" w:rsidR="00FA3CFE" w:rsidRDefault="00AB6E9A" w:rsidP="00A64017">
      <w:pPr>
        <w:spacing w:after="0" w:line="240" w:lineRule="auto"/>
        <w:rPr>
          <w:rFonts w:ascii="Verdana" w:eastAsia="Calibri" w:hAnsi="Verdana" w:cs="Arial"/>
          <w:b/>
          <w:bCs/>
          <w:lang w:eastAsia="es-ES"/>
        </w:rPr>
      </w:pPr>
      <w:r>
        <w:rPr>
          <w:rFonts w:ascii="Verdana" w:eastAsia="Calibri" w:hAnsi="Verdana" w:cs="Arial"/>
          <w:b/>
          <w:bCs/>
          <w:lang w:eastAsia="es-ES"/>
        </w:rPr>
        <w:t>IVONNE RINCÒN</w:t>
      </w:r>
    </w:p>
    <w:p w14:paraId="1FD85336" w14:textId="631351CF" w:rsidR="00A64017" w:rsidRPr="00AB6E9A" w:rsidRDefault="00B24230" w:rsidP="00A64017">
      <w:pPr>
        <w:spacing w:after="0" w:line="240" w:lineRule="auto"/>
        <w:rPr>
          <w:rFonts w:ascii="Verdana" w:hAnsi="Verdana"/>
        </w:rPr>
      </w:pPr>
      <w:hyperlink r:id="rId12" w:history="1">
        <w:r w:rsidR="00AB6E9A" w:rsidRPr="00AB6E9A">
          <w:rPr>
            <w:rStyle w:val="Hipervnculo"/>
            <w:rFonts w:ascii="Verdana" w:hAnsi="Verdana"/>
          </w:rPr>
          <w:t>ivonne.rincon@fac.mil.co</w:t>
        </w:r>
      </w:hyperlink>
      <w:r w:rsidR="00AB6E9A" w:rsidRPr="00AB6E9A">
        <w:rPr>
          <w:rFonts w:ascii="Verdana" w:hAnsi="Verdana"/>
        </w:rPr>
        <w:t xml:space="preserve"> </w:t>
      </w:r>
      <w:r w:rsidR="00E35B59" w:rsidRPr="00AB6E9A">
        <w:rPr>
          <w:rFonts w:ascii="Verdana" w:hAnsi="Verdana"/>
        </w:rPr>
        <w:t xml:space="preserve"> </w:t>
      </w:r>
      <w:r w:rsidR="00911185" w:rsidRPr="00AB6E9A">
        <w:rPr>
          <w:rFonts w:ascii="Verdana" w:hAnsi="Verdana"/>
        </w:rPr>
        <w:t xml:space="preserve"> </w:t>
      </w:r>
      <w:r w:rsidR="0057166B" w:rsidRPr="00AB6E9A">
        <w:rPr>
          <w:rFonts w:ascii="Verdana" w:hAnsi="Verdana"/>
        </w:rPr>
        <w:t xml:space="preserve"> </w:t>
      </w:r>
      <w:r w:rsidR="00631045" w:rsidRPr="00AB6E9A">
        <w:rPr>
          <w:rFonts w:ascii="Verdana" w:hAnsi="Verdana"/>
        </w:rPr>
        <w:t xml:space="preserve"> </w:t>
      </w:r>
    </w:p>
    <w:p w14:paraId="48FCFCCF" w14:textId="275C99B1" w:rsidR="00A64017" w:rsidRDefault="00911185" w:rsidP="00A64017">
      <w:pPr>
        <w:spacing w:after="0" w:line="240" w:lineRule="auto"/>
        <w:rPr>
          <w:rFonts w:ascii="Verdana" w:hAnsi="Verdana"/>
        </w:rPr>
      </w:pPr>
      <w:r>
        <w:rPr>
          <w:rFonts w:ascii="Verdana" w:hAnsi="Verdana"/>
        </w:rPr>
        <w:t xml:space="preserve">Bogotá D.C.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36EB23C8"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911185">
              <w:rPr>
                <w:rFonts w:ascii="Verdana" w:eastAsia="Calibri" w:hAnsi="Verdana" w:cs="Arial"/>
                <w:b/>
                <w:bCs/>
                <w:lang w:val="es-ES" w:eastAsia="es-ES"/>
              </w:rPr>
              <w:t>13</w:t>
            </w:r>
            <w:r w:rsidR="00AB6E9A">
              <w:rPr>
                <w:rFonts w:ascii="Verdana" w:eastAsia="Calibri" w:hAnsi="Verdana" w:cs="Arial"/>
                <w:b/>
                <w:bCs/>
                <w:lang w:val="es-ES" w:eastAsia="es-ES"/>
              </w:rPr>
              <w:t>94</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5929AFF" w14:textId="77777777" w:rsidR="00453BFB" w:rsidRDefault="00453BFB" w:rsidP="00453BFB">
            <w:pPr>
              <w:jc w:val="both"/>
              <w:rPr>
                <w:rFonts w:ascii="Verdana" w:eastAsia="Arial MT" w:hAnsi="Verdana" w:cs="Arial MT"/>
                <w:bCs/>
                <w:lang w:val="es-ES_tradnl"/>
              </w:rPr>
            </w:pPr>
            <w:r w:rsidRPr="00FF383E">
              <w:rPr>
                <w:rFonts w:ascii="Verdana" w:eastAsia="Arial MT" w:hAnsi="Verdana" w:cs="Arial MT"/>
                <w:bCs/>
                <w:lang w:val="es-ES_tradnl"/>
              </w:rPr>
              <w:t>PRECIOS ARTIFICIALMENTE BAJOS – Noción – Deber de las entidades estatales / EVALUACIÓN DE LAS OFERTAS – Finalidad – Oportunidad / GUÍA DE OFERTAS ARTIFICIALMENTE BAJAS – Manejo / PRECIOS ARTIFICIALMENTE BAJOS – Guía – Procesos de subasta – Subasta inversa</w:t>
            </w:r>
          </w:p>
          <w:p w14:paraId="5DDDE71B" w14:textId="2CE34107" w:rsidR="002A22D8" w:rsidRPr="00905A2C" w:rsidRDefault="002A22D8" w:rsidP="002A22D8">
            <w:pPr>
              <w:jc w:val="both"/>
              <w:rPr>
                <w:rFonts w:ascii="Verdana" w:hAnsi="Verdana" w:cs="Arial"/>
                <w:lang w:val="es-ES_tradnl" w:eastAsia="es-ES"/>
              </w:rPr>
            </w:pP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68B5EE2D"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AB6E9A" w:rsidRPr="00AB6E9A">
              <w:rPr>
                <w:rFonts w:ascii="Verdana" w:eastAsia="Calibri" w:hAnsi="Verdana" w:cs="Arial"/>
                <w:lang w:val="es-ES_tradnl" w:eastAsia="es-ES_tradnl"/>
              </w:rPr>
              <w:t>1_2025_09_25_010635</w:t>
            </w:r>
            <w:r w:rsidR="00CE32D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262E06A"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23BFF">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423BFF">
        <w:rPr>
          <w:rFonts w:ascii="Verdana" w:eastAsia="Calibri" w:hAnsi="Verdana" w:cs="Arial"/>
          <w:lang w:val="es-ES" w:eastAsia="es-ES"/>
        </w:rPr>
        <w:t>a</w:t>
      </w:r>
      <w:r>
        <w:rPr>
          <w:rFonts w:ascii="Verdana" w:eastAsia="Calibri" w:hAnsi="Verdana" w:cs="Arial"/>
          <w:lang w:val="es-ES" w:eastAsia="es-ES"/>
        </w:rPr>
        <w:t xml:space="preserve"> </w:t>
      </w:r>
      <w:r w:rsidR="00AB6E9A">
        <w:rPr>
          <w:rFonts w:ascii="Verdana" w:eastAsia="Calibri" w:hAnsi="Verdana" w:cs="Arial"/>
          <w:lang w:val="es-ES" w:eastAsia="es-ES"/>
        </w:rPr>
        <w:t>Rincón</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3921141"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w:t>
      </w:r>
      <w:r w:rsidR="00AB6E9A">
        <w:rPr>
          <w:rFonts w:ascii="Verdana" w:eastAsia="Calibri" w:hAnsi="Verdana" w:cs="Arial"/>
          <w:lang w:val="es-ES" w:eastAsia="es-ES"/>
        </w:rPr>
        <w:t>6</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423BFF">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4401E59" w14:textId="77777777" w:rsidR="00B350FE" w:rsidRPr="00B350FE" w:rsidRDefault="00B350FE"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3695A0B1" w:rsidR="00A64017" w:rsidRPr="00B350FE" w:rsidRDefault="00AB6E9A" w:rsidP="00AB6E9A">
      <w:pPr>
        <w:tabs>
          <w:tab w:val="left" w:pos="142"/>
          <w:tab w:val="left" w:pos="567"/>
        </w:tabs>
        <w:spacing w:after="0" w:line="240" w:lineRule="auto"/>
        <w:ind w:left="709" w:right="709"/>
        <w:jc w:val="both"/>
        <w:rPr>
          <w:rFonts w:ascii="Verdana" w:eastAsia="Century Gothic" w:hAnsi="Verdana" w:cs="Century Gothic"/>
          <w:i/>
          <w:iCs/>
          <w:sz w:val="20"/>
          <w:szCs w:val="20"/>
        </w:rPr>
      </w:pPr>
      <w:r w:rsidRPr="00AB6E9A">
        <w:rPr>
          <w:rFonts w:ascii="Verdana" w:eastAsia="Century Gothic" w:hAnsi="Verdana" w:cs="Century Gothic"/>
          <w:i/>
          <w:iCs/>
          <w:sz w:val="20"/>
          <w:szCs w:val="20"/>
        </w:rPr>
        <w:t>En caso que en un proceso de Subasta Inversa, la Entidad, decida rechazar la oferta</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más baja, obtenida al final del evento de Subasta Electrónica, particularmente en</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los casos en que el proponente no responda al requerimiento o atribuya el lance a</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un error de digitación, manifestando que ese no era el lance que pretendía realizar,</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 xml:space="preserve">la Entidad puede crear un </w:t>
      </w:r>
      <w:proofErr w:type="spellStart"/>
      <w:r w:rsidRPr="00AB6E9A">
        <w:rPr>
          <w:rFonts w:ascii="Verdana" w:eastAsia="Century Gothic" w:hAnsi="Verdana" w:cs="Century Gothic"/>
          <w:i/>
          <w:iCs/>
          <w:sz w:val="20"/>
          <w:szCs w:val="20"/>
        </w:rPr>
        <w:t>un</w:t>
      </w:r>
      <w:proofErr w:type="spellEnd"/>
      <w:r w:rsidRPr="00AB6E9A">
        <w:rPr>
          <w:rFonts w:ascii="Verdana" w:eastAsia="Century Gothic" w:hAnsi="Verdana" w:cs="Century Gothic"/>
          <w:i/>
          <w:iCs/>
          <w:sz w:val="20"/>
          <w:szCs w:val="20"/>
        </w:rPr>
        <w:t xml:space="preserve"> nuevo evento de subasta electrónica en la Plataforma</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SECOP II, retirando al proponente que no justifico su precios, del nuevo evento y</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permitiendo únicamente la participación de los otros proponentes que se encuentren</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 xml:space="preserve">habilitados; con el fin de evitar que un participante de la </w:t>
      </w:r>
      <w:r w:rsidRPr="00AB6E9A">
        <w:rPr>
          <w:rFonts w:ascii="Verdana" w:eastAsia="Century Gothic" w:hAnsi="Verdana" w:cs="Century Gothic"/>
          <w:i/>
          <w:iCs/>
          <w:sz w:val="20"/>
          <w:szCs w:val="20"/>
        </w:rPr>
        <w:lastRenderedPageBreak/>
        <w:t>subasta beneficie a otro a</w:t>
      </w:r>
      <w:r>
        <w:rPr>
          <w:rFonts w:ascii="Verdana" w:eastAsia="Century Gothic" w:hAnsi="Verdana" w:cs="Century Gothic"/>
          <w:i/>
          <w:iCs/>
          <w:sz w:val="20"/>
          <w:szCs w:val="20"/>
        </w:rPr>
        <w:t xml:space="preserve"> </w:t>
      </w:r>
      <w:r w:rsidRPr="00AB6E9A">
        <w:rPr>
          <w:rFonts w:ascii="Verdana" w:eastAsia="Century Gothic" w:hAnsi="Verdana" w:cs="Century Gothic"/>
          <w:i/>
          <w:iCs/>
          <w:sz w:val="20"/>
          <w:szCs w:val="20"/>
        </w:rPr>
        <w:t>través de la presentación de una oferta artificialmente baja</w:t>
      </w:r>
      <w:r w:rsidR="00423BFF">
        <w:rPr>
          <w:rFonts w:ascii="Verdana" w:eastAsia="Century Gothic" w:hAnsi="Verdana" w:cs="Century Gothic"/>
          <w:i/>
          <w:iCs/>
          <w:sz w:val="20"/>
          <w:szCs w:val="20"/>
          <w:lang w:val="es-MX"/>
        </w:rPr>
        <w:t>.</w:t>
      </w:r>
      <w:r w:rsidR="00423BFF" w:rsidRPr="00423BFF">
        <w:rPr>
          <w:rFonts w:ascii="Verdana" w:eastAsia="Century Gothic" w:hAnsi="Verdana" w:cs="Century Gothic"/>
          <w:i/>
          <w:iCs/>
          <w:sz w:val="20"/>
          <w:szCs w:val="20"/>
          <w:lang w:val="es-MX"/>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5B05C3B1"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006905C0" w:rsidRPr="00885D90">
        <w:rPr>
          <w:rFonts w:ascii="Verdana" w:eastAsia="Century Gothic" w:hAnsi="Verdana" w:cs="Century Gothic"/>
        </w:rPr>
        <w:t>¿</w:t>
      </w:r>
      <w:r w:rsidR="00A41289" w:rsidRPr="00A41289">
        <w:rPr>
          <w:rFonts w:ascii="Verdana" w:eastAsia="Century Gothic" w:hAnsi="Verdana" w:cs="Century Gothic"/>
        </w:rPr>
        <w:t>Puede una entidad estatal, en una Subasta Inversa Electrónica en SECOP II, rechazar la oferta más baja cuando el precio resulta presuntamente artificialmente bajo y el oferente no justifica su valor o alega error de digitación, conforme al Decreto 1082 de 2015 y la Guía de Ofertas Artificialmente Bajas de Colombia Compra Eficiente?</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62D00021" w14:textId="5ABFDB02" w:rsidR="00A41289" w:rsidRDefault="009C3869" w:rsidP="00A41289">
            <w:pPr>
              <w:spacing w:before="120" w:after="120" w:line="276" w:lineRule="auto"/>
              <w:ind w:firstLine="708"/>
              <w:jc w:val="both"/>
              <w:rPr>
                <w:rFonts w:ascii="Verdana" w:eastAsia="Calibri" w:hAnsi="Verdana" w:cs="Arial"/>
                <w:bCs/>
                <w:color w:val="000000" w:themeColor="text1"/>
              </w:rPr>
            </w:pPr>
            <w:r>
              <w:rPr>
                <w:rFonts w:ascii="Verdana" w:eastAsia="Calibri" w:hAnsi="Verdana" w:cs="Arial"/>
                <w:lang w:val="es-ES_tradnl" w:eastAsia="es-ES"/>
              </w:rPr>
              <w:t xml:space="preserve">   </w:t>
            </w:r>
            <w:r w:rsidR="00A41289">
              <w:rPr>
                <w:rFonts w:ascii="Verdana" w:eastAsia="Calibri" w:hAnsi="Verdana" w:cs="Arial"/>
                <w:bCs/>
                <w:color w:val="000000" w:themeColor="text1"/>
              </w:rPr>
              <w:t>E</w:t>
            </w:r>
            <w:r w:rsidR="00A41289" w:rsidRPr="00C7680D">
              <w:rPr>
                <w:rFonts w:ascii="Verdana" w:eastAsia="Calibri" w:hAnsi="Verdana" w:cs="Arial"/>
                <w:bCs/>
                <w:color w:val="000000" w:themeColor="text1"/>
              </w:rPr>
              <w:t>n</w:t>
            </w:r>
            <w:r w:rsidR="00A41289">
              <w:rPr>
                <w:rFonts w:ascii="Verdana" w:eastAsia="Calibri" w:hAnsi="Verdana" w:cs="Arial"/>
                <w:bCs/>
                <w:color w:val="000000" w:themeColor="text1"/>
              </w:rPr>
              <w:t xml:space="preserve"> los procesos de</w:t>
            </w:r>
            <w:r w:rsidR="00A41289" w:rsidRPr="00C7680D">
              <w:rPr>
                <w:rFonts w:ascii="Verdana" w:eastAsia="Calibri" w:hAnsi="Verdana" w:cs="Arial"/>
                <w:bCs/>
                <w:color w:val="000000" w:themeColor="text1"/>
              </w:rPr>
              <w:t xml:space="preserve"> subasta inversa, la verificación de un </w:t>
            </w:r>
            <w:proofErr w:type="gramStart"/>
            <w:r w:rsidR="00A41289" w:rsidRPr="00C7680D">
              <w:rPr>
                <w:rFonts w:ascii="Verdana" w:eastAsia="Calibri" w:hAnsi="Verdana" w:cs="Arial"/>
                <w:bCs/>
                <w:color w:val="000000" w:themeColor="text1"/>
              </w:rPr>
              <w:t>precio  artificialmente</w:t>
            </w:r>
            <w:proofErr w:type="gramEnd"/>
            <w:r w:rsidR="00A41289" w:rsidRPr="00C7680D">
              <w:rPr>
                <w:rFonts w:ascii="Verdana" w:eastAsia="Calibri" w:hAnsi="Verdana" w:cs="Arial"/>
                <w:bCs/>
                <w:color w:val="000000" w:themeColor="text1"/>
              </w:rPr>
              <w:t xml:space="preserve"> bajo se hace al finalizar el evento, con el precio final ofertado, y la entidad debe (i) requerir </w:t>
            </w:r>
            <w:r w:rsidR="00A41289">
              <w:rPr>
                <w:rFonts w:ascii="Verdana" w:eastAsia="Calibri" w:hAnsi="Verdana" w:cs="Arial"/>
                <w:bCs/>
                <w:color w:val="000000" w:themeColor="text1"/>
              </w:rPr>
              <w:t>justificación</w:t>
            </w:r>
            <w:r w:rsidR="00A41289" w:rsidRPr="00C7680D">
              <w:rPr>
                <w:rFonts w:ascii="Verdana" w:eastAsia="Calibri" w:hAnsi="Verdana" w:cs="Arial"/>
                <w:bCs/>
                <w:color w:val="000000" w:themeColor="text1"/>
              </w:rPr>
              <w:t xml:space="preserve"> al oferente, (</w:t>
            </w:r>
            <w:proofErr w:type="spellStart"/>
            <w:r w:rsidR="00A41289" w:rsidRPr="00C7680D">
              <w:rPr>
                <w:rFonts w:ascii="Verdana" w:eastAsia="Calibri" w:hAnsi="Verdana" w:cs="Arial"/>
                <w:bCs/>
                <w:color w:val="000000" w:themeColor="text1"/>
              </w:rPr>
              <w:t>ii</w:t>
            </w:r>
            <w:proofErr w:type="spellEnd"/>
            <w:r w:rsidR="00A41289" w:rsidRPr="00C7680D">
              <w:rPr>
                <w:rFonts w:ascii="Verdana" w:eastAsia="Calibri" w:hAnsi="Verdana" w:cs="Arial"/>
                <w:bCs/>
                <w:color w:val="000000" w:themeColor="text1"/>
              </w:rPr>
              <w:t>) analizarlas y (</w:t>
            </w:r>
            <w:proofErr w:type="spellStart"/>
            <w:r w:rsidR="00A41289" w:rsidRPr="00C7680D">
              <w:rPr>
                <w:rFonts w:ascii="Verdana" w:eastAsia="Calibri" w:hAnsi="Verdana" w:cs="Arial"/>
                <w:bCs/>
                <w:color w:val="000000" w:themeColor="text1"/>
              </w:rPr>
              <w:t>iii</w:t>
            </w:r>
            <w:proofErr w:type="spellEnd"/>
            <w:r w:rsidR="00A41289" w:rsidRPr="00C7680D">
              <w:rPr>
                <w:rFonts w:ascii="Verdana" w:eastAsia="Calibri" w:hAnsi="Verdana" w:cs="Arial"/>
                <w:bCs/>
                <w:color w:val="000000" w:themeColor="text1"/>
              </w:rPr>
              <w:t xml:space="preserve">) </w:t>
            </w:r>
            <w:r w:rsidR="00A41289" w:rsidRPr="00C7680D">
              <w:rPr>
                <w:rFonts w:ascii="Verdana" w:eastAsia="Calibri" w:hAnsi="Verdana" w:cs="Arial"/>
                <w:bCs/>
                <w:color w:val="000000" w:themeColor="text1"/>
              </w:rPr>
              <w:lastRenderedPageBreak/>
              <w:t>decidir motivadamente si continúa con la evaluación o rechaza la oferta por insuficiencia, todo conforme al art. 2.2.1.1.2.2.4 del Decreto 1082 de 2015.</w:t>
            </w:r>
          </w:p>
          <w:p w14:paraId="60A1EE84" w14:textId="30CCAFB1" w:rsidR="00A41289" w:rsidRDefault="00A41289" w:rsidP="00A41289">
            <w:pPr>
              <w:spacing w:before="120" w:after="120" w:line="276" w:lineRule="auto"/>
              <w:ind w:firstLine="708"/>
              <w:jc w:val="both"/>
              <w:rPr>
                <w:rFonts w:ascii="Verdana" w:eastAsia="Calibri" w:hAnsi="Verdana" w:cs="Arial"/>
                <w:bCs/>
                <w:color w:val="000000" w:themeColor="text1"/>
              </w:rPr>
            </w:pPr>
            <w:r w:rsidRPr="00C7680D">
              <w:rPr>
                <w:rFonts w:ascii="Verdana" w:eastAsia="Calibri" w:hAnsi="Verdana" w:cs="Arial"/>
                <w:bCs/>
                <w:color w:val="000000" w:themeColor="text1"/>
              </w:rPr>
              <w:t>De acuerdo</w:t>
            </w:r>
            <w:r>
              <w:rPr>
                <w:rFonts w:ascii="Verdana" w:eastAsia="Calibri" w:hAnsi="Verdana" w:cs="Arial"/>
                <w:bCs/>
                <w:color w:val="000000" w:themeColor="text1"/>
              </w:rPr>
              <w:t xml:space="preserve"> con</w:t>
            </w:r>
            <w:r w:rsidRPr="00C7680D">
              <w:rPr>
                <w:rFonts w:ascii="Verdana" w:eastAsia="Calibri" w:hAnsi="Verdana" w:cs="Arial"/>
                <w:bCs/>
                <w:color w:val="000000" w:themeColor="text1"/>
              </w:rPr>
              <w:t xml:space="preserve"> la Guía para el Manejo de Ofertas Artificialmente Bajas emitida por la Agencia Nacional de Contratación Pública – Colombia Compra Eficiente (2024)</w:t>
            </w:r>
            <w:r w:rsidR="00D56D80">
              <w:rPr>
                <w:rStyle w:val="Refdenotaalpie"/>
                <w:rFonts w:ascii="Verdana" w:eastAsia="Calibri" w:hAnsi="Verdana" w:cs="Arial"/>
                <w:bCs/>
                <w:color w:val="000000" w:themeColor="text1"/>
              </w:rPr>
              <w:footnoteReference w:id="1"/>
            </w:r>
            <w:r w:rsidR="00874173">
              <w:rPr>
                <w:rFonts w:ascii="Verdana" w:eastAsia="Calibri" w:hAnsi="Verdana" w:cs="Arial"/>
                <w:bCs/>
                <w:color w:val="000000" w:themeColor="text1"/>
              </w:rPr>
              <w:t xml:space="preserve"> y en línea con los previsto en el concepto C-1299 del 20 de octubre de 2025 emitido por esta </w:t>
            </w:r>
            <w:r w:rsidR="000E20A9">
              <w:rPr>
                <w:rFonts w:ascii="Verdana" w:eastAsia="Calibri" w:hAnsi="Verdana" w:cs="Arial"/>
                <w:bCs/>
                <w:color w:val="000000" w:themeColor="text1"/>
              </w:rPr>
              <w:t>S</w:t>
            </w:r>
            <w:r w:rsidR="00874173">
              <w:rPr>
                <w:rFonts w:ascii="Verdana" w:eastAsia="Calibri" w:hAnsi="Verdana" w:cs="Arial"/>
                <w:bCs/>
                <w:color w:val="000000" w:themeColor="text1"/>
              </w:rPr>
              <w:t>ubdirección Contractual,</w:t>
            </w:r>
            <w:r w:rsidRPr="00C7680D">
              <w:rPr>
                <w:rFonts w:ascii="Verdana" w:eastAsia="Calibri" w:hAnsi="Verdana" w:cs="Arial"/>
                <w:bCs/>
                <w:color w:val="000000" w:themeColor="text1"/>
              </w:rPr>
              <w:t xml:space="preserve"> una oferta puede ser calificada como presuntamente artificialmente baja cuando, con base en la metodología de comparación definida por la entidad en los pliegos, su precio resulta significativamente inferior al del mercado o no guarda relación con el objeto contractual proyectado. En estos casos, el artículo 2.2.1.1.2.2.4 del Decreto 1082 de 2015 obliga a la entidad a requerir al oferente para que justifique el valor presentado. La Guía es clara en señalar que, </w:t>
            </w:r>
            <w:r>
              <w:rPr>
                <w:rFonts w:ascii="Verdana" w:eastAsia="Calibri" w:hAnsi="Verdana" w:cs="Arial"/>
                <w:bCs/>
                <w:color w:val="000000" w:themeColor="text1"/>
              </w:rPr>
              <w:t>“</w:t>
            </w:r>
            <w:r w:rsidRPr="00C7680D">
              <w:rPr>
                <w:rFonts w:ascii="Verdana" w:eastAsia="Calibri" w:hAnsi="Verdana" w:cs="Arial"/>
                <w:bCs/>
                <w:i/>
                <w:iCs/>
                <w:color w:val="000000" w:themeColor="text1"/>
              </w:rPr>
              <w:t>si el oferente no responde o su explicación resulta insuficiente, la entidad debe rechazar la oferta</w:t>
            </w:r>
            <w:r>
              <w:rPr>
                <w:rFonts w:ascii="Verdana" w:eastAsia="Calibri" w:hAnsi="Verdana" w:cs="Arial"/>
                <w:bCs/>
                <w:i/>
                <w:iCs/>
                <w:color w:val="000000" w:themeColor="text1"/>
              </w:rPr>
              <w:t>”</w:t>
            </w:r>
            <w:r w:rsidRPr="00C7680D">
              <w:rPr>
                <w:rFonts w:ascii="Verdana" w:eastAsia="Calibri" w:hAnsi="Verdana" w:cs="Arial"/>
                <w:bCs/>
                <w:color w:val="000000" w:themeColor="text1"/>
              </w:rPr>
              <w:t xml:space="preserve">, pues no se acredita su viabilidad técnica, económica o </w:t>
            </w:r>
            <w:proofErr w:type="gramStart"/>
            <w:r w:rsidRPr="00C7680D">
              <w:rPr>
                <w:rFonts w:ascii="Verdana" w:eastAsia="Calibri" w:hAnsi="Verdana" w:cs="Arial"/>
                <w:bCs/>
                <w:color w:val="000000" w:themeColor="text1"/>
              </w:rPr>
              <w:t>jurídica .</w:t>
            </w:r>
            <w:proofErr w:type="gramEnd"/>
            <w:r w:rsidRPr="00C7680D">
              <w:rPr>
                <w:rFonts w:ascii="Verdana" w:eastAsia="Calibri" w:hAnsi="Verdana" w:cs="Arial"/>
                <w:bCs/>
                <w:color w:val="000000" w:themeColor="text1"/>
              </w:rPr>
              <w:t xml:space="preserve"> Asimismo, cuando el comportamiento del oferente evidencia un posible patrón destinado a distorsionar la competencia</w:t>
            </w:r>
            <w:r>
              <w:rPr>
                <w:rFonts w:ascii="Verdana" w:eastAsia="Calibri" w:hAnsi="Verdana" w:cs="Arial"/>
                <w:bCs/>
                <w:color w:val="000000" w:themeColor="text1"/>
              </w:rPr>
              <w:t xml:space="preserve">, </w:t>
            </w:r>
            <w:r w:rsidRPr="00C7680D">
              <w:rPr>
                <w:rFonts w:ascii="Verdana" w:eastAsia="Calibri" w:hAnsi="Verdana" w:cs="Arial"/>
                <w:bCs/>
                <w:color w:val="000000" w:themeColor="text1"/>
              </w:rPr>
              <w:t xml:space="preserve">como presentar lances artificialmente bajos para afectar el resultado de una subasta inversa </w:t>
            </w:r>
            <w:proofErr w:type="gramStart"/>
            <w:r w:rsidRPr="00C7680D">
              <w:rPr>
                <w:rFonts w:ascii="Verdana" w:eastAsia="Calibri" w:hAnsi="Verdana" w:cs="Arial"/>
                <w:bCs/>
                <w:color w:val="000000" w:themeColor="text1"/>
              </w:rPr>
              <w:t>electrónica</w:t>
            </w:r>
            <w:r>
              <w:rPr>
                <w:rFonts w:ascii="Verdana" w:eastAsia="Calibri" w:hAnsi="Verdana" w:cs="Arial"/>
                <w:bCs/>
                <w:color w:val="000000" w:themeColor="text1"/>
              </w:rPr>
              <w:t xml:space="preserve">, </w:t>
            </w:r>
            <w:r w:rsidRPr="00C7680D">
              <w:rPr>
                <w:rFonts w:ascii="Verdana" w:eastAsia="Calibri" w:hAnsi="Verdana" w:cs="Arial"/>
                <w:bCs/>
                <w:color w:val="000000" w:themeColor="text1"/>
              </w:rPr>
              <w:t xml:space="preserve"> la</w:t>
            </w:r>
            <w:proofErr w:type="gramEnd"/>
            <w:r w:rsidRPr="00C7680D">
              <w:rPr>
                <w:rFonts w:ascii="Verdana" w:eastAsia="Calibri" w:hAnsi="Verdana" w:cs="Arial"/>
                <w:bCs/>
                <w:color w:val="000000" w:themeColor="text1"/>
              </w:rPr>
              <w:t xml:space="preserve"> Guía dispone que la entidad debe </w:t>
            </w:r>
            <w:r w:rsidRPr="00C7680D">
              <w:rPr>
                <w:rFonts w:ascii="Verdana" w:eastAsia="Calibri" w:hAnsi="Verdana" w:cs="Arial"/>
                <w:color w:val="000000" w:themeColor="text1"/>
              </w:rPr>
              <w:t>reportar el caso a la Superintendencia de Industria y Comercio (SIC)</w:t>
            </w:r>
            <w:r w:rsidRPr="00C7680D">
              <w:rPr>
                <w:rFonts w:ascii="Verdana" w:eastAsia="Calibri" w:hAnsi="Verdana" w:cs="Arial"/>
                <w:bCs/>
                <w:color w:val="000000" w:themeColor="text1"/>
              </w:rPr>
              <w:t>, por un posible escenario de colusión o práctica restrictiva de la competencia, dado que esta autoridad es la competente para investigar y sancionar dichas conductas.</w:t>
            </w:r>
          </w:p>
          <w:p w14:paraId="32B20F78" w14:textId="0DF0AB29" w:rsidR="00D56D80" w:rsidRPr="00C7680D" w:rsidRDefault="00D56D80" w:rsidP="00D56D80">
            <w:pPr>
              <w:spacing w:before="120"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Por último, se recomienda </w:t>
            </w:r>
            <w:r w:rsidRPr="00D56D80">
              <w:rPr>
                <w:rFonts w:ascii="Verdana" w:eastAsia="Calibri" w:hAnsi="Verdana" w:cs="Arial"/>
                <w:bCs/>
                <w:color w:val="000000" w:themeColor="text1"/>
              </w:rPr>
              <w:t>consultar la “Guía para el Manejo de Ofertas Artificialmente Bajas”, con el fin de orientar adecuadamente la actuación frente a ofertas que presenten precios inusualmente bajos o que los proponentes no justifiquen debidamente. Esta guía ofrece directrices claras sobre los pasos que debe seguir la entidad para requerir explicaciones, evaluar su suficiencia y adoptar decisiones motivadas, garantizando la transparencia, la selección objetiva y la protección de la competencia en los procesos de subasta inversa electrónica.</w:t>
            </w:r>
          </w:p>
          <w:p w14:paraId="4FED5380" w14:textId="51A90973" w:rsidR="00A64017" w:rsidRPr="00C71956" w:rsidRDefault="00D80A51" w:rsidP="00D56D80">
            <w:pPr>
              <w:tabs>
                <w:tab w:val="left" w:pos="426"/>
              </w:tabs>
              <w:spacing w:after="120" w:line="276" w:lineRule="auto"/>
              <w:ind w:firstLine="425"/>
              <w:jc w:val="both"/>
              <w:rPr>
                <w:rFonts w:ascii="Verdana" w:eastAsia="Aptos" w:hAnsi="Verdana" w:cs="Arial"/>
                <w:shd w:val="clear" w:color="auto" w:fill="FFFFFF"/>
              </w:rPr>
            </w:pPr>
            <w:r w:rsidRPr="00AB7349">
              <w:rPr>
                <w:rFonts w:ascii="Verdana" w:eastAsia="Calibri" w:hAnsi="Verdana" w:cs="Arial"/>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00A64017" w:rsidRPr="00DB4737">
              <w:rPr>
                <w:rFonts w:ascii="Verdana" w:eastAsia="Calibri" w:hAnsi="Verdana" w:cs="Times New Roman"/>
              </w:rPr>
              <w:lastRenderedPageBreak/>
              <w:t>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EEC6B3" w14:textId="77777777" w:rsidR="000645D4" w:rsidRDefault="000645D4" w:rsidP="000645D4">
      <w:pPr>
        <w:spacing w:line="276" w:lineRule="auto"/>
        <w:jc w:val="both"/>
        <w:rPr>
          <w:rFonts w:ascii="Verdana" w:eastAsia="Calibri" w:hAnsi="Verdana" w:cs="Arial"/>
          <w:color w:val="000000" w:themeColor="text1"/>
        </w:rPr>
      </w:pPr>
      <w:bookmarkStart w:id="4" w:name="_Hlk108519028"/>
    </w:p>
    <w:bookmarkEnd w:id="4"/>
    <w:p w14:paraId="09AB4F3C" w14:textId="6F222FB7" w:rsidR="006F4DCF" w:rsidRPr="00161B60" w:rsidRDefault="00BC23EF" w:rsidP="006F4DCF">
      <w:pPr>
        <w:widowControl w:val="0"/>
        <w:autoSpaceDE w:val="0"/>
        <w:autoSpaceDN w:val="0"/>
        <w:snapToGrid w:val="0"/>
        <w:spacing w:after="0" w:line="276" w:lineRule="auto"/>
        <w:jc w:val="both"/>
        <w:rPr>
          <w:rFonts w:ascii="Verdana" w:eastAsia="Calibri" w:hAnsi="Verdana" w:cs="Arial"/>
          <w:bCs/>
          <w:lang w:val="es-ES_tradnl"/>
        </w:rPr>
      </w:pPr>
      <w:r>
        <w:rPr>
          <w:rFonts w:ascii="Verdana" w:eastAsia="Arial" w:hAnsi="Verdana" w:cs="Arial"/>
          <w:lang w:val="es-ES" w:eastAsia="es-ES" w:bidi="es-ES"/>
        </w:rPr>
        <w:t xml:space="preserve">     </w:t>
      </w:r>
      <w:r w:rsidR="006F4DCF" w:rsidRPr="00910028">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006F4DCF" w:rsidRPr="00910028">
        <w:rPr>
          <w:rFonts w:ascii="Verdana" w:eastAsia="Arial" w:hAnsi="Verdana" w:cs="Arial"/>
          <w:vertAlign w:val="superscript"/>
          <w:lang w:val="es-ES" w:eastAsia="es-ES" w:bidi="es-ES"/>
        </w:rPr>
        <w:footnoteReference w:id="2"/>
      </w:r>
      <w:r w:rsidR="006F4DCF" w:rsidRPr="00910028">
        <w:rPr>
          <w:rFonts w:ascii="Verdana" w:eastAsia="Arial" w:hAnsi="Verdana" w:cs="Arial"/>
          <w:lang w:val="es-ES" w:eastAsia="es-ES" w:bidi="es-ES"/>
        </w:rPr>
        <w:t>.</w:t>
      </w:r>
      <w:r w:rsidR="006F4DCF">
        <w:rPr>
          <w:rFonts w:ascii="Verdana" w:eastAsia="Arial" w:hAnsi="Verdana" w:cs="Arial"/>
          <w:lang w:val="es-ES" w:eastAsia="es-ES" w:bidi="es-ES"/>
        </w:rPr>
        <w:t xml:space="preserve"> Al respecto, e</w:t>
      </w:r>
      <w:r w:rsidR="006F4DCF" w:rsidRPr="00910028">
        <w:rPr>
          <w:rFonts w:ascii="Verdana" w:eastAsia="Arial" w:hAnsi="Verdana" w:cs="Arial"/>
          <w:lang w:val="es-ES" w:eastAsia="es-ES" w:bidi="es-ES"/>
        </w:rPr>
        <w:t>l Consejo de Estado, Sección Tercera, sentencia 4 de junio de 2008, radicado No. 17.783, M.P. Myriam Guerrero de Escobar, define el precio artificialmente bajo como aquel que no tiene sustento o fundamento en su</w:t>
      </w:r>
      <w:r w:rsidR="006F4DCF" w:rsidRPr="00910028">
        <w:rPr>
          <w:rFonts w:ascii="Verdana" w:eastAsia="Arial" w:hAnsi="Verdana" w:cs="Arial"/>
          <w:spacing w:val="-45"/>
          <w:lang w:val="es-ES" w:eastAsia="es-ES" w:bidi="es-ES"/>
        </w:rPr>
        <w:t xml:space="preserve"> </w:t>
      </w:r>
      <w:r w:rsidR="006F4DCF" w:rsidRPr="00910028">
        <w:rPr>
          <w:rFonts w:ascii="Verdana" w:eastAsia="Arial" w:hAnsi="Verdana" w:cs="Arial"/>
          <w:lang w:val="es-ES" w:eastAsia="es-ES" w:bidi="es-ES"/>
        </w:rPr>
        <w:t>estructuración dentro del tráfico comercial:</w:t>
      </w:r>
    </w:p>
    <w:p w14:paraId="0C0B5D75" w14:textId="77777777" w:rsidR="006F4DCF" w:rsidRPr="00910028" w:rsidRDefault="006F4DCF" w:rsidP="006F4DCF">
      <w:pPr>
        <w:widowControl w:val="0"/>
        <w:autoSpaceDE w:val="0"/>
        <w:autoSpaceDN w:val="0"/>
        <w:spacing w:after="0" w:line="276" w:lineRule="auto"/>
        <w:ind w:left="720"/>
        <w:rPr>
          <w:rFonts w:ascii="Verdana" w:eastAsia="Arial" w:hAnsi="Verdana" w:cs="Arial"/>
          <w:lang w:val="es-ES" w:eastAsia="es-ES" w:bidi="es-ES"/>
        </w:rPr>
      </w:pPr>
    </w:p>
    <w:p w14:paraId="2B0D0EDF" w14:textId="77777777" w:rsidR="006F4DCF" w:rsidRPr="00666BAC" w:rsidRDefault="006F4DCF" w:rsidP="006F4DCF">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2F0051C9" w14:textId="77777777" w:rsidR="006F4DCF" w:rsidRPr="00910028" w:rsidRDefault="006F4DCF" w:rsidP="006F4DCF">
      <w:pPr>
        <w:widowControl w:val="0"/>
        <w:autoSpaceDE w:val="0"/>
        <w:autoSpaceDN w:val="0"/>
        <w:spacing w:after="0" w:line="276" w:lineRule="auto"/>
        <w:ind w:left="720"/>
        <w:jc w:val="both"/>
        <w:rPr>
          <w:rFonts w:ascii="Verdana" w:eastAsia="Arial" w:hAnsi="Verdana" w:cs="Arial"/>
          <w:lang w:val="es-ES" w:eastAsia="es-ES" w:bidi="es-ES"/>
        </w:rPr>
      </w:pPr>
    </w:p>
    <w:p w14:paraId="3A4E5E84" w14:textId="77777777" w:rsidR="006F4DCF" w:rsidRDefault="006F4DCF" w:rsidP="006F4DCF">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t xml:space="preserve">Por su parte, el artículo 2.2.1.1.2.2.4. del Decreto 1082 de 2015 establece </w:t>
      </w:r>
      <w:r w:rsidRPr="00910028">
        <w:rPr>
          <w:rFonts w:ascii="Verdana" w:eastAsia="Arial" w:hAnsi="Verdana" w:cs="Arial"/>
          <w:lang w:val="es-ES" w:eastAsia="es-ES" w:bidi="es-ES"/>
        </w:rPr>
        <w:lastRenderedPageBreak/>
        <w:t xml:space="preserve">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6B8CC744" w14:textId="77777777" w:rsidR="006F4DCF" w:rsidRPr="001F4545" w:rsidRDefault="006F4DCF" w:rsidP="006F4DCF">
      <w:pPr>
        <w:spacing w:after="0" w:line="240" w:lineRule="auto"/>
        <w:ind w:left="708" w:right="616" w:firstLine="1"/>
        <w:jc w:val="both"/>
        <w:rPr>
          <w:rFonts w:ascii="Verdana" w:hAnsi="Verdana"/>
          <w:sz w:val="21"/>
          <w:szCs w:val="21"/>
        </w:rPr>
      </w:pPr>
    </w:p>
    <w:p w14:paraId="12C56954" w14:textId="77777777" w:rsidR="006F4DCF" w:rsidRPr="00666BAC" w:rsidRDefault="006F4DCF" w:rsidP="006F4DCF">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3A66651A" w14:textId="77777777" w:rsidR="006F4DCF" w:rsidRDefault="006F4DCF" w:rsidP="006F4DCF">
      <w:pPr>
        <w:spacing w:after="0" w:line="240" w:lineRule="auto"/>
        <w:ind w:left="708" w:right="616" w:firstLine="1"/>
        <w:jc w:val="both"/>
        <w:rPr>
          <w:rFonts w:ascii="Verdana" w:hAnsi="Verdana"/>
          <w:sz w:val="20"/>
          <w:szCs w:val="20"/>
        </w:rPr>
      </w:pPr>
    </w:p>
    <w:p w14:paraId="05416905" w14:textId="77777777" w:rsidR="006F4DCF" w:rsidRPr="00666BAC" w:rsidRDefault="006F4DCF" w:rsidP="006F4DCF">
      <w:pPr>
        <w:spacing w:after="0" w:line="240" w:lineRule="auto"/>
        <w:ind w:left="708" w:right="616" w:firstLine="1"/>
        <w:jc w:val="both"/>
        <w:rPr>
          <w:rFonts w:ascii="Verdana" w:hAnsi="Verdana"/>
          <w:sz w:val="20"/>
          <w:szCs w:val="20"/>
        </w:rPr>
      </w:pPr>
      <w:r w:rsidRPr="00666BAC">
        <w:rPr>
          <w:rFonts w:ascii="Verdana" w:hAnsi="Verdana"/>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39669EBD" w14:textId="77777777" w:rsidR="006F4DCF" w:rsidRPr="00666BAC" w:rsidRDefault="006F4DCF" w:rsidP="006F4DCF">
      <w:pPr>
        <w:spacing w:after="0" w:line="240" w:lineRule="auto"/>
        <w:ind w:left="708" w:right="616" w:firstLine="1"/>
        <w:jc w:val="both"/>
        <w:rPr>
          <w:rFonts w:ascii="Verdana" w:hAnsi="Verdana"/>
          <w:sz w:val="20"/>
          <w:szCs w:val="20"/>
        </w:rPr>
      </w:pPr>
      <w:r w:rsidRPr="00666BAC">
        <w:rPr>
          <w:rFonts w:ascii="Verdana" w:hAnsi="Verdana"/>
          <w:sz w:val="20"/>
          <w:szCs w:val="20"/>
        </w:rPr>
        <w:t>En la subasta inversa esta disposición es aplicable sobre el precio obtenido al final de la misma”.</w:t>
      </w:r>
    </w:p>
    <w:p w14:paraId="30E47BCC" w14:textId="77777777" w:rsidR="006F4DCF" w:rsidRPr="00C71D70" w:rsidRDefault="006F4DCF" w:rsidP="006F4DCF">
      <w:pPr>
        <w:spacing w:after="0" w:line="240" w:lineRule="auto"/>
        <w:ind w:left="708" w:right="616" w:firstLine="1"/>
        <w:jc w:val="both"/>
        <w:rPr>
          <w:rFonts w:ascii="Verdana" w:hAnsi="Verdana"/>
          <w:sz w:val="21"/>
          <w:szCs w:val="21"/>
        </w:rPr>
      </w:pPr>
    </w:p>
    <w:p w14:paraId="486E115B" w14:textId="77777777" w:rsidR="006F4DCF" w:rsidRPr="00AC1339" w:rsidRDefault="006F4DCF" w:rsidP="006F4DCF">
      <w:pPr>
        <w:spacing w:after="120" w:line="276" w:lineRule="auto"/>
        <w:ind w:firstLine="708"/>
        <w:jc w:val="both"/>
        <w:rPr>
          <w:rFonts w:ascii="Verdana" w:eastAsia="Calibri" w:hAnsi="Verdana" w:cs="Arial"/>
          <w:lang w:val="es-ES"/>
        </w:rPr>
      </w:pPr>
      <w:r w:rsidRPr="00AC1339">
        <w:rPr>
          <w:rFonts w:ascii="Verdana" w:eastAsia="Calibri" w:hAnsi="Verdana" w:cs="Arial"/>
          <w:lang w:val="es-MX"/>
        </w:rPr>
        <w:t xml:space="preserve">Así pues, el artículo 2.2.1.1.2.2.4 ibidem, establece lo que debe hacer la entidad cuando el precio de una oferta parece artificialmente bajo, esto es: i) solicitar explicación al oferente, </w:t>
      </w:r>
      <w:proofErr w:type="spellStart"/>
      <w:r w:rsidRPr="00AC1339">
        <w:rPr>
          <w:rFonts w:ascii="Verdana" w:eastAsia="Calibri" w:hAnsi="Verdana" w:cs="Arial"/>
          <w:lang w:val="es-MX"/>
        </w:rPr>
        <w:t>ii</w:t>
      </w:r>
      <w:proofErr w:type="spellEnd"/>
      <w:r w:rsidRPr="00AC1339">
        <w:rPr>
          <w:rFonts w:ascii="Verdana" w:eastAsia="Calibri" w:hAnsi="Verdana" w:cs="Arial"/>
          <w:lang w:val="es-MX"/>
        </w:rPr>
        <w:t xml:space="preserve">) analizar las explicaciones del oferente, </w:t>
      </w:r>
      <w:proofErr w:type="spellStart"/>
      <w:r w:rsidRPr="00AC1339">
        <w:rPr>
          <w:rFonts w:ascii="Verdana" w:eastAsia="Calibri" w:hAnsi="Verdana" w:cs="Arial"/>
          <w:lang w:val="es-MX"/>
        </w:rPr>
        <w:t>iii</w:t>
      </w:r>
      <w:proofErr w:type="spellEnd"/>
      <w:r w:rsidRPr="00AC1339">
        <w:rPr>
          <w:rFonts w:ascii="Verdana" w:eastAsia="Calibri" w:hAnsi="Verdana" w:cs="Arial"/>
          <w:lang w:val="es-MX"/>
        </w:rPr>
        <w:t xml:space="preserve">) el responsable de la evaluación de las ofertas debe recomendar rechazar o continuar la evaluación de la oferta, y </w:t>
      </w:r>
      <w:proofErr w:type="spellStart"/>
      <w:r w:rsidRPr="00AC1339">
        <w:rPr>
          <w:rFonts w:ascii="Verdana" w:eastAsia="Calibri" w:hAnsi="Verdana" w:cs="Arial"/>
          <w:lang w:val="es-MX"/>
        </w:rPr>
        <w:t>iv</w:t>
      </w:r>
      <w:proofErr w:type="spellEnd"/>
      <w:r w:rsidRPr="00AC1339">
        <w:rPr>
          <w:rFonts w:ascii="Verdana" w:eastAsia="Calibri" w:hAnsi="Verdana" w:cs="Arial"/>
          <w:lang w:val="es-MX"/>
        </w:rPr>
        <w:t>) para la subasta inversa, lo anterior se debe hacer al finalizar el evento.</w:t>
      </w:r>
    </w:p>
    <w:p w14:paraId="419CBE81" w14:textId="77777777" w:rsidR="006F4DCF" w:rsidRPr="00AC1339" w:rsidRDefault="006F4DCF" w:rsidP="006F4DCF">
      <w:pPr>
        <w:spacing w:before="120" w:line="276" w:lineRule="auto"/>
        <w:ind w:firstLine="708"/>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3"/>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w:t>
      </w:r>
      <w:r w:rsidRPr="00AC1339">
        <w:rPr>
          <w:rFonts w:ascii="Verdana" w:eastAsia="Calibri" w:hAnsi="Verdana" w:cs="Arial"/>
          <w:lang w:val="es-MX"/>
        </w:rPr>
        <w:lastRenderedPageBreak/>
        <w:t>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35452AAA" w14:textId="77777777" w:rsidR="006F4DCF" w:rsidRPr="00AC1339" w:rsidRDefault="006F4DCF" w:rsidP="006F4DCF">
      <w:pPr>
        <w:spacing w:after="120" w:line="276" w:lineRule="auto"/>
        <w:ind w:firstLine="708"/>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39828065" w14:textId="77777777" w:rsidR="006F4DCF" w:rsidRDefault="006F4DCF" w:rsidP="006F4DCF">
      <w:pPr>
        <w:spacing w:after="120" w:line="276" w:lineRule="auto"/>
        <w:ind w:firstLine="708"/>
        <w:jc w:val="both"/>
        <w:rPr>
          <w:rFonts w:ascii="Verdana" w:eastAsia="Times New Roman" w:hAnsi="Verdana" w:cs="Arial"/>
          <w:lang w:val="es-ES"/>
        </w:rPr>
      </w:pPr>
      <w:r w:rsidRPr="00AC1339">
        <w:rPr>
          <w:rFonts w:ascii="Verdana" w:eastAsia="Times New Roman" w:hAnsi="Verdana"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AC1339">
        <w:rPr>
          <w:rFonts w:ascii="Verdana" w:eastAsia="Times New Roman" w:hAnsi="Verdana" w:cs="Arial"/>
          <w:lang w:val="es-ES"/>
        </w:rPr>
        <w:t>ii</w:t>
      </w:r>
      <w:proofErr w:type="spellEnd"/>
      <w:r w:rsidRPr="00AC1339">
        <w:rPr>
          <w:rFonts w:ascii="Verdana" w:eastAsia="Times New Roman" w:hAnsi="Verdana" w:cs="Arial"/>
          <w:lang w:val="es-ES"/>
        </w:rPr>
        <w:t>) la comparación relativa.</w:t>
      </w:r>
      <w:r>
        <w:rPr>
          <w:rFonts w:ascii="Verdana" w:eastAsia="Times New Roman" w:hAnsi="Verdana" w:cs="Arial"/>
          <w:lang w:val="es-ES"/>
        </w:rPr>
        <w:t xml:space="preserve"> </w:t>
      </w:r>
    </w:p>
    <w:p w14:paraId="5E8464DA" w14:textId="77777777" w:rsidR="006F4DCF" w:rsidRPr="00D40E49" w:rsidRDefault="006F4DCF" w:rsidP="006F4DCF">
      <w:pPr>
        <w:spacing w:after="120" w:line="276" w:lineRule="auto"/>
        <w:ind w:firstLine="708"/>
        <w:jc w:val="both"/>
        <w:rPr>
          <w:rFonts w:ascii="Verdana" w:eastAsia="Times New Roman" w:hAnsi="Verdana" w:cs="Arial"/>
          <w:lang w:val="es-ES"/>
        </w:rPr>
      </w:pPr>
      <w:r>
        <w:rPr>
          <w:rFonts w:ascii="Verdana" w:eastAsia="Times New Roman" w:hAnsi="Verdana" w:cs="Arial"/>
          <w:lang w:val="es-ES"/>
        </w:rPr>
        <w:t xml:space="preserve">Es importante precisar que dentro de la Guía para el manejo de ofertas artificialmente bajas en Procesos de Contratación” efectúa un análisis especial en torno a la subasta inversa, la cual puede ser </w:t>
      </w:r>
      <w:r w:rsidRPr="001E5EA5">
        <w:rPr>
          <w:rFonts w:ascii="Verdana" w:eastAsia="Times New Roman" w:hAnsi="Verdana" w:cs="Arial"/>
        </w:rPr>
        <w:t>ordinaria y a la inversa.</w:t>
      </w:r>
      <w:r>
        <w:rPr>
          <w:rFonts w:ascii="Verdana" w:eastAsia="Times New Roman" w:hAnsi="Verdana" w:cs="Arial"/>
        </w:rPr>
        <w:t xml:space="preserve"> La primera consiste en que </w:t>
      </w:r>
      <w:r w:rsidRPr="001E5EA5">
        <w:rPr>
          <w:rFonts w:ascii="Verdana" w:eastAsia="Times New Roman" w:hAnsi="Verdana" w:cs="Arial"/>
        </w:rPr>
        <w:t>los compradores compiten para obtener un bien o servicio, ofreciend</w:t>
      </w:r>
      <w:r>
        <w:rPr>
          <w:rFonts w:ascii="Verdana" w:eastAsia="Times New Roman" w:hAnsi="Verdana" w:cs="Arial"/>
        </w:rPr>
        <w:t xml:space="preserve">o precios cada vez más altos, mediante </w:t>
      </w:r>
      <w:r w:rsidRPr="001E5EA5">
        <w:rPr>
          <w:rFonts w:ascii="Verdana" w:eastAsia="Times New Roman" w:hAnsi="Verdana" w:cs="Arial"/>
        </w:rPr>
        <w:t xml:space="preserve">lances, </w:t>
      </w:r>
      <w:r>
        <w:rPr>
          <w:rFonts w:ascii="Verdana" w:eastAsia="Times New Roman" w:hAnsi="Verdana" w:cs="Arial"/>
        </w:rPr>
        <w:t xml:space="preserve">como es el caso de los procesos de contratación de enajenación </w:t>
      </w:r>
      <w:r w:rsidRPr="001E5EA5">
        <w:rPr>
          <w:rFonts w:ascii="Verdana" w:eastAsia="Times New Roman" w:hAnsi="Verdana" w:cs="Arial"/>
        </w:rPr>
        <w:t>directa a través de subasta pública mediante la modalidad de selecció</w:t>
      </w:r>
      <w:r>
        <w:rPr>
          <w:rFonts w:ascii="Verdana" w:eastAsia="Times New Roman" w:hAnsi="Verdana" w:cs="Arial"/>
        </w:rPr>
        <w:t xml:space="preserve">n abreviada, de acuerdo con lo prescrito en el artículo </w:t>
      </w:r>
      <w:r w:rsidRPr="001E5EA5">
        <w:rPr>
          <w:rFonts w:ascii="Verdana" w:eastAsia="Times New Roman" w:hAnsi="Verdana" w:cs="Arial"/>
        </w:rPr>
        <w:t xml:space="preserve">2.2.1.2.2.2.2 del Decreto 1082 </w:t>
      </w:r>
      <w:r>
        <w:rPr>
          <w:rFonts w:ascii="Verdana" w:eastAsia="Times New Roman" w:hAnsi="Verdana" w:cs="Arial"/>
        </w:rPr>
        <w:t>de 1025</w:t>
      </w:r>
      <w:r>
        <w:rPr>
          <w:rStyle w:val="Refdenotaalpie"/>
          <w:rFonts w:ascii="Verdana" w:eastAsia="Times New Roman" w:hAnsi="Verdana" w:cs="Arial"/>
        </w:rPr>
        <w:footnoteReference w:id="4"/>
      </w:r>
      <w:r>
        <w:rPr>
          <w:rFonts w:ascii="Verdana" w:eastAsia="Times New Roman" w:hAnsi="Verdana" w:cs="Arial"/>
        </w:rPr>
        <w:t xml:space="preserve">. El segundo, es </w:t>
      </w:r>
      <w:r>
        <w:rPr>
          <w:rFonts w:ascii="Verdana" w:eastAsia="Times New Roman" w:hAnsi="Verdana" w:cs="Arial"/>
        </w:rPr>
        <w:lastRenderedPageBreak/>
        <w:t xml:space="preserve">la subasta inversa que consiste en que los vendedores compiten para obtener </w:t>
      </w:r>
      <w:r w:rsidRPr="001E5EA5">
        <w:rPr>
          <w:rFonts w:ascii="Verdana" w:eastAsia="Times New Roman" w:hAnsi="Verdana" w:cs="Arial"/>
        </w:rPr>
        <w:t>un negocio del comprador, y para ello, los lances realizados sobre la oferta económica tienen como objetivo disminuir los precios</w:t>
      </w:r>
      <w:r>
        <w:rPr>
          <w:rFonts w:ascii="Verdana" w:eastAsia="Times New Roman" w:hAnsi="Verdana" w:cs="Arial"/>
        </w:rPr>
        <w:t xml:space="preserve"> de los bienes y servicios que se están ofertando</w:t>
      </w:r>
      <w:r w:rsidRPr="001E5EA5">
        <w:rPr>
          <w:rFonts w:ascii="Verdana" w:eastAsia="Times New Roman" w:hAnsi="Verdana" w:cs="Arial"/>
        </w:rPr>
        <w:t>. E</w:t>
      </w:r>
      <w:r>
        <w:rPr>
          <w:rFonts w:ascii="Verdana" w:eastAsia="Times New Roman" w:hAnsi="Verdana" w:cs="Arial"/>
        </w:rPr>
        <w:t xml:space="preserve">jemplo de este escenario, es el procedimiento de la selección abreviada mediante subasta inversa, en la que se busca </w:t>
      </w:r>
      <w:r w:rsidRPr="001E5EA5">
        <w:rPr>
          <w:rFonts w:ascii="Verdana" w:eastAsia="Times New Roman" w:hAnsi="Verdana" w:cs="Arial"/>
        </w:rPr>
        <w:t>la adquisición o s</w:t>
      </w:r>
      <w:r>
        <w:rPr>
          <w:rFonts w:ascii="Verdana" w:eastAsia="Times New Roman" w:hAnsi="Verdana" w:cs="Arial"/>
        </w:rPr>
        <w:t xml:space="preserve">uministro de bienes y servicios </w:t>
      </w:r>
      <w:r w:rsidRPr="001E5EA5">
        <w:rPr>
          <w:rFonts w:ascii="Verdana" w:eastAsia="Times New Roman" w:hAnsi="Verdana" w:cs="Arial"/>
        </w:rPr>
        <w:t xml:space="preserve">de características técnicas uniformes y de común utilización por parte de las Entidades Estatales, </w:t>
      </w:r>
      <w:r>
        <w:rPr>
          <w:rFonts w:ascii="Verdana" w:eastAsia="Times New Roman" w:hAnsi="Verdana" w:cs="Arial"/>
        </w:rPr>
        <w:t xml:space="preserve">que está regulada en el artículo </w:t>
      </w:r>
      <w:r w:rsidRPr="001E5EA5">
        <w:rPr>
          <w:rFonts w:ascii="Verdana" w:eastAsia="Times New Roman" w:hAnsi="Verdana" w:cs="Arial"/>
        </w:rPr>
        <w:t>2</w:t>
      </w:r>
      <w:r>
        <w:rPr>
          <w:rFonts w:ascii="Verdana" w:eastAsia="Times New Roman" w:hAnsi="Verdana" w:cs="Arial"/>
        </w:rPr>
        <w:t>, numeral 2, literal a)</w:t>
      </w:r>
      <w:r w:rsidRPr="001E5EA5">
        <w:rPr>
          <w:rFonts w:ascii="Verdana" w:eastAsia="Times New Roman" w:hAnsi="Verdana" w:cs="Arial"/>
        </w:rPr>
        <w:t xml:space="preserve"> de la Ley 1150 de 2007, y el artículo 2.2.1.2.1.2.2 del Decreto 1082 de 2015</w:t>
      </w:r>
      <w:r>
        <w:rPr>
          <w:rStyle w:val="Refdenotaalpie"/>
          <w:rFonts w:ascii="Verdana" w:eastAsia="Times New Roman" w:hAnsi="Verdana" w:cs="Arial"/>
        </w:rPr>
        <w:footnoteReference w:id="5"/>
      </w:r>
      <w:r w:rsidRPr="001E5EA5">
        <w:rPr>
          <w:rFonts w:ascii="Verdana" w:eastAsia="Times New Roman" w:hAnsi="Verdana" w:cs="Arial"/>
        </w:rPr>
        <w:t>.</w:t>
      </w:r>
    </w:p>
    <w:p w14:paraId="181DE7F3" w14:textId="77777777" w:rsidR="006F4DCF" w:rsidRDefault="006F4DCF" w:rsidP="006F4DCF">
      <w:pPr>
        <w:spacing w:after="0" w:line="276" w:lineRule="auto"/>
        <w:ind w:firstLine="709"/>
        <w:jc w:val="both"/>
        <w:rPr>
          <w:rFonts w:ascii="Verdana" w:eastAsia="Times New Roman" w:hAnsi="Verdana" w:cs="Arial"/>
        </w:rPr>
      </w:pPr>
      <w:r>
        <w:rPr>
          <w:rFonts w:ascii="Verdana" w:eastAsia="Times New Roman" w:hAnsi="Verdana" w:cs="Arial"/>
          <w:lang w:val="es-ES"/>
        </w:rPr>
        <w:t xml:space="preserve">Dentro de la subasta inversa </w:t>
      </w:r>
      <w:r w:rsidRPr="001E5EA5">
        <w:rPr>
          <w:rFonts w:ascii="Verdana" w:eastAsia="Times New Roman" w:hAnsi="Verdana" w:cs="Arial"/>
        </w:rPr>
        <w:t xml:space="preserve">el único criterio de selección es el precio, </w:t>
      </w:r>
      <w:r>
        <w:rPr>
          <w:rFonts w:ascii="Verdana" w:eastAsia="Times New Roman" w:hAnsi="Verdana" w:cs="Arial"/>
        </w:rPr>
        <w:t>que se origina de los lances que son manifestación de pujas competitivas, en las que los procesos terminen en pre</w:t>
      </w:r>
      <w:r w:rsidRPr="001E5EA5">
        <w:rPr>
          <w:rFonts w:ascii="Verdana" w:eastAsia="Times New Roman" w:hAnsi="Verdana" w:cs="Arial"/>
        </w:rPr>
        <w:t xml:space="preserve">cios u ofertas bajas. </w:t>
      </w:r>
      <w:r>
        <w:rPr>
          <w:rFonts w:ascii="Verdana" w:eastAsia="Times New Roman" w:hAnsi="Verdana" w:cs="Arial"/>
        </w:rPr>
        <w:t xml:space="preserve">No obstante, dichas ofertas dentro de la audiencia de subasta </w:t>
      </w:r>
      <w:r w:rsidRPr="001E5EA5">
        <w:rPr>
          <w:rFonts w:ascii="Verdana" w:eastAsia="Times New Roman" w:hAnsi="Verdana" w:cs="Arial"/>
        </w:rPr>
        <w:t xml:space="preserve">no siempre deben </w:t>
      </w:r>
      <w:r>
        <w:rPr>
          <w:rFonts w:ascii="Verdana" w:eastAsia="Times New Roman" w:hAnsi="Verdana" w:cs="Arial"/>
        </w:rPr>
        <w:t xml:space="preserve">interpretarse como artificialmente bajas. En torno a este proceso de contratación, la Guía recomienda: </w:t>
      </w:r>
    </w:p>
    <w:p w14:paraId="4E580634" w14:textId="77777777" w:rsidR="006F4DCF" w:rsidRDefault="006F4DCF" w:rsidP="006F4DCF">
      <w:pPr>
        <w:spacing w:after="120" w:line="240" w:lineRule="auto"/>
        <w:jc w:val="both"/>
        <w:rPr>
          <w:rFonts w:ascii="Verdana" w:eastAsia="Times New Roman" w:hAnsi="Verdana" w:cs="Arial"/>
        </w:rPr>
      </w:pPr>
    </w:p>
    <w:p w14:paraId="21F2EA2F" w14:textId="77777777" w:rsidR="006F4DCF" w:rsidRPr="009653FC" w:rsidRDefault="006F4DCF" w:rsidP="006F4DCF">
      <w:pPr>
        <w:pStyle w:val="Prrafodelista"/>
        <w:numPr>
          <w:ilvl w:val="0"/>
          <w:numId w:val="21"/>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
    <w:p w14:paraId="7F0ED91F" w14:textId="77777777" w:rsidR="006F4DCF" w:rsidRDefault="006F4DCF" w:rsidP="006F4DCF">
      <w:pPr>
        <w:pStyle w:val="Prrafodelista"/>
        <w:numPr>
          <w:ilvl w:val="0"/>
          <w:numId w:val="21"/>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77AC8879" w14:textId="77777777" w:rsidR="006F4DCF" w:rsidRPr="009653FC" w:rsidRDefault="006F4DCF" w:rsidP="006F4DCF">
      <w:pPr>
        <w:pStyle w:val="Prrafodelista"/>
        <w:numPr>
          <w:ilvl w:val="0"/>
          <w:numId w:val="21"/>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 xml:space="preserve">Solicitar explicaciones a los </w:t>
      </w:r>
      <w:proofErr w:type="spellStart"/>
      <w:r w:rsidRPr="009653FC">
        <w:rPr>
          <w:rFonts w:ascii="Verdana" w:eastAsia="Times New Roman" w:hAnsi="Verdana" w:cs="Arial"/>
          <w:sz w:val="21"/>
          <w:szCs w:val="21"/>
          <w:lang w:val="es-CO"/>
        </w:rPr>
        <w:t>pr</w:t>
      </w:r>
      <w:proofErr w:type="spellEnd"/>
      <w:r w:rsidRPr="009653FC">
        <w:rPr>
          <w:rFonts w:ascii="Verdana" w:eastAsia="Times New Roman" w:hAnsi="Verdana" w:cs="Arial"/>
          <w:sz w:val="21"/>
          <w:szCs w:val="21"/>
        </w:rPr>
        <w:t>oponentes cuyas ofertas sean me</w:t>
      </w:r>
      <w:proofErr w:type="spellStart"/>
      <w:r w:rsidRPr="009653FC">
        <w:rPr>
          <w:rFonts w:ascii="Verdana" w:eastAsia="Times New Roman" w:hAnsi="Verdana" w:cs="Arial"/>
          <w:sz w:val="21"/>
          <w:szCs w:val="21"/>
          <w:lang w:val="es-CO"/>
        </w:rPr>
        <w:t>nores</w:t>
      </w:r>
      <w:proofErr w:type="spellEnd"/>
      <w:r w:rsidRPr="009653FC">
        <w:rPr>
          <w:rFonts w:ascii="Verdana" w:eastAsia="Times New Roman" w:hAnsi="Verdana" w:cs="Arial"/>
          <w:sz w:val="21"/>
          <w:szCs w:val="21"/>
          <w:lang w:val="es-CO"/>
        </w:rPr>
        <w:t xml:space="preserve"> en un 20%, o un mayor porcentaje, al costo total estimado por la Entidad Estatal (comparación absoluta, ver numeral 2.1.1). </w:t>
      </w:r>
    </w:p>
    <w:p w14:paraId="30FC80DF" w14:textId="77777777" w:rsidR="006F4DCF" w:rsidRPr="009653FC" w:rsidRDefault="006F4DCF" w:rsidP="006F4DCF">
      <w:pPr>
        <w:pStyle w:val="Prrafodelista"/>
        <w:numPr>
          <w:ilvl w:val="0"/>
          <w:numId w:val="21"/>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Analizar la información remitida por el proponente y considerar el rechazo de las ofertas que cumplan con alguna de las condiciones establecidas en el numeral 4.2 de la presente Guía</w:t>
      </w:r>
      <w:r>
        <w:rPr>
          <w:rStyle w:val="Refdenotaalpie"/>
          <w:rFonts w:ascii="Verdana" w:eastAsia="Times New Roman" w:hAnsi="Verdana" w:cs="Arial"/>
          <w:sz w:val="21"/>
          <w:szCs w:val="21"/>
          <w:lang w:val="es-CO"/>
        </w:rPr>
        <w:footnoteReference w:id="6"/>
      </w:r>
      <w:r w:rsidRPr="009653FC">
        <w:rPr>
          <w:rFonts w:ascii="Verdana" w:eastAsia="Times New Roman" w:hAnsi="Verdana" w:cs="Arial"/>
          <w:sz w:val="21"/>
          <w:szCs w:val="21"/>
          <w:lang w:val="es-CO"/>
        </w:rPr>
        <w:t xml:space="preserve">. </w:t>
      </w:r>
    </w:p>
    <w:p w14:paraId="61E8A8AD" w14:textId="77777777" w:rsidR="006F4DCF" w:rsidRPr="001E5EA5" w:rsidRDefault="006F4DCF" w:rsidP="006F4DCF">
      <w:pPr>
        <w:spacing w:after="120" w:line="240" w:lineRule="auto"/>
        <w:ind w:firstLine="708"/>
        <w:jc w:val="both"/>
        <w:rPr>
          <w:rFonts w:ascii="Verdana" w:eastAsia="Times New Roman" w:hAnsi="Verdana" w:cs="Arial"/>
        </w:rPr>
      </w:pPr>
    </w:p>
    <w:p w14:paraId="2DED0879" w14:textId="77777777" w:rsidR="00BC23EF" w:rsidRDefault="006F4DCF" w:rsidP="006F4DCF">
      <w:pPr>
        <w:spacing w:after="120" w:line="276" w:lineRule="auto"/>
        <w:ind w:firstLine="708"/>
        <w:jc w:val="both"/>
        <w:rPr>
          <w:rFonts w:ascii="Verdana" w:hAnsi="Verdana"/>
        </w:rPr>
      </w:pPr>
      <w:r w:rsidRPr="00527F01">
        <w:rPr>
          <w:rFonts w:ascii="Verdana" w:eastAsia="Times New Roman" w:hAnsi="Verdana" w:cs="Arial"/>
        </w:rPr>
        <w:t>En este aspecto, también se destaca la importancia de hacer un análisis cuidadoso de la sostenibilidad de las ofertas</w:t>
      </w:r>
      <w:r>
        <w:rPr>
          <w:rFonts w:ascii="Verdana" w:eastAsia="Times New Roman" w:hAnsi="Verdana" w:cs="Arial"/>
        </w:rPr>
        <w:t xml:space="preserve"> en dichos procesos de contratación</w:t>
      </w:r>
      <w:r w:rsidRPr="00527F01">
        <w:rPr>
          <w:rFonts w:ascii="Verdana" w:eastAsia="Times New Roman" w:hAnsi="Verdana" w:cs="Arial"/>
        </w:rPr>
        <w:t xml:space="preserve">. Ahora bien, en el evento en que los lances presentados en la audiencia del proceso de subasta inversa se evidencian que son precios artificialmente bajos, debe tener en cuenta lo siguiente: i) requerir al oferente con relación a los </w:t>
      </w:r>
      <w:r w:rsidRPr="00527F01">
        <w:rPr>
          <w:rFonts w:ascii="Verdana" w:eastAsia="Times New Roman" w:hAnsi="Verdana" w:cs="Arial"/>
        </w:rPr>
        <w:lastRenderedPageBreak/>
        <w:t xml:space="preserve">precios ofertados que parecen bajos, con el fin de que sustente las razones o motivos del valor; </w:t>
      </w:r>
      <w:proofErr w:type="spellStart"/>
      <w:r w:rsidRPr="00527F01">
        <w:rPr>
          <w:rFonts w:ascii="Verdana" w:eastAsia="Times New Roman" w:hAnsi="Verdana" w:cs="Arial"/>
        </w:rPr>
        <w:t>ii</w:t>
      </w:r>
      <w:proofErr w:type="spellEnd"/>
      <w:r w:rsidRPr="00527F01">
        <w:rPr>
          <w:rFonts w:ascii="Verdana" w:eastAsia="Times New Roman" w:hAnsi="Verdana" w:cs="Arial"/>
        </w:rPr>
        <w:t>) a</w:t>
      </w:r>
      <w:r w:rsidRPr="00527F01">
        <w:rPr>
          <w:rFonts w:ascii="Verdana" w:hAnsi="Verdana"/>
        </w:rPr>
        <w:t xml:space="preserve">nalizar las explicaciones del oferente, para verificar si están sustentados en los valores ofrecidos y si son suficientes para ejecutar el contrato; </w:t>
      </w:r>
      <w:proofErr w:type="spellStart"/>
      <w:r w:rsidRPr="00527F01">
        <w:rPr>
          <w:rFonts w:ascii="Verdana" w:hAnsi="Verdana"/>
        </w:rPr>
        <w:t>iii</w:t>
      </w:r>
      <w:proofErr w:type="spellEnd"/>
      <w:r w:rsidRPr="00527F01">
        <w:rPr>
          <w:rFonts w:ascii="Verdana" w:hAnsi="Verdana"/>
        </w:rPr>
        <w:t>) definir si continúa con la evaluación de la oferta, en el sentido de que la explicación demuestra la capacidad del proponente para cumplir adecuadamente con el contrato con los precios ofertados o, si por el contrario, rechaza la oferta porque no fue sustentada</w:t>
      </w:r>
      <w:r>
        <w:rPr>
          <w:rStyle w:val="Refdenotaalpie"/>
          <w:rFonts w:ascii="Verdana" w:hAnsi="Verdana"/>
        </w:rPr>
        <w:footnoteReference w:id="7"/>
      </w:r>
      <w:r w:rsidRPr="00527F01">
        <w:rPr>
          <w:rFonts w:ascii="Verdana" w:hAnsi="Verdana"/>
        </w:rPr>
        <w:t>. Esto debe realizarse al finalizar el evento de subasta, de acuerdo con el precio ofrecido al final de esta.</w:t>
      </w:r>
    </w:p>
    <w:p w14:paraId="359BE17F" w14:textId="796AD8DA" w:rsidR="006F4DCF" w:rsidRPr="00527F01" w:rsidRDefault="00BC23EF" w:rsidP="006F4DCF">
      <w:pPr>
        <w:spacing w:after="120" w:line="276" w:lineRule="auto"/>
        <w:ind w:firstLine="708"/>
        <w:jc w:val="both"/>
        <w:rPr>
          <w:rFonts w:ascii="Verdana" w:hAnsi="Verdana"/>
        </w:rPr>
      </w:pPr>
      <w:r>
        <w:rPr>
          <w:rFonts w:ascii="Verdana" w:eastAsia="Calibri" w:hAnsi="Verdana" w:cs="Arial"/>
          <w:bCs/>
          <w:color w:val="000000" w:themeColor="text1"/>
        </w:rPr>
        <w:t xml:space="preserve">Por último, se recomienda </w:t>
      </w:r>
      <w:r w:rsidRPr="00D56D80">
        <w:rPr>
          <w:rFonts w:ascii="Verdana" w:eastAsia="Calibri" w:hAnsi="Verdana" w:cs="Arial"/>
          <w:bCs/>
          <w:color w:val="000000" w:themeColor="text1"/>
        </w:rPr>
        <w:t>consultar la “Guía para el Manejo de Ofertas Artificialmente Bajas”, con el fin de orientar adecuadamente la actuación frente a ofertas que presenten precios inusualmente bajos o que los proponentes no justifiquen debidamente. Esta guía ofrece directrices claras sobre los pasos que debe seguir la entidad para requerir explicaciones, evaluar su suficiencia y adoptar decisiones motivadas, garantizando la transparencia, la selección objetiva y la protección de la competencia en los procesos de subasta inversa electrónica.</w:t>
      </w:r>
      <w:r w:rsidR="006F4DCF" w:rsidRPr="00527F01">
        <w:rPr>
          <w:rFonts w:ascii="Verdana" w:hAnsi="Verdana"/>
        </w:rPr>
        <w:t xml:space="preserve"> </w:t>
      </w:r>
    </w:p>
    <w:p w14:paraId="38268726" w14:textId="77777777" w:rsidR="006F4DCF" w:rsidRPr="00527F01" w:rsidRDefault="006F4DCF" w:rsidP="006F4DCF">
      <w:pPr>
        <w:spacing w:after="120" w:line="276" w:lineRule="auto"/>
        <w:ind w:firstLine="708"/>
        <w:jc w:val="both"/>
        <w:rPr>
          <w:rFonts w:ascii="Verdana" w:eastAsia="Calibri" w:hAnsi="Verdana" w:cs="Arial"/>
        </w:rPr>
      </w:pPr>
      <w:r w:rsidRPr="00527F01">
        <w:rPr>
          <w:rFonts w:ascii="Verdana" w:eastAsia="Calibri" w:hAnsi="Verdana" w:cs="Arial"/>
        </w:rPr>
        <w:t xml:space="preserve">Finalmente, debe advertirse que el análisis requerido para resolver problemas específicos en torno a la verificación de ofertas que puedan resultar artificialmente bajas debe ser realizado por las Entidades.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91B979E" w14:textId="77777777" w:rsidR="006F4DCF" w:rsidRPr="00E61635" w:rsidRDefault="006F4DCF" w:rsidP="006F4DCF">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en la fase de evaluación analizar los precios de las ofertas recibidas.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746398F" w14:textId="729467EE" w:rsidR="00A64017" w:rsidRDefault="00A64017" w:rsidP="006F4DCF">
      <w:pPr>
        <w:spacing w:after="0" w:line="276" w:lineRule="auto"/>
        <w:jc w:val="both"/>
        <w:rPr>
          <w:rFonts w:ascii="Verdana" w:eastAsia="Calibri" w:hAnsi="Verdana" w:cs="Times New Roman"/>
          <w:lang w:val="es-ES"/>
        </w:rPr>
      </w:pP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7519773A" w14:textId="77777777" w:rsidR="00172258"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80 de 1993. Artículo 26</w:t>
            </w:r>
          </w:p>
          <w:p w14:paraId="6CFFF15E" w14:textId="77777777" w:rsidR="00172258" w:rsidRPr="005E5B81"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1150 de 2007, artículo</w:t>
            </w:r>
            <w:r>
              <w:rPr>
                <w:rFonts w:ascii="Verdana" w:hAnsi="Verdana"/>
              </w:rPr>
              <w:t>s</w:t>
            </w:r>
            <w:r w:rsidRPr="005E5B81">
              <w:rPr>
                <w:rFonts w:ascii="Verdana" w:hAnsi="Verdana"/>
              </w:rPr>
              <w:t xml:space="preserve"> 4,</w:t>
            </w:r>
            <w:r>
              <w:rPr>
                <w:rFonts w:ascii="Verdana" w:hAnsi="Verdana"/>
              </w:rPr>
              <w:t xml:space="preserve"> 5 y 7. </w:t>
            </w:r>
          </w:p>
          <w:p w14:paraId="31DB8262" w14:textId="77777777" w:rsidR="00172258" w:rsidRPr="00156132"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Decreto 1082 de 2015, artículo 2.2.1.1.2.1.3. numeral 8 y 9 artículo 2.2.1.2.3.1.6 y 2.2.1.2.3.1.9., 2.2.1.2.3.1.13., 2.2.1.2.3.1.14</w:t>
            </w:r>
            <w:r>
              <w:rPr>
                <w:rFonts w:ascii="Verdana" w:hAnsi="Verdana"/>
              </w:rPr>
              <w:t xml:space="preserve"> 2.2.1.2.3.2.8. y 2.2.1.2.1.5.5, </w:t>
            </w:r>
            <w:r w:rsidRPr="00156132">
              <w:rPr>
                <w:rFonts w:ascii="Verdana" w:hAnsi="Verdana"/>
                <w:lang w:val="es-ES"/>
              </w:rPr>
              <w:t>2.2.1.1.1.6.1</w:t>
            </w:r>
            <w:r>
              <w:rPr>
                <w:rFonts w:ascii="Verdana" w:hAnsi="Verdana"/>
                <w:lang w:val="es-ES"/>
              </w:rPr>
              <w:t xml:space="preserve">, 2.2.1.1.2.2.3 y 2.2.1.1.2.2.4. </w:t>
            </w:r>
          </w:p>
          <w:p w14:paraId="4D25BE58" w14:textId="77777777" w:rsidR="00172258" w:rsidRPr="005E5B81"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Código de Comercio, artículos 846, 847 y 1068 </w:t>
            </w:r>
          </w:p>
          <w:p w14:paraId="3C042084" w14:textId="77777777" w:rsidR="00172258" w:rsidRPr="005E5B81"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CORTE CONSTITUCIONAL. Sentencia C-452 de 1999. M.P. Eduardo Cifuentes Muñoz.</w:t>
            </w:r>
          </w:p>
          <w:p w14:paraId="05604D09" w14:textId="77777777" w:rsidR="00172258" w:rsidRPr="005E5B81" w:rsidRDefault="00172258" w:rsidP="00172258">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CONSEJO DE ESTADO. Sección Tercera. Sentencia del 4 de junio de 2008. </w:t>
            </w:r>
            <w:proofErr w:type="spellStart"/>
            <w:r w:rsidRPr="005E5B81">
              <w:rPr>
                <w:rFonts w:ascii="Verdana" w:hAnsi="Verdana"/>
              </w:rPr>
              <w:t>Exp</w:t>
            </w:r>
            <w:proofErr w:type="spellEnd"/>
            <w:r w:rsidRPr="005E5B81">
              <w:rPr>
                <w:rFonts w:ascii="Verdana" w:hAnsi="Verdana"/>
              </w:rPr>
              <w:t>. No. 17.783. C.P. Myriam Guerrero de Escobar.</w:t>
            </w:r>
          </w:p>
          <w:p w14:paraId="41B92B91" w14:textId="5A780705" w:rsidR="00C91AF4" w:rsidRPr="006E65CC" w:rsidRDefault="00172258" w:rsidP="00172258">
            <w:pPr>
              <w:pStyle w:val="Prrafodelista"/>
              <w:widowControl w:val="0"/>
              <w:autoSpaceDE w:val="0"/>
              <w:autoSpaceDN w:val="0"/>
              <w:ind w:left="714"/>
              <w:jc w:val="both"/>
              <w:rPr>
                <w:rFonts w:ascii="Verdana" w:hAnsi="Verdana" w:cs="Arial"/>
              </w:rPr>
            </w:pPr>
            <w:r w:rsidRPr="00156132">
              <w:rPr>
                <w:rFonts w:ascii="Verdana" w:hAnsi="Verdana"/>
              </w:rPr>
              <w:t xml:space="preserve">AGENCIA NACIONAL DE CONTRATACIÓN PÚBLICA –COLOMBIA COMPRA EFICIENTE. Guía para el manejo de ofertas artificialmente bajas en procesos de contratación. Disponible en línea: </w:t>
            </w:r>
            <w:hyperlink r:id="rId13" w:history="1">
              <w:r w:rsidRPr="00156132">
                <w:rPr>
                  <w:rStyle w:val="Hipervnculo"/>
                  <w:rFonts w:ascii="Verdana" w:hAnsi="Verdana"/>
                </w:rPr>
                <w:t>https://www.colombiacompra.gov.co/archivos/manual/guia-para-el-manejo-de-ofertas-artificialmente-bajas-en-procesos-de-contratacion-2</w:t>
              </w:r>
            </w:hyperlink>
            <w:r w:rsidRPr="00156132">
              <w:rPr>
                <w:rFonts w:ascii="Verdana" w:hAnsi="Verdana"/>
              </w:rPr>
              <w:t xml:space="preserve">. </w:t>
            </w:r>
            <w:r>
              <w:rPr>
                <w:rFonts w:ascii="Verdana" w:hAnsi="Verdana"/>
              </w:rPr>
              <w:t>2024.</w:t>
            </w: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39A335D2" w:rsidR="00A64017" w:rsidRPr="002A22D8" w:rsidRDefault="00172258" w:rsidP="00A64017">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t>La Agencia Nacional de Contratación Pública – Colombia Compra Eficiente ha expedido los siguientes conceptos</w:t>
      </w:r>
      <w:r>
        <w:rPr>
          <w:rFonts w:ascii="Verdana" w:hAnsi="Verdana" w:cs="Arial"/>
          <w:bCs/>
          <w:shd w:val="clear" w:color="auto" w:fill="FFFFFF"/>
        </w:rPr>
        <w:t xml:space="preserve"> sobre precios artificialmente bajos en subasta inversa:</w:t>
      </w:r>
      <w:r w:rsidRPr="0094448B">
        <w:rPr>
          <w:rFonts w:ascii="Verdana" w:hAnsi="Verdana" w:cs="Arial"/>
          <w:bCs/>
          <w:shd w:val="clear" w:color="auto" w:fill="FFFFFF"/>
        </w:rPr>
        <w:t xml:space="preserve"> </w:t>
      </w:r>
      <w:r w:rsidRPr="005E5B81">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w:t>
      </w:r>
      <w:r>
        <w:rPr>
          <w:rFonts w:ascii="Verdana" w:hAnsi="Verdana" w:cs="Arial"/>
          <w:bCs/>
          <w:shd w:val="clear" w:color="auto" w:fill="FFFFFF"/>
          <w:lang w:val="es-ES"/>
        </w:rPr>
        <w:t>C-1042 del 5 de septiembre de 2025, C-1069 del 12 de septiembre de 2025 y C-1299 del 20 de octubre de 2025</w:t>
      </w:r>
      <w:r w:rsidR="00092F62">
        <w:rPr>
          <w:rFonts w:ascii="Verdana" w:hAnsi="Verdana" w:cs="Arial"/>
          <w:shd w:val="clear" w:color="auto" w:fill="FFFFFF"/>
        </w:rPr>
        <w:t>,</w:t>
      </w:r>
      <w:r w:rsidR="00D66FF5">
        <w:rPr>
          <w:rFonts w:ascii="Verdana" w:hAnsi="Verdana" w:cs="Arial"/>
          <w:shd w:val="clear" w:color="auto" w:fill="FFFFFF"/>
        </w:rPr>
        <w:t xml:space="preserve"> </w:t>
      </w:r>
      <w:r w:rsidR="00D66FF5" w:rsidRPr="0027034B">
        <w:rPr>
          <w:rFonts w:ascii="Verdana" w:eastAsia="Calibri" w:hAnsi="Verdana" w:cs="Arial"/>
          <w:lang w:val="es-ES_tradnl" w:eastAsia="es-ES_tradnl"/>
        </w:rPr>
        <w:t>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 xml:space="preserve">se encuentran disponibles para consulta en el Sistema de Relatoría de la Agencia, en el cual también podrás encontrar jurisprudencia del Consejo de Estado, laudos arbitrales y la normativa de la contratación concordada con la </w:t>
      </w:r>
      <w:r w:rsidR="00A64017" w:rsidRPr="00185EE9">
        <w:rPr>
          <w:rFonts w:ascii="Verdana" w:eastAsia="Calibri" w:hAnsi="Verdana" w:cs="Times New Roman"/>
        </w:rPr>
        <w:lastRenderedPageBreak/>
        <w:t>doctrina de la Subdirección de Gestión Contractual, accede a través del siguiente enlace:</w:t>
      </w:r>
    </w:p>
    <w:p w14:paraId="6931545C" w14:textId="77777777" w:rsidR="00A64017" w:rsidRPr="0065720B" w:rsidRDefault="00B24230"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1FFD24E9" w:rsidR="00331CD0" w:rsidRDefault="00331CD0" w:rsidP="00A64017">
      <w:pPr>
        <w:spacing w:line="276" w:lineRule="auto"/>
        <w:jc w:val="center"/>
        <w:rPr>
          <w:noProof/>
        </w:rPr>
      </w:pPr>
    </w:p>
    <w:p w14:paraId="6ABC9A35" w14:textId="0487B018" w:rsidR="00CE32D1" w:rsidRDefault="00B11FE1" w:rsidP="00A64017">
      <w:pPr>
        <w:spacing w:line="276" w:lineRule="auto"/>
        <w:jc w:val="center"/>
        <w:rPr>
          <w:noProof/>
        </w:rPr>
      </w:pPr>
      <w:r>
        <w:rPr>
          <w:noProof/>
        </w:rPr>
        <w:drawing>
          <wp:inline distT="0" distB="0" distL="0" distR="0" wp14:anchorId="10DCA0FD" wp14:editId="2CA30AAC">
            <wp:extent cx="3392805" cy="1456472"/>
            <wp:effectExtent l="0" t="0" r="0" b="0"/>
            <wp:docPr id="147811036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96824" cy="1458197"/>
                    </a:xfrm>
                    <a:prstGeom prst="rect">
                      <a:avLst/>
                    </a:prstGeom>
                    <a:noFill/>
                    <a:ln>
                      <a:noFill/>
                    </a:ln>
                  </pic:spPr>
                </pic:pic>
              </a:graphicData>
            </a:graphic>
          </wp:inline>
        </w:drawing>
      </w:r>
    </w:p>
    <w:p w14:paraId="1B1C15E8" w14:textId="198E710D" w:rsidR="00CE32D1" w:rsidRDefault="00CE32D1" w:rsidP="00A64017">
      <w:pPr>
        <w:spacing w:line="276" w:lineRule="auto"/>
        <w:jc w:val="center"/>
        <w:rPr>
          <w:noProof/>
        </w:rPr>
      </w:pPr>
    </w:p>
    <w:p w14:paraId="2684EF3C" w14:textId="77777777" w:rsidR="00B11FE1" w:rsidRDefault="00B11FE1"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D9818A" w14:textId="1B6CADDB" w:rsidR="00332320" w:rsidRDefault="00332320" w:rsidP="00A15B1F">
            <w:pPr>
              <w:contextualSpacing/>
              <w:rPr>
                <w:rFonts w:ascii="Verdana" w:hAnsi="Verdana"/>
                <w:sz w:val="16"/>
                <w:szCs w:val="16"/>
              </w:rPr>
            </w:pPr>
            <w:r>
              <w:rPr>
                <w:rFonts w:ascii="Verdana" w:hAnsi="Verdana"/>
                <w:sz w:val="16"/>
                <w:szCs w:val="16"/>
              </w:rPr>
              <w:t xml:space="preserve">Nicolas Andrés </w:t>
            </w:r>
            <w:proofErr w:type="spellStart"/>
            <w:r>
              <w:rPr>
                <w:rFonts w:ascii="Verdana" w:hAnsi="Verdana"/>
                <w:sz w:val="16"/>
                <w:szCs w:val="16"/>
              </w:rPr>
              <w:t>Guzman</w:t>
            </w:r>
            <w:proofErr w:type="spellEnd"/>
            <w:r>
              <w:rPr>
                <w:rFonts w:ascii="Verdana" w:hAnsi="Verdana"/>
                <w:sz w:val="16"/>
                <w:szCs w:val="16"/>
              </w:rPr>
              <w:t xml:space="preserve"> </w:t>
            </w:r>
          </w:p>
          <w:p w14:paraId="33A01C93" w14:textId="30026B42" w:rsidR="00A64017" w:rsidRPr="007911EE" w:rsidRDefault="00332320" w:rsidP="00A15B1F">
            <w:pPr>
              <w:contextualSpacing/>
              <w:rPr>
                <w:rFonts w:ascii="Verdana" w:eastAsia="Arial" w:hAnsi="Verdana" w:cs="Arial"/>
                <w:sz w:val="16"/>
                <w:szCs w:val="16"/>
              </w:rPr>
            </w:pPr>
            <w:r>
              <w:rPr>
                <w:rFonts w:ascii="Verdana" w:hAnsi="Verdana"/>
                <w:sz w:val="16"/>
                <w:szCs w:val="16"/>
              </w:rPr>
              <w:t>C</w:t>
            </w:r>
            <w:r w:rsidR="00A64017" w:rsidRPr="007911EE">
              <w:rPr>
                <w:rFonts w:ascii="Verdana" w:hAnsi="Verdana"/>
                <w:sz w:val="16"/>
                <w:szCs w:val="16"/>
              </w:rPr>
              <w:t>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AC63A0" w14:textId="77777777" w:rsidR="00332320" w:rsidRDefault="00332320" w:rsidP="00332320">
            <w:pPr>
              <w:contextualSpacing/>
              <w:rPr>
                <w:rFonts w:ascii="Verdana" w:hAnsi="Verdana"/>
                <w:sz w:val="16"/>
                <w:szCs w:val="16"/>
              </w:rPr>
            </w:pPr>
            <w:r w:rsidRPr="00332320">
              <w:rPr>
                <w:rFonts w:ascii="Verdana" w:hAnsi="Verdana"/>
                <w:sz w:val="16"/>
                <w:szCs w:val="16"/>
              </w:rPr>
              <w:t>Juan Carlos González</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4CC77" w14:textId="77777777" w:rsidR="00B24230" w:rsidRDefault="00B24230" w:rsidP="004A1847">
      <w:pPr>
        <w:spacing w:after="0" w:line="240" w:lineRule="auto"/>
      </w:pPr>
      <w:r>
        <w:separator/>
      </w:r>
    </w:p>
  </w:endnote>
  <w:endnote w:type="continuationSeparator" w:id="0">
    <w:p w14:paraId="109FC5BE" w14:textId="77777777" w:rsidR="00B24230" w:rsidRDefault="00B2423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58E82" w14:textId="77777777" w:rsidR="00B24230" w:rsidRDefault="00B24230" w:rsidP="004A1847">
      <w:pPr>
        <w:spacing w:after="0" w:line="240" w:lineRule="auto"/>
      </w:pPr>
      <w:r>
        <w:separator/>
      </w:r>
    </w:p>
  </w:footnote>
  <w:footnote w:type="continuationSeparator" w:id="0">
    <w:p w14:paraId="17455EA5" w14:textId="77777777" w:rsidR="00B24230" w:rsidRDefault="00B24230" w:rsidP="004A1847">
      <w:pPr>
        <w:spacing w:after="0" w:line="240" w:lineRule="auto"/>
      </w:pPr>
      <w:r>
        <w:continuationSeparator/>
      </w:r>
    </w:p>
  </w:footnote>
  <w:footnote w:id="1">
    <w:p w14:paraId="717DF196" w14:textId="28CD2E30" w:rsidR="00D56D80" w:rsidRPr="00D56D80" w:rsidRDefault="00D56D80" w:rsidP="00D56D80">
      <w:pPr>
        <w:pStyle w:val="Textonotapie"/>
        <w:jc w:val="both"/>
        <w:rPr>
          <w:rFonts w:ascii="Verdana" w:hAnsi="Verdana"/>
          <w:sz w:val="16"/>
          <w:szCs w:val="16"/>
          <w:lang w:val="es-ES"/>
        </w:rPr>
      </w:pPr>
      <w:r w:rsidRPr="00D56D80">
        <w:rPr>
          <w:rStyle w:val="Refdenotaalpie"/>
          <w:rFonts w:ascii="Verdana" w:hAnsi="Verdana"/>
          <w:sz w:val="16"/>
          <w:szCs w:val="16"/>
        </w:rPr>
        <w:footnoteRef/>
      </w:r>
      <w:r w:rsidRPr="00D56D80">
        <w:rPr>
          <w:rFonts w:ascii="Verdana" w:hAnsi="Verdana"/>
          <w:sz w:val="16"/>
          <w:szCs w:val="16"/>
        </w:rPr>
        <w:t xml:space="preserve"> https://www.colombiacompra.gov.co/archivos/manual/guia-para-el-manejo-de-ofertas-artificialmente-bajas-en-procesos-de-contratacion-2</w:t>
      </w:r>
    </w:p>
  </w:footnote>
  <w:footnote w:id="2">
    <w:p w14:paraId="42640601" w14:textId="77777777" w:rsidR="006F4DCF" w:rsidRPr="00666BAC" w:rsidRDefault="006F4DCF" w:rsidP="006F4DCF">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1247279D" w14:textId="77777777" w:rsidR="006F4DCF" w:rsidRPr="00666BAC" w:rsidRDefault="006F4DCF" w:rsidP="006F4DCF">
      <w:pPr>
        <w:spacing w:after="0" w:line="240" w:lineRule="auto"/>
        <w:ind w:firstLine="709"/>
        <w:jc w:val="both"/>
        <w:rPr>
          <w:rFonts w:ascii="Verdana" w:hAnsi="Verdana"/>
          <w:sz w:val="16"/>
          <w:szCs w:val="16"/>
        </w:rPr>
      </w:pPr>
      <w:r w:rsidRPr="00666BAC">
        <w:rPr>
          <w:rFonts w:ascii="Verdana" w:hAnsi="Verdana"/>
          <w:sz w:val="16"/>
          <w:szCs w:val="16"/>
        </w:rPr>
        <w:t>[…]</w:t>
      </w:r>
    </w:p>
    <w:p w14:paraId="4EC75DF1" w14:textId="77777777" w:rsidR="006F4DCF" w:rsidRPr="00666BAC" w:rsidRDefault="006F4DCF" w:rsidP="006F4DCF">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3">
    <w:p w14:paraId="516BD153" w14:textId="77777777" w:rsidR="006F4DCF" w:rsidRPr="00666BAC" w:rsidRDefault="006F4DCF" w:rsidP="006F4DCF">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304A30C6" w14:textId="77777777" w:rsidR="006F4DCF" w:rsidRPr="00666BAC" w:rsidRDefault="006F4DCF" w:rsidP="006F4DCF">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293DEAAE" w14:textId="77777777" w:rsidR="006F4DCF" w:rsidRPr="00666BAC" w:rsidRDefault="006F4DCF" w:rsidP="006F4DCF">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4">
    <w:p w14:paraId="4760EB61" w14:textId="77777777" w:rsidR="006F4DCF" w:rsidRPr="00666BAC" w:rsidRDefault="006F4DCF" w:rsidP="006F4DCF">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5">
    <w:p w14:paraId="6C32BDBB" w14:textId="77777777" w:rsidR="006F4DCF" w:rsidRPr="00666BAC" w:rsidRDefault="006F4DCF" w:rsidP="006F4DC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6">
    <w:p w14:paraId="71A59270" w14:textId="77777777" w:rsidR="006F4DCF" w:rsidRPr="00666BAC" w:rsidRDefault="006F4DCF" w:rsidP="006F4DC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7">
    <w:p w14:paraId="77EFB4EA" w14:textId="77777777" w:rsidR="006F4DCF" w:rsidRPr="00666BAC" w:rsidRDefault="006F4DCF" w:rsidP="006F4DCF">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7"/>
  </w:num>
  <w:num w:numId="8">
    <w:abstractNumId w:val="16"/>
  </w:num>
  <w:num w:numId="9">
    <w:abstractNumId w:val="10"/>
  </w:num>
  <w:num w:numId="10">
    <w:abstractNumId w:val="15"/>
  </w:num>
  <w:num w:numId="11">
    <w:abstractNumId w:val="11"/>
  </w:num>
  <w:num w:numId="12">
    <w:abstractNumId w:val="1"/>
  </w:num>
  <w:num w:numId="13">
    <w:abstractNumId w:val="5"/>
  </w:num>
  <w:num w:numId="14">
    <w:abstractNumId w:val="18"/>
  </w:num>
  <w:num w:numId="15">
    <w:abstractNumId w:val="14"/>
  </w:num>
  <w:num w:numId="16">
    <w:abstractNumId w:val="0"/>
  </w:num>
  <w:num w:numId="17">
    <w:abstractNumId w:val="12"/>
  </w:num>
  <w:num w:numId="18">
    <w:abstractNumId w:val="3"/>
  </w:num>
  <w:num w:numId="19">
    <w:abstractNumId w:val="9"/>
  </w:num>
  <w:num w:numId="20">
    <w:abstractNumId w:val="4"/>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645D4"/>
    <w:rsid w:val="00082362"/>
    <w:rsid w:val="0008627A"/>
    <w:rsid w:val="00092F62"/>
    <w:rsid w:val="000A1E72"/>
    <w:rsid w:val="000A683E"/>
    <w:rsid w:val="000B19B9"/>
    <w:rsid w:val="000B4FA5"/>
    <w:rsid w:val="000B5583"/>
    <w:rsid w:val="000D0334"/>
    <w:rsid w:val="000E20A9"/>
    <w:rsid w:val="000F2222"/>
    <w:rsid w:val="000F6486"/>
    <w:rsid w:val="00103B90"/>
    <w:rsid w:val="00125105"/>
    <w:rsid w:val="00127233"/>
    <w:rsid w:val="0013630D"/>
    <w:rsid w:val="001511A0"/>
    <w:rsid w:val="00172258"/>
    <w:rsid w:val="00185F93"/>
    <w:rsid w:val="00194937"/>
    <w:rsid w:val="001D1756"/>
    <w:rsid w:val="001D7BC1"/>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22D8"/>
    <w:rsid w:val="002A49AC"/>
    <w:rsid w:val="002A64FD"/>
    <w:rsid w:val="002A7DD8"/>
    <w:rsid w:val="002C0393"/>
    <w:rsid w:val="002C7A84"/>
    <w:rsid w:val="002D2639"/>
    <w:rsid w:val="002D6833"/>
    <w:rsid w:val="002E4FD9"/>
    <w:rsid w:val="00302C65"/>
    <w:rsid w:val="00310DA4"/>
    <w:rsid w:val="00322A85"/>
    <w:rsid w:val="00323054"/>
    <w:rsid w:val="00324168"/>
    <w:rsid w:val="00324E0B"/>
    <w:rsid w:val="00331CD0"/>
    <w:rsid w:val="00332320"/>
    <w:rsid w:val="003448F4"/>
    <w:rsid w:val="00361698"/>
    <w:rsid w:val="003639A5"/>
    <w:rsid w:val="003736FD"/>
    <w:rsid w:val="00374F5E"/>
    <w:rsid w:val="00377E3E"/>
    <w:rsid w:val="00380918"/>
    <w:rsid w:val="003A2E2D"/>
    <w:rsid w:val="003A779E"/>
    <w:rsid w:val="003D0F4D"/>
    <w:rsid w:val="003D5B0D"/>
    <w:rsid w:val="003E0499"/>
    <w:rsid w:val="003E2F6B"/>
    <w:rsid w:val="003F3941"/>
    <w:rsid w:val="00406575"/>
    <w:rsid w:val="004138FA"/>
    <w:rsid w:val="00414C74"/>
    <w:rsid w:val="00423BFF"/>
    <w:rsid w:val="0042722E"/>
    <w:rsid w:val="0044528D"/>
    <w:rsid w:val="00453BFB"/>
    <w:rsid w:val="0046700D"/>
    <w:rsid w:val="00487F18"/>
    <w:rsid w:val="0049089A"/>
    <w:rsid w:val="004924DA"/>
    <w:rsid w:val="00493AF3"/>
    <w:rsid w:val="004A1847"/>
    <w:rsid w:val="004A305D"/>
    <w:rsid w:val="004B50C2"/>
    <w:rsid w:val="004C63BA"/>
    <w:rsid w:val="004D2AAA"/>
    <w:rsid w:val="004F21C4"/>
    <w:rsid w:val="004F685F"/>
    <w:rsid w:val="005566E8"/>
    <w:rsid w:val="00567040"/>
    <w:rsid w:val="0057166B"/>
    <w:rsid w:val="00574867"/>
    <w:rsid w:val="005806A6"/>
    <w:rsid w:val="00591460"/>
    <w:rsid w:val="005B3816"/>
    <w:rsid w:val="005B3FB2"/>
    <w:rsid w:val="005B65F1"/>
    <w:rsid w:val="005C3777"/>
    <w:rsid w:val="005C5CDC"/>
    <w:rsid w:val="005C7DAB"/>
    <w:rsid w:val="005D476C"/>
    <w:rsid w:val="0060690D"/>
    <w:rsid w:val="0061329B"/>
    <w:rsid w:val="006219F8"/>
    <w:rsid w:val="00631045"/>
    <w:rsid w:val="00631D4F"/>
    <w:rsid w:val="00637BBF"/>
    <w:rsid w:val="00637E77"/>
    <w:rsid w:val="0065262D"/>
    <w:rsid w:val="00665D70"/>
    <w:rsid w:val="00675FED"/>
    <w:rsid w:val="006900D9"/>
    <w:rsid w:val="006905C0"/>
    <w:rsid w:val="006B0C29"/>
    <w:rsid w:val="006B2C02"/>
    <w:rsid w:val="006D7121"/>
    <w:rsid w:val="006F4DCF"/>
    <w:rsid w:val="00706C16"/>
    <w:rsid w:val="00724EFA"/>
    <w:rsid w:val="0072552A"/>
    <w:rsid w:val="0073141C"/>
    <w:rsid w:val="00756841"/>
    <w:rsid w:val="00763E4A"/>
    <w:rsid w:val="007649AB"/>
    <w:rsid w:val="00771D0C"/>
    <w:rsid w:val="007733E9"/>
    <w:rsid w:val="007833AC"/>
    <w:rsid w:val="007B268C"/>
    <w:rsid w:val="007B285D"/>
    <w:rsid w:val="007B7171"/>
    <w:rsid w:val="007C0C0F"/>
    <w:rsid w:val="007C3DC2"/>
    <w:rsid w:val="007E11B6"/>
    <w:rsid w:val="007E5497"/>
    <w:rsid w:val="007F7470"/>
    <w:rsid w:val="00806F5F"/>
    <w:rsid w:val="00820278"/>
    <w:rsid w:val="00826A46"/>
    <w:rsid w:val="00836334"/>
    <w:rsid w:val="00853C28"/>
    <w:rsid w:val="00862660"/>
    <w:rsid w:val="00867F95"/>
    <w:rsid w:val="00874173"/>
    <w:rsid w:val="008843B6"/>
    <w:rsid w:val="00885D90"/>
    <w:rsid w:val="00891928"/>
    <w:rsid w:val="008A30DF"/>
    <w:rsid w:val="008A446D"/>
    <w:rsid w:val="008B22D4"/>
    <w:rsid w:val="008B5BD4"/>
    <w:rsid w:val="008D180B"/>
    <w:rsid w:val="008E2432"/>
    <w:rsid w:val="008F0EA7"/>
    <w:rsid w:val="00911185"/>
    <w:rsid w:val="00916515"/>
    <w:rsid w:val="00923EEF"/>
    <w:rsid w:val="009419F9"/>
    <w:rsid w:val="009552F8"/>
    <w:rsid w:val="0095685E"/>
    <w:rsid w:val="00961B09"/>
    <w:rsid w:val="00965334"/>
    <w:rsid w:val="0097093E"/>
    <w:rsid w:val="00986AC5"/>
    <w:rsid w:val="009A0DFA"/>
    <w:rsid w:val="009A2609"/>
    <w:rsid w:val="009B2D26"/>
    <w:rsid w:val="009C3869"/>
    <w:rsid w:val="009C71FA"/>
    <w:rsid w:val="009C72E7"/>
    <w:rsid w:val="009D0270"/>
    <w:rsid w:val="009D3058"/>
    <w:rsid w:val="009E7558"/>
    <w:rsid w:val="009F3A13"/>
    <w:rsid w:val="00A1157F"/>
    <w:rsid w:val="00A122D3"/>
    <w:rsid w:val="00A17F13"/>
    <w:rsid w:val="00A20739"/>
    <w:rsid w:val="00A24C35"/>
    <w:rsid w:val="00A33C78"/>
    <w:rsid w:val="00A41289"/>
    <w:rsid w:val="00A51CB5"/>
    <w:rsid w:val="00A52834"/>
    <w:rsid w:val="00A64017"/>
    <w:rsid w:val="00A800B4"/>
    <w:rsid w:val="00AA1AB8"/>
    <w:rsid w:val="00AB0ADB"/>
    <w:rsid w:val="00AB6E9A"/>
    <w:rsid w:val="00AC19F6"/>
    <w:rsid w:val="00AD1D1F"/>
    <w:rsid w:val="00B00F6D"/>
    <w:rsid w:val="00B01056"/>
    <w:rsid w:val="00B01B1A"/>
    <w:rsid w:val="00B023E1"/>
    <w:rsid w:val="00B0429C"/>
    <w:rsid w:val="00B06262"/>
    <w:rsid w:val="00B11FE1"/>
    <w:rsid w:val="00B23BA1"/>
    <w:rsid w:val="00B24230"/>
    <w:rsid w:val="00B2560E"/>
    <w:rsid w:val="00B350FE"/>
    <w:rsid w:val="00B403F3"/>
    <w:rsid w:val="00B41E30"/>
    <w:rsid w:val="00B45CE8"/>
    <w:rsid w:val="00B66319"/>
    <w:rsid w:val="00B72CD3"/>
    <w:rsid w:val="00B72FFF"/>
    <w:rsid w:val="00B74C13"/>
    <w:rsid w:val="00BA7AA4"/>
    <w:rsid w:val="00BB5A06"/>
    <w:rsid w:val="00BC23EF"/>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1B26"/>
    <w:rsid w:val="00CE32D1"/>
    <w:rsid w:val="00CE429E"/>
    <w:rsid w:val="00CE58F3"/>
    <w:rsid w:val="00D3590B"/>
    <w:rsid w:val="00D423A2"/>
    <w:rsid w:val="00D520D8"/>
    <w:rsid w:val="00D56D80"/>
    <w:rsid w:val="00D63AC2"/>
    <w:rsid w:val="00D66FF5"/>
    <w:rsid w:val="00D7383B"/>
    <w:rsid w:val="00D73921"/>
    <w:rsid w:val="00D75DA2"/>
    <w:rsid w:val="00D80A51"/>
    <w:rsid w:val="00DA231B"/>
    <w:rsid w:val="00DC39FC"/>
    <w:rsid w:val="00DF5254"/>
    <w:rsid w:val="00E067CF"/>
    <w:rsid w:val="00E10F5E"/>
    <w:rsid w:val="00E16408"/>
    <w:rsid w:val="00E20894"/>
    <w:rsid w:val="00E245AB"/>
    <w:rsid w:val="00E25A6A"/>
    <w:rsid w:val="00E2764C"/>
    <w:rsid w:val="00E27F2E"/>
    <w:rsid w:val="00E35B59"/>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17C6"/>
    <w:rsid w:val="00EF736C"/>
    <w:rsid w:val="00F30C63"/>
    <w:rsid w:val="00F31EDC"/>
    <w:rsid w:val="00F462B3"/>
    <w:rsid w:val="00F5664F"/>
    <w:rsid w:val="00F666C4"/>
    <w:rsid w:val="00F76AFC"/>
    <w:rsid w:val="00FA3CFE"/>
    <w:rsid w:val="00FA47C0"/>
    <w:rsid w:val="00FB232E"/>
    <w:rsid w:val="00FB5DD1"/>
    <w:rsid w:val="00FC13EB"/>
    <w:rsid w:val="00FC2B5D"/>
    <w:rsid w:val="00FC6FA1"/>
    <w:rsid w:val="00FF1449"/>
    <w:rsid w:val="00FF5434"/>
    <w:rsid w:val="00FF5454"/>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182D"/>
    <w:rPr>
      <w:rFonts w:ascii="Geomanist Light" w:hAnsi="Geomanist Light"/>
      <w:lang w:val="es-ES"/>
    </w:rPr>
  </w:style>
  <w:style w:type="paragraph" w:customStyle="1" w:styleId="Appelnotedebasde">
    <w:name w:val="Appel note de bas de..."/>
    <w:basedOn w:val="Normal"/>
    <w:link w:val="Refdenotaalpie"/>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manejo-de-ofertas-artificialmente-bajas-en-procesos-de-contratacion-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onne.rincon@fac.mil.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4DE20196-D765-4924-9E30-675B426AE4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842</TotalTime>
  <Pages>12</Pages>
  <Words>4182</Words>
  <Characters>23001</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46</cp:revision>
  <cp:lastPrinted>2023-01-10T21:18:00Z</cp:lastPrinted>
  <dcterms:created xsi:type="dcterms:W3CDTF">2025-08-19T14:54:00Z</dcterms:created>
  <dcterms:modified xsi:type="dcterms:W3CDTF">2025-11-21T14:42:00Z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