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C163E" w14:textId="77777777" w:rsidR="008D6547" w:rsidRPr="0065656B" w:rsidRDefault="008D6547" w:rsidP="008D6547">
      <w:pPr>
        <w:spacing w:after="0" w:line="240" w:lineRule="auto"/>
        <w:jc w:val="both"/>
        <w:rPr>
          <w:rFonts w:ascii="Verdana" w:eastAsia="Arial MT" w:hAnsi="Verdana" w:cs="Arial MT"/>
          <w:b/>
          <w:bCs/>
          <w:lang w:val="es-ES_tradnl"/>
        </w:rPr>
      </w:pPr>
      <w:r w:rsidRPr="0065656B">
        <w:rPr>
          <w:rFonts w:ascii="Verdana" w:eastAsia="Arial MT" w:hAnsi="Verdana" w:cs="Arial MT"/>
          <w:b/>
          <w:bCs/>
          <w:lang w:val="es-ES_tradnl"/>
        </w:rPr>
        <w:t xml:space="preserve">PRECIOS ARTIFICIALMENTE BAJOS – Noción – Deber de las entidades estatales </w:t>
      </w:r>
    </w:p>
    <w:p w14:paraId="0A4E096A" w14:textId="77777777" w:rsidR="008D6547" w:rsidRPr="0065656B" w:rsidRDefault="008D6547" w:rsidP="008D6547">
      <w:pPr>
        <w:spacing w:after="0" w:line="240" w:lineRule="auto"/>
        <w:jc w:val="both"/>
        <w:rPr>
          <w:rFonts w:ascii="Verdana" w:eastAsia="Arial MT" w:hAnsi="Verdana" w:cs="Arial MT"/>
          <w:b/>
          <w:bCs/>
          <w:sz w:val="20"/>
          <w:szCs w:val="20"/>
          <w:lang w:val="es-ES_tradnl"/>
        </w:rPr>
      </w:pPr>
    </w:p>
    <w:p w14:paraId="6ECBE685" w14:textId="77777777" w:rsidR="008D6547" w:rsidRPr="0065656B" w:rsidRDefault="008D6547" w:rsidP="008D6547">
      <w:pPr>
        <w:spacing w:after="0" w:line="240" w:lineRule="auto"/>
        <w:jc w:val="both"/>
        <w:rPr>
          <w:rFonts w:ascii="Verdana" w:eastAsia="Arial" w:hAnsi="Verdana" w:cs="Arial"/>
          <w:sz w:val="20"/>
          <w:szCs w:val="20"/>
          <w:lang w:val="es-ES" w:eastAsia="es-ES" w:bidi="es-ES"/>
        </w:rPr>
      </w:pPr>
      <w:r w:rsidRPr="0065656B">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14:paraId="1F57734E" w14:textId="77777777" w:rsidR="008D6547" w:rsidRPr="0065656B" w:rsidRDefault="008D6547" w:rsidP="008D6547">
      <w:pPr>
        <w:spacing w:after="0" w:line="240" w:lineRule="auto"/>
        <w:jc w:val="both"/>
        <w:rPr>
          <w:rFonts w:ascii="Verdana" w:eastAsia="Arial MT" w:hAnsi="Verdana" w:cs="Arial MT"/>
          <w:bCs/>
          <w:sz w:val="20"/>
          <w:szCs w:val="20"/>
          <w:lang w:val="es-ES"/>
        </w:rPr>
      </w:pPr>
      <w:r w:rsidRPr="0065656B">
        <w:rPr>
          <w:rFonts w:ascii="Verdana" w:eastAsia="Arial MT" w:hAnsi="Verdana" w:cs="Arial MT"/>
          <w:bCs/>
          <w:sz w:val="20"/>
          <w:szCs w:val="20"/>
          <w:lang w:val="es-ES"/>
        </w:rPr>
        <w:t>[…]</w:t>
      </w:r>
    </w:p>
    <w:p w14:paraId="78EF3BE4" w14:textId="77777777" w:rsidR="008D6547" w:rsidRPr="0065656B" w:rsidRDefault="008D6547" w:rsidP="008D6547">
      <w:pPr>
        <w:spacing w:after="0" w:line="240" w:lineRule="auto"/>
        <w:jc w:val="both"/>
        <w:rPr>
          <w:rFonts w:ascii="Verdana" w:eastAsia="Calibri" w:hAnsi="Verdana" w:cs="Arial"/>
          <w:sz w:val="20"/>
          <w:szCs w:val="20"/>
          <w:lang w:val="es-ES"/>
        </w:rPr>
      </w:pPr>
      <w:r w:rsidRPr="0065656B">
        <w:rPr>
          <w:rFonts w:ascii="Verdana" w:eastAsia="Calibri" w:hAnsi="Verdana" w:cs="Arial"/>
          <w:sz w:val="20"/>
          <w:szCs w:val="20"/>
          <w:lang w:val="es-MX"/>
        </w:rPr>
        <w:t xml:space="preserve">Así pues, el artículo 2.2.1.1.2.2.4 ibidem, establece lo que debe hacer la entidad cuando el precio de una oferta parece artificialmente bajo, esto es: i) solicitar explicación al oferente, </w:t>
      </w:r>
      <w:proofErr w:type="spellStart"/>
      <w:r w:rsidRPr="0065656B">
        <w:rPr>
          <w:rFonts w:ascii="Verdana" w:eastAsia="Calibri" w:hAnsi="Verdana" w:cs="Arial"/>
          <w:sz w:val="20"/>
          <w:szCs w:val="20"/>
          <w:lang w:val="es-MX"/>
        </w:rPr>
        <w:t>ii</w:t>
      </w:r>
      <w:proofErr w:type="spellEnd"/>
      <w:r w:rsidRPr="0065656B">
        <w:rPr>
          <w:rFonts w:ascii="Verdana" w:eastAsia="Calibri" w:hAnsi="Verdana" w:cs="Arial"/>
          <w:sz w:val="20"/>
          <w:szCs w:val="20"/>
          <w:lang w:val="es-MX"/>
        </w:rPr>
        <w:t xml:space="preserve">) analizar las explicaciones del oferente, </w:t>
      </w:r>
      <w:proofErr w:type="spellStart"/>
      <w:r w:rsidRPr="0065656B">
        <w:rPr>
          <w:rFonts w:ascii="Verdana" w:eastAsia="Calibri" w:hAnsi="Verdana" w:cs="Arial"/>
          <w:sz w:val="20"/>
          <w:szCs w:val="20"/>
          <w:lang w:val="es-MX"/>
        </w:rPr>
        <w:t>iii</w:t>
      </w:r>
      <w:proofErr w:type="spellEnd"/>
      <w:r w:rsidRPr="0065656B">
        <w:rPr>
          <w:rFonts w:ascii="Verdana" w:eastAsia="Calibri" w:hAnsi="Verdana" w:cs="Arial"/>
          <w:sz w:val="20"/>
          <w:szCs w:val="20"/>
          <w:lang w:val="es-MX"/>
        </w:rPr>
        <w:t xml:space="preserve">) el responsable de la evaluación de las ofertas debe recomendar rechazar o continuar la evaluación de la oferta, y </w:t>
      </w:r>
      <w:proofErr w:type="spellStart"/>
      <w:r w:rsidRPr="0065656B">
        <w:rPr>
          <w:rFonts w:ascii="Verdana" w:eastAsia="Calibri" w:hAnsi="Verdana" w:cs="Arial"/>
          <w:sz w:val="20"/>
          <w:szCs w:val="20"/>
          <w:lang w:val="es-MX"/>
        </w:rPr>
        <w:t>iv</w:t>
      </w:r>
      <w:proofErr w:type="spellEnd"/>
      <w:r w:rsidRPr="0065656B">
        <w:rPr>
          <w:rFonts w:ascii="Verdana" w:eastAsia="Calibri" w:hAnsi="Verdana" w:cs="Arial"/>
          <w:sz w:val="20"/>
          <w:szCs w:val="20"/>
          <w:lang w:val="es-MX"/>
        </w:rPr>
        <w:t>) para la subasta inversa, lo anterior se debe hacer al finalizar el evento.</w:t>
      </w:r>
    </w:p>
    <w:p w14:paraId="0CD9A1C0" w14:textId="77777777" w:rsidR="008D6547" w:rsidRPr="0065656B" w:rsidRDefault="008D6547" w:rsidP="008D6547">
      <w:pPr>
        <w:spacing w:after="0" w:line="240" w:lineRule="auto"/>
        <w:jc w:val="both"/>
        <w:rPr>
          <w:rFonts w:ascii="Verdana" w:eastAsia="Arial MT" w:hAnsi="Verdana" w:cs="Arial MT"/>
          <w:b/>
          <w:bCs/>
          <w:lang w:val="es-ES"/>
        </w:rPr>
      </w:pPr>
    </w:p>
    <w:p w14:paraId="141F0969" w14:textId="77777777" w:rsidR="008D6547" w:rsidRPr="0065656B" w:rsidRDefault="008D6547" w:rsidP="008D6547">
      <w:pPr>
        <w:spacing w:after="0" w:line="240" w:lineRule="auto"/>
        <w:jc w:val="both"/>
        <w:rPr>
          <w:rFonts w:ascii="Verdana" w:eastAsia="Arial MT" w:hAnsi="Verdana" w:cs="Arial MT"/>
          <w:b/>
          <w:bCs/>
          <w:lang w:val="es-ES_tradnl"/>
        </w:rPr>
      </w:pPr>
      <w:r w:rsidRPr="0065656B">
        <w:rPr>
          <w:rFonts w:ascii="Verdana" w:eastAsia="Arial MT" w:hAnsi="Verdana" w:cs="Arial MT"/>
          <w:b/>
          <w:bCs/>
          <w:lang w:val="es-ES_tradnl"/>
        </w:rPr>
        <w:t xml:space="preserve">EVALUACIÓN DE LAS OFERTAS – Finalidad – Oportunidad </w:t>
      </w:r>
    </w:p>
    <w:p w14:paraId="05B8BFA3" w14:textId="77777777" w:rsidR="008D6547" w:rsidRPr="0065656B" w:rsidRDefault="008D6547" w:rsidP="008D6547">
      <w:pPr>
        <w:spacing w:after="0" w:line="240" w:lineRule="auto"/>
        <w:jc w:val="both"/>
        <w:rPr>
          <w:rFonts w:ascii="Verdana" w:eastAsia="Calibri" w:hAnsi="Verdana" w:cs="Arial"/>
          <w:lang w:val="es-ES"/>
        </w:rPr>
      </w:pPr>
    </w:p>
    <w:p w14:paraId="1B9C966D" w14:textId="77777777" w:rsidR="008D6547" w:rsidRPr="0065656B" w:rsidRDefault="008D6547" w:rsidP="008D6547">
      <w:pPr>
        <w:spacing w:after="0" w:line="240" w:lineRule="auto"/>
        <w:jc w:val="both"/>
        <w:rPr>
          <w:rFonts w:ascii="Verdana" w:eastAsia="Arial MT" w:hAnsi="Verdana" w:cs="Arial MT"/>
          <w:bCs/>
          <w:sz w:val="20"/>
          <w:lang w:val="es-MX"/>
        </w:rPr>
      </w:pPr>
      <w:r w:rsidRPr="0065656B">
        <w:rPr>
          <w:rFonts w:ascii="Verdana" w:eastAsia="Arial MT" w:hAnsi="Verdana" w:cs="Arial MT"/>
          <w:bCs/>
          <w:sz w:val="20"/>
          <w:lang w:val="es-ES"/>
        </w:rPr>
        <w:t>Sin embargo, debe precisarse que el análisis de los precios de una oferta se hace en la fase de evaluación del procedimiento de selección, que es la oportunidad para verificar, a través del comité evaluador</w:t>
      </w:r>
      <w:r w:rsidRPr="0065656B">
        <w:rPr>
          <w:rFonts w:ascii="Verdana" w:eastAsia="Arial MT" w:hAnsi="Verdana"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61438EA4" w14:textId="77777777" w:rsidR="008D6547" w:rsidRPr="0065656B" w:rsidRDefault="008D6547" w:rsidP="008D6547">
      <w:pPr>
        <w:spacing w:after="0" w:line="240" w:lineRule="auto"/>
        <w:jc w:val="both"/>
        <w:rPr>
          <w:rFonts w:ascii="Verdana" w:eastAsia="Arial MT" w:hAnsi="Verdana" w:cs="Arial MT"/>
          <w:bCs/>
          <w:sz w:val="20"/>
        </w:rPr>
      </w:pPr>
    </w:p>
    <w:p w14:paraId="77C40882" w14:textId="77777777" w:rsidR="008D6547" w:rsidRPr="0065656B" w:rsidRDefault="008D6547" w:rsidP="008D6547">
      <w:pPr>
        <w:spacing w:after="0" w:line="240" w:lineRule="auto"/>
        <w:jc w:val="both"/>
        <w:rPr>
          <w:rFonts w:ascii="Verdana" w:eastAsia="Arial MT" w:hAnsi="Verdana" w:cs="Arial MT"/>
          <w:bCs/>
          <w:sz w:val="20"/>
          <w:lang w:val="es-ES"/>
        </w:rPr>
      </w:pPr>
      <w:r w:rsidRPr="0065656B">
        <w:rPr>
          <w:rFonts w:ascii="Verdana" w:eastAsia="Arial MT" w:hAnsi="Verdana"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14:paraId="368768C0" w14:textId="77777777" w:rsidR="008D6547" w:rsidRPr="0065656B" w:rsidRDefault="008D6547" w:rsidP="008D6547">
      <w:pPr>
        <w:spacing w:after="0" w:line="240" w:lineRule="auto"/>
        <w:jc w:val="both"/>
        <w:rPr>
          <w:rFonts w:ascii="Verdana" w:eastAsia="Arial MT" w:hAnsi="Verdana" w:cs="Arial MT"/>
          <w:b/>
          <w:bCs/>
          <w:lang w:val="es-ES"/>
        </w:rPr>
      </w:pPr>
    </w:p>
    <w:p w14:paraId="03CA5B9B" w14:textId="77777777" w:rsidR="008D6547" w:rsidRPr="0065656B" w:rsidRDefault="008D6547" w:rsidP="008D6547">
      <w:pPr>
        <w:spacing w:after="0" w:line="240" w:lineRule="auto"/>
        <w:jc w:val="both"/>
        <w:rPr>
          <w:rFonts w:ascii="Verdana" w:eastAsia="Arial MT" w:hAnsi="Verdana" w:cs="Arial MT"/>
          <w:b/>
          <w:bCs/>
          <w:lang w:val="es-ES_tradnl"/>
        </w:rPr>
      </w:pPr>
      <w:r w:rsidRPr="0065656B">
        <w:rPr>
          <w:rFonts w:ascii="Verdana" w:eastAsia="Arial MT" w:hAnsi="Verdana" w:cs="Arial MT"/>
          <w:b/>
          <w:bCs/>
          <w:lang w:val="es-ES_tradnl"/>
        </w:rPr>
        <w:t xml:space="preserve">GUÍA DE OFERTAS ARTIFICIALMENTE BAJAS – Manejo </w:t>
      </w:r>
    </w:p>
    <w:p w14:paraId="0528F239" w14:textId="77777777" w:rsidR="008D6547" w:rsidRPr="0065656B" w:rsidRDefault="008D6547" w:rsidP="008D6547">
      <w:pPr>
        <w:spacing w:after="0" w:line="240" w:lineRule="auto"/>
        <w:jc w:val="both"/>
        <w:rPr>
          <w:rFonts w:ascii="Verdana" w:eastAsia="Arial MT" w:hAnsi="Verdana" w:cs="Arial MT"/>
          <w:bCs/>
          <w:sz w:val="20"/>
          <w:lang w:val="es-ES_tradnl"/>
        </w:rPr>
      </w:pPr>
    </w:p>
    <w:p w14:paraId="0EE12EEE" w14:textId="77777777" w:rsidR="008D6547" w:rsidRPr="0065656B" w:rsidRDefault="008D6547" w:rsidP="008D6547">
      <w:pPr>
        <w:spacing w:after="0" w:line="240" w:lineRule="auto"/>
        <w:jc w:val="both"/>
        <w:rPr>
          <w:rFonts w:ascii="Verdana" w:eastAsia="Arial MT" w:hAnsi="Verdana" w:cs="Arial MT"/>
          <w:bCs/>
          <w:sz w:val="20"/>
          <w:lang w:val="es-ES"/>
        </w:rPr>
      </w:pPr>
      <w:r w:rsidRPr="0065656B">
        <w:rPr>
          <w:rFonts w:ascii="Verdana" w:eastAsia="Arial MT" w:hAnsi="Verdana" w:cs="Arial MT"/>
          <w:bCs/>
          <w:sz w:val="20"/>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65656B">
        <w:rPr>
          <w:rFonts w:ascii="Verdana" w:eastAsia="Arial MT" w:hAnsi="Verdana" w:cs="Arial MT"/>
          <w:bCs/>
          <w:sz w:val="20"/>
          <w:lang w:val="es-ES"/>
        </w:rPr>
        <w:t>ii</w:t>
      </w:r>
      <w:proofErr w:type="spellEnd"/>
      <w:r w:rsidRPr="0065656B">
        <w:rPr>
          <w:rFonts w:ascii="Verdana" w:eastAsia="Arial MT" w:hAnsi="Verdana" w:cs="Arial MT"/>
          <w:bCs/>
          <w:sz w:val="20"/>
          <w:lang w:val="es-ES"/>
        </w:rPr>
        <w:t xml:space="preserve">) la comparación relativa. </w:t>
      </w:r>
    </w:p>
    <w:p w14:paraId="6FD2191B" w14:textId="77777777" w:rsidR="008D6547" w:rsidRPr="0065656B" w:rsidRDefault="008D6547" w:rsidP="008D6547">
      <w:pPr>
        <w:spacing w:after="0" w:line="240" w:lineRule="auto"/>
        <w:jc w:val="both"/>
        <w:rPr>
          <w:rFonts w:ascii="Verdana" w:eastAsia="Arial MT" w:hAnsi="Verdana" w:cs="Arial MT"/>
          <w:bCs/>
          <w:sz w:val="20"/>
          <w:lang w:val="es-ES"/>
        </w:rPr>
      </w:pPr>
    </w:p>
    <w:p w14:paraId="6A1A06EF" w14:textId="77777777" w:rsidR="008D6547" w:rsidRPr="0065656B" w:rsidRDefault="008D6547" w:rsidP="008D6547">
      <w:pPr>
        <w:spacing w:after="0" w:line="240" w:lineRule="auto"/>
        <w:jc w:val="both"/>
        <w:rPr>
          <w:rFonts w:ascii="Verdana" w:eastAsia="Arial MT" w:hAnsi="Verdana" w:cs="Arial MT"/>
          <w:bCs/>
          <w:sz w:val="20"/>
        </w:rPr>
      </w:pPr>
      <w:r w:rsidRPr="0065656B">
        <w:rPr>
          <w:rFonts w:ascii="Verdana" w:eastAsia="Arial MT" w:hAnsi="Verdana" w:cs="Arial MT"/>
          <w:bCs/>
          <w:sz w:val="20"/>
          <w:lang w:val="es-ES"/>
        </w:rPr>
        <w:t xml:space="preserve">Es importante precisar que dentro de la Guía para el manejo de ofertas artificialmente bajas en Procesos de Contratación” efectúa un análisis especial en torno a la subasta inversa, la cual puede ser </w:t>
      </w:r>
      <w:r w:rsidRPr="0065656B">
        <w:rPr>
          <w:rFonts w:ascii="Verdana" w:eastAsia="Arial MT" w:hAnsi="Verdana" w:cs="Arial MT"/>
          <w:bCs/>
          <w:sz w:val="20"/>
        </w:rPr>
        <w:t xml:space="preserve">ordinaria y a la inversa. La primera consiste en que los </w:t>
      </w:r>
      <w:r w:rsidRPr="0065656B">
        <w:rPr>
          <w:rFonts w:ascii="Verdana" w:eastAsia="Arial MT" w:hAnsi="Verdana" w:cs="Arial MT"/>
          <w:bCs/>
          <w:sz w:val="20"/>
        </w:rPr>
        <w:lastRenderedPageBreak/>
        <w:t>compradores compiten para obtener un bien o servicio, ofreciendo precios cada vez más altos, mediante lances, como es el caso de los procesos de contratación de enajenación directa a través de subasta pública mediante la modalidad de selección abreviada, de acuerdo a lo prescrito en el artículo 2.2.1.2.2.2.2 del Decreto 1082 de 1025. El segundo, es la subasta inversa que consiste en que los vendedores compiten para obtener un negocio del comprador, y para ello, los lances realizados sobre la oferta económica tienen como objetivo disminuir los precios de los bienes y servicios que se están ofertando.</w:t>
      </w:r>
    </w:p>
    <w:p w14:paraId="0388EED9" w14:textId="77777777" w:rsidR="008D6547" w:rsidRPr="0065656B" w:rsidRDefault="008D6547" w:rsidP="008D6547">
      <w:pPr>
        <w:spacing w:after="0" w:line="240" w:lineRule="auto"/>
        <w:jc w:val="both"/>
        <w:rPr>
          <w:rFonts w:ascii="Verdana" w:eastAsia="Arial MT" w:hAnsi="Verdana" w:cs="Arial MT"/>
          <w:bCs/>
          <w:sz w:val="20"/>
          <w:lang w:val="es-ES_tradnl"/>
        </w:rPr>
      </w:pPr>
    </w:p>
    <w:p w14:paraId="373F9D26" w14:textId="77777777" w:rsidR="008D6547" w:rsidRPr="0065656B" w:rsidRDefault="008D6547" w:rsidP="008D6547">
      <w:pPr>
        <w:spacing w:after="0" w:line="240" w:lineRule="auto"/>
        <w:jc w:val="both"/>
        <w:rPr>
          <w:rFonts w:ascii="Verdana" w:eastAsia="Arial MT" w:hAnsi="Verdana" w:cs="Arial MT"/>
          <w:b/>
          <w:bCs/>
          <w:lang w:val="es-ES_tradnl"/>
        </w:rPr>
      </w:pPr>
      <w:r w:rsidRPr="0065656B">
        <w:rPr>
          <w:rFonts w:ascii="Verdana" w:eastAsia="Arial MT" w:hAnsi="Verdana" w:cs="Arial MT"/>
          <w:b/>
          <w:bCs/>
          <w:lang w:val="es-ES_tradnl"/>
        </w:rPr>
        <w:t>PRECIOS ARTIFICIALMENTE BAJOS – Guía – Procesos de subasta – Subasta inversa</w:t>
      </w:r>
    </w:p>
    <w:p w14:paraId="1E7C9BFD" w14:textId="77777777" w:rsidR="008D6547" w:rsidRPr="0065656B" w:rsidRDefault="008D6547" w:rsidP="008D6547">
      <w:pPr>
        <w:spacing w:after="0" w:line="240" w:lineRule="auto"/>
        <w:jc w:val="both"/>
        <w:rPr>
          <w:rFonts w:ascii="Verdana" w:eastAsia="Arial MT" w:hAnsi="Verdana" w:cs="Arial MT"/>
          <w:b/>
          <w:bCs/>
          <w:lang w:val="es-ES_tradnl"/>
        </w:rPr>
      </w:pPr>
    </w:p>
    <w:p w14:paraId="2D7902F1" w14:textId="77777777" w:rsidR="008D6547" w:rsidRPr="0065656B" w:rsidRDefault="008D6547" w:rsidP="008D6547">
      <w:pPr>
        <w:spacing w:after="0" w:line="240" w:lineRule="auto"/>
        <w:jc w:val="both"/>
        <w:rPr>
          <w:rFonts w:ascii="Verdana" w:eastAsia="Arial MT" w:hAnsi="Verdana" w:cs="Arial MT"/>
          <w:bCs/>
          <w:sz w:val="20"/>
          <w:szCs w:val="20"/>
        </w:rPr>
      </w:pPr>
      <w:r w:rsidRPr="0065656B">
        <w:rPr>
          <w:rFonts w:ascii="Verdana" w:eastAsia="Arial MT" w:hAnsi="Verdana" w:cs="Arial MT"/>
          <w:bCs/>
          <w:sz w:val="20"/>
          <w:szCs w:val="20"/>
        </w:rPr>
        <w:t xml:space="preserve">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65656B">
        <w:rPr>
          <w:rFonts w:ascii="Verdana" w:eastAsia="Arial MT" w:hAnsi="Verdana" w:cs="Arial MT"/>
          <w:bCs/>
          <w:sz w:val="20"/>
          <w:szCs w:val="20"/>
        </w:rPr>
        <w:t>ii</w:t>
      </w:r>
      <w:proofErr w:type="spellEnd"/>
      <w:r w:rsidRPr="0065656B">
        <w:rPr>
          <w:rFonts w:ascii="Verdana" w:eastAsia="Arial MT" w:hAnsi="Verdana" w:cs="Arial MT"/>
          <w:bCs/>
          <w:sz w:val="20"/>
          <w:szCs w:val="20"/>
        </w:rPr>
        <w:t xml:space="preserve">) analizar las explicaciones del oferente, para verificar si están sustentados en los valores ofrecidos y si son suficientes para ejecutar el contrato; </w:t>
      </w:r>
      <w:proofErr w:type="spellStart"/>
      <w:r w:rsidRPr="0065656B">
        <w:rPr>
          <w:rFonts w:ascii="Verdana" w:eastAsia="Arial MT" w:hAnsi="Verdana" w:cs="Arial MT"/>
          <w:bCs/>
          <w:sz w:val="20"/>
          <w:szCs w:val="20"/>
        </w:rPr>
        <w:t>iii</w:t>
      </w:r>
      <w:proofErr w:type="spellEnd"/>
      <w:r w:rsidRPr="0065656B">
        <w:rPr>
          <w:rFonts w:ascii="Verdana" w:eastAsia="Arial MT" w:hAnsi="Verdana" w:cs="Arial MT"/>
          <w:bCs/>
          <w:sz w:val="20"/>
          <w:szCs w:val="20"/>
        </w:rPr>
        <w:t xml:space="preserve">) definir si continúa con la evaluación de la oferta, en el sentido de que la explicación demuestra la capacidad del proponente para cumplir adecuadamente con el contrato con los precios ofertados o, si por el contrario, rechaza la oferta porque no fue sustentada. Esto debe realizarse al finalizar el evento de subasta, de acuerdo con el precio ofrecido al final de esta. </w:t>
      </w:r>
    </w:p>
    <w:p w14:paraId="16729CB6" w14:textId="77777777" w:rsidR="008D6547" w:rsidRPr="0065656B" w:rsidRDefault="008D6547" w:rsidP="008D6547">
      <w:pPr>
        <w:spacing w:after="0" w:line="240" w:lineRule="auto"/>
        <w:jc w:val="both"/>
        <w:rPr>
          <w:rFonts w:ascii="Verdana" w:eastAsia="Arial MT" w:hAnsi="Verdana" w:cs="Arial MT"/>
          <w:bCs/>
          <w:sz w:val="20"/>
          <w:szCs w:val="20"/>
        </w:rPr>
      </w:pPr>
      <w:r w:rsidRPr="0065656B">
        <w:rPr>
          <w:rFonts w:ascii="Verdana" w:eastAsia="Arial MT" w:hAnsi="Verdana" w:cs="Arial MT"/>
          <w:bCs/>
          <w:sz w:val="20"/>
          <w:szCs w:val="20"/>
        </w:rPr>
        <w:t>[…]</w:t>
      </w:r>
    </w:p>
    <w:p w14:paraId="45F2BEB2" w14:textId="77777777" w:rsidR="008D6547" w:rsidRPr="0065656B" w:rsidRDefault="008D6547" w:rsidP="008D6547">
      <w:pPr>
        <w:spacing w:after="0" w:line="240" w:lineRule="auto"/>
        <w:jc w:val="both"/>
        <w:rPr>
          <w:rFonts w:ascii="Verdana" w:eastAsia="Arial MT" w:hAnsi="Verdana" w:cs="Arial MT"/>
          <w:bCs/>
          <w:sz w:val="20"/>
          <w:szCs w:val="20"/>
        </w:rPr>
      </w:pPr>
      <w:r w:rsidRPr="0065656B">
        <w:rPr>
          <w:rFonts w:ascii="Verdana" w:eastAsia="Arial MT" w:hAnsi="Verdana" w:cs="Arial MT"/>
          <w:bCs/>
          <w:sz w:val="20"/>
          <w:szCs w:val="20"/>
        </w:rPr>
        <w:t xml:space="preserve">En este escenario, dentro de la Guía expresa: “[…] la entidad en el marco de su autonomía puede evaluar la procedencia de volver a realizar el evento de subasta, retirando al proponente si está contemplado inicialmente en los pliegos; esto, con el fin de evitar que un participante de la subasta beneficie a otro a través de la presentación de una oferta artificialmente baja”. De igual modo, dichos eventos deben ponerse al conocimiento de la Superintendencia de Industria y Comercio. </w:t>
      </w:r>
    </w:p>
    <w:p w14:paraId="0C8A7E92" w14:textId="77777777" w:rsidR="008D6547" w:rsidRPr="0065656B" w:rsidRDefault="008D6547" w:rsidP="008D6547">
      <w:pPr>
        <w:spacing w:after="0" w:line="240" w:lineRule="auto"/>
        <w:jc w:val="both"/>
        <w:rPr>
          <w:rFonts w:ascii="Verdana" w:eastAsia="Arial MT" w:hAnsi="Verdana" w:cs="Arial MT"/>
          <w:b/>
          <w:bCs/>
        </w:rPr>
      </w:pPr>
    </w:p>
    <w:p w14:paraId="4AB8D0A5" w14:textId="77777777" w:rsidR="00200D48" w:rsidRPr="0065656B" w:rsidRDefault="00200D48" w:rsidP="00200D48">
      <w:pPr>
        <w:spacing w:before="1" w:after="0" w:line="240" w:lineRule="auto"/>
        <w:jc w:val="both"/>
        <w:rPr>
          <w:rFonts w:ascii="Verdana" w:hAnsi="Verdana" w:cs="Arial"/>
          <w:sz w:val="20"/>
          <w:szCs w:val="20"/>
          <w:lang w:val="es-ES"/>
        </w:rPr>
      </w:pPr>
    </w:p>
    <w:p w14:paraId="142B5808" w14:textId="77777777" w:rsidR="008D6547" w:rsidRPr="0065656B" w:rsidRDefault="008D6547" w:rsidP="00200D48">
      <w:pPr>
        <w:spacing w:before="1" w:after="0" w:line="240" w:lineRule="auto"/>
        <w:jc w:val="both"/>
        <w:rPr>
          <w:rFonts w:ascii="Verdana" w:hAnsi="Verdana" w:cs="Arial"/>
          <w:sz w:val="20"/>
          <w:szCs w:val="20"/>
          <w:lang w:val="es-ES"/>
        </w:rPr>
      </w:pPr>
    </w:p>
    <w:p w14:paraId="7D54C6E2" w14:textId="77777777" w:rsidR="008D6547" w:rsidRPr="0065656B" w:rsidRDefault="008D6547" w:rsidP="00200D48">
      <w:pPr>
        <w:spacing w:before="1" w:after="0" w:line="240" w:lineRule="auto"/>
        <w:jc w:val="both"/>
        <w:rPr>
          <w:rFonts w:ascii="Verdana" w:hAnsi="Verdana" w:cs="Arial"/>
          <w:sz w:val="20"/>
          <w:szCs w:val="20"/>
          <w:lang w:val="es-ES"/>
        </w:rPr>
      </w:pPr>
    </w:p>
    <w:p w14:paraId="25E51420" w14:textId="77777777" w:rsidR="008D6547" w:rsidRPr="0065656B" w:rsidRDefault="008D6547" w:rsidP="00200D48">
      <w:pPr>
        <w:spacing w:before="1" w:after="0" w:line="240" w:lineRule="auto"/>
        <w:jc w:val="both"/>
        <w:rPr>
          <w:rFonts w:ascii="Verdana" w:hAnsi="Verdana" w:cs="Arial"/>
          <w:sz w:val="20"/>
          <w:szCs w:val="20"/>
          <w:lang w:val="es-ES"/>
        </w:rPr>
      </w:pPr>
    </w:p>
    <w:p w14:paraId="57F49673" w14:textId="77777777" w:rsidR="008D6547" w:rsidRPr="0065656B" w:rsidRDefault="008D6547" w:rsidP="00200D48">
      <w:pPr>
        <w:spacing w:before="1" w:after="0" w:line="240" w:lineRule="auto"/>
        <w:jc w:val="both"/>
        <w:rPr>
          <w:rFonts w:ascii="Verdana" w:hAnsi="Verdana" w:cs="Arial"/>
          <w:sz w:val="20"/>
          <w:szCs w:val="20"/>
          <w:lang w:val="es-ES"/>
        </w:rPr>
      </w:pPr>
    </w:p>
    <w:p w14:paraId="79DDB036" w14:textId="77777777" w:rsidR="008D6547" w:rsidRPr="0065656B" w:rsidRDefault="008D6547" w:rsidP="00200D48">
      <w:pPr>
        <w:spacing w:before="1" w:after="0" w:line="240" w:lineRule="auto"/>
        <w:jc w:val="both"/>
        <w:rPr>
          <w:rFonts w:ascii="Verdana" w:hAnsi="Verdana" w:cs="Arial"/>
          <w:sz w:val="20"/>
          <w:szCs w:val="20"/>
          <w:lang w:val="es-ES"/>
        </w:rPr>
      </w:pPr>
    </w:p>
    <w:p w14:paraId="3C4A801B" w14:textId="77777777" w:rsidR="008D6547" w:rsidRPr="0065656B" w:rsidRDefault="008D6547" w:rsidP="00200D48">
      <w:pPr>
        <w:spacing w:before="1" w:after="0" w:line="240" w:lineRule="auto"/>
        <w:jc w:val="both"/>
        <w:rPr>
          <w:rFonts w:ascii="Verdana" w:hAnsi="Verdana" w:cs="Arial"/>
          <w:sz w:val="20"/>
          <w:szCs w:val="20"/>
          <w:lang w:val="es-ES"/>
        </w:rPr>
      </w:pPr>
    </w:p>
    <w:p w14:paraId="464BA53F" w14:textId="77777777" w:rsidR="008D6547" w:rsidRPr="0065656B" w:rsidRDefault="008D6547" w:rsidP="00200D48">
      <w:pPr>
        <w:spacing w:before="1" w:after="0" w:line="240" w:lineRule="auto"/>
        <w:jc w:val="both"/>
        <w:rPr>
          <w:rFonts w:ascii="Verdana" w:hAnsi="Verdana" w:cs="Arial"/>
          <w:sz w:val="20"/>
          <w:szCs w:val="20"/>
          <w:lang w:val="es-ES"/>
        </w:rPr>
      </w:pPr>
    </w:p>
    <w:p w14:paraId="6910E21B" w14:textId="77777777" w:rsidR="008D6547" w:rsidRPr="0065656B" w:rsidRDefault="008D6547" w:rsidP="00200D48">
      <w:pPr>
        <w:spacing w:before="1" w:after="0" w:line="240" w:lineRule="auto"/>
        <w:jc w:val="both"/>
        <w:rPr>
          <w:rFonts w:ascii="Verdana" w:hAnsi="Verdana" w:cs="Arial"/>
          <w:sz w:val="20"/>
          <w:szCs w:val="20"/>
          <w:lang w:val="es-ES"/>
        </w:rPr>
      </w:pPr>
    </w:p>
    <w:p w14:paraId="0AE5B57B" w14:textId="77777777" w:rsidR="008D6547" w:rsidRPr="0065656B" w:rsidRDefault="008D6547" w:rsidP="00200D48">
      <w:pPr>
        <w:spacing w:before="1" w:after="0" w:line="240" w:lineRule="auto"/>
        <w:jc w:val="both"/>
        <w:rPr>
          <w:rFonts w:ascii="Verdana" w:hAnsi="Verdana" w:cs="Arial"/>
          <w:sz w:val="20"/>
          <w:szCs w:val="20"/>
          <w:lang w:val="es-ES"/>
        </w:rPr>
      </w:pPr>
    </w:p>
    <w:p w14:paraId="45D1BD67" w14:textId="77777777" w:rsidR="008D6547" w:rsidRPr="0065656B" w:rsidRDefault="008D6547" w:rsidP="00200D48">
      <w:pPr>
        <w:spacing w:before="1" w:after="0" w:line="240" w:lineRule="auto"/>
        <w:jc w:val="both"/>
        <w:rPr>
          <w:rFonts w:ascii="Verdana" w:hAnsi="Verdana" w:cs="Arial"/>
          <w:sz w:val="20"/>
          <w:szCs w:val="20"/>
          <w:lang w:val="es-ES"/>
        </w:rPr>
      </w:pPr>
    </w:p>
    <w:p w14:paraId="51E2DCBF" w14:textId="77777777" w:rsidR="008D6547" w:rsidRPr="0065656B" w:rsidRDefault="008D6547" w:rsidP="00200D48">
      <w:pPr>
        <w:spacing w:before="1" w:after="0" w:line="240" w:lineRule="auto"/>
        <w:jc w:val="both"/>
        <w:rPr>
          <w:rFonts w:ascii="Verdana" w:hAnsi="Verdana" w:cs="Arial"/>
          <w:sz w:val="20"/>
          <w:szCs w:val="20"/>
          <w:lang w:val="es-ES"/>
        </w:rPr>
      </w:pPr>
    </w:p>
    <w:p w14:paraId="0D900945" w14:textId="77777777" w:rsidR="008D6547" w:rsidRPr="0065656B" w:rsidRDefault="008D6547" w:rsidP="00200D48">
      <w:pPr>
        <w:spacing w:before="1" w:after="0" w:line="240" w:lineRule="auto"/>
        <w:jc w:val="both"/>
        <w:rPr>
          <w:rFonts w:ascii="Verdana" w:hAnsi="Verdana" w:cs="Arial"/>
          <w:sz w:val="20"/>
          <w:szCs w:val="20"/>
          <w:lang w:val="es-ES"/>
        </w:rPr>
      </w:pPr>
    </w:p>
    <w:p w14:paraId="135EE629" w14:textId="77777777" w:rsidR="008D6547" w:rsidRPr="0065656B" w:rsidRDefault="008D6547" w:rsidP="00200D48">
      <w:pPr>
        <w:spacing w:before="1" w:after="0" w:line="240" w:lineRule="auto"/>
        <w:jc w:val="both"/>
        <w:rPr>
          <w:rFonts w:ascii="Verdana" w:hAnsi="Verdana" w:cs="Arial"/>
          <w:sz w:val="20"/>
          <w:szCs w:val="20"/>
          <w:lang w:val="es-ES"/>
        </w:rPr>
      </w:pPr>
    </w:p>
    <w:p w14:paraId="1D766F20" w14:textId="77777777" w:rsidR="008D6547" w:rsidRPr="0065656B" w:rsidRDefault="008D6547" w:rsidP="00200D48">
      <w:pPr>
        <w:spacing w:before="1" w:after="0" w:line="240" w:lineRule="auto"/>
        <w:jc w:val="both"/>
        <w:rPr>
          <w:rFonts w:ascii="Verdana" w:hAnsi="Verdana" w:cs="Arial"/>
          <w:sz w:val="20"/>
          <w:szCs w:val="20"/>
          <w:lang w:val="es-ES"/>
        </w:rPr>
      </w:pPr>
    </w:p>
    <w:p w14:paraId="442AE21E" w14:textId="77777777" w:rsidR="00200D48" w:rsidRPr="0065656B" w:rsidRDefault="00200D48" w:rsidP="00200D48">
      <w:pPr>
        <w:spacing w:before="1" w:after="0" w:line="240" w:lineRule="auto"/>
        <w:jc w:val="both"/>
        <w:rPr>
          <w:rFonts w:ascii="Verdana" w:hAnsi="Verdana" w:cs="Arial"/>
          <w:sz w:val="20"/>
          <w:szCs w:val="20"/>
          <w:lang w:val="es-ES"/>
        </w:rPr>
      </w:pPr>
    </w:p>
    <w:p w14:paraId="68AE2FA6" w14:textId="77777777" w:rsidR="002A54D8" w:rsidRPr="0065656B" w:rsidRDefault="002A54D8" w:rsidP="00200D48">
      <w:pPr>
        <w:rPr>
          <w:rFonts w:ascii="Verdana" w:eastAsia="Geomanist Light" w:hAnsi="Verdana" w:cs="Arial"/>
        </w:rPr>
      </w:pPr>
    </w:p>
    <w:p w14:paraId="0291D718" w14:textId="38BA6613" w:rsidR="00200D48" w:rsidRPr="0065656B" w:rsidRDefault="00200D48" w:rsidP="00200D48">
      <w:pPr>
        <w:rPr>
          <w:rFonts w:ascii="Verdana" w:eastAsia="Calibri" w:hAnsi="Verdana" w:cs="Arial"/>
          <w:bCs/>
          <w:sz w:val="20"/>
          <w:szCs w:val="20"/>
          <w:lang w:eastAsia="es-ES_tradnl"/>
        </w:rPr>
      </w:pPr>
      <w:r w:rsidRPr="0065656B">
        <w:rPr>
          <w:rFonts w:ascii="Verdana" w:eastAsia="Geomanist Light" w:hAnsi="Verdana" w:cs="Arial"/>
        </w:rPr>
        <w:lastRenderedPageBreak/>
        <w:t>Bogotá D.C., </w:t>
      </w:r>
      <w:r w:rsidR="00B318A3" w:rsidRPr="00B318A3">
        <w:rPr>
          <w:rFonts w:ascii="Verdana" w:eastAsia="Geomanist Light" w:hAnsi="Verdana" w:cs="Arial"/>
        </w:rPr>
        <w:t xml:space="preserve">04 de </w:t>
      </w:r>
      <w:proofErr w:type="gramStart"/>
      <w:r w:rsidR="00B318A3" w:rsidRPr="00B318A3">
        <w:rPr>
          <w:rFonts w:ascii="Verdana" w:eastAsia="Geomanist Light" w:hAnsi="Verdana" w:cs="Arial"/>
        </w:rPr>
        <w:t>Noviembre</w:t>
      </w:r>
      <w:proofErr w:type="gramEnd"/>
      <w:r w:rsidR="00B318A3" w:rsidRPr="00B318A3">
        <w:rPr>
          <w:rFonts w:ascii="Verdana" w:eastAsia="Geomanist Light" w:hAnsi="Verdana" w:cs="Arial"/>
        </w:rPr>
        <w:t xml:space="preserve"> de 2025</w:t>
      </w:r>
    </w:p>
    <w:p w14:paraId="2FF5762E" w14:textId="72015A73" w:rsidR="00200D48" w:rsidRDefault="00B318A3" w:rsidP="00B318A3">
      <w:pPr>
        <w:spacing w:after="0" w:line="240" w:lineRule="auto"/>
        <w:ind w:left="5664"/>
        <w:jc w:val="both"/>
        <w:rPr>
          <w:rFonts w:ascii="Verdana" w:eastAsia="Calibri" w:hAnsi="Verdana" w:cs="Arial"/>
        </w:rPr>
      </w:pPr>
      <w:r>
        <w:rPr>
          <w:noProof/>
        </w:rPr>
        <w:drawing>
          <wp:inline distT="0" distB="0" distL="0" distR="0" wp14:anchorId="38F7CFEF" wp14:editId="15F0DBDE">
            <wp:extent cx="2486025" cy="781050"/>
            <wp:effectExtent l="0" t="0" r="9525" b="0"/>
            <wp:docPr id="1790720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20525" name=""/>
                    <pic:cNvPicPr/>
                  </pic:nvPicPr>
                  <pic:blipFill>
                    <a:blip r:embed="rId11"/>
                    <a:stretch>
                      <a:fillRect/>
                    </a:stretch>
                  </pic:blipFill>
                  <pic:spPr>
                    <a:xfrm>
                      <a:off x="0" y="0"/>
                      <a:ext cx="2486025" cy="781050"/>
                    </a:xfrm>
                    <a:prstGeom prst="rect">
                      <a:avLst/>
                    </a:prstGeom>
                  </pic:spPr>
                </pic:pic>
              </a:graphicData>
            </a:graphic>
          </wp:inline>
        </w:drawing>
      </w:r>
    </w:p>
    <w:p w14:paraId="4FC37D1E" w14:textId="77777777" w:rsidR="00B318A3" w:rsidRPr="0065656B" w:rsidRDefault="00B318A3" w:rsidP="00200D48">
      <w:pPr>
        <w:spacing w:after="0" w:line="240" w:lineRule="auto"/>
        <w:jc w:val="both"/>
        <w:rPr>
          <w:rFonts w:ascii="Verdana" w:eastAsia="Calibri" w:hAnsi="Verdana" w:cs="Arial"/>
        </w:rPr>
      </w:pPr>
    </w:p>
    <w:p w14:paraId="76C3A0F8" w14:textId="6487B179" w:rsidR="00200D48" w:rsidRPr="0065656B" w:rsidRDefault="00200D48" w:rsidP="00200D48">
      <w:pPr>
        <w:spacing w:after="0" w:line="240" w:lineRule="auto"/>
        <w:jc w:val="both"/>
        <w:rPr>
          <w:rFonts w:ascii="Verdana" w:eastAsia="Calibri" w:hAnsi="Verdana" w:cs="Arial"/>
          <w:lang w:eastAsia="es-ES"/>
        </w:rPr>
      </w:pPr>
      <w:r w:rsidRPr="0065656B">
        <w:rPr>
          <w:rFonts w:ascii="Verdana" w:eastAsia="Calibri" w:hAnsi="Verdana" w:cs="Arial"/>
          <w:lang w:eastAsia="es-ES"/>
        </w:rPr>
        <w:t>Señor</w:t>
      </w:r>
      <w:r w:rsidR="0065656B" w:rsidRPr="0065656B">
        <w:rPr>
          <w:rFonts w:ascii="Verdana" w:eastAsia="Calibri" w:hAnsi="Verdana" w:cs="Arial"/>
          <w:lang w:eastAsia="es-ES"/>
        </w:rPr>
        <w:t xml:space="preserve"> (a)</w:t>
      </w:r>
    </w:p>
    <w:p w14:paraId="4A034E44" w14:textId="22CCC337" w:rsidR="00200D48" w:rsidRPr="0065656B" w:rsidRDefault="0065656B" w:rsidP="00200D48">
      <w:pPr>
        <w:spacing w:after="0" w:line="240" w:lineRule="auto"/>
        <w:jc w:val="both"/>
        <w:rPr>
          <w:rFonts w:ascii="Verdana" w:eastAsia="Calibri" w:hAnsi="Verdana" w:cs="Arial"/>
          <w:b/>
          <w:bCs/>
          <w:lang w:eastAsia="es-ES"/>
        </w:rPr>
      </w:pPr>
      <w:r w:rsidRPr="0065656B">
        <w:rPr>
          <w:rFonts w:ascii="Verdana" w:eastAsia="Calibri" w:hAnsi="Verdana" w:cs="Arial"/>
          <w:b/>
          <w:bCs/>
          <w:lang w:eastAsia="es-ES"/>
        </w:rPr>
        <w:t>Anónimo</w:t>
      </w:r>
    </w:p>
    <w:p w14:paraId="7BDE706C" w14:textId="33A2AD12" w:rsidR="00200D48" w:rsidRPr="0065656B" w:rsidRDefault="00645C37" w:rsidP="00200D48">
      <w:pPr>
        <w:spacing w:after="0" w:line="240" w:lineRule="auto"/>
        <w:jc w:val="both"/>
        <w:rPr>
          <w:rFonts w:ascii="Verdana" w:eastAsia="Calibri" w:hAnsi="Verdana" w:cs="Arial"/>
          <w:lang w:eastAsia="es-ES"/>
        </w:rPr>
      </w:pPr>
      <w:hyperlink r:id="rId12" w:history="1">
        <w:r w:rsidR="0065656B" w:rsidRPr="0065656B">
          <w:rPr>
            <w:rStyle w:val="Hipervnculo"/>
            <w:rFonts w:ascii="Verdana" w:eastAsia="Calibri" w:hAnsi="Verdana" w:cs="Arial"/>
            <w:lang w:eastAsia="es-ES"/>
          </w:rPr>
          <w:t>ivonne.rincon@fac.mil.co</w:t>
        </w:r>
      </w:hyperlink>
    </w:p>
    <w:p w14:paraId="55B9A9FB" w14:textId="77777777" w:rsidR="00200D48" w:rsidRPr="0065656B" w:rsidRDefault="00200D48" w:rsidP="00200D48">
      <w:pPr>
        <w:spacing w:after="0" w:line="240" w:lineRule="auto"/>
        <w:rPr>
          <w:rFonts w:ascii="Verdana" w:eastAsia="Calibri" w:hAnsi="Verdana" w:cs="Arial"/>
          <w:b/>
          <w:bCs/>
          <w:lang w:eastAsia="es-ES_tradnl"/>
        </w:rPr>
      </w:pPr>
    </w:p>
    <w:p w14:paraId="4EBAE10B" w14:textId="77777777" w:rsidR="00200D48" w:rsidRPr="0065656B" w:rsidRDefault="00200D48" w:rsidP="00200D48">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0D48" w:rsidRPr="0065656B" w14:paraId="6540B751" w14:textId="77777777" w:rsidTr="008326D5">
        <w:trPr>
          <w:trHeight w:val="190"/>
        </w:trPr>
        <w:tc>
          <w:tcPr>
            <w:tcW w:w="2689" w:type="dxa"/>
          </w:tcPr>
          <w:p w14:paraId="72583B2F" w14:textId="77777777" w:rsidR="00200D48" w:rsidRPr="0065656B" w:rsidRDefault="00200D48" w:rsidP="008326D5">
            <w:pPr>
              <w:jc w:val="both"/>
              <w:rPr>
                <w:rFonts w:ascii="Verdana" w:eastAsia="Calibri" w:hAnsi="Verdana" w:cs="Arial"/>
                <w:b/>
                <w:bCs/>
                <w:lang w:eastAsia="es-ES_tradnl"/>
              </w:rPr>
            </w:pPr>
          </w:p>
        </w:tc>
        <w:tc>
          <w:tcPr>
            <w:tcW w:w="6100" w:type="dxa"/>
          </w:tcPr>
          <w:p w14:paraId="3DE37242" w14:textId="4D8E7BB1" w:rsidR="00200D48" w:rsidRPr="0065656B" w:rsidRDefault="00200D48" w:rsidP="008326D5">
            <w:pPr>
              <w:jc w:val="both"/>
              <w:rPr>
                <w:rFonts w:ascii="Verdana" w:eastAsia="Calibri" w:hAnsi="Verdana" w:cs="Arial"/>
                <w:b/>
                <w:bCs/>
                <w:lang w:eastAsia="es-ES"/>
              </w:rPr>
            </w:pPr>
            <w:r w:rsidRPr="0065656B">
              <w:rPr>
                <w:rFonts w:ascii="Verdana" w:eastAsia="Calibri" w:hAnsi="Verdana" w:cs="Arial"/>
                <w:b/>
                <w:bCs/>
                <w:lang w:eastAsia="es-ES"/>
              </w:rPr>
              <w:t>Concepto C- 1</w:t>
            </w:r>
            <w:r w:rsidR="0065656B" w:rsidRPr="0065656B">
              <w:rPr>
                <w:rFonts w:ascii="Verdana" w:eastAsia="Calibri" w:hAnsi="Verdana" w:cs="Arial"/>
                <w:b/>
                <w:bCs/>
                <w:lang w:eastAsia="es-ES"/>
              </w:rPr>
              <w:t>395</w:t>
            </w:r>
            <w:r w:rsidRPr="0065656B">
              <w:rPr>
                <w:rFonts w:ascii="Verdana" w:eastAsia="Calibri" w:hAnsi="Verdana" w:cs="Arial"/>
                <w:b/>
                <w:bCs/>
                <w:lang w:eastAsia="es-ES"/>
              </w:rPr>
              <w:t xml:space="preserve"> de 2025</w:t>
            </w:r>
          </w:p>
          <w:p w14:paraId="59A3354D" w14:textId="77777777" w:rsidR="00200D48" w:rsidRPr="0065656B" w:rsidRDefault="00200D48" w:rsidP="008326D5">
            <w:pPr>
              <w:jc w:val="both"/>
              <w:rPr>
                <w:rFonts w:ascii="Verdana" w:eastAsia="Calibri" w:hAnsi="Verdana" w:cs="Arial"/>
                <w:b/>
                <w:bCs/>
                <w:lang w:eastAsia="es-ES"/>
              </w:rPr>
            </w:pPr>
          </w:p>
        </w:tc>
      </w:tr>
      <w:tr w:rsidR="00200D48" w:rsidRPr="0065656B" w14:paraId="339A58BA" w14:textId="77777777" w:rsidTr="008326D5">
        <w:trPr>
          <w:trHeight w:val="884"/>
        </w:trPr>
        <w:tc>
          <w:tcPr>
            <w:tcW w:w="2689" w:type="dxa"/>
          </w:tcPr>
          <w:p w14:paraId="7EC5914A" w14:textId="77777777" w:rsidR="00200D48" w:rsidRPr="0065656B" w:rsidRDefault="00200D48" w:rsidP="008326D5">
            <w:pPr>
              <w:jc w:val="both"/>
              <w:rPr>
                <w:rFonts w:ascii="Verdana" w:eastAsia="Calibri" w:hAnsi="Verdana" w:cs="Arial"/>
                <w:lang w:eastAsia="es-ES_tradnl"/>
              </w:rPr>
            </w:pPr>
            <w:r w:rsidRPr="0065656B">
              <w:rPr>
                <w:rFonts w:ascii="Verdana" w:eastAsia="Calibri" w:hAnsi="Verdana" w:cs="Arial"/>
                <w:b/>
                <w:lang w:eastAsia="es-ES_tradnl"/>
              </w:rPr>
              <w:t>Temas:</w:t>
            </w:r>
            <w:r w:rsidRPr="0065656B">
              <w:rPr>
                <w:rFonts w:ascii="Verdana" w:eastAsia="Calibri" w:hAnsi="Verdana" w:cs="Arial"/>
                <w:lang w:eastAsia="es-ES_tradnl"/>
              </w:rPr>
              <w:t xml:space="preserve">                   </w:t>
            </w:r>
          </w:p>
        </w:tc>
        <w:tc>
          <w:tcPr>
            <w:tcW w:w="6100" w:type="dxa"/>
          </w:tcPr>
          <w:p w14:paraId="174455C0" w14:textId="5E349C9E" w:rsidR="00FB5481" w:rsidRPr="0065656B" w:rsidRDefault="00BD7545" w:rsidP="008326D5">
            <w:pPr>
              <w:jc w:val="both"/>
              <w:rPr>
                <w:rFonts w:ascii="Verdana" w:eastAsia="Calibri" w:hAnsi="Verdana" w:cs="Arial"/>
                <w:lang w:eastAsia="es-ES"/>
              </w:rPr>
            </w:pPr>
            <w:r w:rsidRPr="0065656B">
              <w:rPr>
                <w:rFonts w:ascii="Verdana" w:hAnsi="Verdana" w:cs="Arial"/>
              </w:rPr>
              <w:t>CERTAMEN DE SUBASTA - Definición – Objetivo/ PRECIO ARTIFICIALMENTE BAJO – Análisis – Subasta Inversa – Oportunidad – Precio</w:t>
            </w:r>
            <w:r w:rsidRPr="0065656B">
              <w:rPr>
                <w:rFonts w:ascii="Verdana" w:eastAsia="Calibri" w:hAnsi="Verdana" w:cs="Arial"/>
                <w:lang w:val="es-ES" w:eastAsia="es-ES"/>
              </w:rPr>
              <w:t xml:space="preserve"> </w:t>
            </w:r>
          </w:p>
        </w:tc>
      </w:tr>
      <w:tr w:rsidR="00200D48" w:rsidRPr="0065656B" w14:paraId="42860AAE" w14:textId="77777777" w:rsidTr="008326D5">
        <w:tc>
          <w:tcPr>
            <w:tcW w:w="2689" w:type="dxa"/>
          </w:tcPr>
          <w:p w14:paraId="434AB754" w14:textId="77777777" w:rsidR="00200D48" w:rsidRPr="0065656B" w:rsidRDefault="00200D48" w:rsidP="008326D5">
            <w:pPr>
              <w:jc w:val="both"/>
              <w:rPr>
                <w:rFonts w:ascii="Verdana" w:eastAsia="Calibri" w:hAnsi="Verdana" w:cs="Arial"/>
                <w:b/>
                <w:lang w:eastAsia="es-ES_tradnl"/>
              </w:rPr>
            </w:pPr>
            <w:r w:rsidRPr="0065656B">
              <w:rPr>
                <w:rFonts w:ascii="Verdana" w:eastAsia="Calibri" w:hAnsi="Verdana" w:cs="Arial"/>
                <w:b/>
                <w:lang w:eastAsia="es-ES_tradnl"/>
              </w:rPr>
              <w:t>Radicación:</w:t>
            </w:r>
            <w:r w:rsidRPr="0065656B">
              <w:rPr>
                <w:rFonts w:ascii="Verdana" w:eastAsia="Calibri" w:hAnsi="Verdana" w:cs="Arial"/>
                <w:lang w:eastAsia="es-ES_tradnl"/>
              </w:rPr>
              <w:t xml:space="preserve">               </w:t>
            </w:r>
          </w:p>
        </w:tc>
        <w:tc>
          <w:tcPr>
            <w:tcW w:w="6100" w:type="dxa"/>
          </w:tcPr>
          <w:p w14:paraId="2467F09A" w14:textId="0B07FBCE" w:rsidR="00200D48" w:rsidRPr="0065656B" w:rsidRDefault="00200D48" w:rsidP="008326D5">
            <w:pPr>
              <w:jc w:val="both"/>
              <w:rPr>
                <w:rFonts w:ascii="Verdana" w:eastAsia="Calibri" w:hAnsi="Verdana" w:cs="Arial"/>
                <w:lang w:eastAsia="es-ES_tradnl"/>
              </w:rPr>
            </w:pPr>
            <w:r w:rsidRPr="0065656B">
              <w:rPr>
                <w:rFonts w:ascii="Verdana" w:eastAsia="Calibri" w:hAnsi="Verdana" w:cs="Arial"/>
                <w:lang w:eastAsia="es-ES_tradnl"/>
              </w:rPr>
              <w:t xml:space="preserve">Respuesta a consulta con radicado No. </w:t>
            </w:r>
            <w:r w:rsidR="00A64B34" w:rsidRPr="0065656B">
              <w:rPr>
                <w:rFonts w:ascii="Verdana" w:eastAsia="Calibri" w:hAnsi="Verdana" w:cs="Arial"/>
                <w:lang w:eastAsia="es-ES_tradnl"/>
              </w:rPr>
              <w:t>1_2025_09_25_010639</w:t>
            </w:r>
          </w:p>
        </w:tc>
      </w:tr>
    </w:tbl>
    <w:p w14:paraId="2B547AAC" w14:textId="77777777" w:rsidR="00200D48" w:rsidRPr="0065656B" w:rsidRDefault="00200D48" w:rsidP="00200D48">
      <w:pPr>
        <w:spacing w:after="0" w:line="240" w:lineRule="auto"/>
        <w:jc w:val="both"/>
        <w:rPr>
          <w:rFonts w:ascii="Verdana" w:eastAsia="Calibri" w:hAnsi="Verdana" w:cs="Arial"/>
          <w:lang w:eastAsia="es-ES_tradnl"/>
        </w:rPr>
      </w:pPr>
    </w:p>
    <w:p w14:paraId="62F2DA92" w14:textId="77777777" w:rsidR="00200D48" w:rsidRPr="0065656B" w:rsidRDefault="00200D48" w:rsidP="00200D48">
      <w:pPr>
        <w:spacing w:after="0" w:line="240" w:lineRule="auto"/>
        <w:jc w:val="both"/>
        <w:rPr>
          <w:rFonts w:ascii="Verdana" w:eastAsia="Calibri" w:hAnsi="Verdana" w:cs="Arial"/>
          <w:lang w:eastAsia="es-ES_tradnl"/>
        </w:rPr>
      </w:pPr>
    </w:p>
    <w:p w14:paraId="19B7F4D3" w14:textId="6849712D" w:rsidR="00200D48" w:rsidRPr="0065656B" w:rsidRDefault="00200D48" w:rsidP="00200D48">
      <w:pPr>
        <w:spacing w:after="0" w:line="276" w:lineRule="auto"/>
        <w:jc w:val="both"/>
        <w:rPr>
          <w:rFonts w:ascii="Verdana" w:eastAsia="Calibri" w:hAnsi="Verdana" w:cs="Arial"/>
          <w:lang w:eastAsia="es-ES"/>
        </w:rPr>
      </w:pPr>
      <w:r w:rsidRPr="0065656B">
        <w:rPr>
          <w:rFonts w:ascii="Verdana" w:eastAsia="Calibri" w:hAnsi="Verdana" w:cs="Arial"/>
          <w:lang w:eastAsia="es-ES"/>
        </w:rPr>
        <w:t>Estimad</w:t>
      </w:r>
      <w:r w:rsidR="00FB5481" w:rsidRPr="0065656B">
        <w:rPr>
          <w:rFonts w:ascii="Verdana" w:eastAsia="Calibri" w:hAnsi="Verdana" w:cs="Arial"/>
          <w:lang w:eastAsia="es-ES"/>
        </w:rPr>
        <w:t>o</w:t>
      </w:r>
      <w:r w:rsidRPr="0065656B">
        <w:rPr>
          <w:rFonts w:ascii="Verdana" w:eastAsia="Calibri" w:hAnsi="Verdana" w:cs="Arial"/>
          <w:lang w:eastAsia="es-ES"/>
        </w:rPr>
        <w:t xml:space="preserve"> señor</w:t>
      </w:r>
      <w:r w:rsidR="0065656B" w:rsidRPr="0065656B">
        <w:rPr>
          <w:rFonts w:ascii="Verdana" w:eastAsia="Calibri" w:hAnsi="Verdana" w:cs="Arial"/>
          <w:lang w:eastAsia="es-ES"/>
        </w:rPr>
        <w:t xml:space="preserve"> (a)</w:t>
      </w:r>
      <w:r w:rsidRPr="0065656B">
        <w:rPr>
          <w:rFonts w:ascii="Verdana" w:eastAsia="Calibri" w:hAnsi="Verdana" w:cs="Arial"/>
          <w:lang w:eastAsia="es-ES"/>
        </w:rPr>
        <w:t xml:space="preserve">: </w:t>
      </w:r>
    </w:p>
    <w:p w14:paraId="4137F7B4" w14:textId="77777777" w:rsidR="00200D48" w:rsidRPr="0065656B" w:rsidRDefault="00200D48" w:rsidP="00200D48">
      <w:pPr>
        <w:tabs>
          <w:tab w:val="left" w:pos="3768"/>
        </w:tabs>
        <w:spacing w:after="0" w:line="276" w:lineRule="auto"/>
        <w:jc w:val="both"/>
        <w:rPr>
          <w:rFonts w:ascii="Verdana" w:eastAsia="Calibri" w:hAnsi="Verdana" w:cs="Arial"/>
          <w:lang w:eastAsia="es-ES"/>
        </w:rPr>
      </w:pPr>
    </w:p>
    <w:p w14:paraId="1B267EF2" w14:textId="209106E4" w:rsidR="00200D48" w:rsidRPr="0065656B" w:rsidRDefault="00200D48" w:rsidP="00200D48">
      <w:pPr>
        <w:spacing w:after="0" w:line="276" w:lineRule="auto"/>
        <w:jc w:val="both"/>
        <w:rPr>
          <w:rFonts w:ascii="Verdana" w:eastAsia="Calibri" w:hAnsi="Verdana" w:cs="Arial"/>
          <w:lang w:eastAsia="es-ES"/>
        </w:rPr>
      </w:pPr>
      <w:r w:rsidRPr="0065656B">
        <w:rPr>
          <w:rFonts w:ascii="Verdana" w:eastAsia="Calibri" w:hAnsi="Verdana" w:cs="Arial"/>
          <w:lang w:eastAsia="es-ES"/>
        </w:rPr>
        <w:t>En ejercicio de la competencia otorgada por los artículos 3, numeral 5º, y 11, numeral 8º, del Decreto Ley 4170 de 2011,</w:t>
      </w:r>
      <w:r w:rsidRPr="0065656B">
        <w:rPr>
          <w:rFonts w:ascii="Verdana" w:eastAsia="Arial MT" w:hAnsi="Verdana" w:cs="Arial MT"/>
          <w:lang w:eastAsia="es-ES"/>
        </w:rPr>
        <w:t xml:space="preserve"> </w:t>
      </w:r>
      <w:r w:rsidRPr="0065656B">
        <w:rPr>
          <w:rFonts w:ascii="Verdana" w:hAnsi="Verdana" w:cs="Arial"/>
        </w:rPr>
        <w:t xml:space="preserve">así como lo establecido en el artículo 4 de la Resolución 1707 de 2018 expedida por esta Entidad, </w:t>
      </w:r>
      <w:r w:rsidRPr="0065656B">
        <w:rPr>
          <w:rFonts w:ascii="Verdana" w:eastAsia="Calibri" w:hAnsi="Verdana" w:cs="Arial"/>
          <w:lang w:eastAsia="es-ES"/>
        </w:rPr>
        <w:t xml:space="preserve">la Agencia Nacional de Contratación Pública – Colombia Compra Eficiente– responde su solicitud de consulta de fecha del </w:t>
      </w:r>
      <w:r w:rsidR="00445D4C" w:rsidRPr="0065656B">
        <w:rPr>
          <w:rFonts w:ascii="Verdana" w:eastAsia="Calibri" w:hAnsi="Verdana" w:cs="Arial"/>
          <w:lang w:eastAsia="es-ES"/>
        </w:rPr>
        <w:t>25</w:t>
      </w:r>
      <w:r w:rsidRPr="0065656B">
        <w:rPr>
          <w:rFonts w:ascii="Verdana" w:eastAsia="Calibri" w:hAnsi="Verdana" w:cs="Arial"/>
          <w:lang w:eastAsia="es-ES"/>
        </w:rPr>
        <w:t xml:space="preserve"> de septiembre de 2025, en la cual manifiesta lo siguiente: </w:t>
      </w:r>
    </w:p>
    <w:p w14:paraId="2EE0D97D" w14:textId="77777777" w:rsidR="00200D48" w:rsidRPr="0065656B" w:rsidRDefault="00200D48" w:rsidP="00200D48">
      <w:pPr>
        <w:spacing w:after="0" w:line="276" w:lineRule="auto"/>
        <w:jc w:val="both"/>
        <w:rPr>
          <w:rFonts w:ascii="Verdana" w:eastAsia="Calibri" w:hAnsi="Verdana" w:cs="Arial"/>
          <w:lang w:eastAsia="es-ES"/>
        </w:rPr>
      </w:pPr>
    </w:p>
    <w:p w14:paraId="6817FB1E" w14:textId="6683AAD8" w:rsidR="00FF23C7" w:rsidRPr="0065656B" w:rsidRDefault="00200D48" w:rsidP="00445D4C">
      <w:pPr>
        <w:spacing w:after="0" w:line="240" w:lineRule="auto"/>
        <w:ind w:left="709" w:right="709"/>
        <w:jc w:val="both"/>
        <w:rPr>
          <w:rFonts w:ascii="Verdana" w:eastAsia="Calibri" w:hAnsi="Verdana" w:cs="Arial"/>
          <w:sz w:val="20"/>
          <w:szCs w:val="20"/>
          <w:lang w:eastAsia="es-ES"/>
        </w:rPr>
      </w:pPr>
      <w:r w:rsidRPr="0065656B">
        <w:rPr>
          <w:rFonts w:ascii="Verdana" w:eastAsia="Calibri" w:hAnsi="Verdana" w:cs="Arial"/>
          <w:sz w:val="20"/>
          <w:szCs w:val="20"/>
          <w:lang w:eastAsia="es-ES"/>
        </w:rPr>
        <w:t>“</w:t>
      </w:r>
      <w:r w:rsidR="00FF23C7" w:rsidRPr="0065656B">
        <w:rPr>
          <w:rFonts w:ascii="Verdana" w:eastAsia="Calibri" w:hAnsi="Verdana" w:cs="Arial"/>
          <w:sz w:val="20"/>
          <w:szCs w:val="20"/>
          <w:lang w:eastAsia="es-ES"/>
        </w:rPr>
        <w:t>En una Subasta inversa, en el caso que exista un único proponente habilitado, pese</w:t>
      </w:r>
      <w:r w:rsidR="00445D4C" w:rsidRPr="0065656B">
        <w:rPr>
          <w:rFonts w:ascii="Verdana" w:eastAsia="Calibri" w:hAnsi="Verdana" w:cs="Arial"/>
          <w:sz w:val="20"/>
          <w:szCs w:val="20"/>
          <w:lang w:eastAsia="es-ES"/>
        </w:rPr>
        <w:t xml:space="preserve"> </w:t>
      </w:r>
      <w:r w:rsidR="00FF23C7" w:rsidRPr="0065656B">
        <w:rPr>
          <w:rFonts w:ascii="Verdana" w:eastAsia="Calibri" w:hAnsi="Verdana" w:cs="Arial"/>
          <w:sz w:val="20"/>
          <w:szCs w:val="20"/>
          <w:lang w:eastAsia="es-ES"/>
        </w:rPr>
        <w:t>a que no hay lugar a realizar un evento de subasta, la Entidad puede exigirle un</w:t>
      </w:r>
      <w:r w:rsidR="00445D4C" w:rsidRPr="0065656B">
        <w:rPr>
          <w:rFonts w:ascii="Verdana" w:eastAsia="Calibri" w:hAnsi="Verdana" w:cs="Arial"/>
          <w:sz w:val="20"/>
          <w:szCs w:val="20"/>
          <w:lang w:eastAsia="es-ES"/>
        </w:rPr>
        <w:t xml:space="preserve"> </w:t>
      </w:r>
      <w:r w:rsidR="00FF23C7" w:rsidRPr="0065656B">
        <w:rPr>
          <w:rFonts w:ascii="Verdana" w:eastAsia="Calibri" w:hAnsi="Verdana" w:cs="Arial"/>
          <w:sz w:val="20"/>
          <w:szCs w:val="20"/>
          <w:lang w:eastAsia="es-ES"/>
        </w:rPr>
        <w:t>descuento mínimo sobre el valor inicial de su oferta al proponente habilitado, con el</w:t>
      </w:r>
      <w:r w:rsidR="00445D4C" w:rsidRPr="0065656B">
        <w:rPr>
          <w:rFonts w:ascii="Verdana" w:eastAsia="Calibri" w:hAnsi="Verdana" w:cs="Arial"/>
          <w:sz w:val="20"/>
          <w:szCs w:val="20"/>
          <w:lang w:eastAsia="es-ES"/>
        </w:rPr>
        <w:t xml:space="preserve"> </w:t>
      </w:r>
      <w:r w:rsidR="00FF23C7" w:rsidRPr="0065656B">
        <w:rPr>
          <w:rFonts w:ascii="Verdana" w:eastAsia="Calibri" w:hAnsi="Verdana" w:cs="Arial"/>
          <w:sz w:val="20"/>
          <w:szCs w:val="20"/>
          <w:lang w:eastAsia="es-ES"/>
        </w:rPr>
        <w:t>fin de obtener un descuento para la Entidad o deberá adjudicarle el proceso por el</w:t>
      </w:r>
      <w:r w:rsidR="00445D4C" w:rsidRPr="0065656B">
        <w:rPr>
          <w:rFonts w:ascii="Verdana" w:eastAsia="Calibri" w:hAnsi="Verdana" w:cs="Arial"/>
          <w:sz w:val="20"/>
          <w:szCs w:val="20"/>
          <w:lang w:eastAsia="es-ES"/>
        </w:rPr>
        <w:t xml:space="preserve"> </w:t>
      </w:r>
      <w:r w:rsidR="00FF23C7" w:rsidRPr="0065656B">
        <w:rPr>
          <w:rFonts w:ascii="Verdana" w:eastAsia="Calibri" w:hAnsi="Verdana" w:cs="Arial"/>
          <w:sz w:val="20"/>
          <w:szCs w:val="20"/>
          <w:lang w:eastAsia="es-ES"/>
        </w:rPr>
        <w:t>valor de su oferta inicial, si el valor de la oferta es igual o inferior a la disponibilidad</w:t>
      </w:r>
      <w:r w:rsidR="00445D4C" w:rsidRPr="0065656B">
        <w:rPr>
          <w:rFonts w:ascii="Verdana" w:eastAsia="Calibri" w:hAnsi="Verdana" w:cs="Arial"/>
          <w:sz w:val="20"/>
          <w:szCs w:val="20"/>
          <w:lang w:eastAsia="es-ES"/>
        </w:rPr>
        <w:t xml:space="preserve"> </w:t>
      </w:r>
      <w:r w:rsidR="00FF23C7" w:rsidRPr="0065656B">
        <w:rPr>
          <w:rFonts w:ascii="Verdana" w:eastAsia="Calibri" w:hAnsi="Verdana" w:cs="Arial"/>
          <w:sz w:val="20"/>
          <w:szCs w:val="20"/>
          <w:lang w:eastAsia="es-ES"/>
        </w:rPr>
        <w:t>presupuestal para el contrato, de conformidad con lo señalado en el numeral 5° del</w:t>
      </w:r>
    </w:p>
    <w:p w14:paraId="03046682" w14:textId="07119056" w:rsidR="00200D48" w:rsidRPr="0065656B" w:rsidRDefault="00FF23C7" w:rsidP="00FF23C7">
      <w:pPr>
        <w:spacing w:after="0" w:line="240" w:lineRule="auto"/>
        <w:ind w:left="709" w:right="709"/>
        <w:jc w:val="both"/>
        <w:rPr>
          <w:rFonts w:ascii="Verdana" w:eastAsia="Calibri" w:hAnsi="Verdana" w:cs="Arial"/>
          <w:sz w:val="20"/>
          <w:szCs w:val="20"/>
          <w:lang w:eastAsia="es-ES"/>
        </w:rPr>
      </w:pPr>
      <w:r w:rsidRPr="0065656B">
        <w:rPr>
          <w:rFonts w:ascii="Verdana" w:eastAsia="Calibri" w:hAnsi="Verdana" w:cs="Arial"/>
          <w:sz w:val="20"/>
          <w:szCs w:val="20"/>
          <w:lang w:eastAsia="es-ES"/>
        </w:rPr>
        <w:t>Artículo 2.2.1.2.1.2.2 del Decreto 1082 de 2015</w:t>
      </w:r>
      <w:r w:rsidR="00200D48" w:rsidRPr="0065656B">
        <w:rPr>
          <w:rFonts w:ascii="Verdana" w:eastAsia="Calibri" w:hAnsi="Verdana" w:cs="Arial"/>
          <w:sz w:val="20"/>
          <w:szCs w:val="20"/>
          <w:lang w:eastAsia="es-ES"/>
        </w:rPr>
        <w:t>”</w:t>
      </w:r>
      <w:r w:rsidR="00445D4C" w:rsidRPr="0065656B">
        <w:rPr>
          <w:rFonts w:ascii="Verdana" w:eastAsia="Calibri" w:hAnsi="Verdana" w:cs="Arial"/>
          <w:sz w:val="20"/>
          <w:szCs w:val="20"/>
          <w:lang w:eastAsia="es-ES"/>
        </w:rPr>
        <w:t xml:space="preserve"> (sic)</w:t>
      </w:r>
    </w:p>
    <w:p w14:paraId="4B7EEDFB" w14:textId="77777777" w:rsidR="00200D48" w:rsidRPr="0065656B" w:rsidRDefault="00200D48" w:rsidP="00200D48">
      <w:pPr>
        <w:spacing w:after="0" w:line="240" w:lineRule="auto"/>
        <w:ind w:left="709" w:right="709"/>
        <w:jc w:val="both"/>
        <w:rPr>
          <w:rFonts w:ascii="Verdana" w:eastAsia="Calibri" w:hAnsi="Verdana" w:cs="Arial"/>
          <w:sz w:val="20"/>
          <w:szCs w:val="20"/>
          <w:lang w:eastAsia="es-ES"/>
        </w:rPr>
      </w:pPr>
    </w:p>
    <w:p w14:paraId="5ADD3163" w14:textId="77777777" w:rsidR="00200D48" w:rsidRPr="0065656B" w:rsidRDefault="00200D48" w:rsidP="00200D48">
      <w:pPr>
        <w:spacing w:after="120" w:line="276" w:lineRule="auto"/>
        <w:ind w:firstLine="709"/>
        <w:jc w:val="both"/>
        <w:rPr>
          <w:rFonts w:ascii="Verdana" w:eastAsia="Calibri" w:hAnsi="Verdana" w:cs="Arial"/>
          <w:szCs w:val="24"/>
          <w:lang w:eastAsia="es-ES_tradnl"/>
        </w:rPr>
      </w:pPr>
      <w:r w:rsidRPr="0065656B">
        <w:rPr>
          <w:rFonts w:ascii="Verdana" w:eastAsia="Calibri" w:hAnsi="Verdana" w:cs="Arial"/>
          <w:lang w:eastAsia="es-ES"/>
        </w:rPr>
        <w:t xml:space="preserve">De manera preliminar, resulta necesario acotar que esta entidad solo tiene competencia para responder consultas sobre la aplicación de normas de carácter </w:t>
      </w:r>
      <w:r w:rsidRPr="0065656B">
        <w:rPr>
          <w:rFonts w:ascii="Verdana" w:eastAsia="Calibri" w:hAnsi="Verdana" w:cs="Arial"/>
          <w:lang w:eastAsia="es-ES"/>
        </w:rPr>
        <w:lastRenderedPageBreak/>
        <w:t xml:space="preserve">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5656B">
        <w:rPr>
          <w:rFonts w:ascii="Verdana" w:eastAsia="Calibri" w:hAnsi="Verdana" w:cs="Arial"/>
          <w:szCs w:val="24"/>
          <w:lang w:eastAsia="es-ES_tradnl"/>
        </w:rPr>
        <w:tab/>
      </w:r>
    </w:p>
    <w:p w14:paraId="72BC8A97" w14:textId="77777777" w:rsidR="00200D48" w:rsidRPr="0065656B" w:rsidRDefault="00200D48" w:rsidP="00200D48">
      <w:pPr>
        <w:spacing w:after="0" w:line="276" w:lineRule="auto"/>
        <w:ind w:firstLine="709"/>
        <w:jc w:val="both"/>
        <w:rPr>
          <w:rFonts w:ascii="Verdana" w:eastAsia="Calibri" w:hAnsi="Verdana" w:cs="Arial"/>
          <w:lang w:eastAsia="es-ES"/>
        </w:rPr>
      </w:pPr>
      <w:r w:rsidRPr="0065656B">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61DBBB7" w14:textId="77777777" w:rsidR="00200D48" w:rsidRPr="0065656B" w:rsidRDefault="00200D48" w:rsidP="00200D48">
      <w:pPr>
        <w:spacing w:after="0" w:line="276" w:lineRule="auto"/>
        <w:ind w:firstLine="709"/>
        <w:jc w:val="both"/>
        <w:rPr>
          <w:rFonts w:ascii="Verdana" w:eastAsia="Calibri" w:hAnsi="Verdana" w:cs="Arial"/>
          <w:lang w:eastAsia="es-ES"/>
        </w:rPr>
      </w:pPr>
    </w:p>
    <w:p w14:paraId="7DB734DE" w14:textId="77777777" w:rsidR="00200D48" w:rsidRPr="0065656B"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65656B">
        <w:rPr>
          <w:rFonts w:ascii="Verdana" w:eastAsia="Century Gothic" w:hAnsi="Verdana" w:cs="Century Gothic"/>
          <w:b/>
          <w:bCs/>
          <w:lang w:val="es-CO"/>
        </w:rPr>
        <w:t>Problema planteado:</w:t>
      </w:r>
    </w:p>
    <w:p w14:paraId="78741D3C" w14:textId="77777777" w:rsidR="00200D48" w:rsidRPr="0065656B" w:rsidRDefault="00200D48" w:rsidP="00200D48">
      <w:pPr>
        <w:tabs>
          <w:tab w:val="left" w:pos="426"/>
        </w:tabs>
        <w:spacing w:after="0" w:line="276" w:lineRule="auto"/>
        <w:jc w:val="both"/>
        <w:rPr>
          <w:rFonts w:ascii="Verdana" w:eastAsia="Century Gothic" w:hAnsi="Verdana" w:cs="Century Gothic"/>
        </w:rPr>
      </w:pPr>
    </w:p>
    <w:p w14:paraId="199278EA" w14:textId="1EA1C5C9" w:rsidR="00200D48" w:rsidRPr="0065656B" w:rsidRDefault="00200D48" w:rsidP="00200D48">
      <w:pPr>
        <w:spacing w:after="0" w:line="276" w:lineRule="auto"/>
        <w:jc w:val="both"/>
        <w:rPr>
          <w:rFonts w:ascii="Verdana" w:eastAsia="Calibri" w:hAnsi="Verdana" w:cs="Arial"/>
          <w:bCs/>
          <w:color w:val="000000" w:themeColor="text1"/>
        </w:rPr>
      </w:pPr>
      <w:r w:rsidRPr="0065656B">
        <w:rPr>
          <w:rFonts w:ascii="Verdana" w:eastAsia="Calibri" w:hAnsi="Verdana" w:cs="Arial"/>
          <w:bCs/>
          <w:color w:val="000000" w:themeColor="text1"/>
        </w:rPr>
        <w:t>De acuerdo con el contenido de su solicitud, esta Agencia resolverá el siguiente problema jurídico:</w:t>
      </w:r>
      <w:r w:rsidR="004F28FC" w:rsidRPr="0065656B">
        <w:rPr>
          <w:rFonts w:ascii="Verdana" w:eastAsia="Calibri" w:hAnsi="Verdana" w:cs="Arial"/>
          <w:bCs/>
          <w:color w:val="000000" w:themeColor="text1"/>
        </w:rPr>
        <w:t xml:space="preserve"> </w:t>
      </w:r>
      <w:r w:rsidR="00445D4C" w:rsidRPr="0065656B">
        <w:rPr>
          <w:rFonts w:ascii="Verdana" w:eastAsia="Calibri" w:hAnsi="Verdana" w:cs="Arial"/>
          <w:bCs/>
          <w:color w:val="000000" w:themeColor="text1"/>
        </w:rPr>
        <w:t>¿Puede</w:t>
      </w:r>
      <w:r w:rsidR="00FF23C7" w:rsidRPr="0065656B">
        <w:rPr>
          <w:rFonts w:ascii="Verdana" w:eastAsia="Calibri" w:hAnsi="Verdana" w:cs="Arial"/>
          <w:bCs/>
          <w:color w:val="000000" w:themeColor="text1"/>
        </w:rPr>
        <w:t xml:space="preserve"> una Entidad Estatal, en el marco de una Subasta Inversa regulada, exigir un descuento mínimo al único proponente habilitado, aun cuando no se realice el evento de subasta, o está obligada a adjudicarle el contrato por el valor inicial de su oferta si este se encuentra dentro de la disponibilidad presupuestal</w:t>
      </w:r>
      <w:r w:rsidR="004F28FC" w:rsidRPr="0065656B">
        <w:rPr>
          <w:rFonts w:ascii="Verdana" w:eastAsia="Calibri" w:hAnsi="Verdana" w:cs="Arial"/>
          <w:bCs/>
          <w:color w:val="000000" w:themeColor="text1"/>
        </w:rPr>
        <w:t>?</w:t>
      </w:r>
    </w:p>
    <w:p w14:paraId="23357510" w14:textId="77777777" w:rsidR="00200D48" w:rsidRPr="0065656B" w:rsidRDefault="00200D48" w:rsidP="00200D48">
      <w:pPr>
        <w:spacing w:after="0" w:line="276" w:lineRule="auto"/>
        <w:jc w:val="both"/>
        <w:rPr>
          <w:rFonts w:ascii="Verdana" w:eastAsia="Century Gothic" w:hAnsi="Verdana" w:cs="Century Gothic"/>
        </w:rPr>
      </w:pPr>
    </w:p>
    <w:p w14:paraId="54D8A84D" w14:textId="77777777" w:rsidR="00200D48" w:rsidRPr="0065656B"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65656B">
        <w:rPr>
          <w:rFonts w:ascii="Verdana" w:eastAsia="Century Gothic" w:hAnsi="Verdana" w:cs="Century Gothic"/>
          <w:b/>
          <w:bCs/>
          <w:lang w:val="es-CO"/>
        </w:rPr>
        <w:t>Respuesta:</w:t>
      </w:r>
    </w:p>
    <w:p w14:paraId="16BD6260" w14:textId="77777777" w:rsidR="00200D48" w:rsidRPr="0065656B" w:rsidRDefault="00200D48" w:rsidP="00200D4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0D48" w:rsidRPr="0065656B" w14:paraId="7406952B" w14:textId="77777777" w:rsidTr="008326D5">
        <w:tc>
          <w:tcPr>
            <w:tcW w:w="8828" w:type="dxa"/>
          </w:tcPr>
          <w:p w14:paraId="51FFC854" w14:textId="52D8ED48" w:rsidR="004F28FC" w:rsidRPr="0065656B" w:rsidRDefault="004F28FC" w:rsidP="004F28FC">
            <w:pPr>
              <w:spacing w:before="120" w:after="120" w:line="276" w:lineRule="auto"/>
              <w:ind w:firstLine="708"/>
              <w:jc w:val="both"/>
              <w:rPr>
                <w:rFonts w:ascii="Verdana" w:eastAsia="Calibri" w:hAnsi="Verdana" w:cs="Arial"/>
                <w:bCs/>
                <w:color w:val="000000" w:themeColor="text1"/>
              </w:rPr>
            </w:pPr>
            <w:r w:rsidRPr="0065656B">
              <w:rPr>
                <w:rFonts w:ascii="Verdana" w:eastAsia="Calibri" w:hAnsi="Verdana" w:cs="Arial"/>
                <w:bCs/>
                <w:color w:val="000000" w:themeColor="text1"/>
              </w:rPr>
              <w:t xml:space="preserve">En procesos de subasta inversa, la verificación de un </w:t>
            </w:r>
            <w:r w:rsidR="00FA309D" w:rsidRPr="0065656B">
              <w:rPr>
                <w:rFonts w:ascii="Verdana" w:eastAsia="Calibri" w:hAnsi="Verdana" w:cs="Arial"/>
                <w:bCs/>
                <w:color w:val="000000" w:themeColor="text1"/>
              </w:rPr>
              <w:t>precio artificialmente</w:t>
            </w:r>
            <w:r w:rsidRPr="0065656B">
              <w:rPr>
                <w:rFonts w:ascii="Verdana" w:eastAsia="Calibri" w:hAnsi="Verdana" w:cs="Arial"/>
                <w:bCs/>
                <w:color w:val="000000" w:themeColor="text1"/>
              </w:rPr>
              <w:t xml:space="preserve"> bajo se hace al finalizar el evento, con el precio final ofertado, y la entidad debe (i) requerir justificación al oferente, (</w:t>
            </w:r>
            <w:proofErr w:type="spellStart"/>
            <w:r w:rsidRPr="0065656B">
              <w:rPr>
                <w:rFonts w:ascii="Verdana" w:eastAsia="Calibri" w:hAnsi="Verdana" w:cs="Arial"/>
                <w:bCs/>
                <w:color w:val="000000" w:themeColor="text1"/>
              </w:rPr>
              <w:t>ii</w:t>
            </w:r>
            <w:proofErr w:type="spellEnd"/>
            <w:r w:rsidRPr="0065656B">
              <w:rPr>
                <w:rFonts w:ascii="Verdana" w:eastAsia="Calibri" w:hAnsi="Verdana" w:cs="Arial"/>
                <w:bCs/>
                <w:color w:val="000000" w:themeColor="text1"/>
              </w:rPr>
              <w:t>) analizarlas y (</w:t>
            </w:r>
            <w:proofErr w:type="spellStart"/>
            <w:r w:rsidRPr="0065656B">
              <w:rPr>
                <w:rFonts w:ascii="Verdana" w:eastAsia="Calibri" w:hAnsi="Verdana" w:cs="Arial"/>
                <w:bCs/>
                <w:color w:val="000000" w:themeColor="text1"/>
              </w:rPr>
              <w:t>iii</w:t>
            </w:r>
            <w:proofErr w:type="spellEnd"/>
            <w:r w:rsidRPr="0065656B">
              <w:rPr>
                <w:rFonts w:ascii="Verdana" w:eastAsia="Calibri" w:hAnsi="Verdana" w:cs="Arial"/>
                <w:bCs/>
                <w:color w:val="000000" w:themeColor="text1"/>
              </w:rPr>
              <w:t>) decidir motivadamente si continúa con la evaluación o rechaza la oferta por insuficiencia, todo conforme al art. 2.2.1.1.2.2.4 del Decreto 1082 de 2015.</w:t>
            </w:r>
          </w:p>
          <w:p w14:paraId="5CB52C82" w14:textId="4B1EE840" w:rsidR="004F28FC" w:rsidRDefault="004F28FC" w:rsidP="004F28FC">
            <w:pPr>
              <w:spacing w:before="120" w:after="120" w:line="276" w:lineRule="auto"/>
              <w:ind w:firstLine="708"/>
              <w:jc w:val="both"/>
              <w:rPr>
                <w:rFonts w:ascii="Verdana" w:eastAsia="Calibri" w:hAnsi="Verdana" w:cs="Arial"/>
                <w:bCs/>
                <w:color w:val="000000" w:themeColor="text1"/>
              </w:rPr>
            </w:pPr>
            <w:r w:rsidRPr="0065656B">
              <w:rPr>
                <w:rFonts w:ascii="Verdana" w:eastAsia="Calibri" w:hAnsi="Verdana" w:cs="Arial"/>
                <w:bCs/>
                <w:color w:val="000000" w:themeColor="text1"/>
              </w:rPr>
              <w:t xml:space="preserve">De acuerdo con la Guía para el Manejo de Ofertas Artificialmente Bajas emitida por la Agencia Nacional de Contratación Pública – Colombia Compra </w:t>
            </w:r>
            <w:r w:rsidRPr="0065656B">
              <w:rPr>
                <w:rFonts w:ascii="Verdana" w:eastAsia="Calibri" w:hAnsi="Verdana" w:cs="Arial"/>
                <w:bCs/>
                <w:color w:val="000000" w:themeColor="text1"/>
              </w:rPr>
              <w:lastRenderedPageBreak/>
              <w:t>Eficiente (2024)</w:t>
            </w:r>
            <w:r w:rsidR="00BD7545" w:rsidRPr="0065656B">
              <w:rPr>
                <w:rStyle w:val="Refdenotaalpie"/>
                <w:rFonts w:ascii="Verdana" w:eastAsia="Calibri" w:hAnsi="Verdana" w:cs="Arial"/>
                <w:bCs/>
                <w:color w:val="000000" w:themeColor="text1"/>
              </w:rPr>
              <w:footnoteReference w:id="1"/>
            </w:r>
            <w:r w:rsidRPr="0065656B">
              <w:rPr>
                <w:rFonts w:ascii="Verdana" w:eastAsia="Calibri" w:hAnsi="Verdana" w:cs="Arial"/>
                <w:bCs/>
                <w:color w:val="000000" w:themeColor="text1"/>
              </w:rPr>
              <w:t>., una oferta puede ser calificada como presuntamente artificialmente baja cuando, con base en la metodología de comparación definida por la entidad en los pliegos, su precio resulta significativamente inferior al del mercado o no guarda relación con el objeto contractual proyectado. En estos casos, el artículo 2.2.1.1.2.2.4 del Decreto 1082 de 2015 obliga a la entidad a requerir al oferente para que justifique el valor presentado. La Guía es clara en señalar que, “</w:t>
            </w:r>
            <w:r w:rsidRPr="0065656B">
              <w:rPr>
                <w:rFonts w:ascii="Verdana" w:eastAsia="Calibri" w:hAnsi="Verdana" w:cs="Arial"/>
                <w:bCs/>
                <w:i/>
                <w:iCs/>
                <w:color w:val="000000" w:themeColor="text1"/>
              </w:rPr>
              <w:t>si el oferente no responde o su explicación resulta insuficiente, la entidad debe rechazar la oferta”</w:t>
            </w:r>
            <w:r w:rsidRPr="0065656B">
              <w:rPr>
                <w:rFonts w:ascii="Verdana" w:eastAsia="Calibri" w:hAnsi="Verdana" w:cs="Arial"/>
                <w:bCs/>
                <w:color w:val="000000" w:themeColor="text1"/>
              </w:rPr>
              <w:t xml:space="preserve">, pues no se acredita su viabilidad técnica, económica o </w:t>
            </w:r>
            <w:r w:rsidR="005E37DC" w:rsidRPr="0065656B">
              <w:rPr>
                <w:rFonts w:ascii="Verdana" w:eastAsia="Calibri" w:hAnsi="Verdana" w:cs="Arial"/>
                <w:bCs/>
                <w:color w:val="000000" w:themeColor="text1"/>
              </w:rPr>
              <w:t>jurídica.</w:t>
            </w:r>
            <w:r w:rsidRPr="0065656B">
              <w:rPr>
                <w:rFonts w:ascii="Verdana" w:eastAsia="Calibri" w:hAnsi="Verdana" w:cs="Arial"/>
                <w:bCs/>
                <w:color w:val="000000" w:themeColor="text1"/>
              </w:rPr>
              <w:t xml:space="preserve"> Asimismo, cuando el comportamiento del oferente evidencia un posible patrón destinado a distorsionar la competencia, como presentar lances artificialmente bajos para afectar el resultado de una subasta inversa </w:t>
            </w:r>
            <w:r w:rsidR="005E37DC" w:rsidRPr="0065656B">
              <w:rPr>
                <w:rFonts w:ascii="Verdana" w:eastAsia="Calibri" w:hAnsi="Verdana" w:cs="Arial"/>
                <w:bCs/>
                <w:color w:val="000000" w:themeColor="text1"/>
              </w:rPr>
              <w:t>electrónica, la</w:t>
            </w:r>
            <w:r w:rsidRPr="0065656B">
              <w:rPr>
                <w:rFonts w:ascii="Verdana" w:eastAsia="Calibri" w:hAnsi="Verdana" w:cs="Arial"/>
                <w:bCs/>
                <w:color w:val="000000" w:themeColor="text1"/>
              </w:rPr>
              <w:t xml:space="preserve"> Guía dispone que la entidad debe </w:t>
            </w:r>
            <w:r w:rsidRPr="0065656B">
              <w:rPr>
                <w:rFonts w:ascii="Verdana" w:eastAsia="Calibri" w:hAnsi="Verdana" w:cs="Arial"/>
                <w:color w:val="000000" w:themeColor="text1"/>
              </w:rPr>
              <w:t>reportar el caso a la Superintendencia de Industria y Comercio (SIC)</w:t>
            </w:r>
            <w:r w:rsidRPr="0065656B">
              <w:rPr>
                <w:rFonts w:ascii="Verdana" w:eastAsia="Calibri" w:hAnsi="Verdana" w:cs="Arial"/>
                <w:bCs/>
                <w:color w:val="000000" w:themeColor="text1"/>
              </w:rPr>
              <w:t>, por un posible escenario de colusión o práctica restrictiva de la competencia, dado que esta autoridad es la competente para investigar y sancionar dichas conductas.</w:t>
            </w:r>
          </w:p>
          <w:p w14:paraId="1230FAA8" w14:textId="3750E42F" w:rsidR="00D359E0" w:rsidRPr="0065656B" w:rsidRDefault="00D359E0" w:rsidP="004F28FC">
            <w:pPr>
              <w:spacing w:before="120" w:after="120" w:line="276" w:lineRule="auto"/>
              <w:ind w:firstLine="708"/>
              <w:jc w:val="both"/>
              <w:rPr>
                <w:rFonts w:ascii="Verdana" w:eastAsia="Calibri" w:hAnsi="Verdana" w:cs="Arial"/>
                <w:bCs/>
                <w:color w:val="000000" w:themeColor="text1"/>
              </w:rPr>
            </w:pPr>
            <w:r w:rsidRPr="001646B2">
              <w:rPr>
                <w:rFonts w:ascii="Verdana" w:eastAsia="Calibri" w:hAnsi="Verdana" w:cs="Calibri"/>
                <w:kern w:val="2"/>
                <w14:ligatures w14:val="standardContextual"/>
              </w:rPr>
              <w:t>Adicionalmente</w:t>
            </w:r>
            <w:r w:rsidR="005A610C" w:rsidRPr="005A610C">
              <w:rPr>
                <w:rFonts w:ascii="Verdana" w:eastAsia="Calibri" w:hAnsi="Verdana" w:cs="Calibri"/>
                <w:kern w:val="2"/>
                <w14:ligatures w14:val="standardContextual"/>
              </w:rPr>
              <w:t>, las Entidades Estatales deben prever en los pliegos de condiciones la posibilidad de que los oferentes presenten descuentos en el marco de la Subasta Inversa. No obstante, conforme a la normatividad vigente (Ley 1150 de 2007 y Decreto 1082 de 2015), cuando únicamente exista un proponente habilitado y, en consecuencia, no se realice el evento de subasta, la Entidad no puede exigirle un descuento mínimo. En tal caso, si la oferta inicial cumple con los requisitos habilitantes y se encuentra dentro de la disponibilidad presupuestal, la Entidad está obligada a adjudicarle el contrato por el valor ofertado</w:t>
            </w:r>
            <w:r w:rsidR="005A610C">
              <w:rPr>
                <w:rFonts w:ascii="Verdana" w:eastAsia="Calibri" w:hAnsi="Verdana" w:cs="Arial"/>
                <w:bCs/>
                <w:color w:val="000000" w:themeColor="text1"/>
              </w:rPr>
              <w:t>.</w:t>
            </w:r>
            <w:r w:rsidR="005A610C">
              <w:rPr>
                <w:rFonts w:ascii="Verdana" w:eastAsia="Calibri" w:hAnsi="Verdana" w:cs="Calibri"/>
                <w:kern w:val="2"/>
                <w14:ligatures w14:val="standardContextual"/>
              </w:rPr>
              <w:t xml:space="preserve"> </w:t>
            </w:r>
          </w:p>
          <w:p w14:paraId="57946C2B" w14:textId="2E81B4BD" w:rsidR="00200D48" w:rsidRPr="0065656B" w:rsidRDefault="00CD02A7" w:rsidP="004F28FC">
            <w:pPr>
              <w:spacing w:line="276" w:lineRule="auto"/>
              <w:ind w:firstLine="709"/>
              <w:jc w:val="both"/>
              <w:rPr>
                <w:rFonts w:ascii="Verdana" w:eastAsia="Calibri" w:hAnsi="Verdana" w:cs="Arial"/>
              </w:rPr>
            </w:pPr>
            <w:r w:rsidRPr="0065656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65656B">
              <w:rPr>
                <w:rStyle w:val="apple-converted-space"/>
                <w:rFonts w:ascii="Verdana" w:hAnsi="Verdana"/>
                <w:color w:val="000000"/>
              </w:rPr>
              <w:t> </w:t>
            </w:r>
            <w:r w:rsidRPr="0065656B">
              <w:rPr>
                <w:rStyle w:val="s15"/>
                <w:rFonts w:ascii="Verdana" w:hAnsi="Verdana"/>
                <w:color w:val="000000"/>
              </w:rPr>
              <w:t>Por lo anterior, previo</w:t>
            </w:r>
            <w:r w:rsidRPr="0065656B">
              <w:rPr>
                <w:rStyle w:val="apple-converted-space"/>
                <w:rFonts w:ascii="Verdana" w:hAnsi="Verdana"/>
                <w:color w:val="000000"/>
              </w:rPr>
              <w:t> </w:t>
            </w:r>
            <w:r w:rsidRPr="0065656B">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entidad definirá la forma de adelantar su gestión </w:t>
            </w:r>
            <w:r w:rsidRPr="0065656B">
              <w:rPr>
                <w:rStyle w:val="s15"/>
                <w:rFonts w:ascii="Verdana" w:hAnsi="Verdana"/>
                <w:color w:val="000000"/>
              </w:rPr>
              <w:lastRenderedPageBreak/>
              <w:t>contractual, sin que sea atribución de Colombia Compra Eficiente validar sus actuaciones.</w:t>
            </w:r>
          </w:p>
        </w:tc>
      </w:tr>
    </w:tbl>
    <w:p w14:paraId="3B9593DF" w14:textId="77777777" w:rsidR="00200D48" w:rsidRPr="0065656B" w:rsidRDefault="00200D48" w:rsidP="00200D48">
      <w:pPr>
        <w:tabs>
          <w:tab w:val="left" w:pos="142"/>
          <w:tab w:val="left" w:pos="284"/>
        </w:tabs>
        <w:spacing w:after="0" w:line="276" w:lineRule="auto"/>
        <w:jc w:val="both"/>
        <w:rPr>
          <w:rFonts w:ascii="Verdana" w:eastAsia="Century Gothic" w:hAnsi="Verdana" w:cs="Century Gothic"/>
          <w:b/>
          <w:bCs/>
        </w:rPr>
      </w:pPr>
    </w:p>
    <w:p w14:paraId="0FB5569E" w14:textId="545192D8" w:rsidR="002A54D8" w:rsidRPr="0065656B" w:rsidRDefault="00200D48" w:rsidP="005E3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65656B">
        <w:rPr>
          <w:rFonts w:ascii="Verdana" w:eastAsia="Century Gothic" w:hAnsi="Verdana" w:cs="Century Gothic"/>
          <w:b/>
          <w:bCs/>
          <w:lang w:val="es-CO"/>
        </w:rPr>
        <w:t>Razones de la respuesta:</w:t>
      </w:r>
    </w:p>
    <w:p w14:paraId="0EE77D21" w14:textId="77777777" w:rsidR="005E37DC" w:rsidRPr="0065656B" w:rsidRDefault="005E37DC" w:rsidP="005E37D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7759C77" w14:textId="16258A75" w:rsidR="008F2A75" w:rsidRPr="0065656B" w:rsidRDefault="008F2A75" w:rsidP="005E37D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65656B">
        <w:rPr>
          <w:rFonts w:ascii="Verdana" w:eastAsia="Century Gothic" w:hAnsi="Verdana" w:cs="Century Gothic"/>
        </w:rPr>
        <w:t>Lo anterior se sustenta en las siguientes consideraciones</w:t>
      </w:r>
      <w:r w:rsidRPr="0065656B">
        <w:rPr>
          <w:rFonts w:ascii="Verdana" w:eastAsia="Century Gothic" w:hAnsi="Verdana" w:cs="Century Gothic"/>
          <w:b/>
          <w:bCs/>
        </w:rPr>
        <w:t>:</w:t>
      </w:r>
    </w:p>
    <w:p w14:paraId="068F86B7" w14:textId="77777777" w:rsidR="008F2A75" w:rsidRPr="0065656B" w:rsidRDefault="008F2A75" w:rsidP="005E37D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1FF0C58" w14:textId="77777777" w:rsidR="004F28FC" w:rsidRPr="0065656B" w:rsidRDefault="004F28FC" w:rsidP="004F28FC">
      <w:pPr>
        <w:widowControl w:val="0"/>
        <w:autoSpaceDE w:val="0"/>
        <w:autoSpaceDN w:val="0"/>
        <w:snapToGrid w:val="0"/>
        <w:spacing w:after="0" w:line="276" w:lineRule="auto"/>
        <w:jc w:val="both"/>
        <w:rPr>
          <w:rFonts w:ascii="Verdana" w:eastAsia="Calibri" w:hAnsi="Verdana" w:cs="Arial"/>
          <w:bCs/>
          <w:lang w:val="es-ES_tradnl"/>
        </w:rPr>
      </w:pPr>
      <w:r w:rsidRPr="0065656B">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65656B">
        <w:rPr>
          <w:rFonts w:ascii="Verdana" w:eastAsia="Arial" w:hAnsi="Verdana" w:cs="Arial"/>
          <w:vertAlign w:val="superscript"/>
          <w:lang w:val="es-ES" w:eastAsia="es-ES" w:bidi="es-ES"/>
        </w:rPr>
        <w:footnoteReference w:id="2"/>
      </w:r>
      <w:r w:rsidRPr="0065656B">
        <w:rPr>
          <w:rFonts w:ascii="Verdana" w:eastAsia="Arial" w:hAnsi="Verdana" w:cs="Arial"/>
          <w:lang w:val="es-ES" w:eastAsia="es-ES" w:bidi="es-ES"/>
        </w:rPr>
        <w:t>. Al respecto, el Consejo de Estado, Sección Tercera, sentencia 4 de junio de 2008, radicado No. 17.783, M.P. Myriam Guerrero de Escobar, define el precio artificialmente bajo como aquel que no tiene sustento o fundamento en su</w:t>
      </w:r>
      <w:r w:rsidRPr="0065656B">
        <w:rPr>
          <w:rFonts w:ascii="Verdana" w:eastAsia="Arial" w:hAnsi="Verdana" w:cs="Arial"/>
          <w:spacing w:val="-45"/>
          <w:lang w:val="es-ES" w:eastAsia="es-ES" w:bidi="es-ES"/>
        </w:rPr>
        <w:t xml:space="preserve"> </w:t>
      </w:r>
      <w:r w:rsidRPr="0065656B">
        <w:rPr>
          <w:rFonts w:ascii="Verdana" w:eastAsia="Arial" w:hAnsi="Verdana" w:cs="Arial"/>
          <w:lang w:val="es-ES" w:eastAsia="es-ES" w:bidi="es-ES"/>
        </w:rPr>
        <w:t>estructuración dentro del tráfico comercial:</w:t>
      </w:r>
    </w:p>
    <w:p w14:paraId="008946F2" w14:textId="77777777" w:rsidR="004F28FC" w:rsidRPr="0065656B" w:rsidRDefault="004F28FC" w:rsidP="004F28FC">
      <w:pPr>
        <w:widowControl w:val="0"/>
        <w:autoSpaceDE w:val="0"/>
        <w:autoSpaceDN w:val="0"/>
        <w:spacing w:after="0" w:line="276" w:lineRule="auto"/>
        <w:ind w:left="720"/>
        <w:rPr>
          <w:rFonts w:ascii="Verdana" w:eastAsia="Arial" w:hAnsi="Verdana" w:cs="Arial"/>
          <w:lang w:val="es-ES" w:eastAsia="es-ES" w:bidi="es-ES"/>
        </w:rPr>
      </w:pPr>
    </w:p>
    <w:p w14:paraId="2D735428" w14:textId="77777777" w:rsidR="004F28FC" w:rsidRPr="0065656B" w:rsidRDefault="004F28FC" w:rsidP="004F28FC">
      <w:pPr>
        <w:spacing w:after="0" w:line="240" w:lineRule="auto"/>
        <w:ind w:left="709" w:right="709"/>
        <w:jc w:val="both"/>
        <w:rPr>
          <w:rFonts w:ascii="Verdana" w:eastAsia="Aptos" w:hAnsi="Verdana" w:cs="Times New Roman"/>
          <w:kern w:val="2"/>
          <w:sz w:val="20"/>
          <w:szCs w:val="20"/>
          <w14:ligatures w14:val="standardContextual"/>
        </w:rPr>
      </w:pPr>
      <w:r w:rsidRPr="0065656B">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5656B">
        <w:rPr>
          <w:rFonts w:ascii="Verdana" w:eastAsia="Aptos" w:hAnsi="Verdana" w:cs="Times New Roman"/>
          <w:spacing w:val="-8"/>
          <w:kern w:val="2"/>
          <w:sz w:val="20"/>
          <w:szCs w:val="20"/>
          <w14:ligatures w14:val="standardContextual"/>
        </w:rPr>
        <w:t xml:space="preserve"> </w:t>
      </w:r>
      <w:r w:rsidRPr="0065656B">
        <w:rPr>
          <w:rFonts w:ascii="Verdana" w:eastAsia="Aptos" w:hAnsi="Verdana" w:cs="Times New Roman"/>
          <w:kern w:val="2"/>
          <w:sz w:val="20"/>
          <w:szCs w:val="20"/>
          <w14:ligatures w14:val="standardContextual"/>
        </w:rPr>
        <w:t>[…]”.</w:t>
      </w:r>
    </w:p>
    <w:p w14:paraId="3C705CBF" w14:textId="77777777" w:rsidR="004F28FC" w:rsidRPr="0065656B" w:rsidRDefault="004F28FC" w:rsidP="004F28FC">
      <w:pPr>
        <w:widowControl w:val="0"/>
        <w:autoSpaceDE w:val="0"/>
        <w:autoSpaceDN w:val="0"/>
        <w:spacing w:after="0" w:line="276" w:lineRule="auto"/>
        <w:ind w:left="720"/>
        <w:jc w:val="both"/>
        <w:rPr>
          <w:rFonts w:ascii="Verdana" w:eastAsia="Arial" w:hAnsi="Verdana" w:cs="Arial"/>
          <w:lang w:val="es-ES" w:eastAsia="es-ES" w:bidi="es-ES"/>
        </w:rPr>
      </w:pPr>
    </w:p>
    <w:p w14:paraId="3DA2E50A" w14:textId="77777777" w:rsidR="004F28FC" w:rsidRPr="0065656B" w:rsidRDefault="004F28FC" w:rsidP="004F28FC">
      <w:pPr>
        <w:widowControl w:val="0"/>
        <w:autoSpaceDE w:val="0"/>
        <w:autoSpaceDN w:val="0"/>
        <w:spacing w:after="0" w:line="276" w:lineRule="auto"/>
        <w:ind w:firstLine="709"/>
        <w:jc w:val="both"/>
        <w:rPr>
          <w:rFonts w:ascii="Verdana" w:eastAsia="Arial" w:hAnsi="Verdana" w:cs="Arial"/>
          <w:lang w:val="es-ES" w:eastAsia="es-ES" w:bidi="es-ES"/>
        </w:rPr>
      </w:pPr>
      <w:r w:rsidRPr="0065656B">
        <w:rPr>
          <w:rFonts w:ascii="Verdana" w:eastAsia="Arial" w:hAnsi="Verdana" w:cs="Arial"/>
          <w:lang w:val="es-ES" w:eastAsia="es-ES" w:bidi="es-ES"/>
        </w:rPr>
        <w:t>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analizarlas y recomendar si debe rechazar la oferta o continuar con el análisis de la oferta durante la evaluación de las ofertas:</w:t>
      </w:r>
    </w:p>
    <w:p w14:paraId="2D39841B" w14:textId="77777777" w:rsidR="004F28FC" w:rsidRPr="0065656B" w:rsidRDefault="004F28FC" w:rsidP="004F28FC">
      <w:pPr>
        <w:spacing w:after="0" w:line="240" w:lineRule="auto"/>
        <w:ind w:left="708" w:right="616" w:firstLine="1"/>
        <w:jc w:val="both"/>
        <w:rPr>
          <w:rFonts w:ascii="Verdana" w:hAnsi="Verdana"/>
          <w:sz w:val="21"/>
          <w:szCs w:val="21"/>
        </w:rPr>
      </w:pPr>
    </w:p>
    <w:p w14:paraId="128DC0A0" w14:textId="77777777" w:rsidR="004F28FC" w:rsidRPr="0065656B" w:rsidRDefault="004F28FC" w:rsidP="004F28FC">
      <w:pPr>
        <w:spacing w:after="0" w:line="240" w:lineRule="auto"/>
        <w:ind w:left="708" w:right="616" w:firstLine="1"/>
        <w:jc w:val="both"/>
        <w:rPr>
          <w:rFonts w:ascii="Verdana" w:hAnsi="Verdana"/>
          <w:sz w:val="20"/>
          <w:szCs w:val="20"/>
        </w:rPr>
      </w:pPr>
      <w:r w:rsidRPr="0065656B">
        <w:rPr>
          <w:rFonts w:ascii="Verdana" w:hAnsi="Verdana"/>
          <w:bCs/>
          <w:sz w:val="20"/>
          <w:szCs w:val="20"/>
        </w:rPr>
        <w:t>“Artículo 2.2.1.1.2.2.4. </w:t>
      </w:r>
      <w:r w:rsidRPr="0065656B">
        <w:rPr>
          <w:rFonts w:ascii="Verdana" w:hAnsi="Verdana"/>
          <w:bCs/>
          <w:i/>
          <w:iCs/>
          <w:sz w:val="20"/>
          <w:szCs w:val="20"/>
        </w:rPr>
        <w:t>Oferta con valor artificialmente bajo.</w:t>
      </w:r>
      <w:r w:rsidRPr="0065656B">
        <w:rPr>
          <w:rFonts w:ascii="Verdana" w:hAnsi="Verdana"/>
          <w:i/>
          <w:iCs/>
          <w:sz w:val="20"/>
          <w:szCs w:val="20"/>
        </w:rPr>
        <w:t> </w:t>
      </w:r>
      <w:r w:rsidRPr="0065656B">
        <w:rPr>
          <w:rFonts w:ascii="Verdana" w:hAnsi="Verdana"/>
          <w:sz w:val="20"/>
          <w:szCs w:val="20"/>
        </w:rPr>
        <w:t xml:space="preserve">Si de acuerdo con la información obtenida por la Entidad Estatal en su deber de análisis de que trata el artículo 2.2.1.1.1.6.1 del presente decreto, el valor de una </w:t>
      </w:r>
      <w:r w:rsidRPr="0065656B">
        <w:rPr>
          <w:rFonts w:ascii="Verdana" w:hAnsi="Verdana"/>
          <w:sz w:val="20"/>
          <w:szCs w:val="20"/>
        </w:rPr>
        <w:lastRenderedPageBreak/>
        <w:t>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6323722B" w14:textId="77777777" w:rsidR="004F28FC" w:rsidRPr="0065656B" w:rsidRDefault="004F28FC" w:rsidP="004F28FC">
      <w:pPr>
        <w:spacing w:after="0" w:line="240" w:lineRule="auto"/>
        <w:ind w:left="708" w:right="616" w:firstLine="1"/>
        <w:jc w:val="both"/>
        <w:rPr>
          <w:rFonts w:ascii="Verdana" w:hAnsi="Verdana"/>
          <w:sz w:val="20"/>
          <w:szCs w:val="20"/>
        </w:rPr>
      </w:pPr>
    </w:p>
    <w:p w14:paraId="61DFD6BA" w14:textId="77777777" w:rsidR="004F28FC" w:rsidRPr="0065656B" w:rsidRDefault="004F28FC" w:rsidP="004F28FC">
      <w:pPr>
        <w:spacing w:after="0" w:line="240" w:lineRule="auto"/>
        <w:ind w:left="708" w:right="616" w:firstLine="1"/>
        <w:jc w:val="both"/>
        <w:rPr>
          <w:rFonts w:ascii="Verdana" w:hAnsi="Verdana"/>
          <w:sz w:val="20"/>
          <w:szCs w:val="20"/>
        </w:rPr>
      </w:pPr>
      <w:r w:rsidRPr="0065656B">
        <w:rPr>
          <w:rFonts w:ascii="Verdana" w:hAnsi="Verdana"/>
          <w:sz w:val="20"/>
          <w:szCs w:val="20"/>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633D881E" w14:textId="77777777" w:rsidR="004F28FC" w:rsidRPr="0065656B" w:rsidRDefault="004F28FC" w:rsidP="004F28FC">
      <w:pPr>
        <w:spacing w:after="0" w:line="240" w:lineRule="auto"/>
        <w:ind w:left="708" w:right="616" w:firstLine="1"/>
        <w:jc w:val="both"/>
        <w:rPr>
          <w:rFonts w:ascii="Verdana" w:hAnsi="Verdana"/>
          <w:sz w:val="20"/>
          <w:szCs w:val="20"/>
        </w:rPr>
      </w:pPr>
      <w:r w:rsidRPr="0065656B">
        <w:rPr>
          <w:rFonts w:ascii="Verdana" w:hAnsi="Verdana"/>
          <w:sz w:val="20"/>
          <w:szCs w:val="20"/>
        </w:rPr>
        <w:t>En la subasta inversa esta disposición es aplicable sobre el precio obtenido al final de la misma”.</w:t>
      </w:r>
    </w:p>
    <w:p w14:paraId="4A9BCBFA" w14:textId="77777777" w:rsidR="004F28FC" w:rsidRPr="0065656B" w:rsidRDefault="004F28FC" w:rsidP="004F28FC">
      <w:pPr>
        <w:spacing w:after="0" w:line="240" w:lineRule="auto"/>
        <w:ind w:left="708" w:right="616" w:firstLine="1"/>
        <w:jc w:val="both"/>
        <w:rPr>
          <w:rFonts w:ascii="Verdana" w:hAnsi="Verdana"/>
          <w:sz w:val="21"/>
          <w:szCs w:val="21"/>
        </w:rPr>
      </w:pPr>
    </w:p>
    <w:p w14:paraId="55ED10EF" w14:textId="77777777" w:rsidR="004F28FC" w:rsidRPr="0065656B" w:rsidRDefault="004F28FC" w:rsidP="004F28FC">
      <w:pPr>
        <w:spacing w:after="120" w:line="276" w:lineRule="auto"/>
        <w:ind w:firstLine="708"/>
        <w:jc w:val="both"/>
        <w:rPr>
          <w:rFonts w:ascii="Verdana" w:eastAsia="Calibri" w:hAnsi="Verdana" w:cs="Arial"/>
          <w:lang w:val="es-ES"/>
        </w:rPr>
      </w:pPr>
      <w:r w:rsidRPr="0065656B">
        <w:rPr>
          <w:rFonts w:ascii="Verdana" w:eastAsia="Calibri" w:hAnsi="Verdana" w:cs="Arial"/>
          <w:lang w:val="es-MX"/>
        </w:rPr>
        <w:t xml:space="preserve">Así pues, el artículo 2.2.1.1.2.2.4 ibidem, establece lo que debe hacer la entidad cuando el precio de una oferta parece artificialmente bajo, esto es: i) solicitar explicación al oferente, </w:t>
      </w:r>
      <w:proofErr w:type="spellStart"/>
      <w:r w:rsidRPr="0065656B">
        <w:rPr>
          <w:rFonts w:ascii="Verdana" w:eastAsia="Calibri" w:hAnsi="Verdana" w:cs="Arial"/>
          <w:lang w:val="es-MX"/>
        </w:rPr>
        <w:t>ii</w:t>
      </w:r>
      <w:proofErr w:type="spellEnd"/>
      <w:r w:rsidRPr="0065656B">
        <w:rPr>
          <w:rFonts w:ascii="Verdana" w:eastAsia="Calibri" w:hAnsi="Verdana" w:cs="Arial"/>
          <w:lang w:val="es-MX"/>
        </w:rPr>
        <w:t xml:space="preserve">) analizar las explicaciones del oferente, </w:t>
      </w:r>
      <w:proofErr w:type="spellStart"/>
      <w:r w:rsidRPr="0065656B">
        <w:rPr>
          <w:rFonts w:ascii="Verdana" w:eastAsia="Calibri" w:hAnsi="Verdana" w:cs="Arial"/>
          <w:lang w:val="es-MX"/>
        </w:rPr>
        <w:t>iii</w:t>
      </w:r>
      <w:proofErr w:type="spellEnd"/>
      <w:r w:rsidRPr="0065656B">
        <w:rPr>
          <w:rFonts w:ascii="Verdana" w:eastAsia="Calibri" w:hAnsi="Verdana" w:cs="Arial"/>
          <w:lang w:val="es-MX"/>
        </w:rPr>
        <w:t xml:space="preserve">) el responsable de la evaluación de las ofertas debe recomendar rechazar o continuar la evaluación de la oferta, y </w:t>
      </w:r>
      <w:proofErr w:type="spellStart"/>
      <w:r w:rsidRPr="0065656B">
        <w:rPr>
          <w:rFonts w:ascii="Verdana" w:eastAsia="Calibri" w:hAnsi="Verdana" w:cs="Arial"/>
          <w:lang w:val="es-MX"/>
        </w:rPr>
        <w:t>iv</w:t>
      </w:r>
      <w:proofErr w:type="spellEnd"/>
      <w:r w:rsidRPr="0065656B">
        <w:rPr>
          <w:rFonts w:ascii="Verdana" w:eastAsia="Calibri" w:hAnsi="Verdana" w:cs="Arial"/>
          <w:lang w:val="es-MX"/>
        </w:rPr>
        <w:t>) para la subasta inversa, lo anterior se debe hacer al finalizar el evento.</w:t>
      </w:r>
    </w:p>
    <w:p w14:paraId="02AF75DF" w14:textId="77777777" w:rsidR="004F28FC" w:rsidRPr="0065656B" w:rsidRDefault="004F28FC" w:rsidP="004F28FC">
      <w:pPr>
        <w:spacing w:before="120" w:line="276" w:lineRule="auto"/>
        <w:ind w:firstLine="708"/>
        <w:jc w:val="both"/>
        <w:rPr>
          <w:rFonts w:ascii="Verdana" w:eastAsia="Calibri" w:hAnsi="Verdana" w:cs="Arial"/>
        </w:rPr>
      </w:pPr>
      <w:r w:rsidRPr="0065656B">
        <w:rPr>
          <w:rFonts w:ascii="Verdana" w:eastAsia="Calibri" w:hAnsi="Verdana" w:cs="Arial"/>
          <w:lang w:val="es-ES"/>
        </w:rPr>
        <w:t>Sin embargo, debe precisarse que el análisis de los precios de una oferta se hace en la fase de evaluación del procedimiento de selección, que es la oportunidad para verificar, a través del comité evaluador</w:t>
      </w:r>
      <w:r w:rsidRPr="0065656B">
        <w:rPr>
          <w:rFonts w:ascii="Verdana" w:eastAsia="Aptos" w:hAnsi="Verdana" w:cs="Times New Roman"/>
          <w:kern w:val="2"/>
          <w:vertAlign w:val="superscript"/>
          <w:lang w:val="es-MX"/>
          <w14:ligatures w14:val="standardContextual"/>
        </w:rPr>
        <w:footnoteReference w:id="3"/>
      </w:r>
      <w:r w:rsidRPr="0065656B">
        <w:rPr>
          <w:rFonts w:ascii="Verdana" w:eastAsia="Calibri" w:hAnsi="Verdana" w:cs="Arial"/>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2049A5B5" w14:textId="77777777" w:rsidR="004F28FC" w:rsidRPr="0065656B" w:rsidRDefault="004F28FC" w:rsidP="004F28FC">
      <w:pPr>
        <w:spacing w:after="120" w:line="276" w:lineRule="auto"/>
        <w:ind w:firstLine="708"/>
        <w:jc w:val="both"/>
        <w:rPr>
          <w:rFonts w:ascii="Verdana" w:eastAsia="Calibri" w:hAnsi="Verdana" w:cs="Arial"/>
          <w:lang w:val="es-ES"/>
        </w:rPr>
      </w:pPr>
      <w:r w:rsidRPr="0065656B">
        <w:rPr>
          <w:rFonts w:ascii="Verdana" w:eastAsia="Calibri" w:hAnsi="Verdana" w:cs="Arial"/>
          <w:lang w:val="es-ES"/>
        </w:rPr>
        <w:t xml:space="preserve">En ese sentido, en la evaluación que se realiza antes de la adjudicación del contrato la entidad debe verificar la oferta y su componente económico, para </w:t>
      </w:r>
      <w:r w:rsidRPr="0065656B">
        <w:rPr>
          <w:rFonts w:ascii="Verdana" w:eastAsia="Calibri" w:hAnsi="Verdana" w:cs="Arial"/>
          <w:lang w:val="es-ES"/>
        </w:rPr>
        <w:lastRenderedPageBreak/>
        <w:t>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4466E55A" w14:textId="77777777" w:rsidR="004F28FC" w:rsidRPr="0065656B" w:rsidRDefault="004F28FC" w:rsidP="004F28FC">
      <w:pPr>
        <w:spacing w:after="120" w:line="276" w:lineRule="auto"/>
        <w:ind w:firstLine="708"/>
        <w:jc w:val="both"/>
        <w:rPr>
          <w:rFonts w:ascii="Verdana" w:eastAsia="Times New Roman" w:hAnsi="Verdana" w:cs="Arial"/>
          <w:lang w:val="es-ES"/>
        </w:rPr>
      </w:pPr>
      <w:r w:rsidRPr="0065656B">
        <w:rPr>
          <w:rFonts w:ascii="Verdana" w:eastAsia="Times New Roman" w:hAnsi="Verdana" w:cs="Arial"/>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65656B">
        <w:rPr>
          <w:rFonts w:ascii="Verdana" w:eastAsia="Times New Roman" w:hAnsi="Verdana" w:cs="Arial"/>
          <w:lang w:val="es-ES"/>
        </w:rPr>
        <w:t>ii</w:t>
      </w:r>
      <w:proofErr w:type="spellEnd"/>
      <w:r w:rsidRPr="0065656B">
        <w:rPr>
          <w:rFonts w:ascii="Verdana" w:eastAsia="Times New Roman" w:hAnsi="Verdana" w:cs="Arial"/>
          <w:lang w:val="es-ES"/>
        </w:rPr>
        <w:t xml:space="preserve">) la comparación relativa. </w:t>
      </w:r>
    </w:p>
    <w:p w14:paraId="3A797AF2" w14:textId="77777777" w:rsidR="004F28FC" w:rsidRPr="0065656B" w:rsidRDefault="004F28FC" w:rsidP="004F28FC">
      <w:pPr>
        <w:spacing w:after="120" w:line="276" w:lineRule="auto"/>
        <w:ind w:firstLine="708"/>
        <w:jc w:val="both"/>
        <w:rPr>
          <w:rFonts w:ascii="Verdana" w:eastAsia="Times New Roman" w:hAnsi="Verdana" w:cs="Arial"/>
          <w:lang w:val="es-ES"/>
        </w:rPr>
      </w:pPr>
      <w:r w:rsidRPr="0065656B">
        <w:rPr>
          <w:rFonts w:ascii="Verdana" w:eastAsia="Times New Roman" w:hAnsi="Verdana" w:cs="Arial"/>
          <w:lang w:val="es-ES"/>
        </w:rPr>
        <w:t xml:space="preserve">Es importante precisar que dentro de la Guía para el manejo de ofertas artificialmente bajas en Procesos de Contratación” efectúa un análisis especial en torno a la subasta inversa, la cual puede ser </w:t>
      </w:r>
      <w:r w:rsidRPr="0065656B">
        <w:rPr>
          <w:rFonts w:ascii="Verdana" w:eastAsia="Times New Roman" w:hAnsi="Verdana" w:cs="Arial"/>
        </w:rPr>
        <w:t>ordinaria y a la inversa. La primera consiste en que los compradores compiten para obtener un bien o servicio, ofreciendo precios cada vez más altos, mediante lances, como es el caso de los procesos de contratación de enajenación directa a través de subasta pública mediante la modalidad de selección abreviada, de acuerdo con lo prescrito en el artículo 2.2.1.2.2.2.2 del Decreto 1082 de 1025</w:t>
      </w:r>
      <w:r w:rsidRPr="0065656B">
        <w:rPr>
          <w:rStyle w:val="Refdenotaalpie"/>
          <w:rFonts w:ascii="Verdana" w:eastAsia="Times New Roman" w:hAnsi="Verdana" w:cs="Arial"/>
        </w:rPr>
        <w:footnoteReference w:id="4"/>
      </w:r>
      <w:r w:rsidRPr="0065656B">
        <w:rPr>
          <w:rFonts w:ascii="Verdana" w:eastAsia="Times New Roman" w:hAnsi="Verdana" w:cs="Arial"/>
        </w:rPr>
        <w:t xml:space="preserve">. El segundo, es la subasta inversa que consiste en que los vendedores compiten para obtener un negocio del comprador, y para ello, los lances realizados sobre la oferta económica tienen como objetivo disminuir los precios de los bienes y servicios que se están ofertando. Ejemplo de este escenario, es el procedimiento de la selección abreviada mediante subasta inversa, en la que se busca la adquisición o suministro de bienes y servicios de características técnicas uniformes y de </w:t>
      </w:r>
      <w:r w:rsidRPr="0065656B">
        <w:rPr>
          <w:rFonts w:ascii="Verdana" w:eastAsia="Times New Roman" w:hAnsi="Verdana" w:cs="Arial"/>
        </w:rPr>
        <w:lastRenderedPageBreak/>
        <w:t>común utilización por parte de las Entidades Estatales, que está regulada en el artículo 2, numeral 2, literal a) de la Ley 1150 de 2007, y el artículo 2.2.1.2.1.2.2 del Decreto 1082 de 2015</w:t>
      </w:r>
      <w:r w:rsidRPr="0065656B">
        <w:rPr>
          <w:rStyle w:val="Refdenotaalpie"/>
          <w:rFonts w:ascii="Verdana" w:eastAsia="Times New Roman" w:hAnsi="Verdana" w:cs="Arial"/>
        </w:rPr>
        <w:footnoteReference w:id="5"/>
      </w:r>
      <w:r w:rsidRPr="0065656B">
        <w:rPr>
          <w:rFonts w:ascii="Verdana" w:eastAsia="Times New Roman" w:hAnsi="Verdana" w:cs="Arial"/>
        </w:rPr>
        <w:t>.</w:t>
      </w:r>
    </w:p>
    <w:p w14:paraId="616E7A2B" w14:textId="77777777" w:rsidR="004F28FC" w:rsidRPr="0065656B" w:rsidRDefault="004F28FC" w:rsidP="004F28FC">
      <w:pPr>
        <w:spacing w:after="0" w:line="276" w:lineRule="auto"/>
        <w:ind w:firstLine="709"/>
        <w:jc w:val="both"/>
        <w:rPr>
          <w:rFonts w:ascii="Verdana" w:eastAsia="Times New Roman" w:hAnsi="Verdana" w:cs="Arial"/>
        </w:rPr>
      </w:pPr>
      <w:r w:rsidRPr="0065656B">
        <w:rPr>
          <w:rFonts w:ascii="Verdana" w:eastAsia="Times New Roman" w:hAnsi="Verdana" w:cs="Arial"/>
          <w:lang w:val="es-ES"/>
        </w:rPr>
        <w:t xml:space="preserve">Dentro de la subasta inversa </w:t>
      </w:r>
      <w:r w:rsidRPr="0065656B">
        <w:rPr>
          <w:rFonts w:ascii="Verdana" w:eastAsia="Times New Roman" w:hAnsi="Verdana" w:cs="Arial"/>
        </w:rPr>
        <w:t xml:space="preserve">el único criterio de selección es el precio, que se origina de los lances que son manifestación de pujas competitivas, en las que los procesos terminen en precios u ofertas bajas. No obstante, dichas ofertas dentro de la audiencia de subasta no siempre deben interpretarse como artificialmente bajas. En torno a este proceso de contratación, la Guía recomienda: </w:t>
      </w:r>
    </w:p>
    <w:p w14:paraId="66519ECF" w14:textId="77777777" w:rsidR="004F28FC" w:rsidRPr="0065656B" w:rsidRDefault="004F28FC" w:rsidP="004F28FC">
      <w:pPr>
        <w:spacing w:after="120" w:line="240" w:lineRule="auto"/>
        <w:jc w:val="both"/>
        <w:rPr>
          <w:rFonts w:ascii="Verdana" w:eastAsia="Times New Roman" w:hAnsi="Verdana" w:cs="Arial"/>
        </w:rPr>
      </w:pPr>
    </w:p>
    <w:p w14:paraId="64464736" w14:textId="77777777" w:rsidR="004F28FC" w:rsidRPr="0065656B"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65656B">
        <w:rPr>
          <w:rFonts w:ascii="Verdana" w:eastAsia="Times New Roman" w:hAnsi="Verdana" w:cs="Arial"/>
          <w:sz w:val="21"/>
          <w:szCs w:val="21"/>
        </w:rPr>
        <w:t xml:space="preserve">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
    <w:p w14:paraId="7726BE8D" w14:textId="77777777" w:rsidR="004F28FC" w:rsidRPr="0065656B"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65656B">
        <w:rPr>
          <w:rFonts w:ascii="Verdana" w:eastAsia="Times New Roman" w:hAnsi="Verdana" w:cs="Arial"/>
          <w:sz w:val="21"/>
          <w:szCs w:val="21"/>
        </w:rPr>
        <w:t xml:space="preserve">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
    <w:p w14:paraId="2469228F" w14:textId="77777777" w:rsidR="004F28FC" w:rsidRPr="0065656B"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65656B">
        <w:rPr>
          <w:rFonts w:ascii="Verdana" w:eastAsia="Times New Roman" w:hAnsi="Verdana" w:cs="Arial"/>
          <w:sz w:val="21"/>
          <w:szCs w:val="21"/>
          <w:lang w:val="es-CO"/>
        </w:rPr>
        <w:t xml:space="preserve">Solicitar explicaciones a los </w:t>
      </w:r>
      <w:proofErr w:type="spellStart"/>
      <w:r w:rsidRPr="0065656B">
        <w:rPr>
          <w:rFonts w:ascii="Verdana" w:eastAsia="Times New Roman" w:hAnsi="Verdana" w:cs="Arial"/>
          <w:sz w:val="21"/>
          <w:szCs w:val="21"/>
          <w:lang w:val="es-CO"/>
        </w:rPr>
        <w:t>pr</w:t>
      </w:r>
      <w:proofErr w:type="spellEnd"/>
      <w:r w:rsidRPr="0065656B">
        <w:rPr>
          <w:rFonts w:ascii="Verdana" w:eastAsia="Times New Roman" w:hAnsi="Verdana" w:cs="Arial"/>
          <w:sz w:val="21"/>
          <w:szCs w:val="21"/>
        </w:rPr>
        <w:t>oponentes cuyas ofertas sean me</w:t>
      </w:r>
      <w:proofErr w:type="spellStart"/>
      <w:r w:rsidRPr="0065656B">
        <w:rPr>
          <w:rFonts w:ascii="Verdana" w:eastAsia="Times New Roman" w:hAnsi="Verdana" w:cs="Arial"/>
          <w:sz w:val="21"/>
          <w:szCs w:val="21"/>
          <w:lang w:val="es-CO"/>
        </w:rPr>
        <w:t>nores</w:t>
      </w:r>
      <w:proofErr w:type="spellEnd"/>
      <w:r w:rsidRPr="0065656B">
        <w:rPr>
          <w:rFonts w:ascii="Verdana" w:eastAsia="Times New Roman" w:hAnsi="Verdana" w:cs="Arial"/>
          <w:sz w:val="21"/>
          <w:szCs w:val="21"/>
          <w:lang w:val="es-CO"/>
        </w:rPr>
        <w:t xml:space="preserve"> en un 20%, o un mayor porcentaje, al costo total estimado por la Entidad Estatal (comparación absoluta, ver numeral 2.1.1). </w:t>
      </w:r>
    </w:p>
    <w:p w14:paraId="705F7AD3" w14:textId="77777777" w:rsidR="004F28FC" w:rsidRPr="0065656B"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65656B">
        <w:rPr>
          <w:rFonts w:ascii="Verdana" w:eastAsia="Times New Roman" w:hAnsi="Verdana" w:cs="Arial"/>
          <w:sz w:val="21"/>
          <w:szCs w:val="21"/>
          <w:lang w:val="es-CO"/>
        </w:rPr>
        <w:t>Analizar la información remitida por el proponente y considerar el rechazo de las ofertas que cumplan con alguna de las condiciones establecidas en el numeral 4.2 de la presente Guía</w:t>
      </w:r>
      <w:r w:rsidRPr="0065656B">
        <w:rPr>
          <w:rStyle w:val="Refdenotaalpie"/>
          <w:rFonts w:ascii="Verdana" w:eastAsia="Times New Roman" w:hAnsi="Verdana" w:cs="Arial"/>
          <w:sz w:val="21"/>
          <w:szCs w:val="21"/>
          <w:lang w:val="es-CO"/>
        </w:rPr>
        <w:footnoteReference w:id="6"/>
      </w:r>
      <w:r w:rsidRPr="0065656B">
        <w:rPr>
          <w:rFonts w:ascii="Verdana" w:eastAsia="Times New Roman" w:hAnsi="Verdana" w:cs="Arial"/>
          <w:sz w:val="21"/>
          <w:szCs w:val="21"/>
          <w:lang w:val="es-CO"/>
        </w:rPr>
        <w:t xml:space="preserve">. </w:t>
      </w:r>
    </w:p>
    <w:p w14:paraId="19F7D74F" w14:textId="77777777" w:rsidR="004F28FC" w:rsidRPr="0065656B" w:rsidRDefault="004F28FC" w:rsidP="004F28FC">
      <w:pPr>
        <w:spacing w:after="120" w:line="240" w:lineRule="auto"/>
        <w:ind w:firstLine="708"/>
        <w:jc w:val="both"/>
        <w:rPr>
          <w:rFonts w:ascii="Verdana" w:eastAsia="Times New Roman" w:hAnsi="Verdana" w:cs="Arial"/>
        </w:rPr>
      </w:pPr>
    </w:p>
    <w:p w14:paraId="540B9F7B" w14:textId="77777777" w:rsidR="004F28FC" w:rsidRPr="0065656B" w:rsidRDefault="004F28FC" w:rsidP="004F28FC">
      <w:pPr>
        <w:spacing w:after="120" w:line="276" w:lineRule="auto"/>
        <w:ind w:firstLine="708"/>
        <w:jc w:val="both"/>
        <w:rPr>
          <w:rFonts w:ascii="Verdana" w:hAnsi="Verdana"/>
        </w:rPr>
      </w:pPr>
      <w:r w:rsidRPr="0065656B">
        <w:rPr>
          <w:rFonts w:ascii="Verdana" w:eastAsia="Times New Roman" w:hAnsi="Verdana" w:cs="Arial"/>
        </w:rPr>
        <w:t xml:space="preserve">En este aspecto, también se destaca la importancia de hacer un análisis cuidadoso de la sostenibilidad de las ofertas en dichos procesos de contratación. 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65656B">
        <w:rPr>
          <w:rFonts w:ascii="Verdana" w:eastAsia="Times New Roman" w:hAnsi="Verdana" w:cs="Arial"/>
        </w:rPr>
        <w:t>ii</w:t>
      </w:r>
      <w:proofErr w:type="spellEnd"/>
      <w:r w:rsidRPr="0065656B">
        <w:rPr>
          <w:rFonts w:ascii="Verdana" w:eastAsia="Times New Roman" w:hAnsi="Verdana" w:cs="Arial"/>
        </w:rPr>
        <w:t>) a</w:t>
      </w:r>
      <w:r w:rsidRPr="0065656B">
        <w:rPr>
          <w:rFonts w:ascii="Verdana" w:hAnsi="Verdana"/>
        </w:rPr>
        <w:t xml:space="preserve">nalizar las explicaciones del oferente, para verificar si están sustentados en los valores ofrecidos y si son suficientes para ejecutar el contrato; </w:t>
      </w:r>
      <w:proofErr w:type="spellStart"/>
      <w:r w:rsidRPr="0065656B">
        <w:rPr>
          <w:rFonts w:ascii="Verdana" w:hAnsi="Verdana"/>
        </w:rPr>
        <w:t>iii</w:t>
      </w:r>
      <w:proofErr w:type="spellEnd"/>
      <w:r w:rsidRPr="0065656B">
        <w:rPr>
          <w:rFonts w:ascii="Verdana" w:hAnsi="Verdana"/>
        </w:rPr>
        <w:t xml:space="preserve">) definir si continúa con la evaluación de la oferta, en el sentido de que la explicación demuestra la capacidad del proponente para cumplir </w:t>
      </w:r>
      <w:r w:rsidRPr="0065656B">
        <w:rPr>
          <w:rFonts w:ascii="Verdana" w:hAnsi="Verdana"/>
        </w:rPr>
        <w:lastRenderedPageBreak/>
        <w:t>adecuadamente con el contrato con los precios ofertados o, si por el contrario, rechaza la oferta porque no fue sustentada</w:t>
      </w:r>
      <w:r w:rsidRPr="0065656B">
        <w:rPr>
          <w:rStyle w:val="Refdenotaalpie"/>
          <w:rFonts w:ascii="Verdana" w:hAnsi="Verdana"/>
        </w:rPr>
        <w:footnoteReference w:id="7"/>
      </w:r>
      <w:r w:rsidRPr="0065656B">
        <w:rPr>
          <w:rFonts w:ascii="Verdana" w:hAnsi="Verdana"/>
        </w:rPr>
        <w:t xml:space="preserve">. Esto debe realizarse al finalizar el evento de subasta, de acuerdo con el precio ofrecido al final de esta. </w:t>
      </w:r>
    </w:p>
    <w:p w14:paraId="5CF20AD9" w14:textId="77777777" w:rsidR="004F28FC" w:rsidRPr="0065656B" w:rsidRDefault="004F28FC" w:rsidP="004F28FC">
      <w:pPr>
        <w:spacing w:after="120" w:line="276" w:lineRule="auto"/>
        <w:ind w:firstLine="708"/>
        <w:jc w:val="both"/>
        <w:rPr>
          <w:rFonts w:ascii="Verdana" w:eastAsia="Calibri" w:hAnsi="Verdana" w:cs="Arial"/>
        </w:rPr>
      </w:pPr>
      <w:r w:rsidRPr="0065656B">
        <w:rPr>
          <w:rFonts w:ascii="Verdana" w:eastAsia="Calibri" w:hAnsi="Verdana" w:cs="Arial"/>
        </w:rPr>
        <w:t xml:space="preserve">Finalmente, debe advertirse que el análisis requerido para resolver problemas específicos en torno a la verificación de ofertas que puedan resultar artificialmente bajas debe ser realizado por las Entidades.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C970684" w14:textId="77777777" w:rsidR="004F28FC" w:rsidRPr="0065656B" w:rsidRDefault="004F28FC" w:rsidP="004F28FC">
      <w:pPr>
        <w:widowControl w:val="0"/>
        <w:autoSpaceDE w:val="0"/>
        <w:autoSpaceDN w:val="0"/>
        <w:spacing w:after="0" w:line="276" w:lineRule="auto"/>
        <w:ind w:right="176" w:firstLine="708"/>
        <w:jc w:val="both"/>
        <w:rPr>
          <w:rFonts w:ascii="Verdana" w:hAnsi="Verdana"/>
        </w:rPr>
      </w:pPr>
      <w:r w:rsidRPr="0065656B">
        <w:rPr>
          <w:rFonts w:ascii="Verdana" w:hAnsi="Verdana"/>
        </w:rPr>
        <w:t>Dentro de este marco, corresponde a cada entidad pública, en ejercicio de su competencia y previa valoración de los elementos fácticos y jurídicos, así como de las disposiciones legales mencionadas, en la fase de evaluación analizar los precios de las ofertas recibidas.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8E1CE11" w14:textId="77777777" w:rsidR="004F28FC" w:rsidRPr="0065656B" w:rsidRDefault="004F28FC" w:rsidP="004F28FC">
      <w:pPr>
        <w:spacing w:after="120" w:line="276" w:lineRule="auto"/>
        <w:jc w:val="both"/>
        <w:rPr>
          <w:rFonts w:ascii="Verdana" w:eastAsia="Calibri" w:hAnsi="Verdana" w:cs="Arial"/>
          <w:bCs/>
          <w:lang w:val="es-ES_tradnl"/>
        </w:rPr>
      </w:pPr>
    </w:p>
    <w:p w14:paraId="69AB5364" w14:textId="6219457C" w:rsidR="004F28FC" w:rsidRPr="0065656B" w:rsidRDefault="002A54D8" w:rsidP="002A54D8">
      <w:pPr>
        <w:pStyle w:val="Prrafodelista"/>
        <w:spacing w:after="120" w:line="276" w:lineRule="auto"/>
        <w:ind w:left="1080"/>
        <w:jc w:val="both"/>
        <w:rPr>
          <w:rFonts w:ascii="Verdana" w:eastAsia="Century Gothic" w:hAnsi="Verdana" w:cs="Century Gothic"/>
          <w:b/>
          <w:bCs/>
        </w:rPr>
      </w:pPr>
      <w:r w:rsidRPr="0065656B">
        <w:rPr>
          <w:rFonts w:ascii="Verdana" w:eastAsia="Century Gothic" w:hAnsi="Verdana" w:cs="Century Gothic"/>
          <w:b/>
          <w:bCs/>
        </w:rPr>
        <w:t xml:space="preserve">4. </w:t>
      </w:r>
      <w:r w:rsidR="004F28FC" w:rsidRPr="0065656B">
        <w:rPr>
          <w:rFonts w:ascii="Verdana" w:eastAsia="Century Gothic" w:hAnsi="Verdana" w:cs="Century Gothic"/>
          <w:b/>
          <w:bCs/>
        </w:rPr>
        <w:t>Referencias normativas, jurisprudenciales y otras fuentes:</w:t>
      </w:r>
    </w:p>
    <w:p w14:paraId="4CC0CA94" w14:textId="77777777" w:rsidR="002A54D8" w:rsidRPr="0065656B" w:rsidRDefault="002A54D8" w:rsidP="002A54D8">
      <w:pPr>
        <w:pStyle w:val="Prrafodelista"/>
        <w:spacing w:after="120" w:line="276" w:lineRule="auto"/>
        <w:ind w:left="1080"/>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28FC" w:rsidRPr="0065656B" w14:paraId="37020E4A" w14:textId="77777777" w:rsidTr="005B79F0">
        <w:trPr>
          <w:trHeight w:val="501"/>
          <w:jc w:val="center"/>
        </w:trPr>
        <w:tc>
          <w:tcPr>
            <w:tcW w:w="8647" w:type="dxa"/>
          </w:tcPr>
          <w:p w14:paraId="6CAB0EC6"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rPr>
              <w:t>Ley 80 de 1993. Artículo 26</w:t>
            </w:r>
          </w:p>
          <w:p w14:paraId="7962ADE6"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rPr>
              <w:t xml:space="preserve">Ley 1150 de 2007, artículos 4, 5 y 7. </w:t>
            </w:r>
          </w:p>
          <w:p w14:paraId="59B64704"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rPr>
              <w:t xml:space="preserve">Decreto 1082 de 2015, artículo 2.2.1.1.2.1.3. numeral 8 y 9 artículo 2.2.1.2.3.1.6 y 2.2.1.2.3.1.9., 2.2.1.2.3.1.13., 2.2.1.2.3.1.14 2.2.1.2.3.2.8. y 2.2.1.2.1.5.5, </w:t>
            </w:r>
            <w:r w:rsidRPr="0065656B">
              <w:rPr>
                <w:rFonts w:ascii="Verdana" w:hAnsi="Verdana"/>
                <w:lang w:val="es-ES"/>
              </w:rPr>
              <w:t xml:space="preserve">2.2.1.1.1.6.1, 2.2.1.1.2.2.3 y 2.2.1.1.2.2.4. </w:t>
            </w:r>
          </w:p>
          <w:p w14:paraId="40CF4509"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rPr>
              <w:t xml:space="preserve">Código de Comercio, artículos 846, 847 y 1068 </w:t>
            </w:r>
          </w:p>
          <w:p w14:paraId="6A984947"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lang w:val="pt-PT"/>
              </w:rPr>
              <w:lastRenderedPageBreak/>
              <w:t xml:space="preserve">CORTE CONSTITUCIONAL. Sentencia C-452 de 1999. </w:t>
            </w:r>
            <w:r w:rsidRPr="0065656B">
              <w:rPr>
                <w:rFonts w:ascii="Verdana" w:hAnsi="Verdana"/>
              </w:rPr>
              <w:t>M.P. Eduardo Cifuentes Muñoz.</w:t>
            </w:r>
          </w:p>
          <w:p w14:paraId="6F400EEB"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rPr>
              <w:t xml:space="preserve">CONSEJO DE ESTADO. Sección Tercera. Sentencia del 4 de junio de 2008. </w:t>
            </w:r>
            <w:proofErr w:type="spellStart"/>
            <w:r w:rsidRPr="0065656B">
              <w:rPr>
                <w:rFonts w:ascii="Verdana" w:hAnsi="Verdana"/>
              </w:rPr>
              <w:t>Exp</w:t>
            </w:r>
            <w:proofErr w:type="spellEnd"/>
            <w:r w:rsidRPr="0065656B">
              <w:rPr>
                <w:rFonts w:ascii="Verdana" w:hAnsi="Verdana"/>
              </w:rPr>
              <w:t>. No. 17.783. C.P. Myriam Guerrero de Escobar.</w:t>
            </w:r>
          </w:p>
          <w:p w14:paraId="07893D51" w14:textId="77777777" w:rsidR="004F28FC" w:rsidRPr="0065656B"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65656B">
              <w:rPr>
                <w:rFonts w:ascii="Verdana" w:hAnsi="Verdana"/>
              </w:rPr>
              <w:t xml:space="preserve">AGENCIA NACIONAL DE CONTRATACIÓN PÚBLICA –COLOMBIA COMPRA EFICIENTE. Guía para el manejo de ofertas artificialmente bajas en procesos de contratación. Disponible en línea: </w:t>
            </w:r>
            <w:hyperlink r:id="rId13" w:history="1">
              <w:r w:rsidRPr="0065656B">
                <w:rPr>
                  <w:rStyle w:val="Hipervnculo"/>
                  <w:rFonts w:ascii="Verdana" w:hAnsi="Verdana"/>
                </w:rPr>
                <w:t>https://www.colombiacompra.gov.co/archivos/manual/guia-para-el-manejo-de-ofertas-artificialmente-bajas-en-procesos-de-contratacion-2</w:t>
              </w:r>
            </w:hyperlink>
            <w:r w:rsidRPr="0065656B">
              <w:rPr>
                <w:rFonts w:ascii="Verdana" w:hAnsi="Verdana"/>
              </w:rPr>
              <w:t>. 2024.</w:t>
            </w:r>
          </w:p>
        </w:tc>
      </w:tr>
    </w:tbl>
    <w:p w14:paraId="64EAF9C2" w14:textId="77777777" w:rsidR="004F28FC" w:rsidRPr="0065656B" w:rsidRDefault="004F28FC" w:rsidP="004F28FC">
      <w:pPr>
        <w:spacing w:after="0" w:line="276" w:lineRule="auto"/>
        <w:ind w:right="709"/>
        <w:jc w:val="both"/>
        <w:rPr>
          <w:rFonts w:ascii="Verdana" w:hAnsi="Verdana" w:cs="Arial"/>
          <w:color w:val="000000" w:themeColor="text1"/>
        </w:rPr>
      </w:pPr>
    </w:p>
    <w:p w14:paraId="257C6F41" w14:textId="5530B27F" w:rsidR="004F28FC" w:rsidRPr="0065656B" w:rsidRDefault="002A54D8" w:rsidP="002A54D8">
      <w:pPr>
        <w:spacing w:after="0" w:line="256" w:lineRule="auto"/>
        <w:rPr>
          <w:rFonts w:ascii="Verdana" w:eastAsia="Calibri" w:hAnsi="Verdana" w:cs="Times New Roman"/>
          <w:b/>
          <w:bCs/>
        </w:rPr>
      </w:pPr>
      <w:r w:rsidRPr="0065656B">
        <w:rPr>
          <w:rFonts w:ascii="Verdana" w:eastAsia="Calibri" w:hAnsi="Verdana" w:cs="Times New Roman"/>
          <w:b/>
          <w:bCs/>
        </w:rPr>
        <w:t xml:space="preserve">5. </w:t>
      </w:r>
      <w:r w:rsidR="004F28FC" w:rsidRPr="0065656B">
        <w:rPr>
          <w:rFonts w:ascii="Verdana" w:eastAsia="Calibri" w:hAnsi="Verdana" w:cs="Times New Roman"/>
          <w:b/>
          <w:bCs/>
        </w:rPr>
        <w:t>Doctrina de la Agencia Nacional de Contratación Pública:</w:t>
      </w:r>
    </w:p>
    <w:p w14:paraId="31C4DA0B" w14:textId="77777777" w:rsidR="004F28FC" w:rsidRPr="0065656B" w:rsidRDefault="004F28FC" w:rsidP="004F28FC">
      <w:pPr>
        <w:widowControl w:val="0"/>
        <w:autoSpaceDE w:val="0"/>
        <w:autoSpaceDN w:val="0"/>
        <w:spacing w:after="0" w:line="276" w:lineRule="auto"/>
        <w:jc w:val="both"/>
        <w:rPr>
          <w:rFonts w:ascii="Verdana" w:hAnsi="Verdana" w:cs="Arial"/>
          <w:bCs/>
          <w:shd w:val="clear" w:color="auto" w:fill="FFFFFF"/>
        </w:rPr>
      </w:pPr>
    </w:p>
    <w:p w14:paraId="67EDB222" w14:textId="77777777" w:rsidR="004F28FC" w:rsidRPr="0065656B" w:rsidRDefault="004F28FC" w:rsidP="004F28FC">
      <w:pPr>
        <w:widowControl w:val="0"/>
        <w:autoSpaceDE w:val="0"/>
        <w:autoSpaceDN w:val="0"/>
        <w:spacing w:after="0" w:line="276" w:lineRule="auto"/>
        <w:jc w:val="both"/>
        <w:rPr>
          <w:rFonts w:ascii="Verdana" w:hAnsi="Verdana" w:cs="Arial"/>
          <w:bCs/>
          <w:shd w:val="clear" w:color="auto" w:fill="FFFFFF"/>
        </w:rPr>
      </w:pPr>
      <w:r w:rsidRPr="0065656B">
        <w:rPr>
          <w:rFonts w:ascii="Verdana" w:hAnsi="Verdana" w:cs="Arial"/>
          <w:bCs/>
          <w:shd w:val="clear" w:color="auto" w:fill="FFFFFF"/>
        </w:rPr>
        <w:t xml:space="preserve">La Agencia Nacional de Contratación Pública – Colombia Compra Eficiente ha expedido los siguientes conceptos sobre precios artificialmente bajos en subasta inversa: </w:t>
      </w:r>
      <w:r w:rsidRPr="0065656B">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C-1042 del 5 de septiembre de 2025, C-1069 del 12 de septiembre de 2025 y 1237 de 2025, entre otros. </w:t>
      </w:r>
      <w:r w:rsidRPr="0065656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4D7AFE6" w14:textId="77777777" w:rsidR="004F28FC" w:rsidRPr="0065656B" w:rsidRDefault="00645C37" w:rsidP="004F28FC">
      <w:pPr>
        <w:spacing w:after="0" w:line="256" w:lineRule="auto"/>
        <w:jc w:val="both"/>
        <w:rPr>
          <w:rFonts w:ascii="Verdana" w:eastAsia="Calibri" w:hAnsi="Verdana" w:cs="Times New Roman"/>
        </w:rPr>
      </w:pPr>
      <w:hyperlink r:id="rId14" w:history="1">
        <w:r w:rsidR="004F28FC" w:rsidRPr="0065656B">
          <w:rPr>
            <w:rFonts w:ascii="Verdana" w:eastAsia="Calibri" w:hAnsi="Verdana" w:cs="Times New Roman"/>
            <w:color w:val="0000FF"/>
            <w:u w:val="single"/>
            <w:lang w:val="es-ES"/>
          </w:rPr>
          <w:t>https://relatoria.colombiacompra.gov.co/busqueda/conceptos</w:t>
        </w:r>
      </w:hyperlink>
      <w:r w:rsidR="004F28FC" w:rsidRPr="0065656B">
        <w:rPr>
          <w:rFonts w:ascii="Verdana" w:eastAsia="Calibri" w:hAnsi="Verdana" w:cs="Times New Roman"/>
        </w:rPr>
        <w:t xml:space="preserve">. </w:t>
      </w:r>
    </w:p>
    <w:p w14:paraId="0183D377" w14:textId="77777777" w:rsidR="004F28FC" w:rsidRPr="0065656B" w:rsidRDefault="004F28FC" w:rsidP="004F28FC">
      <w:pPr>
        <w:spacing w:after="0" w:line="256" w:lineRule="auto"/>
        <w:jc w:val="both"/>
        <w:rPr>
          <w:rFonts w:ascii="Verdana" w:eastAsia="Calibri" w:hAnsi="Verdana" w:cs="Times New Roman"/>
        </w:rPr>
      </w:pPr>
    </w:p>
    <w:p w14:paraId="39542597" w14:textId="77777777" w:rsidR="004F28FC" w:rsidRPr="0065656B" w:rsidRDefault="004F28FC" w:rsidP="004F28FC">
      <w:pPr>
        <w:spacing w:after="0" w:line="276" w:lineRule="auto"/>
        <w:jc w:val="both"/>
        <w:rPr>
          <w:rFonts w:ascii="Verdana" w:hAnsi="Verdana"/>
        </w:rPr>
      </w:pPr>
      <w:r w:rsidRPr="0065656B">
        <w:rPr>
          <w:rFonts w:ascii="Verdana" w:hAnsi="Verdana"/>
        </w:rPr>
        <w:t>También le contamos que ya se encuentra disponible la </w:t>
      </w:r>
      <w:r w:rsidRPr="0065656B">
        <w:rPr>
          <w:rFonts w:ascii="Verdana" w:hAnsi="Verdana"/>
          <w:b/>
          <w:bCs/>
        </w:rPr>
        <w:t>Guía de lineamientos de transparencia y selección objetiva para el departamento de La Guajira – Objetivo sexto constitucional de la Sentencia T-302 del 2017. </w:t>
      </w:r>
      <w:r w:rsidRPr="0065656B">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5656B">
        <w:rPr>
          <w:rFonts w:ascii="Verdana" w:hAnsi="Verdana"/>
        </w:rPr>
        <w:t>Wayúu</w:t>
      </w:r>
      <w:proofErr w:type="spellEnd"/>
      <w:r w:rsidRPr="0065656B">
        <w:rPr>
          <w:rFonts w:ascii="Verdana" w:hAnsi="Verdana"/>
        </w:rPr>
        <w:t xml:space="preserve">. </w:t>
      </w:r>
      <w:r w:rsidRPr="0065656B">
        <w:rPr>
          <w:rFonts w:ascii="Verdana" w:hAnsi="Verdana"/>
        </w:rPr>
        <w:lastRenderedPageBreak/>
        <w:t>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65656B">
          <w:rPr>
            <w:rStyle w:val="Hipervnculo"/>
            <w:rFonts w:ascii="Verdana" w:hAnsi="Verdana"/>
          </w:rPr>
          <w:t>Guía de lineamientos de transparencia y selección objetiva para el departamento de La Guajira – Objetivo sexto constitucional de la Sentencia T-302 del 2017</w:t>
        </w:r>
      </w:hyperlink>
    </w:p>
    <w:p w14:paraId="6C32F5E2" w14:textId="77777777" w:rsidR="004F28FC" w:rsidRPr="0065656B" w:rsidRDefault="004F28FC" w:rsidP="004F28FC">
      <w:pPr>
        <w:spacing w:after="0" w:line="240" w:lineRule="auto"/>
        <w:jc w:val="both"/>
        <w:rPr>
          <w:rFonts w:ascii="Verdana" w:hAnsi="Verdana"/>
        </w:rPr>
      </w:pPr>
    </w:p>
    <w:p w14:paraId="7A0FD735" w14:textId="77777777" w:rsidR="004F28FC" w:rsidRPr="0065656B" w:rsidRDefault="004F28FC" w:rsidP="004F28FC">
      <w:pPr>
        <w:spacing w:after="0" w:line="240" w:lineRule="auto"/>
        <w:jc w:val="both"/>
        <w:rPr>
          <w:rFonts w:ascii="Verdana" w:hAnsi="Verdana"/>
        </w:rPr>
      </w:pPr>
      <w:r w:rsidRPr="0065656B">
        <w:rPr>
          <w:rFonts w:ascii="Verdana" w:hAnsi="Verdana"/>
        </w:rPr>
        <w:t xml:space="preserve">Por último, lo invitamos a seguirnos en las redes sociales en las cuales se difunde información institucional: </w:t>
      </w:r>
    </w:p>
    <w:p w14:paraId="4CC0130D" w14:textId="77777777" w:rsidR="004F28FC" w:rsidRPr="0065656B" w:rsidRDefault="004F28FC" w:rsidP="004F28FC">
      <w:pPr>
        <w:spacing w:after="0" w:line="240" w:lineRule="auto"/>
        <w:jc w:val="both"/>
        <w:rPr>
          <w:rFonts w:ascii="Verdana" w:hAnsi="Verdana"/>
        </w:rPr>
      </w:pPr>
    </w:p>
    <w:p w14:paraId="7FA7AADE" w14:textId="77777777" w:rsidR="004F28FC" w:rsidRPr="0065656B" w:rsidRDefault="004F28FC" w:rsidP="004F28FC">
      <w:pPr>
        <w:spacing w:after="0" w:line="240" w:lineRule="auto"/>
        <w:jc w:val="both"/>
        <w:rPr>
          <w:rFonts w:ascii="Verdana" w:hAnsi="Verdana"/>
        </w:rPr>
      </w:pPr>
      <w:r w:rsidRPr="0065656B">
        <w:rPr>
          <w:rFonts w:ascii="Verdana" w:hAnsi="Verdana"/>
        </w:rPr>
        <w:t xml:space="preserve">Twitter: </w:t>
      </w:r>
      <w:r w:rsidRPr="0065656B">
        <w:rPr>
          <w:rStyle w:val="Hipervnculo"/>
          <w:rFonts w:ascii="Verdana" w:hAnsi="Verdana"/>
          <w:color w:val="4472C4" w:themeColor="accent1"/>
        </w:rPr>
        <w:t>@colombiacompra</w:t>
      </w:r>
      <w:r w:rsidRPr="0065656B">
        <w:rPr>
          <w:rFonts w:ascii="Verdana" w:hAnsi="Verdana"/>
          <w:color w:val="4472C4" w:themeColor="accent1"/>
        </w:rPr>
        <w:t xml:space="preserve"> </w:t>
      </w:r>
    </w:p>
    <w:p w14:paraId="5E52FBFC" w14:textId="77777777" w:rsidR="004F28FC" w:rsidRPr="0065656B" w:rsidRDefault="004F28FC" w:rsidP="004F28FC">
      <w:pPr>
        <w:spacing w:after="0" w:line="240" w:lineRule="auto"/>
        <w:jc w:val="both"/>
        <w:rPr>
          <w:rFonts w:ascii="Verdana" w:hAnsi="Verdana"/>
        </w:rPr>
      </w:pPr>
      <w:r w:rsidRPr="0065656B">
        <w:rPr>
          <w:rFonts w:ascii="Verdana" w:hAnsi="Verdana"/>
        </w:rPr>
        <w:t xml:space="preserve">Facebook: </w:t>
      </w:r>
      <w:proofErr w:type="spellStart"/>
      <w:r w:rsidRPr="0065656B">
        <w:rPr>
          <w:rStyle w:val="Hipervnculo"/>
          <w:rFonts w:ascii="Verdana" w:hAnsi="Verdana"/>
          <w:color w:val="4472C4" w:themeColor="accent1"/>
        </w:rPr>
        <w:t>ColombiaCompraEficiente</w:t>
      </w:r>
      <w:proofErr w:type="spellEnd"/>
    </w:p>
    <w:p w14:paraId="3099DDC5" w14:textId="77777777" w:rsidR="004F28FC" w:rsidRPr="0065656B" w:rsidRDefault="004F28FC" w:rsidP="004F28FC">
      <w:pPr>
        <w:spacing w:after="0" w:line="240" w:lineRule="auto"/>
        <w:jc w:val="both"/>
        <w:rPr>
          <w:rFonts w:ascii="Verdana" w:hAnsi="Verdana"/>
        </w:rPr>
      </w:pPr>
      <w:r w:rsidRPr="0065656B">
        <w:rPr>
          <w:rFonts w:ascii="Verdana" w:hAnsi="Verdana"/>
        </w:rPr>
        <w:t xml:space="preserve">LinkedIn: </w:t>
      </w:r>
      <w:r w:rsidRPr="0065656B">
        <w:rPr>
          <w:rStyle w:val="Hipervnculo"/>
          <w:rFonts w:ascii="Verdana" w:hAnsi="Verdana"/>
          <w:color w:val="4472C4" w:themeColor="accent1"/>
        </w:rPr>
        <w:t>Agencia Nacional de Contratación Pública - Colombia Compra Eficiente</w:t>
      </w:r>
      <w:r w:rsidRPr="0065656B">
        <w:rPr>
          <w:rFonts w:ascii="Verdana" w:hAnsi="Verdana"/>
          <w:color w:val="4472C4" w:themeColor="accent1"/>
        </w:rPr>
        <w:t xml:space="preserve"> </w:t>
      </w:r>
      <w:r w:rsidRPr="0065656B">
        <w:rPr>
          <w:rFonts w:ascii="Verdana" w:hAnsi="Verdana"/>
        </w:rPr>
        <w:t xml:space="preserve">Instagram: </w:t>
      </w:r>
      <w:r w:rsidRPr="0065656B">
        <w:rPr>
          <w:rStyle w:val="Hipervnculo"/>
          <w:rFonts w:ascii="Verdana" w:hAnsi="Verdana"/>
          <w:color w:val="4472C4" w:themeColor="accent1"/>
        </w:rPr>
        <w:t>@colombiacompraeficiente_cce</w:t>
      </w:r>
    </w:p>
    <w:p w14:paraId="19DDA5A3" w14:textId="77777777" w:rsidR="004F28FC" w:rsidRPr="0065656B" w:rsidRDefault="004F28FC" w:rsidP="004F28FC">
      <w:pPr>
        <w:widowControl w:val="0"/>
        <w:autoSpaceDE w:val="0"/>
        <w:autoSpaceDN w:val="0"/>
        <w:spacing w:after="0" w:line="276" w:lineRule="auto"/>
        <w:jc w:val="both"/>
        <w:rPr>
          <w:rFonts w:ascii="Verdana" w:hAnsi="Verdana"/>
        </w:rPr>
      </w:pPr>
    </w:p>
    <w:p w14:paraId="6728143C" w14:textId="77777777" w:rsidR="004F28FC" w:rsidRPr="0065656B" w:rsidRDefault="004F28FC" w:rsidP="004F28FC">
      <w:pPr>
        <w:widowControl w:val="0"/>
        <w:autoSpaceDE w:val="0"/>
        <w:autoSpaceDN w:val="0"/>
        <w:spacing w:after="0" w:line="276" w:lineRule="auto"/>
        <w:jc w:val="both"/>
        <w:rPr>
          <w:rFonts w:ascii="Verdana" w:hAnsi="Verdana" w:cs="Arial"/>
          <w:lang w:val="es-ES_tradnl"/>
        </w:rPr>
      </w:pPr>
      <w:r w:rsidRPr="0065656B">
        <w:rPr>
          <w:rFonts w:ascii="Verdana" w:hAnsi="Verdana" w:cs="Arial"/>
        </w:rPr>
        <w:t xml:space="preserve">Este concepto tiene el alcance previsto en el artículo 28 del Código de Procedimiento Administrativo y de lo Contencioso Administrativo </w:t>
      </w:r>
      <w:r w:rsidRPr="0065656B">
        <w:rPr>
          <w:rFonts w:ascii="Verdana" w:hAnsi="Verdana" w:cs="Arial"/>
          <w:lang w:val="es-ES_tradnl"/>
        </w:rPr>
        <w:t>y las expresiones aquí utilizadas con mayúscula inicial deben ser entendidas con el significado que les otorga el artículo 2.2.1.1.1.3.1. del Decreto 1082 de 2015.</w:t>
      </w:r>
    </w:p>
    <w:p w14:paraId="079D4094" w14:textId="77777777" w:rsidR="004F28FC" w:rsidRPr="0065656B" w:rsidRDefault="004F28FC" w:rsidP="004F28FC">
      <w:pPr>
        <w:spacing w:after="0" w:line="276" w:lineRule="auto"/>
        <w:ind w:firstLine="709"/>
        <w:jc w:val="both"/>
        <w:rPr>
          <w:rFonts w:ascii="Verdana" w:eastAsia="Times New Roman" w:hAnsi="Verdana" w:cs="Arial"/>
          <w:szCs w:val="24"/>
          <w:lang w:val="es-ES_tradnl" w:eastAsia="es-ES_tradnl"/>
        </w:rPr>
      </w:pPr>
    </w:p>
    <w:p w14:paraId="36C32E21" w14:textId="77777777" w:rsidR="004F28FC" w:rsidRPr="0065656B" w:rsidRDefault="004F28FC" w:rsidP="004F28FC">
      <w:pPr>
        <w:spacing w:after="0" w:line="276" w:lineRule="auto"/>
        <w:jc w:val="both"/>
        <w:rPr>
          <w:rFonts w:ascii="Verdana" w:eastAsia="Times New Roman" w:hAnsi="Verdana" w:cs="Arial"/>
          <w:lang w:val="es-ES_tradnl" w:eastAsia="es-CO"/>
        </w:rPr>
      </w:pPr>
      <w:bookmarkStart w:id="0" w:name="_Hlk117695077"/>
      <w:r w:rsidRPr="0065656B">
        <w:rPr>
          <w:rFonts w:ascii="Verdana" w:eastAsia="Times New Roman" w:hAnsi="Verdana" w:cs="Arial"/>
          <w:lang w:val="es-ES_tradnl" w:eastAsia="es-CO"/>
        </w:rPr>
        <w:t>Atentamente,</w:t>
      </w:r>
    </w:p>
    <w:bookmarkEnd w:id="0"/>
    <w:p w14:paraId="46F30165" w14:textId="6713BAD2" w:rsidR="00200D48" w:rsidRPr="0065656B" w:rsidRDefault="00200D48" w:rsidP="00200D48">
      <w:pPr>
        <w:spacing w:line="276" w:lineRule="auto"/>
        <w:jc w:val="center"/>
        <w:rPr>
          <w:rFonts w:ascii="Verdana" w:hAnsi="Verdana"/>
        </w:rPr>
      </w:pPr>
    </w:p>
    <w:p w14:paraId="201593BE" w14:textId="2DB1ED36" w:rsidR="00FA309D" w:rsidRPr="0065656B" w:rsidRDefault="00B318A3" w:rsidP="00FA309D">
      <w:pPr>
        <w:spacing w:after="18" w:line="240" w:lineRule="auto"/>
        <w:jc w:val="center"/>
        <w:rPr>
          <w:rFonts w:ascii="Verdana" w:eastAsia="Times New Roman" w:hAnsi="Verdana" w:cs="Arial"/>
          <w:sz w:val="24"/>
          <w:szCs w:val="24"/>
          <w:lang w:eastAsia="es-CO"/>
        </w:rPr>
      </w:pPr>
      <w:r>
        <w:rPr>
          <w:rFonts w:ascii="Verdana" w:eastAsia="Times New Roman" w:hAnsi="Verdana" w:cs="Arial"/>
          <w:noProof/>
          <w:sz w:val="24"/>
          <w:szCs w:val="24"/>
          <w:lang w:eastAsia="es-CO"/>
        </w:rPr>
        <w:drawing>
          <wp:inline distT="0" distB="0" distL="0" distR="0" wp14:anchorId="1DE5F3AE" wp14:editId="5A03455E">
            <wp:extent cx="4164791" cy="1790700"/>
            <wp:effectExtent l="0" t="0" r="7620" b="0"/>
            <wp:docPr id="9965587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558752" name="Imagen 996558752"/>
                    <pic:cNvPicPr/>
                  </pic:nvPicPr>
                  <pic:blipFill>
                    <a:blip r:embed="rId16">
                      <a:extLst>
                        <a:ext uri="{28A0092B-C50C-407E-A947-70E740481C1C}">
                          <a14:useLocalDpi xmlns:a14="http://schemas.microsoft.com/office/drawing/2010/main" val="0"/>
                        </a:ext>
                      </a:extLst>
                    </a:blip>
                    <a:stretch>
                      <a:fillRect/>
                    </a:stretch>
                  </pic:blipFill>
                  <pic:spPr>
                    <a:xfrm>
                      <a:off x="0" y="0"/>
                      <a:ext cx="4169316" cy="1792645"/>
                    </a:xfrm>
                    <a:prstGeom prst="rect">
                      <a:avLst/>
                    </a:prstGeom>
                  </pic:spPr>
                </pic:pic>
              </a:graphicData>
            </a:graphic>
          </wp:inline>
        </w:drawing>
      </w:r>
    </w:p>
    <w:p w14:paraId="320ABCC6" w14:textId="77777777" w:rsidR="00BD7545" w:rsidRPr="0065656B" w:rsidRDefault="00BD7545" w:rsidP="00FA309D">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FA309D" w:rsidRPr="0065656B" w14:paraId="44601144" w14:textId="77777777" w:rsidTr="0090097C">
        <w:trPr>
          <w:trHeight w:val="286"/>
        </w:trPr>
        <w:tc>
          <w:tcPr>
            <w:tcW w:w="893" w:type="dxa"/>
            <w:vAlign w:val="center"/>
            <w:hideMark/>
          </w:tcPr>
          <w:p w14:paraId="76D1A0E9" w14:textId="77777777" w:rsidR="00FA309D" w:rsidRPr="0065656B" w:rsidRDefault="00FA309D" w:rsidP="0090097C">
            <w:pPr>
              <w:rPr>
                <w:rFonts w:ascii="Verdana" w:eastAsia="Times New Roman" w:hAnsi="Verdana" w:cs="Arial"/>
                <w:sz w:val="14"/>
                <w:szCs w:val="14"/>
                <w:lang w:eastAsia="es-ES"/>
              </w:rPr>
            </w:pPr>
            <w:r w:rsidRPr="0065656B">
              <w:rPr>
                <w:rFonts w:ascii="Verdana" w:eastAsia="Times New Roman" w:hAnsi="Verdana" w:cs="Arial"/>
                <w:sz w:val="16"/>
                <w:szCs w:val="16"/>
                <w:lang w:eastAsia="es-ES"/>
              </w:rPr>
              <w:t>Elaboró:</w:t>
            </w:r>
          </w:p>
        </w:tc>
        <w:tc>
          <w:tcPr>
            <w:tcW w:w="4777" w:type="dxa"/>
            <w:vAlign w:val="center"/>
            <w:hideMark/>
          </w:tcPr>
          <w:p w14:paraId="0F0C3A13" w14:textId="4AE86BAA" w:rsidR="00BD7545" w:rsidRPr="0065656B" w:rsidRDefault="00BD7545" w:rsidP="00BD7545">
            <w:pPr>
              <w:rPr>
                <w:rFonts w:ascii="Verdana" w:eastAsia="Times New Roman" w:hAnsi="Verdana" w:cs="Arial"/>
                <w:sz w:val="16"/>
                <w:szCs w:val="16"/>
                <w:lang w:val="es-ES" w:eastAsia="es-ES"/>
              </w:rPr>
            </w:pPr>
            <w:r w:rsidRPr="0065656B">
              <w:rPr>
                <w:rFonts w:ascii="Verdana" w:eastAsia="Times New Roman" w:hAnsi="Verdana" w:cs="Arial"/>
                <w:sz w:val="16"/>
                <w:szCs w:val="16"/>
                <w:lang w:val="es-ES" w:eastAsia="es-ES"/>
              </w:rPr>
              <w:t>Karol Andrea Gonzalez</w:t>
            </w:r>
          </w:p>
          <w:p w14:paraId="0202E6E2" w14:textId="631CABB7" w:rsidR="00FA309D" w:rsidRPr="0065656B" w:rsidRDefault="00BD7545" w:rsidP="00BD7545">
            <w:pPr>
              <w:rPr>
                <w:rFonts w:ascii="Verdana" w:eastAsia="Times New Roman" w:hAnsi="Verdana" w:cs="Arial"/>
                <w:sz w:val="14"/>
                <w:szCs w:val="14"/>
                <w:lang w:eastAsia="es-ES"/>
              </w:rPr>
            </w:pPr>
            <w:r w:rsidRPr="0065656B">
              <w:rPr>
                <w:rFonts w:ascii="Verdana" w:eastAsia="Times New Roman" w:hAnsi="Verdana" w:cs="Arial"/>
                <w:sz w:val="16"/>
                <w:szCs w:val="16"/>
                <w:lang w:eastAsia="es-ES"/>
              </w:rPr>
              <w:t>Contratista de la Subdirección de Gestión Contractual</w:t>
            </w:r>
          </w:p>
        </w:tc>
      </w:tr>
      <w:tr w:rsidR="00FA309D" w:rsidRPr="0065656B" w14:paraId="0872EF7C" w14:textId="77777777" w:rsidTr="0090097C">
        <w:trPr>
          <w:trHeight w:val="299"/>
        </w:trPr>
        <w:tc>
          <w:tcPr>
            <w:tcW w:w="893" w:type="dxa"/>
            <w:vAlign w:val="center"/>
            <w:hideMark/>
          </w:tcPr>
          <w:p w14:paraId="34833B24" w14:textId="77777777" w:rsidR="00FA309D" w:rsidRPr="0065656B" w:rsidRDefault="00FA309D" w:rsidP="0090097C">
            <w:pPr>
              <w:rPr>
                <w:rFonts w:ascii="Verdana" w:eastAsia="Times New Roman" w:hAnsi="Verdana" w:cs="Arial"/>
                <w:sz w:val="14"/>
                <w:szCs w:val="14"/>
                <w:lang w:eastAsia="es-ES"/>
              </w:rPr>
            </w:pPr>
            <w:r w:rsidRPr="0065656B">
              <w:rPr>
                <w:rFonts w:ascii="Verdana" w:eastAsia="Times New Roman" w:hAnsi="Verdana" w:cs="Arial"/>
                <w:sz w:val="16"/>
                <w:szCs w:val="16"/>
                <w:lang w:eastAsia="es-ES"/>
              </w:rPr>
              <w:t>Revisó:</w:t>
            </w:r>
          </w:p>
        </w:tc>
        <w:tc>
          <w:tcPr>
            <w:tcW w:w="4777" w:type="dxa"/>
            <w:vAlign w:val="center"/>
            <w:hideMark/>
          </w:tcPr>
          <w:p w14:paraId="2980B1F7" w14:textId="77777777" w:rsidR="00FA309D" w:rsidRPr="0065656B" w:rsidRDefault="00FA309D" w:rsidP="0090097C">
            <w:pPr>
              <w:rPr>
                <w:rFonts w:ascii="Verdana" w:eastAsia="Times New Roman" w:hAnsi="Verdana" w:cs="Arial"/>
                <w:sz w:val="16"/>
                <w:szCs w:val="16"/>
                <w:lang w:val="es-ES" w:eastAsia="es-ES"/>
              </w:rPr>
            </w:pPr>
            <w:r w:rsidRPr="0065656B">
              <w:rPr>
                <w:rFonts w:ascii="Verdana" w:eastAsia="Times New Roman" w:hAnsi="Verdana" w:cs="Arial"/>
                <w:sz w:val="16"/>
                <w:szCs w:val="16"/>
                <w:lang w:val="es-ES" w:eastAsia="es-ES"/>
              </w:rPr>
              <w:t>Juan Carlos Gonzalez</w:t>
            </w:r>
          </w:p>
          <w:p w14:paraId="49381B0F" w14:textId="77777777" w:rsidR="00FA309D" w:rsidRPr="0065656B" w:rsidRDefault="00FA309D" w:rsidP="0090097C">
            <w:pPr>
              <w:rPr>
                <w:rFonts w:ascii="Verdana" w:eastAsia="Times New Roman" w:hAnsi="Verdana" w:cs="Arial"/>
                <w:sz w:val="14"/>
                <w:szCs w:val="14"/>
                <w:lang w:eastAsia="es-ES"/>
              </w:rPr>
            </w:pPr>
            <w:r w:rsidRPr="0065656B">
              <w:rPr>
                <w:rFonts w:ascii="Verdana" w:eastAsia="Times New Roman" w:hAnsi="Verdana" w:cs="Arial"/>
                <w:sz w:val="16"/>
                <w:szCs w:val="16"/>
                <w:lang w:eastAsia="es-ES"/>
              </w:rPr>
              <w:t>Contratista de la Subdirección de Gestión Contractual</w:t>
            </w:r>
          </w:p>
        </w:tc>
      </w:tr>
      <w:tr w:rsidR="00FA309D" w:rsidRPr="00CC5C68" w14:paraId="5C2A7C89" w14:textId="77777777" w:rsidTr="0090097C">
        <w:trPr>
          <w:trHeight w:val="272"/>
        </w:trPr>
        <w:tc>
          <w:tcPr>
            <w:tcW w:w="893" w:type="dxa"/>
            <w:vAlign w:val="center"/>
            <w:hideMark/>
          </w:tcPr>
          <w:p w14:paraId="3C5A2424" w14:textId="77777777" w:rsidR="00FA309D" w:rsidRPr="0065656B" w:rsidRDefault="00FA309D" w:rsidP="0090097C">
            <w:pPr>
              <w:rPr>
                <w:rFonts w:ascii="Verdana" w:eastAsia="Times New Roman" w:hAnsi="Verdana" w:cs="Arial"/>
                <w:sz w:val="14"/>
                <w:szCs w:val="14"/>
                <w:lang w:eastAsia="es-ES"/>
              </w:rPr>
            </w:pPr>
            <w:r w:rsidRPr="0065656B">
              <w:rPr>
                <w:rFonts w:ascii="Verdana" w:eastAsia="Times New Roman" w:hAnsi="Verdana" w:cs="Arial"/>
                <w:sz w:val="16"/>
                <w:szCs w:val="16"/>
                <w:lang w:eastAsia="es-ES"/>
              </w:rPr>
              <w:t>Aprobó:</w:t>
            </w:r>
          </w:p>
        </w:tc>
        <w:tc>
          <w:tcPr>
            <w:tcW w:w="4777" w:type="dxa"/>
            <w:vAlign w:val="center"/>
            <w:hideMark/>
          </w:tcPr>
          <w:p w14:paraId="6929467A" w14:textId="77777777" w:rsidR="00FA309D" w:rsidRPr="0065656B" w:rsidRDefault="00FA309D" w:rsidP="0090097C">
            <w:pPr>
              <w:rPr>
                <w:rFonts w:ascii="Verdana" w:eastAsia="Times New Roman" w:hAnsi="Verdana" w:cs="Arial"/>
                <w:sz w:val="16"/>
                <w:szCs w:val="16"/>
                <w:lang w:eastAsia="es-ES"/>
              </w:rPr>
            </w:pPr>
            <w:r w:rsidRPr="0065656B">
              <w:rPr>
                <w:rFonts w:ascii="Verdana" w:eastAsia="Times New Roman" w:hAnsi="Verdana" w:cs="Arial"/>
                <w:sz w:val="16"/>
                <w:szCs w:val="16"/>
                <w:lang w:eastAsia="es-ES"/>
              </w:rPr>
              <w:t xml:space="preserve">Carolina Quintero </w:t>
            </w:r>
            <w:proofErr w:type="spellStart"/>
            <w:r w:rsidRPr="0065656B">
              <w:rPr>
                <w:rFonts w:ascii="Verdana" w:eastAsia="Times New Roman" w:hAnsi="Verdana" w:cs="Arial"/>
                <w:sz w:val="16"/>
                <w:szCs w:val="16"/>
                <w:lang w:eastAsia="es-ES"/>
              </w:rPr>
              <w:t>Gacharná</w:t>
            </w:r>
            <w:proofErr w:type="spellEnd"/>
          </w:p>
          <w:p w14:paraId="6F81A882" w14:textId="77777777" w:rsidR="00FA309D" w:rsidRPr="00CC5C68" w:rsidRDefault="00FA309D" w:rsidP="0090097C">
            <w:pPr>
              <w:rPr>
                <w:rFonts w:ascii="Verdana" w:eastAsia="Times New Roman" w:hAnsi="Verdana" w:cs="Arial"/>
                <w:sz w:val="14"/>
                <w:szCs w:val="14"/>
                <w:lang w:eastAsia="es-ES"/>
              </w:rPr>
            </w:pPr>
            <w:r w:rsidRPr="0065656B">
              <w:rPr>
                <w:rFonts w:ascii="Verdana" w:eastAsia="Times New Roman" w:hAnsi="Verdana" w:cs="Arial"/>
                <w:sz w:val="16"/>
                <w:szCs w:val="16"/>
                <w:lang w:eastAsia="es-ES"/>
              </w:rPr>
              <w:t>Subdirectora de Gestión Contractual ANCP – CCE</w:t>
            </w:r>
          </w:p>
        </w:tc>
      </w:tr>
    </w:tbl>
    <w:p w14:paraId="64F8709B" w14:textId="77777777" w:rsidR="00FA309D" w:rsidRPr="00CC5C68" w:rsidRDefault="00FA309D" w:rsidP="00FA309D">
      <w:pPr>
        <w:spacing w:after="0" w:line="276" w:lineRule="auto"/>
        <w:jc w:val="both"/>
        <w:rPr>
          <w:rFonts w:ascii="Verdana" w:eastAsia="Times New Roman" w:hAnsi="Verdana" w:cs="Arial"/>
          <w:lang w:val="es-ES_tradnl"/>
        </w:rPr>
      </w:pPr>
    </w:p>
    <w:p w14:paraId="2A04C62C" w14:textId="77777777" w:rsidR="00FA309D" w:rsidRPr="00CC5C68" w:rsidRDefault="00FA309D" w:rsidP="00FA309D">
      <w:pPr>
        <w:spacing w:after="0" w:line="240" w:lineRule="auto"/>
        <w:rPr>
          <w:rFonts w:ascii="Verdana" w:eastAsia="Times New Roman" w:hAnsi="Verdana" w:cs="Arial"/>
          <w:sz w:val="24"/>
          <w:szCs w:val="24"/>
          <w:lang w:eastAsia="es-ES_tradnl"/>
        </w:rPr>
      </w:pPr>
    </w:p>
    <w:p w14:paraId="143353FD" w14:textId="77777777" w:rsidR="00FA309D" w:rsidRPr="00CC5C68" w:rsidRDefault="00FA309D" w:rsidP="00FA309D">
      <w:pPr>
        <w:rPr>
          <w:rFonts w:ascii="Verdana" w:hAnsi="Verdana"/>
        </w:rPr>
      </w:pPr>
    </w:p>
    <w:p w14:paraId="1029C7C3" w14:textId="77777777" w:rsidR="00FA309D" w:rsidRPr="002A2C48" w:rsidRDefault="00FA309D" w:rsidP="00FA309D"/>
    <w:p w14:paraId="1FFBCE5C" w14:textId="77777777" w:rsidR="00200D48" w:rsidRPr="00960F72" w:rsidRDefault="00200D48" w:rsidP="00200D48"/>
    <w:p w14:paraId="1A28572C" w14:textId="77777777" w:rsidR="00200D48" w:rsidRPr="00960F72" w:rsidRDefault="00200D48" w:rsidP="00200D48"/>
    <w:p w14:paraId="18A502DC" w14:textId="77777777" w:rsidR="00200D48" w:rsidRPr="00960F72" w:rsidRDefault="00200D48" w:rsidP="00200D48"/>
    <w:p w14:paraId="0D6B7D87" w14:textId="77777777" w:rsidR="00200D48" w:rsidRPr="00960F72" w:rsidRDefault="00200D48" w:rsidP="00200D48"/>
    <w:p w14:paraId="6FBB6215" w14:textId="77777777" w:rsidR="00200D48" w:rsidRPr="003B6CA8" w:rsidRDefault="00200D48" w:rsidP="00200D48"/>
    <w:p w14:paraId="02AEA8C2" w14:textId="77777777" w:rsidR="00200D48" w:rsidRPr="00B2454C" w:rsidRDefault="00200D48" w:rsidP="00200D48"/>
    <w:p w14:paraId="018CC7F6" w14:textId="77777777" w:rsidR="00200D48" w:rsidRPr="00E4193C" w:rsidRDefault="00200D48" w:rsidP="00200D48"/>
    <w:p w14:paraId="0F293BF4" w14:textId="3960AE23" w:rsidR="00127233" w:rsidRPr="00200D48" w:rsidRDefault="00127233" w:rsidP="00200D48"/>
    <w:sectPr w:rsidR="00127233" w:rsidRPr="00200D4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FDD07" w14:textId="77777777" w:rsidR="007C7AB0" w:rsidRDefault="007C7AB0" w:rsidP="004A1847">
      <w:pPr>
        <w:spacing w:after="0" w:line="240" w:lineRule="auto"/>
      </w:pPr>
      <w:r>
        <w:separator/>
      </w:r>
    </w:p>
  </w:endnote>
  <w:endnote w:type="continuationSeparator" w:id="0">
    <w:p w14:paraId="09F8A612" w14:textId="77777777" w:rsidR="007C7AB0" w:rsidRDefault="007C7AB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F15B6" w14:textId="77777777" w:rsidR="007C7AB0" w:rsidRDefault="007C7AB0" w:rsidP="004A1847">
      <w:pPr>
        <w:spacing w:after="0" w:line="240" w:lineRule="auto"/>
      </w:pPr>
      <w:r>
        <w:separator/>
      </w:r>
    </w:p>
  </w:footnote>
  <w:footnote w:type="continuationSeparator" w:id="0">
    <w:p w14:paraId="5712D476" w14:textId="77777777" w:rsidR="007C7AB0" w:rsidRDefault="007C7AB0" w:rsidP="004A1847">
      <w:pPr>
        <w:spacing w:after="0" w:line="240" w:lineRule="auto"/>
      </w:pPr>
      <w:r>
        <w:continuationSeparator/>
      </w:r>
    </w:p>
  </w:footnote>
  <w:footnote w:id="1">
    <w:p w14:paraId="7BC0A9E0" w14:textId="05B57DA5" w:rsidR="00BD7545" w:rsidRPr="00BD7545" w:rsidRDefault="00BD7545">
      <w:pPr>
        <w:pStyle w:val="Textonotapie"/>
        <w:rPr>
          <w:lang w:val="es-ES"/>
        </w:rPr>
      </w:pPr>
      <w:r>
        <w:rPr>
          <w:rStyle w:val="Refdenotaalpie"/>
        </w:rPr>
        <w:footnoteRef/>
      </w:r>
      <w:r w:rsidRPr="00BD7545">
        <w:t>https://www.colombiacompra.gov.co/wpcontent/uploads/2025/04/guia_para_el_manejo_de_ofertas_artifialmente_bajas.pdf</w:t>
      </w:r>
    </w:p>
  </w:footnote>
  <w:footnote w:id="2">
    <w:p w14:paraId="78CD82F3" w14:textId="77777777" w:rsidR="004F28FC" w:rsidRPr="00666BAC" w:rsidRDefault="004F28FC" w:rsidP="004F28FC">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7F2591BE" w14:textId="77777777" w:rsidR="004F28FC" w:rsidRPr="00666BAC" w:rsidRDefault="004F28FC" w:rsidP="004F28FC">
      <w:pPr>
        <w:spacing w:after="0" w:line="240" w:lineRule="auto"/>
        <w:ind w:firstLine="709"/>
        <w:jc w:val="both"/>
        <w:rPr>
          <w:rFonts w:ascii="Verdana" w:hAnsi="Verdana"/>
          <w:sz w:val="16"/>
          <w:szCs w:val="16"/>
        </w:rPr>
      </w:pPr>
      <w:r w:rsidRPr="00666BAC">
        <w:rPr>
          <w:rFonts w:ascii="Verdana" w:hAnsi="Verdana"/>
          <w:sz w:val="16"/>
          <w:szCs w:val="16"/>
        </w:rPr>
        <w:t>[…]</w:t>
      </w:r>
    </w:p>
    <w:p w14:paraId="5F5534C3" w14:textId="77777777" w:rsidR="004F28FC" w:rsidRPr="00666BAC" w:rsidRDefault="004F28FC" w:rsidP="004F28FC">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3">
    <w:p w14:paraId="62D5F7BA" w14:textId="77777777" w:rsidR="004F28FC" w:rsidRPr="00666BAC" w:rsidRDefault="004F28FC" w:rsidP="004F28FC">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458D8112" w14:textId="77777777" w:rsidR="004F28FC" w:rsidRPr="00666BAC" w:rsidRDefault="004F28FC" w:rsidP="004F28FC">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609D7BF5" w14:textId="77777777" w:rsidR="004F28FC" w:rsidRPr="00666BAC" w:rsidRDefault="004F28FC" w:rsidP="004F28FC">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4">
    <w:p w14:paraId="14A95FD7" w14:textId="77777777" w:rsidR="004F28FC" w:rsidRPr="00666BAC" w:rsidRDefault="004F28FC" w:rsidP="004F28FC">
      <w:pPr>
        <w:pStyle w:val="Textonotapie"/>
        <w:ind w:firstLine="708"/>
        <w:jc w:val="both"/>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AGENCIA NACIONAL DE CONTRATACIÓN PÚBLICA –COLOMBIA COMPRA EFICIENTE. Guía para el manejo de ofertas artificialmente bajas en procesos de contratación. Disponible en línea: </w:t>
      </w:r>
      <w:hyperlink r:id="rId1" w:history="1">
        <w:r w:rsidRPr="00666BAC">
          <w:rPr>
            <w:rStyle w:val="Hipervnculo"/>
            <w:rFonts w:ascii="Verdana" w:hAnsi="Verdana"/>
            <w:sz w:val="16"/>
            <w:szCs w:val="16"/>
          </w:rPr>
          <w:t>https://www.colombiacompra.gov.co/archivos/manual/guia-para-el-manejo-de-ofertas-artificialmente-bajas-en-procesos-de-contratacion-2</w:t>
        </w:r>
      </w:hyperlink>
      <w:r w:rsidRPr="00666BAC">
        <w:rPr>
          <w:rFonts w:ascii="Verdana" w:hAnsi="Verdana"/>
          <w:sz w:val="16"/>
          <w:szCs w:val="16"/>
        </w:rPr>
        <w:t xml:space="preserve">. 2024. p.14. </w:t>
      </w:r>
    </w:p>
  </w:footnote>
  <w:footnote w:id="5">
    <w:p w14:paraId="40CE7BEB" w14:textId="77777777" w:rsidR="004F28FC" w:rsidRPr="00666BAC" w:rsidRDefault="004F28FC" w:rsidP="004F28FC">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14. </w:t>
      </w:r>
    </w:p>
  </w:footnote>
  <w:footnote w:id="6">
    <w:p w14:paraId="4C74C4C8" w14:textId="77777777" w:rsidR="004F28FC" w:rsidRPr="00666BAC" w:rsidRDefault="004F28FC" w:rsidP="004F28FC">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15. </w:t>
      </w:r>
    </w:p>
  </w:footnote>
  <w:footnote w:id="7">
    <w:p w14:paraId="36AE0167" w14:textId="77777777" w:rsidR="004F28FC" w:rsidRPr="00666BAC" w:rsidRDefault="004F28FC" w:rsidP="004F28FC">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Ibidem., p. 16.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C0276A9"/>
    <w:multiLevelType w:val="hybridMultilevel"/>
    <w:tmpl w:val="6484BC98"/>
    <w:lvl w:ilvl="0" w:tplc="0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3"/>
  </w:num>
  <w:num w:numId="14">
    <w:abstractNumId w:val="16"/>
  </w:num>
  <w:num w:numId="15">
    <w:abstractNumId w:val="12"/>
  </w:num>
  <w:num w:numId="16">
    <w:abstractNumId w:val="0"/>
  </w:num>
  <w:num w:numId="17">
    <w:abstractNumId w:val="10"/>
  </w:num>
  <w:num w:numId="18">
    <w:abstractNumId w:val="4"/>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41CD"/>
    <w:rsid w:val="00125105"/>
    <w:rsid w:val="00127233"/>
    <w:rsid w:val="00143378"/>
    <w:rsid w:val="001E4177"/>
    <w:rsid w:val="001F7DC6"/>
    <w:rsid w:val="00200D48"/>
    <w:rsid w:val="00222330"/>
    <w:rsid w:val="002421BB"/>
    <w:rsid w:val="0025796E"/>
    <w:rsid w:val="002707A2"/>
    <w:rsid w:val="002951A0"/>
    <w:rsid w:val="002962BC"/>
    <w:rsid w:val="002A093D"/>
    <w:rsid w:val="002A0DD0"/>
    <w:rsid w:val="002A49AC"/>
    <w:rsid w:val="002A54D8"/>
    <w:rsid w:val="002A64FD"/>
    <w:rsid w:val="002C7A84"/>
    <w:rsid w:val="002E4FD9"/>
    <w:rsid w:val="00322A85"/>
    <w:rsid w:val="00324168"/>
    <w:rsid w:val="003448F4"/>
    <w:rsid w:val="00374F5E"/>
    <w:rsid w:val="00377E3E"/>
    <w:rsid w:val="003A779E"/>
    <w:rsid w:val="003D0F4D"/>
    <w:rsid w:val="003D5B0D"/>
    <w:rsid w:val="003E0499"/>
    <w:rsid w:val="003E50C7"/>
    <w:rsid w:val="003F3941"/>
    <w:rsid w:val="00406575"/>
    <w:rsid w:val="00414C74"/>
    <w:rsid w:val="0042722E"/>
    <w:rsid w:val="0044528D"/>
    <w:rsid w:val="00445D4C"/>
    <w:rsid w:val="00447843"/>
    <w:rsid w:val="004639F3"/>
    <w:rsid w:val="004A1847"/>
    <w:rsid w:val="004A305D"/>
    <w:rsid w:val="004F21C4"/>
    <w:rsid w:val="004F28FC"/>
    <w:rsid w:val="004F685F"/>
    <w:rsid w:val="0052338F"/>
    <w:rsid w:val="005566E8"/>
    <w:rsid w:val="00574867"/>
    <w:rsid w:val="00591460"/>
    <w:rsid w:val="005A610C"/>
    <w:rsid w:val="005A7895"/>
    <w:rsid w:val="005B14AD"/>
    <w:rsid w:val="005C3777"/>
    <w:rsid w:val="005C5CDC"/>
    <w:rsid w:val="005D476C"/>
    <w:rsid w:val="005E37DC"/>
    <w:rsid w:val="006219F8"/>
    <w:rsid w:val="006302F7"/>
    <w:rsid w:val="00645C37"/>
    <w:rsid w:val="0065656B"/>
    <w:rsid w:val="00665D70"/>
    <w:rsid w:val="006900D9"/>
    <w:rsid w:val="006A760C"/>
    <w:rsid w:val="006D19BB"/>
    <w:rsid w:val="00706C16"/>
    <w:rsid w:val="00756841"/>
    <w:rsid w:val="007649AB"/>
    <w:rsid w:val="00771D0C"/>
    <w:rsid w:val="007833AC"/>
    <w:rsid w:val="007B268C"/>
    <w:rsid w:val="007B7171"/>
    <w:rsid w:val="007C0C0F"/>
    <w:rsid w:val="007C3DC2"/>
    <w:rsid w:val="007C7AB0"/>
    <w:rsid w:val="007E5497"/>
    <w:rsid w:val="00806F5F"/>
    <w:rsid w:val="00820278"/>
    <w:rsid w:val="00867F95"/>
    <w:rsid w:val="008843B6"/>
    <w:rsid w:val="00891928"/>
    <w:rsid w:val="00897A3A"/>
    <w:rsid w:val="008A446D"/>
    <w:rsid w:val="008D180B"/>
    <w:rsid w:val="008D6547"/>
    <w:rsid w:val="008F0EA7"/>
    <w:rsid w:val="008F2A75"/>
    <w:rsid w:val="00902E9A"/>
    <w:rsid w:val="00923EEF"/>
    <w:rsid w:val="009419F9"/>
    <w:rsid w:val="0095685E"/>
    <w:rsid w:val="00961B09"/>
    <w:rsid w:val="00965334"/>
    <w:rsid w:val="0097093E"/>
    <w:rsid w:val="009A0DFA"/>
    <w:rsid w:val="009B25A8"/>
    <w:rsid w:val="009B2D26"/>
    <w:rsid w:val="009C71FA"/>
    <w:rsid w:val="009C72E7"/>
    <w:rsid w:val="009D3058"/>
    <w:rsid w:val="009F3A13"/>
    <w:rsid w:val="00A0491A"/>
    <w:rsid w:val="00A122D3"/>
    <w:rsid w:val="00A17F13"/>
    <w:rsid w:val="00A20739"/>
    <w:rsid w:val="00A33C78"/>
    <w:rsid w:val="00A64B34"/>
    <w:rsid w:val="00AA2ECF"/>
    <w:rsid w:val="00AB0ADB"/>
    <w:rsid w:val="00B00C0E"/>
    <w:rsid w:val="00B01B1A"/>
    <w:rsid w:val="00B318A3"/>
    <w:rsid w:val="00B44A47"/>
    <w:rsid w:val="00B72CD3"/>
    <w:rsid w:val="00B72FFF"/>
    <w:rsid w:val="00BB37EB"/>
    <w:rsid w:val="00BC3D36"/>
    <w:rsid w:val="00BD7545"/>
    <w:rsid w:val="00BD7F72"/>
    <w:rsid w:val="00BE34C2"/>
    <w:rsid w:val="00C04FB3"/>
    <w:rsid w:val="00C330EB"/>
    <w:rsid w:val="00C754BE"/>
    <w:rsid w:val="00C76B1C"/>
    <w:rsid w:val="00CB6357"/>
    <w:rsid w:val="00CC1B26"/>
    <w:rsid w:val="00CD02A7"/>
    <w:rsid w:val="00D359E0"/>
    <w:rsid w:val="00D423A2"/>
    <w:rsid w:val="00D520D8"/>
    <w:rsid w:val="00D63AC2"/>
    <w:rsid w:val="00D7383B"/>
    <w:rsid w:val="00DA231B"/>
    <w:rsid w:val="00DC39FC"/>
    <w:rsid w:val="00DF5254"/>
    <w:rsid w:val="00E16408"/>
    <w:rsid w:val="00E20894"/>
    <w:rsid w:val="00E245AB"/>
    <w:rsid w:val="00E2764C"/>
    <w:rsid w:val="00E27F2E"/>
    <w:rsid w:val="00E50AFE"/>
    <w:rsid w:val="00E707AB"/>
    <w:rsid w:val="00E75C92"/>
    <w:rsid w:val="00E771DC"/>
    <w:rsid w:val="00E8772A"/>
    <w:rsid w:val="00E90F6B"/>
    <w:rsid w:val="00E92C27"/>
    <w:rsid w:val="00EA0E3D"/>
    <w:rsid w:val="00EC38A7"/>
    <w:rsid w:val="00EE1AA8"/>
    <w:rsid w:val="00F11C60"/>
    <w:rsid w:val="00F31EDC"/>
    <w:rsid w:val="00F462B3"/>
    <w:rsid w:val="00F5664F"/>
    <w:rsid w:val="00F666C4"/>
    <w:rsid w:val="00F76AFC"/>
    <w:rsid w:val="00FA309D"/>
    <w:rsid w:val="00FA47C0"/>
    <w:rsid w:val="00FB5481"/>
    <w:rsid w:val="00FB5DD1"/>
    <w:rsid w:val="00FC2B5D"/>
    <w:rsid w:val="00FF1449"/>
    <w:rsid w:val="00FF23C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00D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00D48"/>
    <w:rPr>
      <w:rFonts w:ascii="Geomanist Light" w:hAnsi="Geomanist Light"/>
      <w:lang w:val="es-ES"/>
    </w:rPr>
  </w:style>
  <w:style w:type="paragraph" w:styleId="Textoindependiente">
    <w:name w:val="Body Text"/>
    <w:basedOn w:val="Normal"/>
    <w:link w:val="TextoindependienteCar"/>
    <w:uiPriority w:val="1"/>
    <w:qFormat/>
    <w:rsid w:val="00200D48"/>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200D48"/>
    <w:rPr>
      <w:rFonts w:ascii="Arial" w:eastAsia="Arial" w:hAnsi="Arial" w:cs="Arial"/>
      <w:lang w:val="es-ES"/>
    </w:rPr>
  </w:style>
  <w:style w:type="character" w:customStyle="1" w:styleId="s15">
    <w:name w:val="s15"/>
    <w:basedOn w:val="Fuentedeprrafopredeter"/>
    <w:rsid w:val="00CD02A7"/>
  </w:style>
  <w:style w:type="character" w:customStyle="1" w:styleId="apple-converted-space">
    <w:name w:val="apple-converted-space"/>
    <w:basedOn w:val="Fuentedeprrafopredeter"/>
    <w:rsid w:val="00CD02A7"/>
  </w:style>
  <w:style w:type="table" w:customStyle="1" w:styleId="Tablaconcuadrcula1">
    <w:name w:val="Tabla con cuadrícula1"/>
    <w:basedOn w:val="Tablanormal"/>
    <w:next w:val="Tablaconcuadrcula"/>
    <w:uiPriority w:val="59"/>
    <w:qFormat/>
    <w:rsid w:val="00FA309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el-manejo-de-ofertas-artificialmente-bajas-en-procesos-de-contratacion-2"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onne.rincon@fac.mil.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261114-F807-4D78-8A27-F6EDD70F7319}">
  <ds:schemaRefs>
    <ds:schemaRef ds:uri="http://schemas.openxmlformats.org/officeDocument/2006/bibliography"/>
  </ds:schemaRefs>
</ds:datastoreItem>
</file>

<file path=customXml/itemProps2.xml><?xml version="1.0" encoding="utf-8"?>
<ds:datastoreItem xmlns:ds="http://schemas.openxmlformats.org/officeDocument/2006/customXml" ds:itemID="{5C788FA3-03B8-4094-9E0F-A373C2C72A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http://schemas.microsoft.com/office/2006/documentManagement/types"/>
    <ds:schemaRef ds:uri="9d85dbaf-23eb-4e57-a637-93dcacc8b1a1"/>
    <ds:schemaRef ds:uri="http://schemas.microsoft.com/office/2006/metadata/properties"/>
    <ds:schemaRef ds:uri="http://purl.org/dc/elements/1.1/"/>
    <ds:schemaRef ds:uri="http://purl.org/dc/dcmitype/"/>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4044</Words>
  <Characters>22243</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2025-11-06T00:54:00Z</dcterms:created>
  <dcterms:modified xsi:type="dcterms:W3CDTF">2025-11-06T00:54:00Z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