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F36B9" w14:textId="77777777" w:rsidR="00BC41EA" w:rsidRPr="00BC41EA" w:rsidRDefault="00BC41EA" w:rsidP="00BC41EA">
      <w:pPr>
        <w:spacing w:after="0" w:line="276" w:lineRule="auto"/>
        <w:jc w:val="both"/>
        <w:rPr>
          <w:rFonts w:ascii="Verdana" w:eastAsia="Calibri" w:hAnsi="Verdana" w:cs="Arial"/>
          <w:b/>
          <w:bCs/>
          <w:lang w:val="es-ES_tradnl"/>
        </w:rPr>
      </w:pPr>
      <w:bookmarkStart w:id="0" w:name="_Hlk143780582"/>
      <w:r w:rsidRPr="00BC41EA">
        <w:rPr>
          <w:rFonts w:ascii="Verdana" w:eastAsia="Calibri" w:hAnsi="Verdana" w:cs="Arial"/>
          <w:b/>
          <w:bCs/>
          <w:lang w:val="es-ES_tradnl"/>
        </w:rPr>
        <w:t xml:space="preserve">DOCUMENTOS TIPO – Fundamento normativo – Obligatoriedad </w:t>
      </w:r>
    </w:p>
    <w:p w14:paraId="05232FA1" w14:textId="77777777" w:rsidR="00BC41EA" w:rsidRPr="00BC41EA" w:rsidRDefault="00BC41EA" w:rsidP="00BC41EA">
      <w:pPr>
        <w:spacing w:after="0" w:line="276" w:lineRule="auto"/>
        <w:jc w:val="both"/>
        <w:rPr>
          <w:rFonts w:ascii="Verdana" w:eastAsia="Calibri" w:hAnsi="Verdana" w:cs="Arial"/>
          <w:b/>
          <w:bCs/>
          <w:sz w:val="20"/>
          <w:szCs w:val="20"/>
          <w:lang w:val="es-ES_tradnl"/>
        </w:rPr>
      </w:pPr>
    </w:p>
    <w:p w14:paraId="31E6E47E" w14:textId="77777777" w:rsidR="00BC41EA" w:rsidRPr="00BC41EA" w:rsidRDefault="00BC41EA" w:rsidP="00BC41EA">
      <w:pPr>
        <w:tabs>
          <w:tab w:val="left" w:pos="709"/>
        </w:tabs>
        <w:spacing w:after="0" w:line="240" w:lineRule="auto"/>
        <w:jc w:val="both"/>
        <w:rPr>
          <w:rFonts w:ascii="Verdana" w:eastAsia="Calibri" w:hAnsi="Verdana" w:cs="Arial"/>
          <w:sz w:val="20"/>
          <w:szCs w:val="20"/>
          <w:lang w:val="es-ES"/>
        </w:rPr>
      </w:pPr>
      <w:r w:rsidRPr="00BC41EA">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1D887AD" w14:textId="77777777" w:rsidR="00BC41EA" w:rsidRPr="00BC41EA" w:rsidRDefault="00BC41EA" w:rsidP="00BC41EA">
      <w:pPr>
        <w:spacing w:after="0" w:line="276" w:lineRule="auto"/>
        <w:jc w:val="both"/>
        <w:rPr>
          <w:rFonts w:ascii="Verdana" w:eastAsia="Calibri" w:hAnsi="Verdana" w:cs="Arial"/>
          <w:b/>
          <w:bCs/>
          <w:sz w:val="20"/>
          <w:szCs w:val="20"/>
          <w:lang w:val="es-ES_tradnl"/>
        </w:rPr>
      </w:pPr>
    </w:p>
    <w:p w14:paraId="6AD9996A" w14:textId="77777777" w:rsidR="00BC41EA" w:rsidRPr="00BC41EA" w:rsidRDefault="00BC41EA" w:rsidP="00BC41EA">
      <w:pPr>
        <w:spacing w:after="0" w:line="276" w:lineRule="auto"/>
        <w:jc w:val="both"/>
        <w:rPr>
          <w:rFonts w:ascii="Verdana" w:eastAsia="Calibri" w:hAnsi="Verdana" w:cs="Arial"/>
          <w:b/>
          <w:bCs/>
          <w:lang w:val="es-ES_tradnl"/>
        </w:rPr>
      </w:pPr>
      <w:r w:rsidRPr="00BC41EA">
        <w:rPr>
          <w:rFonts w:ascii="Verdana" w:eastAsia="Calibri" w:hAnsi="Verdana" w:cs="Arial"/>
          <w:b/>
          <w:bCs/>
          <w:lang w:val="es-ES_tradnl"/>
        </w:rPr>
        <w:t>DOCUMENTOS TIPO – Infraestructura social – Sector cultura, recreación y deporte</w:t>
      </w:r>
    </w:p>
    <w:p w14:paraId="38DF5FBC" w14:textId="77777777" w:rsidR="00BC41EA" w:rsidRPr="00BC41EA" w:rsidRDefault="00BC41EA" w:rsidP="00BC41EA">
      <w:pPr>
        <w:spacing w:after="0" w:line="276" w:lineRule="auto"/>
        <w:jc w:val="both"/>
        <w:rPr>
          <w:rFonts w:ascii="Verdana" w:eastAsia="Calibri" w:hAnsi="Verdana" w:cs="Arial"/>
          <w:b/>
          <w:bCs/>
          <w:lang w:val="es-ES_tradnl"/>
        </w:rPr>
      </w:pPr>
    </w:p>
    <w:p w14:paraId="6C68932D" w14:textId="77777777" w:rsidR="00BC41EA" w:rsidRPr="00BC41EA" w:rsidRDefault="00BC41EA" w:rsidP="00BC41EA">
      <w:pPr>
        <w:widowControl w:val="0"/>
        <w:autoSpaceDE w:val="0"/>
        <w:autoSpaceDN w:val="0"/>
        <w:spacing w:after="0" w:line="240" w:lineRule="auto"/>
        <w:jc w:val="both"/>
        <w:rPr>
          <w:rFonts w:ascii="Verdana" w:eastAsia="Calibri" w:hAnsi="Verdana" w:cs="Times New Roman"/>
          <w:sz w:val="20"/>
          <w:szCs w:val="20"/>
          <w:lang w:val="es-ES"/>
        </w:rPr>
      </w:pPr>
      <w:r w:rsidRPr="00BC41EA">
        <w:rPr>
          <w:rFonts w:ascii="Verdana" w:eastAsia="Calibri" w:hAnsi="Verdana" w:cs="Times New Roman"/>
          <w:sz w:val="20"/>
          <w:szCs w:val="20"/>
          <w:lang w:val="es-ES"/>
        </w:rPr>
        <w:t xml:space="preserve">(…) Resolución </w:t>
      </w:r>
      <w:r w:rsidRPr="00BC41EA">
        <w:rPr>
          <w:rFonts w:ascii="Verdana" w:eastAsia="Calibri" w:hAnsi="Verdana" w:cs="Arial"/>
          <w:kern w:val="2"/>
          <w:sz w:val="20"/>
          <w:szCs w:val="20"/>
          <w14:ligatures w14:val="standardContextual"/>
        </w:rPr>
        <w:t xml:space="preserve">454 del 16 de diciembre de 2021, mediante la cual se acogieron los documentos tipo complementarios aplicables al sector cultura, recreación y deporte.  </w:t>
      </w:r>
      <w:r w:rsidRPr="00BC41EA">
        <w:rPr>
          <w:rFonts w:ascii="Verdana" w:eastAsia="Calibri" w:hAnsi="Verdana" w:cs="Times New Roman"/>
          <w:sz w:val="20"/>
          <w:szCs w:val="20"/>
          <w:lang w:val="es-ES"/>
        </w:rPr>
        <w:t xml:space="preserve">El artículo 2 de esa Resolución, adopta el "Anexo -Glosario" y la "Matriz – Experiencia” para proyectos de infraestructura social asociada al sector cultura, recreación y deporte. Estos dos (2) documentos definen el alcance para ese sector específicamente. </w:t>
      </w:r>
    </w:p>
    <w:p w14:paraId="02E30410" w14:textId="77777777" w:rsidR="00BC41EA" w:rsidRPr="00BC41EA" w:rsidRDefault="00BC41EA" w:rsidP="00BC41EA">
      <w:pPr>
        <w:spacing w:after="0" w:line="276" w:lineRule="auto"/>
        <w:jc w:val="both"/>
        <w:rPr>
          <w:rFonts w:ascii="Verdana" w:eastAsia="Calibri" w:hAnsi="Verdana" w:cs="Times New Roman"/>
        </w:rPr>
      </w:pPr>
    </w:p>
    <w:p w14:paraId="5A1F7DB4" w14:textId="14FDC942" w:rsidR="00BC41EA" w:rsidRPr="00BC41EA" w:rsidRDefault="00BC41EA" w:rsidP="00BC41EA">
      <w:pPr>
        <w:spacing w:after="0" w:line="276" w:lineRule="auto"/>
        <w:jc w:val="both"/>
        <w:rPr>
          <w:rFonts w:ascii="Verdana" w:eastAsia="Calibri" w:hAnsi="Verdana" w:cs="Times New Roman"/>
        </w:rPr>
      </w:pPr>
      <w:r w:rsidRPr="00BC41EA">
        <w:rPr>
          <w:rFonts w:ascii="Verdana" w:eastAsia="Calibri" w:hAnsi="Verdana" w:cs="Arial"/>
          <w:b/>
          <w:bCs/>
          <w:lang w:val="es-ES_tradnl"/>
        </w:rPr>
        <w:t xml:space="preserve">DOCUMENTOS TIPO – Experiencia general – Experiencia específica – Determinación </w:t>
      </w:r>
    </w:p>
    <w:p w14:paraId="05263C76" w14:textId="77777777" w:rsidR="00BC41EA" w:rsidRPr="00BC41EA" w:rsidRDefault="00BC41EA" w:rsidP="00BC41EA">
      <w:pPr>
        <w:widowControl w:val="0"/>
        <w:autoSpaceDE w:val="0"/>
        <w:autoSpaceDN w:val="0"/>
        <w:spacing w:after="0" w:line="276" w:lineRule="auto"/>
        <w:jc w:val="both"/>
        <w:rPr>
          <w:rFonts w:ascii="Verdana" w:eastAsia="Calibri" w:hAnsi="Verdana" w:cs="Times New Roman"/>
          <w:lang w:val="es-ES"/>
        </w:rPr>
      </w:pPr>
    </w:p>
    <w:p w14:paraId="26EA2BB9" w14:textId="77777777" w:rsidR="00BC41EA" w:rsidRPr="00BC41EA" w:rsidRDefault="00BC41EA" w:rsidP="00BC41EA">
      <w:pPr>
        <w:widowControl w:val="0"/>
        <w:autoSpaceDE w:val="0"/>
        <w:autoSpaceDN w:val="0"/>
        <w:spacing w:after="0" w:line="240" w:lineRule="auto"/>
        <w:jc w:val="both"/>
        <w:rPr>
          <w:rFonts w:ascii="Verdana" w:eastAsia="Calibri" w:hAnsi="Verdana" w:cs="Times New Roman"/>
          <w:sz w:val="20"/>
          <w:szCs w:val="20"/>
          <w:lang w:val="es-ES"/>
        </w:rPr>
      </w:pPr>
      <w:r w:rsidRPr="00BC41EA">
        <w:rPr>
          <w:rFonts w:ascii="Verdana" w:eastAsia="Calibri" w:hAnsi="Verdana" w:cs="Times New Roman"/>
          <w:sz w:val="20"/>
          <w:szCs w:val="20"/>
          <w:lang w:val="es-ES"/>
        </w:rPr>
        <w:t>(…)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009C1C2C" w14:textId="77777777" w:rsidR="00BC41EA" w:rsidRPr="00BC41EA" w:rsidRDefault="00BC41EA" w:rsidP="00BC41EA">
      <w:pPr>
        <w:widowControl w:val="0"/>
        <w:autoSpaceDE w:val="0"/>
        <w:autoSpaceDN w:val="0"/>
        <w:spacing w:after="0" w:line="240" w:lineRule="auto"/>
        <w:jc w:val="both"/>
        <w:rPr>
          <w:rFonts w:ascii="Verdana" w:eastAsia="Calibri" w:hAnsi="Verdana" w:cs="Times New Roman"/>
          <w:sz w:val="20"/>
          <w:szCs w:val="20"/>
          <w:lang w:val="es-ES"/>
        </w:rPr>
      </w:pPr>
    </w:p>
    <w:p w14:paraId="7FF16DCA" w14:textId="77777777" w:rsidR="00BC41EA" w:rsidRPr="00BC41EA" w:rsidRDefault="00BC41EA" w:rsidP="00BC41EA">
      <w:pPr>
        <w:widowControl w:val="0"/>
        <w:autoSpaceDE w:val="0"/>
        <w:autoSpaceDN w:val="0"/>
        <w:spacing w:after="0" w:line="240" w:lineRule="auto"/>
        <w:jc w:val="both"/>
        <w:rPr>
          <w:rFonts w:ascii="Verdana" w:eastAsia="Calibri" w:hAnsi="Verdana" w:cs="Times New Roman"/>
          <w:sz w:val="20"/>
          <w:szCs w:val="20"/>
          <w:lang w:val="es-ES"/>
        </w:rPr>
      </w:pPr>
      <w:r w:rsidRPr="00BC41EA">
        <w:rPr>
          <w:rFonts w:ascii="Verdana" w:eastAsia="Calibri" w:hAnsi="Verdana" w:cs="Times New Roman"/>
          <w:sz w:val="20"/>
          <w:szCs w:val="20"/>
          <w:lang w:val="es-ES"/>
        </w:rPr>
        <w:t xml:space="preserve">Así las cosas, en la etapa de planeación, la entidad estatal debe identificar el tipo de obra de infraestructura y las actividades definidas en la “Matriz – Experiencia” atendiendo al alcance del objeto a contratar. De esta manera, 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 </w:t>
      </w:r>
    </w:p>
    <w:p w14:paraId="6C0DEC39" w14:textId="77777777" w:rsidR="00BC41EA" w:rsidRPr="00BC41EA" w:rsidRDefault="00BC41EA" w:rsidP="00BC41EA">
      <w:pPr>
        <w:spacing w:after="0" w:line="240" w:lineRule="auto"/>
        <w:rPr>
          <w:rFonts w:ascii="Verdana" w:eastAsia="Calibri" w:hAnsi="Verdana" w:cs="Arial"/>
          <w:b/>
          <w:color w:val="000000"/>
          <w:highlight w:val="yellow"/>
          <w:lang w:eastAsia="es-ES_tradnl"/>
        </w:rPr>
      </w:pPr>
    </w:p>
    <w:p w14:paraId="6D2C263D" w14:textId="77777777" w:rsidR="00BC41EA" w:rsidRPr="00BC41EA" w:rsidRDefault="00BC41EA" w:rsidP="00BC41EA">
      <w:pPr>
        <w:widowControl w:val="0"/>
        <w:autoSpaceDE w:val="0"/>
        <w:autoSpaceDN w:val="0"/>
        <w:spacing w:after="0" w:line="276" w:lineRule="auto"/>
        <w:jc w:val="both"/>
        <w:rPr>
          <w:rFonts w:ascii="Verdana" w:eastAsia="Calibri" w:hAnsi="Verdana" w:cs="Times New Roman"/>
          <w:highlight w:val="yellow"/>
          <w:lang w:val="es-ES"/>
        </w:rPr>
      </w:pPr>
    </w:p>
    <w:p w14:paraId="51C3E2C7" w14:textId="77777777" w:rsidR="00BC41EA" w:rsidRPr="00BC41EA" w:rsidRDefault="00BC41EA" w:rsidP="00BC41EA">
      <w:pPr>
        <w:spacing w:after="0" w:line="240" w:lineRule="auto"/>
        <w:rPr>
          <w:rFonts w:ascii="Verdana" w:eastAsia="Geomanist Light" w:hAnsi="Verdana" w:cs="Arial"/>
          <w:lang w:val="es-MX"/>
        </w:rPr>
      </w:pPr>
    </w:p>
    <w:p w14:paraId="62DFC66E" w14:textId="77777777" w:rsidR="00BC41EA" w:rsidRDefault="00BC41EA" w:rsidP="00BC41EA">
      <w:pPr>
        <w:spacing w:after="0" w:line="240" w:lineRule="auto"/>
        <w:rPr>
          <w:rFonts w:ascii="Verdana" w:eastAsia="Geomanist Light" w:hAnsi="Verdana" w:cs="Arial"/>
          <w:lang w:val="es-MX"/>
        </w:rPr>
      </w:pPr>
    </w:p>
    <w:p w14:paraId="29248CD5" w14:textId="77777777" w:rsidR="0002058B" w:rsidRDefault="0002058B" w:rsidP="00BC41EA">
      <w:pPr>
        <w:spacing w:after="0" w:line="240" w:lineRule="auto"/>
        <w:rPr>
          <w:rFonts w:ascii="Verdana" w:eastAsia="Geomanist Light" w:hAnsi="Verdana" w:cs="Arial"/>
          <w:lang w:val="es-MX"/>
        </w:rPr>
      </w:pPr>
    </w:p>
    <w:p w14:paraId="5999B610" w14:textId="77777777" w:rsidR="0002058B" w:rsidRPr="00BC41EA" w:rsidRDefault="0002058B" w:rsidP="00BC41EA">
      <w:pPr>
        <w:spacing w:after="0" w:line="240" w:lineRule="auto"/>
        <w:rPr>
          <w:rFonts w:ascii="Verdana" w:eastAsia="Geomanist Light" w:hAnsi="Verdana" w:cs="Arial"/>
          <w:lang w:val="es-MX"/>
        </w:rPr>
      </w:pPr>
    </w:p>
    <w:p w14:paraId="3DCC5782" w14:textId="77777777" w:rsidR="00BC41EA" w:rsidRPr="00BC41EA" w:rsidRDefault="00BC41EA" w:rsidP="00BC41EA">
      <w:pPr>
        <w:spacing w:after="0" w:line="240" w:lineRule="auto"/>
        <w:rPr>
          <w:rFonts w:ascii="Verdana" w:eastAsia="Geomanist Light" w:hAnsi="Verdana" w:cs="Arial"/>
          <w:lang w:val="es-MX"/>
        </w:rPr>
      </w:pPr>
    </w:p>
    <w:p w14:paraId="6345DF21" w14:textId="77777777" w:rsidR="00BC41EA" w:rsidRPr="00BC41EA" w:rsidRDefault="00BC41EA" w:rsidP="00BC41EA">
      <w:pPr>
        <w:spacing w:after="0" w:line="240" w:lineRule="auto"/>
        <w:rPr>
          <w:rFonts w:ascii="Verdana" w:eastAsia="Geomanist Light" w:hAnsi="Verdana" w:cs="Arial"/>
          <w:lang w:val="es-MX"/>
        </w:rPr>
      </w:pPr>
    </w:p>
    <w:p w14:paraId="0A8DEB14" w14:textId="0C9D8F18" w:rsidR="00BC41EA" w:rsidRDefault="00BC41EA" w:rsidP="00BC41EA">
      <w:pPr>
        <w:spacing w:after="0" w:line="240" w:lineRule="auto"/>
        <w:rPr>
          <w:rFonts w:ascii="Verdana" w:eastAsia="Calibri" w:hAnsi="Verdana" w:cs="Vrinda"/>
          <w:kern w:val="2"/>
          <w:sz w:val="24"/>
          <w:szCs w:val="24"/>
          <w14:ligatures w14:val="standardContextual"/>
        </w:rPr>
      </w:pPr>
      <w:r w:rsidRPr="00BC41EA">
        <w:rPr>
          <w:rFonts w:ascii="Verdana" w:eastAsia="Calibri" w:hAnsi="Verdana" w:cs="Vrinda"/>
          <w:kern w:val="2"/>
          <w:sz w:val="24"/>
          <w:szCs w:val="24"/>
          <w14:ligatures w14:val="standardContextual"/>
        </w:rPr>
        <w:t xml:space="preserve">Bogotá D.C., </w:t>
      </w:r>
      <w:r w:rsidR="00AC6205">
        <w:rPr>
          <w:rFonts w:ascii="Verdana" w:eastAsia="Calibri" w:hAnsi="Verdana" w:cs="Vrinda"/>
          <w:kern w:val="2"/>
          <w:sz w:val="24"/>
          <w:szCs w:val="24"/>
          <w14:ligatures w14:val="standardContextual"/>
        </w:rPr>
        <w:t>4 noviembre 2025</w:t>
      </w:r>
    </w:p>
    <w:p w14:paraId="77C75350" w14:textId="77777777" w:rsidR="00475DD2" w:rsidRDefault="00475DD2" w:rsidP="00BC41EA">
      <w:pPr>
        <w:spacing w:after="0" w:line="240" w:lineRule="auto"/>
        <w:rPr>
          <w:rFonts w:ascii="Verdana" w:eastAsia="Calibri" w:hAnsi="Verdana" w:cs="Vrinda"/>
          <w:kern w:val="2"/>
          <w:sz w:val="24"/>
          <w:szCs w:val="24"/>
          <w14:ligatures w14:val="standardContextual"/>
        </w:rPr>
      </w:pPr>
    </w:p>
    <w:p w14:paraId="008AFF9C" w14:textId="5830B5B9" w:rsidR="001C7CFE" w:rsidRDefault="001C7CFE" w:rsidP="00BC41EA">
      <w:pPr>
        <w:spacing w:after="0" w:line="240" w:lineRule="auto"/>
        <w:rPr>
          <w:rFonts w:ascii="Verdana" w:eastAsia="Calibri" w:hAnsi="Verdana" w:cs="Vrinda"/>
          <w:kern w:val="2"/>
          <w:sz w:val="24"/>
          <w:szCs w:val="24"/>
          <w14:ligatures w14:val="standardContextual"/>
        </w:rPr>
      </w:pPr>
    </w:p>
    <w:p w14:paraId="38F09BD9" w14:textId="77777777" w:rsidR="001C7CFE" w:rsidRPr="001C7CFE" w:rsidRDefault="001C7CFE" w:rsidP="00BC41EA">
      <w:pPr>
        <w:spacing w:after="0" w:line="240" w:lineRule="auto"/>
        <w:rPr>
          <w:rFonts w:ascii="Verdana" w:eastAsia="Calibri" w:hAnsi="Verdana" w:cs="Vrinda"/>
          <w:kern w:val="2"/>
          <w:sz w:val="24"/>
          <w:szCs w:val="24"/>
          <w14:ligatures w14:val="standardContextual"/>
        </w:rPr>
      </w:pPr>
    </w:p>
    <w:p w14:paraId="3E7B591B" w14:textId="03E3B04E" w:rsidR="00475DD2" w:rsidRDefault="00475DD2" w:rsidP="00BC41EA">
      <w:pPr>
        <w:spacing w:after="0" w:line="240" w:lineRule="auto"/>
        <w:rPr>
          <w:rFonts w:ascii="Verdana" w:eastAsia="Calibri" w:hAnsi="Verdana" w:cs="Arial"/>
          <w:kern w:val="2"/>
          <w:lang w:val="es-ES" w:eastAsia="es-ES"/>
          <w14:ligatures w14:val="standardContextual"/>
        </w:rPr>
      </w:pPr>
    </w:p>
    <w:p w14:paraId="79647D82" w14:textId="5FB850D3" w:rsidR="00475DD2" w:rsidRDefault="0075076C" w:rsidP="00BC41EA">
      <w:pPr>
        <w:spacing w:after="0" w:line="240" w:lineRule="auto"/>
        <w:rPr>
          <w:rFonts w:ascii="Verdana" w:eastAsia="Calibri" w:hAnsi="Verdana" w:cs="Arial"/>
          <w:kern w:val="2"/>
          <w:lang w:val="es-ES" w:eastAsia="es-ES"/>
          <w14:ligatures w14:val="standardContextual"/>
        </w:rPr>
      </w:pPr>
      <w:r w:rsidRPr="00AC6205">
        <w:rPr>
          <w:rFonts w:ascii="Verdana" w:eastAsia="Calibri" w:hAnsi="Verdana" w:cs="Arial"/>
          <w:noProof/>
          <w:kern w:val="2"/>
          <w:sz w:val="24"/>
          <w:szCs w:val="24"/>
          <w:lang w:val="es-ES" w:eastAsia="es-ES"/>
          <w14:ligatures w14:val="standardContextual"/>
        </w:rPr>
        <w:drawing>
          <wp:anchor distT="0" distB="0" distL="114300" distR="114300" simplePos="0" relativeHeight="251657216" behindDoc="0" locked="0" layoutInCell="1" allowOverlap="1" wp14:anchorId="4DA58C20" wp14:editId="10F24101">
            <wp:simplePos x="0" y="0"/>
            <wp:positionH relativeFrom="margin">
              <wp:posOffset>3006725</wp:posOffset>
            </wp:positionH>
            <wp:positionV relativeFrom="paragraph">
              <wp:posOffset>7620</wp:posOffset>
            </wp:positionV>
            <wp:extent cx="2593340" cy="1033145"/>
            <wp:effectExtent l="0" t="0" r="0" b="0"/>
            <wp:wrapSquare wrapText="bothSides"/>
            <wp:docPr id="6785310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53109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3340" cy="1033145"/>
                    </a:xfrm>
                    <a:prstGeom prst="rect">
                      <a:avLst/>
                    </a:prstGeom>
                  </pic:spPr>
                </pic:pic>
              </a:graphicData>
            </a:graphic>
            <wp14:sizeRelH relativeFrom="page">
              <wp14:pctWidth>0</wp14:pctWidth>
            </wp14:sizeRelH>
            <wp14:sizeRelV relativeFrom="page">
              <wp14:pctHeight>0</wp14:pctHeight>
            </wp14:sizeRelV>
          </wp:anchor>
        </w:drawing>
      </w:r>
    </w:p>
    <w:p w14:paraId="49801673" w14:textId="39157D5C" w:rsidR="00475DD2" w:rsidRDefault="00475DD2" w:rsidP="00BC41EA">
      <w:pPr>
        <w:spacing w:after="0" w:line="240" w:lineRule="auto"/>
        <w:rPr>
          <w:rFonts w:ascii="Verdana" w:eastAsia="Calibri" w:hAnsi="Verdana" w:cs="Arial"/>
          <w:kern w:val="2"/>
          <w:lang w:val="es-ES" w:eastAsia="es-ES"/>
          <w14:ligatures w14:val="standardContextual"/>
        </w:rPr>
      </w:pPr>
    </w:p>
    <w:p w14:paraId="2ABC661C" w14:textId="34D42444" w:rsidR="00BC41EA" w:rsidRPr="00BC41EA" w:rsidRDefault="00BC41EA" w:rsidP="00BC41EA">
      <w:pPr>
        <w:spacing w:after="0" w:line="240" w:lineRule="auto"/>
        <w:rPr>
          <w:rFonts w:ascii="Verdana" w:eastAsia="Aptos" w:hAnsi="Verdana" w:cs="Times New Roman"/>
          <w:kern w:val="2"/>
          <w14:ligatures w14:val="standardContextual"/>
        </w:rPr>
      </w:pPr>
      <w:r w:rsidRPr="00BC41EA">
        <w:rPr>
          <w:rFonts w:ascii="Verdana" w:eastAsia="Calibri" w:hAnsi="Verdana" w:cs="Arial"/>
          <w:kern w:val="2"/>
          <w:lang w:val="es-ES" w:eastAsia="es-ES"/>
          <w14:ligatures w14:val="standardContextual"/>
        </w:rPr>
        <w:t>Señor</w:t>
      </w:r>
    </w:p>
    <w:p w14:paraId="18A60230" w14:textId="77777777" w:rsidR="00BC41EA" w:rsidRPr="00BC41EA" w:rsidRDefault="00BC41EA" w:rsidP="00BC41EA">
      <w:pPr>
        <w:spacing w:after="0" w:line="240" w:lineRule="auto"/>
        <w:rPr>
          <w:rFonts w:ascii="Verdana" w:eastAsia="Calibri" w:hAnsi="Verdana" w:cs="Arial"/>
          <w:b/>
          <w:bCs/>
          <w:kern w:val="2"/>
          <w:lang w:eastAsia="es-ES_tradnl"/>
          <w14:ligatures w14:val="standardContextual"/>
        </w:rPr>
      </w:pPr>
      <w:r w:rsidRPr="00BC41EA">
        <w:rPr>
          <w:rFonts w:ascii="Verdana" w:eastAsia="Calibri" w:hAnsi="Verdana" w:cs="Arial"/>
          <w:b/>
          <w:bCs/>
          <w:kern w:val="2"/>
          <w:lang w:eastAsia="es-ES_tradnl"/>
          <w14:ligatures w14:val="standardContextual"/>
        </w:rPr>
        <w:t xml:space="preserve">Herman Fernando Villota Narváez </w:t>
      </w:r>
    </w:p>
    <w:p w14:paraId="33AEAB64" w14:textId="77777777" w:rsidR="00BC41EA" w:rsidRPr="00BC41EA" w:rsidRDefault="00BC41EA" w:rsidP="00BC41EA">
      <w:pPr>
        <w:spacing w:after="0" w:line="240" w:lineRule="auto"/>
        <w:rPr>
          <w:rFonts w:ascii="Verdana" w:eastAsia="Calibri" w:hAnsi="Verdana" w:cs="Arial"/>
          <w:kern w:val="2"/>
          <w:lang w:val="es-ES_tradnl" w:eastAsia="es-ES_tradnl"/>
          <w14:ligatures w14:val="standardContextual"/>
        </w:rPr>
      </w:pPr>
      <w:r w:rsidRPr="00BC41EA">
        <w:rPr>
          <w:rFonts w:ascii="Verdana" w:eastAsia="Calibri" w:hAnsi="Verdana" w:cs="Arial"/>
          <w:kern w:val="2"/>
          <w:lang w:val="es-ES_tradnl" w:eastAsia="es-ES_tradnl"/>
          <w14:ligatures w14:val="standardContextual"/>
        </w:rPr>
        <w:t>Pasto, Nariño</w:t>
      </w:r>
    </w:p>
    <w:p w14:paraId="4EF1E325" w14:textId="77777777" w:rsidR="00BC41EA" w:rsidRPr="00BC41EA" w:rsidRDefault="00BC41EA" w:rsidP="00BC41EA">
      <w:pPr>
        <w:spacing w:after="0" w:line="240" w:lineRule="auto"/>
        <w:rPr>
          <w:rFonts w:ascii="Verdana" w:eastAsia="Calibri" w:hAnsi="Verdana" w:cs="Arial"/>
          <w:b/>
          <w:bCs/>
          <w:lang w:val="es-ES_tradnl" w:eastAsia="es-ES_tradnl"/>
        </w:rPr>
      </w:pPr>
    </w:p>
    <w:p w14:paraId="30A3F366" w14:textId="77777777" w:rsidR="00BC41EA" w:rsidRDefault="00BC41EA" w:rsidP="00BC41EA">
      <w:pPr>
        <w:spacing w:after="0" w:line="240" w:lineRule="auto"/>
        <w:rPr>
          <w:rFonts w:ascii="Verdana" w:eastAsia="Calibri" w:hAnsi="Verdana" w:cs="Arial"/>
          <w:b/>
          <w:bCs/>
          <w:lang w:val="es-ES_tradnl" w:eastAsia="es-ES_tradnl"/>
        </w:rPr>
      </w:pPr>
    </w:p>
    <w:p w14:paraId="1CF97AD2" w14:textId="77777777" w:rsidR="00475DD2" w:rsidRPr="00BC41EA" w:rsidRDefault="00475DD2" w:rsidP="00BC41EA">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BC41EA" w:rsidRPr="00BC41EA" w14:paraId="77AEF89C" w14:textId="77777777" w:rsidTr="00EC7D64">
        <w:trPr>
          <w:trHeight w:val="229"/>
        </w:trPr>
        <w:tc>
          <w:tcPr>
            <w:tcW w:w="1985" w:type="dxa"/>
          </w:tcPr>
          <w:p w14:paraId="1CBD4FE5" w14:textId="77777777" w:rsidR="00BC41EA" w:rsidRPr="00BC41EA" w:rsidRDefault="00BC41EA" w:rsidP="00BC41EA">
            <w:pPr>
              <w:jc w:val="both"/>
              <w:rPr>
                <w:rFonts w:ascii="Verdana" w:eastAsia="Calibri" w:hAnsi="Verdana" w:cs="Arial"/>
                <w:b/>
                <w:bCs/>
                <w:lang w:val="es-ES_tradnl" w:eastAsia="es-ES_tradnl"/>
              </w:rPr>
            </w:pPr>
          </w:p>
        </w:tc>
        <w:tc>
          <w:tcPr>
            <w:tcW w:w="6383" w:type="dxa"/>
          </w:tcPr>
          <w:p w14:paraId="25AED4BE" w14:textId="77777777" w:rsidR="00BC41EA" w:rsidRPr="00BC41EA" w:rsidRDefault="00BC41EA" w:rsidP="00BC41EA">
            <w:pPr>
              <w:jc w:val="both"/>
              <w:rPr>
                <w:rFonts w:ascii="Verdana" w:eastAsia="Calibri" w:hAnsi="Verdana" w:cs="Arial"/>
                <w:b/>
                <w:bCs/>
                <w:lang w:val="es-ES" w:eastAsia="es-ES"/>
              </w:rPr>
            </w:pPr>
            <w:r w:rsidRPr="00BC41EA">
              <w:rPr>
                <w:rFonts w:ascii="Verdana" w:eastAsia="Calibri" w:hAnsi="Verdana" w:cs="Arial"/>
                <w:b/>
                <w:bCs/>
                <w:lang w:val="es-ES" w:eastAsia="es-ES"/>
              </w:rPr>
              <w:t>Concepto C-1396 de 2025</w:t>
            </w:r>
          </w:p>
          <w:p w14:paraId="3F243A9D" w14:textId="77777777" w:rsidR="00BC41EA" w:rsidRPr="00BC41EA" w:rsidRDefault="00BC41EA" w:rsidP="00BC41EA">
            <w:pPr>
              <w:jc w:val="both"/>
              <w:rPr>
                <w:rFonts w:ascii="Verdana" w:eastAsia="Calibri" w:hAnsi="Verdana" w:cs="Arial"/>
                <w:b/>
                <w:bCs/>
                <w:lang w:val="es-ES" w:eastAsia="es-ES"/>
              </w:rPr>
            </w:pPr>
          </w:p>
          <w:p w14:paraId="6BE97EB6" w14:textId="77777777" w:rsidR="00BC41EA" w:rsidRPr="00BC41EA" w:rsidRDefault="00BC41EA" w:rsidP="00BC41EA">
            <w:pPr>
              <w:jc w:val="both"/>
              <w:rPr>
                <w:rFonts w:ascii="Verdana" w:eastAsia="Calibri" w:hAnsi="Verdana" w:cs="Arial"/>
                <w:b/>
                <w:bCs/>
                <w:lang w:val="es-ES" w:eastAsia="es-ES"/>
              </w:rPr>
            </w:pPr>
          </w:p>
        </w:tc>
      </w:tr>
      <w:tr w:rsidR="00BC41EA" w:rsidRPr="00BC41EA" w14:paraId="467B837D" w14:textId="77777777" w:rsidTr="00EC7D64">
        <w:trPr>
          <w:trHeight w:val="884"/>
        </w:trPr>
        <w:tc>
          <w:tcPr>
            <w:tcW w:w="1985" w:type="dxa"/>
          </w:tcPr>
          <w:p w14:paraId="0E84797A" w14:textId="77777777" w:rsidR="00BC41EA" w:rsidRPr="00BC41EA" w:rsidRDefault="00BC41EA" w:rsidP="00BC41EA">
            <w:pPr>
              <w:jc w:val="both"/>
              <w:rPr>
                <w:rFonts w:ascii="Verdana" w:eastAsia="Calibri" w:hAnsi="Verdana" w:cs="Arial"/>
                <w:lang w:val="es-ES_tradnl" w:eastAsia="es-ES_tradnl"/>
              </w:rPr>
            </w:pPr>
            <w:r w:rsidRPr="00BC41EA">
              <w:rPr>
                <w:rFonts w:ascii="Verdana" w:eastAsia="Calibri" w:hAnsi="Verdana" w:cs="Arial"/>
                <w:b/>
                <w:lang w:val="es-ES_tradnl" w:eastAsia="es-ES_tradnl"/>
              </w:rPr>
              <w:t>Temas:</w:t>
            </w:r>
            <w:r w:rsidRPr="00BC41EA">
              <w:rPr>
                <w:rFonts w:ascii="Verdana" w:eastAsia="Calibri" w:hAnsi="Verdana" w:cs="Arial"/>
                <w:lang w:val="es-ES_tradnl" w:eastAsia="es-ES_tradnl"/>
              </w:rPr>
              <w:t xml:space="preserve">                   </w:t>
            </w:r>
          </w:p>
        </w:tc>
        <w:tc>
          <w:tcPr>
            <w:tcW w:w="6383" w:type="dxa"/>
          </w:tcPr>
          <w:p w14:paraId="0B34FA17" w14:textId="77777777" w:rsidR="00BC41EA" w:rsidRPr="00BC41EA" w:rsidRDefault="00BC41EA" w:rsidP="00BC41EA">
            <w:pPr>
              <w:spacing w:line="276" w:lineRule="auto"/>
              <w:jc w:val="both"/>
              <w:rPr>
                <w:rFonts w:ascii="Verdana" w:eastAsia="Calibri" w:hAnsi="Verdana" w:cs="Times New Roman"/>
              </w:rPr>
            </w:pPr>
            <w:r w:rsidRPr="00BC41EA">
              <w:rPr>
                <w:rFonts w:ascii="Verdana" w:eastAsia="Calibri" w:hAnsi="Verdana" w:cs="Arial"/>
                <w:lang w:val="es-ES_tradnl"/>
              </w:rPr>
              <w:t xml:space="preserve">DOCUMENTOS TIPO – Fundamento normativo – Obligatoriedad / DOCUMENTOS TIPO – Infraestructura social – Sector cultura, recreación y deporte / DOCUMENTOS TIPO – Experiencia general – Experiencia específica – Determinación </w:t>
            </w:r>
          </w:p>
          <w:p w14:paraId="0A6B03C0" w14:textId="77777777" w:rsidR="00BC41EA" w:rsidRPr="00BC41EA" w:rsidRDefault="00BC41EA" w:rsidP="00BC41EA">
            <w:pPr>
              <w:spacing w:line="276" w:lineRule="auto"/>
              <w:jc w:val="both"/>
              <w:rPr>
                <w:rFonts w:ascii="Verdana" w:eastAsia="Calibri" w:hAnsi="Verdana" w:cs="Arial"/>
                <w:bCs/>
                <w:lang w:val="es-ES" w:eastAsia="es-ES"/>
              </w:rPr>
            </w:pPr>
          </w:p>
        </w:tc>
      </w:tr>
      <w:tr w:rsidR="00BC41EA" w:rsidRPr="00BC41EA" w14:paraId="26651A44" w14:textId="77777777" w:rsidTr="00EC7D64">
        <w:tc>
          <w:tcPr>
            <w:tcW w:w="1985" w:type="dxa"/>
          </w:tcPr>
          <w:p w14:paraId="0B7028BB" w14:textId="77777777" w:rsidR="00BC41EA" w:rsidRPr="00BC41EA" w:rsidRDefault="00BC41EA" w:rsidP="00BC41EA">
            <w:pPr>
              <w:jc w:val="both"/>
              <w:rPr>
                <w:rFonts w:ascii="Verdana" w:eastAsia="Calibri" w:hAnsi="Verdana" w:cs="Arial"/>
                <w:b/>
                <w:lang w:val="es-ES_tradnl" w:eastAsia="es-ES_tradnl"/>
              </w:rPr>
            </w:pPr>
            <w:r w:rsidRPr="00BC41EA">
              <w:rPr>
                <w:rFonts w:ascii="Verdana" w:eastAsia="Calibri" w:hAnsi="Verdana" w:cs="Arial"/>
                <w:b/>
                <w:lang w:val="es-ES_tradnl" w:eastAsia="es-ES_tradnl"/>
              </w:rPr>
              <w:t>Radicación:</w:t>
            </w:r>
            <w:r w:rsidRPr="00BC41EA">
              <w:rPr>
                <w:rFonts w:ascii="Verdana" w:eastAsia="Calibri" w:hAnsi="Verdana" w:cs="Arial"/>
                <w:lang w:val="es-ES_tradnl" w:eastAsia="es-ES_tradnl"/>
              </w:rPr>
              <w:t xml:space="preserve">               </w:t>
            </w:r>
          </w:p>
        </w:tc>
        <w:tc>
          <w:tcPr>
            <w:tcW w:w="6383" w:type="dxa"/>
          </w:tcPr>
          <w:p w14:paraId="68D74AFF" w14:textId="77777777" w:rsidR="00BC41EA" w:rsidRPr="00BC41EA" w:rsidRDefault="00BC41EA" w:rsidP="00BC41EA">
            <w:pPr>
              <w:ind w:left="3" w:hanging="3"/>
              <w:jc w:val="both"/>
              <w:rPr>
                <w:rFonts w:ascii="Verdana" w:eastAsia="Calibri" w:hAnsi="Verdana" w:cs="Arial"/>
                <w:lang w:val="es-ES_tradnl" w:eastAsia="es-ES_tradnl"/>
              </w:rPr>
            </w:pPr>
            <w:r w:rsidRPr="00BC41EA">
              <w:rPr>
                <w:rFonts w:ascii="Verdana" w:eastAsia="Calibri" w:hAnsi="Verdana" w:cs="Arial"/>
                <w:lang w:val="es-ES_tradnl" w:eastAsia="es-ES_tradnl"/>
              </w:rPr>
              <w:t>Respuesta a consulta con radicado No. 1_2025_09_26_010676</w:t>
            </w:r>
          </w:p>
        </w:tc>
      </w:tr>
    </w:tbl>
    <w:p w14:paraId="0FAD5F53" w14:textId="77777777" w:rsidR="00BC41EA" w:rsidRPr="00BC41EA" w:rsidRDefault="00BC41EA" w:rsidP="00BC41EA">
      <w:pPr>
        <w:spacing w:after="0" w:line="240" w:lineRule="auto"/>
        <w:jc w:val="both"/>
        <w:rPr>
          <w:rFonts w:ascii="Verdana" w:eastAsia="Calibri" w:hAnsi="Verdana" w:cs="Arial"/>
          <w:lang w:val="es-ES_tradnl" w:eastAsia="es-ES_tradnl"/>
        </w:rPr>
      </w:pPr>
    </w:p>
    <w:p w14:paraId="092EA49C" w14:textId="77777777" w:rsidR="00BC41EA" w:rsidRPr="00BC41EA" w:rsidRDefault="00BC41EA" w:rsidP="00BC41EA">
      <w:pPr>
        <w:spacing w:after="0" w:line="276" w:lineRule="auto"/>
        <w:jc w:val="both"/>
        <w:rPr>
          <w:rFonts w:ascii="Verdana" w:eastAsia="Calibri" w:hAnsi="Verdana" w:cs="Arial"/>
          <w:lang w:val="es-ES" w:eastAsia="es-ES"/>
        </w:rPr>
      </w:pPr>
      <w:r w:rsidRPr="00BC41EA">
        <w:rPr>
          <w:rFonts w:ascii="Verdana" w:eastAsia="Calibri" w:hAnsi="Verdana" w:cs="Arial"/>
          <w:lang w:val="es-ES" w:eastAsia="es-ES"/>
        </w:rPr>
        <w:t xml:space="preserve">Estimado señor Villota Narváez: </w:t>
      </w:r>
    </w:p>
    <w:p w14:paraId="5D6DA3A7" w14:textId="77777777" w:rsidR="00BC41EA" w:rsidRPr="00BC41EA" w:rsidRDefault="00BC41EA" w:rsidP="00BC41EA">
      <w:pPr>
        <w:tabs>
          <w:tab w:val="left" w:pos="3768"/>
        </w:tabs>
        <w:spacing w:after="0" w:line="276" w:lineRule="auto"/>
        <w:jc w:val="both"/>
        <w:rPr>
          <w:rFonts w:ascii="Verdana" w:eastAsia="Calibri" w:hAnsi="Verdana" w:cs="Arial"/>
          <w:lang w:val="es-ES" w:eastAsia="es-ES"/>
        </w:rPr>
      </w:pPr>
      <w:r w:rsidRPr="00BC41EA">
        <w:rPr>
          <w:rFonts w:ascii="Verdana" w:eastAsia="Calibri" w:hAnsi="Verdana" w:cs="Arial"/>
          <w:lang w:val="es-ES" w:eastAsia="es-ES"/>
        </w:rPr>
        <w:tab/>
      </w:r>
    </w:p>
    <w:p w14:paraId="522C133C" w14:textId="77777777" w:rsidR="00BC41EA" w:rsidRPr="00BC41EA" w:rsidRDefault="00BC41EA" w:rsidP="00BC41EA">
      <w:pPr>
        <w:spacing w:after="0" w:line="276" w:lineRule="auto"/>
        <w:jc w:val="both"/>
        <w:rPr>
          <w:rFonts w:ascii="Verdana" w:eastAsia="Calibri" w:hAnsi="Verdana" w:cs="Arial"/>
          <w:lang w:val="es-ES" w:eastAsia="es-ES"/>
        </w:rPr>
      </w:pPr>
      <w:r w:rsidRPr="00BC41EA">
        <w:rPr>
          <w:rFonts w:ascii="Verdana" w:eastAsia="Calibri" w:hAnsi="Verdana" w:cs="Arial"/>
          <w:lang w:val="es-ES" w:eastAsia="es-ES"/>
        </w:rPr>
        <w:t>En ejercicio de la competencia otorgada por los artículos 3, numeral 5º, y 11, numeral 8º, del Decreto Ley 4170 de 2011,</w:t>
      </w:r>
      <w:r w:rsidRPr="00BC41EA">
        <w:rPr>
          <w:rFonts w:ascii="Verdana" w:eastAsia="Arial MT" w:hAnsi="Verdana" w:cs="Arial MT"/>
          <w:lang w:val="es-ES" w:eastAsia="es-ES"/>
        </w:rPr>
        <w:t xml:space="preserve"> </w:t>
      </w:r>
      <w:r w:rsidRPr="00BC41EA">
        <w:rPr>
          <w:rFonts w:ascii="Verdana" w:eastAsia="Calibri" w:hAnsi="Verdana" w:cs="Arial"/>
        </w:rPr>
        <w:t xml:space="preserve">así como lo establecido en el artículo 4 de la Resolución 1707 de 2018 expedida por esta Entidad, </w:t>
      </w:r>
      <w:r w:rsidRPr="00BC41EA">
        <w:rPr>
          <w:rFonts w:ascii="Verdana" w:eastAsia="Calibri" w:hAnsi="Verdana" w:cs="Arial"/>
          <w:lang w:val="es-ES" w:eastAsia="es-ES"/>
        </w:rPr>
        <w:t xml:space="preserve">la Agencia Nacional de Contratación Pública – Colombia Compra Eficiente– responde su solicitud de consulta del 26 de septiembre de 2025, en la cual manifiesta lo siguiente: </w:t>
      </w:r>
    </w:p>
    <w:p w14:paraId="7FEACF44" w14:textId="77777777" w:rsidR="00BC41EA" w:rsidRPr="00BC41EA" w:rsidRDefault="00BC41EA" w:rsidP="00BC41EA">
      <w:pPr>
        <w:tabs>
          <w:tab w:val="left" w:pos="142"/>
          <w:tab w:val="left" w:pos="284"/>
        </w:tabs>
        <w:spacing w:after="0" w:line="276" w:lineRule="auto"/>
        <w:jc w:val="both"/>
        <w:rPr>
          <w:rFonts w:ascii="Verdana" w:eastAsia="Century Gothic" w:hAnsi="Verdana" w:cs="Century Gothic"/>
          <w:b/>
          <w:bCs/>
        </w:rPr>
      </w:pPr>
    </w:p>
    <w:p w14:paraId="6E1E682D" w14:textId="1735C6A8" w:rsidR="00BC41EA" w:rsidRPr="00BC41EA" w:rsidRDefault="00BC41EA" w:rsidP="00BC41E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jc w:val="both"/>
        <w:rPr>
          <w:rFonts w:ascii="Verdana" w:eastAsia="Aptos" w:hAnsi="Verdana" w:cs="Helvetica"/>
          <w:color w:val="000000"/>
          <w:sz w:val="21"/>
          <w:szCs w:val="21"/>
          <w:lang w:val="es-MX"/>
          <w14:ligatures w14:val="standardContextual"/>
        </w:rPr>
      </w:pPr>
      <w:r w:rsidRPr="00BC41EA">
        <w:rPr>
          <w:rFonts w:ascii="Verdana" w:eastAsia="Century Gothic" w:hAnsi="Verdana" w:cs="Century Gothic"/>
          <w:sz w:val="21"/>
          <w:szCs w:val="21"/>
          <w:lang w:val="es-ES"/>
        </w:rPr>
        <w:t>“</w:t>
      </w:r>
      <w:r w:rsidRPr="00BC41EA">
        <w:rPr>
          <w:rFonts w:ascii="Verdana" w:eastAsia="Aptos" w:hAnsi="Verdana" w:cs="Times New Roman"/>
          <w:kern w:val="2"/>
          <w:sz w:val="21"/>
          <w:szCs w:val="21"/>
          <w14:ligatures w14:val="standardContextual"/>
        </w:rPr>
        <w:t xml:space="preserve">cuando </w:t>
      </w:r>
      <w:r w:rsidR="623D2CA0" w:rsidRPr="00BC41EA">
        <w:rPr>
          <w:rFonts w:ascii="Verdana" w:eastAsia="Aptos" w:hAnsi="Verdana" w:cs="Times New Roman"/>
          <w:kern w:val="2"/>
          <w:sz w:val="21"/>
          <w:szCs w:val="21"/>
          <w14:ligatures w14:val="standardContextual"/>
        </w:rPr>
        <w:t>una entidad tiene</w:t>
      </w:r>
      <w:r w:rsidRPr="00BC41EA">
        <w:rPr>
          <w:rFonts w:ascii="Verdana" w:eastAsia="Aptos" w:hAnsi="Verdana" w:cs="Times New Roman"/>
          <w:kern w:val="2"/>
          <w:sz w:val="21"/>
          <w:szCs w:val="21"/>
          <w14:ligatures w14:val="standardContextual"/>
        </w:rPr>
        <w:t xml:space="preserve"> un proyecto por objeto "ADECUACION Y MEJORAMIENTO DE LA INFRAESTRUCTURA SOCIAL BOULEVARD CIUDAD DEL CAMPO</w:t>
      </w:r>
      <w:r w:rsidR="33A268F7" w:rsidRPr="00BC41EA">
        <w:rPr>
          <w:rFonts w:ascii="Verdana" w:eastAsia="Aptos" w:hAnsi="Verdana" w:cs="Times New Roman"/>
          <w:kern w:val="2"/>
          <w:sz w:val="21"/>
          <w:szCs w:val="21"/>
          <w14:ligatures w14:val="standardContextual"/>
        </w:rPr>
        <w:t>",</w:t>
      </w:r>
      <w:r w:rsidRPr="00BC41EA">
        <w:rPr>
          <w:rFonts w:ascii="Verdana" w:eastAsia="Aptos" w:hAnsi="Verdana" w:cs="Times New Roman"/>
          <w:kern w:val="2"/>
          <w:sz w:val="21"/>
          <w:szCs w:val="21"/>
          <w14:ligatures w14:val="standardContextual"/>
        </w:rPr>
        <w:t xml:space="preserve"> pero la experiencia solicitada es "construcción y/o reconstrucción" donde la entidad responde: El proyecto contempla actividades de construcción nueva de infraestructura social y espacio público, tales como </w:t>
      </w:r>
      <w:r w:rsidRPr="00BC41EA">
        <w:rPr>
          <w:rFonts w:ascii="Verdana" w:eastAsia="Aptos" w:hAnsi="Verdana" w:cs="Times New Roman"/>
          <w:kern w:val="2"/>
          <w:sz w:val="21"/>
          <w:szCs w:val="21"/>
          <w14:ligatures w14:val="standardContextual"/>
        </w:rPr>
        <w:lastRenderedPageBreak/>
        <w:t xml:space="preserve">andenes en adoquín, </w:t>
      </w:r>
      <w:proofErr w:type="spellStart"/>
      <w:r w:rsidRPr="00BC41EA">
        <w:rPr>
          <w:rFonts w:ascii="Verdana" w:eastAsia="Aptos" w:hAnsi="Verdana" w:cs="Times New Roman"/>
          <w:kern w:val="2"/>
          <w:sz w:val="21"/>
          <w:szCs w:val="21"/>
          <w14:ligatures w14:val="standardContextual"/>
        </w:rPr>
        <w:t>ciclorutas</w:t>
      </w:r>
      <w:proofErr w:type="spellEnd"/>
      <w:r w:rsidRPr="00BC41EA">
        <w:rPr>
          <w:rFonts w:ascii="Verdana" w:eastAsia="Aptos" w:hAnsi="Verdana" w:cs="Times New Roman"/>
          <w:kern w:val="2"/>
          <w:sz w:val="21"/>
          <w:szCs w:val="21"/>
          <w14:ligatures w14:val="standardContextual"/>
        </w:rPr>
        <w:t xml:space="preserve">, rampas peatonales, zonas verdes, juegos infantiles, </w:t>
      </w:r>
      <w:proofErr w:type="spellStart"/>
      <w:r w:rsidRPr="00BC41EA">
        <w:rPr>
          <w:rFonts w:ascii="Verdana" w:eastAsia="Aptos" w:hAnsi="Verdana" w:cs="Times New Roman"/>
          <w:kern w:val="2"/>
          <w:sz w:val="21"/>
          <w:szCs w:val="21"/>
          <w14:ligatures w14:val="standardContextual"/>
        </w:rPr>
        <w:t>biosaludables</w:t>
      </w:r>
      <w:proofErr w:type="spellEnd"/>
      <w:r w:rsidRPr="00BC41EA">
        <w:rPr>
          <w:rFonts w:ascii="Verdana" w:eastAsia="Aptos" w:hAnsi="Verdana" w:cs="Times New Roman"/>
          <w:kern w:val="2"/>
          <w:sz w:val="21"/>
          <w:szCs w:val="21"/>
          <w14:ligatures w14:val="standardContextual"/>
        </w:rPr>
        <w:t>, locales comerciales y sistemas hidrosanitarios.</w:t>
      </w:r>
      <w:r w:rsidR="15BED2D7" w:rsidRPr="00BC41EA">
        <w:rPr>
          <w:rFonts w:ascii="Verdana" w:eastAsia="Aptos" w:hAnsi="Verdana" w:cs="Times New Roman"/>
          <w:kern w:val="2"/>
          <w:sz w:val="21"/>
          <w:szCs w:val="21"/>
          <w14:ligatures w14:val="standardContextual"/>
        </w:rPr>
        <w:t xml:space="preserve"> </w:t>
      </w:r>
      <w:r w:rsidRPr="00BC41EA">
        <w:rPr>
          <w:rFonts w:ascii="Verdana" w:eastAsia="Aptos" w:hAnsi="Verdana" w:cs="Times New Roman"/>
          <w:kern w:val="2"/>
          <w:sz w:val="21"/>
          <w:szCs w:val="21"/>
          <w14:ligatures w14:val="standardContextual"/>
        </w:rPr>
        <w:t xml:space="preserve">Se entiende que el proyecto es obras recreo-deportivas pero adicional a ello solicitan en la experiencia “ADOQUÍN AMARILLO Y GRIS EN CONCRETO MACIZO – INSTALADAS EN TRABA TIPO PANDERETE DIM 0.20X0.10X0.06 + MORTERO DE PEGA DE 3 CM” con dimensionamiento de 927.381 m2.se solicita aclarar sobre que debe basarse la matriz de experiencia solicitada si sobre el objeto del proceso de licitación o sobre las actividades del presupuesto y la experiencia del </w:t>
      </w:r>
      <w:r w:rsidR="368D324A" w:rsidRPr="00BC41EA">
        <w:rPr>
          <w:rFonts w:ascii="Verdana" w:eastAsia="Aptos" w:hAnsi="Verdana" w:cs="Times New Roman"/>
          <w:kern w:val="2"/>
          <w:sz w:val="21"/>
          <w:szCs w:val="21"/>
          <w14:ligatures w14:val="standardContextual"/>
        </w:rPr>
        <w:t>adoquín</w:t>
      </w:r>
      <w:r w:rsidRPr="00BC41EA">
        <w:rPr>
          <w:rFonts w:ascii="Verdana" w:eastAsia="Aptos" w:hAnsi="Verdana" w:cs="Times New Roman"/>
          <w:kern w:val="2"/>
          <w:sz w:val="21"/>
          <w:szCs w:val="21"/>
          <w14:ligatures w14:val="standardContextual"/>
        </w:rPr>
        <w:t xml:space="preserve"> debe ser </w:t>
      </w:r>
      <w:proofErr w:type="spellStart"/>
      <w:r w:rsidRPr="00BC41EA">
        <w:rPr>
          <w:rFonts w:ascii="Verdana" w:eastAsia="Aptos" w:hAnsi="Verdana" w:cs="Times New Roman"/>
          <w:kern w:val="2"/>
          <w:sz w:val="21"/>
          <w:szCs w:val="21"/>
          <w14:ligatures w14:val="standardContextual"/>
        </w:rPr>
        <w:t>tausatiba</w:t>
      </w:r>
      <w:proofErr w:type="spellEnd"/>
      <w:r w:rsidRPr="00BC41EA">
        <w:rPr>
          <w:rFonts w:ascii="Verdana" w:eastAsia="Aptos" w:hAnsi="Verdana" w:cs="Times New Roman"/>
          <w:kern w:val="2"/>
          <w:sz w:val="21"/>
          <w:szCs w:val="21"/>
          <w14:ligatures w14:val="standardContextual"/>
        </w:rPr>
        <w:t xml:space="preserve"> en toda la </w:t>
      </w:r>
      <w:r w:rsidR="5C37B4DB" w:rsidRPr="00BC41EA">
        <w:rPr>
          <w:rFonts w:ascii="Verdana" w:eastAsia="Aptos" w:hAnsi="Verdana" w:cs="Times New Roman"/>
          <w:kern w:val="2"/>
          <w:sz w:val="21"/>
          <w:szCs w:val="21"/>
          <w14:ligatures w14:val="standardContextual"/>
        </w:rPr>
        <w:t>descripción</w:t>
      </w:r>
      <w:r w:rsidRPr="00BC41EA">
        <w:rPr>
          <w:rFonts w:ascii="Verdana" w:eastAsia="Aptos" w:hAnsi="Verdana" w:cs="Times New Roman"/>
          <w:kern w:val="2"/>
          <w:sz w:val="21"/>
          <w:szCs w:val="21"/>
          <w14:ligatures w14:val="standardContextual"/>
        </w:rPr>
        <w:t xml:space="preserve"> suministra”</w:t>
      </w:r>
      <w:r w:rsidRPr="00BC41EA">
        <w:rPr>
          <w:rFonts w:ascii="Verdana" w:eastAsia="Aptos" w:hAnsi="Verdana" w:cs="Helvetica"/>
          <w:color w:val="000000"/>
          <w:sz w:val="21"/>
          <w:szCs w:val="21"/>
          <w:lang w:val="es-MX"/>
          <w14:ligatures w14:val="standardContextual"/>
        </w:rPr>
        <w:t>(Sic).</w:t>
      </w:r>
    </w:p>
    <w:p w14:paraId="1F8F6595" w14:textId="77777777" w:rsidR="00BC41EA" w:rsidRPr="00BC41EA" w:rsidRDefault="00BC41EA" w:rsidP="00BC41E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jc w:val="both"/>
        <w:rPr>
          <w:rFonts w:ascii="Verdana" w:eastAsia="Aptos" w:hAnsi="Verdana" w:cs="Helvetica"/>
          <w:color w:val="000000"/>
          <w:sz w:val="21"/>
          <w:szCs w:val="21"/>
          <w:lang w:val="es-MX"/>
          <w14:ligatures w14:val="standardContextual"/>
        </w:rPr>
      </w:pPr>
    </w:p>
    <w:p w14:paraId="5B38D9DF" w14:textId="77777777" w:rsidR="00BC41EA" w:rsidRPr="00BC41EA" w:rsidRDefault="00BC41EA" w:rsidP="00BC41EA">
      <w:pPr>
        <w:spacing w:after="120" w:line="276" w:lineRule="auto"/>
        <w:ind w:firstLine="709"/>
        <w:jc w:val="both"/>
        <w:rPr>
          <w:rFonts w:ascii="Verdana" w:eastAsia="Calibri" w:hAnsi="Verdana" w:cs="Arial"/>
          <w:color w:val="000000"/>
          <w:lang w:val="es-ES" w:eastAsia="es-ES"/>
        </w:rPr>
      </w:pPr>
      <w:r w:rsidRPr="00BC41EA">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41EA">
        <w:rPr>
          <w:rFonts w:ascii="Verdana" w:eastAsia="Calibri" w:hAnsi="Verdana" w:cs="Arial"/>
          <w:color w:val="000000"/>
          <w:szCs w:val="24"/>
          <w:lang w:val="es-ES_tradnl" w:eastAsia="es-ES_tradnl"/>
        </w:rPr>
        <w:tab/>
      </w:r>
    </w:p>
    <w:p w14:paraId="2F0B2A90" w14:textId="77777777" w:rsidR="00BC41EA" w:rsidRPr="00BC41EA" w:rsidRDefault="00BC41EA" w:rsidP="00BC41EA">
      <w:pPr>
        <w:spacing w:after="0" w:line="276" w:lineRule="auto"/>
        <w:ind w:firstLine="709"/>
        <w:jc w:val="both"/>
        <w:rPr>
          <w:rFonts w:ascii="Verdana" w:eastAsia="Calibri" w:hAnsi="Verdana" w:cs="Arial"/>
          <w:color w:val="000000"/>
          <w:lang w:val="es-ES" w:eastAsia="es-ES"/>
        </w:rPr>
      </w:pPr>
      <w:r w:rsidRPr="00BC41E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C41EA">
        <w:rPr>
          <w:rFonts w:ascii="Verdana" w:eastAsia="Calibri" w:hAnsi="Verdana" w:cs="Arial"/>
          <w:color w:val="7030A0"/>
          <w:lang w:val="es-ES" w:eastAsia="es-ES"/>
        </w:rPr>
        <w:t xml:space="preserve"> </w:t>
      </w:r>
      <w:r w:rsidRPr="00BC41EA">
        <w:rPr>
          <w:rFonts w:ascii="Verdana" w:eastAsia="Calibri" w:hAnsi="Verdana" w:cs="Arial"/>
          <w:color w:val="000000"/>
          <w:lang w:val="es-ES" w:eastAsia="es-ES"/>
        </w:rPr>
        <w:t>problema</w:t>
      </w:r>
      <w:r w:rsidRPr="00BC41EA">
        <w:rPr>
          <w:rFonts w:ascii="Verdana" w:eastAsia="Calibri" w:hAnsi="Verdana" w:cs="Arial"/>
          <w:color w:val="7030A0"/>
          <w:lang w:val="es-ES" w:eastAsia="es-ES"/>
        </w:rPr>
        <w:t xml:space="preserve"> </w:t>
      </w:r>
      <w:r w:rsidRPr="00BC41EA">
        <w:rPr>
          <w:rFonts w:ascii="Verdana" w:eastAsia="Calibri" w:hAnsi="Verdana" w:cs="Arial"/>
          <w:color w:val="000000"/>
          <w:lang w:val="es-ES" w:eastAsia="es-ES"/>
        </w:rPr>
        <w:t>jurídico</w:t>
      </w:r>
      <w:r w:rsidRPr="00BC41EA">
        <w:rPr>
          <w:rFonts w:ascii="Verdana" w:eastAsia="Calibri" w:hAnsi="Verdana" w:cs="Arial"/>
          <w:color w:val="7030A0"/>
          <w:lang w:val="es-ES" w:eastAsia="es-ES"/>
        </w:rPr>
        <w:t xml:space="preserve"> </w:t>
      </w:r>
      <w:r w:rsidRPr="00BC41EA">
        <w:rPr>
          <w:rFonts w:ascii="Verdana" w:eastAsia="Calibri" w:hAnsi="Verdana" w:cs="Arial"/>
          <w:color w:val="000000"/>
          <w:lang w:val="es-ES" w:eastAsia="es-ES"/>
        </w:rPr>
        <w:t xml:space="preserve">de su consulta. </w:t>
      </w:r>
    </w:p>
    <w:p w14:paraId="5A6C9507" w14:textId="77777777" w:rsidR="00BC41EA" w:rsidRPr="00BC41EA" w:rsidRDefault="00BC41EA" w:rsidP="00BC41EA">
      <w:pPr>
        <w:spacing w:after="0" w:line="276" w:lineRule="auto"/>
        <w:jc w:val="both"/>
        <w:rPr>
          <w:rFonts w:ascii="Verdana" w:eastAsia="Calibri" w:hAnsi="Verdana" w:cs="Arial"/>
          <w:lang w:val="es-ES" w:eastAsia="es-ES"/>
        </w:rPr>
      </w:pPr>
    </w:p>
    <w:p w14:paraId="129E08A9" w14:textId="77777777" w:rsidR="00BC41EA" w:rsidRPr="00BC41EA" w:rsidRDefault="00BC41EA" w:rsidP="00BC41EA">
      <w:pPr>
        <w:numPr>
          <w:ilvl w:val="0"/>
          <w:numId w:val="17"/>
        </w:numPr>
        <w:tabs>
          <w:tab w:val="left" w:pos="142"/>
          <w:tab w:val="left" w:pos="284"/>
        </w:tabs>
        <w:spacing w:after="0" w:line="276" w:lineRule="auto"/>
        <w:jc w:val="both"/>
        <w:rPr>
          <w:rFonts w:ascii="Verdana" w:eastAsia="Century Gothic" w:hAnsi="Verdana" w:cs="Century Gothic"/>
          <w:b/>
          <w:bCs/>
        </w:rPr>
      </w:pPr>
      <w:r w:rsidRPr="00BC41EA">
        <w:rPr>
          <w:rFonts w:ascii="Verdana" w:eastAsia="Century Gothic" w:hAnsi="Verdana" w:cs="Century Gothic"/>
          <w:b/>
          <w:bCs/>
        </w:rPr>
        <w:t>Problema planteado:</w:t>
      </w:r>
    </w:p>
    <w:p w14:paraId="53BEEA13" w14:textId="77777777" w:rsidR="00BC41EA" w:rsidRPr="00BC41EA" w:rsidRDefault="00BC41EA" w:rsidP="00BC41EA">
      <w:pPr>
        <w:tabs>
          <w:tab w:val="left" w:pos="426"/>
        </w:tabs>
        <w:spacing w:after="0" w:line="276" w:lineRule="auto"/>
        <w:jc w:val="both"/>
        <w:rPr>
          <w:rFonts w:ascii="Verdana" w:eastAsia="Century Gothic" w:hAnsi="Verdana" w:cs="Century Gothic"/>
          <w:lang w:val="es-ES"/>
        </w:rPr>
      </w:pPr>
    </w:p>
    <w:p w14:paraId="5E26BAF5" w14:textId="77777777" w:rsidR="00BC41EA" w:rsidRPr="00BC41EA" w:rsidRDefault="00BC41EA" w:rsidP="00BC41EA">
      <w:pPr>
        <w:spacing w:after="0" w:line="276" w:lineRule="auto"/>
        <w:jc w:val="both"/>
        <w:rPr>
          <w:rFonts w:ascii="Verdana" w:eastAsia="Calibri" w:hAnsi="Verdana" w:cs="Arial"/>
          <w:lang w:val="es-ES" w:eastAsia="es-ES"/>
        </w:rPr>
      </w:pPr>
      <w:r w:rsidRPr="00BC41EA">
        <w:rPr>
          <w:rFonts w:ascii="Verdana" w:eastAsia="Century Gothic" w:hAnsi="Verdana" w:cs="Century Gothic"/>
        </w:rPr>
        <w:t xml:space="preserve">De acuerdo con el contenido de su solicitud, esta Agencia en relación con los </w:t>
      </w:r>
      <w:r w:rsidRPr="00BC41EA">
        <w:rPr>
          <w:rFonts w:ascii="Verdana" w:eastAsia="Calibri" w:hAnsi="Verdana" w:cs="Times New Roman"/>
          <w:lang w:val="es-ES"/>
        </w:rPr>
        <w:t>documentos tipo complementarios para los procesos de licitación de obra pública de infraestructura social relacionados con el sector cultura, recreación y deporte,</w:t>
      </w:r>
      <w:r w:rsidRPr="00BC41EA">
        <w:rPr>
          <w:rFonts w:ascii="Verdana" w:eastAsia="Century Gothic" w:hAnsi="Verdana" w:cs="Century Gothic"/>
        </w:rPr>
        <w:t xml:space="preserve"> resolverá el siguiente problema jurídico: </w:t>
      </w:r>
      <w:r w:rsidRPr="00BC41EA">
        <w:rPr>
          <w:rFonts w:ascii="Verdana" w:eastAsia="Calibri" w:hAnsi="Verdana" w:cs="Arial"/>
          <w:lang w:val="es-ES" w:eastAsia="es-ES"/>
        </w:rPr>
        <w:t xml:space="preserve">¿Qué criterios debe seguir la entidad que adelanta el proceso de selección para determinar los requisitos de experiencia general y específica? </w:t>
      </w:r>
    </w:p>
    <w:p w14:paraId="0EDF43F7" w14:textId="77777777" w:rsidR="00BC41EA" w:rsidRPr="00BC41EA" w:rsidRDefault="00BC41EA" w:rsidP="00BC41EA">
      <w:pPr>
        <w:spacing w:after="0" w:line="276" w:lineRule="auto"/>
        <w:jc w:val="both"/>
        <w:rPr>
          <w:rFonts w:ascii="Verdana" w:eastAsia="Century Gothic" w:hAnsi="Verdana" w:cs="Century Gothic"/>
        </w:rPr>
      </w:pPr>
    </w:p>
    <w:p w14:paraId="263F10FB" w14:textId="77777777" w:rsidR="00BC41EA" w:rsidRPr="00BC41EA" w:rsidRDefault="00BC41EA" w:rsidP="00BC41EA">
      <w:pPr>
        <w:tabs>
          <w:tab w:val="left" w:pos="142"/>
          <w:tab w:val="left" w:pos="284"/>
        </w:tabs>
        <w:spacing w:after="0" w:line="276" w:lineRule="auto"/>
        <w:contextualSpacing/>
        <w:jc w:val="both"/>
        <w:rPr>
          <w:rFonts w:ascii="Verdana" w:eastAsia="Century Gothic" w:hAnsi="Verdana" w:cs="Century Gothic"/>
          <w:b/>
          <w:bCs/>
          <w:lang w:val="es-ES"/>
        </w:rPr>
      </w:pPr>
      <w:r w:rsidRPr="00BC41EA">
        <w:rPr>
          <w:rFonts w:ascii="Verdana" w:eastAsia="Century Gothic" w:hAnsi="Verdana" w:cs="Century Gothic"/>
          <w:b/>
          <w:bCs/>
          <w:lang w:val="es-ES"/>
        </w:rPr>
        <w:t>2. Respuestas:</w:t>
      </w:r>
    </w:p>
    <w:p w14:paraId="5C7B3424" w14:textId="77777777" w:rsidR="00BC41EA" w:rsidRPr="00BC41EA" w:rsidRDefault="00BC41EA" w:rsidP="00BC41EA">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41EA" w:rsidRPr="00BC41EA" w14:paraId="0900EA87" w14:textId="77777777" w:rsidTr="7BE02C44">
        <w:trPr>
          <w:trHeight w:val="40"/>
        </w:trPr>
        <w:tc>
          <w:tcPr>
            <w:tcW w:w="8828" w:type="dxa"/>
            <w:tcBorders>
              <w:top w:val="dotted" w:sz="4" w:space="0" w:color="auto"/>
              <w:left w:val="dotted" w:sz="4" w:space="0" w:color="auto"/>
              <w:bottom w:val="dotted" w:sz="4" w:space="0" w:color="auto"/>
              <w:right w:val="dotted" w:sz="4" w:space="0" w:color="auto"/>
            </w:tcBorders>
          </w:tcPr>
          <w:p w14:paraId="7D8C2370" w14:textId="77777777" w:rsidR="00BC41EA" w:rsidRPr="00BC41EA" w:rsidRDefault="00BC41EA" w:rsidP="00BC41EA">
            <w:pPr>
              <w:widowControl w:val="0"/>
              <w:autoSpaceDE w:val="0"/>
              <w:autoSpaceDN w:val="0"/>
              <w:spacing w:line="276" w:lineRule="auto"/>
              <w:jc w:val="both"/>
              <w:rPr>
                <w:rFonts w:ascii="Verdana" w:eastAsia="Calibri" w:hAnsi="Verdana" w:cs="Times New Roman"/>
                <w:lang w:val="es-ES"/>
              </w:rPr>
            </w:pPr>
            <w:r w:rsidRPr="00BC41EA">
              <w:rPr>
                <w:rFonts w:ascii="Verdana" w:eastAsia="Calibri" w:hAnsi="Verdana" w:cs="Times New Roman"/>
                <w:lang w:val="es-ES"/>
              </w:rPr>
              <w:t>Cada entidad estatal deberá determinar la experiencia general y específica que debe acreditarse en cada procedimiento de selección, en función del objeto contractual. En este sentido, las entidades estatales que adelanten procesos de contratación de licitación de obra pública de infraestructura social asociados al sector cultura, recreación y deporte, deben definir la experiencia exigible, teniendo en cuenta las condiciones fijadas en las matrices de experiencia, de acuerdo con los siguientes pasos:</w:t>
            </w:r>
          </w:p>
          <w:p w14:paraId="04388224" w14:textId="77777777" w:rsidR="00BC41EA" w:rsidRPr="00BC41EA" w:rsidRDefault="00BC41EA" w:rsidP="00BC41EA">
            <w:pPr>
              <w:widowControl w:val="0"/>
              <w:autoSpaceDE w:val="0"/>
              <w:autoSpaceDN w:val="0"/>
              <w:spacing w:line="276" w:lineRule="auto"/>
              <w:ind w:left="709" w:right="709"/>
              <w:jc w:val="both"/>
              <w:rPr>
                <w:rFonts w:ascii="Verdana" w:eastAsia="Calibri" w:hAnsi="Verdana" w:cs="Times New Roman"/>
                <w:lang w:val="es-ES"/>
              </w:rPr>
            </w:pPr>
          </w:p>
          <w:p w14:paraId="06E55BB3" w14:textId="77777777" w:rsidR="00BC41EA" w:rsidRPr="00BC41EA" w:rsidRDefault="00BC41EA" w:rsidP="00BC41EA">
            <w:pPr>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a) </w:t>
            </w:r>
            <w:r w:rsidRPr="00BC41EA">
              <w:rPr>
                <w:rFonts w:ascii="Verdana" w:eastAsia="Calibri" w:hAnsi="Verdana" w:cs="Arial"/>
                <w:sz w:val="21"/>
                <w:szCs w:val="21"/>
                <w:lang w:val="es-MX"/>
              </w:rPr>
              <w:t xml:space="preserve">Determinar la matriz de experiencia aplicable en atención al tipo de proyecto de infraestructura social a contratarse, ya sea de educación, salud o recreación, cultura y deporte. </w:t>
            </w:r>
          </w:p>
          <w:p w14:paraId="27FB937B" w14:textId="77777777" w:rsidR="00BC41EA" w:rsidRPr="00BC41EA" w:rsidRDefault="00BC41EA" w:rsidP="00BC41EA">
            <w:pPr>
              <w:spacing w:before="120"/>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7955AB06" w14:textId="77777777" w:rsidR="00BC41EA" w:rsidRPr="00BC41EA" w:rsidRDefault="00BC41EA" w:rsidP="00BC41EA">
            <w:pPr>
              <w:spacing w:before="120"/>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668F011C" w14:textId="77777777" w:rsidR="00BC41EA" w:rsidRPr="00BC41EA" w:rsidRDefault="00BC41EA" w:rsidP="00BC41EA">
            <w:pPr>
              <w:spacing w:before="120" w:after="120"/>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172A79CC" w14:textId="77777777" w:rsidR="00BC41EA" w:rsidRPr="00BC41EA" w:rsidRDefault="00BC41EA" w:rsidP="00BC41EA">
            <w:pPr>
              <w:ind w:left="709" w:right="709" w:firstLine="709"/>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e) Establecidos los requisitos de experiencia exigibles, la entidad deberá consignarlos en los apartados grises entre corchetes </w:t>
            </w:r>
            <w:r w:rsidRPr="00BC41EA">
              <w:rPr>
                <w:rFonts w:ascii="Verdana" w:eastAsia="Calibri" w:hAnsi="Verdana" w:cs="Arial"/>
                <w:color w:val="000000"/>
                <w:sz w:val="21"/>
                <w:szCs w:val="21"/>
                <w:lang w:val="es-MX"/>
              </w:rPr>
              <w:lastRenderedPageBreak/>
              <w:t>del literal A del numeral 3.5.1 del documento base, para que los oferentes puedan conocer los requisitos de experiencia general y específica exigidos por la entidad.</w:t>
            </w:r>
          </w:p>
          <w:p w14:paraId="538F4CCB" w14:textId="77777777" w:rsidR="00BC41EA" w:rsidRPr="00BC41EA" w:rsidRDefault="00BC41EA" w:rsidP="00BC41EA">
            <w:pPr>
              <w:spacing w:line="276" w:lineRule="auto"/>
              <w:ind w:left="709" w:firstLine="709"/>
              <w:jc w:val="both"/>
              <w:rPr>
                <w:rFonts w:ascii="Verdana" w:eastAsia="Times New Roman" w:hAnsi="Verdana" w:cs="Arial"/>
                <w:sz w:val="21"/>
                <w:szCs w:val="21"/>
                <w:lang w:val="es-ES" w:eastAsia="es-MX"/>
              </w:rPr>
            </w:pPr>
          </w:p>
          <w:p w14:paraId="3B81DEBD" w14:textId="77777777" w:rsidR="00BC41EA" w:rsidRPr="00BC41EA" w:rsidRDefault="00BC41EA" w:rsidP="00BC41EA">
            <w:pPr>
              <w:spacing w:after="120" w:line="276" w:lineRule="auto"/>
              <w:ind w:firstLine="703"/>
              <w:jc w:val="both"/>
              <w:textAlignment w:val="baseline"/>
              <w:rPr>
                <w:rFonts w:ascii="Verdana" w:eastAsia="Calibri" w:hAnsi="Verdana" w:cs="Arial"/>
                <w:lang w:val="es-MX"/>
              </w:rPr>
            </w:pPr>
            <w:r w:rsidRPr="00BC41EA">
              <w:rPr>
                <w:rFonts w:ascii="Verdana" w:eastAsia="Calibri" w:hAnsi="Verdana" w:cs="Arial"/>
              </w:rPr>
              <w:t xml:space="preserve">Así las cosas, en la etapa de planeación, la entidad estatal debe identificar el tipo de obra de infraestructura y las actividades definidas en la “Matriz – Experiencia” atendiendo al alcance del objeto a contratar. De esta manera, </w:t>
            </w:r>
            <w:r w:rsidRPr="00BC41EA">
              <w:rPr>
                <w:rFonts w:ascii="Verdana" w:eastAsia="Calibri" w:hAnsi="Verdana" w:cs="Arial"/>
                <w:lang w:val="es-MX"/>
              </w:rPr>
              <w:t xml:space="preserve">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 </w:t>
            </w:r>
          </w:p>
          <w:p w14:paraId="004ACE15" w14:textId="31B8A085" w:rsidR="00BC41EA" w:rsidRPr="00BC41EA" w:rsidRDefault="00BC41EA" w:rsidP="00BC41EA">
            <w:pPr>
              <w:spacing w:after="120" w:line="276" w:lineRule="auto"/>
              <w:ind w:firstLine="703"/>
              <w:jc w:val="both"/>
              <w:textAlignment w:val="baseline"/>
              <w:rPr>
                <w:rFonts w:ascii="Verdana" w:eastAsia="Calibri" w:hAnsi="Verdana" w:cs="Arial"/>
                <w:kern w:val="2"/>
                <w14:ligatures w14:val="standardContextual"/>
              </w:rPr>
            </w:pPr>
            <w:r w:rsidRPr="00BC41EA">
              <w:rPr>
                <w:rFonts w:ascii="Verdana" w:eastAsia="Calibri" w:hAnsi="Verdana" w:cs="Arial"/>
                <w:kern w:val="2"/>
                <w14:ligatures w14:val="standardContextual"/>
              </w:rPr>
              <w:tab/>
              <w:t xml:space="preserve">Conforme con lo anterior, debe indicarse que, le corresponde a la </w:t>
            </w:r>
            <w:r w:rsidRPr="00BC41EA">
              <w:rPr>
                <w:rFonts w:ascii="Verdana" w:eastAsia="Calibri" w:hAnsi="Verdana" w:cs="Arial"/>
              </w:rPr>
              <w:t>e</w:t>
            </w:r>
            <w:r w:rsidRPr="00BC41EA">
              <w:rPr>
                <w:rFonts w:ascii="Verdana" w:eastAsia="Calibri" w:hAnsi="Verdana" w:cs="Arial"/>
                <w:kern w:val="2"/>
                <w14:ligatures w14:val="standardContextual"/>
              </w:rPr>
              <w:t xml:space="preserve">ntidad </w:t>
            </w:r>
            <w:r w:rsidRPr="00BC41EA">
              <w:rPr>
                <w:rFonts w:ascii="Verdana" w:eastAsia="Calibri" w:hAnsi="Verdana" w:cs="Arial"/>
              </w:rPr>
              <w:t xml:space="preserve">estatal que adelanta el </w:t>
            </w:r>
            <w:r w:rsidRPr="00BC41EA">
              <w:rPr>
                <w:rFonts w:ascii="Verdana" w:eastAsia="Calibri" w:hAnsi="Verdana" w:cs="Arial"/>
                <w:kern w:val="2"/>
                <w14:ligatures w14:val="standardContextual"/>
              </w:rPr>
              <w:t>proyecto</w:t>
            </w:r>
            <w:r w:rsidRPr="00BC41EA">
              <w:rPr>
                <w:rFonts w:ascii="Verdana" w:eastAsia="Calibri" w:hAnsi="Verdana" w:cs="Arial"/>
              </w:rPr>
              <w:t xml:space="preserve">, en </w:t>
            </w:r>
            <w:r w:rsidRPr="00BC41EA">
              <w:rPr>
                <w:rFonts w:ascii="Verdana" w:eastAsia="Calibri" w:hAnsi="Verdana" w:cs="Arial"/>
                <w:kern w:val="2"/>
                <w14:ligatures w14:val="standardContextual"/>
              </w:rPr>
              <w:t xml:space="preserve">virtud del conocimiento del expediente completo, estructurar el proceso </w:t>
            </w:r>
            <w:r w:rsidRPr="00BC41EA">
              <w:rPr>
                <w:rFonts w:ascii="Verdana" w:eastAsia="Calibri" w:hAnsi="Verdana" w:cs="Arial"/>
              </w:rPr>
              <w:t>contractual,</w:t>
            </w:r>
            <w:r w:rsidRPr="00BC41EA">
              <w:rPr>
                <w:rFonts w:ascii="Verdana" w:eastAsia="Calibri" w:hAnsi="Verdana" w:cs="Arial"/>
                <w:kern w:val="2"/>
                <w14:ligatures w14:val="standardContextual"/>
              </w:rPr>
              <w:t xml:space="preserve"> así como la elaboración de los respectivos estudios previos, donde indicará claramente la determinación de la necesidad que pretende satisfacer y definir</w:t>
            </w:r>
            <w:r w:rsidRPr="00BC41EA">
              <w:rPr>
                <w:rFonts w:ascii="Verdana" w:eastAsia="Calibri" w:hAnsi="Verdana" w:cs="Arial"/>
              </w:rPr>
              <w:t>á el objeto del proceso de contratación, así como la</w:t>
            </w:r>
            <w:r w:rsidR="51FCBF98" w:rsidRPr="00BC41EA">
              <w:rPr>
                <w:rFonts w:ascii="Verdana" w:eastAsia="Calibri" w:hAnsi="Verdana" w:cs="Arial"/>
              </w:rPr>
              <w:t>(</w:t>
            </w:r>
            <w:r w:rsidRPr="00BC41EA">
              <w:rPr>
                <w:rFonts w:ascii="Verdana" w:eastAsia="Calibri" w:hAnsi="Verdana" w:cs="Arial"/>
              </w:rPr>
              <w:t>s</w:t>
            </w:r>
            <w:r w:rsidR="6C52686C" w:rsidRPr="00BC41EA">
              <w:rPr>
                <w:rFonts w:ascii="Verdana" w:eastAsia="Calibri" w:hAnsi="Verdana" w:cs="Arial"/>
              </w:rPr>
              <w:t>)</w:t>
            </w:r>
            <w:r w:rsidRPr="00BC41EA">
              <w:rPr>
                <w:rFonts w:ascii="Verdana" w:eastAsia="Calibri" w:hAnsi="Verdana" w:cs="Arial"/>
              </w:rPr>
              <w:t xml:space="preserve"> actividad(es) a contratar dependiendo el alcance del proyecto.</w:t>
            </w:r>
            <w:r w:rsidRPr="00BC41EA">
              <w:rPr>
                <w:rFonts w:ascii="Verdana" w:eastAsia="Calibri" w:hAnsi="Verdana" w:cs="Arial"/>
                <w:kern w:val="2"/>
                <w14:ligatures w14:val="standardContextual"/>
              </w:rPr>
              <w:t xml:space="preserve"> </w:t>
            </w:r>
          </w:p>
          <w:p w14:paraId="50D0B1CD" w14:textId="77777777" w:rsidR="00BC41EA" w:rsidRPr="00BC41EA" w:rsidRDefault="00BC41EA" w:rsidP="00BC41EA">
            <w:pPr>
              <w:spacing w:after="120" w:line="276" w:lineRule="auto"/>
              <w:ind w:firstLine="708"/>
              <w:jc w:val="both"/>
              <w:rPr>
                <w:rFonts w:ascii="Verdana" w:eastAsia="Times New Roman" w:hAnsi="Verdana" w:cs="Times New Roman"/>
                <w:color w:val="000000"/>
                <w:lang w:eastAsia="es-MX"/>
              </w:rPr>
            </w:pPr>
            <w:r w:rsidRPr="00BC41EA">
              <w:rPr>
                <w:rFonts w:ascii="Verdana" w:eastAsia="Calibri" w:hAnsi="Verdana" w:cs="Times New Roman"/>
                <w:lang w:val="es-ES"/>
              </w:rPr>
              <w:t>Conforme con lo anterior,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BC41EA">
              <w:rPr>
                <w:rFonts w:ascii="Verdana" w:eastAsia="Aptos" w:hAnsi="Verdana" w:cs="Arial"/>
                <w:color w:val="000000"/>
              </w:rPr>
              <w:t>.</w:t>
            </w:r>
          </w:p>
          <w:p w14:paraId="7141EBD3" w14:textId="77777777" w:rsidR="00BC41EA" w:rsidRPr="00BC41EA" w:rsidRDefault="00BC41EA" w:rsidP="00BC41EA">
            <w:pPr>
              <w:spacing w:line="276" w:lineRule="auto"/>
              <w:ind w:firstLine="708"/>
              <w:jc w:val="both"/>
              <w:rPr>
                <w:rFonts w:ascii="Century Gothic" w:eastAsia="Times New Roman" w:hAnsi="Century Gothic" w:cs="Times New Roman"/>
                <w:color w:val="000000"/>
                <w:lang w:eastAsia="es-MX"/>
              </w:rPr>
            </w:pPr>
            <w:r w:rsidRPr="00BC41EA">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BC41EA">
              <w:rPr>
                <w:rFonts w:ascii="Verdana" w:eastAsia="Calibri" w:hAnsi="Verdana" w:cs="Times New Roman"/>
                <w:lang w:val="es-ES"/>
              </w:rPr>
              <w:lastRenderedPageBreak/>
              <w:t>definirá la forma de adelantar su gestión contractual, sin que sea atribución de Colombia Compra Eficiente validar sus actuaciones.</w:t>
            </w:r>
          </w:p>
        </w:tc>
      </w:tr>
    </w:tbl>
    <w:p w14:paraId="0331EDAD" w14:textId="77777777" w:rsidR="00BC41EA" w:rsidRPr="00BC41EA" w:rsidRDefault="00BC41EA" w:rsidP="00BC41EA">
      <w:pPr>
        <w:tabs>
          <w:tab w:val="left" w:pos="142"/>
          <w:tab w:val="left" w:pos="284"/>
        </w:tabs>
        <w:spacing w:after="0" w:line="276" w:lineRule="auto"/>
        <w:jc w:val="both"/>
        <w:rPr>
          <w:rFonts w:ascii="Verdana" w:eastAsia="Century Gothic" w:hAnsi="Verdana" w:cs="Century Gothic"/>
          <w:b/>
          <w:bCs/>
          <w:lang w:val="es-ES"/>
        </w:rPr>
      </w:pPr>
    </w:p>
    <w:p w14:paraId="2D77B4E7" w14:textId="77777777" w:rsidR="00BC41EA" w:rsidRPr="00BC41EA" w:rsidRDefault="00BC41EA" w:rsidP="00BC41EA">
      <w:pPr>
        <w:tabs>
          <w:tab w:val="left" w:pos="142"/>
          <w:tab w:val="left" w:pos="284"/>
        </w:tabs>
        <w:spacing w:after="0" w:line="276" w:lineRule="auto"/>
        <w:jc w:val="both"/>
        <w:rPr>
          <w:rFonts w:ascii="Verdana" w:eastAsia="Century Gothic" w:hAnsi="Verdana" w:cs="Century Gothic"/>
          <w:b/>
          <w:bCs/>
          <w:lang w:val="es-ES"/>
        </w:rPr>
      </w:pPr>
      <w:r w:rsidRPr="00BC41EA">
        <w:rPr>
          <w:rFonts w:ascii="Verdana" w:eastAsia="Century Gothic" w:hAnsi="Verdana" w:cs="Century Gothic"/>
          <w:b/>
          <w:bCs/>
          <w:lang w:val="es-ES"/>
        </w:rPr>
        <w:t>3. Razones de la respuesta:</w:t>
      </w:r>
    </w:p>
    <w:p w14:paraId="6463DE74" w14:textId="77777777" w:rsidR="00BC41EA" w:rsidRPr="00BC41EA" w:rsidRDefault="00BC41EA" w:rsidP="00BC41EA">
      <w:pPr>
        <w:spacing w:after="0" w:line="276" w:lineRule="auto"/>
        <w:jc w:val="both"/>
        <w:rPr>
          <w:rFonts w:ascii="Verdana" w:eastAsia="Calibri" w:hAnsi="Verdana" w:cs="Arial"/>
          <w:lang w:val="es-ES"/>
        </w:rPr>
      </w:pPr>
    </w:p>
    <w:p w14:paraId="665A057E" w14:textId="77777777" w:rsidR="00BC41EA" w:rsidRPr="00BC41EA" w:rsidRDefault="00BC41EA" w:rsidP="00BC41EA">
      <w:pPr>
        <w:spacing w:after="0" w:line="276" w:lineRule="auto"/>
        <w:jc w:val="both"/>
        <w:rPr>
          <w:rFonts w:ascii="Verdana" w:eastAsia="Calibri" w:hAnsi="Verdana" w:cs="Arial"/>
          <w:lang w:val="es-ES"/>
        </w:rPr>
      </w:pPr>
      <w:r w:rsidRPr="00BC41EA">
        <w:rPr>
          <w:rFonts w:ascii="Verdana" w:eastAsia="Calibri" w:hAnsi="Verdana" w:cs="Arial"/>
          <w:lang w:val="es-ES"/>
        </w:rPr>
        <w:t xml:space="preserve">Lo anterior se sustenta en las siguientes consideraciones: </w:t>
      </w:r>
    </w:p>
    <w:p w14:paraId="2691AE8F" w14:textId="77777777" w:rsidR="00BC41EA" w:rsidRPr="00BC41EA" w:rsidRDefault="00BC41EA" w:rsidP="00BC41EA">
      <w:pPr>
        <w:spacing w:after="0" w:line="276" w:lineRule="auto"/>
        <w:jc w:val="both"/>
        <w:rPr>
          <w:rFonts w:ascii="Verdana" w:eastAsia="Calibri" w:hAnsi="Verdana" w:cs="Arial"/>
          <w:lang w:val="es-ES"/>
        </w:rPr>
      </w:pPr>
    </w:p>
    <w:p w14:paraId="3DE25A1F" w14:textId="77777777" w:rsidR="00BC41EA" w:rsidRPr="00BC41EA" w:rsidRDefault="00BC41EA" w:rsidP="00BC41EA">
      <w:pPr>
        <w:widowControl w:val="0"/>
        <w:autoSpaceDE w:val="0"/>
        <w:autoSpaceDN w:val="0"/>
        <w:spacing w:after="120" w:line="276" w:lineRule="auto"/>
        <w:jc w:val="both"/>
        <w:rPr>
          <w:rFonts w:ascii="Verdana" w:eastAsia="Calibri" w:hAnsi="Verdana" w:cs="Times New Roman"/>
          <w:lang w:val="es-ES"/>
        </w:rPr>
      </w:pPr>
      <w:bookmarkStart w:id="1" w:name="_Hlk113022941"/>
      <w:r w:rsidRPr="00BC41EA">
        <w:rPr>
          <w:rFonts w:ascii="Verdana" w:eastAsia="Calibri" w:hAnsi="Verdana" w:cs="Times New Roman"/>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FA83D9D"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4508E85"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La Agencia Nacional de Contratación Pública – Colombia Compra Eficiente expidió la Resolución 219 del 6 de agosto de 2021, “Por la cual se adoptan los documentos tipo para los procesos de licitación de obra pública de infraestructura social”. Mediante esa Resolución, se adoptaron los documentos tipo que aplican 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1786008"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En consecuencia, en materia de infraestructura social debe tenerse en cuenta que existen dos (2) clases de documentos tipo que se integran en cada </w:t>
      </w:r>
      <w:r w:rsidRPr="00BC41EA">
        <w:rPr>
          <w:rFonts w:ascii="Verdana" w:eastAsia="Calibri" w:hAnsi="Verdana" w:cs="Times New Roman"/>
          <w:lang w:val="es-ES"/>
        </w:rPr>
        <w:lastRenderedPageBreak/>
        <w:t xml:space="preserve">proceso: i) los documentos transversales a todos los sectores de infraestructura social, es decir, el documento base, los anexos, los formatos, los formularios y las matrices adoptados mediante la Resolución No. 219 de 2021; y </w:t>
      </w:r>
      <w:proofErr w:type="spellStart"/>
      <w:r w:rsidRPr="00BC41EA">
        <w:rPr>
          <w:rFonts w:ascii="Verdana" w:eastAsia="Calibri" w:hAnsi="Verdana" w:cs="Times New Roman"/>
          <w:lang w:val="es-ES"/>
        </w:rPr>
        <w:t>ii</w:t>
      </w:r>
      <w:proofErr w:type="spellEnd"/>
      <w:r w:rsidRPr="00BC41EA">
        <w:rPr>
          <w:rFonts w:ascii="Verdana" w:eastAsia="Calibri" w:hAnsi="Verdana" w:cs="Times New Roman"/>
          <w:lang w:val="es-ES"/>
        </w:rPr>
        <w:t xml:space="preserve">) los documentos tipo complementarios, referentes a la matriz de experiencia y el glosario, los cuales han sido adoptados en la resolución para cada sector específico. </w:t>
      </w:r>
    </w:p>
    <w:p w14:paraId="0208D2F9"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En relación con su solicitud, debe indicarse que esta Agencia expidió la Resolución </w:t>
      </w:r>
      <w:r w:rsidRPr="00BC41EA">
        <w:rPr>
          <w:rFonts w:ascii="Verdana" w:eastAsia="Calibri" w:hAnsi="Verdana" w:cs="Arial"/>
          <w:kern w:val="2"/>
          <w14:ligatures w14:val="standardContextual"/>
        </w:rPr>
        <w:t xml:space="preserve">454 del 16 de diciembre de 2021, mediante la cual se acogieron los documentos tipo complementarios aplicables al sector cultura, recreación y deporte.  </w:t>
      </w:r>
      <w:r w:rsidRPr="00BC41EA">
        <w:rPr>
          <w:rFonts w:ascii="Verdana" w:eastAsia="Calibri" w:hAnsi="Verdana" w:cs="Times New Roman"/>
          <w:lang w:val="es-ES"/>
        </w:rPr>
        <w:t xml:space="preserve">El artículo 2 de esa Resolución, adopta el "Anexo -Glosario" y la "Matriz – Experiencia” para proyectos de infraestructura social asociada al sector cultura, recreación y deporte. Estos dos (2) documentos definen el alcance para ese sector específicamente. </w:t>
      </w:r>
    </w:p>
    <w:p w14:paraId="2792598D"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C41EA">
        <w:rPr>
          <w:rFonts w:ascii="Verdana" w:eastAsia="Calibri" w:hAnsi="Verdana" w:cs="Times New Roman"/>
          <w:shd w:val="clear" w:color="auto" w:fill="E8E8E8"/>
          <w:lang w:val="es-ES"/>
        </w:rPr>
        <w:t>–[texto]–,</w:t>
      </w:r>
      <w:r w:rsidRPr="00BC41EA">
        <w:rPr>
          <w:rFonts w:ascii="Verdana" w:eastAsia="Calibri" w:hAnsi="Verdana" w:cs="Times New Roman"/>
          <w:lang w:val="es-ES"/>
        </w:rPr>
        <w:t xml:space="preserve"> para lo cual deberán observarse las instrucciones contenidas en los mismos para su diligenciamiento.</w:t>
      </w:r>
    </w:p>
    <w:p w14:paraId="348232F3"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1E972BB"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3E30E9D"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w:t>
      </w:r>
      <w:r w:rsidRPr="00BC41EA">
        <w:rPr>
          <w:rFonts w:ascii="Verdana" w:eastAsia="Calibri" w:hAnsi="Verdana" w:cs="Times New Roman"/>
          <w:lang w:val="es-ES"/>
        </w:rPr>
        <w:lastRenderedPageBreak/>
        <w:t>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8B498B4"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3532DB2"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90CEC9D"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5FDE330D" w14:textId="77777777" w:rsidR="00BC41EA" w:rsidRPr="00BC41EA" w:rsidRDefault="00BC41EA" w:rsidP="00BC41EA">
      <w:pPr>
        <w:widowControl w:val="0"/>
        <w:autoSpaceDE w:val="0"/>
        <w:autoSpaceDN w:val="0"/>
        <w:spacing w:after="120" w:line="276" w:lineRule="auto"/>
        <w:ind w:firstLine="708"/>
        <w:jc w:val="both"/>
        <w:rPr>
          <w:rFonts w:ascii="Verdana" w:eastAsia="Calibri" w:hAnsi="Verdana" w:cs="Times New Roman"/>
          <w:lang w:val="es-ES"/>
        </w:rPr>
      </w:pPr>
      <w:r w:rsidRPr="00BC41EA">
        <w:rPr>
          <w:rFonts w:ascii="Verdana" w:eastAsia="Calibri" w:hAnsi="Verdana" w:cs="Times New Roman"/>
          <w:lang w:val="es-ES"/>
        </w:rPr>
        <w:t xml:space="preserve">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w:t>
      </w:r>
      <w:r w:rsidRPr="00BC41EA">
        <w:rPr>
          <w:rFonts w:ascii="Verdana" w:eastAsia="Calibri" w:hAnsi="Verdana" w:cs="Times New Roman"/>
          <w:lang w:val="es-ES"/>
        </w:rPr>
        <w:lastRenderedPageBreak/>
        <w:t>de experiencia allí establecidas, salvo cuando de forma expresa esta lo determine.</w:t>
      </w:r>
    </w:p>
    <w:p w14:paraId="6A5968C4" w14:textId="77777777" w:rsidR="00BC41EA" w:rsidRPr="00BC41EA" w:rsidRDefault="00BC41EA" w:rsidP="00BC41EA">
      <w:pPr>
        <w:widowControl w:val="0"/>
        <w:autoSpaceDE w:val="0"/>
        <w:autoSpaceDN w:val="0"/>
        <w:spacing w:after="0" w:line="276" w:lineRule="auto"/>
        <w:ind w:firstLine="708"/>
        <w:jc w:val="both"/>
        <w:rPr>
          <w:rFonts w:ascii="Verdana" w:eastAsia="Calibri" w:hAnsi="Verdana" w:cs="Times New Roman"/>
          <w:lang w:val="es-ES"/>
        </w:rPr>
      </w:pPr>
      <w:r w:rsidRPr="00BC41EA">
        <w:rPr>
          <w:rFonts w:ascii="Verdana" w:eastAsia="Calibri" w:hAnsi="Verdana" w:cs="Times New Roman"/>
          <w:lang w:val="es-ES"/>
        </w:rPr>
        <w:t>Conforme a lo anterior, las entidades estatales que adelanten procesos de contratación de licitación de obra pública de infraestructura social asociados a los sectores educativo, salud o cultura, recreación y deporte, deben definir la experiencia exigible, teniendo en cuenta las condiciones fijadas en las matrices de experiencia, de acuerdo con los siguientes pasos</w:t>
      </w:r>
      <w:r w:rsidRPr="00BC41EA">
        <w:rPr>
          <w:rFonts w:ascii="Verdana" w:eastAsia="Calibri" w:hAnsi="Verdana" w:cs="Times New Roman"/>
          <w:vertAlign w:val="superscript"/>
          <w:lang w:val="es-ES"/>
        </w:rPr>
        <w:footnoteReference w:id="1"/>
      </w:r>
      <w:r w:rsidRPr="00BC41EA">
        <w:rPr>
          <w:rFonts w:ascii="Verdana" w:eastAsia="Calibri" w:hAnsi="Verdana" w:cs="Times New Roman"/>
          <w:lang w:val="es-ES"/>
        </w:rPr>
        <w:t>:</w:t>
      </w:r>
    </w:p>
    <w:p w14:paraId="03150864" w14:textId="77777777" w:rsidR="00BC41EA" w:rsidRPr="00BC41EA" w:rsidRDefault="00BC41EA" w:rsidP="00BC41EA">
      <w:pPr>
        <w:widowControl w:val="0"/>
        <w:autoSpaceDE w:val="0"/>
        <w:autoSpaceDN w:val="0"/>
        <w:spacing w:after="0" w:line="276" w:lineRule="auto"/>
        <w:ind w:left="709" w:right="709"/>
        <w:jc w:val="both"/>
        <w:rPr>
          <w:rFonts w:ascii="Verdana" w:eastAsia="Calibri" w:hAnsi="Verdana" w:cs="Times New Roman"/>
          <w:lang w:val="es-ES"/>
        </w:rPr>
      </w:pPr>
    </w:p>
    <w:p w14:paraId="58EF87FE" w14:textId="77777777" w:rsidR="00BC41EA" w:rsidRPr="00BC41EA" w:rsidRDefault="00BC41EA" w:rsidP="00BC41EA">
      <w:pPr>
        <w:spacing w:after="0" w:line="240" w:lineRule="auto"/>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a) </w:t>
      </w:r>
      <w:r w:rsidRPr="00BC41EA">
        <w:rPr>
          <w:rFonts w:ascii="Verdana" w:eastAsia="Calibri" w:hAnsi="Verdana" w:cs="Arial"/>
          <w:sz w:val="21"/>
          <w:szCs w:val="21"/>
          <w:lang w:val="es-MX"/>
        </w:rPr>
        <w:t xml:space="preserve">Determinar la matriz de experiencia aplicable en atención al tipo de proyecto de infraestructura social a contratarse, ya sea de educación, salud o recreación, cultura y deporte. </w:t>
      </w:r>
    </w:p>
    <w:p w14:paraId="784106CB" w14:textId="77777777" w:rsidR="00BC41EA" w:rsidRPr="00BC41EA" w:rsidRDefault="00BC41EA" w:rsidP="00BC41EA">
      <w:pPr>
        <w:spacing w:before="120" w:after="0" w:line="240" w:lineRule="auto"/>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71AEA3B0" w14:textId="77777777" w:rsidR="00BC41EA" w:rsidRPr="00BC41EA" w:rsidRDefault="00BC41EA" w:rsidP="00BC41EA">
      <w:pPr>
        <w:spacing w:before="120" w:after="0" w:line="240" w:lineRule="auto"/>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53CA8036" w14:textId="77777777" w:rsidR="00BC41EA" w:rsidRPr="00BC41EA" w:rsidRDefault="00BC41EA" w:rsidP="00BC41EA">
      <w:pPr>
        <w:spacing w:before="120" w:after="120" w:line="240" w:lineRule="auto"/>
        <w:ind w:left="709" w:right="709" w:firstLine="708"/>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1AA57967" w14:textId="77777777" w:rsidR="00BC41EA" w:rsidRPr="00BC41EA" w:rsidRDefault="00BC41EA" w:rsidP="00BC41EA">
      <w:pPr>
        <w:spacing w:after="0" w:line="240" w:lineRule="auto"/>
        <w:ind w:left="709" w:right="709" w:firstLine="709"/>
        <w:jc w:val="both"/>
        <w:rPr>
          <w:rFonts w:ascii="Verdana" w:eastAsia="Calibri" w:hAnsi="Verdana" w:cs="Arial"/>
          <w:color w:val="000000"/>
          <w:sz w:val="21"/>
          <w:szCs w:val="21"/>
          <w:lang w:val="es-MX"/>
        </w:rPr>
      </w:pPr>
      <w:r w:rsidRPr="00BC41EA">
        <w:rPr>
          <w:rFonts w:ascii="Verdana" w:eastAsia="Calibri" w:hAnsi="Verdana" w:cs="Arial"/>
          <w:color w:val="000000"/>
          <w:sz w:val="21"/>
          <w:szCs w:val="21"/>
          <w:lang w:val="es-MX"/>
        </w:rPr>
        <w:t xml:space="preserve">e) Establecidos los requisitos de experiencia exigibles, la entidad deberá consignarlos en los apartados grises entre corchetes del literal A del numeral 3.5.1 del documento base, para que los oferentes </w:t>
      </w:r>
      <w:r w:rsidRPr="00BC41EA">
        <w:rPr>
          <w:rFonts w:ascii="Verdana" w:eastAsia="Calibri" w:hAnsi="Verdana" w:cs="Arial"/>
          <w:color w:val="000000"/>
          <w:sz w:val="21"/>
          <w:szCs w:val="21"/>
          <w:lang w:val="es-MX"/>
        </w:rPr>
        <w:lastRenderedPageBreak/>
        <w:t>puedan conocer los requisitos de experiencia general y específica exigidos por la entidad.</w:t>
      </w:r>
    </w:p>
    <w:p w14:paraId="592F1977" w14:textId="77777777" w:rsidR="00BC41EA" w:rsidRPr="00BC41EA" w:rsidRDefault="00BC41EA" w:rsidP="00BC41EA">
      <w:pPr>
        <w:spacing w:after="0" w:line="276" w:lineRule="auto"/>
        <w:ind w:left="709" w:firstLine="709"/>
        <w:jc w:val="both"/>
        <w:rPr>
          <w:rFonts w:ascii="Verdana" w:eastAsia="Times New Roman" w:hAnsi="Verdana" w:cs="Arial"/>
          <w:sz w:val="21"/>
          <w:szCs w:val="21"/>
          <w:lang w:val="es-ES" w:eastAsia="es-MX"/>
        </w:rPr>
      </w:pPr>
    </w:p>
    <w:p w14:paraId="7EF0DB25" w14:textId="77777777" w:rsidR="00BC41EA" w:rsidRPr="00BC41EA" w:rsidRDefault="00BC41EA" w:rsidP="00BC41EA">
      <w:pPr>
        <w:spacing w:after="120" w:line="276" w:lineRule="auto"/>
        <w:ind w:firstLine="703"/>
        <w:jc w:val="both"/>
        <w:textAlignment w:val="baseline"/>
        <w:rPr>
          <w:rFonts w:ascii="Verdana" w:eastAsia="Calibri" w:hAnsi="Verdana" w:cs="Arial"/>
          <w:kern w:val="2"/>
          <w:lang w:val="es-MX"/>
          <w14:ligatures w14:val="standardContextual"/>
        </w:rPr>
      </w:pPr>
      <w:r w:rsidRPr="00BC41EA">
        <w:rPr>
          <w:rFonts w:ascii="Verdana" w:eastAsia="Calibri" w:hAnsi="Verdana" w:cs="Arial"/>
          <w:kern w:val="2"/>
          <w14:ligatures w14:val="standardContextual"/>
        </w:rPr>
        <w:t xml:space="preserve">Así las cosas, en la etapa de planeación, la entidad estatal debe identificar el tipo de obra de infraestructura y las actividades definidas en la “Matriz – Experiencia” atendiendo al alcance del objeto a contratar. De esta manera, </w:t>
      </w:r>
      <w:r w:rsidRPr="00BC41EA">
        <w:rPr>
          <w:rFonts w:ascii="Verdana" w:eastAsia="Calibri" w:hAnsi="Verdana" w:cs="Arial"/>
          <w:kern w:val="2"/>
          <w:lang w:val="es-MX"/>
          <w14:ligatures w14:val="standardContextual"/>
        </w:rPr>
        <w:t xml:space="preserve">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 </w:t>
      </w:r>
    </w:p>
    <w:p w14:paraId="79141060" w14:textId="77777777" w:rsidR="00BC41EA" w:rsidRPr="00BC41EA" w:rsidRDefault="00BC41EA" w:rsidP="00BC41EA">
      <w:pPr>
        <w:spacing w:after="120" w:line="276" w:lineRule="auto"/>
        <w:ind w:firstLine="703"/>
        <w:jc w:val="both"/>
        <w:textAlignment w:val="baseline"/>
        <w:rPr>
          <w:rFonts w:ascii="Verdana" w:eastAsia="Calibri" w:hAnsi="Verdana" w:cs="Arial"/>
          <w:kern w:val="2"/>
          <w14:ligatures w14:val="standardContextual"/>
        </w:rPr>
      </w:pPr>
      <w:r w:rsidRPr="00BC41EA">
        <w:rPr>
          <w:rFonts w:ascii="Verdana" w:eastAsia="Calibri" w:hAnsi="Verdana" w:cs="Arial"/>
          <w:kern w:val="2"/>
          <w14:ligatures w14:val="standardContextual"/>
        </w:rPr>
        <w:tab/>
        <w:t xml:space="preserve">Conforme con lo anterior, debe indicarse que, le corresponde a la entidad estatal que adelanta el proyecto, en virtud del conocimiento del expediente completo, estructurar el proceso contractual, así como la elaboración de los respectivos estudios previos, donde indicará claramente la determinación de la necesidad que pretende satisfacer y definirá el objeto del proceso de contratación, así como las actividad(es) a contratar dependiendo el alcance del proyecto. </w:t>
      </w:r>
    </w:p>
    <w:bookmarkEnd w:id="1"/>
    <w:p w14:paraId="11C52F7C" w14:textId="77777777" w:rsidR="00BC41EA" w:rsidRPr="00BC41EA" w:rsidRDefault="00BC41EA" w:rsidP="00BC41EA">
      <w:pPr>
        <w:spacing w:after="120" w:line="276" w:lineRule="auto"/>
        <w:ind w:firstLine="708"/>
        <w:jc w:val="both"/>
        <w:rPr>
          <w:rFonts w:ascii="Verdana" w:eastAsia="Times New Roman" w:hAnsi="Verdana" w:cs="Times New Roman"/>
          <w:color w:val="000000"/>
          <w:lang w:eastAsia="es-MX"/>
        </w:rPr>
      </w:pPr>
      <w:r w:rsidRPr="00BC41EA">
        <w:rPr>
          <w:rFonts w:ascii="Verdana" w:eastAsia="Calibri" w:hAnsi="Verdana" w:cs="Times New Roman"/>
          <w:lang w:val="es-ES"/>
        </w:rPr>
        <w:t>Conforme con lo anterior,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BC41EA">
        <w:rPr>
          <w:rFonts w:ascii="Verdana" w:eastAsia="Aptos" w:hAnsi="Verdana" w:cs="Arial"/>
          <w:color w:val="000000"/>
          <w:kern w:val="2"/>
          <w14:ligatures w14:val="standardContextual"/>
        </w:rPr>
        <w:t>.</w:t>
      </w:r>
    </w:p>
    <w:p w14:paraId="54BB5E38" w14:textId="77777777" w:rsidR="00BC41EA" w:rsidRPr="00BC41EA" w:rsidRDefault="00BC41EA" w:rsidP="00BC41EA">
      <w:pPr>
        <w:spacing w:after="0" w:line="276" w:lineRule="auto"/>
        <w:ind w:firstLine="708"/>
        <w:jc w:val="both"/>
        <w:rPr>
          <w:rFonts w:ascii="Century Gothic" w:eastAsia="Times New Roman" w:hAnsi="Century Gothic" w:cs="Times New Roman"/>
          <w:color w:val="000000"/>
          <w:lang w:eastAsia="es-MX"/>
        </w:rPr>
      </w:pPr>
      <w:r w:rsidRPr="00BC41EA">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1A70B2" w14:textId="77777777" w:rsidR="00BC41EA" w:rsidRPr="00BC41EA" w:rsidRDefault="00BC41EA" w:rsidP="00BC41EA">
      <w:pPr>
        <w:spacing w:after="0"/>
        <w:jc w:val="both"/>
        <w:rPr>
          <w:rFonts w:ascii="Verdana" w:eastAsia="Calibri" w:hAnsi="Verdana" w:cs="Times New Roman"/>
        </w:rPr>
      </w:pPr>
    </w:p>
    <w:p w14:paraId="18623B27" w14:textId="77777777" w:rsidR="00BC41EA" w:rsidRPr="00BC41EA" w:rsidRDefault="00BC41EA" w:rsidP="00BC41EA">
      <w:pPr>
        <w:tabs>
          <w:tab w:val="left" w:pos="142"/>
          <w:tab w:val="left" w:pos="284"/>
        </w:tabs>
        <w:spacing w:after="0" w:line="276" w:lineRule="auto"/>
        <w:jc w:val="both"/>
        <w:rPr>
          <w:rFonts w:ascii="Verdana" w:eastAsia="Century Gothic" w:hAnsi="Verdana" w:cs="Century Gothic"/>
          <w:b/>
          <w:bCs/>
          <w:lang w:val="es-ES_tradnl"/>
        </w:rPr>
      </w:pPr>
      <w:r w:rsidRPr="00BC41EA">
        <w:rPr>
          <w:rFonts w:ascii="Verdana" w:eastAsia="Century Gothic" w:hAnsi="Verdana" w:cs="Century Gothic"/>
          <w:b/>
          <w:bCs/>
          <w:lang w:val="es-ES_tradnl"/>
        </w:rPr>
        <w:t>4. Referencias normativas, jurisprudenciales y otras fuentes:</w:t>
      </w:r>
    </w:p>
    <w:p w14:paraId="0B83FC85" w14:textId="77777777" w:rsidR="00BC41EA" w:rsidRPr="00BC41EA" w:rsidRDefault="00BC41EA" w:rsidP="00BC41EA">
      <w:pPr>
        <w:spacing w:after="0"/>
        <w:ind w:left="-15840"/>
        <w:jc w:val="both"/>
        <w:rPr>
          <w:rFonts w:ascii="Verdana" w:eastAsia="Calibri" w:hAnsi="Verdana" w:cs="Arial"/>
          <w:b/>
          <w:bCs/>
        </w:rPr>
      </w:pPr>
      <w:r w:rsidRPr="00BC41E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C41EA" w:rsidRPr="00BC41EA" w14:paraId="65C15AA1" w14:textId="77777777" w:rsidTr="00EC7D64">
        <w:trPr>
          <w:trHeight w:val="632"/>
        </w:trPr>
        <w:tc>
          <w:tcPr>
            <w:tcW w:w="8647" w:type="dxa"/>
            <w:tcBorders>
              <w:top w:val="dotted" w:sz="4" w:space="0" w:color="auto"/>
              <w:left w:val="dotted" w:sz="4" w:space="0" w:color="auto"/>
              <w:bottom w:val="dotted" w:sz="4" w:space="0" w:color="auto"/>
              <w:right w:val="dotted" w:sz="4" w:space="0" w:color="auto"/>
            </w:tcBorders>
          </w:tcPr>
          <w:p w14:paraId="617B3A61" w14:textId="77777777" w:rsidR="00BC41EA" w:rsidRPr="00BC41EA" w:rsidRDefault="00BC41EA" w:rsidP="00BC41EA">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C41EA">
              <w:rPr>
                <w:rFonts w:ascii="Verdana" w:eastAsia="Calibri" w:hAnsi="Verdana" w:cs="Arial"/>
                <w:lang w:val="es-ES_tradnl"/>
              </w:rPr>
              <w:t xml:space="preserve">Ley 2022 de 2020, artículo 1. </w:t>
            </w:r>
          </w:p>
          <w:p w14:paraId="4F7B80B1" w14:textId="77777777" w:rsidR="00BC41EA" w:rsidRPr="00BC41EA" w:rsidRDefault="00BC41EA" w:rsidP="00BC41EA">
            <w:pPr>
              <w:widowControl w:val="0"/>
              <w:numPr>
                <w:ilvl w:val="0"/>
                <w:numId w:val="16"/>
              </w:numPr>
              <w:autoSpaceDE w:val="0"/>
              <w:autoSpaceDN w:val="0"/>
              <w:spacing w:line="276" w:lineRule="auto"/>
              <w:jc w:val="both"/>
              <w:rPr>
                <w:rFonts w:ascii="Verdana" w:eastAsia="Calibri" w:hAnsi="Verdana" w:cs="Arial"/>
              </w:rPr>
            </w:pPr>
            <w:r w:rsidRPr="00BC41EA">
              <w:rPr>
                <w:rFonts w:ascii="Verdana" w:eastAsia="Calibri" w:hAnsi="Verdana" w:cs="Arial"/>
              </w:rPr>
              <w:t>Ley 1150 de 2007, artículo 2.</w:t>
            </w:r>
          </w:p>
          <w:p w14:paraId="5004DDE4" w14:textId="77777777" w:rsidR="00BC41EA" w:rsidRPr="00BC41EA" w:rsidRDefault="00BC41EA" w:rsidP="00BC41EA">
            <w:pPr>
              <w:widowControl w:val="0"/>
              <w:numPr>
                <w:ilvl w:val="0"/>
                <w:numId w:val="16"/>
              </w:numPr>
              <w:autoSpaceDE w:val="0"/>
              <w:autoSpaceDN w:val="0"/>
              <w:spacing w:line="276" w:lineRule="auto"/>
              <w:contextualSpacing/>
              <w:jc w:val="both"/>
              <w:rPr>
                <w:rFonts w:ascii="Verdana" w:eastAsia="Calibri" w:hAnsi="Verdana" w:cs="Arial"/>
              </w:rPr>
            </w:pPr>
            <w:r w:rsidRPr="00BC41EA">
              <w:rPr>
                <w:rFonts w:ascii="Verdana" w:eastAsia="Calibri" w:hAnsi="Verdana" w:cs="Arial"/>
                <w:lang w:val="es-ES_tradnl"/>
              </w:rPr>
              <w:t xml:space="preserve">Documentos Tipo. Disponibles en: </w:t>
            </w:r>
            <w:hyperlink r:id="rId12" w:history="1">
              <w:r w:rsidRPr="00BC41EA">
                <w:rPr>
                  <w:rFonts w:ascii="Verdana" w:eastAsia="Calibri" w:hAnsi="Verdana" w:cs="Arial"/>
                  <w:color w:val="0000FF"/>
                  <w:u w:val="single"/>
                  <w:lang w:val="es-ES_tradnl"/>
                </w:rPr>
                <w:t>https://www.colombiacompra.gov.co/documentos-tipo/documentos-tipo</w:t>
              </w:r>
            </w:hyperlink>
            <w:r w:rsidRPr="00BC41EA">
              <w:rPr>
                <w:rFonts w:ascii="Verdana" w:eastAsia="Calibri" w:hAnsi="Verdana" w:cs="Arial"/>
                <w:lang w:val="es-ES_tradnl"/>
              </w:rPr>
              <w:t>.</w:t>
            </w:r>
          </w:p>
        </w:tc>
      </w:tr>
    </w:tbl>
    <w:p w14:paraId="45BEB46B" w14:textId="77777777" w:rsidR="00BC41EA" w:rsidRPr="00BC41EA" w:rsidRDefault="00BC41EA" w:rsidP="00BC41EA">
      <w:pPr>
        <w:tabs>
          <w:tab w:val="left" w:pos="142"/>
          <w:tab w:val="left" w:pos="284"/>
        </w:tabs>
        <w:spacing w:after="0" w:line="276" w:lineRule="auto"/>
        <w:jc w:val="both"/>
        <w:rPr>
          <w:rFonts w:ascii="Verdana" w:eastAsia="Calibri" w:hAnsi="Verdana" w:cs="Arial"/>
        </w:rPr>
      </w:pPr>
    </w:p>
    <w:p w14:paraId="401C5638" w14:textId="77777777" w:rsidR="00BC41EA" w:rsidRPr="00BC41EA" w:rsidRDefault="00BC41EA" w:rsidP="00BC41EA">
      <w:pPr>
        <w:tabs>
          <w:tab w:val="left" w:pos="142"/>
          <w:tab w:val="left" w:pos="284"/>
        </w:tabs>
        <w:spacing w:after="0" w:line="276" w:lineRule="auto"/>
        <w:jc w:val="both"/>
        <w:rPr>
          <w:rFonts w:ascii="Verdana" w:eastAsia="Century Gothic" w:hAnsi="Verdana" w:cs="Century Gothic"/>
          <w:b/>
          <w:bCs/>
          <w:lang w:val="es-ES"/>
        </w:rPr>
      </w:pPr>
      <w:r w:rsidRPr="00BC41EA">
        <w:rPr>
          <w:rFonts w:ascii="Verdana" w:eastAsia="Calibri" w:hAnsi="Verdana" w:cs="Arial"/>
          <w:b/>
          <w:bCs/>
        </w:rPr>
        <w:t>5</w:t>
      </w:r>
      <w:r w:rsidRPr="00BC41EA">
        <w:rPr>
          <w:rFonts w:ascii="Verdana" w:eastAsia="Calibri" w:hAnsi="Verdana" w:cs="Arial"/>
        </w:rPr>
        <w:t>.</w:t>
      </w:r>
      <w:r w:rsidRPr="00BC41EA">
        <w:rPr>
          <w:rFonts w:ascii="Verdana" w:eastAsia="Century Gothic" w:hAnsi="Verdana" w:cs="Century Gothic"/>
          <w:b/>
          <w:bCs/>
          <w:lang w:val="es-ES"/>
        </w:rPr>
        <w:t>Doctrina de la Agencia Nacional de Contratación Pública:</w:t>
      </w:r>
    </w:p>
    <w:p w14:paraId="1A248B05" w14:textId="77777777" w:rsidR="00BC41EA" w:rsidRPr="00BC41EA" w:rsidRDefault="00BC41EA" w:rsidP="00BC41EA">
      <w:pPr>
        <w:widowControl w:val="0"/>
        <w:autoSpaceDE w:val="0"/>
        <w:autoSpaceDN w:val="0"/>
        <w:spacing w:after="0" w:line="276" w:lineRule="auto"/>
        <w:jc w:val="both"/>
        <w:rPr>
          <w:rFonts w:ascii="Verdana" w:eastAsia="Calibri" w:hAnsi="Verdana" w:cs="Arial"/>
        </w:rPr>
      </w:pPr>
    </w:p>
    <w:p w14:paraId="06F60F25" w14:textId="77777777" w:rsidR="00BC41EA" w:rsidRPr="00BC41EA" w:rsidRDefault="00BC41EA" w:rsidP="00BC41EA">
      <w:pPr>
        <w:spacing w:after="0" w:line="276" w:lineRule="auto"/>
        <w:jc w:val="both"/>
        <w:rPr>
          <w:rFonts w:ascii="Verdana" w:eastAsia="Calibri" w:hAnsi="Verdana" w:cs="Arial"/>
          <w:lang w:val="es-ES"/>
        </w:rPr>
      </w:pPr>
      <w:r w:rsidRPr="00BC41EA">
        <w:rPr>
          <w:rFonts w:ascii="Verdana" w:eastAsia="Calibri" w:hAnsi="Verdana" w:cs="Arial"/>
          <w:shd w:val="clear" w:color="auto" w:fill="FFFFFF"/>
          <w:lang w:val="es-ES"/>
        </w:rPr>
        <w:t>La Agencia Nacional de Contratación Pública – Colombia Compra Eficiente se pronunció</w:t>
      </w:r>
      <w:r w:rsidRPr="00BC41EA">
        <w:rPr>
          <w:rFonts w:ascii="Verdana" w:eastAsia="Calibri" w:hAnsi="Verdana" w:cs="Times New Roman"/>
        </w:rPr>
        <w:t xml:space="preserve"> </w:t>
      </w:r>
      <w:r w:rsidRPr="00BC41EA">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C41EA">
        <w:rPr>
          <w:rFonts w:ascii="Verdana" w:eastAsia="Calibri" w:hAnsi="Verdana" w:cs="Arial"/>
          <w:shd w:val="clear" w:color="auto" w:fill="FFFFFF"/>
          <w:lang w:val="es-ES"/>
        </w:rPr>
        <w:tab/>
        <w:t xml:space="preserve">C-636 del 1 de noviembre de 2024, C-777 del 9 de diciembre de 2024, C-971 del 21 de enero de 2025, entre otros. </w:t>
      </w:r>
    </w:p>
    <w:p w14:paraId="28AFA721" w14:textId="77777777" w:rsidR="00BC41EA" w:rsidRPr="00BC41EA" w:rsidRDefault="00BC41EA" w:rsidP="00BC41EA">
      <w:pPr>
        <w:spacing w:after="0" w:line="276" w:lineRule="auto"/>
        <w:jc w:val="both"/>
        <w:rPr>
          <w:rFonts w:ascii="Verdana" w:eastAsia="Times New Roman" w:hAnsi="Verdana" w:cs="Arial"/>
          <w:shd w:val="clear" w:color="auto" w:fill="FFFFFF"/>
          <w:lang w:val="es-ES"/>
        </w:rPr>
      </w:pPr>
    </w:p>
    <w:p w14:paraId="75AB68AA" w14:textId="77777777" w:rsidR="00BC41EA" w:rsidRPr="00BC41EA" w:rsidRDefault="00BC41EA" w:rsidP="00BC41E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BC41EA">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BC41EA">
        <w:rPr>
          <w:rFonts w:ascii="Verdana" w:eastAsia="Aptos" w:hAnsi="Verdana" w:cs="Times New Roman"/>
          <w:kern w:val="2"/>
          <w14:ligatures w14:val="standardContextual"/>
        </w:rPr>
        <w:t xml:space="preserve"> </w:t>
      </w:r>
      <w:r w:rsidRPr="00BC41EA">
        <w:rPr>
          <w:rFonts w:ascii="Verdana" w:eastAsia="Calibri" w:hAnsi="Verdana" w:cs="Arial"/>
          <w:kern w:val="2"/>
          <w:shd w:val="clear" w:color="auto" w:fill="FFFFFF"/>
          <w:lang w:val="es-ES_tradnl"/>
          <w14:ligatures w14:val="standardContextual"/>
        </w:rPr>
        <w:t>pronunció</w:t>
      </w:r>
      <w:r w:rsidRPr="00BC41EA">
        <w:rPr>
          <w:rFonts w:ascii="Verdana" w:eastAsia="Aptos" w:hAnsi="Verdana" w:cs="Times New Roman"/>
          <w:kern w:val="2"/>
          <w:lang w:val="es-ES_tradnl"/>
          <w14:ligatures w14:val="standardContextual"/>
        </w:rPr>
        <w:t xml:space="preserve"> </w:t>
      </w:r>
      <w:r w:rsidRPr="00BC41EA">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w:t>
      </w:r>
      <w:r w:rsidRPr="00BC41EA">
        <w:rPr>
          <w:rFonts w:ascii="Verdana" w:eastAsia="Calibri" w:hAnsi="Verdana" w:cs="Arial"/>
          <w:kern w:val="2"/>
          <w:shd w:val="clear" w:color="auto" w:fill="FFFFFF"/>
          <w:lang w:val="es-ES"/>
          <w14:ligatures w14:val="standardContextual"/>
        </w:rPr>
        <w:lastRenderedPageBreak/>
        <w:t xml:space="preserve">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BC41EA">
        <w:rPr>
          <w:rFonts w:ascii="Verdana" w:eastAsia="Calibri" w:hAnsi="Verdana" w:cs="Arial"/>
          <w:shd w:val="clear" w:color="auto" w:fill="FFFFFF"/>
          <w:lang w:val="es-ES"/>
        </w:rPr>
        <w:t xml:space="preserve">C-854 del 4 de agosto de 2025 y C-1147 del 18 de septiembre de 2025, </w:t>
      </w:r>
      <w:r w:rsidRPr="00BC41EA">
        <w:rPr>
          <w:rFonts w:ascii="Verdana" w:eastAsia="Calibri" w:hAnsi="Verdana" w:cs="Arial"/>
          <w:kern w:val="2"/>
          <w:shd w:val="clear" w:color="auto" w:fill="FFFFFF"/>
          <w:lang w:val="es-ES"/>
          <w14:ligatures w14:val="standardContextual"/>
        </w:rPr>
        <w:t>entre otros</w:t>
      </w:r>
      <w:r w:rsidRPr="00BC41EA">
        <w:rPr>
          <w:rFonts w:ascii="Verdana" w:eastAsia="Calibri" w:hAnsi="Verdana" w:cs="Arial"/>
          <w:kern w:val="2"/>
          <w:shd w:val="clear" w:color="auto" w:fill="FFFFFF"/>
          <w:lang w:val="es-ES_tradnl"/>
          <w14:ligatures w14:val="standardContextual"/>
        </w:rPr>
        <w:t xml:space="preserve">. </w:t>
      </w:r>
      <w:r w:rsidRPr="00BC41EA">
        <w:rPr>
          <w:rFonts w:ascii="Verdana" w:eastAsia="Aptos" w:hAnsi="Verdana" w:cs="Times New Roman"/>
          <w:kern w:val="2"/>
          <w:lang w:val="es-ES_tradnl"/>
          <w14:ligatures w14:val="standardContextual"/>
        </w:rPr>
        <w:t xml:space="preserve"> </w:t>
      </w:r>
    </w:p>
    <w:p w14:paraId="4BDB2D21" w14:textId="77777777" w:rsidR="00BC41EA" w:rsidRPr="00BC41EA" w:rsidRDefault="00BC41EA" w:rsidP="00BC41EA">
      <w:pPr>
        <w:widowControl w:val="0"/>
        <w:autoSpaceDE w:val="0"/>
        <w:autoSpaceDN w:val="0"/>
        <w:spacing w:after="0" w:line="276" w:lineRule="auto"/>
        <w:jc w:val="both"/>
        <w:rPr>
          <w:rFonts w:ascii="Verdana" w:eastAsia="Times New Roman" w:hAnsi="Verdana" w:cs="Arial"/>
          <w:shd w:val="clear" w:color="auto" w:fill="FFFFFF"/>
          <w:lang w:val="es-ES"/>
        </w:rPr>
      </w:pPr>
    </w:p>
    <w:p w14:paraId="325F3011" w14:textId="77777777" w:rsidR="00BC41EA" w:rsidRPr="00BC41EA" w:rsidRDefault="00BC41EA" w:rsidP="00BC41EA">
      <w:pPr>
        <w:widowControl w:val="0"/>
        <w:autoSpaceDE w:val="0"/>
        <w:autoSpaceDN w:val="0"/>
        <w:spacing w:after="0" w:line="276" w:lineRule="auto"/>
        <w:jc w:val="both"/>
        <w:rPr>
          <w:rFonts w:ascii="Verdana" w:eastAsia="Times New Roman" w:hAnsi="Verdana" w:cs="Arial"/>
          <w:shd w:val="clear" w:color="auto" w:fill="FFFFFF"/>
          <w:lang w:val="es-ES"/>
        </w:rPr>
      </w:pPr>
      <w:r w:rsidRPr="00BC41EA">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C41EA">
          <w:rPr>
            <w:rFonts w:ascii="Verdana" w:eastAsia="Calibri" w:hAnsi="Verdana" w:cs="Arial"/>
            <w:color w:val="0000FF"/>
            <w:kern w:val="2"/>
            <w:u w:val="single"/>
            <w:shd w:val="clear" w:color="auto" w:fill="FFFFFF"/>
            <w14:ligatures w14:val="standardContextual"/>
          </w:rPr>
          <w:t>https://relatoria.colombiacompra.gov.co/</w:t>
        </w:r>
      </w:hyperlink>
      <w:r w:rsidRPr="00BC41EA">
        <w:rPr>
          <w:rFonts w:ascii="Verdana" w:eastAsia="Calibri" w:hAnsi="Verdana" w:cs="Arial"/>
          <w:color w:val="0000FF"/>
          <w:kern w:val="2"/>
          <w:u w:val="single"/>
          <w:shd w:val="clear" w:color="auto" w:fill="FFFFFF"/>
          <w14:ligatures w14:val="standardContextual"/>
        </w:rPr>
        <w:t> .</w:t>
      </w:r>
    </w:p>
    <w:p w14:paraId="08C3D74B" w14:textId="77777777" w:rsidR="00BC41EA" w:rsidRPr="00BC41EA" w:rsidRDefault="00BC41EA" w:rsidP="00BC41EA">
      <w:pPr>
        <w:spacing w:after="0" w:line="240" w:lineRule="auto"/>
        <w:jc w:val="both"/>
        <w:rPr>
          <w:rFonts w:ascii="Verdana" w:eastAsia="Calibri" w:hAnsi="Verdana" w:cs="Arial"/>
          <w:color w:val="000000"/>
          <w:shd w:val="clear" w:color="auto" w:fill="FFFFFF"/>
        </w:rPr>
      </w:pPr>
    </w:p>
    <w:bookmarkEnd w:id="0"/>
    <w:p w14:paraId="5C2706ED" w14:textId="77777777" w:rsidR="00BC41EA" w:rsidRPr="00BC41EA" w:rsidRDefault="00BC41EA" w:rsidP="00BC41EA">
      <w:pPr>
        <w:spacing w:after="0" w:line="240" w:lineRule="auto"/>
        <w:jc w:val="both"/>
        <w:rPr>
          <w:rFonts w:ascii="Verdana" w:eastAsia="Calibri" w:hAnsi="Verdana" w:cs="Arial"/>
          <w:color w:val="000000"/>
          <w:kern w:val="2"/>
          <w:shd w:val="clear" w:color="auto" w:fill="FFFFFF"/>
          <w14:ligatures w14:val="standardContextual"/>
        </w:rPr>
      </w:pPr>
      <w:r w:rsidRPr="00BC41EA">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BC41EA">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BC41EA">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41EA">
        <w:rPr>
          <w:rFonts w:ascii="Verdana" w:eastAsia="Calibri" w:hAnsi="Verdana" w:cs="Arial"/>
          <w:color w:val="000000"/>
          <w:kern w:val="2"/>
          <w:shd w:val="clear" w:color="auto" w:fill="FFFFFF"/>
          <w14:ligatures w14:val="standardContextual"/>
        </w:rPr>
        <w:t>Wayúu</w:t>
      </w:r>
      <w:proofErr w:type="spellEnd"/>
      <w:r w:rsidRPr="00BC41EA">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BC41EA">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BC41EA">
        <w:rPr>
          <w:rFonts w:ascii="Verdana" w:eastAsia="Calibri" w:hAnsi="Verdana" w:cs="Arial"/>
          <w:color w:val="000000"/>
          <w:kern w:val="2"/>
          <w:u w:val="single"/>
          <w:shd w:val="clear" w:color="auto" w:fill="FFFFFF"/>
          <w14:ligatures w14:val="standardContextual"/>
        </w:rPr>
        <w:t>"</w:t>
      </w:r>
    </w:p>
    <w:p w14:paraId="60419227" w14:textId="77777777" w:rsidR="00BC41EA" w:rsidRPr="00BC41EA" w:rsidRDefault="00BC41EA" w:rsidP="00BC41EA">
      <w:pPr>
        <w:spacing w:after="0" w:line="278" w:lineRule="auto"/>
        <w:jc w:val="both"/>
        <w:rPr>
          <w:rFonts w:ascii="Verdana" w:eastAsia="Aptos" w:hAnsi="Verdana" w:cs="Times New Roman"/>
          <w:color w:val="212121"/>
          <w:kern w:val="2"/>
          <w:sz w:val="24"/>
          <w:szCs w:val="24"/>
          <w14:ligatures w14:val="standardContextual"/>
        </w:rPr>
      </w:pPr>
    </w:p>
    <w:p w14:paraId="4E90DD20" w14:textId="77777777" w:rsidR="00BC41EA" w:rsidRPr="00BC41EA" w:rsidRDefault="00BC41EA" w:rsidP="00BC41EA">
      <w:pPr>
        <w:spacing w:after="0" w:line="240" w:lineRule="auto"/>
        <w:jc w:val="both"/>
        <w:rPr>
          <w:rFonts w:ascii="Verdana" w:eastAsia="Calibri" w:hAnsi="Verdana" w:cs="Times New Roman"/>
          <w:kern w:val="2"/>
          <w14:ligatures w14:val="standardContextual"/>
        </w:rPr>
      </w:pPr>
      <w:r w:rsidRPr="00BC41EA">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67FF13D" w14:textId="77777777" w:rsidR="00BC41EA" w:rsidRPr="00BC41EA" w:rsidRDefault="00BC41EA" w:rsidP="00BC41EA">
      <w:pPr>
        <w:spacing w:after="0" w:line="240" w:lineRule="auto"/>
        <w:jc w:val="both"/>
        <w:rPr>
          <w:rFonts w:ascii="Verdana" w:eastAsia="Aptos" w:hAnsi="Verdana" w:cs="Times New Roman"/>
          <w:kern w:val="2"/>
          <w14:ligatures w14:val="standardContextual"/>
        </w:rPr>
      </w:pPr>
    </w:p>
    <w:p w14:paraId="1556781F" w14:textId="77777777" w:rsidR="00BC41EA" w:rsidRPr="00BC41EA" w:rsidRDefault="00BC41EA" w:rsidP="00BC41EA">
      <w:pPr>
        <w:spacing w:after="0" w:line="240" w:lineRule="auto"/>
        <w:jc w:val="both"/>
        <w:rPr>
          <w:rFonts w:ascii="Verdana" w:eastAsia="Aptos" w:hAnsi="Verdana" w:cs="Times New Roman"/>
          <w:kern w:val="2"/>
          <w14:ligatures w14:val="standardContextual"/>
        </w:rPr>
      </w:pPr>
      <w:r w:rsidRPr="00BC41EA">
        <w:rPr>
          <w:rFonts w:ascii="Verdana" w:eastAsia="Aptos" w:hAnsi="Verdana" w:cs="Times New Roman"/>
          <w:kern w:val="2"/>
          <w14:ligatures w14:val="standardContextual"/>
        </w:rPr>
        <w:t xml:space="preserve">Twitter: </w:t>
      </w:r>
      <w:r w:rsidRPr="00BC41EA">
        <w:rPr>
          <w:rFonts w:ascii="Verdana" w:eastAsia="Calibri" w:hAnsi="Verdana" w:cs="Times New Roman"/>
          <w:color w:val="156082"/>
          <w:kern w:val="2"/>
          <w:u w:val="single"/>
          <w14:ligatures w14:val="standardContextual"/>
        </w:rPr>
        <w:t>@colombiacompra</w:t>
      </w:r>
      <w:r w:rsidRPr="00BC41EA">
        <w:rPr>
          <w:rFonts w:ascii="Verdana" w:eastAsia="Calibri" w:hAnsi="Verdana" w:cs="Times New Roman"/>
          <w:color w:val="156082"/>
          <w:kern w:val="2"/>
          <w14:ligatures w14:val="standardContextual"/>
        </w:rPr>
        <w:t xml:space="preserve"> </w:t>
      </w:r>
    </w:p>
    <w:p w14:paraId="314AF143" w14:textId="77777777" w:rsidR="00BC41EA" w:rsidRPr="00BC41EA" w:rsidRDefault="00BC41EA" w:rsidP="00BC41EA">
      <w:pPr>
        <w:spacing w:after="0" w:line="240" w:lineRule="auto"/>
        <w:jc w:val="both"/>
        <w:rPr>
          <w:rFonts w:ascii="Verdana" w:eastAsia="Aptos" w:hAnsi="Verdana" w:cs="Times New Roman"/>
          <w:kern w:val="2"/>
          <w14:ligatures w14:val="standardContextual"/>
        </w:rPr>
      </w:pPr>
      <w:r w:rsidRPr="00BC41EA">
        <w:rPr>
          <w:rFonts w:ascii="Verdana" w:eastAsia="Aptos" w:hAnsi="Verdana" w:cs="Times New Roman"/>
          <w:kern w:val="2"/>
          <w14:ligatures w14:val="standardContextual"/>
        </w:rPr>
        <w:t xml:space="preserve">Facebook: </w:t>
      </w:r>
      <w:proofErr w:type="spellStart"/>
      <w:r w:rsidRPr="00BC41EA">
        <w:rPr>
          <w:rFonts w:ascii="Verdana" w:eastAsia="Calibri" w:hAnsi="Verdana" w:cs="Times New Roman"/>
          <w:color w:val="156082"/>
          <w:kern w:val="2"/>
          <w:u w:val="single"/>
          <w14:ligatures w14:val="standardContextual"/>
        </w:rPr>
        <w:t>ColombiaCompraEficiente</w:t>
      </w:r>
      <w:proofErr w:type="spellEnd"/>
    </w:p>
    <w:p w14:paraId="2316736E" w14:textId="77777777" w:rsidR="00BC41EA" w:rsidRPr="00BC41EA" w:rsidRDefault="00BC41EA" w:rsidP="00BC41EA">
      <w:pPr>
        <w:spacing w:after="0" w:line="240" w:lineRule="auto"/>
        <w:jc w:val="both"/>
        <w:rPr>
          <w:rFonts w:ascii="Verdana" w:eastAsia="Aptos" w:hAnsi="Verdana" w:cs="Times New Roman"/>
          <w:kern w:val="2"/>
          <w14:ligatures w14:val="standardContextual"/>
        </w:rPr>
      </w:pPr>
      <w:r w:rsidRPr="00BC41EA">
        <w:rPr>
          <w:rFonts w:ascii="Verdana" w:eastAsia="Aptos" w:hAnsi="Verdana" w:cs="Times New Roman"/>
          <w:kern w:val="2"/>
          <w14:ligatures w14:val="standardContextual"/>
        </w:rPr>
        <w:t xml:space="preserve">LinkedIn: </w:t>
      </w:r>
      <w:r w:rsidRPr="00BC41EA">
        <w:rPr>
          <w:rFonts w:ascii="Verdana" w:eastAsia="Calibri" w:hAnsi="Verdana" w:cs="Times New Roman"/>
          <w:color w:val="156082"/>
          <w:kern w:val="2"/>
          <w:u w:val="single"/>
          <w14:ligatures w14:val="standardContextual"/>
        </w:rPr>
        <w:t>Agencia Nacional de Contratación Pública - Colombia Compra Eficiente</w:t>
      </w:r>
      <w:r w:rsidRPr="00BC41EA">
        <w:rPr>
          <w:rFonts w:ascii="Verdana" w:eastAsia="Calibri" w:hAnsi="Verdana" w:cs="Times New Roman"/>
          <w:color w:val="156082"/>
          <w:kern w:val="2"/>
          <w14:ligatures w14:val="standardContextual"/>
        </w:rPr>
        <w:t xml:space="preserve"> </w:t>
      </w:r>
      <w:r w:rsidRPr="00BC41EA">
        <w:rPr>
          <w:rFonts w:ascii="Verdana" w:eastAsia="Aptos" w:hAnsi="Verdana" w:cs="Times New Roman"/>
          <w:kern w:val="2"/>
          <w14:ligatures w14:val="standardContextual"/>
        </w:rPr>
        <w:t xml:space="preserve">Instagram: </w:t>
      </w:r>
      <w:r w:rsidRPr="00BC41EA">
        <w:rPr>
          <w:rFonts w:ascii="Verdana" w:eastAsia="Calibri" w:hAnsi="Verdana" w:cs="Times New Roman"/>
          <w:color w:val="156082"/>
          <w:kern w:val="2"/>
          <w:u w:val="single"/>
          <w14:ligatures w14:val="standardContextual"/>
        </w:rPr>
        <w:t>@colombiacompraeficiente_cce</w:t>
      </w:r>
    </w:p>
    <w:p w14:paraId="2F56FF81" w14:textId="77777777" w:rsidR="00BC41EA" w:rsidRPr="00BC41EA" w:rsidRDefault="00BC41EA" w:rsidP="00BC41EA">
      <w:pPr>
        <w:spacing w:after="0" w:line="276" w:lineRule="auto"/>
        <w:jc w:val="both"/>
        <w:rPr>
          <w:rFonts w:ascii="Verdana" w:eastAsia="Aptos" w:hAnsi="Verdana" w:cs="Times New Roman"/>
          <w:kern w:val="2"/>
          <w14:ligatures w14:val="standardContextual"/>
        </w:rPr>
      </w:pPr>
    </w:p>
    <w:p w14:paraId="3794C8B6" w14:textId="77777777" w:rsidR="00BC41EA" w:rsidRPr="00BC41EA" w:rsidRDefault="00BC41EA" w:rsidP="00BC41EA">
      <w:pPr>
        <w:spacing w:after="0" w:line="276" w:lineRule="auto"/>
        <w:jc w:val="both"/>
        <w:rPr>
          <w:rFonts w:ascii="Verdana" w:eastAsia="Calibri" w:hAnsi="Verdana" w:cs="Times New Roman"/>
          <w:bCs/>
          <w:kern w:val="2"/>
          <w:lang w:val="es-ES_tradnl"/>
          <w14:ligatures w14:val="standardContextual"/>
        </w:rPr>
      </w:pPr>
      <w:r w:rsidRPr="00BC41EA">
        <w:rPr>
          <w:rFonts w:ascii="Verdana" w:eastAsia="Calibri" w:hAnsi="Verdana" w:cs="Times New Roman"/>
          <w:kern w:val="2"/>
          <w:lang w:val="es-ES_tradnl"/>
          <w14:ligatures w14:val="standardContextual"/>
        </w:rPr>
        <w:t xml:space="preserve">Este concepto tiene el alcance previsto en el artículo 28 del Código de Procedimiento Administrativo y de lo Contencioso Administrativo y las </w:t>
      </w:r>
      <w:r w:rsidRPr="00BC41EA">
        <w:rPr>
          <w:rFonts w:ascii="Verdana" w:eastAsia="Calibri" w:hAnsi="Verdana" w:cs="Times New Roman"/>
          <w:kern w:val="2"/>
          <w:lang w:val="es-ES_tradnl"/>
          <w14:ligatures w14:val="standardContextual"/>
        </w:rPr>
        <w:lastRenderedPageBreak/>
        <w:t>expresiones utilizadas con mayúscula inicial deben ser entendidas con el significado que les otorga el artículo 2.2.1.1.1.3.1 del Decreto 1082 de 2015.</w:t>
      </w:r>
    </w:p>
    <w:p w14:paraId="61E4C794" w14:textId="77777777" w:rsidR="00BC41EA" w:rsidRPr="00BC41EA" w:rsidRDefault="00BC41EA" w:rsidP="00BC41EA">
      <w:pPr>
        <w:spacing w:after="0" w:line="276" w:lineRule="auto"/>
        <w:jc w:val="both"/>
        <w:rPr>
          <w:rFonts w:ascii="Verdana" w:eastAsia="Calibri" w:hAnsi="Verdana" w:cs="Times New Roman"/>
          <w:kern w:val="2"/>
          <w14:ligatures w14:val="standardContextual"/>
        </w:rPr>
      </w:pPr>
    </w:p>
    <w:p w14:paraId="20C97453" w14:textId="77777777" w:rsidR="00BC41EA" w:rsidRPr="00BC41EA" w:rsidRDefault="00BC41EA" w:rsidP="00BC41EA">
      <w:pPr>
        <w:spacing w:after="0" w:line="276" w:lineRule="auto"/>
        <w:jc w:val="both"/>
        <w:rPr>
          <w:rFonts w:ascii="Verdana" w:eastAsia="Calibri" w:hAnsi="Verdana" w:cs="Times New Roman"/>
          <w:kern w:val="2"/>
          <w14:ligatures w14:val="standardContextual"/>
        </w:rPr>
      </w:pPr>
      <w:r w:rsidRPr="00BC41EA">
        <w:rPr>
          <w:rFonts w:ascii="Verdana" w:eastAsia="Calibri" w:hAnsi="Verdana" w:cs="Times New Roman"/>
          <w:kern w:val="2"/>
          <w14:ligatures w14:val="standardContextual"/>
        </w:rPr>
        <w:t>Atentamente,</w:t>
      </w:r>
    </w:p>
    <w:p w14:paraId="6B805BC8" w14:textId="1D42DB97" w:rsidR="00BC41EA" w:rsidRPr="00BC41EA" w:rsidRDefault="001C7CFE" w:rsidP="001C7CFE">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28EEE894" wp14:editId="6FBA8766">
            <wp:extent cx="2142631" cy="919843"/>
            <wp:effectExtent l="0" t="0" r="381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214983" cy="95090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41EA" w:rsidRPr="00BC41EA" w14:paraId="42C9484A" w14:textId="77777777" w:rsidTr="00EC7D64">
        <w:trPr>
          <w:trHeight w:val="315"/>
        </w:trPr>
        <w:tc>
          <w:tcPr>
            <w:tcW w:w="893" w:type="dxa"/>
            <w:vAlign w:val="center"/>
            <w:hideMark/>
          </w:tcPr>
          <w:p w14:paraId="364DFA5F" w14:textId="77777777" w:rsidR="00BC41EA" w:rsidRPr="00BC41EA" w:rsidRDefault="00BC41EA" w:rsidP="00BC41EA">
            <w:pPr>
              <w:rPr>
                <w:rFonts w:ascii="Verdana" w:eastAsia="Calibri" w:hAnsi="Verdana" w:cs="Arial"/>
                <w:sz w:val="16"/>
                <w:szCs w:val="16"/>
                <w:lang w:eastAsia="es-ES"/>
              </w:rPr>
            </w:pPr>
            <w:r w:rsidRPr="00BC41EA">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88AEBF2" w14:textId="77777777" w:rsidR="00BC41EA" w:rsidRPr="00BC41EA" w:rsidRDefault="00BC41EA" w:rsidP="00BC41EA">
            <w:pPr>
              <w:rPr>
                <w:rFonts w:ascii="Verdana" w:eastAsia="Arial" w:hAnsi="Verdana" w:cs="Arial"/>
                <w:sz w:val="16"/>
                <w:szCs w:val="16"/>
              </w:rPr>
            </w:pPr>
            <w:r w:rsidRPr="00BC41EA">
              <w:rPr>
                <w:rFonts w:ascii="Verdana" w:eastAsia="Arial" w:hAnsi="Verdana" w:cs="Arial"/>
                <w:sz w:val="16"/>
                <w:szCs w:val="16"/>
              </w:rPr>
              <w:t xml:space="preserve">Carlos Mario </w:t>
            </w:r>
            <w:proofErr w:type="spellStart"/>
            <w:r w:rsidRPr="00BC41EA">
              <w:rPr>
                <w:rFonts w:ascii="Verdana" w:eastAsia="Arial" w:hAnsi="Verdana" w:cs="Arial"/>
                <w:sz w:val="16"/>
                <w:szCs w:val="16"/>
              </w:rPr>
              <w:t>Castrillon</w:t>
            </w:r>
            <w:proofErr w:type="spellEnd"/>
            <w:r w:rsidRPr="00BC41EA">
              <w:rPr>
                <w:rFonts w:ascii="Verdana" w:eastAsia="Arial" w:hAnsi="Verdana" w:cs="Arial"/>
                <w:sz w:val="16"/>
                <w:szCs w:val="16"/>
              </w:rPr>
              <w:t xml:space="preserve"> Endo </w:t>
            </w:r>
          </w:p>
          <w:p w14:paraId="348A9029" w14:textId="77777777" w:rsidR="00BC41EA" w:rsidRPr="00BC41EA" w:rsidRDefault="00BC41EA" w:rsidP="00BC41EA">
            <w:pPr>
              <w:rPr>
                <w:rFonts w:ascii="Verdana" w:eastAsia="Arial" w:hAnsi="Verdana" w:cs="Arial"/>
                <w:sz w:val="16"/>
                <w:szCs w:val="16"/>
              </w:rPr>
            </w:pPr>
            <w:r w:rsidRPr="00BC41EA">
              <w:rPr>
                <w:rFonts w:ascii="Verdana" w:eastAsia="Arial" w:hAnsi="Verdana" w:cs="Arial"/>
                <w:sz w:val="16"/>
                <w:szCs w:val="16"/>
              </w:rPr>
              <w:t>Contratista de la Subdirección de Gestión Contractual</w:t>
            </w:r>
          </w:p>
        </w:tc>
      </w:tr>
      <w:tr w:rsidR="00BC41EA" w:rsidRPr="00BC41EA" w14:paraId="20280254" w14:textId="77777777" w:rsidTr="00EC7D64">
        <w:trPr>
          <w:trHeight w:val="330"/>
        </w:trPr>
        <w:tc>
          <w:tcPr>
            <w:tcW w:w="893" w:type="dxa"/>
            <w:vAlign w:val="center"/>
            <w:hideMark/>
          </w:tcPr>
          <w:p w14:paraId="3EE71F17" w14:textId="77777777" w:rsidR="00BC41EA" w:rsidRPr="00BC41EA" w:rsidRDefault="00BC41EA" w:rsidP="00BC41EA">
            <w:pPr>
              <w:rPr>
                <w:rFonts w:ascii="Verdana" w:eastAsia="Calibri" w:hAnsi="Verdana" w:cs="Arial"/>
                <w:sz w:val="16"/>
                <w:szCs w:val="16"/>
                <w:lang w:eastAsia="es-ES"/>
              </w:rPr>
            </w:pPr>
            <w:r w:rsidRPr="00BC41EA">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3A097E3" w14:textId="77777777" w:rsidR="00BC41EA" w:rsidRPr="00BC41EA" w:rsidRDefault="00BC41EA" w:rsidP="00BC41EA">
            <w:pPr>
              <w:rPr>
                <w:rFonts w:ascii="Verdana" w:eastAsia="Times New Roman" w:hAnsi="Verdana" w:cs="Segoe UI"/>
                <w:sz w:val="16"/>
                <w:szCs w:val="16"/>
                <w:lang w:eastAsia="es-ES_tradnl"/>
              </w:rPr>
            </w:pPr>
            <w:r w:rsidRPr="00BC41EA">
              <w:rPr>
                <w:rFonts w:ascii="Verdana" w:eastAsia="Times New Roman" w:hAnsi="Verdana" w:cs="Segoe UI"/>
                <w:sz w:val="16"/>
                <w:szCs w:val="16"/>
                <w:lang w:eastAsia="es-ES_tradnl"/>
              </w:rPr>
              <w:t>Alexandra Rodríguez Motta</w:t>
            </w:r>
          </w:p>
          <w:p w14:paraId="02EFB3D7" w14:textId="77777777" w:rsidR="00BC41EA" w:rsidRPr="00BC41EA" w:rsidRDefault="00BC41EA" w:rsidP="00BC41EA">
            <w:pPr>
              <w:rPr>
                <w:rFonts w:ascii="Verdana" w:eastAsia="Times New Roman" w:hAnsi="Verdana" w:cs="Segoe UI"/>
                <w:sz w:val="16"/>
                <w:szCs w:val="16"/>
                <w:lang w:eastAsia="es-ES_tradnl"/>
              </w:rPr>
            </w:pPr>
            <w:r w:rsidRPr="00BC41EA">
              <w:rPr>
                <w:rFonts w:ascii="Verdana" w:eastAsia="Arial" w:hAnsi="Verdana" w:cs="Arial"/>
                <w:sz w:val="16"/>
                <w:szCs w:val="16"/>
              </w:rPr>
              <w:t>Contratista de la Subdirección de Gestión Contractual</w:t>
            </w:r>
          </w:p>
          <w:p w14:paraId="35E5698E" w14:textId="6D3B316A" w:rsidR="00095E09" w:rsidRDefault="00095E09" w:rsidP="00BC41EA">
            <w:pPr>
              <w:textAlignment w:val="baseline"/>
              <w:rPr>
                <w:rFonts w:ascii="Verdana" w:eastAsia="Times New Roman" w:hAnsi="Verdana" w:cs="Segoe UI"/>
                <w:sz w:val="16"/>
                <w:szCs w:val="16"/>
                <w:lang w:eastAsia="es-ES"/>
              </w:rPr>
            </w:pPr>
            <w:r>
              <w:rPr>
                <w:rFonts w:ascii="Verdana" w:eastAsia="Times New Roman" w:hAnsi="Verdana" w:cs="Segoe UI"/>
                <w:sz w:val="16"/>
                <w:szCs w:val="16"/>
                <w:lang w:eastAsia="es-ES"/>
              </w:rPr>
              <w:t>Juan David Cárdenas Cabeza</w:t>
            </w:r>
          </w:p>
          <w:p w14:paraId="74F96F19" w14:textId="42EDBFD7" w:rsidR="00BC41EA" w:rsidRPr="00BC41EA" w:rsidRDefault="00BC41EA" w:rsidP="00BC41EA">
            <w:pPr>
              <w:textAlignment w:val="baseline"/>
              <w:rPr>
                <w:rFonts w:ascii="Verdana" w:eastAsia="Times New Roman" w:hAnsi="Verdana" w:cs="Segoe UI"/>
                <w:sz w:val="16"/>
                <w:szCs w:val="16"/>
                <w:lang w:eastAsia="es-ES_tradnl"/>
              </w:rPr>
            </w:pPr>
            <w:r w:rsidRPr="00BC41EA">
              <w:rPr>
                <w:rFonts w:ascii="Verdana" w:eastAsia="Times New Roman" w:hAnsi="Verdana" w:cs="Arial"/>
                <w:sz w:val="16"/>
                <w:szCs w:val="16"/>
                <w:lang w:eastAsia="es-ES_tradnl"/>
              </w:rPr>
              <w:t>Contratista de la Subdirección de Gestión Contractual </w:t>
            </w:r>
          </w:p>
        </w:tc>
      </w:tr>
      <w:tr w:rsidR="00BC41EA" w:rsidRPr="00BC41EA" w14:paraId="48CC0A2E" w14:textId="77777777" w:rsidTr="00EC7D64">
        <w:trPr>
          <w:trHeight w:val="300"/>
        </w:trPr>
        <w:tc>
          <w:tcPr>
            <w:tcW w:w="893" w:type="dxa"/>
            <w:vAlign w:val="center"/>
          </w:tcPr>
          <w:p w14:paraId="39EE07E3" w14:textId="77777777" w:rsidR="00BC41EA" w:rsidRPr="00BC41EA" w:rsidRDefault="00BC41EA" w:rsidP="00BC41EA">
            <w:pPr>
              <w:rPr>
                <w:rFonts w:ascii="Verdana" w:eastAsia="Calibri" w:hAnsi="Verdana" w:cs="Arial"/>
                <w:sz w:val="16"/>
                <w:szCs w:val="16"/>
                <w:lang w:eastAsia="es-ES"/>
              </w:rPr>
            </w:pPr>
            <w:r w:rsidRPr="00BC41EA">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BB17238" w14:textId="77777777" w:rsidR="00BC41EA" w:rsidRPr="00BC41EA" w:rsidRDefault="00BC41EA" w:rsidP="00BC41EA">
            <w:pPr>
              <w:rPr>
                <w:rFonts w:ascii="Verdana" w:eastAsia="Calibri" w:hAnsi="Verdana" w:cs="Arial"/>
                <w:sz w:val="16"/>
                <w:szCs w:val="16"/>
                <w:lang w:eastAsia="es-ES"/>
              </w:rPr>
            </w:pPr>
            <w:r w:rsidRPr="00BC41EA">
              <w:rPr>
                <w:rFonts w:ascii="Verdana" w:eastAsia="Calibri" w:hAnsi="Verdana" w:cs="Arial"/>
                <w:sz w:val="16"/>
                <w:szCs w:val="16"/>
                <w:lang w:eastAsia="es-ES"/>
              </w:rPr>
              <w:t xml:space="preserve">Carolina Quintero </w:t>
            </w:r>
            <w:proofErr w:type="spellStart"/>
            <w:r w:rsidRPr="00BC41EA">
              <w:rPr>
                <w:rFonts w:ascii="Verdana" w:eastAsia="Calibri" w:hAnsi="Verdana" w:cs="Arial"/>
                <w:sz w:val="16"/>
                <w:szCs w:val="16"/>
                <w:lang w:eastAsia="es-ES"/>
              </w:rPr>
              <w:t>Gacharná</w:t>
            </w:r>
            <w:proofErr w:type="spellEnd"/>
          </w:p>
          <w:p w14:paraId="6177B79E" w14:textId="77777777" w:rsidR="00BC41EA" w:rsidRPr="00BC41EA" w:rsidRDefault="00BC41EA" w:rsidP="00BC41EA">
            <w:pPr>
              <w:rPr>
                <w:rFonts w:ascii="Verdana" w:eastAsia="Calibri" w:hAnsi="Verdana" w:cs="Arial"/>
                <w:sz w:val="16"/>
                <w:szCs w:val="16"/>
                <w:lang w:eastAsia="es-ES"/>
              </w:rPr>
            </w:pPr>
            <w:r w:rsidRPr="00BC41EA">
              <w:rPr>
                <w:rFonts w:ascii="Verdana" w:eastAsia="Calibri" w:hAnsi="Verdana" w:cs="Arial"/>
                <w:sz w:val="16"/>
                <w:szCs w:val="16"/>
                <w:lang w:eastAsia="es-ES"/>
              </w:rPr>
              <w:t>Subdirectora de Gestión Contractual ANCP – CCE</w:t>
            </w:r>
          </w:p>
        </w:tc>
      </w:tr>
    </w:tbl>
    <w:p w14:paraId="0F293BF4" w14:textId="17A7C914" w:rsidR="00127233" w:rsidRPr="0077117A" w:rsidRDefault="00127233" w:rsidP="0077117A"/>
    <w:sectPr w:rsidR="00127233" w:rsidRPr="0077117A"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F359E" w14:textId="77777777" w:rsidR="00B513E9" w:rsidRDefault="00B513E9" w:rsidP="004A1847">
      <w:pPr>
        <w:spacing w:after="0" w:line="240" w:lineRule="auto"/>
      </w:pPr>
      <w:r>
        <w:separator/>
      </w:r>
    </w:p>
  </w:endnote>
  <w:endnote w:type="continuationSeparator" w:id="0">
    <w:p w14:paraId="26C0AC82" w14:textId="77777777" w:rsidR="00B513E9" w:rsidRDefault="00B513E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1D709E00" w14:textId="77777777" w:rsidR="00475DD2" w:rsidRDefault="00475DD2">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BC41EA">
      <w:rPr>
        <w:rFonts w:ascii="Verdana" w:eastAsia="Times New Roman" w:hAnsi="Verdana" w:cs="Times New Roman"/>
        <w:b/>
        <w:bCs/>
        <w:sz w:val="16"/>
        <w:szCs w:val="16"/>
        <w:lang w:val="es-ES"/>
      </w:rPr>
      <w:t xml:space="preserve">pág. </w:t>
    </w:r>
    <w:r w:rsidRPr="00BC41EA">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BC41EA">
      <w:rPr>
        <w:rFonts w:ascii="Verdana" w:eastAsia="Times New Roman" w:hAnsi="Verdana"/>
        <w:b/>
        <w:bCs/>
        <w:sz w:val="16"/>
        <w:szCs w:val="16"/>
      </w:rPr>
      <w:fldChar w:fldCharType="separate"/>
    </w:r>
    <w:r w:rsidRPr="00BC41EA">
      <w:rPr>
        <w:rFonts w:ascii="Verdana" w:eastAsia="Times New Roman" w:hAnsi="Verdana"/>
        <w:b/>
        <w:bCs/>
        <w:sz w:val="16"/>
        <w:szCs w:val="16"/>
      </w:rPr>
      <w:t>1</w:t>
    </w:r>
    <w:r w:rsidRPr="00BC41EA">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6BA66" w14:textId="77777777" w:rsidR="00B513E9" w:rsidRDefault="00B513E9" w:rsidP="004A1847">
      <w:pPr>
        <w:spacing w:after="0" w:line="240" w:lineRule="auto"/>
      </w:pPr>
      <w:r>
        <w:separator/>
      </w:r>
    </w:p>
  </w:footnote>
  <w:footnote w:type="continuationSeparator" w:id="0">
    <w:p w14:paraId="1568A6D3" w14:textId="77777777" w:rsidR="00B513E9" w:rsidRDefault="00B513E9" w:rsidP="004A1847">
      <w:pPr>
        <w:spacing w:after="0" w:line="240" w:lineRule="auto"/>
      </w:pPr>
      <w:r>
        <w:continuationSeparator/>
      </w:r>
    </w:p>
  </w:footnote>
  <w:footnote w:id="1">
    <w:p w14:paraId="2EA85D23" w14:textId="77777777" w:rsidR="00BC41EA" w:rsidRPr="00BE2863" w:rsidRDefault="00BC41EA" w:rsidP="00BC41EA">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 220, 392 y 454 del 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317"/>
    <w:rsid w:val="00016F78"/>
    <w:rsid w:val="0002058B"/>
    <w:rsid w:val="00046945"/>
    <w:rsid w:val="00061B2A"/>
    <w:rsid w:val="00082362"/>
    <w:rsid w:val="00095E09"/>
    <w:rsid w:val="000A683E"/>
    <w:rsid w:val="000B19B9"/>
    <w:rsid w:val="000D0334"/>
    <w:rsid w:val="000F6486"/>
    <w:rsid w:val="00125105"/>
    <w:rsid w:val="00127233"/>
    <w:rsid w:val="001C7CFE"/>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7B68"/>
    <w:rsid w:val="00374F5E"/>
    <w:rsid w:val="00377E3E"/>
    <w:rsid w:val="003A779E"/>
    <w:rsid w:val="003D0F4D"/>
    <w:rsid w:val="003D5B0D"/>
    <w:rsid w:val="003E0499"/>
    <w:rsid w:val="003F3941"/>
    <w:rsid w:val="00406575"/>
    <w:rsid w:val="00414C74"/>
    <w:rsid w:val="0042722E"/>
    <w:rsid w:val="0044528D"/>
    <w:rsid w:val="00475DD2"/>
    <w:rsid w:val="004A1847"/>
    <w:rsid w:val="004A19D9"/>
    <w:rsid w:val="004A305D"/>
    <w:rsid w:val="004F21C4"/>
    <w:rsid w:val="004F685F"/>
    <w:rsid w:val="00554756"/>
    <w:rsid w:val="005566E8"/>
    <w:rsid w:val="00574867"/>
    <w:rsid w:val="00591460"/>
    <w:rsid w:val="005C3777"/>
    <w:rsid w:val="005C5CDC"/>
    <w:rsid w:val="005D476C"/>
    <w:rsid w:val="0061081C"/>
    <w:rsid w:val="006219F8"/>
    <w:rsid w:val="006302F7"/>
    <w:rsid w:val="00665D70"/>
    <w:rsid w:val="006900D9"/>
    <w:rsid w:val="006A760C"/>
    <w:rsid w:val="00706C16"/>
    <w:rsid w:val="0075076C"/>
    <w:rsid w:val="00756841"/>
    <w:rsid w:val="007649AB"/>
    <w:rsid w:val="0077117A"/>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B16C7"/>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C6205"/>
    <w:rsid w:val="00AE6675"/>
    <w:rsid w:val="00B00C0E"/>
    <w:rsid w:val="00B01B1A"/>
    <w:rsid w:val="00B44A47"/>
    <w:rsid w:val="00B513E9"/>
    <w:rsid w:val="00B72CD3"/>
    <w:rsid w:val="00B72FFF"/>
    <w:rsid w:val="00BC3D36"/>
    <w:rsid w:val="00BC41EA"/>
    <w:rsid w:val="00BC621B"/>
    <w:rsid w:val="00BD7F72"/>
    <w:rsid w:val="00BE4A66"/>
    <w:rsid w:val="00C04FB3"/>
    <w:rsid w:val="00C330EB"/>
    <w:rsid w:val="00C754BE"/>
    <w:rsid w:val="00C76B1C"/>
    <w:rsid w:val="00CB6357"/>
    <w:rsid w:val="00CC1B26"/>
    <w:rsid w:val="00D423A2"/>
    <w:rsid w:val="00D520D8"/>
    <w:rsid w:val="00D63AC2"/>
    <w:rsid w:val="00D64E31"/>
    <w:rsid w:val="00D70A76"/>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35B71"/>
    <w:rsid w:val="00F462B3"/>
    <w:rsid w:val="00F5664F"/>
    <w:rsid w:val="00F666C4"/>
    <w:rsid w:val="00F76AFC"/>
    <w:rsid w:val="00FA47C0"/>
    <w:rsid w:val="00FB5DD1"/>
    <w:rsid w:val="00FC2B5D"/>
    <w:rsid w:val="00FF1449"/>
    <w:rsid w:val="15BED2D7"/>
    <w:rsid w:val="33A268F7"/>
    <w:rsid w:val="368D324A"/>
    <w:rsid w:val="4FEC0FE0"/>
    <w:rsid w:val="51FCBF98"/>
    <w:rsid w:val="5C37B4DB"/>
    <w:rsid w:val="623D2CA0"/>
    <w:rsid w:val="6C52686C"/>
    <w:rsid w:val="7BE02C4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BC4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C41E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http://www.w3.org/XML/1998/namespace"/>
    <ds:schemaRef ds:uri="http://schemas.openxmlformats.org/package/2006/metadata/core-properties"/>
    <ds:schemaRef ds:uri="http://schemas.microsoft.com/office/infopath/2007/PartnerControls"/>
    <ds:schemaRef ds:uri="a6cb9e4b-f1d1-4245-83ec-6cad768d538a"/>
    <ds:schemaRef ds:uri="http://purl.org/dc/terms/"/>
    <ds:schemaRef ds:uri="9d85dbaf-23eb-4e57-a637-93dcacc8b1a1"/>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969A2EB4-D0BA-6340-85DF-70FAC02D7EFC}">
  <ds:schemaRefs>
    <ds:schemaRef ds:uri="http://schemas.openxmlformats.org/officeDocument/2006/bibliography"/>
  </ds:schemaRefs>
</ds:datastoreItem>
</file>

<file path=customXml/itemProps4.xml><?xml version="1.0" encoding="utf-8"?>
<ds:datastoreItem xmlns:ds="http://schemas.openxmlformats.org/officeDocument/2006/customXml" ds:itemID="{0CCA7947-0408-4134-8505-0477B6F24D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13</Pages>
  <Words>4411</Words>
  <Characters>24394</Characters>
  <Application>Microsoft Office Word</Application>
  <DocSecurity>0</DocSecurity>
  <Lines>497</Lines>
  <Paragraphs>107</Paragraphs>
  <ScaleCrop>false</ScaleCrop>
  <Company/>
  <LinksUpToDate>false</LinksUpToDate>
  <CharactersWithSpaces>28698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2025-11-04T21:50:00Z</dcterms:created>
  <dcterms:modified xsi:type="dcterms:W3CDTF">2025-11-04T21:50:00Z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