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B926B" w14:textId="77777777" w:rsidR="00044B4B" w:rsidRPr="00454DC6" w:rsidRDefault="00044B4B" w:rsidP="00044B4B">
      <w:pPr>
        <w:spacing w:after="0" w:line="240" w:lineRule="auto"/>
        <w:jc w:val="both"/>
        <w:rPr>
          <w:rFonts w:ascii="Verdana" w:eastAsia="Calibri" w:hAnsi="Verdana" w:cs="Arial"/>
          <w:b/>
          <w:bCs/>
          <w:color w:val="000000"/>
          <w:kern w:val="2"/>
          <w14:ligatures w14:val="standardContextual"/>
        </w:rPr>
      </w:pPr>
      <w:bookmarkStart w:id="0" w:name="_Hlk181166130"/>
      <w:bookmarkStart w:id="1" w:name="_Hlk209714638"/>
      <w:r w:rsidRPr="00454DC6">
        <w:rPr>
          <w:rFonts w:ascii="Verdana" w:eastAsia="Calibri" w:hAnsi="Verdana" w:cs="Arial"/>
          <w:b/>
          <w:bCs/>
          <w:color w:val="000000"/>
          <w:kern w:val="2"/>
          <w14:ligatures w14:val="standardContextual"/>
        </w:rPr>
        <w:t xml:space="preserve">INHABILIDADES E INCOMPATIBILIDADES </w:t>
      </w:r>
      <w:r w:rsidRPr="00454DC6">
        <w:rPr>
          <w:rFonts w:ascii="Verdana" w:eastAsia="Calibri" w:hAnsi="Verdana" w:cs="Arial"/>
          <w:b/>
          <w:color w:val="000000"/>
          <w:kern w:val="2"/>
          <w14:ligatures w14:val="standardContextual"/>
        </w:rPr>
        <w:t>–</w:t>
      </w:r>
      <w:r w:rsidRPr="00454DC6">
        <w:rPr>
          <w:rFonts w:ascii="Verdana" w:eastAsia="Calibri" w:hAnsi="Verdana" w:cs="Arial"/>
          <w:b/>
          <w:bCs/>
          <w:color w:val="000000"/>
          <w:kern w:val="2"/>
          <w14:ligatures w14:val="standardContextual"/>
        </w:rPr>
        <w:t xml:space="preserve"> Concepto </w:t>
      </w:r>
    </w:p>
    <w:p w14:paraId="504CD734" w14:textId="77777777" w:rsidR="00044B4B" w:rsidRPr="00454DC6" w:rsidRDefault="00044B4B" w:rsidP="00044B4B">
      <w:pPr>
        <w:spacing w:after="0" w:line="240" w:lineRule="auto"/>
        <w:jc w:val="both"/>
        <w:rPr>
          <w:rFonts w:ascii="Verdana" w:eastAsia="Calibri" w:hAnsi="Verdana" w:cs="Arial"/>
          <w:b/>
          <w:bCs/>
          <w:color w:val="000000"/>
          <w:kern w:val="2"/>
          <w14:ligatures w14:val="standardContextual"/>
        </w:rPr>
      </w:pPr>
    </w:p>
    <w:p w14:paraId="2EE8D8E8"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r w:rsidRPr="00454DC6">
        <w:rPr>
          <w:rFonts w:ascii="Verdana" w:eastAsia="Calibri" w:hAnsi="Verdana" w:cs="Arial"/>
          <w:color w:val="000000"/>
          <w:kern w:val="2"/>
          <w14:ligatures w14:val="standardContextual"/>
        </w:rPr>
        <w:t xml:space="preserve">Las </w:t>
      </w:r>
      <w:r w:rsidRPr="00454DC6">
        <w:rPr>
          <w:rFonts w:ascii="Verdana" w:eastAsia="Calibri" w:hAnsi="Verdana" w:cs="Arial"/>
          <w:i/>
          <w:iCs/>
          <w:color w:val="000000"/>
          <w:kern w:val="2"/>
          <w14:ligatures w14:val="standardContextual"/>
        </w:rPr>
        <w:t>inhabilidades</w:t>
      </w:r>
      <w:r w:rsidRPr="00454DC6">
        <w:rPr>
          <w:rFonts w:ascii="Verdana" w:eastAsia="Calibri" w:hAnsi="Verdana" w:cs="Arial"/>
          <w:color w:val="000000"/>
          <w:kern w:val="2"/>
          <w14:ligatures w14:val="standardContextual"/>
        </w:rPr>
        <w:t xml:space="preserve"> son prohibiciones para concurrir a los procedimientos de selección y para contratar con el Estado, que se derivan de:  i) la existencia de comportamientos reprochables o sanciones anteriormente impuestas, </w:t>
      </w:r>
      <w:proofErr w:type="spellStart"/>
      <w:r w:rsidRPr="00454DC6">
        <w:rPr>
          <w:rFonts w:ascii="Verdana" w:eastAsia="Calibri" w:hAnsi="Verdana" w:cs="Arial"/>
          <w:color w:val="000000"/>
          <w:kern w:val="2"/>
          <w14:ligatures w14:val="standardContextual"/>
        </w:rPr>
        <w:t>ii</w:t>
      </w:r>
      <w:proofErr w:type="spellEnd"/>
      <w:r w:rsidRPr="00454DC6">
        <w:rPr>
          <w:rFonts w:ascii="Verdana" w:eastAsia="Calibri" w:hAnsi="Verdana" w:cs="Arial"/>
          <w:color w:val="000000"/>
          <w:kern w:val="2"/>
          <w14:ligatures w14:val="standardContextual"/>
        </w:rPr>
        <w:t xml:space="preserve">) vínculos personales relativos al parentesco o al estado civil o </w:t>
      </w:r>
      <w:proofErr w:type="spellStart"/>
      <w:r w:rsidRPr="00454DC6">
        <w:rPr>
          <w:rFonts w:ascii="Verdana" w:eastAsia="Calibri" w:hAnsi="Verdana" w:cs="Arial"/>
          <w:color w:val="000000"/>
          <w:kern w:val="2"/>
          <w14:ligatures w14:val="standardContextual"/>
        </w:rPr>
        <w:t>iii</w:t>
      </w:r>
      <w:proofErr w:type="spellEnd"/>
      <w:r w:rsidRPr="00454DC6">
        <w:rPr>
          <w:rFonts w:ascii="Verdana" w:eastAsia="Calibri" w:hAnsi="Verdana" w:cs="Arial"/>
          <w:color w:val="000000"/>
          <w:kern w:val="2"/>
          <w14:ligatures w14:val="standardContextual"/>
        </w:rPr>
        <w:t xml:space="preserve">) una actividad u oficio que se desempeñó en el pasado. De otro lado, las </w:t>
      </w:r>
      <w:r w:rsidRPr="00454DC6">
        <w:rPr>
          <w:rFonts w:ascii="Verdana" w:eastAsia="Calibri" w:hAnsi="Verdana" w:cs="Arial"/>
          <w:i/>
          <w:iCs/>
          <w:color w:val="000000"/>
          <w:kern w:val="2"/>
          <w14:ligatures w14:val="standardContextual"/>
        </w:rPr>
        <w:t>incompatibilidades</w:t>
      </w:r>
      <w:r w:rsidRPr="00454DC6">
        <w:rPr>
          <w:rFonts w:ascii="Verdana" w:eastAsia="Calibri" w:hAnsi="Verdana" w:cs="Arial"/>
          <w:color w:val="000000"/>
          <w:kern w:val="2"/>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35D60F27"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p>
    <w:p w14:paraId="701020F5" w14:textId="77777777" w:rsidR="00044B4B" w:rsidRPr="00454DC6" w:rsidRDefault="00044B4B" w:rsidP="00044B4B">
      <w:pPr>
        <w:spacing w:after="0" w:line="240" w:lineRule="auto"/>
        <w:jc w:val="both"/>
        <w:rPr>
          <w:rFonts w:ascii="Verdana" w:eastAsia="Calibri" w:hAnsi="Verdana" w:cs="Arial"/>
          <w:b/>
          <w:bCs/>
          <w:color w:val="000000"/>
          <w:kern w:val="2"/>
          <w14:ligatures w14:val="standardContextual"/>
        </w:rPr>
      </w:pPr>
      <w:r w:rsidRPr="00454DC6">
        <w:rPr>
          <w:rFonts w:ascii="Verdana" w:eastAsia="Calibri" w:hAnsi="Verdana" w:cs="Arial"/>
          <w:b/>
          <w:bCs/>
          <w:color w:val="000000"/>
          <w:kern w:val="2"/>
          <w14:ligatures w14:val="standardContextual"/>
        </w:rPr>
        <w:t>INHABILIDADES – Clasificación – Sanción – Proceso sancionatorio – Requisito – Condiciones personales – vigencia – certificado de antecedentes disciplinarios.</w:t>
      </w:r>
    </w:p>
    <w:p w14:paraId="35CD5662" w14:textId="77777777" w:rsidR="00044B4B" w:rsidRPr="00454DC6" w:rsidRDefault="00044B4B" w:rsidP="00044B4B">
      <w:pPr>
        <w:spacing w:after="0" w:line="240" w:lineRule="auto"/>
        <w:jc w:val="both"/>
        <w:rPr>
          <w:rFonts w:ascii="Verdana" w:eastAsia="Calibri" w:hAnsi="Verdana" w:cs="Arial"/>
          <w:b/>
          <w:bCs/>
          <w:color w:val="000000"/>
          <w:kern w:val="2"/>
          <w14:ligatures w14:val="standardContextual"/>
        </w:rPr>
      </w:pPr>
    </w:p>
    <w:p w14:paraId="2177BF5A"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r w:rsidRPr="00454DC6">
        <w:rPr>
          <w:rFonts w:ascii="Verdana" w:eastAsia="Calibri" w:hAnsi="Verdana" w:cs="Arial"/>
          <w:color w:val="000000"/>
          <w:kern w:val="2"/>
          <w14:ligatures w14:val="standardContextual"/>
        </w:rPr>
        <w:t xml:space="preserve">Conviene también distinguir las fuentes de las inhabilidades, las cuales han sido clasificadas en dos (2) grupos: i) inhabilidades-sanción y </w:t>
      </w:r>
      <w:proofErr w:type="spellStart"/>
      <w:r w:rsidRPr="00454DC6">
        <w:rPr>
          <w:rFonts w:ascii="Verdana" w:eastAsia="Calibri" w:hAnsi="Verdana" w:cs="Arial"/>
          <w:color w:val="000000"/>
          <w:kern w:val="2"/>
          <w14:ligatures w14:val="standardContextual"/>
        </w:rPr>
        <w:t>ii</w:t>
      </w:r>
      <w:proofErr w:type="spellEnd"/>
      <w:r w:rsidRPr="00454DC6">
        <w:rPr>
          <w:rFonts w:ascii="Verdana" w:eastAsia="Calibri" w:hAnsi="Verdana" w:cs="Arial"/>
          <w:color w:val="000000"/>
          <w:kern w:val="2"/>
          <w14:ligatures w14:val="standardContextu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p>
    <w:p w14:paraId="09F499B2"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p>
    <w:p w14:paraId="07B8E569"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r w:rsidRPr="00454DC6">
        <w:rPr>
          <w:rFonts w:ascii="Verdana" w:eastAsia="Calibri" w:hAnsi="Verdana" w:cs="Arial"/>
          <w:color w:val="000000"/>
          <w:kern w:val="2"/>
          <w14:ligatures w14:val="standardContextual"/>
        </w:rPr>
        <w:t>Ahora bien, esta inhabilidad tiene un término de duración específico fijado por la sentencia judicial o la ley, y no es indefinida. Por lo tanto, en atención al problema jurídico planteado el factor determinante es establecer si dicha pena accesoria (la inhabilidad) sigue vigente o si ya expiró.</w:t>
      </w:r>
    </w:p>
    <w:p w14:paraId="5B4592E8"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p>
    <w:p w14:paraId="1721BD1A"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r w:rsidRPr="00454DC6">
        <w:rPr>
          <w:rFonts w:ascii="Verdana" w:eastAsia="Calibri" w:hAnsi="Verdana" w:cs="Arial"/>
          <w:color w:val="000000"/>
          <w:kern w:val="2"/>
          <w14:ligatures w14:val="standardContextual"/>
        </w:rPr>
        <w:t xml:space="preserve"> Esta vigencia se evidencia en el certificado de antecedentes disciplinarios y de inhabilidades emitido por la Procuraduría General de la Nación. Si este documento oficial certifica que la persona actualmente no tiene sanciones ni inhabilidades vigentes, significa que el tiempo de la inhabilidad impuesta (accesoria a la condena penal) ha expirado.</w:t>
      </w:r>
    </w:p>
    <w:p w14:paraId="04605ABA"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p>
    <w:p w14:paraId="7F854199" w14:textId="77777777" w:rsidR="00044B4B" w:rsidRPr="00454DC6" w:rsidRDefault="00044B4B" w:rsidP="00044B4B">
      <w:pPr>
        <w:spacing w:after="0" w:line="240" w:lineRule="auto"/>
        <w:jc w:val="both"/>
        <w:rPr>
          <w:rFonts w:ascii="Verdana" w:eastAsia="Calibri" w:hAnsi="Verdana" w:cs="Arial"/>
          <w:b/>
          <w:bCs/>
          <w:color w:val="000000"/>
          <w:kern w:val="2"/>
          <w14:ligatures w14:val="standardContextual"/>
        </w:rPr>
      </w:pPr>
      <w:r w:rsidRPr="00454DC6">
        <w:rPr>
          <w:rFonts w:ascii="Verdana" w:eastAsia="Calibri" w:hAnsi="Verdana" w:cs="Arial"/>
          <w:b/>
          <w:bCs/>
          <w:color w:val="000000"/>
          <w:kern w:val="2"/>
          <w14:ligatures w14:val="standardContextual"/>
        </w:rPr>
        <w:t xml:space="preserve">INHABILIDADES – Taxatividad – Principio de legalidad – Interpretación restrictiva - </w:t>
      </w:r>
    </w:p>
    <w:p w14:paraId="363274FB" w14:textId="77777777" w:rsidR="00044B4B" w:rsidRPr="00454DC6" w:rsidRDefault="00044B4B" w:rsidP="00044B4B">
      <w:pPr>
        <w:spacing w:after="0" w:line="240" w:lineRule="auto"/>
        <w:jc w:val="both"/>
        <w:rPr>
          <w:rFonts w:ascii="Verdana" w:eastAsia="Calibri" w:hAnsi="Verdana" w:cs="Arial"/>
          <w:b/>
          <w:bCs/>
          <w:color w:val="000000"/>
          <w:kern w:val="2"/>
          <w:lang w:val="es-ES"/>
          <w14:ligatures w14:val="standardContextual"/>
        </w:rPr>
      </w:pPr>
    </w:p>
    <w:p w14:paraId="48BE9853" w14:textId="77777777" w:rsidR="00044B4B" w:rsidRPr="00454DC6" w:rsidRDefault="00044B4B" w:rsidP="00044B4B">
      <w:pPr>
        <w:spacing w:after="0" w:line="240" w:lineRule="auto"/>
        <w:jc w:val="both"/>
        <w:rPr>
          <w:rFonts w:ascii="Verdana" w:eastAsia="Calibri" w:hAnsi="Verdana" w:cs="Arial"/>
          <w:color w:val="000000"/>
          <w:kern w:val="2"/>
          <w14:ligatures w14:val="standardContextual"/>
        </w:rPr>
      </w:pPr>
      <w:r w:rsidRPr="00454DC6">
        <w:rPr>
          <w:rFonts w:ascii="Verdana" w:eastAsia="Calibri" w:hAnsi="Verdana" w:cs="Arial"/>
          <w:color w:val="000000"/>
          <w:kern w:val="2"/>
          <w14:ligatures w14:val="standardContextual"/>
        </w:rPr>
        <w:t xml:space="preserve">Ahora bien, al ser las inhabilidades e incompatibilidades –como ya se dijo– restricciones o límites especiales a la capacidad para presentar ofertas y celebrar contratos estatales, la interpretación de las causales que las integran debe ser </w:t>
      </w:r>
      <w:r w:rsidRPr="00454DC6">
        <w:rPr>
          <w:rFonts w:ascii="Verdana" w:eastAsia="Calibri" w:hAnsi="Verdana" w:cs="Arial"/>
          <w:color w:val="000000"/>
          <w:kern w:val="2"/>
          <w14:ligatures w14:val="standardContextual"/>
        </w:rPr>
        <w:lastRenderedPageBreak/>
        <w:t>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52E68B82" w14:textId="77777777" w:rsidR="00044B4B" w:rsidRDefault="00044B4B" w:rsidP="00044B4B">
      <w:pPr>
        <w:spacing w:after="0" w:line="240" w:lineRule="auto"/>
        <w:jc w:val="both"/>
        <w:rPr>
          <w:rFonts w:ascii="Verdana" w:eastAsia="Calibri" w:hAnsi="Verdana" w:cs="Arial"/>
          <w:b/>
          <w:color w:val="000000"/>
          <w:kern w:val="2"/>
          <w14:ligatures w14:val="standardContextual"/>
        </w:rPr>
      </w:pPr>
    </w:p>
    <w:p w14:paraId="7182CE85" w14:textId="77777777" w:rsidR="00044B4B" w:rsidRDefault="00044B4B" w:rsidP="00044B4B">
      <w:pPr>
        <w:spacing w:after="0" w:line="240" w:lineRule="auto"/>
        <w:rPr>
          <w:rFonts w:ascii="Verdana" w:hAnsi="Verdana"/>
        </w:rPr>
      </w:pPr>
    </w:p>
    <w:p w14:paraId="4239AB6B" w14:textId="77777777" w:rsidR="00044B4B" w:rsidRDefault="00044B4B" w:rsidP="00044B4B">
      <w:pPr>
        <w:spacing w:after="0" w:line="240" w:lineRule="auto"/>
        <w:rPr>
          <w:rFonts w:ascii="Verdana" w:hAnsi="Verdana"/>
        </w:rPr>
      </w:pPr>
    </w:p>
    <w:p w14:paraId="3971FF50" w14:textId="77777777" w:rsidR="00044B4B" w:rsidRDefault="00044B4B" w:rsidP="00044B4B">
      <w:pPr>
        <w:spacing w:after="0" w:line="240" w:lineRule="auto"/>
        <w:rPr>
          <w:rFonts w:ascii="Verdana" w:hAnsi="Verdana"/>
        </w:rPr>
      </w:pPr>
    </w:p>
    <w:p w14:paraId="655C78ED" w14:textId="77777777" w:rsidR="00044B4B" w:rsidRDefault="00044B4B" w:rsidP="00044B4B">
      <w:pPr>
        <w:spacing w:after="0" w:line="240" w:lineRule="auto"/>
        <w:rPr>
          <w:rFonts w:ascii="Verdana" w:hAnsi="Verdana"/>
        </w:rPr>
      </w:pPr>
    </w:p>
    <w:p w14:paraId="27980646" w14:textId="77777777" w:rsidR="00044B4B" w:rsidRDefault="00044B4B" w:rsidP="00044B4B">
      <w:pPr>
        <w:spacing w:after="0" w:line="240" w:lineRule="auto"/>
        <w:rPr>
          <w:rFonts w:ascii="Verdana" w:hAnsi="Verdana"/>
        </w:rPr>
      </w:pPr>
    </w:p>
    <w:p w14:paraId="0E356DAB" w14:textId="77777777" w:rsidR="00044B4B" w:rsidRDefault="00044B4B" w:rsidP="00044B4B">
      <w:pPr>
        <w:spacing w:after="0" w:line="240" w:lineRule="auto"/>
        <w:rPr>
          <w:rFonts w:ascii="Verdana" w:hAnsi="Verdana"/>
        </w:rPr>
      </w:pPr>
    </w:p>
    <w:p w14:paraId="32BD027A" w14:textId="77777777" w:rsidR="00044B4B" w:rsidRDefault="00044B4B" w:rsidP="00044B4B">
      <w:pPr>
        <w:spacing w:after="0" w:line="240" w:lineRule="auto"/>
        <w:rPr>
          <w:rFonts w:ascii="Verdana" w:hAnsi="Verdana"/>
        </w:rPr>
      </w:pPr>
    </w:p>
    <w:p w14:paraId="1814D57E" w14:textId="77777777" w:rsidR="00044B4B" w:rsidRDefault="00044B4B" w:rsidP="00044B4B">
      <w:pPr>
        <w:spacing w:after="0" w:line="240" w:lineRule="auto"/>
        <w:rPr>
          <w:rFonts w:ascii="Verdana" w:hAnsi="Verdana"/>
        </w:rPr>
      </w:pPr>
    </w:p>
    <w:p w14:paraId="724F0E13" w14:textId="77777777" w:rsidR="00044B4B" w:rsidRDefault="00044B4B" w:rsidP="00044B4B">
      <w:pPr>
        <w:spacing w:after="0" w:line="240" w:lineRule="auto"/>
        <w:rPr>
          <w:rFonts w:ascii="Verdana" w:hAnsi="Verdana"/>
        </w:rPr>
      </w:pPr>
    </w:p>
    <w:p w14:paraId="5DDBDDCB" w14:textId="77777777" w:rsidR="00044B4B" w:rsidRDefault="00044B4B" w:rsidP="00044B4B">
      <w:pPr>
        <w:spacing w:after="0" w:line="240" w:lineRule="auto"/>
        <w:rPr>
          <w:rFonts w:ascii="Verdana" w:hAnsi="Verdana"/>
        </w:rPr>
      </w:pPr>
    </w:p>
    <w:p w14:paraId="56D8AE5B" w14:textId="77777777" w:rsidR="00044B4B" w:rsidRDefault="00044B4B" w:rsidP="00044B4B">
      <w:pPr>
        <w:spacing w:after="0" w:line="240" w:lineRule="auto"/>
        <w:rPr>
          <w:rFonts w:ascii="Verdana" w:hAnsi="Verdana"/>
        </w:rPr>
      </w:pPr>
    </w:p>
    <w:p w14:paraId="51A5AB54" w14:textId="77777777" w:rsidR="00044B4B" w:rsidRDefault="00044B4B" w:rsidP="00044B4B">
      <w:pPr>
        <w:spacing w:after="0" w:line="240" w:lineRule="auto"/>
        <w:rPr>
          <w:rFonts w:ascii="Verdana" w:hAnsi="Verdana"/>
        </w:rPr>
      </w:pPr>
    </w:p>
    <w:p w14:paraId="5BAAA049" w14:textId="77777777" w:rsidR="00044B4B" w:rsidRDefault="00044B4B" w:rsidP="00044B4B">
      <w:pPr>
        <w:spacing w:after="0" w:line="240" w:lineRule="auto"/>
        <w:rPr>
          <w:rFonts w:ascii="Verdana" w:hAnsi="Verdana"/>
        </w:rPr>
      </w:pPr>
    </w:p>
    <w:p w14:paraId="3BD40A81" w14:textId="77777777" w:rsidR="00044B4B" w:rsidRDefault="00044B4B" w:rsidP="00044B4B">
      <w:pPr>
        <w:spacing w:after="0" w:line="240" w:lineRule="auto"/>
        <w:rPr>
          <w:rFonts w:ascii="Verdana" w:hAnsi="Verdana"/>
        </w:rPr>
      </w:pPr>
    </w:p>
    <w:p w14:paraId="50A3C59D" w14:textId="77777777" w:rsidR="00044B4B" w:rsidRDefault="00044B4B" w:rsidP="00044B4B">
      <w:pPr>
        <w:spacing w:after="0" w:line="240" w:lineRule="auto"/>
        <w:rPr>
          <w:rFonts w:ascii="Verdana" w:hAnsi="Verdana"/>
        </w:rPr>
      </w:pPr>
    </w:p>
    <w:p w14:paraId="35E0EE34" w14:textId="77777777" w:rsidR="00044B4B" w:rsidRDefault="00044B4B" w:rsidP="00044B4B">
      <w:pPr>
        <w:spacing w:after="0" w:line="240" w:lineRule="auto"/>
        <w:rPr>
          <w:rFonts w:ascii="Verdana" w:hAnsi="Verdana"/>
        </w:rPr>
      </w:pPr>
    </w:p>
    <w:p w14:paraId="111F1663" w14:textId="77777777" w:rsidR="00044B4B" w:rsidRDefault="00044B4B" w:rsidP="00044B4B">
      <w:pPr>
        <w:spacing w:after="0" w:line="240" w:lineRule="auto"/>
        <w:rPr>
          <w:rFonts w:ascii="Verdana" w:hAnsi="Verdana"/>
        </w:rPr>
      </w:pPr>
    </w:p>
    <w:p w14:paraId="70AA911B" w14:textId="77777777" w:rsidR="00044B4B" w:rsidRDefault="00044B4B" w:rsidP="00044B4B">
      <w:pPr>
        <w:spacing w:after="0" w:line="240" w:lineRule="auto"/>
        <w:rPr>
          <w:rFonts w:ascii="Verdana" w:hAnsi="Verdana"/>
        </w:rPr>
      </w:pPr>
    </w:p>
    <w:p w14:paraId="5A8D9B0A" w14:textId="77777777" w:rsidR="00044B4B" w:rsidRDefault="00044B4B" w:rsidP="00044B4B">
      <w:pPr>
        <w:spacing w:after="0" w:line="240" w:lineRule="auto"/>
        <w:rPr>
          <w:rFonts w:ascii="Verdana" w:hAnsi="Verdana"/>
        </w:rPr>
      </w:pPr>
    </w:p>
    <w:p w14:paraId="0581AD92" w14:textId="77777777" w:rsidR="00044B4B" w:rsidRDefault="00044B4B" w:rsidP="00044B4B">
      <w:pPr>
        <w:spacing w:after="0" w:line="240" w:lineRule="auto"/>
        <w:rPr>
          <w:rFonts w:ascii="Verdana" w:hAnsi="Verdana"/>
        </w:rPr>
      </w:pPr>
    </w:p>
    <w:p w14:paraId="5AEC72D5" w14:textId="77777777" w:rsidR="00044B4B" w:rsidRDefault="00044B4B" w:rsidP="00044B4B">
      <w:pPr>
        <w:spacing w:after="0" w:line="240" w:lineRule="auto"/>
        <w:rPr>
          <w:rFonts w:ascii="Verdana" w:hAnsi="Verdana"/>
        </w:rPr>
      </w:pPr>
    </w:p>
    <w:p w14:paraId="3BFE4972" w14:textId="77777777" w:rsidR="00044B4B" w:rsidRDefault="00044B4B" w:rsidP="00044B4B">
      <w:pPr>
        <w:spacing w:after="0" w:line="240" w:lineRule="auto"/>
        <w:rPr>
          <w:rFonts w:ascii="Verdana" w:hAnsi="Verdana"/>
        </w:rPr>
      </w:pPr>
    </w:p>
    <w:p w14:paraId="25545BC1" w14:textId="77777777" w:rsidR="00044B4B" w:rsidRDefault="00044B4B" w:rsidP="00044B4B">
      <w:pPr>
        <w:spacing w:after="0" w:line="240" w:lineRule="auto"/>
        <w:rPr>
          <w:rFonts w:ascii="Verdana" w:hAnsi="Verdana"/>
        </w:rPr>
      </w:pPr>
    </w:p>
    <w:p w14:paraId="3050BD93" w14:textId="77777777" w:rsidR="00044B4B" w:rsidRDefault="00044B4B" w:rsidP="00044B4B">
      <w:pPr>
        <w:spacing w:after="0" w:line="240" w:lineRule="auto"/>
        <w:rPr>
          <w:rFonts w:ascii="Verdana" w:hAnsi="Verdana"/>
        </w:rPr>
      </w:pPr>
    </w:p>
    <w:p w14:paraId="24858EAA" w14:textId="77777777" w:rsidR="00044B4B" w:rsidRDefault="00044B4B" w:rsidP="00044B4B">
      <w:pPr>
        <w:spacing w:after="0" w:line="240" w:lineRule="auto"/>
        <w:rPr>
          <w:rFonts w:ascii="Verdana" w:hAnsi="Verdana"/>
        </w:rPr>
      </w:pPr>
    </w:p>
    <w:p w14:paraId="32BED691" w14:textId="77777777" w:rsidR="00044B4B" w:rsidRDefault="00044B4B" w:rsidP="00044B4B">
      <w:pPr>
        <w:spacing w:after="0" w:line="240" w:lineRule="auto"/>
        <w:rPr>
          <w:rFonts w:ascii="Verdana" w:hAnsi="Verdana"/>
        </w:rPr>
      </w:pPr>
    </w:p>
    <w:p w14:paraId="5E3A451A" w14:textId="77777777" w:rsidR="00044B4B" w:rsidRDefault="00044B4B" w:rsidP="00044B4B">
      <w:pPr>
        <w:spacing w:after="0" w:line="240" w:lineRule="auto"/>
        <w:rPr>
          <w:rFonts w:ascii="Verdana" w:hAnsi="Verdana"/>
        </w:rPr>
      </w:pPr>
    </w:p>
    <w:p w14:paraId="7C79DAC5" w14:textId="77777777" w:rsidR="00044B4B" w:rsidRDefault="00044B4B" w:rsidP="00044B4B">
      <w:pPr>
        <w:spacing w:after="0" w:line="240" w:lineRule="auto"/>
        <w:rPr>
          <w:rFonts w:ascii="Verdana" w:hAnsi="Verdana"/>
        </w:rPr>
      </w:pPr>
    </w:p>
    <w:p w14:paraId="69CAC015" w14:textId="77777777" w:rsidR="00044B4B" w:rsidRDefault="00044B4B" w:rsidP="00044B4B">
      <w:pPr>
        <w:spacing w:after="0" w:line="240" w:lineRule="auto"/>
        <w:rPr>
          <w:rFonts w:ascii="Verdana" w:hAnsi="Verdana"/>
        </w:rPr>
      </w:pPr>
    </w:p>
    <w:p w14:paraId="2237E409" w14:textId="77777777" w:rsidR="00044B4B" w:rsidRDefault="00044B4B" w:rsidP="00044B4B">
      <w:pPr>
        <w:spacing w:after="0" w:line="240" w:lineRule="auto"/>
        <w:rPr>
          <w:rFonts w:ascii="Verdana" w:hAnsi="Verdana"/>
        </w:rPr>
      </w:pPr>
    </w:p>
    <w:p w14:paraId="5533F127" w14:textId="77777777" w:rsidR="00044B4B" w:rsidRDefault="00044B4B" w:rsidP="00044B4B">
      <w:pPr>
        <w:spacing w:after="0" w:line="240" w:lineRule="auto"/>
        <w:rPr>
          <w:rFonts w:ascii="Verdana" w:hAnsi="Verdana"/>
        </w:rPr>
      </w:pPr>
    </w:p>
    <w:p w14:paraId="44B754BC" w14:textId="77777777" w:rsidR="00044B4B" w:rsidRDefault="00044B4B" w:rsidP="00044B4B">
      <w:pPr>
        <w:spacing w:after="0" w:line="240" w:lineRule="auto"/>
        <w:rPr>
          <w:rFonts w:ascii="Verdana" w:hAnsi="Verdana"/>
        </w:rPr>
      </w:pPr>
    </w:p>
    <w:p w14:paraId="483A9BE5" w14:textId="77777777" w:rsidR="00044B4B" w:rsidRDefault="00044B4B" w:rsidP="00044B4B">
      <w:pPr>
        <w:spacing w:after="0" w:line="240" w:lineRule="auto"/>
        <w:rPr>
          <w:rFonts w:ascii="Verdana" w:hAnsi="Verdana"/>
        </w:rPr>
      </w:pPr>
    </w:p>
    <w:p w14:paraId="0B7B73BD" w14:textId="77777777" w:rsidR="00044B4B" w:rsidRDefault="00044B4B" w:rsidP="00044B4B">
      <w:pPr>
        <w:spacing w:after="0" w:line="240" w:lineRule="auto"/>
        <w:rPr>
          <w:rFonts w:ascii="Verdana" w:hAnsi="Verdana"/>
        </w:rPr>
      </w:pPr>
    </w:p>
    <w:p w14:paraId="370DC424" w14:textId="77777777" w:rsidR="000923C0" w:rsidRDefault="000923C0" w:rsidP="00044B4B">
      <w:pPr>
        <w:spacing w:after="0" w:line="240" w:lineRule="auto"/>
        <w:rPr>
          <w:rFonts w:ascii="Verdana" w:hAnsi="Verdana"/>
        </w:rPr>
      </w:pPr>
    </w:p>
    <w:p w14:paraId="1A13E172" w14:textId="77777777" w:rsidR="00044B4B" w:rsidRDefault="00044B4B" w:rsidP="00044B4B">
      <w:pPr>
        <w:spacing w:after="0" w:line="240" w:lineRule="auto"/>
        <w:rPr>
          <w:rFonts w:ascii="Verdana" w:hAnsi="Verdana"/>
        </w:rPr>
      </w:pPr>
    </w:p>
    <w:p w14:paraId="1094EA86" w14:textId="1F6783AB" w:rsidR="00044B4B" w:rsidRDefault="00044B4B" w:rsidP="00044B4B">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B94E18">
        <w:rPr>
          <w:rFonts w:ascii="Verdana" w:hAnsi="Verdana"/>
        </w:rPr>
        <w:t>05</w:t>
      </w:r>
      <w:r>
        <w:rPr>
          <w:rFonts w:ascii="Verdana" w:hAnsi="Verdana"/>
        </w:rPr>
        <w:t xml:space="preserve"> de </w:t>
      </w:r>
      <w:r w:rsidR="00B94E18">
        <w:rPr>
          <w:rFonts w:ascii="Verdana" w:hAnsi="Verdana"/>
        </w:rPr>
        <w:t>noviembre</w:t>
      </w:r>
      <w:r>
        <w:rPr>
          <w:rFonts w:ascii="Verdana" w:hAnsi="Verdana"/>
        </w:rPr>
        <w:t xml:space="preserve"> de </w:t>
      </w:r>
      <w:r w:rsidR="00B94E18">
        <w:rPr>
          <w:rFonts w:ascii="Verdana" w:hAnsi="Verdana"/>
        </w:rPr>
        <w:t>2025</w:t>
      </w:r>
      <w:r>
        <w:rPr>
          <w:rFonts w:ascii="Verdana" w:hAnsi="Verdana"/>
        </w:rPr>
        <w:t>.</w:t>
      </w:r>
      <w:bookmarkEnd w:id="0"/>
    </w:p>
    <w:p w14:paraId="3BF5DC71" w14:textId="77777777" w:rsidR="00044B4B" w:rsidRDefault="00044B4B" w:rsidP="00044B4B">
      <w:pPr>
        <w:spacing w:after="0" w:line="240" w:lineRule="auto"/>
        <w:rPr>
          <w:rFonts w:ascii="Verdana" w:hAnsi="Verdana"/>
        </w:rPr>
      </w:pPr>
    </w:p>
    <w:p w14:paraId="3C94944A" w14:textId="49565931" w:rsidR="00B94E18" w:rsidRDefault="00B94E18" w:rsidP="00B94E18">
      <w:pPr>
        <w:spacing w:after="0" w:line="240" w:lineRule="auto"/>
        <w:jc w:val="right"/>
        <w:rPr>
          <w:rFonts w:ascii="Verdana" w:hAnsi="Verdana"/>
        </w:rPr>
      </w:pPr>
      <w:r>
        <w:rPr>
          <w:rFonts w:ascii="Verdana" w:hAnsi="Verdana"/>
          <w:noProof/>
        </w:rPr>
        <w:drawing>
          <wp:inline distT="0" distB="0" distL="0" distR="0" wp14:anchorId="36CB45FA" wp14:editId="433E552C">
            <wp:extent cx="2560320" cy="731520"/>
            <wp:effectExtent l="0" t="0" r="0" b="0"/>
            <wp:docPr id="21271450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0320" cy="731520"/>
                    </a:xfrm>
                    <a:prstGeom prst="rect">
                      <a:avLst/>
                    </a:prstGeom>
                    <a:noFill/>
                    <a:ln>
                      <a:noFill/>
                    </a:ln>
                  </pic:spPr>
                </pic:pic>
              </a:graphicData>
            </a:graphic>
          </wp:inline>
        </w:drawing>
      </w:r>
    </w:p>
    <w:p w14:paraId="30219AF7" w14:textId="77777777" w:rsidR="00B94E18" w:rsidRDefault="00B94E18" w:rsidP="00044B4B">
      <w:pPr>
        <w:spacing w:after="0" w:line="240" w:lineRule="auto"/>
        <w:rPr>
          <w:rFonts w:ascii="Verdana" w:hAnsi="Verdana"/>
        </w:rPr>
      </w:pPr>
    </w:p>
    <w:p w14:paraId="62169E26" w14:textId="77777777" w:rsidR="00044B4B" w:rsidRPr="003575D1" w:rsidRDefault="00044B4B" w:rsidP="00044B4B">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Pr>
          <w:rFonts w:ascii="Verdana" w:eastAsia="Calibri" w:hAnsi="Verdana" w:cs="Arial"/>
          <w:lang w:eastAsia="es-ES"/>
        </w:rPr>
        <w:t>es</w:t>
      </w:r>
      <w:r w:rsidRPr="003575D1">
        <w:rPr>
          <w:rFonts w:ascii="Verdana" w:eastAsia="Calibri" w:hAnsi="Verdana" w:cs="Arial"/>
          <w:lang w:eastAsia="es-ES"/>
        </w:rPr>
        <w:tab/>
      </w:r>
    </w:p>
    <w:p w14:paraId="18BDF7B7" w14:textId="77777777" w:rsidR="00044B4B" w:rsidRPr="003575D1" w:rsidRDefault="00044B4B" w:rsidP="00044B4B">
      <w:pPr>
        <w:spacing w:after="0" w:line="240" w:lineRule="auto"/>
        <w:rPr>
          <w:rFonts w:ascii="Verdana" w:eastAsia="Calibri" w:hAnsi="Verdana" w:cs="Arial"/>
          <w:b/>
          <w:bCs/>
          <w:highlight w:val="yellow"/>
          <w:lang w:eastAsia="es-ES"/>
        </w:rPr>
      </w:pPr>
      <w:r w:rsidRPr="006C40A0">
        <w:rPr>
          <w:rFonts w:ascii="Verdana" w:eastAsia="Calibri" w:hAnsi="Verdana" w:cs="Arial"/>
          <w:b/>
          <w:bCs/>
          <w:lang w:eastAsia="es-ES"/>
        </w:rPr>
        <w:t>CONCEJO MUNICIPAL DE PASTO</w:t>
      </w:r>
    </w:p>
    <w:p w14:paraId="4AD4EE23" w14:textId="77777777" w:rsidR="00044B4B" w:rsidRPr="006C40A0" w:rsidRDefault="00F9502D" w:rsidP="00044B4B">
      <w:pPr>
        <w:spacing w:after="0" w:line="240" w:lineRule="auto"/>
        <w:rPr>
          <w:rFonts w:ascii="Verdana" w:hAnsi="Verdana"/>
        </w:rPr>
      </w:pPr>
      <w:hyperlink r:id="rId11" w:history="1">
        <w:r w:rsidR="00044B4B" w:rsidRPr="006C40A0">
          <w:rPr>
            <w:rStyle w:val="Hipervnculo"/>
            <w:rFonts w:ascii="Verdana" w:hAnsi="Verdana"/>
          </w:rPr>
          <w:t>contactenos@concejodepasto.gov.co</w:t>
        </w:r>
      </w:hyperlink>
      <w:r w:rsidR="00044B4B" w:rsidRPr="006C40A0">
        <w:rPr>
          <w:rFonts w:ascii="Verdana" w:hAnsi="Verdana"/>
        </w:rPr>
        <w:t xml:space="preserve">  </w:t>
      </w:r>
    </w:p>
    <w:p w14:paraId="65C09991" w14:textId="77777777" w:rsidR="00044B4B" w:rsidRDefault="00044B4B" w:rsidP="00044B4B">
      <w:pPr>
        <w:spacing w:after="0" w:line="240" w:lineRule="auto"/>
        <w:rPr>
          <w:rFonts w:ascii="Verdana" w:hAnsi="Verdana"/>
        </w:rPr>
      </w:pPr>
    </w:p>
    <w:p w14:paraId="28D03C40" w14:textId="77777777" w:rsidR="00044B4B" w:rsidRPr="003575D1" w:rsidRDefault="00044B4B" w:rsidP="00044B4B">
      <w:pPr>
        <w:spacing w:after="0" w:line="240" w:lineRule="auto"/>
        <w:rPr>
          <w:rFonts w:ascii="Verdana" w:hAnsi="Verdana"/>
          <w:highlight w:val="yellow"/>
        </w:rPr>
      </w:pPr>
    </w:p>
    <w:p w14:paraId="57A41E4B" w14:textId="77777777" w:rsidR="00044B4B" w:rsidRPr="00FE3DEC" w:rsidRDefault="00044B4B" w:rsidP="00044B4B">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044B4B" w:rsidRPr="00593A5F" w14:paraId="7424AAD1" w14:textId="77777777" w:rsidTr="008B3546">
        <w:trPr>
          <w:trHeight w:val="273"/>
        </w:trPr>
        <w:tc>
          <w:tcPr>
            <w:tcW w:w="2295" w:type="dxa"/>
          </w:tcPr>
          <w:p w14:paraId="4E2B022E" w14:textId="77777777" w:rsidR="00044B4B" w:rsidRPr="00E5644F" w:rsidRDefault="00044B4B" w:rsidP="008B3546">
            <w:pPr>
              <w:jc w:val="both"/>
              <w:rPr>
                <w:rFonts w:ascii="Verdana" w:eastAsia="Calibri" w:hAnsi="Verdana" w:cs="Arial"/>
                <w:b/>
                <w:bCs/>
                <w:color w:val="7030A0"/>
                <w:lang w:val="es-ES_tradnl" w:eastAsia="es-ES_tradnl"/>
              </w:rPr>
            </w:pPr>
          </w:p>
        </w:tc>
        <w:tc>
          <w:tcPr>
            <w:tcW w:w="6481" w:type="dxa"/>
            <w:gridSpan w:val="2"/>
          </w:tcPr>
          <w:p w14:paraId="62FF7DDE" w14:textId="77777777" w:rsidR="00044B4B" w:rsidRDefault="00044B4B" w:rsidP="008B354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1397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7E8CA1B5" w14:textId="77777777" w:rsidR="00044B4B" w:rsidRPr="00E5644F" w:rsidRDefault="00044B4B" w:rsidP="008B3546">
            <w:pPr>
              <w:jc w:val="both"/>
              <w:rPr>
                <w:rFonts w:ascii="Verdana" w:eastAsia="Calibri" w:hAnsi="Verdana" w:cs="Arial"/>
                <w:b/>
                <w:bCs/>
                <w:color w:val="7030A0"/>
                <w:lang w:val="es-ES" w:eastAsia="es-ES"/>
              </w:rPr>
            </w:pPr>
          </w:p>
        </w:tc>
      </w:tr>
      <w:tr w:rsidR="00044B4B" w:rsidRPr="00280D79" w14:paraId="770112DF" w14:textId="77777777" w:rsidTr="008B3546">
        <w:trPr>
          <w:trHeight w:val="1228"/>
        </w:trPr>
        <w:tc>
          <w:tcPr>
            <w:tcW w:w="2295" w:type="dxa"/>
          </w:tcPr>
          <w:p w14:paraId="3DB9FCC0" w14:textId="77777777" w:rsidR="00044B4B" w:rsidRPr="00593A5F" w:rsidRDefault="00044B4B" w:rsidP="008B354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3223016" w14:textId="77777777" w:rsidR="00044B4B" w:rsidRDefault="00044B4B" w:rsidP="008B3546">
            <w:pPr>
              <w:jc w:val="both"/>
              <w:rPr>
                <w:rFonts w:ascii="Verdana" w:eastAsia="Times New Roman" w:hAnsi="Verdana" w:cs="Arial"/>
                <w:lang w:eastAsia="es-ES_tradnl"/>
              </w:rPr>
            </w:pPr>
            <w:r w:rsidRPr="00E31955">
              <w:rPr>
                <w:rFonts w:ascii="Verdana" w:eastAsia="Times New Roman" w:hAnsi="Verdana" w:cs="Arial"/>
                <w:lang w:eastAsia="es-ES_tradnl"/>
              </w:rPr>
              <w:t xml:space="preserve">INHABILIDADES E INCOMPATIBILIDADES – Concepto </w:t>
            </w:r>
            <w:r>
              <w:rPr>
                <w:rFonts w:ascii="Verdana" w:eastAsia="Times New Roman" w:hAnsi="Verdana" w:cs="Arial"/>
                <w:lang w:eastAsia="es-ES_tradnl"/>
              </w:rPr>
              <w:t xml:space="preserve">/ </w:t>
            </w:r>
            <w:r w:rsidRPr="00522ADC">
              <w:rPr>
                <w:rFonts w:ascii="Verdana" w:eastAsia="Times New Roman" w:hAnsi="Verdana" w:cs="Arial"/>
                <w:lang w:eastAsia="es-ES_tradnl"/>
              </w:rPr>
              <w:t xml:space="preserve">INHABILIDADES – Clasificación – Sanción – Proceso sancionatorio – Requisito – Condiciones personales </w:t>
            </w:r>
            <w:r>
              <w:rPr>
                <w:rFonts w:ascii="Verdana" w:eastAsia="Times New Roman" w:hAnsi="Verdana" w:cs="Arial"/>
                <w:lang w:eastAsia="es-ES_tradnl"/>
              </w:rPr>
              <w:t xml:space="preserve">/ </w:t>
            </w:r>
            <w:r w:rsidRPr="00392800">
              <w:rPr>
                <w:rFonts w:ascii="Verdana" w:eastAsia="Times New Roman" w:hAnsi="Verdana" w:cs="Arial"/>
                <w:lang w:eastAsia="es-ES_tradnl"/>
              </w:rPr>
              <w:t>INHABILIDADES – Taxatividad – Principio de legalidad – Interpretación restrictiva</w:t>
            </w:r>
            <w:r>
              <w:rPr>
                <w:rFonts w:ascii="Verdana" w:eastAsia="Times New Roman" w:hAnsi="Verdana" w:cs="Arial"/>
                <w:lang w:eastAsia="es-ES_tradnl"/>
              </w:rPr>
              <w:t>.</w:t>
            </w:r>
          </w:p>
          <w:p w14:paraId="719B89C4" w14:textId="77777777" w:rsidR="00044B4B" w:rsidRPr="00280D79" w:rsidRDefault="00044B4B" w:rsidP="008B3546">
            <w:pPr>
              <w:jc w:val="both"/>
              <w:rPr>
                <w:rFonts w:ascii="Verdana" w:eastAsia="Calibri" w:hAnsi="Verdana" w:cs="Arial"/>
                <w:b/>
                <w:highlight w:val="yellow"/>
                <w:lang w:val="es-ES" w:eastAsia="es-ES"/>
              </w:rPr>
            </w:pPr>
          </w:p>
        </w:tc>
      </w:tr>
      <w:tr w:rsidR="00044B4B" w:rsidRPr="00593A5F" w14:paraId="59E42C05" w14:textId="77777777" w:rsidTr="008B3546">
        <w:trPr>
          <w:trHeight w:val="545"/>
        </w:trPr>
        <w:tc>
          <w:tcPr>
            <w:tcW w:w="2295" w:type="dxa"/>
          </w:tcPr>
          <w:p w14:paraId="7F3DD9C9" w14:textId="77777777" w:rsidR="00044B4B" w:rsidRPr="006730E9" w:rsidRDefault="00044B4B" w:rsidP="008B354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02D90011" w14:textId="77777777" w:rsidR="00044B4B" w:rsidRPr="006730E9" w:rsidRDefault="00044B4B" w:rsidP="008B354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6C40A0">
              <w:rPr>
                <w:rFonts w:ascii="Verdana" w:eastAsia="Calibri" w:hAnsi="Verdana" w:cs="Arial"/>
                <w:lang w:val="es-ES_tradnl" w:eastAsia="es-ES_tradnl"/>
              </w:rPr>
              <w:t>1_2025_09_29_010742</w:t>
            </w:r>
          </w:p>
        </w:tc>
      </w:tr>
      <w:tr w:rsidR="00044B4B" w:rsidRPr="00DB23D2" w14:paraId="519189A5" w14:textId="77777777" w:rsidTr="008B3546">
        <w:trPr>
          <w:gridAfter w:val="1"/>
          <w:wAfter w:w="319" w:type="dxa"/>
          <w:trHeight w:val="242"/>
        </w:trPr>
        <w:tc>
          <w:tcPr>
            <w:tcW w:w="8457" w:type="dxa"/>
            <w:gridSpan w:val="2"/>
          </w:tcPr>
          <w:p w14:paraId="21799D3A" w14:textId="77777777" w:rsidR="00044B4B" w:rsidRPr="00DB23D2" w:rsidRDefault="00044B4B" w:rsidP="008B3546">
            <w:pPr>
              <w:spacing w:line="276" w:lineRule="auto"/>
              <w:jc w:val="both"/>
              <w:rPr>
                <w:rFonts w:ascii="Verdana" w:eastAsia="Calibri" w:hAnsi="Verdana" w:cs="Arial"/>
                <w:lang w:val="es-ES_tradnl" w:eastAsia="es-ES"/>
              </w:rPr>
            </w:pPr>
          </w:p>
        </w:tc>
      </w:tr>
    </w:tbl>
    <w:p w14:paraId="575A5508" w14:textId="77777777" w:rsidR="00044B4B" w:rsidRPr="006730E9" w:rsidRDefault="00044B4B" w:rsidP="00044B4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os </w:t>
      </w:r>
      <w:r w:rsidRPr="006730E9">
        <w:rPr>
          <w:rFonts w:ascii="Verdana" w:eastAsia="Calibri" w:hAnsi="Verdana" w:cs="Arial"/>
          <w:lang w:val="es-ES" w:eastAsia="es-ES"/>
        </w:rPr>
        <w:t>señor</w:t>
      </w:r>
      <w:r>
        <w:rPr>
          <w:rFonts w:ascii="Verdana" w:eastAsia="Calibri" w:hAnsi="Verdana" w:cs="Arial"/>
          <w:lang w:val="es-ES" w:eastAsia="es-ES"/>
        </w:rPr>
        <w:t>es;</w:t>
      </w:r>
    </w:p>
    <w:p w14:paraId="3F7D08CB" w14:textId="77777777" w:rsidR="00044B4B" w:rsidRDefault="00044B4B" w:rsidP="00044B4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3AC73B5F" w14:textId="77777777" w:rsidR="00044B4B" w:rsidRPr="006730E9" w:rsidRDefault="00044B4B" w:rsidP="00044B4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trasladada por competencia por el Departamento Administrativo de la Función Pública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29</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w:t>
      </w:r>
      <w:r>
        <w:rPr>
          <w:rFonts w:ascii="Verdana" w:eastAsia="Calibri" w:hAnsi="Verdana" w:cs="Arial"/>
          <w:lang w:val="es-ES" w:eastAsia="es-ES"/>
        </w:rPr>
        <w:t>solicita un concepto jurídico sobre lo</w:t>
      </w:r>
      <w:r w:rsidRPr="006730E9">
        <w:rPr>
          <w:rFonts w:ascii="Verdana" w:eastAsia="Calibri" w:hAnsi="Verdana" w:cs="Arial"/>
          <w:lang w:val="es-ES" w:eastAsia="es-ES"/>
        </w:rPr>
        <w:t xml:space="preserve"> siguiente: </w:t>
      </w:r>
    </w:p>
    <w:p w14:paraId="083D8D5F" w14:textId="77777777" w:rsidR="00044B4B" w:rsidRPr="00326382" w:rsidRDefault="00044B4B" w:rsidP="00044B4B">
      <w:pPr>
        <w:spacing w:after="0" w:line="276" w:lineRule="auto"/>
        <w:ind w:left="709" w:right="474"/>
        <w:jc w:val="both"/>
        <w:rPr>
          <w:rFonts w:ascii="Verdana" w:hAnsi="Verdana" w:cs="Arial"/>
          <w:sz w:val="20"/>
          <w:szCs w:val="20"/>
          <w:shd w:val="clear" w:color="auto" w:fill="FFFFFF"/>
        </w:rPr>
      </w:pPr>
      <w:bookmarkStart w:id="2" w:name="_Hlk95313578"/>
    </w:p>
    <w:bookmarkEnd w:id="2"/>
    <w:p w14:paraId="3C653188" w14:textId="77777777" w:rsidR="00044B4B" w:rsidRDefault="00044B4B" w:rsidP="00044B4B">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1129F4D8" w14:textId="77777777" w:rsidR="00044B4B" w:rsidRPr="003575D1" w:rsidRDefault="00044B4B" w:rsidP="00044B4B">
      <w:pPr>
        <w:tabs>
          <w:tab w:val="left" w:pos="142"/>
          <w:tab w:val="left" w:pos="567"/>
        </w:tabs>
        <w:spacing w:after="0" w:line="240" w:lineRule="auto"/>
        <w:ind w:right="709"/>
        <w:jc w:val="both"/>
        <w:rPr>
          <w:rFonts w:ascii="Verdana" w:eastAsia="Century Gothic" w:hAnsi="Verdana" w:cs="Century Gothic"/>
          <w:i/>
          <w:iCs/>
          <w:sz w:val="20"/>
          <w:szCs w:val="20"/>
        </w:rPr>
      </w:pPr>
    </w:p>
    <w:p w14:paraId="11A2AC0F" w14:textId="77777777" w:rsidR="00044B4B" w:rsidRPr="00EA70F7" w:rsidRDefault="00044B4B" w:rsidP="00044B4B">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S</w:t>
      </w:r>
      <w:r w:rsidRPr="00A83F36">
        <w:rPr>
          <w:rFonts w:ascii="Verdana" w:eastAsia="Century Gothic" w:hAnsi="Verdana" w:cs="Century Gothic"/>
          <w:i/>
          <w:iCs/>
          <w:sz w:val="20"/>
          <w:szCs w:val="20"/>
        </w:rPr>
        <w:t xml:space="preserve">obre inhabilidad para contratar bajo la modalidad de prestación de servicios profesionales a un profesional que tuvo en su pasado, privación de libertad pero que ya no cuenta con inhabilidades ni sanciones vigentes </w:t>
      </w:r>
      <w:r w:rsidRPr="00A83F36">
        <w:rPr>
          <w:rFonts w:ascii="Verdana" w:eastAsia="Century Gothic" w:hAnsi="Verdana" w:cs="Century Gothic"/>
          <w:i/>
          <w:iCs/>
          <w:sz w:val="20"/>
          <w:szCs w:val="20"/>
        </w:rPr>
        <w:lastRenderedPageBreak/>
        <w:t>de acuerdo con certificado expedido por parte de la Procuraduría General de la Nación</w:t>
      </w: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28AF67A9" w14:textId="77777777" w:rsidR="00044B4B" w:rsidRDefault="00044B4B" w:rsidP="00044B4B">
      <w:pPr>
        <w:spacing w:after="0" w:line="276" w:lineRule="auto"/>
        <w:ind w:firstLine="709"/>
        <w:jc w:val="both"/>
        <w:rPr>
          <w:rFonts w:ascii="Verdana" w:eastAsia="Calibri" w:hAnsi="Verdana" w:cs="Arial"/>
          <w:lang w:val="es-ES" w:eastAsia="es-ES"/>
        </w:rPr>
      </w:pPr>
    </w:p>
    <w:p w14:paraId="6C287850" w14:textId="77777777" w:rsidR="00044B4B" w:rsidRPr="00AA3B9F" w:rsidRDefault="00044B4B" w:rsidP="00044B4B">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79C7E8F" w14:textId="77777777" w:rsidR="00044B4B" w:rsidRDefault="00044B4B" w:rsidP="00044B4B">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79B02A8F" w14:textId="77777777" w:rsidR="00044B4B" w:rsidRDefault="00044B4B" w:rsidP="00044B4B">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765D9E64" w14:textId="77777777" w:rsidR="00044B4B" w:rsidRDefault="00044B4B" w:rsidP="00044B4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Pr="00593A5F">
        <w:rPr>
          <w:rFonts w:ascii="Verdana" w:eastAsia="Century Gothic" w:hAnsi="Verdana" w:cs="Century Gothic"/>
          <w:b/>
          <w:bCs/>
        </w:rPr>
        <w:t>:</w:t>
      </w:r>
    </w:p>
    <w:p w14:paraId="009258A5" w14:textId="77777777" w:rsidR="00044B4B" w:rsidRDefault="00044B4B" w:rsidP="00044B4B">
      <w:pPr>
        <w:pStyle w:val="Prrafodelista"/>
        <w:tabs>
          <w:tab w:val="left" w:pos="142"/>
          <w:tab w:val="left" w:pos="284"/>
        </w:tabs>
        <w:spacing w:after="0" w:line="276" w:lineRule="auto"/>
        <w:ind w:left="0"/>
        <w:jc w:val="both"/>
        <w:rPr>
          <w:rFonts w:ascii="Verdana" w:eastAsia="Century Gothic" w:hAnsi="Verdana" w:cs="Century Gothic"/>
          <w:b/>
          <w:bCs/>
        </w:rPr>
      </w:pPr>
    </w:p>
    <w:p w14:paraId="2AAE97F6" w14:textId="5D458C2D" w:rsidR="00044B4B" w:rsidRDefault="00044B4B" w:rsidP="00044B4B">
      <w:pPr>
        <w:pStyle w:val="Prrafodelista"/>
        <w:tabs>
          <w:tab w:val="left" w:pos="142"/>
          <w:tab w:val="left" w:pos="284"/>
        </w:tabs>
        <w:spacing w:after="0" w:line="276" w:lineRule="auto"/>
        <w:ind w:left="0"/>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8F12AC">
        <w:rPr>
          <w:rFonts w:ascii="Verdana" w:eastAsia="Century Gothic" w:hAnsi="Verdana" w:cs="Century Gothic"/>
          <w:lang w:val="es-CO"/>
        </w:rPr>
        <w:t>¿Un</w:t>
      </w:r>
      <w:r w:rsidR="00046E9D">
        <w:rPr>
          <w:rFonts w:ascii="Verdana" w:eastAsia="Century Gothic" w:hAnsi="Verdana" w:cs="Century Gothic"/>
          <w:lang w:val="es-CO"/>
        </w:rPr>
        <w:t>a</w:t>
      </w:r>
      <w:r w:rsidRPr="008F12AC">
        <w:rPr>
          <w:rFonts w:ascii="Verdana" w:eastAsia="Century Gothic" w:hAnsi="Verdana" w:cs="Century Gothic"/>
          <w:lang w:val="es-CO"/>
        </w:rPr>
        <w:t xml:space="preserve"> </w:t>
      </w:r>
      <w:r w:rsidR="00046E9D">
        <w:rPr>
          <w:rFonts w:ascii="Verdana" w:eastAsia="Century Gothic" w:hAnsi="Verdana" w:cs="Century Gothic"/>
          <w:lang w:val="es-CO"/>
        </w:rPr>
        <w:t xml:space="preserve">persona </w:t>
      </w:r>
      <w:r w:rsidRPr="008F12AC">
        <w:rPr>
          <w:rFonts w:ascii="Verdana" w:eastAsia="Century Gothic" w:hAnsi="Verdana" w:cs="Century Gothic"/>
          <w:lang w:val="es-CO"/>
        </w:rPr>
        <w:t xml:space="preserve">que anteriormente estuvo privado de la libertad, pero que hoy no registra </w:t>
      </w:r>
      <w:r w:rsidR="00046E9D">
        <w:rPr>
          <w:rFonts w:ascii="Verdana" w:eastAsia="Century Gothic" w:hAnsi="Verdana" w:cs="Century Gothic"/>
          <w:lang w:val="es-CO"/>
        </w:rPr>
        <w:t xml:space="preserve">penas ni </w:t>
      </w:r>
      <w:r w:rsidRPr="008F12AC">
        <w:rPr>
          <w:rFonts w:ascii="Verdana" w:eastAsia="Century Gothic" w:hAnsi="Verdana" w:cs="Century Gothic"/>
          <w:lang w:val="es-CO"/>
        </w:rPr>
        <w:t>sanciones vigentes según certificado de la Procuraduría General de la Nación, puede celebrar un contrato de prestación de servicios profesionales con el Estado sin que exista impedimento legal por inhabilidades o incompatibilidades?</w:t>
      </w:r>
    </w:p>
    <w:p w14:paraId="070882E3" w14:textId="77777777" w:rsidR="00044B4B" w:rsidRDefault="00044B4B" w:rsidP="00044B4B">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bookmarkEnd w:id="3"/>
    <w:p w14:paraId="6C91F75F" w14:textId="77777777" w:rsidR="00044B4B" w:rsidRDefault="00044B4B" w:rsidP="00044B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6CBE2D9" w14:textId="77777777" w:rsidR="00044B4B" w:rsidRPr="00593A5F" w:rsidRDefault="00044B4B" w:rsidP="00044B4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44B4B" w:rsidRPr="00593A5F" w14:paraId="62C3C4F7" w14:textId="77777777" w:rsidTr="008B3546">
        <w:tc>
          <w:tcPr>
            <w:tcW w:w="8828" w:type="dxa"/>
          </w:tcPr>
          <w:p w14:paraId="46CA6D48" w14:textId="136AC164" w:rsidR="00044B4B" w:rsidRDefault="00044B4B" w:rsidP="00BE2838">
            <w:pPr>
              <w:spacing w:after="120" w:line="276" w:lineRule="auto"/>
              <w:jc w:val="both"/>
              <w:rPr>
                <w:rFonts w:ascii="Verdana" w:hAnsi="Verdana" w:cs="Arial"/>
              </w:rPr>
            </w:pPr>
            <w:r>
              <w:rPr>
                <w:rFonts w:ascii="Verdana" w:eastAsia="Calibri" w:hAnsi="Verdana" w:cs="Arial"/>
                <w:lang w:val="es-MX"/>
              </w:rPr>
              <w:t xml:space="preserve">De manera preliminar debe </w:t>
            </w:r>
            <w:r w:rsidRPr="00DC1771">
              <w:rPr>
                <w:rFonts w:ascii="Verdana" w:hAnsi="Verdana" w:cs="Arial"/>
              </w:rPr>
              <w:t xml:space="preserve">señalarse que, </w:t>
            </w:r>
            <w:r>
              <w:rPr>
                <w:rFonts w:ascii="Verdana" w:hAnsi="Verdana" w:cs="Arial"/>
              </w:rPr>
              <w:t>d</w:t>
            </w:r>
            <w:r w:rsidRPr="002A6C2C">
              <w:rPr>
                <w:rFonts w:ascii="Verdana" w:eastAsia="Times New Roman" w:hAnsi="Verdana" w:cs="Arial"/>
                <w:lang w:eastAsia="es-MX"/>
              </w:rPr>
              <w:t xml:space="preserve">e acuerdo con lo establecido en el literal d) del numeral 1 del artículo 8 de la Ley 80 de 1993, las personas </w:t>
            </w:r>
            <w:r w:rsidRPr="002A6C2C">
              <w:rPr>
                <w:rFonts w:ascii="Verdana" w:eastAsia="Times New Roman" w:hAnsi="Verdana" w:cs="Arial"/>
                <w:lang w:eastAsia="es-MX"/>
              </w:rPr>
              <w:lastRenderedPageBreak/>
              <w:t xml:space="preserve">naturales a las que se les haya impuesto una pena accesoria de interdicción de derechos y funciones públicas, al igual que las que hayan sido sancionados disciplinariamente con destitución, </w:t>
            </w:r>
            <w:r w:rsidRPr="002A6C2C">
              <w:rPr>
                <w:rFonts w:ascii="Verdana" w:hAnsi="Verdana" w:cs="Arial"/>
              </w:rPr>
              <w:t>están incursas en la causal de inhabilidad</w:t>
            </w:r>
            <w:r w:rsidR="006058D6">
              <w:rPr>
                <w:rFonts w:ascii="Verdana" w:hAnsi="Verdana" w:cs="Arial"/>
              </w:rPr>
              <w:t xml:space="preserve"> consagrada en dicha norma</w:t>
            </w:r>
            <w:r w:rsidRPr="002A6C2C">
              <w:rPr>
                <w:rFonts w:ascii="Verdana" w:hAnsi="Verdana" w:cs="Arial"/>
              </w:rPr>
              <w:t xml:space="preserve">, por lo que no pueden contratar con entidades estatales. </w:t>
            </w:r>
            <w:r>
              <w:rPr>
                <w:rFonts w:ascii="Verdana" w:hAnsi="Verdana" w:cs="Arial"/>
              </w:rPr>
              <w:t xml:space="preserve">              </w:t>
            </w:r>
          </w:p>
          <w:p w14:paraId="5ECF43D0" w14:textId="77777777" w:rsidR="00044B4B" w:rsidRDefault="00044B4B" w:rsidP="008B3546">
            <w:pPr>
              <w:spacing w:after="120" w:line="276" w:lineRule="auto"/>
              <w:ind w:firstLine="589"/>
              <w:jc w:val="both"/>
              <w:rPr>
                <w:rFonts w:ascii="Verdana" w:eastAsia="Times New Roman" w:hAnsi="Verdana" w:cs="Arial"/>
                <w:lang w:eastAsia="es-MX"/>
              </w:rPr>
            </w:pPr>
            <w:r>
              <w:rPr>
                <w:rFonts w:ascii="Verdana" w:hAnsi="Verdana" w:cs="Arial"/>
              </w:rPr>
              <w:t>D</w:t>
            </w:r>
            <w:r w:rsidRPr="002A6C2C">
              <w:rPr>
                <w:rFonts w:ascii="Verdana" w:hAnsi="Verdana" w:cs="Arial"/>
              </w:rPr>
              <w:t xml:space="preserve">e esta manera, </w:t>
            </w:r>
            <w:r w:rsidRPr="002A6C2C">
              <w:rPr>
                <w:rFonts w:ascii="Verdana" w:eastAsia="Times New Roman" w:hAnsi="Verdana" w:cs="Arial"/>
                <w:lang w:eastAsia="es-MX"/>
              </w:rPr>
              <w:t>una vez en firme la providencia que dispone la pena o sanción, la inhabilidad comienza a surtir sus efectos restringiendo de ese momento en adelante la posibilidad de suscribir nuevos contratos o participar en procesos de contratación</w:t>
            </w:r>
            <w:r>
              <w:rPr>
                <w:rFonts w:ascii="Verdana" w:eastAsia="Times New Roman" w:hAnsi="Verdana" w:cs="Arial"/>
                <w:lang w:eastAsia="es-MX"/>
              </w:rPr>
              <w:t>.</w:t>
            </w:r>
          </w:p>
          <w:p w14:paraId="5069688A" w14:textId="77777777" w:rsidR="00044B4B" w:rsidRPr="0029610E" w:rsidRDefault="00044B4B" w:rsidP="008B3546">
            <w:pPr>
              <w:spacing w:after="120" w:line="276" w:lineRule="auto"/>
              <w:jc w:val="both"/>
              <w:rPr>
                <w:rFonts w:ascii="Verdana" w:hAnsi="Verdana" w:cs="Arial"/>
                <w:color w:val="000000" w:themeColor="text1"/>
              </w:rPr>
            </w:pPr>
            <w:r>
              <w:rPr>
                <w:rFonts w:ascii="Verdana" w:hAnsi="Verdana" w:cs="Arial"/>
                <w:color w:val="000000" w:themeColor="text1"/>
              </w:rPr>
              <w:t xml:space="preserve">       Ahora bien</w:t>
            </w:r>
            <w:r w:rsidRPr="0029610E">
              <w:rPr>
                <w:rFonts w:ascii="Verdana" w:hAnsi="Verdana" w:cs="Arial"/>
                <w:color w:val="000000" w:themeColor="text1"/>
              </w:rPr>
              <w:t xml:space="preserve">, esta inhabilidad tiene un término de duración específico fijado por la sentencia judicial o la ley, y no es indefinida. Por lo tanto, </w:t>
            </w:r>
            <w:r>
              <w:rPr>
                <w:rFonts w:ascii="Verdana" w:hAnsi="Verdana" w:cs="Arial"/>
                <w:color w:val="000000" w:themeColor="text1"/>
              </w:rPr>
              <w:t xml:space="preserve">en atención al problema jurídico planteado </w:t>
            </w:r>
            <w:r w:rsidRPr="0029610E">
              <w:rPr>
                <w:rFonts w:ascii="Verdana" w:hAnsi="Verdana" w:cs="Arial"/>
                <w:color w:val="000000" w:themeColor="text1"/>
              </w:rPr>
              <w:t>el factor determinante es establecer si dicha pena accesoria (la inhabilidad) sigue vigente o si ya expiró.</w:t>
            </w:r>
          </w:p>
          <w:p w14:paraId="76DC5823" w14:textId="77777777" w:rsidR="00044B4B" w:rsidRDefault="00044B4B" w:rsidP="008B3546">
            <w:pPr>
              <w:spacing w:after="120" w:line="276" w:lineRule="auto"/>
              <w:jc w:val="both"/>
              <w:rPr>
                <w:rFonts w:ascii="Verdana" w:hAnsi="Verdana" w:cs="Arial"/>
                <w:color w:val="000000" w:themeColor="text1"/>
              </w:rPr>
            </w:pPr>
            <w:r>
              <w:rPr>
                <w:rFonts w:ascii="Verdana" w:hAnsi="Verdana" w:cs="Arial"/>
                <w:color w:val="000000" w:themeColor="text1"/>
              </w:rPr>
              <w:t xml:space="preserve">      </w:t>
            </w:r>
            <w:r w:rsidRPr="0029610E">
              <w:rPr>
                <w:rFonts w:ascii="Verdana" w:hAnsi="Verdana" w:cs="Arial"/>
                <w:color w:val="000000" w:themeColor="text1"/>
              </w:rPr>
              <w:t xml:space="preserve">Esta vigencia se evidencia en el certificado de antecedentes disciplinarios y de inhabilidades emitido por la Procuraduría General de la Nación. Si este documento oficial certifica que la persona actualmente no tiene sanciones ni inhabilidades vigentes, significa que el tiempo de la inhabilidad impuesta (accesoria a la condena penal) ha expirado. </w:t>
            </w:r>
          </w:p>
          <w:p w14:paraId="7E2E2707" w14:textId="77777777" w:rsidR="00044B4B" w:rsidRDefault="00044B4B" w:rsidP="008B3546">
            <w:pPr>
              <w:spacing w:after="120" w:line="276" w:lineRule="auto"/>
              <w:jc w:val="both"/>
              <w:rPr>
                <w:rFonts w:ascii="Verdana" w:hAnsi="Verdana" w:cs="Arial"/>
                <w:color w:val="000000" w:themeColor="text1"/>
              </w:rPr>
            </w:pPr>
            <w:r>
              <w:rPr>
                <w:rFonts w:ascii="Verdana" w:hAnsi="Verdana" w:cs="Arial"/>
                <w:color w:val="000000" w:themeColor="text1"/>
              </w:rPr>
              <w:t xml:space="preserve">     </w:t>
            </w:r>
            <w:r w:rsidRPr="008276BA">
              <w:rPr>
                <w:rFonts w:ascii="Verdana" w:hAnsi="Verdana" w:cs="Arial"/>
                <w:color w:val="000000" w:themeColor="text1"/>
              </w:rPr>
              <w:t>En consecuencia, corresponderá a los equipos jurídicos de la entidad contratante analizar, a la luz de la normatividad citada y de la información contenida en el certificado de antecedentes disciplinarios y de inhabilidades expedido por la Procuraduría General de la Nación, si en el caso concreto subsiste o no una inhabilidad vigente que impida la contratación. Este análisis debe efectuarse de manera integral, verificando la naturaleza de la sanción impuesta, el término de duración de la inhabilidad y su eventual expiración, con el fin de garantizar que la celebración del contrato de prestación de servicios profesionales se ajuste plenamente al marco legal y a los principios de transparencia y legalidad que rigen la contratación estatal.</w:t>
            </w:r>
          </w:p>
          <w:p w14:paraId="4B9C4289" w14:textId="77777777" w:rsidR="00044B4B" w:rsidRDefault="00044B4B" w:rsidP="008B3546">
            <w:pPr>
              <w:spacing w:after="120" w:line="276" w:lineRule="auto"/>
              <w:jc w:val="both"/>
              <w:rPr>
                <w:rFonts w:ascii="Verdana" w:eastAsia="Times New Roman" w:hAnsi="Verdana" w:cs="Arial"/>
                <w:lang w:eastAsia="es-ES_tradnl"/>
              </w:rPr>
            </w:pPr>
            <w:r>
              <w:rPr>
                <w:rFonts w:ascii="Verdana" w:eastAsia="Times New Roman" w:hAnsi="Verdana" w:cs="Arial"/>
                <w:color w:val="000000" w:themeColor="text1"/>
                <w:lang w:eastAsia="es-CO"/>
              </w:rPr>
              <w:t xml:space="preserve">         Finalmente,</w:t>
            </w:r>
            <w:r w:rsidRPr="00262582">
              <w:rPr>
                <w:rFonts w:ascii="Verdana" w:eastAsia="Times New Roman" w:hAnsi="Verdana" w:cs="Arial"/>
                <w:color w:val="000000" w:themeColor="text1"/>
                <w:lang w:eastAsia="es-CO"/>
              </w:rPr>
              <w:t xml:space="preserv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w:t>
            </w:r>
            <w:r w:rsidRPr="00262582">
              <w:rPr>
                <w:rFonts w:ascii="Verdana" w:eastAsia="Times New Roman" w:hAnsi="Verdana" w:cs="Arial"/>
                <w:color w:val="000000" w:themeColor="text1"/>
                <w:lang w:eastAsia="es-CO"/>
              </w:rPr>
              <w:lastRenderedPageBreak/>
              <w:t>su gestión contractual, sin que sea atribución de Colombia Compra Eficiente validar sus actuaciones</w:t>
            </w:r>
            <w:r w:rsidRPr="00C95794">
              <w:rPr>
                <w:rFonts w:ascii="Verdana" w:eastAsia="Century Gothic" w:hAnsi="Verdana" w:cs="Century Gothic"/>
              </w:rPr>
              <w:t>.</w:t>
            </w:r>
          </w:p>
          <w:p w14:paraId="44B15983" w14:textId="77777777" w:rsidR="00044B4B" w:rsidRPr="00E529C2" w:rsidRDefault="00044B4B" w:rsidP="008B3546">
            <w:pPr>
              <w:spacing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38E44EBA" w14:textId="77777777" w:rsidR="00044B4B" w:rsidRDefault="00044B4B" w:rsidP="00044B4B">
      <w:pPr>
        <w:tabs>
          <w:tab w:val="left" w:pos="142"/>
          <w:tab w:val="left" w:pos="284"/>
        </w:tabs>
        <w:spacing w:after="0" w:line="276" w:lineRule="auto"/>
        <w:jc w:val="both"/>
        <w:rPr>
          <w:rFonts w:ascii="Verdana" w:eastAsia="Century Gothic" w:hAnsi="Verdana" w:cs="Century Gothic"/>
          <w:b/>
          <w:bCs/>
          <w:lang w:val="es-ES"/>
        </w:rPr>
      </w:pPr>
    </w:p>
    <w:p w14:paraId="29AD030C" w14:textId="77777777" w:rsidR="00044B4B" w:rsidRDefault="00044B4B" w:rsidP="00044B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D5AB627" w14:textId="77777777" w:rsidR="00044B4B" w:rsidRDefault="00044B4B" w:rsidP="00044B4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C0AEB5B" w14:textId="7D0DFE01" w:rsidR="00044B4B" w:rsidRPr="006A09D6" w:rsidRDefault="00044B4B" w:rsidP="00BE2838">
      <w:pPr>
        <w:widowControl w:val="0"/>
        <w:autoSpaceDE w:val="0"/>
        <w:autoSpaceDN w:val="0"/>
        <w:spacing w:after="0" w:line="276" w:lineRule="auto"/>
        <w:ind w:right="68"/>
        <w:jc w:val="both"/>
        <w:rPr>
          <w:rFonts w:ascii="Verdana" w:eastAsia="Arial MT" w:hAnsi="Verdana" w:cs="Arial"/>
          <w:u w:val="single"/>
        </w:rPr>
      </w:pPr>
      <w:r w:rsidRPr="006A09D6">
        <w:rPr>
          <w:rFonts w:ascii="Verdana" w:eastAsia="Arial MT" w:hAnsi="Verdana" w:cs="Arial"/>
        </w:rPr>
        <w:t>El régimen de inhabilidades e incompatibilidades en la contratación pública</w:t>
      </w:r>
      <w:r w:rsidRPr="006A09D6">
        <w:rPr>
          <w:rFonts w:ascii="Verdana" w:eastAsia="Arial MT" w:hAnsi="Verdana" w:cs="Arial"/>
          <w:spacing w:val="1"/>
        </w:rPr>
        <w:t xml:space="preserve"> </w:t>
      </w:r>
      <w:r w:rsidRPr="006A09D6">
        <w:rPr>
          <w:rFonts w:ascii="Verdana" w:eastAsia="Arial MT" w:hAnsi="Verdana" w:cs="Arial"/>
        </w:rPr>
        <w:t xml:space="preserve">responde al propósito de asegurar que la actividad de adquisición y provisión de </w:t>
      </w:r>
      <w:r w:rsidRPr="006A09D6">
        <w:rPr>
          <w:rFonts w:ascii="Verdana" w:eastAsia="Arial MT" w:hAnsi="Verdana" w:cs="Arial"/>
          <w:spacing w:val="1"/>
        </w:rPr>
        <w:t>bienes</w:t>
      </w:r>
      <w:r w:rsidRPr="006A09D6">
        <w:rPr>
          <w:rFonts w:ascii="Verdana" w:eastAsia="Arial MT" w:hAnsi="Verdana" w:cs="Arial"/>
        </w:rPr>
        <w:t xml:space="preserve"> y servicios por parte de las entidades estatales se efectúe cumpliendo con los</w:t>
      </w:r>
      <w:r w:rsidRPr="006A09D6">
        <w:rPr>
          <w:rFonts w:ascii="Verdana" w:eastAsia="Arial MT" w:hAnsi="Verdana" w:cs="Arial"/>
          <w:spacing w:val="1"/>
        </w:rPr>
        <w:t xml:space="preserve"> </w:t>
      </w:r>
      <w:r w:rsidRPr="006A09D6">
        <w:rPr>
          <w:rFonts w:ascii="Verdana" w:eastAsia="Arial MT" w:hAnsi="Verdana" w:cs="Arial"/>
        </w:rPr>
        <w:t>principios</w:t>
      </w:r>
      <w:r w:rsidRPr="006A09D6">
        <w:rPr>
          <w:rFonts w:ascii="Verdana" w:eastAsia="Arial MT" w:hAnsi="Verdana" w:cs="Arial"/>
          <w:spacing w:val="-11"/>
        </w:rPr>
        <w:t xml:space="preserve"> </w:t>
      </w:r>
      <w:r w:rsidRPr="006A09D6">
        <w:rPr>
          <w:rFonts w:ascii="Verdana" w:eastAsia="Arial MT" w:hAnsi="Verdana" w:cs="Arial"/>
        </w:rPr>
        <w:t>de</w:t>
      </w:r>
      <w:r w:rsidRPr="006A09D6">
        <w:rPr>
          <w:rFonts w:ascii="Verdana" w:eastAsia="Arial MT" w:hAnsi="Verdana" w:cs="Arial"/>
          <w:spacing w:val="-11"/>
        </w:rPr>
        <w:t xml:space="preserve"> </w:t>
      </w:r>
      <w:r w:rsidRPr="006A09D6">
        <w:rPr>
          <w:rFonts w:ascii="Verdana" w:eastAsia="Arial MT" w:hAnsi="Verdana" w:cs="Arial"/>
        </w:rPr>
        <w:t>la</w:t>
      </w:r>
      <w:r w:rsidRPr="006A09D6">
        <w:rPr>
          <w:rFonts w:ascii="Verdana" w:eastAsia="Arial MT" w:hAnsi="Verdana" w:cs="Arial"/>
          <w:spacing w:val="-11"/>
        </w:rPr>
        <w:t xml:space="preserve"> </w:t>
      </w:r>
      <w:r w:rsidRPr="006A09D6">
        <w:rPr>
          <w:rFonts w:ascii="Verdana" w:eastAsia="Arial MT" w:hAnsi="Verdana" w:cs="Arial"/>
        </w:rPr>
        <w:t>función</w:t>
      </w:r>
      <w:r w:rsidRPr="006A09D6">
        <w:rPr>
          <w:rFonts w:ascii="Verdana" w:eastAsia="Arial MT" w:hAnsi="Verdana" w:cs="Arial"/>
          <w:spacing w:val="-10"/>
        </w:rPr>
        <w:t xml:space="preserve"> </w:t>
      </w:r>
      <w:r w:rsidRPr="006A09D6">
        <w:rPr>
          <w:rFonts w:ascii="Verdana" w:eastAsia="Arial MT" w:hAnsi="Verdana" w:cs="Arial"/>
        </w:rPr>
        <w:t>administrativa</w:t>
      </w:r>
      <w:r w:rsidRPr="006A09D6">
        <w:rPr>
          <w:rFonts w:ascii="Verdana" w:eastAsia="Arial MT" w:hAnsi="Verdana" w:cs="Arial"/>
          <w:spacing w:val="-11"/>
        </w:rPr>
        <w:t xml:space="preserve"> </w:t>
      </w:r>
      <w:r w:rsidRPr="006A09D6">
        <w:rPr>
          <w:rFonts w:ascii="Verdana" w:eastAsia="Arial MT" w:hAnsi="Verdana" w:cs="Arial"/>
        </w:rPr>
        <w:t>y</w:t>
      </w:r>
      <w:r w:rsidRPr="006A09D6">
        <w:rPr>
          <w:rFonts w:ascii="Verdana" w:eastAsia="Arial MT" w:hAnsi="Verdana" w:cs="Arial"/>
          <w:spacing w:val="-10"/>
        </w:rPr>
        <w:t xml:space="preserve"> </w:t>
      </w:r>
      <w:r w:rsidRPr="006A09D6">
        <w:rPr>
          <w:rFonts w:ascii="Verdana" w:eastAsia="Arial MT" w:hAnsi="Verdana" w:cs="Arial"/>
        </w:rPr>
        <w:t>de</w:t>
      </w:r>
      <w:r w:rsidRPr="006A09D6">
        <w:rPr>
          <w:rFonts w:ascii="Verdana" w:eastAsia="Arial MT" w:hAnsi="Verdana" w:cs="Arial"/>
          <w:spacing w:val="-11"/>
        </w:rPr>
        <w:t xml:space="preserve"> </w:t>
      </w:r>
      <w:r w:rsidRPr="006A09D6">
        <w:rPr>
          <w:rFonts w:ascii="Verdana" w:eastAsia="Arial MT" w:hAnsi="Verdana" w:cs="Arial"/>
        </w:rPr>
        <w:t>la</w:t>
      </w:r>
      <w:r w:rsidRPr="006A09D6">
        <w:rPr>
          <w:rFonts w:ascii="Verdana" w:eastAsia="Arial MT" w:hAnsi="Verdana" w:cs="Arial"/>
          <w:spacing w:val="-11"/>
        </w:rPr>
        <w:t xml:space="preserve"> </w:t>
      </w:r>
      <w:r w:rsidRPr="006A09D6">
        <w:rPr>
          <w:rFonts w:ascii="Verdana" w:eastAsia="Arial MT" w:hAnsi="Verdana" w:cs="Arial"/>
        </w:rPr>
        <w:t>gestión</w:t>
      </w:r>
      <w:r w:rsidRPr="006A09D6">
        <w:rPr>
          <w:rFonts w:ascii="Verdana" w:eastAsia="Arial MT" w:hAnsi="Verdana" w:cs="Arial"/>
          <w:spacing w:val="-11"/>
        </w:rPr>
        <w:t xml:space="preserve"> </w:t>
      </w:r>
      <w:r w:rsidRPr="006A09D6">
        <w:rPr>
          <w:rFonts w:ascii="Verdana" w:eastAsia="Arial MT" w:hAnsi="Verdana" w:cs="Arial"/>
        </w:rPr>
        <w:t>fiscal,</w:t>
      </w:r>
      <w:r w:rsidRPr="006A09D6">
        <w:rPr>
          <w:rFonts w:ascii="Verdana" w:eastAsia="Arial MT" w:hAnsi="Verdana" w:cs="Arial"/>
          <w:spacing w:val="-10"/>
        </w:rPr>
        <w:t xml:space="preserve"> </w:t>
      </w:r>
      <w:r w:rsidRPr="006A09D6">
        <w:rPr>
          <w:rFonts w:ascii="Verdana" w:eastAsia="Arial MT" w:hAnsi="Verdana" w:cs="Arial"/>
        </w:rPr>
        <w:t>especialmente</w:t>
      </w:r>
      <w:r w:rsidRPr="006A09D6">
        <w:rPr>
          <w:rFonts w:ascii="Verdana" w:eastAsia="Arial MT" w:hAnsi="Verdana" w:cs="Arial"/>
          <w:spacing w:val="-11"/>
        </w:rPr>
        <w:t xml:space="preserve"> </w:t>
      </w:r>
      <w:r w:rsidRPr="006A09D6">
        <w:rPr>
          <w:rFonts w:ascii="Verdana" w:eastAsia="Arial MT" w:hAnsi="Verdana" w:cs="Arial"/>
        </w:rPr>
        <w:t>con</w:t>
      </w:r>
      <w:r w:rsidRPr="006A09D6">
        <w:rPr>
          <w:rFonts w:ascii="Verdana" w:eastAsia="Arial MT" w:hAnsi="Verdana" w:cs="Arial"/>
          <w:spacing w:val="-11"/>
        </w:rPr>
        <w:t xml:space="preserve"> </w:t>
      </w:r>
      <w:r w:rsidRPr="006A09D6">
        <w:rPr>
          <w:rFonts w:ascii="Verdana" w:eastAsia="Arial MT" w:hAnsi="Verdana" w:cs="Arial"/>
        </w:rPr>
        <w:t>probidad</w:t>
      </w:r>
      <w:r w:rsidRPr="006A09D6">
        <w:rPr>
          <w:rFonts w:ascii="Verdana" w:eastAsia="Arial MT" w:hAnsi="Verdana" w:cs="Arial"/>
          <w:spacing w:val="1"/>
        </w:rPr>
        <w:t xml:space="preserve"> </w:t>
      </w:r>
      <w:r w:rsidRPr="006A09D6">
        <w:rPr>
          <w:rFonts w:ascii="Verdana" w:eastAsia="Arial MT" w:hAnsi="Verdana" w:cs="Arial"/>
        </w:rPr>
        <w:t>y</w:t>
      </w:r>
      <w:r w:rsidRPr="006A09D6">
        <w:rPr>
          <w:rFonts w:ascii="Verdana" w:eastAsia="Arial MT" w:hAnsi="Verdana" w:cs="Arial"/>
          <w:spacing w:val="1"/>
        </w:rPr>
        <w:t xml:space="preserve"> </w:t>
      </w:r>
      <w:r w:rsidRPr="006A09D6">
        <w:rPr>
          <w:rFonts w:ascii="Verdana" w:eastAsia="Arial MT" w:hAnsi="Verdana" w:cs="Arial"/>
        </w:rPr>
        <w:t>transparencia.</w:t>
      </w:r>
      <w:r w:rsidRPr="006A09D6">
        <w:rPr>
          <w:rFonts w:ascii="Verdana" w:eastAsia="Arial MT" w:hAnsi="Verdana" w:cs="Arial"/>
          <w:spacing w:val="1"/>
        </w:rPr>
        <w:t xml:space="preserve"> </w:t>
      </w:r>
      <w:r w:rsidRPr="006A09D6">
        <w:rPr>
          <w:rFonts w:ascii="Verdana" w:eastAsia="Arial MT" w:hAnsi="Verdana" w:cs="Arial"/>
        </w:rPr>
        <w:t>Por</w:t>
      </w:r>
      <w:r w:rsidRPr="006A09D6">
        <w:rPr>
          <w:rFonts w:ascii="Verdana" w:eastAsia="Arial MT" w:hAnsi="Verdana" w:cs="Arial"/>
          <w:spacing w:val="1"/>
        </w:rPr>
        <w:t xml:space="preserve"> </w:t>
      </w:r>
      <w:r w:rsidRPr="006A09D6">
        <w:rPr>
          <w:rFonts w:ascii="Verdana" w:eastAsia="Arial MT" w:hAnsi="Verdana" w:cs="Arial"/>
        </w:rPr>
        <w:t>ello,</w:t>
      </w:r>
      <w:r w:rsidRPr="006A09D6">
        <w:rPr>
          <w:rFonts w:ascii="Verdana" w:eastAsia="Arial MT" w:hAnsi="Verdana" w:cs="Arial"/>
          <w:spacing w:val="1"/>
        </w:rPr>
        <w:t xml:space="preserve"> </w:t>
      </w:r>
      <w:r w:rsidRPr="006A09D6">
        <w:rPr>
          <w:rFonts w:ascii="Verdana" w:eastAsia="Arial MT" w:hAnsi="Verdana" w:cs="Arial"/>
        </w:rPr>
        <w:t>como</w:t>
      </w:r>
      <w:r w:rsidRPr="006A09D6">
        <w:rPr>
          <w:rFonts w:ascii="Verdana" w:eastAsia="Arial MT" w:hAnsi="Verdana" w:cs="Arial"/>
          <w:spacing w:val="1"/>
        </w:rPr>
        <w:t xml:space="preserve"> </w:t>
      </w:r>
      <w:r w:rsidRPr="006A09D6">
        <w:rPr>
          <w:rFonts w:ascii="Verdana" w:eastAsia="Arial MT" w:hAnsi="Verdana" w:cs="Arial"/>
        </w:rPr>
        <w:t>lo</w:t>
      </w:r>
      <w:r w:rsidRPr="006A09D6">
        <w:rPr>
          <w:rFonts w:ascii="Verdana" w:eastAsia="Arial MT" w:hAnsi="Verdana" w:cs="Arial"/>
          <w:spacing w:val="1"/>
        </w:rPr>
        <w:t xml:space="preserve"> </w:t>
      </w:r>
      <w:r w:rsidRPr="006A09D6">
        <w:rPr>
          <w:rFonts w:ascii="Verdana" w:eastAsia="Arial MT" w:hAnsi="Verdana" w:cs="Arial"/>
        </w:rPr>
        <w:t>ha</w:t>
      </w:r>
      <w:r w:rsidRPr="006A09D6">
        <w:rPr>
          <w:rFonts w:ascii="Verdana" w:eastAsia="Arial MT" w:hAnsi="Verdana" w:cs="Arial"/>
          <w:spacing w:val="1"/>
        </w:rPr>
        <w:t xml:space="preserve"> </w:t>
      </w:r>
      <w:r w:rsidRPr="006A09D6">
        <w:rPr>
          <w:rFonts w:ascii="Verdana" w:eastAsia="Arial MT" w:hAnsi="Verdana" w:cs="Arial"/>
        </w:rPr>
        <w:t>destacado</w:t>
      </w:r>
      <w:r w:rsidRPr="006A09D6">
        <w:rPr>
          <w:rFonts w:ascii="Verdana" w:eastAsia="Arial MT" w:hAnsi="Verdana" w:cs="Arial"/>
          <w:spacing w:val="1"/>
        </w:rPr>
        <w:t xml:space="preserve"> </w:t>
      </w:r>
      <w:r w:rsidRPr="006A09D6">
        <w:rPr>
          <w:rFonts w:ascii="Verdana" w:eastAsia="Arial MT" w:hAnsi="Verdana" w:cs="Arial"/>
        </w:rPr>
        <w:t>la</w:t>
      </w:r>
      <w:r w:rsidRPr="006A09D6">
        <w:rPr>
          <w:rFonts w:ascii="Verdana" w:eastAsia="Arial MT" w:hAnsi="Verdana" w:cs="Arial"/>
          <w:spacing w:val="1"/>
        </w:rPr>
        <w:t xml:space="preserve"> </w:t>
      </w:r>
      <w:r w:rsidRPr="006A09D6">
        <w:rPr>
          <w:rFonts w:ascii="Verdana" w:eastAsia="Arial MT" w:hAnsi="Verdana" w:cs="Arial"/>
        </w:rPr>
        <w:t>doctrina,</w:t>
      </w:r>
      <w:r w:rsidRPr="006A09D6">
        <w:rPr>
          <w:rFonts w:ascii="Verdana" w:eastAsia="Arial MT" w:hAnsi="Verdana" w:cs="Arial"/>
          <w:spacing w:val="1"/>
        </w:rPr>
        <w:t xml:space="preserve"> </w:t>
      </w:r>
      <w:r w:rsidRPr="006A09D6">
        <w:rPr>
          <w:rFonts w:ascii="Verdana" w:eastAsia="Arial MT" w:hAnsi="Verdana" w:cs="Arial"/>
        </w:rPr>
        <w:t>las</w:t>
      </w:r>
      <w:r w:rsidRPr="006A09D6">
        <w:rPr>
          <w:rFonts w:ascii="Verdana" w:eastAsia="Arial MT" w:hAnsi="Verdana" w:cs="Arial"/>
          <w:spacing w:val="1"/>
        </w:rPr>
        <w:t xml:space="preserve"> </w:t>
      </w:r>
      <w:r w:rsidRPr="006A09D6">
        <w:rPr>
          <w:rFonts w:ascii="Verdana" w:eastAsia="Arial MT" w:hAnsi="Verdana" w:cs="Arial"/>
        </w:rPr>
        <w:t>inhabilidades</w:t>
      </w:r>
      <w:r w:rsidRPr="006A09D6">
        <w:rPr>
          <w:rFonts w:ascii="Verdana" w:eastAsia="Arial MT" w:hAnsi="Verdana" w:cs="Arial"/>
          <w:spacing w:val="1"/>
        </w:rPr>
        <w:t xml:space="preserve"> </w:t>
      </w:r>
      <w:r w:rsidRPr="006A09D6">
        <w:rPr>
          <w:rFonts w:ascii="Verdana" w:eastAsia="Arial MT" w:hAnsi="Verdana" w:cs="Arial"/>
        </w:rPr>
        <w:t>e</w:t>
      </w:r>
      <w:r w:rsidRPr="006A09D6">
        <w:rPr>
          <w:rFonts w:ascii="Verdana" w:eastAsia="Arial MT" w:hAnsi="Verdana" w:cs="Arial"/>
          <w:spacing w:val="1"/>
        </w:rPr>
        <w:t xml:space="preserve"> </w:t>
      </w:r>
      <w:r w:rsidRPr="006A09D6">
        <w:rPr>
          <w:rFonts w:ascii="Verdana" w:eastAsia="Arial MT" w:hAnsi="Verdana" w:cs="Arial"/>
        </w:rPr>
        <w:t>incompatibilidades se han convertido en herramientas en la lucha contra la corrupción,</w:t>
      </w:r>
      <w:r w:rsidRPr="006A09D6">
        <w:rPr>
          <w:rFonts w:ascii="Verdana" w:eastAsia="Arial MT" w:hAnsi="Verdana" w:cs="Arial"/>
          <w:spacing w:val="1"/>
        </w:rPr>
        <w:t xml:space="preserve"> </w:t>
      </w:r>
      <w:r w:rsidRPr="006A09D6">
        <w:rPr>
          <w:rFonts w:ascii="Verdana" w:eastAsia="Arial MT" w:hAnsi="Verdana" w:cs="Arial"/>
        </w:rPr>
        <w:t>adoptando</w:t>
      </w:r>
      <w:r w:rsidRPr="006A09D6">
        <w:rPr>
          <w:rFonts w:ascii="Verdana" w:eastAsia="Arial MT" w:hAnsi="Verdana" w:cs="Arial"/>
          <w:spacing w:val="-14"/>
        </w:rPr>
        <w:t xml:space="preserve"> </w:t>
      </w:r>
      <w:r w:rsidRPr="006A09D6">
        <w:rPr>
          <w:rFonts w:ascii="Verdana" w:eastAsia="Arial MT" w:hAnsi="Verdana" w:cs="Arial"/>
        </w:rPr>
        <w:t>paulatinamente</w:t>
      </w:r>
      <w:r w:rsidRPr="006A09D6">
        <w:rPr>
          <w:rFonts w:ascii="Verdana" w:eastAsia="Arial MT" w:hAnsi="Verdana" w:cs="Arial"/>
          <w:spacing w:val="-14"/>
        </w:rPr>
        <w:t xml:space="preserve"> </w:t>
      </w:r>
      <w:r w:rsidRPr="006A09D6">
        <w:rPr>
          <w:rFonts w:ascii="Verdana" w:eastAsia="Arial MT" w:hAnsi="Verdana" w:cs="Arial"/>
        </w:rPr>
        <w:t>un</w:t>
      </w:r>
      <w:r w:rsidRPr="006A09D6">
        <w:rPr>
          <w:rFonts w:ascii="Verdana" w:eastAsia="Arial MT" w:hAnsi="Verdana" w:cs="Arial"/>
          <w:spacing w:val="-14"/>
        </w:rPr>
        <w:t xml:space="preserve"> </w:t>
      </w:r>
      <w:r w:rsidRPr="006A09D6">
        <w:rPr>
          <w:rFonts w:ascii="Verdana" w:eastAsia="Arial MT" w:hAnsi="Verdana" w:cs="Arial"/>
        </w:rPr>
        <w:t>carácter</w:t>
      </w:r>
      <w:r w:rsidRPr="006A09D6">
        <w:rPr>
          <w:rFonts w:ascii="Verdana" w:eastAsia="Arial MT" w:hAnsi="Verdana" w:cs="Arial"/>
          <w:spacing w:val="-15"/>
        </w:rPr>
        <w:t xml:space="preserve"> </w:t>
      </w:r>
      <w:r w:rsidRPr="006A09D6">
        <w:rPr>
          <w:rFonts w:ascii="Verdana" w:eastAsia="Arial MT" w:hAnsi="Verdana" w:cs="Arial"/>
        </w:rPr>
        <w:t>sancionatorio</w:t>
      </w:r>
      <w:r w:rsidRPr="006A09D6">
        <w:rPr>
          <w:rFonts w:ascii="Verdana" w:eastAsia="Arial MT" w:hAnsi="Verdana" w:cs="Arial"/>
          <w:spacing w:val="-14"/>
        </w:rPr>
        <w:t xml:space="preserve"> </w:t>
      </w:r>
      <w:r w:rsidRPr="006A09D6">
        <w:rPr>
          <w:rFonts w:ascii="Verdana" w:eastAsia="Arial MT" w:hAnsi="Verdana" w:cs="Arial"/>
        </w:rPr>
        <w:t>o</w:t>
      </w:r>
      <w:r w:rsidRPr="006A09D6">
        <w:rPr>
          <w:rFonts w:ascii="Verdana" w:eastAsia="Arial MT" w:hAnsi="Verdana" w:cs="Arial"/>
          <w:spacing w:val="-15"/>
        </w:rPr>
        <w:t xml:space="preserve"> </w:t>
      </w:r>
      <w:r w:rsidRPr="006A09D6">
        <w:rPr>
          <w:rFonts w:ascii="Verdana" w:eastAsia="Arial MT" w:hAnsi="Verdana" w:cs="Arial"/>
        </w:rPr>
        <w:t>“</w:t>
      </w:r>
      <w:proofErr w:type="spellStart"/>
      <w:r w:rsidRPr="00D30B23">
        <w:rPr>
          <w:rFonts w:ascii="Verdana" w:eastAsia="Arial MT" w:hAnsi="Verdana" w:cs="Arial"/>
          <w:i/>
          <w:iCs/>
        </w:rPr>
        <w:t>neopunitivo</w:t>
      </w:r>
      <w:proofErr w:type="spellEnd"/>
      <w:r w:rsidRPr="006A09D6">
        <w:rPr>
          <w:rFonts w:ascii="Verdana" w:eastAsia="Arial MT" w:hAnsi="Verdana" w:cs="Arial"/>
        </w:rPr>
        <w:t>”</w:t>
      </w:r>
      <w:r w:rsidRPr="006A09D6">
        <w:rPr>
          <w:rFonts w:ascii="Verdana" w:hAnsi="Verdana"/>
          <w:vertAlign w:val="superscript"/>
        </w:rPr>
        <w:footnoteReference w:id="2"/>
      </w:r>
      <w:r w:rsidRPr="006A09D6">
        <w:rPr>
          <w:rFonts w:ascii="Verdana" w:eastAsia="Arial MT" w:hAnsi="Verdana" w:cs="Arial"/>
        </w:rPr>
        <w:t>.</w:t>
      </w:r>
      <w:r w:rsidRPr="006A09D6">
        <w:rPr>
          <w:rFonts w:ascii="Verdana" w:eastAsia="Arial MT" w:hAnsi="Verdana" w:cs="Arial"/>
          <w:spacing w:val="-14"/>
        </w:rPr>
        <w:t xml:space="preserve"> </w:t>
      </w:r>
      <w:r w:rsidRPr="006A09D6">
        <w:rPr>
          <w:rFonts w:ascii="Verdana" w:eastAsia="Arial MT" w:hAnsi="Verdana" w:cs="Arial"/>
        </w:rPr>
        <w:t>Si</w:t>
      </w:r>
      <w:r w:rsidRPr="006A09D6">
        <w:rPr>
          <w:rFonts w:ascii="Verdana" w:eastAsia="Arial MT" w:hAnsi="Verdana" w:cs="Arial"/>
          <w:spacing w:val="-14"/>
        </w:rPr>
        <w:t xml:space="preserve"> </w:t>
      </w:r>
      <w:r w:rsidRPr="006A09D6">
        <w:rPr>
          <w:rFonts w:ascii="Verdana" w:eastAsia="Arial MT" w:hAnsi="Verdana" w:cs="Arial"/>
        </w:rPr>
        <w:t>bien</w:t>
      </w:r>
      <w:r w:rsidRPr="006A09D6">
        <w:rPr>
          <w:rFonts w:ascii="Verdana" w:eastAsia="Arial MT" w:hAnsi="Verdana" w:cs="Arial"/>
          <w:spacing w:val="-14"/>
        </w:rPr>
        <w:t xml:space="preserve"> </w:t>
      </w:r>
      <w:r w:rsidRPr="006A09D6">
        <w:rPr>
          <w:rFonts w:ascii="Verdana" w:eastAsia="Arial MT" w:hAnsi="Verdana" w:cs="Arial"/>
        </w:rPr>
        <w:t>no</w:t>
      </w:r>
      <w:r w:rsidRPr="006A09D6">
        <w:rPr>
          <w:rFonts w:ascii="Verdana" w:eastAsia="Arial MT" w:hAnsi="Verdana" w:cs="Arial"/>
          <w:spacing w:val="-14"/>
        </w:rPr>
        <w:t xml:space="preserve"> </w:t>
      </w:r>
      <w:r w:rsidRPr="006A09D6">
        <w:rPr>
          <w:rFonts w:ascii="Verdana" w:eastAsia="Arial MT" w:hAnsi="Verdana" w:cs="Arial"/>
        </w:rPr>
        <w:t>todas las causales de inhabilidad y de incompatibilidad son consecuencia de una medida de</w:t>
      </w:r>
      <w:r w:rsidRPr="006A09D6">
        <w:rPr>
          <w:rFonts w:ascii="Verdana" w:eastAsia="Arial MT" w:hAnsi="Verdana" w:cs="Arial"/>
          <w:spacing w:val="1"/>
        </w:rPr>
        <w:t xml:space="preserve"> </w:t>
      </w:r>
      <w:r w:rsidRPr="006A09D6">
        <w:rPr>
          <w:rFonts w:ascii="Verdana" w:eastAsia="Arial MT" w:hAnsi="Verdana" w:cs="Arial"/>
        </w:rPr>
        <w:t>reproche,</w:t>
      </w:r>
      <w:r w:rsidRPr="006A09D6">
        <w:rPr>
          <w:rFonts w:ascii="Verdana" w:eastAsia="Arial MT" w:hAnsi="Verdana" w:cs="Arial"/>
          <w:spacing w:val="2"/>
        </w:rPr>
        <w:t xml:space="preserve"> </w:t>
      </w:r>
      <w:r w:rsidRPr="006A09D6">
        <w:rPr>
          <w:rFonts w:ascii="Verdana" w:eastAsia="Arial MT" w:hAnsi="Verdana" w:cs="Arial"/>
        </w:rPr>
        <w:t>ni</w:t>
      </w:r>
      <w:r w:rsidRPr="006A09D6">
        <w:rPr>
          <w:rFonts w:ascii="Verdana" w:eastAsia="Arial MT" w:hAnsi="Verdana" w:cs="Arial"/>
          <w:spacing w:val="3"/>
        </w:rPr>
        <w:t xml:space="preserve"> </w:t>
      </w:r>
      <w:r w:rsidRPr="006A09D6">
        <w:rPr>
          <w:rFonts w:ascii="Verdana" w:eastAsia="Arial MT" w:hAnsi="Verdana" w:cs="Arial"/>
        </w:rPr>
        <w:t>de</w:t>
      </w:r>
      <w:r w:rsidRPr="006A09D6">
        <w:rPr>
          <w:rFonts w:ascii="Verdana" w:eastAsia="Arial MT" w:hAnsi="Verdana" w:cs="Arial"/>
          <w:spacing w:val="2"/>
        </w:rPr>
        <w:t xml:space="preserve"> </w:t>
      </w:r>
      <w:r w:rsidRPr="006A09D6">
        <w:rPr>
          <w:rFonts w:ascii="Verdana" w:eastAsia="Arial MT" w:hAnsi="Verdana" w:cs="Arial"/>
        </w:rPr>
        <w:t>una</w:t>
      </w:r>
      <w:r w:rsidRPr="006A09D6">
        <w:rPr>
          <w:rFonts w:ascii="Verdana" w:eastAsia="Arial MT" w:hAnsi="Verdana" w:cs="Arial"/>
          <w:spacing w:val="3"/>
        </w:rPr>
        <w:t xml:space="preserve"> </w:t>
      </w:r>
      <w:r w:rsidRPr="006A09D6">
        <w:rPr>
          <w:rFonts w:ascii="Verdana" w:eastAsia="Arial MT" w:hAnsi="Verdana" w:cs="Arial"/>
        </w:rPr>
        <w:t>sanción</w:t>
      </w:r>
      <w:r w:rsidRPr="006A09D6">
        <w:rPr>
          <w:rFonts w:ascii="Verdana" w:eastAsia="Arial MT" w:hAnsi="Verdana" w:cs="Arial"/>
          <w:spacing w:val="2"/>
        </w:rPr>
        <w:t xml:space="preserve"> </w:t>
      </w:r>
      <w:r w:rsidRPr="006A09D6">
        <w:rPr>
          <w:rFonts w:ascii="Verdana" w:eastAsia="Arial MT" w:hAnsi="Verdana" w:cs="Arial"/>
        </w:rPr>
        <w:t>previa,</w:t>
      </w:r>
      <w:r w:rsidRPr="006A09D6">
        <w:rPr>
          <w:rFonts w:ascii="Verdana" w:eastAsia="Arial MT" w:hAnsi="Verdana" w:cs="Arial"/>
          <w:spacing w:val="3"/>
        </w:rPr>
        <w:t xml:space="preserve"> </w:t>
      </w:r>
      <w:r w:rsidRPr="006A09D6">
        <w:rPr>
          <w:rFonts w:ascii="Verdana" w:eastAsia="Arial MT" w:hAnsi="Verdana" w:cs="Arial"/>
        </w:rPr>
        <w:t>es</w:t>
      </w:r>
      <w:r w:rsidRPr="006A09D6">
        <w:rPr>
          <w:rFonts w:ascii="Verdana" w:eastAsia="Arial MT" w:hAnsi="Verdana" w:cs="Arial"/>
          <w:spacing w:val="3"/>
        </w:rPr>
        <w:t xml:space="preserve"> </w:t>
      </w:r>
      <w:r w:rsidRPr="006A09D6">
        <w:rPr>
          <w:rFonts w:ascii="Verdana" w:eastAsia="Arial MT" w:hAnsi="Verdana" w:cs="Arial"/>
        </w:rPr>
        <w:t>indiscutible</w:t>
      </w:r>
      <w:r w:rsidRPr="006A09D6">
        <w:rPr>
          <w:rFonts w:ascii="Verdana" w:eastAsia="Arial MT" w:hAnsi="Verdana" w:cs="Arial"/>
          <w:spacing w:val="2"/>
        </w:rPr>
        <w:t xml:space="preserve"> </w:t>
      </w:r>
      <w:r w:rsidRPr="006A09D6">
        <w:rPr>
          <w:rFonts w:ascii="Verdana" w:eastAsia="Arial MT" w:hAnsi="Verdana" w:cs="Arial"/>
        </w:rPr>
        <w:t>que</w:t>
      </w:r>
      <w:r w:rsidRPr="006A09D6">
        <w:rPr>
          <w:rFonts w:ascii="Verdana" w:eastAsia="Arial MT" w:hAnsi="Verdana" w:cs="Arial"/>
          <w:spacing w:val="3"/>
        </w:rPr>
        <w:t xml:space="preserve"> </w:t>
      </w:r>
      <w:r w:rsidRPr="006A09D6">
        <w:rPr>
          <w:rFonts w:ascii="Verdana" w:eastAsia="Arial MT" w:hAnsi="Verdana" w:cs="Arial"/>
        </w:rPr>
        <w:t>en</w:t>
      </w:r>
      <w:r w:rsidRPr="006A09D6">
        <w:rPr>
          <w:rFonts w:ascii="Verdana" w:eastAsia="Arial MT" w:hAnsi="Verdana" w:cs="Arial"/>
          <w:spacing w:val="3"/>
        </w:rPr>
        <w:t xml:space="preserve"> </w:t>
      </w:r>
      <w:r w:rsidRPr="006A09D6">
        <w:rPr>
          <w:rFonts w:ascii="Verdana" w:eastAsia="Arial MT" w:hAnsi="Verdana" w:cs="Arial"/>
        </w:rPr>
        <w:t>los</w:t>
      </w:r>
      <w:r w:rsidRPr="006A09D6">
        <w:rPr>
          <w:rFonts w:ascii="Verdana" w:eastAsia="Arial MT" w:hAnsi="Verdana" w:cs="Arial"/>
          <w:spacing w:val="2"/>
        </w:rPr>
        <w:t xml:space="preserve"> </w:t>
      </w:r>
      <w:r w:rsidRPr="006A09D6">
        <w:rPr>
          <w:rFonts w:ascii="Verdana" w:eastAsia="Arial MT" w:hAnsi="Verdana" w:cs="Arial"/>
        </w:rPr>
        <w:t>años más recientes los lamentables hechos de corrupción han generado como respuesta</w:t>
      </w:r>
      <w:r w:rsidRPr="006A09D6">
        <w:rPr>
          <w:rFonts w:ascii="Verdana" w:eastAsia="Arial MT" w:hAnsi="Verdana" w:cs="Arial"/>
          <w:spacing w:val="1"/>
        </w:rPr>
        <w:t xml:space="preserve"> </w:t>
      </w:r>
      <w:r w:rsidRPr="006A09D6">
        <w:rPr>
          <w:rFonts w:ascii="Verdana" w:eastAsia="Arial MT" w:hAnsi="Verdana" w:cs="Arial"/>
        </w:rPr>
        <w:t>del legislador, un incremento de las restricciones a la capacidad contractual, dirigidas a</w:t>
      </w:r>
      <w:r w:rsidRPr="006A09D6">
        <w:rPr>
          <w:rFonts w:ascii="Verdana" w:eastAsia="Arial MT" w:hAnsi="Verdana" w:cs="Arial"/>
          <w:spacing w:val="-59"/>
        </w:rPr>
        <w:t xml:space="preserve"> </w:t>
      </w:r>
      <w:r w:rsidRPr="006A09D6">
        <w:rPr>
          <w:rFonts w:ascii="Verdana" w:eastAsia="Arial MT" w:hAnsi="Verdana" w:cs="Arial"/>
        </w:rPr>
        <w:t>prevenir</w:t>
      </w:r>
      <w:r w:rsidRPr="006A09D6">
        <w:rPr>
          <w:rFonts w:ascii="Verdana" w:eastAsia="Arial MT" w:hAnsi="Verdana" w:cs="Arial"/>
          <w:spacing w:val="-2"/>
        </w:rPr>
        <w:t xml:space="preserve"> </w:t>
      </w:r>
      <w:r w:rsidRPr="006A09D6">
        <w:rPr>
          <w:rFonts w:ascii="Verdana" w:eastAsia="Arial MT" w:hAnsi="Verdana" w:cs="Arial"/>
        </w:rPr>
        <w:t>este</w:t>
      </w:r>
      <w:r w:rsidRPr="006A09D6">
        <w:rPr>
          <w:rFonts w:ascii="Verdana" w:eastAsia="Arial MT" w:hAnsi="Verdana" w:cs="Arial"/>
          <w:spacing w:val="-1"/>
        </w:rPr>
        <w:t xml:space="preserve"> </w:t>
      </w:r>
      <w:r w:rsidRPr="006A09D6">
        <w:rPr>
          <w:rFonts w:ascii="Verdana" w:eastAsia="Arial MT" w:hAnsi="Verdana" w:cs="Arial"/>
        </w:rPr>
        <w:t>tipo</w:t>
      </w:r>
      <w:r w:rsidRPr="006A09D6">
        <w:rPr>
          <w:rFonts w:ascii="Verdana" w:eastAsia="Arial MT" w:hAnsi="Verdana" w:cs="Arial"/>
          <w:spacing w:val="-2"/>
        </w:rPr>
        <w:t xml:space="preserve"> </w:t>
      </w:r>
      <w:r w:rsidRPr="006A09D6">
        <w:rPr>
          <w:rFonts w:ascii="Verdana" w:eastAsia="Arial MT" w:hAnsi="Verdana" w:cs="Arial"/>
        </w:rPr>
        <w:t>de</w:t>
      </w:r>
      <w:r w:rsidRPr="006A09D6">
        <w:rPr>
          <w:rFonts w:ascii="Verdana" w:eastAsia="Arial MT" w:hAnsi="Verdana" w:cs="Arial"/>
          <w:spacing w:val="-1"/>
        </w:rPr>
        <w:t xml:space="preserve"> </w:t>
      </w:r>
      <w:r w:rsidRPr="006A09D6">
        <w:rPr>
          <w:rFonts w:ascii="Verdana" w:eastAsia="Arial MT" w:hAnsi="Verdana" w:cs="Arial"/>
        </w:rPr>
        <w:t>situaciones</w:t>
      </w:r>
      <w:r w:rsidRPr="006A09D6">
        <w:rPr>
          <w:rFonts w:ascii="Verdana" w:eastAsia="Arial MT" w:hAnsi="Verdana" w:cs="Arial"/>
          <w:spacing w:val="-1"/>
        </w:rPr>
        <w:t xml:space="preserve"> </w:t>
      </w:r>
      <w:r w:rsidRPr="006A09D6">
        <w:rPr>
          <w:rFonts w:ascii="Verdana" w:eastAsia="Arial MT" w:hAnsi="Verdana" w:cs="Arial"/>
        </w:rPr>
        <w:t>o</w:t>
      </w:r>
      <w:r w:rsidRPr="006A09D6">
        <w:rPr>
          <w:rFonts w:ascii="Verdana" w:eastAsia="Arial MT" w:hAnsi="Verdana" w:cs="Arial"/>
          <w:spacing w:val="-2"/>
        </w:rPr>
        <w:t xml:space="preserve"> </w:t>
      </w:r>
      <w:r w:rsidRPr="006A09D6">
        <w:rPr>
          <w:rFonts w:ascii="Verdana" w:eastAsia="Arial MT" w:hAnsi="Verdana" w:cs="Arial"/>
        </w:rPr>
        <w:t>a</w:t>
      </w:r>
      <w:r w:rsidRPr="006A09D6">
        <w:rPr>
          <w:rFonts w:ascii="Verdana" w:eastAsia="Arial MT" w:hAnsi="Verdana" w:cs="Arial"/>
          <w:spacing w:val="-1"/>
        </w:rPr>
        <w:t xml:space="preserve"> </w:t>
      </w:r>
      <w:r w:rsidRPr="006A09D6">
        <w:rPr>
          <w:rFonts w:ascii="Verdana" w:eastAsia="Arial MT" w:hAnsi="Verdana" w:cs="Arial"/>
        </w:rPr>
        <w:t>sancionar</w:t>
      </w:r>
      <w:r w:rsidRPr="006A09D6">
        <w:rPr>
          <w:rFonts w:ascii="Verdana" w:eastAsia="Arial MT" w:hAnsi="Verdana" w:cs="Arial"/>
          <w:spacing w:val="-1"/>
        </w:rPr>
        <w:t xml:space="preserve"> </w:t>
      </w:r>
      <w:r w:rsidRPr="006A09D6">
        <w:rPr>
          <w:rFonts w:ascii="Verdana" w:eastAsia="Arial MT" w:hAnsi="Verdana" w:cs="Arial"/>
        </w:rPr>
        <w:t>tales</w:t>
      </w:r>
      <w:r w:rsidRPr="006A09D6">
        <w:rPr>
          <w:rFonts w:ascii="Verdana" w:eastAsia="Arial MT" w:hAnsi="Verdana" w:cs="Arial"/>
          <w:spacing w:val="-2"/>
        </w:rPr>
        <w:t xml:space="preserve"> </w:t>
      </w:r>
      <w:r w:rsidRPr="006A09D6">
        <w:rPr>
          <w:rFonts w:ascii="Verdana" w:eastAsia="Arial MT" w:hAnsi="Verdana" w:cs="Arial"/>
        </w:rPr>
        <w:t>conductas.</w:t>
      </w:r>
    </w:p>
    <w:p w14:paraId="59F3DF31" w14:textId="77777777" w:rsidR="00044B4B" w:rsidRPr="006A09D6" w:rsidRDefault="00044B4B" w:rsidP="00044B4B">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Ahora bien, las inhabilidades e incompatibilidades, al ser</w:t>
      </w:r>
      <w:r w:rsidRPr="006A09D6">
        <w:rPr>
          <w:rFonts w:ascii="Verdana" w:eastAsia="Arial MT" w:hAnsi="Verdana" w:cs="Arial"/>
          <w:spacing w:val="1"/>
        </w:rPr>
        <w:t xml:space="preserve"> </w:t>
      </w:r>
      <w:r w:rsidRPr="006A09D6">
        <w:rPr>
          <w:rFonts w:ascii="Verdana" w:eastAsia="Arial MT" w:hAnsi="Verdana" w:cs="Arial"/>
        </w:rPr>
        <w:t>restricciones o límites especiales a la capacidad para presentar ofertas y celebrar</w:t>
      </w:r>
      <w:r w:rsidRPr="006A09D6">
        <w:rPr>
          <w:rFonts w:ascii="Verdana" w:eastAsia="Arial MT" w:hAnsi="Verdana" w:cs="Arial"/>
          <w:spacing w:val="1"/>
        </w:rPr>
        <w:t xml:space="preserve"> </w:t>
      </w:r>
      <w:r w:rsidRPr="006A09D6">
        <w:rPr>
          <w:rFonts w:ascii="Verdana" w:eastAsia="Arial MT" w:hAnsi="Verdana" w:cs="Arial"/>
        </w:rPr>
        <w:t>contratos</w:t>
      </w:r>
      <w:r w:rsidRPr="006A09D6">
        <w:rPr>
          <w:rFonts w:ascii="Verdana" w:eastAsia="Arial MT" w:hAnsi="Verdana" w:cs="Arial"/>
          <w:spacing w:val="-12"/>
        </w:rPr>
        <w:t xml:space="preserve"> </w:t>
      </w:r>
      <w:r w:rsidRPr="006A09D6">
        <w:rPr>
          <w:rFonts w:ascii="Verdana" w:eastAsia="Arial MT" w:hAnsi="Verdana" w:cs="Arial"/>
        </w:rPr>
        <w:t>estatales,</w:t>
      </w:r>
      <w:r w:rsidRPr="006A09D6">
        <w:rPr>
          <w:rFonts w:ascii="Verdana" w:eastAsia="Arial MT" w:hAnsi="Verdana" w:cs="Arial"/>
          <w:spacing w:val="-12"/>
        </w:rPr>
        <w:t xml:space="preserve"> </w:t>
      </w:r>
      <w:r w:rsidRPr="006A09D6">
        <w:rPr>
          <w:rFonts w:ascii="Verdana" w:eastAsia="Arial MT" w:hAnsi="Verdana" w:cs="Arial"/>
        </w:rPr>
        <w:t>solo</w:t>
      </w:r>
      <w:r w:rsidRPr="006A09D6">
        <w:rPr>
          <w:rFonts w:ascii="Verdana" w:eastAsia="Arial MT" w:hAnsi="Verdana" w:cs="Arial"/>
          <w:spacing w:val="-12"/>
        </w:rPr>
        <w:t xml:space="preserve"> </w:t>
      </w:r>
      <w:r w:rsidRPr="006A09D6">
        <w:rPr>
          <w:rFonts w:ascii="Verdana" w:eastAsia="Arial MT" w:hAnsi="Verdana" w:cs="Arial"/>
        </w:rPr>
        <w:t>pueden</w:t>
      </w:r>
      <w:r w:rsidRPr="006A09D6">
        <w:rPr>
          <w:rFonts w:ascii="Verdana" w:eastAsia="Arial MT" w:hAnsi="Verdana" w:cs="Arial"/>
          <w:spacing w:val="-11"/>
        </w:rPr>
        <w:t xml:space="preserve"> </w:t>
      </w:r>
      <w:r w:rsidRPr="006A09D6">
        <w:rPr>
          <w:rFonts w:ascii="Verdana" w:eastAsia="Arial MT" w:hAnsi="Verdana" w:cs="Arial"/>
        </w:rPr>
        <w:t>tipificarse</w:t>
      </w:r>
      <w:r w:rsidRPr="006A09D6">
        <w:rPr>
          <w:rFonts w:ascii="Verdana" w:eastAsia="Arial MT" w:hAnsi="Verdana" w:cs="Arial"/>
          <w:spacing w:val="-10"/>
        </w:rPr>
        <w:t xml:space="preserve"> </w:t>
      </w:r>
      <w:r w:rsidRPr="006A09D6">
        <w:rPr>
          <w:rFonts w:ascii="Verdana" w:eastAsia="Arial MT" w:hAnsi="Verdana" w:cs="Arial"/>
        </w:rPr>
        <w:t>en</w:t>
      </w:r>
      <w:r w:rsidRPr="006A09D6">
        <w:rPr>
          <w:rFonts w:ascii="Verdana" w:eastAsia="Arial MT" w:hAnsi="Verdana" w:cs="Arial"/>
          <w:spacing w:val="-12"/>
        </w:rPr>
        <w:t xml:space="preserve"> </w:t>
      </w:r>
      <w:r w:rsidRPr="006A09D6">
        <w:rPr>
          <w:rFonts w:ascii="Verdana" w:eastAsia="Arial MT" w:hAnsi="Verdana" w:cs="Arial"/>
        </w:rPr>
        <w:t>la</w:t>
      </w:r>
      <w:r w:rsidRPr="006A09D6">
        <w:rPr>
          <w:rFonts w:ascii="Verdana" w:eastAsia="Arial MT" w:hAnsi="Verdana" w:cs="Arial"/>
          <w:spacing w:val="-12"/>
        </w:rPr>
        <w:t xml:space="preserve"> </w:t>
      </w:r>
      <w:r w:rsidRPr="006A09D6">
        <w:rPr>
          <w:rFonts w:ascii="Verdana" w:eastAsia="Arial MT" w:hAnsi="Verdana" w:cs="Arial"/>
        </w:rPr>
        <w:t>ley</w:t>
      </w:r>
      <w:r w:rsidRPr="006A09D6">
        <w:rPr>
          <w:rFonts w:ascii="Verdana" w:eastAsia="Arial MT" w:hAnsi="Verdana" w:cs="Arial"/>
          <w:spacing w:val="-12"/>
        </w:rPr>
        <w:t xml:space="preserve"> </w:t>
      </w:r>
      <w:r w:rsidRPr="006A09D6">
        <w:rPr>
          <w:rFonts w:ascii="Verdana" w:eastAsia="Arial MT" w:hAnsi="Verdana" w:cs="Arial"/>
        </w:rPr>
        <w:t xml:space="preserve">y su interpretación debe ser </w:t>
      </w:r>
      <w:r w:rsidRPr="006A09D6">
        <w:rPr>
          <w:rFonts w:ascii="Verdana" w:eastAsia="Arial MT" w:hAnsi="Verdana" w:cs="Arial"/>
          <w:i/>
        </w:rPr>
        <w:t>restrictiva</w:t>
      </w:r>
      <w:r w:rsidRPr="006A09D6">
        <w:rPr>
          <w:i/>
          <w:vertAlign w:val="superscript"/>
        </w:rPr>
        <w:footnoteReference w:id="3"/>
      </w:r>
      <w:r w:rsidRPr="006A09D6">
        <w:rPr>
          <w:rFonts w:ascii="Verdana" w:eastAsia="Arial MT" w:hAnsi="Verdana" w:cs="Arial"/>
        </w:rPr>
        <w:t>. De admitirse una interpretación</w:t>
      </w:r>
      <w:r w:rsidRPr="006A09D6">
        <w:rPr>
          <w:rFonts w:ascii="Verdana" w:eastAsia="Arial MT" w:hAnsi="Verdana" w:cs="Arial"/>
          <w:spacing w:val="1"/>
        </w:rPr>
        <w:t xml:space="preserve"> </w:t>
      </w:r>
      <w:r w:rsidRPr="006A09D6">
        <w:rPr>
          <w:rFonts w:ascii="Verdana" w:eastAsia="Arial MT" w:hAnsi="Verdana" w:cs="Arial"/>
        </w:rPr>
        <w:t>extensiva,</w:t>
      </w:r>
      <w:r w:rsidRPr="006A09D6">
        <w:rPr>
          <w:rFonts w:ascii="Verdana" w:eastAsia="Arial MT" w:hAnsi="Verdana" w:cs="Arial"/>
          <w:spacing w:val="1"/>
        </w:rPr>
        <w:t xml:space="preserve"> </w:t>
      </w:r>
      <w:r w:rsidRPr="006A09D6">
        <w:rPr>
          <w:rFonts w:ascii="Verdana" w:eastAsia="Arial MT" w:hAnsi="Verdana" w:cs="Arial"/>
        </w:rPr>
        <w:t>tales</w:t>
      </w:r>
      <w:r w:rsidRPr="006A09D6">
        <w:rPr>
          <w:rFonts w:ascii="Verdana" w:eastAsia="Arial MT" w:hAnsi="Verdana" w:cs="Arial"/>
          <w:spacing w:val="1"/>
        </w:rPr>
        <w:t xml:space="preserve"> </w:t>
      </w:r>
      <w:r w:rsidRPr="006A09D6">
        <w:rPr>
          <w:rFonts w:ascii="Verdana" w:eastAsia="Arial MT" w:hAnsi="Verdana" w:cs="Arial"/>
        </w:rPr>
        <w:t>enunciados</w:t>
      </w:r>
      <w:r w:rsidRPr="006A09D6">
        <w:rPr>
          <w:rFonts w:ascii="Verdana" w:eastAsia="Arial MT" w:hAnsi="Verdana" w:cs="Arial"/>
          <w:spacing w:val="1"/>
        </w:rPr>
        <w:t xml:space="preserve"> </w:t>
      </w:r>
      <w:r w:rsidRPr="006A09D6">
        <w:rPr>
          <w:rFonts w:ascii="Verdana" w:eastAsia="Arial MT" w:hAnsi="Verdana" w:cs="Arial"/>
        </w:rPr>
        <w:t>normativos</w:t>
      </w:r>
      <w:r w:rsidRPr="006A09D6">
        <w:rPr>
          <w:rFonts w:ascii="Verdana" w:eastAsia="Arial MT" w:hAnsi="Verdana" w:cs="Arial"/>
          <w:spacing w:val="1"/>
        </w:rPr>
        <w:t xml:space="preserve"> </w:t>
      </w:r>
      <w:r w:rsidRPr="006A09D6">
        <w:rPr>
          <w:rFonts w:ascii="Verdana" w:eastAsia="Arial MT" w:hAnsi="Verdana" w:cs="Arial"/>
        </w:rPr>
        <w:t>podrían</w:t>
      </w:r>
      <w:r w:rsidRPr="006A09D6">
        <w:rPr>
          <w:rFonts w:ascii="Verdana" w:eastAsia="Arial MT" w:hAnsi="Verdana" w:cs="Arial"/>
          <w:spacing w:val="1"/>
        </w:rPr>
        <w:t xml:space="preserve"> </w:t>
      </w:r>
      <w:r w:rsidRPr="006A09D6">
        <w:rPr>
          <w:rFonts w:ascii="Verdana" w:eastAsia="Arial MT" w:hAnsi="Verdana" w:cs="Arial"/>
        </w:rPr>
        <w:t>contemplar</w:t>
      </w:r>
      <w:r w:rsidRPr="006A09D6">
        <w:rPr>
          <w:rFonts w:ascii="Verdana" w:eastAsia="Arial MT" w:hAnsi="Verdana" w:cs="Arial"/>
          <w:spacing w:val="1"/>
        </w:rPr>
        <w:t xml:space="preserve"> </w:t>
      </w:r>
      <w:r w:rsidRPr="006A09D6">
        <w:rPr>
          <w:rFonts w:ascii="Verdana" w:eastAsia="Arial MT" w:hAnsi="Verdana" w:cs="Arial"/>
        </w:rPr>
        <w:t>múltiples</w:t>
      </w:r>
      <w:r w:rsidRPr="006A09D6">
        <w:rPr>
          <w:rFonts w:ascii="Verdana" w:eastAsia="Arial MT" w:hAnsi="Verdana" w:cs="Arial"/>
          <w:spacing w:val="1"/>
        </w:rPr>
        <w:t xml:space="preserve"> </w:t>
      </w:r>
      <w:r w:rsidRPr="006A09D6">
        <w:rPr>
          <w:rFonts w:ascii="Verdana" w:eastAsia="Arial MT" w:hAnsi="Verdana" w:cs="Arial"/>
        </w:rPr>
        <w:t>supuestos</w:t>
      </w:r>
      <w:r w:rsidRPr="006A09D6">
        <w:rPr>
          <w:rFonts w:ascii="Verdana" w:eastAsia="Arial MT" w:hAnsi="Verdana" w:cs="Arial"/>
          <w:spacing w:val="1"/>
        </w:rPr>
        <w:t xml:space="preserve"> </w:t>
      </w:r>
      <w:r w:rsidRPr="006A09D6">
        <w:rPr>
          <w:rFonts w:ascii="Verdana" w:eastAsia="Arial MT" w:hAnsi="Verdana" w:cs="Arial"/>
        </w:rPr>
        <w:t>indeterminados,</w:t>
      </w:r>
      <w:r w:rsidRPr="006A09D6">
        <w:rPr>
          <w:rFonts w:ascii="Verdana" w:eastAsia="Arial MT" w:hAnsi="Verdana" w:cs="Arial"/>
          <w:spacing w:val="-4"/>
        </w:rPr>
        <w:t xml:space="preserve"> </w:t>
      </w:r>
      <w:r w:rsidRPr="006A09D6">
        <w:rPr>
          <w:rFonts w:ascii="Verdana" w:eastAsia="Arial MT" w:hAnsi="Verdana" w:cs="Arial"/>
        </w:rPr>
        <w:lastRenderedPageBreak/>
        <w:t>adquiriendo</w:t>
      </w:r>
      <w:r w:rsidRPr="006A09D6">
        <w:rPr>
          <w:rFonts w:ascii="Verdana" w:eastAsia="Arial MT" w:hAnsi="Verdana" w:cs="Arial"/>
          <w:spacing w:val="-4"/>
        </w:rPr>
        <w:t xml:space="preserve"> </w:t>
      </w:r>
      <w:r w:rsidRPr="006A09D6">
        <w:rPr>
          <w:rFonts w:ascii="Verdana" w:eastAsia="Arial MT" w:hAnsi="Verdana" w:cs="Arial"/>
        </w:rPr>
        <w:t>un</w:t>
      </w:r>
      <w:r w:rsidRPr="006A09D6">
        <w:rPr>
          <w:rFonts w:ascii="Verdana" w:eastAsia="Arial MT" w:hAnsi="Verdana" w:cs="Arial"/>
          <w:spacing w:val="-4"/>
        </w:rPr>
        <w:t xml:space="preserve"> </w:t>
      </w:r>
      <w:r w:rsidRPr="006A09D6">
        <w:rPr>
          <w:rFonts w:ascii="Verdana" w:eastAsia="Arial MT" w:hAnsi="Verdana" w:cs="Arial"/>
        </w:rPr>
        <w:t>cariz</w:t>
      </w:r>
      <w:r w:rsidRPr="006A09D6">
        <w:rPr>
          <w:rFonts w:ascii="Verdana" w:eastAsia="Arial MT" w:hAnsi="Verdana" w:cs="Arial"/>
          <w:spacing w:val="-4"/>
        </w:rPr>
        <w:t xml:space="preserve"> </w:t>
      </w:r>
      <w:r w:rsidRPr="006A09D6">
        <w:rPr>
          <w:rFonts w:ascii="Verdana" w:eastAsia="Arial MT" w:hAnsi="Verdana" w:cs="Arial"/>
        </w:rPr>
        <w:t>subjetivo,</w:t>
      </w:r>
      <w:r w:rsidRPr="006A09D6">
        <w:rPr>
          <w:rFonts w:ascii="Verdana" w:eastAsia="Arial MT" w:hAnsi="Verdana" w:cs="Arial"/>
          <w:spacing w:val="-3"/>
        </w:rPr>
        <w:t xml:space="preserve"> </w:t>
      </w:r>
      <w:r w:rsidRPr="006A09D6">
        <w:rPr>
          <w:rFonts w:ascii="Verdana" w:eastAsia="Arial MT" w:hAnsi="Verdana" w:cs="Arial"/>
        </w:rPr>
        <w:t>según</w:t>
      </w:r>
      <w:r w:rsidRPr="006A09D6">
        <w:rPr>
          <w:rFonts w:ascii="Verdana" w:eastAsia="Arial MT" w:hAnsi="Verdana" w:cs="Arial"/>
          <w:spacing w:val="-4"/>
        </w:rPr>
        <w:t xml:space="preserve"> </w:t>
      </w:r>
      <w:r w:rsidRPr="006A09D6">
        <w:rPr>
          <w:rFonts w:ascii="Verdana" w:eastAsia="Arial MT" w:hAnsi="Verdana" w:cs="Arial"/>
        </w:rPr>
        <w:t>el</w:t>
      </w:r>
      <w:r w:rsidRPr="006A09D6">
        <w:rPr>
          <w:rFonts w:ascii="Verdana" w:eastAsia="Arial MT" w:hAnsi="Verdana" w:cs="Arial"/>
          <w:spacing w:val="-4"/>
        </w:rPr>
        <w:t xml:space="preserve"> </w:t>
      </w:r>
      <w:r w:rsidRPr="006A09D6">
        <w:rPr>
          <w:rFonts w:ascii="Verdana" w:eastAsia="Arial MT" w:hAnsi="Verdana" w:cs="Arial"/>
        </w:rPr>
        <w:t>parecer</w:t>
      </w:r>
      <w:r w:rsidRPr="006A09D6">
        <w:rPr>
          <w:rFonts w:ascii="Verdana" w:eastAsia="Arial MT" w:hAnsi="Verdana" w:cs="Arial"/>
          <w:spacing w:val="-4"/>
        </w:rPr>
        <w:t xml:space="preserve"> </w:t>
      </w:r>
      <w:r w:rsidRPr="006A09D6">
        <w:rPr>
          <w:rFonts w:ascii="Verdana" w:eastAsia="Arial MT" w:hAnsi="Verdana" w:cs="Arial"/>
        </w:rPr>
        <w:t>o</w:t>
      </w:r>
      <w:r w:rsidRPr="006A09D6">
        <w:rPr>
          <w:rFonts w:ascii="Verdana" w:eastAsia="Arial MT" w:hAnsi="Verdana" w:cs="Arial"/>
          <w:spacing w:val="-3"/>
        </w:rPr>
        <w:t xml:space="preserve"> </w:t>
      </w:r>
      <w:r w:rsidRPr="006A09D6">
        <w:rPr>
          <w:rFonts w:ascii="Verdana" w:eastAsia="Arial MT" w:hAnsi="Verdana" w:cs="Arial"/>
        </w:rPr>
        <w:t>el</w:t>
      </w:r>
      <w:r w:rsidRPr="006A09D6">
        <w:rPr>
          <w:rFonts w:ascii="Verdana" w:eastAsia="Arial MT" w:hAnsi="Verdana" w:cs="Arial"/>
          <w:spacing w:val="-4"/>
        </w:rPr>
        <w:t xml:space="preserve"> </w:t>
      </w:r>
      <w:r w:rsidRPr="006A09D6">
        <w:rPr>
          <w:rFonts w:ascii="Verdana" w:eastAsia="Arial MT" w:hAnsi="Verdana" w:cs="Arial"/>
        </w:rPr>
        <w:t>sentido</w:t>
      </w:r>
      <w:r w:rsidRPr="006A09D6">
        <w:rPr>
          <w:rFonts w:ascii="Verdana" w:eastAsia="Arial MT" w:hAnsi="Verdana" w:cs="Arial"/>
          <w:spacing w:val="-4"/>
        </w:rPr>
        <w:t xml:space="preserve"> </w:t>
      </w:r>
      <w:r w:rsidRPr="006A09D6">
        <w:rPr>
          <w:rFonts w:ascii="Verdana" w:eastAsia="Arial MT" w:hAnsi="Verdana" w:cs="Arial"/>
        </w:rPr>
        <w:t>común</w:t>
      </w:r>
      <w:r w:rsidRPr="006A09D6">
        <w:rPr>
          <w:rFonts w:ascii="Verdana" w:eastAsia="Arial MT" w:hAnsi="Verdana" w:cs="Arial"/>
          <w:spacing w:val="-4"/>
        </w:rPr>
        <w:t xml:space="preserve"> </w:t>
      </w:r>
      <w:r w:rsidRPr="006A09D6">
        <w:rPr>
          <w:rFonts w:ascii="Verdana" w:eastAsia="Arial MT" w:hAnsi="Verdana" w:cs="Arial"/>
        </w:rPr>
        <w:t>de los operadores jurídicos, poniendo en riesgo principios como la igualdad, el debido</w:t>
      </w:r>
      <w:r w:rsidRPr="006A09D6">
        <w:rPr>
          <w:rFonts w:ascii="Verdana" w:eastAsia="Arial MT" w:hAnsi="Verdana" w:cs="Arial"/>
          <w:spacing w:val="1"/>
        </w:rPr>
        <w:t xml:space="preserve"> </w:t>
      </w:r>
      <w:r w:rsidRPr="006A09D6">
        <w:rPr>
          <w:rFonts w:ascii="Verdana" w:eastAsia="Arial MT" w:hAnsi="Verdana" w:cs="Arial"/>
        </w:rPr>
        <w:t>proceso, la libre concurrencia y el ejercicio de la profesión u oficio. Tal ha sido la postura al interior de la jurisprudencia, tanto de la Corte Constitucional como de la Sección</w:t>
      </w:r>
      <w:r w:rsidRPr="006A09D6">
        <w:rPr>
          <w:rFonts w:ascii="Verdana" w:eastAsia="Arial MT" w:hAnsi="Verdana" w:cs="Arial"/>
          <w:spacing w:val="1"/>
        </w:rPr>
        <w:t xml:space="preserve"> </w:t>
      </w:r>
      <w:r w:rsidRPr="006A09D6">
        <w:rPr>
          <w:rFonts w:ascii="Verdana" w:eastAsia="Arial MT" w:hAnsi="Verdana" w:cs="Arial"/>
        </w:rPr>
        <w:t>Tercera</w:t>
      </w:r>
      <w:r w:rsidRPr="006A09D6">
        <w:rPr>
          <w:rFonts w:ascii="Verdana" w:eastAsia="Arial MT" w:hAnsi="Verdana" w:cs="Arial"/>
          <w:spacing w:val="-2"/>
        </w:rPr>
        <w:t xml:space="preserve"> </w:t>
      </w:r>
      <w:r w:rsidRPr="006A09D6">
        <w:rPr>
          <w:rFonts w:ascii="Verdana" w:eastAsia="Arial MT" w:hAnsi="Verdana" w:cs="Arial"/>
        </w:rPr>
        <w:t>del</w:t>
      </w:r>
      <w:r w:rsidRPr="006A09D6">
        <w:rPr>
          <w:rFonts w:ascii="Verdana" w:eastAsia="Arial MT" w:hAnsi="Verdana" w:cs="Arial"/>
          <w:spacing w:val="-1"/>
        </w:rPr>
        <w:t xml:space="preserve"> </w:t>
      </w:r>
      <w:r w:rsidRPr="006A09D6">
        <w:rPr>
          <w:rFonts w:ascii="Verdana" w:eastAsia="Arial MT" w:hAnsi="Verdana" w:cs="Arial"/>
        </w:rPr>
        <w:t>Consejo</w:t>
      </w:r>
      <w:r w:rsidRPr="006A09D6">
        <w:rPr>
          <w:rFonts w:ascii="Verdana" w:eastAsia="Arial MT" w:hAnsi="Verdana" w:cs="Arial"/>
          <w:spacing w:val="-1"/>
        </w:rPr>
        <w:t xml:space="preserve"> </w:t>
      </w:r>
      <w:r w:rsidRPr="006A09D6">
        <w:rPr>
          <w:rFonts w:ascii="Verdana" w:eastAsia="Arial MT" w:hAnsi="Verdana" w:cs="Arial"/>
        </w:rPr>
        <w:t>de</w:t>
      </w:r>
      <w:r w:rsidRPr="006A09D6">
        <w:rPr>
          <w:rFonts w:ascii="Verdana" w:eastAsia="Arial MT" w:hAnsi="Verdana" w:cs="Arial"/>
          <w:spacing w:val="-1"/>
        </w:rPr>
        <w:t xml:space="preserve"> </w:t>
      </w:r>
      <w:r w:rsidRPr="006A09D6">
        <w:rPr>
          <w:rFonts w:ascii="Verdana" w:eastAsia="Arial MT" w:hAnsi="Verdana" w:cs="Arial"/>
        </w:rPr>
        <w:t>Estado.</w:t>
      </w:r>
    </w:p>
    <w:p w14:paraId="7BC65288" w14:textId="77777777" w:rsidR="00044B4B" w:rsidRDefault="00044B4B" w:rsidP="00044B4B">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En</w:t>
      </w:r>
      <w:r w:rsidRPr="006A09D6">
        <w:rPr>
          <w:rFonts w:ascii="Verdana" w:eastAsia="Arial MT" w:hAnsi="Verdana" w:cs="Arial"/>
          <w:spacing w:val="-11"/>
        </w:rPr>
        <w:t xml:space="preserve"> </w:t>
      </w:r>
      <w:r w:rsidRPr="006A09D6">
        <w:rPr>
          <w:rFonts w:ascii="Verdana" w:eastAsia="Arial MT" w:hAnsi="Verdana" w:cs="Arial"/>
        </w:rPr>
        <w:t>efecto,</w:t>
      </w:r>
      <w:r w:rsidRPr="006A09D6">
        <w:rPr>
          <w:rFonts w:ascii="Verdana" w:eastAsia="Arial MT" w:hAnsi="Verdana" w:cs="Arial"/>
          <w:spacing w:val="-10"/>
        </w:rPr>
        <w:t xml:space="preserve"> </w:t>
      </w:r>
      <w:r w:rsidRPr="006A09D6">
        <w:rPr>
          <w:rFonts w:ascii="Verdana" w:eastAsia="Arial MT" w:hAnsi="Verdana" w:cs="Arial"/>
        </w:rPr>
        <w:t>el</w:t>
      </w:r>
      <w:r w:rsidRPr="006A09D6">
        <w:rPr>
          <w:rFonts w:ascii="Verdana" w:eastAsia="Arial MT" w:hAnsi="Verdana" w:cs="Arial"/>
          <w:spacing w:val="-10"/>
        </w:rPr>
        <w:t xml:space="preserve"> </w:t>
      </w:r>
      <w:r w:rsidRPr="006A09D6">
        <w:rPr>
          <w:rFonts w:ascii="Verdana" w:eastAsia="Arial MT" w:hAnsi="Verdana" w:cs="Arial"/>
        </w:rPr>
        <w:t>máximo</w:t>
      </w:r>
      <w:r w:rsidRPr="006A09D6">
        <w:rPr>
          <w:rFonts w:ascii="Verdana" w:eastAsia="Arial MT" w:hAnsi="Verdana" w:cs="Arial"/>
          <w:spacing w:val="-10"/>
        </w:rPr>
        <w:t xml:space="preserve"> </w:t>
      </w:r>
      <w:r w:rsidRPr="006A09D6">
        <w:rPr>
          <w:rFonts w:ascii="Verdana" w:eastAsia="Arial MT" w:hAnsi="Verdana" w:cs="Arial"/>
        </w:rPr>
        <w:t>tribunal</w:t>
      </w:r>
      <w:r w:rsidRPr="006A09D6">
        <w:rPr>
          <w:rFonts w:ascii="Verdana" w:eastAsia="Arial MT" w:hAnsi="Verdana" w:cs="Arial"/>
          <w:spacing w:val="-9"/>
        </w:rPr>
        <w:t xml:space="preserve"> </w:t>
      </w:r>
      <w:r w:rsidRPr="006A09D6">
        <w:rPr>
          <w:rFonts w:ascii="Verdana" w:eastAsia="Arial MT" w:hAnsi="Verdana" w:cs="Arial"/>
        </w:rPr>
        <w:t>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A09D6">
        <w:rPr>
          <w:rFonts w:ascii="Verdana" w:eastAsia="Arial MT" w:hAnsi="Verdana" w:cs="Arial"/>
          <w:vertAlign w:val="superscript"/>
        </w:rPr>
        <w:footnoteReference w:id="4"/>
      </w:r>
      <w:r w:rsidRPr="006A09D6">
        <w:rPr>
          <w:rFonts w:ascii="Verdana" w:eastAsia="Arial MT" w:hAnsi="Verdana" w:cs="Arial"/>
        </w:rPr>
        <w:t xml:space="preserve">. </w:t>
      </w:r>
    </w:p>
    <w:p w14:paraId="025935A7" w14:textId="77777777" w:rsidR="00044B4B" w:rsidRPr="006A09D6" w:rsidRDefault="00044B4B" w:rsidP="00044B4B">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Por su parte, el Consejo de Estado también ha acogido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A09D6">
        <w:rPr>
          <w:rFonts w:ascii="Verdana" w:eastAsia="Arial MT" w:hAnsi="Verdana" w:cs="Arial"/>
          <w:vertAlign w:val="superscript"/>
        </w:rPr>
        <w:footnoteReference w:id="5"/>
      </w:r>
      <w:r w:rsidRPr="006A09D6">
        <w:rPr>
          <w:rFonts w:ascii="Verdana" w:eastAsia="Arial MT" w:hAnsi="Verdana" w:cs="Arial"/>
        </w:rPr>
        <w:t>. En tal sentido, la Sección Tercera ha señalado que:</w:t>
      </w:r>
    </w:p>
    <w:p w14:paraId="336C0017" w14:textId="77777777" w:rsidR="00044B4B" w:rsidRPr="006A09D6" w:rsidRDefault="00044B4B" w:rsidP="00044B4B">
      <w:pPr>
        <w:widowControl w:val="0"/>
        <w:autoSpaceDE w:val="0"/>
        <w:autoSpaceDN w:val="0"/>
        <w:spacing w:after="0" w:line="276" w:lineRule="auto"/>
        <w:ind w:firstLine="708"/>
        <w:jc w:val="both"/>
        <w:rPr>
          <w:rFonts w:ascii="Verdana" w:eastAsia="Arial MT" w:hAnsi="Verdana" w:cs="Arial"/>
          <w:sz w:val="25"/>
        </w:rPr>
      </w:pPr>
    </w:p>
    <w:p w14:paraId="514C4394" w14:textId="77777777" w:rsidR="00044B4B" w:rsidRPr="006A09D6" w:rsidRDefault="00044B4B" w:rsidP="00044B4B">
      <w:pPr>
        <w:widowControl w:val="0"/>
        <w:autoSpaceDE w:val="0"/>
        <w:autoSpaceDN w:val="0"/>
        <w:spacing w:after="0" w:line="240" w:lineRule="auto"/>
        <w:ind w:left="709" w:right="709"/>
        <w:jc w:val="both"/>
        <w:rPr>
          <w:rFonts w:ascii="Verdana" w:eastAsia="Calibri" w:hAnsi="Verdana" w:cs="Arial"/>
          <w:sz w:val="20"/>
          <w:szCs w:val="20"/>
        </w:rPr>
      </w:pPr>
      <w:r w:rsidRPr="006A09D6">
        <w:rPr>
          <w:rFonts w:ascii="Verdana" w:eastAsia="Arial MT" w:hAnsi="Verdana" w:cs="Arial"/>
          <w:sz w:val="20"/>
          <w:szCs w:val="20"/>
        </w:rPr>
        <w:t>“[…]</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conformidad</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la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jurisprudencia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uniforme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y</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reiterada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esta</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Corporación, la aplicación de las normas que contemplan inhabilidades 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incompatibilidades,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como</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general</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todas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aquellas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que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comportan</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prohibiciones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o</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limitaciones,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deben</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responder</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a</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una</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interpretación</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 xml:space="preserve">restrictiva </w:t>
      </w:r>
      <w:r w:rsidRPr="006A09D6">
        <w:rPr>
          <w:rFonts w:ascii="Verdana" w:eastAsia="Calibri" w:hAnsi="Verdana" w:cs="Arial"/>
          <w:sz w:val="20"/>
          <w:szCs w:val="20"/>
        </w:rPr>
        <w:t>que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no</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permite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su</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extensión,</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vía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figura</w:t>
      </w:r>
      <w:r w:rsidRPr="006A09D6">
        <w:rPr>
          <w:rFonts w:ascii="Verdana" w:eastAsia="Calibri" w:hAnsi="Verdana" w:cs="Arial"/>
          <w:spacing w:val="-4"/>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analogía,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a</w:t>
      </w:r>
      <w:r w:rsidRPr="006A09D6">
        <w:rPr>
          <w:rFonts w:ascii="Verdana" w:eastAsia="Calibri" w:hAnsi="Verdana" w:cs="Arial"/>
          <w:spacing w:val="-5"/>
          <w:sz w:val="20"/>
          <w:szCs w:val="20"/>
        </w:rPr>
        <w:t xml:space="preserve"> </w:t>
      </w:r>
      <w:r w:rsidRPr="006A09D6">
        <w:rPr>
          <w:rFonts w:ascii="Verdana" w:eastAsia="Arial MT" w:hAnsi="Verdana" w:cs="Arial"/>
          <w:sz w:val="20"/>
          <w:szCs w:val="20"/>
        </w:rPr>
        <w:t>supuestos no contemplados</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el</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ordenamiento”</w:t>
      </w:r>
      <w:r w:rsidRPr="006A09D6">
        <w:rPr>
          <w:rFonts w:ascii="Verdana" w:eastAsia="Calibri" w:hAnsi="Verdana" w:cs="Arial"/>
          <w:sz w:val="20"/>
          <w:szCs w:val="20"/>
          <w:vertAlign w:val="superscript"/>
        </w:rPr>
        <w:footnoteReference w:id="6"/>
      </w:r>
      <w:r w:rsidRPr="006A09D6">
        <w:rPr>
          <w:rFonts w:ascii="Verdana" w:eastAsia="Calibri" w:hAnsi="Verdana" w:cs="Arial"/>
          <w:sz w:val="20"/>
          <w:szCs w:val="20"/>
        </w:rPr>
        <w:t>.</w:t>
      </w:r>
    </w:p>
    <w:p w14:paraId="75C971B5" w14:textId="77777777" w:rsidR="00044B4B" w:rsidRPr="006A09D6" w:rsidRDefault="00044B4B" w:rsidP="00044B4B">
      <w:pPr>
        <w:widowControl w:val="0"/>
        <w:autoSpaceDE w:val="0"/>
        <w:autoSpaceDN w:val="0"/>
        <w:spacing w:after="0" w:line="240" w:lineRule="auto"/>
        <w:ind w:left="709" w:right="709"/>
        <w:jc w:val="both"/>
        <w:rPr>
          <w:rFonts w:ascii="Verdana" w:eastAsia="Arial MT" w:hAnsi="Verdana" w:cs="Arial"/>
          <w:sz w:val="21"/>
        </w:rPr>
      </w:pPr>
    </w:p>
    <w:p w14:paraId="4C1C3100" w14:textId="77777777" w:rsidR="00044B4B" w:rsidRPr="006A09D6" w:rsidRDefault="00044B4B" w:rsidP="00044B4B">
      <w:pPr>
        <w:widowControl w:val="0"/>
        <w:autoSpaceDE w:val="0"/>
        <w:autoSpaceDN w:val="0"/>
        <w:spacing w:after="0" w:line="240" w:lineRule="auto"/>
        <w:ind w:right="709" w:firstLine="708"/>
        <w:jc w:val="both"/>
        <w:rPr>
          <w:rFonts w:ascii="Verdana" w:eastAsia="Arial MT" w:hAnsi="Verdana" w:cs="Arial"/>
        </w:rPr>
      </w:pPr>
      <w:r w:rsidRPr="006A09D6">
        <w:rPr>
          <w:rFonts w:ascii="Verdana" w:eastAsia="Arial MT" w:hAnsi="Verdana" w:cs="Arial"/>
        </w:rPr>
        <w:t>En el mismo sentido ha expuesto que:</w:t>
      </w:r>
    </w:p>
    <w:p w14:paraId="7090BDC4" w14:textId="77777777" w:rsidR="00044B4B" w:rsidRPr="006A09D6" w:rsidRDefault="00044B4B" w:rsidP="00044B4B">
      <w:pPr>
        <w:widowControl w:val="0"/>
        <w:autoSpaceDE w:val="0"/>
        <w:autoSpaceDN w:val="0"/>
        <w:spacing w:after="0" w:line="240" w:lineRule="auto"/>
        <w:ind w:right="709"/>
        <w:jc w:val="both"/>
        <w:rPr>
          <w:rFonts w:ascii="Verdana" w:eastAsia="Arial MT" w:hAnsi="Verdana" w:cs="Arial"/>
        </w:rPr>
      </w:pPr>
    </w:p>
    <w:p w14:paraId="7BCCF033" w14:textId="77777777" w:rsidR="00044B4B" w:rsidRPr="006A09D6" w:rsidRDefault="00044B4B" w:rsidP="00044B4B">
      <w:pPr>
        <w:widowControl w:val="0"/>
        <w:autoSpaceDE w:val="0"/>
        <w:autoSpaceDN w:val="0"/>
        <w:spacing w:after="0" w:line="240" w:lineRule="auto"/>
        <w:ind w:left="709" w:right="709"/>
        <w:jc w:val="both"/>
        <w:rPr>
          <w:rFonts w:ascii="Verdana" w:eastAsia="Arial MT" w:hAnsi="Verdana" w:cs="Arial"/>
          <w:sz w:val="20"/>
          <w:szCs w:val="20"/>
        </w:rPr>
      </w:pPr>
      <w:r w:rsidRPr="006A09D6">
        <w:rPr>
          <w:rFonts w:ascii="Verdana" w:eastAsia="Arial MT" w:hAnsi="Verdana" w:cs="Arial"/>
          <w:sz w:val="20"/>
          <w:szCs w:val="20"/>
        </w:rPr>
        <w:t xml:space="preserve">“[…] la aplicación de estos preceptos exige una interpretación restrictiva, dado que según el principio hermenéutico pro </w:t>
      </w:r>
      <w:proofErr w:type="spellStart"/>
      <w:r w:rsidRPr="006A09D6">
        <w:rPr>
          <w:rFonts w:ascii="Verdana" w:eastAsia="Arial MT" w:hAnsi="Verdana" w:cs="Arial"/>
          <w:sz w:val="20"/>
          <w:szCs w:val="20"/>
        </w:rPr>
        <w:t>libertate</w:t>
      </w:r>
      <w:proofErr w:type="spellEnd"/>
      <w:r w:rsidRPr="006A09D6">
        <w:rPr>
          <w:rFonts w:ascii="Verdana" w:eastAsia="Arial MT" w:hAnsi="Verdana" w:cs="Arial"/>
          <w:sz w:val="20"/>
          <w:szCs w:val="20"/>
        </w:rPr>
        <w:t xml:space="preserve">, entre varias interpretaciones posibles de una norma que regula una inhabilidad, debe preferirse aquella que menos limita el derecho de las personas; en otros </w:t>
      </w:r>
      <w:r w:rsidRPr="006A09D6">
        <w:rPr>
          <w:rFonts w:ascii="Verdana" w:eastAsia="Arial MT" w:hAnsi="Verdana" w:cs="Arial"/>
          <w:sz w:val="20"/>
          <w:szCs w:val="20"/>
        </w:rPr>
        <w:lastRenderedPageBreak/>
        <w:t>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A09D6">
        <w:rPr>
          <w:rFonts w:ascii="Verdana" w:eastAsia="Arial MT" w:hAnsi="Verdana" w:cs="Arial"/>
          <w:sz w:val="20"/>
          <w:szCs w:val="20"/>
          <w:vertAlign w:val="superscript"/>
        </w:rPr>
        <w:footnoteReference w:id="7"/>
      </w:r>
      <w:r w:rsidRPr="006A09D6">
        <w:rPr>
          <w:rFonts w:ascii="Verdana" w:eastAsia="Arial MT" w:hAnsi="Verdana" w:cs="Arial"/>
          <w:sz w:val="20"/>
          <w:szCs w:val="20"/>
        </w:rPr>
        <w:t>.</w:t>
      </w:r>
    </w:p>
    <w:p w14:paraId="0027D93B" w14:textId="77777777" w:rsidR="00044B4B" w:rsidRPr="006A09D6" w:rsidRDefault="00044B4B" w:rsidP="00044B4B">
      <w:pPr>
        <w:widowControl w:val="0"/>
        <w:autoSpaceDE w:val="0"/>
        <w:autoSpaceDN w:val="0"/>
        <w:spacing w:after="0" w:line="240" w:lineRule="auto"/>
        <w:ind w:left="810" w:right="1243"/>
        <w:jc w:val="both"/>
        <w:rPr>
          <w:rFonts w:ascii="Verdana" w:eastAsia="Arial MT" w:hAnsi="Verdana" w:cs="Arial"/>
          <w:sz w:val="20"/>
        </w:rPr>
      </w:pPr>
    </w:p>
    <w:p w14:paraId="13C553ED" w14:textId="77777777" w:rsidR="00044B4B" w:rsidRPr="006A09D6" w:rsidRDefault="00044B4B" w:rsidP="00044B4B">
      <w:pPr>
        <w:widowControl w:val="0"/>
        <w:autoSpaceDE w:val="0"/>
        <w:autoSpaceDN w:val="0"/>
        <w:spacing w:after="120" w:line="276" w:lineRule="auto"/>
        <w:ind w:firstLine="708"/>
        <w:jc w:val="both"/>
        <w:rPr>
          <w:rFonts w:ascii="Verdana" w:eastAsia="Arial" w:hAnsi="Verdana" w:cs="Arial"/>
          <w:color w:val="333333"/>
          <w:shd w:val="clear" w:color="auto" w:fill="FFFFFF"/>
          <w:lang w:eastAsia="es-ES" w:bidi="es-ES"/>
        </w:rPr>
      </w:pPr>
      <w:r w:rsidRPr="006A09D6">
        <w:rPr>
          <w:rFonts w:ascii="Verdana" w:eastAsia="Arial MT" w:hAnsi="Verdana" w:cs="Arial"/>
          <w:lang w:eastAsia="es-ES" w:bidi="es-ES"/>
        </w:rPr>
        <w:t xml:space="preserve">De igual forma, </w:t>
      </w:r>
      <w:r w:rsidRPr="006A09D6">
        <w:rPr>
          <w:rFonts w:ascii="Verdana" w:eastAsia="Arial" w:hAnsi="Verdana" w:cs="Arial"/>
          <w:lang w:eastAsia="es-ES" w:bidi="es-ES"/>
        </w:rPr>
        <w:t>la Corte Constitucional en jurisprudencia</w:t>
      </w:r>
      <w:r w:rsidRPr="006A09D6">
        <w:rPr>
          <w:vertAlign w:val="superscript"/>
          <w:lang w:eastAsia="es-ES" w:bidi="es-ES"/>
        </w:rPr>
        <w:footnoteReference w:id="8"/>
      </w:r>
      <w:r w:rsidRPr="006A09D6">
        <w:rPr>
          <w:rFonts w:ascii="Verdana" w:eastAsia="Arial" w:hAnsi="Verdana" w:cs="Arial"/>
          <w:lang w:eastAsia="es-ES" w:bidi="es-ES"/>
        </w:rPr>
        <w:t xml:space="preserve"> citada a su vez por el Consejo de Estado</w:t>
      </w:r>
      <w:r w:rsidRPr="006A09D6">
        <w:rPr>
          <w:vertAlign w:val="superscript"/>
          <w:lang w:eastAsia="es-ES" w:bidi="es-ES"/>
        </w:rPr>
        <w:footnoteReference w:id="9"/>
      </w:r>
      <w:r w:rsidRPr="006A09D6">
        <w:rPr>
          <w:rFonts w:ascii="Verdana" w:eastAsia="Arial" w:hAnsi="Verdana" w:cs="Arial"/>
          <w:lang w:eastAsia="es-ES" w:bidi="es-ES"/>
        </w:rPr>
        <w:t>, se ha referido al régimen general de inhabilidades e incompatibilidades, destacando de este la prevalencia del interés general sobre el particular y su doble connotación, como quiera que no solo puede ser consecuencia de una sanción sino también erigirse con una finalidad preventiva que busca asegurar la no afectación del interés general, en suma</w:t>
      </w:r>
      <w:r w:rsidRPr="006A09D6">
        <w:rPr>
          <w:rFonts w:ascii="Verdana" w:eastAsia="Arial" w:hAnsi="Verdana" w:cs="Arial"/>
          <w:i/>
          <w:lang w:eastAsia="es-ES" w:bidi="es-ES"/>
        </w:rPr>
        <w:t xml:space="preserve">, </w:t>
      </w:r>
      <w:r w:rsidRPr="006A09D6">
        <w:rPr>
          <w:rFonts w:ascii="Verdana" w:eastAsia="Arial MT" w:hAnsi="Verdana" w:cs="Arial"/>
          <w:i/>
          <w:lang w:eastAsia="es-ES" w:bidi="es-ES"/>
        </w:rPr>
        <w:t>“[…]</w:t>
      </w:r>
      <w:r w:rsidRPr="00CB0E2B">
        <w:rPr>
          <w:rFonts w:ascii="Verdana" w:eastAsia="Arial MT" w:hAnsi="Verdana" w:cs="Arial"/>
          <w:i/>
          <w:color w:val="000000" w:themeColor="text1"/>
          <w:lang w:eastAsia="es-ES" w:bidi="es-ES"/>
        </w:rPr>
        <w:t xml:space="preserve"> l</w:t>
      </w:r>
      <w:r w:rsidRPr="00CB0E2B">
        <w:rPr>
          <w:rFonts w:ascii="Verdana" w:eastAsia="Arial" w:hAnsi="Verdana" w:cs="Arial"/>
          <w:i/>
          <w:color w:val="000000" w:themeColor="text1"/>
          <w:shd w:val="clear" w:color="auto" w:fill="FFFFFF"/>
          <w:lang w:eastAsia="es-ES" w:bidi="es-ES"/>
        </w:rPr>
        <w:t>a inhabilidad no es una pena sino una garantía de que el comportamiento anterior no afectará el desempeño de la función o cargo, de protección del interés general y de la idoneidad, probidad y moralidad del aspirante</w:t>
      </w:r>
      <w:r w:rsidRPr="006A09D6">
        <w:rPr>
          <w:rFonts w:ascii="Verdana" w:eastAsia="Arial MT" w:hAnsi="Verdana" w:cs="Arial"/>
          <w:i/>
          <w:lang w:eastAsia="es-ES" w:bidi="es-ES"/>
        </w:rPr>
        <w:t>”</w:t>
      </w:r>
      <w:r w:rsidRPr="006A09D6">
        <w:rPr>
          <w:rFonts w:ascii="Verdana" w:eastAsia="Arial" w:hAnsi="Verdana" w:cs="Arial"/>
          <w:color w:val="333333"/>
          <w:shd w:val="clear" w:color="auto" w:fill="FFFFFF"/>
          <w:vertAlign w:val="superscript"/>
          <w:lang w:eastAsia="es-ES" w:bidi="es-ES"/>
        </w:rPr>
        <w:t>12</w:t>
      </w:r>
      <w:r w:rsidRPr="006A09D6">
        <w:rPr>
          <w:rFonts w:ascii="Verdana" w:eastAsia="Arial" w:hAnsi="Verdana" w:cs="Arial"/>
          <w:color w:val="333333"/>
          <w:shd w:val="clear" w:color="auto" w:fill="FFFFFF"/>
          <w:lang w:eastAsia="es-ES" w:bidi="es-ES"/>
        </w:rPr>
        <w:t xml:space="preserve">; </w:t>
      </w:r>
      <w:r w:rsidRPr="00CB0E2B">
        <w:rPr>
          <w:rFonts w:ascii="Verdana" w:eastAsia="Arial" w:hAnsi="Verdana" w:cs="Arial"/>
          <w:color w:val="000000" w:themeColor="text1"/>
          <w:shd w:val="clear" w:color="auto" w:fill="FFFFFF"/>
          <w:lang w:eastAsia="es-ES" w:bidi="es-ES"/>
        </w:rPr>
        <w:t>en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r w:rsidRPr="006A09D6">
        <w:rPr>
          <w:rFonts w:ascii="Verdana" w:eastAsia="Arial" w:hAnsi="Verdana" w:cs="Arial"/>
          <w:color w:val="333333"/>
          <w:shd w:val="clear" w:color="auto" w:fill="FFFFFF"/>
          <w:lang w:eastAsia="es-ES" w:bidi="es-ES"/>
        </w:rPr>
        <w:t>.</w:t>
      </w:r>
    </w:p>
    <w:p w14:paraId="14315403" w14:textId="77777777" w:rsidR="00044B4B" w:rsidRPr="006A09D6" w:rsidRDefault="00044B4B" w:rsidP="00044B4B">
      <w:pPr>
        <w:spacing w:after="0" w:line="276" w:lineRule="auto"/>
        <w:ind w:firstLine="708"/>
        <w:jc w:val="both"/>
        <w:rPr>
          <w:rFonts w:ascii="Verdana" w:eastAsia="Calibri" w:hAnsi="Verdana" w:cs="Arial"/>
          <w:color w:val="000000"/>
          <w:szCs w:val="24"/>
        </w:rPr>
      </w:pPr>
      <w:r w:rsidRPr="006A09D6">
        <w:rPr>
          <w:rFonts w:ascii="Verdana" w:eastAsia="Arial" w:hAnsi="Verdana" w:cs="Arial"/>
          <w:color w:val="000000"/>
        </w:rPr>
        <w:t xml:space="preserve">Como se aprecia, el principio </w:t>
      </w:r>
      <w:r w:rsidRPr="006A09D6">
        <w:rPr>
          <w:rFonts w:ascii="Verdana" w:eastAsia="Arial" w:hAnsi="Verdana" w:cs="Arial"/>
          <w:i/>
          <w:color w:val="000000"/>
        </w:rPr>
        <w:t xml:space="preserve">pro </w:t>
      </w:r>
      <w:proofErr w:type="spellStart"/>
      <w:r w:rsidRPr="006A09D6">
        <w:rPr>
          <w:rFonts w:ascii="Verdana" w:eastAsia="Arial" w:hAnsi="Verdana" w:cs="Arial"/>
          <w:i/>
          <w:color w:val="000000"/>
        </w:rPr>
        <w:t>libertate</w:t>
      </w:r>
      <w:proofErr w:type="spellEnd"/>
      <w:r w:rsidRPr="006A09D6">
        <w:rPr>
          <w:rFonts w:ascii="Verdana" w:eastAsia="Arial" w:hAnsi="Verdana" w:cs="Arial"/>
          <w:color w:val="000000"/>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A09D6">
        <w:rPr>
          <w:rFonts w:ascii="Verdana" w:eastAsia="Calibri" w:hAnsi="Verdana" w:cs="Arial"/>
          <w:color w:val="000000"/>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p>
    <w:p w14:paraId="4370BFAD" w14:textId="77777777" w:rsidR="00044B4B" w:rsidRPr="006A09D6" w:rsidRDefault="00044B4B" w:rsidP="00044B4B">
      <w:pPr>
        <w:tabs>
          <w:tab w:val="left" w:pos="1532"/>
        </w:tabs>
        <w:spacing w:after="0" w:line="276" w:lineRule="auto"/>
        <w:jc w:val="both"/>
        <w:rPr>
          <w:rFonts w:ascii="Verdana" w:eastAsia="Calibri" w:hAnsi="Verdana" w:cs="Arial"/>
          <w:color w:val="000000"/>
        </w:rPr>
      </w:pPr>
      <w:r w:rsidRPr="006A09D6">
        <w:rPr>
          <w:rFonts w:ascii="Verdana" w:eastAsia="Calibri" w:hAnsi="Verdana" w:cs="Arial"/>
          <w:color w:val="000000"/>
          <w:sz w:val="24"/>
        </w:rPr>
        <w:tab/>
      </w:r>
    </w:p>
    <w:p w14:paraId="577631E9" w14:textId="77777777" w:rsidR="00044B4B" w:rsidRPr="006A09D6" w:rsidRDefault="00044B4B" w:rsidP="00044B4B">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 xml:space="preserve">“[…] Las limitaciones y restricciones que se contienen en el citado estatuto, predicables de la relación Estado-particulares y que afectan los diversos </w:t>
      </w:r>
      <w:r w:rsidRPr="006A09D6">
        <w:rPr>
          <w:rFonts w:ascii="Verdana" w:eastAsia="Calibri" w:hAnsi="Verdana" w:cs="Arial"/>
          <w:color w:val="000000"/>
          <w:sz w:val="20"/>
          <w:szCs w:val="20"/>
        </w:rPr>
        <w:lastRenderedPageBreak/>
        <w:t xml:space="preserve">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6A09D6">
        <w:rPr>
          <w:rFonts w:ascii="Verdana" w:eastAsia="Calibri" w:hAnsi="Verdana" w:cs="Arial"/>
          <w:color w:val="000000"/>
          <w:sz w:val="20"/>
          <w:szCs w:val="20"/>
        </w:rPr>
        <w:t>libertate</w:t>
      </w:r>
      <w:proofErr w:type="spellEnd"/>
      <w:r w:rsidRPr="006A09D6">
        <w:rPr>
          <w:rFonts w:ascii="Verdana" w:eastAsia="Calibri" w:hAnsi="Verdana" w:cs="Arial"/>
          <w:color w:val="000000"/>
          <w:sz w:val="20"/>
          <w:szCs w:val="20"/>
        </w:rPr>
        <w:t xml:space="preserve">, sino el de legalidad, el que ordena que la función pública debe someterse estrictamente a lo que disponga la Constitución y la ley (CP art. 6). </w:t>
      </w:r>
    </w:p>
    <w:p w14:paraId="6C65906F" w14:textId="77777777" w:rsidR="00044B4B" w:rsidRPr="006A09D6" w:rsidRDefault="00044B4B" w:rsidP="00044B4B">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w:t>
      </w:r>
    </w:p>
    <w:p w14:paraId="0F62D588" w14:textId="77777777" w:rsidR="00044B4B" w:rsidRPr="006A09D6" w:rsidRDefault="00044B4B" w:rsidP="00044B4B">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6A09D6">
        <w:rPr>
          <w:rFonts w:ascii="Verdana" w:eastAsia="Calibri" w:hAnsi="Verdana" w:cs="Arial"/>
          <w:color w:val="000000"/>
          <w:sz w:val="20"/>
          <w:szCs w:val="20"/>
          <w:vertAlign w:val="superscript"/>
        </w:rPr>
        <w:footnoteReference w:id="10"/>
      </w:r>
      <w:r w:rsidRPr="006A09D6">
        <w:rPr>
          <w:rFonts w:ascii="Verdana" w:eastAsia="Calibri" w:hAnsi="Verdana" w:cs="Arial"/>
          <w:color w:val="000000"/>
          <w:sz w:val="20"/>
          <w:szCs w:val="20"/>
        </w:rPr>
        <w:t>.</w:t>
      </w:r>
    </w:p>
    <w:p w14:paraId="5DA688C3" w14:textId="77777777" w:rsidR="00044B4B" w:rsidRPr="006A09D6" w:rsidRDefault="00044B4B" w:rsidP="00044B4B">
      <w:pPr>
        <w:widowControl w:val="0"/>
        <w:autoSpaceDE w:val="0"/>
        <w:autoSpaceDN w:val="0"/>
        <w:spacing w:after="0" w:line="240" w:lineRule="auto"/>
        <w:ind w:left="1049" w:rightChars="709" w:right="1560" w:firstLine="709"/>
        <w:jc w:val="both"/>
        <w:rPr>
          <w:rFonts w:ascii="Verdana" w:eastAsia="Arial" w:hAnsi="Verdana" w:cs="Arial"/>
          <w:color w:val="333333"/>
          <w:shd w:val="clear" w:color="auto" w:fill="FFFFFF"/>
          <w:lang w:eastAsia="es-ES" w:bidi="es-ES"/>
        </w:rPr>
      </w:pPr>
    </w:p>
    <w:p w14:paraId="58D9902F" w14:textId="77777777" w:rsidR="00044B4B" w:rsidRDefault="00044B4B" w:rsidP="00044B4B">
      <w:pPr>
        <w:widowControl w:val="0"/>
        <w:autoSpaceDE w:val="0"/>
        <w:autoSpaceDN w:val="0"/>
        <w:spacing w:after="120" w:line="276" w:lineRule="auto"/>
        <w:ind w:firstLine="709"/>
        <w:jc w:val="both"/>
        <w:rPr>
          <w:rFonts w:ascii="Verdana" w:eastAsia="Arial MT" w:hAnsi="Verdana" w:cs="Arial"/>
          <w:lang w:eastAsia="es-ES" w:bidi="es-ES"/>
        </w:rPr>
      </w:pPr>
      <w:r w:rsidRPr="006A09D6">
        <w:rPr>
          <w:rFonts w:ascii="Verdana" w:eastAsia="Arial MT" w:hAnsi="Verdana" w:cs="Arial"/>
          <w:lang w:eastAsia="es-ES" w:bidi="es-ES"/>
        </w:rPr>
        <w:t>En suma, el régimen de inhabilidades e incompatibilidades se origina en la prerrogativa legislativa, obedece al principio de legalidad y su interpretación es restrictiva, como quiera que su aplicación implica limitaciones para el acceso a cargos o ejercicio de funciones públicas y para participar en procesos de contratación pública adelantados por las entidades estatales, según sea el caso.</w:t>
      </w:r>
    </w:p>
    <w:p w14:paraId="2D7D31C5" w14:textId="77777777" w:rsidR="00044B4B" w:rsidRPr="00C43511" w:rsidRDefault="00044B4B" w:rsidP="00044B4B">
      <w:pPr>
        <w:pStyle w:val="Sinespaciado"/>
        <w:spacing w:after="120" w:line="276" w:lineRule="auto"/>
        <w:ind w:firstLine="708"/>
        <w:jc w:val="both"/>
        <w:rPr>
          <w:rFonts w:ascii="Verdana" w:hAnsi="Verdana" w:cs="Arial"/>
          <w:sz w:val="22"/>
          <w:lang w:val="es-ES"/>
        </w:rPr>
      </w:pPr>
      <w:r>
        <w:rPr>
          <w:rFonts w:ascii="Verdana" w:hAnsi="Verdana" w:cs="Arial"/>
          <w:sz w:val="22"/>
          <w:lang w:val="es-ES"/>
        </w:rPr>
        <w:t>Por otro lado, l</w:t>
      </w:r>
      <w:r w:rsidRPr="00C43511">
        <w:rPr>
          <w:rFonts w:ascii="Verdana" w:hAnsi="Verdana" w:cs="Arial"/>
          <w:sz w:val="22"/>
          <w:lang w:val="es-ES"/>
        </w:rPr>
        <w:t xml:space="preserve">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36EB0C1D" w14:textId="77777777" w:rsidR="00044B4B" w:rsidRPr="00C43511" w:rsidRDefault="00044B4B" w:rsidP="00044B4B">
      <w:pPr>
        <w:pStyle w:val="Sinespaciado"/>
        <w:spacing w:before="120" w:after="120" w:line="276" w:lineRule="auto"/>
        <w:ind w:firstLine="708"/>
        <w:jc w:val="both"/>
        <w:rPr>
          <w:rFonts w:ascii="Verdana" w:hAnsi="Verdana" w:cs="Arial"/>
          <w:sz w:val="22"/>
          <w:lang w:val="es-ES"/>
        </w:rPr>
      </w:pPr>
      <w:r>
        <w:rPr>
          <w:rFonts w:ascii="Verdana" w:hAnsi="Verdana" w:cs="Arial"/>
          <w:sz w:val="22"/>
          <w:lang w:val="es-ES"/>
        </w:rPr>
        <w:t>De manera que e</w:t>
      </w:r>
      <w:r w:rsidRPr="00C43511">
        <w:rPr>
          <w:rFonts w:ascii="Verdana" w:hAnsi="Verdana" w:cs="Arial"/>
          <w:sz w:val="22"/>
          <w:lang w:val="es-ES"/>
        </w:rPr>
        <w:t xml:space="preserv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w:t>
      </w:r>
      <w:r>
        <w:rPr>
          <w:rFonts w:ascii="Verdana" w:hAnsi="Verdana" w:cs="Arial"/>
          <w:sz w:val="22"/>
          <w:lang w:val="es-ES"/>
        </w:rPr>
        <w:t>“</w:t>
      </w:r>
      <w:r w:rsidRPr="00C43511">
        <w:rPr>
          <w:rFonts w:ascii="Verdana" w:hAnsi="Verdana" w:cs="Arial"/>
          <w:sz w:val="22"/>
          <w:lang w:val="es-ES"/>
        </w:rPr>
        <w:t xml:space="preserve">las inhabilidades representan una limitación a la capacidad para contratar con las entidades del Estado y obedecen a la falta de aptitud o a la carencia de una cualidad, calidad </w:t>
      </w:r>
      <w:r w:rsidRPr="00C43511">
        <w:rPr>
          <w:rFonts w:ascii="Verdana" w:hAnsi="Verdana" w:cs="Arial"/>
          <w:sz w:val="22"/>
          <w:lang w:val="es-ES"/>
        </w:rPr>
        <w:lastRenderedPageBreak/>
        <w:t>o requisito en el sujeto incapacitado quien por esta razón no podrá hacer parte de una relación contractual</w:t>
      </w:r>
      <w:r>
        <w:rPr>
          <w:rFonts w:ascii="Verdana" w:hAnsi="Verdana" w:cs="Arial"/>
          <w:sz w:val="22"/>
          <w:lang w:val="es-ES"/>
        </w:rPr>
        <w:t>”</w:t>
      </w:r>
      <w:r w:rsidRPr="00C43511">
        <w:rPr>
          <w:rFonts w:ascii="Verdana" w:hAnsi="Verdana" w:cs="Arial"/>
          <w:sz w:val="22"/>
          <w:vertAlign w:val="superscript"/>
          <w:lang w:val="es-ES"/>
        </w:rPr>
        <w:footnoteReference w:id="11"/>
      </w:r>
      <w:r w:rsidRPr="00C43511">
        <w:rPr>
          <w:rFonts w:ascii="Verdana" w:hAnsi="Verdana" w:cs="Arial"/>
          <w:sz w:val="22"/>
          <w:lang w:val="es-ES"/>
        </w:rPr>
        <w:t xml:space="preserve">. </w:t>
      </w:r>
    </w:p>
    <w:p w14:paraId="723C7B31" w14:textId="77777777" w:rsidR="00044B4B" w:rsidRPr="00C43511" w:rsidRDefault="00044B4B" w:rsidP="00044B4B">
      <w:pPr>
        <w:pStyle w:val="Sinespaciado"/>
        <w:spacing w:before="120" w:line="276" w:lineRule="auto"/>
        <w:ind w:firstLine="709"/>
        <w:jc w:val="both"/>
        <w:rPr>
          <w:rFonts w:ascii="Verdana" w:hAnsi="Verdana" w:cs="Arial"/>
          <w:sz w:val="22"/>
          <w:lang w:val="es-ES"/>
        </w:rPr>
      </w:pPr>
      <w:r w:rsidRPr="00C43511">
        <w:rPr>
          <w:rFonts w:ascii="Verdana" w:hAnsi="Verdana" w:cs="Arial"/>
          <w:sz w:val="22"/>
          <w:lang w:val="es-ES"/>
        </w:rPr>
        <w:t xml:space="preserve">Las limitaciones que afectan la capacidad jurídica para contratar desarrollan los principios de la función administrativa consagrados en el artículo 209 de la Constitución Política, con especial énfasis la moralidad administrativa. Así lo ha entendido el Consejo de Estado, quien se ha pronunciado al respecto en los siguientes términos: </w:t>
      </w:r>
    </w:p>
    <w:p w14:paraId="154EEBA8" w14:textId="77777777" w:rsidR="00044B4B" w:rsidRPr="00FB1A45" w:rsidRDefault="00044B4B" w:rsidP="00044B4B">
      <w:pPr>
        <w:pStyle w:val="Sinespaciado"/>
        <w:spacing w:line="276" w:lineRule="auto"/>
        <w:jc w:val="both"/>
        <w:rPr>
          <w:rFonts w:ascii="Verdana" w:hAnsi="Verdana" w:cs="Arial"/>
          <w:sz w:val="20"/>
          <w:szCs w:val="20"/>
          <w:lang w:val="es-ES"/>
        </w:rPr>
      </w:pPr>
    </w:p>
    <w:p w14:paraId="0FB35264" w14:textId="77777777" w:rsidR="00044B4B" w:rsidRPr="00FB1A45" w:rsidRDefault="00044B4B" w:rsidP="00044B4B">
      <w:pPr>
        <w:pStyle w:val="NormalWeb"/>
        <w:shd w:val="clear" w:color="auto" w:fill="FFFFFF"/>
        <w:spacing w:before="0" w:beforeAutospacing="0" w:after="120" w:afterAutospacing="0"/>
        <w:ind w:left="709" w:right="709"/>
        <w:jc w:val="both"/>
        <w:rPr>
          <w:rFonts w:ascii="Verdana" w:eastAsiaTheme="minorHAnsi" w:hAnsi="Verdana" w:cs="Arial"/>
          <w:sz w:val="20"/>
          <w:szCs w:val="20"/>
          <w:lang w:val="es-ES" w:eastAsia="en-US"/>
        </w:rPr>
      </w:pPr>
      <w:r w:rsidRPr="00FB1A45">
        <w:rPr>
          <w:rFonts w:ascii="Verdana" w:hAnsi="Verdana" w:cs="Arial"/>
          <w:sz w:val="20"/>
          <w:szCs w:val="20"/>
        </w:rPr>
        <w:t>“</w:t>
      </w:r>
      <w:r w:rsidRPr="00FB1A45">
        <w:rPr>
          <w:rFonts w:ascii="Verdana" w:eastAsiaTheme="minorHAnsi" w:hAnsi="Verdana" w:cs="Arial"/>
          <w:sz w:val="20"/>
          <w:szCs w:val="20"/>
          <w:lang w:val="es-ES" w:eastAsia="en-U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6D6C8F4E" w14:textId="77777777" w:rsidR="00044B4B" w:rsidRPr="00FB1A45" w:rsidRDefault="00044B4B" w:rsidP="00044B4B">
      <w:pPr>
        <w:pStyle w:val="NormalWeb"/>
        <w:shd w:val="clear" w:color="auto" w:fill="FFFFFF"/>
        <w:spacing w:before="0" w:beforeAutospacing="0" w:after="0" w:afterAutospacing="0"/>
        <w:ind w:left="709" w:right="709"/>
        <w:jc w:val="both"/>
        <w:rPr>
          <w:rFonts w:ascii="Verdana" w:eastAsiaTheme="minorHAnsi" w:hAnsi="Verdana" w:cs="Arial"/>
          <w:sz w:val="20"/>
          <w:szCs w:val="20"/>
          <w:lang w:val="es-ES" w:eastAsia="en-US"/>
        </w:rPr>
      </w:pPr>
      <w:r w:rsidRPr="00FB1A45">
        <w:rPr>
          <w:rFonts w:ascii="Verdana" w:eastAsiaTheme="minorHAnsi" w:hAnsi="Verdana" w:cs="Arial"/>
          <w:sz w:val="20"/>
          <w:szCs w:val="20"/>
          <w:lang w:val="es-ES" w:eastAsia="en-U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FB1A45">
        <w:rPr>
          <w:rStyle w:val="Refdenotaalpie"/>
          <w:rFonts w:ascii="Verdana" w:eastAsiaTheme="minorHAnsi" w:hAnsi="Verdana" w:cs="Arial"/>
          <w:sz w:val="20"/>
          <w:szCs w:val="20"/>
          <w:lang w:val="es-ES" w:eastAsia="en-US"/>
        </w:rPr>
        <w:footnoteReference w:id="12"/>
      </w:r>
      <w:r w:rsidRPr="00FB1A45">
        <w:rPr>
          <w:rFonts w:ascii="Verdana" w:eastAsiaTheme="minorHAnsi" w:hAnsi="Verdana" w:cs="Arial"/>
          <w:sz w:val="20"/>
          <w:szCs w:val="20"/>
          <w:lang w:val="es-ES" w:eastAsia="en-US"/>
        </w:rPr>
        <w:t xml:space="preserve"> </w:t>
      </w:r>
    </w:p>
    <w:p w14:paraId="78C2A063" w14:textId="77777777" w:rsidR="00044B4B" w:rsidRPr="00C43511" w:rsidRDefault="00044B4B" w:rsidP="00044B4B">
      <w:pPr>
        <w:pStyle w:val="Sinespaciado"/>
        <w:spacing w:line="276" w:lineRule="auto"/>
        <w:jc w:val="both"/>
        <w:rPr>
          <w:rFonts w:ascii="Verdana" w:hAnsi="Verdana" w:cs="Arial"/>
          <w:sz w:val="22"/>
          <w:lang w:val="es-ES"/>
        </w:rPr>
      </w:pPr>
    </w:p>
    <w:p w14:paraId="5D8FFC4F" w14:textId="77777777" w:rsidR="00044B4B" w:rsidRPr="00C43511" w:rsidRDefault="00044B4B" w:rsidP="00044B4B">
      <w:pPr>
        <w:pStyle w:val="Sinespaciado"/>
        <w:spacing w:line="276" w:lineRule="auto"/>
        <w:ind w:firstLine="709"/>
        <w:jc w:val="both"/>
        <w:rPr>
          <w:rFonts w:ascii="Verdana" w:hAnsi="Verdana" w:cs="Arial"/>
          <w:sz w:val="22"/>
          <w:lang w:val="es-ES"/>
        </w:rPr>
      </w:pPr>
      <w:r w:rsidRPr="00C43511">
        <w:rPr>
          <w:rFonts w:ascii="Verdana" w:hAnsi="Verdana" w:cs="Arial"/>
          <w:sz w:val="22"/>
          <w:lang w:val="es-ES"/>
        </w:rPr>
        <w:t xml:space="preserve">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w:t>
      </w:r>
      <w:r w:rsidRPr="00C43511">
        <w:rPr>
          <w:rFonts w:ascii="Verdana" w:hAnsi="Verdana" w:cs="Arial"/>
          <w:sz w:val="22"/>
          <w:lang w:val="es-ES"/>
        </w:rPr>
        <w:lastRenderedPageBreak/>
        <w:t xml:space="preserve">limitaciones deben estar justificadas en la salvaguarda del interés general y que su lectura e interpretación es taxativa y restrictiva: </w:t>
      </w:r>
    </w:p>
    <w:p w14:paraId="77CF56C3" w14:textId="77777777" w:rsidR="00044B4B" w:rsidRDefault="00044B4B" w:rsidP="00044B4B">
      <w:pPr>
        <w:spacing w:after="0"/>
        <w:ind w:left="709" w:right="709"/>
        <w:jc w:val="both"/>
        <w:rPr>
          <w:rFonts w:ascii="Verdana" w:hAnsi="Verdana" w:cs="Arial"/>
          <w:sz w:val="21"/>
          <w:szCs w:val="21"/>
        </w:rPr>
      </w:pPr>
    </w:p>
    <w:p w14:paraId="68405E8A" w14:textId="77777777" w:rsidR="00044B4B" w:rsidRPr="00FB1A45" w:rsidRDefault="00044B4B" w:rsidP="00044B4B">
      <w:pPr>
        <w:spacing w:after="120"/>
        <w:ind w:left="709" w:right="709"/>
        <w:jc w:val="both"/>
        <w:rPr>
          <w:rFonts w:ascii="Verdana" w:hAnsi="Verdana" w:cs="Arial"/>
          <w:sz w:val="20"/>
          <w:szCs w:val="20"/>
          <w:lang w:val="es-ES"/>
        </w:rPr>
      </w:pPr>
      <w:r w:rsidRPr="00FB1A45">
        <w:rPr>
          <w:rFonts w:ascii="Verdana" w:hAnsi="Verdana" w:cs="Arial"/>
          <w:sz w:val="20"/>
          <w:szCs w:val="20"/>
        </w:rPr>
        <w:t>“</w:t>
      </w:r>
      <w:r w:rsidRPr="00FB1A45">
        <w:rPr>
          <w:rFonts w:ascii="Verdana" w:hAnsi="Verdana" w:cs="Arial"/>
          <w:sz w:val="20"/>
          <w:szCs w:val="20"/>
          <w:lang w:val="es-ES"/>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0877BCF6" w14:textId="77777777" w:rsidR="00044B4B" w:rsidRPr="00FB1A45" w:rsidRDefault="00044B4B" w:rsidP="00044B4B">
      <w:pPr>
        <w:spacing w:after="0"/>
        <w:ind w:left="709" w:right="709"/>
        <w:jc w:val="both"/>
        <w:rPr>
          <w:rFonts w:ascii="Verdana" w:hAnsi="Verdana" w:cs="Arial"/>
          <w:sz w:val="20"/>
          <w:szCs w:val="20"/>
        </w:rPr>
      </w:pPr>
      <w:r w:rsidRPr="00FB1A45">
        <w:rPr>
          <w:rFonts w:ascii="Verdana" w:hAnsi="Verdana" w:cs="Arial"/>
          <w:sz w:val="20"/>
          <w:szCs w:val="20"/>
          <w:lang w:val="es-ES"/>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FB1A45">
        <w:rPr>
          <w:rFonts w:ascii="Verdana" w:hAnsi="Verdana" w:cs="Arial"/>
          <w:sz w:val="20"/>
          <w:szCs w:val="20"/>
        </w:rPr>
        <w:t>”</w:t>
      </w:r>
      <w:r w:rsidRPr="00FB1A45">
        <w:rPr>
          <w:rStyle w:val="Refdenotaalpie"/>
          <w:rFonts w:ascii="Verdana" w:hAnsi="Verdana" w:cs="Arial"/>
          <w:sz w:val="20"/>
          <w:szCs w:val="20"/>
          <w:lang w:val="es-ES"/>
        </w:rPr>
        <w:footnoteReference w:id="13"/>
      </w:r>
    </w:p>
    <w:p w14:paraId="7498E143" w14:textId="77777777" w:rsidR="00044B4B" w:rsidRPr="00C43511" w:rsidRDefault="00044B4B" w:rsidP="00044B4B">
      <w:pPr>
        <w:spacing w:after="0"/>
        <w:ind w:left="709" w:right="709"/>
        <w:jc w:val="both"/>
        <w:rPr>
          <w:rFonts w:ascii="Verdana" w:eastAsia="Times New Roman" w:hAnsi="Verdana" w:cs="Arial"/>
          <w:shd w:val="clear" w:color="auto" w:fill="FFFFFF"/>
          <w:lang w:val="es-ES" w:eastAsia="es-ES_tradnl"/>
        </w:rPr>
      </w:pPr>
    </w:p>
    <w:p w14:paraId="2806B483" w14:textId="77777777" w:rsidR="00044B4B" w:rsidRPr="00C43511" w:rsidRDefault="00044B4B" w:rsidP="00044B4B">
      <w:pPr>
        <w:spacing w:after="0" w:line="276" w:lineRule="auto"/>
        <w:ind w:firstLine="709"/>
        <w:jc w:val="both"/>
        <w:rPr>
          <w:rFonts w:ascii="Verdana" w:hAnsi="Verdana" w:cs="Arial"/>
          <w:lang w:val="es-ES"/>
        </w:rPr>
      </w:pPr>
      <w:r w:rsidRPr="00C43511">
        <w:rPr>
          <w:rFonts w:ascii="Verdana" w:hAnsi="Verdana" w:cs="Arial"/>
          <w:lang w:val="es-ES"/>
        </w:rPr>
        <w:t>Además, la Corte Constitucional ha explicado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de conformidad con el artículo 150 de la Constitución Política, y que en esta materia rige el principio de legalidad:</w:t>
      </w:r>
    </w:p>
    <w:p w14:paraId="2447D218" w14:textId="77777777" w:rsidR="00044B4B" w:rsidRPr="00C43511" w:rsidRDefault="00044B4B" w:rsidP="00044B4B">
      <w:pPr>
        <w:pStyle w:val="Sinespaciado"/>
        <w:tabs>
          <w:tab w:val="left" w:pos="1532"/>
        </w:tabs>
        <w:spacing w:line="276" w:lineRule="auto"/>
        <w:jc w:val="both"/>
        <w:rPr>
          <w:rFonts w:ascii="Verdana" w:hAnsi="Verdana" w:cs="Arial"/>
          <w:sz w:val="22"/>
          <w:lang w:val="es-ES"/>
        </w:rPr>
      </w:pPr>
    </w:p>
    <w:p w14:paraId="7253A7A6" w14:textId="77777777" w:rsidR="00044B4B" w:rsidRPr="00FB1A45" w:rsidRDefault="00044B4B" w:rsidP="00044B4B">
      <w:pPr>
        <w:spacing w:after="120"/>
        <w:ind w:left="709" w:right="709"/>
        <w:jc w:val="both"/>
        <w:rPr>
          <w:rFonts w:ascii="Verdana" w:hAnsi="Verdana" w:cs="Arial"/>
          <w:sz w:val="20"/>
          <w:szCs w:val="20"/>
          <w:lang w:val="es-ES"/>
        </w:rPr>
      </w:pPr>
      <w:r w:rsidRPr="00FB1A45">
        <w:rPr>
          <w:rFonts w:ascii="Verdana" w:hAnsi="Verdana" w:cs="Arial"/>
          <w:sz w:val="20"/>
          <w:szCs w:val="20"/>
        </w:rPr>
        <w:t>“</w:t>
      </w:r>
      <w:r w:rsidRPr="00FB1A45">
        <w:rPr>
          <w:rFonts w:ascii="Verdana" w:hAnsi="Verdana" w:cs="Arial"/>
          <w:sz w:val="20"/>
          <w:szCs w:val="20"/>
          <w:lang w:val="es-ES"/>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FB1A45">
        <w:rPr>
          <w:rFonts w:ascii="Verdana" w:hAnsi="Verdana" w:cs="Arial"/>
          <w:sz w:val="20"/>
          <w:szCs w:val="20"/>
          <w:lang w:val="es-ES"/>
        </w:rPr>
        <w:lastRenderedPageBreak/>
        <w:t>libertate</w:t>
      </w:r>
      <w:proofErr w:type="spellEnd"/>
      <w:r w:rsidRPr="00FB1A45">
        <w:rPr>
          <w:rFonts w:ascii="Verdana" w:hAnsi="Verdana" w:cs="Arial"/>
          <w:sz w:val="20"/>
          <w:szCs w:val="20"/>
          <w:lang w:val="es-ES"/>
        </w:rPr>
        <w:t xml:space="preserve">, sino el de legalidad, el que ordena que la función pública debe someterse estrictamente a lo que disponga la Constitución y la ley (CP art. 6). </w:t>
      </w:r>
    </w:p>
    <w:p w14:paraId="0E538FB5" w14:textId="77777777" w:rsidR="00044B4B" w:rsidRPr="00FB1A45" w:rsidRDefault="00044B4B" w:rsidP="00044B4B">
      <w:pPr>
        <w:spacing w:after="120"/>
        <w:ind w:left="709" w:right="709"/>
        <w:jc w:val="both"/>
        <w:rPr>
          <w:rFonts w:ascii="Verdana" w:hAnsi="Verdana" w:cs="Arial"/>
          <w:sz w:val="20"/>
          <w:szCs w:val="20"/>
          <w:lang w:val="es-ES"/>
        </w:rPr>
      </w:pPr>
      <w:r w:rsidRPr="00FB1A45">
        <w:rPr>
          <w:rFonts w:ascii="Verdana" w:hAnsi="Verdana" w:cs="Arial"/>
          <w:sz w:val="20"/>
          <w:szCs w:val="20"/>
          <w:lang w:val="es-ES"/>
        </w:rPr>
        <w:t xml:space="preserve">[…] </w:t>
      </w:r>
    </w:p>
    <w:p w14:paraId="36BCC4BB" w14:textId="77777777" w:rsidR="00044B4B" w:rsidRPr="00FB1A45" w:rsidRDefault="00044B4B" w:rsidP="00044B4B">
      <w:pPr>
        <w:spacing w:after="0"/>
        <w:ind w:left="709" w:right="709"/>
        <w:jc w:val="both"/>
        <w:rPr>
          <w:rFonts w:ascii="Verdana" w:hAnsi="Verdana" w:cs="Arial"/>
          <w:sz w:val="20"/>
          <w:szCs w:val="20"/>
          <w:lang w:val="es-ES"/>
        </w:rPr>
      </w:pPr>
      <w:r w:rsidRPr="00FB1A45">
        <w:rPr>
          <w:rFonts w:ascii="Verdana" w:hAnsi="Verdana" w:cs="Arial"/>
          <w:sz w:val="20"/>
          <w:szCs w:val="20"/>
          <w:lang w:val="es-ES"/>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FB1A45">
        <w:rPr>
          <w:rStyle w:val="Refdenotaalpie"/>
          <w:rFonts w:ascii="Verdana" w:hAnsi="Verdana" w:cs="Arial"/>
          <w:sz w:val="20"/>
          <w:szCs w:val="20"/>
          <w:lang w:val="es-ES"/>
        </w:rPr>
        <w:footnoteReference w:id="14"/>
      </w:r>
    </w:p>
    <w:p w14:paraId="02D419B2" w14:textId="77777777" w:rsidR="00044B4B" w:rsidRPr="00FB1A45" w:rsidRDefault="00044B4B" w:rsidP="00044B4B">
      <w:pPr>
        <w:spacing w:after="0"/>
        <w:ind w:left="709" w:right="709"/>
        <w:rPr>
          <w:rFonts w:ascii="Verdana" w:eastAsia="Times New Roman" w:hAnsi="Verdana" w:cs="Arial"/>
          <w:sz w:val="20"/>
          <w:szCs w:val="20"/>
          <w:shd w:val="clear" w:color="auto" w:fill="FFFFFF"/>
          <w:lang w:val="es-ES" w:eastAsia="es-ES_tradnl"/>
        </w:rPr>
      </w:pPr>
    </w:p>
    <w:p w14:paraId="1DEA7A63" w14:textId="77777777" w:rsidR="00044B4B" w:rsidRPr="00C43511" w:rsidRDefault="00044B4B" w:rsidP="00044B4B">
      <w:pPr>
        <w:spacing w:after="120" w:line="276" w:lineRule="auto"/>
        <w:ind w:firstLine="709"/>
        <w:jc w:val="both"/>
        <w:rPr>
          <w:rFonts w:ascii="Verdana" w:hAnsi="Verdana" w:cs="Arial"/>
          <w:lang w:val="es-ES"/>
        </w:rPr>
      </w:pPr>
      <w:r w:rsidRPr="00C43511">
        <w:rPr>
          <w:rFonts w:ascii="Verdana" w:hAnsi="Verdana" w:cs="Arial"/>
          <w:lang w:val="es-ES"/>
        </w:rPr>
        <w:t xml:space="preserve">Conviene también distinguir las fuentes de las inhabilidades, las cuales han sido clasificadas en dos (2) grupos: i) inhabilidades-sanción y </w:t>
      </w:r>
      <w:proofErr w:type="spellStart"/>
      <w:r w:rsidRPr="00C43511">
        <w:rPr>
          <w:rFonts w:ascii="Verdana" w:hAnsi="Verdana" w:cs="Arial"/>
          <w:lang w:val="es-ES"/>
        </w:rPr>
        <w:t>ii</w:t>
      </w:r>
      <w:proofErr w:type="spellEnd"/>
      <w:r w:rsidRPr="00C43511">
        <w:rPr>
          <w:rFonts w:ascii="Verdana" w:hAnsi="Verdana" w:cs="Arial"/>
          <w:lang w:val="es-ES"/>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C43511">
        <w:rPr>
          <w:rStyle w:val="Refdenotaalpie"/>
          <w:rFonts w:ascii="Verdana" w:hAnsi="Verdana" w:cs="Arial"/>
          <w:lang w:val="es-ES"/>
        </w:rPr>
        <w:footnoteReference w:id="15"/>
      </w:r>
      <w:r w:rsidRPr="00C43511">
        <w:rPr>
          <w:rFonts w:ascii="Verdana" w:hAnsi="Verdana" w:cs="Arial"/>
          <w:lang w:val="es-ES"/>
        </w:rPr>
        <w:t xml:space="preserve">. </w:t>
      </w:r>
    </w:p>
    <w:p w14:paraId="4765EEB3" w14:textId="77777777" w:rsidR="00044B4B" w:rsidRPr="00C43511" w:rsidRDefault="00044B4B" w:rsidP="00044B4B">
      <w:pPr>
        <w:spacing w:before="120" w:after="120" w:line="276" w:lineRule="auto"/>
        <w:ind w:firstLine="708"/>
        <w:jc w:val="both"/>
        <w:rPr>
          <w:rFonts w:ascii="Verdana" w:eastAsia="Arial MT" w:hAnsi="Verdana" w:cs="Arial"/>
          <w:lang w:val="es-ES" w:eastAsia="es-ES" w:bidi="es-ES"/>
        </w:rPr>
      </w:pPr>
      <w:r w:rsidRPr="00C43511">
        <w:rPr>
          <w:rFonts w:ascii="Verdana" w:hAnsi="Verdana" w:cs="Arial"/>
          <w:lang w:val="es-ES"/>
        </w:rPr>
        <w:t>A manera de ejemplo, en materia contractual, los literales c), d) y j) del numeral 1 del artículo 8 de la Ley 80 de 1993</w:t>
      </w:r>
      <w:r w:rsidRPr="00C43511">
        <w:rPr>
          <w:rFonts w:ascii="Verdana" w:hAnsi="Verdana" w:cs="Arial"/>
          <w:vertAlign w:val="superscript"/>
          <w:lang w:val="es-ES"/>
        </w:rPr>
        <w:footnoteReference w:id="16"/>
      </w:r>
      <w:r w:rsidRPr="00C43511">
        <w:rPr>
          <w:rFonts w:ascii="Verdana" w:hAnsi="Verdana" w:cs="Arial"/>
          <w:lang w:val="es-ES"/>
        </w:rPr>
        <w:t xml:space="preserve"> establecen inhabilidades-sanción, </w:t>
      </w:r>
      <w:r w:rsidRPr="00C43511">
        <w:rPr>
          <w:rFonts w:ascii="Verdana" w:hAnsi="Verdana" w:cs="Arial"/>
          <w:lang w:val="es-ES"/>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2C83257E" w14:textId="77777777" w:rsidR="00044B4B" w:rsidRPr="002A6C2C" w:rsidRDefault="00044B4B" w:rsidP="00044B4B">
      <w:pPr>
        <w:widowControl w:val="0"/>
        <w:autoSpaceDE w:val="0"/>
        <w:autoSpaceDN w:val="0"/>
        <w:spacing w:after="120" w:line="276" w:lineRule="auto"/>
        <w:ind w:firstLine="709"/>
        <w:jc w:val="both"/>
        <w:rPr>
          <w:rFonts w:ascii="Verdana" w:hAnsi="Verdana" w:cs="Arial"/>
          <w:color w:val="000000"/>
        </w:rPr>
      </w:pPr>
      <w:r w:rsidRPr="002A6C2C">
        <w:rPr>
          <w:rFonts w:ascii="Verdana" w:hAnsi="Verdana" w:cs="Arial"/>
          <w:lang w:val="es-ES"/>
        </w:rPr>
        <w:t xml:space="preserve">Ahora bien, </w:t>
      </w:r>
      <w:r>
        <w:rPr>
          <w:rFonts w:ascii="Verdana" w:hAnsi="Verdana" w:cs="Arial"/>
          <w:lang w:val="es-ES"/>
        </w:rPr>
        <w:t>para resolver el objeto de la consulta, resulta pertinente estudiar los supuestos de hecho desarrollados para l</w:t>
      </w:r>
      <w:r w:rsidRPr="002A6C2C">
        <w:rPr>
          <w:rFonts w:ascii="Verdana" w:hAnsi="Verdana" w:cs="Arial"/>
          <w:lang w:val="es-ES"/>
        </w:rPr>
        <w:t xml:space="preserve">a inhabilidad prevista en el literal d) del numeral 1 del artículo 8 de la Ley 80 de 1993, de cuyo texto indica que son inhábiles para contratar: </w:t>
      </w:r>
      <w:r>
        <w:rPr>
          <w:rFonts w:ascii="Verdana" w:hAnsi="Verdana" w:cs="Arial"/>
          <w:lang w:val="es-ES"/>
        </w:rPr>
        <w:t>“</w:t>
      </w:r>
      <w:r w:rsidRPr="00377627">
        <w:rPr>
          <w:rFonts w:ascii="Verdana" w:hAnsi="Verdana" w:cs="Arial"/>
          <w:i/>
          <w:iCs/>
          <w:color w:val="000000"/>
        </w:rPr>
        <w:t xml:space="preserve">Quienes en sentencia judicial hayan sido </w:t>
      </w:r>
      <w:r w:rsidRPr="00377627">
        <w:rPr>
          <w:rFonts w:ascii="Verdana" w:hAnsi="Verdana" w:cs="Arial"/>
          <w:i/>
          <w:iCs/>
          <w:color w:val="000000"/>
        </w:rPr>
        <w:lastRenderedPageBreak/>
        <w:t>condenados a la pena accesoria de interdicción de derechos y funciones públicas y quienes hayan sido sancionados disciplinariamente con destitución</w:t>
      </w:r>
      <w:r>
        <w:rPr>
          <w:rFonts w:ascii="Verdana" w:hAnsi="Verdana" w:cs="Arial"/>
          <w:color w:val="000000"/>
        </w:rPr>
        <w:t>”</w:t>
      </w:r>
      <w:r w:rsidRPr="002A6C2C">
        <w:rPr>
          <w:rFonts w:ascii="Verdana" w:hAnsi="Verdana" w:cs="Arial"/>
          <w:color w:val="000000"/>
        </w:rPr>
        <w:t xml:space="preserve">. En efecto, se trata de una inhabilidad sanción, puesto que se configura en atención a unos supuestos de hecho que implican la expedición de providencias judiciales o administrativas en contra de personas a quienes, por la connotación de las conductas que se les reprochan, el Estatuto General de Contratación de la Administración Pública ha restringido su capacidad para suscribir y ejecutar contratos estatales. </w:t>
      </w:r>
    </w:p>
    <w:p w14:paraId="3E420BCB" w14:textId="77777777" w:rsidR="00044B4B" w:rsidRPr="002A6C2C" w:rsidRDefault="00044B4B" w:rsidP="00044B4B">
      <w:pPr>
        <w:spacing w:after="120" w:line="276" w:lineRule="auto"/>
        <w:jc w:val="both"/>
        <w:rPr>
          <w:rFonts w:ascii="Verdana" w:hAnsi="Verdana" w:cs="Arial"/>
        </w:rPr>
      </w:pPr>
      <w:r w:rsidRPr="002A6C2C">
        <w:rPr>
          <w:rFonts w:ascii="Verdana" w:hAnsi="Verdana" w:cs="Arial"/>
          <w:lang w:val="es-ES"/>
        </w:rPr>
        <w:tab/>
        <w:t xml:space="preserve">La inhabilitación para el ejercicio de funciones públicas es una pena contemplada en el Código Penal que se impone de manera accesoria, en virtud de la cual se </w:t>
      </w:r>
      <w:r>
        <w:rPr>
          <w:rFonts w:ascii="Verdana" w:hAnsi="Verdana" w:cs="Arial"/>
          <w:lang w:val="es-ES"/>
        </w:rPr>
        <w:t>“</w:t>
      </w:r>
      <w:r w:rsidRPr="002A6C2C">
        <w:rPr>
          <w:rFonts w:ascii="Verdana" w:hAnsi="Verdana" w:cs="Arial"/>
          <w:lang w:val="es-ES"/>
        </w:rPr>
        <w:t>[…] priva al penado de la facultad de elegir y ser elegido, del ejercicio de cualquier otro derecho político, función pública, dignidades y honores que confieren las entidades oficiales</w:t>
      </w:r>
      <w:r>
        <w:rPr>
          <w:rFonts w:ascii="Verdana" w:hAnsi="Verdana" w:cs="Arial"/>
          <w:lang w:val="es-ES"/>
        </w:rPr>
        <w:t>”</w:t>
      </w:r>
      <w:r w:rsidRPr="002A6C2C">
        <w:rPr>
          <w:rStyle w:val="Refdenotaalpie"/>
          <w:rFonts w:ascii="Verdana" w:hAnsi="Verdana" w:cs="Arial"/>
          <w:lang w:val="es-ES"/>
        </w:rPr>
        <w:footnoteReference w:id="17"/>
      </w:r>
      <w:r w:rsidRPr="002A6C2C">
        <w:rPr>
          <w:rFonts w:ascii="Verdana" w:hAnsi="Verdana" w:cs="Arial"/>
          <w:lang w:val="es-ES"/>
        </w:rPr>
        <w:t xml:space="preserve">. Por su parte, en el ámbito disciplinario, la sanción de </w:t>
      </w:r>
      <w:r>
        <w:rPr>
          <w:rFonts w:ascii="Verdana" w:hAnsi="Verdana" w:cs="Arial"/>
          <w:lang w:val="es-ES"/>
        </w:rPr>
        <w:t>“</w:t>
      </w:r>
      <w:r w:rsidRPr="002A6C2C">
        <w:rPr>
          <w:rFonts w:ascii="Verdana" w:hAnsi="Verdana" w:cs="Arial"/>
          <w:lang w:val="es-ES"/>
        </w:rPr>
        <w:t>destitución e inhabilidad general</w:t>
      </w:r>
      <w:r>
        <w:rPr>
          <w:rFonts w:ascii="Verdana" w:hAnsi="Verdana" w:cs="Arial"/>
          <w:lang w:val="es-ES"/>
        </w:rPr>
        <w:t>”</w:t>
      </w:r>
      <w:r w:rsidRPr="002A6C2C">
        <w:rPr>
          <w:rFonts w:ascii="Verdana" w:hAnsi="Verdana" w:cs="Arial"/>
          <w:lang w:val="es-ES"/>
        </w:rPr>
        <w:t xml:space="preserve"> implica: </w:t>
      </w:r>
      <w:r w:rsidRPr="002A6C2C">
        <w:rPr>
          <w:rFonts w:ascii="Verdana" w:hAnsi="Verdana" w:cs="Arial"/>
        </w:rPr>
        <w:t>la terminación de la relación del servidor público o del particular con la administración –sin que importe que sea de libre nombramiento y remoción, de carrera o elección–, o la desvinculación del cargo, en los casos previstos en la Constitución Política y la ley; o la terminación del contrato de trabajo, y, en cualquier caso, la imposibilidad de ejercer la función pública en cualquier cargo o función, por el termino señalado en el fallo</w:t>
      </w:r>
      <w:r w:rsidRPr="002A6C2C">
        <w:rPr>
          <w:rStyle w:val="Refdenotaalpie"/>
          <w:rFonts w:ascii="Verdana" w:hAnsi="Verdana" w:cs="Arial"/>
        </w:rPr>
        <w:footnoteReference w:id="18"/>
      </w:r>
      <w:r w:rsidRPr="002A6C2C">
        <w:rPr>
          <w:rFonts w:ascii="Verdana" w:hAnsi="Verdana" w:cs="Arial"/>
        </w:rPr>
        <w:t xml:space="preserve">.  </w:t>
      </w:r>
    </w:p>
    <w:p w14:paraId="06CB4D5B" w14:textId="77777777" w:rsidR="00044B4B" w:rsidRPr="002A6C2C" w:rsidRDefault="00044B4B" w:rsidP="00044B4B">
      <w:pPr>
        <w:spacing w:after="0" w:line="276" w:lineRule="auto"/>
        <w:ind w:firstLine="708"/>
        <w:jc w:val="both"/>
        <w:rPr>
          <w:rFonts w:ascii="Verdana" w:hAnsi="Verdana" w:cs="Arial"/>
        </w:rPr>
      </w:pPr>
      <w:r w:rsidRPr="002A6C2C">
        <w:rPr>
          <w:rFonts w:ascii="Verdana" w:hAnsi="Verdana" w:cs="Arial"/>
          <w:lang w:val="es-ES"/>
        </w:rPr>
        <w:t xml:space="preserve"> De acuerdo con lo anterior, las penas judiciales y disciplinarias referidas en el supuesto de hecho de la inhabilidad tipificada en literal d) del numeral 1 </w:t>
      </w:r>
      <w:r w:rsidRPr="002A6C2C">
        <w:rPr>
          <w:rFonts w:ascii="Verdana" w:hAnsi="Verdana" w:cs="Arial"/>
          <w:lang w:val="es-ES"/>
        </w:rPr>
        <w:lastRenderedPageBreak/>
        <w:t>del artículo 8 de la Ley 80 de 1993, de por sí suponen la imposibilidad para el penado de ejercer cargos y funciones públicas lo que</w:t>
      </w:r>
      <w:r>
        <w:rPr>
          <w:rFonts w:ascii="Verdana" w:hAnsi="Verdana" w:cs="Arial"/>
          <w:lang w:val="es-ES"/>
        </w:rPr>
        <w:t>,</w:t>
      </w:r>
      <w:r w:rsidRPr="002A6C2C">
        <w:rPr>
          <w:rFonts w:ascii="Verdana" w:hAnsi="Verdana" w:cs="Arial"/>
          <w:lang w:val="es-ES"/>
        </w:rPr>
        <w:t xml:space="preserve"> en virtud de su conexidad con los fines </w:t>
      </w:r>
      <w:r>
        <w:rPr>
          <w:rFonts w:ascii="Verdana" w:hAnsi="Verdana" w:cs="Arial"/>
          <w:lang w:val="es-ES"/>
        </w:rPr>
        <w:t>de la</w:t>
      </w:r>
      <w:r w:rsidRPr="002A6C2C">
        <w:rPr>
          <w:rFonts w:ascii="Verdana" w:hAnsi="Verdana" w:cs="Arial"/>
          <w:lang w:val="es-ES"/>
        </w:rPr>
        <w:t xml:space="preserve"> contrat</w:t>
      </w:r>
      <w:r>
        <w:rPr>
          <w:rFonts w:ascii="Verdana" w:hAnsi="Verdana" w:cs="Arial"/>
          <w:lang w:val="es-ES"/>
        </w:rPr>
        <w:t>ación</w:t>
      </w:r>
      <w:r w:rsidRPr="002A6C2C">
        <w:rPr>
          <w:rFonts w:ascii="Verdana" w:hAnsi="Verdana" w:cs="Arial"/>
          <w:lang w:val="es-ES"/>
        </w:rPr>
        <w:t xml:space="preserve"> estatal, deviene en una restricción a la posibilidad fungir como colaborador de la administración pública. </w:t>
      </w:r>
      <w:r w:rsidRPr="002A6C2C">
        <w:rPr>
          <w:rFonts w:ascii="Verdana" w:hAnsi="Verdana" w:cs="Arial"/>
        </w:rPr>
        <w:t xml:space="preserve">Sobre la constitucionalidad de esta norma se pronunció la Corte Constitucional manifestando lo siguiente:  </w:t>
      </w:r>
    </w:p>
    <w:p w14:paraId="40635108" w14:textId="77777777" w:rsidR="00044B4B" w:rsidRPr="002A6C2C" w:rsidRDefault="00044B4B" w:rsidP="00044B4B">
      <w:pPr>
        <w:pStyle w:val="NormalWeb"/>
        <w:spacing w:before="0" w:beforeAutospacing="0" w:after="0" w:afterAutospacing="0"/>
        <w:ind w:left="709" w:right="709"/>
        <w:jc w:val="both"/>
        <w:rPr>
          <w:rFonts w:ascii="Verdana" w:hAnsi="Verdana" w:cs="Arial"/>
          <w:sz w:val="21"/>
          <w:szCs w:val="21"/>
        </w:rPr>
      </w:pPr>
    </w:p>
    <w:p w14:paraId="3D2889DB" w14:textId="77777777" w:rsidR="00044B4B" w:rsidRPr="00FB1A45" w:rsidRDefault="00044B4B" w:rsidP="00044B4B">
      <w:pPr>
        <w:pStyle w:val="NormalWeb"/>
        <w:spacing w:before="0" w:beforeAutospacing="0" w:after="0" w:afterAutospacing="0"/>
        <w:ind w:left="709" w:right="709"/>
        <w:jc w:val="both"/>
        <w:rPr>
          <w:rFonts w:ascii="Verdana" w:hAnsi="Verdana" w:cs="Arial"/>
          <w:color w:val="000000" w:themeColor="text1"/>
          <w:sz w:val="20"/>
          <w:szCs w:val="20"/>
        </w:rPr>
      </w:pPr>
      <w:r w:rsidRPr="00FB1A45">
        <w:rPr>
          <w:rFonts w:ascii="Verdana" w:hAnsi="Verdana" w:cs="Arial"/>
          <w:color w:val="000000" w:themeColor="text1"/>
          <w:sz w:val="20"/>
          <w:szCs w:val="20"/>
        </w:rPr>
        <w:t>Estima la Corte, que la inhabilidad señalada en el literal d) del ordinal 1o. del artículo </w:t>
      </w:r>
      <w:hyperlink r:id="rId12" w:anchor="8" w:history="1">
        <w:r w:rsidRPr="00FB1A45">
          <w:rPr>
            <w:rFonts w:ascii="Verdana" w:hAnsi="Verdana"/>
            <w:sz w:val="20"/>
            <w:szCs w:val="20"/>
          </w:rPr>
          <w:t>8</w:t>
        </w:r>
      </w:hyperlink>
      <w:r w:rsidRPr="00FB1A45">
        <w:rPr>
          <w:rFonts w:ascii="Verdana" w:hAnsi="Verdana" w:cs="Arial"/>
          <w:color w:val="000000" w:themeColor="text1"/>
          <w:sz w:val="20"/>
          <w:szCs w:val="20"/>
        </w:rPr>
        <w:t>o, de la Ley 80, aunque tiene como fuente u origen o fundamento la pena accesoria de interdicción de derechos y funciones públicas, no constituye una nueva pena. En efecto:</w:t>
      </w:r>
    </w:p>
    <w:p w14:paraId="573D6A41" w14:textId="77777777" w:rsidR="00044B4B" w:rsidRPr="00FB1A45" w:rsidRDefault="00044B4B" w:rsidP="00044B4B">
      <w:pPr>
        <w:pStyle w:val="NormalWeb"/>
        <w:spacing w:before="0" w:beforeAutospacing="0" w:after="0" w:afterAutospacing="0"/>
        <w:ind w:left="709" w:right="709"/>
        <w:jc w:val="both"/>
        <w:rPr>
          <w:rFonts w:ascii="Verdana" w:hAnsi="Verdana" w:cs="Arial"/>
          <w:color w:val="000000" w:themeColor="text1"/>
          <w:sz w:val="20"/>
          <w:szCs w:val="20"/>
        </w:rPr>
      </w:pPr>
    </w:p>
    <w:p w14:paraId="6A221554" w14:textId="77777777" w:rsidR="00044B4B" w:rsidRPr="00FB1A45" w:rsidRDefault="00044B4B" w:rsidP="00044B4B">
      <w:pPr>
        <w:ind w:left="709" w:right="709"/>
        <w:jc w:val="both"/>
        <w:rPr>
          <w:rFonts w:ascii="Verdana" w:eastAsia="Times New Roman" w:hAnsi="Verdana" w:cs="Arial"/>
          <w:color w:val="000000" w:themeColor="text1"/>
          <w:sz w:val="20"/>
          <w:szCs w:val="20"/>
          <w:lang w:eastAsia="es-MX"/>
        </w:rPr>
      </w:pPr>
      <w:r w:rsidRPr="00FB1A45">
        <w:rPr>
          <w:rFonts w:ascii="Verdana" w:eastAsia="Times New Roman" w:hAnsi="Verdana" w:cs="Arial"/>
          <w:color w:val="000000" w:themeColor="text1"/>
          <w:sz w:val="20"/>
          <w:szCs w:val="20"/>
          <w:lang w:eastAsia="es-MX"/>
        </w:rPr>
        <w:t>Las penas principales y accesorias, por infracción de las normas penales hacen parte de un sistema normativo contenido en el Código Penal. Tal ha sido la tradición jurídica. Pero, además, las inhabilidades e incompatibilidades que, como se ha visto, obedecen a finalidades diferentes de interés público, asociadas al logro de la imparcialidad, la eficacia, la eficiencia y la moralidad en las operaciones contractuales, no pueden identificarse ni asimilarse a las penas que se imponen por la comisión de un ilícito, con los fines, entre otros, de retribuir a la sociedad el perjuicio causado por la conducta que afecta un bien jurídico superior o fundamental para ésta. </w:t>
      </w:r>
    </w:p>
    <w:p w14:paraId="38992FED" w14:textId="77777777" w:rsidR="00044B4B" w:rsidRPr="00FB1A45" w:rsidRDefault="00044B4B" w:rsidP="00044B4B">
      <w:pPr>
        <w:ind w:left="709" w:right="709"/>
        <w:jc w:val="both"/>
        <w:rPr>
          <w:rFonts w:ascii="Verdana" w:eastAsia="Times New Roman" w:hAnsi="Verdana" w:cs="Arial"/>
          <w:color w:val="000000" w:themeColor="text1"/>
          <w:sz w:val="20"/>
          <w:szCs w:val="20"/>
          <w:lang w:eastAsia="es-MX"/>
        </w:rPr>
      </w:pPr>
      <w:r w:rsidRPr="00FB1A45">
        <w:rPr>
          <w:rFonts w:ascii="Verdana" w:eastAsia="Times New Roman" w:hAnsi="Verdana" w:cs="Arial"/>
          <w:color w:val="000000" w:themeColor="text1"/>
          <w:sz w:val="20"/>
          <w:szCs w:val="20"/>
          <w:lang w:eastAsia="es-MX"/>
        </w:rPr>
        <w:t>Las inhabilidades e incompatibilidades, según los criterios antes expuestos, constituyen prohibiciones que restringen la capacidad y la libertad de un contratista para acceder a la contratación, pero no consagran una modalidad adicional de sanción penal a las previstas en el Código de la materia. </w:t>
      </w:r>
    </w:p>
    <w:p w14:paraId="67D06CF7" w14:textId="77777777" w:rsidR="00044B4B" w:rsidRPr="00FB1A45" w:rsidRDefault="00044B4B" w:rsidP="00044B4B">
      <w:pPr>
        <w:ind w:left="709" w:right="709"/>
        <w:jc w:val="both"/>
        <w:rPr>
          <w:rFonts w:ascii="Verdana" w:eastAsia="Times New Roman" w:hAnsi="Verdana" w:cs="Arial"/>
          <w:color w:val="000000" w:themeColor="text1"/>
          <w:sz w:val="20"/>
          <w:szCs w:val="20"/>
          <w:lang w:eastAsia="es-MX"/>
        </w:rPr>
      </w:pPr>
      <w:r w:rsidRPr="00FB1A45">
        <w:rPr>
          <w:rFonts w:ascii="Verdana" w:eastAsia="Times New Roman" w:hAnsi="Verdana" w:cs="Arial"/>
          <w:color w:val="000000" w:themeColor="text1"/>
          <w:sz w:val="20"/>
          <w:szCs w:val="20"/>
          <w:lang w:eastAsia="es-MX"/>
        </w:rPr>
        <w:t xml:space="preserve">Cuando se juzga un ilícito no se tienen en cuenta las condiciones o calidades del sujeto imputado para acceder a la contratación pública, sino la antijuricidad del hecho imputado su culpabilidad y la consiguiente responsabilidad, condiciones y calidades que necesariamente se valoran en las operaciones contractuales que realiza el Estado. Por consiguiente, resultan perfectamente diferenciables las sanciones penales de las inhabilidades e incompatibilidades y, en tal virtud, no puede considerarse que la inhabilidad establecida en la ley de contratación implique la existencia de un juzgamiento y de una doble sanción por un mismo hecho. Es más, cuando en un contratista concurre una causal de inhabilidad o incompatibilidad, simplemente se le priva o se le prohíbe el acceso a la contratación, pero no se le juzga penalmente por un hecho ilícito, ni mucho menos se lo sanciona. </w:t>
      </w:r>
    </w:p>
    <w:p w14:paraId="41F11FB7" w14:textId="77777777" w:rsidR="00044B4B" w:rsidRPr="00FB1A45" w:rsidRDefault="00044B4B" w:rsidP="00044B4B">
      <w:pPr>
        <w:spacing w:after="0"/>
        <w:ind w:left="709" w:right="709"/>
        <w:jc w:val="both"/>
        <w:rPr>
          <w:rFonts w:ascii="Verdana" w:eastAsia="Times New Roman" w:hAnsi="Verdana" w:cs="Arial"/>
          <w:color w:val="000000" w:themeColor="text1"/>
          <w:sz w:val="20"/>
          <w:szCs w:val="20"/>
          <w:lang w:eastAsia="es-MX"/>
        </w:rPr>
      </w:pPr>
      <w:r w:rsidRPr="00FB1A45">
        <w:rPr>
          <w:rFonts w:ascii="Verdana" w:eastAsia="Times New Roman" w:hAnsi="Verdana" w:cs="Arial"/>
          <w:color w:val="000000" w:themeColor="text1"/>
          <w:sz w:val="20"/>
          <w:szCs w:val="20"/>
          <w:lang w:eastAsia="es-MX"/>
        </w:rPr>
        <w:lastRenderedPageBreak/>
        <w:t xml:space="preserve">[L]a inhabilidad consagrada, se juzga necesaria, conducente y proporcionada a la finalidad que la misma persigue, </w:t>
      </w:r>
      <w:r w:rsidRPr="00FB1A45">
        <w:rPr>
          <w:rFonts w:ascii="Verdana" w:eastAsia="Times New Roman" w:hAnsi="Verdana" w:cs="Arial"/>
          <w:i/>
          <w:iCs/>
          <w:color w:val="000000" w:themeColor="text1"/>
          <w:sz w:val="20"/>
          <w:szCs w:val="20"/>
          <w:lang w:eastAsia="es-MX"/>
        </w:rPr>
        <w:t>cual es de que no accedan a la contratación, en forma temporal, como colaboradores en la consecución de los fines propios del contrato, quienes hayan cometido delitos que conlleven la pena accesoria de interdicción de derechos y funciones públicas, porque de alguna manera la celebración y ejecución de contratos comporta el desarrollo de actividades anejas al ejercicio de dichas funciones</w:t>
      </w:r>
      <w:r w:rsidRPr="00FB1A45">
        <w:rPr>
          <w:rFonts w:ascii="Verdana" w:eastAsia="Times New Roman" w:hAnsi="Verdana" w:cs="Arial"/>
          <w:color w:val="000000" w:themeColor="text1"/>
          <w:sz w:val="20"/>
          <w:szCs w:val="20"/>
          <w:lang w:eastAsia="es-MX"/>
        </w:rPr>
        <w:t>.</w:t>
      </w:r>
      <w:r w:rsidRPr="00FB1A45">
        <w:rPr>
          <w:rFonts w:ascii="Verdana" w:eastAsia="Times New Roman" w:hAnsi="Verdana" w:cs="Arial"/>
          <w:i/>
          <w:iCs/>
          <w:color w:val="000000" w:themeColor="text1"/>
          <w:sz w:val="20"/>
          <w:szCs w:val="20"/>
          <w:lang w:eastAsia="es-MX"/>
        </w:rPr>
        <w:t xml:space="preserve"> </w:t>
      </w:r>
      <w:r w:rsidRPr="00FB1A45">
        <w:rPr>
          <w:rFonts w:ascii="Verdana" w:eastAsia="Times New Roman" w:hAnsi="Verdana" w:cs="Arial"/>
          <w:color w:val="000000" w:themeColor="text1"/>
          <w:sz w:val="20"/>
          <w:szCs w:val="20"/>
          <w:lang w:eastAsia="es-MX"/>
        </w:rPr>
        <w:t xml:space="preserve"> [Cursivas fuera de texto].</w:t>
      </w:r>
      <w:r w:rsidRPr="00FB1A45">
        <w:rPr>
          <w:rStyle w:val="Refdenotaalpie"/>
          <w:rFonts w:ascii="Verdana" w:eastAsia="Times New Roman" w:hAnsi="Verdana" w:cs="Arial"/>
          <w:color w:val="000000" w:themeColor="text1"/>
          <w:sz w:val="20"/>
          <w:szCs w:val="20"/>
          <w:lang w:eastAsia="es-MX"/>
        </w:rPr>
        <w:footnoteReference w:id="19"/>
      </w:r>
    </w:p>
    <w:p w14:paraId="5A5A7D1B" w14:textId="77777777" w:rsidR="00044B4B" w:rsidRPr="002A6C2C" w:rsidRDefault="00044B4B" w:rsidP="00044B4B">
      <w:pPr>
        <w:spacing w:after="0"/>
        <w:ind w:left="709" w:right="709"/>
        <w:jc w:val="both"/>
        <w:rPr>
          <w:rFonts w:ascii="Verdana" w:eastAsia="Times New Roman" w:hAnsi="Verdana" w:cs="Arial"/>
          <w:color w:val="000000" w:themeColor="text1"/>
          <w:sz w:val="21"/>
          <w:szCs w:val="21"/>
          <w:lang w:eastAsia="es-MX"/>
        </w:rPr>
      </w:pPr>
    </w:p>
    <w:p w14:paraId="5C7E558A" w14:textId="77777777" w:rsidR="00044B4B" w:rsidRDefault="00044B4B" w:rsidP="00044B4B">
      <w:pPr>
        <w:spacing w:after="120" w:line="276" w:lineRule="auto"/>
        <w:ind w:right="49" w:firstLine="709"/>
        <w:jc w:val="both"/>
        <w:rPr>
          <w:rFonts w:ascii="Verdana" w:eastAsia="Times New Roman" w:hAnsi="Verdana" w:cs="Arial"/>
          <w:lang w:eastAsia="es-MX"/>
        </w:rPr>
      </w:pPr>
      <w:r w:rsidRPr="002A6C2C">
        <w:rPr>
          <w:rFonts w:ascii="Verdana" w:eastAsia="Times New Roman" w:hAnsi="Verdana" w:cs="Arial"/>
          <w:lang w:eastAsia="es-MX"/>
        </w:rPr>
        <w:t xml:space="preserve">De lo anterior se podría concluir que, de acuerdo con lo establecido en el literal d) del numeral 1 del artículo 8 de la Ley 80 de 1993, las personas naturales a las que se les haya impuesto una pena accesoria de interdicción de derechos y funciones públicas, al igual que las que hayan sido sancionados disciplinariamente con destitución, </w:t>
      </w:r>
      <w:r w:rsidRPr="002A6C2C">
        <w:rPr>
          <w:rFonts w:ascii="Verdana" w:hAnsi="Verdana" w:cs="Arial"/>
        </w:rPr>
        <w:t xml:space="preserve">están incursas en la referida causal de inhabilidad, por lo que no pueden contratar con entidades estatales. De esta manera, </w:t>
      </w:r>
      <w:r w:rsidRPr="002A6C2C">
        <w:rPr>
          <w:rFonts w:ascii="Verdana" w:eastAsia="Times New Roman" w:hAnsi="Verdana" w:cs="Arial"/>
          <w:lang w:eastAsia="es-MX"/>
        </w:rPr>
        <w:t xml:space="preserve">una vez en firme la providencia que dispone la pena o sanción, la inhabilidad comienza a surtir sus efectos restringiendo de ese momento en adelante la posibilidad de suscribir nuevos contratos o participar en procesos de contratación.  </w:t>
      </w:r>
    </w:p>
    <w:p w14:paraId="75A47C13" w14:textId="77777777" w:rsidR="00044B4B" w:rsidRPr="0029610E" w:rsidRDefault="00044B4B" w:rsidP="00044B4B">
      <w:pPr>
        <w:spacing w:after="120" w:line="276" w:lineRule="auto"/>
        <w:ind w:firstLine="708"/>
        <w:jc w:val="both"/>
        <w:rPr>
          <w:rFonts w:ascii="Verdana" w:hAnsi="Verdana" w:cs="Arial"/>
          <w:color w:val="000000" w:themeColor="text1"/>
        </w:rPr>
      </w:pPr>
      <w:r>
        <w:rPr>
          <w:rFonts w:ascii="Verdana" w:hAnsi="Verdana" w:cs="Arial"/>
          <w:color w:val="000000" w:themeColor="text1"/>
        </w:rPr>
        <w:t>Ahora bien</w:t>
      </w:r>
      <w:r w:rsidRPr="0029610E">
        <w:rPr>
          <w:rFonts w:ascii="Verdana" w:hAnsi="Verdana" w:cs="Arial"/>
          <w:color w:val="000000" w:themeColor="text1"/>
        </w:rPr>
        <w:t xml:space="preserve">, esta inhabilidad tiene un término de duración específico fijado por la sentencia judicial o la ley, y no es indefinida. Por lo tanto, </w:t>
      </w:r>
      <w:r>
        <w:rPr>
          <w:rFonts w:ascii="Verdana" w:hAnsi="Verdana" w:cs="Arial"/>
          <w:color w:val="000000" w:themeColor="text1"/>
        </w:rPr>
        <w:t xml:space="preserve">en atención al problema jurídico planteado </w:t>
      </w:r>
      <w:r w:rsidRPr="0029610E">
        <w:rPr>
          <w:rFonts w:ascii="Verdana" w:hAnsi="Verdana" w:cs="Arial"/>
          <w:color w:val="000000" w:themeColor="text1"/>
        </w:rPr>
        <w:t>el factor determinante es establecer si dicha pena accesoria (la inhabilidad) sigue vigente o si ya expiró.</w:t>
      </w:r>
    </w:p>
    <w:p w14:paraId="4238E927" w14:textId="77777777" w:rsidR="00044B4B" w:rsidRDefault="00044B4B" w:rsidP="00044B4B">
      <w:pPr>
        <w:spacing w:after="120" w:line="276" w:lineRule="auto"/>
        <w:ind w:firstLine="708"/>
        <w:jc w:val="both"/>
        <w:rPr>
          <w:rFonts w:ascii="Verdana" w:hAnsi="Verdana" w:cs="Arial"/>
          <w:color w:val="000000" w:themeColor="text1"/>
        </w:rPr>
      </w:pPr>
      <w:r w:rsidRPr="0029610E">
        <w:rPr>
          <w:rFonts w:ascii="Verdana" w:hAnsi="Verdana" w:cs="Arial"/>
          <w:color w:val="000000" w:themeColor="text1"/>
        </w:rPr>
        <w:t xml:space="preserve">Esta vigencia se evidencia en el certificado de antecedentes disciplinarios y de inhabilidades emitido por la Procuraduría General de la Nación. Si este documento oficial certifica que la persona actualmente no tiene sanciones ni inhabilidades vigentes, significa que el tiempo de la inhabilidad impuesta (accesoria a la condena penal) ha expirado. </w:t>
      </w:r>
    </w:p>
    <w:p w14:paraId="1C554793" w14:textId="77777777" w:rsidR="00044B4B" w:rsidRDefault="00044B4B" w:rsidP="00044B4B">
      <w:pPr>
        <w:spacing w:after="120" w:line="276" w:lineRule="auto"/>
        <w:ind w:firstLine="708"/>
        <w:jc w:val="both"/>
        <w:rPr>
          <w:rFonts w:ascii="Verdana" w:hAnsi="Verdana" w:cs="Arial"/>
          <w:color w:val="000000" w:themeColor="text1"/>
        </w:rPr>
      </w:pPr>
      <w:r w:rsidRPr="008276BA">
        <w:rPr>
          <w:rFonts w:ascii="Verdana" w:hAnsi="Verdana" w:cs="Arial"/>
          <w:color w:val="000000" w:themeColor="text1"/>
        </w:rPr>
        <w:t xml:space="preserve">En consecuencia, corresponderá a los equipos jurídicos de la entidad contratante analizar, a la luz de la normatividad citada y de la información contenida en el certificado de antecedentes disciplinarios y de inhabilidades expedido por la Procuraduría General de la Nación, si en el caso concreto subsiste o no una inhabilidad vigente que impida la contratación. Este análisis debe efectuarse de manera integral, verificando la naturaleza de la sanción impuesta, </w:t>
      </w:r>
      <w:r w:rsidRPr="008276BA">
        <w:rPr>
          <w:rFonts w:ascii="Verdana" w:hAnsi="Verdana" w:cs="Arial"/>
          <w:color w:val="000000" w:themeColor="text1"/>
        </w:rPr>
        <w:lastRenderedPageBreak/>
        <w:t>el término de duración de la inhabilidad y su eventual expiración, con el fin de garantizar que la celebración del contrato de prestación de servicios profesionales se ajuste plenamente al marco legal y a los principios de transparencia y legalidad que rigen la contratación estatal.</w:t>
      </w:r>
    </w:p>
    <w:p w14:paraId="0EA7940B" w14:textId="77777777" w:rsidR="00044B4B" w:rsidRDefault="00044B4B" w:rsidP="00044B4B">
      <w:pPr>
        <w:spacing w:after="120" w:line="276" w:lineRule="auto"/>
        <w:jc w:val="both"/>
        <w:rPr>
          <w:rFonts w:ascii="Verdana" w:eastAsia="Times New Roman" w:hAnsi="Verdana" w:cs="Arial"/>
          <w:lang w:eastAsia="es-ES_tradnl"/>
        </w:rPr>
      </w:pPr>
      <w:r>
        <w:rPr>
          <w:rFonts w:ascii="Verdana" w:eastAsia="Times New Roman" w:hAnsi="Verdana" w:cs="Arial"/>
          <w:color w:val="000000" w:themeColor="text1"/>
          <w:lang w:eastAsia="es-CO"/>
        </w:rPr>
        <w:t xml:space="preserve">         Finalmente,</w:t>
      </w:r>
      <w:r w:rsidRPr="00262582">
        <w:rPr>
          <w:rFonts w:ascii="Verdana" w:eastAsia="Times New Roman" w:hAnsi="Verdana" w:cs="Arial"/>
          <w:color w:val="000000" w:themeColor="text1"/>
          <w:lang w:eastAsia="es-CO"/>
        </w:rPr>
        <w:t xml:space="preserv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r w:rsidRPr="00C95794">
        <w:rPr>
          <w:rFonts w:ascii="Verdana" w:eastAsia="Century Gothic" w:hAnsi="Verdana" w:cs="Century Gothic"/>
        </w:rPr>
        <w:t>.</w:t>
      </w:r>
    </w:p>
    <w:p w14:paraId="4DE721F8" w14:textId="77777777" w:rsidR="00044B4B" w:rsidRDefault="00044B4B" w:rsidP="00044B4B">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70EF4DF" w14:textId="77777777" w:rsidR="00044B4B" w:rsidRPr="0060676F" w:rsidRDefault="00044B4B" w:rsidP="00044B4B">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53D4D751" w14:textId="77777777" w:rsidR="00044B4B" w:rsidRPr="00593A5F" w:rsidRDefault="00044B4B" w:rsidP="00044B4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44B4B" w:rsidRPr="00593A5F" w14:paraId="75EB673E" w14:textId="77777777" w:rsidTr="008B3546">
        <w:trPr>
          <w:trHeight w:val="870"/>
        </w:trPr>
        <w:tc>
          <w:tcPr>
            <w:tcW w:w="8647" w:type="dxa"/>
          </w:tcPr>
          <w:p w14:paraId="27552322" w14:textId="77777777" w:rsidR="00044B4B" w:rsidRDefault="00044B4B" w:rsidP="008B3546">
            <w:pPr>
              <w:pStyle w:val="Prrafodelista"/>
              <w:numPr>
                <w:ilvl w:val="0"/>
                <w:numId w:val="17"/>
              </w:numPr>
              <w:jc w:val="both"/>
              <w:rPr>
                <w:rFonts w:ascii="Verdana" w:hAnsi="Verdana" w:cs="Arial"/>
              </w:rPr>
            </w:pPr>
            <w:r>
              <w:rPr>
                <w:rFonts w:ascii="Verdana" w:hAnsi="Verdana" w:cs="Arial"/>
              </w:rPr>
              <w:t>Ley 80 de 1993, artículo 8, numeral 1, literal d).</w:t>
            </w:r>
          </w:p>
          <w:p w14:paraId="083187A0" w14:textId="77777777" w:rsidR="00044B4B" w:rsidRPr="00735AD5" w:rsidRDefault="00044B4B" w:rsidP="008B3546">
            <w:pPr>
              <w:pStyle w:val="Prrafodelista"/>
              <w:numPr>
                <w:ilvl w:val="0"/>
                <w:numId w:val="17"/>
              </w:numPr>
              <w:jc w:val="both"/>
              <w:rPr>
                <w:rFonts w:ascii="Verdana" w:hAnsi="Verdana" w:cs="Arial"/>
              </w:rPr>
            </w:pPr>
            <w:r w:rsidRPr="009174E4">
              <w:rPr>
                <w:rFonts w:ascii="Verdana" w:hAnsi="Verdana" w:cs="Arial"/>
                <w:lang w:val="pt-BR"/>
              </w:rPr>
              <w:t xml:space="preserve">Corte Constitucional. Sentencia T-1039 de 2006. </w:t>
            </w:r>
            <w:r w:rsidRPr="00735AD5">
              <w:rPr>
                <w:rFonts w:ascii="Verdana" w:hAnsi="Verdana" w:cs="Arial"/>
              </w:rPr>
              <w:t>Magistrado Ponente: Humberto Sierra Porto. La Corte ha mantenido este criterio en las sentencias: C-903 de 2008. Magistrado Ponente: Jaime Araujo Rentería; C-101 de 2018. Magistrada Ponente Gloria Stella Ortiz Delgado; entre otras</w:t>
            </w:r>
          </w:p>
          <w:p w14:paraId="6F2CC868" w14:textId="77777777" w:rsidR="00044B4B" w:rsidRPr="00735AD5" w:rsidRDefault="00044B4B" w:rsidP="008B3546">
            <w:pPr>
              <w:pStyle w:val="Prrafodelista"/>
              <w:numPr>
                <w:ilvl w:val="0"/>
                <w:numId w:val="17"/>
              </w:numPr>
              <w:jc w:val="both"/>
              <w:rPr>
                <w:rFonts w:ascii="Verdana" w:hAnsi="Verdana" w:cs="Arial"/>
              </w:rPr>
            </w:pPr>
            <w:r w:rsidRPr="00735AD5">
              <w:rPr>
                <w:rFonts w:ascii="Verdana" w:hAnsi="Verdana" w:cs="Arial"/>
              </w:rPr>
              <w:t xml:space="preserve">Consejo de Estado. Sala de Consulta y Servicio Civil. Concepto del 30 de abril de 2015. Expediente: 2251. Consejero Ponente: Álvaro </w:t>
            </w:r>
            <w:proofErr w:type="spellStart"/>
            <w:r w:rsidRPr="00735AD5">
              <w:rPr>
                <w:rFonts w:ascii="Verdana" w:hAnsi="Verdana" w:cs="Arial"/>
              </w:rPr>
              <w:t>Namén</w:t>
            </w:r>
            <w:proofErr w:type="spellEnd"/>
            <w:r w:rsidRPr="00735AD5">
              <w:rPr>
                <w:rFonts w:ascii="Verdana" w:hAnsi="Verdana" w:cs="Arial"/>
              </w:rPr>
              <w:t xml:space="preserve"> Vargas.</w:t>
            </w:r>
          </w:p>
          <w:p w14:paraId="24114255" w14:textId="77777777" w:rsidR="00044B4B" w:rsidRPr="00735AD5" w:rsidRDefault="00044B4B" w:rsidP="008B3546">
            <w:pPr>
              <w:pStyle w:val="Prrafodelista"/>
              <w:numPr>
                <w:ilvl w:val="0"/>
                <w:numId w:val="17"/>
              </w:numPr>
              <w:jc w:val="both"/>
              <w:rPr>
                <w:rFonts w:ascii="Verdana" w:hAnsi="Verdana" w:cs="Arial"/>
              </w:rPr>
            </w:pPr>
            <w:r w:rsidRPr="00735AD5">
              <w:rPr>
                <w:rFonts w:ascii="Verdana" w:hAnsi="Verdana" w:cs="Arial"/>
              </w:rPr>
              <w:t xml:space="preserve">Consejo de Estado. Sección Tercera. Subsección A. Sentencia del 24 de junio de 2015. </w:t>
            </w:r>
            <w:proofErr w:type="spellStart"/>
            <w:r w:rsidRPr="00735AD5">
              <w:rPr>
                <w:rFonts w:ascii="Verdana" w:hAnsi="Verdana" w:cs="Arial"/>
              </w:rPr>
              <w:t>Exp</w:t>
            </w:r>
            <w:proofErr w:type="spellEnd"/>
            <w:r w:rsidRPr="00735AD5">
              <w:rPr>
                <w:rFonts w:ascii="Verdana" w:hAnsi="Verdana" w:cs="Arial"/>
              </w:rPr>
              <w:t>. 40.635. Consejero Ponente: Hernán Andrade Rincón (E).</w:t>
            </w:r>
          </w:p>
          <w:p w14:paraId="452A76CB" w14:textId="77777777" w:rsidR="00044B4B" w:rsidRPr="00735AD5" w:rsidRDefault="00044B4B" w:rsidP="008B3546">
            <w:pPr>
              <w:pStyle w:val="Prrafodelista"/>
              <w:numPr>
                <w:ilvl w:val="0"/>
                <w:numId w:val="17"/>
              </w:numPr>
              <w:jc w:val="both"/>
              <w:rPr>
                <w:rFonts w:ascii="Verdana" w:hAnsi="Verdana" w:cs="Arial"/>
              </w:rPr>
            </w:pPr>
            <w:r w:rsidRPr="00735AD5">
              <w:rPr>
                <w:rFonts w:ascii="Verdana" w:hAnsi="Verdana" w:cs="Arial"/>
              </w:rPr>
              <w:t xml:space="preserve">Consejo de Estado. Sección Tercera. Subsección C. Sentencia del 22 de mayo de 2013. </w:t>
            </w:r>
            <w:proofErr w:type="spellStart"/>
            <w:r w:rsidRPr="00735AD5">
              <w:rPr>
                <w:rFonts w:ascii="Verdana" w:hAnsi="Verdana" w:cs="Arial"/>
              </w:rPr>
              <w:t>Exp</w:t>
            </w:r>
            <w:proofErr w:type="spellEnd"/>
            <w:r w:rsidRPr="00735AD5">
              <w:rPr>
                <w:rFonts w:ascii="Verdana" w:hAnsi="Verdana" w:cs="Arial"/>
              </w:rPr>
              <w:t xml:space="preserve">. 24.057. C.P. Olga </w:t>
            </w:r>
            <w:proofErr w:type="spellStart"/>
            <w:r w:rsidRPr="00735AD5">
              <w:rPr>
                <w:rFonts w:ascii="Verdana" w:hAnsi="Verdana" w:cs="Arial"/>
              </w:rPr>
              <w:t>Melida</w:t>
            </w:r>
            <w:proofErr w:type="spellEnd"/>
            <w:r w:rsidRPr="00735AD5">
              <w:rPr>
                <w:rFonts w:ascii="Verdana" w:hAnsi="Verdana" w:cs="Arial"/>
              </w:rPr>
              <w:t xml:space="preserve"> Valle De La Hoz.</w:t>
            </w:r>
          </w:p>
          <w:p w14:paraId="091C2144" w14:textId="77777777" w:rsidR="00044B4B" w:rsidRPr="00735AD5" w:rsidRDefault="00044B4B" w:rsidP="008B3546">
            <w:pPr>
              <w:pStyle w:val="Prrafodelista"/>
              <w:numPr>
                <w:ilvl w:val="0"/>
                <w:numId w:val="17"/>
              </w:numPr>
              <w:jc w:val="both"/>
              <w:rPr>
                <w:rFonts w:ascii="Verdana" w:hAnsi="Verdana" w:cs="Arial"/>
              </w:rPr>
            </w:pPr>
            <w:r w:rsidRPr="00735AD5">
              <w:rPr>
                <w:rFonts w:ascii="Verdana" w:hAnsi="Verdana" w:cs="Arial"/>
              </w:rPr>
              <w:lastRenderedPageBreak/>
              <w:t>Corte Constitucional, Sentencia C- 373 de 2002, M.P. Jaime Córdoba Triviño; sentencia C-325 de 2009, M.P. Gabriel Eduardo Mendoza Martelo.</w:t>
            </w:r>
          </w:p>
          <w:p w14:paraId="1734E72D" w14:textId="77777777" w:rsidR="00044B4B" w:rsidRPr="00735AD5" w:rsidRDefault="00044B4B" w:rsidP="008B3546">
            <w:pPr>
              <w:pStyle w:val="Prrafodelista"/>
              <w:numPr>
                <w:ilvl w:val="0"/>
                <w:numId w:val="17"/>
              </w:numPr>
              <w:jc w:val="both"/>
              <w:rPr>
                <w:rFonts w:ascii="Verdana" w:hAnsi="Verdana" w:cs="Arial"/>
              </w:rPr>
            </w:pPr>
            <w:r w:rsidRPr="00735AD5">
              <w:rPr>
                <w:rFonts w:ascii="Verdana" w:hAnsi="Verdana" w:cs="Arial"/>
              </w:rPr>
              <w:t xml:space="preserve">Consejo de Estado, Sección Quinta, Sentencia del 13 de junio de 2019, </w:t>
            </w:r>
            <w:proofErr w:type="spellStart"/>
            <w:r w:rsidRPr="00735AD5">
              <w:rPr>
                <w:rFonts w:ascii="Verdana" w:hAnsi="Verdana" w:cs="Arial"/>
              </w:rPr>
              <w:t>Exp</w:t>
            </w:r>
            <w:proofErr w:type="spellEnd"/>
            <w:r w:rsidRPr="00735AD5">
              <w:rPr>
                <w:rFonts w:ascii="Verdana" w:hAnsi="Verdana" w:cs="Arial"/>
              </w:rPr>
              <w:t>. No. 00111 C.P. Rocío Araújo Oñate.</w:t>
            </w:r>
          </w:p>
          <w:p w14:paraId="63956909" w14:textId="77777777" w:rsidR="00044B4B" w:rsidRPr="00D0757A" w:rsidRDefault="00044B4B" w:rsidP="008B3546">
            <w:pPr>
              <w:widowControl w:val="0"/>
              <w:numPr>
                <w:ilvl w:val="0"/>
                <w:numId w:val="17"/>
              </w:numPr>
              <w:autoSpaceDE w:val="0"/>
              <w:autoSpaceDN w:val="0"/>
              <w:spacing w:after="120" w:line="276" w:lineRule="auto"/>
              <w:jc w:val="both"/>
              <w:rPr>
                <w:rFonts w:ascii="Verdana" w:eastAsia="Calibri" w:hAnsi="Verdana" w:cs="Arial"/>
                <w:color w:val="000000"/>
              </w:rPr>
            </w:pPr>
            <w:r w:rsidRPr="00735AD5">
              <w:rPr>
                <w:rFonts w:ascii="Verdana" w:hAnsi="Verdana" w:cs="Arial"/>
              </w:rPr>
              <w:t xml:space="preserve">BARRETO MORENO, Antonio Alejandro. Inhabilidades de la contratación estatal, efectos y </w:t>
            </w:r>
            <w:proofErr w:type="spellStart"/>
            <w:r w:rsidRPr="00735AD5">
              <w:rPr>
                <w:rFonts w:ascii="Verdana" w:hAnsi="Verdana" w:cs="Arial"/>
              </w:rPr>
              <w:t>neopunitivismo</w:t>
            </w:r>
            <w:proofErr w:type="spellEnd"/>
            <w:r w:rsidRPr="00735AD5">
              <w:rPr>
                <w:rFonts w:ascii="Verdana" w:hAnsi="Verdana" w:cs="Arial"/>
              </w:rPr>
              <w:t xml:space="preserve"> en el Estatuto Anticorrupción. En: ALVIAR GARCÍA, Helena (Coordinadora). Nuevas tendencias del Derecho administrativo. Bogotá: Universidad de los Andes; Temis, 2016. pp. 63-99.</w:t>
            </w:r>
          </w:p>
        </w:tc>
      </w:tr>
    </w:tbl>
    <w:p w14:paraId="62E4A1B8" w14:textId="77777777" w:rsidR="00044B4B" w:rsidRDefault="00044B4B" w:rsidP="00044B4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81CF4C5" w14:textId="77777777" w:rsidR="00044B4B" w:rsidRDefault="00044B4B" w:rsidP="00044B4B">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9E71D1C" w14:textId="77777777" w:rsidR="00044B4B" w:rsidRPr="00593A5F" w:rsidRDefault="00044B4B" w:rsidP="00044B4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2547240" w14:textId="77777777" w:rsidR="00044B4B" w:rsidRPr="00C95794" w:rsidRDefault="00044B4B" w:rsidP="00044B4B">
      <w:pPr>
        <w:widowControl w:val="0"/>
        <w:autoSpaceDE w:val="0"/>
        <w:autoSpaceDN w:val="0"/>
        <w:spacing w:after="0" w:line="276" w:lineRule="auto"/>
        <w:jc w:val="both"/>
        <w:rPr>
          <w:rFonts w:ascii="Verdana" w:eastAsia="Times New Roman" w:hAnsi="Verdana" w:cs="Arial"/>
          <w:color w:val="4472C4"/>
          <w:szCs w:val="24"/>
          <w:lang w:eastAsia="es-ES_tradnl"/>
        </w:rPr>
      </w:pPr>
      <w:r w:rsidRPr="0C75B527">
        <w:rPr>
          <w:rFonts w:ascii="Verdana" w:eastAsia="Calibri" w:hAnsi="Verdana" w:cs="Arial"/>
          <w:lang w:eastAsia="es-ES"/>
        </w:rPr>
        <w:t xml:space="preserve">Sobre el régimen de inhabilidades e incompatibilidades se pronunció esta Subdirección en los conceptos </w:t>
      </w:r>
      <w:r w:rsidRPr="006A09D6">
        <w:rPr>
          <w:rFonts w:ascii="Verdana" w:eastAsia="Calibri" w:hAnsi="Verdana" w:cs="Arial"/>
        </w:rPr>
        <w:t xml:space="preserve">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w:t>
      </w:r>
      <w:r w:rsidRPr="006A09D6">
        <w:rPr>
          <w:rFonts w:ascii="Verdana" w:eastAsia="Calibri" w:hAnsi="Verdana" w:cs="Arial"/>
        </w:rPr>
        <w:lastRenderedPageBreak/>
        <w:t>de 2024 y C-039 del 23 de abril de 2024</w:t>
      </w:r>
      <w:r w:rsidRPr="006A09D6">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C-689 del 19 de noviembre de 2024 C-966 del 14 de enero de 2025</w:t>
      </w:r>
      <w:r>
        <w:rPr>
          <w:rFonts w:ascii="Verdana" w:hAnsi="Verdana" w:cs="Arial"/>
        </w:rPr>
        <w:t xml:space="preserve"> y C-827 del 05 de agosto de 2025</w:t>
      </w:r>
      <w:r w:rsidRPr="006A09D6">
        <w:rPr>
          <w:rFonts w:ascii="Verdana" w:hAnsi="Verdana" w:cs="Arial"/>
        </w:rPr>
        <w:t>.</w:t>
      </w:r>
      <w:r>
        <w:rPr>
          <w:rFonts w:ascii="Verdana" w:hAnsi="Verdana" w:cs="Arial"/>
          <w:bCs/>
          <w:shd w:val="clear" w:color="auto" w:fill="FFFFFF"/>
        </w:rPr>
        <w:t xml:space="preserve">, </w:t>
      </w:r>
      <w:r w:rsidRPr="00E860E7">
        <w:rPr>
          <w:rFonts w:ascii="Verdana" w:hAnsi="Verdana" w:cs="Arial"/>
          <w:bCs/>
          <w:shd w:val="clear" w:color="auto" w:fill="FFFFFF"/>
        </w:rPr>
        <w:t>entre otros</w:t>
      </w:r>
      <w:r w:rsidRPr="00C95794">
        <w:rPr>
          <w:rFonts w:ascii="Verdana" w:eastAsia="Times New Roman" w:hAnsi="Verdana" w:cs="Arial"/>
          <w:szCs w:val="24"/>
          <w:lang w:eastAsia="es-ES_tradnl"/>
        </w:rPr>
        <w:t>.</w:t>
      </w:r>
      <w:r>
        <w:rPr>
          <w:rFonts w:ascii="Verdana" w:eastAsia="Times New Roman" w:hAnsi="Verdana" w:cs="Arial"/>
          <w:szCs w:val="24"/>
          <w:lang w:eastAsia="es-ES_tradnl"/>
        </w:rPr>
        <w:t xml:space="preserve"> </w:t>
      </w:r>
      <w:r w:rsidRPr="00C95794">
        <w:rPr>
          <w:rFonts w:ascii="Verdana" w:eastAsia="Times New Roman" w:hAnsi="Verdana" w:cs="Arial"/>
          <w:szCs w:val="24"/>
          <w:lang w:eastAsia="es-ES_tradnl"/>
        </w:rPr>
        <w:t xml:space="preserve">Estos y otros conceptos se encuentran disponibles para consulta en el Sistema de relatoría de la Agencia, al cual se puede acceder a través del siguiente enlace: </w:t>
      </w:r>
      <w:hyperlink r:id="rId13" w:history="1">
        <w:r w:rsidRPr="00C95794">
          <w:rPr>
            <w:rFonts w:ascii="Verdana" w:eastAsia="Times New Roman" w:hAnsi="Verdana" w:cs="Arial"/>
            <w:color w:val="0000FF"/>
            <w:szCs w:val="24"/>
            <w:u w:val="single"/>
            <w:lang w:eastAsia="es-ES_tradnl"/>
          </w:rPr>
          <w:t>https://relatoria.colombiacompra.gov.co</w:t>
        </w:r>
      </w:hyperlink>
    </w:p>
    <w:p w14:paraId="7CAFA1C4" w14:textId="77777777" w:rsidR="00044B4B" w:rsidRDefault="00044B4B" w:rsidP="00044B4B">
      <w:pPr>
        <w:widowControl w:val="0"/>
        <w:autoSpaceDE w:val="0"/>
        <w:autoSpaceDN w:val="0"/>
        <w:spacing w:after="0" w:line="276" w:lineRule="auto"/>
        <w:jc w:val="both"/>
        <w:rPr>
          <w:rFonts w:ascii="Verdana" w:hAnsi="Verdana" w:cs="Arial"/>
          <w:color w:val="000000" w:themeColor="text1"/>
          <w:shd w:val="clear" w:color="auto" w:fill="FFFFFF"/>
        </w:rPr>
      </w:pPr>
    </w:p>
    <w:p w14:paraId="78DDD5F6" w14:textId="21115606" w:rsidR="00044B4B" w:rsidRPr="00103B90" w:rsidRDefault="00044B4B" w:rsidP="00044B4B">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71663593" w14:textId="77777777" w:rsidR="00044B4B" w:rsidRPr="00103B90" w:rsidRDefault="00044B4B" w:rsidP="00044B4B">
      <w:pPr>
        <w:widowControl w:val="0"/>
        <w:autoSpaceDE w:val="0"/>
        <w:autoSpaceDN w:val="0"/>
        <w:spacing w:after="0" w:line="276" w:lineRule="auto"/>
        <w:jc w:val="both"/>
        <w:rPr>
          <w:rFonts w:ascii="Verdana" w:hAnsi="Verdana"/>
        </w:rPr>
      </w:pPr>
    </w:p>
    <w:p w14:paraId="7922484D" w14:textId="77777777" w:rsidR="00044B4B" w:rsidRPr="00505CD6" w:rsidRDefault="00044B4B" w:rsidP="00044B4B">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33CB493" w14:textId="77777777" w:rsidR="00044B4B" w:rsidRPr="00505CD6" w:rsidRDefault="00044B4B" w:rsidP="00044B4B">
      <w:pPr>
        <w:widowControl w:val="0"/>
        <w:autoSpaceDE w:val="0"/>
        <w:autoSpaceDN w:val="0"/>
        <w:spacing w:after="0" w:line="276" w:lineRule="auto"/>
        <w:jc w:val="both"/>
        <w:rPr>
          <w:rFonts w:ascii="Verdana" w:hAnsi="Verdana" w:cs="Arial"/>
        </w:rPr>
      </w:pPr>
    </w:p>
    <w:p w14:paraId="3AE835F5" w14:textId="77777777" w:rsidR="00044B4B" w:rsidRDefault="00044B4B" w:rsidP="00044B4B">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96AC793" w14:textId="77777777" w:rsidR="00044B4B" w:rsidRDefault="00044B4B" w:rsidP="00044B4B">
      <w:pPr>
        <w:spacing w:after="0" w:line="276" w:lineRule="auto"/>
        <w:jc w:val="both"/>
        <w:rPr>
          <w:noProof/>
        </w:rPr>
      </w:pPr>
    </w:p>
    <w:p w14:paraId="10774EDD" w14:textId="613303EC" w:rsidR="00044B4B" w:rsidRDefault="00044B4B" w:rsidP="00044B4B">
      <w:pPr>
        <w:spacing w:line="276" w:lineRule="auto"/>
        <w:jc w:val="center"/>
        <w:rPr>
          <w:noProof/>
        </w:rPr>
      </w:pPr>
    </w:p>
    <w:p w14:paraId="5EB9219C" w14:textId="33C92BE9" w:rsidR="00B94E18" w:rsidRDefault="00B94E18" w:rsidP="00044B4B">
      <w:pPr>
        <w:spacing w:line="276" w:lineRule="auto"/>
        <w:jc w:val="center"/>
        <w:rPr>
          <w:noProof/>
        </w:rPr>
      </w:pPr>
      <w:r>
        <w:rPr>
          <w:noProof/>
        </w:rPr>
        <w:drawing>
          <wp:inline distT="0" distB="0" distL="0" distR="0" wp14:anchorId="6AF9D721" wp14:editId="0A88F67E">
            <wp:extent cx="3153874" cy="1353904"/>
            <wp:effectExtent l="0" t="0" r="8890" b="0"/>
            <wp:docPr id="201049005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66854" cy="1359476"/>
                    </a:xfrm>
                    <a:prstGeom prst="rect">
                      <a:avLst/>
                    </a:prstGeom>
                    <a:noFill/>
                    <a:ln>
                      <a:noFill/>
                    </a:ln>
                  </pic:spPr>
                </pic:pic>
              </a:graphicData>
            </a:graphic>
          </wp:inline>
        </w:drawing>
      </w:r>
    </w:p>
    <w:p w14:paraId="5DD9BF28" w14:textId="77777777" w:rsidR="00B94E18" w:rsidRDefault="00B94E18" w:rsidP="00044B4B">
      <w:pPr>
        <w:spacing w:line="276" w:lineRule="auto"/>
        <w:jc w:val="center"/>
        <w:rPr>
          <w:noProof/>
        </w:rPr>
      </w:pPr>
    </w:p>
    <w:p w14:paraId="45144497" w14:textId="77777777" w:rsidR="00B94E18" w:rsidRDefault="00B94E18" w:rsidP="00044B4B">
      <w:pPr>
        <w:spacing w:line="276" w:lineRule="auto"/>
        <w:jc w:val="center"/>
        <w:rPr>
          <w:noProof/>
        </w:rPr>
      </w:pPr>
    </w:p>
    <w:p w14:paraId="293040C1" w14:textId="77777777" w:rsidR="00B94E18" w:rsidRDefault="00B94E18" w:rsidP="00044B4B">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44B4B" w:rsidRPr="00593A5F" w14:paraId="74BD5C11" w14:textId="77777777" w:rsidTr="008B3546">
        <w:trPr>
          <w:trHeight w:val="315"/>
        </w:trPr>
        <w:tc>
          <w:tcPr>
            <w:tcW w:w="893" w:type="dxa"/>
            <w:vAlign w:val="center"/>
            <w:hideMark/>
          </w:tcPr>
          <w:p w14:paraId="4C191C85" w14:textId="77777777" w:rsidR="00044B4B" w:rsidRPr="003751C7" w:rsidRDefault="00044B4B"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A6808E8" w14:textId="77777777" w:rsidR="00044B4B" w:rsidRPr="007911EE" w:rsidRDefault="00044B4B" w:rsidP="008B3546">
            <w:pPr>
              <w:contextualSpacing/>
              <w:rPr>
                <w:rFonts w:ascii="Verdana" w:hAnsi="Verdana"/>
                <w:sz w:val="16"/>
                <w:szCs w:val="16"/>
              </w:rPr>
            </w:pPr>
            <w:r>
              <w:rPr>
                <w:rFonts w:ascii="Verdana" w:hAnsi="Verdana"/>
                <w:sz w:val="16"/>
                <w:szCs w:val="16"/>
              </w:rPr>
              <w:t>Daniel Eduardo Rojas Poveda</w:t>
            </w:r>
          </w:p>
          <w:p w14:paraId="042AB062" w14:textId="77777777" w:rsidR="00044B4B" w:rsidRPr="007911EE" w:rsidRDefault="00044B4B" w:rsidP="008B354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044B4B" w:rsidRPr="00593A5F" w14:paraId="5FC3F616" w14:textId="77777777" w:rsidTr="008B3546">
        <w:trPr>
          <w:trHeight w:val="330"/>
        </w:trPr>
        <w:tc>
          <w:tcPr>
            <w:tcW w:w="893" w:type="dxa"/>
            <w:vAlign w:val="center"/>
            <w:hideMark/>
          </w:tcPr>
          <w:p w14:paraId="1F81E86C" w14:textId="77777777" w:rsidR="00044B4B" w:rsidRPr="003751C7" w:rsidRDefault="00044B4B"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BE2E9B" w14:textId="77777777" w:rsidR="00044B4B" w:rsidRDefault="00044B4B" w:rsidP="008B3546">
            <w:pPr>
              <w:spacing w:line="276" w:lineRule="auto"/>
              <w:contextualSpacing/>
              <w:jc w:val="both"/>
              <w:rPr>
                <w:rFonts w:ascii="Verdana" w:hAnsi="Verdana"/>
                <w:sz w:val="16"/>
                <w:szCs w:val="16"/>
              </w:rPr>
            </w:pPr>
            <w:r>
              <w:rPr>
                <w:rFonts w:ascii="Verdana" w:hAnsi="Verdana"/>
                <w:sz w:val="16"/>
                <w:szCs w:val="16"/>
              </w:rPr>
              <w:t>Diana Lucia Saavedra.</w:t>
            </w:r>
          </w:p>
          <w:p w14:paraId="7C0ED310" w14:textId="77777777" w:rsidR="00044B4B" w:rsidRPr="007911EE" w:rsidRDefault="00044B4B" w:rsidP="008B354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044B4B" w:rsidRPr="00593A5F" w14:paraId="4A2A6C41" w14:textId="77777777" w:rsidTr="008B3546">
        <w:trPr>
          <w:trHeight w:val="330"/>
        </w:trPr>
        <w:tc>
          <w:tcPr>
            <w:tcW w:w="893" w:type="dxa"/>
            <w:vAlign w:val="center"/>
          </w:tcPr>
          <w:p w14:paraId="7BC48BC5" w14:textId="77777777" w:rsidR="00044B4B" w:rsidRPr="003751C7" w:rsidRDefault="00044B4B" w:rsidP="008B354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E330658" w14:textId="77777777" w:rsidR="00044B4B" w:rsidRDefault="00044B4B" w:rsidP="008B354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46872886" w14:textId="77777777" w:rsidR="00044B4B" w:rsidRDefault="00044B4B" w:rsidP="008B354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5887CFB4" w14:textId="77777777" w:rsidR="00044B4B" w:rsidRPr="00F30C63" w:rsidRDefault="00044B4B" w:rsidP="00044B4B"/>
    <w:p w14:paraId="0F293BF4" w14:textId="09DC0734" w:rsidR="00127233" w:rsidRPr="00942734" w:rsidRDefault="00127233" w:rsidP="00942734"/>
    <w:sectPr w:rsidR="00127233" w:rsidRPr="0094273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F9262" w14:textId="77777777" w:rsidR="0062565D" w:rsidRDefault="0062565D" w:rsidP="004A1847">
      <w:pPr>
        <w:spacing w:after="0" w:line="240" w:lineRule="auto"/>
      </w:pPr>
      <w:r>
        <w:separator/>
      </w:r>
    </w:p>
  </w:endnote>
  <w:endnote w:type="continuationSeparator" w:id="0">
    <w:p w14:paraId="737FD8FA" w14:textId="77777777" w:rsidR="0062565D" w:rsidRDefault="0062565D" w:rsidP="004A1847">
      <w:pPr>
        <w:spacing w:after="0" w:line="240" w:lineRule="auto"/>
      </w:pPr>
      <w:r>
        <w:continuationSeparator/>
      </w:r>
    </w:p>
  </w:endnote>
  <w:endnote w:type="continuationNotice" w:id="1">
    <w:p w14:paraId="326A1C00" w14:textId="77777777" w:rsidR="0062565D" w:rsidRDefault="006256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15278" w14:textId="77777777" w:rsidR="0062565D" w:rsidRDefault="0062565D" w:rsidP="004A1847">
      <w:pPr>
        <w:spacing w:after="0" w:line="240" w:lineRule="auto"/>
      </w:pPr>
      <w:r>
        <w:separator/>
      </w:r>
    </w:p>
  </w:footnote>
  <w:footnote w:type="continuationSeparator" w:id="0">
    <w:p w14:paraId="5ABEA095" w14:textId="77777777" w:rsidR="0062565D" w:rsidRDefault="0062565D" w:rsidP="004A1847">
      <w:pPr>
        <w:spacing w:after="0" w:line="240" w:lineRule="auto"/>
      </w:pPr>
      <w:r>
        <w:continuationSeparator/>
      </w:r>
    </w:p>
  </w:footnote>
  <w:footnote w:type="continuationNotice" w:id="1">
    <w:p w14:paraId="0F8917B0" w14:textId="77777777" w:rsidR="0062565D" w:rsidRDefault="0062565D">
      <w:pPr>
        <w:spacing w:after="0" w:line="240" w:lineRule="auto"/>
      </w:pPr>
    </w:p>
  </w:footnote>
  <w:footnote w:id="2">
    <w:p w14:paraId="41BB52CD" w14:textId="77777777" w:rsidR="00044B4B" w:rsidRPr="001F5B10" w:rsidRDefault="00044B4B" w:rsidP="00044B4B">
      <w:pPr>
        <w:spacing w:after="0" w:line="240" w:lineRule="auto"/>
        <w:ind w:firstLine="709"/>
        <w:jc w:val="both"/>
        <w:rPr>
          <w:rFonts w:ascii="Verdana" w:hAnsi="Verdana" w:cs="Arial"/>
          <w:color w:val="000000"/>
          <w:sz w:val="14"/>
          <w:szCs w:val="14"/>
        </w:rPr>
      </w:pPr>
      <w:r w:rsidRPr="001F5B10">
        <w:rPr>
          <w:rStyle w:val="Refdenotaalpie"/>
          <w:rFonts w:ascii="Verdana" w:hAnsi="Verdana" w:cs="Arial"/>
          <w:color w:val="000000"/>
          <w:sz w:val="14"/>
          <w:szCs w:val="14"/>
        </w:rPr>
        <w:footnoteRef/>
      </w:r>
      <w:r w:rsidRPr="001F5B10">
        <w:rPr>
          <w:rFonts w:ascii="Verdana" w:hAnsi="Verdana" w:cs="Arial"/>
          <w:color w:val="000000"/>
          <w:sz w:val="14"/>
          <w:szCs w:val="14"/>
        </w:rPr>
        <w:t xml:space="preserve"> BARRETO MORENO, Antonio Alejandro. Inhabilidades de la contratación estatal, efectos y neopunitivismo en el Estatuto Anticorrupción. En: ALVIAR GARCÍA, Helena (Coordinadora). Nuevas tendencias del Derecho administrativo. Bogotá: Universidad de los Andes; Temis, 2016. pp. 63-99.</w:t>
      </w:r>
    </w:p>
    <w:p w14:paraId="4A646BD2" w14:textId="77777777" w:rsidR="00044B4B" w:rsidRPr="001F5B10" w:rsidRDefault="00044B4B" w:rsidP="00044B4B">
      <w:pPr>
        <w:spacing w:after="0" w:line="240" w:lineRule="auto"/>
        <w:ind w:firstLine="709"/>
        <w:jc w:val="both"/>
        <w:rPr>
          <w:rFonts w:ascii="Verdana" w:hAnsi="Verdana" w:cs="Arial"/>
          <w:color w:val="000000"/>
          <w:sz w:val="14"/>
          <w:szCs w:val="14"/>
        </w:rPr>
      </w:pPr>
    </w:p>
  </w:footnote>
  <w:footnote w:id="3">
    <w:p w14:paraId="09893FF8" w14:textId="77777777" w:rsidR="00044B4B" w:rsidRPr="001F5B10" w:rsidRDefault="00044B4B" w:rsidP="00044B4B">
      <w:pPr>
        <w:pStyle w:val="Textonotapie"/>
        <w:ind w:firstLine="709"/>
        <w:jc w:val="both"/>
        <w:rPr>
          <w:rFonts w:ascii="Verdana" w:hAnsi="Verdana" w:cs="Arial"/>
          <w:color w:val="000000"/>
          <w:sz w:val="14"/>
          <w:szCs w:val="14"/>
          <w:lang w:val="es-CO"/>
        </w:rPr>
      </w:pPr>
      <w:r w:rsidRPr="001F5B10">
        <w:rPr>
          <w:rStyle w:val="Refdenotaalpie"/>
          <w:rFonts w:ascii="Verdana" w:hAnsi="Verdana" w:cs="Arial"/>
          <w:color w:val="000000"/>
          <w:sz w:val="14"/>
          <w:szCs w:val="14"/>
          <w:lang w:val="es-CO"/>
        </w:rPr>
        <w:footnoteRef/>
      </w:r>
      <w:r w:rsidRPr="001F5B10">
        <w:rPr>
          <w:rFonts w:ascii="Verdana" w:hAnsi="Verdana" w:cs="Arial"/>
          <w:color w:val="000000"/>
          <w:sz w:val="14"/>
          <w:szCs w:val="14"/>
          <w:lang w:val="es-CO"/>
        </w:rPr>
        <w:t xml:space="preserve"> Ibíd., p. 69</w:t>
      </w:r>
    </w:p>
    <w:p w14:paraId="7167B70D" w14:textId="77777777" w:rsidR="00044B4B" w:rsidRPr="001F5B10" w:rsidRDefault="00044B4B" w:rsidP="00044B4B">
      <w:pPr>
        <w:pStyle w:val="Textonotapie"/>
        <w:ind w:firstLine="709"/>
        <w:jc w:val="both"/>
        <w:rPr>
          <w:rFonts w:ascii="Verdana" w:hAnsi="Verdana" w:cs="Arial"/>
          <w:color w:val="000000"/>
          <w:sz w:val="14"/>
          <w:szCs w:val="14"/>
          <w:lang w:val="es-CO"/>
        </w:rPr>
      </w:pPr>
    </w:p>
  </w:footnote>
  <w:footnote w:id="4">
    <w:p w14:paraId="32E66323" w14:textId="77777777" w:rsidR="00044B4B" w:rsidRPr="001F5B10" w:rsidRDefault="00044B4B" w:rsidP="00044B4B">
      <w:pPr>
        <w:pStyle w:val="Textonotapie"/>
        <w:ind w:firstLine="709"/>
        <w:jc w:val="both"/>
        <w:rPr>
          <w:rFonts w:ascii="Verdana" w:hAnsi="Verdana" w:cs="Arial"/>
          <w:color w:val="000000"/>
          <w:sz w:val="14"/>
          <w:szCs w:val="14"/>
          <w:lang w:val="es-CO"/>
        </w:rPr>
      </w:pPr>
      <w:r w:rsidRPr="001F5B10">
        <w:rPr>
          <w:rStyle w:val="Refdenotaalpie"/>
          <w:rFonts w:ascii="Verdana" w:hAnsi="Verdana" w:cs="Arial"/>
          <w:color w:val="000000"/>
          <w:sz w:val="14"/>
          <w:szCs w:val="14"/>
          <w:lang w:val="es-CO"/>
        </w:rPr>
        <w:footnoteRef/>
      </w:r>
      <w:r w:rsidRPr="001F5B10">
        <w:rPr>
          <w:rFonts w:ascii="Verdana" w:hAnsi="Verdana" w:cs="Arial"/>
          <w:color w:val="000000"/>
          <w:sz w:val="14"/>
          <w:szCs w:val="14"/>
          <w:lang w:val="es-CO"/>
        </w:rPr>
        <w:t xml:space="preserve"> Corte Constitucional. Sentencia T-1039 de 2006. Magistrado Ponente: Humberto Sierra Porto. La Corte ha mantenido este criterio en las sentencias: C-903 de 2008. Magistrado Ponente: Jaime Araujo Rentería; C-101 de 2018. Magistrada Ponente Gloria Stella Ortiz Delgado; entre otras.</w:t>
      </w:r>
    </w:p>
  </w:footnote>
  <w:footnote w:id="5">
    <w:p w14:paraId="4B760178" w14:textId="77777777" w:rsidR="00044B4B" w:rsidRPr="001F5B10" w:rsidRDefault="00044B4B" w:rsidP="00044B4B">
      <w:pPr>
        <w:pStyle w:val="Textonotapie"/>
        <w:ind w:firstLine="709"/>
        <w:jc w:val="both"/>
        <w:rPr>
          <w:rFonts w:ascii="Verdana" w:hAnsi="Verdana" w:cs="Arial"/>
          <w:color w:val="000000"/>
          <w:sz w:val="14"/>
          <w:szCs w:val="14"/>
          <w:lang w:val="es-CO"/>
        </w:rPr>
      </w:pPr>
      <w:r w:rsidRPr="001F5B10">
        <w:rPr>
          <w:rStyle w:val="Refdenotaalpie"/>
          <w:rFonts w:ascii="Verdana" w:hAnsi="Verdana" w:cs="Arial"/>
          <w:color w:val="000000"/>
          <w:sz w:val="14"/>
          <w:szCs w:val="14"/>
          <w:lang w:val="es-CO"/>
        </w:rPr>
        <w:footnoteRef/>
      </w:r>
      <w:r w:rsidRPr="001F5B10">
        <w:rPr>
          <w:rFonts w:ascii="Verdana" w:hAnsi="Verdana" w:cs="Arial"/>
          <w:color w:val="000000"/>
          <w:sz w:val="14"/>
          <w:szCs w:val="14"/>
          <w:lang w:val="es-CO"/>
        </w:rPr>
        <w:t xml:space="preserve"> Consejo de Estado. Sala de Consulta y Servicio Civil. Concepto del 30 de abril de 2015. Expediente: 2251. Consejero Ponente: Álvaro Namén Vargas.</w:t>
      </w:r>
    </w:p>
  </w:footnote>
  <w:footnote w:id="6">
    <w:p w14:paraId="09232493" w14:textId="77777777" w:rsidR="00044B4B" w:rsidRPr="001F5B10" w:rsidRDefault="00044B4B" w:rsidP="00044B4B">
      <w:pPr>
        <w:spacing w:after="0" w:line="240" w:lineRule="auto"/>
        <w:ind w:firstLine="709"/>
        <w:jc w:val="both"/>
        <w:rPr>
          <w:rFonts w:ascii="Verdana" w:hAnsi="Verdana" w:cs="Arial"/>
          <w:color w:val="000000"/>
          <w:sz w:val="14"/>
          <w:szCs w:val="14"/>
        </w:rPr>
      </w:pPr>
      <w:r w:rsidRPr="001F5B10">
        <w:rPr>
          <w:rStyle w:val="Refdenotaalpie"/>
          <w:rFonts w:ascii="Verdana" w:hAnsi="Verdana" w:cs="Arial"/>
          <w:color w:val="000000"/>
          <w:sz w:val="14"/>
          <w:szCs w:val="14"/>
        </w:rPr>
        <w:footnoteRef/>
      </w:r>
      <w:r w:rsidRPr="001F5B10">
        <w:rPr>
          <w:rFonts w:ascii="Verdana" w:hAnsi="Verdana" w:cs="Arial"/>
          <w:color w:val="000000"/>
          <w:sz w:val="14"/>
          <w:szCs w:val="14"/>
        </w:rPr>
        <w:t xml:space="preserve"> Consejo</w:t>
      </w:r>
      <w:r w:rsidRPr="001F5B10">
        <w:rPr>
          <w:rFonts w:ascii="Verdana" w:hAnsi="Verdana" w:cs="Arial"/>
          <w:color w:val="000000"/>
          <w:spacing w:val="12"/>
          <w:sz w:val="14"/>
          <w:szCs w:val="14"/>
        </w:rPr>
        <w:t xml:space="preserve"> </w:t>
      </w:r>
      <w:r w:rsidRPr="001F5B10">
        <w:rPr>
          <w:rFonts w:ascii="Verdana" w:hAnsi="Verdana" w:cs="Arial"/>
          <w:color w:val="000000"/>
          <w:sz w:val="14"/>
          <w:szCs w:val="14"/>
        </w:rPr>
        <w:t>de</w:t>
      </w:r>
      <w:r w:rsidRPr="001F5B10">
        <w:rPr>
          <w:rFonts w:ascii="Verdana" w:hAnsi="Verdana" w:cs="Arial"/>
          <w:color w:val="000000"/>
          <w:spacing w:val="11"/>
          <w:sz w:val="14"/>
          <w:szCs w:val="14"/>
        </w:rPr>
        <w:t xml:space="preserve"> </w:t>
      </w:r>
      <w:r w:rsidRPr="001F5B10">
        <w:rPr>
          <w:rFonts w:ascii="Verdana" w:hAnsi="Verdana" w:cs="Arial"/>
          <w:color w:val="000000"/>
          <w:sz w:val="14"/>
          <w:szCs w:val="14"/>
        </w:rPr>
        <w:t>Estado.</w:t>
      </w:r>
      <w:r w:rsidRPr="001F5B10">
        <w:rPr>
          <w:rFonts w:ascii="Verdana" w:hAnsi="Verdana" w:cs="Arial"/>
          <w:color w:val="000000"/>
          <w:spacing w:val="12"/>
          <w:sz w:val="14"/>
          <w:szCs w:val="14"/>
        </w:rPr>
        <w:t xml:space="preserve"> </w:t>
      </w:r>
      <w:r w:rsidRPr="001F5B10">
        <w:rPr>
          <w:rFonts w:ascii="Verdana" w:hAnsi="Verdana" w:cs="Arial"/>
          <w:color w:val="000000"/>
          <w:sz w:val="14"/>
          <w:szCs w:val="14"/>
        </w:rPr>
        <w:t>Sección</w:t>
      </w:r>
      <w:r w:rsidRPr="001F5B10">
        <w:rPr>
          <w:rFonts w:ascii="Verdana" w:hAnsi="Verdana" w:cs="Arial"/>
          <w:color w:val="000000"/>
          <w:spacing w:val="12"/>
          <w:sz w:val="14"/>
          <w:szCs w:val="14"/>
        </w:rPr>
        <w:t xml:space="preserve"> </w:t>
      </w:r>
      <w:r w:rsidRPr="001F5B10">
        <w:rPr>
          <w:rFonts w:ascii="Verdana" w:hAnsi="Verdana" w:cs="Arial"/>
          <w:color w:val="000000"/>
          <w:sz w:val="14"/>
          <w:szCs w:val="14"/>
        </w:rPr>
        <w:t>Tercera.</w:t>
      </w:r>
      <w:r w:rsidRPr="001F5B10">
        <w:rPr>
          <w:rFonts w:ascii="Verdana" w:hAnsi="Verdana" w:cs="Arial"/>
          <w:color w:val="000000"/>
          <w:spacing w:val="12"/>
          <w:sz w:val="14"/>
          <w:szCs w:val="14"/>
        </w:rPr>
        <w:t xml:space="preserve"> </w:t>
      </w:r>
      <w:r w:rsidRPr="001F5B10">
        <w:rPr>
          <w:rFonts w:ascii="Verdana" w:hAnsi="Verdana" w:cs="Arial"/>
          <w:color w:val="000000"/>
          <w:sz w:val="14"/>
          <w:szCs w:val="14"/>
        </w:rPr>
        <w:t>Subsección</w:t>
      </w:r>
      <w:r w:rsidRPr="001F5B10">
        <w:rPr>
          <w:rFonts w:ascii="Verdana" w:hAnsi="Verdana" w:cs="Arial"/>
          <w:color w:val="000000"/>
          <w:spacing w:val="13"/>
          <w:sz w:val="14"/>
          <w:szCs w:val="14"/>
        </w:rPr>
        <w:t xml:space="preserve"> </w:t>
      </w:r>
      <w:r w:rsidRPr="001F5B10">
        <w:rPr>
          <w:rFonts w:ascii="Verdana" w:hAnsi="Verdana" w:cs="Arial"/>
          <w:color w:val="000000"/>
          <w:sz w:val="14"/>
          <w:szCs w:val="14"/>
        </w:rPr>
        <w:t>A.</w:t>
      </w:r>
      <w:r w:rsidRPr="001F5B10">
        <w:rPr>
          <w:rFonts w:ascii="Verdana" w:hAnsi="Verdana" w:cs="Arial"/>
          <w:color w:val="000000"/>
          <w:spacing w:val="12"/>
          <w:sz w:val="14"/>
          <w:szCs w:val="14"/>
        </w:rPr>
        <w:t xml:space="preserve"> </w:t>
      </w:r>
      <w:r w:rsidRPr="001F5B10">
        <w:rPr>
          <w:rFonts w:ascii="Verdana" w:hAnsi="Verdana" w:cs="Arial"/>
          <w:color w:val="000000"/>
          <w:sz w:val="14"/>
          <w:szCs w:val="14"/>
        </w:rPr>
        <w:t>Sentencia</w:t>
      </w:r>
      <w:r w:rsidRPr="001F5B10">
        <w:rPr>
          <w:rFonts w:ascii="Verdana" w:hAnsi="Verdana" w:cs="Arial"/>
          <w:color w:val="000000"/>
          <w:spacing w:val="13"/>
          <w:sz w:val="14"/>
          <w:szCs w:val="14"/>
        </w:rPr>
        <w:t xml:space="preserve"> </w:t>
      </w:r>
      <w:r w:rsidRPr="001F5B10">
        <w:rPr>
          <w:rFonts w:ascii="Verdana" w:hAnsi="Verdana" w:cs="Arial"/>
          <w:color w:val="000000"/>
          <w:sz w:val="14"/>
          <w:szCs w:val="14"/>
        </w:rPr>
        <w:t>del</w:t>
      </w:r>
      <w:r w:rsidRPr="001F5B10">
        <w:rPr>
          <w:rFonts w:ascii="Verdana" w:hAnsi="Verdana" w:cs="Arial"/>
          <w:color w:val="000000"/>
          <w:spacing w:val="11"/>
          <w:sz w:val="14"/>
          <w:szCs w:val="14"/>
        </w:rPr>
        <w:t xml:space="preserve"> </w:t>
      </w:r>
      <w:r w:rsidRPr="001F5B10">
        <w:rPr>
          <w:rFonts w:ascii="Verdana" w:hAnsi="Verdana" w:cs="Arial"/>
          <w:color w:val="000000"/>
          <w:sz w:val="14"/>
          <w:szCs w:val="14"/>
        </w:rPr>
        <w:t>24</w:t>
      </w:r>
      <w:r w:rsidRPr="001F5B10">
        <w:rPr>
          <w:rFonts w:ascii="Verdana" w:hAnsi="Verdana" w:cs="Arial"/>
          <w:color w:val="000000"/>
          <w:spacing w:val="11"/>
          <w:sz w:val="14"/>
          <w:szCs w:val="14"/>
        </w:rPr>
        <w:t xml:space="preserve"> </w:t>
      </w:r>
      <w:r w:rsidRPr="001F5B10">
        <w:rPr>
          <w:rFonts w:ascii="Verdana" w:hAnsi="Verdana" w:cs="Arial"/>
          <w:color w:val="000000"/>
          <w:sz w:val="14"/>
          <w:szCs w:val="14"/>
        </w:rPr>
        <w:t>de</w:t>
      </w:r>
      <w:r w:rsidRPr="001F5B10">
        <w:rPr>
          <w:rFonts w:ascii="Verdana" w:hAnsi="Verdana" w:cs="Arial"/>
          <w:color w:val="000000"/>
          <w:spacing w:val="11"/>
          <w:sz w:val="14"/>
          <w:szCs w:val="14"/>
        </w:rPr>
        <w:t xml:space="preserve"> </w:t>
      </w:r>
      <w:r w:rsidRPr="001F5B10">
        <w:rPr>
          <w:rFonts w:ascii="Verdana" w:hAnsi="Verdana" w:cs="Arial"/>
          <w:color w:val="000000"/>
          <w:sz w:val="14"/>
          <w:szCs w:val="14"/>
        </w:rPr>
        <w:t>junio</w:t>
      </w:r>
      <w:r w:rsidRPr="001F5B10">
        <w:rPr>
          <w:rFonts w:ascii="Verdana" w:hAnsi="Verdana" w:cs="Arial"/>
          <w:color w:val="000000"/>
          <w:spacing w:val="11"/>
          <w:sz w:val="14"/>
          <w:szCs w:val="14"/>
        </w:rPr>
        <w:t xml:space="preserve"> </w:t>
      </w:r>
      <w:r w:rsidRPr="001F5B10">
        <w:rPr>
          <w:rFonts w:ascii="Verdana" w:hAnsi="Verdana" w:cs="Arial"/>
          <w:color w:val="000000"/>
          <w:sz w:val="14"/>
          <w:szCs w:val="14"/>
        </w:rPr>
        <w:t>de</w:t>
      </w:r>
      <w:r w:rsidRPr="001F5B10">
        <w:rPr>
          <w:rFonts w:ascii="Verdana" w:hAnsi="Verdana" w:cs="Arial"/>
          <w:color w:val="000000"/>
          <w:spacing w:val="11"/>
          <w:sz w:val="14"/>
          <w:szCs w:val="14"/>
        </w:rPr>
        <w:t xml:space="preserve"> </w:t>
      </w:r>
      <w:r w:rsidRPr="001F5B10">
        <w:rPr>
          <w:rFonts w:ascii="Verdana" w:hAnsi="Verdana" w:cs="Arial"/>
          <w:color w:val="000000"/>
          <w:sz w:val="14"/>
          <w:szCs w:val="14"/>
        </w:rPr>
        <w:t>2015.</w:t>
      </w:r>
      <w:r w:rsidRPr="001F5B10">
        <w:rPr>
          <w:rFonts w:ascii="Verdana" w:hAnsi="Verdana" w:cs="Arial"/>
          <w:color w:val="000000"/>
          <w:spacing w:val="1"/>
          <w:sz w:val="14"/>
          <w:szCs w:val="14"/>
        </w:rPr>
        <w:t xml:space="preserve"> </w:t>
      </w:r>
      <w:r w:rsidRPr="001F5B10">
        <w:rPr>
          <w:rFonts w:ascii="Verdana" w:hAnsi="Verdana" w:cs="Arial"/>
          <w:color w:val="000000"/>
          <w:sz w:val="14"/>
          <w:szCs w:val="14"/>
        </w:rPr>
        <w:t>Exp.</w:t>
      </w:r>
      <w:r w:rsidRPr="001F5B10">
        <w:rPr>
          <w:rFonts w:ascii="Verdana" w:hAnsi="Verdana" w:cs="Arial"/>
          <w:color w:val="000000"/>
          <w:spacing w:val="-2"/>
          <w:sz w:val="14"/>
          <w:szCs w:val="14"/>
        </w:rPr>
        <w:t xml:space="preserve"> </w:t>
      </w:r>
      <w:r w:rsidRPr="001F5B10">
        <w:rPr>
          <w:rFonts w:ascii="Verdana" w:hAnsi="Verdana" w:cs="Arial"/>
          <w:color w:val="000000"/>
          <w:sz w:val="14"/>
          <w:szCs w:val="14"/>
        </w:rPr>
        <w:t>40.635.</w:t>
      </w:r>
      <w:r w:rsidRPr="001F5B10">
        <w:rPr>
          <w:rFonts w:ascii="Verdana" w:hAnsi="Verdana" w:cs="Arial"/>
          <w:color w:val="000000"/>
          <w:spacing w:val="-2"/>
          <w:sz w:val="14"/>
          <w:szCs w:val="14"/>
        </w:rPr>
        <w:t xml:space="preserve"> </w:t>
      </w:r>
      <w:r w:rsidRPr="001F5B10">
        <w:rPr>
          <w:rFonts w:ascii="Verdana" w:hAnsi="Verdana" w:cs="Arial"/>
          <w:color w:val="000000"/>
          <w:sz w:val="14"/>
          <w:szCs w:val="14"/>
        </w:rPr>
        <w:t>Consejero</w:t>
      </w:r>
      <w:r w:rsidRPr="001F5B10">
        <w:rPr>
          <w:rFonts w:ascii="Verdana" w:hAnsi="Verdana" w:cs="Arial"/>
          <w:color w:val="000000"/>
          <w:spacing w:val="-1"/>
          <w:sz w:val="14"/>
          <w:szCs w:val="14"/>
        </w:rPr>
        <w:t xml:space="preserve"> </w:t>
      </w:r>
      <w:r w:rsidRPr="001F5B10">
        <w:rPr>
          <w:rFonts w:ascii="Verdana" w:hAnsi="Verdana" w:cs="Arial"/>
          <w:color w:val="000000"/>
          <w:sz w:val="14"/>
          <w:szCs w:val="14"/>
        </w:rPr>
        <w:t>Ponente:</w:t>
      </w:r>
      <w:r w:rsidRPr="001F5B10">
        <w:rPr>
          <w:rFonts w:ascii="Verdana" w:hAnsi="Verdana" w:cs="Arial"/>
          <w:color w:val="000000"/>
          <w:spacing w:val="-2"/>
          <w:sz w:val="14"/>
          <w:szCs w:val="14"/>
        </w:rPr>
        <w:t xml:space="preserve"> </w:t>
      </w:r>
      <w:r w:rsidRPr="001F5B10">
        <w:rPr>
          <w:rFonts w:ascii="Verdana" w:hAnsi="Verdana" w:cs="Arial"/>
          <w:color w:val="000000"/>
          <w:sz w:val="14"/>
          <w:szCs w:val="14"/>
        </w:rPr>
        <w:t>Hernán</w:t>
      </w:r>
      <w:r w:rsidRPr="001F5B10">
        <w:rPr>
          <w:rFonts w:ascii="Verdana" w:hAnsi="Verdana" w:cs="Arial"/>
          <w:color w:val="000000"/>
          <w:spacing w:val="-1"/>
          <w:sz w:val="14"/>
          <w:szCs w:val="14"/>
        </w:rPr>
        <w:t xml:space="preserve"> </w:t>
      </w:r>
      <w:r w:rsidRPr="001F5B10">
        <w:rPr>
          <w:rFonts w:ascii="Verdana" w:hAnsi="Verdana" w:cs="Arial"/>
          <w:color w:val="000000"/>
          <w:sz w:val="14"/>
          <w:szCs w:val="14"/>
        </w:rPr>
        <w:t>Andrade</w:t>
      </w:r>
      <w:r w:rsidRPr="001F5B10">
        <w:rPr>
          <w:rFonts w:ascii="Verdana" w:hAnsi="Verdana" w:cs="Arial"/>
          <w:color w:val="000000"/>
          <w:spacing w:val="-2"/>
          <w:sz w:val="14"/>
          <w:szCs w:val="14"/>
        </w:rPr>
        <w:t xml:space="preserve"> </w:t>
      </w:r>
      <w:r w:rsidRPr="001F5B10">
        <w:rPr>
          <w:rFonts w:ascii="Verdana" w:hAnsi="Verdana" w:cs="Arial"/>
          <w:color w:val="000000"/>
          <w:sz w:val="14"/>
          <w:szCs w:val="14"/>
        </w:rPr>
        <w:t>Rincón</w:t>
      </w:r>
      <w:r w:rsidRPr="001F5B10">
        <w:rPr>
          <w:rFonts w:ascii="Verdana" w:hAnsi="Verdana" w:cs="Arial"/>
          <w:color w:val="000000"/>
          <w:spacing w:val="-1"/>
          <w:sz w:val="14"/>
          <w:szCs w:val="14"/>
        </w:rPr>
        <w:t xml:space="preserve"> </w:t>
      </w:r>
      <w:r w:rsidRPr="001F5B10">
        <w:rPr>
          <w:rFonts w:ascii="Verdana" w:hAnsi="Verdana" w:cs="Arial"/>
          <w:color w:val="000000"/>
          <w:sz w:val="14"/>
          <w:szCs w:val="14"/>
        </w:rPr>
        <w:t>(E).</w:t>
      </w:r>
    </w:p>
  </w:footnote>
  <w:footnote w:id="7">
    <w:p w14:paraId="243ED5EC" w14:textId="77777777" w:rsidR="00044B4B" w:rsidRPr="001F5B10" w:rsidRDefault="00044B4B" w:rsidP="00044B4B">
      <w:pPr>
        <w:pStyle w:val="Textonotapie"/>
        <w:ind w:firstLine="709"/>
        <w:jc w:val="both"/>
        <w:rPr>
          <w:rFonts w:ascii="Verdana" w:hAnsi="Verdana" w:cs="Arial"/>
          <w:color w:val="000000"/>
          <w:sz w:val="14"/>
          <w:szCs w:val="14"/>
          <w:lang w:val="es-CO"/>
        </w:rPr>
      </w:pPr>
      <w:r w:rsidRPr="001F5B10">
        <w:rPr>
          <w:rStyle w:val="Refdenotaalpie"/>
          <w:rFonts w:ascii="Verdana" w:hAnsi="Verdana" w:cs="Arial"/>
          <w:color w:val="000000"/>
          <w:sz w:val="14"/>
          <w:szCs w:val="14"/>
          <w:lang w:val="es-CO"/>
        </w:rPr>
        <w:footnoteRef/>
      </w:r>
      <w:r w:rsidRPr="001F5B10">
        <w:rPr>
          <w:rFonts w:ascii="Verdana" w:hAnsi="Verdana" w:cs="Arial"/>
          <w:color w:val="000000"/>
          <w:sz w:val="14"/>
          <w:szCs w:val="14"/>
          <w:lang w:val="es-CO"/>
        </w:rPr>
        <w:t xml:space="preserve"> Consejo de Estado. Sección Tercera. Subsección C. Sentencia del 22 de mayo de 2013. Exp. 24.057. C.P. Olga Melida Valle De La Hoz.</w:t>
      </w:r>
    </w:p>
    <w:p w14:paraId="19A19342" w14:textId="77777777" w:rsidR="00044B4B" w:rsidRPr="001F5B10" w:rsidRDefault="00044B4B" w:rsidP="00044B4B">
      <w:pPr>
        <w:pStyle w:val="Textonotapie"/>
        <w:ind w:firstLine="709"/>
        <w:jc w:val="both"/>
        <w:rPr>
          <w:rFonts w:ascii="Verdana" w:hAnsi="Verdana" w:cs="Arial"/>
          <w:color w:val="000000"/>
          <w:sz w:val="14"/>
          <w:szCs w:val="14"/>
          <w:lang w:val="es-CO"/>
        </w:rPr>
      </w:pPr>
    </w:p>
  </w:footnote>
  <w:footnote w:id="8">
    <w:p w14:paraId="669AFA41" w14:textId="77777777" w:rsidR="00044B4B" w:rsidRPr="001F5B10" w:rsidRDefault="00044B4B" w:rsidP="00044B4B">
      <w:pPr>
        <w:pStyle w:val="Textonotapie"/>
        <w:ind w:firstLine="709"/>
        <w:jc w:val="both"/>
        <w:rPr>
          <w:rFonts w:ascii="Verdana" w:hAnsi="Verdana" w:cs="Arial"/>
          <w:color w:val="000000"/>
          <w:sz w:val="14"/>
          <w:szCs w:val="14"/>
          <w:lang w:val="es-CO"/>
        </w:rPr>
      </w:pPr>
      <w:r w:rsidRPr="001F5B10">
        <w:rPr>
          <w:rStyle w:val="Refdenotaalpie"/>
          <w:rFonts w:ascii="Verdana" w:hAnsi="Verdana" w:cs="Arial"/>
          <w:color w:val="000000"/>
          <w:sz w:val="14"/>
          <w:szCs w:val="14"/>
          <w:lang w:val="es-CO"/>
        </w:rPr>
        <w:footnoteRef/>
      </w:r>
      <w:r w:rsidRPr="001F5B10">
        <w:rPr>
          <w:rFonts w:ascii="Verdana" w:hAnsi="Verdana" w:cs="Arial"/>
          <w:color w:val="000000"/>
          <w:sz w:val="14"/>
          <w:szCs w:val="14"/>
          <w:lang w:val="es-CO"/>
        </w:rPr>
        <w:t xml:space="preserve"> Corte Constitucional, Sentencia C- 373 de 2002, M.P. Jaime Córdoba Triviño; sentencia C-325 de 2009, M.P. Gabriel Eduardo Mendoza Martelo.</w:t>
      </w:r>
    </w:p>
  </w:footnote>
  <w:footnote w:id="9">
    <w:p w14:paraId="627F810E" w14:textId="77777777" w:rsidR="00044B4B" w:rsidRPr="001F5B10" w:rsidRDefault="00044B4B" w:rsidP="00044B4B">
      <w:pPr>
        <w:pStyle w:val="Textonotapie"/>
        <w:ind w:firstLine="709"/>
        <w:jc w:val="both"/>
        <w:rPr>
          <w:rFonts w:ascii="Verdana" w:hAnsi="Verdana" w:cs="Arial"/>
          <w:color w:val="000000"/>
          <w:sz w:val="14"/>
          <w:szCs w:val="14"/>
          <w:lang w:val="es-CO"/>
        </w:rPr>
      </w:pPr>
      <w:r w:rsidRPr="001F5B10">
        <w:rPr>
          <w:rStyle w:val="Refdenotaalpie"/>
          <w:rFonts w:ascii="Verdana" w:hAnsi="Verdana" w:cs="Arial"/>
          <w:color w:val="000000"/>
          <w:sz w:val="14"/>
          <w:szCs w:val="14"/>
          <w:lang w:val="es-CO"/>
        </w:rPr>
        <w:footnoteRef/>
      </w:r>
      <w:r w:rsidRPr="001F5B10">
        <w:rPr>
          <w:rFonts w:ascii="Verdana" w:hAnsi="Verdana" w:cs="Arial"/>
          <w:color w:val="000000"/>
          <w:sz w:val="14"/>
          <w:szCs w:val="14"/>
          <w:lang w:val="es-CO"/>
        </w:rPr>
        <w:t xml:space="preserve"> Consejo de Estado, Sección Quinta, Sentencia del 13 de junio de 2019, Exp. No. 00111 C.P. Rocío Araújo Oñate.</w:t>
      </w:r>
    </w:p>
  </w:footnote>
  <w:footnote w:id="10">
    <w:p w14:paraId="5086D013" w14:textId="77777777" w:rsidR="00044B4B" w:rsidRPr="001F5B10" w:rsidRDefault="00044B4B" w:rsidP="00044B4B">
      <w:pPr>
        <w:pStyle w:val="Textonotapie"/>
        <w:ind w:firstLine="709"/>
        <w:jc w:val="both"/>
        <w:rPr>
          <w:rFonts w:ascii="Verdana" w:hAnsi="Verdana" w:cs="Arial"/>
          <w:color w:val="000000"/>
          <w:sz w:val="14"/>
          <w:szCs w:val="14"/>
          <w:lang w:val="es-CO"/>
        </w:rPr>
      </w:pPr>
      <w:r w:rsidRPr="001F5B10">
        <w:rPr>
          <w:rStyle w:val="Refdenotaalpie"/>
          <w:rFonts w:ascii="Verdana" w:hAnsi="Verdana" w:cs="Arial"/>
          <w:color w:val="000000"/>
          <w:sz w:val="14"/>
          <w:szCs w:val="14"/>
          <w:lang w:val="es-CO"/>
        </w:rPr>
        <w:footnoteRef/>
      </w:r>
      <w:r w:rsidRPr="001F5B10">
        <w:rPr>
          <w:rFonts w:ascii="Verdana" w:hAnsi="Verdana" w:cs="Arial"/>
          <w:color w:val="000000"/>
          <w:sz w:val="14"/>
          <w:szCs w:val="14"/>
          <w:lang w:val="es-CO"/>
        </w:rPr>
        <w:t xml:space="preserve"> </w:t>
      </w:r>
      <w:r w:rsidRPr="001F5B10">
        <w:rPr>
          <w:rFonts w:ascii="Verdana" w:hAnsi="Verdana" w:cs="Arial"/>
          <w:i/>
          <w:color w:val="000000"/>
          <w:sz w:val="14"/>
          <w:szCs w:val="14"/>
          <w:lang w:val="es-CO"/>
        </w:rPr>
        <w:t>Ibid</w:t>
      </w:r>
      <w:r w:rsidRPr="001F5B10">
        <w:rPr>
          <w:rFonts w:ascii="Verdana" w:hAnsi="Verdana" w:cs="Arial"/>
          <w:color w:val="000000"/>
          <w:sz w:val="14"/>
          <w:szCs w:val="14"/>
          <w:lang w:val="es-CO"/>
        </w:rPr>
        <w:t xml:space="preserve">. </w:t>
      </w:r>
    </w:p>
    <w:p w14:paraId="5EE94882" w14:textId="77777777" w:rsidR="00044B4B" w:rsidRPr="001F5B10" w:rsidRDefault="00044B4B" w:rsidP="00044B4B">
      <w:pPr>
        <w:pStyle w:val="Textonotapie"/>
        <w:ind w:firstLine="709"/>
        <w:jc w:val="both"/>
        <w:rPr>
          <w:rFonts w:ascii="Verdana" w:hAnsi="Verdana" w:cs="Arial"/>
          <w:color w:val="000000"/>
          <w:sz w:val="14"/>
          <w:szCs w:val="14"/>
          <w:lang w:val="es-CO"/>
        </w:rPr>
      </w:pPr>
    </w:p>
  </w:footnote>
  <w:footnote w:id="11">
    <w:p w14:paraId="368F9ABD" w14:textId="77777777" w:rsidR="00044B4B" w:rsidRPr="00D30B23" w:rsidRDefault="00044B4B" w:rsidP="00044B4B">
      <w:pPr>
        <w:pStyle w:val="Textonotapie"/>
        <w:ind w:firstLine="709"/>
        <w:jc w:val="both"/>
        <w:rPr>
          <w:rFonts w:ascii="Verdana" w:hAnsi="Verdana" w:cs="Arial"/>
          <w:sz w:val="14"/>
          <w:szCs w:val="14"/>
          <w:lang w:val="es-CO"/>
        </w:rPr>
      </w:pPr>
      <w:r w:rsidRPr="001F5B10">
        <w:rPr>
          <w:rStyle w:val="Refdenotaalpie"/>
          <w:rFonts w:ascii="Verdana" w:hAnsi="Verdana" w:cs="Arial"/>
          <w:sz w:val="14"/>
          <w:szCs w:val="14"/>
        </w:rPr>
        <w:footnoteRef/>
      </w:r>
      <w:r w:rsidRPr="00D30B23">
        <w:rPr>
          <w:rFonts w:ascii="Verdana" w:hAnsi="Verdana" w:cs="Arial"/>
          <w:sz w:val="14"/>
          <w:szCs w:val="14"/>
          <w:lang w:val="es-CO"/>
        </w:rPr>
        <w:t xml:space="preserve"> CORTE CONSTITUCIONAL. Sentencia C-1016 de 2012. M.P. Jorge Iván Palacio. </w:t>
      </w:r>
    </w:p>
    <w:p w14:paraId="3E3013A3" w14:textId="77777777" w:rsidR="00044B4B" w:rsidRPr="00D30B23" w:rsidRDefault="00044B4B" w:rsidP="00044B4B">
      <w:pPr>
        <w:pStyle w:val="Textonotapie"/>
        <w:ind w:firstLine="709"/>
        <w:jc w:val="both"/>
        <w:rPr>
          <w:rFonts w:ascii="Verdana" w:hAnsi="Verdana" w:cs="Arial"/>
          <w:sz w:val="14"/>
          <w:szCs w:val="14"/>
          <w:lang w:val="es-CO"/>
        </w:rPr>
      </w:pPr>
    </w:p>
  </w:footnote>
  <w:footnote w:id="12">
    <w:p w14:paraId="556E18EC" w14:textId="77777777" w:rsidR="00044B4B" w:rsidRPr="001F5B10" w:rsidRDefault="00044B4B" w:rsidP="00044B4B">
      <w:pPr>
        <w:pStyle w:val="Textonotapie"/>
        <w:ind w:firstLine="709"/>
        <w:jc w:val="both"/>
        <w:rPr>
          <w:rFonts w:ascii="Verdana" w:hAnsi="Verdana" w:cs="Arial"/>
          <w:sz w:val="14"/>
          <w:szCs w:val="14"/>
          <w:lang w:val="pt-BR"/>
        </w:rPr>
      </w:pPr>
      <w:r w:rsidRPr="001F5B10">
        <w:rPr>
          <w:rStyle w:val="Refdenotaalpie"/>
          <w:rFonts w:ascii="Verdana" w:hAnsi="Verdana" w:cs="Arial"/>
          <w:sz w:val="14"/>
          <w:szCs w:val="14"/>
        </w:rPr>
        <w:footnoteRef/>
      </w:r>
      <w:r w:rsidRPr="001F5B10">
        <w:rPr>
          <w:rFonts w:ascii="Verdana" w:hAnsi="Verdana" w:cs="Arial"/>
          <w:sz w:val="14"/>
          <w:szCs w:val="14"/>
        </w:rPr>
        <w:t xml:space="preserve"> CONSEJO DE ESTADO. Sección Tercera. Subsección A. Sentencia del 13 de noviembre de 2013. </w:t>
      </w:r>
      <w:r w:rsidRPr="001F5B10">
        <w:rPr>
          <w:rFonts w:ascii="Verdana" w:hAnsi="Verdana" w:cs="Arial"/>
          <w:sz w:val="14"/>
          <w:szCs w:val="14"/>
          <w:lang w:val="pt-BR"/>
        </w:rPr>
        <w:t xml:space="preserve">Rad. 25.646. C.P. Mauricio Fajardo Gómez.  </w:t>
      </w:r>
    </w:p>
  </w:footnote>
  <w:footnote w:id="13">
    <w:p w14:paraId="7BBF0539" w14:textId="77777777" w:rsidR="00044B4B" w:rsidRPr="001F5B10" w:rsidRDefault="00044B4B" w:rsidP="00044B4B">
      <w:pPr>
        <w:pStyle w:val="Textonotapie"/>
        <w:ind w:firstLine="709"/>
        <w:jc w:val="both"/>
        <w:rPr>
          <w:rFonts w:ascii="Verdana" w:hAnsi="Verdana" w:cs="Arial"/>
          <w:sz w:val="14"/>
          <w:szCs w:val="14"/>
          <w:lang w:val="pt-BR"/>
        </w:rPr>
      </w:pPr>
      <w:r w:rsidRPr="001F5B10">
        <w:rPr>
          <w:rFonts w:ascii="Verdana" w:hAnsi="Verdana" w:cs="Arial"/>
          <w:sz w:val="14"/>
          <w:szCs w:val="14"/>
          <w:vertAlign w:val="superscript"/>
        </w:rPr>
        <w:footnoteRef/>
      </w:r>
      <w:r w:rsidRPr="001F5B10">
        <w:rPr>
          <w:rFonts w:ascii="Verdana" w:hAnsi="Verdana" w:cs="Arial"/>
          <w:sz w:val="14"/>
          <w:szCs w:val="14"/>
          <w:lang w:val="pt-BR"/>
        </w:rPr>
        <w:t xml:space="preserve"> CORTE CONSTITUCIONAL. Sentencia C-415 de 1994. M.P. Eduardo Cifuentes Muñoz. </w:t>
      </w:r>
    </w:p>
  </w:footnote>
  <w:footnote w:id="14">
    <w:p w14:paraId="6A3866B2" w14:textId="77777777" w:rsidR="00044B4B" w:rsidRPr="001F5B10" w:rsidRDefault="00044B4B" w:rsidP="00044B4B">
      <w:pPr>
        <w:pStyle w:val="Textonotapie"/>
        <w:ind w:firstLine="709"/>
        <w:jc w:val="both"/>
        <w:rPr>
          <w:rFonts w:ascii="Verdana" w:hAnsi="Verdana" w:cs="Arial"/>
          <w:sz w:val="14"/>
          <w:szCs w:val="14"/>
          <w:lang w:val="pt-BR"/>
        </w:rPr>
      </w:pPr>
      <w:r w:rsidRPr="001F5B10">
        <w:rPr>
          <w:rStyle w:val="Refdenotaalpie"/>
          <w:rFonts w:ascii="Verdana" w:hAnsi="Verdana" w:cs="Arial"/>
          <w:sz w:val="14"/>
          <w:szCs w:val="14"/>
        </w:rPr>
        <w:footnoteRef/>
      </w:r>
      <w:r w:rsidRPr="001F5B10">
        <w:rPr>
          <w:rFonts w:ascii="Verdana" w:hAnsi="Verdana" w:cs="Arial"/>
          <w:sz w:val="14"/>
          <w:szCs w:val="14"/>
          <w:lang w:val="pt-BR"/>
        </w:rPr>
        <w:t xml:space="preserve"> Ibídem. </w:t>
      </w:r>
    </w:p>
  </w:footnote>
  <w:footnote w:id="15">
    <w:p w14:paraId="10C8B8C6" w14:textId="77777777" w:rsidR="00044B4B" w:rsidRPr="001F5B10" w:rsidRDefault="00044B4B" w:rsidP="00044B4B">
      <w:pPr>
        <w:pStyle w:val="Textonotapie"/>
        <w:ind w:firstLine="709"/>
        <w:jc w:val="both"/>
        <w:rPr>
          <w:rFonts w:ascii="Verdana" w:hAnsi="Verdana" w:cs="Arial"/>
          <w:sz w:val="14"/>
          <w:szCs w:val="14"/>
        </w:rPr>
      </w:pPr>
      <w:r w:rsidRPr="001F5B10">
        <w:rPr>
          <w:rStyle w:val="Refdenotaalpie"/>
          <w:rFonts w:ascii="Verdana" w:hAnsi="Verdana" w:cs="Arial"/>
          <w:sz w:val="14"/>
          <w:szCs w:val="14"/>
        </w:rPr>
        <w:footnoteRef/>
      </w:r>
      <w:r w:rsidRPr="001F5B10">
        <w:rPr>
          <w:rFonts w:ascii="Verdana" w:hAnsi="Verdana" w:cs="Arial"/>
          <w:sz w:val="14"/>
          <w:szCs w:val="14"/>
          <w:lang w:val="pt-BR"/>
        </w:rPr>
        <w:t xml:space="preserve"> CORTE CONSTITUCIONAL. </w:t>
      </w:r>
      <w:r w:rsidRPr="001F5B10">
        <w:rPr>
          <w:rFonts w:ascii="Verdana" w:hAnsi="Verdana" w:cs="Arial"/>
          <w:sz w:val="14"/>
          <w:szCs w:val="14"/>
        </w:rPr>
        <w:t>Sentencia C-780 de 2001. M.P. Jaime Córdoba Triviño.</w:t>
      </w:r>
    </w:p>
  </w:footnote>
  <w:footnote w:id="16">
    <w:p w14:paraId="7F652BF0" w14:textId="77777777" w:rsidR="00044B4B" w:rsidRPr="001F5B10" w:rsidRDefault="00044B4B" w:rsidP="00044B4B">
      <w:pPr>
        <w:pStyle w:val="NormalWeb"/>
        <w:spacing w:before="0" w:beforeAutospacing="0" w:after="0" w:afterAutospacing="0"/>
        <w:ind w:firstLine="709"/>
        <w:jc w:val="both"/>
        <w:rPr>
          <w:rFonts w:ascii="Verdana" w:hAnsi="Verdana" w:cs="Arial"/>
          <w:sz w:val="14"/>
          <w:szCs w:val="14"/>
        </w:rPr>
      </w:pPr>
    </w:p>
    <w:p w14:paraId="6753963D"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Style w:val="Refdenotaalpie"/>
          <w:rFonts w:ascii="Verdana" w:hAnsi="Verdana" w:cs="Arial"/>
          <w:sz w:val="14"/>
          <w:szCs w:val="14"/>
        </w:rPr>
        <w:footnoteRef/>
      </w:r>
      <w:r w:rsidRPr="001F5B10">
        <w:rPr>
          <w:rFonts w:ascii="Verdana" w:hAnsi="Verdana" w:cs="Arial"/>
          <w:sz w:val="14"/>
          <w:szCs w:val="14"/>
        </w:rPr>
        <w:t xml:space="preserve"> </w:t>
      </w:r>
      <w:r w:rsidRPr="001F5B10">
        <w:rPr>
          <w:rFonts w:ascii="Verdana" w:eastAsiaTheme="minorHAnsi" w:hAnsi="Verdana" w:cs="Arial"/>
          <w:sz w:val="14"/>
          <w:szCs w:val="14"/>
          <w:lang w:val="es-ES" w:eastAsia="en-US"/>
        </w:rPr>
        <w:t>Ley 80 de 1993: “Artículo 8: 1o. Son inhábiles para participar en licitaciones o concursos y para celebrar contratos con las entidades estatales: </w:t>
      </w:r>
    </w:p>
    <w:p w14:paraId="0CB78C56"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a) Las personas que se hallen inhabilitadas para contratar por la Constitución y las leyes. </w:t>
      </w:r>
    </w:p>
    <w:p w14:paraId="788F817A"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b) Quienes participaron en las licitaciones o concursos o celebraron los contratos de que trata el literal anterior estando inhabilitados. </w:t>
      </w:r>
    </w:p>
    <w:p w14:paraId="3467150A"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c) Quienes dieron lugar a la declaratoria de caducidad. </w:t>
      </w:r>
    </w:p>
    <w:p w14:paraId="719EF3E0"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d) Quienes en sentencia judicial hayan sido condenados a la pena accesoria de interdicción de derechos y funciones públicas y quienes hayan sido sancionados disciplinariamente con destitución. </w:t>
      </w:r>
    </w:p>
    <w:p w14:paraId="79FED102"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e) Quienes sin justa causa se abstengan de suscribir el contrato estatal adjudicado. </w:t>
      </w:r>
    </w:p>
    <w:p w14:paraId="3FA524A6"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f) Los servidores públicos. </w:t>
      </w:r>
    </w:p>
    <w:p w14:paraId="3D7BD5F0"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g) Quienes sean cónyuges o compañeros permanentes y quienes se encuentren dentro del segundo grado de consanguinidad o segundo de afinidad con cualquier otra persona que formalmente haya presentado propuesta para una misma licitación o concurso. </w:t>
      </w:r>
    </w:p>
    <w:p w14:paraId="52CB25AA"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5670BD8D"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i) Los socios de sociedades de personas a las cuales se haya declarado la caducidad, así como las sociedades de personas de las que aquellos formen parte con posterioridad a dicha declaratoria. </w:t>
      </w:r>
    </w:p>
    <w:p w14:paraId="3E24BF69"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22CFFC48"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200E2788"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1F5B10">
        <w:rPr>
          <w:rFonts w:ascii="Verdana" w:eastAsiaTheme="minorHAnsi" w:hAnsi="Verdana" w:cs="Arial"/>
          <w:sz w:val="14"/>
          <w:szCs w:val="14"/>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1F5B10">
        <w:rPr>
          <w:rFonts w:ascii="Verdana" w:eastAsiaTheme="minorHAnsi" w:hAnsi="Verdana" w:cs="Arial"/>
          <w:sz w:val="14"/>
          <w:szCs w:val="14"/>
          <w:lang w:val="es-ES" w:eastAsia="en-US"/>
        </w:rPr>
        <w:softHyphen/>
        <w:t>cepción de las sociedades anónimas abiertas. También se considerarán inhabilitadas para contratar, las personas jurídicas sobre las cuales se haya ordenado la suspensión de la perso</w:t>
      </w:r>
      <w:r w:rsidRPr="001F5B10">
        <w:rPr>
          <w:rFonts w:ascii="Verdana" w:eastAsiaTheme="minorHAnsi" w:hAnsi="Verdana" w:cs="Arial"/>
          <w:sz w:val="14"/>
          <w:szCs w:val="14"/>
          <w:lang w:val="es-ES" w:eastAsia="en-US"/>
        </w:rPr>
        <w:softHyphen/>
        <w:t>nería jurídica en los términos de ley, o cuyos representantes legales, ad</w:t>
      </w:r>
      <w:r w:rsidRPr="001F5B10">
        <w:rPr>
          <w:rFonts w:ascii="Verdana" w:eastAsiaTheme="minorHAnsi" w:hAnsi="Verdana" w:cs="Arial"/>
          <w:sz w:val="14"/>
          <w:szCs w:val="14"/>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1F5B10">
        <w:rPr>
          <w:rFonts w:ascii="Verdana" w:eastAsiaTheme="minorHAnsi" w:hAnsi="Verdana" w:cs="Arial"/>
          <w:sz w:val="14"/>
          <w:szCs w:val="14"/>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5A0F49EC"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w:t>
      </w:r>
    </w:p>
    <w:p w14:paraId="1793C172"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2o. Tampoco podrán participar en licitaciones o concursos ni celebrar contratos estatales con la entidad respectiva: </w:t>
      </w:r>
    </w:p>
    <w:p w14:paraId="1A70FCAC"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7B9A062E"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5EEC1FA6"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238716C5"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108159E3"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e) Los miembros de las juntas o consejos directivos. Esta incompatibilidad sólo se predica respecto de la entidad a la cual prestan sus servicios y de las del sector administrativo al que la misma esté adscrita o vinculada. </w:t>
      </w:r>
    </w:p>
    <w:p w14:paraId="4D621688"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exempleado público.</w:t>
      </w:r>
    </w:p>
    <w:p w14:paraId="47073AAB"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r w:rsidRPr="001F5B10">
        <w:rPr>
          <w:rFonts w:ascii="Verdana" w:eastAsiaTheme="minorHAnsi" w:hAnsi="Verdana" w:cs="Arial"/>
          <w:sz w:val="14"/>
          <w:szCs w:val="14"/>
          <w:lang w:val="es-ES" w:eastAsia="en-US"/>
        </w:rPr>
        <w:t xml:space="preserve">[…]”. </w:t>
      </w:r>
    </w:p>
    <w:p w14:paraId="7B629519" w14:textId="77777777" w:rsidR="00044B4B" w:rsidRPr="001F5B10" w:rsidRDefault="00044B4B" w:rsidP="00044B4B">
      <w:pPr>
        <w:pStyle w:val="NormalWeb"/>
        <w:spacing w:before="0" w:beforeAutospacing="0" w:after="0" w:afterAutospacing="0"/>
        <w:ind w:firstLine="709"/>
        <w:jc w:val="both"/>
        <w:rPr>
          <w:rFonts w:ascii="Verdana" w:eastAsiaTheme="minorHAnsi" w:hAnsi="Verdana" w:cs="Arial"/>
          <w:sz w:val="14"/>
          <w:szCs w:val="14"/>
          <w:lang w:val="es-ES" w:eastAsia="en-US"/>
        </w:rPr>
      </w:pPr>
    </w:p>
  </w:footnote>
  <w:footnote w:id="17">
    <w:p w14:paraId="0FFEDE44" w14:textId="77777777" w:rsidR="00044B4B" w:rsidRPr="001F5B10" w:rsidRDefault="00044B4B" w:rsidP="00044B4B">
      <w:pPr>
        <w:pStyle w:val="NormalWeb"/>
        <w:spacing w:before="0" w:beforeAutospacing="0" w:after="0" w:afterAutospacing="0"/>
        <w:ind w:firstLine="708"/>
        <w:jc w:val="both"/>
        <w:rPr>
          <w:rFonts w:ascii="Verdana" w:hAnsi="Verdana" w:cs="Arial"/>
          <w:sz w:val="14"/>
          <w:szCs w:val="14"/>
        </w:rPr>
      </w:pPr>
      <w:r w:rsidRPr="001F5B10">
        <w:rPr>
          <w:rStyle w:val="Refdenotaalpie"/>
          <w:rFonts w:ascii="Verdana" w:hAnsi="Verdana" w:cs="Arial"/>
          <w:sz w:val="14"/>
          <w:szCs w:val="14"/>
        </w:rPr>
        <w:footnoteRef/>
      </w:r>
      <w:r w:rsidRPr="001F5B10">
        <w:rPr>
          <w:rFonts w:ascii="Verdana" w:hAnsi="Verdana" w:cs="Arial"/>
          <w:sz w:val="14"/>
          <w:szCs w:val="14"/>
        </w:rPr>
        <w:t xml:space="preserve"> Ley 599 del 2000: “</w:t>
      </w:r>
      <w:r w:rsidRPr="001F5B10">
        <w:rPr>
          <w:rStyle w:val="Textoennegrita"/>
          <w:rFonts w:ascii="Verdana" w:hAnsi="Verdana" w:cs="Arial"/>
          <w:sz w:val="14"/>
          <w:szCs w:val="14"/>
        </w:rPr>
        <w:t xml:space="preserve">Artículo 44. </w:t>
      </w:r>
      <w:r w:rsidRPr="001F5B10">
        <w:rPr>
          <w:rStyle w:val="nfasis"/>
          <w:rFonts w:ascii="Verdana" w:hAnsi="Verdana" w:cs="Arial"/>
          <w:sz w:val="14"/>
          <w:szCs w:val="14"/>
        </w:rPr>
        <w:t>La inhabilitación para el ejercicio de derechos y funciones públicas</w:t>
      </w:r>
      <w:r w:rsidRPr="001F5B10">
        <w:rPr>
          <w:rFonts w:ascii="Verdana" w:hAnsi="Verdana" w:cs="Arial"/>
          <w:sz w:val="14"/>
          <w:szCs w:val="14"/>
        </w:rPr>
        <w:t>. La pena de inhabilitación para el ejercicio de derechos y funciones públicas priva al penado de la facultad de elegir y ser elegido, del ejercicio de cualquier otro derecho político, función pública, dignidades y honores que confieren las entidades oficiales. </w:t>
      </w:r>
    </w:p>
    <w:p w14:paraId="3FA185AF" w14:textId="77777777" w:rsidR="00044B4B" w:rsidRPr="001F5B10" w:rsidRDefault="00044B4B" w:rsidP="00044B4B">
      <w:pPr>
        <w:pStyle w:val="NormalWeb"/>
        <w:spacing w:before="0" w:beforeAutospacing="0" w:after="0" w:afterAutospacing="0"/>
        <w:ind w:firstLine="708"/>
        <w:jc w:val="both"/>
        <w:rPr>
          <w:rFonts w:ascii="Verdana" w:hAnsi="Verdana" w:cs="Arial"/>
          <w:sz w:val="14"/>
          <w:szCs w:val="14"/>
        </w:rPr>
      </w:pPr>
      <w:r w:rsidRPr="001F5B10">
        <w:rPr>
          <w:rFonts w:ascii="Verdana" w:hAnsi="Verdana" w:cs="Arial"/>
          <w:sz w:val="14"/>
          <w:szCs w:val="14"/>
        </w:rPr>
        <w:t>[…]</w:t>
      </w:r>
    </w:p>
    <w:p w14:paraId="32926025" w14:textId="77777777" w:rsidR="00044B4B" w:rsidRPr="001F5B10" w:rsidRDefault="00044B4B" w:rsidP="00044B4B">
      <w:pPr>
        <w:pStyle w:val="NormalWeb"/>
        <w:spacing w:before="0" w:beforeAutospacing="0" w:after="0" w:afterAutospacing="0"/>
        <w:ind w:firstLine="708"/>
        <w:jc w:val="both"/>
        <w:rPr>
          <w:rFonts w:ascii="Verdana" w:hAnsi="Verdana" w:cs="Arial"/>
          <w:sz w:val="14"/>
          <w:szCs w:val="14"/>
        </w:rPr>
      </w:pPr>
      <w:r w:rsidRPr="001F5B10">
        <w:rPr>
          <w:rFonts w:ascii="Verdana" w:hAnsi="Verdana" w:cs="Arial"/>
          <w:sz w:val="14"/>
          <w:szCs w:val="14"/>
        </w:rPr>
        <w:t>Artículo 52. Las penas accesorias. Las penas privativas de otros derechos, que pueden imponerse como principales, serán accesorias y las impondrá el Juez cuando tengan relación directa con la realización de la conducta punible, por haber abusado de ellos o haber facilitado su comisión, o cuando la restricción del derecho contribuya a la prevención de conductas similares a la que fue objeto de condena. </w:t>
      </w:r>
    </w:p>
    <w:p w14:paraId="347F2F8D" w14:textId="77777777" w:rsidR="00044B4B" w:rsidRPr="001F5B10" w:rsidRDefault="00044B4B" w:rsidP="00044B4B">
      <w:pPr>
        <w:spacing w:after="0"/>
        <w:jc w:val="both"/>
        <w:rPr>
          <w:rFonts w:ascii="Verdana" w:eastAsia="Times New Roman" w:hAnsi="Verdana" w:cs="Arial"/>
          <w:sz w:val="14"/>
          <w:szCs w:val="14"/>
          <w:lang w:eastAsia="es-CO"/>
        </w:rPr>
      </w:pPr>
      <w:r w:rsidRPr="001F5B10">
        <w:rPr>
          <w:rFonts w:ascii="Verdana" w:eastAsia="Times New Roman" w:hAnsi="Verdana" w:cs="Arial"/>
          <w:sz w:val="14"/>
          <w:szCs w:val="14"/>
          <w:lang w:eastAsia="es-CO"/>
        </w:rPr>
        <w:t>  </w:t>
      </w:r>
      <w:r w:rsidRPr="001F5B10">
        <w:rPr>
          <w:rFonts w:ascii="Verdana" w:eastAsia="Times New Roman" w:hAnsi="Verdana" w:cs="Arial"/>
          <w:sz w:val="14"/>
          <w:szCs w:val="14"/>
          <w:lang w:eastAsia="es-CO"/>
        </w:rPr>
        <w:tab/>
        <w:t>En la imposición de las penas accesorias se observará estrictamente lo dispuesto en el artículo 59. </w:t>
      </w:r>
    </w:p>
    <w:p w14:paraId="0E501256" w14:textId="77777777" w:rsidR="00044B4B" w:rsidRPr="001F5B10" w:rsidRDefault="00044B4B" w:rsidP="00044B4B">
      <w:pPr>
        <w:spacing w:after="0"/>
        <w:ind w:firstLine="708"/>
        <w:jc w:val="both"/>
        <w:rPr>
          <w:rFonts w:ascii="Verdana" w:eastAsia="Times New Roman" w:hAnsi="Verdana" w:cs="Arial"/>
          <w:sz w:val="14"/>
          <w:szCs w:val="14"/>
          <w:lang w:eastAsia="es-CO"/>
        </w:rPr>
      </w:pPr>
      <w:r w:rsidRPr="001F5B10">
        <w:rPr>
          <w:rFonts w:ascii="Verdana" w:eastAsia="Times New Roman" w:hAnsi="Verdana" w:cs="Arial"/>
          <w:sz w:val="14"/>
          <w:szCs w:val="14"/>
          <w:lang w:eastAsia="es-CO"/>
        </w:rPr>
        <w:t>En todo caso, la pena de prisión conllevará la accesoria de inhabilitación para el ejercicio de derechos y funciones públicas, por un tiempo igual al de la pena a que accede y hasta por una tercera parte más, sin exceder el máximo fijado en la Ley, sin perjuicio de la excepción a que alude el inciso 2 del artículo 51”. </w:t>
      </w:r>
    </w:p>
    <w:p w14:paraId="30DC261D" w14:textId="77777777" w:rsidR="00044B4B" w:rsidRPr="001F5B10" w:rsidRDefault="00044B4B" w:rsidP="00044B4B">
      <w:pPr>
        <w:spacing w:after="0"/>
        <w:ind w:firstLine="708"/>
        <w:jc w:val="both"/>
        <w:rPr>
          <w:rFonts w:ascii="Verdana" w:hAnsi="Verdana" w:cs="Arial"/>
          <w:sz w:val="14"/>
          <w:szCs w:val="14"/>
        </w:rPr>
      </w:pPr>
      <w:r w:rsidRPr="001F5B10">
        <w:rPr>
          <w:rFonts w:ascii="Verdana" w:hAnsi="Verdana" w:cs="Arial"/>
          <w:sz w:val="14"/>
          <w:szCs w:val="14"/>
        </w:rPr>
        <w:t xml:space="preserve"> </w:t>
      </w:r>
    </w:p>
  </w:footnote>
  <w:footnote w:id="18">
    <w:p w14:paraId="08AEFB35" w14:textId="77777777" w:rsidR="00044B4B" w:rsidRPr="001F5B10" w:rsidRDefault="00044B4B" w:rsidP="00044B4B">
      <w:pPr>
        <w:shd w:val="clear" w:color="auto" w:fill="FFFFFF"/>
        <w:spacing w:after="0"/>
        <w:ind w:firstLine="709"/>
        <w:jc w:val="both"/>
        <w:rPr>
          <w:rFonts w:ascii="Verdana" w:eastAsia="Times New Roman" w:hAnsi="Verdana" w:cs="Arial"/>
          <w:sz w:val="14"/>
          <w:szCs w:val="14"/>
          <w:lang w:eastAsia="es-CO"/>
        </w:rPr>
      </w:pPr>
      <w:r w:rsidRPr="001F5B10">
        <w:rPr>
          <w:rStyle w:val="Refdenotaalpie"/>
          <w:rFonts w:ascii="Verdana" w:hAnsi="Verdana" w:cs="Arial"/>
          <w:sz w:val="14"/>
          <w:szCs w:val="14"/>
        </w:rPr>
        <w:footnoteRef/>
      </w:r>
      <w:r w:rsidRPr="001F5B10">
        <w:rPr>
          <w:rFonts w:ascii="Verdana" w:hAnsi="Verdana" w:cs="Arial"/>
          <w:sz w:val="14"/>
          <w:szCs w:val="14"/>
        </w:rPr>
        <w:t xml:space="preserve"> Ley 1952 de 2019: “</w:t>
      </w:r>
      <w:r w:rsidRPr="001F5B10">
        <w:rPr>
          <w:rFonts w:ascii="Verdana" w:eastAsia="Times New Roman" w:hAnsi="Verdana" w:cs="Arial"/>
          <w:sz w:val="14"/>
          <w:szCs w:val="14"/>
          <w:lang w:eastAsia="es-CO"/>
        </w:rPr>
        <w:t>Artículo</w:t>
      </w:r>
      <w:bookmarkStart w:id="4" w:name="49"/>
      <w:bookmarkEnd w:id="4"/>
      <w:r w:rsidRPr="001F5B10">
        <w:rPr>
          <w:rFonts w:ascii="Verdana" w:eastAsia="Times New Roman" w:hAnsi="Verdana" w:cs="Arial"/>
          <w:sz w:val="14"/>
          <w:szCs w:val="14"/>
          <w:lang w:eastAsia="es-CO"/>
        </w:rPr>
        <w:t> 49. definición de las sanciones.</w:t>
      </w:r>
    </w:p>
    <w:p w14:paraId="3BE7DD79" w14:textId="77777777" w:rsidR="00044B4B" w:rsidRPr="001F5B10" w:rsidRDefault="00044B4B" w:rsidP="00044B4B">
      <w:pPr>
        <w:shd w:val="clear" w:color="auto" w:fill="FFFFFF"/>
        <w:spacing w:after="0"/>
        <w:ind w:firstLine="709"/>
        <w:jc w:val="both"/>
        <w:rPr>
          <w:rFonts w:ascii="Verdana" w:eastAsia="Times New Roman" w:hAnsi="Verdana" w:cs="Arial"/>
          <w:sz w:val="14"/>
          <w:szCs w:val="14"/>
          <w:lang w:eastAsia="es-CO"/>
        </w:rPr>
      </w:pPr>
      <w:r w:rsidRPr="001F5B10">
        <w:rPr>
          <w:rFonts w:ascii="Verdana" w:eastAsia="Times New Roman" w:hAnsi="Verdana" w:cs="Arial"/>
          <w:sz w:val="14"/>
          <w:szCs w:val="14"/>
          <w:lang w:eastAsia="es-CO"/>
        </w:rPr>
        <w:t>1. La destitución e inhabilidad general implica:</w:t>
      </w:r>
    </w:p>
    <w:p w14:paraId="49282DCB" w14:textId="77777777" w:rsidR="00044B4B" w:rsidRPr="001F5B10" w:rsidRDefault="00044B4B" w:rsidP="00044B4B">
      <w:pPr>
        <w:shd w:val="clear" w:color="auto" w:fill="FFFFFF"/>
        <w:spacing w:after="0"/>
        <w:ind w:firstLine="709"/>
        <w:jc w:val="both"/>
        <w:rPr>
          <w:rFonts w:ascii="Verdana" w:eastAsia="Times New Roman" w:hAnsi="Verdana" w:cs="Arial"/>
          <w:sz w:val="14"/>
          <w:szCs w:val="14"/>
          <w:lang w:eastAsia="es-CO"/>
        </w:rPr>
      </w:pPr>
      <w:r w:rsidRPr="001F5B10">
        <w:rPr>
          <w:rFonts w:ascii="Verdana" w:eastAsia="Times New Roman" w:hAnsi="Verdana" w:cs="Arial"/>
          <w:sz w:val="14"/>
          <w:szCs w:val="14"/>
          <w:lang w:eastAsia="es-CO"/>
        </w:rPr>
        <w:t>a) La terminación de la relación del servidor público o del particular con la administración, sin que importe que sea de libre nombramiento y remoción, de carrera o elección; o</w:t>
      </w:r>
    </w:p>
    <w:p w14:paraId="25719F7C" w14:textId="77777777" w:rsidR="00044B4B" w:rsidRPr="001F5B10" w:rsidRDefault="00044B4B" w:rsidP="00044B4B">
      <w:pPr>
        <w:shd w:val="clear" w:color="auto" w:fill="FFFFFF"/>
        <w:spacing w:after="0"/>
        <w:ind w:firstLine="709"/>
        <w:jc w:val="both"/>
        <w:rPr>
          <w:rFonts w:ascii="Verdana" w:eastAsia="Times New Roman" w:hAnsi="Verdana" w:cs="Arial"/>
          <w:sz w:val="14"/>
          <w:szCs w:val="14"/>
          <w:lang w:eastAsia="es-CO"/>
        </w:rPr>
      </w:pPr>
      <w:r w:rsidRPr="001F5B10">
        <w:rPr>
          <w:rFonts w:ascii="Verdana" w:eastAsia="Times New Roman" w:hAnsi="Verdana" w:cs="Arial"/>
          <w:sz w:val="14"/>
          <w:szCs w:val="14"/>
          <w:lang w:eastAsia="es-CO"/>
        </w:rPr>
        <w:t>b) La desvinculación del cargo, en los casos previstos en la Constitución Política y la ley; o</w:t>
      </w:r>
    </w:p>
    <w:p w14:paraId="1300309D" w14:textId="77777777" w:rsidR="00044B4B" w:rsidRPr="001F5B10" w:rsidRDefault="00044B4B" w:rsidP="00044B4B">
      <w:pPr>
        <w:shd w:val="clear" w:color="auto" w:fill="FFFFFF"/>
        <w:spacing w:after="0"/>
        <w:ind w:firstLine="709"/>
        <w:jc w:val="both"/>
        <w:rPr>
          <w:rFonts w:ascii="Verdana" w:eastAsia="Times New Roman" w:hAnsi="Verdana" w:cs="Arial"/>
          <w:sz w:val="14"/>
          <w:szCs w:val="14"/>
          <w:lang w:eastAsia="es-CO"/>
        </w:rPr>
      </w:pPr>
      <w:r w:rsidRPr="001F5B10">
        <w:rPr>
          <w:rFonts w:ascii="Verdana" w:eastAsia="Times New Roman" w:hAnsi="Verdana" w:cs="Arial"/>
          <w:sz w:val="14"/>
          <w:szCs w:val="14"/>
          <w:lang w:eastAsia="es-CO"/>
        </w:rPr>
        <w:t>c) La terminación del contrato de trabajo; y</w:t>
      </w:r>
    </w:p>
    <w:p w14:paraId="0955C557" w14:textId="77777777" w:rsidR="00044B4B" w:rsidRPr="001F5B10" w:rsidRDefault="00044B4B" w:rsidP="00044B4B">
      <w:pPr>
        <w:shd w:val="clear" w:color="auto" w:fill="FFFFFF"/>
        <w:spacing w:after="0"/>
        <w:ind w:firstLine="709"/>
        <w:jc w:val="both"/>
        <w:rPr>
          <w:rFonts w:ascii="Verdana" w:eastAsia="Times New Roman" w:hAnsi="Verdana" w:cs="Arial"/>
          <w:sz w:val="14"/>
          <w:szCs w:val="14"/>
          <w:lang w:eastAsia="es-CO"/>
        </w:rPr>
      </w:pPr>
      <w:r w:rsidRPr="001F5B10">
        <w:rPr>
          <w:rFonts w:ascii="Verdana" w:eastAsia="Times New Roman" w:hAnsi="Verdana" w:cs="Arial"/>
          <w:sz w:val="14"/>
          <w:szCs w:val="14"/>
          <w:lang w:eastAsia="es-CO"/>
        </w:rPr>
        <w:t>d) En todos los casos anteriores, la imposibilidad de ejercer la función pública en cualquier cargo o función, por el termino señalado en el fallo, y la exclusión del escalafón o carrera […]”</w:t>
      </w:r>
    </w:p>
    <w:p w14:paraId="3A8046F7" w14:textId="77777777" w:rsidR="00044B4B" w:rsidRPr="001F5B10" w:rsidRDefault="00044B4B" w:rsidP="00044B4B">
      <w:pPr>
        <w:pStyle w:val="Textonotapie"/>
        <w:ind w:firstLine="708"/>
        <w:jc w:val="both"/>
        <w:rPr>
          <w:rFonts w:ascii="Verdana" w:hAnsi="Verdana"/>
          <w:sz w:val="14"/>
          <w:szCs w:val="14"/>
        </w:rPr>
      </w:pPr>
      <w:r w:rsidRPr="001F5B10">
        <w:rPr>
          <w:rFonts w:ascii="Verdana" w:hAnsi="Verdana"/>
          <w:sz w:val="14"/>
          <w:szCs w:val="14"/>
        </w:rPr>
        <w:t xml:space="preserve"> </w:t>
      </w:r>
    </w:p>
  </w:footnote>
  <w:footnote w:id="19">
    <w:p w14:paraId="662F3996" w14:textId="77777777" w:rsidR="00044B4B" w:rsidRPr="001F5B10" w:rsidRDefault="00044B4B" w:rsidP="00044B4B">
      <w:pPr>
        <w:pStyle w:val="Textonotapie"/>
        <w:ind w:firstLine="708"/>
        <w:jc w:val="both"/>
        <w:rPr>
          <w:rFonts w:ascii="Verdana" w:hAnsi="Verdana" w:cs="Arial"/>
          <w:sz w:val="14"/>
          <w:szCs w:val="14"/>
          <w:lang w:val="es-ES"/>
        </w:rPr>
      </w:pPr>
      <w:r w:rsidRPr="001F5B10">
        <w:rPr>
          <w:rStyle w:val="Refdenotaalpie"/>
          <w:rFonts w:ascii="Verdana" w:hAnsi="Verdana" w:cs="Arial"/>
          <w:sz w:val="14"/>
          <w:szCs w:val="14"/>
        </w:rPr>
        <w:footnoteRef/>
      </w:r>
      <w:r w:rsidRPr="001F5B10">
        <w:rPr>
          <w:rFonts w:ascii="Verdana" w:hAnsi="Verdana" w:cs="Arial"/>
          <w:sz w:val="14"/>
          <w:szCs w:val="14"/>
        </w:rPr>
        <w:t xml:space="preserve"> </w:t>
      </w:r>
      <w:r w:rsidRPr="001F5B10">
        <w:rPr>
          <w:rFonts w:ascii="Verdana" w:hAnsi="Verdana" w:cs="Arial"/>
          <w:sz w:val="14"/>
          <w:szCs w:val="14"/>
          <w:lang w:val="es-ES"/>
        </w:rPr>
        <w:t xml:space="preserve">Corte Constitucional. Sentencia C-489 de 26 de septiembre de 1996. Magistrado Ponente: Antonio Barrera Carbonell.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C28"/>
    <w:rsid w:val="00044B4B"/>
    <w:rsid w:val="00046945"/>
    <w:rsid w:val="00046E9D"/>
    <w:rsid w:val="00061B2A"/>
    <w:rsid w:val="00082362"/>
    <w:rsid w:val="000923C0"/>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07E88"/>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058D6"/>
    <w:rsid w:val="00607C47"/>
    <w:rsid w:val="006200BF"/>
    <w:rsid w:val="006219F8"/>
    <w:rsid w:val="0062565D"/>
    <w:rsid w:val="006302F7"/>
    <w:rsid w:val="00646B9F"/>
    <w:rsid w:val="00665D70"/>
    <w:rsid w:val="006900D9"/>
    <w:rsid w:val="00706C16"/>
    <w:rsid w:val="007340C3"/>
    <w:rsid w:val="0075235A"/>
    <w:rsid w:val="00756841"/>
    <w:rsid w:val="007649AB"/>
    <w:rsid w:val="007702D9"/>
    <w:rsid w:val="00771D0C"/>
    <w:rsid w:val="007833AC"/>
    <w:rsid w:val="007B268C"/>
    <w:rsid w:val="007B7171"/>
    <w:rsid w:val="007C0C0F"/>
    <w:rsid w:val="007C3DC2"/>
    <w:rsid w:val="007E5497"/>
    <w:rsid w:val="00806F5F"/>
    <w:rsid w:val="00820278"/>
    <w:rsid w:val="008258C9"/>
    <w:rsid w:val="008414E0"/>
    <w:rsid w:val="00844AE9"/>
    <w:rsid w:val="00867F95"/>
    <w:rsid w:val="008843B6"/>
    <w:rsid w:val="00891928"/>
    <w:rsid w:val="008A446D"/>
    <w:rsid w:val="008B25F1"/>
    <w:rsid w:val="008D180B"/>
    <w:rsid w:val="008F0EA7"/>
    <w:rsid w:val="00923EEF"/>
    <w:rsid w:val="009419F9"/>
    <w:rsid w:val="00942734"/>
    <w:rsid w:val="0095685E"/>
    <w:rsid w:val="00961B09"/>
    <w:rsid w:val="00965334"/>
    <w:rsid w:val="0097093E"/>
    <w:rsid w:val="009A0DFA"/>
    <w:rsid w:val="009A1C6F"/>
    <w:rsid w:val="009B2D26"/>
    <w:rsid w:val="009C71FA"/>
    <w:rsid w:val="009C72E7"/>
    <w:rsid w:val="009C7F7E"/>
    <w:rsid w:val="009D3058"/>
    <w:rsid w:val="009F3A13"/>
    <w:rsid w:val="009F5BB7"/>
    <w:rsid w:val="00A122D3"/>
    <w:rsid w:val="00A14468"/>
    <w:rsid w:val="00A17F13"/>
    <w:rsid w:val="00A20739"/>
    <w:rsid w:val="00A23AF9"/>
    <w:rsid w:val="00A33C78"/>
    <w:rsid w:val="00AB0ADB"/>
    <w:rsid w:val="00B00C0E"/>
    <w:rsid w:val="00B01B1A"/>
    <w:rsid w:val="00B0381D"/>
    <w:rsid w:val="00B44A47"/>
    <w:rsid w:val="00B72CD3"/>
    <w:rsid w:val="00B72FFF"/>
    <w:rsid w:val="00B94E18"/>
    <w:rsid w:val="00BC3D36"/>
    <w:rsid w:val="00BD54A6"/>
    <w:rsid w:val="00BD7F72"/>
    <w:rsid w:val="00BE2838"/>
    <w:rsid w:val="00BF7425"/>
    <w:rsid w:val="00C04FB3"/>
    <w:rsid w:val="00C11D8B"/>
    <w:rsid w:val="00C15139"/>
    <w:rsid w:val="00C330EB"/>
    <w:rsid w:val="00C50D69"/>
    <w:rsid w:val="00C5365C"/>
    <w:rsid w:val="00C754BE"/>
    <w:rsid w:val="00C76B1C"/>
    <w:rsid w:val="00C925AC"/>
    <w:rsid w:val="00CA64E1"/>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502D"/>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44B4B"/>
    <w:rPr>
      <w:rFonts w:ascii="Geomanist Light" w:hAnsi="Geomanist Light"/>
      <w:lang w:val="es-ES"/>
    </w:rPr>
  </w:style>
  <w:style w:type="paragraph" w:customStyle="1" w:styleId="Appelnotedebasde">
    <w:name w:val="Appel note de bas de..."/>
    <w:basedOn w:val="Normal"/>
    <w:link w:val="Refdenotaalpie"/>
    <w:uiPriority w:val="99"/>
    <w:rsid w:val="00044B4B"/>
    <w:pPr>
      <w:spacing w:line="240" w:lineRule="exact"/>
    </w:pPr>
    <w:rPr>
      <w:vertAlign w:val="superscript"/>
    </w:rPr>
  </w:style>
  <w:style w:type="character" w:styleId="Textoennegrita">
    <w:name w:val="Strong"/>
    <w:basedOn w:val="Fuentedeprrafopredeter"/>
    <w:uiPriority w:val="22"/>
    <w:qFormat/>
    <w:rsid w:val="00044B4B"/>
    <w:rPr>
      <w:b/>
      <w:bCs/>
    </w:rPr>
  </w:style>
  <w:style w:type="character" w:customStyle="1" w:styleId="NormalWebCar">
    <w:name w:val="Normal (Web) Car"/>
    <w:link w:val="NormalWeb"/>
    <w:uiPriority w:val="99"/>
    <w:rsid w:val="00044B4B"/>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044B4B"/>
    <w:pPr>
      <w:spacing w:after="0" w:line="240" w:lineRule="auto"/>
    </w:pPr>
    <w:rPr>
      <w:sz w:val="24"/>
      <w:lang w:val="es-MX"/>
    </w:rPr>
  </w:style>
  <w:style w:type="character" w:customStyle="1" w:styleId="SinespaciadoCar">
    <w:name w:val="Sin espaciado Car"/>
    <w:aliases w:val="No Indent Car"/>
    <w:link w:val="Sinespaciado"/>
    <w:uiPriority w:val="3"/>
    <w:rsid w:val="00044B4B"/>
    <w:rPr>
      <w:sz w:val="24"/>
      <w:lang w:val="es-MX"/>
    </w:rPr>
  </w:style>
  <w:style w:type="character" w:styleId="nfasis">
    <w:name w:val="Emphasis"/>
    <w:basedOn w:val="Fuentedeprrafopredeter"/>
    <w:uiPriority w:val="20"/>
    <w:qFormat/>
    <w:rsid w:val="00044B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actenos@concejodepasto.gov.co"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http://schemas.openxmlformats.org/package/2006/metadata/core-properties"/>
    <ds:schemaRef ds:uri="http://schemas.microsoft.com/office/2006/metadata/properties"/>
    <ds:schemaRef ds:uri="http://purl.org/dc/dcmitype/"/>
    <ds:schemaRef ds:uri="a6cb9e4b-f1d1-4245-83ec-6cad768d538a"/>
    <ds:schemaRef ds:uri="http://purl.org/dc/terms/"/>
    <ds:schemaRef ds:uri="http://www.w3.org/XML/1998/namespace"/>
    <ds:schemaRef ds:uri="http://schemas.microsoft.com/office/infopath/2007/PartnerControls"/>
    <ds:schemaRef ds:uri="9d85dbaf-23eb-4e57-a637-93dcacc8b1a1"/>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24D7673-E8DD-40AD-8522-DA70C0A9EB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5893</Words>
  <Characters>32417</Characters>
  <Application>Microsoft Office Word</Application>
  <DocSecurity>0</DocSecurity>
  <Lines>270</Lines>
  <Paragraphs>76</Paragraphs>
  <ScaleCrop>false</ScaleCrop>
  <Company/>
  <LinksUpToDate>false</LinksUpToDate>
  <CharactersWithSpaces>38234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2025-11-07T19:16:00Z</dcterms:created>
  <dcterms:modified xsi:type="dcterms:W3CDTF">2025-11-07T19:16:00Z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