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A0266" w14:textId="77777777" w:rsidR="00636D0E" w:rsidRPr="00BB73C5" w:rsidRDefault="00636D0E" w:rsidP="00636D0E">
      <w:pPr>
        <w:spacing w:after="0" w:line="240" w:lineRule="auto"/>
        <w:jc w:val="both"/>
        <w:rPr>
          <w:rFonts w:ascii="Verdana" w:hAnsi="Verdana" w:cs="Arial"/>
          <w:b/>
          <w:lang w:val="es-MX"/>
        </w:rPr>
      </w:pPr>
      <w:bookmarkStart w:id="0" w:name="_Hlk143780582"/>
      <w:r w:rsidRPr="00BB73C5">
        <w:rPr>
          <w:rFonts w:ascii="Verdana" w:hAnsi="Verdana" w:cs="Arial"/>
          <w:b/>
          <w:lang w:val="es-MX"/>
        </w:rPr>
        <w:t xml:space="preserve">INHABILIDADES E INCOMPATIBILIDADES ─ Definición ─ fundamento – clases </w:t>
      </w:r>
    </w:p>
    <w:p w14:paraId="20AAB2F0" w14:textId="77777777" w:rsidR="00636D0E" w:rsidRDefault="00636D0E" w:rsidP="00636D0E">
      <w:pPr>
        <w:spacing w:after="0" w:line="240" w:lineRule="auto"/>
        <w:jc w:val="both"/>
        <w:rPr>
          <w:rFonts w:ascii="Verdana" w:hAnsi="Verdana" w:cs="Arial"/>
          <w:b/>
          <w:lang w:val="es-MX"/>
        </w:rPr>
      </w:pPr>
    </w:p>
    <w:p w14:paraId="4F9F574A" w14:textId="77777777" w:rsidR="00636D0E" w:rsidRPr="00BB73C5" w:rsidRDefault="00636D0E" w:rsidP="00636D0E">
      <w:pPr>
        <w:spacing w:after="0" w:line="240" w:lineRule="auto"/>
        <w:jc w:val="both"/>
        <w:rPr>
          <w:rFonts w:ascii="Verdana" w:hAnsi="Verdana" w:cs="Arial"/>
          <w:sz w:val="20"/>
          <w:lang w:val="es-MX"/>
        </w:rPr>
      </w:pPr>
      <w:r w:rsidRPr="00BB73C5">
        <w:rPr>
          <w:rFonts w:ascii="Verdana" w:hAnsi="Verdana" w:cs="Arial"/>
          <w:sz w:val="20"/>
          <w:lang w:val="es-MX"/>
        </w:rPr>
        <w:t>Las inhabilidades e incompatibilidades pueden enfocarse en varios asuntos: en primer lugar, se encuentran las inhabilidades e incompatibilidades que impiden que u</w:t>
      </w:r>
      <w:proofErr w:type="spellStart"/>
      <w:r w:rsidRPr="00BB73C5">
        <w:rPr>
          <w:rFonts w:ascii="Verdana" w:hAnsi="Verdana" w:cs="Arial"/>
          <w:sz w:val="20"/>
        </w:rPr>
        <w:t>na</w:t>
      </w:r>
      <w:proofErr w:type="spellEnd"/>
      <w:r w:rsidRPr="00BB73C5">
        <w:rPr>
          <w:rFonts w:ascii="Verdana" w:hAnsi="Verdana" w:cs="Arial"/>
          <w:sz w:val="20"/>
        </w:rPr>
        <w:t xml:space="preserve"> persona sea elegida, designada para un cargo público, como también en ciertos eventos impiden que la persona se encuentre vinculada a la función pública continúe en ella; en segundo lugar, se hallan las inhabilidades e incompatibilidades para el ejercicio de una profesión, las cuales se constituyen </w:t>
      </w:r>
      <w:r w:rsidRPr="00BB73C5">
        <w:rPr>
          <w:rFonts w:ascii="Verdana" w:hAnsi="Verdana" w:cs="Arial"/>
          <w:sz w:val="20"/>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De acuerdo a lo expuesto, se señala que la Agencia Nacional de Contratación Pública es competente para resolver consultas sobre normas del sistema de compras y contratación públicas que establezca inhabilidades e incompatibilidades para contratar con el Estado. </w:t>
      </w:r>
    </w:p>
    <w:p w14:paraId="2EE481E8" w14:textId="77777777" w:rsidR="00636D0E" w:rsidRPr="00BB73C5" w:rsidRDefault="00636D0E" w:rsidP="00636D0E">
      <w:pPr>
        <w:spacing w:after="0" w:line="240" w:lineRule="auto"/>
        <w:jc w:val="both"/>
        <w:rPr>
          <w:rFonts w:ascii="Verdana" w:hAnsi="Verdana" w:cs="Arial"/>
          <w:b/>
          <w:lang w:val="es-MX"/>
        </w:rPr>
      </w:pPr>
    </w:p>
    <w:p w14:paraId="0F587AD3" w14:textId="77777777" w:rsidR="00636D0E" w:rsidRPr="00BB73C5" w:rsidRDefault="00636D0E" w:rsidP="00636D0E">
      <w:pPr>
        <w:spacing w:after="0" w:line="240" w:lineRule="auto"/>
        <w:jc w:val="both"/>
        <w:rPr>
          <w:rFonts w:ascii="Verdana" w:hAnsi="Verdana" w:cs="Arial"/>
          <w:b/>
          <w:lang w:val="es-MX"/>
        </w:rPr>
      </w:pPr>
      <w:r w:rsidRPr="00BB73C5">
        <w:rPr>
          <w:rFonts w:ascii="Verdana" w:hAnsi="Verdana" w:cs="Arial"/>
          <w:b/>
          <w:lang w:val="es-MX"/>
        </w:rPr>
        <w:t xml:space="preserve">INHABILIDADES E INCOMPATIBILIDADES - Finalidad ─ Limitación capacidad contractual </w:t>
      </w:r>
    </w:p>
    <w:p w14:paraId="506CA673" w14:textId="77777777" w:rsidR="00636D0E" w:rsidRDefault="00636D0E" w:rsidP="00636D0E">
      <w:pPr>
        <w:spacing w:after="0" w:line="240" w:lineRule="auto"/>
        <w:jc w:val="both"/>
        <w:rPr>
          <w:rFonts w:ascii="Verdana" w:hAnsi="Verdana" w:cs="Arial"/>
          <w:b/>
          <w:lang w:val="es-MX"/>
        </w:rPr>
      </w:pPr>
    </w:p>
    <w:p w14:paraId="733A73A6" w14:textId="77777777" w:rsidR="00636D0E" w:rsidRPr="00B23D14" w:rsidRDefault="00636D0E" w:rsidP="00636D0E">
      <w:pPr>
        <w:spacing w:after="0" w:line="240" w:lineRule="auto"/>
        <w:jc w:val="both"/>
        <w:rPr>
          <w:rFonts w:ascii="Verdana" w:eastAsia="Calibri" w:hAnsi="Verdana" w:cs="Arial"/>
          <w:sz w:val="20"/>
          <w:lang w:val="es-MX"/>
        </w:rPr>
      </w:pPr>
      <w:r w:rsidRPr="00B23D14">
        <w:rPr>
          <w:rFonts w:ascii="Verdana" w:eastAsia="Calibri" w:hAnsi="Verdana" w:cs="Arial"/>
          <w:sz w:val="20"/>
          <w:lang w:val="es-MX"/>
        </w:rPr>
        <w:t>Para ello, hay que precisar que, 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p>
    <w:p w14:paraId="24739A66" w14:textId="77777777" w:rsidR="00636D0E" w:rsidRPr="00BB73C5" w:rsidRDefault="00636D0E" w:rsidP="00636D0E">
      <w:pPr>
        <w:spacing w:after="0" w:line="240" w:lineRule="auto"/>
        <w:jc w:val="both"/>
        <w:rPr>
          <w:rFonts w:ascii="Verdana" w:hAnsi="Verdana" w:cs="Arial"/>
          <w:b/>
          <w:lang w:val="es-MX"/>
        </w:rPr>
      </w:pPr>
    </w:p>
    <w:p w14:paraId="01F6EE89" w14:textId="77777777" w:rsidR="00636D0E" w:rsidRPr="00BB73C5" w:rsidRDefault="00636D0E" w:rsidP="00636D0E">
      <w:pPr>
        <w:spacing w:after="0" w:line="240" w:lineRule="auto"/>
        <w:jc w:val="both"/>
        <w:rPr>
          <w:rFonts w:ascii="Verdana" w:hAnsi="Verdana" w:cs="Arial"/>
          <w:b/>
          <w:lang w:val="es-ES_tradnl"/>
        </w:rPr>
      </w:pPr>
      <w:r w:rsidRPr="00BB73C5">
        <w:rPr>
          <w:rFonts w:ascii="Verdana" w:hAnsi="Verdana" w:cs="Arial"/>
          <w:b/>
          <w:lang w:val="es-ES_tradnl"/>
        </w:rPr>
        <w:t>INHABILIDADES – Taxatividad – Principio de legalidad – Interpretación restrictiva</w:t>
      </w:r>
      <w:r w:rsidRPr="00BB73C5" w:rsidDel="00A75E55">
        <w:rPr>
          <w:rFonts w:ascii="Verdana" w:hAnsi="Verdana" w:cs="Arial"/>
          <w:b/>
          <w:lang w:val="es-ES_tradnl"/>
        </w:rPr>
        <w:t xml:space="preserve"> </w:t>
      </w:r>
    </w:p>
    <w:p w14:paraId="7929A913" w14:textId="77777777" w:rsidR="00636D0E" w:rsidRDefault="00636D0E" w:rsidP="00636D0E">
      <w:pPr>
        <w:spacing w:after="0" w:line="240" w:lineRule="auto"/>
        <w:jc w:val="both"/>
        <w:rPr>
          <w:rFonts w:ascii="Verdana" w:hAnsi="Verdana" w:cs="Arial"/>
          <w:b/>
          <w:lang w:val="es-ES_tradnl"/>
        </w:rPr>
      </w:pPr>
    </w:p>
    <w:p w14:paraId="4E483DA8" w14:textId="77777777" w:rsidR="00636D0E" w:rsidRDefault="00636D0E" w:rsidP="00636D0E">
      <w:pPr>
        <w:spacing w:after="0" w:line="240" w:lineRule="auto"/>
        <w:jc w:val="both"/>
        <w:rPr>
          <w:rFonts w:ascii="Verdana" w:hAnsi="Verdana" w:cs="Arial"/>
          <w:sz w:val="20"/>
          <w:lang w:val="es-ES_tradnl"/>
        </w:rPr>
      </w:pPr>
      <w:r w:rsidRPr="00B23D14">
        <w:rPr>
          <w:rFonts w:ascii="Verdana" w:hAnsi="Verdana" w:cs="Arial"/>
          <w:sz w:val="20"/>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B23D14">
        <w:rPr>
          <w:rFonts w:ascii="Verdana" w:hAnsi="Verdana" w:cs="Arial"/>
          <w:i/>
          <w:iCs/>
          <w:sz w:val="20"/>
          <w:lang w:val="es-ES_tradnl"/>
        </w:rPr>
        <w:t xml:space="preserve">restrictiva, </w:t>
      </w:r>
      <w:r w:rsidRPr="00B23D14">
        <w:rPr>
          <w:rFonts w:ascii="Verdana" w:hAnsi="Verdana" w:cs="Arial"/>
          <w:sz w:val="20"/>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44723B42" w14:textId="77777777" w:rsidR="00636D0E" w:rsidRPr="00B23D14" w:rsidRDefault="00636D0E" w:rsidP="00636D0E">
      <w:pPr>
        <w:spacing w:after="0" w:line="240" w:lineRule="auto"/>
        <w:jc w:val="both"/>
        <w:rPr>
          <w:rFonts w:ascii="Verdana" w:hAnsi="Verdana" w:cs="Arial"/>
          <w:sz w:val="20"/>
          <w:lang w:val="es-ES_tradnl"/>
        </w:rPr>
      </w:pPr>
    </w:p>
    <w:p w14:paraId="6D583C06" w14:textId="77777777" w:rsidR="00636D0E" w:rsidRDefault="00636D0E" w:rsidP="00636D0E">
      <w:pPr>
        <w:spacing w:after="0" w:line="240" w:lineRule="auto"/>
        <w:jc w:val="both"/>
        <w:rPr>
          <w:rFonts w:ascii="Verdana" w:hAnsi="Verdana" w:cs="Arial"/>
          <w:sz w:val="20"/>
          <w:lang w:val="es-ES_tradnl"/>
        </w:rPr>
      </w:pPr>
      <w:r w:rsidRPr="00B23D14">
        <w:rPr>
          <w:rFonts w:ascii="Verdana" w:hAnsi="Verdana" w:cs="Arial"/>
          <w:sz w:val="20"/>
          <w:lang w:val="es-ES_tradnl"/>
        </w:rPr>
        <w:t xml:space="preserve">En efecto, el máximo tribunal constitucional ha indicado, al tratar de precisar el sentido de este tipo de normas, que “[…] el intérprete de las disposiciones legislativas en la materia ha de ceñirse en la mayor medida posible al tenor literal y gramatical de los </w:t>
      </w:r>
      <w:r w:rsidRPr="00B23D14">
        <w:rPr>
          <w:rFonts w:ascii="Verdana" w:hAnsi="Verdana" w:cs="Arial"/>
          <w:sz w:val="20"/>
          <w:lang w:val="es-ES_tradnl"/>
        </w:rPr>
        <w:lastRenderedPageBreak/>
        <w:t>enunciados normativos, sin que pueda acudir prima facie a criterios interpretativos tales como la analogía, la interpretación extensiva para ampliar el alcance de las causales legalmente fijadas”</w:t>
      </w:r>
      <w:r>
        <w:rPr>
          <w:rFonts w:ascii="Verdana" w:hAnsi="Verdana" w:cs="Arial"/>
          <w:sz w:val="20"/>
          <w:lang w:val="es-ES_tradnl"/>
        </w:rPr>
        <w:t>.</w:t>
      </w:r>
    </w:p>
    <w:p w14:paraId="1AB83903" w14:textId="54C650CD" w:rsidR="00636D0E" w:rsidRDefault="00636D0E" w:rsidP="005D3816">
      <w:pPr>
        <w:spacing w:after="0"/>
        <w:rPr>
          <w:rFonts w:ascii="Verdana" w:hAnsi="Verdana"/>
          <w:lang w:val="es-ES_tradnl"/>
        </w:rPr>
      </w:pPr>
    </w:p>
    <w:p w14:paraId="5716986C" w14:textId="347790D5" w:rsidR="00636D0E" w:rsidRPr="00636D0E" w:rsidRDefault="00636D0E" w:rsidP="00636D0E">
      <w:pPr>
        <w:spacing w:after="0"/>
        <w:jc w:val="both"/>
        <w:rPr>
          <w:rFonts w:ascii="Verdana" w:hAnsi="Verdana"/>
          <w:b/>
          <w:lang w:val="es-ES_tradnl"/>
        </w:rPr>
      </w:pPr>
      <w:r w:rsidRPr="00636D0E">
        <w:rPr>
          <w:rFonts w:ascii="Verdana" w:hAnsi="Verdana"/>
          <w:b/>
          <w:lang w:val="es-ES_tradnl"/>
        </w:rPr>
        <w:t>INHABILIDADES E INCOMPATIBILIDADES – Ley 80 de 1993 – Artículo 8 – Numeral 1 – Literal D – Interpretación restrictiva - Alcance.</w:t>
      </w:r>
    </w:p>
    <w:p w14:paraId="0540C292" w14:textId="23383D31" w:rsidR="00636D0E" w:rsidRDefault="00636D0E" w:rsidP="005D3816">
      <w:pPr>
        <w:spacing w:after="0"/>
        <w:rPr>
          <w:rFonts w:ascii="Verdana" w:hAnsi="Verdana"/>
          <w:lang w:val="es-ES_tradnl"/>
        </w:rPr>
      </w:pPr>
    </w:p>
    <w:p w14:paraId="6C53A5DF" w14:textId="7B0C731D" w:rsidR="00636D0E" w:rsidRPr="00636D0E" w:rsidRDefault="00636D0E" w:rsidP="00636D0E">
      <w:pPr>
        <w:spacing w:after="0" w:line="240" w:lineRule="auto"/>
        <w:jc w:val="both"/>
        <w:rPr>
          <w:rFonts w:ascii="Verdana" w:hAnsi="Verdana"/>
          <w:sz w:val="20"/>
        </w:rPr>
      </w:pPr>
      <w:r w:rsidRPr="00636D0E">
        <w:rPr>
          <w:rFonts w:ascii="Verdana" w:hAnsi="Verdana"/>
          <w:sz w:val="20"/>
        </w:rPr>
        <w:t xml:space="preserve">[…] de acuerdo con lo establecido en el literal d) del numeral 1 del artículo 8 de la Ley 80 de 1993, las personas naturales a las que se les haya impuesto una pena accesoria de interdicción de derechos y funciones públicas, al igual que las que hayan sido sancionados disciplinariamente con destitución, están incursas en la referida causal de inhabilidad, por lo que no pueden contratar con entidades estatales. De esta manera, una vez en firme la providencia que dispone la pena o sanción, la inhabilidad comienza a surtir sus efectos restringiendo de ese momento en adelante la posibilidad de suscribir nuevos contratos o participar en procesos de contratación.  </w:t>
      </w:r>
    </w:p>
    <w:p w14:paraId="2F5FDCFE" w14:textId="77777777" w:rsidR="00636D0E" w:rsidRPr="00636D0E" w:rsidRDefault="00636D0E" w:rsidP="00636D0E">
      <w:pPr>
        <w:spacing w:after="0" w:line="240" w:lineRule="auto"/>
        <w:jc w:val="both"/>
        <w:rPr>
          <w:rFonts w:ascii="Verdana" w:hAnsi="Verdana"/>
          <w:sz w:val="20"/>
        </w:rPr>
      </w:pPr>
    </w:p>
    <w:p w14:paraId="600F3F71" w14:textId="6451D309" w:rsidR="00636D0E" w:rsidRDefault="00636D0E" w:rsidP="00636D0E">
      <w:pPr>
        <w:spacing w:after="0" w:line="240" w:lineRule="auto"/>
        <w:jc w:val="both"/>
        <w:rPr>
          <w:rFonts w:ascii="Verdana" w:hAnsi="Verdana"/>
          <w:sz w:val="20"/>
        </w:rPr>
      </w:pPr>
      <w:r w:rsidRPr="00636D0E">
        <w:rPr>
          <w:rFonts w:ascii="Verdana" w:hAnsi="Verdana"/>
          <w:sz w:val="20"/>
        </w:rPr>
        <w:t xml:space="preserve">Ahora bien, de acuerdo al problema jurídico, objeto de consulta, se precisa que la inhabilidad prescrita en el literal d) del numeral 1 del artículo 8 de la Ley 80 de 1993, se configura por la imposición de una pena accesoria de inhabilitación de derechos y funciones por un término de cinco (5) años, que se contabilizan a partir de la fecha de ejecutoria de la sentencia que impuso la pena. Así mismo, dicha inhabilidad no distingue el objeto del contrato ni mucho las modalidades de selección aplicables, esto es, aplica para todos los procesos de contratación. </w:t>
      </w:r>
    </w:p>
    <w:p w14:paraId="3219DFBB" w14:textId="77777777" w:rsidR="00636D0E" w:rsidRPr="00636D0E" w:rsidRDefault="00636D0E" w:rsidP="00636D0E">
      <w:pPr>
        <w:spacing w:after="0" w:line="240" w:lineRule="auto"/>
        <w:jc w:val="both"/>
        <w:rPr>
          <w:rFonts w:ascii="Verdana" w:hAnsi="Verdana"/>
          <w:sz w:val="20"/>
        </w:rPr>
      </w:pPr>
    </w:p>
    <w:p w14:paraId="4401AD63" w14:textId="77777777" w:rsidR="00636D0E" w:rsidRPr="00636D0E" w:rsidRDefault="00636D0E" w:rsidP="00636D0E">
      <w:pPr>
        <w:spacing w:after="0" w:line="240" w:lineRule="auto"/>
        <w:jc w:val="both"/>
        <w:rPr>
          <w:rFonts w:ascii="Verdana" w:hAnsi="Verdana"/>
          <w:sz w:val="20"/>
        </w:rPr>
      </w:pPr>
      <w:r w:rsidRPr="00636D0E">
        <w:rPr>
          <w:rFonts w:ascii="Verdana" w:hAnsi="Verdana"/>
          <w:sz w:val="20"/>
        </w:rPr>
        <w:t xml:space="preserve">Teniendo en cuenta ello, el ingeniero civil no podrá participar en procesos de contratación, ni mucho menos celebrar contratos con el Estado. Sin embargo, dicha inhabilidad o incompatibilidad no se extiende en el evento que el ingeniero civil haya sido contratado por el proponente para participar en el proceso de contratación, puesto que las inhabilidades e incompatibilidades no se extienden a las subcontrataciones. En este sentido, se destaca que el régimen de inhabilidades e incompatibilidades busca proteger la moralidad y la transparencia en la contratación, y se aplica a quienes tienen relación directa con el Estado. </w:t>
      </w:r>
    </w:p>
    <w:p w14:paraId="3AE13D8E" w14:textId="77777777" w:rsidR="00636D0E" w:rsidRPr="00636D0E" w:rsidRDefault="00636D0E" w:rsidP="00636D0E">
      <w:pPr>
        <w:spacing w:after="0" w:line="240" w:lineRule="auto"/>
        <w:jc w:val="both"/>
        <w:rPr>
          <w:rFonts w:ascii="Verdana" w:hAnsi="Verdana"/>
          <w:bCs/>
          <w:sz w:val="20"/>
        </w:rPr>
      </w:pPr>
    </w:p>
    <w:p w14:paraId="0F6598EB" w14:textId="354BE01B" w:rsidR="00636D0E" w:rsidRPr="00636D0E" w:rsidRDefault="00636D0E" w:rsidP="00636D0E">
      <w:pPr>
        <w:spacing w:after="0" w:line="240" w:lineRule="auto"/>
        <w:jc w:val="both"/>
        <w:rPr>
          <w:rFonts w:ascii="Verdana" w:hAnsi="Verdana"/>
          <w:bCs/>
          <w:sz w:val="20"/>
        </w:rPr>
      </w:pPr>
      <w:r w:rsidRPr="00636D0E">
        <w:rPr>
          <w:rFonts w:ascii="Verdana" w:hAnsi="Verdana"/>
          <w:bCs/>
          <w:sz w:val="20"/>
        </w:rPr>
        <w:t>En efecto</w:t>
      </w:r>
      <w:r w:rsidRPr="00636D0E">
        <w:rPr>
          <w:rFonts w:ascii="Verdana" w:hAnsi="Verdana"/>
          <w:bCs/>
          <w:sz w:val="20"/>
          <w:lang w:val="es-ES_tradnl"/>
        </w:rPr>
        <w:t>, se destaca que el supuesto planteado no hay una inhabilidad o incompatibilidad para contratar, teniendo en cuenta que, de las normas del sistema de compras y contratación pública, no contempla una extensión de los efectos de literal d numeral 1 del artículo 8 de la Ley 80 de 1993 a las contrataciones y vinculaciones que efectúa el proponente para participar en un proceso de contratación.</w:t>
      </w:r>
      <w:r w:rsidRPr="00636D0E">
        <w:rPr>
          <w:rFonts w:ascii="Verdana" w:hAnsi="Verdana"/>
          <w:bCs/>
          <w:sz w:val="20"/>
        </w:rPr>
        <w:t xml:space="preserve"> De este modo, es importante recordar que no es permitido hacer una interpretación extensiva de los efectos de inhabilidades e incompatibilidades a los subcontratos para la celebración de contratos estatales, pues estas constituyen una aplicación del principio del Estado de Derecho previsto en el artículo 6° de la Constitución Política, según el cual: “Los particulares solo son responsables ante las autoridades por infringir la Constitución y las leyes”. </w:t>
      </w:r>
    </w:p>
    <w:p w14:paraId="3F903C4B" w14:textId="25717FFD" w:rsidR="00636D0E" w:rsidRDefault="00636D0E" w:rsidP="00636D0E">
      <w:pPr>
        <w:spacing w:after="0" w:line="240" w:lineRule="auto"/>
        <w:rPr>
          <w:rFonts w:ascii="Verdana" w:hAnsi="Verdana"/>
          <w:sz w:val="20"/>
        </w:rPr>
      </w:pPr>
    </w:p>
    <w:p w14:paraId="0E47D957" w14:textId="5B060E1B" w:rsidR="00636D0E" w:rsidRDefault="00636D0E" w:rsidP="00636D0E">
      <w:pPr>
        <w:spacing w:after="0" w:line="240" w:lineRule="auto"/>
        <w:rPr>
          <w:rFonts w:ascii="Verdana" w:hAnsi="Verdana"/>
          <w:sz w:val="20"/>
        </w:rPr>
      </w:pPr>
    </w:p>
    <w:p w14:paraId="125813A1" w14:textId="77777777" w:rsidR="00636D0E" w:rsidRPr="00636D0E" w:rsidRDefault="00636D0E" w:rsidP="00636D0E">
      <w:pPr>
        <w:spacing w:after="0" w:line="240" w:lineRule="auto"/>
        <w:rPr>
          <w:rFonts w:ascii="Verdana" w:hAnsi="Verdana"/>
          <w:sz w:val="20"/>
        </w:rPr>
      </w:pPr>
    </w:p>
    <w:p w14:paraId="506BB589" w14:textId="1A87F897" w:rsidR="005D3816" w:rsidRPr="0044528D" w:rsidRDefault="00636D0E" w:rsidP="005D3816">
      <w:pPr>
        <w:spacing w:after="0"/>
        <w:rPr>
          <w:rFonts w:ascii="Verdana" w:hAnsi="Verdana"/>
        </w:rPr>
      </w:pPr>
      <w:r w:rsidRPr="00636D0E">
        <w:rPr>
          <w:rFonts w:ascii="Verdana" w:hAnsi="Verdana"/>
          <w:noProof/>
          <w:lang w:val="en-US"/>
        </w:rPr>
        <w:lastRenderedPageBreak/>
        <w:drawing>
          <wp:anchor distT="0" distB="0" distL="114300" distR="114300" simplePos="0" relativeHeight="251658240" behindDoc="0" locked="0" layoutInCell="1" allowOverlap="1" wp14:anchorId="2824CCAD" wp14:editId="022D36E8">
            <wp:simplePos x="0" y="0"/>
            <wp:positionH relativeFrom="margin">
              <wp:align>right</wp:align>
            </wp:positionH>
            <wp:positionV relativeFrom="paragraph">
              <wp:posOffset>93345</wp:posOffset>
            </wp:positionV>
            <wp:extent cx="2708275" cy="74803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08275" cy="748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hAnsi="Verdana"/>
        </w:rPr>
        <w:t>Bogotá D.C., 6 de noviembre de 2025</w:t>
      </w:r>
      <w:r w:rsidR="005D3816" w:rsidRPr="0044528D">
        <w:rPr>
          <w:rFonts w:ascii="Verdana" w:hAnsi="Verdana"/>
        </w:rPr>
        <w:tab/>
      </w:r>
    </w:p>
    <w:p w14:paraId="4F201951" w14:textId="6FAEA8A0" w:rsidR="005D3816" w:rsidRPr="008D01FC" w:rsidRDefault="005D3816" w:rsidP="005D3816">
      <w:pPr>
        <w:spacing w:after="0"/>
        <w:rPr>
          <w:rFonts w:ascii="Verdana" w:hAnsi="Verdana"/>
        </w:rPr>
      </w:pPr>
    </w:p>
    <w:p w14:paraId="1D781C62" w14:textId="77777777" w:rsidR="005D3816" w:rsidRPr="0060163E" w:rsidRDefault="005D3816" w:rsidP="005D3816">
      <w:pPr>
        <w:spacing w:after="0"/>
        <w:rPr>
          <w:rFonts w:ascii="Verdana" w:hAnsi="Verdana"/>
        </w:rPr>
      </w:pPr>
    </w:p>
    <w:p w14:paraId="23E59AEB" w14:textId="2D01E781" w:rsidR="005D3816" w:rsidRPr="0060163E" w:rsidRDefault="005D3816" w:rsidP="005D3816">
      <w:pPr>
        <w:spacing w:after="0" w:line="240" w:lineRule="auto"/>
        <w:rPr>
          <w:rFonts w:ascii="Verdana" w:eastAsia="Calibri" w:hAnsi="Verdana" w:cs="Times New Roman"/>
          <w:lang w:val="es-MX"/>
        </w:rPr>
      </w:pPr>
      <w:r w:rsidRPr="0060163E">
        <w:rPr>
          <w:rFonts w:ascii="Verdana" w:eastAsia="Calibri" w:hAnsi="Verdana" w:cs="Times New Roman"/>
          <w:lang w:val="es-MX"/>
        </w:rPr>
        <w:t>Señor</w:t>
      </w:r>
    </w:p>
    <w:p w14:paraId="3A74EF81" w14:textId="77777777" w:rsidR="005D3816" w:rsidRDefault="005D3816" w:rsidP="005D3816">
      <w:pPr>
        <w:spacing w:after="0" w:line="240" w:lineRule="auto"/>
        <w:rPr>
          <w:rFonts w:ascii="Verdana" w:eastAsia="Calibri" w:hAnsi="Verdana" w:cs="Times New Roman"/>
          <w:b/>
        </w:rPr>
      </w:pPr>
      <w:r>
        <w:rPr>
          <w:rFonts w:ascii="Verdana" w:eastAsia="Calibri" w:hAnsi="Verdana" w:cs="Times New Roman"/>
          <w:b/>
        </w:rPr>
        <w:t xml:space="preserve">Richard </w:t>
      </w:r>
      <w:proofErr w:type="spellStart"/>
      <w:r>
        <w:rPr>
          <w:rFonts w:ascii="Verdana" w:eastAsia="Calibri" w:hAnsi="Verdana" w:cs="Times New Roman"/>
          <w:b/>
        </w:rPr>
        <w:t>Edinson</w:t>
      </w:r>
      <w:proofErr w:type="spellEnd"/>
      <w:r>
        <w:rPr>
          <w:rFonts w:ascii="Verdana" w:eastAsia="Calibri" w:hAnsi="Verdana" w:cs="Times New Roman"/>
          <w:b/>
        </w:rPr>
        <w:t xml:space="preserve"> Castrillón Mesa</w:t>
      </w:r>
    </w:p>
    <w:p w14:paraId="3315024E" w14:textId="77777777" w:rsidR="005D3816" w:rsidRDefault="008042D6" w:rsidP="005D3816">
      <w:pPr>
        <w:spacing w:after="0" w:line="240" w:lineRule="auto"/>
        <w:rPr>
          <w:rFonts w:ascii="Verdana" w:eastAsia="Calibri" w:hAnsi="Verdana" w:cs="Times New Roman"/>
        </w:rPr>
      </w:pPr>
      <w:hyperlink r:id="rId12" w:history="1">
        <w:r w:rsidR="005D3816" w:rsidRPr="001C60C7">
          <w:rPr>
            <w:rStyle w:val="Hipervnculo"/>
            <w:rFonts w:ascii="Verdana" w:eastAsia="Calibri" w:hAnsi="Verdana" w:cs="Times New Roman"/>
          </w:rPr>
          <w:t>richardcastri28@gmail.com</w:t>
        </w:r>
      </w:hyperlink>
    </w:p>
    <w:p w14:paraId="48062707" w14:textId="77777777" w:rsidR="005D3816" w:rsidRPr="0060163E" w:rsidRDefault="005D3816" w:rsidP="005D3816">
      <w:pPr>
        <w:spacing w:after="0" w:line="240" w:lineRule="auto"/>
        <w:rPr>
          <w:rFonts w:ascii="Verdana" w:eastAsia="Calibri" w:hAnsi="Verdana" w:cs="Times New Roman"/>
        </w:rPr>
      </w:pPr>
      <w:r>
        <w:rPr>
          <w:rFonts w:ascii="Verdana" w:eastAsia="Calibri" w:hAnsi="Verdana" w:cs="Times New Roman"/>
        </w:rPr>
        <w:t xml:space="preserve">Bogotá D.C. </w:t>
      </w:r>
      <w:r w:rsidRPr="0060163E">
        <w:rPr>
          <w:rFonts w:ascii="Verdana" w:eastAsia="Calibri" w:hAnsi="Verdana" w:cs="Times New Roman"/>
        </w:rPr>
        <w:t xml:space="preserve"> </w:t>
      </w:r>
    </w:p>
    <w:p w14:paraId="2F141654" w14:textId="77777777" w:rsidR="005D3816" w:rsidRPr="0060163E" w:rsidRDefault="005D3816" w:rsidP="005D3816">
      <w:pPr>
        <w:spacing w:after="0" w:line="240" w:lineRule="auto"/>
        <w:rPr>
          <w:rFonts w:ascii="Verdana" w:eastAsia="Calibri" w:hAnsi="Verdana" w:cs="Times New Roman"/>
        </w:rPr>
      </w:pPr>
    </w:p>
    <w:p w14:paraId="30A965BD" w14:textId="77777777" w:rsidR="005D3816" w:rsidRPr="0060163E" w:rsidRDefault="005D3816" w:rsidP="005D3816">
      <w:pPr>
        <w:spacing w:after="0" w:line="240" w:lineRule="auto"/>
        <w:rPr>
          <w:rFonts w:ascii="Verdana" w:eastAsia="Calibri" w:hAnsi="Verdana" w:cs="Times New Roman"/>
        </w:rPr>
      </w:pPr>
    </w:p>
    <w:p w14:paraId="6DB0D99A" w14:textId="77777777" w:rsidR="005D3816" w:rsidRPr="0060163E" w:rsidRDefault="005D3816" w:rsidP="005D3816">
      <w:pPr>
        <w:spacing w:after="0" w:line="240" w:lineRule="auto"/>
        <w:rPr>
          <w:rFonts w:ascii="Verdana" w:eastAsia="Calibri" w:hAnsi="Verdana" w:cs="Times New Roman"/>
          <w:b/>
          <w:bCs/>
          <w:lang w:val="es-ES"/>
        </w:rPr>
      </w:pPr>
      <w:r w:rsidRPr="0060163E">
        <w:rPr>
          <w:rFonts w:ascii="Verdana" w:eastAsia="Calibri" w:hAnsi="Verdana" w:cs="Times New Roman"/>
          <w:b/>
          <w:bCs/>
        </w:rPr>
        <w:t xml:space="preserve">                                    </w:t>
      </w:r>
      <w:r>
        <w:rPr>
          <w:rFonts w:ascii="Verdana" w:eastAsia="Calibri" w:hAnsi="Verdana" w:cs="Times New Roman"/>
          <w:b/>
          <w:bCs/>
          <w:lang w:val="es-ES"/>
        </w:rPr>
        <w:t>Concepto C– 1398</w:t>
      </w:r>
      <w:r w:rsidRPr="0060163E">
        <w:rPr>
          <w:rFonts w:ascii="Verdana" w:eastAsia="Calibri" w:hAnsi="Verdana" w:cs="Times New Roman"/>
          <w:b/>
          <w:bCs/>
          <w:lang w:val="es-ES"/>
        </w:rPr>
        <w:t xml:space="preserve"> de 2025</w:t>
      </w:r>
    </w:p>
    <w:p w14:paraId="3498CFE6" w14:textId="77777777" w:rsidR="005D3816" w:rsidRPr="0060163E" w:rsidRDefault="005D3816" w:rsidP="005D3816">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5D3816" w:rsidRPr="0060163E" w14:paraId="2B960DC7" w14:textId="77777777" w:rsidTr="00246837">
        <w:trPr>
          <w:trHeight w:val="884"/>
        </w:trPr>
        <w:tc>
          <w:tcPr>
            <w:tcW w:w="2685" w:type="dxa"/>
            <w:hideMark/>
          </w:tcPr>
          <w:p w14:paraId="656C7435" w14:textId="77777777" w:rsidR="005D3816" w:rsidRPr="0060163E" w:rsidRDefault="005D3816" w:rsidP="00246837">
            <w:pPr>
              <w:rPr>
                <w:rFonts w:ascii="Verdana" w:hAnsi="Verdana"/>
                <w:b/>
                <w:bCs/>
                <w:lang w:val="es-ES_tradnl"/>
              </w:rPr>
            </w:pPr>
            <w:r w:rsidRPr="0060163E">
              <w:rPr>
                <w:rFonts w:ascii="Verdana" w:hAnsi="Verdana"/>
                <w:b/>
                <w:bCs/>
                <w:lang w:val="es-ES_tradnl"/>
              </w:rPr>
              <w:t xml:space="preserve">Temas:                   </w:t>
            </w:r>
          </w:p>
        </w:tc>
        <w:tc>
          <w:tcPr>
            <w:tcW w:w="6241" w:type="dxa"/>
            <w:hideMark/>
          </w:tcPr>
          <w:p w14:paraId="0CB3044D" w14:textId="77777777" w:rsidR="005D3816" w:rsidRPr="00A254C0" w:rsidRDefault="005D3816" w:rsidP="00246837">
            <w:pPr>
              <w:spacing w:line="276" w:lineRule="auto"/>
              <w:jc w:val="both"/>
              <w:rPr>
                <w:rFonts w:ascii="Verdana" w:hAnsi="Verdana" w:cs="Arial"/>
                <w:lang w:val="es-ES_tradnl"/>
              </w:rPr>
            </w:pPr>
            <w:r w:rsidRPr="006D2BEC">
              <w:rPr>
                <w:rFonts w:ascii="Verdana" w:hAnsi="Verdana" w:cs="Arial"/>
                <w:lang w:val="es-MX"/>
              </w:rPr>
              <w:t xml:space="preserve">INHABILIDADES E INCOMPATIBILIDADES ─ Definición ─ fundamento – clases / INHABILIDADES E INCOMPATIBILIDADES - Finalidad ─ Limitación capacidad contractual </w:t>
            </w:r>
            <w:r w:rsidRPr="006D2BEC">
              <w:rPr>
                <w:rFonts w:ascii="Verdana" w:hAnsi="Verdana" w:cs="Arial"/>
                <w:lang w:val="es-ES_tradnl"/>
              </w:rPr>
              <w:t>/ INHABILIDADES – Taxatividad – Principio de legalidad – Interpretación restrictiva</w:t>
            </w:r>
            <w:r w:rsidRPr="006D2BEC" w:rsidDel="00A75E55">
              <w:rPr>
                <w:rFonts w:ascii="Verdana" w:hAnsi="Verdana" w:cs="Arial"/>
                <w:lang w:val="es-ES_tradnl"/>
              </w:rPr>
              <w:t xml:space="preserve"> </w:t>
            </w:r>
            <w:r w:rsidRPr="006D2BEC">
              <w:rPr>
                <w:rFonts w:ascii="Verdana" w:hAnsi="Verdana" w:cs="Arial"/>
                <w:lang w:val="es-ES_tradnl"/>
              </w:rPr>
              <w:t xml:space="preserve">/ </w:t>
            </w:r>
            <w:r w:rsidRPr="00A254C0">
              <w:rPr>
                <w:rFonts w:ascii="Verdana" w:hAnsi="Verdana" w:cs="Arial"/>
                <w:lang w:val="es-ES_tradnl"/>
              </w:rPr>
              <w:t>INHABILIDADES E INCOMPATIBILIDADES – Ley 80 d</w:t>
            </w:r>
            <w:r>
              <w:rPr>
                <w:rFonts w:ascii="Verdana" w:hAnsi="Verdana" w:cs="Arial"/>
                <w:lang w:val="es-ES_tradnl"/>
              </w:rPr>
              <w:t xml:space="preserve">e 1993 – Artículo 8 – Numeral 1 </w:t>
            </w:r>
            <w:r w:rsidRPr="00A254C0">
              <w:rPr>
                <w:rFonts w:ascii="Verdana" w:hAnsi="Verdana" w:cs="Arial"/>
                <w:lang w:val="es-ES_tradnl"/>
              </w:rPr>
              <w:t xml:space="preserve">– Literal D – Interpretación restrictiva - Alcance. </w:t>
            </w:r>
          </w:p>
        </w:tc>
        <w:tc>
          <w:tcPr>
            <w:tcW w:w="6237" w:type="dxa"/>
          </w:tcPr>
          <w:p w14:paraId="4AB8B8CB" w14:textId="77777777" w:rsidR="005D3816" w:rsidRPr="006D2BEC" w:rsidRDefault="005D3816" w:rsidP="00246837">
            <w:pPr>
              <w:rPr>
                <w:rFonts w:ascii="Verdana" w:hAnsi="Verdana"/>
              </w:rPr>
            </w:pPr>
          </w:p>
        </w:tc>
      </w:tr>
      <w:tr w:rsidR="005D3816" w:rsidRPr="0060163E" w14:paraId="36C2AE37" w14:textId="77777777" w:rsidTr="00246837">
        <w:tc>
          <w:tcPr>
            <w:tcW w:w="2685" w:type="dxa"/>
          </w:tcPr>
          <w:p w14:paraId="369B5074" w14:textId="77777777" w:rsidR="005D3816" w:rsidRPr="0060163E" w:rsidRDefault="005D3816" w:rsidP="00246837">
            <w:pPr>
              <w:rPr>
                <w:rFonts w:ascii="Verdana" w:hAnsi="Verdana"/>
                <w:lang w:val="es-ES_tradnl"/>
              </w:rPr>
            </w:pPr>
          </w:p>
          <w:p w14:paraId="7F6A3EB7" w14:textId="77777777" w:rsidR="005D3816" w:rsidRPr="0060163E" w:rsidRDefault="005D3816" w:rsidP="00246837">
            <w:pPr>
              <w:rPr>
                <w:rFonts w:ascii="Verdana" w:hAnsi="Verdana"/>
                <w:b/>
                <w:bCs/>
                <w:lang w:val="es-ES_tradnl"/>
              </w:rPr>
            </w:pPr>
            <w:r w:rsidRPr="0060163E">
              <w:rPr>
                <w:rFonts w:ascii="Verdana" w:hAnsi="Verdana"/>
                <w:b/>
                <w:bCs/>
                <w:lang w:val="es-ES_tradnl"/>
              </w:rPr>
              <w:t xml:space="preserve">Radicación:               </w:t>
            </w:r>
          </w:p>
        </w:tc>
        <w:tc>
          <w:tcPr>
            <w:tcW w:w="6241" w:type="dxa"/>
          </w:tcPr>
          <w:p w14:paraId="29F4E4BF" w14:textId="77777777" w:rsidR="005D3816" w:rsidRPr="0060163E" w:rsidRDefault="005D3816" w:rsidP="00246837">
            <w:pPr>
              <w:jc w:val="both"/>
              <w:rPr>
                <w:rFonts w:ascii="Verdana" w:hAnsi="Verdana"/>
                <w:lang w:val="es-ES_tradnl"/>
              </w:rPr>
            </w:pPr>
          </w:p>
          <w:p w14:paraId="32F84D60" w14:textId="77777777" w:rsidR="005D3816" w:rsidRPr="0060163E" w:rsidRDefault="005D3816" w:rsidP="00246837">
            <w:pPr>
              <w:jc w:val="both"/>
              <w:rPr>
                <w:rFonts w:ascii="Verdana" w:hAnsi="Verdana"/>
                <w:lang w:val="es-ES_tradnl"/>
              </w:rPr>
            </w:pPr>
            <w:r w:rsidRPr="0060163E">
              <w:rPr>
                <w:rFonts w:ascii="Verdana" w:hAnsi="Verdana"/>
                <w:lang w:val="es-ES_tradnl"/>
              </w:rPr>
              <w:t>Respue</w:t>
            </w:r>
            <w:r>
              <w:rPr>
                <w:rFonts w:ascii="Verdana" w:hAnsi="Verdana"/>
                <w:lang w:val="es-ES_tradnl"/>
              </w:rPr>
              <w:t xml:space="preserve">sta a consulta con radicado </w:t>
            </w:r>
            <w:r w:rsidRPr="007B2838">
              <w:rPr>
                <w:rFonts w:ascii="Verdana" w:hAnsi="Verdana"/>
              </w:rPr>
              <w:t>1_2025_09_28_010711</w:t>
            </w:r>
          </w:p>
          <w:p w14:paraId="7ABD3B7B" w14:textId="77777777" w:rsidR="005D3816" w:rsidRPr="0060163E" w:rsidRDefault="005D3816" w:rsidP="00246837">
            <w:pPr>
              <w:jc w:val="both"/>
              <w:rPr>
                <w:rFonts w:ascii="Verdana" w:hAnsi="Verdana"/>
              </w:rPr>
            </w:pPr>
          </w:p>
        </w:tc>
        <w:tc>
          <w:tcPr>
            <w:tcW w:w="6237" w:type="dxa"/>
          </w:tcPr>
          <w:p w14:paraId="489FD532" w14:textId="77777777" w:rsidR="005D3816" w:rsidRPr="0060163E" w:rsidRDefault="005D3816" w:rsidP="00246837">
            <w:pPr>
              <w:rPr>
                <w:rFonts w:ascii="Verdana" w:hAnsi="Verdana"/>
                <w:lang w:val="es-ES_tradnl"/>
              </w:rPr>
            </w:pPr>
          </w:p>
        </w:tc>
      </w:tr>
      <w:tr w:rsidR="005D3816" w:rsidRPr="0060163E" w14:paraId="2BE39A61" w14:textId="77777777" w:rsidTr="00246837">
        <w:tc>
          <w:tcPr>
            <w:tcW w:w="2685" w:type="dxa"/>
          </w:tcPr>
          <w:p w14:paraId="65A23FA8" w14:textId="77777777" w:rsidR="005D3816" w:rsidRPr="0060163E" w:rsidRDefault="005D3816" w:rsidP="00246837">
            <w:pPr>
              <w:rPr>
                <w:rFonts w:ascii="Verdana" w:hAnsi="Verdana"/>
                <w:lang w:val="es-ES_tradnl"/>
              </w:rPr>
            </w:pPr>
          </w:p>
        </w:tc>
        <w:tc>
          <w:tcPr>
            <w:tcW w:w="6241" w:type="dxa"/>
          </w:tcPr>
          <w:p w14:paraId="1C70FB68" w14:textId="77777777" w:rsidR="005D3816" w:rsidRPr="0060163E" w:rsidRDefault="005D3816" w:rsidP="00246837">
            <w:pPr>
              <w:jc w:val="both"/>
              <w:rPr>
                <w:rFonts w:ascii="Verdana" w:hAnsi="Verdana"/>
                <w:lang w:val="es-ES_tradnl"/>
              </w:rPr>
            </w:pPr>
          </w:p>
        </w:tc>
        <w:tc>
          <w:tcPr>
            <w:tcW w:w="6237" w:type="dxa"/>
          </w:tcPr>
          <w:p w14:paraId="3569836C" w14:textId="77777777" w:rsidR="005D3816" w:rsidRPr="0060163E" w:rsidRDefault="005D3816" w:rsidP="00246837">
            <w:pPr>
              <w:rPr>
                <w:rFonts w:ascii="Verdana" w:hAnsi="Verdana"/>
                <w:lang w:val="es-ES_tradnl"/>
              </w:rPr>
            </w:pPr>
          </w:p>
        </w:tc>
      </w:tr>
    </w:tbl>
    <w:p w14:paraId="55A65467" w14:textId="77777777" w:rsidR="005D3816" w:rsidRPr="0060163E" w:rsidRDefault="005D3816" w:rsidP="005D3816">
      <w:pPr>
        <w:spacing w:after="0" w:line="256" w:lineRule="auto"/>
        <w:rPr>
          <w:rFonts w:ascii="Verdana" w:eastAsia="Calibri" w:hAnsi="Verdana" w:cs="Times New Roman"/>
          <w:lang w:val="es-ES"/>
        </w:rPr>
      </w:pPr>
      <w:r>
        <w:rPr>
          <w:rFonts w:ascii="Verdana" w:eastAsia="Calibri" w:hAnsi="Verdana" w:cs="Times New Roman"/>
          <w:lang w:val="es-ES"/>
        </w:rPr>
        <w:t>Estimado Señor Castrillón</w:t>
      </w:r>
      <w:r w:rsidRPr="0060163E">
        <w:rPr>
          <w:rFonts w:ascii="Verdana" w:eastAsia="Calibri" w:hAnsi="Verdana" w:cs="Times New Roman"/>
          <w:lang w:val="es-ES"/>
        </w:rPr>
        <w:t xml:space="preserve"> </w:t>
      </w:r>
    </w:p>
    <w:p w14:paraId="6900D319" w14:textId="77777777" w:rsidR="005D3816" w:rsidRPr="0060163E" w:rsidRDefault="005D3816" w:rsidP="005D3816">
      <w:pPr>
        <w:spacing w:after="120" w:line="276" w:lineRule="auto"/>
        <w:rPr>
          <w:rFonts w:ascii="Verdana" w:eastAsia="Calibri" w:hAnsi="Verdana" w:cs="Times New Roman"/>
          <w:lang w:val="es-ES"/>
        </w:rPr>
      </w:pPr>
    </w:p>
    <w:p w14:paraId="5FAF648F" w14:textId="77777777" w:rsidR="005D3816" w:rsidRPr="0090399A" w:rsidRDefault="005D3816" w:rsidP="005D3816">
      <w:pPr>
        <w:spacing w:after="120" w:line="276" w:lineRule="auto"/>
        <w:jc w:val="both"/>
        <w:rPr>
          <w:rFonts w:ascii="Verdana" w:eastAsia="Calibri" w:hAnsi="Verdana" w:cs="Times New Roman"/>
          <w:bCs/>
          <w:lang w:bidi="es-ES"/>
        </w:rPr>
      </w:pPr>
      <w:r w:rsidRPr="0090399A">
        <w:rPr>
          <w:rFonts w:ascii="Verdana" w:eastAsia="Calibri" w:hAnsi="Verdana" w:cs="Times New Roman"/>
          <w:bCs/>
          <w:lang w:val="es-ES" w:bidi="es-ES"/>
        </w:rPr>
        <w:t xml:space="preserve">En ejercicio de la competencia otorgada por los artículos 3, numeral 5º, y 11, numeral 8º, del Decreto Ley 4170 de 2011, </w:t>
      </w:r>
      <w:r w:rsidRPr="0090399A">
        <w:rPr>
          <w:rFonts w:ascii="Verdana" w:eastAsia="Calibri" w:hAnsi="Verdana" w:cs="Times New Roman"/>
          <w:bCs/>
        </w:rPr>
        <w:t xml:space="preserve">así como lo establecido por la Resolución 469 de 2025 expedida por esta Entidad, </w:t>
      </w:r>
      <w:r w:rsidRPr="0090399A">
        <w:rPr>
          <w:rFonts w:ascii="Verdana" w:eastAsia="Calibri" w:hAnsi="Verdana" w:cs="Times New Roman"/>
          <w:bCs/>
          <w:lang w:val="es-ES" w:bidi="es-ES"/>
        </w:rPr>
        <w:t xml:space="preserve">la Agencia Nacional de Contratación Pública – Colombia Compra Eficiente– responde las solicitudes de consulta presentada el 28 de septiembre, en la cual manifiesta: </w:t>
      </w:r>
      <w:r w:rsidRPr="0090399A">
        <w:rPr>
          <w:rFonts w:ascii="Verdana" w:eastAsia="Calibri" w:hAnsi="Verdana" w:cs="Times New Roman"/>
          <w:bCs/>
        </w:rPr>
        <w:t>“Si un ingeniero civil tiene INHABILIDAD PARA CONTRATAR CON EL ESTADO LEY 80 DE 1993 ART 8, NUM 1 LIT. D, teniendo permiso laboral con el juez penal podría ser un ofertado como equipo mínimo ya sea director o residente de obra por una empresa privada en una licitación pública?</w:t>
      </w:r>
      <w:r w:rsidRPr="0090399A">
        <w:rPr>
          <w:rFonts w:ascii="Verdana" w:eastAsia="Calibri" w:hAnsi="Verdana" w:cs="Times New Roman"/>
          <w:bCs/>
          <w:i/>
          <w:iCs/>
        </w:rPr>
        <w:t>”</w:t>
      </w:r>
    </w:p>
    <w:p w14:paraId="66B1B32A" w14:textId="77777777" w:rsidR="005D3816" w:rsidRPr="0060163E" w:rsidRDefault="005D3816" w:rsidP="005D3816">
      <w:pPr>
        <w:spacing w:after="120" w:line="276" w:lineRule="auto"/>
        <w:ind w:firstLine="709"/>
        <w:jc w:val="both"/>
        <w:rPr>
          <w:rFonts w:ascii="Verdana" w:eastAsia="Calibri" w:hAnsi="Verdana" w:cs="Times New Roman"/>
          <w:lang w:val="es-ES"/>
        </w:rPr>
      </w:pPr>
      <w:r w:rsidRPr="0060163E">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60163E">
        <w:rPr>
          <w:rFonts w:ascii="Verdana" w:eastAsia="Calibri" w:hAnsi="Verdana" w:cs="Times New Roman"/>
          <w:lang w:val="es-ES"/>
        </w:rPr>
        <w:lastRenderedPageBreak/>
        <w:t>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A333DB4" w14:textId="77777777" w:rsidR="005D3816" w:rsidRPr="0060163E" w:rsidRDefault="005D3816" w:rsidP="005D3816">
      <w:pPr>
        <w:spacing w:after="0" w:line="276" w:lineRule="auto"/>
        <w:ind w:firstLine="708"/>
        <w:jc w:val="both"/>
        <w:rPr>
          <w:rFonts w:ascii="Verdana" w:eastAsia="Calibri" w:hAnsi="Verdana" w:cs="Times New Roman"/>
          <w:lang w:val="es-ES"/>
        </w:rPr>
      </w:pPr>
      <w:r w:rsidRPr="0060163E">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2AD30E5D" w14:textId="77777777" w:rsidR="005D3816" w:rsidRPr="0060163E" w:rsidRDefault="005D3816" w:rsidP="005D3816">
      <w:pPr>
        <w:spacing w:after="0" w:line="276" w:lineRule="auto"/>
        <w:rPr>
          <w:rFonts w:ascii="Verdana" w:eastAsia="Calibri" w:hAnsi="Verdana" w:cs="Times New Roman"/>
          <w:lang w:val="es-ES"/>
        </w:rPr>
      </w:pPr>
    </w:p>
    <w:p w14:paraId="7DDAD5CE" w14:textId="77777777" w:rsidR="005D3816" w:rsidRPr="0060163E" w:rsidRDefault="005D3816" w:rsidP="005D3816">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 </w:t>
      </w:r>
      <w:r w:rsidRPr="0060163E">
        <w:rPr>
          <w:rFonts w:ascii="Verdana" w:eastAsia="Calibri" w:hAnsi="Verdana" w:cs="Times New Roman"/>
          <w:b/>
          <w:bCs/>
          <w:lang w:val="es-ES"/>
        </w:rPr>
        <w:t>Problema planteado:</w:t>
      </w:r>
    </w:p>
    <w:p w14:paraId="4F493FBD" w14:textId="77777777" w:rsidR="005D3816" w:rsidRPr="0060163E" w:rsidRDefault="005D3816" w:rsidP="005D3816">
      <w:pPr>
        <w:spacing w:after="0" w:line="276" w:lineRule="auto"/>
        <w:rPr>
          <w:rFonts w:ascii="Verdana" w:eastAsia="Calibri" w:hAnsi="Verdana" w:cs="Times New Roman"/>
        </w:rPr>
      </w:pPr>
    </w:p>
    <w:p w14:paraId="481F11E6" w14:textId="77777777" w:rsidR="005D3816" w:rsidRPr="00BB2A21" w:rsidRDefault="005D3816" w:rsidP="005D3816">
      <w:pPr>
        <w:spacing w:after="0" w:line="276" w:lineRule="auto"/>
        <w:jc w:val="both"/>
        <w:rPr>
          <w:rFonts w:ascii="Verdana" w:eastAsia="Calibri" w:hAnsi="Verdana" w:cs="Times New Roman"/>
          <w:bCs/>
          <w:iCs/>
        </w:rPr>
      </w:pPr>
      <w:r w:rsidRPr="0060163E">
        <w:rPr>
          <w:rFonts w:ascii="Verdana" w:eastAsia="Calibri" w:hAnsi="Verdana" w:cs="Times New Roman"/>
        </w:rPr>
        <w:t xml:space="preserve">De acuerdo con el contenido de su solicitud, esta Agencia procede a resolver el siguiente problema jurídico: </w:t>
      </w:r>
      <w:r w:rsidRPr="00840A92">
        <w:rPr>
          <w:rFonts w:ascii="Verdana" w:eastAsia="Calibri" w:hAnsi="Verdana" w:cs="Times New Roman"/>
        </w:rPr>
        <w:t xml:space="preserve">¿Puede una empresa privada proponente en una licitación pública incluir como parte del equipo mínimo (director o residente de obra) a un ingeniero civil que, aunque cuenta con permiso laboral </w:t>
      </w:r>
      <w:r>
        <w:rPr>
          <w:rFonts w:ascii="Verdana" w:eastAsia="Calibri" w:hAnsi="Verdana" w:cs="Times New Roman"/>
        </w:rPr>
        <w:t>otorgado por un juez penal, está</w:t>
      </w:r>
      <w:r w:rsidRPr="00840A92">
        <w:rPr>
          <w:rFonts w:ascii="Verdana" w:eastAsia="Calibri" w:hAnsi="Verdana" w:cs="Times New Roman"/>
        </w:rPr>
        <w:t xml:space="preserve"> inhabilitado para contratar con el Estado conforme al artículo 8, numeral 1, literal d de la Ley 80 de 1993?</w:t>
      </w:r>
    </w:p>
    <w:p w14:paraId="6AFE6F08" w14:textId="77777777" w:rsidR="005D3816" w:rsidRPr="0060163E" w:rsidRDefault="005D3816" w:rsidP="005D3816">
      <w:pPr>
        <w:spacing w:after="0" w:line="276" w:lineRule="auto"/>
        <w:rPr>
          <w:rFonts w:ascii="Verdana" w:eastAsia="Calibri" w:hAnsi="Verdana" w:cs="Times New Roman"/>
        </w:rPr>
      </w:pPr>
    </w:p>
    <w:p w14:paraId="3DF674E0" w14:textId="77777777" w:rsidR="005D3816" w:rsidRPr="0060163E" w:rsidRDefault="005D3816" w:rsidP="005D3816">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II. </w:t>
      </w:r>
      <w:r w:rsidRPr="0060163E">
        <w:rPr>
          <w:rFonts w:ascii="Verdana" w:eastAsia="Calibri" w:hAnsi="Verdana" w:cs="Times New Roman"/>
          <w:b/>
          <w:bCs/>
          <w:lang w:val="es-ES"/>
        </w:rPr>
        <w:t>Respuesta:</w:t>
      </w:r>
    </w:p>
    <w:p w14:paraId="32EE8FAA" w14:textId="77777777" w:rsidR="005D3816" w:rsidRPr="0060163E" w:rsidRDefault="005D3816" w:rsidP="005D3816">
      <w:pPr>
        <w:spacing w:after="0" w:line="276" w:lineRule="auto"/>
        <w:jc w:val="both"/>
        <w:rPr>
          <w:rFonts w:ascii="Verdana" w:eastAsia="Calibri" w:hAnsi="Verdana" w:cs="Times New Roman"/>
          <w:bCs/>
          <w:lang w:val="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D3816" w:rsidRPr="0060163E" w14:paraId="3630401B" w14:textId="77777777" w:rsidTr="00246837">
        <w:trPr>
          <w:trHeight w:val="870"/>
          <w:jc w:val="center"/>
        </w:trPr>
        <w:tc>
          <w:tcPr>
            <w:tcW w:w="8647" w:type="dxa"/>
          </w:tcPr>
          <w:p w14:paraId="050A41E1" w14:textId="77777777" w:rsidR="005D3816" w:rsidRDefault="005D3816" w:rsidP="00246837">
            <w:pPr>
              <w:spacing w:after="120" w:line="276" w:lineRule="auto"/>
              <w:ind w:right="49"/>
              <w:jc w:val="both"/>
              <w:rPr>
                <w:rFonts w:ascii="Verdana" w:eastAsia="Times New Roman" w:hAnsi="Verdana" w:cs="Arial"/>
                <w:lang w:eastAsia="es-MX"/>
              </w:rPr>
            </w:pPr>
            <w:r>
              <w:rPr>
                <w:rFonts w:ascii="Verdana" w:eastAsia="Times New Roman" w:hAnsi="Verdana" w:cs="Arial"/>
                <w:lang w:eastAsia="es-MX"/>
              </w:rPr>
              <w:t xml:space="preserve">De acuerdo con el problema jurídico, objeto de consulta, se precisa que la inhabilidad prescrita en el literal d) del numeral 1 del artículo 8 de la Ley 80 de 1993, </w:t>
            </w:r>
            <w:r w:rsidRPr="007430A3">
              <w:rPr>
                <w:rFonts w:ascii="Verdana" w:eastAsia="Times New Roman" w:hAnsi="Verdana" w:cs="Arial"/>
                <w:lang w:eastAsia="es-MX"/>
              </w:rPr>
              <w:t>se configura por la imposición de una pena accesoria de inhabili</w:t>
            </w:r>
            <w:r>
              <w:rPr>
                <w:rFonts w:ascii="Verdana" w:eastAsia="Times New Roman" w:hAnsi="Verdana" w:cs="Arial"/>
                <w:lang w:eastAsia="es-MX"/>
              </w:rPr>
              <w:t xml:space="preserve">tación de derechos y funciones por </w:t>
            </w:r>
            <w:r w:rsidRPr="007430A3">
              <w:rPr>
                <w:rFonts w:ascii="Verdana" w:eastAsia="Times New Roman" w:hAnsi="Verdana" w:cs="Arial"/>
                <w:lang w:eastAsia="es-MX"/>
              </w:rPr>
              <w:t>un término de cinco (5) años, que se contabilizan a partir de la f</w:t>
            </w:r>
            <w:r>
              <w:rPr>
                <w:rFonts w:ascii="Verdana" w:eastAsia="Times New Roman" w:hAnsi="Verdana" w:cs="Arial"/>
                <w:lang w:eastAsia="es-MX"/>
              </w:rPr>
              <w:t>echa de ejecutoria de la sentencia que impuso la pena</w:t>
            </w:r>
            <w:r w:rsidRPr="007430A3">
              <w:rPr>
                <w:rFonts w:ascii="Verdana" w:eastAsia="Times New Roman" w:hAnsi="Verdana" w:cs="Arial"/>
                <w:lang w:eastAsia="es-MX"/>
              </w:rPr>
              <w:t xml:space="preserve">. Así mismo, dicha inhabilidad no distingue el objeto del contrato ni mucho las modalidades de selección aplicables, esto es, aplica para todos los procesos de contratación. </w:t>
            </w:r>
          </w:p>
          <w:p w14:paraId="758E1566" w14:textId="77777777" w:rsidR="005D3816" w:rsidRDefault="005D3816" w:rsidP="00246837">
            <w:pPr>
              <w:spacing w:after="120" w:line="276" w:lineRule="auto"/>
              <w:ind w:right="49" w:firstLine="709"/>
              <w:jc w:val="both"/>
              <w:rPr>
                <w:rFonts w:ascii="Verdana" w:eastAsia="Times New Roman" w:hAnsi="Verdana" w:cs="Arial"/>
                <w:lang w:eastAsia="es-MX"/>
              </w:rPr>
            </w:pPr>
            <w:r>
              <w:rPr>
                <w:rFonts w:ascii="Verdana" w:eastAsia="Times New Roman" w:hAnsi="Verdana" w:cs="Arial"/>
                <w:lang w:eastAsia="es-MX"/>
              </w:rPr>
              <w:t xml:space="preserve">Teniendo en cuenta ello, el ingeniero civil no podrá participar en procesos de contratación, ni mucho menos celebrar contratos con el Estado. </w:t>
            </w:r>
            <w:r>
              <w:rPr>
                <w:rFonts w:ascii="Verdana" w:eastAsia="Times New Roman" w:hAnsi="Verdana" w:cs="Arial"/>
                <w:lang w:eastAsia="es-MX"/>
              </w:rPr>
              <w:lastRenderedPageBreak/>
              <w:t xml:space="preserve">Sin embargo, dicha inhabilidad o incompatibilidad no se extiende en el evento que el ingeniero civil haya sido contratado como residente o director de obra por el proponente para participar en el proceso de contratación, puesto que las inhabilidades e incompatibilidades no se extienden a las subcontrataciones. En este sentido, se destaca que el régimen de inhabilidades e incompatibilidades busca proteger la moralidad y la transparencia en la contratación, y se aplica a quienes tienen relación directa con el Estado. </w:t>
            </w:r>
          </w:p>
          <w:p w14:paraId="66D7E0E4" w14:textId="77777777" w:rsidR="005D3816" w:rsidRPr="0030774B" w:rsidRDefault="005D3816" w:rsidP="00246837">
            <w:pPr>
              <w:spacing w:after="120" w:line="276" w:lineRule="auto"/>
              <w:ind w:firstLine="709"/>
              <w:jc w:val="both"/>
              <w:rPr>
                <w:rFonts w:ascii="Verdana" w:eastAsia="Calibri" w:hAnsi="Verdana" w:cs="Arial"/>
                <w:bCs/>
              </w:rPr>
            </w:pPr>
            <w:r>
              <w:rPr>
                <w:rFonts w:ascii="Verdana" w:eastAsia="Calibri" w:hAnsi="Verdana" w:cs="Arial"/>
                <w:bCs/>
              </w:rPr>
              <w:t>En efecto</w:t>
            </w:r>
            <w:r>
              <w:rPr>
                <w:rFonts w:ascii="Verdana" w:eastAsia="Calibri" w:hAnsi="Verdana" w:cs="Arial"/>
                <w:bCs/>
                <w:lang w:val="es-ES_tradnl"/>
              </w:rPr>
              <w:t>, se destaca que el supuesto planteado no hay una inhabilidad o incompatibilidad para contratar, teniendo en cuenta que, de las normas del sistema de compras y contratación pública, no contempla una extensión de los efectos de literal d numeral 1 del artículo 8 de la Ley 80 de 1993 a las contrataciones y vinculaciones que efectúa el proponente para participar en un proceso de contratación.</w:t>
            </w:r>
            <w:r>
              <w:rPr>
                <w:rFonts w:ascii="Verdana" w:eastAsia="Calibri" w:hAnsi="Verdana" w:cs="Arial"/>
                <w:bCs/>
              </w:rPr>
              <w:t xml:space="preserve"> De este modo</w:t>
            </w:r>
            <w:r w:rsidRPr="0030774B">
              <w:rPr>
                <w:rFonts w:ascii="Verdana" w:eastAsia="Calibri" w:hAnsi="Verdana" w:cs="Arial"/>
                <w:bCs/>
              </w:rPr>
              <w:t>, es importante recordar que no es permitido hacer una interpretación extensiva</w:t>
            </w:r>
            <w:r>
              <w:rPr>
                <w:rFonts w:ascii="Verdana" w:eastAsia="Calibri" w:hAnsi="Verdana" w:cs="Arial"/>
                <w:bCs/>
              </w:rPr>
              <w:t xml:space="preserve"> de los efectos de inhabilidades e incompatibilidades a los subcontratos para la celebración de contratos estatales</w:t>
            </w:r>
            <w:r w:rsidRPr="0030774B">
              <w:rPr>
                <w:rFonts w:ascii="Verdana" w:eastAsia="Calibri" w:hAnsi="Verdana" w:cs="Arial"/>
                <w:bCs/>
              </w:rPr>
              <w:t xml:space="preserve">, pues </w:t>
            </w:r>
            <w:r>
              <w:rPr>
                <w:rFonts w:ascii="Verdana" w:eastAsia="Calibri" w:hAnsi="Verdana" w:cs="Arial"/>
                <w:bCs/>
              </w:rPr>
              <w:t xml:space="preserve">estas </w:t>
            </w:r>
            <w:r w:rsidRPr="0030774B">
              <w:rPr>
                <w:rFonts w:ascii="Verdana" w:eastAsia="Calibri" w:hAnsi="Verdana" w:cs="Arial"/>
                <w:bCs/>
              </w:rPr>
              <w:t xml:space="preserve">constituyen una aplicación del principio del Estado de Derecho previsto en el artículo 6° de la Constitución Política, según el cual: “Los particulares solo son responsables ante las autoridades por infringir la Constitución y las leyes”. </w:t>
            </w:r>
          </w:p>
          <w:p w14:paraId="02DB67F8" w14:textId="77777777" w:rsidR="005D3816" w:rsidRPr="00636B74" w:rsidRDefault="005D3816" w:rsidP="00246837">
            <w:pPr>
              <w:spacing w:after="120" w:line="276" w:lineRule="auto"/>
              <w:ind w:firstLine="709"/>
              <w:jc w:val="both"/>
              <w:rPr>
                <w:rFonts w:ascii="Verdana" w:eastAsia="Arial MT" w:hAnsi="Verdana" w:cs="Arial"/>
                <w:lang w:eastAsia="es-ES" w:bidi="es-ES"/>
              </w:rPr>
            </w:pPr>
            <w:r w:rsidRPr="00DB2A80">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w:t>
            </w:r>
            <w:r>
              <w:rPr>
                <w:rFonts w:ascii="Verdana" w:eastAsia="Calibri" w:hAnsi="Verdana" w:cs="Arial"/>
                <w:bCs/>
                <w:color w:val="000000" w:themeColor="text1"/>
              </w:rPr>
              <w:t>zs22</w:t>
            </w:r>
            <w:r w:rsidRPr="00DB2A80">
              <w:rPr>
                <w:rFonts w:ascii="Verdana" w:eastAsia="Calibri" w:hAnsi="Verdana" w:cs="Arial"/>
                <w:bCs/>
                <w:color w:val="000000" w:themeColor="text1"/>
              </w:rPr>
              <w:t xml:space="preserve">lantar su gestión contractual, sin que sea atribución de Colombia Compra Eficiente validar sus actuaciones. </w:t>
            </w:r>
            <w:r w:rsidRPr="00AE22D5">
              <w:rPr>
                <w:rFonts w:ascii="Verdana" w:eastAsia="Calibri" w:hAnsi="Verdana" w:cs="Arial"/>
              </w:rPr>
              <w:t xml:space="preserve"> </w:t>
            </w:r>
          </w:p>
        </w:tc>
      </w:tr>
    </w:tbl>
    <w:p w14:paraId="74180953" w14:textId="77777777" w:rsidR="005D3816" w:rsidRDefault="005D3816" w:rsidP="005D3816">
      <w:pPr>
        <w:spacing w:after="0" w:line="276" w:lineRule="auto"/>
        <w:contextualSpacing/>
        <w:rPr>
          <w:rFonts w:ascii="Verdana" w:eastAsia="Calibri" w:hAnsi="Verdana" w:cs="Times New Roman"/>
          <w:b/>
          <w:bCs/>
          <w:lang w:val="es-ES"/>
        </w:rPr>
      </w:pPr>
    </w:p>
    <w:p w14:paraId="592AAADD" w14:textId="77777777" w:rsidR="005D3816" w:rsidRPr="0060163E" w:rsidRDefault="005D3816" w:rsidP="005D3816">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III. </w:t>
      </w:r>
      <w:r w:rsidRPr="0060163E">
        <w:rPr>
          <w:rFonts w:ascii="Verdana" w:eastAsia="Calibri" w:hAnsi="Verdana" w:cs="Times New Roman"/>
          <w:b/>
          <w:bCs/>
          <w:lang w:val="es-ES"/>
        </w:rPr>
        <w:t>Razones de la respuesta:</w:t>
      </w:r>
    </w:p>
    <w:p w14:paraId="54E9C7E9" w14:textId="77777777" w:rsidR="005D3816" w:rsidRPr="0060163E" w:rsidRDefault="005D3816" w:rsidP="005D3816">
      <w:pPr>
        <w:spacing w:after="0" w:line="276" w:lineRule="auto"/>
        <w:rPr>
          <w:rFonts w:ascii="Verdana" w:eastAsia="Calibri" w:hAnsi="Verdana" w:cs="Times New Roman"/>
          <w:b/>
          <w:bCs/>
          <w:lang w:val="es-ES"/>
        </w:rPr>
      </w:pPr>
    </w:p>
    <w:p w14:paraId="27A71781" w14:textId="77777777" w:rsidR="005D3816" w:rsidRPr="0060163E" w:rsidRDefault="005D3816" w:rsidP="005D3816">
      <w:pPr>
        <w:spacing w:after="0" w:line="276" w:lineRule="auto"/>
        <w:jc w:val="both"/>
        <w:rPr>
          <w:rFonts w:ascii="Verdana" w:eastAsia="Calibri" w:hAnsi="Verdana" w:cs="Arial"/>
          <w:lang w:val="es-ES"/>
        </w:rPr>
      </w:pPr>
      <w:r w:rsidRPr="0060163E">
        <w:rPr>
          <w:rFonts w:ascii="Verdana" w:eastAsia="Calibri" w:hAnsi="Verdana" w:cs="Arial"/>
          <w:lang w:val="es-ES"/>
        </w:rPr>
        <w:t xml:space="preserve">Lo anterior se sustenta en las siguientes consideraciones: </w:t>
      </w:r>
    </w:p>
    <w:p w14:paraId="503D6BE1" w14:textId="77777777" w:rsidR="005D3816" w:rsidRPr="0060163E" w:rsidRDefault="005D3816" w:rsidP="005D3816">
      <w:pPr>
        <w:spacing w:after="0" w:line="276" w:lineRule="auto"/>
        <w:jc w:val="both"/>
        <w:rPr>
          <w:rFonts w:ascii="Verdana" w:eastAsia="Calibri" w:hAnsi="Verdana" w:cs="Arial"/>
          <w:lang w:val="es-MX"/>
        </w:rPr>
      </w:pPr>
    </w:p>
    <w:p w14:paraId="5F608388" w14:textId="77777777" w:rsidR="005D3816" w:rsidRDefault="005D3816" w:rsidP="005D3816">
      <w:pPr>
        <w:spacing w:after="0" w:line="276" w:lineRule="auto"/>
        <w:jc w:val="both"/>
        <w:rPr>
          <w:rFonts w:ascii="Verdana" w:eastAsia="Calibri" w:hAnsi="Verdana" w:cs="Arial"/>
          <w:lang w:val="es-MX"/>
        </w:rPr>
      </w:pPr>
      <w:r w:rsidRPr="0060163E">
        <w:rPr>
          <w:rFonts w:ascii="Verdana" w:eastAsia="Calibri" w:hAnsi="Verdana" w:cs="Arial"/>
          <w:lang w:val="es-MX"/>
        </w:rPr>
        <w:t>i) Las inhabilidades son circunstancias establecidas por la Constitución o la ley que impiden que personas naturales o jurídicas sean elegidas o d</w:t>
      </w:r>
      <w:r>
        <w:rPr>
          <w:rFonts w:ascii="Verdana" w:eastAsia="Calibri" w:hAnsi="Verdana" w:cs="Arial"/>
          <w:lang w:val="es-MX"/>
        </w:rPr>
        <w:t xml:space="preserve">esignadas en un cargo público, </w:t>
      </w:r>
      <w:r w:rsidRPr="0060163E">
        <w:rPr>
          <w:rFonts w:ascii="Verdana" w:eastAsia="Calibri" w:hAnsi="Verdana" w:cs="Arial"/>
          <w:lang w:val="es-MX"/>
        </w:rPr>
        <w:t>celebren contratos con el Estado</w:t>
      </w:r>
      <w:r>
        <w:rPr>
          <w:rFonts w:ascii="Verdana" w:eastAsia="Calibri" w:hAnsi="Verdana" w:cs="Arial"/>
          <w:lang w:val="es-MX"/>
        </w:rPr>
        <w:t xml:space="preserve">, o no puedan ejercer una </w:t>
      </w:r>
      <w:r>
        <w:rPr>
          <w:rFonts w:ascii="Verdana" w:eastAsia="Calibri" w:hAnsi="Verdana" w:cs="Arial"/>
          <w:lang w:val="es-MX"/>
        </w:rPr>
        <w:lastRenderedPageBreak/>
        <w:t>profesión</w:t>
      </w:r>
      <w:r w:rsidRPr="0060163E">
        <w:rPr>
          <w:rFonts w:ascii="Verdana" w:eastAsia="Calibri" w:hAnsi="Verdana" w:cs="Arial"/>
          <w:lang w:val="es-MX"/>
        </w:rPr>
        <w:t xml:space="preserve">, con el objetivo de garantizar la idoneidad, imparcialidad, probidad, transparencia y moralidad de la función pública, garantizando el interés general. </w:t>
      </w:r>
      <w:r>
        <w:rPr>
          <w:rFonts w:ascii="Verdana" w:eastAsia="Calibri" w:hAnsi="Verdana" w:cs="Arial"/>
          <w:lang w:val="es-MX"/>
        </w:rPr>
        <w:t xml:space="preserve">De igual modo, en torno a la incompatibilidad, la Corte Constitucional ha señalado: </w:t>
      </w:r>
    </w:p>
    <w:p w14:paraId="14A2EEB9" w14:textId="77777777" w:rsidR="005D3816" w:rsidRDefault="005D3816" w:rsidP="005D3816">
      <w:pPr>
        <w:spacing w:after="0" w:line="276" w:lineRule="auto"/>
        <w:jc w:val="both"/>
        <w:rPr>
          <w:rFonts w:ascii="Verdana" w:eastAsia="Calibri" w:hAnsi="Verdana" w:cs="Arial"/>
          <w:lang w:val="es-MX"/>
        </w:rPr>
      </w:pPr>
    </w:p>
    <w:p w14:paraId="49ACDB6A" w14:textId="77777777" w:rsidR="005D3816" w:rsidRDefault="005D3816" w:rsidP="005D3816">
      <w:pPr>
        <w:spacing w:after="0" w:line="240" w:lineRule="auto"/>
        <w:ind w:left="709" w:right="709"/>
        <w:jc w:val="both"/>
        <w:rPr>
          <w:rFonts w:ascii="Verdana" w:eastAsia="Calibri" w:hAnsi="Verdana" w:cs="Arial"/>
          <w:bCs/>
          <w:iCs/>
          <w:sz w:val="21"/>
          <w:szCs w:val="21"/>
          <w:lang w:val="es-ES"/>
        </w:rPr>
      </w:pPr>
      <w:r w:rsidRPr="000B4D9F">
        <w:rPr>
          <w:rFonts w:ascii="Verdana" w:eastAsia="Calibri" w:hAnsi="Verdana" w:cs="Arial"/>
          <w:sz w:val="21"/>
          <w:szCs w:val="21"/>
          <w:lang w:val="es-MX"/>
        </w:rPr>
        <w:t xml:space="preserve"> </w:t>
      </w:r>
      <w:r w:rsidRPr="000B4D9F">
        <w:rPr>
          <w:rFonts w:ascii="Verdana" w:eastAsia="Calibri" w:hAnsi="Verdana" w:cs="Arial"/>
          <w:bCs/>
          <w:iCs/>
          <w:sz w:val="21"/>
          <w:szCs w:val="21"/>
          <w:lang w:val="es-ES"/>
        </w:rPr>
        <w:t>“[…] una prohibición dirigida al titular de una función pública a quien, por ese hecho, se le impide ocuparse de ciertas actividades o ejercer, simultáneamente, las competencias propias de la función que desempeña y las correspondientes a otros cargos o empleos, en guarda del interés superior que puede verse afectado por una indebida acumulación de funciones o por la confluencia de intereses poco conciliables y capaces, en todo caso, de afectar la imparcialidad y la independencia que deben guiar las actuaciones de quien ejerce la autoridad en nombre del Estado”</w:t>
      </w:r>
      <w:r w:rsidRPr="000B4D9F">
        <w:rPr>
          <w:rFonts w:ascii="Verdana" w:eastAsia="Calibri" w:hAnsi="Verdana" w:cs="Arial"/>
          <w:bCs/>
          <w:iCs/>
          <w:sz w:val="21"/>
          <w:szCs w:val="21"/>
          <w:vertAlign w:val="superscript"/>
          <w:lang w:val="es-ES"/>
        </w:rPr>
        <w:footnoteReference w:id="2"/>
      </w:r>
      <w:r w:rsidRPr="000B4D9F">
        <w:rPr>
          <w:rFonts w:ascii="Verdana" w:eastAsia="Calibri" w:hAnsi="Verdana" w:cs="Arial"/>
          <w:bCs/>
          <w:iCs/>
          <w:sz w:val="21"/>
          <w:szCs w:val="21"/>
          <w:lang w:val="es-ES"/>
        </w:rPr>
        <w:t>.</w:t>
      </w:r>
    </w:p>
    <w:p w14:paraId="076A51CB" w14:textId="77777777" w:rsidR="005D3816" w:rsidRPr="000B4D9F" w:rsidRDefault="005D3816" w:rsidP="005D3816">
      <w:pPr>
        <w:spacing w:after="0" w:line="240" w:lineRule="auto"/>
        <w:ind w:left="709" w:right="709"/>
        <w:jc w:val="both"/>
        <w:rPr>
          <w:rFonts w:ascii="Verdana" w:eastAsia="Calibri" w:hAnsi="Verdana" w:cs="Arial"/>
          <w:bCs/>
          <w:iCs/>
          <w:sz w:val="21"/>
          <w:szCs w:val="21"/>
          <w:lang w:val="es-ES_tradnl"/>
        </w:rPr>
      </w:pPr>
    </w:p>
    <w:p w14:paraId="14D09BE3" w14:textId="77777777" w:rsidR="005D3816" w:rsidRDefault="005D3816" w:rsidP="005D3816">
      <w:pPr>
        <w:spacing w:after="120" w:line="276" w:lineRule="auto"/>
        <w:ind w:firstLine="709"/>
        <w:jc w:val="both"/>
        <w:rPr>
          <w:rFonts w:ascii="Verdana" w:eastAsia="Calibri" w:hAnsi="Verdana" w:cs="Arial"/>
          <w:lang w:val="es-MX"/>
        </w:rPr>
      </w:pPr>
      <w:r>
        <w:rPr>
          <w:rFonts w:ascii="Verdana" w:eastAsia="Calibri" w:hAnsi="Verdana" w:cs="Arial"/>
          <w:lang w:val="es-MX"/>
        </w:rPr>
        <w:t>Las inhabilidades e incompatibilidades pueden enfocarse en varios asuntos: en primer lugar, se encuentran las inhabilidades e incompatibilidades que impiden que u</w:t>
      </w:r>
      <w:proofErr w:type="spellStart"/>
      <w:r w:rsidRPr="007218AE">
        <w:rPr>
          <w:rFonts w:ascii="Verdana" w:eastAsia="Calibri" w:hAnsi="Verdana" w:cs="Arial"/>
        </w:rPr>
        <w:t>na</w:t>
      </w:r>
      <w:proofErr w:type="spellEnd"/>
      <w:r w:rsidRPr="007218AE">
        <w:rPr>
          <w:rFonts w:ascii="Verdana" w:eastAsia="Calibri" w:hAnsi="Verdana" w:cs="Arial"/>
        </w:rPr>
        <w:t xml:space="preserve"> persona sea elegida, designada para un cargo público, como también en ciertos </w:t>
      </w:r>
      <w:r>
        <w:rPr>
          <w:rFonts w:ascii="Verdana" w:eastAsia="Calibri" w:hAnsi="Verdana" w:cs="Arial"/>
        </w:rPr>
        <w:t xml:space="preserve">eventos </w:t>
      </w:r>
      <w:r w:rsidRPr="007218AE">
        <w:rPr>
          <w:rFonts w:ascii="Verdana" w:eastAsia="Calibri" w:hAnsi="Verdana" w:cs="Arial"/>
        </w:rPr>
        <w:t xml:space="preserve">impiden que la persona </w:t>
      </w:r>
      <w:r>
        <w:rPr>
          <w:rFonts w:ascii="Verdana" w:eastAsia="Calibri" w:hAnsi="Verdana" w:cs="Arial"/>
        </w:rPr>
        <w:t xml:space="preserve">se encuentre </w:t>
      </w:r>
      <w:r w:rsidRPr="007218AE">
        <w:rPr>
          <w:rFonts w:ascii="Verdana" w:eastAsia="Calibri" w:hAnsi="Verdana" w:cs="Arial"/>
        </w:rPr>
        <w:t>vinculada a la f</w:t>
      </w:r>
      <w:r>
        <w:rPr>
          <w:rFonts w:ascii="Verdana" w:eastAsia="Calibri" w:hAnsi="Verdana" w:cs="Arial"/>
        </w:rPr>
        <w:t xml:space="preserve">unción pública continúe en ella; en segundo lugar, se hallan las inhabilidades e incompatibilidades para el ejercicio de una profesión, las cuales se constituyen </w:t>
      </w:r>
      <w:r>
        <w:rPr>
          <w:rFonts w:ascii="Verdana" w:eastAsia="Calibri" w:hAnsi="Verdana" w:cs="Arial"/>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De acuerdo a lo expuesto, se señala que la Agencia Nacional de Contratación Pública es competente para resolver consultas sobre normas del sistema de compras y contratación públicas que establezca inhabilidades e incompatibilidades para contratar con el Estado. </w:t>
      </w:r>
    </w:p>
    <w:p w14:paraId="21F8FD5A" w14:textId="77777777" w:rsidR="005D3816" w:rsidRPr="0060163E" w:rsidRDefault="005D3816" w:rsidP="005D3816">
      <w:pPr>
        <w:spacing w:after="120" w:line="276" w:lineRule="auto"/>
        <w:ind w:firstLine="709"/>
        <w:jc w:val="both"/>
        <w:rPr>
          <w:rFonts w:ascii="Verdana" w:eastAsia="Calibri" w:hAnsi="Verdana" w:cs="Arial"/>
          <w:lang w:val="es-MX"/>
        </w:rPr>
      </w:pPr>
      <w:r>
        <w:rPr>
          <w:rFonts w:ascii="Verdana" w:eastAsia="Calibri" w:hAnsi="Verdana" w:cs="Arial"/>
          <w:lang w:val="es-MX"/>
        </w:rPr>
        <w:t>Para ello, hay que precisar que, el</w:t>
      </w:r>
      <w:r w:rsidRPr="0060163E">
        <w:rPr>
          <w:rFonts w:ascii="Verdana" w:eastAsia="Calibri" w:hAnsi="Verdana" w:cs="Arial"/>
          <w:lang w:val="es-MX"/>
        </w:rPr>
        <w:t xml:space="preserve">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w:t>
      </w:r>
      <w:r w:rsidRPr="0060163E">
        <w:rPr>
          <w:rFonts w:ascii="Verdana" w:eastAsia="Calibri" w:hAnsi="Verdana" w:cs="Arial"/>
          <w:lang w:val="es-MX"/>
        </w:rPr>
        <w:lastRenderedPageBreak/>
        <w:t>entidades del Estado y obedecen a la falta de aptitud o a la carencia de una cualidad, calidad o requisito en el sujeto incapacitado quien por esta razón no podrá hacer parte de una relación contractual”</w:t>
      </w:r>
      <w:r w:rsidRPr="0060163E">
        <w:rPr>
          <w:rFonts w:ascii="Verdana" w:eastAsia="Calibri" w:hAnsi="Verdana" w:cs="Arial"/>
          <w:vertAlign w:val="superscript"/>
          <w:lang w:val="es-MX"/>
        </w:rPr>
        <w:footnoteReference w:id="3"/>
      </w:r>
    </w:p>
    <w:p w14:paraId="681C2DC6" w14:textId="77777777" w:rsidR="005D3816" w:rsidRPr="0060163E" w:rsidRDefault="005D3816" w:rsidP="005D3816">
      <w:pPr>
        <w:spacing w:before="120" w:after="0" w:line="276" w:lineRule="auto"/>
        <w:ind w:firstLine="709"/>
        <w:jc w:val="both"/>
        <w:rPr>
          <w:rFonts w:ascii="Verdana" w:eastAsia="Calibri" w:hAnsi="Verdana" w:cs="Arial"/>
          <w:lang w:val="es-MX"/>
        </w:rPr>
      </w:pPr>
      <w:r w:rsidRPr="0060163E">
        <w:rPr>
          <w:rFonts w:ascii="Verdana" w:eastAsia="Calibri" w:hAnsi="Verdana" w:cs="Arial"/>
          <w:lang w:val="es-MX"/>
        </w:rPr>
        <w:t>La regulación de las inhabilidades que implican limitaciones a la capacidad jurídica para contratar, que desarrolla los principios de la función administrativa consagrados en el artículo 209 de la Constitución Política, con especial énfasis</w:t>
      </w:r>
      <w:r>
        <w:rPr>
          <w:rFonts w:ascii="Verdana" w:eastAsia="Calibri" w:hAnsi="Verdana" w:cs="Arial"/>
          <w:lang w:val="es-MX"/>
        </w:rPr>
        <w:t>,</w:t>
      </w:r>
      <w:r w:rsidRPr="0060163E">
        <w:rPr>
          <w:rFonts w:ascii="Verdana" w:eastAsia="Calibri" w:hAnsi="Verdana" w:cs="Arial"/>
          <w:lang w:val="es-MX"/>
        </w:rPr>
        <w:t xml:space="preserve"> el de moralidad. Así lo entiende el Consejo de Estado: </w:t>
      </w:r>
    </w:p>
    <w:p w14:paraId="1C14FB18" w14:textId="77777777" w:rsidR="005D3816" w:rsidRPr="0060163E" w:rsidRDefault="005D3816" w:rsidP="005D3816">
      <w:pPr>
        <w:spacing w:after="0" w:line="276" w:lineRule="auto"/>
        <w:jc w:val="both"/>
        <w:rPr>
          <w:rFonts w:ascii="Verdana" w:eastAsia="Calibri" w:hAnsi="Verdana" w:cs="Arial"/>
          <w:lang w:val="es-MX"/>
        </w:rPr>
      </w:pPr>
    </w:p>
    <w:p w14:paraId="6BF18C5A" w14:textId="77777777" w:rsidR="005D3816" w:rsidRPr="004218E1" w:rsidRDefault="005D3816" w:rsidP="005D3816">
      <w:pPr>
        <w:shd w:val="clear" w:color="auto" w:fill="FFFFFF"/>
        <w:spacing w:after="0" w:line="240" w:lineRule="auto"/>
        <w:ind w:left="709" w:right="709"/>
        <w:jc w:val="both"/>
        <w:rPr>
          <w:rFonts w:ascii="Verdana" w:eastAsia="Calibri" w:hAnsi="Verdana" w:cs="Arial"/>
          <w:sz w:val="21"/>
          <w:szCs w:val="21"/>
          <w:lang w:val="es-ES"/>
        </w:rPr>
      </w:pPr>
      <w:r w:rsidRPr="004218E1">
        <w:rPr>
          <w:rFonts w:ascii="Verdana" w:eastAsia="Calibri" w:hAnsi="Verdana" w:cs="Arial"/>
          <w:sz w:val="21"/>
          <w:szCs w:val="21"/>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2CA24139" w14:textId="77777777" w:rsidR="005D3816" w:rsidRPr="004218E1" w:rsidRDefault="005D3816" w:rsidP="005D3816">
      <w:pPr>
        <w:shd w:val="clear" w:color="auto" w:fill="FFFFFF"/>
        <w:spacing w:after="0" w:line="240" w:lineRule="auto"/>
        <w:ind w:left="709" w:right="709"/>
        <w:jc w:val="both"/>
        <w:rPr>
          <w:rFonts w:ascii="Verdana" w:eastAsia="Calibri" w:hAnsi="Verdana" w:cs="Arial"/>
          <w:sz w:val="21"/>
          <w:szCs w:val="21"/>
          <w:lang w:val="es-ES"/>
        </w:rPr>
      </w:pPr>
    </w:p>
    <w:p w14:paraId="67ACEA2B" w14:textId="77777777" w:rsidR="005D3816" w:rsidRPr="004218E1" w:rsidRDefault="005D3816" w:rsidP="005D3816">
      <w:pPr>
        <w:shd w:val="clear" w:color="auto" w:fill="FFFFFF"/>
        <w:spacing w:after="0" w:line="240" w:lineRule="auto"/>
        <w:ind w:left="709" w:right="709"/>
        <w:jc w:val="both"/>
        <w:rPr>
          <w:rFonts w:ascii="Verdana" w:eastAsia="Calibri" w:hAnsi="Verdana" w:cs="Arial"/>
          <w:sz w:val="21"/>
          <w:szCs w:val="21"/>
          <w:lang w:val="es-ES"/>
        </w:rPr>
      </w:pPr>
      <w:r w:rsidRPr="004218E1">
        <w:rPr>
          <w:rFonts w:ascii="Verdana" w:eastAsia="Calibri" w:hAnsi="Verdana" w:cs="Arial"/>
          <w:sz w:val="21"/>
          <w:szCs w:val="21"/>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4218E1">
        <w:rPr>
          <w:rFonts w:ascii="Verdana" w:eastAsia="Calibri" w:hAnsi="Verdana" w:cs="Arial"/>
          <w:sz w:val="21"/>
          <w:szCs w:val="21"/>
          <w:vertAlign w:val="superscript"/>
          <w:lang w:val="es-ES"/>
        </w:rPr>
        <w:footnoteReference w:id="4"/>
      </w:r>
    </w:p>
    <w:p w14:paraId="6FA051E1" w14:textId="77777777" w:rsidR="005D3816" w:rsidRPr="0060163E" w:rsidRDefault="005D3816" w:rsidP="005D3816">
      <w:pPr>
        <w:shd w:val="clear" w:color="auto" w:fill="FFFFFF"/>
        <w:spacing w:after="0" w:line="240" w:lineRule="auto"/>
        <w:ind w:left="709" w:right="709"/>
        <w:jc w:val="both"/>
        <w:rPr>
          <w:rFonts w:ascii="Verdana" w:eastAsia="Calibri" w:hAnsi="Verdana" w:cs="Arial"/>
          <w:lang w:val="es-ES"/>
        </w:rPr>
      </w:pPr>
    </w:p>
    <w:p w14:paraId="747211E8" w14:textId="77777777" w:rsidR="005D3816" w:rsidRPr="0060163E" w:rsidRDefault="005D3816" w:rsidP="005D3816">
      <w:pPr>
        <w:spacing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justificarse </w:t>
      </w:r>
      <w:r w:rsidRPr="0060163E">
        <w:rPr>
          <w:rFonts w:ascii="Verdana" w:eastAsia="Calibri" w:hAnsi="Verdana" w:cs="Arial"/>
          <w:lang w:val="es-MX"/>
        </w:rPr>
        <w:lastRenderedPageBreak/>
        <w:t xml:space="preserve">en la salvaguarda del interés general y que su interpretación es taxativa y restrictiva: </w:t>
      </w:r>
    </w:p>
    <w:p w14:paraId="5725E425" w14:textId="77777777" w:rsidR="005D3816" w:rsidRPr="004218E1" w:rsidRDefault="005D3816" w:rsidP="005D3816">
      <w:pPr>
        <w:spacing w:after="0" w:line="276" w:lineRule="auto"/>
        <w:rPr>
          <w:rFonts w:ascii="Verdana" w:eastAsia="Times New Roman" w:hAnsi="Verdana" w:cs="Arial"/>
          <w:sz w:val="21"/>
          <w:szCs w:val="21"/>
          <w:shd w:val="clear" w:color="auto" w:fill="FFFFFF"/>
          <w:lang w:eastAsia="es-ES_tradnl"/>
        </w:rPr>
      </w:pPr>
    </w:p>
    <w:p w14:paraId="63AE4AD0" w14:textId="77777777" w:rsidR="005D3816" w:rsidRPr="004218E1" w:rsidRDefault="005D3816" w:rsidP="005D3816">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14:paraId="3078F291" w14:textId="77777777" w:rsidR="005D3816" w:rsidRPr="004218E1" w:rsidRDefault="005D3816" w:rsidP="005D3816">
      <w:pPr>
        <w:spacing w:after="0" w:line="240" w:lineRule="auto"/>
        <w:ind w:left="709" w:right="709"/>
        <w:jc w:val="both"/>
        <w:rPr>
          <w:rFonts w:ascii="Verdana" w:eastAsia="Calibri" w:hAnsi="Verdana" w:cs="Arial"/>
          <w:sz w:val="21"/>
          <w:szCs w:val="21"/>
          <w:lang w:val="es-MX"/>
        </w:rPr>
      </w:pPr>
    </w:p>
    <w:p w14:paraId="2AFE78D2" w14:textId="77777777" w:rsidR="005D3816" w:rsidRPr="004218E1" w:rsidRDefault="005D3816" w:rsidP="005D3816">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4218E1">
        <w:rPr>
          <w:rFonts w:ascii="Verdana" w:eastAsia="Calibri" w:hAnsi="Verdana" w:cs="Arial"/>
          <w:sz w:val="21"/>
          <w:szCs w:val="21"/>
          <w:vertAlign w:val="superscript"/>
          <w:lang w:val="es-MX"/>
        </w:rPr>
        <w:footnoteReference w:id="5"/>
      </w:r>
      <w:r w:rsidRPr="004218E1">
        <w:rPr>
          <w:rFonts w:ascii="Verdana" w:eastAsia="Calibri" w:hAnsi="Verdana" w:cs="Arial"/>
          <w:sz w:val="21"/>
          <w:szCs w:val="21"/>
          <w:lang w:val="es-MX"/>
        </w:rPr>
        <w:t xml:space="preserve">. </w:t>
      </w:r>
    </w:p>
    <w:p w14:paraId="7F6DE973" w14:textId="77777777" w:rsidR="005D3816" w:rsidRPr="0060163E" w:rsidRDefault="005D3816" w:rsidP="005D3816">
      <w:pPr>
        <w:spacing w:after="0" w:line="276" w:lineRule="auto"/>
        <w:ind w:right="709"/>
        <w:jc w:val="both"/>
        <w:rPr>
          <w:rFonts w:ascii="Verdana" w:eastAsia="Calibri" w:hAnsi="Verdana" w:cs="Arial"/>
          <w:lang w:val="es-MX"/>
        </w:rPr>
      </w:pPr>
    </w:p>
    <w:p w14:paraId="36A1E6D3" w14:textId="77777777" w:rsidR="005D3816" w:rsidRPr="0060163E" w:rsidRDefault="005D3816" w:rsidP="005D3816">
      <w:pPr>
        <w:spacing w:after="0" w:line="276" w:lineRule="auto"/>
        <w:ind w:firstLine="709"/>
        <w:jc w:val="both"/>
        <w:rPr>
          <w:rFonts w:ascii="Verdana" w:eastAsia="Calibri" w:hAnsi="Verdana" w:cs="Arial"/>
          <w:lang w:val="es-MX"/>
        </w:rPr>
      </w:pPr>
      <w:r w:rsidRPr="0060163E">
        <w:rPr>
          <w:rFonts w:ascii="Verdana" w:eastAsia="Calibri" w:hAnsi="Verdana" w:cs="Arial"/>
          <w:lang w:val="es-MX"/>
        </w:rPr>
        <w:t>Además, la Corte Constitucional explica que el legislador tiene la competencia para determinar qué hechos o situaciones generan inhabilidad para 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p>
    <w:p w14:paraId="7C2104D7" w14:textId="77777777" w:rsidR="005D3816" w:rsidRPr="0060163E" w:rsidRDefault="005D3816" w:rsidP="005D3816">
      <w:pPr>
        <w:tabs>
          <w:tab w:val="left" w:pos="1532"/>
        </w:tabs>
        <w:spacing w:after="0" w:line="276" w:lineRule="auto"/>
        <w:jc w:val="both"/>
        <w:rPr>
          <w:rFonts w:ascii="Verdana" w:eastAsia="Calibri" w:hAnsi="Verdana" w:cs="Arial"/>
          <w:lang w:val="es-MX"/>
        </w:rPr>
      </w:pPr>
    </w:p>
    <w:p w14:paraId="19C3A44B" w14:textId="77777777" w:rsidR="005D3816" w:rsidRPr="004218E1" w:rsidRDefault="005D3816" w:rsidP="005D3816">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w:t>
      </w:r>
      <w:r w:rsidRPr="004218E1">
        <w:rPr>
          <w:rFonts w:ascii="Verdana" w:eastAsia="Calibri" w:hAnsi="Verdana" w:cs="Arial"/>
          <w:sz w:val="21"/>
          <w:szCs w:val="21"/>
          <w:lang w:val="es-MX"/>
        </w:rPr>
        <w:lastRenderedPageBreak/>
        <w:t xml:space="preserve">pertenece al dominio de la esfera estatal y pública, dentro de la cual no rige el principio pro </w:t>
      </w:r>
      <w:proofErr w:type="spellStart"/>
      <w:r w:rsidRPr="004218E1">
        <w:rPr>
          <w:rFonts w:ascii="Verdana" w:eastAsia="Calibri" w:hAnsi="Verdana" w:cs="Arial"/>
          <w:sz w:val="21"/>
          <w:szCs w:val="21"/>
          <w:lang w:val="es-MX"/>
        </w:rPr>
        <w:t>libertate</w:t>
      </w:r>
      <w:proofErr w:type="spellEnd"/>
      <w:r w:rsidRPr="004218E1">
        <w:rPr>
          <w:rFonts w:ascii="Verdana" w:eastAsia="Calibri" w:hAnsi="Verdana" w:cs="Arial"/>
          <w:sz w:val="21"/>
          <w:szCs w:val="21"/>
          <w:lang w:val="es-MX"/>
        </w:rPr>
        <w:t xml:space="preserve">, sino el de legalidad, el que ordena que la función pública debe someterse estrictamente a lo que disponga la Constitución y la ley (CP art. 6). </w:t>
      </w:r>
    </w:p>
    <w:p w14:paraId="01829237" w14:textId="77777777" w:rsidR="005D3816" w:rsidRPr="004218E1" w:rsidRDefault="005D3816" w:rsidP="005D3816">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 xml:space="preserve">[…] </w:t>
      </w:r>
    </w:p>
    <w:p w14:paraId="092FE79B" w14:textId="77777777" w:rsidR="005D3816" w:rsidRPr="004218E1" w:rsidRDefault="005D3816" w:rsidP="005D3816">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4218E1">
        <w:rPr>
          <w:rFonts w:ascii="Verdana" w:eastAsia="Calibri" w:hAnsi="Verdana" w:cs="Arial"/>
          <w:sz w:val="21"/>
          <w:szCs w:val="21"/>
          <w:vertAlign w:val="superscript"/>
          <w:lang w:val="es-MX"/>
        </w:rPr>
        <w:footnoteReference w:id="6"/>
      </w:r>
      <w:r w:rsidRPr="004218E1">
        <w:rPr>
          <w:rFonts w:ascii="Verdana" w:eastAsia="Calibri" w:hAnsi="Verdana" w:cs="Arial"/>
          <w:sz w:val="21"/>
          <w:szCs w:val="21"/>
          <w:lang w:val="es-MX"/>
        </w:rPr>
        <w:t>.</w:t>
      </w:r>
    </w:p>
    <w:p w14:paraId="0DD4CB74" w14:textId="77777777" w:rsidR="005D3816" w:rsidRPr="0060163E" w:rsidRDefault="005D3816" w:rsidP="005D3816">
      <w:pPr>
        <w:spacing w:after="0" w:line="276" w:lineRule="auto"/>
        <w:ind w:left="709" w:right="709"/>
        <w:jc w:val="both"/>
        <w:rPr>
          <w:rFonts w:ascii="Verdana" w:eastAsia="Calibri" w:hAnsi="Verdana" w:cs="Arial"/>
          <w:lang w:val="es-MX"/>
        </w:rPr>
      </w:pPr>
    </w:p>
    <w:p w14:paraId="378DCB37" w14:textId="77777777" w:rsidR="005D3816" w:rsidRPr="0060163E" w:rsidRDefault="005D3816" w:rsidP="005D3816">
      <w:pPr>
        <w:spacing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Conviene también distinguir las fuentes de las inhabilidades, las cuales han sido clasificadas en dos (2) grupos: i) inhabilidades-sanción y </w:t>
      </w:r>
      <w:proofErr w:type="spellStart"/>
      <w:r w:rsidRPr="0060163E">
        <w:rPr>
          <w:rFonts w:ascii="Verdana" w:eastAsia="Calibri" w:hAnsi="Verdana" w:cs="Arial"/>
          <w:lang w:val="es-MX"/>
        </w:rPr>
        <w:t>ii</w:t>
      </w:r>
      <w:proofErr w:type="spellEnd"/>
      <w:r w:rsidRPr="0060163E">
        <w:rPr>
          <w:rFonts w:ascii="Verdana" w:eastAsia="Calibri" w:hAnsi="Verdana" w:cs="Arial"/>
          <w:lang w:val="es-MX"/>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60163E">
        <w:rPr>
          <w:rFonts w:ascii="Verdana" w:eastAsia="Calibri" w:hAnsi="Verdana" w:cs="Arial"/>
          <w:vertAlign w:val="superscript"/>
          <w:lang w:val="es-MX"/>
        </w:rPr>
        <w:footnoteReference w:id="7"/>
      </w:r>
      <w:r w:rsidRPr="0060163E">
        <w:rPr>
          <w:rFonts w:ascii="Verdana" w:eastAsia="Calibri" w:hAnsi="Verdana" w:cs="Arial"/>
          <w:lang w:val="es-MX"/>
        </w:rPr>
        <w:t>.</w:t>
      </w:r>
    </w:p>
    <w:p w14:paraId="55B9C34D" w14:textId="77777777" w:rsidR="005D3816" w:rsidRPr="0060163E" w:rsidRDefault="005D3816" w:rsidP="005D3816">
      <w:pPr>
        <w:spacing w:before="120" w:after="120" w:line="276" w:lineRule="auto"/>
        <w:ind w:firstLine="708"/>
        <w:jc w:val="both"/>
        <w:rPr>
          <w:rFonts w:ascii="Verdana" w:eastAsia="Calibri" w:hAnsi="Verdana" w:cs="Arial"/>
          <w:lang w:val="es-MX"/>
        </w:rPr>
      </w:pPr>
      <w:r w:rsidRPr="0060163E">
        <w:rPr>
          <w:rFonts w:ascii="Verdana" w:eastAsia="Calibri" w:hAnsi="Verdana" w:cs="Arial"/>
          <w:lang w:val="es-MX"/>
        </w:rPr>
        <w:t>A manera de ejemplo, en materia contractual, los literales c), d) y j) del numeral 1 del artículo 8 de la Ley 80 de 1993</w:t>
      </w:r>
      <w:r w:rsidRPr="0060163E">
        <w:rPr>
          <w:rFonts w:ascii="Verdana" w:eastAsia="Calibri" w:hAnsi="Verdana" w:cs="Arial"/>
          <w:vertAlign w:val="superscript"/>
          <w:lang w:val="es-MX"/>
        </w:rPr>
        <w:footnoteReference w:id="8"/>
      </w:r>
      <w:r w:rsidRPr="0060163E">
        <w:rPr>
          <w:rFonts w:ascii="Verdana" w:eastAsia="Calibri" w:hAnsi="Verdana" w:cs="Arial"/>
          <w:lang w:val="es-MX"/>
        </w:rPr>
        <w:t xml:space="preserve"> establecen inhabilidades-sanción, </w:t>
      </w:r>
      <w:r w:rsidRPr="0060163E">
        <w:rPr>
          <w:rFonts w:ascii="Verdana" w:eastAsia="Calibri" w:hAnsi="Verdana" w:cs="Arial"/>
          <w:lang w:val="es-MX"/>
        </w:rPr>
        <w:lastRenderedPageBreak/>
        <w:t xml:space="preserve">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w:t>
      </w:r>
      <w:r w:rsidRPr="0060163E">
        <w:rPr>
          <w:rFonts w:ascii="Verdana" w:eastAsia="Calibri" w:hAnsi="Verdana" w:cs="Arial"/>
          <w:lang w:val="es-MX"/>
        </w:rPr>
        <w:lastRenderedPageBreak/>
        <w:t xml:space="preserve">de una falta o un delito que dio lugar a una declaratoria por parte de la Administración o el juez, sino de aspectos propios de la persona, derivados, por ejemplo, del parentesco o la afinidad o de la condición de servidor público. </w:t>
      </w:r>
    </w:p>
    <w:p w14:paraId="528639B0" w14:textId="77777777" w:rsidR="005D3816" w:rsidRPr="0060163E" w:rsidRDefault="005D3816" w:rsidP="005D3816">
      <w:pPr>
        <w:spacing w:before="120"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p>
    <w:p w14:paraId="025FF12E" w14:textId="77777777" w:rsidR="005D3816" w:rsidRPr="0060163E" w:rsidRDefault="005D3816" w:rsidP="005D3816">
      <w:pPr>
        <w:spacing w:before="120"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60163E">
        <w:rPr>
          <w:rFonts w:ascii="Verdana" w:eastAsia="Calibri" w:hAnsi="Verdana" w:cs="Arial"/>
          <w:i/>
          <w:iCs/>
          <w:lang w:val="es-ES_tradnl"/>
        </w:rPr>
        <w:t>restrictiva</w:t>
      </w:r>
      <w:r w:rsidRPr="0060163E">
        <w:rPr>
          <w:rFonts w:ascii="Verdana" w:eastAsia="Calibri" w:hAnsi="Verdana" w:cs="Arial"/>
          <w:i/>
          <w:iCs/>
          <w:vertAlign w:val="superscript"/>
          <w:lang w:val="es-ES_tradnl"/>
        </w:rPr>
        <w:footnoteReference w:id="9"/>
      </w:r>
      <w:r w:rsidRPr="0060163E">
        <w:rPr>
          <w:rFonts w:ascii="Verdana" w:eastAsia="Calibri" w:hAnsi="Verdana" w:cs="Arial"/>
          <w:i/>
          <w:iCs/>
          <w:lang w:val="es-ES_tradnl"/>
        </w:rPr>
        <w:t xml:space="preserve">, </w:t>
      </w:r>
      <w:r w:rsidRPr="0060163E">
        <w:rPr>
          <w:rFonts w:ascii="Verdana" w:eastAsia="Calibri" w:hAnsi="Verdana" w:cs="Arial"/>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35B415D4" w14:textId="77777777" w:rsidR="005D3816" w:rsidRPr="0060163E" w:rsidRDefault="005D3816" w:rsidP="005D3816">
      <w:pPr>
        <w:spacing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60163E">
        <w:rPr>
          <w:rFonts w:ascii="Verdana" w:eastAsia="Calibri" w:hAnsi="Verdana" w:cs="Arial"/>
          <w:vertAlign w:val="superscript"/>
          <w:lang w:val="es-ES_tradnl"/>
        </w:rPr>
        <w:footnoteReference w:id="10"/>
      </w:r>
      <w:r w:rsidRPr="0060163E">
        <w:rPr>
          <w:rFonts w:ascii="Verdana" w:eastAsia="Calibri" w:hAnsi="Verdana" w:cs="Arial"/>
          <w:lang w:val="es-ES_tradnl"/>
        </w:rPr>
        <w:t xml:space="preserve">. </w:t>
      </w:r>
    </w:p>
    <w:p w14:paraId="58B62E9F" w14:textId="77777777" w:rsidR="005D3816" w:rsidRPr="0060163E" w:rsidRDefault="005D3816" w:rsidP="005D3816">
      <w:pPr>
        <w:spacing w:after="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w:t>
      </w:r>
      <w:r w:rsidRPr="0060163E">
        <w:rPr>
          <w:rFonts w:ascii="Verdana" w:eastAsia="Calibri" w:hAnsi="Verdana" w:cs="Arial"/>
          <w:lang w:val="es-ES_tradnl"/>
        </w:rPr>
        <w:lastRenderedPageBreak/>
        <w:t>pueden hacer todo aquello que no les esté expresamente prohibido”</w:t>
      </w:r>
      <w:r w:rsidRPr="0060163E">
        <w:rPr>
          <w:rFonts w:ascii="Verdana" w:eastAsia="Calibri" w:hAnsi="Verdana" w:cs="Arial"/>
          <w:vertAlign w:val="superscript"/>
          <w:lang w:val="es-ES_tradnl"/>
        </w:rPr>
        <w:footnoteReference w:id="11"/>
      </w:r>
      <w:r w:rsidRPr="0060163E">
        <w:rPr>
          <w:rFonts w:ascii="Verdana" w:eastAsia="Calibri" w:hAnsi="Verdana" w:cs="Arial"/>
          <w:lang w:val="es-ES_tradnl"/>
        </w:rPr>
        <w:t>. En tal sentido, la Sección Tercera ha señalado que:</w:t>
      </w:r>
    </w:p>
    <w:p w14:paraId="60277AFA" w14:textId="77777777" w:rsidR="005D3816" w:rsidRPr="0060163E" w:rsidRDefault="005D3816" w:rsidP="005D3816">
      <w:pPr>
        <w:spacing w:after="0" w:line="276" w:lineRule="auto"/>
        <w:ind w:firstLine="709"/>
        <w:jc w:val="both"/>
        <w:rPr>
          <w:rFonts w:ascii="Verdana" w:eastAsia="Calibri" w:hAnsi="Verdana" w:cs="Arial"/>
          <w:lang w:val="es-ES_tradnl"/>
        </w:rPr>
      </w:pPr>
    </w:p>
    <w:p w14:paraId="65A5B444" w14:textId="77777777" w:rsidR="005D3816" w:rsidRPr="004218E1" w:rsidRDefault="005D3816" w:rsidP="005D3816">
      <w:pPr>
        <w:spacing w:after="0" w:line="240" w:lineRule="auto"/>
        <w:ind w:left="709" w:right="709"/>
        <w:jc w:val="both"/>
        <w:rPr>
          <w:rFonts w:ascii="Verdana" w:eastAsia="Calibri" w:hAnsi="Verdana" w:cs="Arial"/>
          <w:sz w:val="21"/>
          <w:szCs w:val="21"/>
          <w:lang w:val="es-ES_tradnl"/>
        </w:rPr>
      </w:pPr>
      <w:r w:rsidRPr="004218E1">
        <w:rPr>
          <w:rFonts w:ascii="Verdana" w:eastAsia="Calibri" w:hAnsi="Verdana" w:cs="Arial"/>
          <w:sz w:val="21"/>
          <w:szCs w:val="21"/>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4218E1">
        <w:rPr>
          <w:rFonts w:ascii="Verdana" w:eastAsia="Calibri" w:hAnsi="Verdana" w:cs="Arial"/>
          <w:sz w:val="21"/>
          <w:szCs w:val="21"/>
          <w:vertAlign w:val="superscript"/>
          <w:lang w:val="es-ES_tradnl"/>
        </w:rPr>
        <w:footnoteReference w:id="12"/>
      </w:r>
      <w:r w:rsidRPr="004218E1">
        <w:rPr>
          <w:rFonts w:ascii="Verdana" w:eastAsia="Calibri" w:hAnsi="Verdana" w:cs="Arial"/>
          <w:sz w:val="21"/>
          <w:szCs w:val="21"/>
          <w:lang w:val="es-ES_tradnl"/>
        </w:rPr>
        <w:t>.</w:t>
      </w:r>
    </w:p>
    <w:p w14:paraId="210180AD" w14:textId="77777777" w:rsidR="005D3816" w:rsidRPr="004218E1" w:rsidRDefault="005D3816" w:rsidP="005D3816">
      <w:pPr>
        <w:spacing w:after="0" w:line="240" w:lineRule="auto"/>
        <w:ind w:firstLine="709"/>
        <w:jc w:val="both"/>
        <w:rPr>
          <w:rFonts w:ascii="Verdana" w:eastAsia="Calibri" w:hAnsi="Verdana" w:cs="Arial"/>
          <w:sz w:val="21"/>
          <w:szCs w:val="21"/>
          <w:lang w:val="es-ES_tradnl"/>
        </w:rPr>
      </w:pPr>
    </w:p>
    <w:p w14:paraId="51B23CDF" w14:textId="77777777" w:rsidR="005D3816" w:rsidRPr="004218E1" w:rsidRDefault="005D3816" w:rsidP="005D3816">
      <w:pPr>
        <w:spacing w:after="0" w:line="240" w:lineRule="auto"/>
        <w:ind w:firstLine="709"/>
        <w:jc w:val="both"/>
        <w:rPr>
          <w:rFonts w:ascii="Verdana" w:eastAsia="Calibri" w:hAnsi="Verdana" w:cs="Arial"/>
          <w:sz w:val="21"/>
          <w:szCs w:val="21"/>
          <w:lang w:val="es-ES_tradnl"/>
        </w:rPr>
      </w:pPr>
      <w:r w:rsidRPr="004218E1">
        <w:rPr>
          <w:rFonts w:ascii="Verdana" w:eastAsia="Calibri" w:hAnsi="Verdana" w:cs="Arial"/>
          <w:sz w:val="21"/>
          <w:szCs w:val="21"/>
          <w:lang w:val="es-ES_tradnl"/>
        </w:rPr>
        <w:t>También ha dicho que:</w:t>
      </w:r>
    </w:p>
    <w:p w14:paraId="3DD6108D" w14:textId="77777777" w:rsidR="005D3816" w:rsidRPr="004218E1" w:rsidRDefault="005D3816" w:rsidP="005D3816">
      <w:pPr>
        <w:spacing w:after="0" w:line="240" w:lineRule="auto"/>
        <w:ind w:left="709" w:right="616"/>
        <w:jc w:val="both"/>
        <w:rPr>
          <w:rFonts w:ascii="Verdana" w:eastAsia="Calibri" w:hAnsi="Verdana" w:cs="Arial"/>
          <w:sz w:val="21"/>
          <w:szCs w:val="21"/>
          <w:lang w:val="es-ES"/>
        </w:rPr>
      </w:pPr>
      <w:r w:rsidRPr="004218E1">
        <w:rPr>
          <w:rFonts w:ascii="Verdana" w:eastAsia="Calibri" w:hAnsi="Verdana" w:cs="Arial"/>
          <w:sz w:val="21"/>
          <w:szCs w:val="21"/>
          <w:lang w:val="es-ES"/>
        </w:rPr>
        <w:t xml:space="preserve">[…] la aplicación de estos preceptos exige una interpretación restrictiva, dado que según el principio hermenéutico </w:t>
      </w:r>
      <w:r w:rsidRPr="004218E1">
        <w:rPr>
          <w:rFonts w:ascii="Verdana" w:eastAsia="Calibri" w:hAnsi="Verdana" w:cs="Arial"/>
          <w:i/>
          <w:iCs/>
          <w:sz w:val="21"/>
          <w:szCs w:val="21"/>
          <w:lang w:val="es-ES"/>
        </w:rPr>
        <w:t xml:space="preserve">pro </w:t>
      </w:r>
      <w:proofErr w:type="spellStart"/>
      <w:r w:rsidRPr="004218E1">
        <w:rPr>
          <w:rFonts w:ascii="Verdana" w:eastAsia="Calibri" w:hAnsi="Verdana" w:cs="Arial"/>
          <w:i/>
          <w:iCs/>
          <w:sz w:val="21"/>
          <w:szCs w:val="21"/>
          <w:lang w:val="es-ES"/>
        </w:rPr>
        <w:t>libertate</w:t>
      </w:r>
      <w:proofErr w:type="spellEnd"/>
      <w:r w:rsidRPr="004218E1">
        <w:rPr>
          <w:rFonts w:ascii="Verdana" w:eastAsia="Calibri" w:hAnsi="Verdana" w:cs="Arial"/>
          <w:sz w:val="21"/>
          <w:szCs w:val="21"/>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4218E1">
        <w:rPr>
          <w:rFonts w:ascii="Verdana" w:eastAsia="Calibri" w:hAnsi="Verdana" w:cs="Arial"/>
          <w:sz w:val="21"/>
          <w:szCs w:val="21"/>
          <w:vertAlign w:val="superscript"/>
          <w:lang w:val="es-ES"/>
        </w:rPr>
        <w:footnoteReference w:id="13"/>
      </w:r>
      <w:r w:rsidRPr="004218E1">
        <w:rPr>
          <w:rFonts w:ascii="Verdana" w:eastAsia="Calibri" w:hAnsi="Verdana" w:cs="Arial"/>
          <w:sz w:val="21"/>
          <w:szCs w:val="21"/>
          <w:lang w:val="es-ES"/>
        </w:rPr>
        <w:t>.</w:t>
      </w:r>
    </w:p>
    <w:p w14:paraId="5845CD62" w14:textId="77777777" w:rsidR="005D3816" w:rsidRPr="0060163E" w:rsidRDefault="005D3816" w:rsidP="005D3816">
      <w:pPr>
        <w:spacing w:after="0" w:line="276" w:lineRule="auto"/>
        <w:jc w:val="both"/>
        <w:rPr>
          <w:rFonts w:ascii="Verdana" w:eastAsia="Arial" w:hAnsi="Verdana" w:cs="Arial"/>
          <w:color w:val="000000"/>
          <w:lang w:val="es-ES_tradnl"/>
        </w:rPr>
      </w:pPr>
    </w:p>
    <w:p w14:paraId="08E5127B" w14:textId="77777777" w:rsidR="005D3816" w:rsidRPr="0060163E" w:rsidRDefault="005D3816" w:rsidP="005D3816">
      <w:pPr>
        <w:spacing w:after="120" w:line="276" w:lineRule="auto"/>
        <w:ind w:firstLine="708"/>
        <w:jc w:val="both"/>
        <w:rPr>
          <w:rFonts w:ascii="Verdana" w:eastAsia="Calibri" w:hAnsi="Verdana" w:cs="Arial"/>
          <w:color w:val="000000"/>
          <w:lang w:val="es-MX"/>
        </w:rPr>
      </w:pPr>
      <w:r w:rsidRPr="0060163E">
        <w:rPr>
          <w:rFonts w:ascii="Verdana" w:eastAsia="Arial" w:hAnsi="Verdana" w:cs="Arial"/>
          <w:color w:val="000000"/>
          <w:lang w:val="es-ES_tradnl"/>
        </w:rPr>
        <w:t xml:space="preserve">Como se aprecia, el principio </w:t>
      </w:r>
      <w:r w:rsidRPr="0060163E">
        <w:rPr>
          <w:rFonts w:ascii="Verdana" w:eastAsia="Arial" w:hAnsi="Verdana" w:cs="Arial"/>
          <w:i/>
          <w:iCs/>
          <w:color w:val="000000"/>
          <w:lang w:val="es-ES_tradnl"/>
        </w:rPr>
        <w:t xml:space="preserve">pro </w:t>
      </w:r>
      <w:proofErr w:type="spellStart"/>
      <w:r w:rsidRPr="0060163E">
        <w:rPr>
          <w:rFonts w:ascii="Verdana" w:eastAsia="Arial" w:hAnsi="Verdana" w:cs="Arial"/>
          <w:i/>
          <w:iCs/>
          <w:color w:val="000000"/>
          <w:lang w:val="es-ES_tradnl"/>
        </w:rPr>
        <w:t>libertate</w:t>
      </w:r>
      <w:proofErr w:type="spellEnd"/>
      <w:r w:rsidRPr="0060163E">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60163E">
        <w:rPr>
          <w:rFonts w:ascii="Verdana" w:eastAsia="Calibri" w:hAnsi="Verdana" w:cs="Arial"/>
          <w:color w:val="000000"/>
          <w:lang w:val="es-MX"/>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r w:rsidRPr="0060163E">
        <w:rPr>
          <w:rFonts w:ascii="Verdana" w:eastAsia="Calibri" w:hAnsi="Verdana" w:cs="Arial"/>
          <w:color w:val="000000"/>
          <w:vertAlign w:val="superscript"/>
          <w:lang w:val="es-MX"/>
        </w:rPr>
        <w:footnoteReference w:id="14"/>
      </w:r>
    </w:p>
    <w:p w14:paraId="57029F0C" w14:textId="77777777" w:rsidR="005D3816" w:rsidRPr="0060163E" w:rsidRDefault="005D3816" w:rsidP="005D3816">
      <w:pPr>
        <w:spacing w:after="0" w:line="276" w:lineRule="auto"/>
        <w:ind w:firstLine="709"/>
        <w:jc w:val="both"/>
        <w:rPr>
          <w:rFonts w:ascii="Verdana" w:eastAsia="Calibri" w:hAnsi="Verdana" w:cs="Arial"/>
          <w:color w:val="000000"/>
          <w:shd w:val="clear" w:color="auto" w:fill="FFFFFF"/>
          <w:lang w:val="es-MX"/>
        </w:rPr>
      </w:pPr>
      <w:r w:rsidRPr="0060163E">
        <w:rPr>
          <w:rFonts w:ascii="Verdana" w:eastAsia="Calibri" w:hAnsi="Verdana" w:cs="Arial"/>
          <w:shd w:val="clear" w:color="auto" w:fill="FFFFFF"/>
          <w:lang w:val="es-MX"/>
        </w:rPr>
        <w:lastRenderedPageBreak/>
        <w:t>En este sentido, retomando una idea esbozada con anterioridad, la doctrina y la jurisprudencia son pacíficas en considerar que la creación de inhabilidades e incompatibilidades es un asunto con reserva de ley, en tanto, “[…] su previsión y desarrollo es materia exclusiva del legislador (reserva de ley), quien en virtud del principio democrático debe definir y tipificar expresamente sus causas, vigencia, naturaleza y efectos”</w:t>
      </w:r>
      <w:r w:rsidRPr="0060163E">
        <w:rPr>
          <w:rFonts w:ascii="Verdana" w:eastAsia="Calibri" w:hAnsi="Verdana" w:cs="Arial"/>
          <w:shd w:val="clear" w:color="auto" w:fill="FFFFFF"/>
          <w:vertAlign w:val="superscript"/>
          <w:lang w:val="es-MX"/>
        </w:rPr>
        <w:footnoteReference w:id="15"/>
      </w:r>
      <w:r w:rsidRPr="0060163E">
        <w:rPr>
          <w:rFonts w:ascii="Verdana" w:eastAsia="Calibri" w:hAnsi="Verdana" w:cs="Arial"/>
          <w:shd w:val="clear" w:color="auto" w:fill="FFFFFF"/>
          <w:lang w:val="es-MX"/>
        </w:rPr>
        <w:t xml:space="preserve"> En similar sentido, la Sala de Consulta y Servicio Civil del Consejo de Estado expresó </w:t>
      </w:r>
      <w:r w:rsidRPr="0060163E">
        <w:rPr>
          <w:rFonts w:ascii="Verdana" w:eastAsia="Calibri" w:hAnsi="Verdana" w:cs="Arial"/>
          <w:color w:val="000000"/>
          <w:shd w:val="clear" w:color="auto" w:fill="FFFFFF"/>
          <w:lang w:val="es-MX"/>
        </w:rPr>
        <w:t>que “[…] las causales de inhabilidad e incompatibilidad deben estar expresa y taxativamente establecidas en la Constitución o en la ley y son de aplicación e interpretación restrictivas […]”</w:t>
      </w:r>
      <w:r w:rsidRPr="0060163E">
        <w:rPr>
          <w:rFonts w:ascii="Verdana" w:eastAsia="Calibri" w:hAnsi="Verdana" w:cs="Arial"/>
          <w:color w:val="000000"/>
          <w:shd w:val="clear" w:color="auto" w:fill="FFFFFF"/>
          <w:vertAlign w:val="superscript"/>
          <w:lang w:val="es-MX"/>
        </w:rPr>
        <w:footnoteReference w:id="16"/>
      </w:r>
      <w:r w:rsidRPr="0060163E">
        <w:rPr>
          <w:rFonts w:ascii="Verdana" w:eastAsia="Calibri" w:hAnsi="Verdana" w:cs="Arial"/>
          <w:color w:val="000000"/>
          <w:shd w:val="clear" w:color="auto" w:fill="FFFFFF"/>
          <w:lang w:val="es-MX"/>
        </w:rPr>
        <w:t xml:space="preserve">. </w:t>
      </w:r>
      <w:r w:rsidRPr="0060163E">
        <w:rPr>
          <w:rFonts w:ascii="Verdana" w:eastAsia="MS Mincho" w:hAnsi="Verdana" w:cs="Arial"/>
          <w:color w:val="000000"/>
          <w:shd w:val="clear" w:color="auto" w:fill="FFFFFF"/>
          <w:lang w:val="es-MX"/>
        </w:rPr>
        <w:t xml:space="preserve">Como se observa, </w:t>
      </w:r>
      <w:r w:rsidRPr="0060163E">
        <w:rPr>
          <w:rFonts w:ascii="Verdana" w:eastAsia="MS Mincho" w:hAnsi="Verdana" w:cs="Arial"/>
          <w:color w:val="000000"/>
          <w:shd w:val="clear" w:color="auto" w:fill="FFFFFF"/>
        </w:rPr>
        <w:t>existe consenso, incluso como lo ha expresado esta Agencia en ocasiones anteriores, que la creación de inhabilidades o incompatibilidades está reservada al constituyente o al legislador.</w:t>
      </w:r>
    </w:p>
    <w:p w14:paraId="1A9C6933" w14:textId="77777777" w:rsidR="005D3816" w:rsidRPr="00FF2FD4" w:rsidRDefault="005D3816" w:rsidP="005D3816">
      <w:pPr>
        <w:spacing w:after="0" w:line="276" w:lineRule="auto"/>
        <w:jc w:val="both"/>
        <w:rPr>
          <w:rFonts w:ascii="Verdana" w:eastAsia="Calibri" w:hAnsi="Verdana" w:cs="Arial"/>
          <w:b/>
          <w:lang w:val="es-ES_tradnl"/>
        </w:rPr>
      </w:pPr>
    </w:p>
    <w:p w14:paraId="7D7C9B32" w14:textId="77777777" w:rsidR="005D3816" w:rsidRPr="002A6C2C" w:rsidRDefault="005D3816" w:rsidP="005D3816">
      <w:pPr>
        <w:widowControl w:val="0"/>
        <w:autoSpaceDE w:val="0"/>
        <w:autoSpaceDN w:val="0"/>
        <w:spacing w:after="120" w:line="276" w:lineRule="auto"/>
        <w:jc w:val="both"/>
        <w:rPr>
          <w:rFonts w:ascii="Verdana" w:hAnsi="Verdana" w:cs="Arial"/>
          <w:color w:val="000000"/>
        </w:rPr>
      </w:pPr>
      <w:proofErr w:type="spellStart"/>
      <w:r>
        <w:rPr>
          <w:rFonts w:ascii="Verdana" w:eastAsia="Calibri" w:hAnsi="Verdana" w:cs="Arial"/>
          <w:lang w:val="es-ES"/>
        </w:rPr>
        <w:t>ii</w:t>
      </w:r>
      <w:proofErr w:type="spellEnd"/>
      <w:r>
        <w:rPr>
          <w:rFonts w:ascii="Verdana" w:eastAsia="Calibri" w:hAnsi="Verdana" w:cs="Arial"/>
          <w:lang w:val="es-ES"/>
        </w:rPr>
        <w:t>.</w:t>
      </w:r>
      <w:r w:rsidRPr="00AE22D5">
        <w:rPr>
          <w:rFonts w:ascii="Verdana" w:hAnsi="Verdana" w:cs="Arial"/>
          <w:color w:val="000000" w:themeColor="text1"/>
          <w:lang w:val="es-ES"/>
        </w:rPr>
        <w:t xml:space="preserve"> </w:t>
      </w:r>
      <w:r w:rsidRPr="00364269">
        <w:rPr>
          <w:rFonts w:ascii="Verdana" w:hAnsi="Verdana" w:cs="Arial"/>
          <w:color w:val="000000" w:themeColor="text1"/>
          <w:lang w:val="es-ES"/>
        </w:rPr>
        <w:t>Analizado el régimen de inhabilidades e incompatibilidades previsto para la contratación estatal</w:t>
      </w:r>
      <w:r>
        <w:rPr>
          <w:rFonts w:ascii="Verdana" w:hAnsi="Verdana" w:cs="Arial"/>
          <w:lang w:val="es-ES"/>
        </w:rPr>
        <w:t>, resulta pertinente estudiar los supuestos de hecho desarrollados para l</w:t>
      </w:r>
      <w:r w:rsidRPr="002A6C2C">
        <w:rPr>
          <w:rFonts w:ascii="Verdana" w:hAnsi="Verdana" w:cs="Arial"/>
          <w:lang w:val="es-ES"/>
        </w:rPr>
        <w:t xml:space="preserve">a inhabilidad prevista en el literal d) del numeral 1 del artículo 8 de la Ley 80 de 1993, de cuyo texto indica que son inhábiles para contratar: </w:t>
      </w:r>
      <w:r>
        <w:rPr>
          <w:rFonts w:ascii="Verdana" w:hAnsi="Verdana" w:cs="Arial"/>
          <w:lang w:val="es-ES"/>
        </w:rPr>
        <w:t>“</w:t>
      </w:r>
      <w:r w:rsidRPr="00377627">
        <w:rPr>
          <w:rFonts w:ascii="Verdana" w:hAnsi="Verdana" w:cs="Arial"/>
          <w:i/>
          <w:iCs/>
          <w:color w:val="000000"/>
        </w:rPr>
        <w:t>Quienes en sentencia judicial hayan sido condenados a la pena accesoria de interdicción de derechos y funciones públicas y quienes hayan sido sancionados disciplinariamente con destitución</w:t>
      </w:r>
      <w:r>
        <w:rPr>
          <w:rFonts w:ascii="Verdana" w:hAnsi="Verdana" w:cs="Arial"/>
          <w:color w:val="000000"/>
        </w:rPr>
        <w:t>”</w:t>
      </w:r>
      <w:r w:rsidRPr="002A6C2C">
        <w:rPr>
          <w:rFonts w:ascii="Verdana" w:hAnsi="Verdana" w:cs="Arial"/>
          <w:color w:val="000000"/>
        </w:rPr>
        <w:t xml:space="preserve">. En efecto, se trata de una inhabilidad sanción, puesto que se configura en atención a unos supuestos de hecho que implican la expedición de providencias judiciales o administrativas en contra de personas a quienes, por la connotación de las conductas que se les reprochan, el Estatuto General de Contratación de la Administración Pública ha restringido su capacidad para suscribir y ejecutar contratos estatales. </w:t>
      </w:r>
    </w:p>
    <w:p w14:paraId="305ACCEB" w14:textId="77777777" w:rsidR="005D3816" w:rsidRPr="002A6C2C" w:rsidRDefault="005D3816" w:rsidP="005D3816">
      <w:pPr>
        <w:spacing w:after="120" w:line="276" w:lineRule="auto"/>
        <w:jc w:val="both"/>
        <w:rPr>
          <w:rFonts w:ascii="Verdana" w:hAnsi="Verdana" w:cs="Arial"/>
        </w:rPr>
      </w:pPr>
      <w:r w:rsidRPr="002A6C2C">
        <w:rPr>
          <w:rFonts w:ascii="Verdana" w:hAnsi="Verdana" w:cs="Arial"/>
          <w:lang w:val="es-ES"/>
        </w:rPr>
        <w:tab/>
        <w:t xml:space="preserve">La inhabilitación para el ejercicio de funciones públicas es una pena contemplada en el Código Penal que se impone de manera accesoria, en virtud de la cual se </w:t>
      </w:r>
      <w:r>
        <w:rPr>
          <w:rFonts w:ascii="Verdana" w:hAnsi="Verdana" w:cs="Arial"/>
          <w:lang w:val="es-ES"/>
        </w:rPr>
        <w:t>“</w:t>
      </w:r>
      <w:r w:rsidRPr="002A6C2C">
        <w:rPr>
          <w:rFonts w:ascii="Verdana" w:hAnsi="Verdana" w:cs="Arial"/>
          <w:lang w:val="es-ES"/>
        </w:rPr>
        <w:t xml:space="preserve">[…] priva al penado de la facultad de elegir y ser elegido, del ejercicio de cualquier otro derecho político, función pública, dignidades y honores </w:t>
      </w:r>
      <w:r w:rsidRPr="002A6C2C">
        <w:rPr>
          <w:rFonts w:ascii="Verdana" w:hAnsi="Verdana" w:cs="Arial"/>
          <w:lang w:val="es-ES"/>
        </w:rPr>
        <w:lastRenderedPageBreak/>
        <w:t>que confieren las entidades oficiales</w:t>
      </w:r>
      <w:r>
        <w:rPr>
          <w:rFonts w:ascii="Verdana" w:hAnsi="Verdana" w:cs="Arial"/>
          <w:lang w:val="es-ES"/>
        </w:rPr>
        <w:t>”</w:t>
      </w:r>
      <w:r w:rsidRPr="002A6C2C">
        <w:rPr>
          <w:rStyle w:val="Refdenotaalpie"/>
          <w:rFonts w:ascii="Verdana" w:hAnsi="Verdana" w:cs="Arial"/>
          <w:lang w:val="es-ES"/>
        </w:rPr>
        <w:footnoteReference w:id="17"/>
      </w:r>
      <w:r w:rsidRPr="002A6C2C">
        <w:rPr>
          <w:rFonts w:ascii="Verdana" w:hAnsi="Verdana" w:cs="Arial"/>
          <w:lang w:val="es-ES"/>
        </w:rPr>
        <w:t xml:space="preserve">. Por su parte, en el ámbito disciplinario, la sanción de </w:t>
      </w:r>
      <w:r>
        <w:rPr>
          <w:rFonts w:ascii="Verdana" w:hAnsi="Verdana" w:cs="Arial"/>
          <w:lang w:val="es-ES"/>
        </w:rPr>
        <w:t>“</w:t>
      </w:r>
      <w:r w:rsidRPr="002A6C2C">
        <w:rPr>
          <w:rFonts w:ascii="Verdana" w:hAnsi="Verdana" w:cs="Arial"/>
          <w:lang w:val="es-ES"/>
        </w:rPr>
        <w:t>destitución e inhabilidad general</w:t>
      </w:r>
      <w:r>
        <w:rPr>
          <w:rFonts w:ascii="Verdana" w:hAnsi="Verdana" w:cs="Arial"/>
          <w:lang w:val="es-ES"/>
        </w:rPr>
        <w:t>”</w:t>
      </w:r>
      <w:r w:rsidRPr="002A6C2C">
        <w:rPr>
          <w:rFonts w:ascii="Verdana" w:hAnsi="Verdana" w:cs="Arial"/>
          <w:lang w:val="es-ES"/>
        </w:rPr>
        <w:t xml:space="preserve"> implica: </w:t>
      </w:r>
      <w:r w:rsidRPr="002A6C2C">
        <w:rPr>
          <w:rFonts w:ascii="Verdana" w:hAnsi="Verdana" w:cs="Arial"/>
        </w:rPr>
        <w:t>la terminación de la relación del servidor público o del particular con la administración –sin que importe que sea de libre nombramiento y remoción, de carrera o elección–, o la desvinculación del cargo, en los casos previstos en la Constitución Política y la ley; o la terminación del contrato de trabajo, y, en cualquier caso, la imposibilidad de ejercer la función pública en cualquier cargo o función, por el termino señalado en el fallo</w:t>
      </w:r>
      <w:r w:rsidRPr="002A6C2C">
        <w:rPr>
          <w:rStyle w:val="Refdenotaalpie"/>
          <w:rFonts w:ascii="Verdana" w:hAnsi="Verdana" w:cs="Arial"/>
        </w:rPr>
        <w:footnoteReference w:id="18"/>
      </w:r>
      <w:r w:rsidRPr="002A6C2C">
        <w:rPr>
          <w:rFonts w:ascii="Verdana" w:hAnsi="Verdana" w:cs="Arial"/>
        </w:rPr>
        <w:t xml:space="preserve">.  </w:t>
      </w:r>
    </w:p>
    <w:p w14:paraId="267421AC" w14:textId="77777777" w:rsidR="005D3816" w:rsidRPr="002A6C2C" w:rsidRDefault="005D3816" w:rsidP="005D3816">
      <w:pPr>
        <w:spacing w:after="0" w:line="276" w:lineRule="auto"/>
        <w:ind w:firstLine="709"/>
        <w:jc w:val="both"/>
        <w:rPr>
          <w:rFonts w:ascii="Verdana" w:hAnsi="Verdana" w:cs="Arial"/>
        </w:rPr>
      </w:pPr>
      <w:r w:rsidRPr="002A6C2C">
        <w:rPr>
          <w:rFonts w:ascii="Verdana" w:hAnsi="Verdana" w:cs="Arial"/>
          <w:lang w:val="es-ES"/>
        </w:rPr>
        <w:t xml:space="preserve"> De acuerdo con lo anterior, las penas judiciales y disciplinarias referidas en el supuesto de hecho de la inhabilidad tipificada en literal d) del numeral 1 del artículo 8 de la Ley 80 de 1993, de por sí suponen la imposibilidad para el penado de ejercer cargos y funciones públicas lo que</w:t>
      </w:r>
      <w:r>
        <w:rPr>
          <w:rFonts w:ascii="Verdana" w:hAnsi="Verdana" w:cs="Arial"/>
          <w:lang w:val="es-ES"/>
        </w:rPr>
        <w:t>,</w:t>
      </w:r>
      <w:r w:rsidRPr="002A6C2C">
        <w:rPr>
          <w:rFonts w:ascii="Verdana" w:hAnsi="Verdana" w:cs="Arial"/>
          <w:lang w:val="es-ES"/>
        </w:rPr>
        <w:t xml:space="preserve"> en virtud de su conexidad con los fines </w:t>
      </w:r>
      <w:r>
        <w:rPr>
          <w:rFonts w:ascii="Verdana" w:hAnsi="Verdana" w:cs="Arial"/>
          <w:lang w:val="es-ES"/>
        </w:rPr>
        <w:t>de la</w:t>
      </w:r>
      <w:r w:rsidRPr="002A6C2C">
        <w:rPr>
          <w:rFonts w:ascii="Verdana" w:hAnsi="Verdana" w:cs="Arial"/>
          <w:lang w:val="es-ES"/>
        </w:rPr>
        <w:t xml:space="preserve"> contrat</w:t>
      </w:r>
      <w:r>
        <w:rPr>
          <w:rFonts w:ascii="Verdana" w:hAnsi="Verdana" w:cs="Arial"/>
          <w:lang w:val="es-ES"/>
        </w:rPr>
        <w:t>ación</w:t>
      </w:r>
      <w:r w:rsidRPr="002A6C2C">
        <w:rPr>
          <w:rFonts w:ascii="Verdana" w:hAnsi="Verdana" w:cs="Arial"/>
          <w:lang w:val="es-ES"/>
        </w:rPr>
        <w:t xml:space="preserve"> estatal, deviene en una restricción a la posibilidad fungir como colaborador de la administración pública. </w:t>
      </w:r>
      <w:r w:rsidRPr="002A6C2C">
        <w:rPr>
          <w:rFonts w:ascii="Verdana" w:hAnsi="Verdana" w:cs="Arial"/>
        </w:rPr>
        <w:t xml:space="preserve">Sobre la constitucionalidad de esta norma se pronunció la Corte Constitucional manifestando lo siguiente:  </w:t>
      </w:r>
    </w:p>
    <w:p w14:paraId="503C9634" w14:textId="77777777" w:rsidR="005D3816" w:rsidRPr="00D03391" w:rsidRDefault="005D3816" w:rsidP="005D3816">
      <w:pPr>
        <w:pStyle w:val="NormalWeb"/>
        <w:spacing w:before="0" w:beforeAutospacing="0" w:after="0" w:afterAutospacing="0"/>
        <w:ind w:left="709" w:right="709"/>
        <w:jc w:val="both"/>
        <w:rPr>
          <w:rFonts w:ascii="Verdana" w:hAnsi="Verdana" w:cs="Arial"/>
          <w:sz w:val="22"/>
          <w:szCs w:val="22"/>
        </w:rPr>
      </w:pPr>
    </w:p>
    <w:p w14:paraId="3F5B371C" w14:textId="77777777" w:rsidR="005D3816" w:rsidRPr="00D03391" w:rsidRDefault="005D3816" w:rsidP="005D3816">
      <w:pPr>
        <w:pStyle w:val="NormalWeb"/>
        <w:spacing w:before="0" w:beforeAutospacing="0" w:after="0" w:afterAutospacing="0"/>
        <w:ind w:left="709" w:right="709"/>
        <w:jc w:val="both"/>
        <w:rPr>
          <w:rFonts w:ascii="Verdana" w:hAnsi="Verdana" w:cs="Arial"/>
          <w:color w:val="000000" w:themeColor="text1"/>
          <w:sz w:val="20"/>
          <w:szCs w:val="20"/>
        </w:rPr>
      </w:pPr>
      <w:r>
        <w:rPr>
          <w:rFonts w:ascii="Verdana" w:hAnsi="Verdana" w:cs="Arial"/>
          <w:color w:val="000000" w:themeColor="text1"/>
          <w:sz w:val="20"/>
          <w:szCs w:val="20"/>
        </w:rPr>
        <w:t>“</w:t>
      </w:r>
      <w:r w:rsidRPr="00D03391">
        <w:rPr>
          <w:rFonts w:ascii="Verdana" w:hAnsi="Verdana" w:cs="Arial"/>
          <w:color w:val="000000" w:themeColor="text1"/>
          <w:sz w:val="20"/>
          <w:szCs w:val="20"/>
        </w:rPr>
        <w:t>Estima la Corte, que la inhabilidad señalada en el literal d) del ordinal 1o. del artículo </w:t>
      </w:r>
      <w:hyperlink r:id="rId13" w:anchor="8" w:history="1">
        <w:r w:rsidRPr="00D03391">
          <w:rPr>
            <w:rFonts w:ascii="Verdana" w:hAnsi="Verdana"/>
            <w:sz w:val="20"/>
            <w:szCs w:val="20"/>
          </w:rPr>
          <w:t>8</w:t>
        </w:r>
      </w:hyperlink>
      <w:r w:rsidRPr="00D03391">
        <w:rPr>
          <w:rFonts w:ascii="Verdana" w:hAnsi="Verdana" w:cs="Arial"/>
          <w:color w:val="000000" w:themeColor="text1"/>
          <w:sz w:val="20"/>
          <w:szCs w:val="20"/>
        </w:rPr>
        <w:t>o, de la Ley 80, aunque tiene como fuente u origen o fundamento la pena accesoria de interdicción de derechos y funciones públicas, no constituye una nueva pena. En efecto:</w:t>
      </w:r>
    </w:p>
    <w:p w14:paraId="295E0E6E" w14:textId="77777777" w:rsidR="005D3816" w:rsidRPr="00D03391" w:rsidRDefault="005D3816" w:rsidP="005D3816">
      <w:pPr>
        <w:pStyle w:val="NormalWeb"/>
        <w:spacing w:before="0" w:beforeAutospacing="0" w:after="0" w:afterAutospacing="0"/>
        <w:ind w:left="709" w:right="709"/>
        <w:jc w:val="both"/>
        <w:rPr>
          <w:rFonts w:ascii="Verdana" w:hAnsi="Verdana" w:cs="Arial"/>
          <w:color w:val="000000" w:themeColor="text1"/>
          <w:sz w:val="20"/>
          <w:szCs w:val="20"/>
        </w:rPr>
      </w:pPr>
    </w:p>
    <w:p w14:paraId="185C62F6" w14:textId="77777777" w:rsidR="005D3816" w:rsidRDefault="005D3816" w:rsidP="005D3816">
      <w:pPr>
        <w:spacing w:after="0" w:line="240" w:lineRule="auto"/>
        <w:ind w:left="709" w:right="709"/>
        <w:jc w:val="both"/>
        <w:rPr>
          <w:rFonts w:ascii="Verdana" w:eastAsia="Times New Roman" w:hAnsi="Verdana" w:cs="Arial"/>
          <w:color w:val="000000" w:themeColor="text1"/>
          <w:sz w:val="20"/>
          <w:szCs w:val="20"/>
          <w:lang w:eastAsia="es-MX"/>
        </w:rPr>
      </w:pPr>
      <w:r w:rsidRPr="00D03391">
        <w:rPr>
          <w:rFonts w:ascii="Verdana" w:eastAsia="Times New Roman" w:hAnsi="Verdana" w:cs="Arial"/>
          <w:color w:val="000000" w:themeColor="text1"/>
          <w:sz w:val="20"/>
          <w:szCs w:val="20"/>
          <w:lang w:eastAsia="es-MX"/>
        </w:rPr>
        <w:t xml:space="preserve">Las penas principales y accesorias, por infracción de las normas penales hacen parte de un sistema normativo contenido en el Código Penal. Tal ha </w:t>
      </w:r>
      <w:r w:rsidRPr="00D03391">
        <w:rPr>
          <w:rFonts w:ascii="Verdana" w:eastAsia="Times New Roman" w:hAnsi="Verdana" w:cs="Arial"/>
          <w:color w:val="000000" w:themeColor="text1"/>
          <w:sz w:val="20"/>
          <w:szCs w:val="20"/>
          <w:lang w:eastAsia="es-MX"/>
        </w:rPr>
        <w:lastRenderedPageBreak/>
        <w:t>sido la tradición jurídica. Pero, además, las inhabilidades e incompatibilidades que, como se ha visto, obedecen a finalidades diferentes de interés público, asociadas al logro de la imparcialidad, la eficacia, la eficiencia y la moralidad en las operaciones contractuales, no pueden identificarse ni asimilarse a las penas que se imponen por la comisión de un ilícito, con los fines, entre otros, de retribuir a la sociedad el perjuicio causado por la conducta que afecta un bien jurídico superior o fundamental para ésta. </w:t>
      </w:r>
    </w:p>
    <w:p w14:paraId="2B4D3868" w14:textId="77777777" w:rsidR="005D3816" w:rsidRPr="00D03391" w:rsidRDefault="005D3816" w:rsidP="005D3816">
      <w:pPr>
        <w:spacing w:after="0" w:line="240" w:lineRule="auto"/>
        <w:ind w:left="709" w:right="709"/>
        <w:jc w:val="both"/>
        <w:rPr>
          <w:rFonts w:ascii="Verdana" w:eastAsia="Times New Roman" w:hAnsi="Verdana" w:cs="Arial"/>
          <w:color w:val="000000" w:themeColor="text1"/>
          <w:sz w:val="20"/>
          <w:szCs w:val="20"/>
          <w:lang w:eastAsia="es-MX"/>
        </w:rPr>
      </w:pPr>
    </w:p>
    <w:p w14:paraId="4C79BABB" w14:textId="77777777" w:rsidR="005D3816" w:rsidRPr="00D03391" w:rsidRDefault="005D3816" w:rsidP="005D3816">
      <w:pPr>
        <w:spacing w:after="0" w:line="240" w:lineRule="auto"/>
        <w:ind w:left="709" w:right="709"/>
        <w:jc w:val="both"/>
        <w:rPr>
          <w:rFonts w:ascii="Verdana" w:eastAsia="Times New Roman" w:hAnsi="Verdana" w:cs="Arial"/>
          <w:color w:val="000000" w:themeColor="text1"/>
          <w:sz w:val="20"/>
          <w:szCs w:val="20"/>
          <w:lang w:eastAsia="es-MX"/>
        </w:rPr>
      </w:pPr>
      <w:r w:rsidRPr="00D03391">
        <w:rPr>
          <w:rFonts w:ascii="Verdana" w:eastAsia="Times New Roman" w:hAnsi="Verdana" w:cs="Arial"/>
          <w:color w:val="000000" w:themeColor="text1"/>
          <w:sz w:val="20"/>
          <w:szCs w:val="20"/>
          <w:lang w:eastAsia="es-MX"/>
        </w:rPr>
        <w:t>Las inhabilidades e incompatibilidades, según los criterios antes expuestos, constituyen prohibiciones que restringen la capacidad y la libertad de un contratista para acceder a la contratación, pero no consagran una modalidad adicional de sanción penal a las previstas en el Código de la materia. </w:t>
      </w:r>
    </w:p>
    <w:p w14:paraId="74FD86AD" w14:textId="77777777" w:rsidR="005D3816" w:rsidRDefault="005D3816" w:rsidP="005D3816">
      <w:pPr>
        <w:spacing w:after="0" w:line="240" w:lineRule="auto"/>
        <w:ind w:left="709" w:right="709"/>
        <w:jc w:val="both"/>
        <w:rPr>
          <w:rFonts w:ascii="Verdana" w:eastAsia="Times New Roman" w:hAnsi="Verdana" w:cs="Arial"/>
          <w:color w:val="000000" w:themeColor="text1"/>
          <w:sz w:val="20"/>
          <w:szCs w:val="20"/>
          <w:lang w:eastAsia="es-MX"/>
        </w:rPr>
      </w:pPr>
    </w:p>
    <w:p w14:paraId="3D248685" w14:textId="77777777" w:rsidR="005D3816" w:rsidRDefault="005D3816" w:rsidP="005D3816">
      <w:pPr>
        <w:spacing w:after="0" w:line="240" w:lineRule="auto"/>
        <w:ind w:left="709" w:right="709"/>
        <w:jc w:val="both"/>
        <w:rPr>
          <w:rFonts w:ascii="Verdana" w:eastAsia="Times New Roman" w:hAnsi="Verdana" w:cs="Arial"/>
          <w:color w:val="000000" w:themeColor="text1"/>
          <w:sz w:val="20"/>
          <w:szCs w:val="20"/>
          <w:lang w:eastAsia="es-MX"/>
        </w:rPr>
      </w:pPr>
      <w:r w:rsidRPr="00D03391">
        <w:rPr>
          <w:rFonts w:ascii="Verdana" w:eastAsia="Times New Roman" w:hAnsi="Verdana" w:cs="Arial"/>
          <w:color w:val="000000" w:themeColor="text1"/>
          <w:sz w:val="20"/>
          <w:szCs w:val="20"/>
          <w:lang w:eastAsia="es-MX"/>
        </w:rPr>
        <w:t xml:space="preserve">Cuando se juzga un ilícito no se tienen en cuenta las condiciones o calidades del sujeto imputado para acceder a la contratación pública, sino la antijuricidad del hecho imputado su culpabilidad y la consiguiente responsabilidad, condiciones y calidades que necesariamente se valoran en las operaciones contractuales que realiza el Estado. Por consiguiente, resultan perfectamente diferenciables las sanciones penales de las inhabilidades e incompatibilidades y, en tal virtud, no puede considerarse que la inhabilidad establecida en la ley de contratación implique la existencia de un juzgamiento y de una doble sanción por un mismo hecho. Es más, cuando en un contratista concurre una causal de inhabilidad o incompatibilidad, simplemente se le priva o se le prohíbe el acceso a la contratación, pero no se le juzga penalmente por un hecho ilícito, ni mucho menos se lo sanciona. </w:t>
      </w:r>
    </w:p>
    <w:p w14:paraId="3D4976E8" w14:textId="77777777" w:rsidR="005D3816" w:rsidRPr="00D03391" w:rsidRDefault="005D3816" w:rsidP="005D3816">
      <w:pPr>
        <w:spacing w:after="0" w:line="240" w:lineRule="auto"/>
        <w:ind w:left="709" w:right="709"/>
        <w:jc w:val="both"/>
        <w:rPr>
          <w:rFonts w:ascii="Verdana" w:eastAsia="Times New Roman" w:hAnsi="Verdana" w:cs="Arial"/>
          <w:color w:val="000000" w:themeColor="text1"/>
          <w:sz w:val="20"/>
          <w:szCs w:val="20"/>
          <w:lang w:eastAsia="es-MX"/>
        </w:rPr>
      </w:pPr>
    </w:p>
    <w:p w14:paraId="46636CE9" w14:textId="77777777" w:rsidR="005D3816" w:rsidRPr="00D03391" w:rsidRDefault="005D3816" w:rsidP="005D3816">
      <w:pPr>
        <w:spacing w:after="0" w:line="240" w:lineRule="auto"/>
        <w:ind w:left="709" w:right="709"/>
        <w:jc w:val="both"/>
        <w:rPr>
          <w:rFonts w:ascii="Verdana" w:eastAsia="Times New Roman" w:hAnsi="Verdana" w:cs="Arial"/>
          <w:color w:val="000000" w:themeColor="text1"/>
          <w:sz w:val="20"/>
          <w:szCs w:val="20"/>
          <w:lang w:eastAsia="es-MX"/>
        </w:rPr>
      </w:pPr>
      <w:r w:rsidRPr="00D03391">
        <w:rPr>
          <w:rFonts w:ascii="Verdana" w:eastAsia="Times New Roman" w:hAnsi="Verdana" w:cs="Arial"/>
          <w:color w:val="000000" w:themeColor="text1"/>
          <w:sz w:val="20"/>
          <w:szCs w:val="20"/>
          <w:lang w:eastAsia="es-MX"/>
        </w:rPr>
        <w:t xml:space="preserve">[L]a inhabilidad consagrada, se juzga necesaria, conducente y proporcionada a la finalidad que la misma persigue, </w:t>
      </w:r>
      <w:r w:rsidRPr="00D03391">
        <w:rPr>
          <w:rFonts w:ascii="Verdana" w:eastAsia="Times New Roman" w:hAnsi="Verdana" w:cs="Arial"/>
          <w:i/>
          <w:color w:val="000000" w:themeColor="text1"/>
          <w:sz w:val="20"/>
          <w:szCs w:val="20"/>
          <w:lang w:eastAsia="es-MX"/>
        </w:rPr>
        <w:t>cual es de que no accedan a la contratación, en forma temporal, como colaboradores en la consecución de los fines propios del contrato, quienes hayan cometido delitos que conlleven la pena accesoria de interdicción de derechos y funciones públicas, porque de alguna manera la celebración y ejecución de contratos comporta el desarrollo de actividades anejas al ejercicio de dichas funciones</w:t>
      </w:r>
      <w:r w:rsidRPr="00D03391">
        <w:rPr>
          <w:rFonts w:ascii="Verdana" w:eastAsia="Times New Roman" w:hAnsi="Verdana" w:cs="Arial"/>
          <w:color w:val="000000" w:themeColor="text1"/>
          <w:sz w:val="20"/>
          <w:szCs w:val="20"/>
          <w:lang w:eastAsia="es-MX"/>
        </w:rPr>
        <w:t>.</w:t>
      </w:r>
      <w:r w:rsidRPr="00D03391">
        <w:rPr>
          <w:rFonts w:ascii="Verdana" w:eastAsia="Times New Roman" w:hAnsi="Verdana" w:cs="Arial"/>
          <w:i/>
          <w:color w:val="000000" w:themeColor="text1"/>
          <w:sz w:val="20"/>
          <w:szCs w:val="20"/>
          <w:lang w:eastAsia="es-MX"/>
        </w:rPr>
        <w:t xml:space="preserve"> </w:t>
      </w:r>
      <w:r w:rsidRPr="00D03391">
        <w:rPr>
          <w:rFonts w:ascii="Verdana" w:eastAsia="Times New Roman" w:hAnsi="Verdana" w:cs="Arial"/>
          <w:color w:val="000000" w:themeColor="text1"/>
          <w:sz w:val="20"/>
          <w:szCs w:val="20"/>
          <w:lang w:eastAsia="es-MX"/>
        </w:rPr>
        <w:t xml:space="preserve"> [Cursivas fuera de texto].</w:t>
      </w:r>
      <w:r w:rsidRPr="00D03391">
        <w:rPr>
          <w:rStyle w:val="Refdenotaalpie"/>
          <w:rFonts w:ascii="Verdana" w:eastAsia="Times New Roman" w:hAnsi="Verdana" w:cs="Arial"/>
          <w:color w:val="000000" w:themeColor="text1"/>
          <w:sz w:val="20"/>
          <w:szCs w:val="20"/>
          <w:lang w:eastAsia="es-MX"/>
        </w:rPr>
        <w:footnoteReference w:id="19"/>
      </w:r>
    </w:p>
    <w:p w14:paraId="6F55FD2F" w14:textId="77777777" w:rsidR="005D3816" w:rsidRPr="002A6C2C" w:rsidRDefault="005D3816" w:rsidP="005D3816">
      <w:pPr>
        <w:spacing w:after="0"/>
        <w:ind w:left="709" w:right="709"/>
        <w:jc w:val="both"/>
        <w:rPr>
          <w:rFonts w:ascii="Verdana" w:eastAsia="Times New Roman" w:hAnsi="Verdana" w:cs="Arial"/>
          <w:color w:val="000000" w:themeColor="text1"/>
          <w:sz w:val="21"/>
          <w:szCs w:val="21"/>
          <w:lang w:eastAsia="es-MX"/>
        </w:rPr>
      </w:pPr>
    </w:p>
    <w:p w14:paraId="50DEEC69" w14:textId="77777777" w:rsidR="005D3816" w:rsidRDefault="005D3816" w:rsidP="005D3816">
      <w:pPr>
        <w:spacing w:after="120" w:line="276" w:lineRule="auto"/>
        <w:ind w:right="49" w:firstLine="709"/>
        <w:jc w:val="both"/>
        <w:rPr>
          <w:rFonts w:ascii="Verdana" w:eastAsia="Times New Roman" w:hAnsi="Verdana" w:cs="Arial"/>
          <w:lang w:eastAsia="es-MX"/>
        </w:rPr>
      </w:pPr>
      <w:r w:rsidRPr="002A6C2C">
        <w:rPr>
          <w:rFonts w:ascii="Verdana" w:eastAsia="Times New Roman" w:hAnsi="Verdana" w:cs="Arial"/>
          <w:lang w:eastAsia="es-MX"/>
        </w:rPr>
        <w:t xml:space="preserve">De lo anterior </w:t>
      </w:r>
      <w:r>
        <w:rPr>
          <w:rFonts w:ascii="Verdana" w:eastAsia="Times New Roman" w:hAnsi="Verdana" w:cs="Arial"/>
          <w:lang w:eastAsia="es-MX"/>
        </w:rPr>
        <w:t xml:space="preserve">podría concluirse </w:t>
      </w:r>
      <w:r w:rsidRPr="002A6C2C">
        <w:rPr>
          <w:rFonts w:ascii="Verdana" w:eastAsia="Times New Roman" w:hAnsi="Verdana" w:cs="Arial"/>
          <w:lang w:eastAsia="es-MX"/>
        </w:rPr>
        <w:t xml:space="preserve">que, de acuerdo con lo establecido en el literal d) del numeral 1 del artículo 8 de la Ley 80 de 1993, las personas naturales a las que se les haya impuesto una pena accesoria de interdicción de derechos y funciones públicas, al igual que las que hayan sido sancionados disciplinariamente con destitución, </w:t>
      </w:r>
      <w:r w:rsidRPr="002A6C2C">
        <w:rPr>
          <w:rFonts w:ascii="Verdana" w:hAnsi="Verdana" w:cs="Arial"/>
        </w:rPr>
        <w:t xml:space="preserve">están incursas en la referida causal de inhabilidad, por lo que no pueden contratar con entidades estatales. De esta </w:t>
      </w:r>
      <w:r w:rsidRPr="002A6C2C">
        <w:rPr>
          <w:rFonts w:ascii="Verdana" w:hAnsi="Verdana" w:cs="Arial"/>
        </w:rPr>
        <w:lastRenderedPageBreak/>
        <w:t xml:space="preserve">manera, </w:t>
      </w:r>
      <w:r w:rsidRPr="002A6C2C">
        <w:rPr>
          <w:rFonts w:ascii="Verdana" w:eastAsia="Times New Roman" w:hAnsi="Verdana" w:cs="Arial"/>
          <w:lang w:eastAsia="es-MX"/>
        </w:rPr>
        <w:t xml:space="preserve">una vez en firme la providencia que dispone la pena o sanción, la inhabilidad comienza a surtir sus efectos restringiendo de ese momento en adelante la posibilidad de suscribir nuevos contratos o participar en procesos de contratación.  </w:t>
      </w:r>
    </w:p>
    <w:p w14:paraId="13204732" w14:textId="77777777" w:rsidR="005D3816" w:rsidRDefault="005D3816" w:rsidP="005D3816">
      <w:pPr>
        <w:spacing w:after="120" w:line="276" w:lineRule="auto"/>
        <w:ind w:right="49" w:firstLine="709"/>
        <w:jc w:val="both"/>
        <w:rPr>
          <w:rFonts w:ascii="Verdana" w:eastAsia="Times New Roman" w:hAnsi="Verdana" w:cs="Arial"/>
          <w:lang w:eastAsia="es-MX"/>
        </w:rPr>
      </w:pPr>
      <w:r>
        <w:rPr>
          <w:rFonts w:ascii="Verdana" w:eastAsia="Times New Roman" w:hAnsi="Verdana" w:cs="Arial"/>
          <w:lang w:eastAsia="es-MX"/>
        </w:rPr>
        <w:t xml:space="preserve">Ahora bien, de acuerdo al problema jurídico, objeto de consulta, se precisa que la inhabilidad prescrita en el literal d) del numeral 1 del artículo 8 de la Ley 80 de 1993, </w:t>
      </w:r>
      <w:r w:rsidRPr="007430A3">
        <w:rPr>
          <w:rFonts w:ascii="Verdana" w:eastAsia="Times New Roman" w:hAnsi="Verdana" w:cs="Arial"/>
          <w:lang w:eastAsia="es-MX"/>
        </w:rPr>
        <w:t>se configura por la imposición de una pena accesoria de inhabili</w:t>
      </w:r>
      <w:r>
        <w:rPr>
          <w:rFonts w:ascii="Verdana" w:eastAsia="Times New Roman" w:hAnsi="Verdana" w:cs="Arial"/>
          <w:lang w:eastAsia="es-MX"/>
        </w:rPr>
        <w:t xml:space="preserve">tación de derechos y funciones por </w:t>
      </w:r>
      <w:r w:rsidRPr="007430A3">
        <w:rPr>
          <w:rFonts w:ascii="Verdana" w:eastAsia="Times New Roman" w:hAnsi="Verdana" w:cs="Arial"/>
          <w:lang w:eastAsia="es-MX"/>
        </w:rPr>
        <w:t>un término de cinco (5) años, que se contabilizan a partir de la f</w:t>
      </w:r>
      <w:r>
        <w:rPr>
          <w:rFonts w:ascii="Verdana" w:eastAsia="Times New Roman" w:hAnsi="Verdana" w:cs="Arial"/>
          <w:lang w:eastAsia="es-MX"/>
        </w:rPr>
        <w:t>echa de ejecutoria de la sentencia que impuso la pena</w:t>
      </w:r>
      <w:r w:rsidRPr="007430A3">
        <w:rPr>
          <w:rFonts w:ascii="Verdana" w:eastAsia="Times New Roman" w:hAnsi="Verdana" w:cs="Arial"/>
          <w:lang w:eastAsia="es-MX"/>
        </w:rPr>
        <w:t xml:space="preserve">. Así mismo, dicha inhabilidad no distingue el objeto del contrato ni mucho las modalidades de selección aplicables, esto es, aplica para todos los procesos de contratación. </w:t>
      </w:r>
    </w:p>
    <w:p w14:paraId="585814D7" w14:textId="77777777" w:rsidR="005D3816" w:rsidRDefault="005D3816" w:rsidP="005D3816">
      <w:pPr>
        <w:spacing w:after="120" w:line="276" w:lineRule="auto"/>
        <w:ind w:right="49" w:firstLine="709"/>
        <w:jc w:val="both"/>
        <w:rPr>
          <w:rFonts w:ascii="Verdana" w:eastAsia="Times New Roman" w:hAnsi="Verdana" w:cs="Arial"/>
          <w:lang w:eastAsia="es-MX"/>
        </w:rPr>
      </w:pPr>
      <w:r>
        <w:rPr>
          <w:rFonts w:ascii="Verdana" w:eastAsia="Times New Roman" w:hAnsi="Verdana" w:cs="Arial"/>
          <w:lang w:eastAsia="es-MX"/>
        </w:rPr>
        <w:t xml:space="preserve">Teniendo en cuenta ello, el ingeniero civil no podrá participar en procesos de contratación, ni mucho menos celebrar contratos con el Estado. Sin embargo, dicha inhabilidad o incompatibilidad no se extiende en el evento que el ingeniero civil haya sido contratado por el proponente para participar en el proceso de contratación, puesto que las inhabilidades e incompatibilidades no se extienden a las subcontrataciones. En este sentido, se destaca que el régimen de inhabilidades e incompatibilidades busca proteger la moralidad y la transparencia en la contratación, y se aplica a quienes tienen relación directa con el Estado. </w:t>
      </w:r>
    </w:p>
    <w:p w14:paraId="4624677A" w14:textId="77777777" w:rsidR="005D3816" w:rsidRPr="0030774B" w:rsidRDefault="005D3816" w:rsidP="005D3816">
      <w:pPr>
        <w:spacing w:after="120" w:line="276" w:lineRule="auto"/>
        <w:ind w:firstLine="709"/>
        <w:jc w:val="both"/>
        <w:rPr>
          <w:rFonts w:ascii="Verdana" w:eastAsia="Calibri" w:hAnsi="Verdana" w:cs="Arial"/>
          <w:bCs/>
        </w:rPr>
      </w:pPr>
      <w:r>
        <w:rPr>
          <w:rFonts w:ascii="Verdana" w:eastAsia="Calibri" w:hAnsi="Verdana" w:cs="Arial"/>
          <w:bCs/>
        </w:rPr>
        <w:t>En efecto</w:t>
      </w:r>
      <w:r>
        <w:rPr>
          <w:rFonts w:ascii="Verdana" w:eastAsia="Calibri" w:hAnsi="Verdana" w:cs="Arial"/>
          <w:bCs/>
          <w:lang w:val="es-ES_tradnl"/>
        </w:rPr>
        <w:t>, se destaca que el supuesto planteado no hay una inhabilidad o incompatibilidad para contratar, teniendo en cuenta que, de las normas del sistema de compras y contratación pública, no contempla una extensión de los efectos de literal d numeral 1 del artículo 8 de la Ley 80 de 1993 a las contrataciones y vinculaciones que efectúa el proponente para participar en un proceso de contratación.</w:t>
      </w:r>
      <w:r>
        <w:rPr>
          <w:rFonts w:ascii="Verdana" w:eastAsia="Calibri" w:hAnsi="Verdana" w:cs="Arial"/>
          <w:bCs/>
        </w:rPr>
        <w:t xml:space="preserve"> De este modo</w:t>
      </w:r>
      <w:r w:rsidRPr="0030774B">
        <w:rPr>
          <w:rFonts w:ascii="Verdana" w:eastAsia="Calibri" w:hAnsi="Verdana" w:cs="Arial"/>
          <w:bCs/>
        </w:rPr>
        <w:t>, es importante recordar que no es permitido hacer una interpretación extensiva</w:t>
      </w:r>
      <w:r>
        <w:rPr>
          <w:rFonts w:ascii="Verdana" w:eastAsia="Calibri" w:hAnsi="Verdana" w:cs="Arial"/>
          <w:bCs/>
        </w:rPr>
        <w:t xml:space="preserve"> de los efectos de inhabilidades e incompatibilidades a los subcontratos para la celebración de contratos estatales</w:t>
      </w:r>
      <w:r w:rsidRPr="0030774B">
        <w:rPr>
          <w:rFonts w:ascii="Verdana" w:eastAsia="Calibri" w:hAnsi="Verdana" w:cs="Arial"/>
          <w:bCs/>
        </w:rPr>
        <w:t xml:space="preserve">, pues </w:t>
      </w:r>
      <w:r>
        <w:rPr>
          <w:rFonts w:ascii="Verdana" w:eastAsia="Calibri" w:hAnsi="Verdana" w:cs="Arial"/>
          <w:bCs/>
        </w:rPr>
        <w:t xml:space="preserve">estas </w:t>
      </w:r>
      <w:r w:rsidRPr="0030774B">
        <w:rPr>
          <w:rFonts w:ascii="Verdana" w:eastAsia="Calibri" w:hAnsi="Verdana" w:cs="Arial"/>
          <w:bCs/>
        </w:rPr>
        <w:t xml:space="preserve">constituyen una aplicación del principio del Estado de Derecho previsto en el artículo 6° de la Constitución Política, según el cual: “Los particulares solo son responsables ante las autoridades por infringir la Constitución y las leyes”. </w:t>
      </w:r>
    </w:p>
    <w:p w14:paraId="7DA29852" w14:textId="77777777" w:rsidR="005D3816" w:rsidRDefault="005D3816" w:rsidP="005D3816">
      <w:pPr>
        <w:spacing w:after="0" w:line="276" w:lineRule="auto"/>
        <w:jc w:val="both"/>
        <w:rPr>
          <w:rFonts w:ascii="Verdana" w:eastAsia="Times New Roman" w:hAnsi="Verdana" w:cs="Arial"/>
          <w:color w:val="000000"/>
          <w:lang w:eastAsia="es-ES"/>
        </w:rPr>
      </w:pPr>
    </w:p>
    <w:p w14:paraId="61BA7C4C" w14:textId="77777777" w:rsidR="005D3816" w:rsidRPr="00DB2A80" w:rsidRDefault="005D3816" w:rsidP="005D3816">
      <w:pPr>
        <w:spacing w:after="120" w:line="276" w:lineRule="auto"/>
        <w:jc w:val="both"/>
        <w:rPr>
          <w:rFonts w:ascii="Verdana" w:hAnsi="Verdana"/>
        </w:rPr>
      </w:pPr>
      <w:proofErr w:type="spellStart"/>
      <w:r>
        <w:rPr>
          <w:rFonts w:ascii="Verdana" w:eastAsia="Arial" w:hAnsi="Verdana" w:cs="Arial"/>
          <w:lang w:val="es-ES_tradnl"/>
        </w:rPr>
        <w:t>iii</w:t>
      </w:r>
      <w:proofErr w:type="spellEnd"/>
      <w:r>
        <w:rPr>
          <w:rFonts w:ascii="Verdana" w:eastAsia="Arial" w:hAnsi="Verdana" w:cs="Arial"/>
          <w:lang w:val="es-ES_tradnl"/>
        </w:rPr>
        <w:t xml:space="preserve">. </w:t>
      </w:r>
      <w:r w:rsidRPr="00DB2A80">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w:t>
      </w:r>
      <w:r w:rsidRPr="00DB2A80">
        <w:rPr>
          <w:rFonts w:ascii="Verdana" w:eastAsia="Calibri" w:hAnsi="Verdana" w:cs="Arial"/>
          <w:bCs/>
          <w:color w:val="000000" w:themeColor="text1"/>
        </w:rPr>
        <w:lastRenderedPageBreak/>
        <w:t>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A3F48D9" w14:textId="77777777" w:rsidR="005D3816" w:rsidRPr="00DB2A80" w:rsidRDefault="005D3816" w:rsidP="005D3816">
      <w:pPr>
        <w:spacing w:after="0" w:line="276" w:lineRule="auto"/>
        <w:ind w:firstLine="708"/>
        <w:jc w:val="both"/>
        <w:rPr>
          <w:rFonts w:ascii="Verdana" w:eastAsia="Calibri" w:hAnsi="Verdana" w:cs="Arial"/>
          <w:bCs/>
          <w:color w:val="000000" w:themeColor="text1"/>
        </w:rPr>
      </w:pPr>
      <w:r w:rsidRPr="00DB2A80">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8DA937B" w14:textId="77777777" w:rsidR="005D3816" w:rsidRPr="00DB2A80" w:rsidRDefault="005D3816" w:rsidP="005D3816">
      <w:pPr>
        <w:spacing w:after="0" w:line="276" w:lineRule="auto"/>
        <w:jc w:val="both"/>
        <w:rPr>
          <w:rFonts w:ascii="Verdana" w:eastAsia="Arial" w:hAnsi="Verdana" w:cs="Arial"/>
        </w:rPr>
      </w:pPr>
    </w:p>
    <w:p w14:paraId="7458D00A" w14:textId="77777777" w:rsidR="005D3816" w:rsidRPr="0060163E" w:rsidRDefault="005D3816" w:rsidP="005D3816">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IV. </w:t>
      </w:r>
      <w:r w:rsidRPr="0060163E">
        <w:rPr>
          <w:rFonts w:ascii="Verdana" w:eastAsia="Calibri" w:hAnsi="Verdana" w:cs="Times New Roman"/>
          <w:b/>
          <w:bCs/>
          <w:lang w:val="es-ES"/>
        </w:rPr>
        <w:t>Referencias normativas, jurisprudenciales y otras fuentes:</w:t>
      </w:r>
    </w:p>
    <w:p w14:paraId="0E32014D" w14:textId="77777777" w:rsidR="005D3816" w:rsidRPr="0060163E" w:rsidRDefault="005D3816" w:rsidP="005D3816">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D3816" w:rsidRPr="0060163E" w14:paraId="2177B597" w14:textId="77777777" w:rsidTr="00246837">
        <w:trPr>
          <w:trHeight w:val="487"/>
          <w:jc w:val="center"/>
        </w:trPr>
        <w:tc>
          <w:tcPr>
            <w:tcW w:w="8647" w:type="dxa"/>
          </w:tcPr>
          <w:p w14:paraId="2F68AF94" w14:textId="77777777" w:rsidR="005D3816" w:rsidRDefault="005D3816" w:rsidP="005D3816">
            <w:pPr>
              <w:numPr>
                <w:ilvl w:val="0"/>
                <w:numId w:val="26"/>
              </w:numPr>
              <w:spacing w:before="120" w:after="120" w:line="276" w:lineRule="auto"/>
              <w:ind w:left="640" w:hanging="357"/>
              <w:jc w:val="both"/>
              <w:rPr>
                <w:rFonts w:ascii="Verdana" w:hAnsi="Verdana" w:cs="Arial"/>
                <w:lang w:val="es-ES"/>
              </w:rPr>
            </w:pPr>
            <w:r w:rsidRPr="000A7D76">
              <w:rPr>
                <w:rFonts w:ascii="Verdana" w:hAnsi="Verdana" w:cs="Arial"/>
                <w:lang w:val="es-ES"/>
              </w:rPr>
              <w:t>Ley 80 d</w:t>
            </w:r>
            <w:r>
              <w:rPr>
                <w:rFonts w:ascii="Verdana" w:hAnsi="Verdana" w:cs="Arial"/>
                <w:lang w:val="es-ES"/>
              </w:rPr>
              <w:t>e 1993, artículos 2, 8, 25 y 32.</w:t>
            </w:r>
          </w:p>
          <w:p w14:paraId="5E249AFA" w14:textId="77777777" w:rsidR="005D3816" w:rsidRDefault="005D3816" w:rsidP="005D3816">
            <w:pPr>
              <w:numPr>
                <w:ilvl w:val="0"/>
                <w:numId w:val="26"/>
              </w:numPr>
              <w:spacing w:before="120" w:after="120" w:line="276" w:lineRule="auto"/>
              <w:ind w:left="640" w:hanging="357"/>
              <w:jc w:val="both"/>
              <w:rPr>
                <w:rFonts w:ascii="Verdana" w:hAnsi="Verdana" w:cs="Arial"/>
                <w:lang w:val="es-ES"/>
              </w:rPr>
            </w:pPr>
            <w:r>
              <w:rPr>
                <w:rFonts w:ascii="Verdana" w:hAnsi="Verdana" w:cs="Arial"/>
                <w:lang w:val="es-ES"/>
              </w:rPr>
              <w:t xml:space="preserve">Ley 599 de 2000, artículos 52 y 54. </w:t>
            </w:r>
          </w:p>
          <w:p w14:paraId="3D5A5D56" w14:textId="77777777" w:rsidR="005D3816" w:rsidRDefault="005D3816" w:rsidP="005D3816">
            <w:pPr>
              <w:numPr>
                <w:ilvl w:val="0"/>
                <w:numId w:val="26"/>
              </w:numPr>
              <w:spacing w:before="120" w:after="120" w:line="276" w:lineRule="auto"/>
              <w:ind w:left="640" w:hanging="357"/>
              <w:jc w:val="both"/>
              <w:rPr>
                <w:rFonts w:ascii="Verdana" w:hAnsi="Verdana" w:cs="Arial"/>
                <w:lang w:val="es-ES"/>
              </w:rPr>
            </w:pPr>
            <w:r w:rsidRPr="00530620">
              <w:rPr>
                <w:rFonts w:ascii="Verdana" w:hAnsi="Verdana" w:cs="Arial"/>
                <w:lang w:val="pt-BR"/>
              </w:rPr>
              <w:t xml:space="preserve">Corte Constitucional. Sentencia C-415 de 1994. </w:t>
            </w:r>
            <w:r w:rsidRPr="00A254C0">
              <w:rPr>
                <w:rFonts w:ascii="Verdana" w:hAnsi="Verdana" w:cs="Arial"/>
                <w:lang w:val="es-ES"/>
              </w:rPr>
              <w:t>M.P. Eduardo Cifuentes Muñoz.</w:t>
            </w:r>
          </w:p>
          <w:p w14:paraId="4EBB7107" w14:textId="77777777" w:rsidR="005D3816" w:rsidRDefault="005D3816" w:rsidP="005D3816">
            <w:pPr>
              <w:numPr>
                <w:ilvl w:val="0"/>
                <w:numId w:val="26"/>
              </w:numPr>
              <w:spacing w:before="120" w:after="120" w:line="276" w:lineRule="auto"/>
              <w:ind w:left="640" w:hanging="357"/>
              <w:jc w:val="both"/>
              <w:rPr>
                <w:rFonts w:ascii="Verdana" w:hAnsi="Verdana" w:cs="Arial"/>
                <w:lang w:val="es-ES"/>
              </w:rPr>
            </w:pPr>
            <w:r w:rsidRPr="00530620">
              <w:rPr>
                <w:rFonts w:ascii="Verdana" w:hAnsi="Verdana" w:cs="Arial"/>
                <w:lang w:val="pt-BR"/>
              </w:rPr>
              <w:t xml:space="preserve">Corte Constitucional. Sentencia C-489 de 1996. </w:t>
            </w:r>
            <w:r w:rsidRPr="00A254C0">
              <w:rPr>
                <w:rFonts w:ascii="Verdana" w:hAnsi="Verdana" w:cs="Arial"/>
                <w:lang w:val="es-ES"/>
              </w:rPr>
              <w:t>M.P. Antonio Barrera Carbonell.</w:t>
            </w:r>
          </w:p>
          <w:p w14:paraId="07EBE9A5" w14:textId="77777777" w:rsidR="005D3816" w:rsidRDefault="005D3816" w:rsidP="005D3816">
            <w:pPr>
              <w:numPr>
                <w:ilvl w:val="0"/>
                <w:numId w:val="26"/>
              </w:numPr>
              <w:spacing w:before="120" w:after="120" w:line="276" w:lineRule="auto"/>
              <w:ind w:left="640" w:hanging="357"/>
              <w:jc w:val="both"/>
              <w:rPr>
                <w:rFonts w:ascii="Verdana" w:hAnsi="Verdana" w:cs="Arial"/>
                <w:lang w:val="es-ES"/>
              </w:rPr>
            </w:pPr>
            <w:r w:rsidRPr="00530620">
              <w:rPr>
                <w:rFonts w:ascii="Verdana" w:hAnsi="Verdana" w:cs="Arial"/>
                <w:lang w:val="pt-BR"/>
              </w:rPr>
              <w:t xml:space="preserve">Corte Constitucional. Sentencia C-181 de 1997. </w:t>
            </w:r>
            <w:r w:rsidRPr="00A254C0">
              <w:rPr>
                <w:rFonts w:ascii="Verdana" w:hAnsi="Verdana" w:cs="Arial"/>
                <w:lang w:val="es-ES"/>
              </w:rPr>
              <w:t xml:space="preserve">M.P. Fabio Morón Díaz. </w:t>
            </w:r>
          </w:p>
          <w:p w14:paraId="006F1917" w14:textId="77777777" w:rsidR="005D3816" w:rsidRPr="00530620" w:rsidRDefault="005D3816" w:rsidP="005D3816">
            <w:pPr>
              <w:numPr>
                <w:ilvl w:val="0"/>
                <w:numId w:val="26"/>
              </w:numPr>
              <w:spacing w:before="120" w:after="120" w:line="276" w:lineRule="auto"/>
              <w:ind w:left="640" w:hanging="357"/>
              <w:jc w:val="both"/>
              <w:rPr>
                <w:rFonts w:ascii="Verdana" w:hAnsi="Verdana" w:cs="Arial"/>
                <w:lang w:val="en-US"/>
              </w:rPr>
            </w:pPr>
            <w:r w:rsidRPr="00530620">
              <w:rPr>
                <w:rFonts w:ascii="Verdana" w:hAnsi="Verdana" w:cs="Arial"/>
                <w:lang w:val="pt-BR"/>
              </w:rPr>
              <w:t xml:space="preserve">Corte Constitucional. Sentencia C-780 de 2001. </w:t>
            </w:r>
            <w:r w:rsidRPr="00530620">
              <w:rPr>
                <w:rFonts w:ascii="Verdana" w:hAnsi="Verdana" w:cs="Arial"/>
                <w:lang w:val="en-US"/>
              </w:rPr>
              <w:t xml:space="preserve">M.P. Jaime Córdoba </w:t>
            </w:r>
            <w:proofErr w:type="spellStart"/>
            <w:r w:rsidRPr="00530620">
              <w:rPr>
                <w:rFonts w:ascii="Verdana" w:hAnsi="Verdana" w:cs="Arial"/>
                <w:lang w:val="en-US"/>
              </w:rPr>
              <w:t>Triviño</w:t>
            </w:r>
            <w:proofErr w:type="spellEnd"/>
            <w:r w:rsidRPr="00530620">
              <w:rPr>
                <w:rFonts w:ascii="Verdana" w:hAnsi="Verdana" w:cs="Arial"/>
                <w:lang w:val="en-US"/>
              </w:rPr>
              <w:t xml:space="preserve">. </w:t>
            </w:r>
          </w:p>
          <w:p w14:paraId="41223908" w14:textId="77777777" w:rsidR="005D3816" w:rsidRDefault="005D3816" w:rsidP="005D3816">
            <w:pPr>
              <w:numPr>
                <w:ilvl w:val="0"/>
                <w:numId w:val="26"/>
              </w:numPr>
              <w:spacing w:before="120" w:after="120" w:line="276" w:lineRule="auto"/>
              <w:ind w:left="640" w:hanging="357"/>
              <w:jc w:val="both"/>
              <w:rPr>
                <w:rFonts w:ascii="Verdana" w:hAnsi="Verdana" w:cs="Arial"/>
                <w:lang w:val="es-ES"/>
              </w:rPr>
            </w:pPr>
            <w:r w:rsidRPr="00530620">
              <w:rPr>
                <w:rFonts w:ascii="Verdana" w:hAnsi="Verdana" w:cs="Arial"/>
                <w:lang w:val="pt-BR"/>
              </w:rPr>
              <w:t xml:space="preserve">Corte Constitucional. Sentencia T-1039 de 2006. </w:t>
            </w:r>
            <w:r w:rsidRPr="00A254C0">
              <w:rPr>
                <w:rFonts w:ascii="Verdana" w:hAnsi="Verdana" w:cs="Arial"/>
                <w:lang w:val="es-ES"/>
              </w:rPr>
              <w:t xml:space="preserve">M.P. Humberto Sierra Porto. </w:t>
            </w:r>
          </w:p>
          <w:p w14:paraId="58F2D228" w14:textId="77777777" w:rsidR="005D3816" w:rsidRDefault="005D3816" w:rsidP="005D3816">
            <w:pPr>
              <w:numPr>
                <w:ilvl w:val="0"/>
                <w:numId w:val="26"/>
              </w:numPr>
              <w:spacing w:before="120" w:after="120" w:line="276" w:lineRule="auto"/>
              <w:ind w:left="640" w:hanging="357"/>
              <w:jc w:val="both"/>
              <w:rPr>
                <w:rFonts w:ascii="Verdana" w:hAnsi="Verdana" w:cs="Arial"/>
                <w:lang w:val="es-ES"/>
              </w:rPr>
            </w:pPr>
            <w:r w:rsidRPr="00530620">
              <w:rPr>
                <w:rFonts w:ascii="Verdana" w:hAnsi="Verdana" w:cs="Arial"/>
                <w:lang w:val="pt-BR"/>
              </w:rPr>
              <w:t xml:space="preserve">Corte Constitucional. Sentencia C-903 de 2008. </w:t>
            </w:r>
            <w:r>
              <w:rPr>
                <w:rFonts w:ascii="Verdana" w:hAnsi="Verdana" w:cs="Arial"/>
                <w:lang w:val="es-ES"/>
              </w:rPr>
              <w:t>M.P. Jaime Araujo Rentería.</w:t>
            </w:r>
          </w:p>
          <w:p w14:paraId="76751D32" w14:textId="77777777" w:rsidR="005D3816" w:rsidRPr="00530620" w:rsidRDefault="005D3816" w:rsidP="005D3816">
            <w:pPr>
              <w:numPr>
                <w:ilvl w:val="0"/>
                <w:numId w:val="26"/>
              </w:numPr>
              <w:spacing w:before="120" w:after="120" w:line="276" w:lineRule="auto"/>
              <w:ind w:left="640" w:hanging="357"/>
              <w:jc w:val="both"/>
              <w:rPr>
                <w:rFonts w:ascii="Verdana" w:hAnsi="Verdana" w:cs="Arial"/>
                <w:lang w:val="pt-BR"/>
              </w:rPr>
            </w:pPr>
            <w:r w:rsidRPr="00530620">
              <w:rPr>
                <w:rFonts w:ascii="Verdana" w:hAnsi="Verdana" w:cs="Arial"/>
                <w:lang w:val="pt-BR"/>
              </w:rPr>
              <w:t>Corte Constitucional. Sentencia C-1016 de 2012. M.P. Jorge Iván Palacio.</w:t>
            </w:r>
          </w:p>
          <w:p w14:paraId="05EE111C" w14:textId="77777777" w:rsidR="005D3816" w:rsidRDefault="005D3816" w:rsidP="005D3816">
            <w:pPr>
              <w:numPr>
                <w:ilvl w:val="0"/>
                <w:numId w:val="26"/>
              </w:numPr>
              <w:spacing w:before="120" w:after="120" w:line="276" w:lineRule="auto"/>
              <w:ind w:left="640" w:hanging="357"/>
              <w:jc w:val="both"/>
              <w:rPr>
                <w:rFonts w:ascii="Verdana" w:hAnsi="Verdana" w:cs="Arial"/>
                <w:lang w:val="es-ES"/>
              </w:rPr>
            </w:pPr>
            <w:r w:rsidRPr="00530620">
              <w:rPr>
                <w:rFonts w:ascii="Verdana" w:hAnsi="Verdana" w:cs="Arial"/>
                <w:lang w:val="pt-BR"/>
              </w:rPr>
              <w:lastRenderedPageBreak/>
              <w:t xml:space="preserve">Corte Constitucional. Sentencia C-101 de 2018. </w:t>
            </w:r>
            <w:r w:rsidRPr="00AC1737">
              <w:rPr>
                <w:rFonts w:ascii="Verdana" w:hAnsi="Verdana" w:cs="Arial"/>
                <w:lang w:val="es-ES"/>
              </w:rPr>
              <w:t xml:space="preserve">M.P. Gloria Stella Ortiz Delgado; entre otras. </w:t>
            </w:r>
          </w:p>
          <w:p w14:paraId="19132216" w14:textId="77777777" w:rsidR="005D3816" w:rsidRDefault="005D3816" w:rsidP="005D3816">
            <w:pPr>
              <w:numPr>
                <w:ilvl w:val="0"/>
                <w:numId w:val="26"/>
              </w:numPr>
              <w:spacing w:before="120" w:after="120" w:line="276" w:lineRule="auto"/>
              <w:ind w:left="640" w:hanging="357"/>
              <w:jc w:val="both"/>
              <w:rPr>
                <w:rFonts w:ascii="Verdana" w:hAnsi="Verdana" w:cs="Arial"/>
                <w:lang w:val="es-ES"/>
              </w:rPr>
            </w:pPr>
            <w:r w:rsidRPr="00AC1737">
              <w:rPr>
                <w:rFonts w:ascii="Verdana" w:hAnsi="Verdana" w:cs="Arial"/>
                <w:lang w:val="es-ES"/>
              </w:rPr>
              <w:t>Consejo de Estado. Sala de Consulta y Servicio Civil. Concepto del 29 de abril de 1998. Rad. 1097. C.P. Augusto Trejos Jaramillo.</w:t>
            </w:r>
          </w:p>
          <w:p w14:paraId="0E0F6157" w14:textId="77777777" w:rsidR="005D3816" w:rsidRDefault="005D3816" w:rsidP="005D3816">
            <w:pPr>
              <w:numPr>
                <w:ilvl w:val="0"/>
                <w:numId w:val="26"/>
              </w:numPr>
              <w:spacing w:before="120" w:after="120" w:line="276" w:lineRule="auto"/>
              <w:ind w:left="640" w:hanging="357"/>
              <w:jc w:val="both"/>
              <w:rPr>
                <w:rFonts w:ascii="Verdana" w:hAnsi="Verdana" w:cs="Arial"/>
                <w:lang w:val="es-ES"/>
              </w:rPr>
            </w:pPr>
            <w:r w:rsidRPr="00AC1737">
              <w:rPr>
                <w:rFonts w:ascii="Verdana" w:hAnsi="Verdana" w:cs="Arial"/>
                <w:lang w:val="es-ES"/>
              </w:rPr>
              <w:t xml:space="preserve">Consejo de Estado. Sección Tercera. Subsección C. Sentencia del 22 de mayo de 2013. Rad. 24.057. C.P. Olga Mélida Valle De </w:t>
            </w:r>
            <w:proofErr w:type="spellStart"/>
            <w:r w:rsidRPr="00AC1737">
              <w:rPr>
                <w:rFonts w:ascii="Verdana" w:hAnsi="Verdana" w:cs="Arial"/>
                <w:lang w:val="es-ES"/>
              </w:rPr>
              <w:t>De</w:t>
            </w:r>
            <w:proofErr w:type="spellEnd"/>
            <w:r w:rsidRPr="00AC1737">
              <w:rPr>
                <w:rFonts w:ascii="Verdana" w:hAnsi="Verdana" w:cs="Arial"/>
                <w:lang w:val="es-ES"/>
              </w:rPr>
              <w:t xml:space="preserve"> La Hoz.</w:t>
            </w:r>
          </w:p>
          <w:p w14:paraId="7F15F4AF" w14:textId="77777777" w:rsidR="005D3816" w:rsidRDefault="005D3816" w:rsidP="005D3816">
            <w:pPr>
              <w:numPr>
                <w:ilvl w:val="0"/>
                <w:numId w:val="26"/>
              </w:numPr>
              <w:spacing w:before="120" w:after="120" w:line="276" w:lineRule="auto"/>
              <w:ind w:left="640" w:hanging="357"/>
              <w:jc w:val="both"/>
              <w:rPr>
                <w:rFonts w:ascii="Verdana" w:hAnsi="Verdana" w:cs="Arial"/>
                <w:lang w:val="es-ES"/>
              </w:rPr>
            </w:pPr>
            <w:r w:rsidRPr="00AC1737">
              <w:rPr>
                <w:rFonts w:ascii="Verdana" w:hAnsi="Verdana" w:cs="Arial"/>
                <w:lang w:val="es-ES"/>
              </w:rPr>
              <w:t xml:space="preserve">Consejo de Estado. Sección Tercera. Subsección A. Sentencia del 13 de noviembre de 2013. Rad. 25.646. C.P. Mauricio Fajardo Gómez.  </w:t>
            </w:r>
          </w:p>
          <w:p w14:paraId="0858D29E" w14:textId="77777777" w:rsidR="005D3816" w:rsidRDefault="005D3816" w:rsidP="005D3816">
            <w:pPr>
              <w:numPr>
                <w:ilvl w:val="0"/>
                <w:numId w:val="26"/>
              </w:numPr>
              <w:spacing w:before="120" w:after="120" w:line="276" w:lineRule="auto"/>
              <w:ind w:left="640" w:hanging="357"/>
              <w:jc w:val="both"/>
              <w:rPr>
                <w:rFonts w:ascii="Verdana" w:hAnsi="Verdana" w:cs="Arial"/>
                <w:lang w:val="es-ES"/>
              </w:rPr>
            </w:pPr>
            <w:r w:rsidRPr="00AC1737">
              <w:rPr>
                <w:rFonts w:ascii="Verdana" w:hAnsi="Verdana" w:cs="Arial"/>
                <w:lang w:val="es-ES"/>
              </w:rPr>
              <w:t xml:space="preserve">Consejo de Estado. Sala de lo contencioso administrativo. Sentencia del 12 de diciembre de 2014. </w:t>
            </w:r>
            <w:proofErr w:type="spellStart"/>
            <w:r w:rsidRPr="00AC1737">
              <w:rPr>
                <w:rFonts w:ascii="Verdana" w:hAnsi="Verdana" w:cs="Arial"/>
                <w:lang w:val="es-ES"/>
              </w:rPr>
              <w:t>Exp</w:t>
            </w:r>
            <w:proofErr w:type="spellEnd"/>
            <w:r w:rsidRPr="00AC1737">
              <w:rPr>
                <w:rFonts w:ascii="Verdana" w:hAnsi="Verdana" w:cs="Arial"/>
                <w:lang w:val="es-ES"/>
              </w:rPr>
              <w:t xml:space="preserve">. 26496. C.P. Ramiro Pazos Guerrero. </w:t>
            </w:r>
          </w:p>
          <w:p w14:paraId="5294A062" w14:textId="77777777" w:rsidR="005D3816" w:rsidRDefault="005D3816" w:rsidP="005D3816">
            <w:pPr>
              <w:numPr>
                <w:ilvl w:val="0"/>
                <w:numId w:val="26"/>
              </w:numPr>
              <w:spacing w:before="120" w:after="120" w:line="276" w:lineRule="auto"/>
              <w:ind w:left="640" w:hanging="357"/>
              <w:jc w:val="both"/>
              <w:rPr>
                <w:rFonts w:ascii="Verdana" w:hAnsi="Verdana" w:cs="Arial"/>
                <w:lang w:val="es-ES"/>
              </w:rPr>
            </w:pPr>
            <w:r w:rsidRPr="00AC1737">
              <w:rPr>
                <w:rFonts w:ascii="Verdana" w:hAnsi="Verdana" w:cs="Arial"/>
                <w:lang w:val="es-ES"/>
              </w:rPr>
              <w:t xml:space="preserve">Consejo de Estado. Sala de Consulta y Servicio Civil. Concepto del 30 de abril de 2015. </w:t>
            </w:r>
            <w:proofErr w:type="spellStart"/>
            <w:r w:rsidRPr="00AC1737">
              <w:rPr>
                <w:rFonts w:ascii="Verdana" w:hAnsi="Verdana" w:cs="Arial"/>
                <w:lang w:val="es-ES"/>
              </w:rPr>
              <w:t>Exp</w:t>
            </w:r>
            <w:proofErr w:type="spellEnd"/>
            <w:r w:rsidRPr="00AC1737">
              <w:rPr>
                <w:rFonts w:ascii="Verdana" w:hAnsi="Verdana" w:cs="Arial"/>
                <w:lang w:val="es-ES"/>
              </w:rPr>
              <w:t xml:space="preserve">. 2251. C.P. Álvaro </w:t>
            </w:r>
            <w:proofErr w:type="spellStart"/>
            <w:r w:rsidRPr="00AC1737">
              <w:rPr>
                <w:rFonts w:ascii="Verdana" w:hAnsi="Verdana" w:cs="Arial"/>
                <w:lang w:val="es-ES"/>
              </w:rPr>
              <w:t>Namén</w:t>
            </w:r>
            <w:proofErr w:type="spellEnd"/>
            <w:r w:rsidRPr="00AC1737">
              <w:rPr>
                <w:rFonts w:ascii="Verdana" w:hAnsi="Verdana" w:cs="Arial"/>
                <w:lang w:val="es-ES"/>
              </w:rPr>
              <w:t xml:space="preserve"> Vargas.</w:t>
            </w:r>
          </w:p>
          <w:p w14:paraId="2AD9B727" w14:textId="77777777" w:rsidR="005D3816" w:rsidRDefault="005D3816" w:rsidP="005D3816">
            <w:pPr>
              <w:numPr>
                <w:ilvl w:val="0"/>
                <w:numId w:val="26"/>
              </w:numPr>
              <w:spacing w:before="120" w:after="120" w:line="276" w:lineRule="auto"/>
              <w:ind w:left="640" w:hanging="357"/>
              <w:jc w:val="both"/>
              <w:rPr>
                <w:rFonts w:ascii="Verdana" w:hAnsi="Verdana" w:cs="Arial"/>
                <w:lang w:val="es-ES"/>
              </w:rPr>
            </w:pPr>
            <w:r w:rsidRPr="00AC1737">
              <w:rPr>
                <w:rFonts w:ascii="Verdana" w:hAnsi="Verdana" w:cs="Arial"/>
                <w:lang w:val="es-ES"/>
              </w:rPr>
              <w:t xml:space="preserve">Consejo de Estado. Sección Tercera. Subsección A. Sentencia del 24 de junio de 2015. </w:t>
            </w:r>
            <w:proofErr w:type="spellStart"/>
            <w:r w:rsidRPr="00AC1737">
              <w:rPr>
                <w:rFonts w:ascii="Verdana" w:hAnsi="Verdana" w:cs="Arial"/>
                <w:lang w:val="es-ES"/>
              </w:rPr>
              <w:t>Exp</w:t>
            </w:r>
            <w:proofErr w:type="spellEnd"/>
            <w:r w:rsidRPr="00AC1737">
              <w:rPr>
                <w:rFonts w:ascii="Verdana" w:hAnsi="Verdana" w:cs="Arial"/>
                <w:lang w:val="es-ES"/>
              </w:rPr>
              <w:t>. 40.635. C.P. Hernán Andrade Rincón (E).</w:t>
            </w:r>
          </w:p>
          <w:p w14:paraId="7D542E0D" w14:textId="77777777" w:rsidR="005D3816" w:rsidRPr="00AC1737" w:rsidRDefault="005D3816" w:rsidP="005D3816">
            <w:pPr>
              <w:numPr>
                <w:ilvl w:val="0"/>
                <w:numId w:val="26"/>
              </w:numPr>
              <w:spacing w:before="120" w:after="120" w:line="276" w:lineRule="auto"/>
              <w:ind w:left="640" w:hanging="357"/>
              <w:jc w:val="both"/>
              <w:rPr>
                <w:rFonts w:ascii="Verdana" w:hAnsi="Verdana" w:cs="Arial"/>
                <w:lang w:val="es-ES"/>
              </w:rPr>
            </w:pPr>
            <w:r w:rsidRPr="00AC1737">
              <w:rPr>
                <w:rFonts w:ascii="Verdana" w:hAnsi="Verdana" w:cs="Arial"/>
                <w:lang w:val="es-ES"/>
              </w:rPr>
              <w:t>DAVILA VINUEZA, Luis Guillermo Régimen jurídico de la contratación estatal: aproximación crítica a Ley 80 de 1993. 3ª ed. Bogotá: Legis, 2016.</w:t>
            </w:r>
          </w:p>
        </w:tc>
      </w:tr>
    </w:tbl>
    <w:p w14:paraId="087E27EB" w14:textId="77777777" w:rsidR="005D3816" w:rsidRPr="0060163E" w:rsidRDefault="005D3816" w:rsidP="005D3816">
      <w:pPr>
        <w:spacing w:after="0" w:line="276" w:lineRule="auto"/>
        <w:ind w:left="360"/>
        <w:contextualSpacing/>
        <w:rPr>
          <w:rFonts w:ascii="Verdana" w:eastAsia="Calibri" w:hAnsi="Verdana" w:cs="Times New Roman"/>
          <w:b/>
          <w:bCs/>
          <w:lang w:val="es-ES"/>
        </w:rPr>
      </w:pPr>
    </w:p>
    <w:p w14:paraId="6ACE0F7A" w14:textId="77777777" w:rsidR="005D3816" w:rsidRPr="0060163E" w:rsidRDefault="005D3816" w:rsidP="005D3816">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V. </w:t>
      </w:r>
      <w:r w:rsidRPr="0060163E">
        <w:rPr>
          <w:rFonts w:ascii="Verdana" w:eastAsia="Calibri" w:hAnsi="Verdana" w:cs="Times New Roman"/>
          <w:b/>
          <w:bCs/>
          <w:lang w:val="es-ES"/>
        </w:rPr>
        <w:t>Doctrina de la Agencia Nacional de Contratación Pública:</w:t>
      </w:r>
    </w:p>
    <w:p w14:paraId="7E34A27E" w14:textId="77777777" w:rsidR="005D3816" w:rsidRPr="0060163E" w:rsidRDefault="005D3816" w:rsidP="005D3816">
      <w:pPr>
        <w:spacing w:after="0" w:line="276" w:lineRule="auto"/>
        <w:rPr>
          <w:rFonts w:ascii="Verdana" w:eastAsia="Calibri" w:hAnsi="Verdana" w:cs="Times New Roman"/>
          <w:lang w:val="es-ES"/>
        </w:rPr>
      </w:pPr>
    </w:p>
    <w:p w14:paraId="444AC09F" w14:textId="77777777" w:rsidR="005D3816" w:rsidRPr="00913D97" w:rsidRDefault="005D3816" w:rsidP="005D3816">
      <w:pPr>
        <w:widowControl w:val="0"/>
        <w:autoSpaceDE w:val="0"/>
        <w:autoSpaceDN w:val="0"/>
        <w:spacing w:after="0" w:line="276" w:lineRule="auto"/>
        <w:jc w:val="both"/>
        <w:rPr>
          <w:rFonts w:ascii="Verdana" w:hAnsi="Verdana" w:cs="Arial"/>
          <w:shd w:val="clear" w:color="auto" w:fill="FFFFFF"/>
          <w:lang w:val="es-ES"/>
        </w:rPr>
      </w:pPr>
      <w:r w:rsidRPr="0060163E">
        <w:rPr>
          <w:rFonts w:ascii="Verdana" w:hAnsi="Verdana" w:cs="Arial"/>
          <w:shd w:val="clear" w:color="auto" w:fill="FFFFFF"/>
          <w:lang w:val="es-ES"/>
        </w:rPr>
        <w:t xml:space="preserve">Esta Subdirección se ha pronunciado sobre </w:t>
      </w:r>
      <w:r>
        <w:rPr>
          <w:rFonts w:ascii="Verdana" w:hAnsi="Verdana" w:cs="Arial"/>
          <w:shd w:val="clear" w:color="auto" w:fill="FFFFFF"/>
          <w:lang w:val="es-ES"/>
        </w:rPr>
        <w:t xml:space="preserve">las inhabilidades e incompatibilidades </w:t>
      </w:r>
      <w:r w:rsidRPr="0060163E">
        <w:rPr>
          <w:rFonts w:ascii="Verdana" w:hAnsi="Verdana" w:cs="Arial"/>
          <w:shd w:val="clear" w:color="auto" w:fill="FFFFFF"/>
          <w:lang w:val="es-ES"/>
        </w:rPr>
        <w:t>en algunos conceptos, tales como:</w:t>
      </w:r>
      <w:r w:rsidRPr="0060163E">
        <w:rPr>
          <w:rFonts w:ascii="Arial" w:eastAsia="Calibri" w:hAnsi="Arial" w:cs="Arial"/>
          <w:lang w:val="es-MX"/>
        </w:rPr>
        <w:t xml:space="preserve"> </w:t>
      </w:r>
      <w:r w:rsidRPr="0060163E">
        <w:rPr>
          <w:rFonts w:ascii="Verdana" w:hAnsi="Verdana" w:cs="Arial"/>
          <w:shd w:val="clear" w:color="auto" w:fill="FFFFFF"/>
          <w:lang w:val="es-MX"/>
        </w:rPr>
        <w:t>radicados 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w:t>
      </w:r>
      <w:r w:rsidRPr="0060163E">
        <w:rPr>
          <w:rFonts w:ascii="Verdana" w:hAnsi="Verdana" w:cs="Arial"/>
          <w:shd w:val="clear" w:color="auto" w:fill="FFFFFF"/>
          <w:lang w:val="es-MX"/>
        </w:rPr>
        <w:lastRenderedPageBreak/>
        <w:t xml:space="preserve">122 del 30 de marzo de 2021, C–178 del 28 de abril de 2021, C-293 del 28 de agosto de 2021, </w:t>
      </w:r>
      <w:r w:rsidRPr="0060163E">
        <w:rPr>
          <w:rFonts w:ascii="Verdana" w:hAnsi="Verdana" w:cs="Arial"/>
          <w:shd w:val="clear" w:color="auto" w:fill="FFFFFF"/>
          <w:lang w:val="es-ES"/>
        </w:rPr>
        <w:t>C-449 del 31 de agosto de 2021, C-028 del 28 de febrero de 2022, C-318 del 18 de mayo de 2022, C-252 del 30 de mayo de 2022, C-619 del 27 de septiembre de 2022, C-731 de 10 de noviembre de 2022, C-059 de 13 de junio de 2023, C-352 del 22 de diciembre de 2023, C-010 del 31 de enero de 2024, C-023 del 26 de febrero de 2024, C-035 del 24 de abril de 2024, C-039 del 23 de abril de 2024, C-041 del 29 de mayo de 2024, C-067 del 16 de mayo de 2024, C-078 del 4 de junio de 2024, C-289 del 15 de agosto de 2023, C-172 de 25 de julio de 2024, C-271 del 22 de julio de 2024, C-904 del 9 de diciembre de 2024,</w:t>
      </w:r>
      <w:r>
        <w:rPr>
          <w:rFonts w:ascii="Verdana" w:hAnsi="Verdana" w:cs="Arial"/>
          <w:shd w:val="clear" w:color="auto" w:fill="FFFFFF"/>
          <w:lang w:val="es-ES"/>
        </w:rPr>
        <w:t xml:space="preserve"> C-170 del 19 de marzo de 2025, C-392 del 8 de mayo de 2025, C-632 del 2 de julio de 2025, C-710 del 15 de julio de 2025, </w:t>
      </w:r>
      <w:r w:rsidRPr="00913D97">
        <w:rPr>
          <w:rFonts w:ascii="Verdana" w:hAnsi="Verdana" w:cs="Arial"/>
          <w:shd w:val="clear" w:color="auto" w:fill="FFFFFF"/>
          <w:lang w:val="es-ES"/>
        </w:rPr>
        <w:t xml:space="preserve">C-731 del 21 de agosto de 2025, </w:t>
      </w:r>
      <w:r>
        <w:rPr>
          <w:rFonts w:ascii="Verdana" w:hAnsi="Verdana" w:cs="Arial"/>
          <w:shd w:val="clear" w:color="auto" w:fill="FFFFFF"/>
          <w:lang w:val="es-ES"/>
        </w:rPr>
        <w:t xml:space="preserve">C-948 del 19 de agosto de 2025, C-1058 del 5 de septiembre de 2025, </w:t>
      </w:r>
      <w:r w:rsidRPr="00640340">
        <w:rPr>
          <w:rFonts w:ascii="Verdana" w:hAnsi="Verdana" w:cs="Arial"/>
          <w:shd w:val="clear" w:color="auto" w:fill="FFFFFF"/>
          <w:lang w:val="es-ES"/>
        </w:rPr>
        <w:t xml:space="preserve">entre otros. </w:t>
      </w:r>
      <w:r w:rsidRPr="0060163E">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Pr>
          <w:rFonts w:ascii="Verdana" w:eastAsia="Calibri" w:hAnsi="Verdana" w:cs="Times New Roman"/>
        </w:rPr>
        <w:t xml:space="preserve"> </w:t>
      </w:r>
      <w:hyperlink r:id="rId14" w:history="1">
        <w:r w:rsidRPr="0060163E">
          <w:rPr>
            <w:rFonts w:ascii="Verdana" w:eastAsia="Calibri" w:hAnsi="Verdana" w:cs="Times New Roman"/>
            <w:color w:val="0000FF"/>
            <w:u w:val="single"/>
            <w:lang w:val="es-ES"/>
          </w:rPr>
          <w:t>https://relatoria.colombiacompra.gov.co/busqueda/conceptos</w:t>
        </w:r>
      </w:hyperlink>
      <w:r w:rsidRPr="0060163E">
        <w:rPr>
          <w:rFonts w:ascii="Verdana" w:eastAsia="Calibri" w:hAnsi="Verdana" w:cs="Times New Roman"/>
        </w:rPr>
        <w:t xml:space="preserve">. </w:t>
      </w:r>
    </w:p>
    <w:p w14:paraId="02CC6F8E" w14:textId="77777777" w:rsidR="005D3816" w:rsidRPr="0060163E" w:rsidRDefault="005D3816" w:rsidP="005D3816">
      <w:pPr>
        <w:spacing w:after="0" w:line="276" w:lineRule="auto"/>
        <w:jc w:val="both"/>
        <w:rPr>
          <w:rFonts w:ascii="Verdana" w:hAnsi="Verdana"/>
        </w:rPr>
      </w:pPr>
    </w:p>
    <w:p w14:paraId="77E03B40" w14:textId="77777777" w:rsidR="005D3816" w:rsidRPr="00DB2A80" w:rsidRDefault="005D3816" w:rsidP="005D3816">
      <w:pPr>
        <w:spacing w:after="0" w:line="256" w:lineRule="auto"/>
        <w:jc w:val="both"/>
        <w:rPr>
          <w:rFonts w:ascii="Verdana" w:eastAsia="Calibri" w:hAnsi="Verdana" w:cs="Times New Roman"/>
        </w:rPr>
      </w:pPr>
      <w:r w:rsidRPr="00DB2A80">
        <w:rPr>
          <w:rFonts w:ascii="Verdana" w:eastAsia="Calibri" w:hAnsi="Verdana" w:cs="Times New Roman"/>
        </w:rPr>
        <w:t xml:space="preserve">Te informamos que ya se encuentra disponible la </w:t>
      </w:r>
      <w:r w:rsidRPr="00DB2A80">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DB2A80">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B2A80">
        <w:rPr>
          <w:rFonts w:ascii="Verdana" w:eastAsia="Calibri" w:hAnsi="Verdana" w:cs="Times New Roman"/>
        </w:rPr>
        <w:t>Wayúu</w:t>
      </w:r>
      <w:proofErr w:type="spellEnd"/>
      <w:r w:rsidRPr="00DB2A80">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704E0DF2" w14:textId="77777777" w:rsidR="005D3816" w:rsidRPr="00DB2A80" w:rsidRDefault="005D3816" w:rsidP="005D3816">
      <w:pPr>
        <w:spacing w:after="0" w:line="256" w:lineRule="auto"/>
        <w:jc w:val="both"/>
        <w:rPr>
          <w:rFonts w:ascii="Verdana" w:eastAsia="Calibri" w:hAnsi="Verdana" w:cs="Times New Roman"/>
        </w:rPr>
      </w:pPr>
    </w:p>
    <w:p w14:paraId="7D79EBE1" w14:textId="77777777" w:rsidR="005D3816" w:rsidRPr="00DB2A80" w:rsidRDefault="005D3816" w:rsidP="005D3816">
      <w:pPr>
        <w:spacing w:after="0" w:line="256" w:lineRule="auto"/>
        <w:jc w:val="both"/>
        <w:rPr>
          <w:rFonts w:ascii="Verdana" w:eastAsia="Calibri" w:hAnsi="Verdana" w:cs="Times New Roman"/>
          <w:bCs/>
          <w:lang w:val="es-ES_tradnl"/>
        </w:rPr>
      </w:pPr>
      <w:r w:rsidRPr="00DB2A80">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95B1764" w14:textId="77777777" w:rsidR="005D3816" w:rsidRPr="00DB2A80" w:rsidRDefault="005D3816" w:rsidP="005D3816">
      <w:pPr>
        <w:spacing w:after="0" w:line="256" w:lineRule="auto"/>
        <w:jc w:val="both"/>
        <w:rPr>
          <w:rFonts w:ascii="Verdana" w:eastAsia="Calibri" w:hAnsi="Verdana" w:cs="Times New Roman"/>
        </w:rPr>
      </w:pPr>
    </w:p>
    <w:p w14:paraId="469D2C86" w14:textId="77777777" w:rsidR="005D3816" w:rsidRPr="00DB2A80" w:rsidRDefault="005D3816" w:rsidP="005D3816">
      <w:pPr>
        <w:spacing w:after="0" w:line="256" w:lineRule="auto"/>
        <w:jc w:val="both"/>
        <w:rPr>
          <w:rFonts w:ascii="Verdana" w:eastAsia="Calibri" w:hAnsi="Verdana" w:cs="Times New Roman"/>
        </w:rPr>
      </w:pPr>
      <w:r w:rsidRPr="00DB2A80">
        <w:rPr>
          <w:rFonts w:ascii="Verdana" w:eastAsia="Calibri" w:hAnsi="Verdana" w:cs="Times New Roman"/>
        </w:rPr>
        <w:t>Atentamente,</w:t>
      </w:r>
    </w:p>
    <w:p w14:paraId="16C1D850" w14:textId="77777777" w:rsidR="005D3816" w:rsidRPr="00DB2A80" w:rsidRDefault="005D3816" w:rsidP="005D3816">
      <w:pPr>
        <w:spacing w:after="0" w:line="256" w:lineRule="auto"/>
        <w:rPr>
          <w:rFonts w:ascii="Century Gothic" w:hAnsi="Century Gothic"/>
          <w:noProof/>
          <w:lang w:val="en-US"/>
        </w:rPr>
      </w:pPr>
    </w:p>
    <w:p w14:paraId="2594416B" w14:textId="025A0533" w:rsidR="005D3816" w:rsidRPr="00DB2A80" w:rsidRDefault="00636D0E" w:rsidP="005D3816">
      <w:pPr>
        <w:spacing w:after="0" w:line="256" w:lineRule="auto"/>
        <w:jc w:val="center"/>
        <w:rPr>
          <w:rFonts w:ascii="Century Gothic" w:hAnsi="Century Gothic"/>
          <w:noProof/>
          <w:lang w:val="en-US"/>
        </w:rPr>
      </w:pPr>
      <w:r w:rsidRPr="002C3AD6">
        <w:rPr>
          <w:rFonts w:ascii="Century Gothic" w:hAnsi="Century Gothic"/>
          <w:noProof/>
          <w:lang w:val="en-US"/>
        </w:rPr>
        <w:lastRenderedPageBreak/>
        <w:drawing>
          <wp:inline distT="0" distB="0" distL="0" distR="0" wp14:anchorId="5286155F" wp14:editId="7CEEBEEB">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312722" cy="1229722"/>
                    </a:xfrm>
                    <a:prstGeom prst="rect">
                      <a:avLst/>
                    </a:prstGeom>
                  </pic:spPr>
                </pic:pic>
              </a:graphicData>
            </a:graphic>
          </wp:inline>
        </w:drawing>
      </w:r>
    </w:p>
    <w:p w14:paraId="439E5CDE" w14:textId="77777777" w:rsidR="005D3816" w:rsidRPr="00DB2A80" w:rsidRDefault="005D3816" w:rsidP="005D3816">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5D3816" w:rsidRPr="00DB2A80" w14:paraId="71B599C6" w14:textId="77777777" w:rsidTr="00246837">
        <w:trPr>
          <w:trHeight w:val="409"/>
        </w:trPr>
        <w:tc>
          <w:tcPr>
            <w:tcW w:w="817" w:type="dxa"/>
            <w:tcBorders>
              <w:top w:val="nil"/>
              <w:left w:val="nil"/>
              <w:bottom w:val="nil"/>
              <w:right w:val="nil"/>
            </w:tcBorders>
            <w:vAlign w:val="center"/>
            <w:hideMark/>
          </w:tcPr>
          <w:p w14:paraId="2D5D96ED" w14:textId="77777777" w:rsidR="005D3816" w:rsidRPr="00DB2A80" w:rsidRDefault="005D3816" w:rsidP="00246837">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7A73D99C" w14:textId="77777777" w:rsidR="005D3816" w:rsidRPr="00DB2A80" w:rsidRDefault="005D3816" w:rsidP="00246837">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José Luis Sánchez Cardona</w:t>
            </w:r>
          </w:p>
          <w:p w14:paraId="49703BDE" w14:textId="77777777" w:rsidR="005D3816" w:rsidRPr="00DB2A80" w:rsidRDefault="005D3816" w:rsidP="00246837">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Contratista de la Subdirección de Gestión Contractual</w:t>
            </w:r>
          </w:p>
        </w:tc>
      </w:tr>
      <w:tr w:rsidR="005D3816" w:rsidRPr="00DB2A80" w14:paraId="4330E90C" w14:textId="77777777" w:rsidTr="00246837">
        <w:trPr>
          <w:trHeight w:val="409"/>
        </w:trPr>
        <w:tc>
          <w:tcPr>
            <w:tcW w:w="817" w:type="dxa"/>
            <w:tcBorders>
              <w:top w:val="nil"/>
              <w:left w:val="nil"/>
              <w:bottom w:val="nil"/>
              <w:right w:val="nil"/>
            </w:tcBorders>
            <w:vAlign w:val="center"/>
            <w:hideMark/>
          </w:tcPr>
          <w:p w14:paraId="5ED930DF" w14:textId="77777777" w:rsidR="005D3816" w:rsidRPr="00DB2A80" w:rsidRDefault="005D3816" w:rsidP="00246837">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D34C33D" w14:textId="77777777" w:rsidR="005D3816" w:rsidRPr="00DB2A80" w:rsidRDefault="005D3816" w:rsidP="00246837">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Alejandro Sarmiento Cantillo</w:t>
            </w:r>
          </w:p>
          <w:p w14:paraId="7C32C809" w14:textId="77777777" w:rsidR="005D3816" w:rsidRPr="00DB2A80" w:rsidRDefault="005D3816" w:rsidP="00246837">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Gestor T1-15 de la Subdirección de Gestión Contractual </w:t>
            </w:r>
          </w:p>
        </w:tc>
      </w:tr>
      <w:tr w:rsidR="005D3816" w:rsidRPr="00DB2A80" w14:paraId="09083F66" w14:textId="77777777" w:rsidTr="00246837">
        <w:trPr>
          <w:trHeight w:val="389"/>
        </w:trPr>
        <w:tc>
          <w:tcPr>
            <w:tcW w:w="817" w:type="dxa"/>
            <w:tcBorders>
              <w:top w:val="nil"/>
              <w:left w:val="nil"/>
              <w:bottom w:val="nil"/>
              <w:right w:val="nil"/>
            </w:tcBorders>
            <w:vAlign w:val="center"/>
            <w:hideMark/>
          </w:tcPr>
          <w:p w14:paraId="46693ADD" w14:textId="77777777" w:rsidR="005D3816" w:rsidRPr="00DB2A80" w:rsidRDefault="005D3816" w:rsidP="00246837">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E041164" w14:textId="77777777" w:rsidR="005D3816" w:rsidRPr="00DB2A80" w:rsidRDefault="005D3816" w:rsidP="00246837">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 xml:space="preserve">Carolina Quintero </w:t>
            </w:r>
            <w:proofErr w:type="spellStart"/>
            <w:r w:rsidRPr="00DB2A80">
              <w:rPr>
                <w:rFonts w:ascii="Verdana" w:eastAsia="Calibri" w:hAnsi="Verdana" w:cs="Times New Roman"/>
                <w:sz w:val="16"/>
                <w:szCs w:val="16"/>
              </w:rPr>
              <w:t>Gacharná</w:t>
            </w:r>
            <w:proofErr w:type="spellEnd"/>
          </w:p>
          <w:p w14:paraId="0D1C12C1" w14:textId="77777777" w:rsidR="005D3816" w:rsidRPr="00DB2A80" w:rsidRDefault="005D3816" w:rsidP="00246837">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Subdirectora de Gestión Contractual ANCP – CCE</w:t>
            </w:r>
          </w:p>
        </w:tc>
      </w:tr>
    </w:tbl>
    <w:p w14:paraId="1C74D1E5" w14:textId="77777777" w:rsidR="005D3816" w:rsidRPr="00492C00" w:rsidRDefault="005D3816" w:rsidP="005D3816">
      <w:pPr>
        <w:rPr>
          <w:rFonts w:ascii="Verdana" w:hAnsi="Verdana"/>
        </w:rPr>
      </w:pPr>
    </w:p>
    <w:p w14:paraId="48A50D9D" w14:textId="77777777" w:rsidR="005D3816" w:rsidRPr="00502A4C" w:rsidRDefault="005D3816" w:rsidP="005D3816"/>
    <w:bookmarkEnd w:id="0"/>
    <w:p w14:paraId="7F082E8D" w14:textId="77777777" w:rsidR="005D3816" w:rsidRPr="0044528D" w:rsidRDefault="005D3816" w:rsidP="005D3816">
      <w:pPr>
        <w:spacing w:after="0"/>
        <w:rPr>
          <w:rFonts w:ascii="Verdana" w:hAnsi="Verdana"/>
        </w:rPr>
      </w:pPr>
    </w:p>
    <w:p w14:paraId="0F293BF4" w14:textId="5961745C" w:rsidR="00127233" w:rsidRPr="005D3816" w:rsidRDefault="00127233" w:rsidP="005D3816"/>
    <w:sectPr w:rsidR="00127233" w:rsidRPr="005D381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244D9E" w14:textId="77777777" w:rsidR="00F4520E" w:rsidRDefault="00F4520E" w:rsidP="004A1847">
      <w:pPr>
        <w:spacing w:after="0" w:line="240" w:lineRule="auto"/>
      </w:pPr>
      <w:r>
        <w:separator/>
      </w:r>
    </w:p>
  </w:endnote>
  <w:endnote w:type="continuationSeparator" w:id="0">
    <w:p w14:paraId="28402709" w14:textId="77777777" w:rsidR="00F4520E" w:rsidRDefault="00F4520E" w:rsidP="004A1847">
      <w:pPr>
        <w:spacing w:after="0" w:line="240" w:lineRule="auto"/>
      </w:pPr>
      <w:r>
        <w:continuationSeparator/>
      </w:r>
    </w:p>
  </w:endnote>
  <w:endnote w:type="continuationNotice" w:id="1">
    <w:p w14:paraId="16CD99B2" w14:textId="77777777" w:rsidR="00F4520E" w:rsidRDefault="00F4520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350BE1" w:rsidRDefault="00350BE1">
    <w:pPr>
      <w:pStyle w:val="Piedepgina"/>
    </w:pPr>
  </w:p>
  <w:p w14:paraId="594D6D9F" w14:textId="2A31E846" w:rsidR="00350BE1" w:rsidRPr="00174B77" w:rsidRDefault="00350BE1"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380552">
      <w:rPr>
        <w:rFonts w:ascii="Verdana" w:eastAsia="MS Gothic" w:hAnsi="Verdana" w:cs="Times New Roman"/>
        <w:b/>
        <w:bCs/>
        <w:sz w:val="16"/>
        <w:szCs w:val="16"/>
        <w:lang w:val="es-ES"/>
      </w:rPr>
      <w:t xml:space="preserve">pág. </w:t>
    </w:r>
    <w:r w:rsidRPr="00380552">
      <w:rPr>
        <w:rFonts w:ascii="Verdana" w:eastAsia="MS Mincho" w:hAnsi="Verdana"/>
        <w:b/>
        <w:bCs/>
        <w:sz w:val="16"/>
        <w:szCs w:val="16"/>
      </w:rPr>
      <w:fldChar w:fldCharType="begin"/>
    </w:r>
    <w:r w:rsidRPr="002E1330">
      <w:rPr>
        <w:rFonts w:ascii="Verdana" w:hAnsi="Verdana"/>
        <w:b/>
        <w:bCs/>
        <w:sz w:val="16"/>
        <w:szCs w:val="16"/>
      </w:rPr>
      <w:instrText>PAGE    \* MERGEFORMAT</w:instrText>
    </w:r>
    <w:r w:rsidRPr="00380552">
      <w:rPr>
        <w:rFonts w:ascii="Verdana" w:eastAsia="MS Mincho" w:hAnsi="Verdana"/>
        <w:b/>
        <w:bCs/>
        <w:sz w:val="16"/>
        <w:szCs w:val="16"/>
      </w:rPr>
      <w:fldChar w:fldCharType="separate"/>
    </w:r>
    <w:r w:rsidR="006E5C0C" w:rsidRPr="006E5C0C">
      <w:rPr>
        <w:rFonts w:ascii="Verdana" w:eastAsia="MS Mincho" w:hAnsi="Verdana"/>
        <w:b/>
        <w:bCs/>
        <w:noProof/>
        <w:sz w:val="16"/>
        <w:szCs w:val="16"/>
      </w:rPr>
      <w:t>3</w:t>
    </w:r>
    <w:r w:rsidRPr="00380552">
      <w:rPr>
        <w:rFonts w:ascii="Verdana" w:eastAsia="MS Gothic"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50BE1" w:rsidRDefault="00350BE1"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50BE1" w:rsidRPr="00E41027" w:rsidRDefault="00350BE1"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350BE1" w:rsidRDefault="00350BE1"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02E33E" w14:textId="77777777" w:rsidR="00F4520E" w:rsidRDefault="00F4520E" w:rsidP="004A1847">
      <w:pPr>
        <w:spacing w:after="0" w:line="240" w:lineRule="auto"/>
      </w:pPr>
      <w:r>
        <w:separator/>
      </w:r>
    </w:p>
  </w:footnote>
  <w:footnote w:type="continuationSeparator" w:id="0">
    <w:p w14:paraId="12537C3B" w14:textId="77777777" w:rsidR="00F4520E" w:rsidRDefault="00F4520E" w:rsidP="004A1847">
      <w:pPr>
        <w:spacing w:after="0" w:line="240" w:lineRule="auto"/>
      </w:pPr>
      <w:r>
        <w:continuationSeparator/>
      </w:r>
    </w:p>
  </w:footnote>
  <w:footnote w:type="continuationNotice" w:id="1">
    <w:p w14:paraId="2D3B69F7" w14:textId="77777777" w:rsidR="00F4520E" w:rsidRDefault="00F4520E">
      <w:pPr>
        <w:spacing w:after="0" w:line="240" w:lineRule="auto"/>
      </w:pPr>
    </w:p>
  </w:footnote>
  <w:footnote w:id="2">
    <w:p w14:paraId="0778F4C2" w14:textId="77777777" w:rsidR="005D3816" w:rsidRPr="00DB7B3E" w:rsidRDefault="005D3816" w:rsidP="005D3816">
      <w:pPr>
        <w:pStyle w:val="Textonotapie"/>
        <w:ind w:firstLine="708"/>
        <w:jc w:val="both"/>
        <w:rPr>
          <w:rFonts w:ascii="Verdana" w:hAnsi="Verdana"/>
          <w:sz w:val="16"/>
          <w:szCs w:val="16"/>
        </w:rPr>
      </w:pPr>
      <w:r w:rsidRPr="00DB7B3E">
        <w:rPr>
          <w:rFonts w:ascii="Verdana" w:hAnsi="Verdana"/>
          <w:sz w:val="16"/>
          <w:szCs w:val="16"/>
          <w:vertAlign w:val="superscript"/>
        </w:rPr>
        <w:footnoteRef/>
      </w:r>
      <w:r w:rsidRPr="00530620">
        <w:rPr>
          <w:rFonts w:ascii="Verdana" w:hAnsi="Verdana"/>
          <w:sz w:val="16"/>
          <w:szCs w:val="16"/>
          <w:lang w:val="pt-BR"/>
        </w:rPr>
        <w:t xml:space="preserve"> Corte Constitucional. Sentencia C-181 de 1997. </w:t>
      </w:r>
      <w:r w:rsidRPr="00DB7B3E">
        <w:rPr>
          <w:rFonts w:ascii="Verdana" w:hAnsi="Verdana"/>
          <w:sz w:val="16"/>
          <w:szCs w:val="16"/>
        </w:rPr>
        <w:t>M.P. Fabio Morón Díaz. Ver también las Sentencias C-540 de 2001, C-893 de 2003 y C-903 de 2008, entre otras.</w:t>
      </w:r>
    </w:p>
  </w:footnote>
  <w:footnote w:id="3">
    <w:p w14:paraId="46527411" w14:textId="77777777" w:rsidR="005D3816" w:rsidRPr="00E34BBF" w:rsidRDefault="005D3816" w:rsidP="005D3816">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Corte Constitucional. Sentencia C-1016 de 2012. M.P. Jorge Iván Palacio.</w:t>
      </w:r>
    </w:p>
  </w:footnote>
  <w:footnote w:id="4">
    <w:p w14:paraId="643B95DA" w14:textId="77777777" w:rsidR="005D3816" w:rsidRPr="00E34BBF" w:rsidRDefault="005D3816" w:rsidP="005D3816">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sz w:val="16"/>
          <w:szCs w:val="16"/>
        </w:rPr>
        <w:t>Consejo d</w:t>
      </w:r>
      <w:r w:rsidRPr="00E34BBF">
        <w:rPr>
          <w:rFonts w:ascii="Verdana" w:hAnsi="Verdana"/>
          <w:sz w:val="16"/>
          <w:szCs w:val="16"/>
        </w:rPr>
        <w:t xml:space="preserve">e Estado. Sección Tercera. Subsección A. Sentencia del 13 de noviembre de 2013. </w:t>
      </w:r>
      <w:r w:rsidRPr="00E34BBF">
        <w:rPr>
          <w:rFonts w:ascii="Verdana" w:hAnsi="Verdana"/>
          <w:sz w:val="16"/>
          <w:szCs w:val="16"/>
          <w:lang w:val="pt-BR"/>
        </w:rPr>
        <w:t xml:space="preserve">Rad. 25.646. C.P. Mauricio Fajardo Gómez.  </w:t>
      </w:r>
    </w:p>
    <w:p w14:paraId="5CF0B8B1" w14:textId="77777777" w:rsidR="005D3816" w:rsidRPr="00E34BBF" w:rsidRDefault="005D3816" w:rsidP="005D3816">
      <w:pPr>
        <w:pStyle w:val="Textonotapie"/>
        <w:jc w:val="both"/>
        <w:rPr>
          <w:rFonts w:ascii="Verdana" w:hAnsi="Verdana"/>
          <w:sz w:val="16"/>
          <w:szCs w:val="16"/>
          <w:lang w:val="pt-BR"/>
        </w:rPr>
      </w:pPr>
    </w:p>
  </w:footnote>
  <w:footnote w:id="5">
    <w:p w14:paraId="19EA38BE" w14:textId="77777777" w:rsidR="005D3816" w:rsidRPr="00E34BBF" w:rsidRDefault="005D3816" w:rsidP="005D3816">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Corte Constitucional. Sentencia C-415 de 1994. M.P. Eduardo Cifuentes Muñoz.</w:t>
      </w:r>
    </w:p>
  </w:footnote>
  <w:footnote w:id="6">
    <w:p w14:paraId="498F8DB7" w14:textId="77777777" w:rsidR="005D3816" w:rsidRPr="00E34BBF" w:rsidRDefault="005D3816" w:rsidP="005D3816">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Ibídem.</w:t>
      </w:r>
    </w:p>
    <w:p w14:paraId="233C8444" w14:textId="77777777" w:rsidR="005D3816" w:rsidRPr="00E34BBF" w:rsidRDefault="005D3816" w:rsidP="005D3816">
      <w:pPr>
        <w:pStyle w:val="Textonotapie"/>
        <w:jc w:val="both"/>
        <w:rPr>
          <w:rFonts w:ascii="Verdana" w:hAnsi="Verdana"/>
          <w:sz w:val="16"/>
          <w:szCs w:val="16"/>
          <w:lang w:val="pt-BR"/>
        </w:rPr>
      </w:pPr>
    </w:p>
  </w:footnote>
  <w:footnote w:id="7">
    <w:p w14:paraId="63AAF5EC" w14:textId="77777777" w:rsidR="005D3816" w:rsidRPr="00E34BBF" w:rsidRDefault="005D3816" w:rsidP="005D3816">
      <w:pPr>
        <w:pStyle w:val="Textonotapie"/>
        <w:ind w:firstLine="708"/>
        <w:jc w:val="both"/>
        <w:rPr>
          <w:rFonts w:ascii="Verdana" w:hAnsi="Verdana"/>
          <w:sz w:val="16"/>
          <w:szCs w:val="16"/>
          <w:lang w:val="es-CO"/>
        </w:rPr>
      </w:pPr>
      <w:r w:rsidRPr="00E34BBF">
        <w:rPr>
          <w:rStyle w:val="Refdenotaalpie"/>
          <w:rFonts w:ascii="Verdana" w:hAnsi="Verdana"/>
          <w:sz w:val="16"/>
          <w:szCs w:val="16"/>
        </w:rPr>
        <w:footnoteRef/>
      </w:r>
      <w:r w:rsidRPr="00E34BBF">
        <w:rPr>
          <w:rFonts w:ascii="Verdana" w:hAnsi="Verdana"/>
          <w:sz w:val="16"/>
          <w:szCs w:val="16"/>
          <w:lang w:val="pt-BR"/>
        </w:rPr>
        <w:t xml:space="preserve"> CORTE CONSTITUCIONAL. </w:t>
      </w:r>
      <w:r w:rsidRPr="00E34BBF">
        <w:rPr>
          <w:rFonts w:ascii="Verdana" w:hAnsi="Verdana"/>
          <w:sz w:val="16"/>
          <w:szCs w:val="16"/>
        </w:rPr>
        <w:t xml:space="preserve">Sentencia C-780 de 2001. </w:t>
      </w:r>
      <w:r w:rsidRPr="00E34BBF">
        <w:rPr>
          <w:rFonts w:ascii="Verdana" w:hAnsi="Verdana"/>
          <w:sz w:val="16"/>
          <w:szCs w:val="16"/>
          <w:lang w:val="es-CO"/>
        </w:rPr>
        <w:t xml:space="preserve">M.P. Jaime Córdoba Triviño. </w:t>
      </w:r>
    </w:p>
    <w:p w14:paraId="30A95B0B" w14:textId="77777777" w:rsidR="005D3816" w:rsidRPr="00E34BBF" w:rsidRDefault="005D3816" w:rsidP="005D3816">
      <w:pPr>
        <w:pStyle w:val="Textonotapie"/>
        <w:jc w:val="both"/>
        <w:rPr>
          <w:rFonts w:ascii="Verdana" w:hAnsi="Verdana"/>
          <w:sz w:val="16"/>
          <w:szCs w:val="16"/>
          <w:lang w:val="es-CO"/>
        </w:rPr>
      </w:pPr>
    </w:p>
  </w:footnote>
  <w:footnote w:id="8">
    <w:p w14:paraId="6C167595" w14:textId="77777777" w:rsidR="005D3816" w:rsidRPr="00E34BBF" w:rsidRDefault="005D3816" w:rsidP="005D3816">
      <w:pPr>
        <w:pStyle w:val="NormalWeb"/>
        <w:spacing w:before="0" w:beforeAutospacing="0" w:after="0" w:afterAutospacing="0"/>
        <w:ind w:firstLine="708"/>
        <w:jc w:val="both"/>
        <w:rPr>
          <w:rFonts w:ascii="Verdana" w:eastAsia="Calibri" w:hAnsi="Verdana" w:cs="Arial"/>
          <w:sz w:val="16"/>
          <w:szCs w:val="16"/>
          <w:lang w:val="es-ES" w:eastAsia="en-US"/>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eastAsia="Calibri" w:hAnsi="Verdana" w:cs="Arial"/>
          <w:sz w:val="16"/>
          <w:szCs w:val="16"/>
          <w:lang w:val="es-ES" w:eastAsia="en-US"/>
        </w:rPr>
        <w:t>Ley 80 de 1993: “</w:t>
      </w:r>
      <w:r w:rsidRPr="00E34BBF">
        <w:rPr>
          <w:rFonts w:ascii="Verdana" w:eastAsia="Calibri" w:hAnsi="Verdana" w:cs="Arial"/>
          <w:sz w:val="16"/>
          <w:szCs w:val="16"/>
          <w:lang w:val="es-ES" w:eastAsia="en-US"/>
        </w:rPr>
        <w:t>Artículo 8: 1o. Son inhábiles para participar en licitaciones o concursos y para celebrar contratos con las entidades estatales: </w:t>
      </w:r>
    </w:p>
    <w:p w14:paraId="34A9C4FF" w14:textId="77777777" w:rsidR="005D3816" w:rsidRPr="00E34BBF" w:rsidRDefault="005D3816" w:rsidP="005D3816">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a) Las personas que se hallen inhabilitadas para contratar por la Constitución y las leyes. </w:t>
      </w:r>
    </w:p>
    <w:p w14:paraId="6FF74BD1" w14:textId="77777777" w:rsidR="005D3816" w:rsidRPr="00E34BBF" w:rsidRDefault="005D3816" w:rsidP="005D3816">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b) Quienes participaron en las licitaciones o concursos o celebraron los contratos de que trata el literal anterior estando inhabilitados. </w:t>
      </w:r>
    </w:p>
    <w:p w14:paraId="7D248151" w14:textId="77777777" w:rsidR="005D3816" w:rsidRPr="00E34BBF" w:rsidRDefault="005D3816" w:rsidP="005D3816">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c) Quienes dieron lugar a la declaratoria de caducidad. </w:t>
      </w:r>
    </w:p>
    <w:p w14:paraId="7C81EBF2" w14:textId="77777777" w:rsidR="005D3816" w:rsidRPr="00E34BBF" w:rsidRDefault="005D3816" w:rsidP="005D3816">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d) Quienes en sentencia judicial hayan sido condenados a la pena accesoria de interdicción de derechos y funciones públicas y quienes hayan sido sancionados disciplinariamente con destitución. </w:t>
      </w:r>
    </w:p>
    <w:p w14:paraId="1F4595EE" w14:textId="77777777" w:rsidR="005D3816" w:rsidRPr="00E34BBF" w:rsidRDefault="005D3816" w:rsidP="005D3816">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e) Quienes sin justa causa se abstengan de suscribir el contrato estatal adjudicado. </w:t>
      </w:r>
    </w:p>
    <w:p w14:paraId="4B959E68" w14:textId="77777777" w:rsidR="005D3816" w:rsidRPr="00E34BBF" w:rsidRDefault="005D3816" w:rsidP="005D3816">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f) Los servidores públicos. </w:t>
      </w:r>
    </w:p>
    <w:p w14:paraId="45EAD88B" w14:textId="77777777" w:rsidR="005D3816" w:rsidRPr="00E34BBF" w:rsidRDefault="005D3816" w:rsidP="005D3816">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g) Quienes sean cónyuges o compañeros permanentes y quienes se encuentren dentro del segundo grado de consanguinidad o segundo de afinidad con cualquier otra persona que formalmente haya presentado propuesta para una misma licitación o concurso. </w:t>
      </w:r>
    </w:p>
    <w:p w14:paraId="5D822163" w14:textId="77777777" w:rsidR="005D3816" w:rsidRPr="00E34BBF" w:rsidRDefault="005D3816" w:rsidP="005D3816">
      <w:pPr>
        <w:pStyle w:val="NormalWeb"/>
        <w:spacing w:before="0" w:beforeAutospacing="0" w:after="0" w:afterAutospacing="0"/>
        <w:ind w:firstLine="708"/>
        <w:jc w:val="both"/>
        <w:rPr>
          <w:rFonts w:ascii="Verdana" w:eastAsia="Calibri" w:hAnsi="Verdana" w:cs="Arial"/>
          <w:sz w:val="16"/>
          <w:szCs w:val="16"/>
          <w:lang w:val="es-ES" w:eastAsia="en-US"/>
        </w:rPr>
      </w:pPr>
      <w:r w:rsidRPr="00E34BBF">
        <w:rPr>
          <w:rFonts w:ascii="Verdana" w:eastAsia="Calibri" w:hAnsi="Verdana" w:cs="Arial"/>
          <w:sz w:val="16"/>
          <w:szCs w:val="16"/>
          <w:lang w:val="es-ES" w:eastAsia="en-U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 </w:t>
      </w:r>
    </w:p>
    <w:p w14:paraId="6447CB73" w14:textId="77777777" w:rsidR="005D3816" w:rsidRPr="00E34BBF" w:rsidRDefault="005D3816" w:rsidP="005D3816">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i) Los socios de sociedades de personas a las cuales se haya declarado la caducidad, así como las sociedades de personas de las que aquellos formen parte con posterioridad a dicha declaratoria. </w:t>
      </w:r>
    </w:p>
    <w:p w14:paraId="3154D79D" w14:textId="77777777" w:rsidR="005D3816" w:rsidRPr="00E34BBF" w:rsidRDefault="005D3816" w:rsidP="005D3816">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concurso, o de la de celebración del contrato, o de la de expiración del plazo para su firma. </w:t>
      </w:r>
    </w:p>
    <w:p w14:paraId="1EE07DE6" w14:textId="77777777" w:rsidR="005D3816" w:rsidRPr="00E34BBF" w:rsidRDefault="005D3816" w:rsidP="005D3816">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w:t>
      </w:r>
    </w:p>
    <w:p w14:paraId="254AAE8F" w14:textId="77777777" w:rsidR="005D3816" w:rsidRPr="00E34BBF" w:rsidRDefault="005D3816" w:rsidP="005D3816">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Esta inhabilidad procederá preventivamente aún en los casos en los que esté pendiente la decisión sobre la impugnación de la sentencia condenatoria. Asimismo, la inhabilidad se extenderá a las sociedades de las que hagan parte dichas personas en calidad de administradores, represen</w:t>
      </w:r>
      <w:r w:rsidRPr="00E34BBF">
        <w:rPr>
          <w:rFonts w:ascii="Verdana" w:eastAsia="Calibri" w:hAnsi="Verdana" w:cs="Arial"/>
          <w:sz w:val="16"/>
          <w:szCs w:val="16"/>
          <w:lang w:val="es-ES" w:eastAsia="en-US"/>
        </w:rPr>
        <w:softHyphen/>
        <w:t>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w:t>
      </w:r>
      <w:r w:rsidRPr="00E34BBF">
        <w:rPr>
          <w:rFonts w:ascii="Verdana" w:eastAsia="Calibri" w:hAnsi="Verdana" w:cs="Arial"/>
          <w:sz w:val="16"/>
          <w:szCs w:val="16"/>
          <w:lang w:val="es-ES" w:eastAsia="en-US"/>
        </w:rPr>
        <w:softHyphen/>
        <w:t>cepción de las sociedades anónimas abiertas. También se considerarán inhabilitadas para contratar, las personas jurídicas sobre las cuales se haya ordenado la suspensión de la perso</w:t>
      </w:r>
      <w:r w:rsidRPr="00E34BBF">
        <w:rPr>
          <w:rFonts w:ascii="Verdana" w:eastAsia="Calibri" w:hAnsi="Verdana" w:cs="Arial"/>
          <w:sz w:val="16"/>
          <w:szCs w:val="16"/>
          <w:lang w:val="es-ES" w:eastAsia="en-US"/>
        </w:rPr>
        <w:softHyphen/>
        <w:t>nería jurídica en los términos de ley, o cuyos representantes legales, ad</w:t>
      </w:r>
      <w:r w:rsidRPr="00E34BBF">
        <w:rPr>
          <w:rFonts w:ascii="Verdana" w:eastAsia="Calibri" w:hAnsi="Verdana" w:cs="Arial"/>
          <w:sz w:val="16"/>
          <w:szCs w:val="16"/>
          <w:lang w:val="es-ES" w:eastAsia="en-US"/>
        </w:rPr>
        <w:softHyphen/>
        <w:t>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  La inhabilidad prevista en este literal se extenderá de forma perma</w:t>
      </w:r>
      <w:r w:rsidRPr="00E34BBF">
        <w:rPr>
          <w:rFonts w:ascii="Verdana" w:eastAsia="Calibri" w:hAnsi="Verdana" w:cs="Arial"/>
          <w:sz w:val="16"/>
          <w:szCs w:val="16"/>
          <w:lang w:val="es-ES" w:eastAsia="en-US"/>
        </w:rPr>
        <w:softHyphen/>
        <w:t>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 </w:t>
      </w:r>
    </w:p>
    <w:p w14:paraId="3D175ACC" w14:textId="77777777" w:rsidR="005D3816" w:rsidRPr="00E34BBF" w:rsidRDefault="005D3816" w:rsidP="005D3816">
      <w:pPr>
        <w:pStyle w:val="NormalWeb"/>
        <w:spacing w:before="0" w:beforeAutospacing="0" w:after="0" w:afterAutospacing="0"/>
        <w:jc w:val="both"/>
        <w:rPr>
          <w:rFonts w:ascii="Verdana" w:eastAsia="Calibri" w:hAnsi="Verdana" w:cs="Arial"/>
          <w:sz w:val="16"/>
          <w:szCs w:val="16"/>
          <w:lang w:val="es-ES" w:eastAsia="en-US"/>
        </w:rPr>
      </w:pPr>
      <w:r w:rsidRPr="00E34BBF">
        <w:rPr>
          <w:rFonts w:ascii="Verdana" w:eastAsia="Calibri" w:hAnsi="Verdana" w:cs="Arial"/>
          <w:sz w:val="16"/>
          <w:szCs w:val="16"/>
          <w:lang w:val="es-ES" w:eastAsia="en-US"/>
        </w:rPr>
        <w:t>[…]</w:t>
      </w:r>
    </w:p>
    <w:p w14:paraId="44031C73" w14:textId="77777777" w:rsidR="005D3816" w:rsidRPr="00E34BBF" w:rsidRDefault="005D3816" w:rsidP="005D3816">
      <w:pPr>
        <w:pStyle w:val="NormalWeb"/>
        <w:spacing w:before="0" w:beforeAutospacing="0" w:after="0" w:afterAutospacing="0"/>
        <w:ind w:firstLine="708"/>
        <w:jc w:val="both"/>
        <w:rPr>
          <w:rFonts w:ascii="Verdana" w:eastAsia="Calibri" w:hAnsi="Verdana" w:cs="Arial"/>
          <w:sz w:val="16"/>
          <w:szCs w:val="16"/>
          <w:lang w:val="es-ES" w:eastAsia="en-US"/>
        </w:rPr>
      </w:pPr>
      <w:r w:rsidRPr="00E34BBF">
        <w:rPr>
          <w:rFonts w:ascii="Verdana" w:eastAsia="Calibri" w:hAnsi="Verdana" w:cs="Arial"/>
          <w:sz w:val="16"/>
          <w:szCs w:val="16"/>
          <w:lang w:val="es-ES" w:eastAsia="en-US"/>
        </w:rPr>
        <w:t>2o. Tampoco podrán participar en licitaciones o concursos ni celebrar contratos estatales con la entidad respectiva: </w:t>
      </w:r>
    </w:p>
    <w:p w14:paraId="46674789" w14:textId="77777777" w:rsidR="005D3816" w:rsidRPr="00E34BBF" w:rsidRDefault="005D3816" w:rsidP="005D3816">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 </w:t>
      </w:r>
    </w:p>
    <w:p w14:paraId="033031DC" w14:textId="77777777" w:rsidR="005D3816" w:rsidRPr="00E34BBF" w:rsidRDefault="005D3816" w:rsidP="005D3816">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6AF5654A" w14:textId="77777777" w:rsidR="005D3816" w:rsidRPr="00E34BBF" w:rsidRDefault="005D3816" w:rsidP="005D3816">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c) El cónyuge, compañero o compañera permanente del servidor público en los niveles directivo, asesor, ejecutivo, o de un miembro de la junta o consejo directivo, o de quien ejerza funciones de control interno o de control fiscal. </w:t>
      </w:r>
    </w:p>
    <w:p w14:paraId="633BB3B5" w14:textId="77777777" w:rsidR="005D3816" w:rsidRPr="00E34BBF" w:rsidRDefault="005D3816" w:rsidP="005D3816">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14:paraId="0469FFD9" w14:textId="77777777" w:rsidR="005D3816" w:rsidRPr="00E34BBF" w:rsidRDefault="005D3816" w:rsidP="005D3816">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e) Los miembros de las juntas o consejos directivos. Esta incompatibilidad sólo se predica respecto de la entidad a la cual prestan sus servicios y de las del sector administrativo al que la misma esté adscrita o vinculada. </w:t>
      </w:r>
    </w:p>
    <w:p w14:paraId="7188DA2E" w14:textId="77777777" w:rsidR="005D3816" w:rsidRPr="00E34BBF" w:rsidRDefault="005D3816" w:rsidP="005D3816">
      <w:pPr>
        <w:pStyle w:val="NormalWeb"/>
        <w:spacing w:before="0" w:beforeAutospacing="0" w:after="0" w:afterAutospacing="0"/>
        <w:ind w:firstLine="708"/>
        <w:jc w:val="both"/>
        <w:rPr>
          <w:rFonts w:ascii="Verdana" w:eastAsia="Calibri" w:hAnsi="Verdana" w:cs="Arial"/>
          <w:sz w:val="16"/>
          <w:szCs w:val="16"/>
          <w:lang w:val="pt-BR" w:eastAsia="en-US"/>
        </w:rPr>
      </w:pPr>
      <w:r w:rsidRPr="00E34BBF">
        <w:rPr>
          <w:rFonts w:ascii="Verdana" w:eastAsia="Calibri" w:hAnsi="Verdana" w:cs="Arial"/>
          <w:sz w:val="16"/>
          <w:szCs w:val="16"/>
          <w:lang w:val="es-ES" w:eastAsia="en-US"/>
        </w:rPr>
        <w:t>f)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Esta incompatibilidad también operará para las personas que se encuentren dentro del primer grado de consanguinidad, primero de afinidad, o primer</w:t>
      </w:r>
      <w:r>
        <w:rPr>
          <w:rFonts w:ascii="Verdana" w:eastAsia="Calibri" w:hAnsi="Verdana" w:cs="Arial"/>
          <w:sz w:val="16"/>
          <w:szCs w:val="16"/>
          <w:lang w:val="es-ES" w:eastAsia="en-US"/>
        </w:rPr>
        <w:t>o civil del ex empleado público”</w:t>
      </w:r>
      <w:r w:rsidRPr="00E34BBF">
        <w:rPr>
          <w:rFonts w:ascii="Verdana" w:eastAsia="Calibri" w:hAnsi="Verdana" w:cs="Arial"/>
          <w:sz w:val="16"/>
          <w:szCs w:val="16"/>
          <w:lang w:val="es-ES" w:eastAsia="en-US"/>
        </w:rPr>
        <w:t xml:space="preserve">. </w:t>
      </w:r>
      <w:r w:rsidRPr="00E34BBF">
        <w:rPr>
          <w:rFonts w:ascii="Verdana" w:eastAsia="Calibri" w:hAnsi="Verdana" w:cs="Arial"/>
          <w:sz w:val="16"/>
          <w:szCs w:val="16"/>
          <w:lang w:val="pt-BR" w:eastAsia="en-US"/>
        </w:rPr>
        <w:t xml:space="preserve">(…). </w:t>
      </w:r>
    </w:p>
    <w:p w14:paraId="2A271950" w14:textId="77777777" w:rsidR="005D3816" w:rsidRPr="00E34BBF" w:rsidRDefault="005D3816" w:rsidP="005D3816">
      <w:pPr>
        <w:pStyle w:val="Textonotapie"/>
        <w:jc w:val="both"/>
        <w:rPr>
          <w:rFonts w:ascii="Verdana" w:hAnsi="Verdana"/>
          <w:sz w:val="16"/>
          <w:szCs w:val="16"/>
          <w:lang w:val="pt-BR"/>
        </w:rPr>
      </w:pPr>
    </w:p>
  </w:footnote>
  <w:footnote w:id="9">
    <w:p w14:paraId="3902DC9E" w14:textId="77777777" w:rsidR="005D3816" w:rsidRPr="00E34BBF" w:rsidRDefault="005D3816" w:rsidP="005D3816">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Pr="00E34BBF">
        <w:rPr>
          <w:rFonts w:ascii="Verdana" w:hAnsi="Verdana" w:cs="Arial"/>
          <w:sz w:val="16"/>
          <w:szCs w:val="16"/>
          <w:lang w:val="pt-BR"/>
        </w:rPr>
        <w:t>Ibídem. p. 69.</w:t>
      </w:r>
    </w:p>
  </w:footnote>
  <w:footnote w:id="10">
    <w:p w14:paraId="3DD668F9" w14:textId="77777777" w:rsidR="005D3816" w:rsidRPr="00E34BBF" w:rsidRDefault="005D3816" w:rsidP="005D3816">
      <w:pPr>
        <w:pStyle w:val="Textonotapie"/>
        <w:ind w:firstLine="708"/>
        <w:jc w:val="both"/>
        <w:rPr>
          <w:rFonts w:ascii="Verdana" w:hAnsi="Verdana" w:cs="Arial"/>
          <w:sz w:val="16"/>
          <w:szCs w:val="16"/>
          <w:lang w:val="es-ES"/>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Pr="00E34BBF">
        <w:rPr>
          <w:rFonts w:ascii="Verdana" w:hAnsi="Verdana" w:cs="Arial"/>
          <w:sz w:val="16"/>
          <w:szCs w:val="16"/>
          <w:lang w:val="pt-BR"/>
        </w:rPr>
        <w:t xml:space="preserve">Corte Constitucional. Sentencia T-1039 de 2006. M.P. Humberto Sierra Porto. </w:t>
      </w:r>
      <w:r w:rsidRPr="00E34BBF">
        <w:rPr>
          <w:rFonts w:ascii="Verdana" w:hAnsi="Verdana" w:cs="Arial"/>
          <w:sz w:val="16"/>
          <w:szCs w:val="16"/>
          <w:lang w:val="es-ES"/>
        </w:rPr>
        <w:t xml:space="preserve">La Corte Constitucional ha mantenido este criterio en las sentencias: C-903 de 2008. M.P. Jaime Araujo Rentería; C-101 de 2018. M.P. Gloria Stella Ortiz Delgado; entre otras. </w:t>
      </w:r>
    </w:p>
    <w:p w14:paraId="6585EE8C" w14:textId="77777777" w:rsidR="005D3816" w:rsidRPr="00E34BBF" w:rsidRDefault="005D3816" w:rsidP="005D3816">
      <w:pPr>
        <w:pStyle w:val="Textonotapie"/>
        <w:jc w:val="both"/>
        <w:rPr>
          <w:rFonts w:ascii="Verdana" w:hAnsi="Verdana" w:cs="Arial"/>
          <w:sz w:val="16"/>
          <w:szCs w:val="16"/>
          <w:lang w:val="es-ES"/>
        </w:rPr>
      </w:pPr>
    </w:p>
  </w:footnote>
  <w:footnote w:id="11">
    <w:p w14:paraId="5E1D65BF" w14:textId="77777777" w:rsidR="005D3816" w:rsidRPr="00E34BBF" w:rsidRDefault="005D3816" w:rsidP="005D3816">
      <w:pPr>
        <w:pStyle w:val="Textonotapie"/>
        <w:ind w:firstLine="708"/>
        <w:jc w:val="both"/>
        <w:rPr>
          <w:rFonts w:ascii="Verdana" w:hAnsi="Verdana" w:cs="Arial"/>
          <w:sz w:val="16"/>
          <w:szCs w:val="16"/>
          <w:lang w:val="es-ES"/>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cs="Arial"/>
          <w:sz w:val="16"/>
          <w:szCs w:val="16"/>
          <w:lang w:val="es-ES"/>
        </w:rPr>
        <w:t>Consejo d</w:t>
      </w:r>
      <w:r w:rsidRPr="00E34BBF">
        <w:rPr>
          <w:rFonts w:ascii="Verdana" w:hAnsi="Verdana" w:cs="Arial"/>
          <w:sz w:val="16"/>
          <w:szCs w:val="16"/>
          <w:lang w:val="es-ES"/>
        </w:rPr>
        <w:t>e Estado. Sala de Consulta y Servicio Civil. Concepto del 30 de abril de 2015. Exp. 2251. C.P. Álvaro Namén Vargas.</w:t>
      </w:r>
    </w:p>
    <w:p w14:paraId="28D53804" w14:textId="77777777" w:rsidR="005D3816" w:rsidRPr="00E34BBF" w:rsidRDefault="005D3816" w:rsidP="005D3816">
      <w:pPr>
        <w:pStyle w:val="Textonotapie"/>
        <w:jc w:val="both"/>
        <w:rPr>
          <w:rFonts w:ascii="Verdana" w:hAnsi="Verdana"/>
          <w:sz w:val="16"/>
          <w:szCs w:val="16"/>
          <w:lang w:val="es-ES_tradnl"/>
        </w:rPr>
      </w:pPr>
    </w:p>
  </w:footnote>
  <w:footnote w:id="12">
    <w:p w14:paraId="16D2ACF3" w14:textId="77777777" w:rsidR="005D3816" w:rsidRPr="00E34BBF" w:rsidRDefault="005D3816" w:rsidP="005D3816">
      <w:pPr>
        <w:pStyle w:val="Textonotapie"/>
        <w:ind w:firstLine="708"/>
        <w:jc w:val="both"/>
        <w:rPr>
          <w:rFonts w:ascii="Verdana" w:hAnsi="Verdana" w:cs="Arial"/>
          <w:sz w:val="16"/>
          <w:szCs w:val="16"/>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cs="Arial"/>
          <w:sz w:val="16"/>
          <w:szCs w:val="16"/>
        </w:rPr>
        <w:t>Consejo d</w:t>
      </w:r>
      <w:r w:rsidRPr="00E34BBF">
        <w:rPr>
          <w:rFonts w:ascii="Verdana" w:hAnsi="Verdana" w:cs="Arial"/>
          <w:sz w:val="16"/>
          <w:szCs w:val="16"/>
        </w:rPr>
        <w:t>e Estado. Sección Tercera. Subsección A. Sentencia del 24 de junio de 2015. Exp. 40.635. C.P. Hernán Andrade Rincón (E).</w:t>
      </w:r>
    </w:p>
    <w:p w14:paraId="2B41A24C" w14:textId="77777777" w:rsidR="005D3816" w:rsidRPr="00E34BBF" w:rsidRDefault="005D3816" w:rsidP="005D3816">
      <w:pPr>
        <w:pStyle w:val="Textonotapie"/>
        <w:jc w:val="both"/>
        <w:rPr>
          <w:rFonts w:ascii="Verdana" w:hAnsi="Verdana"/>
          <w:sz w:val="16"/>
          <w:szCs w:val="16"/>
          <w:lang w:val="es-ES_tradnl"/>
        </w:rPr>
      </w:pPr>
    </w:p>
  </w:footnote>
  <w:footnote w:id="13">
    <w:p w14:paraId="0FFC040C" w14:textId="77777777" w:rsidR="005D3816" w:rsidRPr="00E34BBF" w:rsidRDefault="005D3816" w:rsidP="005D3816">
      <w:pPr>
        <w:pStyle w:val="Textonotapie"/>
        <w:ind w:firstLine="708"/>
        <w:jc w:val="both"/>
        <w:rPr>
          <w:rFonts w:ascii="Verdana" w:hAnsi="Verdana"/>
          <w:sz w:val="16"/>
          <w:szCs w:val="16"/>
          <w:lang w:val="es-ES_tradnl"/>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cs="Arial"/>
          <w:sz w:val="16"/>
          <w:szCs w:val="16"/>
        </w:rPr>
        <w:t>Consejo d</w:t>
      </w:r>
      <w:r w:rsidRPr="00E34BBF">
        <w:rPr>
          <w:rFonts w:ascii="Verdana" w:hAnsi="Verdana" w:cs="Arial"/>
          <w:sz w:val="16"/>
          <w:szCs w:val="16"/>
        </w:rPr>
        <w:t>e Estado. Sección Tercera. Subsección C. Sentencia del 22 de mayo de 2013. Rad. 24.057. C.P. Olga Mélida Valle De De La Hoz.</w:t>
      </w:r>
    </w:p>
  </w:footnote>
  <w:footnote w:id="14">
    <w:p w14:paraId="5233E9F2" w14:textId="77777777" w:rsidR="005D3816" w:rsidRPr="00E34BBF" w:rsidRDefault="005D3816" w:rsidP="005D3816">
      <w:pPr>
        <w:pStyle w:val="Textonotapie"/>
        <w:ind w:firstLine="708"/>
        <w:jc w:val="both"/>
        <w:rPr>
          <w:rFonts w:ascii="Verdana" w:hAnsi="Verdana" w:cs="Arial"/>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Pr="00E34BBF">
        <w:rPr>
          <w:rFonts w:ascii="Verdana" w:hAnsi="Verdana" w:cs="Arial"/>
          <w:sz w:val="16"/>
          <w:szCs w:val="16"/>
          <w:lang w:val="pt-BR"/>
        </w:rPr>
        <w:t>Corte Constitucional. Sentencia C-415 de 1994. M.P. Eduardo Cifuentes Muñoz.</w:t>
      </w:r>
    </w:p>
    <w:p w14:paraId="2CA2BB7D" w14:textId="77777777" w:rsidR="005D3816" w:rsidRPr="00E34BBF" w:rsidRDefault="005D3816" w:rsidP="005D3816">
      <w:pPr>
        <w:pStyle w:val="Textonotapie"/>
        <w:jc w:val="both"/>
        <w:rPr>
          <w:rFonts w:ascii="Verdana" w:hAnsi="Verdana"/>
          <w:sz w:val="16"/>
          <w:szCs w:val="16"/>
          <w:lang w:val="pt-BR"/>
        </w:rPr>
      </w:pPr>
    </w:p>
  </w:footnote>
  <w:footnote w:id="15">
    <w:p w14:paraId="79FF6454" w14:textId="77777777" w:rsidR="005D3816" w:rsidRPr="00E34BBF" w:rsidRDefault="005D3816" w:rsidP="005D3816">
      <w:pPr>
        <w:pStyle w:val="Textonotapie"/>
        <w:ind w:firstLine="708"/>
        <w:jc w:val="both"/>
        <w:rPr>
          <w:rFonts w:ascii="Verdana" w:hAnsi="Verdana" w:cs="Arial"/>
          <w:color w:val="000000"/>
          <w:sz w:val="16"/>
          <w:szCs w:val="16"/>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Pr>
          <w:rFonts w:ascii="Verdana" w:hAnsi="Verdana" w:cs="Arial"/>
          <w:color w:val="000000"/>
          <w:sz w:val="16"/>
          <w:szCs w:val="16"/>
          <w:lang w:val="pt-BR"/>
        </w:rPr>
        <w:t>Consejo d</w:t>
      </w:r>
      <w:r w:rsidRPr="00E34BBF">
        <w:rPr>
          <w:rFonts w:ascii="Verdana" w:hAnsi="Verdana" w:cs="Arial"/>
          <w:color w:val="000000"/>
          <w:sz w:val="16"/>
          <w:szCs w:val="16"/>
          <w:lang w:val="pt-BR"/>
        </w:rPr>
        <w:t xml:space="preserve">e Estado. Sala de lo contencioso administrativo. Sentencia del 12 de diciembre de 2014. Exp. 26496. C.P. Ramiro Pazos Guerrero. </w:t>
      </w:r>
      <w:r w:rsidRPr="00E34BBF">
        <w:rPr>
          <w:rFonts w:ascii="Verdana" w:hAnsi="Verdana" w:cs="Arial"/>
          <w:color w:val="000000"/>
          <w:sz w:val="16"/>
          <w:szCs w:val="16"/>
        </w:rPr>
        <w:t>En similar sentido, la doctrina expresa que: “[…] las causales de inhabilidad e incompatibilidad resultan ser las que la ley de manera expresa señala, no siendo factible para las entidades estatales, crearlas en los pliegos de condiciones que elaboran (DAVILA VINUEZA, Luis Guillermo Régimen jurídico de la contratación estatal: aproximación crítica a Ley 80 de 1993. 3ª ed. Bogotá: Legis, 2016. p. 149.</w:t>
      </w:r>
    </w:p>
    <w:p w14:paraId="55B8D403" w14:textId="77777777" w:rsidR="005D3816" w:rsidRPr="00E34BBF" w:rsidRDefault="005D3816" w:rsidP="005D3816">
      <w:pPr>
        <w:pStyle w:val="Textonotapie"/>
        <w:jc w:val="both"/>
        <w:rPr>
          <w:rFonts w:ascii="Verdana" w:hAnsi="Verdana"/>
          <w:sz w:val="16"/>
          <w:szCs w:val="16"/>
          <w:lang w:val="es-ES_tradnl"/>
        </w:rPr>
      </w:pPr>
    </w:p>
  </w:footnote>
  <w:footnote w:id="16">
    <w:p w14:paraId="2EAA6DB4" w14:textId="77777777" w:rsidR="005D3816" w:rsidRPr="00E34BBF" w:rsidRDefault="005D3816" w:rsidP="005D3816">
      <w:pPr>
        <w:pStyle w:val="Textonotapie"/>
        <w:ind w:firstLine="708"/>
        <w:jc w:val="both"/>
        <w:rPr>
          <w:rFonts w:ascii="Verdana" w:hAnsi="Verdana"/>
          <w:sz w:val="16"/>
          <w:szCs w:val="16"/>
          <w:lang w:val="es-ES_tradnl"/>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cs="Arial"/>
          <w:color w:val="000000"/>
          <w:sz w:val="16"/>
          <w:szCs w:val="16"/>
        </w:rPr>
        <w:t>Consejo d</w:t>
      </w:r>
      <w:r w:rsidRPr="00E34BBF">
        <w:rPr>
          <w:rFonts w:ascii="Verdana" w:hAnsi="Verdana" w:cs="Arial"/>
          <w:color w:val="000000"/>
          <w:sz w:val="16"/>
          <w:szCs w:val="16"/>
        </w:rPr>
        <w:t>e Estado. Sala de Consulta y Servicio Civil. Concepto del 29 de abril de 1998. Rad. 1097. C.P. Augusto Trejos Jaramillo.</w:t>
      </w:r>
    </w:p>
  </w:footnote>
  <w:footnote w:id="17">
    <w:p w14:paraId="5B3F5A78" w14:textId="77777777" w:rsidR="005D3816" w:rsidRPr="00D03391" w:rsidRDefault="005D3816" w:rsidP="005D3816">
      <w:pPr>
        <w:pStyle w:val="NormalWeb"/>
        <w:spacing w:before="0" w:beforeAutospacing="0" w:after="0" w:afterAutospacing="0"/>
        <w:ind w:firstLine="709"/>
        <w:jc w:val="both"/>
        <w:rPr>
          <w:rFonts w:ascii="Verdana" w:hAnsi="Verdana" w:cs="Arial"/>
          <w:sz w:val="16"/>
          <w:szCs w:val="16"/>
        </w:rPr>
      </w:pPr>
      <w:r w:rsidRPr="00D03391">
        <w:rPr>
          <w:rStyle w:val="Refdenotaalpie"/>
          <w:rFonts w:ascii="Verdana" w:hAnsi="Verdana" w:cs="Arial"/>
          <w:sz w:val="16"/>
          <w:szCs w:val="16"/>
        </w:rPr>
        <w:footnoteRef/>
      </w:r>
      <w:r w:rsidRPr="00D03391">
        <w:rPr>
          <w:rFonts w:ascii="Verdana" w:hAnsi="Verdana" w:cs="Arial"/>
          <w:sz w:val="16"/>
          <w:szCs w:val="16"/>
        </w:rPr>
        <w:t xml:space="preserve"> Ley 599 del 2000: “</w:t>
      </w:r>
      <w:r w:rsidRPr="00572576">
        <w:rPr>
          <w:rStyle w:val="Textoennegrita"/>
          <w:rFonts w:ascii="Verdana" w:hAnsi="Verdana" w:cs="Arial"/>
          <w:sz w:val="16"/>
          <w:szCs w:val="16"/>
        </w:rPr>
        <w:t>Artículo 44.</w:t>
      </w:r>
      <w:r w:rsidRPr="00D03391">
        <w:rPr>
          <w:rStyle w:val="Textoennegrita"/>
          <w:rFonts w:ascii="Verdana" w:hAnsi="Verdana" w:cs="Arial"/>
          <w:sz w:val="16"/>
          <w:szCs w:val="16"/>
        </w:rPr>
        <w:t xml:space="preserve"> </w:t>
      </w:r>
      <w:r w:rsidRPr="00D03391">
        <w:rPr>
          <w:rStyle w:val="nfasis"/>
          <w:rFonts w:ascii="Verdana" w:hAnsi="Verdana" w:cs="Arial"/>
          <w:sz w:val="16"/>
          <w:szCs w:val="16"/>
        </w:rPr>
        <w:t>La inhabilitación para el ejercicio de derechos y funciones públicas</w:t>
      </w:r>
      <w:r w:rsidRPr="00D03391">
        <w:rPr>
          <w:rFonts w:ascii="Verdana" w:hAnsi="Verdana" w:cs="Arial"/>
          <w:sz w:val="16"/>
          <w:szCs w:val="16"/>
        </w:rPr>
        <w:t>. La pena de inhabilitación para el ejercicio de derechos y funciones públicas priva al penado de la facultad de elegir y ser elegido, del ejercicio de cualquier otro derecho político, función pública, dignidades y honores que confieren las entidades oficiales. </w:t>
      </w:r>
    </w:p>
    <w:p w14:paraId="287EA3C2" w14:textId="77777777" w:rsidR="005D3816" w:rsidRPr="00D03391" w:rsidRDefault="005D3816" w:rsidP="005D3816">
      <w:pPr>
        <w:pStyle w:val="NormalWeb"/>
        <w:spacing w:before="0" w:beforeAutospacing="0" w:after="0" w:afterAutospacing="0"/>
        <w:ind w:firstLine="709"/>
        <w:jc w:val="both"/>
        <w:rPr>
          <w:rFonts w:ascii="Verdana" w:hAnsi="Verdana" w:cs="Arial"/>
          <w:sz w:val="16"/>
          <w:szCs w:val="16"/>
        </w:rPr>
      </w:pPr>
      <w:r w:rsidRPr="00D03391">
        <w:rPr>
          <w:rFonts w:ascii="Verdana" w:hAnsi="Verdana" w:cs="Arial"/>
          <w:sz w:val="16"/>
          <w:szCs w:val="16"/>
        </w:rPr>
        <w:t>[…]</w:t>
      </w:r>
    </w:p>
    <w:p w14:paraId="1D5D0E1D" w14:textId="77777777" w:rsidR="005D3816" w:rsidRPr="00D03391" w:rsidRDefault="005D3816" w:rsidP="005D3816">
      <w:pPr>
        <w:pStyle w:val="NormalWeb"/>
        <w:spacing w:before="0" w:beforeAutospacing="0" w:after="0" w:afterAutospacing="0"/>
        <w:ind w:firstLine="709"/>
        <w:jc w:val="both"/>
        <w:rPr>
          <w:rFonts w:ascii="Verdana" w:hAnsi="Verdana" w:cs="Arial"/>
          <w:sz w:val="16"/>
          <w:szCs w:val="16"/>
        </w:rPr>
      </w:pPr>
      <w:r w:rsidRPr="00D03391">
        <w:rPr>
          <w:rFonts w:ascii="Verdana" w:hAnsi="Verdana" w:cs="Arial"/>
          <w:sz w:val="16"/>
          <w:szCs w:val="16"/>
        </w:rPr>
        <w:t>Artículo 52. Las penas accesorias. Las penas privativas de otros derechos, que pueden imponerse como principales, serán accesorias y las impondrá el Juez cuando tengan relación directa con la realización de la conducta punible, por haber abusado de ellos o haber facilitado su comisión, o cuando la restricción del derecho contribuya a la prevención de conductas similares a la que fue objeto de condena. </w:t>
      </w:r>
    </w:p>
    <w:p w14:paraId="15F330B3" w14:textId="77777777" w:rsidR="005D3816" w:rsidRPr="00D03391" w:rsidRDefault="005D3816" w:rsidP="005D3816">
      <w:pPr>
        <w:spacing w:after="0" w:line="240" w:lineRule="auto"/>
        <w:ind w:firstLine="709"/>
        <w:jc w:val="both"/>
        <w:rPr>
          <w:rFonts w:ascii="Verdana" w:eastAsia="Times New Roman" w:hAnsi="Verdana" w:cs="Arial"/>
          <w:sz w:val="16"/>
          <w:szCs w:val="16"/>
          <w:lang w:eastAsia="es-CO"/>
        </w:rPr>
      </w:pPr>
      <w:r w:rsidRPr="00D03391">
        <w:rPr>
          <w:rFonts w:ascii="Verdana" w:eastAsia="Times New Roman" w:hAnsi="Verdana" w:cs="Arial"/>
          <w:sz w:val="16"/>
          <w:szCs w:val="16"/>
          <w:lang w:eastAsia="es-CO"/>
        </w:rPr>
        <w:t>  </w:t>
      </w:r>
      <w:r w:rsidRPr="00D03391">
        <w:rPr>
          <w:rFonts w:ascii="Verdana" w:eastAsia="Times New Roman" w:hAnsi="Verdana" w:cs="Arial"/>
          <w:sz w:val="16"/>
          <w:szCs w:val="16"/>
          <w:lang w:eastAsia="es-CO"/>
        </w:rPr>
        <w:tab/>
        <w:t>En la imposición de las penas accesorias se observará estrictamente lo dispuesto en el artículo 59. </w:t>
      </w:r>
    </w:p>
    <w:p w14:paraId="2DA0056A" w14:textId="77777777" w:rsidR="005D3816" w:rsidRPr="00D03391" w:rsidRDefault="005D3816" w:rsidP="005D3816">
      <w:pPr>
        <w:spacing w:after="0" w:line="240" w:lineRule="auto"/>
        <w:ind w:firstLine="709"/>
        <w:jc w:val="both"/>
        <w:rPr>
          <w:rFonts w:ascii="Verdana" w:eastAsia="Times New Roman" w:hAnsi="Verdana" w:cs="Arial"/>
          <w:sz w:val="16"/>
          <w:szCs w:val="16"/>
          <w:lang w:eastAsia="es-CO"/>
        </w:rPr>
      </w:pPr>
      <w:r w:rsidRPr="00D03391">
        <w:rPr>
          <w:rFonts w:ascii="Verdana" w:eastAsia="Times New Roman" w:hAnsi="Verdana" w:cs="Arial"/>
          <w:sz w:val="16"/>
          <w:szCs w:val="16"/>
          <w:lang w:eastAsia="es-CO"/>
        </w:rPr>
        <w:t>En todo caso, la pena de prisión conllevará la accesoria de inhabilitación para el ejercicio de derechos y funciones públicas, por un tiempo igual al de la pena a que accede y hasta por una tercera parte más, sin exceder el máximo fijado en la Ley, sin perjuicio de la excepción a que alude el inciso 2 del artículo 51”. </w:t>
      </w:r>
    </w:p>
    <w:p w14:paraId="6EFC8ACC" w14:textId="77777777" w:rsidR="005D3816" w:rsidRPr="00D03391" w:rsidRDefault="005D3816" w:rsidP="005D3816">
      <w:pPr>
        <w:spacing w:after="0" w:line="240" w:lineRule="auto"/>
        <w:ind w:firstLine="709"/>
        <w:jc w:val="both"/>
        <w:rPr>
          <w:rFonts w:ascii="Verdana" w:hAnsi="Verdana" w:cs="Arial"/>
          <w:sz w:val="16"/>
          <w:szCs w:val="16"/>
        </w:rPr>
      </w:pPr>
      <w:r w:rsidRPr="00D03391">
        <w:rPr>
          <w:rFonts w:ascii="Verdana" w:hAnsi="Verdana" w:cs="Arial"/>
          <w:sz w:val="16"/>
          <w:szCs w:val="16"/>
        </w:rPr>
        <w:t xml:space="preserve"> </w:t>
      </w:r>
    </w:p>
  </w:footnote>
  <w:footnote w:id="18">
    <w:p w14:paraId="6965A566" w14:textId="77777777" w:rsidR="005D3816" w:rsidRPr="00D03391" w:rsidRDefault="005D3816" w:rsidP="005D3816">
      <w:pPr>
        <w:shd w:val="clear" w:color="auto" w:fill="FFFFFF"/>
        <w:spacing w:after="0" w:line="240" w:lineRule="auto"/>
        <w:ind w:firstLine="709"/>
        <w:jc w:val="both"/>
        <w:rPr>
          <w:rFonts w:ascii="Verdana" w:eastAsia="Times New Roman" w:hAnsi="Verdana" w:cs="Arial"/>
          <w:sz w:val="16"/>
          <w:szCs w:val="16"/>
          <w:lang w:eastAsia="es-CO"/>
        </w:rPr>
      </w:pPr>
      <w:r w:rsidRPr="00D03391">
        <w:rPr>
          <w:rStyle w:val="Refdenotaalpie"/>
          <w:rFonts w:ascii="Verdana" w:hAnsi="Verdana" w:cs="Arial"/>
          <w:sz w:val="16"/>
          <w:szCs w:val="16"/>
        </w:rPr>
        <w:footnoteRef/>
      </w:r>
      <w:r w:rsidRPr="00D03391">
        <w:rPr>
          <w:rFonts w:ascii="Verdana" w:hAnsi="Verdana" w:cs="Arial"/>
          <w:sz w:val="16"/>
          <w:szCs w:val="16"/>
        </w:rPr>
        <w:t xml:space="preserve"> Ley 1952 de 2019: “</w:t>
      </w:r>
      <w:r w:rsidRPr="00D03391">
        <w:rPr>
          <w:rFonts w:ascii="Verdana" w:eastAsia="Times New Roman" w:hAnsi="Verdana" w:cs="Arial"/>
          <w:sz w:val="16"/>
          <w:szCs w:val="16"/>
          <w:lang w:eastAsia="es-CO"/>
        </w:rPr>
        <w:t>Artículo</w:t>
      </w:r>
      <w:bookmarkStart w:id="1" w:name="49"/>
      <w:bookmarkEnd w:id="1"/>
      <w:r w:rsidRPr="00D03391">
        <w:rPr>
          <w:rFonts w:ascii="Verdana" w:eastAsia="Times New Roman" w:hAnsi="Verdana" w:cs="Arial"/>
          <w:sz w:val="16"/>
          <w:szCs w:val="16"/>
          <w:lang w:eastAsia="es-CO"/>
        </w:rPr>
        <w:t> 49. definición de las sanciones.</w:t>
      </w:r>
    </w:p>
    <w:p w14:paraId="7B872C78" w14:textId="77777777" w:rsidR="005D3816" w:rsidRPr="00D03391" w:rsidRDefault="005D3816" w:rsidP="005D3816">
      <w:pPr>
        <w:shd w:val="clear" w:color="auto" w:fill="FFFFFF"/>
        <w:spacing w:after="0" w:line="240" w:lineRule="auto"/>
        <w:ind w:firstLine="709"/>
        <w:jc w:val="both"/>
        <w:rPr>
          <w:rFonts w:ascii="Verdana" w:eastAsia="Times New Roman" w:hAnsi="Verdana" w:cs="Arial"/>
          <w:sz w:val="16"/>
          <w:szCs w:val="16"/>
          <w:lang w:eastAsia="es-CO"/>
        </w:rPr>
      </w:pPr>
      <w:r w:rsidRPr="00D03391">
        <w:rPr>
          <w:rFonts w:ascii="Verdana" w:eastAsia="Times New Roman" w:hAnsi="Verdana" w:cs="Arial"/>
          <w:sz w:val="16"/>
          <w:szCs w:val="16"/>
          <w:lang w:eastAsia="es-CO"/>
        </w:rPr>
        <w:t>1. La destitución e inhabilidad general implica:</w:t>
      </w:r>
    </w:p>
    <w:p w14:paraId="0BC1DF73" w14:textId="77777777" w:rsidR="005D3816" w:rsidRPr="00D03391" w:rsidRDefault="005D3816" w:rsidP="005D3816">
      <w:pPr>
        <w:shd w:val="clear" w:color="auto" w:fill="FFFFFF"/>
        <w:spacing w:after="0" w:line="240" w:lineRule="auto"/>
        <w:ind w:firstLine="709"/>
        <w:jc w:val="both"/>
        <w:rPr>
          <w:rFonts w:ascii="Verdana" w:eastAsia="Times New Roman" w:hAnsi="Verdana" w:cs="Arial"/>
          <w:sz w:val="16"/>
          <w:szCs w:val="16"/>
          <w:lang w:eastAsia="es-CO"/>
        </w:rPr>
      </w:pPr>
      <w:r w:rsidRPr="00D03391">
        <w:rPr>
          <w:rFonts w:ascii="Verdana" w:eastAsia="Times New Roman" w:hAnsi="Verdana" w:cs="Arial"/>
          <w:sz w:val="16"/>
          <w:szCs w:val="16"/>
          <w:lang w:eastAsia="es-CO"/>
        </w:rPr>
        <w:t>a) La terminación de la relación del servidor público o del particular con la administración, sin que importe que sea de libre nombramiento y remoción, de carrera o elección; o</w:t>
      </w:r>
    </w:p>
    <w:p w14:paraId="27A5E8F7" w14:textId="77777777" w:rsidR="005D3816" w:rsidRPr="00D03391" w:rsidRDefault="005D3816" w:rsidP="005D3816">
      <w:pPr>
        <w:shd w:val="clear" w:color="auto" w:fill="FFFFFF"/>
        <w:spacing w:after="0" w:line="240" w:lineRule="auto"/>
        <w:ind w:firstLine="709"/>
        <w:jc w:val="both"/>
        <w:rPr>
          <w:rFonts w:ascii="Verdana" w:eastAsia="Times New Roman" w:hAnsi="Verdana" w:cs="Arial"/>
          <w:sz w:val="16"/>
          <w:szCs w:val="16"/>
          <w:lang w:eastAsia="es-CO"/>
        </w:rPr>
      </w:pPr>
      <w:r w:rsidRPr="00D03391">
        <w:rPr>
          <w:rFonts w:ascii="Verdana" w:eastAsia="Times New Roman" w:hAnsi="Verdana" w:cs="Arial"/>
          <w:sz w:val="16"/>
          <w:szCs w:val="16"/>
          <w:lang w:eastAsia="es-CO"/>
        </w:rPr>
        <w:t>b) La desvinculación del cargo, en los casos previstos en la Constitución Política y la ley; o</w:t>
      </w:r>
    </w:p>
    <w:p w14:paraId="22E70953" w14:textId="77777777" w:rsidR="005D3816" w:rsidRPr="00D03391" w:rsidRDefault="005D3816" w:rsidP="005D3816">
      <w:pPr>
        <w:shd w:val="clear" w:color="auto" w:fill="FFFFFF"/>
        <w:spacing w:after="0" w:line="240" w:lineRule="auto"/>
        <w:ind w:firstLine="709"/>
        <w:jc w:val="both"/>
        <w:rPr>
          <w:rFonts w:ascii="Verdana" w:eastAsia="Times New Roman" w:hAnsi="Verdana" w:cs="Arial"/>
          <w:sz w:val="16"/>
          <w:szCs w:val="16"/>
          <w:lang w:eastAsia="es-CO"/>
        </w:rPr>
      </w:pPr>
      <w:r w:rsidRPr="00D03391">
        <w:rPr>
          <w:rFonts w:ascii="Verdana" w:eastAsia="Times New Roman" w:hAnsi="Verdana" w:cs="Arial"/>
          <w:sz w:val="16"/>
          <w:szCs w:val="16"/>
          <w:lang w:eastAsia="es-CO"/>
        </w:rPr>
        <w:t>c) La terminación del contrato de trabajo; y</w:t>
      </w:r>
    </w:p>
    <w:p w14:paraId="145D7478" w14:textId="77777777" w:rsidR="005D3816" w:rsidRPr="00D03391" w:rsidRDefault="005D3816" w:rsidP="005D3816">
      <w:pPr>
        <w:shd w:val="clear" w:color="auto" w:fill="FFFFFF"/>
        <w:spacing w:after="0" w:line="240" w:lineRule="auto"/>
        <w:ind w:firstLine="709"/>
        <w:jc w:val="both"/>
        <w:rPr>
          <w:rFonts w:ascii="Verdana" w:eastAsia="Times New Roman" w:hAnsi="Verdana" w:cs="Arial"/>
          <w:sz w:val="16"/>
          <w:szCs w:val="16"/>
          <w:lang w:eastAsia="es-CO"/>
        </w:rPr>
      </w:pPr>
      <w:r w:rsidRPr="00D03391">
        <w:rPr>
          <w:rFonts w:ascii="Verdana" w:eastAsia="Times New Roman" w:hAnsi="Verdana" w:cs="Arial"/>
          <w:sz w:val="16"/>
          <w:szCs w:val="16"/>
          <w:lang w:eastAsia="es-CO"/>
        </w:rPr>
        <w:t>d) En todos los casos anteriores, la imposibilidad de ejercer la función pública en cualquier cargo o función, por el termino señalado en el fallo, y la exclusión del escalafón o carrera […]”</w:t>
      </w:r>
    </w:p>
    <w:p w14:paraId="6049E5BA" w14:textId="77777777" w:rsidR="005D3816" w:rsidRPr="00D03391" w:rsidRDefault="005D3816" w:rsidP="005D3816">
      <w:pPr>
        <w:pStyle w:val="Textonotapie"/>
        <w:ind w:firstLine="709"/>
        <w:jc w:val="both"/>
        <w:rPr>
          <w:rFonts w:ascii="Verdana" w:hAnsi="Verdana"/>
          <w:sz w:val="16"/>
          <w:szCs w:val="16"/>
        </w:rPr>
      </w:pPr>
      <w:r w:rsidRPr="00D03391">
        <w:rPr>
          <w:rFonts w:ascii="Verdana" w:hAnsi="Verdana"/>
          <w:sz w:val="16"/>
          <w:szCs w:val="16"/>
        </w:rPr>
        <w:t xml:space="preserve"> </w:t>
      </w:r>
    </w:p>
  </w:footnote>
  <w:footnote w:id="19">
    <w:p w14:paraId="0DFEEB03" w14:textId="77777777" w:rsidR="005D3816" w:rsidRPr="00D03391" w:rsidRDefault="005D3816" w:rsidP="005D3816">
      <w:pPr>
        <w:pStyle w:val="Textonotapie"/>
        <w:ind w:firstLine="709"/>
        <w:jc w:val="both"/>
        <w:rPr>
          <w:rFonts w:ascii="Verdana" w:hAnsi="Verdana" w:cs="Arial"/>
          <w:sz w:val="16"/>
          <w:szCs w:val="16"/>
          <w:lang w:val="es-ES"/>
        </w:rPr>
      </w:pPr>
      <w:r w:rsidRPr="00D03391">
        <w:rPr>
          <w:rStyle w:val="Refdenotaalpie"/>
          <w:rFonts w:ascii="Verdana" w:hAnsi="Verdana" w:cs="Arial"/>
          <w:sz w:val="16"/>
          <w:szCs w:val="16"/>
        </w:rPr>
        <w:footnoteRef/>
      </w:r>
      <w:r w:rsidRPr="00530620">
        <w:rPr>
          <w:rFonts w:ascii="Verdana" w:hAnsi="Verdana" w:cs="Arial"/>
          <w:sz w:val="16"/>
          <w:szCs w:val="16"/>
          <w:lang w:val="pt-BR"/>
        </w:rPr>
        <w:t xml:space="preserve"> Corte Constitucional. Sentencia C-489 de 1996. </w:t>
      </w:r>
      <w:r>
        <w:rPr>
          <w:rFonts w:ascii="Verdana" w:hAnsi="Verdana" w:cs="Arial"/>
          <w:sz w:val="16"/>
          <w:szCs w:val="16"/>
          <w:lang w:val="es-ES"/>
        </w:rPr>
        <w:t>M.P.</w:t>
      </w:r>
      <w:r w:rsidRPr="00D03391">
        <w:rPr>
          <w:rFonts w:ascii="Verdana" w:hAnsi="Verdana" w:cs="Arial"/>
          <w:sz w:val="16"/>
          <w:szCs w:val="16"/>
          <w:lang w:val="es-ES"/>
        </w:rPr>
        <w:t xml:space="preserve"> Antonio Barrera Carbonell.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350BE1" w:rsidRDefault="00350BE1">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50BE1" w:rsidRDefault="00350BE1">
    <w:pPr>
      <w:pStyle w:val="Encabezado"/>
    </w:pPr>
  </w:p>
  <w:p w14:paraId="3079FC11" w14:textId="77777777" w:rsidR="00350BE1" w:rsidRDefault="00350BE1" w:rsidP="004A305D">
    <w:pPr>
      <w:spacing w:after="0"/>
      <w:rPr>
        <w:rFonts w:ascii="Verdana" w:hAnsi="Verdana"/>
        <w:b/>
        <w:bCs/>
      </w:rPr>
    </w:pPr>
  </w:p>
  <w:p w14:paraId="5E18350A" w14:textId="705F7B76" w:rsidR="00350BE1" w:rsidRPr="004A305D" w:rsidRDefault="00350BE1" w:rsidP="00B01B1A">
    <w:pPr>
      <w:spacing w:after="0" w:line="120" w:lineRule="auto"/>
      <w:rPr>
        <w:rFonts w:ascii="Century Gothic" w:eastAsia="Geo" w:hAnsi="Century Gothic" w:cs="Geo"/>
        <w:sz w:val="16"/>
        <w:szCs w:val="16"/>
        <w:lang w:eastAsia="es-CO"/>
      </w:rPr>
    </w:pPr>
  </w:p>
  <w:p w14:paraId="1FD1C243" w14:textId="6D74A3CF" w:rsidR="00350BE1" w:rsidRDefault="00350BE1"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2671AB"/>
    <w:multiLevelType w:val="multilevel"/>
    <w:tmpl w:val="1D12B4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4D239F"/>
    <w:multiLevelType w:val="hybridMultilevel"/>
    <w:tmpl w:val="620CC4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3C40D6E"/>
    <w:multiLevelType w:val="hybridMultilevel"/>
    <w:tmpl w:val="0A3E2636"/>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CA27DCB"/>
    <w:multiLevelType w:val="hybridMultilevel"/>
    <w:tmpl w:val="738E6B9C"/>
    <w:lvl w:ilvl="0" w:tplc="FDA41120">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1B65755"/>
    <w:multiLevelType w:val="hybridMultilevel"/>
    <w:tmpl w:val="608691EE"/>
    <w:lvl w:ilvl="0" w:tplc="B9AA48F0">
      <w:start w:val="1"/>
      <w:numFmt w:val="decimal"/>
      <w:lvlText w:val="%1."/>
      <w:lvlJc w:val="left"/>
      <w:pPr>
        <w:ind w:left="720" w:hanging="360"/>
      </w:pPr>
      <w:rPr>
        <w:b w:val="0"/>
        <w:i w:val="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8" w15:restartNumberingAfterBreak="0">
    <w:nsid w:val="548F3FFF"/>
    <w:multiLevelType w:val="hybridMultilevel"/>
    <w:tmpl w:val="78B2E9F0"/>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9"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abstractNumId w:val="13"/>
  </w:num>
  <w:num w:numId="2">
    <w:abstractNumId w:val="2"/>
  </w:num>
  <w:num w:numId="3">
    <w:abstractNumId w:val="10"/>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3"/>
  </w:num>
  <w:num w:numId="7">
    <w:abstractNumId w:val="12"/>
  </w:num>
  <w:num w:numId="8">
    <w:abstractNumId w:val="22"/>
  </w:num>
  <w:num w:numId="9">
    <w:abstractNumId w:val="14"/>
  </w:num>
  <w:num w:numId="10">
    <w:abstractNumId w:val="21"/>
  </w:num>
  <w:num w:numId="11">
    <w:abstractNumId w:val="15"/>
  </w:num>
  <w:num w:numId="12">
    <w:abstractNumId w:val="1"/>
  </w:num>
  <w:num w:numId="13">
    <w:abstractNumId w:val="7"/>
  </w:num>
  <w:num w:numId="14">
    <w:abstractNumId w:val="24"/>
  </w:num>
  <w:num w:numId="15">
    <w:abstractNumId w:val="20"/>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19"/>
  </w:num>
  <w:num w:numId="19">
    <w:abstractNumId w:val="9"/>
  </w:num>
  <w:num w:numId="20">
    <w:abstractNumId w:val="16"/>
  </w:num>
  <w:num w:numId="21">
    <w:abstractNumId w:val="25"/>
  </w:num>
  <w:num w:numId="22">
    <w:abstractNumId w:val="17"/>
  </w:num>
  <w:num w:numId="23">
    <w:abstractNumId w:val="18"/>
  </w:num>
  <w:num w:numId="24">
    <w:abstractNumId w:val="8"/>
  </w:num>
  <w:num w:numId="25">
    <w:abstractNumId w:val="11"/>
  </w:num>
  <w:num w:numId="26">
    <w:abstractNumId w:val="4"/>
  </w:num>
  <w:num w:numId="27">
    <w:abstractNumId w:val="6"/>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0FA0"/>
    <w:rsid w:val="000039A2"/>
    <w:rsid w:val="000062F3"/>
    <w:rsid w:val="0000797D"/>
    <w:rsid w:val="0001328B"/>
    <w:rsid w:val="00021221"/>
    <w:rsid w:val="000224F2"/>
    <w:rsid w:val="000228B5"/>
    <w:rsid w:val="00023417"/>
    <w:rsid w:val="00023C3E"/>
    <w:rsid w:val="0002653B"/>
    <w:rsid w:val="00041860"/>
    <w:rsid w:val="0004434A"/>
    <w:rsid w:val="0005281E"/>
    <w:rsid w:val="0005682C"/>
    <w:rsid w:val="00056D71"/>
    <w:rsid w:val="00061B2A"/>
    <w:rsid w:val="00062BAF"/>
    <w:rsid w:val="000630B9"/>
    <w:rsid w:val="000635D0"/>
    <w:rsid w:val="000643B2"/>
    <w:rsid w:val="00065E80"/>
    <w:rsid w:val="0007022C"/>
    <w:rsid w:val="000719C7"/>
    <w:rsid w:val="00071DE6"/>
    <w:rsid w:val="00077439"/>
    <w:rsid w:val="000774B8"/>
    <w:rsid w:val="00082362"/>
    <w:rsid w:val="0008328D"/>
    <w:rsid w:val="00087F0C"/>
    <w:rsid w:val="0009387A"/>
    <w:rsid w:val="0009387B"/>
    <w:rsid w:val="000963C6"/>
    <w:rsid w:val="0009762F"/>
    <w:rsid w:val="000A31B9"/>
    <w:rsid w:val="000A3330"/>
    <w:rsid w:val="000A3D63"/>
    <w:rsid w:val="000A67DD"/>
    <w:rsid w:val="000A683A"/>
    <w:rsid w:val="000A683E"/>
    <w:rsid w:val="000A7D76"/>
    <w:rsid w:val="000B19B9"/>
    <w:rsid w:val="000B4D9F"/>
    <w:rsid w:val="000C2889"/>
    <w:rsid w:val="000D0152"/>
    <w:rsid w:val="000D0334"/>
    <w:rsid w:val="000D1D6A"/>
    <w:rsid w:val="000D25D7"/>
    <w:rsid w:val="000D3755"/>
    <w:rsid w:val="000D3B29"/>
    <w:rsid w:val="000D6E6E"/>
    <w:rsid w:val="000E06F4"/>
    <w:rsid w:val="000E4CE4"/>
    <w:rsid w:val="000F6486"/>
    <w:rsid w:val="000F669F"/>
    <w:rsid w:val="001063B3"/>
    <w:rsid w:val="00107ACA"/>
    <w:rsid w:val="001114A9"/>
    <w:rsid w:val="00111979"/>
    <w:rsid w:val="00115584"/>
    <w:rsid w:val="00116537"/>
    <w:rsid w:val="00120766"/>
    <w:rsid w:val="0012113E"/>
    <w:rsid w:val="001240BD"/>
    <w:rsid w:val="00125105"/>
    <w:rsid w:val="00127233"/>
    <w:rsid w:val="00143E81"/>
    <w:rsid w:val="00143FD9"/>
    <w:rsid w:val="00145047"/>
    <w:rsid w:val="00146C57"/>
    <w:rsid w:val="00154A14"/>
    <w:rsid w:val="001565A5"/>
    <w:rsid w:val="0016332F"/>
    <w:rsid w:val="001717E9"/>
    <w:rsid w:val="0017238A"/>
    <w:rsid w:val="001729F8"/>
    <w:rsid w:val="00180A30"/>
    <w:rsid w:val="00185EE9"/>
    <w:rsid w:val="0018792C"/>
    <w:rsid w:val="00187F79"/>
    <w:rsid w:val="00197274"/>
    <w:rsid w:val="001A237A"/>
    <w:rsid w:val="001A26CF"/>
    <w:rsid w:val="001A2919"/>
    <w:rsid w:val="001B1566"/>
    <w:rsid w:val="001B2CFE"/>
    <w:rsid w:val="001B5A01"/>
    <w:rsid w:val="001C1C8C"/>
    <w:rsid w:val="001C222E"/>
    <w:rsid w:val="001C22F9"/>
    <w:rsid w:val="001D1C29"/>
    <w:rsid w:val="001E3C06"/>
    <w:rsid w:val="001E4177"/>
    <w:rsid w:val="001F4EFD"/>
    <w:rsid w:val="001F5E13"/>
    <w:rsid w:val="001F6D11"/>
    <w:rsid w:val="001F7DC6"/>
    <w:rsid w:val="00202886"/>
    <w:rsid w:val="00206E49"/>
    <w:rsid w:val="00215CEF"/>
    <w:rsid w:val="00217A08"/>
    <w:rsid w:val="00220B77"/>
    <w:rsid w:val="00221D27"/>
    <w:rsid w:val="00237233"/>
    <w:rsid w:val="002421BB"/>
    <w:rsid w:val="002467FC"/>
    <w:rsid w:val="00246A81"/>
    <w:rsid w:val="0025144B"/>
    <w:rsid w:val="00251A5F"/>
    <w:rsid w:val="002521F5"/>
    <w:rsid w:val="0025796E"/>
    <w:rsid w:val="002603E5"/>
    <w:rsid w:val="00260AC2"/>
    <w:rsid w:val="002638B2"/>
    <w:rsid w:val="002660F2"/>
    <w:rsid w:val="002662B9"/>
    <w:rsid w:val="002664BB"/>
    <w:rsid w:val="002707A2"/>
    <w:rsid w:val="002715B9"/>
    <w:rsid w:val="0027455C"/>
    <w:rsid w:val="002821E7"/>
    <w:rsid w:val="002835A6"/>
    <w:rsid w:val="002844ED"/>
    <w:rsid w:val="002951A0"/>
    <w:rsid w:val="002962BC"/>
    <w:rsid w:val="002A0049"/>
    <w:rsid w:val="002A093D"/>
    <w:rsid w:val="002A0DD0"/>
    <w:rsid w:val="002A49AC"/>
    <w:rsid w:val="002A64FD"/>
    <w:rsid w:val="002A6BBF"/>
    <w:rsid w:val="002B0867"/>
    <w:rsid w:val="002B1E57"/>
    <w:rsid w:val="002B1F7F"/>
    <w:rsid w:val="002B290B"/>
    <w:rsid w:val="002C110E"/>
    <w:rsid w:val="002C2C9D"/>
    <w:rsid w:val="002C379A"/>
    <w:rsid w:val="002C398E"/>
    <w:rsid w:val="002C765E"/>
    <w:rsid w:val="002C7A84"/>
    <w:rsid w:val="002D09B5"/>
    <w:rsid w:val="002D13A1"/>
    <w:rsid w:val="002D3F0D"/>
    <w:rsid w:val="002E1D98"/>
    <w:rsid w:val="002E2C3F"/>
    <w:rsid w:val="002E4FD9"/>
    <w:rsid w:val="002E6F15"/>
    <w:rsid w:val="002F13FD"/>
    <w:rsid w:val="002F2041"/>
    <w:rsid w:val="00303544"/>
    <w:rsid w:val="003039C1"/>
    <w:rsid w:val="00304655"/>
    <w:rsid w:val="00306903"/>
    <w:rsid w:val="0030774B"/>
    <w:rsid w:val="00310DBE"/>
    <w:rsid w:val="00313B0C"/>
    <w:rsid w:val="0031430F"/>
    <w:rsid w:val="00320BBD"/>
    <w:rsid w:val="00322A85"/>
    <w:rsid w:val="00324168"/>
    <w:rsid w:val="0033032A"/>
    <w:rsid w:val="00334C6A"/>
    <w:rsid w:val="00336C05"/>
    <w:rsid w:val="00342675"/>
    <w:rsid w:val="00343512"/>
    <w:rsid w:val="003448F4"/>
    <w:rsid w:val="00345330"/>
    <w:rsid w:val="00350BE1"/>
    <w:rsid w:val="003528DF"/>
    <w:rsid w:val="00352C12"/>
    <w:rsid w:val="00354BCA"/>
    <w:rsid w:val="00355897"/>
    <w:rsid w:val="003636FA"/>
    <w:rsid w:val="0036594E"/>
    <w:rsid w:val="003665EE"/>
    <w:rsid w:val="0037010E"/>
    <w:rsid w:val="00370128"/>
    <w:rsid w:val="003734F4"/>
    <w:rsid w:val="00374F5E"/>
    <w:rsid w:val="00377E3E"/>
    <w:rsid w:val="00380552"/>
    <w:rsid w:val="003815E8"/>
    <w:rsid w:val="00392A49"/>
    <w:rsid w:val="003A26D1"/>
    <w:rsid w:val="003A3B30"/>
    <w:rsid w:val="003A4D1E"/>
    <w:rsid w:val="003A697B"/>
    <w:rsid w:val="003A6DA4"/>
    <w:rsid w:val="003A779E"/>
    <w:rsid w:val="003B005A"/>
    <w:rsid w:val="003C1BFE"/>
    <w:rsid w:val="003C3FA5"/>
    <w:rsid w:val="003D0F4D"/>
    <w:rsid w:val="003D5B0D"/>
    <w:rsid w:val="003E0499"/>
    <w:rsid w:val="003E31C9"/>
    <w:rsid w:val="003E40F2"/>
    <w:rsid w:val="003F0D71"/>
    <w:rsid w:val="003F3941"/>
    <w:rsid w:val="00400676"/>
    <w:rsid w:val="004008A9"/>
    <w:rsid w:val="00406575"/>
    <w:rsid w:val="00406F3F"/>
    <w:rsid w:val="00407C75"/>
    <w:rsid w:val="00410906"/>
    <w:rsid w:val="0041655A"/>
    <w:rsid w:val="00424FD2"/>
    <w:rsid w:val="00426FD7"/>
    <w:rsid w:val="0042722E"/>
    <w:rsid w:val="00427DA0"/>
    <w:rsid w:val="00440391"/>
    <w:rsid w:val="00442C7F"/>
    <w:rsid w:val="0044528D"/>
    <w:rsid w:val="00450920"/>
    <w:rsid w:val="00454D48"/>
    <w:rsid w:val="004554F9"/>
    <w:rsid w:val="0046004D"/>
    <w:rsid w:val="004633DE"/>
    <w:rsid w:val="00465E71"/>
    <w:rsid w:val="00467A47"/>
    <w:rsid w:val="004734BD"/>
    <w:rsid w:val="00481707"/>
    <w:rsid w:val="00482608"/>
    <w:rsid w:val="00483749"/>
    <w:rsid w:val="00484809"/>
    <w:rsid w:val="00484BB1"/>
    <w:rsid w:val="00496771"/>
    <w:rsid w:val="004A0980"/>
    <w:rsid w:val="004A0B8B"/>
    <w:rsid w:val="004A1847"/>
    <w:rsid w:val="004A305D"/>
    <w:rsid w:val="004A30F4"/>
    <w:rsid w:val="004A3312"/>
    <w:rsid w:val="004A4508"/>
    <w:rsid w:val="004A6135"/>
    <w:rsid w:val="004B740F"/>
    <w:rsid w:val="004C4B37"/>
    <w:rsid w:val="004D026D"/>
    <w:rsid w:val="004D3A9E"/>
    <w:rsid w:val="004E221E"/>
    <w:rsid w:val="004E2892"/>
    <w:rsid w:val="004E4C0B"/>
    <w:rsid w:val="004E505B"/>
    <w:rsid w:val="004E7D86"/>
    <w:rsid w:val="004F21C4"/>
    <w:rsid w:val="004F3012"/>
    <w:rsid w:val="004F5559"/>
    <w:rsid w:val="004F685F"/>
    <w:rsid w:val="004F7EC9"/>
    <w:rsid w:val="00502A4C"/>
    <w:rsid w:val="005031CB"/>
    <w:rsid w:val="00504CBE"/>
    <w:rsid w:val="00514598"/>
    <w:rsid w:val="005163B5"/>
    <w:rsid w:val="0052543A"/>
    <w:rsid w:val="0052785C"/>
    <w:rsid w:val="00533E1B"/>
    <w:rsid w:val="005372B2"/>
    <w:rsid w:val="00540C2D"/>
    <w:rsid w:val="00541793"/>
    <w:rsid w:val="00552502"/>
    <w:rsid w:val="005566E8"/>
    <w:rsid w:val="005567AB"/>
    <w:rsid w:val="00560CB5"/>
    <w:rsid w:val="005638F5"/>
    <w:rsid w:val="00564F8B"/>
    <w:rsid w:val="00572576"/>
    <w:rsid w:val="00574122"/>
    <w:rsid w:val="00574867"/>
    <w:rsid w:val="00577D09"/>
    <w:rsid w:val="0058087F"/>
    <w:rsid w:val="00582B05"/>
    <w:rsid w:val="0058424B"/>
    <w:rsid w:val="00591460"/>
    <w:rsid w:val="00592628"/>
    <w:rsid w:val="00597C75"/>
    <w:rsid w:val="005A0868"/>
    <w:rsid w:val="005A0CFB"/>
    <w:rsid w:val="005A282F"/>
    <w:rsid w:val="005A2AC9"/>
    <w:rsid w:val="005A4EBD"/>
    <w:rsid w:val="005B2C3C"/>
    <w:rsid w:val="005B2CCE"/>
    <w:rsid w:val="005B496D"/>
    <w:rsid w:val="005B58C1"/>
    <w:rsid w:val="005B6033"/>
    <w:rsid w:val="005C3777"/>
    <w:rsid w:val="005C5CDC"/>
    <w:rsid w:val="005C6832"/>
    <w:rsid w:val="005C7629"/>
    <w:rsid w:val="005D17C8"/>
    <w:rsid w:val="005D2649"/>
    <w:rsid w:val="005D2B2B"/>
    <w:rsid w:val="005D3816"/>
    <w:rsid w:val="005D476C"/>
    <w:rsid w:val="005D5F91"/>
    <w:rsid w:val="005D7B25"/>
    <w:rsid w:val="005E42A9"/>
    <w:rsid w:val="005E666F"/>
    <w:rsid w:val="005E739B"/>
    <w:rsid w:val="005F1F84"/>
    <w:rsid w:val="005F7C43"/>
    <w:rsid w:val="0060163E"/>
    <w:rsid w:val="00605A00"/>
    <w:rsid w:val="00610812"/>
    <w:rsid w:val="00612CE7"/>
    <w:rsid w:val="006219F8"/>
    <w:rsid w:val="0063165E"/>
    <w:rsid w:val="0063166A"/>
    <w:rsid w:val="00632C08"/>
    <w:rsid w:val="00633952"/>
    <w:rsid w:val="00636B74"/>
    <w:rsid w:val="00636D0E"/>
    <w:rsid w:val="00637381"/>
    <w:rsid w:val="00650FF7"/>
    <w:rsid w:val="00655D88"/>
    <w:rsid w:val="00665D70"/>
    <w:rsid w:val="00667199"/>
    <w:rsid w:val="00671DAC"/>
    <w:rsid w:val="006747C7"/>
    <w:rsid w:val="006752CF"/>
    <w:rsid w:val="006827AC"/>
    <w:rsid w:val="006859A3"/>
    <w:rsid w:val="006900D9"/>
    <w:rsid w:val="006A0008"/>
    <w:rsid w:val="006A10DF"/>
    <w:rsid w:val="006A3147"/>
    <w:rsid w:val="006C0240"/>
    <w:rsid w:val="006C1E81"/>
    <w:rsid w:val="006C5595"/>
    <w:rsid w:val="006D12F8"/>
    <w:rsid w:val="006D2BEC"/>
    <w:rsid w:val="006E5C0C"/>
    <w:rsid w:val="006F0D40"/>
    <w:rsid w:val="006F2501"/>
    <w:rsid w:val="0070266A"/>
    <w:rsid w:val="00704D9B"/>
    <w:rsid w:val="00705E5F"/>
    <w:rsid w:val="00706C16"/>
    <w:rsid w:val="00707E0E"/>
    <w:rsid w:val="00711C85"/>
    <w:rsid w:val="0071458F"/>
    <w:rsid w:val="0071627C"/>
    <w:rsid w:val="007218AE"/>
    <w:rsid w:val="00723A7F"/>
    <w:rsid w:val="00725B23"/>
    <w:rsid w:val="007312C3"/>
    <w:rsid w:val="00737C53"/>
    <w:rsid w:val="00737DFA"/>
    <w:rsid w:val="007430A3"/>
    <w:rsid w:val="00745C0D"/>
    <w:rsid w:val="00756841"/>
    <w:rsid w:val="00762AA9"/>
    <w:rsid w:val="007649AB"/>
    <w:rsid w:val="00771D0C"/>
    <w:rsid w:val="007833AC"/>
    <w:rsid w:val="0078358E"/>
    <w:rsid w:val="00784D58"/>
    <w:rsid w:val="00786FBF"/>
    <w:rsid w:val="00790AB7"/>
    <w:rsid w:val="00791769"/>
    <w:rsid w:val="00796340"/>
    <w:rsid w:val="007A23EA"/>
    <w:rsid w:val="007A5189"/>
    <w:rsid w:val="007B0D88"/>
    <w:rsid w:val="007B268C"/>
    <w:rsid w:val="007B2838"/>
    <w:rsid w:val="007B7171"/>
    <w:rsid w:val="007B7D02"/>
    <w:rsid w:val="007C0C0F"/>
    <w:rsid w:val="007C3DC2"/>
    <w:rsid w:val="007D0457"/>
    <w:rsid w:val="007D43C9"/>
    <w:rsid w:val="007E5497"/>
    <w:rsid w:val="007F28CA"/>
    <w:rsid w:val="007F52A4"/>
    <w:rsid w:val="007F60FB"/>
    <w:rsid w:val="007F7B94"/>
    <w:rsid w:val="00800250"/>
    <w:rsid w:val="008042D6"/>
    <w:rsid w:val="00804981"/>
    <w:rsid w:val="00806F5F"/>
    <w:rsid w:val="008152AD"/>
    <w:rsid w:val="008163D7"/>
    <w:rsid w:val="00820278"/>
    <w:rsid w:val="00820BD4"/>
    <w:rsid w:val="008211D2"/>
    <w:rsid w:val="00834554"/>
    <w:rsid w:val="00834B31"/>
    <w:rsid w:val="00840A92"/>
    <w:rsid w:val="00840ADC"/>
    <w:rsid w:val="00843BF7"/>
    <w:rsid w:val="00844950"/>
    <w:rsid w:val="008449B3"/>
    <w:rsid w:val="00846276"/>
    <w:rsid w:val="00850E23"/>
    <w:rsid w:val="00851137"/>
    <w:rsid w:val="00853978"/>
    <w:rsid w:val="0085432F"/>
    <w:rsid w:val="008641C4"/>
    <w:rsid w:val="00864209"/>
    <w:rsid w:val="0087325B"/>
    <w:rsid w:val="008777D3"/>
    <w:rsid w:val="00881ABA"/>
    <w:rsid w:val="008843B6"/>
    <w:rsid w:val="008853BC"/>
    <w:rsid w:val="00886C89"/>
    <w:rsid w:val="00891928"/>
    <w:rsid w:val="00894B8B"/>
    <w:rsid w:val="0089556C"/>
    <w:rsid w:val="008960CE"/>
    <w:rsid w:val="0089686B"/>
    <w:rsid w:val="008A00A4"/>
    <w:rsid w:val="008A446D"/>
    <w:rsid w:val="008A4637"/>
    <w:rsid w:val="008A7A64"/>
    <w:rsid w:val="008A7AFE"/>
    <w:rsid w:val="008A7F08"/>
    <w:rsid w:val="008B0AE4"/>
    <w:rsid w:val="008B2F0E"/>
    <w:rsid w:val="008B30C2"/>
    <w:rsid w:val="008B5578"/>
    <w:rsid w:val="008B5A2E"/>
    <w:rsid w:val="008D01FC"/>
    <w:rsid w:val="008D180B"/>
    <w:rsid w:val="008D2C61"/>
    <w:rsid w:val="008D7227"/>
    <w:rsid w:val="008D7786"/>
    <w:rsid w:val="008E1F92"/>
    <w:rsid w:val="008E7333"/>
    <w:rsid w:val="008E7B09"/>
    <w:rsid w:val="008F0EA7"/>
    <w:rsid w:val="008F7BB9"/>
    <w:rsid w:val="009029F9"/>
    <w:rsid w:val="0090399A"/>
    <w:rsid w:val="00904692"/>
    <w:rsid w:val="00910097"/>
    <w:rsid w:val="00911C7C"/>
    <w:rsid w:val="00913D97"/>
    <w:rsid w:val="00913DBA"/>
    <w:rsid w:val="0091561E"/>
    <w:rsid w:val="00923EEF"/>
    <w:rsid w:val="009411F5"/>
    <w:rsid w:val="009419F9"/>
    <w:rsid w:val="00947217"/>
    <w:rsid w:val="00950618"/>
    <w:rsid w:val="0095394D"/>
    <w:rsid w:val="00953AA4"/>
    <w:rsid w:val="00955305"/>
    <w:rsid w:val="009561EA"/>
    <w:rsid w:val="0095685E"/>
    <w:rsid w:val="009572D9"/>
    <w:rsid w:val="00957AB4"/>
    <w:rsid w:val="009600D2"/>
    <w:rsid w:val="00961409"/>
    <w:rsid w:val="00961B09"/>
    <w:rsid w:val="00962300"/>
    <w:rsid w:val="00962433"/>
    <w:rsid w:val="00965334"/>
    <w:rsid w:val="00966254"/>
    <w:rsid w:val="0097093E"/>
    <w:rsid w:val="00972B33"/>
    <w:rsid w:val="00975B1C"/>
    <w:rsid w:val="00976025"/>
    <w:rsid w:val="00976D9A"/>
    <w:rsid w:val="009800BE"/>
    <w:rsid w:val="00982E41"/>
    <w:rsid w:val="00984649"/>
    <w:rsid w:val="009858BE"/>
    <w:rsid w:val="009A0DFA"/>
    <w:rsid w:val="009A3C2C"/>
    <w:rsid w:val="009A4A40"/>
    <w:rsid w:val="009A5F11"/>
    <w:rsid w:val="009B2D26"/>
    <w:rsid w:val="009B6E29"/>
    <w:rsid w:val="009B76B2"/>
    <w:rsid w:val="009B780F"/>
    <w:rsid w:val="009C00CC"/>
    <w:rsid w:val="009C2DD0"/>
    <w:rsid w:val="009C3AC7"/>
    <w:rsid w:val="009C3C97"/>
    <w:rsid w:val="009C71FA"/>
    <w:rsid w:val="009C72E7"/>
    <w:rsid w:val="009D0555"/>
    <w:rsid w:val="009D3058"/>
    <w:rsid w:val="009D3A11"/>
    <w:rsid w:val="009D44C4"/>
    <w:rsid w:val="009D4993"/>
    <w:rsid w:val="009D67FD"/>
    <w:rsid w:val="009E5A30"/>
    <w:rsid w:val="009E7C05"/>
    <w:rsid w:val="009F3831"/>
    <w:rsid w:val="009F3832"/>
    <w:rsid w:val="009F3A13"/>
    <w:rsid w:val="009F4AB2"/>
    <w:rsid w:val="009F73F7"/>
    <w:rsid w:val="00A02465"/>
    <w:rsid w:val="00A03415"/>
    <w:rsid w:val="00A04A81"/>
    <w:rsid w:val="00A0693C"/>
    <w:rsid w:val="00A122D3"/>
    <w:rsid w:val="00A14D3D"/>
    <w:rsid w:val="00A153F4"/>
    <w:rsid w:val="00A1702C"/>
    <w:rsid w:val="00A17F13"/>
    <w:rsid w:val="00A20739"/>
    <w:rsid w:val="00A211D0"/>
    <w:rsid w:val="00A23361"/>
    <w:rsid w:val="00A24433"/>
    <w:rsid w:val="00A2443A"/>
    <w:rsid w:val="00A254C0"/>
    <w:rsid w:val="00A302A1"/>
    <w:rsid w:val="00A332DD"/>
    <w:rsid w:val="00A339A9"/>
    <w:rsid w:val="00A33C78"/>
    <w:rsid w:val="00A34B38"/>
    <w:rsid w:val="00A34D87"/>
    <w:rsid w:val="00A35538"/>
    <w:rsid w:val="00A37BC4"/>
    <w:rsid w:val="00A42050"/>
    <w:rsid w:val="00A43292"/>
    <w:rsid w:val="00A445C0"/>
    <w:rsid w:val="00A56FCA"/>
    <w:rsid w:val="00A6004A"/>
    <w:rsid w:val="00A60696"/>
    <w:rsid w:val="00A613C2"/>
    <w:rsid w:val="00A66D14"/>
    <w:rsid w:val="00A74DE6"/>
    <w:rsid w:val="00A8086A"/>
    <w:rsid w:val="00A80F32"/>
    <w:rsid w:val="00A87F7D"/>
    <w:rsid w:val="00A9244C"/>
    <w:rsid w:val="00A94D14"/>
    <w:rsid w:val="00AB0ADB"/>
    <w:rsid w:val="00AB3FD1"/>
    <w:rsid w:val="00AC0EAB"/>
    <w:rsid w:val="00AC1737"/>
    <w:rsid w:val="00AC4701"/>
    <w:rsid w:val="00AC49A2"/>
    <w:rsid w:val="00AC6FA5"/>
    <w:rsid w:val="00AD26A6"/>
    <w:rsid w:val="00AD73E2"/>
    <w:rsid w:val="00AE2631"/>
    <w:rsid w:val="00AF0ED2"/>
    <w:rsid w:val="00AF1854"/>
    <w:rsid w:val="00AF1BEC"/>
    <w:rsid w:val="00B009B8"/>
    <w:rsid w:val="00B01B1A"/>
    <w:rsid w:val="00B14E03"/>
    <w:rsid w:val="00B23D14"/>
    <w:rsid w:val="00B26B98"/>
    <w:rsid w:val="00B35ADC"/>
    <w:rsid w:val="00B37C24"/>
    <w:rsid w:val="00B40FBC"/>
    <w:rsid w:val="00B46F27"/>
    <w:rsid w:val="00B47FD7"/>
    <w:rsid w:val="00B51F75"/>
    <w:rsid w:val="00B52674"/>
    <w:rsid w:val="00B53E27"/>
    <w:rsid w:val="00B558AF"/>
    <w:rsid w:val="00B615BA"/>
    <w:rsid w:val="00B62D8B"/>
    <w:rsid w:val="00B64162"/>
    <w:rsid w:val="00B72CD3"/>
    <w:rsid w:val="00B72FFF"/>
    <w:rsid w:val="00B73993"/>
    <w:rsid w:val="00B75F3C"/>
    <w:rsid w:val="00B76CEB"/>
    <w:rsid w:val="00B8257D"/>
    <w:rsid w:val="00B82B8B"/>
    <w:rsid w:val="00B86FE2"/>
    <w:rsid w:val="00B87F69"/>
    <w:rsid w:val="00B91186"/>
    <w:rsid w:val="00B93423"/>
    <w:rsid w:val="00B97D74"/>
    <w:rsid w:val="00BA2EF4"/>
    <w:rsid w:val="00BB2A21"/>
    <w:rsid w:val="00BB73C5"/>
    <w:rsid w:val="00BC0036"/>
    <w:rsid w:val="00BC05A6"/>
    <w:rsid w:val="00BC3D36"/>
    <w:rsid w:val="00BC4B34"/>
    <w:rsid w:val="00BD38E0"/>
    <w:rsid w:val="00BD7F72"/>
    <w:rsid w:val="00BE03BC"/>
    <w:rsid w:val="00BE0A18"/>
    <w:rsid w:val="00BE12F9"/>
    <w:rsid w:val="00BE6F43"/>
    <w:rsid w:val="00BF1201"/>
    <w:rsid w:val="00BF1D4A"/>
    <w:rsid w:val="00BF230F"/>
    <w:rsid w:val="00BF7BBF"/>
    <w:rsid w:val="00C002E3"/>
    <w:rsid w:val="00C012CC"/>
    <w:rsid w:val="00C015B1"/>
    <w:rsid w:val="00C03510"/>
    <w:rsid w:val="00C04FB3"/>
    <w:rsid w:val="00C10179"/>
    <w:rsid w:val="00C147D0"/>
    <w:rsid w:val="00C159C1"/>
    <w:rsid w:val="00C16346"/>
    <w:rsid w:val="00C20C65"/>
    <w:rsid w:val="00C21B15"/>
    <w:rsid w:val="00C30833"/>
    <w:rsid w:val="00C32523"/>
    <w:rsid w:val="00C330EB"/>
    <w:rsid w:val="00C371C9"/>
    <w:rsid w:val="00C40E9F"/>
    <w:rsid w:val="00C41481"/>
    <w:rsid w:val="00C42469"/>
    <w:rsid w:val="00C46D91"/>
    <w:rsid w:val="00C47A07"/>
    <w:rsid w:val="00C57281"/>
    <w:rsid w:val="00C65D65"/>
    <w:rsid w:val="00C67703"/>
    <w:rsid w:val="00C7173F"/>
    <w:rsid w:val="00C730B6"/>
    <w:rsid w:val="00C74E08"/>
    <w:rsid w:val="00C754BE"/>
    <w:rsid w:val="00C76466"/>
    <w:rsid w:val="00C76B1C"/>
    <w:rsid w:val="00C877C2"/>
    <w:rsid w:val="00C915DD"/>
    <w:rsid w:val="00C91B94"/>
    <w:rsid w:val="00C95163"/>
    <w:rsid w:val="00C95AD9"/>
    <w:rsid w:val="00CA47CD"/>
    <w:rsid w:val="00CA6A9D"/>
    <w:rsid w:val="00CA7F6B"/>
    <w:rsid w:val="00CA7FB6"/>
    <w:rsid w:val="00CB06C2"/>
    <w:rsid w:val="00CB16D7"/>
    <w:rsid w:val="00CB6357"/>
    <w:rsid w:val="00CC0FA3"/>
    <w:rsid w:val="00CC1B26"/>
    <w:rsid w:val="00CC49F7"/>
    <w:rsid w:val="00CC54DB"/>
    <w:rsid w:val="00CD087D"/>
    <w:rsid w:val="00CD41CB"/>
    <w:rsid w:val="00CD5EE0"/>
    <w:rsid w:val="00CE509A"/>
    <w:rsid w:val="00CE5414"/>
    <w:rsid w:val="00CE7426"/>
    <w:rsid w:val="00CF7826"/>
    <w:rsid w:val="00D0157A"/>
    <w:rsid w:val="00D02740"/>
    <w:rsid w:val="00D036D8"/>
    <w:rsid w:val="00D038ED"/>
    <w:rsid w:val="00D053E1"/>
    <w:rsid w:val="00D06D26"/>
    <w:rsid w:val="00D10B75"/>
    <w:rsid w:val="00D11906"/>
    <w:rsid w:val="00D13351"/>
    <w:rsid w:val="00D13D25"/>
    <w:rsid w:val="00D15E25"/>
    <w:rsid w:val="00D20368"/>
    <w:rsid w:val="00D22361"/>
    <w:rsid w:val="00D22598"/>
    <w:rsid w:val="00D26924"/>
    <w:rsid w:val="00D413F6"/>
    <w:rsid w:val="00D41D84"/>
    <w:rsid w:val="00D4231B"/>
    <w:rsid w:val="00D423A2"/>
    <w:rsid w:val="00D520D8"/>
    <w:rsid w:val="00D52844"/>
    <w:rsid w:val="00D52961"/>
    <w:rsid w:val="00D55048"/>
    <w:rsid w:val="00D5596D"/>
    <w:rsid w:val="00D55978"/>
    <w:rsid w:val="00D57FA4"/>
    <w:rsid w:val="00D62DE7"/>
    <w:rsid w:val="00D63AC2"/>
    <w:rsid w:val="00D665B4"/>
    <w:rsid w:val="00D7383B"/>
    <w:rsid w:val="00D7609E"/>
    <w:rsid w:val="00D81A63"/>
    <w:rsid w:val="00D81D25"/>
    <w:rsid w:val="00D85C60"/>
    <w:rsid w:val="00D94C40"/>
    <w:rsid w:val="00DA231B"/>
    <w:rsid w:val="00DA23A0"/>
    <w:rsid w:val="00DA7F66"/>
    <w:rsid w:val="00DB186F"/>
    <w:rsid w:val="00DB2A80"/>
    <w:rsid w:val="00DB7B3E"/>
    <w:rsid w:val="00DC39FC"/>
    <w:rsid w:val="00DC4385"/>
    <w:rsid w:val="00DC484F"/>
    <w:rsid w:val="00DC4C27"/>
    <w:rsid w:val="00DC51BC"/>
    <w:rsid w:val="00DC793F"/>
    <w:rsid w:val="00DE0856"/>
    <w:rsid w:val="00DE4629"/>
    <w:rsid w:val="00DF11FD"/>
    <w:rsid w:val="00DF5254"/>
    <w:rsid w:val="00E032CA"/>
    <w:rsid w:val="00E12426"/>
    <w:rsid w:val="00E16408"/>
    <w:rsid w:val="00E20894"/>
    <w:rsid w:val="00E245AB"/>
    <w:rsid w:val="00E24E36"/>
    <w:rsid w:val="00E26239"/>
    <w:rsid w:val="00E2764C"/>
    <w:rsid w:val="00E27F2E"/>
    <w:rsid w:val="00E3176B"/>
    <w:rsid w:val="00E34BBF"/>
    <w:rsid w:val="00E413EA"/>
    <w:rsid w:val="00E4419D"/>
    <w:rsid w:val="00E47F28"/>
    <w:rsid w:val="00E50AFE"/>
    <w:rsid w:val="00E518CB"/>
    <w:rsid w:val="00E52E49"/>
    <w:rsid w:val="00E577AC"/>
    <w:rsid w:val="00E578B6"/>
    <w:rsid w:val="00E61547"/>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908AA"/>
    <w:rsid w:val="00E90F6B"/>
    <w:rsid w:val="00E91079"/>
    <w:rsid w:val="00E92C27"/>
    <w:rsid w:val="00E92E10"/>
    <w:rsid w:val="00EA0E3D"/>
    <w:rsid w:val="00EA1CD8"/>
    <w:rsid w:val="00EA393B"/>
    <w:rsid w:val="00EA39A5"/>
    <w:rsid w:val="00EB2C4B"/>
    <w:rsid w:val="00EB7E00"/>
    <w:rsid w:val="00EC1A2C"/>
    <w:rsid w:val="00EC1FE1"/>
    <w:rsid w:val="00EC38A7"/>
    <w:rsid w:val="00EC40F8"/>
    <w:rsid w:val="00EC793E"/>
    <w:rsid w:val="00ED042A"/>
    <w:rsid w:val="00ED0D4A"/>
    <w:rsid w:val="00EE1AA8"/>
    <w:rsid w:val="00EF26C3"/>
    <w:rsid w:val="00EF419E"/>
    <w:rsid w:val="00EF489F"/>
    <w:rsid w:val="00EF63E1"/>
    <w:rsid w:val="00F01413"/>
    <w:rsid w:val="00F10A35"/>
    <w:rsid w:val="00F11213"/>
    <w:rsid w:val="00F11BAA"/>
    <w:rsid w:val="00F1445A"/>
    <w:rsid w:val="00F177C1"/>
    <w:rsid w:val="00F238F2"/>
    <w:rsid w:val="00F242E8"/>
    <w:rsid w:val="00F260AA"/>
    <w:rsid w:val="00F27B26"/>
    <w:rsid w:val="00F31EDC"/>
    <w:rsid w:val="00F34D02"/>
    <w:rsid w:val="00F34E84"/>
    <w:rsid w:val="00F36447"/>
    <w:rsid w:val="00F40BAD"/>
    <w:rsid w:val="00F4520E"/>
    <w:rsid w:val="00F462B3"/>
    <w:rsid w:val="00F46F38"/>
    <w:rsid w:val="00F50F8A"/>
    <w:rsid w:val="00F51119"/>
    <w:rsid w:val="00F5184B"/>
    <w:rsid w:val="00F51862"/>
    <w:rsid w:val="00F5258B"/>
    <w:rsid w:val="00F55081"/>
    <w:rsid w:val="00F55168"/>
    <w:rsid w:val="00F5664F"/>
    <w:rsid w:val="00F626C4"/>
    <w:rsid w:val="00F64D9E"/>
    <w:rsid w:val="00F65C51"/>
    <w:rsid w:val="00F665D0"/>
    <w:rsid w:val="00F666C4"/>
    <w:rsid w:val="00F7684C"/>
    <w:rsid w:val="00F76AFC"/>
    <w:rsid w:val="00F80CBE"/>
    <w:rsid w:val="00F84076"/>
    <w:rsid w:val="00F85198"/>
    <w:rsid w:val="00F85A91"/>
    <w:rsid w:val="00F90FE0"/>
    <w:rsid w:val="00F939CB"/>
    <w:rsid w:val="00F9479C"/>
    <w:rsid w:val="00F965EE"/>
    <w:rsid w:val="00F97949"/>
    <w:rsid w:val="00FA1110"/>
    <w:rsid w:val="00FA358D"/>
    <w:rsid w:val="00FA47C0"/>
    <w:rsid w:val="00FB4425"/>
    <w:rsid w:val="00FB5615"/>
    <w:rsid w:val="00FB5DD1"/>
    <w:rsid w:val="00FB5F87"/>
    <w:rsid w:val="00FC07B5"/>
    <w:rsid w:val="00FC2B5D"/>
    <w:rsid w:val="00FD00E9"/>
    <w:rsid w:val="00FD03E3"/>
    <w:rsid w:val="00FE122A"/>
    <w:rsid w:val="00FE20E6"/>
    <w:rsid w:val="00FE429F"/>
    <w:rsid w:val="00FF1187"/>
    <w:rsid w:val="00FF1449"/>
    <w:rsid w:val="00FF2FD4"/>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381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table" w:customStyle="1" w:styleId="Tablaconcuadrcula11">
    <w:name w:val="Tabla con cuadrícula11"/>
    <w:basedOn w:val="Tablanormal"/>
    <w:next w:val="Tablaconcuadrcula"/>
    <w:uiPriority w:val="39"/>
    <w:qFormat/>
    <w:rsid w:val="006016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60163E"/>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74562185">
      <w:bodyDiv w:val="1"/>
      <w:marLeft w:val="0"/>
      <w:marRight w:val="0"/>
      <w:marTop w:val="0"/>
      <w:marBottom w:val="0"/>
      <w:divBdr>
        <w:top w:val="none" w:sz="0" w:space="0" w:color="auto"/>
        <w:left w:val="none" w:sz="0" w:space="0" w:color="auto"/>
        <w:bottom w:val="none" w:sz="0" w:space="0" w:color="auto"/>
        <w:right w:val="none" w:sz="0" w:space="0" w:color="auto"/>
      </w:divBdr>
    </w:div>
    <w:div w:id="363290210">
      <w:bodyDiv w:val="1"/>
      <w:marLeft w:val="0"/>
      <w:marRight w:val="0"/>
      <w:marTop w:val="0"/>
      <w:marBottom w:val="0"/>
      <w:divBdr>
        <w:top w:val="none" w:sz="0" w:space="0" w:color="auto"/>
        <w:left w:val="none" w:sz="0" w:space="0" w:color="auto"/>
        <w:bottom w:val="none" w:sz="0" w:space="0" w:color="auto"/>
        <w:right w:val="none" w:sz="0" w:space="0" w:color="auto"/>
      </w:divBdr>
    </w:div>
    <w:div w:id="400642757">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523596194">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0881481">
      <w:bodyDiv w:val="1"/>
      <w:marLeft w:val="0"/>
      <w:marRight w:val="0"/>
      <w:marTop w:val="0"/>
      <w:marBottom w:val="0"/>
      <w:divBdr>
        <w:top w:val="none" w:sz="0" w:space="0" w:color="auto"/>
        <w:left w:val="none" w:sz="0" w:space="0" w:color="auto"/>
        <w:bottom w:val="none" w:sz="0" w:space="0" w:color="auto"/>
        <w:right w:val="none" w:sz="0" w:space="0" w:color="auto"/>
      </w:divBdr>
      <w:divsChild>
        <w:div w:id="896011737">
          <w:marLeft w:val="0"/>
          <w:marRight w:val="0"/>
          <w:marTop w:val="0"/>
          <w:marBottom w:val="0"/>
          <w:divBdr>
            <w:top w:val="none" w:sz="0" w:space="0" w:color="auto"/>
            <w:left w:val="none" w:sz="0" w:space="0" w:color="auto"/>
            <w:bottom w:val="none" w:sz="0" w:space="0" w:color="auto"/>
            <w:right w:val="none" w:sz="0" w:space="0" w:color="auto"/>
          </w:divBdr>
          <w:divsChild>
            <w:div w:id="64107881">
              <w:marLeft w:val="0"/>
              <w:marRight w:val="0"/>
              <w:marTop w:val="0"/>
              <w:marBottom w:val="0"/>
              <w:divBdr>
                <w:top w:val="none" w:sz="0" w:space="0" w:color="auto"/>
                <w:left w:val="none" w:sz="0" w:space="0" w:color="auto"/>
                <w:bottom w:val="none" w:sz="0" w:space="0" w:color="auto"/>
                <w:right w:val="none" w:sz="0" w:space="0" w:color="auto"/>
              </w:divBdr>
            </w:div>
            <w:div w:id="1510755268">
              <w:marLeft w:val="0"/>
              <w:marRight w:val="0"/>
              <w:marTop w:val="0"/>
              <w:marBottom w:val="0"/>
              <w:divBdr>
                <w:top w:val="none" w:sz="0" w:space="0" w:color="auto"/>
                <w:left w:val="none" w:sz="0" w:space="0" w:color="auto"/>
                <w:bottom w:val="none" w:sz="0" w:space="0" w:color="auto"/>
                <w:right w:val="none" w:sz="0" w:space="0" w:color="auto"/>
              </w:divBdr>
              <w:divsChild>
                <w:div w:id="1455371637">
                  <w:marLeft w:val="0"/>
                  <w:marRight w:val="0"/>
                  <w:marTop w:val="0"/>
                  <w:marBottom w:val="0"/>
                  <w:divBdr>
                    <w:top w:val="none" w:sz="0" w:space="0" w:color="auto"/>
                    <w:left w:val="none" w:sz="0" w:space="0" w:color="auto"/>
                    <w:bottom w:val="none" w:sz="0" w:space="0" w:color="auto"/>
                    <w:right w:val="none" w:sz="0" w:space="0" w:color="auto"/>
                  </w:divBdr>
                  <w:divsChild>
                    <w:div w:id="59147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467575">
          <w:marLeft w:val="0"/>
          <w:marRight w:val="0"/>
          <w:marTop w:val="0"/>
          <w:marBottom w:val="0"/>
          <w:divBdr>
            <w:top w:val="none" w:sz="0" w:space="0" w:color="auto"/>
            <w:left w:val="none" w:sz="0" w:space="0" w:color="auto"/>
            <w:bottom w:val="none" w:sz="0" w:space="0" w:color="auto"/>
            <w:right w:val="none" w:sz="0" w:space="0" w:color="auto"/>
          </w:divBdr>
          <w:divsChild>
            <w:div w:id="1383560765">
              <w:marLeft w:val="0"/>
              <w:marRight w:val="0"/>
              <w:marTop w:val="0"/>
              <w:marBottom w:val="0"/>
              <w:divBdr>
                <w:top w:val="none" w:sz="0" w:space="0" w:color="auto"/>
                <w:left w:val="none" w:sz="0" w:space="0" w:color="auto"/>
                <w:bottom w:val="none" w:sz="0" w:space="0" w:color="auto"/>
                <w:right w:val="none" w:sz="0" w:space="0" w:color="auto"/>
              </w:divBdr>
            </w:div>
          </w:divsChild>
        </w:div>
        <w:div w:id="1058431667">
          <w:marLeft w:val="0"/>
          <w:marRight w:val="0"/>
          <w:marTop w:val="0"/>
          <w:marBottom w:val="0"/>
          <w:divBdr>
            <w:top w:val="none" w:sz="0" w:space="0" w:color="auto"/>
            <w:left w:val="none" w:sz="0" w:space="0" w:color="auto"/>
            <w:bottom w:val="none" w:sz="0" w:space="0" w:color="auto"/>
            <w:right w:val="none" w:sz="0" w:space="0" w:color="auto"/>
          </w:divBdr>
          <w:divsChild>
            <w:div w:id="770708630">
              <w:marLeft w:val="0"/>
              <w:marRight w:val="0"/>
              <w:marTop w:val="0"/>
              <w:marBottom w:val="0"/>
              <w:divBdr>
                <w:top w:val="none" w:sz="0" w:space="0" w:color="auto"/>
                <w:left w:val="none" w:sz="0" w:space="0" w:color="auto"/>
                <w:bottom w:val="none" w:sz="0" w:space="0" w:color="auto"/>
                <w:right w:val="none" w:sz="0" w:space="0" w:color="auto"/>
              </w:divBdr>
            </w:div>
          </w:divsChild>
        </w:div>
        <w:div w:id="875778212">
          <w:marLeft w:val="0"/>
          <w:marRight w:val="0"/>
          <w:marTop w:val="0"/>
          <w:marBottom w:val="0"/>
          <w:divBdr>
            <w:top w:val="none" w:sz="0" w:space="0" w:color="auto"/>
            <w:left w:val="none" w:sz="0" w:space="0" w:color="auto"/>
            <w:bottom w:val="none" w:sz="0" w:space="0" w:color="auto"/>
            <w:right w:val="none" w:sz="0" w:space="0" w:color="auto"/>
          </w:divBdr>
          <w:divsChild>
            <w:div w:id="3483771">
              <w:marLeft w:val="0"/>
              <w:marRight w:val="0"/>
              <w:marTop w:val="0"/>
              <w:marBottom w:val="0"/>
              <w:divBdr>
                <w:top w:val="none" w:sz="0" w:space="0" w:color="auto"/>
                <w:left w:val="none" w:sz="0" w:space="0" w:color="auto"/>
                <w:bottom w:val="none" w:sz="0" w:space="0" w:color="auto"/>
                <w:right w:val="none" w:sz="0" w:space="0" w:color="auto"/>
              </w:divBdr>
            </w:div>
            <w:div w:id="658195392">
              <w:marLeft w:val="0"/>
              <w:marRight w:val="0"/>
              <w:marTop w:val="0"/>
              <w:marBottom w:val="0"/>
              <w:divBdr>
                <w:top w:val="none" w:sz="0" w:space="0" w:color="auto"/>
                <w:left w:val="none" w:sz="0" w:space="0" w:color="auto"/>
                <w:bottom w:val="none" w:sz="0" w:space="0" w:color="auto"/>
                <w:right w:val="none" w:sz="0" w:space="0" w:color="auto"/>
              </w:divBdr>
              <w:divsChild>
                <w:div w:id="1192763946">
                  <w:marLeft w:val="0"/>
                  <w:marRight w:val="0"/>
                  <w:marTop w:val="0"/>
                  <w:marBottom w:val="0"/>
                  <w:divBdr>
                    <w:top w:val="none" w:sz="0" w:space="0" w:color="auto"/>
                    <w:left w:val="none" w:sz="0" w:space="0" w:color="auto"/>
                    <w:bottom w:val="none" w:sz="0" w:space="0" w:color="auto"/>
                    <w:right w:val="none" w:sz="0" w:space="0" w:color="auto"/>
                  </w:divBdr>
                  <w:divsChild>
                    <w:div w:id="362367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962278">
          <w:marLeft w:val="0"/>
          <w:marRight w:val="0"/>
          <w:marTop w:val="0"/>
          <w:marBottom w:val="0"/>
          <w:divBdr>
            <w:top w:val="none" w:sz="0" w:space="0" w:color="auto"/>
            <w:left w:val="none" w:sz="0" w:space="0" w:color="auto"/>
            <w:bottom w:val="none" w:sz="0" w:space="0" w:color="auto"/>
            <w:right w:val="none" w:sz="0" w:space="0" w:color="auto"/>
          </w:divBdr>
          <w:divsChild>
            <w:div w:id="940141584">
              <w:marLeft w:val="0"/>
              <w:marRight w:val="0"/>
              <w:marTop w:val="0"/>
              <w:marBottom w:val="0"/>
              <w:divBdr>
                <w:top w:val="none" w:sz="0" w:space="0" w:color="auto"/>
                <w:left w:val="none" w:sz="0" w:space="0" w:color="auto"/>
                <w:bottom w:val="none" w:sz="0" w:space="0" w:color="auto"/>
                <w:right w:val="none" w:sz="0" w:space="0" w:color="auto"/>
              </w:divBdr>
            </w:div>
            <w:div w:id="1488790439">
              <w:marLeft w:val="0"/>
              <w:marRight w:val="0"/>
              <w:marTop w:val="0"/>
              <w:marBottom w:val="0"/>
              <w:divBdr>
                <w:top w:val="none" w:sz="0" w:space="0" w:color="auto"/>
                <w:left w:val="none" w:sz="0" w:space="0" w:color="auto"/>
                <w:bottom w:val="none" w:sz="0" w:space="0" w:color="auto"/>
                <w:right w:val="none" w:sz="0" w:space="0" w:color="auto"/>
              </w:divBdr>
              <w:divsChild>
                <w:div w:id="1071388426">
                  <w:marLeft w:val="0"/>
                  <w:marRight w:val="0"/>
                  <w:marTop w:val="0"/>
                  <w:marBottom w:val="0"/>
                  <w:divBdr>
                    <w:top w:val="none" w:sz="0" w:space="0" w:color="auto"/>
                    <w:left w:val="none" w:sz="0" w:space="0" w:color="auto"/>
                    <w:bottom w:val="none" w:sz="0" w:space="0" w:color="auto"/>
                    <w:right w:val="none" w:sz="0" w:space="0" w:color="auto"/>
                  </w:divBdr>
                  <w:divsChild>
                    <w:div w:id="1207571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55316785">
      <w:bodyDiv w:val="1"/>
      <w:marLeft w:val="0"/>
      <w:marRight w:val="0"/>
      <w:marTop w:val="0"/>
      <w:marBottom w:val="0"/>
      <w:divBdr>
        <w:top w:val="none" w:sz="0" w:space="0" w:color="auto"/>
        <w:left w:val="none" w:sz="0" w:space="0" w:color="auto"/>
        <w:bottom w:val="none" w:sz="0" w:space="0" w:color="auto"/>
        <w:right w:val="none" w:sz="0" w:space="0" w:color="auto"/>
      </w:divBdr>
      <w:divsChild>
        <w:div w:id="1253121883">
          <w:marLeft w:val="0"/>
          <w:marRight w:val="0"/>
          <w:marTop w:val="0"/>
          <w:marBottom w:val="0"/>
          <w:divBdr>
            <w:top w:val="none" w:sz="0" w:space="0" w:color="auto"/>
            <w:left w:val="none" w:sz="0" w:space="0" w:color="auto"/>
            <w:bottom w:val="none" w:sz="0" w:space="0" w:color="auto"/>
            <w:right w:val="none" w:sz="0" w:space="0" w:color="auto"/>
          </w:divBdr>
          <w:divsChild>
            <w:div w:id="1038436993">
              <w:marLeft w:val="0"/>
              <w:marRight w:val="0"/>
              <w:marTop w:val="0"/>
              <w:marBottom w:val="0"/>
              <w:divBdr>
                <w:top w:val="none" w:sz="0" w:space="0" w:color="auto"/>
                <w:left w:val="none" w:sz="0" w:space="0" w:color="auto"/>
                <w:bottom w:val="none" w:sz="0" w:space="0" w:color="auto"/>
                <w:right w:val="none" w:sz="0" w:space="0" w:color="auto"/>
              </w:divBdr>
            </w:div>
            <w:div w:id="589894739">
              <w:marLeft w:val="0"/>
              <w:marRight w:val="0"/>
              <w:marTop w:val="0"/>
              <w:marBottom w:val="0"/>
              <w:divBdr>
                <w:top w:val="none" w:sz="0" w:space="0" w:color="auto"/>
                <w:left w:val="none" w:sz="0" w:space="0" w:color="auto"/>
                <w:bottom w:val="none" w:sz="0" w:space="0" w:color="auto"/>
                <w:right w:val="none" w:sz="0" w:space="0" w:color="auto"/>
              </w:divBdr>
              <w:divsChild>
                <w:div w:id="1403215916">
                  <w:marLeft w:val="0"/>
                  <w:marRight w:val="0"/>
                  <w:marTop w:val="0"/>
                  <w:marBottom w:val="0"/>
                  <w:divBdr>
                    <w:top w:val="none" w:sz="0" w:space="0" w:color="auto"/>
                    <w:left w:val="none" w:sz="0" w:space="0" w:color="auto"/>
                    <w:bottom w:val="none" w:sz="0" w:space="0" w:color="auto"/>
                    <w:right w:val="none" w:sz="0" w:space="0" w:color="auto"/>
                  </w:divBdr>
                  <w:divsChild>
                    <w:div w:id="151040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09676">
          <w:marLeft w:val="0"/>
          <w:marRight w:val="0"/>
          <w:marTop w:val="0"/>
          <w:marBottom w:val="0"/>
          <w:divBdr>
            <w:top w:val="none" w:sz="0" w:space="0" w:color="auto"/>
            <w:left w:val="none" w:sz="0" w:space="0" w:color="auto"/>
            <w:bottom w:val="none" w:sz="0" w:space="0" w:color="auto"/>
            <w:right w:val="none" w:sz="0" w:space="0" w:color="auto"/>
          </w:divBdr>
          <w:divsChild>
            <w:div w:id="100687961">
              <w:marLeft w:val="0"/>
              <w:marRight w:val="0"/>
              <w:marTop w:val="0"/>
              <w:marBottom w:val="0"/>
              <w:divBdr>
                <w:top w:val="none" w:sz="0" w:space="0" w:color="auto"/>
                <w:left w:val="none" w:sz="0" w:space="0" w:color="auto"/>
                <w:bottom w:val="none" w:sz="0" w:space="0" w:color="auto"/>
                <w:right w:val="none" w:sz="0" w:space="0" w:color="auto"/>
              </w:divBdr>
            </w:div>
          </w:divsChild>
        </w:div>
        <w:div w:id="453250805">
          <w:marLeft w:val="0"/>
          <w:marRight w:val="0"/>
          <w:marTop w:val="0"/>
          <w:marBottom w:val="0"/>
          <w:divBdr>
            <w:top w:val="none" w:sz="0" w:space="0" w:color="auto"/>
            <w:left w:val="none" w:sz="0" w:space="0" w:color="auto"/>
            <w:bottom w:val="none" w:sz="0" w:space="0" w:color="auto"/>
            <w:right w:val="none" w:sz="0" w:space="0" w:color="auto"/>
          </w:divBdr>
          <w:divsChild>
            <w:div w:id="232813660">
              <w:marLeft w:val="0"/>
              <w:marRight w:val="0"/>
              <w:marTop w:val="0"/>
              <w:marBottom w:val="0"/>
              <w:divBdr>
                <w:top w:val="none" w:sz="0" w:space="0" w:color="auto"/>
                <w:left w:val="none" w:sz="0" w:space="0" w:color="auto"/>
                <w:bottom w:val="none" w:sz="0" w:space="0" w:color="auto"/>
                <w:right w:val="none" w:sz="0" w:space="0" w:color="auto"/>
              </w:divBdr>
            </w:div>
          </w:divsChild>
        </w:div>
        <w:div w:id="3167415">
          <w:marLeft w:val="0"/>
          <w:marRight w:val="0"/>
          <w:marTop w:val="0"/>
          <w:marBottom w:val="0"/>
          <w:divBdr>
            <w:top w:val="none" w:sz="0" w:space="0" w:color="auto"/>
            <w:left w:val="none" w:sz="0" w:space="0" w:color="auto"/>
            <w:bottom w:val="none" w:sz="0" w:space="0" w:color="auto"/>
            <w:right w:val="none" w:sz="0" w:space="0" w:color="auto"/>
          </w:divBdr>
          <w:divsChild>
            <w:div w:id="1374622214">
              <w:marLeft w:val="0"/>
              <w:marRight w:val="0"/>
              <w:marTop w:val="0"/>
              <w:marBottom w:val="0"/>
              <w:divBdr>
                <w:top w:val="none" w:sz="0" w:space="0" w:color="auto"/>
                <w:left w:val="none" w:sz="0" w:space="0" w:color="auto"/>
                <w:bottom w:val="none" w:sz="0" w:space="0" w:color="auto"/>
                <w:right w:val="none" w:sz="0" w:space="0" w:color="auto"/>
              </w:divBdr>
            </w:div>
            <w:div w:id="1802306240">
              <w:marLeft w:val="0"/>
              <w:marRight w:val="0"/>
              <w:marTop w:val="0"/>
              <w:marBottom w:val="0"/>
              <w:divBdr>
                <w:top w:val="none" w:sz="0" w:space="0" w:color="auto"/>
                <w:left w:val="none" w:sz="0" w:space="0" w:color="auto"/>
                <w:bottom w:val="none" w:sz="0" w:space="0" w:color="auto"/>
                <w:right w:val="none" w:sz="0" w:space="0" w:color="auto"/>
              </w:divBdr>
              <w:divsChild>
                <w:div w:id="385766769">
                  <w:marLeft w:val="0"/>
                  <w:marRight w:val="0"/>
                  <w:marTop w:val="0"/>
                  <w:marBottom w:val="0"/>
                  <w:divBdr>
                    <w:top w:val="none" w:sz="0" w:space="0" w:color="auto"/>
                    <w:left w:val="none" w:sz="0" w:space="0" w:color="auto"/>
                    <w:bottom w:val="none" w:sz="0" w:space="0" w:color="auto"/>
                    <w:right w:val="none" w:sz="0" w:space="0" w:color="auto"/>
                  </w:divBdr>
                  <w:divsChild>
                    <w:div w:id="200003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762500">
          <w:marLeft w:val="0"/>
          <w:marRight w:val="0"/>
          <w:marTop w:val="0"/>
          <w:marBottom w:val="0"/>
          <w:divBdr>
            <w:top w:val="none" w:sz="0" w:space="0" w:color="auto"/>
            <w:left w:val="none" w:sz="0" w:space="0" w:color="auto"/>
            <w:bottom w:val="none" w:sz="0" w:space="0" w:color="auto"/>
            <w:right w:val="none" w:sz="0" w:space="0" w:color="auto"/>
          </w:divBdr>
          <w:divsChild>
            <w:div w:id="482311609">
              <w:marLeft w:val="0"/>
              <w:marRight w:val="0"/>
              <w:marTop w:val="0"/>
              <w:marBottom w:val="0"/>
              <w:divBdr>
                <w:top w:val="none" w:sz="0" w:space="0" w:color="auto"/>
                <w:left w:val="none" w:sz="0" w:space="0" w:color="auto"/>
                <w:bottom w:val="none" w:sz="0" w:space="0" w:color="auto"/>
                <w:right w:val="none" w:sz="0" w:space="0" w:color="auto"/>
              </w:divBdr>
            </w:div>
            <w:div w:id="650253667">
              <w:marLeft w:val="0"/>
              <w:marRight w:val="0"/>
              <w:marTop w:val="0"/>
              <w:marBottom w:val="0"/>
              <w:divBdr>
                <w:top w:val="none" w:sz="0" w:space="0" w:color="auto"/>
                <w:left w:val="none" w:sz="0" w:space="0" w:color="auto"/>
                <w:bottom w:val="none" w:sz="0" w:space="0" w:color="auto"/>
                <w:right w:val="none" w:sz="0" w:space="0" w:color="auto"/>
              </w:divBdr>
              <w:divsChild>
                <w:div w:id="1640765392">
                  <w:marLeft w:val="0"/>
                  <w:marRight w:val="0"/>
                  <w:marTop w:val="0"/>
                  <w:marBottom w:val="0"/>
                  <w:divBdr>
                    <w:top w:val="none" w:sz="0" w:space="0" w:color="auto"/>
                    <w:left w:val="none" w:sz="0" w:space="0" w:color="auto"/>
                    <w:bottom w:val="none" w:sz="0" w:space="0" w:color="auto"/>
                    <w:right w:val="none" w:sz="0" w:space="0" w:color="auto"/>
                  </w:divBdr>
                  <w:divsChild>
                    <w:div w:id="119854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4156226">
      <w:bodyDiv w:val="1"/>
      <w:marLeft w:val="0"/>
      <w:marRight w:val="0"/>
      <w:marTop w:val="0"/>
      <w:marBottom w:val="0"/>
      <w:divBdr>
        <w:top w:val="none" w:sz="0" w:space="0" w:color="auto"/>
        <w:left w:val="none" w:sz="0" w:space="0" w:color="auto"/>
        <w:bottom w:val="none" w:sz="0" w:space="0" w:color="auto"/>
        <w:right w:val="none" w:sz="0" w:space="0" w:color="auto"/>
      </w:divBdr>
    </w:div>
    <w:div w:id="1963657488">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0080_1993.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ichardcastri28@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www.w3.org/XML/1998/namespace"/>
    <ds:schemaRef ds:uri="http://schemas.microsoft.com/office/2006/metadata/properties"/>
    <ds:schemaRef ds:uri="http://schemas.openxmlformats.org/package/2006/metadata/core-properties"/>
    <ds:schemaRef ds:uri="http://schemas.microsoft.com/office/2006/documentManagement/types"/>
    <ds:schemaRef ds:uri="http://schemas.microsoft.com/office/infopath/2007/PartnerControls"/>
    <ds:schemaRef ds:uri="a6cb9e4b-f1d1-4245-83ec-6cad768d538a"/>
    <ds:schemaRef ds:uri="http://purl.org/dc/terms/"/>
    <ds:schemaRef ds:uri="http://purl.org/dc/elements/1.1/"/>
    <ds:schemaRef ds:uri="9d85dbaf-23eb-4e57-a637-93dcacc8b1a1"/>
    <ds:schemaRef ds:uri="http://purl.org/dc/dcmitype/"/>
  </ds:schemaRefs>
</ds:datastoreItem>
</file>

<file path=customXml/itemProps2.xml><?xml version="1.0" encoding="utf-8"?>
<ds:datastoreItem xmlns:ds="http://schemas.openxmlformats.org/officeDocument/2006/customXml" ds:itemID="{24FB2E0A-97DE-4C49-B820-7735124C5D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F13DA511-8AC5-4E8E-98B4-615A13C22D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6428</Words>
  <Characters>35355</Characters>
  <Application>Microsoft Office Word</Application>
  <DocSecurity>0</DocSecurity>
  <Lines>294</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2025-11-06T17:53:00Z</dcterms:created>
  <dcterms:modified xsi:type="dcterms:W3CDTF">2025-11-06T17:53:00Z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