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D182D2" w14:textId="77777777" w:rsidR="009D47ED" w:rsidRPr="00EC7E17" w:rsidRDefault="009D47ED" w:rsidP="009D47ED">
      <w:pPr>
        <w:spacing w:after="0" w:line="276" w:lineRule="auto"/>
        <w:jc w:val="both"/>
        <w:rPr>
          <w:rFonts w:ascii="Verdana" w:eastAsia="Calibri" w:hAnsi="Verdana" w:cs="Arial"/>
          <w:b/>
          <w:bCs/>
          <w:lang w:val="es-ES_tradnl"/>
        </w:rPr>
      </w:pPr>
      <w:bookmarkStart w:id="0" w:name="_Hlk143780582"/>
      <w:r w:rsidRPr="00EC7E17">
        <w:rPr>
          <w:rFonts w:ascii="Verdana" w:eastAsia="Calibri" w:hAnsi="Verdana" w:cs="Arial"/>
          <w:b/>
          <w:bCs/>
          <w:lang w:val="es-ES_tradnl"/>
        </w:rPr>
        <w:t xml:space="preserve">DOCUMENTOS TIPO – Fundamento normativo – Obligatoriedad </w:t>
      </w:r>
    </w:p>
    <w:p w14:paraId="6E94927F" w14:textId="77777777" w:rsidR="009D47ED" w:rsidRPr="00EC7E17" w:rsidRDefault="009D47ED" w:rsidP="009D47ED">
      <w:pPr>
        <w:spacing w:after="0" w:line="276" w:lineRule="auto"/>
        <w:jc w:val="both"/>
        <w:rPr>
          <w:rFonts w:ascii="Verdana" w:eastAsia="Calibri" w:hAnsi="Verdana" w:cs="Arial"/>
          <w:b/>
          <w:bCs/>
          <w:sz w:val="20"/>
          <w:szCs w:val="20"/>
          <w:lang w:val="es-ES_tradnl"/>
        </w:rPr>
      </w:pPr>
    </w:p>
    <w:p w14:paraId="54C4F4AB" w14:textId="77777777" w:rsidR="009D47ED" w:rsidRPr="00EC7E17" w:rsidRDefault="009D47ED" w:rsidP="009D47ED">
      <w:pPr>
        <w:tabs>
          <w:tab w:val="left" w:pos="709"/>
        </w:tabs>
        <w:spacing w:after="0" w:line="240" w:lineRule="auto"/>
        <w:jc w:val="both"/>
        <w:rPr>
          <w:rFonts w:ascii="Verdana" w:eastAsia="Calibri" w:hAnsi="Verdana" w:cs="Arial"/>
          <w:sz w:val="20"/>
          <w:szCs w:val="20"/>
          <w:lang w:val="es-ES"/>
        </w:rPr>
      </w:pPr>
      <w:r w:rsidRPr="00EC7E17">
        <w:rPr>
          <w:rFonts w:ascii="Verdana" w:eastAsia="Calibri" w:hAnsi="Verdana" w:cs="Arial"/>
          <w:sz w:val="20"/>
          <w:szCs w:val="20"/>
          <w:lang w:val="es-ES"/>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22EB1891" w14:textId="77777777" w:rsidR="009D47ED" w:rsidRPr="00EC7E17" w:rsidRDefault="009D47ED" w:rsidP="009D47ED">
      <w:pPr>
        <w:spacing w:after="0" w:line="276" w:lineRule="auto"/>
        <w:jc w:val="both"/>
        <w:rPr>
          <w:rFonts w:ascii="Verdana" w:eastAsia="Calibri" w:hAnsi="Verdana" w:cs="Arial"/>
          <w:b/>
          <w:bCs/>
          <w:lang w:val="es-ES_tradnl"/>
        </w:rPr>
      </w:pPr>
    </w:p>
    <w:p w14:paraId="301A415A" w14:textId="77777777" w:rsidR="009D47ED" w:rsidRPr="00EC7E17" w:rsidRDefault="009D47ED" w:rsidP="009D47ED">
      <w:pPr>
        <w:spacing w:after="0" w:line="276" w:lineRule="auto"/>
        <w:jc w:val="both"/>
        <w:rPr>
          <w:rFonts w:ascii="Verdana" w:eastAsia="Calibri" w:hAnsi="Verdana" w:cs="Arial"/>
          <w:b/>
          <w:bCs/>
          <w:kern w:val="2"/>
          <w:lang w:val="es-ES_tradnl"/>
          <w14:ligatures w14:val="standardContextual"/>
        </w:rPr>
      </w:pPr>
      <w:r w:rsidRPr="00EC7E17">
        <w:rPr>
          <w:rFonts w:ascii="Verdana" w:eastAsia="Calibri" w:hAnsi="Verdana" w:cs="Arial"/>
          <w:b/>
          <w:bCs/>
          <w:lang w:val="es-ES_tradnl"/>
        </w:rPr>
        <w:t>DOCUMENTOS TIPO – Infraestructura social – Sector educativo</w:t>
      </w:r>
      <w:r w:rsidRPr="00EC7E17">
        <w:rPr>
          <w:rFonts w:ascii="Verdana" w:eastAsia="Calibri" w:hAnsi="Verdana" w:cs="Arial"/>
          <w:b/>
          <w:bCs/>
          <w:kern w:val="2"/>
          <w:lang w:val="es-ES_tradnl"/>
          <w14:ligatures w14:val="standardContextual"/>
        </w:rPr>
        <w:t>, salud, cultura, recreación y deporte</w:t>
      </w:r>
    </w:p>
    <w:p w14:paraId="7A49E8E4" w14:textId="77777777" w:rsidR="009D47ED" w:rsidRPr="00EC7E17" w:rsidRDefault="009D47ED" w:rsidP="009D47ED">
      <w:pPr>
        <w:spacing w:after="0" w:line="276" w:lineRule="auto"/>
        <w:jc w:val="both"/>
        <w:rPr>
          <w:rFonts w:ascii="Verdana" w:eastAsia="Calibri" w:hAnsi="Verdana" w:cs="Arial"/>
          <w:b/>
          <w:bCs/>
          <w:color w:val="000000"/>
          <w:lang w:eastAsia="es-ES_tradnl"/>
        </w:rPr>
      </w:pPr>
    </w:p>
    <w:p w14:paraId="007872CF" w14:textId="77777777" w:rsidR="009D47ED" w:rsidRPr="00EC7E17" w:rsidRDefault="009D47ED" w:rsidP="009D47ED">
      <w:pPr>
        <w:spacing w:after="0" w:line="240" w:lineRule="auto"/>
        <w:jc w:val="both"/>
        <w:rPr>
          <w:rFonts w:ascii="Verdana" w:eastAsia="Aptos" w:hAnsi="Verdana" w:cs="Arial"/>
          <w:kern w:val="2"/>
          <w:sz w:val="20"/>
          <w:szCs w:val="20"/>
          <w14:ligatures w14:val="standardContextual"/>
        </w:rPr>
      </w:pPr>
      <w:r w:rsidRPr="00EC7E17">
        <w:rPr>
          <w:rFonts w:ascii="Verdana" w:eastAsia="Calibri" w:hAnsi="Verdana" w:cs="Arial"/>
          <w:kern w:val="2"/>
          <w:sz w:val="20"/>
          <w:szCs w:val="20"/>
          <w14:ligatures w14:val="standardContextual"/>
        </w:rPr>
        <w:t xml:space="preserve">(…) la Agencia expidió Resolución 220 del 6 de agosto de 2021, mediante la cual, adoptó los documentos tipo complementarios para los procesos de licitación de obra pública de infraestructura social relacionados con el sector educativo. Por su parte, por medio de la Resolución 392 del 18 de noviembre de 2021, se adoptaron los documentos tipo complementarios relacionados con el sector salud. Finalmente, con la expedición de la Resolución 454 del 16 de diciembre de 2021, se acogieron los documentos tipo complementarios aplicables al sector cultura, recreación y deporte.  </w:t>
      </w:r>
      <w:r w:rsidRPr="00EC7E17">
        <w:rPr>
          <w:rFonts w:ascii="Verdana" w:eastAsia="Aptos" w:hAnsi="Verdana" w:cs="Times New Roman"/>
          <w:kern w:val="2"/>
          <w:sz w:val="20"/>
          <w:szCs w:val="20"/>
          <w14:ligatures w14:val="standardContextual"/>
        </w:rPr>
        <w:t>Estas Resolución, en el artículo 2, adoptan el "</w:t>
      </w:r>
      <w:r w:rsidRPr="00EC7E17">
        <w:rPr>
          <w:rFonts w:ascii="Verdana" w:eastAsia="Aptos" w:hAnsi="Verdana" w:cs="Times New Roman"/>
          <w:i/>
          <w:iCs/>
          <w:kern w:val="2"/>
          <w:sz w:val="20"/>
          <w:szCs w:val="20"/>
          <w14:ligatures w14:val="standardContextual"/>
        </w:rPr>
        <w:t xml:space="preserve">Anexo -Glosario" y la "Matriz – Experiencia” </w:t>
      </w:r>
      <w:r w:rsidRPr="00EC7E17">
        <w:rPr>
          <w:rFonts w:ascii="Verdana" w:eastAsia="Aptos" w:hAnsi="Verdana" w:cs="Times New Roman"/>
          <w:kern w:val="2"/>
          <w:sz w:val="20"/>
          <w:szCs w:val="20"/>
          <w14:ligatures w14:val="standardContextual"/>
        </w:rPr>
        <w:t>para proyectos de infraestructura social en cada uno de los sectores señalados</w:t>
      </w:r>
      <w:r w:rsidRPr="00EC7E17">
        <w:rPr>
          <w:rFonts w:ascii="Verdana" w:eastAsia="Aptos" w:hAnsi="Verdana" w:cs="Times New Roman"/>
          <w:bCs/>
          <w:kern w:val="2"/>
          <w:sz w:val="20"/>
          <w:szCs w:val="20"/>
          <w14:ligatures w14:val="standardContextual"/>
        </w:rPr>
        <w:t xml:space="preserve">. </w:t>
      </w:r>
      <w:r w:rsidRPr="00EC7E17">
        <w:rPr>
          <w:rFonts w:ascii="Verdana" w:eastAsia="Aptos" w:hAnsi="Verdana" w:cs="Times New Roman"/>
          <w:kern w:val="2"/>
          <w:sz w:val="20"/>
          <w:szCs w:val="20"/>
          <w14:ligatures w14:val="standardContextual"/>
        </w:rPr>
        <w:t xml:space="preserve">Estos dos (2) documentos definen el alcance para cada sector específicamente. </w:t>
      </w:r>
    </w:p>
    <w:p w14:paraId="27D92BF8" w14:textId="77777777" w:rsidR="009D47ED" w:rsidRPr="00EC7E17" w:rsidRDefault="009D47ED" w:rsidP="009D47ED">
      <w:pPr>
        <w:widowControl w:val="0"/>
        <w:autoSpaceDE w:val="0"/>
        <w:autoSpaceDN w:val="0"/>
        <w:spacing w:after="0" w:line="276" w:lineRule="auto"/>
        <w:jc w:val="both"/>
        <w:rPr>
          <w:rFonts w:ascii="Verdana" w:eastAsia="Calibri" w:hAnsi="Verdana" w:cs="Times New Roman"/>
          <w:lang w:val="es-ES"/>
        </w:rPr>
      </w:pPr>
    </w:p>
    <w:p w14:paraId="5178887C" w14:textId="77777777" w:rsidR="009D47ED" w:rsidRPr="00EC7E17" w:rsidRDefault="009D47ED" w:rsidP="009D47ED">
      <w:pPr>
        <w:spacing w:after="0" w:line="276" w:lineRule="auto"/>
        <w:jc w:val="both"/>
        <w:rPr>
          <w:rFonts w:ascii="Verdana" w:eastAsia="Calibri" w:hAnsi="Verdana" w:cs="Times New Roman"/>
          <w:sz w:val="20"/>
          <w:szCs w:val="20"/>
          <w:lang w:val="es-ES"/>
        </w:rPr>
      </w:pPr>
      <w:r w:rsidRPr="00EC7E17">
        <w:rPr>
          <w:rFonts w:ascii="Verdana" w:eastAsia="Calibri" w:hAnsi="Verdana" w:cs="Times New Roman"/>
          <w:b/>
          <w:bCs/>
          <w:lang w:val="es-ES"/>
        </w:rPr>
        <w:t xml:space="preserve">DOCUMENTOS TIPO – Aplicación – Matriz de Experiencia </w:t>
      </w:r>
    </w:p>
    <w:p w14:paraId="1818D5A7" w14:textId="77777777" w:rsidR="009D47ED" w:rsidRPr="00EC7E17" w:rsidRDefault="009D47ED" w:rsidP="009D47ED">
      <w:pPr>
        <w:spacing w:after="0" w:line="240" w:lineRule="auto"/>
        <w:rPr>
          <w:rFonts w:ascii="Verdana" w:eastAsia="Geomanist Light" w:hAnsi="Verdana" w:cs="Arial"/>
          <w:lang w:val="es-MX"/>
        </w:rPr>
      </w:pPr>
    </w:p>
    <w:p w14:paraId="0BC92650" w14:textId="77777777" w:rsidR="009D47ED" w:rsidRPr="00EC7E17" w:rsidRDefault="009D47ED" w:rsidP="009D47ED">
      <w:pPr>
        <w:widowControl w:val="0"/>
        <w:autoSpaceDE w:val="0"/>
        <w:autoSpaceDN w:val="0"/>
        <w:spacing w:after="0" w:line="240" w:lineRule="auto"/>
        <w:jc w:val="both"/>
        <w:rPr>
          <w:rFonts w:ascii="Verdana" w:eastAsia="Calibri" w:hAnsi="Verdana" w:cs="Times New Roman"/>
          <w:sz w:val="20"/>
          <w:szCs w:val="20"/>
          <w:lang w:val="es-ES"/>
        </w:rPr>
      </w:pPr>
      <w:r w:rsidRPr="00EC7E17">
        <w:rPr>
          <w:rFonts w:ascii="Verdana" w:eastAsia="Calibri" w:hAnsi="Verdana" w:cs="Times New Roman"/>
          <w:sz w:val="20"/>
          <w:szCs w:val="20"/>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3ECF78D8" w14:textId="77777777" w:rsidR="009D47ED" w:rsidRPr="00EC7E17" w:rsidRDefault="009D47ED" w:rsidP="009D47ED">
      <w:pPr>
        <w:widowControl w:val="0"/>
        <w:autoSpaceDE w:val="0"/>
        <w:autoSpaceDN w:val="0"/>
        <w:spacing w:after="0" w:line="240" w:lineRule="auto"/>
        <w:jc w:val="both"/>
        <w:rPr>
          <w:rFonts w:ascii="Verdana" w:eastAsia="Calibri" w:hAnsi="Verdana" w:cs="Times New Roman"/>
          <w:sz w:val="20"/>
          <w:szCs w:val="20"/>
          <w:lang w:val="es-ES"/>
        </w:rPr>
      </w:pPr>
    </w:p>
    <w:p w14:paraId="385BCFA2" w14:textId="77777777" w:rsidR="009D47ED" w:rsidRPr="00EC7E17" w:rsidRDefault="009D47ED" w:rsidP="009D47ED">
      <w:pPr>
        <w:widowControl w:val="0"/>
        <w:autoSpaceDE w:val="0"/>
        <w:autoSpaceDN w:val="0"/>
        <w:spacing w:after="0" w:line="240" w:lineRule="auto"/>
        <w:jc w:val="both"/>
        <w:rPr>
          <w:rFonts w:ascii="Verdana" w:eastAsia="Calibri" w:hAnsi="Verdana" w:cs="Times New Roman"/>
          <w:sz w:val="20"/>
          <w:szCs w:val="20"/>
          <w:lang w:val="es-ES"/>
        </w:rPr>
      </w:pPr>
      <w:r w:rsidRPr="00EC7E17">
        <w:rPr>
          <w:rFonts w:ascii="Verdana" w:eastAsia="Calibri" w:hAnsi="Verdana" w:cs="Times New Roman"/>
          <w:sz w:val="20"/>
          <w:szCs w:val="20"/>
          <w:lang w:val="es-ES"/>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35395989" w14:textId="77777777" w:rsidR="009D47ED" w:rsidRPr="00EC7E17" w:rsidRDefault="009D47ED" w:rsidP="009D47ED">
      <w:pPr>
        <w:widowControl w:val="0"/>
        <w:autoSpaceDE w:val="0"/>
        <w:autoSpaceDN w:val="0"/>
        <w:spacing w:after="0" w:line="240" w:lineRule="auto"/>
        <w:jc w:val="both"/>
        <w:rPr>
          <w:rFonts w:ascii="Verdana" w:eastAsia="Calibri" w:hAnsi="Verdana" w:cs="Times New Roman"/>
          <w:b/>
          <w:bCs/>
          <w:sz w:val="20"/>
          <w:szCs w:val="20"/>
          <w:lang w:val="es-ES"/>
        </w:rPr>
      </w:pPr>
    </w:p>
    <w:p w14:paraId="742CB4E2" w14:textId="66F6205D" w:rsidR="009D47ED" w:rsidRPr="00EC7E17" w:rsidRDefault="009D47ED" w:rsidP="009D47ED">
      <w:pPr>
        <w:widowControl w:val="0"/>
        <w:autoSpaceDE w:val="0"/>
        <w:autoSpaceDN w:val="0"/>
        <w:spacing w:after="0" w:line="240" w:lineRule="auto"/>
        <w:jc w:val="both"/>
        <w:rPr>
          <w:rFonts w:ascii="Verdana" w:eastAsia="Calibri" w:hAnsi="Verdana" w:cs="Times New Roman"/>
          <w:b/>
          <w:bCs/>
          <w:lang w:val="es-ES"/>
        </w:rPr>
      </w:pPr>
      <w:r w:rsidRPr="00EC7E17">
        <w:rPr>
          <w:rFonts w:ascii="Verdana" w:eastAsia="Calibri" w:hAnsi="Verdana" w:cs="Times New Roman"/>
          <w:b/>
          <w:bCs/>
          <w:lang w:val="es-ES"/>
        </w:rPr>
        <w:t xml:space="preserve">DOCUMENTOS TIPO – </w:t>
      </w:r>
      <w:r w:rsidRPr="2DAAC9A8">
        <w:rPr>
          <w:rFonts w:ascii="Verdana" w:eastAsia="Calibri" w:hAnsi="Verdana" w:cs="Times New Roman"/>
          <w:b/>
          <w:bCs/>
          <w:lang w:val="es-ES"/>
        </w:rPr>
        <w:t>S</w:t>
      </w:r>
      <w:r w:rsidR="066DBBC1" w:rsidRPr="2DAAC9A8">
        <w:rPr>
          <w:rFonts w:ascii="Verdana" w:eastAsia="Calibri" w:hAnsi="Verdana" w:cs="Times New Roman"/>
          <w:b/>
          <w:bCs/>
          <w:lang w:val="es-ES"/>
        </w:rPr>
        <w:t>a</w:t>
      </w:r>
      <w:r w:rsidRPr="2DAAC9A8">
        <w:rPr>
          <w:rFonts w:ascii="Verdana" w:eastAsia="Calibri" w:hAnsi="Verdana" w:cs="Times New Roman"/>
          <w:b/>
          <w:bCs/>
          <w:lang w:val="es-ES"/>
        </w:rPr>
        <w:t>lones</w:t>
      </w:r>
      <w:r w:rsidRPr="00EC7E17">
        <w:rPr>
          <w:rFonts w:ascii="Verdana" w:eastAsia="Calibri" w:hAnsi="Verdana" w:cs="Times New Roman"/>
          <w:b/>
          <w:bCs/>
          <w:lang w:val="es-ES"/>
        </w:rPr>
        <w:t xml:space="preserve"> comunales – Resolución 454 de 2021</w:t>
      </w:r>
    </w:p>
    <w:p w14:paraId="72243351" w14:textId="77777777" w:rsidR="009D47ED" w:rsidRDefault="009D47ED" w:rsidP="009D47ED">
      <w:pPr>
        <w:widowControl w:val="0"/>
        <w:autoSpaceDE w:val="0"/>
        <w:autoSpaceDN w:val="0"/>
        <w:spacing w:after="0" w:line="240" w:lineRule="auto"/>
        <w:jc w:val="both"/>
        <w:rPr>
          <w:rFonts w:ascii="Verdana" w:eastAsia="Calibri" w:hAnsi="Verdana" w:cs="Times New Roman"/>
          <w:b/>
          <w:bCs/>
          <w:highlight w:val="yellow"/>
          <w:lang w:val="es-ES"/>
        </w:rPr>
      </w:pPr>
    </w:p>
    <w:p w14:paraId="71D195F2" w14:textId="77777777" w:rsidR="009D47ED" w:rsidRDefault="009D47ED" w:rsidP="009D47ED">
      <w:pPr>
        <w:spacing w:after="0" w:line="240" w:lineRule="auto"/>
        <w:jc w:val="both"/>
        <w:rPr>
          <w:rFonts w:ascii="Verdana" w:eastAsia="Calibri" w:hAnsi="Verdana" w:cs="Arial"/>
          <w:sz w:val="20"/>
          <w:szCs w:val="20"/>
          <w:lang w:val="es-ES_tradnl"/>
        </w:rPr>
      </w:pPr>
      <w:r w:rsidRPr="00EC7E17">
        <w:rPr>
          <w:rFonts w:ascii="Verdana" w:eastAsia="Calibri" w:hAnsi="Verdana" w:cs="Arial"/>
          <w:color w:val="0D0D0D"/>
          <w:sz w:val="20"/>
          <w:szCs w:val="20"/>
          <w:lang w:val="es-ES"/>
        </w:rPr>
        <w:lastRenderedPageBreak/>
        <w:t>L</w:t>
      </w:r>
      <w:r w:rsidRPr="00EC7E17">
        <w:rPr>
          <w:rFonts w:ascii="Verdana" w:eastAsia="Calibri" w:hAnsi="Verdana" w:cs="Arial"/>
          <w:color w:val="0D0D0D"/>
          <w:sz w:val="20"/>
          <w:szCs w:val="20"/>
          <w:lang w:val="es-MX"/>
        </w:rPr>
        <w:t xml:space="preserve">os objetos contractuales relacionados con la construcción, adecuación o mejoramiento de un salón comunal no están expresamente en las actividades a contratar de la “Matriz – Experiencia” de los documentos tipo de cultura, recreación y deporte expedidos por la Agencia Nacional de Contratación Pública – Colombia Compra Eficiente mediante la Resolución 454 de 2021.  Sin embargo, </w:t>
      </w:r>
      <w:r w:rsidRPr="00EC7E17">
        <w:rPr>
          <w:rFonts w:ascii="Verdana" w:eastAsia="Calibri" w:hAnsi="Verdana" w:cs="Arial"/>
          <w:sz w:val="20"/>
          <w:szCs w:val="20"/>
          <w:lang w:val="es-ES_tradnl"/>
        </w:rPr>
        <w:t xml:space="preserve">para interpretar el alcance y aplicación de la “Matriz de experiencia” es necesario tener en cuenta las definiciones del “Anexo – Glosario” del sector señalado. </w:t>
      </w:r>
    </w:p>
    <w:p w14:paraId="107257EF" w14:textId="77777777" w:rsidR="009D47ED" w:rsidRPr="00EC7E17" w:rsidRDefault="009D47ED" w:rsidP="009D47ED">
      <w:pPr>
        <w:spacing w:after="0" w:line="240" w:lineRule="auto"/>
        <w:jc w:val="both"/>
        <w:rPr>
          <w:rFonts w:ascii="Verdana" w:eastAsia="Calibri" w:hAnsi="Verdana" w:cs="Arial"/>
          <w:sz w:val="20"/>
          <w:szCs w:val="20"/>
          <w:lang w:val="es-ES_tradnl"/>
        </w:rPr>
      </w:pPr>
    </w:p>
    <w:p w14:paraId="0DA41869" w14:textId="77777777" w:rsidR="009D47ED" w:rsidRDefault="009D47ED" w:rsidP="009D47ED">
      <w:pPr>
        <w:spacing w:after="0" w:line="240" w:lineRule="auto"/>
        <w:jc w:val="both"/>
        <w:rPr>
          <w:rFonts w:ascii="Verdana" w:eastAsia="Calibri" w:hAnsi="Verdana" w:cs="Arial"/>
          <w:sz w:val="20"/>
          <w:szCs w:val="20"/>
          <w:lang w:val="es-ES_tradnl"/>
        </w:rPr>
      </w:pPr>
      <w:r w:rsidRPr="00EC7E17">
        <w:rPr>
          <w:rFonts w:ascii="Verdana" w:eastAsia="Calibri" w:hAnsi="Verdana" w:cs="Arial"/>
          <w:sz w:val="20"/>
          <w:szCs w:val="20"/>
          <w:lang w:val="es-ES_tradnl"/>
        </w:rPr>
        <w:t>(…)</w:t>
      </w:r>
    </w:p>
    <w:p w14:paraId="6B492A8A" w14:textId="77777777" w:rsidR="009D47ED" w:rsidRPr="00EC7E17" w:rsidRDefault="009D47ED" w:rsidP="009D47ED">
      <w:pPr>
        <w:spacing w:after="0" w:line="240" w:lineRule="auto"/>
        <w:jc w:val="both"/>
        <w:rPr>
          <w:rFonts w:ascii="Verdana" w:eastAsia="Calibri" w:hAnsi="Verdana" w:cs="Arial"/>
          <w:sz w:val="20"/>
          <w:szCs w:val="20"/>
          <w:lang w:val="es-ES_tradnl"/>
        </w:rPr>
      </w:pPr>
    </w:p>
    <w:p w14:paraId="70F1EB63" w14:textId="77777777" w:rsidR="009D47ED" w:rsidRPr="00EC7E17" w:rsidRDefault="009D47ED" w:rsidP="009D47ED">
      <w:pPr>
        <w:spacing w:after="0" w:line="240" w:lineRule="auto"/>
        <w:jc w:val="both"/>
        <w:rPr>
          <w:rFonts w:ascii="Verdana" w:eastAsia="Calibri" w:hAnsi="Verdana" w:cs="Arial"/>
          <w:sz w:val="20"/>
          <w:szCs w:val="20"/>
        </w:rPr>
      </w:pPr>
      <w:r w:rsidRPr="00EC7E17">
        <w:rPr>
          <w:rFonts w:ascii="Verdana" w:eastAsia="Calibri" w:hAnsi="Verdana" w:cs="Arial"/>
          <w:sz w:val="20"/>
          <w:szCs w:val="20"/>
        </w:rPr>
        <w:t xml:space="preserve">Así las cosas, se concluye que los salones comunales son espacios administrados por las juntas de acción comunal cuyo propósito principal es garantizar el desarrollo integral, sostenible y sustentable de la comunidad, mediante procesos territoriales, económicos, políticos, ambientales, culturales y sociales que integren los esfuerzos de la población, sus organismos y las del Estado para promover la mejor calidad de vida. Por tanto, está definición está alineada con lo previsto en el numeral 2.60 del “Anexo – Glosario” del sector cultura, recreación y deporte. </w:t>
      </w:r>
    </w:p>
    <w:p w14:paraId="0BE02D87" w14:textId="77777777" w:rsidR="009D47ED" w:rsidRPr="00EC7E17" w:rsidRDefault="009D47ED" w:rsidP="009D47ED">
      <w:pPr>
        <w:spacing w:after="0" w:line="240" w:lineRule="auto"/>
        <w:jc w:val="both"/>
        <w:rPr>
          <w:rFonts w:ascii="Verdana" w:eastAsia="Calibri" w:hAnsi="Verdana" w:cs="Arial"/>
          <w:sz w:val="20"/>
          <w:szCs w:val="20"/>
        </w:rPr>
      </w:pPr>
    </w:p>
    <w:p w14:paraId="323F518F" w14:textId="454084A8" w:rsidR="009D47ED" w:rsidRPr="00EC7E17" w:rsidRDefault="009D47ED" w:rsidP="009D47ED">
      <w:pPr>
        <w:widowControl w:val="0"/>
        <w:autoSpaceDE w:val="0"/>
        <w:autoSpaceDN w:val="0"/>
        <w:spacing w:after="0" w:line="240" w:lineRule="auto"/>
        <w:jc w:val="both"/>
        <w:rPr>
          <w:rFonts w:ascii="Verdana" w:eastAsia="Calibri" w:hAnsi="Verdana" w:cs="Times New Roman"/>
          <w:b/>
          <w:bCs/>
          <w:lang w:val="es-ES"/>
        </w:rPr>
      </w:pPr>
      <w:r w:rsidRPr="2DAAC9A8">
        <w:rPr>
          <w:rFonts w:ascii="Verdana" w:eastAsia="Calibri" w:hAnsi="Verdana" w:cs="Times New Roman"/>
          <w:b/>
          <w:bCs/>
          <w:lang w:val="es-ES"/>
        </w:rPr>
        <w:t>S</w:t>
      </w:r>
      <w:r w:rsidR="6E6B31C3" w:rsidRPr="2DAAC9A8">
        <w:rPr>
          <w:rFonts w:ascii="Verdana" w:eastAsia="Calibri" w:hAnsi="Verdana" w:cs="Times New Roman"/>
          <w:b/>
          <w:bCs/>
          <w:lang w:val="es-ES"/>
        </w:rPr>
        <w:t>A</w:t>
      </w:r>
      <w:r w:rsidRPr="2DAAC9A8">
        <w:rPr>
          <w:rFonts w:ascii="Verdana" w:eastAsia="Calibri" w:hAnsi="Verdana" w:cs="Times New Roman"/>
          <w:b/>
          <w:bCs/>
          <w:lang w:val="es-ES"/>
        </w:rPr>
        <w:t>LONES</w:t>
      </w:r>
      <w:r w:rsidRPr="00EC7E17">
        <w:rPr>
          <w:rFonts w:ascii="Verdana" w:eastAsia="Calibri" w:hAnsi="Verdana" w:cs="Times New Roman"/>
          <w:b/>
          <w:bCs/>
          <w:lang w:val="es-ES"/>
        </w:rPr>
        <w:t xml:space="preserve"> COMUNALES – Documentos tipo – Resoluciones 539, 540 y 541 de 2025 – Aplicación</w:t>
      </w:r>
    </w:p>
    <w:p w14:paraId="4228B9A9" w14:textId="77777777" w:rsidR="009D47ED" w:rsidRPr="00EC7E17" w:rsidRDefault="009D47ED" w:rsidP="009D47ED">
      <w:pPr>
        <w:spacing w:after="0" w:line="276" w:lineRule="auto"/>
        <w:jc w:val="both"/>
        <w:rPr>
          <w:rFonts w:ascii="Verdana" w:eastAsia="Calibri" w:hAnsi="Verdana" w:cs="Arial"/>
          <w:lang w:val="es-ES"/>
        </w:rPr>
      </w:pPr>
    </w:p>
    <w:p w14:paraId="2F6752A6" w14:textId="77777777" w:rsidR="009D47ED" w:rsidRPr="00EC7E17" w:rsidRDefault="009D47ED" w:rsidP="009D47ED">
      <w:pPr>
        <w:spacing w:after="0" w:line="240" w:lineRule="auto"/>
        <w:jc w:val="both"/>
        <w:rPr>
          <w:rFonts w:ascii="Verdana" w:eastAsia="Calibri" w:hAnsi="Verdana" w:cs="Arial"/>
          <w:sz w:val="20"/>
          <w:szCs w:val="20"/>
          <w:lang w:val="es-ES"/>
        </w:rPr>
      </w:pPr>
      <w:r w:rsidRPr="00EC7E17">
        <w:rPr>
          <w:rFonts w:ascii="Verdana" w:eastAsia="Calibri" w:hAnsi="Verdana" w:cs="Arial"/>
          <w:sz w:val="20"/>
          <w:szCs w:val="20"/>
          <w:lang w:val="es-ES"/>
        </w:rPr>
        <w:t xml:space="preserve">(…) cualquier proyecto que tenga como finalidad la construcción, adecuación o mejoramiento de salones comunales debe regirse por los documentos tipo complementarios del sector cultura, recreación y deporte, expedidos por la Agencia Nacional de Contratación Pública Colombia Compra Eficiente. Esta obligación se fundamenta en que las actividades asociadas a dichos proyectos están contempladas en la Matriz 1 – Experiencia, específicamente en los numerales 3.1 y 3.2 previamente señaladas. </w:t>
      </w:r>
    </w:p>
    <w:p w14:paraId="29DA845F" w14:textId="77777777" w:rsidR="009D47ED" w:rsidRPr="00EC7E17" w:rsidRDefault="009D47ED" w:rsidP="009D47ED">
      <w:pPr>
        <w:spacing w:after="0" w:line="240" w:lineRule="auto"/>
        <w:jc w:val="both"/>
        <w:rPr>
          <w:rFonts w:ascii="Verdana" w:eastAsia="Calibri" w:hAnsi="Verdana" w:cs="Arial"/>
          <w:sz w:val="20"/>
          <w:szCs w:val="20"/>
          <w:lang w:val="es-ES"/>
        </w:rPr>
      </w:pPr>
    </w:p>
    <w:p w14:paraId="3F14F0BA" w14:textId="77777777" w:rsidR="009D47ED" w:rsidRPr="00EC7E17" w:rsidRDefault="009D47ED" w:rsidP="009D47ED">
      <w:pPr>
        <w:spacing w:after="0" w:line="240" w:lineRule="auto"/>
        <w:jc w:val="both"/>
        <w:rPr>
          <w:rFonts w:ascii="Verdana" w:eastAsia="Calibri" w:hAnsi="Verdana" w:cs="Arial"/>
          <w:sz w:val="20"/>
          <w:szCs w:val="20"/>
          <w:lang w:val="es-ES"/>
        </w:rPr>
      </w:pPr>
      <w:r w:rsidRPr="00EC7E17">
        <w:rPr>
          <w:rFonts w:ascii="Verdana" w:eastAsia="Calibri" w:hAnsi="Verdana" w:cs="Arial"/>
          <w:sz w:val="20"/>
          <w:szCs w:val="20"/>
          <w:lang w:val="es-ES"/>
        </w:rPr>
        <w:t>Así las cosas, la Agencia Nacional de Contratación Pública – Colombia Compra Eficiente le informa que a partir del 16 de febrero de 2026, si una entidad de aquellas obligadas a utilizar los documentos tipo expedidos por esta Entidad adelanta un proceso que tenga por objeto la construcción, adecuación o mejoramiento de salones comunales, deberá aplicar los documentos tipo complementarios del sector de cultura, recreación y deporte acogidos por esta Agencia mediante las Resoluciones 539, 540 y 541 de 2025.</w:t>
      </w:r>
    </w:p>
    <w:p w14:paraId="2163DC99" w14:textId="77777777" w:rsidR="009D47ED" w:rsidRPr="00EC7E17" w:rsidRDefault="009D47ED" w:rsidP="009D47ED">
      <w:pPr>
        <w:spacing w:after="0" w:line="240" w:lineRule="auto"/>
        <w:jc w:val="both"/>
        <w:rPr>
          <w:rFonts w:ascii="Verdana" w:eastAsia="Calibri" w:hAnsi="Verdana" w:cs="Arial"/>
          <w:sz w:val="20"/>
          <w:szCs w:val="20"/>
          <w:lang w:val="es-ES"/>
        </w:rPr>
      </w:pPr>
    </w:p>
    <w:p w14:paraId="0F12A8EF" w14:textId="77777777" w:rsidR="009D47ED" w:rsidRPr="00EC7E17" w:rsidRDefault="009D47ED" w:rsidP="009D47ED">
      <w:pPr>
        <w:spacing w:after="0" w:line="240" w:lineRule="auto"/>
        <w:jc w:val="both"/>
        <w:rPr>
          <w:rFonts w:ascii="Verdana" w:eastAsia="Calibri" w:hAnsi="Verdana" w:cs="Arial"/>
          <w:sz w:val="20"/>
          <w:szCs w:val="20"/>
          <w:lang w:val="es-ES"/>
        </w:rPr>
      </w:pPr>
      <w:r w:rsidRPr="00EC7E17">
        <w:rPr>
          <w:rFonts w:ascii="Verdana" w:eastAsia="Calibri" w:hAnsi="Verdana" w:cs="Arial"/>
          <w:sz w:val="20"/>
          <w:szCs w:val="20"/>
          <w:lang w:val="es-ES"/>
        </w:rPr>
        <w:t>Esto obedece a que, conforme con la definición técnica los salones comunales son espacios cuya característica predominante es servir como puntos de congregación comunitaria con fines sociales, culturales, recreativos, lo que coincide plenamente con los criterios establecidos para esta categoría de ocupación. En este contexto, se reconoce que la funcionalidad del salón comunal se alinea más con la lógica de uso ya fluencia de personas en actividades colectivas, que con una infraestructura cultural en sentido estricto.</w:t>
      </w:r>
    </w:p>
    <w:p w14:paraId="6C8447C5" w14:textId="06A158FD" w:rsidR="2DAAC9A8" w:rsidRDefault="2DAAC9A8" w:rsidP="2DAAC9A8">
      <w:pPr>
        <w:spacing w:after="0" w:line="240" w:lineRule="auto"/>
        <w:jc w:val="both"/>
        <w:rPr>
          <w:rFonts w:ascii="Verdana" w:eastAsia="Calibri" w:hAnsi="Verdana" w:cs="Arial"/>
          <w:sz w:val="20"/>
          <w:szCs w:val="20"/>
          <w:lang w:val="es-ES"/>
        </w:rPr>
      </w:pPr>
    </w:p>
    <w:p w14:paraId="59E79A03" w14:textId="77777777" w:rsidR="009D47ED" w:rsidRPr="00EC7E17" w:rsidRDefault="009D47ED" w:rsidP="009D47ED">
      <w:pPr>
        <w:spacing w:after="0" w:line="240" w:lineRule="auto"/>
        <w:jc w:val="both"/>
        <w:rPr>
          <w:rFonts w:ascii="Verdana" w:eastAsia="Calibri" w:hAnsi="Verdana" w:cs="Arial"/>
          <w:sz w:val="20"/>
          <w:szCs w:val="20"/>
          <w:lang w:val="es-ES"/>
        </w:rPr>
      </w:pPr>
      <w:r w:rsidRPr="00EC7E17">
        <w:rPr>
          <w:rFonts w:ascii="Verdana" w:eastAsia="Calibri" w:hAnsi="Verdana" w:cs="Arial"/>
          <w:sz w:val="20"/>
          <w:szCs w:val="20"/>
          <w:lang w:val="es-ES"/>
        </w:rPr>
        <w:lastRenderedPageBreak/>
        <w:t xml:space="preserve">En consecuencia, ya no será aplicable la categoría de infraestructura cultural, para efectos de determinar la experiencia general y específica exigida en procesos de contratación relacionados con salones comunales. En su lugar, se adoptará la categoría de grupo de ocupación de lugares de reunión, por ser no solo más amplia en términos de alcance, sino también más precisa al reflejar la naturaleza y uso real de estos espacios dentro del entorno comunitario. Esta clasificación permite una mejor correspondencia entre las características funcionales de los salones comunales y los criterios técnicos requeridos para su intervención, asegurando que las entidades contratantes exijan experiencia pertinente y alineada con la tipología de edificación objeto del proyecto. </w:t>
      </w:r>
    </w:p>
    <w:p w14:paraId="250C3FFB" w14:textId="77777777" w:rsidR="009D47ED" w:rsidRPr="00B16E80" w:rsidRDefault="009D47ED" w:rsidP="009D47ED">
      <w:pPr>
        <w:spacing w:after="0" w:line="240" w:lineRule="auto"/>
        <w:rPr>
          <w:rFonts w:ascii="Verdana" w:eastAsia="Times New Roman" w:hAnsi="Verdana" w:cs="Times New Roman"/>
          <w:color w:val="000000"/>
          <w:lang w:eastAsia="es-CO"/>
        </w:rPr>
      </w:pPr>
    </w:p>
    <w:p w14:paraId="61FF4052" w14:textId="77777777" w:rsidR="009D47ED" w:rsidRPr="00B16E80" w:rsidRDefault="009D47ED" w:rsidP="009D47ED">
      <w:pPr>
        <w:spacing w:after="0" w:line="240" w:lineRule="auto"/>
        <w:rPr>
          <w:rFonts w:ascii="Verdana" w:eastAsia="Times New Roman" w:hAnsi="Verdana" w:cs="Times New Roman"/>
          <w:color w:val="000000"/>
          <w:lang w:eastAsia="es-CO"/>
        </w:rPr>
      </w:pPr>
    </w:p>
    <w:p w14:paraId="18537637" w14:textId="77777777" w:rsidR="009D47ED" w:rsidRPr="00B16E80" w:rsidRDefault="009D47ED" w:rsidP="009D47ED">
      <w:pPr>
        <w:spacing w:after="0" w:line="240" w:lineRule="auto"/>
        <w:rPr>
          <w:rFonts w:ascii="Verdana" w:eastAsia="Times New Roman" w:hAnsi="Verdana" w:cs="Times New Roman"/>
          <w:color w:val="000000"/>
          <w:lang w:eastAsia="es-CO"/>
        </w:rPr>
      </w:pPr>
    </w:p>
    <w:p w14:paraId="54EAC916" w14:textId="77777777" w:rsidR="009D47ED" w:rsidRPr="00B16E80" w:rsidRDefault="009D47ED" w:rsidP="009D47ED">
      <w:pPr>
        <w:spacing w:after="0" w:line="240" w:lineRule="auto"/>
        <w:rPr>
          <w:rFonts w:ascii="Verdana" w:eastAsia="Times New Roman" w:hAnsi="Verdana" w:cs="Times New Roman"/>
          <w:color w:val="000000"/>
          <w:lang w:eastAsia="es-CO"/>
        </w:rPr>
      </w:pPr>
    </w:p>
    <w:p w14:paraId="4E31382B" w14:textId="77777777" w:rsidR="009D47ED" w:rsidRPr="00B16E80" w:rsidRDefault="009D47ED" w:rsidP="009D47ED">
      <w:pPr>
        <w:spacing w:after="0" w:line="240" w:lineRule="auto"/>
        <w:rPr>
          <w:rFonts w:ascii="Verdana" w:eastAsia="Times New Roman" w:hAnsi="Verdana" w:cs="Times New Roman"/>
          <w:color w:val="000000"/>
          <w:lang w:eastAsia="es-CO"/>
        </w:rPr>
      </w:pPr>
    </w:p>
    <w:p w14:paraId="5144A808" w14:textId="77777777" w:rsidR="009D47ED" w:rsidRPr="00B16E80" w:rsidRDefault="009D47ED" w:rsidP="009D47ED">
      <w:pPr>
        <w:spacing w:after="0" w:line="240" w:lineRule="auto"/>
        <w:rPr>
          <w:rFonts w:ascii="Verdana" w:eastAsia="Times New Roman" w:hAnsi="Verdana" w:cs="Times New Roman"/>
          <w:color w:val="000000"/>
          <w:lang w:eastAsia="es-CO"/>
        </w:rPr>
      </w:pPr>
    </w:p>
    <w:p w14:paraId="51EF0FA6" w14:textId="77777777" w:rsidR="009D47ED" w:rsidRPr="00B16E80" w:rsidRDefault="009D47ED" w:rsidP="009D47ED">
      <w:pPr>
        <w:spacing w:after="0" w:line="240" w:lineRule="auto"/>
        <w:rPr>
          <w:rFonts w:ascii="Verdana" w:eastAsia="Times New Roman" w:hAnsi="Verdana" w:cs="Times New Roman"/>
          <w:color w:val="000000"/>
          <w:lang w:eastAsia="es-CO"/>
        </w:rPr>
      </w:pPr>
    </w:p>
    <w:p w14:paraId="5B383DDA" w14:textId="77777777" w:rsidR="009D47ED" w:rsidRPr="00B16E80" w:rsidRDefault="009D47ED" w:rsidP="009D47ED">
      <w:pPr>
        <w:spacing w:after="0" w:line="240" w:lineRule="auto"/>
        <w:rPr>
          <w:rFonts w:ascii="Verdana" w:eastAsia="Times New Roman" w:hAnsi="Verdana" w:cs="Times New Roman"/>
          <w:color w:val="000000"/>
          <w:lang w:eastAsia="es-CO"/>
        </w:rPr>
      </w:pPr>
    </w:p>
    <w:p w14:paraId="17A9B947" w14:textId="77777777" w:rsidR="009D47ED" w:rsidRPr="00B16E80" w:rsidRDefault="009D47ED" w:rsidP="009D47ED">
      <w:pPr>
        <w:spacing w:after="0" w:line="240" w:lineRule="auto"/>
        <w:rPr>
          <w:rFonts w:ascii="Verdana" w:eastAsia="Times New Roman" w:hAnsi="Verdana" w:cs="Times New Roman"/>
          <w:color w:val="000000"/>
          <w:lang w:eastAsia="es-CO"/>
        </w:rPr>
      </w:pPr>
    </w:p>
    <w:p w14:paraId="65358D8A" w14:textId="77777777" w:rsidR="009D47ED" w:rsidRPr="00B16E80" w:rsidRDefault="009D47ED" w:rsidP="009D47ED">
      <w:pPr>
        <w:spacing w:after="0" w:line="240" w:lineRule="auto"/>
        <w:rPr>
          <w:rFonts w:ascii="Verdana" w:eastAsia="Times New Roman" w:hAnsi="Verdana" w:cs="Times New Roman"/>
          <w:color w:val="000000"/>
          <w:lang w:eastAsia="es-CO"/>
        </w:rPr>
      </w:pPr>
    </w:p>
    <w:p w14:paraId="5283E28A" w14:textId="77777777" w:rsidR="009D47ED" w:rsidRPr="00B16E80" w:rsidRDefault="009D47ED" w:rsidP="009D47ED">
      <w:pPr>
        <w:spacing w:after="0" w:line="240" w:lineRule="auto"/>
        <w:rPr>
          <w:rFonts w:ascii="Verdana" w:eastAsia="Times New Roman" w:hAnsi="Verdana" w:cs="Times New Roman"/>
          <w:color w:val="000000"/>
          <w:lang w:eastAsia="es-CO"/>
        </w:rPr>
      </w:pPr>
    </w:p>
    <w:p w14:paraId="2896A831" w14:textId="77777777" w:rsidR="009D47ED" w:rsidRPr="00B16E80" w:rsidRDefault="009D47ED" w:rsidP="009D47ED">
      <w:pPr>
        <w:spacing w:after="0" w:line="240" w:lineRule="auto"/>
        <w:rPr>
          <w:rFonts w:ascii="Verdana" w:eastAsia="Times New Roman" w:hAnsi="Verdana" w:cs="Times New Roman"/>
          <w:color w:val="000000"/>
          <w:lang w:eastAsia="es-CO"/>
        </w:rPr>
      </w:pPr>
    </w:p>
    <w:p w14:paraId="36BF3465" w14:textId="77777777" w:rsidR="009D47ED" w:rsidRPr="00B16E80" w:rsidRDefault="009D47ED" w:rsidP="009D47ED">
      <w:pPr>
        <w:spacing w:after="0" w:line="240" w:lineRule="auto"/>
        <w:rPr>
          <w:rFonts w:ascii="Verdana" w:eastAsia="Times New Roman" w:hAnsi="Verdana" w:cs="Times New Roman"/>
          <w:color w:val="000000"/>
          <w:lang w:eastAsia="es-CO"/>
        </w:rPr>
      </w:pPr>
    </w:p>
    <w:p w14:paraId="6049E34D" w14:textId="77777777" w:rsidR="009D47ED" w:rsidRPr="00B16E80" w:rsidRDefault="009D47ED" w:rsidP="009D47ED">
      <w:pPr>
        <w:spacing w:after="0" w:line="240" w:lineRule="auto"/>
        <w:rPr>
          <w:rFonts w:ascii="Verdana" w:eastAsia="Times New Roman" w:hAnsi="Verdana" w:cs="Times New Roman"/>
          <w:color w:val="000000"/>
          <w:lang w:eastAsia="es-CO"/>
        </w:rPr>
      </w:pPr>
    </w:p>
    <w:p w14:paraId="0DA1EE4C" w14:textId="77777777" w:rsidR="009D47ED" w:rsidRPr="00B16E80" w:rsidRDefault="009D47ED" w:rsidP="009D47ED">
      <w:pPr>
        <w:spacing w:after="0" w:line="240" w:lineRule="auto"/>
        <w:rPr>
          <w:rFonts w:ascii="Verdana" w:eastAsia="Times New Roman" w:hAnsi="Verdana" w:cs="Times New Roman"/>
          <w:color w:val="000000"/>
          <w:lang w:eastAsia="es-CO"/>
        </w:rPr>
      </w:pPr>
    </w:p>
    <w:p w14:paraId="183F8D9D" w14:textId="77777777" w:rsidR="009D47ED" w:rsidRPr="00B16E80" w:rsidRDefault="009D47ED" w:rsidP="009D47ED">
      <w:pPr>
        <w:spacing w:after="0" w:line="240" w:lineRule="auto"/>
        <w:rPr>
          <w:rFonts w:ascii="Verdana" w:eastAsia="Times New Roman" w:hAnsi="Verdana" w:cs="Times New Roman"/>
          <w:color w:val="000000"/>
          <w:lang w:eastAsia="es-CO"/>
        </w:rPr>
      </w:pPr>
    </w:p>
    <w:p w14:paraId="592875C2" w14:textId="77777777" w:rsidR="009D47ED" w:rsidRPr="00B16E80" w:rsidRDefault="009D47ED" w:rsidP="009D47ED">
      <w:pPr>
        <w:spacing w:after="0" w:line="240" w:lineRule="auto"/>
        <w:rPr>
          <w:rFonts w:ascii="Verdana" w:eastAsia="Times New Roman" w:hAnsi="Verdana" w:cs="Times New Roman"/>
          <w:color w:val="000000"/>
          <w:lang w:eastAsia="es-CO"/>
        </w:rPr>
      </w:pPr>
    </w:p>
    <w:p w14:paraId="003A7663" w14:textId="77777777" w:rsidR="009D47ED" w:rsidRPr="00B16E80" w:rsidRDefault="009D47ED" w:rsidP="009D47ED">
      <w:pPr>
        <w:spacing w:after="0" w:line="240" w:lineRule="auto"/>
        <w:rPr>
          <w:rFonts w:ascii="Verdana" w:eastAsia="Times New Roman" w:hAnsi="Verdana" w:cs="Times New Roman"/>
          <w:color w:val="000000"/>
          <w:lang w:eastAsia="es-CO"/>
        </w:rPr>
      </w:pPr>
    </w:p>
    <w:p w14:paraId="5DDC5E73" w14:textId="77777777" w:rsidR="009D47ED" w:rsidRPr="00B16E80" w:rsidRDefault="009D47ED" w:rsidP="009D47ED">
      <w:pPr>
        <w:spacing w:after="0" w:line="240" w:lineRule="auto"/>
        <w:rPr>
          <w:rFonts w:ascii="Verdana" w:eastAsia="Times New Roman" w:hAnsi="Verdana" w:cs="Times New Roman"/>
          <w:color w:val="000000"/>
          <w:lang w:eastAsia="es-CO"/>
        </w:rPr>
      </w:pPr>
    </w:p>
    <w:p w14:paraId="6A203B3E" w14:textId="77777777" w:rsidR="009D47ED" w:rsidRPr="00B16E80" w:rsidRDefault="009D47ED" w:rsidP="009D47ED">
      <w:pPr>
        <w:spacing w:after="0" w:line="240" w:lineRule="auto"/>
        <w:rPr>
          <w:rFonts w:ascii="Verdana" w:eastAsia="Times New Roman" w:hAnsi="Verdana" w:cs="Times New Roman"/>
          <w:color w:val="000000"/>
          <w:lang w:eastAsia="es-CO"/>
        </w:rPr>
      </w:pPr>
    </w:p>
    <w:p w14:paraId="718D9D1A" w14:textId="77777777" w:rsidR="009D47ED" w:rsidRPr="00B16E80" w:rsidRDefault="009D47ED" w:rsidP="009D47ED">
      <w:pPr>
        <w:spacing w:after="0" w:line="240" w:lineRule="auto"/>
        <w:rPr>
          <w:rFonts w:ascii="Verdana" w:eastAsia="Times New Roman" w:hAnsi="Verdana" w:cs="Times New Roman"/>
          <w:color w:val="000000"/>
          <w:lang w:eastAsia="es-CO"/>
        </w:rPr>
      </w:pPr>
    </w:p>
    <w:p w14:paraId="60D0D7A5" w14:textId="77777777" w:rsidR="009D47ED" w:rsidRPr="00B16E80" w:rsidRDefault="009D47ED" w:rsidP="009D47ED">
      <w:pPr>
        <w:spacing w:after="0" w:line="240" w:lineRule="auto"/>
        <w:rPr>
          <w:rFonts w:ascii="Verdana" w:eastAsia="Times New Roman" w:hAnsi="Verdana" w:cs="Times New Roman"/>
          <w:color w:val="000000"/>
          <w:lang w:eastAsia="es-CO"/>
        </w:rPr>
      </w:pPr>
    </w:p>
    <w:p w14:paraId="46EDAFAE" w14:textId="77777777" w:rsidR="009D47ED" w:rsidRPr="00B16E80" w:rsidRDefault="009D47ED" w:rsidP="009D47ED">
      <w:pPr>
        <w:spacing w:after="0" w:line="240" w:lineRule="auto"/>
        <w:rPr>
          <w:rFonts w:ascii="Verdana" w:eastAsia="Times New Roman" w:hAnsi="Verdana" w:cs="Times New Roman"/>
          <w:color w:val="000000"/>
          <w:lang w:eastAsia="es-CO"/>
        </w:rPr>
      </w:pPr>
    </w:p>
    <w:p w14:paraId="27797EC7" w14:textId="77777777" w:rsidR="009D47ED" w:rsidRPr="00B16E80" w:rsidRDefault="009D47ED" w:rsidP="009D47ED">
      <w:pPr>
        <w:spacing w:after="0" w:line="240" w:lineRule="auto"/>
        <w:rPr>
          <w:rFonts w:ascii="Verdana" w:eastAsia="Times New Roman" w:hAnsi="Verdana" w:cs="Times New Roman"/>
          <w:color w:val="000000"/>
          <w:lang w:eastAsia="es-CO"/>
        </w:rPr>
      </w:pPr>
    </w:p>
    <w:p w14:paraId="7B016697" w14:textId="77777777" w:rsidR="009D47ED" w:rsidRPr="00B16E80" w:rsidRDefault="009D47ED" w:rsidP="009D47ED">
      <w:pPr>
        <w:spacing w:after="0" w:line="240" w:lineRule="auto"/>
        <w:rPr>
          <w:rFonts w:ascii="Verdana" w:eastAsia="Times New Roman" w:hAnsi="Verdana" w:cs="Times New Roman"/>
          <w:color w:val="000000"/>
          <w:lang w:eastAsia="es-CO"/>
        </w:rPr>
      </w:pPr>
    </w:p>
    <w:p w14:paraId="7FC9A7F0" w14:textId="77777777" w:rsidR="009D47ED" w:rsidRPr="00B16E80" w:rsidRDefault="009D47ED" w:rsidP="009D47ED">
      <w:pPr>
        <w:spacing w:after="0" w:line="240" w:lineRule="auto"/>
        <w:rPr>
          <w:rFonts w:ascii="Verdana" w:eastAsia="Times New Roman" w:hAnsi="Verdana" w:cs="Times New Roman"/>
          <w:color w:val="000000"/>
          <w:lang w:eastAsia="es-CO"/>
        </w:rPr>
      </w:pPr>
    </w:p>
    <w:p w14:paraId="763C9067" w14:textId="77777777" w:rsidR="009D47ED" w:rsidRPr="00B16E80" w:rsidRDefault="009D47ED" w:rsidP="009D47ED">
      <w:pPr>
        <w:spacing w:after="0" w:line="240" w:lineRule="auto"/>
        <w:rPr>
          <w:rFonts w:ascii="Verdana" w:eastAsia="Times New Roman" w:hAnsi="Verdana" w:cs="Times New Roman"/>
          <w:color w:val="000000"/>
          <w:lang w:eastAsia="es-CO"/>
        </w:rPr>
      </w:pPr>
    </w:p>
    <w:p w14:paraId="0C7CC71E" w14:textId="77777777" w:rsidR="009D47ED" w:rsidRPr="00B16E80" w:rsidRDefault="009D47ED" w:rsidP="009D47ED">
      <w:pPr>
        <w:spacing w:after="0" w:line="240" w:lineRule="auto"/>
        <w:rPr>
          <w:rFonts w:ascii="Verdana" w:eastAsia="Times New Roman" w:hAnsi="Verdana" w:cs="Times New Roman"/>
          <w:color w:val="000000"/>
          <w:lang w:eastAsia="es-CO"/>
        </w:rPr>
      </w:pPr>
    </w:p>
    <w:p w14:paraId="29EF7B94" w14:textId="77777777" w:rsidR="009D47ED" w:rsidRPr="00B16E80" w:rsidRDefault="009D47ED" w:rsidP="009D47ED">
      <w:pPr>
        <w:spacing w:after="0" w:line="240" w:lineRule="auto"/>
        <w:rPr>
          <w:rFonts w:ascii="Verdana" w:eastAsia="Times New Roman" w:hAnsi="Verdana" w:cs="Times New Roman"/>
          <w:color w:val="000000"/>
          <w:lang w:eastAsia="es-CO"/>
        </w:rPr>
      </w:pPr>
    </w:p>
    <w:p w14:paraId="6364A0A6" w14:textId="77777777" w:rsidR="009D47ED" w:rsidRDefault="009D47ED" w:rsidP="009D47ED">
      <w:pPr>
        <w:spacing w:after="0" w:line="240" w:lineRule="auto"/>
        <w:rPr>
          <w:rFonts w:ascii="Verdana" w:eastAsia="Times New Roman" w:hAnsi="Verdana" w:cs="Times New Roman"/>
          <w:color w:val="000000"/>
          <w:lang w:eastAsia="es-CO"/>
        </w:rPr>
      </w:pPr>
    </w:p>
    <w:p w14:paraId="2673EFE0" w14:textId="77777777" w:rsidR="009D47ED" w:rsidRDefault="009D47ED" w:rsidP="009D47ED">
      <w:pPr>
        <w:spacing w:after="0" w:line="240" w:lineRule="auto"/>
        <w:rPr>
          <w:rFonts w:ascii="Verdana" w:eastAsia="Times New Roman" w:hAnsi="Verdana" w:cs="Times New Roman"/>
          <w:color w:val="000000"/>
          <w:lang w:eastAsia="es-CO"/>
        </w:rPr>
      </w:pPr>
    </w:p>
    <w:p w14:paraId="48C6299C" w14:textId="77777777" w:rsidR="009D47ED" w:rsidRDefault="009D47ED" w:rsidP="009D47ED">
      <w:pPr>
        <w:spacing w:after="0" w:line="240" w:lineRule="auto"/>
        <w:rPr>
          <w:rFonts w:ascii="Verdana" w:eastAsia="Times New Roman" w:hAnsi="Verdana" w:cs="Times New Roman"/>
          <w:color w:val="000000"/>
          <w:lang w:eastAsia="es-CO"/>
        </w:rPr>
      </w:pPr>
    </w:p>
    <w:p w14:paraId="75371937" w14:textId="77777777" w:rsidR="009D47ED" w:rsidRDefault="009D47ED" w:rsidP="009D47ED">
      <w:pPr>
        <w:spacing w:after="0" w:line="240" w:lineRule="auto"/>
        <w:rPr>
          <w:rFonts w:ascii="Verdana" w:eastAsia="Times New Roman" w:hAnsi="Verdana" w:cs="Times New Roman"/>
          <w:color w:val="000000"/>
          <w:lang w:eastAsia="es-CO"/>
        </w:rPr>
      </w:pPr>
    </w:p>
    <w:p w14:paraId="730242E9" w14:textId="77777777" w:rsidR="009D47ED" w:rsidRPr="00B16E80" w:rsidRDefault="009D47ED" w:rsidP="009D47ED">
      <w:pPr>
        <w:spacing w:after="0" w:line="240" w:lineRule="auto"/>
        <w:rPr>
          <w:rFonts w:ascii="Verdana" w:eastAsia="Times New Roman" w:hAnsi="Verdana" w:cs="Times New Roman"/>
          <w:color w:val="000000"/>
          <w:lang w:eastAsia="es-CO"/>
        </w:rPr>
      </w:pPr>
    </w:p>
    <w:p w14:paraId="38CDE021" w14:textId="7812E82C" w:rsidR="009D47ED" w:rsidRDefault="009D47ED" w:rsidP="009D47ED">
      <w:pPr>
        <w:spacing w:after="0" w:line="240" w:lineRule="auto"/>
        <w:rPr>
          <w:rFonts w:ascii="Verdana" w:eastAsia="Calibri" w:hAnsi="Verdana" w:cs="Vrinda"/>
        </w:rPr>
      </w:pPr>
      <w:r w:rsidRPr="00CF5A7A">
        <w:rPr>
          <w:rFonts w:ascii="Verdana" w:eastAsia="Calibri" w:hAnsi="Verdana" w:cs="Vrinda"/>
        </w:rPr>
        <w:t xml:space="preserve">Bogotá D.C., </w:t>
      </w:r>
      <w:r w:rsidR="00DE6B33">
        <w:rPr>
          <w:rFonts w:ascii="Verdana" w:eastAsia="Calibri" w:hAnsi="Verdana" w:cs="Vrinda"/>
        </w:rPr>
        <w:t>6 Noviembre 2025</w:t>
      </w:r>
    </w:p>
    <w:p w14:paraId="2EA5DA64" w14:textId="47D3AC0A" w:rsidR="00DE6B33" w:rsidRDefault="00E8441A" w:rsidP="009D47ED">
      <w:pPr>
        <w:spacing w:after="0" w:line="240" w:lineRule="auto"/>
        <w:rPr>
          <w:rFonts w:ascii="Verdana" w:eastAsia="Calibri" w:hAnsi="Verdana" w:cs="Vrinda"/>
        </w:rPr>
      </w:pPr>
      <w:r w:rsidRPr="00DE6B33">
        <w:rPr>
          <w:rFonts w:ascii="Verdana" w:eastAsia="Calibri" w:hAnsi="Verdana" w:cs="Arial"/>
          <w:noProof/>
          <w:kern w:val="2"/>
          <w:lang w:val="es-ES" w:eastAsia="es-ES"/>
          <w14:ligatures w14:val="standardContextual"/>
        </w:rPr>
        <w:drawing>
          <wp:anchor distT="0" distB="0" distL="114300" distR="114300" simplePos="0" relativeHeight="251657216" behindDoc="0" locked="0" layoutInCell="1" allowOverlap="1" wp14:anchorId="0090780E" wp14:editId="23AF0132">
            <wp:simplePos x="0" y="0"/>
            <wp:positionH relativeFrom="margin">
              <wp:posOffset>2934970</wp:posOffset>
            </wp:positionH>
            <wp:positionV relativeFrom="paragraph">
              <wp:posOffset>96520</wp:posOffset>
            </wp:positionV>
            <wp:extent cx="2673350" cy="1009015"/>
            <wp:effectExtent l="0" t="0" r="0" b="635"/>
            <wp:wrapSquare wrapText="bothSides"/>
            <wp:docPr id="187046916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0469164"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673350" cy="1009015"/>
                    </a:xfrm>
                    <a:prstGeom prst="rect">
                      <a:avLst/>
                    </a:prstGeom>
                  </pic:spPr>
                </pic:pic>
              </a:graphicData>
            </a:graphic>
            <wp14:sizeRelH relativeFrom="margin">
              <wp14:pctWidth>0</wp14:pctWidth>
            </wp14:sizeRelH>
            <wp14:sizeRelV relativeFrom="margin">
              <wp14:pctHeight>0</wp14:pctHeight>
            </wp14:sizeRelV>
          </wp:anchor>
        </w:drawing>
      </w:r>
    </w:p>
    <w:p w14:paraId="4D57D437" w14:textId="20DC8B2B" w:rsidR="00DE6B33" w:rsidRDefault="00DE6B33" w:rsidP="00DE6B33">
      <w:pPr>
        <w:spacing w:after="0" w:line="240" w:lineRule="auto"/>
        <w:jc w:val="right"/>
        <w:rPr>
          <w:rFonts w:ascii="Verdana" w:eastAsia="Calibri" w:hAnsi="Verdana" w:cs="Arial"/>
          <w:kern w:val="2"/>
          <w:lang w:val="es-ES" w:eastAsia="es-ES"/>
          <w14:ligatures w14:val="standardContextual"/>
        </w:rPr>
      </w:pPr>
    </w:p>
    <w:p w14:paraId="4D1C12A7" w14:textId="77777777" w:rsidR="009D47ED" w:rsidRDefault="009D47ED" w:rsidP="009D47ED">
      <w:pPr>
        <w:spacing w:after="0" w:line="240" w:lineRule="auto"/>
        <w:rPr>
          <w:rFonts w:ascii="Verdana" w:eastAsia="Calibri" w:hAnsi="Verdana" w:cs="Arial"/>
          <w:kern w:val="2"/>
          <w:lang w:val="es-ES" w:eastAsia="es-ES"/>
          <w14:ligatures w14:val="standardContextual"/>
        </w:rPr>
      </w:pPr>
    </w:p>
    <w:p w14:paraId="49046124" w14:textId="77777777" w:rsidR="009D47ED" w:rsidRPr="00B16E80" w:rsidRDefault="009D47ED" w:rsidP="009D47ED">
      <w:pPr>
        <w:spacing w:after="0" w:line="240" w:lineRule="auto"/>
        <w:rPr>
          <w:rFonts w:ascii="Verdana" w:eastAsia="Aptos" w:hAnsi="Verdana" w:cs="Times New Roman"/>
          <w:kern w:val="2"/>
          <w14:ligatures w14:val="standardContextual"/>
        </w:rPr>
      </w:pPr>
      <w:r w:rsidRPr="00B16E80">
        <w:rPr>
          <w:rFonts w:ascii="Verdana" w:eastAsia="Calibri" w:hAnsi="Verdana" w:cs="Arial"/>
          <w:kern w:val="2"/>
          <w:lang w:val="es-ES" w:eastAsia="es-ES"/>
          <w14:ligatures w14:val="standardContextual"/>
        </w:rPr>
        <w:t>Señora</w:t>
      </w:r>
    </w:p>
    <w:p w14:paraId="480F7F10" w14:textId="77777777" w:rsidR="009D47ED" w:rsidRPr="00B16E80" w:rsidRDefault="009D47ED" w:rsidP="009D47ED">
      <w:pPr>
        <w:spacing w:after="0" w:line="240" w:lineRule="auto"/>
        <w:rPr>
          <w:rFonts w:ascii="Verdana" w:eastAsia="Calibri" w:hAnsi="Verdana" w:cs="Arial"/>
          <w:b/>
          <w:bCs/>
          <w:kern w:val="2"/>
          <w:lang w:eastAsia="es-ES_tradnl"/>
          <w14:ligatures w14:val="standardContextual"/>
        </w:rPr>
      </w:pPr>
      <w:r>
        <w:rPr>
          <w:rFonts w:ascii="Verdana" w:eastAsia="Calibri" w:hAnsi="Verdana" w:cs="Arial"/>
          <w:b/>
          <w:bCs/>
          <w:kern w:val="2"/>
          <w:lang w:eastAsia="es-ES_tradnl"/>
          <w14:ligatures w14:val="standardContextual"/>
        </w:rPr>
        <w:t>Ivonne Torres Cano</w:t>
      </w:r>
    </w:p>
    <w:p w14:paraId="158A729D" w14:textId="77777777" w:rsidR="009D47ED" w:rsidRDefault="009D47ED" w:rsidP="009D47ED">
      <w:pPr>
        <w:spacing w:after="0" w:line="240" w:lineRule="auto"/>
        <w:rPr>
          <w:rFonts w:ascii="Verdana" w:eastAsia="Calibri" w:hAnsi="Verdana" w:cs="Arial"/>
          <w:b/>
          <w:bCs/>
          <w:lang w:val="es-ES_tradnl" w:eastAsia="es-ES_tradnl"/>
        </w:rPr>
      </w:pPr>
      <w:r>
        <w:rPr>
          <w:rFonts w:ascii="Verdana" w:eastAsia="Calibri" w:hAnsi="Verdana" w:cs="Arial"/>
          <w:kern w:val="2"/>
          <w:lang w:eastAsia="es-ES_tradnl"/>
          <w14:ligatures w14:val="standardContextual"/>
        </w:rPr>
        <w:t>Ciudad</w:t>
      </w:r>
    </w:p>
    <w:p w14:paraId="7B5BB6CA" w14:textId="77777777" w:rsidR="009D47ED" w:rsidRDefault="009D47ED" w:rsidP="009D47ED">
      <w:pPr>
        <w:spacing w:after="0" w:line="240" w:lineRule="auto"/>
        <w:rPr>
          <w:rFonts w:ascii="Verdana" w:eastAsia="Calibri" w:hAnsi="Verdana" w:cs="Arial"/>
          <w:b/>
          <w:bCs/>
          <w:lang w:val="es-ES_tradnl" w:eastAsia="es-ES_tradnl"/>
        </w:rPr>
      </w:pPr>
    </w:p>
    <w:p w14:paraId="088067B6" w14:textId="77777777" w:rsidR="009D47ED" w:rsidRPr="00B16E80" w:rsidRDefault="009D47ED" w:rsidP="009D47ED">
      <w:pPr>
        <w:spacing w:after="0" w:line="240" w:lineRule="auto"/>
        <w:rPr>
          <w:rFonts w:ascii="Verdana" w:eastAsia="Calibri" w:hAnsi="Verdana" w:cs="Arial"/>
          <w:b/>
          <w:bCs/>
          <w:lang w:val="es-ES_tradnl" w:eastAsia="es-ES_tradnl"/>
        </w:rPr>
      </w:pPr>
    </w:p>
    <w:tbl>
      <w:tblPr>
        <w:tblStyle w:val="Tablaconcuadrcula1"/>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985"/>
        <w:gridCol w:w="6383"/>
      </w:tblGrid>
      <w:tr w:rsidR="009D47ED" w:rsidRPr="00B16E80" w14:paraId="07A9EA78" w14:textId="77777777" w:rsidTr="007746B4">
        <w:trPr>
          <w:trHeight w:val="229"/>
        </w:trPr>
        <w:tc>
          <w:tcPr>
            <w:tcW w:w="1985" w:type="dxa"/>
          </w:tcPr>
          <w:p w14:paraId="41175C0D" w14:textId="77777777" w:rsidR="009D47ED" w:rsidRPr="00B16E80" w:rsidRDefault="009D47ED" w:rsidP="007746B4">
            <w:pPr>
              <w:jc w:val="both"/>
              <w:rPr>
                <w:rFonts w:ascii="Verdana" w:eastAsia="Calibri" w:hAnsi="Verdana" w:cs="Arial"/>
                <w:b/>
                <w:bCs/>
                <w:lang w:val="es-ES_tradnl" w:eastAsia="es-ES_tradnl"/>
              </w:rPr>
            </w:pPr>
          </w:p>
        </w:tc>
        <w:tc>
          <w:tcPr>
            <w:tcW w:w="6383" w:type="dxa"/>
          </w:tcPr>
          <w:p w14:paraId="38333BA2" w14:textId="77777777" w:rsidR="009D47ED" w:rsidRPr="00B16E80" w:rsidRDefault="009D47ED" w:rsidP="007746B4">
            <w:pPr>
              <w:jc w:val="both"/>
              <w:rPr>
                <w:rFonts w:ascii="Verdana" w:eastAsia="Calibri" w:hAnsi="Verdana" w:cs="Arial"/>
                <w:b/>
                <w:bCs/>
                <w:lang w:val="es-ES" w:eastAsia="es-ES"/>
              </w:rPr>
            </w:pPr>
            <w:r w:rsidRPr="00B16E80">
              <w:rPr>
                <w:rFonts w:ascii="Verdana" w:eastAsia="Calibri" w:hAnsi="Verdana" w:cs="Arial"/>
                <w:b/>
                <w:bCs/>
                <w:lang w:val="es-ES" w:eastAsia="es-ES"/>
              </w:rPr>
              <w:t>Concepto C-1</w:t>
            </w:r>
            <w:r>
              <w:rPr>
                <w:rFonts w:ascii="Verdana" w:eastAsia="Calibri" w:hAnsi="Verdana" w:cs="Arial"/>
                <w:b/>
                <w:bCs/>
                <w:lang w:val="es-ES" w:eastAsia="es-ES"/>
              </w:rPr>
              <w:t>399</w:t>
            </w:r>
            <w:r w:rsidRPr="00B16E80">
              <w:rPr>
                <w:rFonts w:ascii="Verdana" w:eastAsia="Calibri" w:hAnsi="Verdana" w:cs="Arial"/>
                <w:b/>
                <w:bCs/>
                <w:lang w:val="es-ES" w:eastAsia="es-ES"/>
              </w:rPr>
              <w:t xml:space="preserve"> de 2025</w:t>
            </w:r>
          </w:p>
          <w:p w14:paraId="208398AF" w14:textId="77777777" w:rsidR="009D47ED" w:rsidRDefault="009D47ED" w:rsidP="007746B4">
            <w:pPr>
              <w:jc w:val="both"/>
              <w:rPr>
                <w:rFonts w:ascii="Verdana" w:eastAsia="Calibri" w:hAnsi="Verdana" w:cs="Arial"/>
                <w:b/>
                <w:bCs/>
                <w:lang w:val="es-ES" w:eastAsia="es-ES"/>
              </w:rPr>
            </w:pPr>
          </w:p>
          <w:p w14:paraId="73853B73" w14:textId="77777777" w:rsidR="009D47ED" w:rsidRPr="00B16E80" w:rsidRDefault="009D47ED" w:rsidP="007746B4">
            <w:pPr>
              <w:jc w:val="both"/>
              <w:rPr>
                <w:rFonts w:ascii="Verdana" w:eastAsia="Calibri" w:hAnsi="Verdana" w:cs="Arial"/>
                <w:b/>
                <w:bCs/>
                <w:lang w:val="es-ES" w:eastAsia="es-ES"/>
              </w:rPr>
            </w:pPr>
          </w:p>
          <w:p w14:paraId="5946AEBA" w14:textId="77777777" w:rsidR="009D47ED" w:rsidRPr="00B16E80" w:rsidRDefault="009D47ED" w:rsidP="007746B4">
            <w:pPr>
              <w:jc w:val="both"/>
              <w:rPr>
                <w:rFonts w:ascii="Verdana" w:eastAsia="Calibri" w:hAnsi="Verdana" w:cs="Arial"/>
                <w:b/>
                <w:bCs/>
                <w:lang w:val="es-ES" w:eastAsia="es-ES"/>
              </w:rPr>
            </w:pPr>
          </w:p>
        </w:tc>
      </w:tr>
      <w:tr w:rsidR="009D47ED" w:rsidRPr="00B16E80" w14:paraId="058C7C12" w14:textId="77777777" w:rsidTr="007746B4">
        <w:trPr>
          <w:trHeight w:val="884"/>
        </w:trPr>
        <w:tc>
          <w:tcPr>
            <w:tcW w:w="1985" w:type="dxa"/>
          </w:tcPr>
          <w:p w14:paraId="1C94A95B" w14:textId="77777777" w:rsidR="009D47ED" w:rsidRPr="00B16E80" w:rsidRDefault="009D47ED" w:rsidP="007746B4">
            <w:pPr>
              <w:jc w:val="both"/>
              <w:rPr>
                <w:rFonts w:ascii="Verdana" w:eastAsia="Calibri" w:hAnsi="Verdana" w:cs="Arial"/>
                <w:lang w:val="es-ES_tradnl" w:eastAsia="es-ES_tradnl"/>
              </w:rPr>
            </w:pPr>
            <w:r w:rsidRPr="00B16E80">
              <w:rPr>
                <w:rFonts w:ascii="Verdana" w:eastAsia="Calibri" w:hAnsi="Verdana" w:cs="Arial"/>
                <w:b/>
                <w:lang w:val="es-ES_tradnl" w:eastAsia="es-ES_tradnl"/>
              </w:rPr>
              <w:t>Temas:</w:t>
            </w:r>
            <w:r w:rsidRPr="00B16E80">
              <w:rPr>
                <w:rFonts w:ascii="Verdana" w:eastAsia="Calibri" w:hAnsi="Verdana" w:cs="Arial"/>
                <w:lang w:val="es-ES_tradnl" w:eastAsia="es-ES_tradnl"/>
              </w:rPr>
              <w:t xml:space="preserve">                   </w:t>
            </w:r>
          </w:p>
        </w:tc>
        <w:tc>
          <w:tcPr>
            <w:tcW w:w="6383" w:type="dxa"/>
          </w:tcPr>
          <w:p w14:paraId="0E31BE89" w14:textId="77777777" w:rsidR="009D47ED" w:rsidRPr="00EC7E17" w:rsidRDefault="009D47ED" w:rsidP="007746B4">
            <w:pPr>
              <w:widowControl w:val="0"/>
              <w:autoSpaceDE w:val="0"/>
              <w:autoSpaceDN w:val="0"/>
              <w:jc w:val="both"/>
              <w:rPr>
                <w:rFonts w:ascii="Verdana" w:eastAsia="Calibri" w:hAnsi="Verdana" w:cs="Times New Roman"/>
                <w:lang w:val="es-ES"/>
              </w:rPr>
            </w:pPr>
            <w:r w:rsidRPr="00EC7E17">
              <w:rPr>
                <w:rFonts w:ascii="Verdana" w:eastAsia="Calibri" w:hAnsi="Verdana" w:cs="Arial"/>
                <w:lang w:val="es-ES_tradnl"/>
              </w:rPr>
              <w:t xml:space="preserve">DOCUMENTOS TIPO – Fundamento normativo – Obligatoriedad / DOCUMENTOS TIPO – Infraestructura social – Sector educativo, salud, cultura, recreación y deporte </w:t>
            </w:r>
            <w:r w:rsidRPr="00EC7E17">
              <w:rPr>
                <w:rFonts w:ascii="Verdana" w:eastAsia="Calibri" w:hAnsi="Verdana" w:cs="Times New Roman"/>
              </w:rPr>
              <w:t xml:space="preserve">/ </w:t>
            </w:r>
            <w:r w:rsidRPr="00EC7E17">
              <w:rPr>
                <w:rFonts w:ascii="Verdana" w:eastAsia="Calibri" w:hAnsi="Verdana" w:cs="Times New Roman"/>
                <w:lang w:val="es-ES"/>
              </w:rPr>
              <w:t>DOCUMENTOS TIPO – Aplicación – Matriz de Experiencia / DOCUMENTOS TIPO – Solones comunales – Resolución 454 de 2021 / SOLONES COMUNALES – Documentos tipo – Resoluciones 539, 540 y 541 de 2025 – Aplicación</w:t>
            </w:r>
          </w:p>
          <w:p w14:paraId="25674345" w14:textId="77777777" w:rsidR="009D47ED" w:rsidRPr="00EC7E17" w:rsidRDefault="009D47ED" w:rsidP="007746B4">
            <w:pPr>
              <w:widowControl w:val="0"/>
              <w:autoSpaceDE w:val="0"/>
              <w:autoSpaceDN w:val="0"/>
              <w:jc w:val="both"/>
              <w:rPr>
                <w:rFonts w:ascii="Verdana" w:eastAsia="Calibri" w:hAnsi="Verdana" w:cs="Times New Roman"/>
                <w:highlight w:val="yellow"/>
                <w:lang w:val="es-ES"/>
              </w:rPr>
            </w:pPr>
            <w:r w:rsidRPr="00EC7E17">
              <w:rPr>
                <w:rFonts w:ascii="Verdana" w:eastAsia="Calibri" w:hAnsi="Verdana" w:cs="Times New Roman"/>
                <w:highlight w:val="yellow"/>
                <w:lang w:val="es-ES"/>
              </w:rPr>
              <w:t xml:space="preserve"> </w:t>
            </w:r>
          </w:p>
        </w:tc>
      </w:tr>
      <w:tr w:rsidR="009D47ED" w:rsidRPr="00B16E80" w14:paraId="1737A32C" w14:textId="77777777" w:rsidTr="007746B4">
        <w:tc>
          <w:tcPr>
            <w:tcW w:w="1985" w:type="dxa"/>
          </w:tcPr>
          <w:p w14:paraId="79807562" w14:textId="77777777" w:rsidR="009D47ED" w:rsidRPr="00B16E80" w:rsidRDefault="009D47ED" w:rsidP="007746B4">
            <w:pPr>
              <w:jc w:val="both"/>
              <w:rPr>
                <w:rFonts w:ascii="Verdana" w:eastAsia="Calibri" w:hAnsi="Verdana" w:cs="Arial"/>
                <w:b/>
                <w:lang w:val="es-ES_tradnl" w:eastAsia="es-ES_tradnl"/>
              </w:rPr>
            </w:pPr>
            <w:r w:rsidRPr="00B16E80">
              <w:rPr>
                <w:rFonts w:ascii="Verdana" w:eastAsia="Calibri" w:hAnsi="Verdana" w:cs="Arial"/>
                <w:b/>
                <w:lang w:val="es-ES_tradnl" w:eastAsia="es-ES_tradnl"/>
              </w:rPr>
              <w:t>Radicación:</w:t>
            </w:r>
            <w:r w:rsidRPr="00B16E80">
              <w:rPr>
                <w:rFonts w:ascii="Verdana" w:eastAsia="Calibri" w:hAnsi="Verdana" w:cs="Arial"/>
                <w:lang w:val="es-ES_tradnl" w:eastAsia="es-ES_tradnl"/>
              </w:rPr>
              <w:t xml:space="preserve">               </w:t>
            </w:r>
          </w:p>
        </w:tc>
        <w:tc>
          <w:tcPr>
            <w:tcW w:w="6383" w:type="dxa"/>
          </w:tcPr>
          <w:p w14:paraId="50242F4E" w14:textId="4E853678" w:rsidR="009D47ED" w:rsidRPr="00B16E80" w:rsidRDefault="009D47ED" w:rsidP="007746B4">
            <w:pPr>
              <w:ind w:left="3" w:hanging="3"/>
              <w:jc w:val="both"/>
              <w:rPr>
                <w:rFonts w:ascii="Verdana" w:eastAsia="Calibri" w:hAnsi="Verdana" w:cs="Arial"/>
                <w:lang w:val="es-ES_tradnl" w:eastAsia="es-ES_tradnl"/>
              </w:rPr>
            </w:pPr>
            <w:r w:rsidRPr="00B16E80">
              <w:rPr>
                <w:rFonts w:ascii="Verdana" w:eastAsia="Calibri" w:hAnsi="Verdana" w:cs="Arial"/>
                <w:lang w:val="es-ES_tradnl" w:eastAsia="es-ES_tradnl"/>
              </w:rPr>
              <w:t>Respuesta a consulta</w:t>
            </w:r>
            <w:r w:rsidR="00080325">
              <w:rPr>
                <w:rFonts w:ascii="Verdana" w:eastAsia="Calibri" w:hAnsi="Verdana" w:cs="Arial"/>
                <w:lang w:val="es-ES_tradnl" w:eastAsia="es-ES_tradnl"/>
              </w:rPr>
              <w:t>s</w:t>
            </w:r>
            <w:r w:rsidRPr="00B16E80">
              <w:rPr>
                <w:rFonts w:ascii="Verdana" w:eastAsia="Calibri" w:hAnsi="Verdana" w:cs="Arial"/>
                <w:lang w:val="es-ES_tradnl" w:eastAsia="es-ES_tradnl"/>
              </w:rPr>
              <w:t xml:space="preserve"> con radicado</w:t>
            </w:r>
            <w:r w:rsidR="00080325">
              <w:rPr>
                <w:rFonts w:ascii="Verdana" w:eastAsia="Calibri" w:hAnsi="Verdana" w:cs="Arial"/>
                <w:lang w:val="es-ES_tradnl" w:eastAsia="es-ES_tradnl"/>
              </w:rPr>
              <w:t>s</w:t>
            </w:r>
            <w:r w:rsidRPr="00B16E80">
              <w:rPr>
                <w:rFonts w:ascii="Verdana" w:eastAsia="Calibri" w:hAnsi="Verdana" w:cs="Arial"/>
                <w:lang w:val="es-ES_tradnl" w:eastAsia="es-ES_tradnl"/>
              </w:rPr>
              <w:t xml:space="preserve"> No</w:t>
            </w:r>
            <w:r w:rsidR="00080325">
              <w:rPr>
                <w:rFonts w:ascii="Verdana" w:eastAsia="Calibri" w:hAnsi="Verdana" w:cs="Arial"/>
                <w:lang w:val="es-ES_tradnl" w:eastAsia="es-ES_tradnl"/>
              </w:rPr>
              <w:t>s</w:t>
            </w:r>
            <w:r w:rsidRPr="00B16E80">
              <w:rPr>
                <w:rFonts w:ascii="Verdana" w:eastAsia="Calibri" w:hAnsi="Verdana" w:cs="Arial"/>
                <w:lang w:val="es-ES_tradnl" w:eastAsia="es-ES_tradnl"/>
              </w:rPr>
              <w:t xml:space="preserve">. </w:t>
            </w:r>
            <w:r w:rsidRPr="00EB113A">
              <w:rPr>
                <w:rFonts w:ascii="Verdana" w:eastAsia="Calibri" w:hAnsi="Verdana" w:cs="Arial"/>
                <w:lang w:val="es-ES_tradnl" w:eastAsia="es-ES_tradnl"/>
              </w:rPr>
              <w:t>1_2025_09_29_010780</w:t>
            </w:r>
            <w:r w:rsidR="00080325">
              <w:rPr>
                <w:rFonts w:ascii="Verdana" w:eastAsia="Calibri" w:hAnsi="Verdana" w:cs="Arial"/>
                <w:lang w:val="es-ES_tradnl" w:eastAsia="es-ES_tradnl"/>
              </w:rPr>
              <w:t xml:space="preserve"> y </w:t>
            </w:r>
            <w:r w:rsidR="00080325" w:rsidRPr="00080325">
              <w:rPr>
                <w:rFonts w:ascii="Verdana" w:eastAsia="Calibri" w:hAnsi="Verdana" w:cs="Arial"/>
                <w:lang w:val="es-ES_tradnl" w:eastAsia="es-ES_tradnl"/>
              </w:rPr>
              <w:t>1_2025_09_29_010776</w:t>
            </w:r>
          </w:p>
        </w:tc>
      </w:tr>
    </w:tbl>
    <w:p w14:paraId="4C7B8EAC" w14:textId="77777777" w:rsidR="009D47ED" w:rsidRPr="00B16E80" w:rsidRDefault="009D47ED" w:rsidP="009D47ED">
      <w:pPr>
        <w:spacing w:after="0" w:line="240" w:lineRule="auto"/>
        <w:jc w:val="both"/>
        <w:rPr>
          <w:rFonts w:ascii="Verdana" w:eastAsia="Calibri" w:hAnsi="Verdana" w:cs="Arial"/>
          <w:lang w:val="es-ES_tradnl" w:eastAsia="es-ES_tradnl"/>
        </w:rPr>
      </w:pPr>
    </w:p>
    <w:p w14:paraId="3B1D4576" w14:textId="77777777" w:rsidR="009D47ED" w:rsidRPr="00B16E80" w:rsidRDefault="009D47ED" w:rsidP="009D47ED">
      <w:pPr>
        <w:spacing w:after="0" w:line="276" w:lineRule="auto"/>
        <w:jc w:val="both"/>
        <w:rPr>
          <w:rFonts w:ascii="Verdana" w:eastAsia="Calibri" w:hAnsi="Verdana" w:cs="Arial"/>
          <w:lang w:val="es-ES" w:eastAsia="es-ES"/>
        </w:rPr>
      </w:pPr>
      <w:r w:rsidRPr="00B16E80">
        <w:rPr>
          <w:rFonts w:ascii="Verdana" w:eastAsia="Calibri" w:hAnsi="Verdana" w:cs="Arial"/>
          <w:lang w:val="es-ES" w:eastAsia="es-ES"/>
        </w:rPr>
        <w:t>Estimada señora</w:t>
      </w:r>
      <w:r>
        <w:rPr>
          <w:rFonts w:ascii="Verdana" w:eastAsia="Calibri" w:hAnsi="Verdana" w:cs="Arial"/>
          <w:lang w:val="es-ES" w:eastAsia="es-ES"/>
        </w:rPr>
        <w:t xml:space="preserve"> Torres Cano</w:t>
      </w:r>
      <w:r w:rsidRPr="00B16E80">
        <w:rPr>
          <w:rFonts w:ascii="Verdana" w:eastAsia="Calibri" w:hAnsi="Verdana" w:cs="Arial"/>
          <w:lang w:val="es-ES" w:eastAsia="es-ES"/>
        </w:rPr>
        <w:t xml:space="preserve">: </w:t>
      </w:r>
    </w:p>
    <w:p w14:paraId="6CFE85B3" w14:textId="77777777" w:rsidR="009D47ED" w:rsidRPr="00B16E80" w:rsidRDefault="009D47ED" w:rsidP="009D47ED">
      <w:pPr>
        <w:tabs>
          <w:tab w:val="left" w:pos="3768"/>
        </w:tabs>
        <w:spacing w:after="0" w:line="276" w:lineRule="auto"/>
        <w:jc w:val="both"/>
        <w:rPr>
          <w:rFonts w:ascii="Verdana" w:eastAsia="Calibri" w:hAnsi="Verdana" w:cs="Arial"/>
          <w:lang w:val="es-ES" w:eastAsia="es-ES"/>
        </w:rPr>
      </w:pPr>
      <w:r w:rsidRPr="00B16E80">
        <w:rPr>
          <w:rFonts w:ascii="Verdana" w:eastAsia="Calibri" w:hAnsi="Verdana" w:cs="Arial"/>
          <w:lang w:val="es-ES" w:eastAsia="es-ES"/>
        </w:rPr>
        <w:tab/>
      </w:r>
    </w:p>
    <w:p w14:paraId="7B5C08F4" w14:textId="18AA1D81" w:rsidR="009D47ED" w:rsidRPr="00B16E80" w:rsidRDefault="009D47ED" w:rsidP="009D47ED">
      <w:pPr>
        <w:spacing w:after="0" w:line="276" w:lineRule="auto"/>
        <w:jc w:val="both"/>
        <w:rPr>
          <w:rFonts w:ascii="Verdana" w:eastAsia="Calibri" w:hAnsi="Verdana" w:cs="Arial"/>
          <w:lang w:val="es-ES" w:eastAsia="es-ES"/>
        </w:rPr>
      </w:pPr>
      <w:r w:rsidRPr="00B16E80">
        <w:rPr>
          <w:rFonts w:ascii="Verdana" w:eastAsia="Calibri" w:hAnsi="Verdana" w:cs="Arial"/>
          <w:lang w:val="es-ES" w:eastAsia="es-ES"/>
        </w:rPr>
        <w:t>En ejercicio de la competencia otorgada por los artículos 3, numeral 5º, y 11, numeral 8º, del Decreto Ley 4170 de 2011,</w:t>
      </w:r>
      <w:r w:rsidRPr="00B16E80">
        <w:rPr>
          <w:rFonts w:ascii="Verdana" w:eastAsia="Arial MT" w:hAnsi="Verdana" w:cs="Arial MT"/>
          <w:lang w:val="es-ES" w:eastAsia="es-ES"/>
        </w:rPr>
        <w:t xml:space="preserve"> </w:t>
      </w:r>
      <w:r w:rsidRPr="00B16E80">
        <w:rPr>
          <w:rFonts w:ascii="Verdana" w:eastAsia="Calibri" w:hAnsi="Verdana" w:cs="Arial"/>
        </w:rPr>
        <w:t xml:space="preserve">así como lo establecido en el artículo 4 de la Resolución 1707 de 2018 expedida por esta Entidad, </w:t>
      </w:r>
      <w:r w:rsidRPr="00B16E80">
        <w:rPr>
          <w:rFonts w:ascii="Verdana" w:eastAsia="Calibri" w:hAnsi="Verdana" w:cs="Arial"/>
          <w:lang w:val="es-ES" w:eastAsia="es-ES"/>
        </w:rPr>
        <w:t>la Agencia Nacional de Contratación Pública – Colombia Compra Eficiente– responde su</w:t>
      </w:r>
      <w:r w:rsidR="0092255D">
        <w:rPr>
          <w:rFonts w:ascii="Verdana" w:eastAsia="Calibri" w:hAnsi="Verdana" w:cs="Arial"/>
          <w:lang w:val="es-ES" w:eastAsia="es-ES"/>
        </w:rPr>
        <w:t>s</w:t>
      </w:r>
      <w:r w:rsidRPr="00B16E80">
        <w:rPr>
          <w:rFonts w:ascii="Verdana" w:eastAsia="Calibri" w:hAnsi="Verdana" w:cs="Arial"/>
          <w:lang w:val="es-ES" w:eastAsia="es-ES"/>
        </w:rPr>
        <w:t xml:space="preserve"> solicitud</w:t>
      </w:r>
      <w:r w:rsidR="0092255D">
        <w:rPr>
          <w:rFonts w:ascii="Verdana" w:eastAsia="Calibri" w:hAnsi="Verdana" w:cs="Arial"/>
          <w:lang w:val="es-ES" w:eastAsia="es-ES"/>
        </w:rPr>
        <w:t>es</w:t>
      </w:r>
      <w:r w:rsidRPr="00B16E80">
        <w:rPr>
          <w:rFonts w:ascii="Verdana" w:eastAsia="Calibri" w:hAnsi="Verdana" w:cs="Arial"/>
          <w:lang w:val="es-ES" w:eastAsia="es-ES"/>
        </w:rPr>
        <w:t xml:space="preserve"> de consulta del </w:t>
      </w:r>
      <w:r>
        <w:rPr>
          <w:rFonts w:ascii="Verdana" w:eastAsia="Calibri" w:hAnsi="Verdana" w:cs="Arial"/>
          <w:lang w:val="es-ES" w:eastAsia="es-ES"/>
        </w:rPr>
        <w:t>2</w:t>
      </w:r>
      <w:r w:rsidRPr="00B16E80">
        <w:rPr>
          <w:rFonts w:ascii="Verdana" w:eastAsia="Calibri" w:hAnsi="Verdana" w:cs="Arial"/>
          <w:lang w:val="es-ES" w:eastAsia="es-ES"/>
        </w:rPr>
        <w:t xml:space="preserve">9 de </w:t>
      </w:r>
      <w:r>
        <w:rPr>
          <w:rFonts w:ascii="Verdana" w:eastAsia="Calibri" w:hAnsi="Verdana" w:cs="Arial"/>
          <w:lang w:val="es-ES" w:eastAsia="es-ES"/>
        </w:rPr>
        <w:t>septiembre</w:t>
      </w:r>
      <w:r w:rsidRPr="00B16E80">
        <w:rPr>
          <w:rFonts w:ascii="Verdana" w:eastAsia="Calibri" w:hAnsi="Verdana" w:cs="Arial"/>
          <w:lang w:val="es-ES" w:eastAsia="es-ES"/>
        </w:rPr>
        <w:t xml:space="preserve"> de 2025, en la cual</w:t>
      </w:r>
      <w:r w:rsidR="00D45DED">
        <w:rPr>
          <w:rFonts w:ascii="Verdana" w:eastAsia="Calibri" w:hAnsi="Verdana" w:cs="Arial"/>
          <w:lang w:val="es-ES" w:eastAsia="es-ES"/>
        </w:rPr>
        <w:t xml:space="preserve">es </w:t>
      </w:r>
      <w:r w:rsidRPr="00B16E80">
        <w:rPr>
          <w:rFonts w:ascii="Verdana" w:eastAsia="Calibri" w:hAnsi="Verdana" w:cs="Arial"/>
          <w:lang w:val="es-ES" w:eastAsia="es-ES"/>
        </w:rPr>
        <w:t>manifiesta lo siguiente:</w:t>
      </w:r>
    </w:p>
    <w:p w14:paraId="14D06C42" w14:textId="77777777" w:rsidR="009D47ED" w:rsidRPr="00B16E80" w:rsidRDefault="009D47ED" w:rsidP="009D47ED">
      <w:pPr>
        <w:spacing w:after="0" w:line="276" w:lineRule="auto"/>
        <w:jc w:val="both"/>
        <w:rPr>
          <w:rFonts w:ascii="Verdana" w:eastAsia="Calibri" w:hAnsi="Verdana" w:cs="Arial"/>
          <w:lang w:val="es-ES" w:eastAsia="es-ES"/>
        </w:rPr>
      </w:pPr>
    </w:p>
    <w:p w14:paraId="1AD5DDF2" w14:textId="619AE48C" w:rsidR="009D47ED" w:rsidRPr="00B16E80" w:rsidRDefault="009D47ED" w:rsidP="009D47ED">
      <w:pPr>
        <w:spacing w:after="0" w:line="240" w:lineRule="auto"/>
        <w:ind w:left="709" w:right="709"/>
        <w:jc w:val="both"/>
        <w:rPr>
          <w:rFonts w:ascii="Verdana" w:eastAsia="Aptos" w:hAnsi="Verdana" w:cs="Helvetica"/>
          <w:color w:val="000000"/>
          <w:sz w:val="21"/>
          <w:szCs w:val="21"/>
          <w:lang w:val="es-MX"/>
          <w14:ligatures w14:val="standardContextual"/>
        </w:rPr>
      </w:pPr>
      <w:r w:rsidRPr="00B16E80">
        <w:rPr>
          <w:rFonts w:ascii="Verdana" w:eastAsia="Aptos" w:hAnsi="Verdana" w:cs="Helvetica"/>
          <w:color w:val="000000"/>
          <w:sz w:val="21"/>
          <w:szCs w:val="21"/>
          <w14:ligatures w14:val="standardContextual"/>
        </w:rPr>
        <w:t>“</w:t>
      </w:r>
      <w:r w:rsidRPr="00043D8D">
        <w:rPr>
          <w:rFonts w:ascii="Verdana" w:eastAsia="Aptos" w:hAnsi="Verdana" w:cs="Helvetica"/>
          <w:color w:val="000000"/>
          <w:sz w:val="21"/>
          <w:szCs w:val="21"/>
          <w14:ligatures w14:val="standardContextual"/>
        </w:rPr>
        <w:t xml:space="preserve">Actualmente, de acuerdo con la normatividad vigente y la información publicada por la Agencia, los pliegos tipo son de aplicación obligatoria en los procesos de obra pública de infraestructura social de manera específica en los sectores educativo, salud, cultural y recreo deportivo. Ahora bien, es preciso señalar que los salones comunales en Colombia constituyen espacios de carácter comunitario destinados, de manera principal, a promover la participación ciudadana, la integración social </w:t>
      </w:r>
      <w:r w:rsidRPr="00043D8D">
        <w:rPr>
          <w:rFonts w:ascii="Verdana" w:eastAsia="Aptos" w:hAnsi="Verdana" w:cs="Helvetica"/>
          <w:color w:val="000000"/>
          <w:sz w:val="21"/>
          <w:szCs w:val="21"/>
          <w14:ligatures w14:val="standardContextual"/>
        </w:rPr>
        <w:lastRenderedPageBreak/>
        <w:t>y el desarrollo comunitario, sirviendo como escenario para la planeación participativa de proyectos, la realización de asambleas, elecciones comunales y procesos de capacitación. Estas actividades, por su naturaleza, se enmarcan en la categoría de infraestructura social, la cual, conforme a lo dispuesto por la Agencia Nacional de Contratación Pública – Colombia Compra Eficiente, NO se encuentra sometida a la obligación de aplicar pliegos tipo, al no corresponder a los sectores actualmente regulados y a las actividades a contratar de cada una de las matrices establecidas por la Agencia. Si bien en algunos casos los salones comunales pueden albergar de manera complementaria actividades culturales o recreativas, su vocación esencial NO GUARDA CORRESPONDENCIA DIRECTA CON LAS TIPOLOGÍAS DEFINIDAS EN LA MATRIZ DE PLIEGOS TIPO, razón por la cual su contratación podría considerarse ser adelantada bajo los parámetros generales previstos en la Ley 80 de 1993, la Ley 1150 de 2007 y el Decreto 1082 de 2015, mas no bajo los lineamientos de estandarización obligatoria aplicables a la infraestructura social y sus sectores ya regulados. No obstante</w:t>
      </w:r>
      <w:r w:rsidR="4A41F018" w:rsidRPr="00043D8D">
        <w:rPr>
          <w:rFonts w:ascii="Verdana" w:eastAsia="Aptos" w:hAnsi="Verdana" w:cs="Helvetica"/>
          <w:color w:val="000000"/>
          <w:sz w:val="21"/>
          <w:szCs w:val="21"/>
          <w14:ligatures w14:val="standardContextual"/>
        </w:rPr>
        <w:t>,</w:t>
      </w:r>
      <w:r w:rsidRPr="00043D8D">
        <w:rPr>
          <w:rFonts w:ascii="Verdana" w:eastAsia="Aptos" w:hAnsi="Verdana" w:cs="Helvetica"/>
          <w:color w:val="000000"/>
          <w:sz w:val="21"/>
          <w:szCs w:val="21"/>
          <w14:ligatures w14:val="standardContextual"/>
        </w:rPr>
        <w:t xml:space="preserve"> y con el fin de garantizar la correcta planeación contractual y evitar interpretaciones erróneas en los procesos de selección, solicito a esa Agencia emitir pronunciamiento expreso sobre lo siguiente: 1.</w:t>
      </w:r>
      <w:r w:rsidR="7A963F7F" w:rsidRPr="00043D8D">
        <w:rPr>
          <w:rFonts w:ascii="Verdana" w:eastAsia="Aptos" w:hAnsi="Verdana" w:cs="Helvetica"/>
          <w:color w:val="000000"/>
          <w:sz w:val="21"/>
          <w:szCs w:val="21"/>
          <w14:ligatures w14:val="standardContextual"/>
        </w:rPr>
        <w:t xml:space="preserve"> </w:t>
      </w:r>
      <w:r w:rsidRPr="00043D8D">
        <w:rPr>
          <w:rFonts w:ascii="Verdana" w:eastAsia="Aptos" w:hAnsi="Verdana" w:cs="Helvetica"/>
          <w:color w:val="000000"/>
          <w:sz w:val="21"/>
          <w:szCs w:val="21"/>
          <w14:ligatures w14:val="standardContextual"/>
        </w:rPr>
        <w:t>¿Existe la obligación normativa de aplicar pliegos tipo en procesos contractuales cuyo objeto sea la construcción, adecuación o mejoramiento de salones comunales? 2.En caso afirmativo, ¿dentro de cuál de los sectores y actividad a cont</w:t>
      </w:r>
      <w:r w:rsidR="5C96A2BD" w:rsidRPr="00043D8D">
        <w:rPr>
          <w:rFonts w:ascii="Verdana" w:eastAsia="Aptos" w:hAnsi="Verdana" w:cs="Helvetica"/>
          <w:color w:val="000000"/>
          <w:sz w:val="21"/>
          <w:szCs w:val="21"/>
          <w14:ligatures w14:val="standardContextual"/>
        </w:rPr>
        <w:t>r</w:t>
      </w:r>
      <w:r w:rsidRPr="00043D8D">
        <w:rPr>
          <w:rFonts w:ascii="Verdana" w:eastAsia="Aptos" w:hAnsi="Verdana" w:cs="Helvetica"/>
          <w:color w:val="000000"/>
          <w:sz w:val="21"/>
          <w:szCs w:val="21"/>
          <w14:ligatures w14:val="standardContextual"/>
        </w:rPr>
        <w:t>atar actualmente definidos (educativo, salud, cultural o recreo</w:t>
      </w:r>
      <w:r w:rsidR="5E93BC7C" w:rsidRPr="00043D8D">
        <w:rPr>
          <w:rFonts w:ascii="Verdana" w:eastAsia="Aptos" w:hAnsi="Verdana" w:cs="Helvetica"/>
          <w:color w:val="000000"/>
          <w:sz w:val="21"/>
          <w:szCs w:val="21"/>
          <w14:ligatures w14:val="standardContextual"/>
        </w:rPr>
        <w:t xml:space="preserve"> </w:t>
      </w:r>
      <w:r w:rsidRPr="00043D8D">
        <w:rPr>
          <w:rFonts w:ascii="Verdana" w:eastAsia="Aptos" w:hAnsi="Verdana" w:cs="Helvetica"/>
          <w:color w:val="000000"/>
          <w:sz w:val="21"/>
          <w:szCs w:val="21"/>
          <w14:ligatures w14:val="standardContextual"/>
        </w:rPr>
        <w:t>deportivo) deben ser clasificados los proyectos de salones comunales? 3.En caso negativo, ¿qué criterios recomienda Colombia Compra Eficiente para la elaboración de pliegos de condiciones en procesos de esta naturaleza?</w:t>
      </w:r>
      <w:r w:rsidRPr="00B16E80">
        <w:rPr>
          <w:rFonts w:ascii="Verdana" w:eastAsia="Aptos" w:hAnsi="Verdana" w:cs="Helvetica"/>
          <w:color w:val="000000"/>
          <w:sz w:val="21"/>
          <w:szCs w:val="21"/>
          <w14:ligatures w14:val="standardContextual"/>
        </w:rPr>
        <w:t>”</w:t>
      </w:r>
      <w:r w:rsidR="596D6506" w:rsidRPr="00B16E80">
        <w:rPr>
          <w:rFonts w:ascii="Verdana" w:eastAsia="Aptos" w:hAnsi="Verdana" w:cs="Helvetica"/>
          <w:color w:val="000000"/>
          <w:sz w:val="21"/>
          <w:szCs w:val="21"/>
          <w14:ligatures w14:val="standardContextual"/>
        </w:rPr>
        <w:t xml:space="preserve"> </w:t>
      </w:r>
      <w:r>
        <w:rPr>
          <w:rFonts w:ascii="Verdana" w:eastAsia="Aptos" w:hAnsi="Verdana" w:cs="Helvetica"/>
          <w:color w:val="000000"/>
          <w:sz w:val="21"/>
          <w:szCs w:val="21"/>
          <w14:ligatures w14:val="standardContextual"/>
        </w:rPr>
        <w:t xml:space="preserve">(sic).  </w:t>
      </w:r>
    </w:p>
    <w:p w14:paraId="19B048B6" w14:textId="77777777" w:rsidR="009D47ED" w:rsidRDefault="009D47ED" w:rsidP="009D47ED">
      <w:pPr>
        <w:spacing w:after="0" w:line="276" w:lineRule="auto"/>
        <w:jc w:val="both"/>
        <w:rPr>
          <w:rFonts w:ascii="Verdana" w:eastAsia="Calibri" w:hAnsi="Verdana" w:cs="Arial"/>
          <w:lang w:val="es-ES" w:eastAsia="es-ES"/>
        </w:rPr>
      </w:pPr>
    </w:p>
    <w:p w14:paraId="1AE21FA6" w14:textId="77777777" w:rsidR="009D47ED" w:rsidRPr="005C3C4C" w:rsidRDefault="009D47ED" w:rsidP="009D47ED">
      <w:pPr>
        <w:spacing w:after="120" w:line="276" w:lineRule="auto"/>
        <w:ind w:firstLine="709"/>
        <w:jc w:val="both"/>
        <w:rPr>
          <w:rFonts w:ascii="Verdana" w:eastAsia="Calibri" w:hAnsi="Verdana" w:cs="Arial"/>
          <w:color w:val="000000"/>
          <w:lang w:val="es-ES" w:eastAsia="es-ES"/>
        </w:rPr>
      </w:pPr>
      <w:r w:rsidRPr="005C3C4C">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w:t>
      </w:r>
      <w:r w:rsidRPr="005C3C4C">
        <w:rPr>
          <w:rFonts w:ascii="Verdana" w:eastAsia="Calibri" w:hAnsi="Verdana" w:cs="Arial"/>
          <w:color w:val="000000"/>
          <w:lang w:val="es-ES" w:eastAsia="es-ES"/>
        </w:rPr>
        <w:lastRenderedPageBreak/>
        <w:t xml:space="preserve">interpretación de normas generales, por definición, no puede extenderse a la resolución de controversias ni a brindar asesorías sobre casos puntuales. </w:t>
      </w:r>
      <w:r w:rsidRPr="005C3C4C">
        <w:rPr>
          <w:rFonts w:ascii="Verdana" w:eastAsia="Calibri" w:hAnsi="Verdana" w:cs="Arial"/>
          <w:color w:val="000000"/>
          <w:szCs w:val="24"/>
          <w:lang w:val="es-ES_tradnl" w:eastAsia="es-ES_tradnl"/>
        </w:rPr>
        <w:tab/>
      </w:r>
    </w:p>
    <w:p w14:paraId="6FE4D940" w14:textId="77777777" w:rsidR="009D47ED" w:rsidRPr="005C3C4C" w:rsidRDefault="009D47ED" w:rsidP="009D47ED">
      <w:pPr>
        <w:spacing w:after="0" w:line="276" w:lineRule="auto"/>
        <w:ind w:firstLine="709"/>
        <w:jc w:val="both"/>
        <w:rPr>
          <w:rFonts w:ascii="Verdana" w:eastAsia="Calibri" w:hAnsi="Verdana" w:cs="Arial"/>
          <w:color w:val="000000"/>
          <w:lang w:val="es-ES" w:eastAsia="es-ES"/>
        </w:rPr>
      </w:pPr>
      <w:r w:rsidRPr="005C3C4C">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5C3C4C">
        <w:rPr>
          <w:rFonts w:ascii="Verdana" w:eastAsia="Calibri" w:hAnsi="Verdana" w:cs="Arial"/>
          <w:color w:val="7030A0"/>
          <w:lang w:val="es-ES" w:eastAsia="es-ES"/>
        </w:rPr>
        <w:t xml:space="preserve"> </w:t>
      </w:r>
      <w:r w:rsidRPr="005C3C4C">
        <w:rPr>
          <w:rFonts w:ascii="Verdana" w:eastAsia="Calibri" w:hAnsi="Verdana" w:cs="Arial"/>
          <w:color w:val="000000"/>
          <w:lang w:val="es-ES" w:eastAsia="es-ES"/>
        </w:rPr>
        <w:t>problema</w:t>
      </w:r>
      <w:r w:rsidRPr="005C3C4C">
        <w:rPr>
          <w:rFonts w:ascii="Verdana" w:eastAsia="Calibri" w:hAnsi="Verdana" w:cs="Arial"/>
          <w:color w:val="7030A0"/>
          <w:lang w:val="es-ES" w:eastAsia="es-ES"/>
        </w:rPr>
        <w:t xml:space="preserve"> </w:t>
      </w:r>
      <w:r w:rsidRPr="005C3C4C">
        <w:rPr>
          <w:rFonts w:ascii="Verdana" w:eastAsia="Calibri" w:hAnsi="Verdana" w:cs="Arial"/>
          <w:color w:val="000000"/>
          <w:lang w:val="es-ES" w:eastAsia="es-ES"/>
        </w:rPr>
        <w:t>jurídico</w:t>
      </w:r>
      <w:r w:rsidRPr="005C3C4C">
        <w:rPr>
          <w:rFonts w:ascii="Verdana" w:eastAsia="Calibri" w:hAnsi="Verdana" w:cs="Arial"/>
          <w:color w:val="7030A0"/>
          <w:lang w:val="es-ES" w:eastAsia="es-ES"/>
        </w:rPr>
        <w:t xml:space="preserve"> </w:t>
      </w:r>
      <w:r w:rsidRPr="005C3C4C">
        <w:rPr>
          <w:rFonts w:ascii="Verdana" w:eastAsia="Calibri" w:hAnsi="Verdana" w:cs="Arial"/>
          <w:color w:val="000000"/>
          <w:lang w:val="es-ES" w:eastAsia="es-ES"/>
        </w:rPr>
        <w:t xml:space="preserve">de su consulta. </w:t>
      </w:r>
    </w:p>
    <w:p w14:paraId="396F6410" w14:textId="77777777" w:rsidR="009D47ED" w:rsidRPr="00B16E80" w:rsidRDefault="009D47ED" w:rsidP="009D47ED">
      <w:pPr>
        <w:spacing w:after="0" w:line="276" w:lineRule="auto"/>
        <w:jc w:val="both"/>
        <w:rPr>
          <w:rFonts w:ascii="Verdana" w:eastAsia="Calibri" w:hAnsi="Verdana" w:cs="Arial"/>
          <w:lang w:val="es-ES" w:eastAsia="es-ES"/>
        </w:rPr>
      </w:pPr>
    </w:p>
    <w:p w14:paraId="015E7E60" w14:textId="77777777" w:rsidR="009D47ED" w:rsidRPr="00B16E80" w:rsidRDefault="009D47ED" w:rsidP="009D47ED">
      <w:pPr>
        <w:numPr>
          <w:ilvl w:val="0"/>
          <w:numId w:val="17"/>
        </w:numPr>
        <w:tabs>
          <w:tab w:val="left" w:pos="142"/>
          <w:tab w:val="left" w:pos="284"/>
        </w:tabs>
        <w:spacing w:after="0" w:line="276" w:lineRule="auto"/>
        <w:jc w:val="both"/>
        <w:rPr>
          <w:rFonts w:ascii="Verdana" w:eastAsia="Century Gothic" w:hAnsi="Verdana" w:cs="Century Gothic"/>
          <w:b/>
          <w:bCs/>
        </w:rPr>
      </w:pPr>
      <w:r w:rsidRPr="00B16E80">
        <w:rPr>
          <w:rFonts w:ascii="Verdana" w:eastAsia="Century Gothic" w:hAnsi="Verdana" w:cs="Century Gothic"/>
          <w:b/>
          <w:bCs/>
        </w:rPr>
        <w:t>Problema planteado:</w:t>
      </w:r>
    </w:p>
    <w:p w14:paraId="2122E412" w14:textId="77777777" w:rsidR="009D47ED" w:rsidRPr="00B16E80" w:rsidRDefault="009D47ED" w:rsidP="009D47ED">
      <w:pPr>
        <w:tabs>
          <w:tab w:val="left" w:pos="426"/>
        </w:tabs>
        <w:spacing w:after="0" w:line="276" w:lineRule="auto"/>
        <w:jc w:val="both"/>
        <w:rPr>
          <w:rFonts w:ascii="Verdana" w:eastAsia="Century Gothic" w:hAnsi="Verdana" w:cs="Century Gothic"/>
          <w:lang w:val="es-ES"/>
        </w:rPr>
      </w:pPr>
    </w:p>
    <w:p w14:paraId="52944D0C" w14:textId="77777777" w:rsidR="009D47ED" w:rsidRPr="00B16E80" w:rsidRDefault="009D47ED" w:rsidP="009D47ED">
      <w:pPr>
        <w:spacing w:after="0" w:line="276" w:lineRule="auto"/>
        <w:jc w:val="both"/>
        <w:rPr>
          <w:rFonts w:ascii="Verdana" w:eastAsia="Calibri" w:hAnsi="Verdana" w:cs="Arial"/>
          <w:bCs/>
          <w:lang w:val="es-ES_tradnl" w:eastAsia="es-ES_tradnl"/>
        </w:rPr>
      </w:pPr>
      <w:r w:rsidRPr="00B16E80">
        <w:rPr>
          <w:rFonts w:ascii="Verdana" w:eastAsia="Century Gothic" w:hAnsi="Verdana" w:cs="Century Gothic"/>
        </w:rPr>
        <w:t xml:space="preserve">De acuerdo </w:t>
      </w:r>
      <w:r w:rsidRPr="00EC7E17">
        <w:rPr>
          <w:rFonts w:ascii="Verdana" w:eastAsia="Century Gothic" w:hAnsi="Verdana" w:cs="Century Gothic"/>
        </w:rPr>
        <w:t xml:space="preserve">con el contenido de su solicitud, esta Agencia resolverá el siguiente problema jurídico: </w:t>
      </w:r>
      <w:r w:rsidRPr="00EC7E17">
        <w:rPr>
          <w:rFonts w:ascii="Verdana" w:eastAsia="Calibri" w:hAnsi="Verdana" w:cs="Arial"/>
          <w:bCs/>
          <w:lang w:val="es-ES_tradnl" w:eastAsia="es-ES_tradnl"/>
        </w:rPr>
        <w:t>¿Aplican los documentos tipo del sector de infraestructura social para adelantar un proceso que tiene por objeto realizar la construcción, adecuación o mejoramiento de salones comunales?</w:t>
      </w:r>
      <w:r w:rsidRPr="00B16E80">
        <w:rPr>
          <w:rFonts w:ascii="Verdana" w:eastAsia="Calibri" w:hAnsi="Verdana" w:cs="Arial"/>
          <w:bCs/>
          <w:lang w:val="es-ES_tradnl" w:eastAsia="es-ES_tradnl"/>
        </w:rPr>
        <w:t xml:space="preserve"> </w:t>
      </w:r>
    </w:p>
    <w:p w14:paraId="1E5CA7C8" w14:textId="77777777" w:rsidR="009D47ED" w:rsidRPr="00B16E80" w:rsidRDefault="009D47ED" w:rsidP="009D47ED">
      <w:pPr>
        <w:spacing w:after="0" w:line="276" w:lineRule="auto"/>
        <w:jc w:val="both"/>
        <w:rPr>
          <w:rFonts w:ascii="Verdana" w:eastAsia="Century Gothic" w:hAnsi="Verdana" w:cs="Century Gothic"/>
        </w:rPr>
      </w:pPr>
    </w:p>
    <w:p w14:paraId="639D5A6D" w14:textId="77777777" w:rsidR="009D47ED" w:rsidRPr="00B16E80" w:rsidRDefault="009D47ED" w:rsidP="009D47ED">
      <w:pPr>
        <w:tabs>
          <w:tab w:val="left" w:pos="142"/>
          <w:tab w:val="left" w:pos="284"/>
        </w:tabs>
        <w:spacing w:after="0" w:line="276" w:lineRule="auto"/>
        <w:contextualSpacing/>
        <w:jc w:val="both"/>
        <w:rPr>
          <w:rFonts w:ascii="Verdana" w:eastAsia="Century Gothic" w:hAnsi="Verdana" w:cs="Century Gothic"/>
          <w:b/>
          <w:bCs/>
          <w:lang w:val="es-ES"/>
        </w:rPr>
      </w:pPr>
      <w:r w:rsidRPr="00B16E80">
        <w:rPr>
          <w:rFonts w:ascii="Verdana" w:eastAsia="Century Gothic" w:hAnsi="Verdana" w:cs="Century Gothic"/>
          <w:b/>
          <w:bCs/>
          <w:lang w:val="es-ES"/>
        </w:rPr>
        <w:t>2. Respuestas:</w:t>
      </w:r>
    </w:p>
    <w:p w14:paraId="26A2FF56" w14:textId="77777777" w:rsidR="009D47ED" w:rsidRPr="00B16E80" w:rsidRDefault="009D47ED" w:rsidP="009D47ED">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D47ED" w:rsidRPr="00D30DC5" w14:paraId="619B447E" w14:textId="77777777" w:rsidTr="007746B4">
        <w:trPr>
          <w:trHeight w:val="40"/>
        </w:trPr>
        <w:tc>
          <w:tcPr>
            <w:tcW w:w="8828" w:type="dxa"/>
            <w:tcBorders>
              <w:top w:val="dotted" w:sz="4" w:space="0" w:color="auto"/>
              <w:left w:val="dotted" w:sz="4" w:space="0" w:color="auto"/>
              <w:bottom w:val="dotted" w:sz="4" w:space="0" w:color="auto"/>
              <w:right w:val="dotted" w:sz="4" w:space="0" w:color="auto"/>
            </w:tcBorders>
          </w:tcPr>
          <w:p w14:paraId="562A43C2" w14:textId="77777777" w:rsidR="009D47ED" w:rsidRPr="00D30DC5" w:rsidRDefault="009D47ED" w:rsidP="007746B4">
            <w:pPr>
              <w:widowControl w:val="0"/>
              <w:autoSpaceDE w:val="0"/>
              <w:autoSpaceDN w:val="0"/>
              <w:spacing w:after="120" w:line="276" w:lineRule="auto"/>
              <w:jc w:val="both"/>
              <w:rPr>
                <w:rFonts w:ascii="Verdana" w:eastAsia="Calibri" w:hAnsi="Verdana" w:cs="Times New Roman"/>
                <w:lang w:val="es-ES"/>
              </w:rPr>
            </w:pPr>
            <w:r w:rsidRPr="00D30DC5">
              <w:rPr>
                <w:rFonts w:ascii="Verdana" w:eastAsia="Calibri" w:hAnsi="Verdana" w:cs="Times New Roman"/>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2E764830" w14:textId="77777777" w:rsidR="009D47ED" w:rsidRPr="00D30DC5" w:rsidRDefault="009D47ED" w:rsidP="007746B4">
            <w:pPr>
              <w:spacing w:after="120" w:line="276" w:lineRule="auto"/>
              <w:ind w:firstLine="708"/>
              <w:jc w:val="both"/>
              <w:rPr>
                <w:rFonts w:ascii="Verdana" w:eastAsia="Calibri" w:hAnsi="Verdana" w:cs="Arial"/>
                <w:lang w:val="es-ES_tradnl"/>
              </w:rPr>
            </w:pPr>
            <w:r w:rsidRPr="00D30DC5">
              <w:rPr>
                <w:rFonts w:ascii="Verdana" w:eastAsia="Calibri" w:hAnsi="Verdana" w:cs="Arial"/>
                <w:color w:val="0D0D0D"/>
                <w:lang w:val="es-ES"/>
              </w:rPr>
              <w:t>L</w:t>
            </w:r>
            <w:r w:rsidRPr="00D30DC5">
              <w:rPr>
                <w:rFonts w:ascii="Verdana" w:eastAsia="Calibri" w:hAnsi="Verdana" w:cs="Arial"/>
                <w:color w:val="0D0D0D"/>
                <w:lang w:val="es-MX"/>
              </w:rPr>
              <w:t xml:space="preserve">os objetos contractuales relacionados con la construcción, adecuación o mejoramiento de un salón comunal no están expresamente en las actividades a contratar de la “Matriz – Experiencia” de los documentos tipo de cultura, recreación y deporte expedidos por la Agencia Nacional de Contratación Pública – Colombia Compra Eficiente mediante la Resolución 454 de 2021.  Sin embargo, </w:t>
            </w:r>
            <w:r w:rsidRPr="00D30DC5">
              <w:rPr>
                <w:rFonts w:ascii="Verdana" w:eastAsia="Calibri" w:hAnsi="Verdana" w:cs="Arial"/>
                <w:lang w:val="es-ES_tradnl"/>
              </w:rPr>
              <w:t xml:space="preserve">para interpretar el alcance y aplicación de la “Matriz de experiencia” es necesario tener en cuenta las definiciones del “Anexo – Glosario” del sector señalado. </w:t>
            </w:r>
          </w:p>
          <w:p w14:paraId="0ABC23B2" w14:textId="77777777" w:rsidR="009D47ED" w:rsidRPr="00D30DC5" w:rsidRDefault="009D47ED" w:rsidP="007746B4">
            <w:pPr>
              <w:spacing w:after="120" w:line="276" w:lineRule="auto"/>
              <w:ind w:firstLine="708"/>
              <w:jc w:val="both"/>
              <w:rPr>
                <w:rFonts w:ascii="Verdana" w:eastAsia="Calibri" w:hAnsi="Verdana" w:cs="Arial"/>
              </w:rPr>
            </w:pPr>
            <w:r w:rsidRPr="00D30DC5">
              <w:rPr>
                <w:rFonts w:ascii="Verdana" w:eastAsia="Calibri" w:hAnsi="Verdana" w:cs="Arial"/>
                <w:lang w:val="es-ES_tradnl"/>
              </w:rPr>
              <w:lastRenderedPageBreak/>
              <w:t xml:space="preserve">Para estos efectos, es </w:t>
            </w:r>
            <w:r w:rsidRPr="00D30DC5">
              <w:rPr>
                <w:rFonts w:ascii="Verdana" w:eastAsia="Calibri" w:hAnsi="Verdana" w:cs="Arial"/>
              </w:rPr>
              <w:t xml:space="preserve">pertinente mencionar que </w:t>
            </w:r>
            <w:r w:rsidRPr="00D30DC5">
              <w:rPr>
                <w:rFonts w:ascii="Verdana" w:eastAsia="Arial" w:hAnsi="Verdana" w:cs="Arial"/>
              </w:rPr>
              <w:t xml:space="preserve">el término </w:t>
            </w:r>
            <w:r w:rsidRPr="00D30DC5">
              <w:rPr>
                <w:rFonts w:ascii="Verdana" w:eastAsia="Arial" w:hAnsi="Verdana" w:cs="Arial"/>
                <w:i/>
                <w:iCs/>
              </w:rPr>
              <w:t>“Infraestructura Cultural”</w:t>
            </w:r>
            <w:r w:rsidRPr="00D30DC5">
              <w:rPr>
                <w:rFonts w:ascii="Verdana" w:eastAsia="Arial" w:hAnsi="Verdana" w:cs="Arial"/>
              </w:rPr>
              <w:t xml:space="preserve"> lo define el numeral 2.60 del “Anexo – Glosario” del sector cultura, recreación y deporte. Por otra parte, </w:t>
            </w:r>
            <w:r w:rsidRPr="00D30DC5">
              <w:rPr>
                <w:rFonts w:ascii="Verdana" w:eastAsia="Calibri" w:hAnsi="Verdana" w:cs="Arial"/>
                <w:lang w:val="es-ES_tradnl"/>
              </w:rPr>
              <w:t xml:space="preserve">el Concejo de Bogotá define a los salones comunales como: “bienes de uso público administrados por la Junta de Acción Comunal en donde las comunidades se reúnen, celebran sus festividades y agasajos, como los matrimonios, cumpleaños, bautizos, entre otros, estos salones han sido espacios en donde se construye la historia y la cultura de los barrios de nuestra ciudad”. </w:t>
            </w:r>
          </w:p>
          <w:p w14:paraId="6EB2175D" w14:textId="77777777" w:rsidR="009D47ED" w:rsidRPr="00D30DC5" w:rsidRDefault="009D47ED" w:rsidP="007746B4">
            <w:pPr>
              <w:spacing w:after="120" w:line="276" w:lineRule="auto"/>
              <w:ind w:firstLine="708"/>
              <w:jc w:val="both"/>
              <w:rPr>
                <w:rFonts w:ascii="Verdana" w:eastAsia="Calibri" w:hAnsi="Verdana" w:cs="Arial"/>
              </w:rPr>
            </w:pPr>
            <w:r w:rsidRPr="00D30DC5">
              <w:rPr>
                <w:rFonts w:ascii="Verdana" w:eastAsia="Calibri" w:hAnsi="Verdana" w:cs="Arial"/>
              </w:rPr>
              <w:t xml:space="preserve">Así las cosas, se concluye que los salones comunales son espacios administrados por las juntas de acción comunal cuyo propósito principal es garantizar el desarrollo integral, sostenible y sustentable de la comunidad, mediante procesos territoriales, económicos, políticos, ambientales, culturales y sociales que integren los esfuerzos de la población, sus organismos y las del Estado para promover la mejor calidad de vida. Por tanto, está definición está alineada con lo previsto en el numeral 2.60 del “Anexo – Glosario” del sector cultura, recreación y deporte. </w:t>
            </w:r>
          </w:p>
          <w:p w14:paraId="4137315D" w14:textId="6DB5CD81" w:rsidR="009D47ED" w:rsidRPr="00D30DC5" w:rsidRDefault="009D47ED" w:rsidP="007746B4">
            <w:pPr>
              <w:spacing w:after="120" w:line="278" w:lineRule="auto"/>
              <w:ind w:firstLine="708"/>
              <w:jc w:val="both"/>
              <w:textAlignment w:val="baseline"/>
              <w:rPr>
                <w:rFonts w:ascii="Verdana" w:eastAsia="Calibri" w:hAnsi="Verdana" w:cs="Times New Roman"/>
              </w:rPr>
            </w:pPr>
            <w:r w:rsidRPr="2DAAC9A8">
              <w:rPr>
                <w:rFonts w:ascii="Verdana" w:eastAsia="Calibri" w:hAnsi="Verdana" w:cs="Arial"/>
                <w:lang w:val="es-ES"/>
              </w:rPr>
              <w:t xml:space="preserve">En este sentido, en la actividad 1.1 PROYECTOS DE CONSTRUCCIÓN Y/O AMPLIACIÓN Y/O RECONSTRUCCIÓN DE INFRAESTRUCTURA CULTURAL” y </w:t>
            </w:r>
            <w:r w:rsidRPr="00D30DC5">
              <w:rPr>
                <w:rFonts w:ascii="Verdana" w:eastAsia="Calibri" w:hAnsi="Verdana" w:cs="Times New Roman"/>
              </w:rPr>
              <w:t xml:space="preserve">“1.2. PROYECTOS DE TERMINACIÓN Y/O MEJORAMIENTO Y/O REMODELACIÓN Y/O ADECUACIÓN Y/O MODIFICACIÓN Y/O MANTENIMIENTO DE INFRAESTRUCTURA CULTURAL”, </w:t>
            </w:r>
            <w:r w:rsidRPr="2DAAC9A8">
              <w:rPr>
                <w:rFonts w:ascii="Verdana" w:eastAsia="Calibri" w:hAnsi="Verdana" w:cs="Arial"/>
                <w:lang w:val="es-ES"/>
              </w:rPr>
              <w:t>de la “Matriz – Experiencia” del sector cultura, recreación y deporte se incluyen las obras cuyo objeto consista en la construcción, adecuación o mejoramiento de un salón comunal. Lo anterior en la medida que, tal y como se explicó previamente, estos salones comunales tienen la función de generar espacios físicos donde tienen lugar las diversas prácticas y manifestaciones artísticas y culturales de las comunidades.</w:t>
            </w:r>
          </w:p>
          <w:p w14:paraId="7D6D89E2" w14:textId="77777777" w:rsidR="009D47ED" w:rsidRPr="00D30DC5" w:rsidRDefault="009D47ED" w:rsidP="007746B4">
            <w:pPr>
              <w:spacing w:after="120" w:line="276" w:lineRule="auto"/>
              <w:ind w:firstLine="708"/>
              <w:jc w:val="both"/>
              <w:rPr>
                <w:rFonts w:ascii="Verdana" w:eastAsia="Calibri" w:hAnsi="Verdana" w:cs="Arial"/>
                <w:color w:val="0D0D0D"/>
              </w:rPr>
            </w:pPr>
            <w:r w:rsidRPr="00D30DC5">
              <w:rPr>
                <w:rFonts w:ascii="Verdana" w:eastAsia="Calibri" w:hAnsi="Verdana" w:cs="Arial"/>
                <w:lang w:val="es-ES_tradnl"/>
              </w:rPr>
              <w:t xml:space="preserve">En consecuencia, respecto a la consulta realizada se concluye que </w:t>
            </w:r>
            <w:r w:rsidRPr="00D30DC5">
              <w:rPr>
                <w:rFonts w:ascii="Verdana" w:eastAsia="Calibri" w:hAnsi="Verdana" w:cs="Arial"/>
              </w:rPr>
              <w:t>la actividad de construcción, adecuación o mejoramiento de un salón comunal deben adelantarse utilizando los documentos tipo de licitación de obra pública de infraestructura social -sector cultura, recreación y de deporte-.</w:t>
            </w:r>
          </w:p>
          <w:p w14:paraId="6E4F9FC8" w14:textId="77777777" w:rsidR="009D47ED" w:rsidRPr="00D30DC5" w:rsidRDefault="009D47ED" w:rsidP="007746B4">
            <w:pPr>
              <w:spacing w:after="120" w:line="278" w:lineRule="auto"/>
              <w:ind w:firstLine="708"/>
              <w:jc w:val="both"/>
              <w:textAlignment w:val="baseline"/>
              <w:rPr>
                <w:rFonts w:ascii="Verdana" w:eastAsia="Calibri" w:hAnsi="Verdana" w:cs="Arial"/>
                <w:kern w:val="2"/>
                <w14:ligatures w14:val="standardContextual"/>
              </w:rPr>
            </w:pPr>
            <w:r w:rsidRPr="00D30DC5">
              <w:rPr>
                <w:rFonts w:ascii="Verdana" w:eastAsia="Times New Roman" w:hAnsi="Verdana" w:cs="Times New Roman"/>
                <w:color w:val="000000"/>
                <w:lang w:eastAsia="es-CO"/>
              </w:rPr>
              <w:t xml:space="preserve">Sin perjuicio de lo anterior, debe indicarse que esta Agencia, mediante las </w:t>
            </w:r>
            <w:r w:rsidRPr="00D30DC5">
              <w:rPr>
                <w:rFonts w:ascii="Verdana" w:eastAsia="Calibri" w:hAnsi="Verdana" w:cs="Arial"/>
                <w:kern w:val="2"/>
                <w14:ligatures w14:val="standardContextual"/>
              </w:rPr>
              <w:t xml:space="preserve">Resoluciones 539, 540 y 541 del 21 de agosto de 2025, acogió documentos tipo en el sector de obra pública de infraestructura social, aplicables de forma transversal en las modalidades de selección de licitación de obra pública, </w:t>
            </w:r>
            <w:r w:rsidRPr="00D30DC5">
              <w:rPr>
                <w:rFonts w:ascii="Verdana" w:eastAsia="Calibri" w:hAnsi="Verdana" w:cs="Arial"/>
                <w:kern w:val="2"/>
                <w14:ligatures w14:val="standardContextual"/>
              </w:rPr>
              <w:lastRenderedPageBreak/>
              <w:t>selección abreviada de menor cuantía y mínima cuantía, y a los proyectos de infraestructura social enmarcados dentro del sector educativo, salud, cultura, recreación y deporte, institucional y vivienda, en los procesos de selección cuyo aviso de convocatoria se publique a partir del 16 de febrero de 2026.</w:t>
            </w:r>
          </w:p>
          <w:p w14:paraId="7FB19F15" w14:textId="77777777" w:rsidR="009D47ED" w:rsidRPr="00D30DC5" w:rsidRDefault="009D47ED" w:rsidP="007746B4">
            <w:pPr>
              <w:spacing w:after="120" w:line="276" w:lineRule="auto"/>
              <w:ind w:firstLine="708"/>
              <w:jc w:val="both"/>
              <w:rPr>
                <w:rFonts w:ascii="Verdana" w:eastAsia="Calibri" w:hAnsi="Verdana" w:cs="Times New Roman"/>
                <w:lang w:val="es-ES"/>
              </w:rPr>
            </w:pPr>
            <w:r w:rsidRPr="00D30DC5">
              <w:rPr>
                <w:rFonts w:ascii="Verdana" w:eastAsia="Calibri" w:hAnsi="Verdana" w:cs="Times New Roman"/>
                <w:lang w:val="es-ES"/>
              </w:rPr>
              <w:t xml:space="preserve">En los documentos tipo señalados, se agregaron y precisaron actividades a contratar tales como: “3.1. PROYECTOS DE CONSTRUCCIÓN Y/O AMPLIACIÓN Y/O RECONSTRUCCIÓN DE INSTALACIONES EN INFRAESTRUCTURA PARA REUNIONES SOCIALES Y/O RELIGIOSOS” y “3.2. PROYECTOS DE ADECUACIÓN Y/O CONSERVACIÓN Y/O INTERVENCIÓN Y/O INSTALACIÓN Y/O MANTENIMIENTO Y/O MEJORAMIENTO Y/O MODIFICACIÓN U OPTIMIZACIÓN Y/O REHABILITACIÓN Y/O REMODELACIÓN Y/O REPOSICIÓN Y/O REPARACIÓN LOCATIVA Y/O RESTAURACIÓN Y/O RESTITUCIÓN Y/O TERMINACIÓN EN INFRAESTRUCTURA PARA REUNIONES SOCIALES Y/O RELIGIOSOS”. </w:t>
            </w:r>
          </w:p>
          <w:p w14:paraId="5C30EA54" w14:textId="77777777" w:rsidR="009D47ED" w:rsidRPr="00D30DC5" w:rsidRDefault="009D47ED" w:rsidP="007746B4">
            <w:pPr>
              <w:spacing w:after="120" w:line="276" w:lineRule="auto"/>
              <w:ind w:firstLine="708"/>
              <w:jc w:val="both"/>
              <w:rPr>
                <w:rFonts w:ascii="Verdana" w:eastAsia="Calibri" w:hAnsi="Verdana" w:cs="Arial"/>
                <w:lang w:val="es-ES_tradnl"/>
              </w:rPr>
            </w:pPr>
            <w:r w:rsidRPr="00D30DC5">
              <w:rPr>
                <w:rFonts w:ascii="Verdana" w:eastAsia="Calibri" w:hAnsi="Verdana" w:cs="Arial"/>
                <w:color w:val="0D0D0D"/>
                <w:lang w:val="es-MX"/>
              </w:rPr>
              <w:t xml:space="preserve">En este sentido, los objetos contractuales relacionados con la construcción, adecuación o mejoramiento de un salón comunal se enmarcan en las actividades indicadas en el párrafo precedente, esto es la 3.1 y 3.2 contenidas en la Matriz 1 – Experiencia del sector cultura, recreación y deporte, interpretando el alcance y aplicación de estas, </w:t>
            </w:r>
            <w:r w:rsidRPr="00D30DC5">
              <w:rPr>
                <w:rFonts w:ascii="Verdana" w:eastAsia="Calibri" w:hAnsi="Verdana" w:cs="Arial"/>
                <w:lang w:val="es-ES_tradnl"/>
              </w:rPr>
              <w:t xml:space="preserve">teniendo en cuenta las definiciones del “Anexo – Glosario” de los documentos tipo indicados. </w:t>
            </w:r>
          </w:p>
          <w:p w14:paraId="5B9A828A" w14:textId="77777777" w:rsidR="009D47ED" w:rsidRPr="00D30DC5" w:rsidRDefault="009D47ED" w:rsidP="007746B4">
            <w:pPr>
              <w:spacing w:after="120" w:line="276" w:lineRule="auto"/>
              <w:ind w:firstLine="708"/>
              <w:jc w:val="both"/>
              <w:rPr>
                <w:rFonts w:ascii="Verdana" w:eastAsia="Calibri" w:hAnsi="Verdana" w:cs="Arial"/>
                <w:lang w:val="es-ES"/>
              </w:rPr>
            </w:pPr>
            <w:r w:rsidRPr="00D30DC5">
              <w:rPr>
                <w:rFonts w:ascii="Verdana" w:eastAsia="Calibri" w:hAnsi="Verdana" w:cs="Arial"/>
                <w:lang w:val="es-ES_tradnl"/>
              </w:rPr>
              <w:t xml:space="preserve">De esta forma, de acuerdo con el Anexo 5 – Glosario de los documentos tipo de licitación de obra pública de infraestructura social – versión 2, el numeral 2.102 señala la definición de “Grupo de ocupación de lugares de reunión”. </w:t>
            </w:r>
            <w:r w:rsidRPr="00D30DC5">
              <w:rPr>
                <w:rFonts w:ascii="Verdana" w:eastAsia="Calibri" w:hAnsi="Verdana" w:cs="Arial"/>
                <w:lang w:val="es-ES"/>
              </w:rPr>
              <w:t xml:space="preserve">De acuerdo con la definición del grupo de ocupación de lugares de reunión, esta clasificación abarca edificaciones o espacios destinados al encuentro de personas con fines religiosos, deportivos, políticos culturales, sociales, recreativos o de transporte. Esta categoría incluye toda infraestructura que sirva como punto de congregación comunitaria, siempre que su finalidad principal sea la reunión de personas en torno a actividades colectivas. Dentro de esta tipología se consideran espacios como iglesias, salones de culto y otros destinados a la interacción social o comunitaria, por lo que su clasificación no depende exclusivamente del tipo de evento específico que alberguen, sino de su función como espacio de reunión. </w:t>
            </w:r>
          </w:p>
          <w:p w14:paraId="518EC2CC" w14:textId="77777777" w:rsidR="009D47ED" w:rsidRPr="00D30DC5" w:rsidRDefault="009D47ED" w:rsidP="007746B4">
            <w:pPr>
              <w:spacing w:after="120" w:line="276" w:lineRule="auto"/>
              <w:ind w:firstLine="708"/>
              <w:jc w:val="both"/>
              <w:rPr>
                <w:rFonts w:ascii="Verdana" w:eastAsia="Calibri" w:hAnsi="Verdana" w:cs="Arial"/>
                <w:lang w:val="es-ES"/>
              </w:rPr>
            </w:pPr>
            <w:r w:rsidRPr="00D30DC5">
              <w:rPr>
                <w:rFonts w:ascii="Verdana" w:eastAsia="Calibri" w:hAnsi="Verdana" w:cs="Arial"/>
                <w:lang w:val="es-ES"/>
              </w:rPr>
              <w:t xml:space="preserve">Por lo anterior, cualquier proyecto que tenga como finalidad la construcción, adecuación o mejoramiento de salones comunales debe regirse </w:t>
            </w:r>
            <w:r w:rsidRPr="00D30DC5">
              <w:rPr>
                <w:rFonts w:ascii="Verdana" w:eastAsia="Calibri" w:hAnsi="Verdana" w:cs="Arial"/>
                <w:lang w:val="es-ES"/>
              </w:rPr>
              <w:lastRenderedPageBreak/>
              <w:t xml:space="preserve">por los documentos tipo complementarios del sector cultura, recreación y deporte, expedidos por la Agencia Nacional de Contratación Pública Colombia Compra Eficiente. Esta obligación se fundamenta en que las actividades asociadas a dichos proyectos están contempladas en la Matriz 1 – Experiencia, específicamente en los numerales 3.1 y 3.2 previamente señaladas. </w:t>
            </w:r>
          </w:p>
          <w:p w14:paraId="6CD3DDB4" w14:textId="77777777" w:rsidR="009D47ED" w:rsidRPr="00D30DC5" w:rsidRDefault="009D47ED" w:rsidP="007746B4">
            <w:pPr>
              <w:spacing w:after="120" w:line="276" w:lineRule="auto"/>
              <w:ind w:firstLine="708"/>
              <w:jc w:val="both"/>
              <w:rPr>
                <w:rFonts w:ascii="Verdana" w:eastAsia="Calibri" w:hAnsi="Verdana" w:cs="Arial"/>
                <w:lang w:val="es-ES"/>
              </w:rPr>
            </w:pPr>
            <w:r w:rsidRPr="00D30DC5">
              <w:rPr>
                <w:rFonts w:ascii="Verdana" w:eastAsia="Calibri" w:hAnsi="Verdana" w:cs="Arial"/>
                <w:lang w:val="es-ES"/>
              </w:rPr>
              <w:t>Así las cosas, la Agencia Nacional de Contratación Pública – Colombia Compra Eficiente le informa que a partir del 16 de febrero de 2026, si una entidad de aquellas obligadas a utilizar los documentos tipo expedidos por esta Entidad adelanta un proceso que tenga por objeto la construcción, adecuación o mejoramiento de salones comunales, deberá aplicar los documentos tipo complementarios del sector de cultura, recreación y deporte acogidos por esta Agencia mediante las Resoluciones 539, 540 y 541 de 2025</w:t>
            </w:r>
            <w:r>
              <w:rPr>
                <w:rFonts w:ascii="Verdana" w:eastAsia="Calibri" w:hAnsi="Verdana" w:cs="Arial"/>
                <w:lang w:val="es-ES"/>
              </w:rPr>
              <w:t>.</w:t>
            </w:r>
          </w:p>
          <w:p w14:paraId="16ED3B2E" w14:textId="77777777" w:rsidR="009D47ED" w:rsidRPr="00D30DC5" w:rsidRDefault="009D47ED" w:rsidP="007746B4">
            <w:pPr>
              <w:spacing w:after="120" w:line="276" w:lineRule="auto"/>
              <w:ind w:firstLine="708"/>
              <w:jc w:val="both"/>
              <w:rPr>
                <w:rFonts w:ascii="Verdana" w:eastAsia="Calibri" w:hAnsi="Verdana" w:cs="Arial"/>
                <w:lang w:val="es-ES"/>
              </w:rPr>
            </w:pPr>
            <w:r w:rsidRPr="00D30DC5">
              <w:rPr>
                <w:rFonts w:ascii="Verdana" w:eastAsia="Calibri" w:hAnsi="Verdana" w:cs="Arial"/>
                <w:lang w:val="es-ES"/>
              </w:rPr>
              <w:t>Esto obedece a que, conforme con la definición técnica los salones comunales son espacios cuya característica predominante es servir como puntos de congregación comunitaria con fines sociales, culturales, recreativos, lo que coincide plenamente con los criterios establecidos para esta categoría de ocupación. En este contexto, se reconoce que la funcionalidad del salón comunal se alinea más con la lógica de uso ya fluencia de personas en actividades colectivas, que con una infraestructura cultural en sentido estricto.</w:t>
            </w:r>
          </w:p>
          <w:p w14:paraId="2603FFB2" w14:textId="77777777" w:rsidR="009D47ED" w:rsidRPr="00D30DC5" w:rsidRDefault="009D47ED" w:rsidP="007746B4">
            <w:pPr>
              <w:spacing w:after="120" w:line="276" w:lineRule="auto"/>
              <w:ind w:firstLine="708"/>
              <w:jc w:val="both"/>
              <w:rPr>
                <w:rFonts w:ascii="Verdana" w:eastAsia="Calibri" w:hAnsi="Verdana" w:cs="Arial"/>
                <w:lang w:val="es-ES"/>
              </w:rPr>
            </w:pPr>
            <w:r w:rsidRPr="00D30DC5">
              <w:rPr>
                <w:rFonts w:ascii="Verdana" w:eastAsia="Calibri" w:hAnsi="Verdana" w:cs="Arial"/>
                <w:lang w:val="es-ES"/>
              </w:rPr>
              <w:t xml:space="preserve">En consecuencia, ya no será aplicable la categoría de infraestructura cultural, para efectos de determinar la experiencia general y específica exigida en procesos de contratación relacionados con salones comunales. En su lugar, se adoptará la categoría de grupo de ocupación de lugares de reunión, por ser no solo más amplia en términos de alcance, sino también más precisa al reflejar la naturaleza y uso real de estos espacios dentro del entorno comunitario. Esta clasificación permite una mejor correspondencia entre las características funcionales de los salones comunales y los criterios técnicos requeridos para su intervención, asegurando que las entidades contratantes exijan experiencia pertinente y alineada con la tipología de edificación objeto del proyecto. </w:t>
            </w:r>
          </w:p>
          <w:p w14:paraId="02751B0C" w14:textId="77777777" w:rsidR="009D47ED" w:rsidRPr="00D30DC5" w:rsidRDefault="009D47ED" w:rsidP="007746B4">
            <w:pPr>
              <w:spacing w:after="120" w:line="276" w:lineRule="auto"/>
              <w:ind w:firstLine="708"/>
              <w:jc w:val="both"/>
              <w:rPr>
                <w:rFonts w:ascii="Verdana" w:eastAsia="Calibri" w:hAnsi="Verdana" w:cs="Arial"/>
              </w:rPr>
            </w:pPr>
            <w:r>
              <w:rPr>
                <w:rFonts w:ascii="Verdana" w:eastAsia="Times New Roman" w:hAnsi="Verdana" w:cs="Arial"/>
                <w:lang w:val="es-ES" w:eastAsia="es-ES_tradnl"/>
              </w:rPr>
              <w:t>Finalmente, e</w:t>
            </w:r>
            <w:r w:rsidRPr="00D30DC5">
              <w:rPr>
                <w:rFonts w:ascii="Verdana" w:eastAsia="Times New Roman" w:hAnsi="Verdana" w:cs="Arial"/>
                <w:lang w:eastAsia="es-ES_tradnl"/>
              </w:rPr>
              <w:t xml:space="preserve">s importante advertir que es la entidad contratante, al momento de adelantar sus actividades de planeación de cada proceso contractual, la competente para determinar si de acuerdo con las particularidades del contrato a ejecutar, este se encuadra o no dentro de </w:t>
            </w:r>
            <w:r w:rsidRPr="00D30DC5">
              <w:rPr>
                <w:rFonts w:ascii="Verdana" w:eastAsia="Times New Roman" w:hAnsi="Verdana" w:cs="Arial"/>
                <w:lang w:eastAsia="es-ES_tradnl"/>
              </w:rPr>
              <w:lastRenderedPageBreak/>
              <w:t xml:space="preserve">alguna de las actividades de la </w:t>
            </w:r>
            <w:r w:rsidRPr="00D30DC5">
              <w:rPr>
                <w:rFonts w:ascii="Verdana" w:eastAsia="Calibri" w:hAnsi="Verdana" w:cs="Arial"/>
                <w:color w:val="0D0D0D"/>
                <w:lang w:val="es-MX"/>
              </w:rPr>
              <w:t>“Matriz – Experiencia” de los documentos tipo del sector cultura, recreación y deporte</w:t>
            </w:r>
            <w:r w:rsidRPr="00D30DC5">
              <w:rPr>
                <w:rFonts w:ascii="Verdana" w:eastAsia="Calibri" w:hAnsi="Verdana" w:cs="Arial"/>
              </w:rPr>
              <w:t xml:space="preserve">. </w:t>
            </w:r>
          </w:p>
        </w:tc>
      </w:tr>
    </w:tbl>
    <w:p w14:paraId="73B18EE0" w14:textId="77777777" w:rsidR="009D47ED" w:rsidRDefault="009D47ED" w:rsidP="009D47ED">
      <w:pPr>
        <w:tabs>
          <w:tab w:val="left" w:pos="142"/>
          <w:tab w:val="left" w:pos="284"/>
        </w:tabs>
        <w:spacing w:after="0" w:line="276" w:lineRule="auto"/>
        <w:jc w:val="both"/>
        <w:rPr>
          <w:rFonts w:ascii="Verdana" w:eastAsia="Century Gothic" w:hAnsi="Verdana" w:cs="Century Gothic"/>
          <w:b/>
          <w:bCs/>
          <w:lang w:val="es-ES"/>
        </w:rPr>
      </w:pPr>
    </w:p>
    <w:p w14:paraId="1C9F8B44" w14:textId="677E4F35" w:rsidR="009D47ED" w:rsidRPr="00B16E80" w:rsidRDefault="009D47ED" w:rsidP="009D47ED">
      <w:pPr>
        <w:tabs>
          <w:tab w:val="left" w:pos="142"/>
          <w:tab w:val="left" w:pos="284"/>
        </w:tabs>
        <w:spacing w:after="0" w:line="276" w:lineRule="auto"/>
        <w:jc w:val="both"/>
        <w:rPr>
          <w:rFonts w:ascii="Verdana" w:eastAsia="Century Gothic" w:hAnsi="Verdana" w:cs="Century Gothic"/>
          <w:b/>
          <w:bCs/>
          <w:lang w:val="es-ES"/>
        </w:rPr>
      </w:pPr>
      <w:r w:rsidRPr="00B16E80">
        <w:rPr>
          <w:rFonts w:ascii="Verdana" w:eastAsia="Century Gothic" w:hAnsi="Verdana" w:cs="Century Gothic"/>
          <w:b/>
          <w:bCs/>
          <w:lang w:val="es-ES"/>
        </w:rPr>
        <w:t>3. Razones de la respuesta:</w:t>
      </w:r>
    </w:p>
    <w:p w14:paraId="2FAE72FD" w14:textId="77777777" w:rsidR="009D47ED" w:rsidRPr="00B16E80" w:rsidRDefault="009D47ED" w:rsidP="009D47ED">
      <w:pPr>
        <w:spacing w:after="0" w:line="276" w:lineRule="auto"/>
        <w:jc w:val="both"/>
        <w:rPr>
          <w:rFonts w:ascii="Verdana" w:eastAsia="Calibri" w:hAnsi="Verdana" w:cs="Arial"/>
          <w:lang w:val="es-ES"/>
        </w:rPr>
      </w:pPr>
    </w:p>
    <w:p w14:paraId="527E3218" w14:textId="77777777" w:rsidR="009D47ED" w:rsidRPr="00B16E80" w:rsidRDefault="009D47ED" w:rsidP="009D47ED">
      <w:pPr>
        <w:spacing w:after="0" w:line="276" w:lineRule="auto"/>
        <w:jc w:val="both"/>
        <w:rPr>
          <w:rFonts w:ascii="Verdana" w:eastAsia="Calibri" w:hAnsi="Verdana" w:cs="Arial"/>
          <w:lang w:val="es-ES"/>
        </w:rPr>
      </w:pPr>
      <w:r w:rsidRPr="00B16E80">
        <w:rPr>
          <w:rFonts w:ascii="Verdana" w:eastAsia="Calibri" w:hAnsi="Verdana" w:cs="Arial"/>
          <w:lang w:val="es-ES"/>
        </w:rPr>
        <w:t xml:space="preserve">Lo anterior se sustenta en las siguientes consideraciones: </w:t>
      </w:r>
    </w:p>
    <w:p w14:paraId="4E54A8EC" w14:textId="77777777" w:rsidR="009D47ED" w:rsidRPr="00B16E80" w:rsidRDefault="009D47ED" w:rsidP="009D47ED">
      <w:pPr>
        <w:widowControl w:val="0"/>
        <w:autoSpaceDE w:val="0"/>
        <w:autoSpaceDN w:val="0"/>
        <w:spacing w:after="0" w:line="276" w:lineRule="auto"/>
        <w:jc w:val="both"/>
        <w:rPr>
          <w:rFonts w:ascii="Verdana" w:eastAsia="Calibri" w:hAnsi="Verdana" w:cs="Times New Roman"/>
          <w:lang w:val="es-ES"/>
        </w:rPr>
      </w:pPr>
      <w:bookmarkStart w:id="1" w:name="_Hlk113022941"/>
    </w:p>
    <w:p w14:paraId="20E13649" w14:textId="77777777" w:rsidR="009D47ED" w:rsidRPr="00B16E80" w:rsidRDefault="009D47ED" w:rsidP="009D47ED">
      <w:pPr>
        <w:spacing w:after="120" w:line="276" w:lineRule="auto"/>
        <w:jc w:val="both"/>
        <w:rPr>
          <w:rFonts w:ascii="Verdana" w:eastAsia="Aptos" w:hAnsi="Verdana" w:cs="Arial"/>
          <w:kern w:val="2"/>
          <w14:ligatures w14:val="standardContextual"/>
        </w:rPr>
      </w:pPr>
      <w:r w:rsidRPr="00B16E80">
        <w:rPr>
          <w:rFonts w:ascii="Verdana" w:eastAsia="Aptos" w:hAnsi="Verdana" w:cs="Arial"/>
          <w:kern w:val="2"/>
          <w14:ligatures w14:val="standardContextual"/>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7AEC4C1B" w14:textId="77777777" w:rsidR="009D47ED" w:rsidRPr="00B16E80" w:rsidRDefault="009D47ED" w:rsidP="009D47ED">
      <w:pPr>
        <w:spacing w:after="120" w:line="276" w:lineRule="auto"/>
        <w:ind w:firstLine="708"/>
        <w:jc w:val="both"/>
        <w:rPr>
          <w:rFonts w:ascii="Verdana" w:eastAsia="Aptos" w:hAnsi="Verdana" w:cs="Arial"/>
          <w:kern w:val="2"/>
          <w14:ligatures w14:val="standardContextual"/>
        </w:rPr>
      </w:pPr>
      <w:r w:rsidRPr="00B16E80">
        <w:rPr>
          <w:rFonts w:ascii="Verdana" w:eastAsia="Aptos" w:hAnsi="Verdana" w:cs="Arial"/>
          <w:kern w:val="2"/>
          <w:lang w:val="es-ES"/>
          <w14:ligatures w14:val="standardContextual"/>
        </w:rPr>
        <w:t>Con sustento en esta competencia, esta Agencia expidió diversos grupos de documentos tipo aplicables principalmente a la contratación de obras públicas de infraestructura de transporte, agua potable,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5630B3D9" w14:textId="77777777" w:rsidR="009D47ED" w:rsidRPr="00B16E80" w:rsidRDefault="009D47ED" w:rsidP="009D47ED">
      <w:pPr>
        <w:spacing w:after="120" w:line="276" w:lineRule="auto"/>
        <w:ind w:firstLine="708"/>
        <w:jc w:val="both"/>
        <w:rPr>
          <w:rFonts w:ascii="Verdana" w:eastAsia="Aptos" w:hAnsi="Verdana" w:cs="Arial"/>
          <w:kern w:val="2"/>
          <w14:ligatures w14:val="standardContextual"/>
        </w:rPr>
      </w:pPr>
      <w:r w:rsidRPr="00B16E80">
        <w:rPr>
          <w:rFonts w:ascii="Verdana" w:eastAsia="Aptos" w:hAnsi="Verdana" w:cs="Arial"/>
          <w:kern w:val="2"/>
          <w14:ligatures w14:val="standardContextual"/>
        </w:rPr>
        <w:t xml:space="preserve">En relación con su solicitud, debe indicarse que, </w:t>
      </w:r>
      <w:r w:rsidRPr="00B16E80">
        <w:rPr>
          <w:rFonts w:ascii="Verdana" w:eastAsia="Calibri" w:hAnsi="Verdana" w:cs="Arial"/>
          <w:kern w:val="2"/>
          <w:lang w:val="es-MX"/>
          <w14:ligatures w14:val="standardContextual"/>
        </w:rPr>
        <w:t xml:space="preserve">la Agencia Nacional de Contratación Pública – Colombia Compra </w:t>
      </w:r>
      <w:r w:rsidRPr="00B16E80">
        <w:rPr>
          <w:rFonts w:ascii="Verdana" w:eastAsia="Calibri" w:hAnsi="Verdana" w:cs="Arial"/>
          <w:kern w:val="2"/>
          <w14:ligatures w14:val="standardContextual"/>
        </w:rPr>
        <w:t xml:space="preserve">Eficiente expidió la Resolución 219 </w:t>
      </w:r>
      <w:r w:rsidRPr="00B16E80">
        <w:rPr>
          <w:rFonts w:ascii="Verdana" w:eastAsia="Calibri" w:hAnsi="Verdana" w:cs="Arial"/>
          <w:bCs/>
          <w:kern w:val="2"/>
          <w14:ligatures w14:val="standardContextual"/>
        </w:rPr>
        <w:t xml:space="preserve">del 6 de agosto </w:t>
      </w:r>
      <w:r w:rsidRPr="00B16E80">
        <w:rPr>
          <w:rFonts w:ascii="Verdana" w:eastAsia="Calibri" w:hAnsi="Verdana" w:cs="Arial"/>
          <w:kern w:val="2"/>
          <w14:ligatures w14:val="standardContextual"/>
        </w:rPr>
        <w:t xml:space="preserve">de 2021, </w:t>
      </w:r>
      <w:r w:rsidRPr="00B16E80">
        <w:rPr>
          <w:rFonts w:ascii="Verdana" w:eastAsia="Calibri" w:hAnsi="Verdana" w:cs="Arial"/>
          <w:i/>
          <w:iCs/>
          <w:kern w:val="2"/>
          <w14:ligatures w14:val="standardContextual"/>
        </w:rPr>
        <w:t xml:space="preserve">“Por la cual se adoptan los documentos tipo para los procesos de licitación de obra pública de infraestructura social”. </w:t>
      </w:r>
      <w:r w:rsidRPr="00B16E80">
        <w:rPr>
          <w:rFonts w:ascii="Verdana" w:eastAsia="Calibri" w:hAnsi="Verdana" w:cs="Arial"/>
          <w:kern w:val="2"/>
          <w14:ligatures w14:val="standardContextual"/>
        </w:rPr>
        <w:t xml:space="preserve">Mediante esa Resolución, </w:t>
      </w:r>
      <w:r w:rsidRPr="00B16E80">
        <w:rPr>
          <w:rFonts w:ascii="Verdana" w:eastAsia="Calibri" w:hAnsi="Verdana" w:cs="Arial"/>
          <w:bCs/>
          <w:kern w:val="2"/>
          <w14:ligatures w14:val="standardContextual"/>
        </w:rPr>
        <w:t xml:space="preserve">se adoptaron los documentos tipo que aplican </w:t>
      </w:r>
      <w:r w:rsidRPr="00B16E80">
        <w:rPr>
          <w:rFonts w:ascii="Verdana" w:eastAsia="Calibri" w:hAnsi="Verdana" w:cs="Arial"/>
          <w:kern w:val="2"/>
          <w14:ligatures w14:val="standardContextual"/>
        </w:rPr>
        <w:t>de forma transversal a los proyectos de infraestructura social en los sectores educativo, salud, cultura, recreación y deporte. Estos documentos son el documento base, los anexos, los formatos, los formularios y las matrices, los cuales se complementarán con cada una de las resoluciones que adoptan las matrices de experiencia y los anexos de glosario para cada uno de los sectores, definiendo así su alcance y vigencia.</w:t>
      </w:r>
    </w:p>
    <w:p w14:paraId="25707868" w14:textId="77777777" w:rsidR="009D47ED" w:rsidRPr="00B16E80" w:rsidRDefault="009D47ED" w:rsidP="009D47ED">
      <w:pPr>
        <w:spacing w:after="120" w:line="276" w:lineRule="auto"/>
        <w:ind w:firstLine="708"/>
        <w:jc w:val="both"/>
        <w:rPr>
          <w:rFonts w:ascii="Verdana" w:eastAsia="Aptos" w:hAnsi="Verdana" w:cs="Arial"/>
          <w:kern w:val="2"/>
          <w14:ligatures w14:val="standardContextual"/>
        </w:rPr>
      </w:pPr>
      <w:r w:rsidRPr="00B16E80">
        <w:rPr>
          <w:rFonts w:ascii="Verdana" w:eastAsia="Calibri" w:hAnsi="Verdana" w:cs="Arial"/>
          <w:kern w:val="2"/>
          <w14:ligatures w14:val="standardContextual"/>
        </w:rPr>
        <w:t xml:space="preserve">En consecuencia, en materia de infraestructura social debe tenerse en cuenta que existen dos (2) clases de documentos tipo que se integran en cada </w:t>
      </w:r>
      <w:r w:rsidRPr="00B16E80">
        <w:rPr>
          <w:rFonts w:ascii="Verdana" w:eastAsia="Calibri" w:hAnsi="Verdana" w:cs="Arial"/>
          <w:kern w:val="2"/>
          <w14:ligatures w14:val="standardContextual"/>
        </w:rPr>
        <w:lastRenderedPageBreak/>
        <w:t xml:space="preserve">proceso: i) los documentos </w:t>
      </w:r>
      <w:r w:rsidRPr="00B16E80">
        <w:rPr>
          <w:rFonts w:ascii="Verdana" w:eastAsia="Calibri" w:hAnsi="Verdana" w:cs="Arial"/>
          <w:i/>
          <w:kern w:val="2"/>
          <w14:ligatures w14:val="standardContextual"/>
        </w:rPr>
        <w:t>transversales</w:t>
      </w:r>
      <w:r w:rsidRPr="00B16E80">
        <w:rPr>
          <w:rFonts w:ascii="Verdana" w:eastAsia="Calibri" w:hAnsi="Verdana" w:cs="Arial"/>
          <w:kern w:val="2"/>
          <w14:ligatures w14:val="standardContextual"/>
        </w:rPr>
        <w:t xml:space="preserve"> a todos los sectores de infraestructura social, es decir, el documento base, los anexos, los formatos, los formularios y las matrices adoptados mediante la Resolución No. 219 de 2021; y </w:t>
      </w:r>
      <w:proofErr w:type="spellStart"/>
      <w:r w:rsidRPr="00B16E80">
        <w:rPr>
          <w:rFonts w:ascii="Verdana" w:eastAsia="Calibri" w:hAnsi="Verdana" w:cs="Arial"/>
          <w:kern w:val="2"/>
          <w14:ligatures w14:val="standardContextual"/>
        </w:rPr>
        <w:t>ii</w:t>
      </w:r>
      <w:proofErr w:type="spellEnd"/>
      <w:r w:rsidRPr="00B16E80">
        <w:rPr>
          <w:rFonts w:ascii="Verdana" w:eastAsia="Calibri" w:hAnsi="Verdana" w:cs="Arial"/>
          <w:kern w:val="2"/>
          <w14:ligatures w14:val="standardContextual"/>
        </w:rPr>
        <w:t xml:space="preserve">) los documentos tipo </w:t>
      </w:r>
      <w:r w:rsidRPr="00B16E80">
        <w:rPr>
          <w:rFonts w:ascii="Verdana" w:eastAsia="Calibri" w:hAnsi="Verdana" w:cs="Arial"/>
          <w:i/>
          <w:kern w:val="2"/>
          <w14:ligatures w14:val="standardContextual"/>
        </w:rPr>
        <w:t>complementarios</w:t>
      </w:r>
      <w:r w:rsidRPr="00B16E80">
        <w:rPr>
          <w:rFonts w:ascii="Verdana" w:eastAsia="Calibri" w:hAnsi="Verdana" w:cs="Arial"/>
          <w:iCs/>
          <w:kern w:val="2"/>
          <w14:ligatures w14:val="standardContextual"/>
        </w:rPr>
        <w:t>,</w:t>
      </w:r>
      <w:r w:rsidRPr="00B16E80">
        <w:rPr>
          <w:rFonts w:ascii="Verdana" w:eastAsia="Calibri" w:hAnsi="Verdana" w:cs="Arial"/>
          <w:i/>
          <w:kern w:val="2"/>
          <w14:ligatures w14:val="standardContextual"/>
        </w:rPr>
        <w:t xml:space="preserve"> </w:t>
      </w:r>
      <w:r w:rsidRPr="00B16E80">
        <w:rPr>
          <w:rFonts w:ascii="Verdana" w:eastAsia="Calibri" w:hAnsi="Verdana" w:cs="Arial"/>
          <w:kern w:val="2"/>
          <w14:ligatures w14:val="standardContextual"/>
        </w:rPr>
        <w:t xml:space="preserve">referentes a la matriz de experiencia y el glosario, los cuales han sido </w:t>
      </w:r>
      <w:r>
        <w:rPr>
          <w:rFonts w:ascii="Verdana" w:eastAsia="Calibri" w:hAnsi="Verdana" w:cs="Arial"/>
          <w:kern w:val="2"/>
          <w14:ligatures w14:val="standardContextual"/>
        </w:rPr>
        <w:t>acogidos</w:t>
      </w:r>
      <w:r w:rsidRPr="00B16E80">
        <w:rPr>
          <w:rFonts w:ascii="Verdana" w:eastAsia="Calibri" w:hAnsi="Verdana" w:cs="Arial"/>
          <w:kern w:val="2"/>
          <w14:ligatures w14:val="standardContextual"/>
        </w:rPr>
        <w:t xml:space="preserve"> en la resolución para cada sector específico. </w:t>
      </w:r>
    </w:p>
    <w:p w14:paraId="66C7E8D3" w14:textId="77777777" w:rsidR="009D47ED" w:rsidRPr="00B16E80" w:rsidRDefault="009D47ED" w:rsidP="009D47ED">
      <w:pPr>
        <w:spacing w:after="120" w:line="276" w:lineRule="auto"/>
        <w:ind w:firstLine="708"/>
        <w:jc w:val="both"/>
        <w:rPr>
          <w:rFonts w:ascii="Verdana" w:eastAsia="Aptos" w:hAnsi="Verdana" w:cs="Arial"/>
          <w:kern w:val="2"/>
          <w14:ligatures w14:val="standardContextual"/>
        </w:rPr>
      </w:pPr>
      <w:r w:rsidRPr="00B16E80">
        <w:rPr>
          <w:rFonts w:ascii="Verdana" w:eastAsia="Calibri" w:hAnsi="Verdana" w:cs="Arial"/>
          <w:kern w:val="2"/>
          <w14:ligatures w14:val="standardContextual"/>
        </w:rPr>
        <w:t xml:space="preserve">En este orden de ideas, la Agencia expidió Resolución 220 del 6 de agosto de 2021, mediante la cual, adoptó los documentos tipo complementarios para los procesos de licitación de obra pública de infraestructura social relacionados con el sector educativo. Por su parte, por medio de la Resolución 392 del 18 de noviembre de 2021, se adoptaron los documentos tipo complementarios relacionados con el sector salud. Finalmente, con la expedición de la Resolución 454 del 16 de diciembre de 2021, se acogieron los documentos tipo complementarios aplicables al sector cultura, recreación y deporte.  </w:t>
      </w:r>
      <w:r w:rsidRPr="00B16E80">
        <w:rPr>
          <w:rFonts w:ascii="Verdana" w:eastAsia="Aptos" w:hAnsi="Verdana" w:cs="Times New Roman"/>
          <w:kern w:val="2"/>
          <w14:ligatures w14:val="standardContextual"/>
        </w:rPr>
        <w:t>Estas Resolución, en el artículo 2, adoptan el "</w:t>
      </w:r>
      <w:r w:rsidRPr="00B16E80">
        <w:rPr>
          <w:rFonts w:ascii="Verdana" w:eastAsia="Aptos" w:hAnsi="Verdana" w:cs="Times New Roman"/>
          <w:i/>
          <w:iCs/>
          <w:kern w:val="2"/>
          <w14:ligatures w14:val="standardContextual"/>
        </w:rPr>
        <w:t xml:space="preserve">Anexo -Glosario" y la "Matriz – Experiencia” </w:t>
      </w:r>
      <w:r w:rsidRPr="00B16E80">
        <w:rPr>
          <w:rFonts w:ascii="Verdana" w:eastAsia="Aptos" w:hAnsi="Verdana" w:cs="Times New Roman"/>
          <w:kern w:val="2"/>
          <w14:ligatures w14:val="standardContextual"/>
        </w:rPr>
        <w:t>para proyectos de infraestructura social en cada uno de los sectores señalados</w:t>
      </w:r>
      <w:r w:rsidRPr="00B16E80">
        <w:rPr>
          <w:rFonts w:ascii="Verdana" w:eastAsia="Aptos" w:hAnsi="Verdana" w:cs="Times New Roman"/>
          <w:bCs/>
          <w:kern w:val="2"/>
          <w14:ligatures w14:val="standardContextual"/>
        </w:rPr>
        <w:t xml:space="preserve">. </w:t>
      </w:r>
      <w:r w:rsidRPr="00B16E80">
        <w:rPr>
          <w:rFonts w:ascii="Verdana" w:eastAsia="Aptos" w:hAnsi="Verdana" w:cs="Times New Roman"/>
          <w:kern w:val="2"/>
          <w14:ligatures w14:val="standardContextual"/>
        </w:rPr>
        <w:t xml:space="preserve">Estos dos (2) documentos definen el alcance para cada sector específicamente. </w:t>
      </w:r>
    </w:p>
    <w:p w14:paraId="1E3BC597" w14:textId="77777777" w:rsidR="009D47ED" w:rsidRPr="00B16E80" w:rsidRDefault="009D47ED" w:rsidP="009D47ED">
      <w:pPr>
        <w:widowControl w:val="0"/>
        <w:autoSpaceDE w:val="0"/>
        <w:autoSpaceDN w:val="0"/>
        <w:spacing w:after="120" w:line="276" w:lineRule="auto"/>
        <w:ind w:firstLine="708"/>
        <w:jc w:val="both"/>
        <w:rPr>
          <w:rFonts w:ascii="Verdana" w:eastAsia="Calibri" w:hAnsi="Verdana" w:cs="Times New Roman"/>
          <w:lang w:val="es-ES"/>
        </w:rPr>
      </w:pPr>
      <w:r w:rsidRPr="00B16E80">
        <w:rPr>
          <w:rFonts w:ascii="Verdana" w:eastAsia="Calibri" w:hAnsi="Verdana" w:cs="Times New Roman"/>
          <w:lang w:val="es-ES"/>
        </w:rPr>
        <w:t xml:space="preserve">Es importante resaltar que, en virtud de la regla de inalterabilidad, los documentos tipo solo pueden ser modificados en los aspectos en que estos lo permitan. Esto corresponde a aquellos aspectos que se encuentran entre corchetes y resaltados en gris </w:t>
      </w:r>
      <w:r w:rsidRPr="00B16E80">
        <w:rPr>
          <w:rFonts w:ascii="Verdana" w:eastAsia="Calibri" w:hAnsi="Verdana" w:cs="Times New Roman"/>
          <w:shd w:val="clear" w:color="auto" w:fill="E8E8E8"/>
          <w:lang w:val="es-ES"/>
        </w:rPr>
        <w:t>–[texto]–,</w:t>
      </w:r>
      <w:r w:rsidRPr="00B16E80">
        <w:rPr>
          <w:rFonts w:ascii="Verdana" w:eastAsia="Calibri" w:hAnsi="Verdana" w:cs="Times New Roman"/>
          <w:lang w:val="es-ES"/>
        </w:rPr>
        <w:t xml:space="preserve"> para lo cual deberán observarse las instrucciones contenidas en los mismos para su diligenciamiento.</w:t>
      </w:r>
    </w:p>
    <w:p w14:paraId="7617EAA6" w14:textId="77777777" w:rsidR="009D47ED" w:rsidRPr="00B16E80" w:rsidRDefault="009D47ED" w:rsidP="009D47ED">
      <w:pPr>
        <w:widowControl w:val="0"/>
        <w:autoSpaceDE w:val="0"/>
        <w:autoSpaceDN w:val="0"/>
        <w:spacing w:after="120" w:line="276" w:lineRule="auto"/>
        <w:ind w:firstLine="708"/>
        <w:jc w:val="both"/>
        <w:rPr>
          <w:rFonts w:ascii="Verdana" w:eastAsia="Calibri" w:hAnsi="Verdana" w:cs="Times New Roman"/>
          <w:lang w:val="es-ES"/>
        </w:rPr>
      </w:pPr>
      <w:r w:rsidRPr="00B16E80">
        <w:rPr>
          <w:rFonts w:ascii="Verdana" w:eastAsia="Calibri" w:hAnsi="Verdana" w:cs="Times New Roman"/>
          <w:lang w:val="es-ES"/>
        </w:rPr>
        <w:t xml:space="preserve">Por lo tanto, la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0E91D65F" w14:textId="77777777" w:rsidR="009D47ED" w:rsidRPr="00B16E80" w:rsidRDefault="009D47ED" w:rsidP="009D47ED">
      <w:pPr>
        <w:widowControl w:val="0"/>
        <w:autoSpaceDE w:val="0"/>
        <w:autoSpaceDN w:val="0"/>
        <w:spacing w:after="120" w:line="276" w:lineRule="auto"/>
        <w:ind w:firstLine="708"/>
        <w:jc w:val="both"/>
        <w:rPr>
          <w:rFonts w:ascii="Verdana" w:eastAsia="Calibri" w:hAnsi="Verdana" w:cs="Times New Roman"/>
          <w:lang w:val="es-ES"/>
        </w:rPr>
      </w:pPr>
      <w:r w:rsidRPr="00B16E80">
        <w:rPr>
          <w:rFonts w:ascii="Verdana" w:eastAsia="Calibri" w:hAnsi="Verdana" w:cs="Times New Roman"/>
          <w:lang w:val="es-ES"/>
        </w:rPr>
        <w:t xml:space="preserve">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w:t>
      </w:r>
      <w:r w:rsidRPr="00B16E80">
        <w:rPr>
          <w:rFonts w:ascii="Verdana" w:eastAsia="Calibri" w:hAnsi="Verdana" w:cs="Times New Roman"/>
          <w:lang w:val="es-ES"/>
        </w:rPr>
        <w:lastRenderedPageBreak/>
        <w:t>Agencia mediante las cuales se adoptan documentos tipo.</w:t>
      </w:r>
    </w:p>
    <w:p w14:paraId="0BD9BBED" w14:textId="77777777" w:rsidR="009D47ED" w:rsidRPr="00B16E80" w:rsidRDefault="009D47ED" w:rsidP="009D47ED">
      <w:pPr>
        <w:widowControl w:val="0"/>
        <w:autoSpaceDE w:val="0"/>
        <w:autoSpaceDN w:val="0"/>
        <w:spacing w:after="120" w:line="276" w:lineRule="auto"/>
        <w:ind w:firstLine="708"/>
        <w:jc w:val="both"/>
        <w:rPr>
          <w:rFonts w:ascii="Verdana" w:eastAsia="Calibri" w:hAnsi="Verdana" w:cs="Times New Roman"/>
          <w:lang w:val="es-ES"/>
        </w:rPr>
      </w:pPr>
      <w:r w:rsidRPr="00B16E80">
        <w:rPr>
          <w:rFonts w:ascii="Verdana" w:eastAsia="Calibri" w:hAnsi="Verdana" w:cs="Times New Roman"/>
          <w:lang w:val="es-ES"/>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3B0B3C87" w14:textId="77777777" w:rsidR="009D47ED" w:rsidRPr="00B16E80" w:rsidRDefault="009D47ED" w:rsidP="009D47ED">
      <w:pPr>
        <w:widowControl w:val="0"/>
        <w:autoSpaceDE w:val="0"/>
        <w:autoSpaceDN w:val="0"/>
        <w:spacing w:after="120" w:line="276" w:lineRule="auto"/>
        <w:ind w:firstLine="708"/>
        <w:jc w:val="both"/>
        <w:rPr>
          <w:rFonts w:ascii="Verdana" w:eastAsia="Calibri" w:hAnsi="Verdana" w:cs="Times New Roman"/>
          <w:lang w:val="es-ES"/>
        </w:rPr>
      </w:pPr>
      <w:r w:rsidRPr="00B16E80">
        <w:rPr>
          <w:rFonts w:ascii="Verdana" w:eastAsia="Calibri" w:hAnsi="Verdana" w:cs="Times New Roman"/>
          <w:lang w:val="es-ES"/>
        </w:rPr>
        <w:t>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391DE12F" w14:textId="77777777" w:rsidR="009D47ED" w:rsidRPr="00B16E80" w:rsidRDefault="009D47ED" w:rsidP="009D47ED">
      <w:pPr>
        <w:widowControl w:val="0"/>
        <w:autoSpaceDE w:val="0"/>
        <w:autoSpaceDN w:val="0"/>
        <w:spacing w:after="120" w:line="276" w:lineRule="auto"/>
        <w:ind w:firstLine="708"/>
        <w:jc w:val="both"/>
        <w:rPr>
          <w:rFonts w:ascii="Verdana" w:eastAsia="Calibri" w:hAnsi="Verdana" w:cs="Times New Roman"/>
          <w:lang w:val="es-ES"/>
        </w:rPr>
      </w:pPr>
      <w:r w:rsidRPr="00B16E80">
        <w:rPr>
          <w:rFonts w:ascii="Verdana" w:eastAsia="Calibri" w:hAnsi="Verdana" w:cs="Times New Roman"/>
          <w:lang w:val="es-ES"/>
        </w:rPr>
        <w:t>De esta manera, para saber a qué actividades deben aplicarse los documentos tipo de licitación de obra pública de infraestructura social expedidos por esta Agencia,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estos documentos tipo para los mencionados sectores −según corresponda−, mientras que en el caso contrario no será forzosa su aplicación.</w:t>
      </w:r>
    </w:p>
    <w:p w14:paraId="4A548F41" w14:textId="77777777" w:rsidR="009D47ED" w:rsidRDefault="009D47ED" w:rsidP="009D47ED">
      <w:pPr>
        <w:autoSpaceDE w:val="0"/>
        <w:autoSpaceDN w:val="0"/>
        <w:adjustRightInd w:val="0"/>
        <w:spacing w:after="120" w:line="276" w:lineRule="auto"/>
        <w:ind w:firstLine="708"/>
        <w:jc w:val="both"/>
        <w:rPr>
          <w:rFonts w:ascii="Verdana" w:eastAsia="Calibri" w:hAnsi="Verdana" w:cs="Times New Roman"/>
        </w:rPr>
      </w:pPr>
      <w:r w:rsidRPr="00D87145">
        <w:rPr>
          <w:rFonts w:ascii="Verdana" w:eastAsia="Calibri" w:hAnsi="Verdana" w:cs="Times New Roman"/>
          <w:lang w:val="es-ES"/>
        </w:rPr>
        <w:t xml:space="preserve">Teniendo en cuenta que usted indaga sí un proceso de selección que tiene por objeto “(…) la construcción, adecuación o mejoramiento de salones comunales (…)”, debe realizarse bajo los documentos tipo adoptados por la Agencia Nacional de Contratación Pública – Colombia Compra Eficiente. Para efectos de resolver el problema jurídico planteado en este concepto, debe indicarse que, esta Agencia mediante el radicado No. P20220301002020 del 1 de marzo de 2022, que se respondió mediante el radicado de salida No. RS20220315002841 del 15 de marzo de 2022, en relación con la pregunta </w:t>
      </w:r>
      <w:r w:rsidRPr="00D87145">
        <w:rPr>
          <w:rFonts w:ascii="Verdana" w:hAnsi="Verdana" w:cs="Arial"/>
          <w:i/>
          <w:iCs/>
        </w:rPr>
        <w:t>“(…) [e]n qué sector de la matriz se encuentra relacionada o inmiscuida la construcción de un salón comunal?”,</w:t>
      </w:r>
      <w:r w:rsidRPr="00D87145">
        <w:rPr>
          <w:rFonts w:ascii="Verdana" w:hAnsi="Verdana" w:cs="Arial"/>
        </w:rPr>
        <w:t xml:space="preserve"> </w:t>
      </w:r>
      <w:r w:rsidRPr="00D87145">
        <w:rPr>
          <w:rFonts w:ascii="Verdana" w:eastAsia="Calibri" w:hAnsi="Verdana" w:cs="Times New Roman"/>
          <w:lang w:val="es-ES"/>
        </w:rPr>
        <w:t xml:space="preserve">determinó que </w:t>
      </w:r>
      <w:r w:rsidRPr="00D87145">
        <w:rPr>
          <w:rFonts w:ascii="Verdana" w:eastAsia="Calibri" w:hAnsi="Verdana" w:cs="Times New Roman"/>
          <w:i/>
          <w:iCs/>
          <w:lang w:val="es-ES"/>
        </w:rPr>
        <w:t xml:space="preserve">“(…) </w:t>
      </w:r>
      <w:r w:rsidRPr="00D87145">
        <w:rPr>
          <w:rFonts w:ascii="Verdana" w:eastAsia="Calibri" w:hAnsi="Verdana" w:cs="Times New Roman"/>
          <w:i/>
          <w:iCs/>
        </w:rPr>
        <w:t xml:space="preserve">las obras de </w:t>
      </w:r>
      <w:r w:rsidRPr="00D87145">
        <w:rPr>
          <w:rFonts w:ascii="Verdana" w:eastAsia="Calibri" w:hAnsi="Verdana" w:cs="Times New Roman"/>
          <w:i/>
          <w:iCs/>
        </w:rPr>
        <w:lastRenderedPageBreak/>
        <w:t xml:space="preserve">construcciones de salones comunales deben adelantarse utilizando los documentos tipo de licitación de obra pública de infraestructura social -sector cultura, recreación y de deporte”. </w:t>
      </w:r>
      <w:r w:rsidRPr="00D87145">
        <w:rPr>
          <w:rFonts w:ascii="Verdana" w:eastAsia="Calibri" w:hAnsi="Verdana" w:cs="Times New Roman"/>
        </w:rPr>
        <w:t>En este sentido, a continuación, se reiteran las consideraciones señalas en el radicado indicado, y además se agregan unas consideraciones adicionales, para responder al problema jurídico planteado en este concepto.</w:t>
      </w:r>
      <w:r>
        <w:rPr>
          <w:rFonts w:ascii="Verdana" w:eastAsia="Calibri" w:hAnsi="Verdana" w:cs="Times New Roman"/>
        </w:rPr>
        <w:t xml:space="preserve"> </w:t>
      </w:r>
    </w:p>
    <w:p w14:paraId="29089FE2" w14:textId="77777777" w:rsidR="009D47ED" w:rsidRPr="008C3DFA" w:rsidRDefault="009D47ED" w:rsidP="009D47ED">
      <w:pPr>
        <w:spacing w:after="120" w:line="276" w:lineRule="auto"/>
        <w:ind w:firstLine="708"/>
        <w:jc w:val="both"/>
        <w:rPr>
          <w:rFonts w:ascii="Verdana" w:eastAsia="Calibri" w:hAnsi="Verdana" w:cs="Arial"/>
          <w:lang w:val="es-ES_tradnl"/>
        </w:rPr>
      </w:pPr>
      <w:r w:rsidRPr="008C3DFA">
        <w:rPr>
          <w:rFonts w:ascii="Verdana" w:eastAsia="Calibri" w:hAnsi="Verdana" w:cs="Arial"/>
          <w:color w:val="0D0D0D"/>
          <w:lang w:val="es-MX"/>
        </w:rPr>
        <w:t>Frente a su inquietud particular, conviene precisar que los objetos contractuales relacionados con la construcción</w:t>
      </w:r>
      <w:r>
        <w:rPr>
          <w:rFonts w:ascii="Verdana" w:eastAsia="Calibri" w:hAnsi="Verdana" w:cs="Arial"/>
          <w:color w:val="0D0D0D"/>
          <w:lang w:val="es-MX"/>
        </w:rPr>
        <w:t xml:space="preserve">, adecuación o mejoramiento </w:t>
      </w:r>
      <w:r w:rsidRPr="008C3DFA">
        <w:rPr>
          <w:rFonts w:ascii="Verdana" w:eastAsia="Calibri" w:hAnsi="Verdana" w:cs="Arial"/>
          <w:color w:val="0D0D0D"/>
          <w:lang w:val="es-MX"/>
        </w:rPr>
        <w:t xml:space="preserve">de un salón comunal no están expresamente en las actividades a contratar de la </w:t>
      </w:r>
      <w:r>
        <w:rPr>
          <w:rFonts w:ascii="Verdana" w:eastAsia="Calibri" w:hAnsi="Verdana" w:cs="Arial"/>
          <w:color w:val="0D0D0D"/>
          <w:lang w:val="es-MX"/>
        </w:rPr>
        <w:t>“</w:t>
      </w:r>
      <w:r w:rsidRPr="008C3DFA">
        <w:rPr>
          <w:rFonts w:ascii="Verdana" w:eastAsia="Calibri" w:hAnsi="Verdana" w:cs="Arial"/>
          <w:color w:val="0D0D0D"/>
          <w:lang w:val="es-MX"/>
        </w:rPr>
        <w:t>Matriz – Experiencia</w:t>
      </w:r>
      <w:r>
        <w:rPr>
          <w:rFonts w:ascii="Verdana" w:eastAsia="Calibri" w:hAnsi="Verdana" w:cs="Arial"/>
          <w:color w:val="0D0D0D"/>
          <w:lang w:val="es-MX"/>
        </w:rPr>
        <w:t>”</w:t>
      </w:r>
      <w:r w:rsidRPr="008C3DFA">
        <w:rPr>
          <w:rFonts w:ascii="Verdana" w:eastAsia="Calibri" w:hAnsi="Verdana" w:cs="Arial"/>
          <w:color w:val="0D0D0D"/>
          <w:lang w:val="es-MX"/>
        </w:rPr>
        <w:t xml:space="preserve"> de estos documentos tipo</w:t>
      </w:r>
      <w:r>
        <w:rPr>
          <w:rFonts w:ascii="Verdana" w:eastAsia="Calibri" w:hAnsi="Verdana" w:cs="Arial"/>
          <w:color w:val="0D0D0D"/>
          <w:lang w:val="es-MX"/>
        </w:rPr>
        <w:t xml:space="preserve"> de cultura, recreación y deporte expedidos por la Agencia Nacional de Contratación Pública – Colombia Compra Eficiente</w:t>
      </w:r>
      <w:r w:rsidRPr="008C3DFA">
        <w:rPr>
          <w:rFonts w:ascii="Verdana" w:eastAsia="Calibri" w:hAnsi="Verdana" w:cs="Arial"/>
          <w:color w:val="0D0D0D"/>
          <w:lang w:val="es-MX"/>
        </w:rPr>
        <w:t xml:space="preserve">.  Sin embargo, </w:t>
      </w:r>
      <w:r w:rsidRPr="008C3DFA">
        <w:rPr>
          <w:rFonts w:ascii="Verdana" w:eastAsia="Calibri" w:hAnsi="Verdana" w:cs="Arial"/>
          <w:lang w:val="es-ES_tradnl"/>
        </w:rPr>
        <w:t xml:space="preserve">para interpretar el alcance y aplicación de la </w:t>
      </w:r>
      <w:r>
        <w:rPr>
          <w:rFonts w:ascii="Verdana" w:eastAsia="Calibri" w:hAnsi="Verdana" w:cs="Arial"/>
          <w:lang w:val="es-ES_tradnl"/>
        </w:rPr>
        <w:t>“</w:t>
      </w:r>
      <w:r w:rsidRPr="008C3DFA">
        <w:rPr>
          <w:rFonts w:ascii="Verdana" w:eastAsia="Calibri" w:hAnsi="Verdana" w:cs="Arial"/>
          <w:lang w:val="es-ES_tradnl"/>
        </w:rPr>
        <w:t>Matriz de experiencia</w:t>
      </w:r>
      <w:r>
        <w:rPr>
          <w:rFonts w:ascii="Verdana" w:eastAsia="Calibri" w:hAnsi="Verdana" w:cs="Arial"/>
          <w:lang w:val="es-ES_tradnl"/>
        </w:rPr>
        <w:t>”</w:t>
      </w:r>
      <w:r w:rsidRPr="008C3DFA">
        <w:rPr>
          <w:rFonts w:ascii="Verdana" w:eastAsia="Calibri" w:hAnsi="Verdana" w:cs="Arial"/>
          <w:lang w:val="es-ES_tradnl"/>
        </w:rPr>
        <w:t xml:space="preserve"> es necesario tener en cuenta las definiciones del </w:t>
      </w:r>
      <w:r>
        <w:rPr>
          <w:rFonts w:ascii="Verdana" w:eastAsia="Calibri" w:hAnsi="Verdana" w:cs="Arial"/>
          <w:lang w:val="es-ES_tradnl"/>
        </w:rPr>
        <w:t>“</w:t>
      </w:r>
      <w:r w:rsidRPr="008C3DFA">
        <w:rPr>
          <w:rFonts w:ascii="Verdana" w:eastAsia="Calibri" w:hAnsi="Verdana" w:cs="Arial"/>
          <w:lang w:val="es-ES_tradnl"/>
        </w:rPr>
        <w:t>Anexo – Glosario</w:t>
      </w:r>
      <w:r>
        <w:rPr>
          <w:rFonts w:ascii="Verdana" w:eastAsia="Calibri" w:hAnsi="Verdana" w:cs="Arial"/>
          <w:lang w:val="es-ES_tradnl"/>
        </w:rPr>
        <w:t>”</w:t>
      </w:r>
      <w:r w:rsidRPr="008C3DFA">
        <w:rPr>
          <w:rFonts w:ascii="Verdana" w:eastAsia="Calibri" w:hAnsi="Verdana" w:cs="Arial"/>
          <w:lang w:val="es-ES_tradnl"/>
        </w:rPr>
        <w:t xml:space="preserve"> del sector</w:t>
      </w:r>
      <w:r>
        <w:rPr>
          <w:rFonts w:ascii="Verdana" w:eastAsia="Calibri" w:hAnsi="Verdana" w:cs="Arial"/>
          <w:lang w:val="es-ES_tradnl"/>
        </w:rPr>
        <w:t xml:space="preserve"> señalado</w:t>
      </w:r>
      <w:r w:rsidRPr="008C3DFA">
        <w:rPr>
          <w:rFonts w:ascii="Verdana" w:eastAsia="Calibri" w:hAnsi="Verdana" w:cs="Arial"/>
          <w:lang w:val="es-ES_tradnl"/>
        </w:rPr>
        <w:t xml:space="preserve">. Lo anterior, en razón a que el numeral 1.10 del documento base dispone que </w:t>
      </w:r>
      <w:r>
        <w:rPr>
          <w:rFonts w:ascii="Verdana" w:eastAsia="Calibri" w:hAnsi="Verdana" w:cs="Arial"/>
          <w:lang w:val="es-ES_tradnl"/>
        </w:rPr>
        <w:t>“</w:t>
      </w:r>
      <w:r w:rsidRPr="008C3DFA">
        <w:rPr>
          <w:rFonts w:ascii="Verdana" w:hAnsi="Verdana" w:cs="Arial"/>
          <w:lang w:val="es-MX"/>
        </w:rPr>
        <w:t>[p]ara los fines de este Pliego de Condiciones, a menos que expresamente se estipule de otra manera, los términos deben entenderse de acuerdo con la definición contenida en el artículo 2.2.1.1.1.3.1 del Decreto 1082 de 2015, el glosario aplicable a la obra pública de infraestructura social y demás normas, decretos reglamentarios y legislación aplicable en la materia</w:t>
      </w:r>
      <w:r>
        <w:rPr>
          <w:rFonts w:ascii="Verdana" w:eastAsia="Calibri" w:hAnsi="Verdana" w:cs="Arial"/>
          <w:lang w:val="es-ES_tradnl"/>
        </w:rPr>
        <w:t>”</w:t>
      </w:r>
      <w:r w:rsidRPr="008C3DFA">
        <w:rPr>
          <w:rFonts w:ascii="Verdana" w:eastAsia="Calibri" w:hAnsi="Verdana" w:cs="Arial"/>
          <w:lang w:val="es-ES_tradnl"/>
        </w:rPr>
        <w:t xml:space="preserve">. </w:t>
      </w:r>
    </w:p>
    <w:p w14:paraId="4AEA70D3" w14:textId="77777777" w:rsidR="009D47ED" w:rsidRDefault="009D47ED" w:rsidP="009D47ED">
      <w:pPr>
        <w:spacing w:after="0" w:line="276" w:lineRule="auto"/>
        <w:ind w:firstLine="708"/>
        <w:jc w:val="both"/>
        <w:rPr>
          <w:rFonts w:ascii="Verdana" w:eastAsia="Arial" w:hAnsi="Verdana" w:cs="Arial"/>
        </w:rPr>
      </w:pPr>
      <w:r w:rsidRPr="00DF1DF9">
        <w:rPr>
          <w:rFonts w:ascii="Verdana" w:eastAsia="Calibri" w:hAnsi="Verdana" w:cs="Arial"/>
          <w:lang w:val="es-ES_tradnl"/>
        </w:rPr>
        <w:t xml:space="preserve">Para estos efectos, es </w:t>
      </w:r>
      <w:r w:rsidRPr="00FA1948">
        <w:rPr>
          <w:rFonts w:ascii="Verdana" w:eastAsia="Calibri" w:hAnsi="Verdana" w:cs="Arial"/>
        </w:rPr>
        <w:t xml:space="preserve">pertinente mencionar que </w:t>
      </w:r>
      <w:r w:rsidRPr="00FA1948">
        <w:rPr>
          <w:rFonts w:ascii="Verdana" w:eastAsia="Arial" w:hAnsi="Verdana" w:cs="Arial"/>
        </w:rPr>
        <w:t xml:space="preserve">el término </w:t>
      </w:r>
      <w:r w:rsidRPr="00DF1DF9">
        <w:rPr>
          <w:rFonts w:ascii="Verdana" w:eastAsia="Arial" w:hAnsi="Verdana" w:cs="Arial"/>
          <w:i/>
          <w:iCs/>
        </w:rPr>
        <w:t>“</w:t>
      </w:r>
      <w:r w:rsidRPr="00FA1948">
        <w:rPr>
          <w:rFonts w:ascii="Verdana" w:eastAsia="Arial" w:hAnsi="Verdana" w:cs="Arial"/>
          <w:i/>
          <w:iCs/>
        </w:rPr>
        <w:t>Infraestructura Cultural</w:t>
      </w:r>
      <w:r w:rsidRPr="00DF1DF9">
        <w:rPr>
          <w:rFonts w:ascii="Verdana" w:eastAsia="Arial" w:hAnsi="Verdana" w:cs="Arial"/>
          <w:i/>
          <w:iCs/>
        </w:rPr>
        <w:t>”</w:t>
      </w:r>
      <w:r w:rsidRPr="00FA1948">
        <w:rPr>
          <w:rFonts w:ascii="Verdana" w:eastAsia="Arial" w:hAnsi="Verdana" w:cs="Arial"/>
        </w:rPr>
        <w:t xml:space="preserve"> lo define el numeral 2.60 del </w:t>
      </w:r>
      <w:r w:rsidRPr="00DF1DF9">
        <w:rPr>
          <w:rFonts w:ascii="Verdana" w:eastAsia="Arial" w:hAnsi="Verdana" w:cs="Arial"/>
        </w:rPr>
        <w:t>“</w:t>
      </w:r>
      <w:r w:rsidRPr="00FA1948">
        <w:rPr>
          <w:rFonts w:ascii="Verdana" w:eastAsia="Arial" w:hAnsi="Verdana" w:cs="Arial"/>
        </w:rPr>
        <w:t xml:space="preserve">Anexo </w:t>
      </w:r>
      <w:r w:rsidRPr="00DF1DF9">
        <w:rPr>
          <w:rFonts w:ascii="Verdana" w:eastAsia="Arial" w:hAnsi="Verdana" w:cs="Arial"/>
        </w:rPr>
        <w:t>–</w:t>
      </w:r>
      <w:r w:rsidRPr="00FA1948">
        <w:rPr>
          <w:rFonts w:ascii="Verdana" w:eastAsia="Arial" w:hAnsi="Verdana" w:cs="Arial"/>
        </w:rPr>
        <w:t xml:space="preserve"> Glosario</w:t>
      </w:r>
      <w:r w:rsidRPr="00DF1DF9">
        <w:rPr>
          <w:rFonts w:ascii="Verdana" w:eastAsia="Arial" w:hAnsi="Verdana" w:cs="Arial"/>
        </w:rPr>
        <w:t>”</w:t>
      </w:r>
      <w:r w:rsidRPr="00FA1948">
        <w:rPr>
          <w:rFonts w:ascii="Verdana" w:eastAsia="Arial" w:hAnsi="Verdana" w:cs="Arial"/>
        </w:rPr>
        <w:t xml:space="preserve"> del sector cultura, recreación y deporte. Al respecto, establece que en esta infraestructura tienen lugar las diversas prácticas y manifestaciones artísticas y culturales de las comunidades y a modo enunciativo señala algunas de ellas. Así lo define en los siguientes términos:</w:t>
      </w:r>
    </w:p>
    <w:p w14:paraId="1EF732AF" w14:textId="77777777" w:rsidR="009D47ED" w:rsidRPr="00FA1948" w:rsidRDefault="009D47ED" w:rsidP="009D47ED">
      <w:pPr>
        <w:spacing w:after="0" w:line="276" w:lineRule="auto"/>
        <w:ind w:firstLine="708"/>
        <w:jc w:val="both"/>
        <w:rPr>
          <w:rFonts w:ascii="Verdana" w:eastAsia="Arial" w:hAnsi="Verdana" w:cs="Arial"/>
        </w:rPr>
      </w:pPr>
    </w:p>
    <w:p w14:paraId="0C6029DC" w14:textId="77777777" w:rsidR="009D47ED" w:rsidRDefault="009D47ED" w:rsidP="009D47ED">
      <w:pPr>
        <w:spacing w:after="0" w:line="240" w:lineRule="auto"/>
        <w:ind w:left="709" w:right="709"/>
        <w:jc w:val="both"/>
        <w:rPr>
          <w:rFonts w:ascii="Verdana" w:eastAsia="Arial" w:hAnsi="Verdana" w:cs="Arial"/>
        </w:rPr>
      </w:pPr>
      <w:r>
        <w:rPr>
          <w:rFonts w:ascii="Verdana" w:eastAsia="Arial" w:hAnsi="Verdana" w:cs="Arial"/>
        </w:rPr>
        <w:t>“</w:t>
      </w:r>
      <w:r w:rsidRPr="00FA1948">
        <w:rPr>
          <w:rFonts w:ascii="Verdana" w:eastAsia="Arial" w:hAnsi="Verdana" w:cs="Arial"/>
          <w:b/>
          <w:bCs/>
        </w:rPr>
        <w:t>2.60. Infraestructura cultural</w:t>
      </w:r>
      <w:r w:rsidRPr="00FA1948">
        <w:rPr>
          <w:rFonts w:ascii="Verdana" w:eastAsia="Arial" w:hAnsi="Verdana" w:cs="Arial"/>
        </w:rPr>
        <w:t xml:space="preserve"> Todos aquellos espacios físicos donde tienen lugar las diversas prácticas y manifestaciones artísticas y culturales de las comunidades, como casas de cultura, salas de música, escuelas de música, escuelas de baile, salones de baile, bibliotecas, teatros, auditorios, centros de convenciones, escuelas de artes y oficios, talleres de artes y oficios, museos, fonotecas, fototecas, salas de conciertos, archivos, plazas de conciertos, conchas acústicas, coliseos de uso múltiple, aulas múltiples, malocas, centros ceremoniales, cinematecas, catedrales, teatros, centros culturales, escuelas de formación artística, maloca, </w:t>
      </w:r>
      <w:proofErr w:type="spellStart"/>
      <w:r w:rsidRPr="00FA1948">
        <w:rPr>
          <w:rFonts w:ascii="Verdana" w:eastAsia="Arial" w:hAnsi="Verdana" w:cs="Arial"/>
        </w:rPr>
        <w:t>etc</w:t>
      </w:r>
      <w:proofErr w:type="spellEnd"/>
      <w:r>
        <w:rPr>
          <w:rFonts w:ascii="Verdana" w:eastAsia="Arial" w:hAnsi="Verdana" w:cs="Arial"/>
        </w:rPr>
        <w:t>”</w:t>
      </w:r>
      <w:r w:rsidRPr="00FA1948">
        <w:rPr>
          <w:rFonts w:ascii="Verdana" w:eastAsia="Arial" w:hAnsi="Verdana" w:cs="Arial"/>
        </w:rPr>
        <w:t xml:space="preserve">. </w:t>
      </w:r>
    </w:p>
    <w:p w14:paraId="60329EEF" w14:textId="77777777" w:rsidR="009D47ED" w:rsidRPr="00FA1948" w:rsidRDefault="009D47ED" w:rsidP="009D47ED">
      <w:pPr>
        <w:spacing w:after="0" w:line="240" w:lineRule="auto"/>
        <w:ind w:left="709" w:right="709"/>
        <w:jc w:val="both"/>
        <w:rPr>
          <w:rFonts w:ascii="Verdana" w:eastAsia="Arial" w:hAnsi="Verdana" w:cs="Arial"/>
        </w:rPr>
      </w:pPr>
    </w:p>
    <w:p w14:paraId="110811A4" w14:textId="77777777" w:rsidR="009D47ED" w:rsidRPr="00FA1948" w:rsidRDefault="009D47ED" w:rsidP="009D47ED">
      <w:pPr>
        <w:tabs>
          <w:tab w:val="left" w:pos="2694"/>
        </w:tabs>
        <w:spacing w:after="120" w:line="276" w:lineRule="auto"/>
        <w:ind w:firstLine="709"/>
        <w:jc w:val="both"/>
        <w:rPr>
          <w:rFonts w:ascii="Verdana" w:eastAsia="Calibri" w:hAnsi="Verdana" w:cs="Arial"/>
          <w:lang w:val="es-ES_tradnl"/>
        </w:rPr>
      </w:pPr>
      <w:r w:rsidRPr="00FA1948">
        <w:rPr>
          <w:rFonts w:ascii="Verdana" w:eastAsia="Calibri" w:hAnsi="Verdana" w:cs="Arial"/>
          <w:lang w:val="es-ES_tradnl"/>
        </w:rPr>
        <w:t xml:space="preserve">Si bien en un principio los salones comunales no están enunciados en la definición del término de </w:t>
      </w:r>
      <w:r>
        <w:rPr>
          <w:rFonts w:ascii="Verdana" w:eastAsia="Calibri" w:hAnsi="Verdana" w:cs="Arial"/>
          <w:lang w:val="es-ES_tradnl"/>
        </w:rPr>
        <w:t>“</w:t>
      </w:r>
      <w:r w:rsidRPr="00FA1948">
        <w:rPr>
          <w:rFonts w:ascii="Verdana" w:eastAsia="Calibri" w:hAnsi="Verdana" w:cs="Arial"/>
          <w:lang w:val="es-ES_tradnl"/>
        </w:rPr>
        <w:t>Infraestructura cultural</w:t>
      </w:r>
      <w:r>
        <w:rPr>
          <w:rFonts w:ascii="Verdana" w:eastAsia="Calibri" w:hAnsi="Verdana" w:cs="Arial"/>
          <w:lang w:val="es-ES_tradnl"/>
        </w:rPr>
        <w:t>”</w:t>
      </w:r>
      <w:r w:rsidRPr="00FA1948">
        <w:rPr>
          <w:rFonts w:ascii="Verdana" w:eastAsia="Calibri" w:hAnsi="Verdana" w:cs="Arial"/>
          <w:lang w:val="es-ES_tradnl"/>
        </w:rPr>
        <w:t xml:space="preserve"> esta no es una razón para concluir que a esta actividad no les aplica a los documentos tipo de infraestructura social -sector cultura, recreación y deporte</w:t>
      </w:r>
      <w:r w:rsidRPr="00FA1948">
        <w:rPr>
          <w:rFonts w:ascii="Verdana" w:eastAsia="Calibri" w:hAnsi="Verdana" w:cs="Arial"/>
          <w:lang w:val="es-ES_tradnl"/>
        </w:rPr>
        <w:softHyphen/>
        <w:t xml:space="preserve">-. Al respecto, debe precisarse que la naturaleza jurídica de los salones comunales es privada o pública: i) los privados, es decir, aquellos construidos en predios de propiedad de las Juntas de Acción Comunal, o levantados en predios en donde concurren derechos de copropiedad sometidos a los términos de la ley de propiedad horizontal, y pertenecientes en común y proindiviso a todos los propietarios de predios privados, y, por su parte, </w:t>
      </w:r>
      <w:proofErr w:type="spellStart"/>
      <w:r w:rsidRPr="00FA1948">
        <w:rPr>
          <w:rFonts w:ascii="Verdana" w:eastAsia="Calibri" w:hAnsi="Verdana" w:cs="Arial"/>
          <w:lang w:val="es-ES_tradnl"/>
        </w:rPr>
        <w:t>ii</w:t>
      </w:r>
      <w:proofErr w:type="spellEnd"/>
      <w:r w:rsidRPr="00FA1948">
        <w:rPr>
          <w:rFonts w:ascii="Verdana" w:eastAsia="Calibri" w:hAnsi="Verdana" w:cs="Arial"/>
          <w:lang w:val="es-ES_tradnl"/>
        </w:rPr>
        <w:t>) la pública, son aquellos construidos sobre predios de propiedad de entidades públicas</w:t>
      </w:r>
      <w:r w:rsidRPr="00FA1948">
        <w:rPr>
          <w:rFonts w:ascii="Verdana" w:eastAsia="Calibri" w:hAnsi="Verdana" w:cs="Arial"/>
          <w:vertAlign w:val="superscript"/>
        </w:rPr>
        <w:footnoteReference w:id="2"/>
      </w:r>
      <w:r w:rsidRPr="00FA1948">
        <w:rPr>
          <w:rFonts w:ascii="Verdana" w:eastAsia="Calibri" w:hAnsi="Verdana" w:cs="Arial"/>
        </w:rPr>
        <w:t xml:space="preserve">. </w:t>
      </w:r>
    </w:p>
    <w:p w14:paraId="7D9979BF" w14:textId="77777777" w:rsidR="009D47ED" w:rsidRPr="00FA1948" w:rsidRDefault="009D47ED" w:rsidP="009D47ED">
      <w:pPr>
        <w:spacing w:after="120" w:line="276" w:lineRule="auto"/>
        <w:ind w:firstLine="708"/>
        <w:jc w:val="both"/>
        <w:rPr>
          <w:rFonts w:ascii="Verdana" w:eastAsia="Calibri" w:hAnsi="Verdana" w:cs="Arial"/>
        </w:rPr>
      </w:pPr>
      <w:r w:rsidRPr="00FA1948">
        <w:rPr>
          <w:rFonts w:ascii="Verdana" w:eastAsia="Calibri" w:hAnsi="Verdana" w:cs="Arial"/>
        </w:rPr>
        <w:t>En relación con la administración, los salones comunales privados son administrados por la correspondiente junta de acción comunal o el administrador del conjunto o unidad residencial, y los de carácter público han entregado esta actividad a las juntas de acción comunal u otras organizaciones como cooperativas, asociaciones y fundaciones del respectivo barrio, garantizando en todo caso el debido uso en beneficio de la comunidad en general</w:t>
      </w:r>
      <w:r w:rsidRPr="00FA1948">
        <w:rPr>
          <w:rFonts w:ascii="Verdana" w:eastAsia="Calibri" w:hAnsi="Verdana" w:cs="Arial"/>
          <w:vertAlign w:val="superscript"/>
        </w:rPr>
        <w:footnoteReference w:id="3"/>
      </w:r>
      <w:r w:rsidRPr="00FA1948">
        <w:rPr>
          <w:rFonts w:ascii="Verdana" w:eastAsia="Calibri" w:hAnsi="Verdana" w:cs="Arial"/>
        </w:rPr>
        <w:t xml:space="preserve">. </w:t>
      </w:r>
    </w:p>
    <w:p w14:paraId="03E084EF" w14:textId="77777777" w:rsidR="009D47ED" w:rsidRPr="00FA1948" w:rsidRDefault="009D47ED" w:rsidP="009D47ED">
      <w:pPr>
        <w:spacing w:after="120" w:line="276" w:lineRule="auto"/>
        <w:ind w:firstLine="708"/>
        <w:jc w:val="both"/>
        <w:rPr>
          <w:rFonts w:ascii="Verdana" w:eastAsia="Calibri" w:hAnsi="Verdana" w:cs="Arial"/>
          <w:lang w:val="es-ES_tradnl"/>
        </w:rPr>
      </w:pPr>
      <w:r w:rsidRPr="00FA1948">
        <w:rPr>
          <w:rFonts w:ascii="Verdana" w:eastAsia="Calibri" w:hAnsi="Verdana" w:cs="Arial"/>
        </w:rPr>
        <w:t xml:space="preserve">Debido a que los salones comunales son administrados por las juntas de acción comunal, es importante </w:t>
      </w:r>
      <w:r w:rsidRPr="00FA1948">
        <w:rPr>
          <w:rFonts w:ascii="Verdana" w:eastAsia="Calibri" w:hAnsi="Verdana" w:cs="Arial"/>
          <w:lang w:val="es-ES_tradnl"/>
        </w:rPr>
        <w:t xml:space="preserve">mencionar que el artículo 7 de la Ley 2166 de 2021 las define como: </w:t>
      </w:r>
      <w:r>
        <w:rPr>
          <w:rFonts w:ascii="Verdana" w:eastAsia="Calibri" w:hAnsi="Verdana" w:cs="Arial"/>
          <w:lang w:val="es-ES_tradnl"/>
        </w:rPr>
        <w:t>“</w:t>
      </w:r>
      <w:r w:rsidRPr="00FA1948">
        <w:rPr>
          <w:rFonts w:ascii="Verdana" w:eastAsia="Calibri" w:hAnsi="Verdana" w:cs="Arial"/>
        </w:rPr>
        <w:t>una organización cívica, social y comunitaria de gestión social, sin ánimo de lucro, de naturaleza solidaria, con personería jurídica y patrimonio propio, integrada voluntariamente por los residentes de un lugar que aúnan esfuerzos y recursos para procurar un desarrollo integral, sostenible y sustentable con fundamento en el ejercicio de la democracia participativa […]</w:t>
      </w:r>
      <w:r>
        <w:rPr>
          <w:rFonts w:ascii="Verdana" w:eastAsia="Calibri" w:hAnsi="Verdana" w:cs="Arial"/>
        </w:rPr>
        <w:t>”</w:t>
      </w:r>
      <w:r w:rsidRPr="00FA1948">
        <w:rPr>
          <w:rFonts w:ascii="Verdana" w:eastAsia="Calibri" w:hAnsi="Verdana" w:cs="Arial"/>
        </w:rPr>
        <w:t xml:space="preserve">. Esto significa que una de las funciones principales de las juntas de acción comunal es garantizar el desarrollo integral, sostenible y sustentable de la comunidad. </w:t>
      </w:r>
    </w:p>
    <w:p w14:paraId="5758718E" w14:textId="77777777" w:rsidR="009D47ED" w:rsidRPr="00FA1948" w:rsidRDefault="009D47ED" w:rsidP="009D47ED">
      <w:pPr>
        <w:spacing w:after="120" w:line="276" w:lineRule="auto"/>
        <w:ind w:firstLine="708"/>
        <w:jc w:val="both"/>
        <w:rPr>
          <w:rFonts w:ascii="Verdana" w:eastAsia="Calibri" w:hAnsi="Verdana" w:cs="Arial"/>
        </w:rPr>
      </w:pPr>
      <w:r w:rsidRPr="00FA1948">
        <w:rPr>
          <w:rFonts w:ascii="Verdana" w:eastAsia="Calibri" w:hAnsi="Verdana" w:cs="Arial"/>
        </w:rPr>
        <w:t xml:space="preserve">Ahora bien, el artículo 2 de manera expresa define que el desarrollo de la comunidad es el conjunto de procesos territoriales, económicos, políticos, ambientales, </w:t>
      </w:r>
      <w:r w:rsidRPr="00FA1948">
        <w:rPr>
          <w:rFonts w:ascii="Verdana" w:eastAsia="Calibri" w:hAnsi="Verdana" w:cs="Arial"/>
          <w:i/>
          <w:iCs/>
        </w:rPr>
        <w:t xml:space="preserve">culturales y sociales </w:t>
      </w:r>
      <w:r w:rsidRPr="00FA1948">
        <w:rPr>
          <w:rFonts w:ascii="Verdana" w:eastAsia="Calibri" w:hAnsi="Verdana" w:cs="Arial"/>
        </w:rPr>
        <w:t xml:space="preserve">que integran los esfuerzos de la población, sus </w:t>
      </w:r>
      <w:r w:rsidRPr="00FA1948">
        <w:rPr>
          <w:rFonts w:ascii="Verdana" w:eastAsia="Calibri" w:hAnsi="Verdana" w:cs="Arial"/>
        </w:rPr>
        <w:lastRenderedPageBreak/>
        <w:t xml:space="preserve">organismos y las del Estado, para mejorar la calidad de vida de las comunidades (Énfasis por fuera del texto). Por tanto, las juntas de acción comunal, en los salones comunales, promueven el desarrollo de la comunidad mediante espacios culturales y sociales como presentaciones de baile, bazares, rifas, entre otros. </w:t>
      </w:r>
    </w:p>
    <w:p w14:paraId="77093F48" w14:textId="77777777" w:rsidR="009D47ED" w:rsidRPr="00FA1948" w:rsidRDefault="009D47ED" w:rsidP="009D47ED">
      <w:pPr>
        <w:spacing w:after="120" w:line="276" w:lineRule="auto"/>
        <w:ind w:firstLine="708"/>
        <w:jc w:val="both"/>
        <w:rPr>
          <w:rFonts w:ascii="Verdana" w:eastAsia="Calibri" w:hAnsi="Verdana" w:cs="Arial"/>
        </w:rPr>
      </w:pPr>
      <w:r w:rsidRPr="00FA1948">
        <w:rPr>
          <w:rFonts w:ascii="Verdana" w:eastAsia="Calibri" w:hAnsi="Verdana" w:cs="Arial"/>
        </w:rPr>
        <w:t xml:space="preserve">De igual manera, </w:t>
      </w:r>
      <w:r w:rsidRPr="00FA1948">
        <w:rPr>
          <w:rFonts w:ascii="Verdana" w:eastAsia="Calibri" w:hAnsi="Verdana" w:cs="Arial"/>
          <w:lang w:val="es-ES_tradnl"/>
        </w:rPr>
        <w:t xml:space="preserve">el Concejo de Bogotá define a los salones comunales como: </w:t>
      </w:r>
      <w:r>
        <w:rPr>
          <w:rFonts w:ascii="Verdana" w:eastAsia="Calibri" w:hAnsi="Verdana" w:cs="Arial"/>
          <w:lang w:val="es-ES_tradnl"/>
        </w:rPr>
        <w:t>“</w:t>
      </w:r>
      <w:r w:rsidRPr="00FA1948">
        <w:rPr>
          <w:rFonts w:ascii="Verdana" w:eastAsia="Calibri" w:hAnsi="Verdana" w:cs="Arial"/>
          <w:lang w:val="es-ES_tradnl"/>
        </w:rPr>
        <w:t>bienes de uso público administrados por la Junta de Acción Comunal en donde las comunidades se reúnen, celebran sus festividades y agasajos, como los matrimonios, cumpleaños, bautizos, entre otros, estos salones han sido espacios en donde se construye la historia y la cultura de los barrios de nuestra ciudad</w:t>
      </w:r>
      <w:r>
        <w:rPr>
          <w:rFonts w:ascii="Verdana" w:eastAsia="Calibri" w:hAnsi="Verdana" w:cs="Arial"/>
          <w:lang w:val="es-ES_tradnl"/>
        </w:rPr>
        <w:t>”</w:t>
      </w:r>
      <w:r w:rsidRPr="00FA1948">
        <w:rPr>
          <w:rFonts w:ascii="Verdana" w:eastAsia="Calibri" w:hAnsi="Verdana" w:cs="Arial"/>
          <w:vertAlign w:val="superscript"/>
          <w:lang w:val="es-ES_tradnl"/>
        </w:rPr>
        <w:footnoteReference w:id="4"/>
      </w:r>
      <w:r w:rsidRPr="00FA1948">
        <w:rPr>
          <w:rFonts w:ascii="Verdana" w:eastAsia="Calibri" w:hAnsi="Verdana" w:cs="Arial"/>
          <w:lang w:val="es-ES_tradnl"/>
        </w:rPr>
        <w:t xml:space="preserve">. </w:t>
      </w:r>
    </w:p>
    <w:p w14:paraId="38CDA02C" w14:textId="77777777" w:rsidR="009D47ED" w:rsidRPr="00FA1948" w:rsidRDefault="009D47ED" w:rsidP="009D47ED">
      <w:pPr>
        <w:spacing w:after="120" w:line="276" w:lineRule="auto"/>
        <w:ind w:firstLine="708"/>
        <w:jc w:val="both"/>
        <w:rPr>
          <w:rFonts w:ascii="Verdana" w:eastAsia="Calibri" w:hAnsi="Verdana" w:cs="Arial"/>
        </w:rPr>
      </w:pPr>
      <w:r w:rsidRPr="00FA1948">
        <w:rPr>
          <w:rFonts w:ascii="Verdana" w:eastAsia="Calibri" w:hAnsi="Verdana" w:cs="Arial"/>
        </w:rPr>
        <w:t xml:space="preserve">Así las cosas, se concluye que los salones comunales son espacios administrados por las juntas de acción comunal cuyo propósito principal es garantizar el desarrollo integral, sostenible y sustentable de la comunidad, mediante procesos territoriales, económicos, políticos, ambientales, culturales y sociales que integren los esfuerzos de la población, sus organismos y las del Estado para promover la mejor calidad de vida. Por tanto, está definición está alineada con lo previsto en el numeral 2.60 del </w:t>
      </w:r>
      <w:r>
        <w:rPr>
          <w:rFonts w:ascii="Verdana" w:eastAsia="Calibri" w:hAnsi="Verdana" w:cs="Arial"/>
        </w:rPr>
        <w:t>“</w:t>
      </w:r>
      <w:r w:rsidRPr="00FA1948">
        <w:rPr>
          <w:rFonts w:ascii="Verdana" w:eastAsia="Calibri" w:hAnsi="Verdana" w:cs="Arial"/>
        </w:rPr>
        <w:t>Anexo – Glosario</w:t>
      </w:r>
      <w:r>
        <w:rPr>
          <w:rFonts w:ascii="Verdana" w:eastAsia="Calibri" w:hAnsi="Verdana" w:cs="Arial"/>
        </w:rPr>
        <w:t>”</w:t>
      </w:r>
      <w:r w:rsidRPr="00FA1948">
        <w:rPr>
          <w:rFonts w:ascii="Verdana" w:eastAsia="Calibri" w:hAnsi="Verdana" w:cs="Arial"/>
        </w:rPr>
        <w:t xml:space="preserve"> del sector cultura, recreación y deporte. </w:t>
      </w:r>
    </w:p>
    <w:p w14:paraId="43868AEE" w14:textId="77777777" w:rsidR="009D47ED" w:rsidRPr="00FA1948" w:rsidRDefault="009D47ED" w:rsidP="009D47ED">
      <w:pPr>
        <w:spacing w:after="120" w:line="278" w:lineRule="auto"/>
        <w:ind w:firstLine="708"/>
        <w:jc w:val="both"/>
        <w:textAlignment w:val="baseline"/>
        <w:rPr>
          <w:rFonts w:ascii="Verdana" w:eastAsia="Calibri" w:hAnsi="Verdana" w:cs="Times New Roman"/>
        </w:rPr>
      </w:pPr>
      <w:r w:rsidRPr="00FA1948">
        <w:rPr>
          <w:rFonts w:ascii="Verdana" w:eastAsia="Calibri" w:hAnsi="Verdana" w:cs="Arial"/>
          <w:lang w:val="es-ES_tradnl"/>
        </w:rPr>
        <w:t>En este sentido, en la actividad 1.1 PROYECTOS DE CONSTRUCCIÓN Y/O AMPLIACIÓN Y/O RECONSTRUCCIÓN DE INFRAESTRUCTURA CULTURAL</w:t>
      </w:r>
      <w:r>
        <w:rPr>
          <w:rFonts w:ascii="Verdana" w:eastAsia="Calibri" w:hAnsi="Verdana" w:cs="Arial"/>
          <w:lang w:val="es-ES_tradnl"/>
        </w:rPr>
        <w:t xml:space="preserve">” y </w:t>
      </w:r>
      <w:r>
        <w:rPr>
          <w:rFonts w:ascii="Verdana" w:eastAsia="Calibri" w:hAnsi="Verdana" w:cs="Times New Roman"/>
        </w:rPr>
        <w:t>“</w:t>
      </w:r>
      <w:r w:rsidRPr="00823B40">
        <w:rPr>
          <w:rFonts w:ascii="Verdana" w:eastAsia="Calibri" w:hAnsi="Verdana" w:cs="Times New Roman"/>
        </w:rPr>
        <w:t>1.2. PROYECTOS DE TERMINACIÓN Y/O MEJORAMIENTO Y/O  REMODELACIÓN Y/O ADECUACIÓN Y/O MODIFICACIÓN Y/O MANTENIMIENTO DE  INFRAESTRUCTURA CULTURAL</w:t>
      </w:r>
      <w:r>
        <w:rPr>
          <w:rFonts w:ascii="Verdana" w:eastAsia="Calibri" w:hAnsi="Verdana" w:cs="Times New Roman"/>
        </w:rPr>
        <w:t xml:space="preserve">”, </w:t>
      </w:r>
      <w:r w:rsidRPr="00FA1948">
        <w:rPr>
          <w:rFonts w:ascii="Verdana" w:eastAsia="Calibri" w:hAnsi="Verdana" w:cs="Arial"/>
          <w:lang w:val="es-ES_tradnl"/>
        </w:rPr>
        <w:t xml:space="preserve">de la </w:t>
      </w:r>
      <w:r>
        <w:rPr>
          <w:rFonts w:ascii="Verdana" w:eastAsia="Calibri" w:hAnsi="Verdana" w:cs="Arial"/>
          <w:lang w:val="es-ES_tradnl"/>
        </w:rPr>
        <w:t>“</w:t>
      </w:r>
      <w:r w:rsidRPr="00FA1948">
        <w:rPr>
          <w:rFonts w:ascii="Verdana" w:eastAsia="Calibri" w:hAnsi="Verdana" w:cs="Arial"/>
          <w:lang w:val="es-ES_tradnl"/>
        </w:rPr>
        <w:t>Matriz – Experiencia</w:t>
      </w:r>
      <w:r>
        <w:rPr>
          <w:rFonts w:ascii="Verdana" w:eastAsia="Calibri" w:hAnsi="Verdana" w:cs="Arial"/>
          <w:lang w:val="es-ES_tradnl"/>
        </w:rPr>
        <w:t>”</w:t>
      </w:r>
      <w:r w:rsidRPr="00FA1948">
        <w:rPr>
          <w:rFonts w:ascii="Verdana" w:eastAsia="Calibri" w:hAnsi="Verdana" w:cs="Arial"/>
          <w:lang w:val="es-ES_tradnl"/>
        </w:rPr>
        <w:t xml:space="preserve"> del sector cultura, recreación y deporte se incluyen las obras cuyo objeto consista en la construcción</w:t>
      </w:r>
      <w:r>
        <w:rPr>
          <w:rFonts w:ascii="Verdana" w:eastAsia="Calibri" w:hAnsi="Verdana" w:cs="Arial"/>
          <w:lang w:val="es-ES_tradnl"/>
        </w:rPr>
        <w:t>, adecuación o mejoramiento</w:t>
      </w:r>
      <w:r w:rsidRPr="00FA1948">
        <w:rPr>
          <w:rFonts w:ascii="Verdana" w:eastAsia="Calibri" w:hAnsi="Verdana" w:cs="Arial"/>
          <w:lang w:val="es-ES_tradnl"/>
        </w:rPr>
        <w:t xml:space="preserve"> de un salón comunal. Lo anterior en la medida que, tal y como se explicó previamente, estos salones comunales tienen la función de generar espacios físicos donde tienen lugar las diversas prácticas y manifestaciones artísticas y culturales de las comunidades.</w:t>
      </w:r>
    </w:p>
    <w:p w14:paraId="1B8CA93A" w14:textId="77777777" w:rsidR="009D47ED" w:rsidRDefault="009D47ED" w:rsidP="009D47ED">
      <w:pPr>
        <w:spacing w:after="120" w:line="276" w:lineRule="auto"/>
        <w:ind w:firstLine="708"/>
        <w:jc w:val="both"/>
        <w:rPr>
          <w:rFonts w:ascii="Verdana" w:eastAsia="Calibri" w:hAnsi="Verdana" w:cs="Arial"/>
          <w:color w:val="0D0D0D"/>
        </w:rPr>
      </w:pPr>
      <w:r w:rsidRPr="00FA1948">
        <w:rPr>
          <w:rFonts w:ascii="Verdana" w:eastAsia="Calibri" w:hAnsi="Verdana" w:cs="Arial"/>
          <w:lang w:val="es-ES_tradnl"/>
        </w:rPr>
        <w:t xml:space="preserve">En consecuencia, respecto a la consulta realizada se concluye que </w:t>
      </w:r>
      <w:r w:rsidRPr="00FA1948">
        <w:rPr>
          <w:rFonts w:ascii="Verdana" w:eastAsia="Calibri" w:hAnsi="Verdana" w:cs="Arial"/>
        </w:rPr>
        <w:t>la actividad de construcción</w:t>
      </w:r>
      <w:r>
        <w:rPr>
          <w:rFonts w:ascii="Verdana" w:eastAsia="Calibri" w:hAnsi="Verdana" w:cs="Arial"/>
        </w:rPr>
        <w:t>, adecuación o mejoramiento</w:t>
      </w:r>
      <w:r w:rsidRPr="00FA1948">
        <w:rPr>
          <w:rFonts w:ascii="Verdana" w:eastAsia="Calibri" w:hAnsi="Verdana" w:cs="Arial"/>
        </w:rPr>
        <w:t xml:space="preserve"> de un </w:t>
      </w:r>
      <w:r>
        <w:rPr>
          <w:rFonts w:ascii="Verdana" w:eastAsia="Calibri" w:hAnsi="Verdana" w:cs="Arial"/>
        </w:rPr>
        <w:t xml:space="preserve">salón comunal </w:t>
      </w:r>
      <w:r w:rsidRPr="00FA1948">
        <w:rPr>
          <w:rFonts w:ascii="Verdana" w:eastAsia="Calibri" w:hAnsi="Verdana" w:cs="Arial"/>
        </w:rPr>
        <w:t>deben adelantarse utilizando los documentos tipo de licitación de obra pública de infraestructura social -sector cultura, recreación y de deporte-.</w:t>
      </w:r>
    </w:p>
    <w:p w14:paraId="7E44C499" w14:textId="77777777" w:rsidR="009D47ED" w:rsidRPr="00612AAF" w:rsidRDefault="009D47ED" w:rsidP="009D47ED">
      <w:pPr>
        <w:spacing w:after="120" w:line="276" w:lineRule="auto"/>
        <w:ind w:firstLine="708"/>
        <w:jc w:val="both"/>
        <w:rPr>
          <w:rFonts w:ascii="Verdana" w:eastAsia="Calibri" w:hAnsi="Verdana" w:cs="Arial"/>
          <w:color w:val="0D0D0D"/>
          <w:lang w:val="es-MX"/>
        </w:rPr>
      </w:pPr>
      <w:r w:rsidRPr="00B16E80">
        <w:rPr>
          <w:rFonts w:ascii="Verdana" w:eastAsia="Times New Roman" w:hAnsi="Verdana" w:cs="Times New Roman"/>
          <w:color w:val="000000"/>
          <w:lang w:eastAsia="es-CO"/>
        </w:rPr>
        <w:lastRenderedPageBreak/>
        <w:t xml:space="preserve">Sin perjuicio de lo anterior, debe indicarse que, la Agencia Nacional de Contratación Pública – Colombia Compra Eficiente </w:t>
      </w:r>
      <w:r>
        <w:rPr>
          <w:rFonts w:ascii="Verdana" w:eastAsia="Times New Roman" w:hAnsi="Verdana" w:cs="Times New Roman"/>
          <w:color w:val="000000"/>
          <w:lang w:eastAsia="es-CO"/>
        </w:rPr>
        <w:t xml:space="preserve">el pasado 21 de agosto de 2025 adoptó las siguientes Resoluciones: i) Resolución 539 de 2015 </w:t>
      </w:r>
      <w:r w:rsidRPr="00F508EB">
        <w:rPr>
          <w:rFonts w:ascii="Verdana" w:eastAsia="Times New Roman" w:hAnsi="Verdana" w:cs="Times New Roman"/>
          <w:color w:val="000000"/>
          <w:lang w:eastAsia="es-CO"/>
        </w:rPr>
        <w:t>"Por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r>
        <w:rPr>
          <w:rFonts w:ascii="Verdana" w:eastAsia="Times New Roman" w:hAnsi="Verdana" w:cs="Times New Roman"/>
          <w:color w:val="000000"/>
          <w:lang w:eastAsia="es-CO"/>
        </w:rPr>
        <w:t xml:space="preserve">; </w:t>
      </w:r>
      <w:proofErr w:type="spellStart"/>
      <w:r>
        <w:rPr>
          <w:rFonts w:ascii="Verdana" w:eastAsia="Times New Roman" w:hAnsi="Verdana" w:cs="Times New Roman"/>
          <w:color w:val="000000"/>
          <w:lang w:eastAsia="es-CO"/>
        </w:rPr>
        <w:t>ii</w:t>
      </w:r>
      <w:proofErr w:type="spellEnd"/>
      <w:r>
        <w:rPr>
          <w:rFonts w:ascii="Verdana" w:eastAsia="Times New Roman" w:hAnsi="Verdana" w:cs="Times New Roman"/>
          <w:color w:val="000000"/>
          <w:lang w:eastAsia="es-CO"/>
        </w:rPr>
        <w:t xml:space="preserve">) Resolución 540 de 2025 </w:t>
      </w:r>
      <w:r w:rsidRPr="00003DBC">
        <w:rPr>
          <w:rFonts w:ascii="Verdana" w:eastAsia="Times New Roman" w:hAnsi="Verdana" w:cs="Times New Roman"/>
          <w:color w:val="000000"/>
          <w:lang w:eastAsia="es-CO"/>
        </w:rPr>
        <w:t>"Por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w:t>
      </w:r>
      <w:r>
        <w:rPr>
          <w:rFonts w:ascii="Verdana" w:eastAsia="Times New Roman" w:hAnsi="Verdana" w:cs="Times New Roman"/>
          <w:color w:val="000000"/>
          <w:lang w:eastAsia="es-CO"/>
        </w:rPr>
        <w:t xml:space="preserve">; y </w:t>
      </w:r>
      <w:proofErr w:type="spellStart"/>
      <w:r>
        <w:rPr>
          <w:rFonts w:ascii="Verdana" w:eastAsia="Times New Roman" w:hAnsi="Verdana" w:cs="Times New Roman"/>
          <w:color w:val="000000"/>
          <w:lang w:eastAsia="es-CO"/>
        </w:rPr>
        <w:t>iii</w:t>
      </w:r>
      <w:proofErr w:type="spellEnd"/>
      <w:r>
        <w:rPr>
          <w:rFonts w:ascii="Verdana" w:eastAsia="Times New Roman" w:hAnsi="Verdana" w:cs="Times New Roman"/>
          <w:color w:val="000000"/>
          <w:lang w:eastAsia="es-CO"/>
        </w:rPr>
        <w:t>) Resolución 541 de 2025 “</w:t>
      </w:r>
      <w:r w:rsidRPr="00342272">
        <w:rPr>
          <w:rFonts w:ascii="Verdana" w:eastAsia="Times New Roman" w:hAnsi="Verdana" w:cs="Times New Roman"/>
          <w:color w:val="000000"/>
          <w:lang w:eastAsia="es-CO"/>
        </w:rPr>
        <w:t>"Por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w:t>
      </w:r>
      <w:r>
        <w:rPr>
          <w:rFonts w:ascii="Verdana" w:eastAsia="Times New Roman" w:hAnsi="Verdana" w:cs="Times New Roman"/>
          <w:color w:val="000000"/>
          <w:lang w:eastAsia="es-CO"/>
        </w:rPr>
        <w:t xml:space="preserve">. </w:t>
      </w:r>
    </w:p>
    <w:p w14:paraId="2F371A11" w14:textId="77777777" w:rsidR="009D47ED" w:rsidRPr="00612AAF" w:rsidRDefault="009D47ED" w:rsidP="009D47ED">
      <w:pPr>
        <w:spacing w:after="120" w:line="278" w:lineRule="auto"/>
        <w:ind w:firstLine="708"/>
        <w:jc w:val="both"/>
        <w:textAlignment w:val="baseline"/>
        <w:rPr>
          <w:rFonts w:ascii="Verdana" w:eastAsia="Calibri" w:hAnsi="Verdana" w:cs="Arial"/>
          <w:kern w:val="2"/>
          <w14:ligatures w14:val="standardContextual"/>
        </w:rPr>
      </w:pPr>
      <w:r>
        <w:rPr>
          <w:rFonts w:ascii="Verdana" w:eastAsia="Times New Roman" w:hAnsi="Verdana" w:cs="Times New Roman"/>
          <w:color w:val="000000"/>
          <w:lang w:eastAsia="es-CO"/>
        </w:rPr>
        <w:t>L</w:t>
      </w:r>
      <w:r w:rsidRPr="00B16E80">
        <w:rPr>
          <w:rFonts w:ascii="Verdana" w:eastAsia="Times New Roman" w:hAnsi="Verdana" w:cs="Times New Roman"/>
          <w:color w:val="000000"/>
          <w:lang w:eastAsia="es-CO"/>
        </w:rPr>
        <w:t xml:space="preserve">as </w:t>
      </w:r>
      <w:r w:rsidRPr="00B16E80">
        <w:rPr>
          <w:rFonts w:ascii="Verdana" w:eastAsia="Calibri" w:hAnsi="Verdana" w:cs="Arial"/>
          <w:kern w:val="2"/>
          <w14:ligatures w14:val="standardContextual"/>
        </w:rPr>
        <w:t>Resoluciones 539, 540 y 541 del 21 de agosto de 2025, acogi</w:t>
      </w:r>
      <w:r>
        <w:rPr>
          <w:rFonts w:ascii="Verdana" w:eastAsia="Calibri" w:hAnsi="Verdana" w:cs="Arial"/>
          <w:kern w:val="2"/>
          <w14:ligatures w14:val="standardContextual"/>
        </w:rPr>
        <w:t>das</w:t>
      </w:r>
      <w:r w:rsidRPr="00B16E80">
        <w:rPr>
          <w:rFonts w:ascii="Verdana" w:eastAsia="Calibri" w:hAnsi="Verdana" w:cs="Arial"/>
          <w:kern w:val="2"/>
          <w14:ligatures w14:val="standardContextual"/>
        </w:rPr>
        <w:t xml:space="preserve"> en el sector de obra pública de infraestructura</w:t>
      </w:r>
      <w:r>
        <w:rPr>
          <w:rFonts w:ascii="Verdana" w:eastAsia="Calibri" w:hAnsi="Verdana" w:cs="Arial"/>
          <w:kern w:val="2"/>
          <w14:ligatures w14:val="standardContextual"/>
        </w:rPr>
        <w:t xml:space="preserve"> social, </w:t>
      </w:r>
      <w:r w:rsidRPr="00B16E80">
        <w:rPr>
          <w:rFonts w:ascii="Verdana" w:eastAsia="Calibri" w:hAnsi="Verdana" w:cs="Arial"/>
          <w:kern w:val="2"/>
          <w14:ligatures w14:val="standardContextual"/>
        </w:rPr>
        <w:t>aplican de forma transversal en las modalidades de selección indicadas y a los proyectos de infraestructura social enmarcados dentro del sector educativo, salud, cultura, recreación y deporte, institucional y vivienda</w:t>
      </w:r>
      <w:r>
        <w:rPr>
          <w:rFonts w:ascii="Verdana" w:eastAsia="Calibri" w:hAnsi="Verdana" w:cs="Arial"/>
          <w:kern w:val="2"/>
          <w14:ligatures w14:val="standardContextual"/>
        </w:rPr>
        <w:t xml:space="preserve">, </w:t>
      </w:r>
      <w:r w:rsidRPr="00B16E80">
        <w:rPr>
          <w:rFonts w:ascii="Verdana" w:eastAsia="Calibri" w:hAnsi="Verdana" w:cs="Arial"/>
          <w:kern w:val="2"/>
          <w14:ligatures w14:val="standardContextual"/>
        </w:rPr>
        <w:t>en los procesos de selección cuyo aviso de convocatoria se publique a partir del 16 de febrero de 2026</w:t>
      </w:r>
      <w:r>
        <w:rPr>
          <w:rStyle w:val="Refdenotaalpie"/>
          <w:rFonts w:ascii="Verdana" w:eastAsia="Calibri" w:hAnsi="Verdana" w:cs="Arial"/>
          <w:kern w:val="2"/>
          <w14:ligatures w14:val="standardContextual"/>
        </w:rPr>
        <w:footnoteReference w:id="5"/>
      </w:r>
      <w:r w:rsidRPr="00B16E80">
        <w:rPr>
          <w:rFonts w:ascii="Verdana" w:eastAsia="Calibri" w:hAnsi="Verdana" w:cs="Arial"/>
          <w:kern w:val="2"/>
          <w14:ligatures w14:val="standardContextual"/>
        </w:rPr>
        <w:t>.</w:t>
      </w:r>
    </w:p>
    <w:bookmarkEnd w:id="1"/>
    <w:p w14:paraId="6FEFDB02" w14:textId="77777777" w:rsidR="009D47ED" w:rsidRPr="00C753C8" w:rsidRDefault="009D47ED" w:rsidP="009D47ED">
      <w:pPr>
        <w:spacing w:after="120" w:line="276" w:lineRule="auto"/>
        <w:ind w:firstLine="708"/>
        <w:jc w:val="both"/>
        <w:rPr>
          <w:rFonts w:ascii="Verdana" w:hAnsi="Verdana"/>
        </w:rPr>
      </w:pPr>
      <w:r w:rsidRPr="00C753C8">
        <w:rPr>
          <w:rFonts w:ascii="Verdana" w:eastAsia="Calibri" w:hAnsi="Verdana" w:cs="Times New Roman"/>
          <w:lang w:val="es-ES"/>
        </w:rPr>
        <w:lastRenderedPageBreak/>
        <w:t xml:space="preserve">Tal como se indicó en la Memoria Justificativa de la Resolución 539 de 2025, </w:t>
      </w:r>
      <w:r w:rsidRPr="00C753C8">
        <w:rPr>
          <w:rFonts w:ascii="Verdana" w:hAnsi="Verdana"/>
        </w:rPr>
        <w:t>fruto de la implementación de los documentos tipo</w:t>
      </w:r>
      <w:r>
        <w:rPr>
          <w:rFonts w:ascii="Verdana" w:hAnsi="Verdana"/>
        </w:rPr>
        <w:t xml:space="preserve"> del sector social</w:t>
      </w:r>
      <w:r w:rsidRPr="00C753C8">
        <w:rPr>
          <w:rFonts w:ascii="Verdana" w:hAnsi="Verdana"/>
        </w:rPr>
        <w:t xml:space="preserve">, </w:t>
      </w:r>
      <w:r>
        <w:rPr>
          <w:rFonts w:ascii="Verdana" w:hAnsi="Verdana"/>
        </w:rPr>
        <w:t>esta Agencia</w:t>
      </w:r>
      <w:r w:rsidRPr="00C753C8">
        <w:rPr>
          <w:rFonts w:ascii="Verdana" w:hAnsi="Verdana"/>
        </w:rPr>
        <w:t xml:space="preserve"> en coordinación con el Ministerio de Cultura, Instituto Distrital de Recreación y Deporte, Ministerio de Educación, entre otras entidades técnicas y especializadas del sector, ciudadanos y observaciones internas realizadas por parte del Grupo de Interno de Trabajo de documentos tipo, encontró procedente actualizar, entre otros, la “Matriz 1 – Experiencia” y el “Anexo 3 – Glosario”.</w:t>
      </w:r>
    </w:p>
    <w:p w14:paraId="5FB1DDF3" w14:textId="77777777" w:rsidR="009D47ED" w:rsidRPr="00C753C8" w:rsidRDefault="009D47ED" w:rsidP="009D47ED">
      <w:pPr>
        <w:spacing w:after="120" w:line="276" w:lineRule="auto"/>
        <w:ind w:firstLine="708"/>
        <w:jc w:val="both"/>
        <w:rPr>
          <w:rFonts w:ascii="Verdana" w:eastAsia="Calibri" w:hAnsi="Verdana" w:cs="Times New Roman"/>
          <w:lang w:val="es-ES"/>
        </w:rPr>
      </w:pPr>
      <w:r w:rsidRPr="00C753C8">
        <w:rPr>
          <w:rFonts w:ascii="Verdana" w:hAnsi="Verdana"/>
        </w:rPr>
        <w:t xml:space="preserve">En relación con las matrices de experiencia del sector social, aplicables a los sectores “salud, educación, cultura, recreación y deporte”, en términos generales, los siguientes fueron los principales cambios en ese documento: i) se precisaron algunas actividades allí contenidas, </w:t>
      </w:r>
      <w:proofErr w:type="spellStart"/>
      <w:r w:rsidRPr="00C753C8">
        <w:rPr>
          <w:rFonts w:ascii="Verdana" w:hAnsi="Verdana"/>
        </w:rPr>
        <w:t>ii</w:t>
      </w:r>
      <w:proofErr w:type="spellEnd"/>
      <w:r w:rsidRPr="00C753C8">
        <w:rPr>
          <w:rFonts w:ascii="Verdana" w:hAnsi="Verdana"/>
        </w:rPr>
        <w:t xml:space="preserve">) se incluyó dentro de los proyectos de construcción experiencia especifica en cimentación </w:t>
      </w:r>
      <w:proofErr w:type="spellStart"/>
      <w:r w:rsidRPr="00C753C8">
        <w:rPr>
          <w:rFonts w:ascii="Verdana" w:hAnsi="Verdana"/>
        </w:rPr>
        <w:t>iii</w:t>
      </w:r>
      <w:proofErr w:type="spellEnd"/>
      <w:r w:rsidRPr="00C753C8">
        <w:rPr>
          <w:rFonts w:ascii="Verdana" w:hAnsi="Verdana"/>
        </w:rPr>
        <w:t xml:space="preserve">) en algunas actividades se incluyó experiencia especifica y el porcentaje de dimensionamiento </w:t>
      </w:r>
      <w:proofErr w:type="spellStart"/>
      <w:r w:rsidRPr="00C753C8">
        <w:rPr>
          <w:rFonts w:ascii="Verdana" w:hAnsi="Verdana"/>
        </w:rPr>
        <w:t>iv</w:t>
      </w:r>
      <w:proofErr w:type="spellEnd"/>
      <w:r w:rsidRPr="00C753C8">
        <w:rPr>
          <w:rFonts w:ascii="Verdana" w:hAnsi="Verdana"/>
        </w:rPr>
        <w:t>) en muchas actividades se complementó o adicionó la descripción de estas v) se adicionaron notas que complementan o aclaran la solicitud de experiencia y vi) se amplía el ámbito de intervención en las actividades para que sea coherente con la experiencia que se requiere y se incluyen las descripciones dentro del glosario.</w:t>
      </w:r>
    </w:p>
    <w:p w14:paraId="459CA7A4" w14:textId="77777777" w:rsidR="009D47ED" w:rsidRDefault="009D47ED" w:rsidP="009D47ED">
      <w:pPr>
        <w:spacing w:after="120" w:line="276" w:lineRule="auto"/>
        <w:ind w:firstLine="708"/>
        <w:jc w:val="both"/>
        <w:rPr>
          <w:rFonts w:ascii="Verdana" w:eastAsia="Calibri" w:hAnsi="Verdana" w:cs="Times New Roman"/>
          <w:lang w:val="es-ES"/>
        </w:rPr>
      </w:pPr>
      <w:r>
        <w:rPr>
          <w:rFonts w:ascii="Verdana" w:eastAsia="Calibri" w:hAnsi="Verdana" w:cs="Times New Roman"/>
          <w:lang w:val="es-ES"/>
        </w:rPr>
        <w:t>En los documentos tipo complementarios del sector cultura, recreación y deporte, en la modalidad de licitación de obra pública, selección abreviada de menor cuantía y mínima cuantía, para el tipo de obras de ese sector, se agregaron y precisaron actividades a contratar tales como: “</w:t>
      </w:r>
      <w:r w:rsidRPr="006A7E86">
        <w:rPr>
          <w:rFonts w:ascii="Verdana" w:eastAsia="Calibri" w:hAnsi="Verdana" w:cs="Times New Roman"/>
          <w:lang w:val="es-ES"/>
        </w:rPr>
        <w:t>3.1. PROYECTOS DE CONSTRUCCIÓN Y/O AMPLIACIÓN Y/O RECONSTRUCCIÓN DE INSTALACIONES EN INFRAESTRUCTURA PARA REUNIONES SOCIALES Y/O RELIGIOSOS</w:t>
      </w:r>
      <w:r>
        <w:rPr>
          <w:rFonts w:ascii="Verdana" w:eastAsia="Calibri" w:hAnsi="Verdana" w:cs="Times New Roman"/>
          <w:lang w:val="es-ES"/>
        </w:rPr>
        <w:t>” y “</w:t>
      </w:r>
      <w:r w:rsidRPr="006A7E86">
        <w:rPr>
          <w:rFonts w:ascii="Verdana" w:eastAsia="Calibri" w:hAnsi="Verdana" w:cs="Times New Roman"/>
          <w:lang w:val="es-ES"/>
        </w:rPr>
        <w:t xml:space="preserve">3.2. PROYECTOS DE ADECUACIÓN Y/O CONSERVACIÓN Y/O INTERVENCIÓN Y/O INSTALACIÓN Y/O MANTENIMIENTO Y/O MEJORAMIENTO Y/O MODIFICACIÓN U OPTIMIZACIÓN Y/O REHABILITACIÓN Y/O REMODELACIÓN Y/O REPOSICIÓN Y/O REPARACIÓN LOCATIVA Y/O </w:t>
      </w:r>
      <w:r w:rsidRPr="006A7E86">
        <w:rPr>
          <w:rFonts w:ascii="Verdana" w:eastAsia="Calibri" w:hAnsi="Verdana" w:cs="Times New Roman"/>
          <w:lang w:val="es-ES"/>
        </w:rPr>
        <w:lastRenderedPageBreak/>
        <w:t>RESTAURACIÓN Y/O RESTITUCIÓN Y/O TERMINACIÓN EN INFRAESTRUCTURA PARA REUNIONES SOCIALES Y/O RELIGIOSOS</w:t>
      </w:r>
      <w:r>
        <w:rPr>
          <w:rFonts w:ascii="Verdana" w:eastAsia="Calibri" w:hAnsi="Verdana" w:cs="Times New Roman"/>
          <w:lang w:val="es-ES"/>
        </w:rPr>
        <w:t xml:space="preserve">”. </w:t>
      </w:r>
    </w:p>
    <w:p w14:paraId="25D81BCA" w14:textId="77777777" w:rsidR="009D47ED" w:rsidRPr="00612AAF" w:rsidRDefault="009D47ED" w:rsidP="009D47ED">
      <w:pPr>
        <w:spacing w:after="120" w:line="276" w:lineRule="auto"/>
        <w:ind w:firstLine="708"/>
        <w:jc w:val="both"/>
        <w:rPr>
          <w:rFonts w:ascii="Verdana" w:eastAsia="Calibri" w:hAnsi="Verdana" w:cs="Arial"/>
          <w:lang w:val="es-ES_tradnl"/>
        </w:rPr>
      </w:pPr>
      <w:r w:rsidRPr="00612AAF">
        <w:rPr>
          <w:rFonts w:ascii="Verdana" w:eastAsia="Calibri" w:hAnsi="Verdana" w:cs="Arial"/>
          <w:color w:val="0D0D0D"/>
          <w:lang w:val="es-MX"/>
        </w:rPr>
        <w:t>En este sentido, los objetos contractuales relacionados con la construcción, adecuación o mejoramiento de un salón comunal se enmarcan en las actividades indicadas en el párrafo precedente, esto es la 3.1 y 3.2 contenidas en la Matriz 1 – Experiencia del sector cultura, recreación y deporte, interpretando el alcance y aplicación de estas</w:t>
      </w:r>
      <w:r>
        <w:rPr>
          <w:rFonts w:ascii="Verdana" w:eastAsia="Calibri" w:hAnsi="Verdana" w:cs="Arial"/>
          <w:color w:val="0D0D0D"/>
          <w:lang w:val="es-MX"/>
        </w:rPr>
        <w:t>,</w:t>
      </w:r>
      <w:r w:rsidRPr="00612AAF">
        <w:rPr>
          <w:rFonts w:ascii="Verdana" w:eastAsia="Calibri" w:hAnsi="Verdana" w:cs="Arial"/>
          <w:color w:val="0D0D0D"/>
          <w:lang w:val="es-MX"/>
        </w:rPr>
        <w:t xml:space="preserve"> </w:t>
      </w:r>
      <w:r w:rsidRPr="00612AAF">
        <w:rPr>
          <w:rFonts w:ascii="Verdana" w:eastAsia="Calibri" w:hAnsi="Verdana" w:cs="Arial"/>
          <w:lang w:val="es-ES_tradnl"/>
        </w:rPr>
        <w:t>teniendo en cuenta las definiciones del “Anexo – Glosario” d</w:t>
      </w:r>
      <w:r>
        <w:rPr>
          <w:rFonts w:ascii="Verdana" w:eastAsia="Calibri" w:hAnsi="Verdana" w:cs="Arial"/>
          <w:lang w:val="es-ES_tradnl"/>
        </w:rPr>
        <w:t>e los documentos tipo indicados</w:t>
      </w:r>
      <w:r w:rsidRPr="00612AAF">
        <w:rPr>
          <w:rFonts w:ascii="Verdana" w:eastAsia="Calibri" w:hAnsi="Verdana" w:cs="Arial"/>
          <w:lang w:val="es-ES_tradnl"/>
        </w:rPr>
        <w:t xml:space="preserve">. </w:t>
      </w:r>
    </w:p>
    <w:p w14:paraId="6EAEECB9" w14:textId="77777777" w:rsidR="009D47ED" w:rsidRPr="00612AAF" w:rsidRDefault="009D47ED" w:rsidP="009D47ED">
      <w:pPr>
        <w:spacing w:after="0" w:line="276" w:lineRule="auto"/>
        <w:ind w:firstLine="708"/>
        <w:jc w:val="both"/>
        <w:rPr>
          <w:rFonts w:ascii="Verdana" w:eastAsia="Calibri" w:hAnsi="Verdana" w:cs="Arial"/>
          <w:lang w:val="es-ES_tradnl"/>
        </w:rPr>
      </w:pPr>
      <w:r w:rsidRPr="00612AAF">
        <w:rPr>
          <w:rFonts w:ascii="Verdana" w:eastAsia="Calibri" w:hAnsi="Verdana" w:cs="Arial"/>
          <w:lang w:val="es-ES_tradnl"/>
        </w:rPr>
        <w:t>De esta forma, de acuerdo con el Anexo 5 – Glosario de los documentos tipo de licitación de obra pública de infraestructura social – versión 2, el numeral 2.102 señala la definición de “Grupo de ocupación de lugares de reunión” lo cual, es importante para comprender el alcance de las actividades 3.1 y 3.2 contenidas en la Matriz 1 – Experiencia y enmarcar los objetos de su solicitud en estas actividades. Así, en el numeral se dispone lo siguiente:</w:t>
      </w:r>
    </w:p>
    <w:p w14:paraId="47BC54F7" w14:textId="77777777" w:rsidR="009D47ED" w:rsidRPr="00612AAF" w:rsidRDefault="009D47ED" w:rsidP="009D47ED">
      <w:pPr>
        <w:spacing w:after="0" w:line="276" w:lineRule="auto"/>
        <w:ind w:firstLine="708"/>
        <w:jc w:val="both"/>
        <w:rPr>
          <w:rFonts w:ascii="Verdana" w:eastAsia="Calibri" w:hAnsi="Verdana" w:cs="Arial"/>
          <w:lang w:val="es-ES_tradnl"/>
        </w:rPr>
      </w:pPr>
    </w:p>
    <w:p w14:paraId="1F1466D1" w14:textId="77777777" w:rsidR="009D47ED" w:rsidRPr="00A36D36" w:rsidRDefault="009D47ED" w:rsidP="009D47ED">
      <w:pPr>
        <w:pStyle w:val="Prrafodelista"/>
        <w:numPr>
          <w:ilvl w:val="1"/>
          <w:numId w:val="19"/>
        </w:numPr>
        <w:spacing w:after="0" w:line="240" w:lineRule="auto"/>
        <w:ind w:left="709" w:right="709" w:firstLine="0"/>
        <w:jc w:val="both"/>
        <w:rPr>
          <w:rFonts w:ascii="Verdana" w:eastAsia="Arial" w:hAnsi="Verdana" w:cs="Arial"/>
          <w:sz w:val="21"/>
          <w:szCs w:val="21"/>
        </w:rPr>
      </w:pPr>
      <w:r w:rsidRPr="00A36D36">
        <w:rPr>
          <w:rFonts w:ascii="Verdana" w:eastAsia="Arial" w:hAnsi="Verdana" w:cs="Arial"/>
          <w:b/>
          <w:bCs/>
          <w:sz w:val="21"/>
          <w:szCs w:val="21"/>
        </w:rPr>
        <w:t xml:space="preserve">Grupo de ocupación de lugares de reunión: </w:t>
      </w:r>
      <w:r w:rsidRPr="00A36D36">
        <w:rPr>
          <w:rFonts w:ascii="Verdana" w:eastAsia="Arial" w:hAnsi="Verdana" w:cs="Arial"/>
          <w:sz w:val="21"/>
          <w:szCs w:val="21"/>
        </w:rPr>
        <w:t xml:space="preserve">En el grupo de ocupación de lugares de reunión se clasifican las edificaciones o espacios en donde se reúne o agrupa la gente con fines religiosos, deportivos, políticos, culturales, sociales, recreativos o de transporte y que, en general, disponen de medios comunes de salida </w:t>
      </w:r>
      <w:proofErr w:type="gramStart"/>
      <w:r w:rsidRPr="00A36D36">
        <w:rPr>
          <w:rFonts w:ascii="Verdana" w:eastAsia="Arial" w:hAnsi="Verdana" w:cs="Arial"/>
          <w:sz w:val="21"/>
          <w:szCs w:val="21"/>
        </w:rPr>
        <w:t>o</w:t>
      </w:r>
      <w:proofErr w:type="gramEnd"/>
      <w:r w:rsidRPr="00A36D36">
        <w:rPr>
          <w:rFonts w:ascii="Verdana" w:eastAsia="Arial" w:hAnsi="Verdana" w:cs="Arial"/>
          <w:sz w:val="21"/>
          <w:szCs w:val="21"/>
        </w:rPr>
        <w:t xml:space="preserve"> de entrada.</w:t>
      </w:r>
      <w:r w:rsidRPr="00A36D36">
        <w:rPr>
          <w:rFonts w:ascii="Verdana" w:eastAsia="Arial" w:hAnsi="Verdana" w:cs="Arial"/>
          <w:b/>
          <w:bCs/>
          <w:sz w:val="21"/>
          <w:szCs w:val="21"/>
        </w:rPr>
        <w:t xml:space="preserve"> </w:t>
      </w:r>
      <w:r w:rsidRPr="00A36D36">
        <w:rPr>
          <w:rFonts w:ascii="Verdana" w:eastAsia="Arial" w:hAnsi="Verdana" w:cs="Arial"/>
          <w:sz w:val="21"/>
          <w:szCs w:val="21"/>
        </w:rPr>
        <w:t xml:space="preserve">Para sitios religiosos se encuentran entre otros, Iglesias, Capillas, Salones de Culto, Salones para agremiaciones Religiosas y similares.   </w:t>
      </w:r>
    </w:p>
    <w:p w14:paraId="6CB926A8" w14:textId="77777777" w:rsidR="009D47ED" w:rsidRPr="00612AAF" w:rsidRDefault="009D47ED" w:rsidP="009D47ED">
      <w:pPr>
        <w:spacing w:after="0" w:line="276" w:lineRule="auto"/>
        <w:ind w:firstLine="708"/>
        <w:jc w:val="both"/>
        <w:rPr>
          <w:rFonts w:ascii="Verdana" w:eastAsia="Calibri" w:hAnsi="Verdana" w:cs="Arial"/>
          <w:lang w:val="es-ES"/>
        </w:rPr>
      </w:pPr>
    </w:p>
    <w:p w14:paraId="160CE6DB" w14:textId="77777777" w:rsidR="009D47ED" w:rsidRPr="00612AAF" w:rsidRDefault="009D47ED" w:rsidP="009D47ED">
      <w:pPr>
        <w:spacing w:after="120" w:line="276" w:lineRule="auto"/>
        <w:ind w:firstLine="708"/>
        <w:jc w:val="both"/>
        <w:rPr>
          <w:rFonts w:ascii="Verdana" w:eastAsia="Calibri" w:hAnsi="Verdana" w:cs="Arial"/>
          <w:lang w:val="es-ES"/>
        </w:rPr>
      </w:pPr>
      <w:r w:rsidRPr="00612AAF">
        <w:rPr>
          <w:rFonts w:ascii="Verdana" w:eastAsia="Calibri" w:hAnsi="Verdana" w:cs="Arial"/>
          <w:lang w:val="es-ES"/>
        </w:rPr>
        <w:t xml:space="preserve">De acuerdo con la definición del grupo de ocupación de lugares de reunión, esta clasificación abarca edificaciones o espacios destinados al encuentro de personas con fines religiosos, deportivos, políticos culturales, sociales, recreativos o de transporte. Esta categoría incluye toda infraestructura que sirva como punto de congregación comunitaria, siempre que su finalidad principal sea la reunión de personas en torno a actividades colectivas. Dentro de esta tipología se consideran espacios como iglesias, salones de culto y otros destinados a la interacción social o comunitaria, por lo que su clasificación no depende exclusivamente del tipo de evento específico que alberguen, sino de su función como espacio de reunión. </w:t>
      </w:r>
    </w:p>
    <w:p w14:paraId="080121B9" w14:textId="77777777" w:rsidR="009D47ED" w:rsidRPr="00612AAF" w:rsidRDefault="009D47ED" w:rsidP="009D47ED">
      <w:pPr>
        <w:spacing w:after="120" w:line="276" w:lineRule="auto"/>
        <w:ind w:firstLine="708"/>
        <w:jc w:val="both"/>
        <w:rPr>
          <w:rFonts w:ascii="Verdana" w:eastAsia="Calibri" w:hAnsi="Verdana" w:cs="Arial"/>
          <w:lang w:val="es-ES"/>
        </w:rPr>
      </w:pPr>
      <w:r w:rsidRPr="00612AAF">
        <w:rPr>
          <w:rFonts w:ascii="Verdana" w:eastAsia="Calibri" w:hAnsi="Verdana" w:cs="Arial"/>
          <w:lang w:val="es-ES"/>
        </w:rPr>
        <w:t xml:space="preserve">Así, los salones comunales -tal como se definieron en la primera parte de este concepto-, se ajustan plenamente a esta categoría “Grupo de ocupación de lugares de reunión” ya que son bienes de uso público administrados por las </w:t>
      </w:r>
      <w:r w:rsidRPr="00612AAF">
        <w:rPr>
          <w:rFonts w:ascii="Verdana" w:eastAsia="Calibri" w:hAnsi="Verdana" w:cs="Arial"/>
          <w:lang w:val="es-ES"/>
        </w:rPr>
        <w:lastRenderedPageBreak/>
        <w:t>Juntas de Acción Comunal, diseñados para el encuentro de la comunidad en celebraciones, eventos culturales, reuniones sociales y actividades que promueven la cohesión y participación ciudadana. Estos espacios cumplen con el criterio funcional de ser puntos de congregación con fines sociales y culturales, lo que refuerza su inclusión dentro del grupo indicado. Por lo tanto, desde una perspectiva técnica, los calones comunales deben ser considerados como parte integral de este grupo de ocupación y las disposiciones aplicables a este tipo de edificaciones son las contenidas en la Matriz 1 – Experiencia de los documentos tipo específicos del sector de infraestructura de cultura, recreación y deporte, concretamente, las señalas en los numerales 3.1 a 3.5.</w:t>
      </w:r>
    </w:p>
    <w:p w14:paraId="2E777898" w14:textId="77777777" w:rsidR="009D47ED" w:rsidRPr="00612AAF" w:rsidRDefault="009D47ED" w:rsidP="009D47ED">
      <w:pPr>
        <w:spacing w:after="120" w:line="276" w:lineRule="auto"/>
        <w:ind w:firstLine="708"/>
        <w:jc w:val="both"/>
        <w:rPr>
          <w:rFonts w:ascii="Verdana" w:eastAsia="Calibri" w:hAnsi="Verdana" w:cs="Arial"/>
          <w:lang w:val="es-ES"/>
        </w:rPr>
      </w:pPr>
      <w:r w:rsidRPr="00612AAF">
        <w:rPr>
          <w:rFonts w:ascii="Verdana" w:eastAsia="Calibri" w:hAnsi="Verdana" w:cs="Arial"/>
          <w:lang w:val="es-ES"/>
        </w:rPr>
        <w:t xml:space="preserve">Por lo anterior, cualquier proyecto que tenga como finalidad la construcción, adecuación o mejoramiento de salones comunales debe regirse por los documentos tipo complementarios del sector cultura, recreación y deporte, expedidos por la Agencia Nacional de Contratación Pública Colombia Compra Eficiente. Esta obligación se fundamenta en que las actividades asociadas a dichos proyectos están contempladas en la Matriz 1 – Experiencia, específicamente en los numerales 3.1 y 3.2 previamente señaladas. En consecuencia, la aplicación de estos documentos tipo garantiza el cumplimiento de los estándares técnicos y jurídicos definidos por esta Agencia promoviendo la eficacia, transparencia y calidad en la ejecución de este tipo de intervenciones en salones comunales. </w:t>
      </w:r>
    </w:p>
    <w:p w14:paraId="385A3683" w14:textId="77777777" w:rsidR="009D47ED" w:rsidRPr="00612AAF" w:rsidRDefault="009D47ED" w:rsidP="009D47ED">
      <w:pPr>
        <w:spacing w:after="120" w:line="276" w:lineRule="auto"/>
        <w:ind w:firstLine="708"/>
        <w:jc w:val="both"/>
        <w:rPr>
          <w:rFonts w:ascii="Verdana" w:eastAsia="Calibri" w:hAnsi="Verdana" w:cs="Arial"/>
          <w:lang w:val="es-ES"/>
        </w:rPr>
      </w:pPr>
      <w:r w:rsidRPr="00612AAF">
        <w:rPr>
          <w:rFonts w:ascii="Verdana" w:eastAsia="Calibri" w:hAnsi="Verdana" w:cs="Arial"/>
          <w:lang w:val="es-ES"/>
        </w:rPr>
        <w:t xml:space="preserve">Así las cosas, la Agencia Nacional de Contratación Pública – Colombia Compra Eficiente le informa que a partir del 16 de febrero de 2026, si una entidad de aquellas obligadas a utilizar los documentos tipo expedidos por esta Entidad adelanta un proceso que tenga por objeto la construcción, adecuación o mejoramiento de salones comunales, deberá aplicar los documentos tipo complementarios del sector de cultura, recreación y deporte acogidos por esta Agencia mediante las Resoluciones 539, 540 y 541 de 2025, según el proyecto se adelante por la modalidad de licitación de obra pública, selección abreviada de menor cuantía o mínima cuantía, en donde se encuentran dispuestas las actividades 3.1 y 3.2 aplicables al proyecto por el que se indaga en su solicitud. </w:t>
      </w:r>
    </w:p>
    <w:p w14:paraId="77EA0A84" w14:textId="77777777" w:rsidR="009D47ED" w:rsidRPr="00612AAF" w:rsidRDefault="009D47ED" w:rsidP="009D47ED">
      <w:pPr>
        <w:spacing w:after="0" w:line="276" w:lineRule="auto"/>
        <w:ind w:firstLine="708"/>
        <w:jc w:val="both"/>
        <w:rPr>
          <w:rFonts w:ascii="Verdana" w:eastAsia="Calibri" w:hAnsi="Verdana" w:cs="Arial"/>
          <w:lang w:val="es-ES"/>
        </w:rPr>
      </w:pPr>
      <w:r w:rsidRPr="00612AAF">
        <w:rPr>
          <w:rFonts w:ascii="Verdana" w:eastAsia="Calibri" w:hAnsi="Verdana" w:cs="Arial"/>
          <w:lang w:val="es-ES"/>
        </w:rPr>
        <w:t xml:space="preserve">A partir de la fecha dispuesta para la implementación de los nuevos documentos tipo adoptados por las Resoluciones 539, 540 y 541 de 2025, las actividades que pretenda contratar una entidad que recaigan sobre salones comunales deberán desarrollarse conforme con lo establecido en la Matriz 1 – </w:t>
      </w:r>
      <w:r w:rsidRPr="00612AAF">
        <w:rPr>
          <w:rFonts w:ascii="Verdana" w:eastAsia="Calibri" w:hAnsi="Verdana" w:cs="Arial"/>
          <w:lang w:val="es-ES"/>
        </w:rPr>
        <w:lastRenderedPageBreak/>
        <w:t>Experiencia en las actividades relacionadas con “Grupo de ocupación de lugares de reunión”. Esto obedece a que, conforme con la definición técnica los salones comunales son espacios cuya característica predominante es servir como puntos de congregación comunitaria con fines sociales, culturales, recreativos, lo que coincide plenamente con los criterios establecidos para esta categoría de ocupación. En este contexto, se reconoce que la funcionalidad del salón comunal se alinea más con la lógica de uso ya fluencia de personas en actividades colectivas, que con una infraestructura cultural en sentido estricto.</w:t>
      </w:r>
    </w:p>
    <w:p w14:paraId="68A25C5E" w14:textId="77777777" w:rsidR="009D47ED" w:rsidRPr="00612AAF" w:rsidRDefault="009D47ED" w:rsidP="009D47ED">
      <w:pPr>
        <w:spacing w:after="120" w:line="276" w:lineRule="auto"/>
        <w:ind w:firstLine="708"/>
        <w:jc w:val="both"/>
        <w:rPr>
          <w:rFonts w:ascii="Verdana" w:eastAsia="Calibri" w:hAnsi="Verdana" w:cs="Arial"/>
          <w:lang w:val="es-ES"/>
        </w:rPr>
      </w:pPr>
      <w:r w:rsidRPr="00612AAF">
        <w:rPr>
          <w:rFonts w:ascii="Verdana" w:eastAsia="Calibri" w:hAnsi="Verdana" w:cs="Arial"/>
          <w:lang w:val="es-ES"/>
        </w:rPr>
        <w:t>En consecuencia, ya no ser</w:t>
      </w:r>
      <w:r>
        <w:rPr>
          <w:rFonts w:ascii="Verdana" w:eastAsia="Calibri" w:hAnsi="Verdana" w:cs="Arial"/>
          <w:lang w:val="es-ES"/>
        </w:rPr>
        <w:t>á</w:t>
      </w:r>
      <w:r w:rsidRPr="00612AAF">
        <w:rPr>
          <w:rFonts w:ascii="Verdana" w:eastAsia="Calibri" w:hAnsi="Verdana" w:cs="Arial"/>
          <w:lang w:val="es-ES"/>
        </w:rPr>
        <w:t xml:space="preserve"> aplicable la categoría de infraestructura cultura</w:t>
      </w:r>
      <w:r>
        <w:rPr>
          <w:rFonts w:ascii="Verdana" w:eastAsia="Calibri" w:hAnsi="Verdana" w:cs="Arial"/>
          <w:lang w:val="es-ES"/>
        </w:rPr>
        <w:t>l</w:t>
      </w:r>
      <w:r w:rsidRPr="00612AAF">
        <w:rPr>
          <w:rFonts w:ascii="Verdana" w:eastAsia="Calibri" w:hAnsi="Verdana" w:cs="Arial"/>
          <w:lang w:val="es-ES"/>
        </w:rPr>
        <w:t xml:space="preserve">, para efectos de determinar la experiencia general y específica exigida en procesos de contratación relacionados con salones comunales. En su lugar, se adoptará la categoría de grupo de ocupación de lugares de reunión, por ser no solo más amplia en términos de alcance, sino también más precisa al reflejar la naturaleza y uso real de estos espacios dentro del entorno comunitario. Esta clasificación permite una mejor correspondencia entre las características funcionales de los salones comunales y los criterios técnicos requeridos para su intervención, asegurando que las entidades contratantes exijan experiencia pertinente y alineada con la tipología de edificación objeto del proyecto. </w:t>
      </w:r>
    </w:p>
    <w:p w14:paraId="37BE6A13" w14:textId="77777777" w:rsidR="009D47ED" w:rsidRDefault="009D47ED" w:rsidP="009D47ED">
      <w:pPr>
        <w:spacing w:after="120" w:line="276" w:lineRule="auto"/>
        <w:ind w:firstLine="708"/>
        <w:jc w:val="both"/>
        <w:rPr>
          <w:rFonts w:ascii="Verdana" w:eastAsia="Calibri" w:hAnsi="Verdana" w:cs="Arial"/>
        </w:rPr>
      </w:pPr>
      <w:r w:rsidRPr="00612AAF">
        <w:rPr>
          <w:rFonts w:ascii="Verdana" w:eastAsia="Times New Roman" w:hAnsi="Verdana" w:cs="Arial"/>
          <w:lang w:val="es-ES" w:eastAsia="es-ES_tradnl"/>
        </w:rPr>
        <w:t>E</w:t>
      </w:r>
      <w:r w:rsidRPr="00612AAF">
        <w:rPr>
          <w:rFonts w:ascii="Verdana" w:eastAsia="Times New Roman" w:hAnsi="Verdana" w:cs="Arial"/>
          <w:lang w:eastAsia="es-ES_tradnl"/>
        </w:rPr>
        <w:t xml:space="preserve">s importante advertir que es la entidad contratante, al momento de adelantar sus actividades de planeación de cada proceso contractual, la competente para determinar si de acuerdo con las particularidades del contrato a ejecutar, este se encuadra o no dentro de alguna de las actividades de la </w:t>
      </w:r>
      <w:r w:rsidRPr="00612AAF">
        <w:rPr>
          <w:rFonts w:ascii="Verdana" w:eastAsia="Calibri" w:hAnsi="Verdana" w:cs="Arial"/>
          <w:color w:val="0D0D0D"/>
          <w:lang w:val="es-MX"/>
        </w:rPr>
        <w:t>“Matriz – Experiencia” de los documentos tipo del sector cultura, recreación y deporte</w:t>
      </w:r>
      <w:r w:rsidRPr="00612AAF">
        <w:rPr>
          <w:rFonts w:ascii="Verdana" w:eastAsia="Calibri" w:hAnsi="Verdana" w:cs="Arial"/>
        </w:rPr>
        <w:t>.</w:t>
      </w:r>
      <w:r w:rsidRPr="00FA1948">
        <w:rPr>
          <w:rFonts w:ascii="Verdana" w:eastAsia="Calibri" w:hAnsi="Verdana" w:cs="Arial"/>
        </w:rPr>
        <w:t xml:space="preserve"> </w:t>
      </w:r>
    </w:p>
    <w:p w14:paraId="1EF83245" w14:textId="77777777" w:rsidR="009D47ED" w:rsidRPr="006D568B" w:rsidRDefault="009D47ED" w:rsidP="009D47ED">
      <w:pPr>
        <w:spacing w:after="120" w:line="276" w:lineRule="auto"/>
        <w:ind w:firstLine="708"/>
        <w:jc w:val="both"/>
        <w:rPr>
          <w:rFonts w:ascii="Verdana" w:eastAsia="Calibri" w:hAnsi="Verdana" w:cs="Arial"/>
        </w:rPr>
      </w:pPr>
      <w:r>
        <w:rPr>
          <w:rFonts w:ascii="Verdana" w:eastAsia="Calibri" w:hAnsi="Verdana" w:cs="Arial"/>
        </w:rPr>
        <w:t xml:space="preserve">Así, </w:t>
      </w:r>
      <w:r w:rsidRPr="00B16E80">
        <w:rPr>
          <w:rFonts w:ascii="Verdana" w:eastAsia="Calibri" w:hAnsi="Verdana" w:cs="Times New Roman"/>
          <w:lang w:val="es-ES"/>
        </w:rPr>
        <w:t>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r w:rsidRPr="00B16E80">
        <w:rPr>
          <w:rFonts w:ascii="Verdana" w:eastAsia="Aptos" w:hAnsi="Verdana" w:cs="Arial"/>
          <w:color w:val="000000"/>
          <w:kern w:val="2"/>
          <w14:ligatures w14:val="standardContextual"/>
        </w:rPr>
        <w:t>.</w:t>
      </w:r>
    </w:p>
    <w:p w14:paraId="32AD52F7" w14:textId="77777777" w:rsidR="009D47ED" w:rsidRPr="00B16E80" w:rsidRDefault="009D47ED" w:rsidP="009D47ED">
      <w:pPr>
        <w:spacing w:after="0" w:line="276" w:lineRule="auto"/>
        <w:ind w:firstLine="708"/>
        <w:jc w:val="both"/>
        <w:rPr>
          <w:rFonts w:ascii="Century Gothic" w:eastAsia="Times New Roman" w:hAnsi="Century Gothic" w:cs="Times New Roman"/>
          <w:color w:val="000000"/>
          <w:lang w:eastAsia="es-MX"/>
        </w:rPr>
      </w:pPr>
      <w:r w:rsidRPr="00B16E80">
        <w:rPr>
          <w:rFonts w:ascii="Verdana" w:eastAsia="Calibri" w:hAnsi="Verdana" w:cs="Times New Roman"/>
          <w:lang w:val="es-ES"/>
        </w:rPr>
        <w:t xml:space="preserve">Dentro de este marco, la entidad contratante definirá en cada caso concreto lo relacionado con el tema objeto de consulta. Al tratarse de un análisis que debe realizarse en el procedimiento contractual específico, la Agencia no </w:t>
      </w:r>
      <w:r w:rsidRPr="00B16E80">
        <w:rPr>
          <w:rFonts w:ascii="Verdana" w:eastAsia="Calibri" w:hAnsi="Verdana" w:cs="Times New Roman"/>
          <w:lang w:val="es-ES"/>
        </w:rPr>
        <w:lastRenderedPageBreak/>
        <w:t>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3E5495A9" w14:textId="77777777" w:rsidR="009D47ED" w:rsidRPr="00B16E80" w:rsidRDefault="009D47ED" w:rsidP="009D47ED">
      <w:pPr>
        <w:spacing w:after="0" w:line="276" w:lineRule="auto"/>
        <w:jc w:val="both"/>
        <w:rPr>
          <w:rFonts w:ascii="Verdana" w:eastAsia="Calibri" w:hAnsi="Verdana" w:cs="Times New Roman"/>
        </w:rPr>
      </w:pPr>
    </w:p>
    <w:p w14:paraId="4DFE5C9F" w14:textId="77777777" w:rsidR="009D47ED" w:rsidRPr="00B16E80" w:rsidRDefault="009D47ED" w:rsidP="009D47ED">
      <w:pPr>
        <w:tabs>
          <w:tab w:val="left" w:pos="142"/>
          <w:tab w:val="left" w:pos="284"/>
        </w:tabs>
        <w:spacing w:after="0" w:line="276" w:lineRule="auto"/>
        <w:jc w:val="both"/>
        <w:rPr>
          <w:rFonts w:ascii="Verdana" w:eastAsia="Century Gothic" w:hAnsi="Verdana" w:cs="Century Gothic"/>
          <w:b/>
          <w:bCs/>
          <w:lang w:val="es-ES_tradnl"/>
        </w:rPr>
      </w:pPr>
      <w:r w:rsidRPr="00B16E80">
        <w:rPr>
          <w:rFonts w:ascii="Verdana" w:eastAsia="Century Gothic" w:hAnsi="Verdana" w:cs="Century Gothic"/>
          <w:b/>
          <w:bCs/>
          <w:lang w:val="es-ES_tradnl"/>
        </w:rPr>
        <w:t>4. Referencias normativas, jurisprudenciales y otras fuentes:</w:t>
      </w:r>
    </w:p>
    <w:p w14:paraId="32340CA4" w14:textId="77777777" w:rsidR="009D47ED" w:rsidRPr="00B16E80" w:rsidRDefault="009D47ED" w:rsidP="009D47ED">
      <w:pPr>
        <w:spacing w:after="0"/>
        <w:ind w:left="-15840"/>
        <w:jc w:val="both"/>
        <w:rPr>
          <w:rFonts w:ascii="Verdana" w:eastAsia="Calibri" w:hAnsi="Verdana" w:cs="Arial"/>
          <w:b/>
          <w:bCs/>
        </w:rPr>
      </w:pPr>
      <w:r w:rsidRPr="00B16E80">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9D47ED" w:rsidRPr="00B16E80" w14:paraId="2DF589C3" w14:textId="77777777" w:rsidTr="007746B4">
        <w:trPr>
          <w:trHeight w:val="870"/>
        </w:trPr>
        <w:tc>
          <w:tcPr>
            <w:tcW w:w="8647" w:type="dxa"/>
            <w:tcBorders>
              <w:top w:val="dotted" w:sz="4" w:space="0" w:color="auto"/>
              <w:left w:val="dotted" w:sz="4" w:space="0" w:color="auto"/>
              <w:bottom w:val="dotted" w:sz="4" w:space="0" w:color="auto"/>
              <w:right w:val="dotted" w:sz="4" w:space="0" w:color="auto"/>
            </w:tcBorders>
          </w:tcPr>
          <w:p w14:paraId="11D5B0FE" w14:textId="77777777" w:rsidR="009D47ED" w:rsidRPr="00B16E80" w:rsidRDefault="009D47ED" w:rsidP="007746B4">
            <w:pPr>
              <w:ind w:left="720"/>
              <w:contextualSpacing/>
              <w:jc w:val="both"/>
              <w:rPr>
                <w:rFonts w:ascii="Verdana" w:eastAsia="Calibri" w:hAnsi="Verdana" w:cs="Arial"/>
                <w:bCs/>
              </w:rPr>
            </w:pPr>
          </w:p>
          <w:p w14:paraId="4DF3C9B4" w14:textId="77777777" w:rsidR="009D47ED" w:rsidRPr="00B16E80" w:rsidRDefault="009D47ED" w:rsidP="009D47ED">
            <w:pPr>
              <w:widowControl w:val="0"/>
              <w:numPr>
                <w:ilvl w:val="0"/>
                <w:numId w:val="16"/>
              </w:numPr>
              <w:autoSpaceDE w:val="0"/>
              <w:autoSpaceDN w:val="0"/>
              <w:spacing w:line="276" w:lineRule="auto"/>
              <w:ind w:left="714" w:hanging="357"/>
              <w:jc w:val="both"/>
              <w:rPr>
                <w:rFonts w:ascii="Verdana" w:eastAsia="Calibri" w:hAnsi="Verdana" w:cs="Arial"/>
                <w:lang w:val="es-ES_tradnl"/>
              </w:rPr>
            </w:pPr>
            <w:r w:rsidRPr="00B16E80">
              <w:rPr>
                <w:rFonts w:ascii="Verdana" w:eastAsia="Calibri" w:hAnsi="Verdana" w:cs="Arial"/>
                <w:lang w:val="es-ES_tradnl"/>
              </w:rPr>
              <w:t xml:space="preserve">Ley 2022 de 2020, artículo 1. </w:t>
            </w:r>
          </w:p>
          <w:p w14:paraId="1C8DD888" w14:textId="77777777" w:rsidR="009D47ED" w:rsidRPr="00B16E80" w:rsidRDefault="009D47ED" w:rsidP="009D47ED">
            <w:pPr>
              <w:widowControl w:val="0"/>
              <w:numPr>
                <w:ilvl w:val="0"/>
                <w:numId w:val="16"/>
              </w:numPr>
              <w:autoSpaceDE w:val="0"/>
              <w:autoSpaceDN w:val="0"/>
              <w:spacing w:line="276" w:lineRule="auto"/>
              <w:jc w:val="both"/>
              <w:rPr>
                <w:rFonts w:ascii="Verdana" w:eastAsia="Calibri" w:hAnsi="Verdana" w:cs="Arial"/>
              </w:rPr>
            </w:pPr>
            <w:r w:rsidRPr="00B16E80">
              <w:rPr>
                <w:rFonts w:ascii="Verdana" w:eastAsia="Calibri" w:hAnsi="Verdana" w:cs="Arial"/>
              </w:rPr>
              <w:t>Ley 1150 de 2007, artículo 2.</w:t>
            </w:r>
          </w:p>
          <w:p w14:paraId="08B8A098" w14:textId="77777777" w:rsidR="009D47ED" w:rsidRPr="00B16E80" w:rsidRDefault="009D47ED" w:rsidP="009D47ED">
            <w:pPr>
              <w:widowControl w:val="0"/>
              <w:numPr>
                <w:ilvl w:val="0"/>
                <w:numId w:val="16"/>
              </w:numPr>
              <w:autoSpaceDE w:val="0"/>
              <w:autoSpaceDN w:val="0"/>
              <w:spacing w:line="276" w:lineRule="auto"/>
              <w:contextualSpacing/>
              <w:jc w:val="both"/>
              <w:rPr>
                <w:rFonts w:ascii="Verdana" w:eastAsia="Calibri" w:hAnsi="Verdana" w:cs="Arial"/>
              </w:rPr>
            </w:pPr>
            <w:r w:rsidRPr="00B16E80">
              <w:rPr>
                <w:rFonts w:ascii="Verdana" w:eastAsia="Calibri" w:hAnsi="Verdana" w:cs="Arial"/>
                <w:lang w:val="es-ES_tradnl"/>
              </w:rPr>
              <w:t xml:space="preserve">Documentos Tipo. Disponibles en: </w:t>
            </w:r>
            <w:hyperlink r:id="rId11" w:history="1">
              <w:r w:rsidRPr="00B16E80">
                <w:rPr>
                  <w:rFonts w:ascii="Verdana" w:eastAsia="Calibri" w:hAnsi="Verdana" w:cs="Arial"/>
                  <w:color w:val="0000FF"/>
                  <w:u w:val="single"/>
                  <w:lang w:val="es-ES_tradnl"/>
                </w:rPr>
                <w:t>https://www.colombiacompra.gov.co/documentos-tipo/documentos-tipo</w:t>
              </w:r>
            </w:hyperlink>
            <w:r w:rsidRPr="00B16E80">
              <w:rPr>
                <w:rFonts w:ascii="Verdana" w:eastAsia="Calibri" w:hAnsi="Verdana" w:cs="Arial"/>
                <w:lang w:val="es-ES_tradnl"/>
              </w:rPr>
              <w:t>.</w:t>
            </w:r>
          </w:p>
        </w:tc>
      </w:tr>
    </w:tbl>
    <w:p w14:paraId="3FB2CD90" w14:textId="77777777" w:rsidR="009D47ED" w:rsidRPr="00B16E80" w:rsidRDefault="009D47ED" w:rsidP="009D47ED">
      <w:pPr>
        <w:tabs>
          <w:tab w:val="left" w:pos="142"/>
          <w:tab w:val="left" w:pos="284"/>
        </w:tabs>
        <w:spacing w:after="0" w:line="276" w:lineRule="auto"/>
        <w:jc w:val="both"/>
        <w:rPr>
          <w:rFonts w:ascii="Verdana" w:eastAsia="Calibri" w:hAnsi="Verdana" w:cs="Arial"/>
        </w:rPr>
      </w:pPr>
    </w:p>
    <w:p w14:paraId="4984F157" w14:textId="77777777" w:rsidR="009D47ED" w:rsidRPr="00B16E80" w:rsidRDefault="009D47ED" w:rsidP="009D47ED">
      <w:pPr>
        <w:tabs>
          <w:tab w:val="left" w:pos="142"/>
          <w:tab w:val="left" w:pos="284"/>
        </w:tabs>
        <w:spacing w:after="0" w:line="276" w:lineRule="auto"/>
        <w:jc w:val="both"/>
        <w:rPr>
          <w:rFonts w:ascii="Verdana" w:eastAsia="Century Gothic" w:hAnsi="Verdana" w:cs="Century Gothic"/>
          <w:b/>
          <w:bCs/>
          <w:lang w:val="es-ES"/>
        </w:rPr>
      </w:pPr>
      <w:r w:rsidRPr="00B16E80">
        <w:rPr>
          <w:rFonts w:ascii="Verdana" w:eastAsia="Calibri" w:hAnsi="Verdana" w:cs="Arial"/>
          <w:b/>
          <w:bCs/>
        </w:rPr>
        <w:t>5</w:t>
      </w:r>
      <w:r w:rsidRPr="00B16E80">
        <w:rPr>
          <w:rFonts w:ascii="Verdana" w:eastAsia="Calibri" w:hAnsi="Verdana" w:cs="Arial"/>
        </w:rPr>
        <w:t>.</w:t>
      </w:r>
      <w:r w:rsidRPr="00B16E80">
        <w:rPr>
          <w:rFonts w:ascii="Verdana" w:eastAsia="Century Gothic" w:hAnsi="Verdana" w:cs="Century Gothic"/>
          <w:b/>
          <w:bCs/>
          <w:lang w:val="es-ES"/>
        </w:rPr>
        <w:t>Doctrina de la Agencia Nacional de Contratación Pública:</w:t>
      </w:r>
    </w:p>
    <w:p w14:paraId="0C2B8341" w14:textId="77777777" w:rsidR="009D47ED" w:rsidRPr="00B16E80" w:rsidRDefault="009D47ED" w:rsidP="009D47ED">
      <w:pPr>
        <w:widowControl w:val="0"/>
        <w:autoSpaceDE w:val="0"/>
        <w:autoSpaceDN w:val="0"/>
        <w:spacing w:after="0" w:line="276" w:lineRule="auto"/>
        <w:jc w:val="both"/>
        <w:rPr>
          <w:rFonts w:ascii="Verdana" w:eastAsia="Calibri" w:hAnsi="Verdana" w:cs="Arial"/>
        </w:rPr>
      </w:pPr>
    </w:p>
    <w:p w14:paraId="7C57169F" w14:textId="77777777" w:rsidR="009D47ED" w:rsidRPr="00B16E80" w:rsidRDefault="009D47ED" w:rsidP="009D47ED">
      <w:pPr>
        <w:spacing w:after="0" w:line="276" w:lineRule="auto"/>
        <w:jc w:val="both"/>
        <w:rPr>
          <w:rFonts w:ascii="Verdana" w:eastAsia="Calibri" w:hAnsi="Verdana" w:cs="Arial"/>
          <w:lang w:val="es-ES"/>
        </w:rPr>
      </w:pPr>
      <w:r w:rsidRPr="00B16E80">
        <w:rPr>
          <w:rFonts w:ascii="Verdana" w:eastAsia="Calibri" w:hAnsi="Verdana" w:cs="Arial"/>
          <w:shd w:val="clear" w:color="auto" w:fill="FFFFFF"/>
          <w:lang w:val="es-ES"/>
        </w:rPr>
        <w:t>La Agencia Nacional de Contratación Pública – Colombia Compra Eficiente se pronunció</w:t>
      </w:r>
      <w:r w:rsidRPr="00B16E80">
        <w:rPr>
          <w:rFonts w:ascii="Verdana" w:eastAsia="Calibri" w:hAnsi="Verdana" w:cs="Times New Roman"/>
        </w:rPr>
        <w:t xml:space="preserve"> </w:t>
      </w:r>
      <w:r w:rsidRPr="00B16E80">
        <w:rPr>
          <w:rFonts w:ascii="Verdana" w:eastAsia="Calibri" w:hAnsi="Verdana" w:cs="Arial"/>
          <w:shd w:val="clear" w:color="auto" w:fill="FFFFFF"/>
          <w:lang w:val="es-ES"/>
        </w:rPr>
        <w:t>sobre el ámbito de aplicación de los documentos tipo de 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2023,C-231 del 30 de junio de 2023, C-587 del 23 de octubre de 2024,</w:t>
      </w:r>
      <w:r w:rsidRPr="00B16E80">
        <w:rPr>
          <w:rFonts w:ascii="Verdana" w:eastAsia="Calibri" w:hAnsi="Verdana" w:cs="Arial"/>
          <w:shd w:val="clear" w:color="auto" w:fill="FFFFFF"/>
          <w:lang w:val="es-ES"/>
        </w:rPr>
        <w:tab/>
        <w:t xml:space="preserve">C-636 del 1 de noviembre de 2024, C-777 del 9 de diciembre de 2024, C-971 del 21 de enero de 2025, entre otros. </w:t>
      </w:r>
    </w:p>
    <w:p w14:paraId="340BD2F0" w14:textId="77777777" w:rsidR="009D47ED" w:rsidRPr="00B16E80" w:rsidRDefault="009D47ED" w:rsidP="009D47ED">
      <w:pPr>
        <w:spacing w:after="0" w:line="276" w:lineRule="auto"/>
        <w:jc w:val="both"/>
        <w:rPr>
          <w:rFonts w:ascii="Verdana" w:eastAsia="Times New Roman" w:hAnsi="Verdana" w:cs="Arial"/>
          <w:shd w:val="clear" w:color="auto" w:fill="FFFFFF"/>
          <w:lang w:val="es-ES"/>
        </w:rPr>
      </w:pPr>
    </w:p>
    <w:p w14:paraId="44A820B9" w14:textId="77777777" w:rsidR="009D47ED" w:rsidRPr="00B16E80" w:rsidRDefault="009D47ED" w:rsidP="009D47ED">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B16E80">
        <w:rPr>
          <w:rFonts w:ascii="Verdana" w:eastAsia="Calibri" w:hAnsi="Verdana" w:cs="Arial"/>
          <w:kern w:val="2"/>
          <w:shd w:val="clear" w:color="auto" w:fill="FFFFFF"/>
          <w:lang w:val="es-ES_tradnl"/>
          <w14:ligatures w14:val="standardContextual"/>
        </w:rPr>
        <w:t>Por otra parte, la Agencia Nacional de Contratación Pública – Colombia Compra Eficiente se</w:t>
      </w:r>
      <w:r w:rsidRPr="00B16E80">
        <w:rPr>
          <w:rFonts w:ascii="Verdana" w:eastAsia="Aptos" w:hAnsi="Verdana" w:cs="Times New Roman"/>
          <w:kern w:val="2"/>
          <w14:ligatures w14:val="standardContextual"/>
        </w:rPr>
        <w:t xml:space="preserve"> </w:t>
      </w:r>
      <w:r w:rsidRPr="00B16E80">
        <w:rPr>
          <w:rFonts w:ascii="Verdana" w:eastAsia="Calibri" w:hAnsi="Verdana" w:cs="Arial"/>
          <w:kern w:val="2"/>
          <w:shd w:val="clear" w:color="auto" w:fill="FFFFFF"/>
          <w:lang w:val="es-ES_tradnl"/>
          <w14:ligatures w14:val="standardContextual"/>
        </w:rPr>
        <w:t>pronunció</w:t>
      </w:r>
      <w:r w:rsidRPr="00B16E80">
        <w:rPr>
          <w:rFonts w:ascii="Verdana" w:eastAsia="Aptos" w:hAnsi="Verdana" w:cs="Times New Roman"/>
          <w:kern w:val="2"/>
          <w:lang w:val="es-ES_tradnl"/>
          <w14:ligatures w14:val="standardContextual"/>
        </w:rPr>
        <w:t xml:space="preserve"> </w:t>
      </w:r>
      <w:r w:rsidRPr="00B16E80">
        <w:rPr>
          <w:rFonts w:ascii="Verdana" w:eastAsia="Calibri" w:hAnsi="Verdana" w:cs="Arial"/>
          <w:kern w:val="2"/>
          <w:shd w:val="clear" w:color="auto" w:fill="FFFFFF"/>
          <w:lang w:val="es-ES"/>
          <w14:ligatures w14:val="standardContextual"/>
        </w:rPr>
        <w:t xml:space="preserve">sobre la forma de establecer y acreditar la experiencia exigible en procesos de contratación adelantados con documentos tipo, en los conceptos  C-056 del 8 de enero de 2020, C-069 del 24 de enero de 2020, C-097 del 5 de febrero de 2020, C-198 del 17 de abril de 2020, C-325 del 26 de mayo de 2020, C-444 del 13 de julio de 2020, C-466 del 24 de julio de 2020, C-485 del 29 de julio de 2020, C-501 del 29 de julio de 2020, C-478 del 30 de julio de 2020, C-450 de 3 de agosto de 2020, C-497 del 6 de agosto de 2020, C-528 </w:t>
      </w:r>
      <w:r w:rsidRPr="00B16E80">
        <w:rPr>
          <w:rFonts w:ascii="Verdana" w:eastAsia="Calibri" w:hAnsi="Verdana" w:cs="Arial"/>
          <w:kern w:val="2"/>
          <w:shd w:val="clear" w:color="auto" w:fill="FFFFFF"/>
          <w:lang w:val="es-ES"/>
          <w14:ligatures w14:val="standardContextual"/>
        </w:rPr>
        <w:lastRenderedPageBreak/>
        <w:t xml:space="preserve">del 18 de agosto de 2020, C-531 del 21 de agosto de 2020, C-546 del 26 de agosto de 2020, C-597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C-697 del 21 de diciembre de 2020, C-698 del 19 de noviembre de 2020 y C-018 del 23 de febrero de 2021, C-233 del 24 de mayo de 2021, C-355 del 19 de julio de 2021, C-452 del 31 de agosto de 2021, C-454 del 31 de agosto de 2021, C-502 del 21 de septiembre de 2021, C-526 del 27 de septiembre de 2021, C-605 del 2 de noviembre de 2021, C-665 del 23 de diciembre de 2021, C-735 del 28 de enero de 2022, C-437 del  6 de septiembre de 2022, C-195 del 1 de agosto de 2024, C-790 del 12 de diciembre de 2024, C-971 del 21 de enero de 2025, C-064 del 27 de marzo de 2025 y C-337 del 25 de abril de 2025, C-567 del 6 de junio de 2025 y C-629 del 24 de junio de 2025, </w:t>
      </w:r>
      <w:r w:rsidRPr="00B16E80">
        <w:rPr>
          <w:rFonts w:ascii="Verdana" w:eastAsia="Calibri" w:hAnsi="Verdana" w:cs="Arial"/>
          <w:shd w:val="clear" w:color="auto" w:fill="FFFFFF"/>
          <w:lang w:val="es-ES"/>
        </w:rPr>
        <w:t>C-854 del 4 de agosto de 2025</w:t>
      </w:r>
      <w:r>
        <w:rPr>
          <w:rFonts w:ascii="Verdana" w:eastAsia="Calibri" w:hAnsi="Verdana" w:cs="Arial"/>
          <w:shd w:val="clear" w:color="auto" w:fill="FFFFFF"/>
          <w:lang w:val="es-ES"/>
        </w:rPr>
        <w:t xml:space="preserve"> y C-1154 del 15 de septiembre de 2025</w:t>
      </w:r>
      <w:r w:rsidRPr="00B16E80">
        <w:rPr>
          <w:rFonts w:ascii="Verdana" w:eastAsia="Calibri" w:hAnsi="Verdana" w:cs="Arial"/>
          <w:shd w:val="clear" w:color="auto" w:fill="FFFFFF"/>
          <w:lang w:val="es-ES"/>
        </w:rPr>
        <w:t xml:space="preserve">, </w:t>
      </w:r>
      <w:r w:rsidRPr="00B16E80">
        <w:rPr>
          <w:rFonts w:ascii="Verdana" w:eastAsia="Calibri" w:hAnsi="Verdana" w:cs="Arial"/>
          <w:kern w:val="2"/>
          <w:shd w:val="clear" w:color="auto" w:fill="FFFFFF"/>
          <w:lang w:val="es-ES"/>
          <w14:ligatures w14:val="standardContextual"/>
        </w:rPr>
        <w:t>entre otros</w:t>
      </w:r>
      <w:r w:rsidRPr="00B16E80">
        <w:rPr>
          <w:rFonts w:ascii="Verdana" w:eastAsia="Calibri" w:hAnsi="Verdana" w:cs="Arial"/>
          <w:kern w:val="2"/>
          <w:shd w:val="clear" w:color="auto" w:fill="FFFFFF"/>
          <w:lang w:val="es-ES_tradnl"/>
          <w14:ligatures w14:val="standardContextual"/>
        </w:rPr>
        <w:t xml:space="preserve">. </w:t>
      </w:r>
      <w:r w:rsidRPr="00B16E80">
        <w:rPr>
          <w:rFonts w:ascii="Verdana" w:eastAsia="Aptos" w:hAnsi="Verdana" w:cs="Times New Roman"/>
          <w:kern w:val="2"/>
          <w:lang w:val="es-ES_tradnl"/>
          <w14:ligatures w14:val="standardContextual"/>
        </w:rPr>
        <w:t xml:space="preserve"> </w:t>
      </w:r>
    </w:p>
    <w:p w14:paraId="00FC2364" w14:textId="77777777" w:rsidR="009D47ED" w:rsidRPr="00B16E80" w:rsidRDefault="009D47ED" w:rsidP="009D47ED">
      <w:pPr>
        <w:widowControl w:val="0"/>
        <w:autoSpaceDE w:val="0"/>
        <w:autoSpaceDN w:val="0"/>
        <w:spacing w:after="0" w:line="276" w:lineRule="auto"/>
        <w:jc w:val="both"/>
        <w:rPr>
          <w:rFonts w:ascii="Verdana" w:eastAsia="Times New Roman" w:hAnsi="Verdana" w:cs="Arial"/>
          <w:shd w:val="clear" w:color="auto" w:fill="FFFFFF"/>
          <w:lang w:val="es-ES"/>
        </w:rPr>
      </w:pPr>
    </w:p>
    <w:p w14:paraId="63E6600F" w14:textId="77777777" w:rsidR="009D47ED" w:rsidRPr="00B16E80" w:rsidRDefault="009D47ED" w:rsidP="009D47ED">
      <w:pPr>
        <w:widowControl w:val="0"/>
        <w:autoSpaceDE w:val="0"/>
        <w:autoSpaceDN w:val="0"/>
        <w:spacing w:after="0" w:line="276" w:lineRule="auto"/>
        <w:jc w:val="both"/>
        <w:rPr>
          <w:rFonts w:ascii="Verdana" w:eastAsia="Times New Roman" w:hAnsi="Verdana" w:cs="Arial"/>
          <w:shd w:val="clear" w:color="auto" w:fill="FFFFFF"/>
          <w:lang w:val="es-ES"/>
        </w:rPr>
      </w:pPr>
      <w:r w:rsidRPr="00B16E80">
        <w:rPr>
          <w:rFonts w:ascii="Verdana" w:eastAsia="Calibri" w:hAnsi="Verdana" w:cs="Arial"/>
          <w:color w:val="000000"/>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9D62E6">
          <w:rPr>
            <w:rFonts w:ascii="Verdana" w:eastAsia="Calibri" w:hAnsi="Verdana" w:cs="Arial"/>
            <w:color w:val="0000FF"/>
            <w:kern w:val="2"/>
            <w:u w:val="single"/>
            <w:shd w:val="clear" w:color="auto" w:fill="FFFFFF"/>
            <w14:ligatures w14:val="standardContextual"/>
          </w:rPr>
          <w:t>https://relatoria.colombiacompra.gov.co/</w:t>
        </w:r>
      </w:hyperlink>
      <w:r w:rsidRPr="009D62E6">
        <w:rPr>
          <w:rFonts w:ascii="Verdana" w:eastAsia="Calibri" w:hAnsi="Verdana" w:cs="Arial"/>
          <w:color w:val="0000FF"/>
          <w:kern w:val="2"/>
          <w:u w:val="single"/>
          <w:shd w:val="clear" w:color="auto" w:fill="FFFFFF"/>
          <w14:ligatures w14:val="standardContextual"/>
        </w:rPr>
        <w:t> .</w:t>
      </w:r>
    </w:p>
    <w:p w14:paraId="18000A27" w14:textId="77777777" w:rsidR="009D47ED" w:rsidRPr="00B16E80" w:rsidRDefault="009D47ED" w:rsidP="009D47ED">
      <w:pPr>
        <w:spacing w:after="0" w:line="240" w:lineRule="auto"/>
        <w:jc w:val="both"/>
        <w:rPr>
          <w:rFonts w:ascii="Verdana" w:eastAsia="Calibri" w:hAnsi="Verdana" w:cs="Arial"/>
          <w:color w:val="000000"/>
          <w:shd w:val="clear" w:color="auto" w:fill="FFFFFF"/>
        </w:rPr>
      </w:pPr>
    </w:p>
    <w:bookmarkEnd w:id="0"/>
    <w:p w14:paraId="54922BEB" w14:textId="77777777" w:rsidR="009D47ED" w:rsidRPr="00B16E80" w:rsidRDefault="009D47ED" w:rsidP="009D47ED">
      <w:pPr>
        <w:spacing w:after="0" w:line="240" w:lineRule="auto"/>
        <w:jc w:val="both"/>
        <w:rPr>
          <w:rFonts w:ascii="Verdana" w:eastAsia="Calibri" w:hAnsi="Verdana" w:cs="Arial"/>
          <w:color w:val="000000"/>
          <w:kern w:val="2"/>
          <w:shd w:val="clear" w:color="auto" w:fill="FFFFFF"/>
          <w14:ligatures w14:val="standardContextual"/>
        </w:rPr>
      </w:pPr>
      <w:r w:rsidRPr="00B16E80">
        <w:rPr>
          <w:rFonts w:ascii="Verdana" w:eastAsia="Calibri" w:hAnsi="Verdana" w:cs="Arial"/>
          <w:color w:val="000000"/>
          <w:kern w:val="2"/>
          <w:shd w:val="clear" w:color="auto" w:fill="FFFFFF"/>
          <w14:ligatures w14:val="standardContextual"/>
        </w:rPr>
        <w:t>La Agencia Nacional de Contratación Pública – Colombia Compra Eficiente le informa que ya se encuentra disponible la </w:t>
      </w:r>
      <w:r w:rsidRPr="00B16E80">
        <w:rPr>
          <w:rFonts w:ascii="Verdana" w:eastAsia="Calibri" w:hAnsi="Verdana" w:cs="Arial"/>
          <w:b/>
          <w:bCs/>
          <w:color w:val="000000"/>
          <w:kern w:val="2"/>
          <w:shd w:val="clear" w:color="auto" w:fill="FFFFFF"/>
          <w14:ligatures w14:val="standardContextual"/>
        </w:rPr>
        <w:t>Guía de lineamientos de transparencia y selección objetiva para el departamento de La Guajira – Objetivo sexto constitucional de la Sentencia T-302 del 2017. </w:t>
      </w:r>
      <w:r w:rsidRPr="00B16E80">
        <w:rPr>
          <w:rFonts w:ascii="Verdana" w:eastAsia="Calibri" w:hAnsi="Verdana" w:cs="Arial"/>
          <w:color w:val="000000"/>
          <w:kern w:val="2"/>
          <w:shd w:val="clear" w:color="auto" w:fill="FFFFFF"/>
          <w14:ligatures w14:val="standardContextual"/>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B16E80">
        <w:rPr>
          <w:rFonts w:ascii="Verdana" w:eastAsia="Calibri" w:hAnsi="Verdana" w:cs="Arial"/>
          <w:color w:val="000000"/>
          <w:kern w:val="2"/>
          <w:shd w:val="clear" w:color="auto" w:fill="FFFFFF"/>
          <w14:ligatures w14:val="standardContextual"/>
        </w:rPr>
        <w:t>Wayúu</w:t>
      </w:r>
      <w:proofErr w:type="spellEnd"/>
      <w:r w:rsidRPr="00B16E80">
        <w:rPr>
          <w:rFonts w:ascii="Verdana" w:eastAsia="Calibri" w:hAnsi="Verdana" w:cs="Arial"/>
          <w:color w:val="000000"/>
          <w:kern w:val="2"/>
          <w:shd w:val="clear" w:color="auto" w:fill="FFFFFF"/>
          <w14:ligatures w14:val="standardContextual"/>
        </w:rPr>
        <w:t>. Puede consultar la guía en el siguiente enlace: </w:t>
      </w:r>
      <w:hyperlink r:id="rId13" w:tooltip="Dirección URL original: https://www.colombiacompra.gov.co/wp-content/uploads/2025/05/GUIA-DE-LINEAMIENTOS-DE-TRANSPARENCIA-Y-SELECCION-OBJETIVA-1.0.pdf. Haga clic o pulse si confía en este vínculo." w:history="1">
        <w:r w:rsidRPr="00B16E80">
          <w:rPr>
            <w:rFonts w:ascii="Verdana" w:eastAsia="Calibri" w:hAnsi="Verdana" w:cs="Arial"/>
            <w:color w:val="0000FF"/>
            <w:kern w:val="2"/>
            <w:u w:val="single"/>
            <w:shd w:val="clear" w:color="auto" w:fill="FFFFFF"/>
            <w14:ligatures w14:val="standardContextual"/>
          </w:rPr>
          <w:t>Guía de lineamientos de transparencia y selección objetiva para el departamento de La Guajira – Objetivo sexto constitucional de la Sentencia T-302 del 2017</w:t>
        </w:r>
      </w:hyperlink>
      <w:r w:rsidRPr="00B16E80">
        <w:rPr>
          <w:rFonts w:ascii="Verdana" w:eastAsia="Calibri" w:hAnsi="Verdana" w:cs="Arial"/>
          <w:color w:val="000000"/>
          <w:kern w:val="2"/>
          <w:u w:val="single"/>
          <w:shd w:val="clear" w:color="auto" w:fill="FFFFFF"/>
          <w14:ligatures w14:val="standardContextual"/>
        </w:rPr>
        <w:t>"</w:t>
      </w:r>
    </w:p>
    <w:p w14:paraId="06ABC797" w14:textId="77777777" w:rsidR="009D47ED" w:rsidRPr="00B16E80" w:rsidRDefault="009D47ED" w:rsidP="009D47ED">
      <w:pPr>
        <w:spacing w:after="0" w:line="278" w:lineRule="auto"/>
        <w:jc w:val="both"/>
        <w:rPr>
          <w:rFonts w:ascii="Verdana" w:eastAsia="Aptos" w:hAnsi="Verdana" w:cs="Times New Roman"/>
          <w:color w:val="212121"/>
          <w:kern w:val="2"/>
          <w:sz w:val="24"/>
          <w:szCs w:val="24"/>
          <w14:ligatures w14:val="standardContextual"/>
        </w:rPr>
      </w:pPr>
    </w:p>
    <w:p w14:paraId="0714B0F1" w14:textId="77777777" w:rsidR="009D47ED" w:rsidRPr="00B16E80" w:rsidRDefault="009D47ED" w:rsidP="009D47ED">
      <w:pPr>
        <w:spacing w:after="0" w:line="240" w:lineRule="auto"/>
        <w:jc w:val="both"/>
        <w:rPr>
          <w:rFonts w:ascii="Verdana" w:eastAsia="Calibri" w:hAnsi="Verdana" w:cs="Times New Roman"/>
          <w:kern w:val="2"/>
          <w14:ligatures w14:val="standardContextual"/>
        </w:rPr>
      </w:pPr>
      <w:r w:rsidRPr="00B16E80">
        <w:rPr>
          <w:rFonts w:ascii="Verdana" w:eastAsia="Aptos" w:hAnsi="Verdana" w:cs="Times New Roman"/>
          <w:kern w:val="2"/>
          <w14:ligatures w14:val="standardContextual"/>
        </w:rPr>
        <w:t xml:space="preserve">Por último, lo invitamos a seguirnos en las redes sociales en las cuales se difunde información institucional: </w:t>
      </w:r>
    </w:p>
    <w:p w14:paraId="3FD4D329" w14:textId="77777777" w:rsidR="009D47ED" w:rsidRPr="00B16E80" w:rsidRDefault="009D47ED" w:rsidP="009D47ED">
      <w:pPr>
        <w:spacing w:after="0" w:line="240" w:lineRule="auto"/>
        <w:jc w:val="both"/>
        <w:rPr>
          <w:rFonts w:ascii="Verdana" w:eastAsia="Aptos" w:hAnsi="Verdana" w:cs="Times New Roman"/>
          <w:kern w:val="2"/>
          <w14:ligatures w14:val="standardContextual"/>
        </w:rPr>
      </w:pPr>
    </w:p>
    <w:p w14:paraId="62B59BEB" w14:textId="77777777" w:rsidR="009D47ED" w:rsidRPr="00B16E80" w:rsidRDefault="009D47ED" w:rsidP="009D47ED">
      <w:pPr>
        <w:spacing w:after="0" w:line="240" w:lineRule="auto"/>
        <w:jc w:val="both"/>
        <w:rPr>
          <w:rFonts w:ascii="Verdana" w:eastAsia="Aptos" w:hAnsi="Verdana" w:cs="Times New Roman"/>
          <w:kern w:val="2"/>
          <w14:ligatures w14:val="standardContextual"/>
        </w:rPr>
      </w:pPr>
      <w:r w:rsidRPr="00B16E80">
        <w:rPr>
          <w:rFonts w:ascii="Verdana" w:eastAsia="Aptos" w:hAnsi="Verdana" w:cs="Times New Roman"/>
          <w:kern w:val="2"/>
          <w14:ligatures w14:val="standardContextual"/>
        </w:rPr>
        <w:t xml:space="preserve">Twitter: </w:t>
      </w:r>
      <w:r w:rsidRPr="00B16E80">
        <w:rPr>
          <w:rFonts w:ascii="Verdana" w:eastAsia="Calibri" w:hAnsi="Verdana" w:cs="Times New Roman"/>
          <w:color w:val="156082"/>
          <w:kern w:val="2"/>
          <w:u w:val="single"/>
          <w14:ligatures w14:val="standardContextual"/>
        </w:rPr>
        <w:t>@colombiacompra</w:t>
      </w:r>
      <w:r w:rsidRPr="00B16E80">
        <w:rPr>
          <w:rFonts w:ascii="Verdana" w:eastAsia="Calibri" w:hAnsi="Verdana" w:cs="Times New Roman"/>
          <w:color w:val="156082"/>
          <w:kern w:val="2"/>
          <w14:ligatures w14:val="standardContextual"/>
        </w:rPr>
        <w:t xml:space="preserve"> </w:t>
      </w:r>
    </w:p>
    <w:p w14:paraId="6C2B5FE8" w14:textId="77777777" w:rsidR="009D47ED" w:rsidRPr="00B16E80" w:rsidRDefault="009D47ED" w:rsidP="009D47ED">
      <w:pPr>
        <w:spacing w:after="0" w:line="240" w:lineRule="auto"/>
        <w:jc w:val="both"/>
        <w:rPr>
          <w:rFonts w:ascii="Verdana" w:eastAsia="Aptos" w:hAnsi="Verdana" w:cs="Times New Roman"/>
          <w:kern w:val="2"/>
          <w14:ligatures w14:val="standardContextual"/>
        </w:rPr>
      </w:pPr>
      <w:r w:rsidRPr="00B16E80">
        <w:rPr>
          <w:rFonts w:ascii="Verdana" w:eastAsia="Aptos" w:hAnsi="Verdana" w:cs="Times New Roman"/>
          <w:kern w:val="2"/>
          <w14:ligatures w14:val="standardContextual"/>
        </w:rPr>
        <w:t xml:space="preserve">Facebook: </w:t>
      </w:r>
      <w:proofErr w:type="spellStart"/>
      <w:r w:rsidRPr="00B16E80">
        <w:rPr>
          <w:rFonts w:ascii="Verdana" w:eastAsia="Calibri" w:hAnsi="Verdana" w:cs="Times New Roman"/>
          <w:color w:val="156082"/>
          <w:kern w:val="2"/>
          <w:u w:val="single"/>
          <w14:ligatures w14:val="standardContextual"/>
        </w:rPr>
        <w:t>ColombiaCompraEficiente</w:t>
      </w:r>
      <w:proofErr w:type="spellEnd"/>
    </w:p>
    <w:p w14:paraId="570B49CE" w14:textId="77777777" w:rsidR="009D47ED" w:rsidRPr="00B16E80" w:rsidRDefault="009D47ED" w:rsidP="009D47ED">
      <w:pPr>
        <w:spacing w:after="0" w:line="240" w:lineRule="auto"/>
        <w:jc w:val="both"/>
        <w:rPr>
          <w:rFonts w:ascii="Verdana" w:eastAsia="Aptos" w:hAnsi="Verdana" w:cs="Times New Roman"/>
          <w:kern w:val="2"/>
          <w14:ligatures w14:val="standardContextual"/>
        </w:rPr>
      </w:pPr>
      <w:r w:rsidRPr="00B16E80">
        <w:rPr>
          <w:rFonts w:ascii="Verdana" w:eastAsia="Aptos" w:hAnsi="Verdana" w:cs="Times New Roman"/>
          <w:kern w:val="2"/>
          <w14:ligatures w14:val="standardContextual"/>
        </w:rPr>
        <w:t xml:space="preserve">LinkedIn: </w:t>
      </w:r>
      <w:r w:rsidRPr="00B16E80">
        <w:rPr>
          <w:rFonts w:ascii="Verdana" w:eastAsia="Calibri" w:hAnsi="Verdana" w:cs="Times New Roman"/>
          <w:color w:val="156082"/>
          <w:kern w:val="2"/>
          <w:u w:val="single"/>
          <w14:ligatures w14:val="standardContextual"/>
        </w:rPr>
        <w:t>Agencia Nacional de Contratación Pública - Colombia Compra Eficiente</w:t>
      </w:r>
      <w:r w:rsidRPr="00B16E80">
        <w:rPr>
          <w:rFonts w:ascii="Verdana" w:eastAsia="Calibri" w:hAnsi="Verdana" w:cs="Times New Roman"/>
          <w:color w:val="156082"/>
          <w:kern w:val="2"/>
          <w14:ligatures w14:val="standardContextual"/>
        </w:rPr>
        <w:t xml:space="preserve"> </w:t>
      </w:r>
      <w:r w:rsidRPr="00B16E80">
        <w:rPr>
          <w:rFonts w:ascii="Verdana" w:eastAsia="Aptos" w:hAnsi="Verdana" w:cs="Times New Roman"/>
          <w:kern w:val="2"/>
          <w14:ligatures w14:val="standardContextual"/>
        </w:rPr>
        <w:t xml:space="preserve">Instagram: </w:t>
      </w:r>
      <w:r w:rsidRPr="00B16E80">
        <w:rPr>
          <w:rFonts w:ascii="Verdana" w:eastAsia="Calibri" w:hAnsi="Verdana" w:cs="Times New Roman"/>
          <w:color w:val="156082"/>
          <w:kern w:val="2"/>
          <w:u w:val="single"/>
          <w14:ligatures w14:val="standardContextual"/>
        </w:rPr>
        <w:t>@colombiacompraeficiente_cce</w:t>
      </w:r>
    </w:p>
    <w:p w14:paraId="671B4DB5" w14:textId="77777777" w:rsidR="009D47ED" w:rsidRPr="00B16E80" w:rsidRDefault="009D47ED" w:rsidP="009D47ED">
      <w:pPr>
        <w:spacing w:after="0" w:line="276" w:lineRule="auto"/>
        <w:jc w:val="both"/>
        <w:rPr>
          <w:rFonts w:ascii="Verdana" w:eastAsia="Aptos" w:hAnsi="Verdana" w:cs="Times New Roman"/>
          <w:kern w:val="2"/>
          <w14:ligatures w14:val="standardContextual"/>
        </w:rPr>
      </w:pPr>
    </w:p>
    <w:p w14:paraId="1D810BD9" w14:textId="77777777" w:rsidR="009D47ED" w:rsidRPr="00B16E80" w:rsidRDefault="009D47ED" w:rsidP="009D47ED">
      <w:pPr>
        <w:spacing w:after="0" w:line="276" w:lineRule="auto"/>
        <w:jc w:val="both"/>
        <w:rPr>
          <w:rFonts w:ascii="Verdana" w:eastAsia="Calibri" w:hAnsi="Verdana" w:cs="Times New Roman"/>
          <w:bCs/>
          <w:kern w:val="2"/>
          <w:lang w:val="es-ES_tradnl"/>
          <w14:ligatures w14:val="standardContextual"/>
        </w:rPr>
      </w:pPr>
      <w:r w:rsidRPr="00B16E80">
        <w:rPr>
          <w:rFonts w:ascii="Verdana" w:eastAsia="Calibri" w:hAnsi="Verdana" w:cs="Times New Roman"/>
          <w:kern w:val="2"/>
          <w:lang w:val="es-ES_tradnl"/>
          <w14:ligatures w14:val="standardContextua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7AB0374E" w14:textId="77777777" w:rsidR="009D47ED" w:rsidRPr="00B16E80" w:rsidRDefault="009D47ED" w:rsidP="009D47ED">
      <w:pPr>
        <w:spacing w:after="0" w:line="276" w:lineRule="auto"/>
        <w:jc w:val="both"/>
        <w:rPr>
          <w:rFonts w:ascii="Verdana" w:eastAsia="Calibri" w:hAnsi="Verdana" w:cs="Times New Roman"/>
          <w:kern w:val="2"/>
          <w14:ligatures w14:val="standardContextual"/>
        </w:rPr>
      </w:pPr>
    </w:p>
    <w:p w14:paraId="5546A35F" w14:textId="77777777" w:rsidR="009D47ED" w:rsidRPr="00B16E80" w:rsidRDefault="009D47ED" w:rsidP="009D47ED">
      <w:pPr>
        <w:spacing w:after="0" w:line="276" w:lineRule="auto"/>
        <w:jc w:val="both"/>
        <w:rPr>
          <w:rFonts w:ascii="Verdana" w:eastAsia="Calibri" w:hAnsi="Verdana" w:cs="Times New Roman"/>
          <w:kern w:val="2"/>
          <w14:ligatures w14:val="standardContextual"/>
        </w:rPr>
      </w:pPr>
      <w:r w:rsidRPr="00B16E80">
        <w:rPr>
          <w:rFonts w:ascii="Verdana" w:eastAsia="Calibri" w:hAnsi="Verdana" w:cs="Times New Roman"/>
          <w:kern w:val="2"/>
          <w14:ligatures w14:val="standardContextual"/>
        </w:rPr>
        <w:t>Atentamente,</w:t>
      </w:r>
    </w:p>
    <w:p w14:paraId="11F64CE8" w14:textId="19B14E4C" w:rsidR="009D47ED" w:rsidRPr="00B16E80" w:rsidRDefault="0050157B" w:rsidP="009D47ED">
      <w:pPr>
        <w:tabs>
          <w:tab w:val="left" w:pos="1320"/>
        </w:tabs>
        <w:jc w:val="center"/>
        <w:rPr>
          <w:rFonts w:ascii="Century Gothic" w:eastAsia="Aptos" w:hAnsi="Century Gothic" w:cs="Times New Roman"/>
        </w:rPr>
      </w:pPr>
      <w:r w:rsidRPr="004D5C25">
        <w:rPr>
          <w:rFonts w:ascii="Century Gothic" w:hAnsi="Century Gothic"/>
          <w:noProof/>
        </w:rPr>
        <w:drawing>
          <wp:inline distT="0" distB="0" distL="0" distR="0" wp14:anchorId="421566F1" wp14:editId="25ABEE33">
            <wp:extent cx="2488460" cy="1068309"/>
            <wp:effectExtent l="0" t="0" r="127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4"/>
                    <a:stretch>
                      <a:fillRect/>
                    </a:stretch>
                  </pic:blipFill>
                  <pic:spPr>
                    <a:xfrm>
                      <a:off x="0" y="0"/>
                      <a:ext cx="2583509" cy="1109114"/>
                    </a:xfrm>
                    <a:prstGeom prst="rect">
                      <a:avLst/>
                    </a:prstGeom>
                  </pic:spPr>
                </pic:pic>
              </a:graphicData>
            </a:graphic>
          </wp:inline>
        </w:drawing>
      </w:r>
    </w:p>
    <w:tbl>
      <w:tblPr>
        <w:tblStyle w:val="Tablaconcuadrcula1"/>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D47ED" w:rsidRPr="00B16E80" w14:paraId="04039EF7" w14:textId="77777777" w:rsidTr="007746B4">
        <w:trPr>
          <w:trHeight w:val="315"/>
        </w:trPr>
        <w:tc>
          <w:tcPr>
            <w:tcW w:w="893" w:type="dxa"/>
            <w:vAlign w:val="center"/>
            <w:hideMark/>
          </w:tcPr>
          <w:p w14:paraId="30F10825" w14:textId="77777777" w:rsidR="009D47ED" w:rsidRPr="00B16E80" w:rsidRDefault="009D47ED" w:rsidP="007746B4">
            <w:pPr>
              <w:rPr>
                <w:rFonts w:ascii="Verdana" w:eastAsia="Calibri" w:hAnsi="Verdana" w:cs="Arial"/>
                <w:sz w:val="16"/>
                <w:szCs w:val="16"/>
                <w:lang w:eastAsia="es-ES"/>
              </w:rPr>
            </w:pPr>
            <w:r w:rsidRPr="00B16E80">
              <w:rPr>
                <w:rFonts w:ascii="Verdana" w:eastAsia="Calibri" w:hAnsi="Verdana" w:cs="Arial"/>
                <w:sz w:val="16"/>
                <w:szCs w:val="16"/>
                <w:lang w:eastAsia="es-ES"/>
              </w:rPr>
              <w:t>Elaboró:</w:t>
            </w:r>
          </w:p>
        </w:tc>
        <w:tc>
          <w:tcPr>
            <w:tcW w:w="5628" w:type="dxa"/>
            <w:tcBorders>
              <w:top w:val="nil"/>
              <w:left w:val="nil"/>
              <w:bottom w:val="dotted" w:sz="4" w:space="0" w:color="7F7F7F"/>
              <w:right w:val="nil"/>
            </w:tcBorders>
            <w:vAlign w:val="center"/>
            <w:hideMark/>
          </w:tcPr>
          <w:p w14:paraId="29D23F32" w14:textId="77777777" w:rsidR="009D47ED" w:rsidRPr="00B16E80" w:rsidRDefault="009D47ED" w:rsidP="007746B4">
            <w:pPr>
              <w:rPr>
                <w:rFonts w:ascii="Verdana" w:eastAsia="Arial" w:hAnsi="Verdana" w:cs="Arial"/>
                <w:sz w:val="16"/>
                <w:szCs w:val="16"/>
              </w:rPr>
            </w:pPr>
            <w:r w:rsidRPr="00B16E80">
              <w:rPr>
                <w:rFonts w:ascii="Verdana" w:eastAsia="Arial" w:hAnsi="Verdana" w:cs="Arial"/>
                <w:sz w:val="16"/>
                <w:szCs w:val="16"/>
              </w:rPr>
              <w:t xml:space="preserve">Carlos Mario </w:t>
            </w:r>
            <w:proofErr w:type="spellStart"/>
            <w:r w:rsidRPr="00B16E80">
              <w:rPr>
                <w:rFonts w:ascii="Verdana" w:eastAsia="Arial" w:hAnsi="Verdana" w:cs="Arial"/>
                <w:sz w:val="16"/>
                <w:szCs w:val="16"/>
              </w:rPr>
              <w:t>Castrillon</w:t>
            </w:r>
            <w:proofErr w:type="spellEnd"/>
            <w:r w:rsidRPr="00B16E80">
              <w:rPr>
                <w:rFonts w:ascii="Verdana" w:eastAsia="Arial" w:hAnsi="Verdana" w:cs="Arial"/>
                <w:sz w:val="16"/>
                <w:szCs w:val="16"/>
              </w:rPr>
              <w:t xml:space="preserve"> Endo </w:t>
            </w:r>
          </w:p>
          <w:p w14:paraId="01CF2D25" w14:textId="77777777" w:rsidR="009D47ED" w:rsidRPr="00B16E80" w:rsidRDefault="009D47ED" w:rsidP="007746B4">
            <w:pPr>
              <w:rPr>
                <w:rFonts w:ascii="Verdana" w:eastAsia="Arial" w:hAnsi="Verdana" w:cs="Arial"/>
                <w:sz w:val="16"/>
                <w:szCs w:val="16"/>
              </w:rPr>
            </w:pPr>
            <w:r w:rsidRPr="00B16E80">
              <w:rPr>
                <w:rFonts w:ascii="Verdana" w:eastAsia="Arial" w:hAnsi="Verdana" w:cs="Arial"/>
                <w:sz w:val="16"/>
                <w:szCs w:val="16"/>
              </w:rPr>
              <w:t>Contratista de la Subdirección de Gestión Contractual</w:t>
            </w:r>
          </w:p>
        </w:tc>
      </w:tr>
      <w:tr w:rsidR="009D47ED" w:rsidRPr="00B16E80" w14:paraId="08FF128E" w14:textId="77777777" w:rsidTr="007746B4">
        <w:trPr>
          <w:trHeight w:val="330"/>
        </w:trPr>
        <w:tc>
          <w:tcPr>
            <w:tcW w:w="893" w:type="dxa"/>
            <w:vAlign w:val="center"/>
            <w:hideMark/>
          </w:tcPr>
          <w:p w14:paraId="19F617E4" w14:textId="77777777" w:rsidR="009D47ED" w:rsidRPr="00B16E80" w:rsidRDefault="009D47ED" w:rsidP="007746B4">
            <w:pPr>
              <w:rPr>
                <w:rFonts w:ascii="Verdana" w:eastAsia="Calibri" w:hAnsi="Verdana" w:cs="Arial"/>
                <w:sz w:val="16"/>
                <w:szCs w:val="16"/>
                <w:lang w:eastAsia="es-ES"/>
              </w:rPr>
            </w:pPr>
            <w:r w:rsidRPr="00B16E80">
              <w:rPr>
                <w:rFonts w:ascii="Verdana" w:eastAsia="Calibri" w:hAnsi="Verdana" w:cs="Arial"/>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10FF4C1C" w14:textId="0436E8F1" w:rsidR="009D47ED" w:rsidRPr="00B16E80" w:rsidRDefault="00D45DED" w:rsidP="007746B4">
            <w:pPr>
              <w:rPr>
                <w:rFonts w:ascii="Verdana" w:eastAsia="Times New Roman" w:hAnsi="Verdana" w:cs="Segoe UI"/>
                <w:sz w:val="16"/>
                <w:szCs w:val="16"/>
                <w:lang w:eastAsia="es-ES_tradnl"/>
              </w:rPr>
            </w:pPr>
            <w:r>
              <w:rPr>
                <w:rFonts w:ascii="Verdana" w:eastAsia="Times New Roman" w:hAnsi="Verdana" w:cs="Segoe UI"/>
                <w:sz w:val="16"/>
                <w:szCs w:val="16"/>
                <w:lang w:eastAsia="es-ES_tradnl"/>
              </w:rPr>
              <w:t xml:space="preserve">Juan David Cárdenas Cabeza </w:t>
            </w:r>
          </w:p>
          <w:p w14:paraId="2D178890" w14:textId="77777777" w:rsidR="009D47ED" w:rsidRPr="00B16E80" w:rsidRDefault="009D47ED" w:rsidP="007746B4">
            <w:pPr>
              <w:rPr>
                <w:rFonts w:ascii="Verdana" w:eastAsia="Times New Roman" w:hAnsi="Verdana" w:cs="Segoe UI"/>
                <w:sz w:val="16"/>
                <w:szCs w:val="16"/>
                <w:lang w:eastAsia="es-ES_tradnl"/>
              </w:rPr>
            </w:pPr>
            <w:r w:rsidRPr="00B16E80">
              <w:rPr>
                <w:rFonts w:ascii="Verdana" w:eastAsia="Arial" w:hAnsi="Verdana" w:cs="Arial"/>
                <w:sz w:val="16"/>
                <w:szCs w:val="16"/>
              </w:rPr>
              <w:t>Contratista de la Subdirección de Gestión Contractual</w:t>
            </w:r>
          </w:p>
          <w:p w14:paraId="23898E6A" w14:textId="6EBF5383" w:rsidR="00B2387E" w:rsidRDefault="00B2387E" w:rsidP="007746B4">
            <w:pPr>
              <w:rPr>
                <w:rFonts w:ascii="Verdana" w:eastAsia="Times New Roman" w:hAnsi="Verdana" w:cs="Segoe UI"/>
                <w:sz w:val="16"/>
                <w:szCs w:val="16"/>
                <w:lang w:eastAsia="es-ES_tradnl"/>
              </w:rPr>
            </w:pPr>
            <w:r>
              <w:rPr>
                <w:rFonts w:ascii="Verdana" w:eastAsia="Times New Roman" w:hAnsi="Verdana" w:cs="Segoe UI"/>
                <w:sz w:val="16"/>
                <w:szCs w:val="16"/>
                <w:lang w:eastAsia="es-ES_tradnl"/>
              </w:rPr>
              <w:t xml:space="preserve">Alexandra </w:t>
            </w:r>
            <w:proofErr w:type="spellStart"/>
            <w:r>
              <w:rPr>
                <w:rFonts w:ascii="Verdana" w:eastAsia="Times New Roman" w:hAnsi="Verdana" w:cs="Segoe UI"/>
                <w:sz w:val="16"/>
                <w:szCs w:val="16"/>
                <w:lang w:eastAsia="es-ES_tradnl"/>
              </w:rPr>
              <w:t>Rodriguez</w:t>
            </w:r>
            <w:proofErr w:type="spellEnd"/>
            <w:r>
              <w:rPr>
                <w:rFonts w:ascii="Verdana" w:eastAsia="Times New Roman" w:hAnsi="Verdana" w:cs="Segoe UI"/>
                <w:sz w:val="16"/>
                <w:szCs w:val="16"/>
                <w:lang w:eastAsia="es-ES_tradnl"/>
              </w:rPr>
              <w:t xml:space="preserve"> Motta </w:t>
            </w:r>
          </w:p>
          <w:p w14:paraId="4DBA8EA4" w14:textId="14873F06" w:rsidR="009D47ED" w:rsidRPr="00B16E80" w:rsidRDefault="009D47ED" w:rsidP="007746B4">
            <w:pPr>
              <w:rPr>
                <w:rFonts w:ascii="Verdana" w:eastAsia="Times New Roman" w:hAnsi="Verdana" w:cs="Segoe UI"/>
                <w:sz w:val="16"/>
                <w:szCs w:val="16"/>
                <w:lang w:eastAsia="es-ES_tradnl"/>
              </w:rPr>
            </w:pPr>
            <w:r w:rsidRPr="00B16E80">
              <w:rPr>
                <w:rFonts w:ascii="Verdana" w:eastAsia="Arial" w:hAnsi="Verdana" w:cs="Arial"/>
                <w:sz w:val="16"/>
                <w:szCs w:val="16"/>
              </w:rPr>
              <w:t>Contratista de la Subdirección de Gestión Contractual</w:t>
            </w:r>
          </w:p>
        </w:tc>
      </w:tr>
      <w:tr w:rsidR="009D47ED" w:rsidRPr="00B16E80" w14:paraId="78B01696" w14:textId="77777777" w:rsidTr="007746B4">
        <w:trPr>
          <w:trHeight w:val="300"/>
        </w:trPr>
        <w:tc>
          <w:tcPr>
            <w:tcW w:w="893" w:type="dxa"/>
            <w:vAlign w:val="center"/>
          </w:tcPr>
          <w:p w14:paraId="3C77976B" w14:textId="77777777" w:rsidR="009D47ED" w:rsidRPr="00B16E80" w:rsidRDefault="009D47ED" w:rsidP="007746B4">
            <w:pPr>
              <w:rPr>
                <w:rFonts w:ascii="Verdana" w:eastAsia="Calibri" w:hAnsi="Verdana" w:cs="Arial"/>
                <w:sz w:val="16"/>
                <w:szCs w:val="16"/>
                <w:lang w:eastAsia="es-ES"/>
              </w:rPr>
            </w:pPr>
            <w:r w:rsidRPr="00B16E80">
              <w:rPr>
                <w:rFonts w:ascii="Verdana" w:eastAsia="Calibri" w:hAnsi="Verdana" w:cs="Arial"/>
                <w:sz w:val="16"/>
                <w:szCs w:val="16"/>
                <w:lang w:eastAsia="es-ES"/>
              </w:rPr>
              <w:t>Aprobó:</w:t>
            </w:r>
          </w:p>
        </w:tc>
        <w:tc>
          <w:tcPr>
            <w:tcW w:w="5628" w:type="dxa"/>
            <w:tcBorders>
              <w:top w:val="dotted" w:sz="4" w:space="0" w:color="7F7F7F"/>
              <w:left w:val="nil"/>
              <w:bottom w:val="dotted" w:sz="4" w:space="0" w:color="7F7F7F"/>
              <w:right w:val="nil"/>
            </w:tcBorders>
            <w:vAlign w:val="center"/>
          </w:tcPr>
          <w:p w14:paraId="52F8C8CC" w14:textId="77777777" w:rsidR="009D47ED" w:rsidRPr="00B16E80" w:rsidRDefault="009D47ED" w:rsidP="007746B4">
            <w:pPr>
              <w:rPr>
                <w:rFonts w:ascii="Verdana" w:eastAsia="Calibri" w:hAnsi="Verdana" w:cs="Arial"/>
                <w:sz w:val="16"/>
                <w:szCs w:val="16"/>
                <w:lang w:eastAsia="es-ES"/>
              </w:rPr>
            </w:pPr>
            <w:r w:rsidRPr="00B16E80">
              <w:rPr>
                <w:rFonts w:ascii="Verdana" w:eastAsia="Calibri" w:hAnsi="Verdana" w:cs="Arial"/>
                <w:sz w:val="16"/>
                <w:szCs w:val="16"/>
                <w:lang w:eastAsia="es-ES"/>
              </w:rPr>
              <w:t xml:space="preserve">Carolina Quintero </w:t>
            </w:r>
            <w:proofErr w:type="spellStart"/>
            <w:r w:rsidRPr="00B16E80">
              <w:rPr>
                <w:rFonts w:ascii="Verdana" w:eastAsia="Calibri" w:hAnsi="Verdana" w:cs="Arial"/>
                <w:sz w:val="16"/>
                <w:szCs w:val="16"/>
                <w:lang w:eastAsia="es-ES"/>
              </w:rPr>
              <w:t>Gacharná</w:t>
            </w:r>
            <w:proofErr w:type="spellEnd"/>
          </w:p>
          <w:p w14:paraId="2D3C2DA6" w14:textId="77777777" w:rsidR="009D47ED" w:rsidRPr="00B16E80" w:rsidRDefault="009D47ED" w:rsidP="007746B4">
            <w:pPr>
              <w:rPr>
                <w:rFonts w:ascii="Verdana" w:eastAsia="Calibri" w:hAnsi="Verdana" w:cs="Arial"/>
                <w:sz w:val="16"/>
                <w:szCs w:val="16"/>
                <w:lang w:eastAsia="es-ES"/>
              </w:rPr>
            </w:pPr>
            <w:r w:rsidRPr="00B16E80">
              <w:rPr>
                <w:rFonts w:ascii="Verdana" w:eastAsia="Calibri" w:hAnsi="Verdana" w:cs="Arial"/>
                <w:sz w:val="16"/>
                <w:szCs w:val="16"/>
                <w:lang w:eastAsia="es-ES"/>
              </w:rPr>
              <w:t>Subdirectora de Gestión Contractual ANCP – CCE</w:t>
            </w:r>
          </w:p>
        </w:tc>
      </w:tr>
    </w:tbl>
    <w:p w14:paraId="165F7E2B" w14:textId="77777777" w:rsidR="009D47ED" w:rsidRPr="00CC2404" w:rsidRDefault="009D47ED" w:rsidP="009D47ED">
      <w:pPr>
        <w:tabs>
          <w:tab w:val="left" w:pos="1320"/>
        </w:tabs>
      </w:pPr>
    </w:p>
    <w:p w14:paraId="6877ECE5" w14:textId="77777777" w:rsidR="009D47ED" w:rsidRDefault="009D47ED" w:rsidP="009D47ED"/>
    <w:p w14:paraId="0F293BF4" w14:textId="48CF5549" w:rsidR="00127233" w:rsidRPr="00EB6080" w:rsidRDefault="00127233" w:rsidP="00EB6080"/>
    <w:sectPr w:rsidR="00127233" w:rsidRPr="00EB6080"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39525E" w14:textId="77777777" w:rsidR="00485BC8" w:rsidRDefault="00485BC8" w:rsidP="004A1847">
      <w:pPr>
        <w:spacing w:after="0" w:line="240" w:lineRule="auto"/>
      </w:pPr>
      <w:r>
        <w:separator/>
      </w:r>
    </w:p>
  </w:endnote>
  <w:endnote w:type="continuationSeparator" w:id="0">
    <w:p w14:paraId="26292EC6" w14:textId="77777777" w:rsidR="00485BC8" w:rsidRDefault="00485BC8" w:rsidP="004A1847">
      <w:pPr>
        <w:spacing w:after="0" w:line="240" w:lineRule="auto"/>
      </w:pPr>
      <w:r>
        <w:continuationSeparator/>
      </w:r>
    </w:p>
  </w:endnote>
  <w:endnote w:type="continuationNotice" w:id="1">
    <w:p w14:paraId="75AEE861" w14:textId="77777777" w:rsidR="00485BC8" w:rsidRDefault="00485BC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Aptos">
    <w:charset w:val="00"/>
    <w:family w:val="swiss"/>
    <w:pitch w:val="variable"/>
    <w:sig w:usb0="20000287" w:usb1="00000003" w:usb2="00000000" w:usb3="00000000" w:csb0="0000019F" w:csb1="00000000"/>
  </w:font>
  <w:font w:name="Vrinda">
    <w:panose1 w:val="00000400000000000000"/>
    <w:charset w:val="00"/>
    <w:family w:val="swiss"/>
    <w:pitch w:val="variable"/>
    <w:sig w:usb0="00010003" w:usb1="00000000" w:usb2="00000000" w:usb3="00000000" w:csb0="00000001" w:csb1="00000000"/>
  </w:font>
  <w:font w:name="Arial MT">
    <w:altName w:val="Arial"/>
    <w:charset w:val="01"/>
    <w:family w:val="swiss"/>
    <w:pitch w:val="variable"/>
  </w:font>
  <w:font w:name="Helvetica">
    <w:panose1 w:val="020B0604020202020204"/>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altName w:val="Arial"/>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74F4E95" w14:textId="77777777" w:rsidR="0050157B" w:rsidRDefault="0050157B">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5C0C89" w14:textId="77777777" w:rsidR="00485BC8" w:rsidRDefault="00485BC8" w:rsidP="004A1847">
      <w:pPr>
        <w:spacing w:after="0" w:line="240" w:lineRule="auto"/>
      </w:pPr>
      <w:r>
        <w:separator/>
      </w:r>
    </w:p>
  </w:footnote>
  <w:footnote w:type="continuationSeparator" w:id="0">
    <w:p w14:paraId="6A75F63E" w14:textId="77777777" w:rsidR="00485BC8" w:rsidRDefault="00485BC8" w:rsidP="004A1847">
      <w:pPr>
        <w:spacing w:after="0" w:line="240" w:lineRule="auto"/>
      </w:pPr>
      <w:r>
        <w:continuationSeparator/>
      </w:r>
    </w:p>
  </w:footnote>
  <w:footnote w:type="continuationNotice" w:id="1">
    <w:p w14:paraId="74A86536" w14:textId="77777777" w:rsidR="00485BC8" w:rsidRDefault="00485BC8">
      <w:pPr>
        <w:spacing w:after="0" w:line="240" w:lineRule="auto"/>
      </w:pPr>
    </w:p>
  </w:footnote>
  <w:footnote w:id="2">
    <w:p w14:paraId="50F2DFF4" w14:textId="77777777" w:rsidR="009D47ED" w:rsidRPr="0008056D" w:rsidRDefault="009D47ED" w:rsidP="009D47ED">
      <w:pPr>
        <w:pStyle w:val="Textonotapie"/>
        <w:ind w:firstLine="708"/>
        <w:jc w:val="both"/>
        <w:rPr>
          <w:rFonts w:ascii="Verdana" w:hAnsi="Verdana" w:cs="Arial"/>
          <w:sz w:val="19"/>
          <w:szCs w:val="19"/>
        </w:rPr>
      </w:pPr>
      <w:r w:rsidRPr="0008056D">
        <w:rPr>
          <w:rStyle w:val="Refdenotaalpie"/>
          <w:rFonts w:ascii="Verdana" w:hAnsi="Verdana" w:cs="Arial"/>
          <w:sz w:val="19"/>
          <w:szCs w:val="19"/>
        </w:rPr>
        <w:footnoteRef/>
      </w:r>
      <w:r w:rsidRPr="0008056D">
        <w:rPr>
          <w:rFonts w:ascii="Verdana" w:hAnsi="Verdana" w:cs="Arial"/>
          <w:sz w:val="19"/>
          <w:szCs w:val="19"/>
        </w:rPr>
        <w:t xml:space="preserve"> Concepto de la Secretaría General Alcaldía Mayor de Bogotá, Fecha. 14 de agosto de 2008. Disponible en el siguiente link: </w:t>
      </w:r>
      <w:hyperlink r:id="rId1" w:history="1">
        <w:r w:rsidRPr="0008056D">
          <w:rPr>
            <w:rStyle w:val="Hipervnculo"/>
            <w:rFonts w:ascii="Verdana" w:hAnsi="Verdana" w:cs="Arial"/>
            <w:sz w:val="19"/>
            <w:szCs w:val="19"/>
          </w:rPr>
          <w:t>https://www.alcaldiabogota.gov.co/sisjur/normas/Norma1.jsp?i=36443</w:t>
        </w:r>
      </w:hyperlink>
    </w:p>
    <w:p w14:paraId="10867DF8" w14:textId="77777777" w:rsidR="009D47ED" w:rsidRPr="0008056D" w:rsidRDefault="009D47ED" w:rsidP="009D47ED">
      <w:pPr>
        <w:pStyle w:val="Textonotapie"/>
        <w:ind w:firstLine="708"/>
        <w:jc w:val="both"/>
        <w:rPr>
          <w:rFonts w:ascii="Verdana" w:hAnsi="Verdana" w:cs="Arial"/>
          <w:sz w:val="19"/>
          <w:szCs w:val="19"/>
        </w:rPr>
      </w:pPr>
    </w:p>
  </w:footnote>
  <w:footnote w:id="3">
    <w:p w14:paraId="129B3CE8" w14:textId="77777777" w:rsidR="009D47ED" w:rsidRPr="0008056D" w:rsidRDefault="009D47ED" w:rsidP="009D47ED">
      <w:pPr>
        <w:pStyle w:val="Textonotapie"/>
        <w:ind w:firstLine="708"/>
        <w:jc w:val="both"/>
        <w:rPr>
          <w:rFonts w:ascii="Verdana" w:hAnsi="Verdana" w:cs="Arial"/>
          <w:sz w:val="19"/>
          <w:szCs w:val="19"/>
        </w:rPr>
      </w:pPr>
      <w:r w:rsidRPr="0008056D">
        <w:rPr>
          <w:rStyle w:val="Refdenotaalpie"/>
          <w:rFonts w:ascii="Verdana" w:hAnsi="Verdana" w:cs="Arial"/>
          <w:sz w:val="19"/>
          <w:szCs w:val="19"/>
        </w:rPr>
        <w:footnoteRef/>
      </w:r>
      <w:r w:rsidRPr="0008056D">
        <w:rPr>
          <w:rFonts w:ascii="Verdana" w:hAnsi="Verdana" w:cs="Arial"/>
          <w:sz w:val="19"/>
          <w:szCs w:val="19"/>
        </w:rPr>
        <w:t xml:space="preserve"> Ibid. </w:t>
      </w:r>
    </w:p>
  </w:footnote>
  <w:footnote w:id="4">
    <w:p w14:paraId="687C5164" w14:textId="77777777" w:rsidR="009D47ED" w:rsidRPr="0008056D" w:rsidRDefault="009D47ED" w:rsidP="009D47ED">
      <w:pPr>
        <w:pStyle w:val="Textonotapie"/>
        <w:ind w:firstLine="708"/>
        <w:jc w:val="both"/>
        <w:rPr>
          <w:rFonts w:ascii="Verdana" w:hAnsi="Verdana" w:cs="Arial"/>
          <w:sz w:val="19"/>
          <w:szCs w:val="19"/>
        </w:rPr>
      </w:pPr>
      <w:r w:rsidRPr="0008056D">
        <w:rPr>
          <w:rStyle w:val="Refdenotaalpie"/>
          <w:rFonts w:ascii="Verdana" w:hAnsi="Verdana" w:cs="Arial"/>
          <w:sz w:val="19"/>
          <w:szCs w:val="19"/>
        </w:rPr>
        <w:footnoteRef/>
      </w:r>
      <w:r w:rsidRPr="0008056D">
        <w:rPr>
          <w:rFonts w:ascii="Verdana" w:hAnsi="Verdana" w:cs="Arial"/>
          <w:sz w:val="19"/>
          <w:szCs w:val="19"/>
        </w:rPr>
        <w:t xml:space="preserve"> Página web del Concejo de Bogotá – Los salones comunales de la comunidad: </w:t>
      </w:r>
      <w:hyperlink r:id="rId2" w:anchor=":~:text=Estos%20espacios%20son%20y%20ser%C3%A1n,los%20barrios%20de%20nuestra%20ciudad." w:history="1">
        <w:r w:rsidRPr="0008056D">
          <w:rPr>
            <w:rStyle w:val="Hipervnculo1"/>
            <w:rFonts w:ascii="Verdana" w:hAnsi="Verdana" w:cs="Arial"/>
            <w:sz w:val="19"/>
            <w:szCs w:val="19"/>
          </w:rPr>
          <w:t>Concejo de Bogotá D.C. - Los salones comunales de la comunidad (concejodebogota.gov.co)</w:t>
        </w:r>
      </w:hyperlink>
      <w:r w:rsidRPr="0008056D">
        <w:rPr>
          <w:rFonts w:ascii="Verdana" w:hAnsi="Verdana" w:cs="Arial"/>
          <w:sz w:val="19"/>
          <w:szCs w:val="19"/>
        </w:rPr>
        <w:t xml:space="preserve"> </w:t>
      </w:r>
    </w:p>
  </w:footnote>
  <w:footnote w:id="5">
    <w:p w14:paraId="044B639D" w14:textId="77777777" w:rsidR="009D47ED" w:rsidRPr="0008056D" w:rsidRDefault="009D47ED" w:rsidP="009D47ED">
      <w:pPr>
        <w:pStyle w:val="Textonotapie"/>
        <w:ind w:firstLine="708"/>
        <w:jc w:val="both"/>
        <w:rPr>
          <w:rFonts w:ascii="Verdana" w:hAnsi="Verdana"/>
          <w:sz w:val="19"/>
          <w:szCs w:val="19"/>
        </w:rPr>
      </w:pPr>
      <w:r w:rsidRPr="0008056D">
        <w:rPr>
          <w:rStyle w:val="Refdenotaalpie"/>
          <w:rFonts w:ascii="Verdana" w:hAnsi="Verdana"/>
          <w:sz w:val="19"/>
          <w:szCs w:val="19"/>
        </w:rPr>
        <w:footnoteRef/>
      </w:r>
      <w:r w:rsidRPr="0008056D">
        <w:rPr>
          <w:rFonts w:ascii="Verdana" w:hAnsi="Verdana"/>
          <w:sz w:val="19"/>
          <w:szCs w:val="19"/>
        </w:rPr>
        <w:t xml:space="preserve"> Resolución 539 del 21 de agosto de 2025, artículo 23. “Vigencia. La presente resolución rige a partir de su publicación y aplicará a los procedimientos de selección de licitación de obra pública de infraestructura social en los sectores educación, salud, cultura, recreación y deporte, institucional y vivienda, cuyo aviso de convocatoria sea publicado a partir del 16 de febrero de 2026”.</w:t>
      </w:r>
    </w:p>
    <w:p w14:paraId="5B39424B" w14:textId="77777777" w:rsidR="009D47ED" w:rsidRPr="0008056D" w:rsidRDefault="009D47ED" w:rsidP="009D47ED">
      <w:pPr>
        <w:pStyle w:val="Textonotapie"/>
        <w:ind w:firstLine="708"/>
        <w:jc w:val="both"/>
        <w:rPr>
          <w:rFonts w:ascii="Verdana" w:hAnsi="Verdana"/>
          <w:sz w:val="19"/>
          <w:szCs w:val="19"/>
        </w:rPr>
      </w:pPr>
    </w:p>
    <w:p w14:paraId="3EB1234B" w14:textId="77777777" w:rsidR="009D47ED" w:rsidRPr="0008056D" w:rsidRDefault="009D47ED" w:rsidP="009D47ED">
      <w:pPr>
        <w:pStyle w:val="Textonotapie"/>
        <w:ind w:firstLine="708"/>
        <w:jc w:val="both"/>
        <w:rPr>
          <w:rFonts w:ascii="Verdana" w:hAnsi="Verdana"/>
          <w:sz w:val="19"/>
          <w:szCs w:val="19"/>
        </w:rPr>
      </w:pPr>
      <w:r w:rsidRPr="0008056D">
        <w:rPr>
          <w:rFonts w:ascii="Verdana" w:hAnsi="Verdana"/>
          <w:sz w:val="19"/>
          <w:szCs w:val="19"/>
        </w:rPr>
        <w:t>Resolución 540 del 21 de agosto de 2025, artículo 22. Vigencia. La presente resolución rige a partir de su publicación y aplicará a los procedimientos de selección abreviada de menor cuantía de obra pública de infraestructura social de los sectores educación, salud, cultura, recreación y deporte, institucional y vivienda, cuyo aviso de convocatoria sea publicado a partir del 16 de febrero de 2026.</w:t>
      </w:r>
    </w:p>
    <w:p w14:paraId="2CA3CB3D" w14:textId="77777777" w:rsidR="009D47ED" w:rsidRPr="0008056D" w:rsidRDefault="009D47ED" w:rsidP="009D47ED">
      <w:pPr>
        <w:pStyle w:val="Textonotapie"/>
        <w:ind w:firstLine="708"/>
        <w:jc w:val="both"/>
        <w:rPr>
          <w:rFonts w:ascii="Verdana" w:hAnsi="Verdana"/>
          <w:sz w:val="19"/>
          <w:szCs w:val="19"/>
        </w:rPr>
      </w:pPr>
    </w:p>
    <w:p w14:paraId="22B8B895" w14:textId="77777777" w:rsidR="009D47ED" w:rsidRPr="0008056D" w:rsidRDefault="009D47ED" w:rsidP="009D47ED">
      <w:pPr>
        <w:pStyle w:val="Textonotapie"/>
        <w:ind w:firstLine="708"/>
        <w:jc w:val="both"/>
        <w:rPr>
          <w:rFonts w:ascii="Verdana" w:hAnsi="Verdana"/>
          <w:sz w:val="19"/>
          <w:szCs w:val="19"/>
        </w:rPr>
      </w:pPr>
      <w:r w:rsidRPr="0008056D">
        <w:rPr>
          <w:rFonts w:ascii="Verdana" w:hAnsi="Verdana"/>
          <w:sz w:val="19"/>
          <w:szCs w:val="19"/>
        </w:rPr>
        <w:t>Resolución 541 del 21 de agosto de 2025, artículo 22. Vigencia. La presente resolución rige a partir de su publicación y aplicará a los procedimientos de mínima cuantía de obra pública de infraestructura de los sectores educación, salud, cultura, recreación y deporte, institucional y vivienda, cuyo aviso de convocatoria sea publicado a partir del 16 de febrero de 2026.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6A31D67"/>
    <w:multiLevelType w:val="multilevel"/>
    <w:tmpl w:val="C658B226"/>
    <w:lvl w:ilvl="0">
      <w:start w:val="2"/>
      <w:numFmt w:val="decimal"/>
      <w:lvlText w:val="%1"/>
      <w:lvlJc w:val="left"/>
      <w:pPr>
        <w:ind w:left="360" w:hanging="360"/>
      </w:pPr>
      <w:rPr>
        <w:b/>
      </w:rPr>
    </w:lvl>
    <w:lvl w:ilvl="1">
      <w:start w:val="1"/>
      <w:numFmt w:val="decimal"/>
      <w:lvlText w:val="%1.%2."/>
      <w:lvlJc w:val="left"/>
      <w:pPr>
        <w:ind w:left="928" w:hanging="360"/>
      </w:pPr>
      <w:rPr>
        <w:b/>
      </w:rPr>
    </w:lvl>
    <w:lvl w:ilvl="2">
      <w:start w:val="1"/>
      <w:numFmt w:val="decimal"/>
      <w:lvlText w:val="%1.%2.%3"/>
      <w:lvlJc w:val="left"/>
      <w:pPr>
        <w:ind w:left="720" w:hanging="720"/>
      </w:pPr>
      <w:rPr>
        <w:b/>
      </w:rPr>
    </w:lvl>
    <w:lvl w:ilvl="3">
      <w:start w:val="1"/>
      <w:numFmt w:val="decimal"/>
      <w:lvlText w:val="%1.%2.%3.%4"/>
      <w:lvlJc w:val="left"/>
      <w:pPr>
        <w:ind w:left="720" w:hanging="720"/>
      </w:pPr>
      <w:rPr>
        <w:b/>
      </w:rPr>
    </w:lvl>
    <w:lvl w:ilvl="4">
      <w:start w:val="1"/>
      <w:numFmt w:val="decimal"/>
      <w:lvlText w:val="%1.%2.%3.%4.%5"/>
      <w:lvlJc w:val="left"/>
      <w:pPr>
        <w:ind w:left="1080" w:hanging="1080"/>
      </w:pPr>
      <w:rPr>
        <w:b/>
      </w:rPr>
    </w:lvl>
    <w:lvl w:ilvl="5">
      <w:start w:val="1"/>
      <w:numFmt w:val="decimal"/>
      <w:lvlText w:val="%1.%2.%3.%4.%5.%6"/>
      <w:lvlJc w:val="left"/>
      <w:pPr>
        <w:ind w:left="1080" w:hanging="1080"/>
      </w:pPr>
      <w:rPr>
        <w:b/>
      </w:rPr>
    </w:lvl>
    <w:lvl w:ilvl="6">
      <w:start w:val="1"/>
      <w:numFmt w:val="decimal"/>
      <w:lvlText w:val="%1.%2.%3.%4.%5.%6.%7"/>
      <w:lvlJc w:val="left"/>
      <w:pPr>
        <w:ind w:left="1440" w:hanging="1440"/>
      </w:pPr>
      <w:rPr>
        <w:b/>
      </w:rPr>
    </w:lvl>
    <w:lvl w:ilvl="7">
      <w:start w:val="1"/>
      <w:numFmt w:val="decimal"/>
      <w:lvlText w:val="%1.%2.%3.%4.%5.%6.%7.%8"/>
      <w:lvlJc w:val="left"/>
      <w:pPr>
        <w:ind w:left="1440" w:hanging="1440"/>
      </w:pPr>
      <w:rPr>
        <w:b/>
      </w:rPr>
    </w:lvl>
    <w:lvl w:ilvl="8">
      <w:start w:val="1"/>
      <w:numFmt w:val="decimal"/>
      <w:lvlText w:val="%1.%2.%3.%4.%5.%6.%7.%8.%9"/>
      <w:lvlJc w:val="left"/>
      <w:pPr>
        <w:ind w:left="1800" w:hanging="1800"/>
      </w:pPr>
      <w:rPr>
        <w:b/>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1" w15:restartNumberingAfterBreak="0">
    <w:nsid w:val="5A8A22F4"/>
    <w:multiLevelType w:val="multilevel"/>
    <w:tmpl w:val="86DE9B04"/>
    <w:lvl w:ilvl="0">
      <w:start w:val="1"/>
      <w:numFmt w:val="lowerLetter"/>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rPr>
        <w:rFonts w:ascii="Verdana" w:eastAsia="Times New Roman" w:hAnsi="Verdana" w:cs="Times New Roman"/>
      </w:r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6"/>
  </w:num>
  <w:num w:numId="8" w16cid:durableId="152644682">
    <w:abstractNumId w:val="14"/>
  </w:num>
  <w:num w:numId="9" w16cid:durableId="1317221377">
    <w:abstractNumId w:val="8"/>
  </w:num>
  <w:num w:numId="10" w16cid:durableId="1471245386">
    <w:abstractNumId w:val="13"/>
  </w:num>
  <w:num w:numId="11" w16cid:durableId="289172385">
    <w:abstractNumId w:val="9"/>
  </w:num>
  <w:num w:numId="12" w16cid:durableId="1470781324">
    <w:abstractNumId w:val="1"/>
  </w:num>
  <w:num w:numId="13" w16cid:durableId="1512908409">
    <w:abstractNumId w:val="4"/>
  </w:num>
  <w:num w:numId="14" w16cid:durableId="895897244">
    <w:abstractNumId w:val="16"/>
  </w:num>
  <w:num w:numId="15" w16cid:durableId="390349800">
    <w:abstractNumId w:val="12"/>
  </w:num>
  <w:num w:numId="16" w16cid:durableId="827985604">
    <w:abstractNumId w:val="10"/>
  </w:num>
  <w:num w:numId="17" w16cid:durableId="341274352">
    <w:abstractNumId w:val="0"/>
  </w:num>
  <w:num w:numId="18" w16cid:durableId="735317724">
    <w:abstractNumId w:val="11"/>
  </w:num>
  <w:num w:numId="19" w16cid:durableId="130851618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2EC1"/>
    <w:rsid w:val="00016F78"/>
    <w:rsid w:val="00046945"/>
    <w:rsid w:val="00061B2A"/>
    <w:rsid w:val="00080325"/>
    <w:rsid w:val="00082362"/>
    <w:rsid w:val="000A683E"/>
    <w:rsid w:val="000B19B9"/>
    <w:rsid w:val="000D0334"/>
    <w:rsid w:val="000F6486"/>
    <w:rsid w:val="0011495E"/>
    <w:rsid w:val="00125105"/>
    <w:rsid w:val="00127233"/>
    <w:rsid w:val="001E4177"/>
    <w:rsid w:val="001F7DC6"/>
    <w:rsid w:val="0023469C"/>
    <w:rsid w:val="002421BB"/>
    <w:rsid w:val="0025796E"/>
    <w:rsid w:val="002707A2"/>
    <w:rsid w:val="002951A0"/>
    <w:rsid w:val="002962BC"/>
    <w:rsid w:val="002A093D"/>
    <w:rsid w:val="002A0DD0"/>
    <w:rsid w:val="002A49AC"/>
    <w:rsid w:val="002A64FD"/>
    <w:rsid w:val="002C7A84"/>
    <w:rsid w:val="002E4FD9"/>
    <w:rsid w:val="00322A85"/>
    <w:rsid w:val="00324168"/>
    <w:rsid w:val="003448F4"/>
    <w:rsid w:val="00374F5E"/>
    <w:rsid w:val="00377E3E"/>
    <w:rsid w:val="003A779E"/>
    <w:rsid w:val="003D0F4D"/>
    <w:rsid w:val="003D5B0D"/>
    <w:rsid w:val="003E0499"/>
    <w:rsid w:val="003E684F"/>
    <w:rsid w:val="003F3941"/>
    <w:rsid w:val="00406575"/>
    <w:rsid w:val="00410AB9"/>
    <w:rsid w:val="00414C74"/>
    <w:rsid w:val="0042722E"/>
    <w:rsid w:val="0044528D"/>
    <w:rsid w:val="0045515C"/>
    <w:rsid w:val="00485BC8"/>
    <w:rsid w:val="004A1847"/>
    <w:rsid w:val="004A305D"/>
    <w:rsid w:val="004F21C4"/>
    <w:rsid w:val="004F685F"/>
    <w:rsid w:val="0050157B"/>
    <w:rsid w:val="00554756"/>
    <w:rsid w:val="005566E8"/>
    <w:rsid w:val="00574867"/>
    <w:rsid w:val="00591460"/>
    <w:rsid w:val="005C3777"/>
    <w:rsid w:val="005C5CDC"/>
    <w:rsid w:val="005D476C"/>
    <w:rsid w:val="006219F8"/>
    <w:rsid w:val="006302F7"/>
    <w:rsid w:val="00665D70"/>
    <w:rsid w:val="006900D9"/>
    <w:rsid w:val="006A760C"/>
    <w:rsid w:val="006D49AE"/>
    <w:rsid w:val="00706C16"/>
    <w:rsid w:val="00756841"/>
    <w:rsid w:val="007649AB"/>
    <w:rsid w:val="00771D0C"/>
    <w:rsid w:val="007833AC"/>
    <w:rsid w:val="007B1A2E"/>
    <w:rsid w:val="007B268C"/>
    <w:rsid w:val="007B7171"/>
    <w:rsid w:val="007C0C0F"/>
    <w:rsid w:val="007C3DC2"/>
    <w:rsid w:val="007E5497"/>
    <w:rsid w:val="00806F5F"/>
    <w:rsid w:val="00820278"/>
    <w:rsid w:val="00867F95"/>
    <w:rsid w:val="008843B6"/>
    <w:rsid w:val="00891928"/>
    <w:rsid w:val="00897A3A"/>
    <w:rsid w:val="008A446D"/>
    <w:rsid w:val="008D180B"/>
    <w:rsid w:val="008D7BFC"/>
    <w:rsid w:val="008F0EA7"/>
    <w:rsid w:val="00921664"/>
    <w:rsid w:val="0092255D"/>
    <w:rsid w:val="00923EEF"/>
    <w:rsid w:val="009419F9"/>
    <w:rsid w:val="0095685E"/>
    <w:rsid w:val="00961B09"/>
    <w:rsid w:val="00965334"/>
    <w:rsid w:val="0097093E"/>
    <w:rsid w:val="009A0DFA"/>
    <w:rsid w:val="009B25A8"/>
    <w:rsid w:val="009B2D26"/>
    <w:rsid w:val="009C71FA"/>
    <w:rsid w:val="009C72E7"/>
    <w:rsid w:val="009D3058"/>
    <w:rsid w:val="009D47ED"/>
    <w:rsid w:val="009F3A13"/>
    <w:rsid w:val="009F5D9D"/>
    <w:rsid w:val="00A122D3"/>
    <w:rsid w:val="00A17F13"/>
    <w:rsid w:val="00A20739"/>
    <w:rsid w:val="00A33C78"/>
    <w:rsid w:val="00A85A3F"/>
    <w:rsid w:val="00AB0ADB"/>
    <w:rsid w:val="00AD0019"/>
    <w:rsid w:val="00B00C0E"/>
    <w:rsid w:val="00B01B1A"/>
    <w:rsid w:val="00B2387E"/>
    <w:rsid w:val="00B44A47"/>
    <w:rsid w:val="00B72CD3"/>
    <w:rsid w:val="00B72FFF"/>
    <w:rsid w:val="00BC3D36"/>
    <w:rsid w:val="00BD7F72"/>
    <w:rsid w:val="00C04FB3"/>
    <w:rsid w:val="00C330EB"/>
    <w:rsid w:val="00C754BE"/>
    <w:rsid w:val="00C76B1C"/>
    <w:rsid w:val="00CB6357"/>
    <w:rsid w:val="00CC1B26"/>
    <w:rsid w:val="00D423A2"/>
    <w:rsid w:val="00D45DED"/>
    <w:rsid w:val="00D520D8"/>
    <w:rsid w:val="00D63AC2"/>
    <w:rsid w:val="00D64E31"/>
    <w:rsid w:val="00D7383B"/>
    <w:rsid w:val="00DA231B"/>
    <w:rsid w:val="00DC39FC"/>
    <w:rsid w:val="00DE07E4"/>
    <w:rsid w:val="00DE6B33"/>
    <w:rsid w:val="00DF5254"/>
    <w:rsid w:val="00E16408"/>
    <w:rsid w:val="00E20894"/>
    <w:rsid w:val="00E245AB"/>
    <w:rsid w:val="00E2764C"/>
    <w:rsid w:val="00E27F2E"/>
    <w:rsid w:val="00E50AFE"/>
    <w:rsid w:val="00E75C92"/>
    <w:rsid w:val="00E771DC"/>
    <w:rsid w:val="00E8441A"/>
    <w:rsid w:val="00E8772A"/>
    <w:rsid w:val="00E90F6B"/>
    <w:rsid w:val="00E92C27"/>
    <w:rsid w:val="00EA0E3D"/>
    <w:rsid w:val="00EB2079"/>
    <w:rsid w:val="00EB6080"/>
    <w:rsid w:val="00EC38A7"/>
    <w:rsid w:val="00EC59A5"/>
    <w:rsid w:val="00EE1AA8"/>
    <w:rsid w:val="00F240E2"/>
    <w:rsid w:val="00F31EDC"/>
    <w:rsid w:val="00F462B3"/>
    <w:rsid w:val="00F5664F"/>
    <w:rsid w:val="00F666C4"/>
    <w:rsid w:val="00F76AFC"/>
    <w:rsid w:val="00FA47C0"/>
    <w:rsid w:val="00FB5DD1"/>
    <w:rsid w:val="00FC2B5D"/>
    <w:rsid w:val="00FF1449"/>
    <w:rsid w:val="066DBBC1"/>
    <w:rsid w:val="168B7736"/>
    <w:rsid w:val="2DAAC9A8"/>
    <w:rsid w:val="43AF7C22"/>
    <w:rsid w:val="4A41F018"/>
    <w:rsid w:val="4CE88F46"/>
    <w:rsid w:val="596D6506"/>
    <w:rsid w:val="5C96A2BD"/>
    <w:rsid w:val="5E93BC7C"/>
    <w:rsid w:val="6E6B31C3"/>
    <w:rsid w:val="74D88C2A"/>
    <w:rsid w:val="7A48499C"/>
    <w:rsid w:val="7A963F7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paragraph" w:styleId="Ttulo1">
    <w:name w:val="heading 1"/>
    <w:basedOn w:val="Normal"/>
    <w:next w:val="Normal"/>
    <w:link w:val="Ttulo1Car"/>
    <w:uiPriority w:val="9"/>
    <w:qFormat/>
    <w:rsid w:val="009D47E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9D47E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9D47ED"/>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9D47ED"/>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9D47ED"/>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9D47ED"/>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9D47ED"/>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9D47ED"/>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9D47ED"/>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Ttulo1Car">
    <w:name w:val="Título 1 Car"/>
    <w:basedOn w:val="Fuentedeprrafopredeter"/>
    <w:link w:val="Ttulo1"/>
    <w:uiPriority w:val="9"/>
    <w:rsid w:val="009D47ED"/>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9D47ED"/>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9D47ED"/>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9D47ED"/>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9D47ED"/>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9D47ED"/>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9D47ED"/>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9D47ED"/>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9D47ED"/>
    <w:rPr>
      <w:rFonts w:eastAsiaTheme="majorEastAsia" w:cstheme="majorBidi"/>
      <w:color w:val="272727" w:themeColor="text1" w:themeTint="D8"/>
    </w:rPr>
  </w:style>
  <w:style w:type="paragraph" w:styleId="Subttulo">
    <w:name w:val="Subtitle"/>
    <w:basedOn w:val="Normal"/>
    <w:next w:val="Normal"/>
    <w:link w:val="SubttuloCar"/>
    <w:uiPriority w:val="11"/>
    <w:qFormat/>
    <w:rsid w:val="009D47ED"/>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9D47ED"/>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9D47ED"/>
    <w:pPr>
      <w:spacing w:before="160"/>
      <w:jc w:val="center"/>
    </w:pPr>
    <w:rPr>
      <w:i/>
      <w:iCs/>
      <w:color w:val="404040" w:themeColor="text1" w:themeTint="BF"/>
    </w:rPr>
  </w:style>
  <w:style w:type="character" w:customStyle="1" w:styleId="CitaCar">
    <w:name w:val="Cita Car"/>
    <w:basedOn w:val="Fuentedeprrafopredeter"/>
    <w:link w:val="Cita"/>
    <w:uiPriority w:val="29"/>
    <w:rsid w:val="009D47ED"/>
    <w:rPr>
      <w:i/>
      <w:iCs/>
      <w:color w:val="404040" w:themeColor="text1" w:themeTint="BF"/>
    </w:rPr>
  </w:style>
  <w:style w:type="character" w:styleId="nfasisintenso">
    <w:name w:val="Intense Emphasis"/>
    <w:basedOn w:val="Fuentedeprrafopredeter"/>
    <w:uiPriority w:val="21"/>
    <w:qFormat/>
    <w:rsid w:val="009D47ED"/>
    <w:rPr>
      <w:i/>
      <w:iCs/>
      <w:color w:val="2F5496" w:themeColor="accent1" w:themeShade="BF"/>
    </w:rPr>
  </w:style>
  <w:style w:type="paragraph" w:styleId="Citadestacada">
    <w:name w:val="Intense Quote"/>
    <w:basedOn w:val="Normal"/>
    <w:next w:val="Normal"/>
    <w:link w:val="CitadestacadaCar"/>
    <w:uiPriority w:val="30"/>
    <w:qFormat/>
    <w:rsid w:val="009D47E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9D47ED"/>
    <w:rPr>
      <w:i/>
      <w:iCs/>
      <w:color w:val="2F5496" w:themeColor="accent1" w:themeShade="BF"/>
    </w:rPr>
  </w:style>
  <w:style w:type="character" w:styleId="Referenciaintensa">
    <w:name w:val="Intense Reference"/>
    <w:basedOn w:val="Fuentedeprrafopredeter"/>
    <w:uiPriority w:val="32"/>
    <w:qFormat/>
    <w:rsid w:val="009D47ED"/>
    <w:rPr>
      <w:b/>
      <w:bCs/>
      <w:smallCaps/>
      <w:color w:val="2F5496" w:themeColor="accent1" w:themeShade="BF"/>
      <w:spacing w:val="5"/>
    </w:rPr>
  </w:style>
  <w:style w:type="table" w:customStyle="1" w:styleId="Tablaconcuadrcula1">
    <w:name w:val="Tabla con cuadrícula1"/>
    <w:basedOn w:val="Tablanormal"/>
    <w:next w:val="Tablaconcuadrcula"/>
    <w:uiPriority w:val="39"/>
    <w:qFormat/>
    <w:rsid w:val="009D47E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9D47ED"/>
    <w:pPr>
      <w:spacing w:line="240" w:lineRule="exact"/>
    </w:pPr>
    <w:rPr>
      <w:vertAlign w:val="superscript"/>
    </w:rPr>
  </w:style>
  <w:style w:type="character" w:customStyle="1" w:styleId="Hipervnculo1">
    <w:name w:val="Hipervínculo1"/>
    <w:basedOn w:val="Fuentedeprrafopredeter"/>
    <w:uiPriority w:val="99"/>
    <w:unhideWhenUsed/>
    <w:rsid w:val="009D47ED"/>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2" Type="http://schemas.openxmlformats.org/officeDocument/2006/relationships/hyperlink" Target="https://concejodebogota.gov.co/los-salones-comunales-de-la-comunidad/cbogota/2014-08-22/103007.php" TargetMode="External"/><Relationship Id="rId1" Type="http://schemas.openxmlformats.org/officeDocument/2006/relationships/hyperlink" Target="https://www.alcaldiabogota.gov.co/sisjur/normas/Norma1.jsp?i=36443"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a6cb9e4b-f1d1-4245-83ec-6cad768d538a"/>
    <ds:schemaRef ds:uri="http://schemas.microsoft.com/office/2006/documentManagement/types"/>
    <ds:schemaRef ds:uri="http://purl.org/dc/terms/"/>
    <ds:schemaRef ds:uri="http://purl.org/dc/dcmitype/"/>
    <ds:schemaRef ds:uri="http://schemas.openxmlformats.org/package/2006/metadata/core-properties"/>
    <ds:schemaRef ds:uri="http://purl.org/dc/elements/1.1/"/>
    <ds:schemaRef ds:uri="http://schemas.microsoft.com/office/2006/metadata/properties"/>
    <ds:schemaRef ds:uri="http://schemas.microsoft.com/office/infopath/2007/PartnerControls"/>
    <ds:schemaRef ds:uri="9d85dbaf-23eb-4e57-a637-93dcacc8b1a1"/>
    <ds:schemaRef ds:uri="http://www.w3.org/XML/1998/namespace"/>
  </ds:schemaRefs>
</ds:datastoreItem>
</file>

<file path=customXml/itemProps2.xml><?xml version="1.0" encoding="utf-8"?>
<ds:datastoreItem xmlns:ds="http://schemas.openxmlformats.org/officeDocument/2006/customXml" ds:itemID="{630E0B1B-6EF3-49B2-9DC4-5C61129B18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TotalTime>
  <Pages>23</Pages>
  <Words>7944</Words>
  <Characters>44566</Characters>
  <Application>Microsoft Office Word</Application>
  <DocSecurity>0</DocSecurity>
  <Lines>857</Lines>
  <Paragraphs>142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2025-11-07T15:10:00Z</dcterms:created>
  <dcterms:modified xsi:type="dcterms:W3CDTF">2025-11-07T15:10:00Z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