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F159F1" w14:textId="77777777" w:rsidR="00D76CC2" w:rsidRPr="00D90D56" w:rsidRDefault="00D76CC2" w:rsidP="00D76CC2">
      <w:pPr>
        <w:spacing w:after="0" w:line="240" w:lineRule="auto"/>
        <w:jc w:val="both"/>
        <w:rPr>
          <w:rFonts w:ascii="Verdana" w:eastAsia="Calibri" w:hAnsi="Verdana" w:cs="Arial"/>
          <w:b/>
          <w:bCs/>
          <w:color w:val="000000" w:themeColor="text1"/>
          <w:sz w:val="20"/>
          <w:szCs w:val="20"/>
          <w:lang w:val="es-ES_tradnl"/>
        </w:rPr>
      </w:pPr>
    </w:p>
    <w:p w14:paraId="3F14583B" w14:textId="77777777" w:rsidR="00D76CC2" w:rsidRPr="00D90D56" w:rsidRDefault="00D76CC2" w:rsidP="00D76CC2">
      <w:pPr>
        <w:spacing w:after="0" w:line="240" w:lineRule="auto"/>
        <w:jc w:val="both"/>
        <w:rPr>
          <w:rFonts w:ascii="Verdana" w:eastAsia="Calibri" w:hAnsi="Verdana" w:cs="Arial"/>
          <w:lang w:val="es-MX"/>
        </w:rPr>
      </w:pPr>
      <w:r w:rsidRPr="00D90D56">
        <w:rPr>
          <w:rFonts w:ascii="Verdana" w:eastAsia="Calibri" w:hAnsi="Verdana" w:cs="Arial"/>
          <w:b/>
          <w:lang w:val="es-MX"/>
        </w:rPr>
        <w:t>PLAN ANUAL DE ADQUISICIONES – Plan de acción</w:t>
      </w:r>
    </w:p>
    <w:p w14:paraId="0A899592" w14:textId="77777777" w:rsidR="00D76CC2" w:rsidRPr="00D90D56" w:rsidRDefault="00D76CC2" w:rsidP="00D76CC2">
      <w:pPr>
        <w:spacing w:after="0" w:line="240" w:lineRule="auto"/>
        <w:jc w:val="both"/>
        <w:rPr>
          <w:rFonts w:ascii="Verdana" w:eastAsia="Calibri" w:hAnsi="Verdana" w:cs="Arial"/>
          <w:bCs/>
          <w:sz w:val="20"/>
          <w:szCs w:val="20"/>
          <w:lang w:val="es-MX" w:eastAsia="en-GB"/>
        </w:rPr>
      </w:pPr>
    </w:p>
    <w:p w14:paraId="5B3BB61D" w14:textId="77777777" w:rsidR="00D76CC2" w:rsidRPr="00D90D56" w:rsidRDefault="00D76CC2" w:rsidP="00D76CC2">
      <w:pPr>
        <w:spacing w:after="0" w:line="240" w:lineRule="auto"/>
        <w:jc w:val="both"/>
        <w:rPr>
          <w:rFonts w:ascii="Verdana" w:eastAsia="Calibri" w:hAnsi="Verdana" w:cs="Arial"/>
          <w:sz w:val="20"/>
          <w:szCs w:val="20"/>
          <w:lang w:val="es-ES" w:eastAsia="en-GB"/>
        </w:rPr>
      </w:pPr>
      <w:r w:rsidRPr="00D90D56">
        <w:rPr>
          <w:rFonts w:ascii="Verdana" w:eastAsia="Calibri" w:hAnsi="Verdana" w:cs="Arial"/>
          <w:sz w:val="20"/>
          <w:szCs w:val="20"/>
          <w:lang w:val="es-ES" w:eastAsia="en-GB"/>
        </w:rPr>
        <w:t xml:space="preserve">El artículo 74 de la Ley 1474 establece, que </w:t>
      </w:r>
      <w:r>
        <w:rPr>
          <w:rFonts w:ascii="Verdana" w:eastAsia="Calibri" w:hAnsi="Verdana" w:cs="Arial"/>
          <w:sz w:val="20"/>
          <w:szCs w:val="20"/>
          <w:lang w:val="es-ES" w:eastAsia="en-GB"/>
        </w:rPr>
        <w:t>“</w:t>
      </w:r>
      <w:r w:rsidRPr="00D90D56">
        <w:rPr>
          <w:rFonts w:ascii="Verdana" w:eastAsia="Calibri" w:hAnsi="Verdana" w:cs="Arial"/>
          <w:sz w:val="20"/>
          <w:szCs w:val="20"/>
          <w:lang w:val="es-ES" w:eastAsia="en-GB"/>
        </w:rPr>
        <w:t>todas las entidades del Estado</w:t>
      </w:r>
      <w:r>
        <w:rPr>
          <w:rFonts w:ascii="Verdana" w:eastAsia="Calibri" w:hAnsi="Verdana" w:cs="Arial"/>
          <w:sz w:val="20"/>
          <w:szCs w:val="20"/>
          <w:lang w:val="es-ES" w:eastAsia="en-GB"/>
        </w:rPr>
        <w:t>”</w:t>
      </w:r>
      <w:r w:rsidRPr="00D90D56">
        <w:rPr>
          <w:rFonts w:ascii="Verdana" w:eastAsia="Calibri" w:hAnsi="Verdana" w:cs="Arial"/>
          <w:sz w:val="20"/>
          <w:szCs w:val="20"/>
          <w:lang w:val="es-ES" w:eastAsia="en-GB"/>
        </w:rPr>
        <w:t xml:space="preserve"> deben publicar, a más tardar el 31 de enero de cada año, en su respectiva página web, el plan de acción, en el cual se incluye el plan general de compras. El plan general de compras para el ordenamiento vigente corresponde con el concepto de plan anual de adquisiciones como lo establece el artículo 2.2.1.1.1.3.1. del Decreto 1082 de 2015.</w:t>
      </w:r>
    </w:p>
    <w:p w14:paraId="1CC65998" w14:textId="77777777" w:rsidR="00D76CC2" w:rsidRPr="00D90D56" w:rsidRDefault="00D76CC2" w:rsidP="00D76CC2">
      <w:pPr>
        <w:widowControl w:val="0"/>
        <w:autoSpaceDE w:val="0"/>
        <w:autoSpaceDN w:val="0"/>
        <w:spacing w:before="94" w:after="0" w:line="240" w:lineRule="auto"/>
        <w:ind w:right="533"/>
        <w:jc w:val="both"/>
        <w:rPr>
          <w:rFonts w:ascii="Verdana" w:eastAsia="Arial MT" w:hAnsi="Verdana" w:cs="Arial MT"/>
          <w:b/>
          <w:color w:val="585858"/>
          <w:sz w:val="20"/>
          <w:szCs w:val="20"/>
          <w:lang w:val="es-ES"/>
        </w:rPr>
      </w:pPr>
    </w:p>
    <w:p w14:paraId="0067D4A5" w14:textId="77777777" w:rsidR="00D76CC2" w:rsidRPr="00D90D56" w:rsidRDefault="00D76CC2" w:rsidP="00D76CC2">
      <w:pPr>
        <w:spacing w:after="0" w:line="240" w:lineRule="auto"/>
        <w:jc w:val="both"/>
        <w:rPr>
          <w:rFonts w:ascii="Verdana" w:eastAsia="Calibri" w:hAnsi="Verdana" w:cs="Arial"/>
          <w:b/>
          <w:lang w:val="es-ES" w:eastAsia="en-GB"/>
        </w:rPr>
      </w:pPr>
      <w:r w:rsidRPr="00D90D56">
        <w:rPr>
          <w:rFonts w:ascii="Verdana" w:eastAsia="Calibri" w:hAnsi="Verdana" w:cs="Arial"/>
          <w:b/>
          <w:lang w:val="es-ES" w:eastAsia="en-GB"/>
        </w:rPr>
        <w:t>P</w:t>
      </w:r>
      <w:r w:rsidRPr="00D90D56">
        <w:rPr>
          <w:rFonts w:ascii="Verdana" w:eastAsia="Calibri" w:hAnsi="Verdana" w:cs="Arial"/>
          <w:b/>
          <w:lang w:val="es-MX"/>
        </w:rPr>
        <w:t xml:space="preserve">LAN ANUAL DE ADQUISICIONES – Publicidad – Entidades </w:t>
      </w:r>
      <w:r w:rsidRPr="00D90D56">
        <w:rPr>
          <w:rFonts w:ascii="Verdana" w:eastAsia="Calibri" w:hAnsi="Verdana" w:cs="Arial"/>
          <w:b/>
          <w:bCs/>
          <w:lang w:val="es-MX"/>
        </w:rPr>
        <w:t>Estatales</w:t>
      </w:r>
      <w:r w:rsidRPr="00D90D56">
        <w:rPr>
          <w:rFonts w:ascii="Verdana" w:eastAsia="Calibri" w:hAnsi="Verdana" w:cs="Arial"/>
          <w:b/>
          <w:lang w:val="es-MX"/>
        </w:rPr>
        <w:t xml:space="preserve"> obligadas</w:t>
      </w:r>
    </w:p>
    <w:p w14:paraId="2A5568CD" w14:textId="77777777" w:rsidR="00D76CC2" w:rsidRPr="00D90D56" w:rsidRDefault="00D76CC2" w:rsidP="00D76CC2">
      <w:pPr>
        <w:spacing w:after="0" w:line="240" w:lineRule="auto"/>
        <w:jc w:val="both"/>
        <w:rPr>
          <w:rFonts w:ascii="Verdana" w:eastAsia="Calibri" w:hAnsi="Verdana" w:cs="Arial"/>
          <w:sz w:val="20"/>
          <w:szCs w:val="20"/>
          <w:lang w:val="es-ES" w:eastAsia="en-GB"/>
        </w:rPr>
      </w:pPr>
    </w:p>
    <w:p w14:paraId="29A2566B" w14:textId="77777777" w:rsidR="00D76CC2" w:rsidRPr="00D90D56" w:rsidRDefault="00D76CC2" w:rsidP="00D76CC2">
      <w:pPr>
        <w:spacing w:after="0" w:line="240" w:lineRule="auto"/>
        <w:jc w:val="both"/>
        <w:rPr>
          <w:rFonts w:ascii="Verdana" w:eastAsia="Calibri" w:hAnsi="Verdana" w:cs="Arial"/>
          <w:sz w:val="20"/>
          <w:szCs w:val="20"/>
          <w:lang w:val="es-ES" w:eastAsia="en-GB"/>
        </w:rPr>
      </w:pPr>
      <w:r w:rsidRPr="00D90D56">
        <w:rPr>
          <w:rFonts w:ascii="Verdana" w:eastAsia="Calibri" w:hAnsi="Verdana" w:cs="Arial"/>
          <w:sz w:val="20"/>
          <w:szCs w:val="20"/>
          <w:lang w:val="es-ES" w:eastAsia="en-GB"/>
        </w:rPr>
        <w:t xml:space="preserve">El artículo 9, literal e), prescribe que todo sujeto obligado deberá publicar, en los sistemas de información del Estado o herramientas que lo sustituyan, su respectivo plan de compras anual. Para determinar los sujetos obligados a publicarlo es necesario remitirse al artículo 5 de la Ley 1712 de 2014. </w:t>
      </w:r>
    </w:p>
    <w:p w14:paraId="53DA15D8" w14:textId="77777777" w:rsidR="00D76CC2" w:rsidRPr="00D90D56" w:rsidRDefault="00D76CC2" w:rsidP="00D76CC2">
      <w:pPr>
        <w:spacing w:after="0" w:line="240" w:lineRule="auto"/>
        <w:jc w:val="both"/>
        <w:rPr>
          <w:rFonts w:ascii="Verdana" w:eastAsia="Calibri" w:hAnsi="Verdana" w:cs="Arial"/>
          <w:sz w:val="20"/>
          <w:szCs w:val="20"/>
          <w:lang w:val="es-ES" w:eastAsia="en-GB"/>
        </w:rPr>
      </w:pPr>
      <w:r w:rsidRPr="00D90D56">
        <w:rPr>
          <w:rFonts w:ascii="Verdana" w:eastAsia="Calibri" w:hAnsi="Verdana" w:cs="Arial"/>
          <w:sz w:val="20"/>
          <w:szCs w:val="20"/>
          <w:lang w:val="es-ES" w:eastAsia="en-GB"/>
        </w:rPr>
        <w:t>[…]</w:t>
      </w:r>
    </w:p>
    <w:p w14:paraId="7084EA8A" w14:textId="77777777" w:rsidR="00D76CC2" w:rsidRPr="00D90D56" w:rsidRDefault="00D76CC2" w:rsidP="00D76CC2">
      <w:pPr>
        <w:spacing w:after="0" w:line="240" w:lineRule="auto"/>
        <w:jc w:val="both"/>
        <w:rPr>
          <w:rFonts w:ascii="Verdana" w:eastAsia="Calibri" w:hAnsi="Verdana" w:cs="Arial"/>
          <w:sz w:val="20"/>
          <w:szCs w:val="20"/>
          <w:lang w:val="es-ES" w:eastAsia="en-GB"/>
        </w:rPr>
      </w:pPr>
    </w:p>
    <w:p w14:paraId="36269FA1" w14:textId="77777777" w:rsidR="00D76CC2" w:rsidRPr="00D90D56" w:rsidRDefault="00D76CC2" w:rsidP="00D76CC2">
      <w:pPr>
        <w:spacing w:after="0" w:line="240" w:lineRule="auto"/>
        <w:jc w:val="both"/>
        <w:rPr>
          <w:rFonts w:ascii="Verdana" w:eastAsia="Calibri" w:hAnsi="Verdana" w:cs="Arial"/>
          <w:sz w:val="20"/>
          <w:szCs w:val="20"/>
          <w:lang w:val="es-ES" w:eastAsia="en-GB"/>
        </w:rPr>
      </w:pPr>
      <w:r w:rsidRPr="00D90D56">
        <w:rPr>
          <w:rFonts w:ascii="Verdana" w:eastAsia="Calibri" w:hAnsi="Verdana" w:cs="Arial"/>
          <w:sz w:val="20"/>
          <w:szCs w:val="20"/>
          <w:lang w:val="es-ES" w:eastAsia="en-GB"/>
        </w:rPr>
        <w:t>La norma citada contiene una lista cuyo propósito es incluir a cualquier entidad, órgano, organismo, o persona natural que desempeñe funciones públicas o administre recursos públicos. De hecho, esta Agencia ha aclarado, en relación con el plan anual de adquisiciones, que se encuentran obligadas todas las entidades del Estado sin importar la rama a la cual pertenecen, o si se trata de entidades descentralizadas territorialmente o por servicios. También están incluidos todos los órganos con competencia para contratar, como los concejos municipales.</w:t>
      </w:r>
    </w:p>
    <w:p w14:paraId="02C6A1C2" w14:textId="77777777" w:rsidR="00D76CC2" w:rsidRPr="00D90D56" w:rsidRDefault="00D76CC2" w:rsidP="00D76CC2">
      <w:pPr>
        <w:spacing w:after="0" w:line="240" w:lineRule="auto"/>
        <w:jc w:val="both"/>
        <w:rPr>
          <w:rFonts w:ascii="Verdana" w:eastAsia="Calibri" w:hAnsi="Verdana" w:cs="Arial"/>
          <w:sz w:val="20"/>
          <w:szCs w:val="20"/>
          <w:lang w:val="es-ES" w:eastAsia="en-GB"/>
        </w:rPr>
      </w:pPr>
    </w:p>
    <w:p w14:paraId="193840C8" w14:textId="77777777" w:rsidR="00D76CC2" w:rsidRPr="00D90D56" w:rsidRDefault="00D76CC2" w:rsidP="00D76CC2">
      <w:pPr>
        <w:spacing w:after="0" w:line="240" w:lineRule="auto"/>
        <w:jc w:val="both"/>
        <w:rPr>
          <w:rFonts w:ascii="Verdana" w:eastAsia="Calibri" w:hAnsi="Verdana" w:cs="Arial"/>
          <w:b/>
          <w:lang w:val="es-MX"/>
        </w:rPr>
      </w:pPr>
      <w:r w:rsidRPr="00D90D56">
        <w:rPr>
          <w:rFonts w:ascii="Verdana" w:eastAsia="Calibri" w:hAnsi="Verdana" w:cs="Arial"/>
          <w:b/>
          <w:lang w:val="es-MX"/>
        </w:rPr>
        <w:t xml:space="preserve">PLAN ANUAL DE ADQUISICIONES – Contenido </w:t>
      </w:r>
    </w:p>
    <w:p w14:paraId="1E1A0011" w14:textId="77777777" w:rsidR="00D76CC2" w:rsidRPr="00D90D56" w:rsidRDefault="00D76CC2" w:rsidP="00D76CC2">
      <w:pPr>
        <w:spacing w:after="0" w:line="240" w:lineRule="auto"/>
        <w:jc w:val="both"/>
        <w:rPr>
          <w:rFonts w:ascii="Verdana" w:eastAsia="Calibri" w:hAnsi="Verdana" w:cs="Arial"/>
          <w:b/>
          <w:sz w:val="20"/>
          <w:szCs w:val="20"/>
          <w:lang w:val="es-ES"/>
        </w:rPr>
      </w:pPr>
    </w:p>
    <w:p w14:paraId="66815AA0" w14:textId="77777777" w:rsidR="00D76CC2" w:rsidRPr="00D90D56" w:rsidRDefault="00D76CC2" w:rsidP="00D76CC2">
      <w:pPr>
        <w:spacing w:after="0" w:line="240" w:lineRule="auto"/>
        <w:jc w:val="both"/>
        <w:rPr>
          <w:rFonts w:ascii="Verdana" w:eastAsia="Calibri" w:hAnsi="Verdana" w:cs="Arial"/>
          <w:sz w:val="20"/>
          <w:szCs w:val="20"/>
          <w:lang w:val="es-ES"/>
        </w:rPr>
      </w:pPr>
      <w:r w:rsidRPr="00D90D56">
        <w:rPr>
          <w:rFonts w:ascii="Verdana" w:eastAsia="Calibri" w:hAnsi="Verdana" w:cs="Arial"/>
          <w:sz w:val="20"/>
          <w:szCs w:val="20"/>
          <w:lang w:val="es-ES"/>
        </w:rPr>
        <w:t xml:space="preserve">El artículo 2.2.1.1.1.4.1. del Decreto 1082 de 2015 establece el deber de elaborar el plan anual de adquisiciones, que debe contener un listado de lo que la entidad adquirirá durante el año, para satisfacer sus necesidades de bienes, obras o servicios, y debe tener la información desagregada, principalmente en los siguientes aspectos: i) identificación con el clasificador de bienes y servicios, </w:t>
      </w:r>
      <w:proofErr w:type="spellStart"/>
      <w:r w:rsidRPr="00D90D56">
        <w:rPr>
          <w:rFonts w:ascii="Verdana" w:eastAsia="Calibri" w:hAnsi="Verdana" w:cs="Arial"/>
          <w:sz w:val="20"/>
          <w:szCs w:val="20"/>
          <w:lang w:val="es-ES"/>
        </w:rPr>
        <w:t>ii</w:t>
      </w:r>
      <w:proofErr w:type="spellEnd"/>
      <w:r w:rsidRPr="00D90D56">
        <w:rPr>
          <w:rFonts w:ascii="Verdana" w:eastAsia="Calibri" w:hAnsi="Verdana" w:cs="Arial"/>
          <w:sz w:val="20"/>
          <w:szCs w:val="20"/>
          <w:lang w:val="es-ES"/>
        </w:rPr>
        <w:t xml:space="preserve">) valor estimado del contrato, </w:t>
      </w:r>
      <w:proofErr w:type="spellStart"/>
      <w:r w:rsidRPr="00D90D56">
        <w:rPr>
          <w:rFonts w:ascii="Verdana" w:eastAsia="Calibri" w:hAnsi="Verdana" w:cs="Arial"/>
          <w:sz w:val="20"/>
          <w:szCs w:val="20"/>
          <w:lang w:val="es-ES"/>
        </w:rPr>
        <w:t>iii</w:t>
      </w:r>
      <w:proofErr w:type="spellEnd"/>
      <w:r w:rsidRPr="00D90D56">
        <w:rPr>
          <w:rFonts w:ascii="Verdana" w:eastAsia="Calibri" w:hAnsi="Verdana" w:cs="Arial"/>
          <w:sz w:val="20"/>
          <w:szCs w:val="20"/>
          <w:lang w:val="es-ES"/>
        </w:rPr>
        <w:t xml:space="preserve">) tipo de recursos, </w:t>
      </w:r>
      <w:proofErr w:type="spellStart"/>
      <w:r w:rsidRPr="00D90D56">
        <w:rPr>
          <w:rFonts w:ascii="Verdana" w:eastAsia="Calibri" w:hAnsi="Verdana" w:cs="Arial"/>
          <w:sz w:val="20"/>
          <w:szCs w:val="20"/>
          <w:lang w:val="es-ES"/>
        </w:rPr>
        <w:t>iv</w:t>
      </w:r>
      <w:proofErr w:type="spellEnd"/>
      <w:r w:rsidRPr="00D90D56">
        <w:rPr>
          <w:rFonts w:ascii="Verdana" w:eastAsia="Calibri" w:hAnsi="Verdana" w:cs="Arial"/>
          <w:sz w:val="20"/>
          <w:szCs w:val="20"/>
          <w:lang w:val="es-ES"/>
        </w:rPr>
        <w:t>) modalidad de selección y v) fecha de inicio del proceso contractual.</w:t>
      </w:r>
    </w:p>
    <w:p w14:paraId="0B7E8CC9" w14:textId="77777777" w:rsidR="00D76CC2" w:rsidRPr="00D90D56" w:rsidRDefault="00D76CC2" w:rsidP="00D76CC2">
      <w:pPr>
        <w:spacing w:after="0" w:line="240" w:lineRule="auto"/>
        <w:jc w:val="both"/>
        <w:rPr>
          <w:rFonts w:ascii="Verdana" w:eastAsia="Calibri" w:hAnsi="Verdana" w:cs="Arial"/>
          <w:sz w:val="20"/>
          <w:szCs w:val="20"/>
          <w:lang w:val="es-ES" w:eastAsia="en-GB"/>
        </w:rPr>
      </w:pPr>
    </w:p>
    <w:p w14:paraId="10EBBAA3" w14:textId="77777777" w:rsidR="00D76CC2" w:rsidRPr="00D90D56" w:rsidRDefault="00D76CC2" w:rsidP="00D76CC2">
      <w:pPr>
        <w:spacing w:after="0" w:line="240" w:lineRule="auto"/>
        <w:jc w:val="both"/>
        <w:rPr>
          <w:rFonts w:ascii="Verdana" w:eastAsia="Calibri" w:hAnsi="Verdana" w:cs="Arial"/>
          <w:b/>
          <w:lang w:val="es-MX"/>
        </w:rPr>
      </w:pPr>
      <w:r w:rsidRPr="00D90D56">
        <w:rPr>
          <w:rFonts w:ascii="Verdana" w:eastAsia="Calibri" w:hAnsi="Verdana" w:cs="Arial"/>
          <w:b/>
          <w:lang w:val="es-MX"/>
        </w:rPr>
        <w:t xml:space="preserve">PLAN ANUAL DE ADQUISICIONES – Carácter estimativo </w:t>
      </w:r>
    </w:p>
    <w:p w14:paraId="3E63BADC" w14:textId="77777777" w:rsidR="00D76CC2" w:rsidRPr="00D90D56" w:rsidRDefault="00D76CC2" w:rsidP="00D76CC2">
      <w:pPr>
        <w:spacing w:after="0" w:line="240" w:lineRule="auto"/>
        <w:jc w:val="both"/>
        <w:rPr>
          <w:rFonts w:ascii="Verdana" w:eastAsia="Calibri" w:hAnsi="Verdana" w:cs="Arial"/>
          <w:sz w:val="20"/>
          <w:szCs w:val="20"/>
          <w:lang w:val="es-ES"/>
        </w:rPr>
      </w:pPr>
    </w:p>
    <w:p w14:paraId="402AEDAF" w14:textId="77777777" w:rsidR="00D76CC2" w:rsidRDefault="00D76CC2" w:rsidP="00D76CC2">
      <w:pPr>
        <w:spacing w:after="0" w:line="240" w:lineRule="auto"/>
        <w:jc w:val="both"/>
        <w:rPr>
          <w:rFonts w:ascii="Verdana" w:eastAsia="Times New Roman" w:hAnsi="Verdana" w:cs="Times New Roman"/>
          <w:sz w:val="20"/>
          <w:szCs w:val="20"/>
        </w:rPr>
      </w:pPr>
      <w:r w:rsidRPr="00D90D56">
        <w:rPr>
          <w:rFonts w:ascii="Verdana" w:eastAsia="Calibri" w:hAnsi="Verdana" w:cs="Arial"/>
          <w:sz w:val="20"/>
          <w:szCs w:val="20"/>
          <w:lang w:val="es-ES"/>
        </w:rPr>
        <w:t xml:space="preserve">La norma referida establece la obligación de enunciar la información de manera indicativa, y no impone determinar valores precisos, tiempos, bienes, obras o servicios de manera exacta; todo lo contrario, permite realizar un pronóstico indicativo de las necesidades que debe contratar. Este carácter estimativo del plan anual de adquisiciones fue reconocido por la Agencia Nacional de Contratación Pública ― Colombia Compra Eficiente, en la guía para elaborar el plan anual de adquisiciones, donde precisó, como uno de sus usos, </w:t>
      </w:r>
      <w:r>
        <w:rPr>
          <w:rFonts w:ascii="Verdana" w:eastAsia="Calibri" w:hAnsi="Verdana" w:cs="Arial"/>
          <w:sz w:val="20"/>
          <w:szCs w:val="20"/>
          <w:lang w:val="es-ES"/>
        </w:rPr>
        <w:t>“</w:t>
      </w:r>
      <w:r w:rsidRPr="00D90D56">
        <w:rPr>
          <w:rFonts w:ascii="Verdana" w:eastAsia="Calibri" w:hAnsi="Verdana" w:cs="Arial"/>
          <w:sz w:val="20"/>
          <w:szCs w:val="20"/>
          <w:lang w:val="es-ES"/>
        </w:rPr>
        <w:t>servir como referente inicial para evaluar la ejecución de presupuesto y pronosticar la demanda de bienes y servicios de la entidad durante el año referido del plan</w:t>
      </w:r>
      <w:r>
        <w:rPr>
          <w:rFonts w:ascii="Verdana" w:eastAsia="Calibri" w:hAnsi="Verdana" w:cs="Arial"/>
          <w:sz w:val="20"/>
          <w:szCs w:val="20"/>
          <w:lang w:val="es-ES"/>
        </w:rPr>
        <w:t>”</w:t>
      </w:r>
      <w:r w:rsidRPr="00D90D56">
        <w:rPr>
          <w:rFonts w:ascii="Verdana" w:eastAsia="Calibri" w:hAnsi="Verdana" w:cs="Arial"/>
          <w:sz w:val="20"/>
          <w:szCs w:val="20"/>
          <w:lang w:val="es-ES"/>
        </w:rPr>
        <w:t>.</w:t>
      </w:r>
    </w:p>
    <w:p w14:paraId="18AA0E21" w14:textId="23DBBE94" w:rsidR="00AA30FB" w:rsidRPr="00D76CC2" w:rsidRDefault="00AA30FB" w:rsidP="00D76CC2">
      <w:pPr>
        <w:spacing w:after="0" w:line="240" w:lineRule="auto"/>
        <w:jc w:val="both"/>
        <w:rPr>
          <w:rFonts w:ascii="Verdana" w:eastAsia="Times New Roman" w:hAnsi="Verdana" w:cs="Times New Roman"/>
          <w:sz w:val="20"/>
          <w:szCs w:val="20"/>
        </w:rPr>
      </w:pPr>
      <w:r w:rsidRPr="00593A5F">
        <w:rPr>
          <w:rFonts w:ascii="Verdana" w:eastAsia="Geomanist Light" w:hAnsi="Verdana" w:cs="Arial"/>
          <w:color w:val="000000" w:themeColor="text1"/>
          <w:lang w:val="es-MX"/>
        </w:rPr>
        <w:lastRenderedPageBreak/>
        <w:t>Bogotá D.C., </w:t>
      </w:r>
      <w:r w:rsidR="006B6BA0">
        <w:rPr>
          <w:rFonts w:ascii="Verdana" w:eastAsia="Geomanist Light" w:hAnsi="Verdana" w:cs="Arial"/>
          <w:color w:val="000000" w:themeColor="text1"/>
          <w:lang w:val="es-MX"/>
        </w:rPr>
        <w:t>0</w:t>
      </w:r>
      <w:r w:rsidR="00986170">
        <w:rPr>
          <w:rFonts w:ascii="Verdana" w:eastAsia="Geomanist Light" w:hAnsi="Verdana" w:cs="Arial"/>
          <w:color w:val="000000" w:themeColor="text1"/>
          <w:lang w:val="es-MX"/>
        </w:rPr>
        <w:t>6 de Noviembre de 2025</w:t>
      </w:r>
    </w:p>
    <w:p w14:paraId="4EECD803" w14:textId="77777777" w:rsidR="00AA30FB" w:rsidRDefault="00AA30FB" w:rsidP="00AA30FB">
      <w:pPr>
        <w:spacing w:after="0" w:line="240" w:lineRule="auto"/>
        <w:jc w:val="both"/>
        <w:rPr>
          <w:rFonts w:ascii="Verdana" w:eastAsia="Calibri" w:hAnsi="Verdana" w:cs="Arial"/>
          <w:color w:val="000000"/>
          <w:lang w:val="es-ES"/>
        </w:rPr>
      </w:pPr>
    </w:p>
    <w:p w14:paraId="6F27C4A0" w14:textId="428A52EC" w:rsidR="00AA30FB" w:rsidRDefault="006B6BA0" w:rsidP="006B6BA0">
      <w:pPr>
        <w:spacing w:after="0" w:line="240" w:lineRule="auto"/>
        <w:jc w:val="right"/>
        <w:rPr>
          <w:rFonts w:ascii="Verdana" w:eastAsia="Calibri" w:hAnsi="Verdana" w:cs="Arial"/>
          <w:color w:val="000000"/>
          <w:lang w:val="es-ES"/>
        </w:rPr>
      </w:pPr>
      <w:r w:rsidRPr="006B6BA0">
        <w:rPr>
          <w:rFonts w:ascii="Verdana" w:eastAsia="Calibri" w:hAnsi="Verdana" w:cs="Arial"/>
          <w:noProof/>
          <w:color w:val="000000"/>
          <w:lang w:val="es-ES"/>
        </w:rPr>
        <w:drawing>
          <wp:inline distT="0" distB="0" distL="0" distR="0" wp14:anchorId="4F9C108F" wp14:editId="31341C36">
            <wp:extent cx="2400300" cy="622300"/>
            <wp:effectExtent l="0" t="0" r="0" b="0"/>
            <wp:docPr id="73770461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7704613" name=""/>
                    <pic:cNvPicPr/>
                  </pic:nvPicPr>
                  <pic:blipFill>
                    <a:blip r:embed="rId10"/>
                    <a:stretch>
                      <a:fillRect/>
                    </a:stretch>
                  </pic:blipFill>
                  <pic:spPr>
                    <a:xfrm>
                      <a:off x="0" y="0"/>
                      <a:ext cx="2400300" cy="622300"/>
                    </a:xfrm>
                    <a:prstGeom prst="rect">
                      <a:avLst/>
                    </a:prstGeom>
                  </pic:spPr>
                </pic:pic>
              </a:graphicData>
            </a:graphic>
          </wp:inline>
        </w:drawing>
      </w:r>
    </w:p>
    <w:p w14:paraId="52525492" w14:textId="77777777" w:rsidR="006B6BA0" w:rsidRPr="00593A5F" w:rsidRDefault="006B6BA0" w:rsidP="00AA30FB">
      <w:pPr>
        <w:spacing w:after="0" w:line="240" w:lineRule="auto"/>
        <w:jc w:val="both"/>
        <w:rPr>
          <w:rFonts w:ascii="Verdana" w:eastAsia="Calibri" w:hAnsi="Verdana" w:cs="Arial"/>
          <w:color w:val="000000"/>
          <w:lang w:val="es-ES"/>
        </w:rPr>
      </w:pPr>
    </w:p>
    <w:p w14:paraId="63AF30A6" w14:textId="77777777" w:rsidR="00AA30FB" w:rsidRPr="00B96799" w:rsidRDefault="00AA30FB" w:rsidP="00AA30FB">
      <w:pPr>
        <w:spacing w:after="0" w:line="240" w:lineRule="auto"/>
        <w:jc w:val="both"/>
        <w:rPr>
          <w:rFonts w:ascii="Verdana" w:eastAsia="Calibri" w:hAnsi="Verdana" w:cs="Arial"/>
          <w:lang w:val="es-ES" w:eastAsia="es-ES"/>
        </w:rPr>
      </w:pPr>
      <w:r>
        <w:rPr>
          <w:rFonts w:ascii="Verdana" w:eastAsia="Calibri" w:hAnsi="Verdana" w:cs="Arial"/>
          <w:lang w:val="es-ES" w:eastAsia="es-ES"/>
        </w:rPr>
        <w:t>Señora</w:t>
      </w:r>
    </w:p>
    <w:p w14:paraId="52EA3A2D" w14:textId="77777777" w:rsidR="00AA30FB" w:rsidRPr="0085423D" w:rsidRDefault="00AA30FB" w:rsidP="00AA30FB">
      <w:pPr>
        <w:spacing w:after="0" w:line="240" w:lineRule="auto"/>
        <w:rPr>
          <w:rFonts w:ascii="Verdana" w:eastAsia="Calibri" w:hAnsi="Verdana" w:cs="Arial"/>
          <w:b/>
          <w:lang w:val="es-ES_tradnl" w:eastAsia="es-ES_tradnl"/>
        </w:rPr>
      </w:pPr>
      <w:r w:rsidRPr="002E40AA">
        <w:rPr>
          <w:rFonts w:ascii="Verdana" w:eastAsia="Calibri" w:hAnsi="Verdana" w:cs="Arial"/>
          <w:b/>
          <w:lang w:val="es-ES_tradnl" w:eastAsia="es-ES_tradnl"/>
        </w:rPr>
        <w:t>Jenny Ang</w:t>
      </w:r>
      <w:r>
        <w:rPr>
          <w:rFonts w:ascii="Verdana" w:eastAsia="Calibri" w:hAnsi="Verdana" w:cs="Arial"/>
          <w:b/>
          <w:lang w:val="es-ES_tradnl" w:eastAsia="es-ES_tradnl"/>
        </w:rPr>
        <w:t>é</w:t>
      </w:r>
      <w:r w:rsidRPr="002E40AA">
        <w:rPr>
          <w:rFonts w:ascii="Verdana" w:eastAsia="Calibri" w:hAnsi="Verdana" w:cs="Arial"/>
          <w:b/>
          <w:lang w:val="es-ES_tradnl" w:eastAsia="es-ES_tradnl"/>
        </w:rPr>
        <w:t>lica Algarra Caballero</w:t>
      </w:r>
      <w:r>
        <w:rPr>
          <w:rFonts w:ascii="Verdana" w:eastAsia="Calibri" w:hAnsi="Verdana" w:cs="Arial"/>
          <w:b/>
          <w:lang w:val="es-ES_tradnl" w:eastAsia="es-ES_tradnl"/>
        </w:rPr>
        <w:t xml:space="preserve"> </w:t>
      </w:r>
    </w:p>
    <w:p w14:paraId="7EC6C36F" w14:textId="77777777" w:rsidR="00AA30FB" w:rsidRPr="002E40AA" w:rsidRDefault="00AA30FB" w:rsidP="00AA30FB">
      <w:pPr>
        <w:spacing w:after="0" w:line="240" w:lineRule="auto"/>
        <w:rPr>
          <w:rFonts w:ascii="Verdana" w:eastAsia="Calibri" w:hAnsi="Verdana" w:cs="Arial"/>
          <w:lang w:val="es-ES" w:eastAsia="es-ES"/>
        </w:rPr>
      </w:pPr>
      <w:hyperlink r:id="rId11" w:history="1">
        <w:r w:rsidRPr="008140D2">
          <w:rPr>
            <w:rStyle w:val="Hipervnculo"/>
            <w:rFonts w:ascii="Verdana" w:hAnsi="Verdana"/>
          </w:rPr>
          <w:t>jalgarra@sena.edu.co</w:t>
        </w:r>
      </w:hyperlink>
      <w:r>
        <w:rPr>
          <w:rFonts w:ascii="Verdana" w:hAnsi="Verdana"/>
        </w:rPr>
        <w:t xml:space="preserve"> </w:t>
      </w:r>
      <w:r w:rsidRPr="002E40AA">
        <w:rPr>
          <w:rFonts w:ascii="Verdana" w:hAnsi="Verdana"/>
        </w:rPr>
        <w:t xml:space="preserve">            </w:t>
      </w:r>
      <w:r w:rsidRPr="002E40AA">
        <w:rPr>
          <w:rFonts w:ascii="Verdana" w:eastAsia="Calibri" w:hAnsi="Verdana" w:cs="Arial"/>
          <w:lang w:val="es-ES" w:eastAsia="es-ES"/>
        </w:rPr>
        <w:t xml:space="preserve">    </w:t>
      </w:r>
    </w:p>
    <w:p w14:paraId="2A447987" w14:textId="77777777" w:rsidR="00AA30FB" w:rsidRDefault="00AA30FB" w:rsidP="00AA30FB">
      <w:pPr>
        <w:spacing w:after="0" w:line="240" w:lineRule="auto"/>
        <w:rPr>
          <w:rFonts w:ascii="Verdana" w:eastAsia="Calibri" w:hAnsi="Verdana" w:cs="Arial"/>
          <w:lang w:val="es-ES" w:eastAsia="es-ES"/>
        </w:rPr>
      </w:pPr>
      <w:r w:rsidRPr="00203804">
        <w:rPr>
          <w:rFonts w:ascii="Verdana" w:eastAsia="Calibri" w:hAnsi="Verdana" w:cs="Arial"/>
          <w:lang w:val="es-ES" w:eastAsia="es-ES"/>
        </w:rPr>
        <w:t>Bogotá D.C.</w:t>
      </w:r>
      <w:r>
        <w:rPr>
          <w:rFonts w:ascii="Verdana" w:eastAsia="Calibri" w:hAnsi="Verdana" w:cs="Arial"/>
          <w:lang w:val="es-ES" w:eastAsia="es-ES"/>
        </w:rPr>
        <w:t xml:space="preserve"> </w:t>
      </w:r>
    </w:p>
    <w:p w14:paraId="1FF701CB" w14:textId="77777777" w:rsidR="00AA30FB" w:rsidRPr="00593A5F" w:rsidRDefault="00AA30FB" w:rsidP="00AA30FB">
      <w:pPr>
        <w:spacing w:after="0" w:line="240" w:lineRule="auto"/>
        <w:rPr>
          <w:rFonts w:ascii="Verdana" w:eastAsia="Calibri" w:hAnsi="Verdana" w:cs="Arial"/>
          <w:b/>
          <w:bCs/>
          <w:color w:val="000000"/>
          <w:lang w:val="es-ES_tradnl" w:eastAsia="es-ES_tradnl"/>
        </w:rPr>
      </w:pPr>
    </w:p>
    <w:p w14:paraId="620C82BD" w14:textId="77777777" w:rsidR="00AA30FB" w:rsidRPr="00593A5F" w:rsidRDefault="00AA30FB" w:rsidP="00AA30FB">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AA30FB" w:rsidRPr="00593A5F" w14:paraId="2F62725B" w14:textId="77777777" w:rsidTr="00E54B96">
        <w:trPr>
          <w:trHeight w:val="884"/>
        </w:trPr>
        <w:tc>
          <w:tcPr>
            <w:tcW w:w="2689" w:type="dxa"/>
          </w:tcPr>
          <w:p w14:paraId="15007D21" w14:textId="77777777" w:rsidR="00AA30FB" w:rsidRPr="00C00976" w:rsidRDefault="00AA30FB" w:rsidP="00E54B96">
            <w:pPr>
              <w:jc w:val="both"/>
              <w:rPr>
                <w:rFonts w:ascii="Verdana" w:eastAsia="Calibri" w:hAnsi="Verdana" w:cs="Arial"/>
                <w:b/>
                <w:bCs/>
                <w:color w:val="7030A0"/>
                <w:lang w:val="es-ES_tradnl" w:eastAsia="es-ES_tradnl"/>
              </w:rPr>
            </w:pPr>
          </w:p>
        </w:tc>
        <w:tc>
          <w:tcPr>
            <w:tcW w:w="6100" w:type="dxa"/>
          </w:tcPr>
          <w:p w14:paraId="4ECD271D" w14:textId="77777777" w:rsidR="00AA30FB" w:rsidRPr="00C00976" w:rsidRDefault="00AA30FB" w:rsidP="00E54B96">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 xml:space="preserve">1400 </w:t>
            </w:r>
            <w:r w:rsidRPr="008E6AD9">
              <w:rPr>
                <w:rFonts w:ascii="Verdana" w:eastAsia="Calibri" w:hAnsi="Verdana" w:cs="Arial"/>
                <w:b/>
                <w:bCs/>
                <w:lang w:val="es-ES" w:eastAsia="es-ES"/>
              </w:rPr>
              <w:t>de 202</w:t>
            </w:r>
            <w:r>
              <w:rPr>
                <w:rFonts w:ascii="Verdana" w:eastAsia="Calibri" w:hAnsi="Verdana" w:cs="Arial"/>
                <w:b/>
                <w:bCs/>
                <w:lang w:val="es-ES" w:eastAsia="es-ES"/>
              </w:rPr>
              <w:t>5</w:t>
            </w:r>
          </w:p>
        </w:tc>
      </w:tr>
      <w:tr w:rsidR="00AA30FB" w:rsidRPr="00593A5F" w14:paraId="7F229942" w14:textId="77777777" w:rsidTr="00E54B96">
        <w:trPr>
          <w:trHeight w:val="884"/>
        </w:trPr>
        <w:tc>
          <w:tcPr>
            <w:tcW w:w="2689" w:type="dxa"/>
          </w:tcPr>
          <w:p w14:paraId="6EC9D955" w14:textId="77777777" w:rsidR="00AA30FB" w:rsidRPr="00593A5F" w:rsidRDefault="00AA30FB" w:rsidP="00E54B96">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50A38EA2" w14:textId="42D7AF48" w:rsidR="00AA30FB" w:rsidRPr="00A11406" w:rsidRDefault="00AA30FB" w:rsidP="00E54B96">
            <w:pPr>
              <w:spacing w:line="276" w:lineRule="auto"/>
              <w:jc w:val="both"/>
              <w:rPr>
                <w:rFonts w:ascii="Verdana" w:eastAsia="Calibri" w:hAnsi="Verdana" w:cs="Arial"/>
                <w:lang w:val="es-ES" w:eastAsia="es-ES"/>
              </w:rPr>
            </w:pPr>
            <w:r w:rsidRPr="007A088D">
              <w:rPr>
                <w:rFonts w:ascii="Verdana" w:eastAsia="Calibri" w:hAnsi="Verdana" w:cs="Arial"/>
                <w:lang w:val="es-ES" w:eastAsia="es-ES"/>
              </w:rPr>
              <w:t xml:space="preserve">PLAN ANUAL DE ADQUISICIONES – Plan de acción / PLAN ANUAL DE ADQUISICIONES – Publicidad – Entidades estatales obligadas / </w:t>
            </w:r>
            <w:r w:rsidR="005126F3" w:rsidRPr="005126F3">
              <w:rPr>
                <w:rFonts w:ascii="Verdana" w:eastAsia="Calibri" w:hAnsi="Verdana" w:cs="Arial"/>
                <w:lang w:val="es-ES" w:eastAsia="es-ES"/>
              </w:rPr>
              <w:t xml:space="preserve">PLAN ANUAL DE ADQUISICIONES – Naturaleza jurídica – Acto administrativo / PLAN ANUAL DE ADQUISICIONES – Naturaleza jurídica – Acto administrativo general </w:t>
            </w:r>
            <w:r w:rsidR="005126F3">
              <w:rPr>
                <w:rFonts w:ascii="Verdana" w:eastAsia="Calibri" w:hAnsi="Verdana" w:cs="Arial"/>
                <w:lang w:val="es-ES" w:eastAsia="es-ES"/>
              </w:rPr>
              <w:t xml:space="preserve">/ </w:t>
            </w:r>
            <w:r w:rsidRPr="007A088D">
              <w:rPr>
                <w:rFonts w:ascii="Verdana" w:eastAsia="Calibri" w:hAnsi="Verdana" w:cs="Arial"/>
                <w:lang w:val="es-ES" w:eastAsia="es-ES"/>
              </w:rPr>
              <w:t>PLAN ANUAL DE ADQUISICIONES – Contenido / PLAN ANUAL DE ADQUISICIONES – Carácter estimativo</w:t>
            </w:r>
            <w:r w:rsidRPr="005F6F61">
              <w:rPr>
                <w:rFonts w:ascii="Verdana" w:eastAsia="Calibri" w:hAnsi="Verdana" w:cs="Arial"/>
                <w:lang w:val="es-ES" w:eastAsia="es-ES"/>
              </w:rPr>
              <w:t xml:space="preserve"> </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2DA3C753" w14:textId="77777777" w:rsidR="00AA30FB" w:rsidRPr="00593A5F" w:rsidRDefault="00AA30FB" w:rsidP="00E54B96">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AA30FB" w:rsidRPr="008E6AD9" w14:paraId="479B5010" w14:textId="77777777" w:rsidTr="00E54B96">
        <w:tc>
          <w:tcPr>
            <w:tcW w:w="2689" w:type="dxa"/>
          </w:tcPr>
          <w:p w14:paraId="6D5E7E92" w14:textId="77777777" w:rsidR="00AA30FB" w:rsidRPr="008E6AD9" w:rsidRDefault="00AA30FB" w:rsidP="00E54B96">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5D2AA225" w14:textId="77777777" w:rsidR="00AA30FB" w:rsidRPr="00B92340" w:rsidRDefault="00AA30FB" w:rsidP="00E54B96">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 No.</w:t>
            </w:r>
            <w:r>
              <w:rPr>
                <w:rFonts w:ascii="Verdana" w:eastAsia="Calibri" w:hAnsi="Verdana" w:cs="Arial"/>
                <w:lang w:val="es-ES_tradnl" w:eastAsia="es-ES_tradnl"/>
              </w:rPr>
              <w:t xml:space="preserve"> </w:t>
            </w:r>
            <w:r w:rsidRPr="00600E64">
              <w:rPr>
                <w:rFonts w:ascii="Verdana" w:eastAsia="Calibri" w:hAnsi="Verdana" w:cs="Arial"/>
                <w:lang w:val="es-ES_tradnl" w:eastAsia="es-ES_tradnl"/>
              </w:rPr>
              <w:t>1_2025_10_17_011673</w:t>
            </w:r>
            <w:r w:rsidRPr="0085423D">
              <w:rPr>
                <w:rFonts w:ascii="Verdana" w:eastAsia="Calibri" w:hAnsi="Verdana" w:cs="Arial"/>
                <w:lang w:val="es-ES_tradnl" w:eastAsia="es-ES_tradnl"/>
              </w:rPr>
              <w:t xml:space="preserve"> </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2C5B61DC" w14:textId="77777777" w:rsidR="00AA30FB" w:rsidRPr="00593A5F" w:rsidRDefault="00AA30FB" w:rsidP="00AA30FB">
      <w:pPr>
        <w:spacing w:after="0" w:line="240" w:lineRule="auto"/>
        <w:jc w:val="both"/>
        <w:rPr>
          <w:rFonts w:ascii="Verdana" w:eastAsia="Calibri" w:hAnsi="Verdana" w:cs="Arial"/>
          <w:color w:val="000000"/>
          <w:lang w:val="es-ES_tradnl" w:eastAsia="es-ES_tradnl"/>
        </w:rPr>
      </w:pPr>
    </w:p>
    <w:p w14:paraId="48C60BEA" w14:textId="77777777" w:rsidR="00AA30FB" w:rsidRPr="00593A5F" w:rsidRDefault="00AA30FB" w:rsidP="00AA30FB">
      <w:pPr>
        <w:spacing w:after="0" w:line="240" w:lineRule="auto"/>
        <w:jc w:val="both"/>
        <w:rPr>
          <w:rFonts w:ascii="Verdana" w:eastAsia="Calibri" w:hAnsi="Verdana" w:cs="Arial"/>
          <w:color w:val="000000"/>
          <w:lang w:val="es-ES_tradnl" w:eastAsia="es-ES_tradnl"/>
        </w:rPr>
      </w:pPr>
    </w:p>
    <w:p w14:paraId="70C3E56C" w14:textId="77777777" w:rsidR="00AA30FB" w:rsidRPr="008E6AD9" w:rsidRDefault="00AA30FB" w:rsidP="00AA30FB">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a</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señora </w:t>
      </w:r>
      <w:r w:rsidRPr="00EF32FB">
        <w:rPr>
          <w:rFonts w:ascii="Verdana" w:eastAsia="Calibri" w:hAnsi="Verdana" w:cs="Arial"/>
          <w:lang w:val="es-ES" w:eastAsia="es-ES"/>
        </w:rPr>
        <w:t>Algarra Caballero</w:t>
      </w:r>
      <w:r w:rsidRPr="008E6AD9">
        <w:rPr>
          <w:rFonts w:ascii="Verdana" w:eastAsia="Calibri" w:hAnsi="Verdana" w:cs="Arial"/>
          <w:lang w:val="es-ES" w:eastAsia="es-ES"/>
        </w:rPr>
        <w:t xml:space="preserve">: </w:t>
      </w:r>
    </w:p>
    <w:p w14:paraId="26456323" w14:textId="77777777" w:rsidR="00AA30FB" w:rsidRDefault="00AA30FB" w:rsidP="00AA30FB">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4EF8F5C7" w14:textId="77777777" w:rsidR="00AA30FB" w:rsidRPr="00593A5F" w:rsidRDefault="00AA30FB" w:rsidP="00AA30FB">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17 de octubre de 2025</w:t>
      </w:r>
      <w:r w:rsidRPr="008E6AD9">
        <w:rPr>
          <w:rFonts w:ascii="Verdana" w:eastAsia="Calibri" w:hAnsi="Verdana" w:cs="Arial"/>
          <w:lang w:val="es-ES" w:eastAsia="es-ES"/>
        </w:rPr>
        <w:t>,</w:t>
      </w:r>
      <w:r>
        <w:rPr>
          <w:rFonts w:ascii="Verdana" w:eastAsia="Calibri" w:hAnsi="Verdana" w:cs="Arial"/>
          <w:lang w:val="es-ES" w:eastAsia="es-ES"/>
        </w:rPr>
        <w:t xml:space="preserve"> </w:t>
      </w:r>
      <w:r w:rsidRPr="008E6AD9">
        <w:rPr>
          <w:rFonts w:ascii="Verdana" w:eastAsia="Calibri" w:hAnsi="Verdana" w:cs="Arial"/>
          <w:lang w:val="es-ES" w:eastAsia="es-ES"/>
        </w:rPr>
        <w:t xml:space="preserve">en </w:t>
      </w:r>
      <w:r>
        <w:rPr>
          <w:rFonts w:ascii="Verdana" w:eastAsia="Calibri" w:hAnsi="Verdana" w:cs="Arial"/>
          <w:lang w:val="es-ES" w:eastAsia="es-ES"/>
        </w:rPr>
        <w:t>la cual solicita lo siguiente</w:t>
      </w:r>
      <w:r w:rsidRPr="008E6AD9">
        <w:rPr>
          <w:rFonts w:ascii="Verdana" w:eastAsia="Calibri" w:hAnsi="Verdana" w:cs="Arial"/>
          <w:lang w:val="es-ES" w:eastAsia="es-ES"/>
        </w:rPr>
        <w:t xml:space="preserve">: </w:t>
      </w:r>
    </w:p>
    <w:p w14:paraId="3FF9B8BF" w14:textId="77777777" w:rsidR="00AA30FB" w:rsidRPr="00272A7B" w:rsidRDefault="00AA30FB" w:rsidP="00AA30FB">
      <w:pPr>
        <w:pStyle w:val="Prrafodelista"/>
        <w:tabs>
          <w:tab w:val="left" w:pos="142"/>
          <w:tab w:val="left" w:pos="284"/>
        </w:tabs>
        <w:spacing w:after="0" w:line="276" w:lineRule="auto"/>
        <w:ind w:left="0"/>
        <w:jc w:val="both"/>
        <w:rPr>
          <w:rFonts w:ascii="Verdana" w:eastAsia="Century Gothic" w:hAnsi="Verdana" w:cs="Century Gothic"/>
          <w:b/>
          <w:bCs/>
        </w:rPr>
      </w:pPr>
    </w:p>
    <w:p w14:paraId="6A314EFA" w14:textId="77777777" w:rsidR="00AA30FB" w:rsidRPr="004C4E62" w:rsidRDefault="00AA30FB" w:rsidP="00AA30FB">
      <w:pPr>
        <w:spacing w:after="0" w:line="240" w:lineRule="auto"/>
        <w:ind w:left="709" w:right="709"/>
        <w:jc w:val="both"/>
        <w:rPr>
          <w:rFonts w:ascii="Verdana" w:eastAsia="Century Gothic" w:hAnsi="Verdana" w:cs="Century Gothic"/>
          <w:sz w:val="20"/>
          <w:szCs w:val="20"/>
          <w:lang w:val="es-ES"/>
        </w:rPr>
      </w:pPr>
      <w:bookmarkStart w:id="0" w:name="_Hlk95313578"/>
      <w:r w:rsidRPr="004C4E62">
        <w:rPr>
          <w:rFonts w:ascii="Verdana" w:eastAsia="Century Gothic" w:hAnsi="Verdana" w:cs="Century Gothic"/>
          <w:sz w:val="20"/>
          <w:szCs w:val="20"/>
          <w:lang w:val="es-ES"/>
        </w:rPr>
        <w:t>“</w:t>
      </w:r>
      <w:bookmarkEnd w:id="0"/>
      <w:r>
        <w:rPr>
          <w:rFonts w:ascii="Verdana" w:eastAsia="Century Gothic" w:hAnsi="Verdana" w:cs="Century Gothic"/>
          <w:sz w:val="20"/>
          <w:szCs w:val="20"/>
          <w:lang w:val="es-ES"/>
        </w:rPr>
        <w:t xml:space="preserve">[…] </w:t>
      </w:r>
      <w:r w:rsidRPr="00EF32FB">
        <w:rPr>
          <w:rFonts w:ascii="Verdana" w:eastAsia="Century Gothic" w:hAnsi="Verdana" w:cs="Century Gothic"/>
          <w:sz w:val="20"/>
          <w:szCs w:val="20"/>
          <w:lang w:val="es-ES"/>
        </w:rPr>
        <w:t xml:space="preserve">aclarar si es necesario realizar un acto administrativo cada vez que se actualice el PAA, o si es procedente generar dicho acto únicamente en </w:t>
      </w:r>
      <w:r w:rsidRPr="00EF32FB">
        <w:rPr>
          <w:rFonts w:ascii="Verdana" w:eastAsia="Century Gothic" w:hAnsi="Verdana" w:cs="Century Gothic"/>
          <w:sz w:val="20"/>
          <w:szCs w:val="20"/>
          <w:lang w:val="es-ES"/>
        </w:rPr>
        <w:lastRenderedPageBreak/>
        <w:t>enero de cada año, sin necesidad de emitir una resolución por cada modificación</w:t>
      </w:r>
      <w:r>
        <w:rPr>
          <w:rFonts w:ascii="Verdana" w:eastAsia="Century Gothic" w:hAnsi="Verdana" w:cs="Century Gothic"/>
          <w:sz w:val="20"/>
          <w:szCs w:val="20"/>
          <w:lang w:val="es-ES"/>
        </w:rPr>
        <w:t xml:space="preserve"> […]</w:t>
      </w:r>
      <w:r w:rsidRPr="004C4E62">
        <w:rPr>
          <w:rFonts w:ascii="Verdana" w:eastAsia="Century Gothic" w:hAnsi="Verdana" w:cs="Century Gothic"/>
          <w:sz w:val="20"/>
          <w:szCs w:val="20"/>
          <w:lang w:val="es-ES"/>
        </w:rPr>
        <w:t>”.</w:t>
      </w:r>
    </w:p>
    <w:p w14:paraId="00AFB3A0" w14:textId="77777777" w:rsidR="00AA30FB" w:rsidRPr="008E6AD9" w:rsidRDefault="00AA30FB" w:rsidP="00AA30FB">
      <w:pPr>
        <w:pStyle w:val="Prrafodelista"/>
        <w:tabs>
          <w:tab w:val="left" w:pos="142"/>
          <w:tab w:val="left" w:pos="284"/>
        </w:tabs>
        <w:spacing w:after="0" w:line="276" w:lineRule="auto"/>
        <w:ind w:left="0"/>
        <w:jc w:val="both"/>
        <w:rPr>
          <w:rFonts w:ascii="Verdana" w:eastAsia="Century Gothic" w:hAnsi="Verdana" w:cs="Century Gothic"/>
          <w:b/>
          <w:bCs/>
        </w:rPr>
      </w:pPr>
    </w:p>
    <w:p w14:paraId="6F8ABCB1" w14:textId="77777777" w:rsidR="00AA30FB" w:rsidRPr="00A652FF" w:rsidRDefault="00AA30FB" w:rsidP="00AA30FB">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3875BBA7" w14:textId="77777777" w:rsidR="00AA30FB" w:rsidRDefault="00AA30FB" w:rsidP="00AA30FB">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17ACC385" w14:textId="77777777" w:rsidR="00AA30FB" w:rsidRPr="00593A5F" w:rsidRDefault="00AA30FB" w:rsidP="00AA30FB">
      <w:pPr>
        <w:spacing w:after="0" w:line="276" w:lineRule="auto"/>
        <w:ind w:firstLine="709"/>
        <w:jc w:val="both"/>
        <w:rPr>
          <w:rFonts w:ascii="Verdana" w:eastAsia="Calibri" w:hAnsi="Verdana" w:cs="Arial"/>
          <w:color w:val="000000"/>
          <w:lang w:val="es-ES" w:eastAsia="es-ES"/>
        </w:rPr>
      </w:pPr>
    </w:p>
    <w:p w14:paraId="59D59497" w14:textId="77777777" w:rsidR="00AA30FB" w:rsidRPr="00593A5F" w:rsidRDefault="00AA30FB" w:rsidP="00AA30FB">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71B2456F" w14:textId="77777777" w:rsidR="00AA30FB" w:rsidRPr="00593A5F" w:rsidRDefault="00AA30FB" w:rsidP="00AA30FB">
      <w:pPr>
        <w:tabs>
          <w:tab w:val="left" w:pos="426"/>
        </w:tabs>
        <w:spacing w:after="0" w:line="276" w:lineRule="auto"/>
        <w:jc w:val="both"/>
        <w:rPr>
          <w:rFonts w:ascii="Verdana" w:eastAsia="Century Gothic" w:hAnsi="Verdana" w:cs="Century Gothic"/>
          <w:lang w:val="es-ES"/>
        </w:rPr>
      </w:pPr>
    </w:p>
    <w:p w14:paraId="5F1EB8B2" w14:textId="57B0F994" w:rsidR="00AA30FB" w:rsidRPr="00593A5F" w:rsidRDefault="00AA30FB" w:rsidP="00AA30FB">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problema jurídico:</w:t>
      </w:r>
      <w:r w:rsidRPr="007D48B0">
        <w:rPr>
          <w:rFonts w:ascii="Verdana" w:eastAsia="Calibri" w:hAnsi="Verdana" w:cs="Arial"/>
          <w:color w:val="000000" w:themeColor="text1"/>
          <w:lang w:val="es-MX"/>
        </w:rPr>
        <w:t xml:space="preserve"> </w:t>
      </w:r>
      <w:r>
        <w:rPr>
          <w:rFonts w:ascii="Verdana" w:eastAsia="Calibri" w:hAnsi="Verdana" w:cs="Arial"/>
          <w:color w:val="000000" w:themeColor="text1"/>
          <w:lang w:val="es-MX"/>
        </w:rPr>
        <w:t>¿</w:t>
      </w:r>
      <w:r w:rsidR="006D0073">
        <w:rPr>
          <w:rFonts w:ascii="Verdana" w:eastAsia="Calibri" w:hAnsi="Verdana" w:cs="Arial"/>
          <w:color w:val="000000" w:themeColor="text1"/>
          <w:lang w:val="es-MX"/>
        </w:rPr>
        <w:t>C</w:t>
      </w:r>
      <w:r>
        <w:rPr>
          <w:rFonts w:ascii="Verdana" w:eastAsia="Calibri" w:hAnsi="Verdana" w:cs="Arial"/>
          <w:color w:val="000000" w:themeColor="text1"/>
          <w:lang w:val="es-MX"/>
        </w:rPr>
        <w:t>uál es</w:t>
      </w:r>
      <w:r w:rsidR="00A52829">
        <w:rPr>
          <w:rFonts w:ascii="Verdana" w:eastAsia="Calibri" w:hAnsi="Verdana" w:cs="Arial"/>
          <w:color w:val="000000" w:themeColor="text1"/>
          <w:lang w:val="es-MX"/>
        </w:rPr>
        <w:t xml:space="preserve"> la naturaleza jurídica</w:t>
      </w:r>
      <w:r>
        <w:rPr>
          <w:rFonts w:ascii="Verdana" w:eastAsia="Calibri" w:hAnsi="Verdana" w:cs="Arial"/>
          <w:color w:val="000000" w:themeColor="text1"/>
          <w:lang w:val="es-MX"/>
        </w:rPr>
        <w:t xml:space="preserve"> </w:t>
      </w:r>
      <w:r w:rsidR="00EB4D72">
        <w:rPr>
          <w:rFonts w:ascii="Verdana" w:eastAsia="Calibri" w:hAnsi="Verdana" w:cs="Arial"/>
          <w:color w:val="000000" w:themeColor="text1"/>
          <w:lang w:val="es-MX"/>
        </w:rPr>
        <w:t xml:space="preserve">del </w:t>
      </w:r>
      <w:r w:rsidR="00EB4D72" w:rsidRPr="002129FB">
        <w:rPr>
          <w:rFonts w:ascii="Verdana" w:eastAsia="Calibri" w:hAnsi="Verdana" w:cs="Arial"/>
          <w:bCs/>
          <w:color w:val="000000" w:themeColor="text1"/>
        </w:rPr>
        <w:t>Plan</w:t>
      </w:r>
      <w:r w:rsidR="00EB4D72">
        <w:rPr>
          <w:rFonts w:ascii="Verdana" w:eastAsia="Calibri" w:hAnsi="Verdana" w:cs="Arial"/>
          <w:bCs/>
          <w:color w:val="000000" w:themeColor="text1"/>
        </w:rPr>
        <w:t xml:space="preserve"> </w:t>
      </w:r>
      <w:r w:rsidR="00EB4D72" w:rsidRPr="002129FB">
        <w:rPr>
          <w:rFonts w:ascii="Verdana" w:eastAsia="Calibri" w:hAnsi="Verdana" w:cs="Arial"/>
          <w:bCs/>
          <w:color w:val="000000" w:themeColor="text1"/>
        </w:rPr>
        <w:t>Anual de Adquisiciones</w:t>
      </w:r>
      <w:r w:rsidR="00EB4D72">
        <w:rPr>
          <w:rFonts w:ascii="Verdana" w:eastAsia="Calibri" w:hAnsi="Verdana" w:cs="Arial"/>
          <w:color w:val="000000" w:themeColor="text1"/>
          <w:lang w:val="es-MX"/>
        </w:rPr>
        <w:t xml:space="preserve"> </w:t>
      </w:r>
      <w:r w:rsidR="00C8687D">
        <w:rPr>
          <w:rFonts w:ascii="Verdana" w:eastAsia="Calibri" w:hAnsi="Verdana" w:cs="Arial"/>
          <w:color w:val="000000" w:themeColor="text1"/>
          <w:lang w:val="es-MX"/>
        </w:rPr>
        <w:t xml:space="preserve">y </w:t>
      </w:r>
      <w:r>
        <w:rPr>
          <w:rFonts w:ascii="Verdana" w:eastAsia="Calibri" w:hAnsi="Verdana" w:cs="Arial"/>
          <w:color w:val="000000" w:themeColor="text1"/>
          <w:lang w:val="es-MX"/>
        </w:rPr>
        <w:t xml:space="preserve">el marco normativo vigente respecto a </w:t>
      </w:r>
      <w:r w:rsidR="00C8687D">
        <w:rPr>
          <w:rFonts w:ascii="Verdana" w:eastAsia="Calibri" w:hAnsi="Verdana" w:cs="Arial"/>
          <w:color w:val="000000" w:themeColor="text1"/>
          <w:lang w:val="es-MX"/>
        </w:rPr>
        <w:t>su</w:t>
      </w:r>
      <w:r>
        <w:rPr>
          <w:rFonts w:ascii="Verdana" w:eastAsia="Calibri" w:hAnsi="Verdana" w:cs="Arial"/>
          <w:color w:val="000000" w:themeColor="text1"/>
          <w:lang w:val="es-MX"/>
        </w:rPr>
        <w:t xml:space="preserve"> actualización</w:t>
      </w:r>
      <w:r>
        <w:rPr>
          <w:rFonts w:ascii="Verdana" w:eastAsia="Calibri" w:hAnsi="Verdana" w:cs="Arial"/>
          <w:bCs/>
          <w:color w:val="000000" w:themeColor="text1"/>
        </w:rPr>
        <w:t>?</w:t>
      </w:r>
      <w:r w:rsidRPr="00906BE9">
        <w:rPr>
          <w:rFonts w:ascii="Verdana" w:eastAsia="Century Gothic" w:hAnsi="Verdana" w:cs="Century Gothic"/>
        </w:rPr>
        <w:t xml:space="preserve">      </w:t>
      </w:r>
      <w:r>
        <w:rPr>
          <w:rFonts w:ascii="Verdana" w:eastAsia="Century Gothic" w:hAnsi="Verdana" w:cs="Century Gothic"/>
        </w:rPr>
        <w:t xml:space="preserve">       </w:t>
      </w:r>
      <w:r w:rsidRPr="00C00976">
        <w:rPr>
          <w:rFonts w:ascii="Verdana" w:eastAsia="Century Gothic" w:hAnsi="Verdana" w:cs="Century Gothic"/>
          <w:color w:val="7030A0"/>
        </w:rPr>
        <w:t xml:space="preserve"> </w:t>
      </w:r>
    </w:p>
    <w:p w14:paraId="38A06ACB" w14:textId="77777777" w:rsidR="00AA30FB" w:rsidRPr="004B140F" w:rsidRDefault="00AA30FB" w:rsidP="00AA30FB">
      <w:pPr>
        <w:spacing w:after="0" w:line="276" w:lineRule="auto"/>
        <w:jc w:val="both"/>
        <w:rPr>
          <w:rFonts w:ascii="Verdana" w:eastAsia="Calibri" w:hAnsi="Verdana" w:cs="Arial"/>
          <w:color w:val="7030A0"/>
        </w:rPr>
      </w:pPr>
    </w:p>
    <w:p w14:paraId="7D2DB753" w14:textId="77777777" w:rsidR="00AA30FB" w:rsidRPr="00593A5F" w:rsidRDefault="00AA30FB" w:rsidP="00AA30F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5DDED33A" w14:textId="77777777" w:rsidR="00AA30FB" w:rsidRPr="00593A5F" w:rsidRDefault="00AA30FB" w:rsidP="00AA30FB">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A30FB" w:rsidRPr="00593A5F" w14:paraId="5BB174FA" w14:textId="77777777" w:rsidTr="00E54B96">
        <w:trPr>
          <w:jc w:val="center"/>
        </w:trPr>
        <w:tc>
          <w:tcPr>
            <w:tcW w:w="8828" w:type="dxa"/>
          </w:tcPr>
          <w:p w14:paraId="485A3D73" w14:textId="1DF4F03A" w:rsidR="00AA30FB" w:rsidRPr="002129FB" w:rsidRDefault="00AA30FB" w:rsidP="00E54B96">
            <w:pPr>
              <w:spacing w:after="120" w:line="276" w:lineRule="auto"/>
              <w:jc w:val="both"/>
              <w:rPr>
                <w:rFonts w:ascii="Verdana" w:eastAsia="Calibri" w:hAnsi="Verdana" w:cs="Arial"/>
                <w:bCs/>
                <w:color w:val="000000" w:themeColor="text1"/>
              </w:rPr>
            </w:pPr>
            <w:bookmarkStart w:id="1" w:name="_Hlk171694685"/>
            <w:r>
              <w:rPr>
                <w:rFonts w:ascii="Verdana" w:eastAsia="Calibri" w:hAnsi="Verdana" w:cs="Arial"/>
                <w:bCs/>
                <w:color w:val="000000" w:themeColor="text1"/>
              </w:rPr>
              <w:t xml:space="preserve">Conforme a la interpretación general de las normas del sistema de compras públicas, </w:t>
            </w:r>
            <w:r w:rsidR="00F27F90">
              <w:rPr>
                <w:rFonts w:ascii="Verdana" w:eastAsia="Calibri" w:hAnsi="Verdana" w:cs="Arial"/>
                <w:bCs/>
                <w:color w:val="000000" w:themeColor="text1"/>
              </w:rPr>
              <w:t xml:space="preserve">el Plan Anual de Adquisiciones –PAA– </w:t>
            </w:r>
            <w:r w:rsidR="00D53786">
              <w:rPr>
                <w:rFonts w:ascii="Verdana" w:eastAsia="Calibri" w:hAnsi="Verdana" w:cs="Arial"/>
                <w:bCs/>
                <w:color w:val="000000" w:themeColor="text1"/>
              </w:rPr>
              <w:t>es un acto administrativo definitivo de carácter ge</w:t>
            </w:r>
            <w:r w:rsidR="00F62E4B">
              <w:rPr>
                <w:rFonts w:ascii="Verdana" w:eastAsia="Calibri" w:hAnsi="Verdana" w:cs="Arial"/>
                <w:bCs/>
                <w:color w:val="000000" w:themeColor="text1"/>
              </w:rPr>
              <w:t xml:space="preserve">neral, </w:t>
            </w:r>
            <w:r w:rsidR="00B16681" w:rsidRPr="00B16681">
              <w:rPr>
                <w:rFonts w:ascii="Verdana" w:eastAsia="Calibri" w:hAnsi="Verdana" w:cs="Arial"/>
                <w:bCs/>
                <w:color w:val="000000" w:themeColor="text1"/>
              </w:rPr>
              <w:t>con independencia de que adopte el nombre de resolución, acuerdo, o ninguno de ellos</w:t>
            </w:r>
            <w:r w:rsidR="00B16681">
              <w:rPr>
                <w:rFonts w:ascii="Verdana" w:eastAsia="Calibri" w:hAnsi="Verdana" w:cs="Arial"/>
                <w:bCs/>
                <w:color w:val="000000" w:themeColor="text1"/>
              </w:rPr>
              <w:t>.</w:t>
            </w:r>
            <w:r w:rsidR="00B16681" w:rsidRPr="00B16681">
              <w:rPr>
                <w:rFonts w:ascii="Verdana" w:eastAsia="Calibri" w:hAnsi="Verdana" w:cs="Arial"/>
                <w:bCs/>
                <w:color w:val="000000" w:themeColor="text1"/>
              </w:rPr>
              <w:t xml:space="preserve"> </w:t>
            </w:r>
            <w:r w:rsidR="00B16681">
              <w:rPr>
                <w:rFonts w:ascii="Verdana" w:eastAsia="Calibri" w:hAnsi="Verdana" w:cs="Arial"/>
                <w:bCs/>
                <w:color w:val="000000" w:themeColor="text1"/>
              </w:rPr>
              <w:t xml:space="preserve">Asimismo, </w:t>
            </w:r>
            <w:r>
              <w:rPr>
                <w:rFonts w:ascii="Verdana" w:eastAsia="Calibri" w:hAnsi="Verdana" w:cs="Arial"/>
                <w:bCs/>
                <w:color w:val="000000" w:themeColor="text1"/>
              </w:rPr>
              <w:t xml:space="preserve">de acuerdo con el artículo </w:t>
            </w:r>
            <w:r w:rsidRPr="00562805">
              <w:rPr>
                <w:rFonts w:ascii="Verdana" w:eastAsia="Calibri" w:hAnsi="Verdana" w:cs="Arial"/>
                <w:bCs/>
                <w:color w:val="000000" w:themeColor="text1"/>
              </w:rPr>
              <w:t>2.2.1.1.1.4.4</w:t>
            </w:r>
            <w:r>
              <w:rPr>
                <w:rFonts w:ascii="Verdana" w:eastAsia="Calibri" w:hAnsi="Verdana" w:cs="Arial"/>
                <w:bCs/>
                <w:color w:val="000000" w:themeColor="text1"/>
              </w:rPr>
              <w:t xml:space="preserve"> del Decreto 1082 de 2015, el reglamento</w:t>
            </w:r>
            <w:r w:rsidRPr="002129FB">
              <w:rPr>
                <w:rFonts w:ascii="Verdana" w:eastAsia="Calibri" w:hAnsi="Verdana" w:cs="Arial"/>
                <w:bCs/>
                <w:color w:val="000000" w:themeColor="text1"/>
              </w:rPr>
              <w:t xml:space="preserve"> no limita la actualización del </w:t>
            </w:r>
            <w:r w:rsidR="002F7879">
              <w:rPr>
                <w:rFonts w:ascii="Verdana" w:eastAsia="Calibri" w:hAnsi="Verdana" w:cs="Arial"/>
                <w:bCs/>
                <w:color w:val="000000" w:themeColor="text1"/>
              </w:rPr>
              <w:t>PAA</w:t>
            </w:r>
            <w:r w:rsidRPr="002129FB">
              <w:rPr>
                <w:rFonts w:ascii="Verdana" w:eastAsia="Calibri" w:hAnsi="Verdana" w:cs="Arial"/>
                <w:bCs/>
                <w:color w:val="000000" w:themeColor="text1"/>
              </w:rPr>
              <w:t xml:space="preserve"> a un tope máximo, pero s</w:t>
            </w:r>
            <w:r>
              <w:rPr>
                <w:rFonts w:ascii="Verdana" w:eastAsia="Calibri" w:hAnsi="Verdana" w:cs="Arial"/>
                <w:bCs/>
                <w:color w:val="000000" w:themeColor="text1"/>
              </w:rPr>
              <w:t>í</w:t>
            </w:r>
            <w:r w:rsidRPr="002129FB">
              <w:rPr>
                <w:rFonts w:ascii="Verdana" w:eastAsia="Calibri" w:hAnsi="Verdana" w:cs="Arial"/>
                <w:bCs/>
                <w:color w:val="000000" w:themeColor="text1"/>
              </w:rPr>
              <w:t xml:space="preserve"> estableció un número</w:t>
            </w:r>
            <w:r>
              <w:rPr>
                <w:rFonts w:ascii="Verdana" w:eastAsia="Calibri" w:hAnsi="Verdana" w:cs="Arial"/>
                <w:bCs/>
                <w:color w:val="000000" w:themeColor="text1"/>
              </w:rPr>
              <w:t xml:space="preserve"> </w:t>
            </w:r>
            <w:r w:rsidRPr="002129FB">
              <w:rPr>
                <w:rFonts w:ascii="Verdana" w:eastAsia="Calibri" w:hAnsi="Verdana" w:cs="Arial"/>
                <w:bCs/>
                <w:color w:val="000000" w:themeColor="text1"/>
              </w:rPr>
              <w:t>mínimo al disponer que las Entidades Estatales debían actualizarlo por lo</w:t>
            </w:r>
            <w:r>
              <w:rPr>
                <w:rFonts w:ascii="Verdana" w:eastAsia="Calibri" w:hAnsi="Verdana" w:cs="Arial"/>
                <w:bCs/>
                <w:color w:val="000000" w:themeColor="text1"/>
              </w:rPr>
              <w:t xml:space="preserve"> </w:t>
            </w:r>
            <w:r w:rsidRPr="002129FB">
              <w:rPr>
                <w:rFonts w:ascii="Verdana" w:eastAsia="Calibri" w:hAnsi="Verdana" w:cs="Arial"/>
                <w:bCs/>
                <w:color w:val="000000" w:themeColor="text1"/>
              </w:rPr>
              <w:t xml:space="preserve">menos una vez durante su vigencia. </w:t>
            </w:r>
            <w:r w:rsidR="00A91BB9">
              <w:rPr>
                <w:rFonts w:ascii="Verdana" w:eastAsia="Calibri" w:hAnsi="Verdana" w:cs="Arial"/>
                <w:bCs/>
                <w:color w:val="000000" w:themeColor="text1"/>
              </w:rPr>
              <w:t xml:space="preserve">En esta medida, si el PAA es un acto administrativo, </w:t>
            </w:r>
            <w:r w:rsidR="00A91BB9">
              <w:rPr>
                <w:rFonts w:ascii="Verdana" w:eastAsia="Calibri" w:hAnsi="Verdana" w:cs="Arial"/>
                <w:bCs/>
                <w:color w:val="000000" w:themeColor="text1"/>
              </w:rPr>
              <w:lastRenderedPageBreak/>
              <w:t>las modificaciones tienen la misma naturaleza jurídica. En todo caso</w:t>
            </w:r>
            <w:r w:rsidRPr="002129FB">
              <w:rPr>
                <w:rFonts w:ascii="Verdana" w:eastAsia="Calibri" w:hAnsi="Verdana" w:cs="Arial"/>
                <w:bCs/>
                <w:color w:val="000000" w:themeColor="text1"/>
              </w:rPr>
              <w:t>, aunque –por expresa</w:t>
            </w:r>
            <w:r>
              <w:rPr>
                <w:rFonts w:ascii="Verdana" w:eastAsia="Calibri" w:hAnsi="Verdana" w:cs="Arial"/>
                <w:bCs/>
                <w:color w:val="000000" w:themeColor="text1"/>
              </w:rPr>
              <w:t xml:space="preserve"> </w:t>
            </w:r>
            <w:r w:rsidRPr="002129FB">
              <w:rPr>
                <w:rFonts w:ascii="Verdana" w:eastAsia="Calibri" w:hAnsi="Verdana" w:cs="Arial"/>
                <w:bCs/>
                <w:color w:val="000000" w:themeColor="text1"/>
              </w:rPr>
              <w:t>disposición del reglamento– exista el deber de mantener actualizado el Plan</w:t>
            </w:r>
            <w:r>
              <w:rPr>
                <w:rFonts w:ascii="Verdana" w:eastAsia="Calibri" w:hAnsi="Verdana" w:cs="Arial"/>
                <w:bCs/>
                <w:color w:val="000000" w:themeColor="text1"/>
              </w:rPr>
              <w:t xml:space="preserve"> </w:t>
            </w:r>
            <w:r w:rsidRPr="002129FB">
              <w:rPr>
                <w:rFonts w:ascii="Verdana" w:eastAsia="Calibri" w:hAnsi="Verdana" w:cs="Arial"/>
                <w:bCs/>
                <w:color w:val="000000" w:themeColor="text1"/>
              </w:rPr>
              <w:t>Anual de Adquisiciones, no es necesario incorporar en él todas las</w:t>
            </w:r>
            <w:r>
              <w:rPr>
                <w:rFonts w:ascii="Verdana" w:eastAsia="Calibri" w:hAnsi="Verdana" w:cs="Arial"/>
                <w:bCs/>
                <w:color w:val="000000" w:themeColor="text1"/>
              </w:rPr>
              <w:t xml:space="preserve"> </w:t>
            </w:r>
            <w:r w:rsidRPr="002129FB">
              <w:rPr>
                <w:rFonts w:ascii="Verdana" w:eastAsia="Calibri" w:hAnsi="Verdana" w:cs="Arial"/>
                <w:bCs/>
                <w:color w:val="000000" w:themeColor="text1"/>
              </w:rPr>
              <w:t>modificaciones que efectúe la entidad, por dos (2) razones principales: i) el</w:t>
            </w:r>
            <w:r>
              <w:rPr>
                <w:rFonts w:ascii="Verdana" w:eastAsia="Calibri" w:hAnsi="Verdana" w:cs="Arial"/>
                <w:bCs/>
                <w:color w:val="000000" w:themeColor="text1"/>
              </w:rPr>
              <w:t xml:space="preserve"> </w:t>
            </w:r>
            <w:r w:rsidRPr="002129FB">
              <w:rPr>
                <w:rFonts w:ascii="Verdana" w:eastAsia="Calibri" w:hAnsi="Verdana" w:cs="Arial"/>
                <w:bCs/>
                <w:color w:val="000000" w:themeColor="text1"/>
              </w:rPr>
              <w:t>reglamento no impone la obligación de modificarlo cada vez que se adopte</w:t>
            </w:r>
            <w:r>
              <w:rPr>
                <w:rFonts w:ascii="Verdana" w:eastAsia="Calibri" w:hAnsi="Verdana" w:cs="Arial"/>
                <w:bCs/>
                <w:color w:val="000000" w:themeColor="text1"/>
              </w:rPr>
              <w:t xml:space="preserve"> </w:t>
            </w:r>
            <w:r w:rsidRPr="002129FB">
              <w:rPr>
                <w:rFonts w:ascii="Verdana" w:eastAsia="Calibri" w:hAnsi="Verdana" w:cs="Arial"/>
                <w:bCs/>
                <w:color w:val="000000" w:themeColor="text1"/>
              </w:rPr>
              <w:t xml:space="preserve">una variación en la contratación prevista en él; y </w:t>
            </w:r>
            <w:proofErr w:type="spellStart"/>
            <w:r w:rsidRPr="002129FB">
              <w:rPr>
                <w:rFonts w:ascii="Verdana" w:eastAsia="Calibri" w:hAnsi="Verdana" w:cs="Arial"/>
                <w:bCs/>
                <w:color w:val="000000" w:themeColor="text1"/>
              </w:rPr>
              <w:t>ii</w:t>
            </w:r>
            <w:proofErr w:type="spellEnd"/>
            <w:r w:rsidRPr="002129FB">
              <w:rPr>
                <w:rFonts w:ascii="Verdana" w:eastAsia="Calibri" w:hAnsi="Verdana" w:cs="Arial"/>
                <w:bCs/>
                <w:color w:val="000000" w:themeColor="text1"/>
              </w:rPr>
              <w:t>) el reglamento autorizó</w:t>
            </w:r>
            <w:r>
              <w:rPr>
                <w:rFonts w:ascii="Verdana" w:eastAsia="Calibri" w:hAnsi="Verdana" w:cs="Arial"/>
                <w:bCs/>
                <w:color w:val="000000" w:themeColor="text1"/>
              </w:rPr>
              <w:t xml:space="preserve"> </w:t>
            </w:r>
            <w:r w:rsidRPr="002129FB">
              <w:rPr>
                <w:rFonts w:ascii="Verdana" w:eastAsia="Calibri" w:hAnsi="Verdana" w:cs="Arial"/>
                <w:bCs/>
                <w:color w:val="000000" w:themeColor="text1"/>
              </w:rPr>
              <w:t>incluir en el plan información estimativa, como cuando en el artículo</w:t>
            </w:r>
            <w:r>
              <w:rPr>
                <w:rFonts w:ascii="Verdana" w:eastAsia="Calibri" w:hAnsi="Verdana" w:cs="Arial"/>
                <w:bCs/>
                <w:color w:val="000000" w:themeColor="text1"/>
              </w:rPr>
              <w:t xml:space="preserve"> </w:t>
            </w:r>
            <w:r w:rsidRPr="002129FB">
              <w:rPr>
                <w:rFonts w:ascii="Verdana" w:eastAsia="Calibri" w:hAnsi="Verdana" w:cs="Arial"/>
                <w:bCs/>
                <w:color w:val="000000" w:themeColor="text1"/>
              </w:rPr>
              <w:t>2.2.1.1.1.4.1 se utilizan expresiones como: “indicar el valor estimado del</w:t>
            </w:r>
            <w:r>
              <w:rPr>
                <w:rFonts w:ascii="Verdana" w:eastAsia="Calibri" w:hAnsi="Verdana" w:cs="Arial"/>
                <w:bCs/>
                <w:color w:val="000000" w:themeColor="text1"/>
              </w:rPr>
              <w:t xml:space="preserve"> </w:t>
            </w:r>
            <w:r w:rsidRPr="002129FB">
              <w:rPr>
                <w:rFonts w:ascii="Verdana" w:eastAsia="Calibri" w:hAnsi="Verdana" w:cs="Arial"/>
                <w:bCs/>
                <w:color w:val="000000" w:themeColor="text1"/>
              </w:rPr>
              <w:t>contrato”.</w:t>
            </w:r>
          </w:p>
          <w:p w14:paraId="48F43566" w14:textId="77777777" w:rsidR="00AA30FB" w:rsidRPr="001941FD" w:rsidRDefault="00AA30FB" w:rsidP="00E54B96">
            <w:pPr>
              <w:spacing w:line="276" w:lineRule="auto"/>
              <w:ind w:firstLine="709"/>
              <w:jc w:val="both"/>
              <w:rPr>
                <w:rFonts w:ascii="Verdana" w:eastAsia="Calibri" w:hAnsi="Verdana" w:cs="Arial"/>
                <w:bCs/>
                <w:color w:val="000000" w:themeColor="text1"/>
              </w:rPr>
            </w:pPr>
            <w:r w:rsidRPr="001941FD">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w:t>
            </w:r>
            <w:r w:rsidRPr="001941FD">
              <w:rPr>
                <w:rStyle w:val="apple-converted-space"/>
                <w:rFonts w:ascii="Verdana" w:hAnsi="Verdana"/>
                <w:color w:val="000000"/>
              </w:rPr>
              <w:t> </w:t>
            </w:r>
            <w:r w:rsidRPr="001941FD">
              <w:rPr>
                <w:rStyle w:val="s15"/>
                <w:rFonts w:ascii="Verdana" w:hAnsi="Verdana"/>
                <w:color w:val="000000"/>
              </w:rPr>
              <w:t>Por lo anterior, previo</w:t>
            </w:r>
            <w:r w:rsidRPr="001941FD">
              <w:rPr>
                <w:rStyle w:val="apple-converted-space"/>
                <w:rFonts w:ascii="Verdana" w:hAnsi="Verdana"/>
                <w:color w:val="000000"/>
              </w:rPr>
              <w:t> </w:t>
            </w:r>
            <w:r w:rsidRPr="001941FD">
              <w:rPr>
                <w:rStyle w:val="s15"/>
                <w:rFonts w:ascii="Verdana" w:hAnsi="Verdana"/>
                <w:color w:val="000000"/>
              </w:rPr>
              <w:t>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41E17C61" w14:textId="77777777" w:rsidR="00AA30FB" w:rsidRPr="00593A5F" w:rsidRDefault="00AA30FB" w:rsidP="00AA30FB">
      <w:pPr>
        <w:tabs>
          <w:tab w:val="left" w:pos="142"/>
          <w:tab w:val="left" w:pos="284"/>
        </w:tabs>
        <w:spacing w:after="0" w:line="276" w:lineRule="auto"/>
        <w:jc w:val="both"/>
        <w:rPr>
          <w:rFonts w:ascii="Verdana" w:eastAsia="Century Gothic" w:hAnsi="Verdana" w:cs="Century Gothic"/>
          <w:b/>
          <w:bCs/>
          <w:lang w:val="es-ES"/>
        </w:rPr>
      </w:pPr>
    </w:p>
    <w:bookmarkEnd w:id="1"/>
    <w:p w14:paraId="026D5BC0" w14:textId="77777777" w:rsidR="00AA30FB" w:rsidRPr="00593A5F" w:rsidRDefault="00AA30FB" w:rsidP="00AA30F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3865854E" w14:textId="77777777" w:rsidR="00AA30FB" w:rsidRPr="00593A5F" w:rsidRDefault="00AA30FB" w:rsidP="00AA30FB">
      <w:pPr>
        <w:spacing w:after="0" w:line="276" w:lineRule="auto"/>
        <w:jc w:val="both"/>
        <w:rPr>
          <w:rFonts w:ascii="Verdana" w:eastAsia="Calibri" w:hAnsi="Verdana" w:cs="Arial"/>
          <w:color w:val="7030A0"/>
          <w:lang w:val="es-ES"/>
        </w:rPr>
      </w:pPr>
    </w:p>
    <w:p w14:paraId="29B7CFCA" w14:textId="77777777" w:rsidR="00AA30FB" w:rsidRDefault="00AA30FB" w:rsidP="00AA30FB">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0BAB49AF" w14:textId="77777777" w:rsidR="00AA30FB" w:rsidRPr="00415608" w:rsidRDefault="00AA30FB" w:rsidP="00AA30FB">
      <w:pPr>
        <w:spacing w:after="0" w:line="276" w:lineRule="auto"/>
        <w:jc w:val="both"/>
        <w:rPr>
          <w:rFonts w:ascii="Verdana" w:eastAsia="Calibri" w:hAnsi="Verdana" w:cs="Arial"/>
          <w:lang w:val="es-ES"/>
        </w:rPr>
      </w:pPr>
    </w:p>
    <w:p w14:paraId="4536751F" w14:textId="1ADCCFEF" w:rsidR="00AA30FB" w:rsidRPr="009512CD" w:rsidRDefault="00D00544" w:rsidP="00AA30FB">
      <w:pPr>
        <w:tabs>
          <w:tab w:val="left" w:pos="426"/>
          <w:tab w:val="left" w:pos="709"/>
        </w:tabs>
        <w:spacing w:after="120" w:line="276" w:lineRule="auto"/>
        <w:ind w:right="51"/>
        <w:jc w:val="both"/>
        <w:rPr>
          <w:rFonts w:ascii="Verdana" w:eastAsia="Calibri" w:hAnsi="Verdana" w:cs="Arial"/>
          <w:lang w:val="es-ES"/>
        </w:rPr>
      </w:pPr>
      <w:r>
        <w:rPr>
          <w:rFonts w:ascii="Verdana" w:eastAsia="Calibri" w:hAnsi="Verdana" w:cs="Arial"/>
          <w:lang w:val="es-ES"/>
        </w:rPr>
        <w:t xml:space="preserve">i. </w:t>
      </w:r>
      <w:r w:rsidR="00AA30FB" w:rsidRPr="009512CD">
        <w:rPr>
          <w:rFonts w:ascii="Verdana" w:eastAsia="Calibri" w:hAnsi="Verdana" w:cs="Arial"/>
          <w:lang w:val="es-ES"/>
        </w:rPr>
        <w:t>El artículo 74 de la Ley 1474</w:t>
      </w:r>
      <w:r w:rsidR="00AA30FB">
        <w:rPr>
          <w:rFonts w:ascii="Verdana" w:eastAsia="Calibri" w:hAnsi="Verdana" w:cs="Arial"/>
          <w:lang w:val="es-ES"/>
        </w:rPr>
        <w:t xml:space="preserve"> de 2011</w:t>
      </w:r>
      <w:r w:rsidR="00AA30FB" w:rsidRPr="009512CD">
        <w:rPr>
          <w:rFonts w:ascii="Verdana" w:eastAsia="Calibri" w:hAnsi="Verdana" w:cs="Arial"/>
          <w:lang w:val="es-ES"/>
        </w:rPr>
        <w:t xml:space="preserve"> dispone que “todas las entidades del Estado” deben publicar, a más tardar el 31 de enero de cada año, en su respectiva página web, el plan de acción, en el cual se incluye el plan general de compras</w:t>
      </w:r>
      <w:r w:rsidR="00AA30FB" w:rsidRPr="009512CD">
        <w:rPr>
          <w:rStyle w:val="Refdenotaalpie"/>
          <w:rFonts w:ascii="Verdana" w:eastAsia="Calibri" w:hAnsi="Verdana" w:cs="Arial"/>
          <w:lang w:val="es-ES"/>
        </w:rPr>
        <w:footnoteReference w:id="2"/>
      </w:r>
      <w:r w:rsidR="00AA30FB" w:rsidRPr="009512CD">
        <w:rPr>
          <w:rFonts w:ascii="Verdana" w:eastAsia="Calibri" w:hAnsi="Verdana" w:cs="Arial"/>
          <w:lang w:val="es-ES"/>
        </w:rPr>
        <w:t xml:space="preserve">. El plan general de compras para el ordenamiento vigente </w:t>
      </w:r>
      <w:r w:rsidR="00AA30FB" w:rsidRPr="009512CD">
        <w:rPr>
          <w:rFonts w:ascii="Verdana" w:eastAsia="Calibri" w:hAnsi="Verdana" w:cs="Arial"/>
          <w:lang w:val="es-ES"/>
        </w:rPr>
        <w:lastRenderedPageBreak/>
        <w:t>corresponde con el concepto de plan anual de adquisiciones como lo establece el artículo 2.2.1.1.1.3.1 del Decreto 1082 de 2015</w:t>
      </w:r>
      <w:r w:rsidR="00AA30FB" w:rsidRPr="009512CD">
        <w:rPr>
          <w:rStyle w:val="Refdenotaalpie"/>
          <w:rFonts w:ascii="Verdana" w:eastAsia="Calibri" w:hAnsi="Verdana" w:cs="Arial"/>
          <w:lang w:val="es-ES"/>
        </w:rPr>
        <w:footnoteReference w:id="3"/>
      </w:r>
      <w:r w:rsidR="00AA30FB" w:rsidRPr="009512CD">
        <w:rPr>
          <w:rFonts w:ascii="Verdana" w:eastAsia="Calibri" w:hAnsi="Verdana" w:cs="Arial"/>
          <w:lang w:val="es-ES"/>
        </w:rPr>
        <w:t>.</w:t>
      </w:r>
    </w:p>
    <w:p w14:paraId="55380917" w14:textId="77777777" w:rsidR="00AA30FB" w:rsidRPr="009512CD" w:rsidRDefault="00AA30FB" w:rsidP="00AA30FB">
      <w:pPr>
        <w:tabs>
          <w:tab w:val="left" w:pos="426"/>
          <w:tab w:val="left" w:pos="709"/>
        </w:tabs>
        <w:spacing w:after="0" w:line="276" w:lineRule="auto"/>
        <w:ind w:right="51" w:firstLine="709"/>
        <w:jc w:val="both"/>
        <w:rPr>
          <w:rFonts w:ascii="Verdana" w:eastAsia="Calibri" w:hAnsi="Verdana" w:cs="Arial"/>
          <w:lang w:val="es-ES"/>
        </w:rPr>
      </w:pPr>
      <w:r w:rsidRPr="009512CD">
        <w:rPr>
          <w:rFonts w:ascii="Verdana" w:eastAsia="Calibri" w:hAnsi="Verdana" w:cs="Arial"/>
          <w:lang w:val="es-ES"/>
        </w:rPr>
        <w:t>Para continuar con las normas generales sobre la publicidad del plan de compras, debe analizarse la Ley 1712 de 2014. El artículo 9, literal e), prescribe que todo sujeto obligado deberá publicar, en los sistemas de información del Estado o herramientas que lo sustituyan, su respectivo plan de compras anual</w:t>
      </w:r>
      <w:r w:rsidRPr="009512CD">
        <w:rPr>
          <w:rStyle w:val="Refdenotaalpie"/>
          <w:rFonts w:ascii="Verdana" w:eastAsia="Calibri" w:hAnsi="Verdana" w:cs="Arial"/>
          <w:lang w:val="es-ES"/>
        </w:rPr>
        <w:footnoteReference w:id="4"/>
      </w:r>
      <w:r w:rsidRPr="009512CD">
        <w:rPr>
          <w:rFonts w:ascii="Verdana" w:eastAsia="Calibri" w:hAnsi="Verdana" w:cs="Arial"/>
          <w:lang w:val="es-ES"/>
        </w:rPr>
        <w:t xml:space="preserve">. Para determinar los sujetos obligados a publicarlo es necesario remitirse al artículo 5 de la Ley 1712 de 2014. Esta norma prescribe lo siguiente: </w:t>
      </w:r>
    </w:p>
    <w:p w14:paraId="61C1A799" w14:textId="77777777" w:rsidR="00AA30FB" w:rsidRPr="009512CD" w:rsidRDefault="00AA30FB" w:rsidP="00AA30FB">
      <w:pPr>
        <w:tabs>
          <w:tab w:val="left" w:pos="426"/>
        </w:tabs>
        <w:spacing w:after="0"/>
        <w:ind w:left="426" w:right="760"/>
        <w:jc w:val="both"/>
        <w:rPr>
          <w:rFonts w:ascii="Verdana" w:eastAsia="Calibri" w:hAnsi="Verdana" w:cs="Arial"/>
          <w:color w:val="000000" w:themeColor="text1"/>
          <w:sz w:val="21"/>
          <w:szCs w:val="21"/>
          <w:lang w:val="es-ES"/>
        </w:rPr>
      </w:pPr>
    </w:p>
    <w:p w14:paraId="5D47762A" w14:textId="77777777" w:rsidR="00AA30FB" w:rsidRPr="009512CD" w:rsidRDefault="00AA30FB" w:rsidP="00AA30FB">
      <w:pPr>
        <w:tabs>
          <w:tab w:val="left" w:pos="709"/>
        </w:tabs>
        <w:spacing w:after="120" w:line="240" w:lineRule="auto"/>
        <w:ind w:left="709" w:right="760"/>
        <w:jc w:val="both"/>
        <w:rPr>
          <w:rFonts w:ascii="Verdana" w:eastAsia="Calibri" w:hAnsi="Verdana" w:cs="Arial"/>
          <w:color w:val="000000" w:themeColor="text1"/>
          <w:sz w:val="20"/>
          <w:szCs w:val="20"/>
          <w:lang w:val="es-ES"/>
        </w:rPr>
      </w:pPr>
      <w:r w:rsidRPr="009512CD">
        <w:rPr>
          <w:rFonts w:ascii="Verdana" w:eastAsia="Calibri" w:hAnsi="Verdana" w:cs="Arial"/>
          <w:color w:val="000000" w:themeColor="text1"/>
          <w:sz w:val="20"/>
          <w:szCs w:val="20"/>
          <w:lang w:val="es-ES"/>
        </w:rPr>
        <w:t>“Artículo 5. Las disposiciones de esta ley serán aplicables a las siguientes personas en calidad de sujetos obligados:</w:t>
      </w:r>
    </w:p>
    <w:p w14:paraId="198D2471" w14:textId="77777777" w:rsidR="00AA30FB" w:rsidRPr="009512CD" w:rsidRDefault="00AA30FB" w:rsidP="00AA30FB">
      <w:pPr>
        <w:tabs>
          <w:tab w:val="left" w:pos="709"/>
        </w:tabs>
        <w:spacing w:after="120" w:line="240" w:lineRule="auto"/>
        <w:ind w:left="709" w:right="758"/>
        <w:jc w:val="both"/>
        <w:rPr>
          <w:rFonts w:ascii="Verdana" w:eastAsia="Calibri" w:hAnsi="Verdana" w:cs="Arial"/>
          <w:color w:val="000000" w:themeColor="text1"/>
          <w:sz w:val="20"/>
          <w:szCs w:val="20"/>
          <w:lang w:val="es-ES"/>
        </w:rPr>
      </w:pPr>
      <w:r w:rsidRPr="009512CD">
        <w:rPr>
          <w:rFonts w:ascii="Verdana" w:eastAsia="Calibri" w:hAnsi="Verdana" w:cs="Arial"/>
          <w:color w:val="000000" w:themeColor="text1"/>
          <w:sz w:val="20"/>
          <w:szCs w:val="20"/>
          <w:lang w:val="es-ES"/>
        </w:rPr>
        <w:t>a) Toda entidad pública, incluyendo las pertenecientes a todas las Ramas del Poder Público, en todos los niveles de la estructura estatal, central o descentralizada por servicios o territorialmente, en los órdenes nacional, departamental, municipal y distrital.</w:t>
      </w:r>
    </w:p>
    <w:p w14:paraId="56BBCE34" w14:textId="77777777" w:rsidR="00AA30FB" w:rsidRPr="009512CD" w:rsidRDefault="00AA30FB" w:rsidP="00AA30FB">
      <w:pPr>
        <w:tabs>
          <w:tab w:val="left" w:pos="709"/>
        </w:tabs>
        <w:spacing w:after="120" w:line="240" w:lineRule="auto"/>
        <w:ind w:left="709" w:right="758"/>
        <w:jc w:val="both"/>
        <w:rPr>
          <w:rFonts w:ascii="Verdana" w:eastAsia="Calibri" w:hAnsi="Verdana" w:cs="Arial"/>
          <w:color w:val="000000" w:themeColor="text1"/>
          <w:sz w:val="20"/>
          <w:szCs w:val="20"/>
          <w:lang w:val="es-ES"/>
        </w:rPr>
      </w:pPr>
      <w:r w:rsidRPr="009512CD">
        <w:rPr>
          <w:rFonts w:ascii="Verdana" w:eastAsia="Calibri" w:hAnsi="Verdana" w:cs="Arial"/>
          <w:color w:val="000000" w:themeColor="text1"/>
          <w:sz w:val="20"/>
          <w:szCs w:val="20"/>
          <w:lang w:val="es-ES"/>
        </w:rPr>
        <w:t>b) Los órganos, organismos y entidades estatales independientes o autónomos y de control.</w:t>
      </w:r>
    </w:p>
    <w:p w14:paraId="7DE281D8" w14:textId="77777777" w:rsidR="00AA30FB" w:rsidRPr="009512CD" w:rsidRDefault="00AA30FB" w:rsidP="00AA30FB">
      <w:pPr>
        <w:tabs>
          <w:tab w:val="left" w:pos="709"/>
        </w:tabs>
        <w:spacing w:after="120" w:line="240" w:lineRule="auto"/>
        <w:ind w:left="709" w:right="758"/>
        <w:jc w:val="both"/>
        <w:rPr>
          <w:rFonts w:ascii="Verdana" w:eastAsia="Calibri" w:hAnsi="Verdana" w:cs="Arial"/>
          <w:color w:val="000000" w:themeColor="text1"/>
          <w:sz w:val="20"/>
          <w:szCs w:val="20"/>
          <w:lang w:val="es-ES"/>
        </w:rPr>
      </w:pPr>
      <w:r w:rsidRPr="009512CD">
        <w:rPr>
          <w:rFonts w:ascii="Verdana" w:eastAsia="Calibri" w:hAnsi="Verdana" w:cs="Arial"/>
          <w:color w:val="000000" w:themeColor="text1"/>
          <w:sz w:val="20"/>
          <w:szCs w:val="20"/>
          <w:lang w:val="es-ES"/>
        </w:rPr>
        <w:t>c) Las personas naturales y jurídicas, públicas o privadas, que presten función pública, que presten servicios públicos respecto de la información directamente relacionada con la prestación del servicio público.</w:t>
      </w:r>
    </w:p>
    <w:p w14:paraId="759C3D51" w14:textId="77777777" w:rsidR="00AA30FB" w:rsidRPr="009512CD" w:rsidRDefault="00AA30FB" w:rsidP="00AA30FB">
      <w:pPr>
        <w:tabs>
          <w:tab w:val="left" w:pos="709"/>
        </w:tabs>
        <w:spacing w:after="120" w:line="240" w:lineRule="auto"/>
        <w:ind w:left="709" w:right="758"/>
        <w:jc w:val="both"/>
        <w:rPr>
          <w:rFonts w:ascii="Verdana" w:eastAsia="Calibri" w:hAnsi="Verdana" w:cs="Arial"/>
          <w:color w:val="000000" w:themeColor="text1"/>
          <w:sz w:val="20"/>
          <w:szCs w:val="20"/>
          <w:lang w:val="es-ES"/>
        </w:rPr>
      </w:pPr>
      <w:r w:rsidRPr="009512CD">
        <w:rPr>
          <w:rFonts w:ascii="Verdana" w:eastAsia="Calibri" w:hAnsi="Verdana" w:cs="Arial"/>
          <w:color w:val="000000" w:themeColor="text1"/>
          <w:sz w:val="20"/>
          <w:szCs w:val="20"/>
          <w:lang w:val="es-ES"/>
        </w:rPr>
        <w:t xml:space="preserve">d) Cualquier persona natural, jurídica o dependencia de persona jurídica que desempeñe función pública o de </w:t>
      </w:r>
      <w:proofErr w:type="gramStart"/>
      <w:r w:rsidRPr="009512CD">
        <w:rPr>
          <w:rFonts w:ascii="Verdana" w:eastAsia="Calibri" w:hAnsi="Verdana" w:cs="Arial"/>
          <w:color w:val="000000" w:themeColor="text1"/>
          <w:sz w:val="20"/>
          <w:szCs w:val="20"/>
          <w:lang w:val="es-ES"/>
        </w:rPr>
        <w:t>autoridad pública</w:t>
      </w:r>
      <w:proofErr w:type="gramEnd"/>
      <w:r w:rsidRPr="009512CD">
        <w:rPr>
          <w:rFonts w:ascii="Verdana" w:eastAsia="Calibri" w:hAnsi="Verdana" w:cs="Arial"/>
          <w:color w:val="000000" w:themeColor="text1"/>
          <w:sz w:val="20"/>
          <w:szCs w:val="20"/>
          <w:lang w:val="es-ES"/>
        </w:rPr>
        <w:t>, respecto de la información directamente relacionada con el desempeño de su función</w:t>
      </w:r>
    </w:p>
    <w:p w14:paraId="05E94464" w14:textId="77777777" w:rsidR="00AA30FB" w:rsidRPr="009512CD" w:rsidRDefault="00AA30FB" w:rsidP="00AA30FB">
      <w:pPr>
        <w:tabs>
          <w:tab w:val="left" w:pos="709"/>
        </w:tabs>
        <w:spacing w:after="120" w:line="240" w:lineRule="auto"/>
        <w:ind w:left="709" w:right="758"/>
        <w:jc w:val="both"/>
        <w:rPr>
          <w:rFonts w:ascii="Verdana" w:eastAsia="Calibri" w:hAnsi="Verdana" w:cs="Arial"/>
          <w:color w:val="000000" w:themeColor="text1"/>
          <w:sz w:val="20"/>
          <w:szCs w:val="20"/>
          <w:lang w:val="es-ES"/>
        </w:rPr>
      </w:pPr>
      <w:r w:rsidRPr="009512CD">
        <w:rPr>
          <w:rFonts w:ascii="Verdana" w:eastAsia="Calibri" w:hAnsi="Verdana" w:cs="Arial"/>
          <w:color w:val="000000" w:themeColor="text1"/>
          <w:sz w:val="20"/>
          <w:szCs w:val="20"/>
          <w:lang w:val="es-ES"/>
        </w:rPr>
        <w:lastRenderedPageBreak/>
        <w:t>e)  Las empresas públicas creadas por ley, las empresas del Estado y sociedades en que este tenga participación.</w:t>
      </w:r>
    </w:p>
    <w:p w14:paraId="60F15C76" w14:textId="77777777" w:rsidR="00AA30FB" w:rsidRPr="009512CD" w:rsidRDefault="00AA30FB" w:rsidP="00AA30FB">
      <w:pPr>
        <w:tabs>
          <w:tab w:val="left" w:pos="709"/>
        </w:tabs>
        <w:spacing w:after="120" w:line="240" w:lineRule="auto"/>
        <w:ind w:left="709" w:right="758"/>
        <w:jc w:val="both"/>
        <w:rPr>
          <w:rFonts w:ascii="Verdana" w:eastAsia="Calibri" w:hAnsi="Verdana" w:cs="Arial"/>
          <w:color w:val="000000" w:themeColor="text1"/>
          <w:sz w:val="20"/>
          <w:szCs w:val="20"/>
          <w:lang w:val="es-ES"/>
        </w:rPr>
      </w:pPr>
      <w:r w:rsidRPr="009512CD">
        <w:rPr>
          <w:rFonts w:ascii="Verdana" w:eastAsia="Calibri" w:hAnsi="Verdana" w:cs="Arial"/>
          <w:color w:val="000000" w:themeColor="text1"/>
          <w:sz w:val="20"/>
          <w:szCs w:val="20"/>
          <w:lang w:val="es-ES"/>
        </w:rPr>
        <w:t>f) Los partidos o movimientos políticos y los grupos significativos de ciudadanos.</w:t>
      </w:r>
    </w:p>
    <w:p w14:paraId="2674F42F" w14:textId="77777777" w:rsidR="00AA30FB" w:rsidRPr="009512CD" w:rsidRDefault="00AA30FB" w:rsidP="00AA30FB">
      <w:pPr>
        <w:tabs>
          <w:tab w:val="left" w:pos="709"/>
        </w:tabs>
        <w:spacing w:after="120" w:line="240" w:lineRule="auto"/>
        <w:ind w:left="709" w:right="758"/>
        <w:jc w:val="both"/>
        <w:rPr>
          <w:rFonts w:ascii="Verdana" w:eastAsia="Calibri" w:hAnsi="Verdana" w:cs="Arial"/>
          <w:color w:val="000000" w:themeColor="text1"/>
          <w:sz w:val="20"/>
          <w:szCs w:val="20"/>
          <w:lang w:val="es-ES"/>
        </w:rPr>
      </w:pPr>
      <w:r w:rsidRPr="009512CD">
        <w:rPr>
          <w:rFonts w:ascii="Verdana" w:eastAsia="Calibri" w:hAnsi="Verdana" w:cs="Arial"/>
          <w:color w:val="000000" w:themeColor="text1"/>
          <w:sz w:val="20"/>
          <w:szCs w:val="20"/>
          <w:lang w:val="es-ES"/>
        </w:rPr>
        <w:t>g) Las entidades que administren instituciones parafiscales, fondos o recursos de naturaleza u origen público.</w:t>
      </w:r>
    </w:p>
    <w:p w14:paraId="6FC87654" w14:textId="77777777" w:rsidR="00AA30FB" w:rsidRPr="009512CD" w:rsidRDefault="00AA30FB" w:rsidP="00AA30FB">
      <w:pPr>
        <w:tabs>
          <w:tab w:val="left" w:pos="709"/>
        </w:tabs>
        <w:spacing w:after="120" w:line="240" w:lineRule="auto"/>
        <w:ind w:left="709" w:right="758"/>
        <w:jc w:val="both"/>
        <w:rPr>
          <w:rFonts w:ascii="Verdana" w:eastAsia="Calibri" w:hAnsi="Verdana" w:cs="Arial"/>
          <w:color w:val="000000" w:themeColor="text1"/>
          <w:sz w:val="20"/>
          <w:szCs w:val="20"/>
          <w:lang w:val="es-ES"/>
        </w:rPr>
      </w:pPr>
      <w:r w:rsidRPr="009512CD">
        <w:rPr>
          <w:rFonts w:ascii="Verdana" w:eastAsia="Calibri" w:hAnsi="Verdana" w:cs="Arial"/>
          <w:color w:val="000000" w:themeColor="text1"/>
          <w:sz w:val="20"/>
          <w:szCs w:val="20"/>
          <w:lang w:val="es-ES"/>
        </w:rPr>
        <w:t>Las personas naturales o jurídicas que reciban o intermedien fondos o beneficios públicos territoriales y nacionales y no cumplan ninguno de los otros requisitos para ser considerados sujetos obligados, solo deberán cumplir con la presente ley respecto de aquella información que se produzca en relación con fondos públicos que reciban o intermedien.</w:t>
      </w:r>
    </w:p>
    <w:p w14:paraId="78706AC0" w14:textId="77777777" w:rsidR="00AA30FB" w:rsidRPr="009512CD" w:rsidRDefault="00AA30FB" w:rsidP="00AA30FB">
      <w:pPr>
        <w:tabs>
          <w:tab w:val="left" w:pos="709"/>
        </w:tabs>
        <w:spacing w:after="0" w:line="240" w:lineRule="auto"/>
        <w:ind w:left="709" w:right="758"/>
        <w:jc w:val="both"/>
        <w:rPr>
          <w:rFonts w:ascii="Verdana" w:eastAsia="Calibri" w:hAnsi="Verdana" w:cs="Arial"/>
          <w:color w:val="000000" w:themeColor="text1"/>
          <w:sz w:val="21"/>
          <w:szCs w:val="21"/>
          <w:lang w:val="es-ES"/>
        </w:rPr>
      </w:pPr>
      <w:r w:rsidRPr="009512CD">
        <w:rPr>
          <w:rFonts w:ascii="Verdana" w:eastAsia="Calibri" w:hAnsi="Verdana" w:cs="Arial"/>
          <w:color w:val="000000" w:themeColor="text1"/>
          <w:sz w:val="20"/>
          <w:szCs w:val="20"/>
          <w:lang w:val="es-ES"/>
        </w:rPr>
        <w:t>PARÁGRAFO 1o. No serán sujetos obligados aquellas personas naturales o jurídicas de carácter privado que sean usuarios de información pública”.</w:t>
      </w:r>
    </w:p>
    <w:p w14:paraId="0BBC39B8" w14:textId="77777777" w:rsidR="00AA30FB" w:rsidRPr="009512CD" w:rsidRDefault="00AA30FB" w:rsidP="00AA30FB">
      <w:pPr>
        <w:tabs>
          <w:tab w:val="left" w:pos="426"/>
        </w:tabs>
        <w:spacing w:after="0" w:line="276" w:lineRule="auto"/>
        <w:ind w:right="758"/>
        <w:jc w:val="both"/>
        <w:rPr>
          <w:rFonts w:ascii="Verdana" w:eastAsia="Calibri" w:hAnsi="Verdana" w:cs="Arial"/>
          <w:color w:val="000000" w:themeColor="text1"/>
          <w:lang w:val="es-ES"/>
        </w:rPr>
      </w:pPr>
    </w:p>
    <w:p w14:paraId="4EFF05F5" w14:textId="7CCB975D" w:rsidR="00AA30FB" w:rsidRPr="009512CD" w:rsidRDefault="00AA30FB" w:rsidP="00AA30FB">
      <w:pPr>
        <w:spacing w:after="0" w:line="276" w:lineRule="auto"/>
        <w:ind w:firstLine="709"/>
        <w:jc w:val="both"/>
        <w:rPr>
          <w:rFonts w:ascii="Verdana" w:eastAsia="Calibri" w:hAnsi="Verdana" w:cs="Arial"/>
          <w:lang w:val="es-ES"/>
        </w:rPr>
      </w:pPr>
      <w:r w:rsidRPr="009512CD">
        <w:rPr>
          <w:rFonts w:ascii="Verdana" w:eastAsia="Calibri" w:hAnsi="Verdana" w:cs="Arial"/>
          <w:lang w:val="es-ES"/>
        </w:rPr>
        <w:t xml:space="preserve">La norma citada contiene una lista cuyo propósito es incluir a cualquier entidad, órgano, organismo, o persona natural que desempeñe funciones públicas o administre recursos públicos. De hecho, esta Agencia ha aclarado, en relación con el plan anual de adquisiciones, que se encuentran obligadas todas las entidades del Estado sin importar la rama a la cual pertenecen, o si se trata de entidades descentralizadas territorialmente o por servicios. También están incluidos todos los órganos con competencia para contratar, como los concejos municipales. Adicionalmente, la Agencia ha señalado que son sujetos obligados las empresas públicas, las empresas del Estado y las sociedades en las que el Estado tenga participación, sin que importe su monto. Esta obligación de origen legal tiene desarrollo reglamentario en el Decreto 103 de 2015, compilado por el Decreto 1081 de 2015. El artículo 2.1.1.2.1.10 </w:t>
      </w:r>
      <w:r>
        <w:rPr>
          <w:rFonts w:ascii="Verdana" w:eastAsia="Calibri" w:hAnsi="Verdana" w:cs="Arial"/>
          <w:lang w:val="es-ES"/>
        </w:rPr>
        <w:t>de est</w:t>
      </w:r>
      <w:r w:rsidR="00D00544">
        <w:rPr>
          <w:rFonts w:ascii="Verdana" w:eastAsia="Calibri" w:hAnsi="Verdana" w:cs="Arial"/>
          <w:lang w:val="es-ES"/>
        </w:rPr>
        <w:t>e</w:t>
      </w:r>
      <w:r>
        <w:rPr>
          <w:rFonts w:ascii="Verdana" w:eastAsia="Calibri" w:hAnsi="Verdana" w:cs="Arial"/>
          <w:lang w:val="es-ES"/>
        </w:rPr>
        <w:t xml:space="preserve"> último reglamento</w:t>
      </w:r>
      <w:r w:rsidRPr="009512CD">
        <w:rPr>
          <w:rFonts w:ascii="Verdana" w:eastAsia="Calibri" w:hAnsi="Verdana" w:cs="Arial"/>
          <w:lang w:val="es-ES"/>
        </w:rPr>
        <w:t xml:space="preserve"> dispone que: </w:t>
      </w:r>
    </w:p>
    <w:p w14:paraId="28947819" w14:textId="77777777" w:rsidR="00AA30FB" w:rsidRPr="009512CD" w:rsidRDefault="00AA30FB" w:rsidP="00AA30FB">
      <w:pPr>
        <w:spacing w:after="0"/>
        <w:ind w:firstLine="709"/>
        <w:rPr>
          <w:rFonts w:ascii="Verdana" w:eastAsia="Calibri" w:hAnsi="Verdana" w:cs="Arial"/>
          <w:lang w:val="es-ES"/>
        </w:rPr>
      </w:pPr>
    </w:p>
    <w:p w14:paraId="62D026BB" w14:textId="77777777" w:rsidR="00AA30FB" w:rsidRPr="009512CD" w:rsidRDefault="00AA30FB" w:rsidP="00AA30FB">
      <w:pPr>
        <w:tabs>
          <w:tab w:val="left" w:pos="426"/>
        </w:tabs>
        <w:spacing w:after="120" w:line="240" w:lineRule="auto"/>
        <w:ind w:left="709" w:right="709"/>
        <w:jc w:val="both"/>
        <w:rPr>
          <w:rFonts w:ascii="Verdana" w:eastAsia="Calibri" w:hAnsi="Verdana" w:cs="Arial"/>
          <w:color w:val="000000" w:themeColor="text1"/>
          <w:sz w:val="20"/>
          <w:szCs w:val="20"/>
          <w:lang w:val="es-ES"/>
        </w:rPr>
      </w:pPr>
      <w:r w:rsidRPr="009512CD">
        <w:rPr>
          <w:rFonts w:ascii="Verdana" w:eastAsia="Calibri" w:hAnsi="Verdana" w:cs="Arial"/>
          <w:color w:val="000000" w:themeColor="text1"/>
          <w:sz w:val="20"/>
          <w:szCs w:val="20"/>
          <w:lang w:val="es-ES"/>
        </w:rPr>
        <w:t xml:space="preserve">“Los sujetos obligados que contratan con cargo a recursos públicos deben publicar en su página web y en el </w:t>
      </w:r>
      <w:proofErr w:type="spellStart"/>
      <w:r w:rsidRPr="009512CD">
        <w:rPr>
          <w:rFonts w:ascii="Verdana" w:eastAsia="Calibri" w:hAnsi="Verdana" w:cs="Arial"/>
          <w:color w:val="000000" w:themeColor="text1"/>
          <w:sz w:val="20"/>
          <w:szCs w:val="20"/>
          <w:lang w:val="es-ES"/>
        </w:rPr>
        <w:t>Secop</w:t>
      </w:r>
      <w:proofErr w:type="spellEnd"/>
      <w:r w:rsidRPr="009512CD">
        <w:rPr>
          <w:rFonts w:ascii="Verdana" w:eastAsia="Calibri" w:hAnsi="Verdana" w:cs="Arial"/>
          <w:color w:val="000000" w:themeColor="text1"/>
          <w:sz w:val="20"/>
          <w:szCs w:val="20"/>
          <w:lang w:val="es-ES"/>
        </w:rPr>
        <w:t xml:space="preserve"> el Plan Anual de Adquisiciones, de acuerdo con lo previsto en el artículo 74 de la Ley 1474 de 2011, el literal e) del artículo 9° de la Ley 1712 de 2014 y el Decreto 1510 de 2013, o el que lo modifique, sustituya o adicione.</w:t>
      </w:r>
    </w:p>
    <w:p w14:paraId="666AB0FE" w14:textId="77777777" w:rsidR="00AA30FB" w:rsidRPr="009512CD" w:rsidRDefault="00AA30FB" w:rsidP="00AA30FB">
      <w:pPr>
        <w:tabs>
          <w:tab w:val="left" w:pos="426"/>
        </w:tabs>
        <w:spacing w:after="120" w:line="240" w:lineRule="auto"/>
        <w:ind w:left="709" w:right="709"/>
        <w:jc w:val="both"/>
        <w:rPr>
          <w:rFonts w:ascii="Verdana" w:eastAsia="Calibri" w:hAnsi="Verdana" w:cs="Arial"/>
          <w:color w:val="000000" w:themeColor="text1"/>
          <w:sz w:val="20"/>
          <w:szCs w:val="20"/>
          <w:lang w:val="es-ES"/>
        </w:rPr>
      </w:pPr>
      <w:r w:rsidRPr="009512CD">
        <w:rPr>
          <w:rFonts w:ascii="Verdana" w:eastAsia="Calibri" w:hAnsi="Verdana" w:cs="Arial"/>
          <w:color w:val="000000" w:themeColor="text1"/>
          <w:sz w:val="20"/>
          <w:szCs w:val="20"/>
          <w:lang w:val="es-ES"/>
        </w:rPr>
        <w:t xml:space="preserve">Los sujetos obligados que no contratan con cargo a recursos públicos no están obligados a publicar su Plan Anual de Adquisiciones. </w:t>
      </w:r>
    </w:p>
    <w:p w14:paraId="2614F10B" w14:textId="77777777" w:rsidR="00AA30FB" w:rsidRPr="009512CD" w:rsidRDefault="00AA30FB" w:rsidP="00AA30FB">
      <w:pPr>
        <w:tabs>
          <w:tab w:val="left" w:pos="426"/>
        </w:tabs>
        <w:spacing w:after="120" w:line="240" w:lineRule="auto"/>
        <w:ind w:left="709" w:right="709"/>
        <w:jc w:val="both"/>
        <w:rPr>
          <w:rFonts w:ascii="Verdana" w:eastAsia="Calibri" w:hAnsi="Verdana" w:cs="Arial"/>
          <w:color w:val="000000" w:themeColor="text1"/>
          <w:sz w:val="20"/>
          <w:szCs w:val="20"/>
          <w:lang w:val="es-ES"/>
        </w:rPr>
      </w:pPr>
      <w:r w:rsidRPr="009512CD">
        <w:rPr>
          <w:rFonts w:ascii="Verdana" w:eastAsia="Calibri" w:hAnsi="Verdana" w:cs="Arial"/>
          <w:color w:val="000000" w:themeColor="text1"/>
          <w:sz w:val="20"/>
          <w:szCs w:val="20"/>
          <w:lang w:val="es-ES"/>
        </w:rPr>
        <w:t xml:space="preserve">Los sujetos obligados que contratan con cargo a recursos públicos y recursos </w:t>
      </w:r>
      <w:proofErr w:type="gramStart"/>
      <w:r w:rsidRPr="009512CD">
        <w:rPr>
          <w:rFonts w:ascii="Verdana" w:eastAsia="Calibri" w:hAnsi="Verdana" w:cs="Arial"/>
          <w:color w:val="000000" w:themeColor="text1"/>
          <w:sz w:val="20"/>
          <w:szCs w:val="20"/>
          <w:lang w:val="es-ES"/>
        </w:rPr>
        <w:t>privados,</w:t>
      </w:r>
      <w:proofErr w:type="gramEnd"/>
      <w:r w:rsidRPr="009512CD">
        <w:rPr>
          <w:rFonts w:ascii="Verdana" w:eastAsia="Calibri" w:hAnsi="Verdana" w:cs="Arial"/>
          <w:color w:val="000000" w:themeColor="text1"/>
          <w:sz w:val="20"/>
          <w:szCs w:val="20"/>
          <w:lang w:val="es-ES"/>
        </w:rPr>
        <w:t xml:space="preserve"> deben publicar en su página web y en el </w:t>
      </w:r>
      <w:proofErr w:type="spellStart"/>
      <w:r w:rsidRPr="009512CD">
        <w:rPr>
          <w:rFonts w:ascii="Verdana" w:eastAsia="Calibri" w:hAnsi="Verdana" w:cs="Arial"/>
          <w:color w:val="000000" w:themeColor="text1"/>
          <w:sz w:val="20"/>
          <w:szCs w:val="20"/>
          <w:lang w:val="es-ES"/>
        </w:rPr>
        <w:t>Secop</w:t>
      </w:r>
      <w:proofErr w:type="spellEnd"/>
      <w:r w:rsidRPr="009512CD">
        <w:rPr>
          <w:rFonts w:ascii="Verdana" w:eastAsia="Calibri" w:hAnsi="Verdana" w:cs="Arial"/>
          <w:color w:val="000000" w:themeColor="text1"/>
          <w:sz w:val="20"/>
          <w:szCs w:val="20"/>
          <w:lang w:val="es-ES"/>
        </w:rPr>
        <w:t xml:space="preserve"> el Plan Anual de Adquisiciones para los recursos de carácter público que ejecutarán en el año. </w:t>
      </w:r>
    </w:p>
    <w:p w14:paraId="0C6FF4A3" w14:textId="77777777" w:rsidR="00AA30FB" w:rsidRPr="009512CD" w:rsidRDefault="00AA30FB" w:rsidP="00AA30FB">
      <w:pPr>
        <w:tabs>
          <w:tab w:val="left" w:pos="426"/>
        </w:tabs>
        <w:spacing w:after="0" w:line="240" w:lineRule="auto"/>
        <w:ind w:left="709" w:right="709"/>
        <w:jc w:val="both"/>
        <w:rPr>
          <w:rFonts w:ascii="Verdana" w:eastAsia="Calibri" w:hAnsi="Verdana" w:cs="Arial"/>
          <w:color w:val="000000" w:themeColor="text1"/>
          <w:sz w:val="21"/>
          <w:szCs w:val="21"/>
          <w:lang w:val="es-ES"/>
        </w:rPr>
      </w:pPr>
      <w:r w:rsidRPr="009512CD">
        <w:rPr>
          <w:rFonts w:ascii="Verdana" w:eastAsia="Calibri" w:hAnsi="Verdana" w:cs="Arial"/>
          <w:color w:val="000000" w:themeColor="text1"/>
          <w:sz w:val="20"/>
          <w:szCs w:val="20"/>
          <w:lang w:val="es-ES"/>
        </w:rPr>
        <w:lastRenderedPageBreak/>
        <w:t>Se entenderá como definición de Plan Anual de Adquisiciones respecto a todos los sujetos obligados que contratan con recursos públicos, la prevista en el artículo 3° del Decreto 1510 de 2013, o el que lo modifique, sustituya o adicione”.</w:t>
      </w:r>
      <w:r w:rsidRPr="009512CD">
        <w:rPr>
          <w:rFonts w:ascii="Verdana" w:eastAsia="Calibri" w:hAnsi="Verdana" w:cs="Arial"/>
          <w:color w:val="000000" w:themeColor="text1"/>
          <w:sz w:val="21"/>
          <w:szCs w:val="21"/>
          <w:lang w:val="es-ES"/>
        </w:rPr>
        <w:t xml:space="preserve"> </w:t>
      </w:r>
    </w:p>
    <w:p w14:paraId="3E08C930" w14:textId="77777777" w:rsidR="00AA30FB" w:rsidRPr="009512CD" w:rsidRDefault="00AA30FB" w:rsidP="00AA30FB">
      <w:pPr>
        <w:tabs>
          <w:tab w:val="left" w:pos="8505"/>
        </w:tabs>
        <w:spacing w:after="0" w:line="276" w:lineRule="auto"/>
        <w:ind w:rightChars="709" w:right="1560"/>
        <w:rPr>
          <w:rFonts w:ascii="Verdana" w:eastAsia="Calibri" w:hAnsi="Verdana" w:cs="Arial"/>
          <w:lang w:val="es-ES"/>
        </w:rPr>
      </w:pPr>
    </w:p>
    <w:p w14:paraId="721B0436" w14:textId="77777777" w:rsidR="00AA30FB" w:rsidRDefault="00AA30FB" w:rsidP="000C2490">
      <w:pPr>
        <w:spacing w:after="0" w:line="276" w:lineRule="auto"/>
        <w:ind w:firstLine="709"/>
        <w:jc w:val="both"/>
        <w:rPr>
          <w:rFonts w:ascii="Verdana" w:eastAsia="Calibri" w:hAnsi="Verdana" w:cs="Arial"/>
          <w:lang w:val="es-ES"/>
        </w:rPr>
      </w:pPr>
      <w:r w:rsidRPr="009512CD">
        <w:rPr>
          <w:rFonts w:ascii="Verdana" w:eastAsia="Calibri" w:hAnsi="Verdana" w:cs="Arial"/>
          <w:lang w:val="es-ES"/>
        </w:rPr>
        <w:t xml:space="preserve">El artículo citado prescribe que los sujetos obligados que contraten con cargo a recursos públicos tienen la obligación de publicar el plan anual de adquisiciones en el SECOP. Los sujetos que no contratan con cargo a recursos públicos no están obligados a publicarlo, mientras que aquellos que contratan tanto con cargo a recursos públicos como recursos que no tienen esta naturaleza, solamente están obligados a publicar el plan anual de adquisiciones para los recursos de carácter público que se ejecutarán durante la vigencia fiscal. </w:t>
      </w:r>
    </w:p>
    <w:p w14:paraId="01A63616" w14:textId="77777777" w:rsidR="000C2490" w:rsidRPr="009512CD" w:rsidRDefault="000C2490" w:rsidP="00601837">
      <w:pPr>
        <w:spacing w:after="0" w:line="276" w:lineRule="auto"/>
        <w:ind w:firstLine="709"/>
        <w:jc w:val="both"/>
        <w:rPr>
          <w:rFonts w:ascii="Verdana" w:eastAsia="Calibri" w:hAnsi="Verdana" w:cs="Arial"/>
          <w:lang w:val="es-ES"/>
        </w:rPr>
      </w:pPr>
    </w:p>
    <w:p w14:paraId="585C1A97" w14:textId="77777777" w:rsidR="00747792" w:rsidRPr="005D3E18" w:rsidRDefault="00162F17" w:rsidP="00747792">
      <w:pPr>
        <w:spacing w:after="120" w:line="276" w:lineRule="auto"/>
        <w:jc w:val="both"/>
        <w:rPr>
          <w:rFonts w:ascii="Verdana" w:eastAsia="Calibri" w:hAnsi="Verdana" w:cs="Arial"/>
          <w:color w:val="000000" w:themeColor="text1"/>
          <w:lang w:val="es-ES"/>
        </w:rPr>
      </w:pPr>
      <w:proofErr w:type="spellStart"/>
      <w:r>
        <w:rPr>
          <w:rFonts w:ascii="Verdana" w:eastAsia="Calibri" w:hAnsi="Verdana" w:cs="Arial"/>
          <w:bCs/>
          <w:lang w:val="es-ES"/>
        </w:rPr>
        <w:t>ii</w:t>
      </w:r>
      <w:proofErr w:type="spellEnd"/>
      <w:r>
        <w:rPr>
          <w:rFonts w:ascii="Verdana" w:eastAsia="Calibri" w:hAnsi="Verdana" w:cs="Arial"/>
          <w:bCs/>
          <w:lang w:val="es-ES"/>
        </w:rPr>
        <w:t xml:space="preserve">. </w:t>
      </w:r>
      <w:r w:rsidR="00747792" w:rsidRPr="005D3E18">
        <w:rPr>
          <w:rFonts w:ascii="Verdana" w:eastAsia="Calibri" w:hAnsi="Verdana" w:cs="Arial"/>
          <w:color w:val="000000" w:themeColor="text1"/>
          <w:lang w:val="es-ES"/>
        </w:rPr>
        <w:t>Para efectos de las acciones judiciales procedentes, las entidades públicas se manifiestan a través de actos, contratos, hechos, omisiones y operaciones administrativas, conceptos que delimitan la aplicación de los medios de control dispuestos en el Código de Procedimiento Administrativo y de lo Contencioso Administrativo</w:t>
      </w:r>
      <w:r w:rsidR="00747792" w:rsidRPr="005D3E18">
        <w:rPr>
          <w:rStyle w:val="Refdenotaalpie"/>
          <w:rFonts w:ascii="Verdana" w:eastAsia="Calibri" w:hAnsi="Verdana" w:cs="Arial"/>
          <w:color w:val="000000" w:themeColor="text1"/>
        </w:rPr>
        <w:footnoteReference w:id="5"/>
      </w:r>
      <w:r w:rsidR="00747792" w:rsidRPr="005D3E18">
        <w:rPr>
          <w:rFonts w:ascii="Verdana" w:eastAsia="Calibri" w:hAnsi="Verdana" w:cs="Arial"/>
          <w:color w:val="000000" w:themeColor="text1"/>
          <w:lang w:val="es-ES"/>
        </w:rPr>
        <w:t>. En esta medida, determinar la naturaleza jurídica del plan anual de adquisiciones supone analizar si cabe en alguna de las categorías administrativas mencionadas.</w:t>
      </w:r>
    </w:p>
    <w:p w14:paraId="6074F8FB" w14:textId="77777777" w:rsidR="00747792" w:rsidRPr="005D3E18" w:rsidRDefault="00747792" w:rsidP="00747792">
      <w:pPr>
        <w:spacing w:after="120" w:line="276" w:lineRule="auto"/>
        <w:jc w:val="both"/>
        <w:rPr>
          <w:rFonts w:ascii="Verdana" w:eastAsia="Calibri" w:hAnsi="Verdana" w:cs="Arial"/>
          <w:color w:val="000000" w:themeColor="text1"/>
          <w:lang w:val="es-ES"/>
        </w:rPr>
      </w:pPr>
      <w:r w:rsidRPr="005D3E18">
        <w:rPr>
          <w:rFonts w:ascii="Verdana" w:eastAsia="Calibri" w:hAnsi="Verdana" w:cs="Arial"/>
          <w:color w:val="000000" w:themeColor="text1"/>
          <w:lang w:val="es-ES"/>
        </w:rPr>
        <w:tab/>
        <w:t xml:space="preserve">En primer lugar, las </w:t>
      </w:r>
      <w:r w:rsidRPr="005D3E18">
        <w:rPr>
          <w:rFonts w:ascii="Verdana" w:eastAsia="Calibri" w:hAnsi="Verdana" w:cs="Arial"/>
          <w:i/>
          <w:iCs/>
          <w:color w:val="000000" w:themeColor="text1"/>
          <w:lang w:val="es-ES"/>
        </w:rPr>
        <w:t>operaciones</w:t>
      </w:r>
      <w:r w:rsidRPr="005D3E18">
        <w:rPr>
          <w:rFonts w:ascii="Verdana" w:eastAsia="Calibri" w:hAnsi="Verdana" w:cs="Arial"/>
          <w:color w:val="000000" w:themeColor="text1"/>
          <w:lang w:val="es-ES"/>
        </w:rPr>
        <w:t xml:space="preserve"> </w:t>
      </w:r>
      <w:r w:rsidRPr="005D3E18">
        <w:rPr>
          <w:rFonts w:ascii="Verdana" w:eastAsia="Calibri" w:hAnsi="Verdana" w:cs="Arial"/>
          <w:i/>
          <w:iCs/>
          <w:color w:val="000000" w:themeColor="text1"/>
          <w:lang w:val="es-ES"/>
        </w:rPr>
        <w:t>administrativas</w:t>
      </w:r>
      <w:r w:rsidRPr="005D3E18">
        <w:rPr>
          <w:rFonts w:ascii="Verdana" w:eastAsia="Calibri" w:hAnsi="Verdana" w:cs="Arial"/>
          <w:color w:val="000000" w:themeColor="text1"/>
          <w:lang w:val="es-ES"/>
        </w:rPr>
        <w:t xml:space="preserve"> son actos de ejecución material de una decisión tomada en ejercicio de la función administrativa. Esta definición indica la brecha existente entre la declaración de voluntad, por un lado, y las actuaciones necesarias para materializarla, por otro, ya que –a modo de ejemplo– no es lo mismo tomar la decisión de demoler un edificio, lo cual se encuentra en el plano volitivo, que disponer del personal y los equipos necesarios para hacerlo, donde se requieren decisiones de carácter ejecutivo. Por ello, la jurisprudencia señala que </w:t>
      </w:r>
      <w:r>
        <w:rPr>
          <w:rFonts w:ascii="Verdana" w:eastAsia="Calibri" w:hAnsi="Verdana" w:cs="Arial"/>
          <w:color w:val="000000" w:themeColor="text1"/>
          <w:lang w:val="es-ES"/>
        </w:rPr>
        <w:t>“</w:t>
      </w:r>
      <w:r w:rsidRPr="005D3E18">
        <w:rPr>
          <w:rFonts w:ascii="Verdana" w:eastAsia="Calibri" w:hAnsi="Verdana" w:cs="Arial"/>
          <w:color w:val="000000" w:themeColor="text1"/>
          <w:lang w:val="es-ES"/>
        </w:rPr>
        <w:t>[...] la operación administrativa es la actividad material de una entidad pública o persona privada en ejercicio de funciones administrativas, que tiene por objeto la ejecución de los actos administrativos. Hacer efectivo su cumplimiento</w:t>
      </w:r>
      <w:r>
        <w:rPr>
          <w:rFonts w:ascii="Verdana" w:eastAsia="Calibri" w:hAnsi="Verdana" w:cs="Arial"/>
          <w:color w:val="000000" w:themeColor="text1"/>
          <w:lang w:val="es-ES"/>
        </w:rPr>
        <w:t>”</w:t>
      </w:r>
      <w:r w:rsidRPr="005D3E18">
        <w:rPr>
          <w:rStyle w:val="Refdenotaalpie"/>
          <w:rFonts w:ascii="Verdana" w:eastAsia="Calibri" w:hAnsi="Verdana" w:cs="Arial"/>
          <w:color w:val="000000" w:themeColor="text1"/>
        </w:rPr>
        <w:footnoteReference w:id="6"/>
      </w:r>
      <w:r w:rsidRPr="005D3E18">
        <w:rPr>
          <w:rFonts w:ascii="Verdana" w:eastAsia="Calibri" w:hAnsi="Verdana" w:cs="Arial"/>
          <w:color w:val="000000" w:themeColor="text1"/>
          <w:lang w:val="es-ES"/>
        </w:rPr>
        <w:t xml:space="preserve">. Entendido de esta manera, el plan anual de adquisiciones no pertenece a esta categoría jurídica, pues a través de él no se </w:t>
      </w:r>
      <w:r w:rsidRPr="005D3E18">
        <w:rPr>
          <w:rFonts w:ascii="Verdana" w:eastAsia="Calibri" w:hAnsi="Verdana" w:cs="Arial"/>
          <w:color w:val="000000" w:themeColor="text1"/>
          <w:lang w:val="es-ES"/>
        </w:rPr>
        <w:lastRenderedPageBreak/>
        <w:t xml:space="preserve">ejecutan operaciones materiales, sino que se realiza una estimación de las posibles inversiones de la entidad. De hecho, la prestación efectiva de los bienes, obras y servicios requeridos se realiza en el marco de un contrato, esto es, un acuerdo de voluntades para producir obligaciones, no de una manifestación unilateral de la voluntad. Así las cosas, el plan es una decisión por la cual las entidades determinan las posibles adquisiciones durante el año fiscal, las cuales se ejecutarán previa realización del proceso de selección, adjudicación, suscripción y legalización del contrato. </w:t>
      </w:r>
    </w:p>
    <w:p w14:paraId="0280A521" w14:textId="77777777" w:rsidR="00747792" w:rsidRPr="005D3E18" w:rsidRDefault="00747792" w:rsidP="00747792">
      <w:pPr>
        <w:spacing w:after="120" w:line="276" w:lineRule="auto"/>
        <w:jc w:val="both"/>
        <w:rPr>
          <w:rFonts w:ascii="Verdana" w:eastAsia="Calibri" w:hAnsi="Verdana" w:cs="Arial"/>
          <w:color w:val="000000" w:themeColor="text1"/>
          <w:lang w:val="es-ES"/>
        </w:rPr>
      </w:pPr>
      <w:r w:rsidRPr="005D3E18">
        <w:rPr>
          <w:rFonts w:ascii="Verdana" w:eastAsia="Calibri" w:hAnsi="Verdana" w:cs="Arial"/>
          <w:color w:val="000000" w:themeColor="text1"/>
          <w:lang w:val="es-ES"/>
        </w:rPr>
        <w:tab/>
        <w:t xml:space="preserve">En segundo lugar, los </w:t>
      </w:r>
      <w:r w:rsidRPr="005D3E18">
        <w:rPr>
          <w:rFonts w:ascii="Verdana" w:eastAsia="Calibri" w:hAnsi="Verdana" w:cs="Arial"/>
          <w:i/>
          <w:iCs/>
          <w:color w:val="000000" w:themeColor="text1"/>
          <w:lang w:val="es-ES"/>
        </w:rPr>
        <w:t>hechos</w:t>
      </w:r>
      <w:r w:rsidRPr="005D3E18">
        <w:rPr>
          <w:rFonts w:ascii="Verdana" w:eastAsia="Calibri" w:hAnsi="Verdana" w:cs="Arial"/>
          <w:color w:val="000000" w:themeColor="text1"/>
          <w:lang w:val="es-ES"/>
        </w:rPr>
        <w:t xml:space="preserve"> son situaciones que producen efectos jurídicos y no ejecutan una decisión previa. Los hechos suceden, por ejemplo, cuando se desploman edificios públicos en ruinas</w:t>
      </w:r>
      <w:r w:rsidRPr="005D3E18">
        <w:rPr>
          <w:rStyle w:val="Refdenotaalpie"/>
          <w:rFonts w:ascii="Verdana" w:eastAsia="Calibri" w:hAnsi="Verdana" w:cs="Arial"/>
          <w:color w:val="000000" w:themeColor="text1"/>
        </w:rPr>
        <w:footnoteReference w:id="7"/>
      </w:r>
      <w:r w:rsidRPr="005D3E18">
        <w:rPr>
          <w:rFonts w:ascii="Verdana" w:eastAsia="Calibri" w:hAnsi="Verdana" w:cs="Arial"/>
          <w:color w:val="000000" w:themeColor="text1"/>
          <w:lang w:val="es-ES"/>
        </w:rPr>
        <w:t xml:space="preserve">. Desde esta perspectiva, el plan anual de adquisiciones tampoco hace parte de este concepto, pues su expedición supone la decisión del órgano que lo expide. </w:t>
      </w:r>
    </w:p>
    <w:p w14:paraId="1C4BA4B4" w14:textId="77777777" w:rsidR="00747792" w:rsidRPr="005D3E18" w:rsidRDefault="00747792" w:rsidP="00747792">
      <w:pPr>
        <w:spacing w:after="120" w:line="276" w:lineRule="auto"/>
        <w:jc w:val="both"/>
        <w:rPr>
          <w:rFonts w:ascii="Verdana" w:eastAsia="Calibri" w:hAnsi="Verdana" w:cs="Arial"/>
          <w:color w:val="000000" w:themeColor="text1"/>
          <w:lang w:val="es-ES"/>
        </w:rPr>
      </w:pPr>
      <w:r w:rsidRPr="005D3E18">
        <w:rPr>
          <w:rFonts w:ascii="Verdana" w:eastAsia="Calibri" w:hAnsi="Verdana" w:cs="Arial"/>
          <w:color w:val="000000" w:themeColor="text1"/>
          <w:lang w:val="es-ES"/>
        </w:rPr>
        <w:tab/>
        <w:t xml:space="preserve">En tercer lugar, las </w:t>
      </w:r>
      <w:r w:rsidRPr="005D3E18">
        <w:rPr>
          <w:rFonts w:ascii="Verdana" w:eastAsia="Calibri" w:hAnsi="Verdana" w:cs="Arial"/>
          <w:i/>
          <w:iCs/>
          <w:color w:val="000000" w:themeColor="text1"/>
          <w:lang w:val="es-ES"/>
        </w:rPr>
        <w:t>omisiones</w:t>
      </w:r>
      <w:r w:rsidRPr="005D3E18">
        <w:rPr>
          <w:rFonts w:ascii="Verdana" w:eastAsia="Calibri" w:hAnsi="Verdana" w:cs="Arial"/>
          <w:color w:val="000000" w:themeColor="text1"/>
          <w:lang w:val="es-ES"/>
        </w:rPr>
        <w:t xml:space="preserve"> son abstenciones. Estas se dan cuando se presentan accidentes de tránsito producto de la ausencia en el mantenimiento de las vías. Conforme a esta idea, el plan anual tampoco surgiría por omisiones. Todo lo contrario, los efectos jurídicos requieren acciones de la entidad tendientes a su expedición.</w:t>
      </w:r>
    </w:p>
    <w:p w14:paraId="1CFA4C56" w14:textId="77777777" w:rsidR="00747792" w:rsidRPr="005D3E18" w:rsidRDefault="00747792" w:rsidP="00747792">
      <w:pPr>
        <w:spacing w:after="120" w:line="276" w:lineRule="auto"/>
        <w:jc w:val="both"/>
        <w:rPr>
          <w:rFonts w:ascii="Verdana" w:eastAsia="Calibri" w:hAnsi="Verdana" w:cs="Arial"/>
          <w:color w:val="000000" w:themeColor="text1"/>
          <w:lang w:val="es-ES"/>
        </w:rPr>
      </w:pPr>
      <w:r w:rsidRPr="005D3E18">
        <w:rPr>
          <w:rFonts w:ascii="Verdana" w:eastAsia="Calibri" w:hAnsi="Verdana" w:cs="Arial"/>
          <w:color w:val="000000" w:themeColor="text1"/>
          <w:lang w:val="es-ES"/>
        </w:rPr>
        <w:tab/>
        <w:t xml:space="preserve">En cuarto lugar, el </w:t>
      </w:r>
      <w:r w:rsidRPr="005D3E18">
        <w:rPr>
          <w:rFonts w:ascii="Verdana" w:eastAsia="Calibri" w:hAnsi="Verdana" w:cs="Arial"/>
          <w:i/>
          <w:iCs/>
          <w:color w:val="000000" w:themeColor="text1"/>
          <w:lang w:val="es-ES"/>
        </w:rPr>
        <w:t>contrato</w:t>
      </w:r>
      <w:r w:rsidRPr="005D3E18">
        <w:rPr>
          <w:rFonts w:ascii="Verdana" w:eastAsia="Calibri" w:hAnsi="Verdana" w:cs="Arial"/>
          <w:color w:val="000000" w:themeColor="text1"/>
          <w:lang w:val="es-ES"/>
        </w:rPr>
        <w:t xml:space="preserve"> es un acuerdo de voluntades para producir obligaciones. Como dispone el artículo 1495 del Código Civil, </w:t>
      </w:r>
      <w:r>
        <w:rPr>
          <w:rFonts w:ascii="Verdana" w:eastAsia="Calibri" w:hAnsi="Verdana" w:cs="Arial"/>
          <w:color w:val="000000" w:themeColor="text1"/>
          <w:lang w:val="es-ES"/>
        </w:rPr>
        <w:t>“</w:t>
      </w:r>
      <w:r w:rsidRPr="005D3E18">
        <w:rPr>
          <w:rFonts w:ascii="Verdana" w:eastAsia="Calibri" w:hAnsi="Verdana" w:cs="Arial"/>
          <w:color w:val="000000" w:themeColor="text1"/>
          <w:lang w:val="es-ES"/>
        </w:rPr>
        <w:t>[…] es un acto por el cual una parte se obliga para con otra a dar, hacer o no hacer alguna cosa […]</w:t>
      </w:r>
      <w:r>
        <w:rPr>
          <w:rFonts w:ascii="Verdana" w:eastAsia="Calibri" w:hAnsi="Verdana" w:cs="Arial"/>
          <w:color w:val="000000" w:themeColor="text1"/>
          <w:lang w:val="es-ES"/>
        </w:rPr>
        <w:t>”</w:t>
      </w:r>
      <w:r w:rsidRPr="005D3E18">
        <w:rPr>
          <w:rFonts w:ascii="Verdana" w:eastAsia="Calibri" w:hAnsi="Verdana" w:cs="Arial"/>
          <w:color w:val="000000" w:themeColor="text1"/>
          <w:lang w:val="es-ES"/>
        </w:rPr>
        <w:t xml:space="preserve">. Si bien es una manifestación de voluntad que crea derechos, el contrato estatal requiere el concurso de por lo menos dos (2) personas. De esta definición no se desprende que el plan anual de adquisiciones responda a esta naturaleza, máxime cuando basta la manifestación unilateral de la entidad para expedirlo. </w:t>
      </w:r>
    </w:p>
    <w:p w14:paraId="494F3989" w14:textId="77777777" w:rsidR="00747792" w:rsidRPr="005D3E18" w:rsidRDefault="00747792" w:rsidP="00601837">
      <w:pPr>
        <w:spacing w:after="0" w:line="276" w:lineRule="auto"/>
        <w:jc w:val="both"/>
        <w:rPr>
          <w:rFonts w:ascii="Verdana" w:eastAsia="Calibri" w:hAnsi="Verdana" w:cs="Arial"/>
          <w:color w:val="000000" w:themeColor="text1"/>
          <w:lang w:val="es-ES"/>
        </w:rPr>
      </w:pPr>
      <w:r w:rsidRPr="005D3E18">
        <w:rPr>
          <w:rFonts w:ascii="Verdana" w:eastAsia="Calibri" w:hAnsi="Verdana" w:cs="Arial"/>
          <w:color w:val="000000" w:themeColor="text1"/>
          <w:lang w:val="es-ES"/>
        </w:rPr>
        <w:tab/>
        <w:t xml:space="preserve">Finalmente, el plan anual de compras es un </w:t>
      </w:r>
      <w:r w:rsidRPr="005D3E18">
        <w:rPr>
          <w:rFonts w:ascii="Verdana" w:eastAsia="Calibri" w:hAnsi="Verdana" w:cs="Arial"/>
          <w:i/>
          <w:iCs/>
          <w:color w:val="000000" w:themeColor="text1"/>
          <w:lang w:val="es-ES"/>
        </w:rPr>
        <w:t>acto administrativo</w:t>
      </w:r>
      <w:r w:rsidRPr="005D3E18">
        <w:rPr>
          <w:rFonts w:ascii="Verdana" w:eastAsia="Calibri" w:hAnsi="Verdana" w:cs="Arial"/>
          <w:color w:val="000000" w:themeColor="text1"/>
          <w:lang w:val="es-ES"/>
        </w:rPr>
        <w:t xml:space="preserve">, esto es, una declaración unilateral de voluntad de un órgano del Estado que ejerce función administrativa, electoral o de control y que produce efectos jurídicos. En efecto, que sea una declaración de voluntad supone que este documento no es </w:t>
      </w:r>
      <w:r w:rsidRPr="005D3E18">
        <w:rPr>
          <w:rFonts w:ascii="Verdana" w:eastAsia="Calibri" w:hAnsi="Verdana" w:cs="Arial"/>
          <w:color w:val="000000" w:themeColor="text1"/>
          <w:lang w:val="es-ES"/>
        </w:rPr>
        <w:lastRenderedPageBreak/>
        <w:t xml:space="preserve">una operación, un hecho o una omisión, pues mientras la primera implica la realización de actividades materiales para el cumplimiento de una decisión previa, las restantes se relacionan con circunstancias fácticas, las cuales tienen origen en determinados sucesos físicos o en abstenciones de la Administración. Además, que sea una declaración unilateral explica por qué los actos administrativos se diferencian de los contratos, pues aquellos excluyen el concurso de voluntades; motivo por el cual no es necesario el consentimiento de los potenciales oferentes para su expedición. No en vano, la jurisprudencia explica que:  </w:t>
      </w:r>
    </w:p>
    <w:p w14:paraId="7F5F22BE" w14:textId="77777777" w:rsidR="00747792" w:rsidRPr="005D3E18" w:rsidRDefault="00747792" w:rsidP="00601837">
      <w:pPr>
        <w:spacing w:after="0" w:line="276" w:lineRule="auto"/>
        <w:jc w:val="both"/>
        <w:rPr>
          <w:rFonts w:ascii="Verdana" w:eastAsia="Calibri" w:hAnsi="Verdana" w:cs="Arial"/>
          <w:color w:val="000000" w:themeColor="text1"/>
          <w:lang w:val="es-ES"/>
        </w:rPr>
      </w:pPr>
    </w:p>
    <w:p w14:paraId="7FC4DB64" w14:textId="77777777" w:rsidR="00747792" w:rsidRPr="005D3E18" w:rsidRDefault="00747792" w:rsidP="00747792">
      <w:pPr>
        <w:spacing w:after="120" w:line="240" w:lineRule="auto"/>
        <w:ind w:left="709" w:right="709"/>
        <w:jc w:val="both"/>
        <w:rPr>
          <w:rFonts w:ascii="Verdana" w:eastAsia="Calibri" w:hAnsi="Verdana" w:cs="Arial"/>
          <w:color w:val="000000" w:themeColor="text1"/>
          <w:sz w:val="20"/>
          <w:szCs w:val="20"/>
          <w:lang w:val="es-ES"/>
        </w:rPr>
      </w:pPr>
      <w:r w:rsidRPr="005D3E18">
        <w:rPr>
          <w:rFonts w:ascii="Verdana" w:eastAsia="Calibri" w:hAnsi="Verdana" w:cs="Arial"/>
          <w:color w:val="000000" w:themeColor="text1"/>
          <w:sz w:val="20"/>
          <w:szCs w:val="20"/>
          <w:lang w:val="es-ES"/>
        </w:rPr>
        <w:t>“Por acto administrativo […] se entiende toda manifestación unilateral, por regla general de voluntad, de quienes ejercen funciones administrativas, tendiente a la producción de efectos jurídicos.</w:t>
      </w:r>
    </w:p>
    <w:p w14:paraId="3E217BA5" w14:textId="77777777" w:rsidR="00747792" w:rsidRPr="005D3E18" w:rsidRDefault="00747792" w:rsidP="00601837">
      <w:pPr>
        <w:spacing w:after="0" w:line="240" w:lineRule="auto"/>
        <w:ind w:left="709" w:right="709"/>
        <w:jc w:val="both"/>
        <w:rPr>
          <w:rFonts w:ascii="Verdana" w:eastAsia="Calibri" w:hAnsi="Verdana" w:cs="Arial"/>
          <w:color w:val="000000" w:themeColor="text1"/>
          <w:sz w:val="21"/>
          <w:szCs w:val="21"/>
          <w:lang w:val="es-ES"/>
        </w:rPr>
      </w:pPr>
      <w:r w:rsidRPr="005D3E18">
        <w:rPr>
          <w:rFonts w:ascii="Verdana" w:eastAsia="Calibri" w:hAnsi="Verdana" w:cs="Arial"/>
          <w:color w:val="000000" w:themeColor="text1"/>
          <w:sz w:val="20"/>
          <w:szCs w:val="20"/>
          <w:lang w:val="es-ES"/>
        </w:rPr>
        <w:t>De esta manera se dice que son 5 los elementos claves para llegar a la conclusión de que existe un acto administrativo: (i) la expresión o manifestación concreta de la administración; (</w:t>
      </w:r>
      <w:proofErr w:type="spellStart"/>
      <w:r w:rsidRPr="005D3E18">
        <w:rPr>
          <w:rFonts w:ascii="Verdana" w:eastAsia="Calibri" w:hAnsi="Verdana" w:cs="Arial"/>
          <w:color w:val="000000" w:themeColor="text1"/>
          <w:sz w:val="20"/>
          <w:szCs w:val="20"/>
          <w:lang w:val="es-ES"/>
        </w:rPr>
        <w:t>ii</w:t>
      </w:r>
      <w:proofErr w:type="spellEnd"/>
      <w:r w:rsidRPr="005D3E18">
        <w:rPr>
          <w:rFonts w:ascii="Verdana" w:eastAsia="Calibri" w:hAnsi="Verdana" w:cs="Arial"/>
          <w:color w:val="000000" w:themeColor="text1"/>
          <w:sz w:val="20"/>
          <w:szCs w:val="20"/>
          <w:lang w:val="es-ES"/>
        </w:rPr>
        <w:t>) la expresión unilateral del querer de la administración; (</w:t>
      </w:r>
      <w:proofErr w:type="spellStart"/>
      <w:r w:rsidRPr="005D3E18">
        <w:rPr>
          <w:rFonts w:ascii="Verdana" w:eastAsia="Calibri" w:hAnsi="Verdana" w:cs="Arial"/>
          <w:color w:val="000000" w:themeColor="text1"/>
          <w:sz w:val="20"/>
          <w:szCs w:val="20"/>
          <w:lang w:val="es-ES"/>
        </w:rPr>
        <w:t>iii</w:t>
      </w:r>
      <w:proofErr w:type="spellEnd"/>
      <w:r w:rsidRPr="005D3E18">
        <w:rPr>
          <w:rFonts w:ascii="Verdana" w:eastAsia="Calibri" w:hAnsi="Verdana" w:cs="Arial"/>
          <w:color w:val="000000" w:themeColor="text1"/>
          <w:sz w:val="20"/>
          <w:szCs w:val="20"/>
          <w:lang w:val="es-ES"/>
        </w:rPr>
        <w:t>) el ejercicio de la función administrativa mediante la declaración de la voluntad de la administración; (</w:t>
      </w:r>
      <w:proofErr w:type="spellStart"/>
      <w:r w:rsidRPr="005D3E18">
        <w:rPr>
          <w:rFonts w:ascii="Verdana" w:eastAsia="Calibri" w:hAnsi="Verdana" w:cs="Arial"/>
          <w:color w:val="000000" w:themeColor="text1"/>
          <w:sz w:val="20"/>
          <w:szCs w:val="20"/>
          <w:lang w:val="es-ES"/>
        </w:rPr>
        <w:t>iv</w:t>
      </w:r>
      <w:proofErr w:type="spellEnd"/>
      <w:r w:rsidRPr="005D3E18">
        <w:rPr>
          <w:rFonts w:ascii="Verdana" w:eastAsia="Calibri" w:hAnsi="Verdana" w:cs="Arial"/>
          <w:color w:val="000000" w:themeColor="text1"/>
          <w:sz w:val="20"/>
          <w:szCs w:val="20"/>
          <w:lang w:val="es-ES"/>
        </w:rPr>
        <w:t>) que su contenido material equivalga al ejercicio de una función administrativa así provenga de cualquiera de los órganos del poder público o de particulares; (v) que posea la fuerza suficiente para decidir y crear situaciones jurídicas a partir de su contenido, de manera que esta se configura como la característica reveladora o de mayor importancia”</w:t>
      </w:r>
      <w:r w:rsidRPr="005D3E18">
        <w:rPr>
          <w:rStyle w:val="Refdenotaalpie"/>
          <w:rFonts w:ascii="Verdana" w:eastAsia="Calibri" w:hAnsi="Verdana" w:cs="Arial"/>
          <w:color w:val="000000" w:themeColor="text1"/>
          <w:sz w:val="20"/>
          <w:szCs w:val="20"/>
        </w:rPr>
        <w:footnoteReference w:id="8"/>
      </w:r>
      <w:r w:rsidRPr="005D3E18">
        <w:rPr>
          <w:rFonts w:ascii="Verdana" w:eastAsia="Calibri" w:hAnsi="Verdana" w:cs="Arial"/>
          <w:color w:val="000000" w:themeColor="text1"/>
          <w:sz w:val="20"/>
          <w:szCs w:val="20"/>
          <w:lang w:val="es-ES"/>
        </w:rPr>
        <w:t>.</w:t>
      </w:r>
    </w:p>
    <w:p w14:paraId="25914D92" w14:textId="77777777" w:rsidR="00747792" w:rsidRPr="005D3E18" w:rsidRDefault="00747792" w:rsidP="00601837">
      <w:pPr>
        <w:spacing w:after="0" w:line="276" w:lineRule="auto"/>
        <w:jc w:val="both"/>
        <w:rPr>
          <w:rFonts w:ascii="Verdana" w:eastAsia="Calibri" w:hAnsi="Verdana" w:cs="Arial"/>
          <w:color w:val="000000" w:themeColor="text1"/>
          <w:lang w:val="es-ES"/>
        </w:rPr>
      </w:pPr>
    </w:p>
    <w:p w14:paraId="5259B1B4" w14:textId="77777777" w:rsidR="00747792" w:rsidRPr="005D3E18" w:rsidRDefault="00747792" w:rsidP="00747792">
      <w:pPr>
        <w:spacing w:after="120" w:line="276" w:lineRule="auto"/>
        <w:ind w:firstLine="708"/>
        <w:jc w:val="both"/>
        <w:rPr>
          <w:rFonts w:ascii="Verdana" w:eastAsia="Calibri" w:hAnsi="Verdana" w:cs="Arial"/>
          <w:color w:val="000000" w:themeColor="text1"/>
          <w:lang w:val="es-ES"/>
        </w:rPr>
      </w:pPr>
      <w:r w:rsidRPr="005D3E18">
        <w:rPr>
          <w:rFonts w:ascii="Verdana" w:eastAsia="Calibri" w:hAnsi="Verdana" w:cs="Arial"/>
          <w:color w:val="000000" w:themeColor="text1"/>
          <w:lang w:val="es-ES"/>
        </w:rPr>
        <w:t xml:space="preserve">En esta medida, el plan anual de adquisiciones cumple con los elementos de los actos administrativos. Por un lado, se trata de una </w:t>
      </w:r>
      <w:r w:rsidRPr="005D3E18">
        <w:rPr>
          <w:rFonts w:ascii="Verdana" w:eastAsia="Calibri" w:hAnsi="Verdana" w:cs="Arial"/>
          <w:i/>
          <w:iCs/>
          <w:color w:val="000000" w:themeColor="text1"/>
          <w:lang w:val="es-ES"/>
        </w:rPr>
        <w:t>manifestación de voluntad</w:t>
      </w:r>
      <w:r w:rsidRPr="005D3E18">
        <w:rPr>
          <w:rFonts w:ascii="Verdana" w:eastAsia="Calibri" w:hAnsi="Verdana" w:cs="Arial"/>
          <w:color w:val="000000" w:themeColor="text1"/>
          <w:lang w:val="es-ES"/>
        </w:rPr>
        <w:t>, es decir, mediante dicho documento se toma una decisión. En efecto, a diferencia de los conceptos o los exhortos, a través del plan anual de adquisiciones, la entidad define las posibles inversiones que se realizarán durante la vigencia fiscal</w:t>
      </w:r>
      <w:r w:rsidRPr="005D3E18">
        <w:rPr>
          <w:rStyle w:val="Refdenotaalpie"/>
          <w:rFonts w:ascii="Verdana" w:eastAsia="Calibri" w:hAnsi="Verdana" w:cs="Arial"/>
          <w:color w:val="000000" w:themeColor="text1"/>
        </w:rPr>
        <w:footnoteReference w:id="9"/>
      </w:r>
      <w:r w:rsidRPr="005D3E18">
        <w:rPr>
          <w:rFonts w:ascii="Verdana" w:eastAsia="Calibri" w:hAnsi="Verdana" w:cs="Arial"/>
          <w:color w:val="000000" w:themeColor="text1"/>
          <w:lang w:val="es-ES"/>
        </w:rPr>
        <w:t>.</w:t>
      </w:r>
    </w:p>
    <w:p w14:paraId="56033429" w14:textId="77777777" w:rsidR="00747792" w:rsidRPr="005D3E18" w:rsidRDefault="00747792" w:rsidP="00747792">
      <w:pPr>
        <w:spacing w:after="120" w:line="276" w:lineRule="auto"/>
        <w:ind w:firstLine="708"/>
        <w:jc w:val="both"/>
        <w:rPr>
          <w:rFonts w:ascii="Verdana" w:eastAsia="Calibri" w:hAnsi="Verdana" w:cs="Arial"/>
          <w:color w:val="000000" w:themeColor="text1"/>
          <w:lang w:val="es-ES"/>
        </w:rPr>
      </w:pPr>
      <w:r w:rsidRPr="005D3E18">
        <w:rPr>
          <w:rFonts w:ascii="Verdana" w:eastAsia="Calibri" w:hAnsi="Verdana" w:cs="Arial"/>
          <w:color w:val="000000" w:themeColor="text1"/>
          <w:lang w:val="es-ES"/>
        </w:rPr>
        <w:t xml:space="preserve">A diferencia de los contratos estatales, la entidad no requiere del consentimiento previo de los potenciales proveedores del Estado para la aprobación del plan anual, idea que fundamenta el cumplimiento de elemento característico de la definición de acto administrativo. </w:t>
      </w:r>
    </w:p>
    <w:p w14:paraId="53F4E6B4" w14:textId="77777777" w:rsidR="00747792" w:rsidRPr="005D3E18" w:rsidRDefault="00747792" w:rsidP="00747792">
      <w:pPr>
        <w:spacing w:after="120" w:line="276" w:lineRule="auto"/>
        <w:jc w:val="both"/>
        <w:rPr>
          <w:rFonts w:ascii="Verdana" w:eastAsia="Calibri" w:hAnsi="Verdana" w:cs="Arial"/>
          <w:color w:val="000000" w:themeColor="text1"/>
          <w:lang w:val="es-ES"/>
        </w:rPr>
      </w:pPr>
      <w:r w:rsidRPr="005D3E18">
        <w:rPr>
          <w:rFonts w:ascii="Verdana" w:eastAsia="Calibri" w:hAnsi="Verdana" w:cs="Arial"/>
          <w:color w:val="000000" w:themeColor="text1"/>
          <w:lang w:val="es-ES"/>
        </w:rPr>
        <w:tab/>
        <w:t xml:space="preserve">Además, esta decisión depende de un </w:t>
      </w:r>
      <w:r w:rsidRPr="005D3E18">
        <w:rPr>
          <w:rFonts w:ascii="Verdana" w:eastAsia="Calibri" w:hAnsi="Verdana" w:cs="Arial"/>
          <w:i/>
          <w:iCs/>
          <w:color w:val="000000" w:themeColor="text1"/>
          <w:lang w:val="es-ES"/>
        </w:rPr>
        <w:t>órgano estatal en cumplimiento de la función administrativa</w:t>
      </w:r>
      <w:r w:rsidRPr="005D3E18">
        <w:rPr>
          <w:rFonts w:ascii="Verdana" w:eastAsia="Calibri" w:hAnsi="Verdana" w:cs="Arial"/>
          <w:color w:val="000000" w:themeColor="text1"/>
          <w:lang w:val="es-ES"/>
        </w:rPr>
        <w:t xml:space="preserve">. Naturalmente, la adopción del plan anual de </w:t>
      </w:r>
      <w:r w:rsidRPr="005D3E18">
        <w:rPr>
          <w:rFonts w:ascii="Verdana" w:eastAsia="Calibri" w:hAnsi="Verdana" w:cs="Arial"/>
          <w:color w:val="000000" w:themeColor="text1"/>
          <w:lang w:val="es-ES"/>
        </w:rPr>
        <w:lastRenderedPageBreak/>
        <w:t xml:space="preserve">adquisiciones corresponde a cada una de las </w:t>
      </w:r>
      <w:proofErr w:type="gramStart"/>
      <w:r w:rsidRPr="005D3E18">
        <w:rPr>
          <w:rFonts w:ascii="Verdana" w:eastAsia="Calibri" w:hAnsi="Verdana" w:cs="Arial"/>
          <w:color w:val="000000" w:themeColor="text1"/>
          <w:lang w:val="es-ES"/>
        </w:rPr>
        <w:t>autoridades públicas</w:t>
      </w:r>
      <w:proofErr w:type="gramEnd"/>
      <w:r w:rsidRPr="005D3E18">
        <w:rPr>
          <w:rFonts w:ascii="Verdana" w:eastAsia="Calibri" w:hAnsi="Verdana" w:cs="Arial"/>
          <w:color w:val="000000" w:themeColor="text1"/>
          <w:lang w:val="es-ES"/>
        </w:rPr>
        <w:t>, independiente del régimen jurídico aplicable, incluidos los particulares autorizados para el cumplimiento de funciones públicas conforme a los artículos 110 y siguientes de la Ley 489 de 1998. Aunque algunos desarrollan funciones de otra naturaleza –por ejemplo, legislativa, judicial, electoral, de control, etc.–, este documento se expide como insumo para el desarrollo de la actividad contractual, manifestación de la función administrativa en la que se procura la adquisición de obras, bienes y servicios necesarios para la continua y eficiente prestación de los servicios públicos</w:t>
      </w:r>
      <w:r w:rsidRPr="005D3E18">
        <w:rPr>
          <w:rStyle w:val="Refdenotaalpie"/>
          <w:rFonts w:ascii="Verdana" w:eastAsia="Calibri" w:hAnsi="Verdana" w:cs="Arial"/>
          <w:color w:val="000000" w:themeColor="text1"/>
        </w:rPr>
        <w:footnoteReference w:id="10"/>
      </w:r>
      <w:r w:rsidRPr="005D3E18">
        <w:rPr>
          <w:rFonts w:ascii="Verdana" w:eastAsia="Calibri" w:hAnsi="Verdana" w:cs="Arial"/>
          <w:color w:val="000000" w:themeColor="text1"/>
          <w:lang w:val="es-ES"/>
        </w:rPr>
        <w:t xml:space="preserve">. </w:t>
      </w:r>
    </w:p>
    <w:p w14:paraId="7543711D" w14:textId="77777777" w:rsidR="00747792" w:rsidRPr="005D3E18" w:rsidRDefault="00747792" w:rsidP="00747792">
      <w:pPr>
        <w:spacing w:after="120" w:line="276" w:lineRule="auto"/>
        <w:jc w:val="both"/>
        <w:rPr>
          <w:rFonts w:ascii="Verdana" w:eastAsia="Calibri" w:hAnsi="Verdana" w:cs="Arial"/>
          <w:color w:val="000000" w:themeColor="text1"/>
          <w:lang w:val="es-ES"/>
        </w:rPr>
      </w:pPr>
      <w:r w:rsidRPr="005D3E18">
        <w:rPr>
          <w:rFonts w:ascii="Verdana" w:eastAsia="Calibri" w:hAnsi="Verdana" w:cs="Arial"/>
          <w:color w:val="000000" w:themeColor="text1"/>
          <w:lang w:val="es-ES"/>
        </w:rPr>
        <w:tab/>
        <w:t xml:space="preserve">Por último, el plan anual de adquisiciones implica una </w:t>
      </w:r>
      <w:r w:rsidRPr="005D3E18">
        <w:rPr>
          <w:rFonts w:ascii="Verdana" w:eastAsia="Calibri" w:hAnsi="Verdana" w:cs="Arial"/>
          <w:i/>
          <w:iCs/>
          <w:color w:val="000000" w:themeColor="text1"/>
          <w:lang w:val="es-ES"/>
        </w:rPr>
        <w:t>decisión que produce efectos jurídicos</w:t>
      </w:r>
      <w:r w:rsidRPr="005D3E18">
        <w:rPr>
          <w:rFonts w:ascii="Verdana" w:eastAsia="Calibri" w:hAnsi="Verdana" w:cs="Arial"/>
          <w:color w:val="000000" w:themeColor="text1"/>
          <w:lang w:val="es-ES"/>
        </w:rPr>
        <w:t>, creando, modificando o extinguiendo situaciones jurídicas</w:t>
      </w:r>
      <w:r w:rsidRPr="005D3E18">
        <w:rPr>
          <w:rStyle w:val="Refdenotaalpie"/>
          <w:rFonts w:ascii="Verdana" w:eastAsia="Calibri" w:hAnsi="Verdana" w:cs="Arial"/>
          <w:color w:val="000000" w:themeColor="text1"/>
        </w:rPr>
        <w:footnoteReference w:id="11"/>
      </w:r>
      <w:r w:rsidRPr="005D3E18">
        <w:rPr>
          <w:rFonts w:ascii="Verdana" w:eastAsia="Calibri" w:hAnsi="Verdana" w:cs="Arial"/>
          <w:color w:val="000000" w:themeColor="text1"/>
          <w:lang w:val="es-ES"/>
        </w:rPr>
        <w:t>. Su expedición no sólo implica el cumplimiento de un deber legal, sino que también estima el posible objeto y valor de los futuros contratos. Aunque la identidad no es necesaria, es un documento programático que permite identificar y justificar el valor total de recursos requeridos, y se convierte en un referente inicial para la ejecución del presupuesto y pronostica la demanda de bienes y servicios durante la vigencia fiscal. En este contexto, se trata de un instrumento de planeación por el que se informa a los potenciales proveedores una estimación de las obras, bienes y servicios requeridos por una entidad.</w:t>
      </w:r>
    </w:p>
    <w:p w14:paraId="37574AB0" w14:textId="77777777" w:rsidR="00747792" w:rsidRPr="005D3E18" w:rsidRDefault="00747792" w:rsidP="00601837">
      <w:pPr>
        <w:spacing w:after="0" w:line="276" w:lineRule="auto"/>
        <w:jc w:val="both"/>
        <w:rPr>
          <w:rFonts w:ascii="Verdana" w:eastAsia="Calibri" w:hAnsi="Verdana" w:cs="Arial"/>
          <w:color w:val="000000" w:themeColor="text1"/>
          <w:lang w:val="es-ES"/>
        </w:rPr>
      </w:pPr>
      <w:r w:rsidRPr="005D3E18">
        <w:rPr>
          <w:rFonts w:ascii="Verdana" w:eastAsia="Calibri" w:hAnsi="Verdana" w:cs="Arial"/>
          <w:color w:val="000000" w:themeColor="text1"/>
          <w:lang w:val="es-ES"/>
        </w:rPr>
        <w:tab/>
        <w:t>Analizados estos elementos, el plan anual de adquisiciones se expide mediante un acto administrativo, con independencia de que adopte el nombre de decreto, resolución, acuerdo, o ninguno de ellos, pues lo determinante es el cumplimiento los requisitos que determinan su naturaleza; razón por la cual, una vez concurren sus elementos de existencia, la validez depende de la competencia de funcionario, la ausencia de desviación de poder, el acatamiento del debido proceso, la licitud del objeto, entre otras. Por el mismo motivo, tampoco importa que plan anual de adquisiciones se expida y se publique por medios físicos o electrónicos, especialmente, cuando el artículo 3 de la Ley 1150 de 2007 permite que se utilicen estos últimos</w:t>
      </w:r>
      <w:r w:rsidRPr="005D3E18">
        <w:rPr>
          <w:rStyle w:val="Refdenotaalpie"/>
          <w:rFonts w:ascii="Verdana" w:eastAsia="Calibri" w:hAnsi="Verdana" w:cs="Arial"/>
          <w:color w:val="000000" w:themeColor="text1"/>
        </w:rPr>
        <w:footnoteReference w:id="12"/>
      </w:r>
      <w:r w:rsidRPr="005D3E18">
        <w:rPr>
          <w:rFonts w:ascii="Verdana" w:eastAsia="Calibri" w:hAnsi="Verdana" w:cs="Arial"/>
          <w:color w:val="000000" w:themeColor="text1"/>
          <w:lang w:val="es-ES"/>
        </w:rPr>
        <w:t xml:space="preserve">. Sin embargo, también es </w:t>
      </w:r>
      <w:r w:rsidRPr="005D3E18">
        <w:rPr>
          <w:rFonts w:ascii="Verdana" w:eastAsia="Calibri" w:hAnsi="Verdana" w:cs="Arial"/>
          <w:color w:val="000000" w:themeColor="text1"/>
          <w:lang w:val="es-ES"/>
        </w:rPr>
        <w:lastRenderedPageBreak/>
        <w:t>necesario precisar si el plan anual de adquisiciones es un acto administrativo de trámite o definitivo, por un lado, y si es general o particular, por otro. Para estos efectos, la jurisprudencia explica el sentido de estas características de la siguiente manera:</w:t>
      </w:r>
    </w:p>
    <w:p w14:paraId="2AD92405" w14:textId="77777777" w:rsidR="00747792" w:rsidRPr="005D3E18" w:rsidRDefault="00747792" w:rsidP="00601837">
      <w:pPr>
        <w:spacing w:after="0" w:line="276" w:lineRule="auto"/>
        <w:jc w:val="both"/>
        <w:rPr>
          <w:rFonts w:ascii="Verdana" w:eastAsia="Calibri" w:hAnsi="Verdana" w:cs="Arial"/>
          <w:color w:val="000000" w:themeColor="text1"/>
          <w:lang w:val="es-ES"/>
        </w:rPr>
      </w:pPr>
    </w:p>
    <w:p w14:paraId="6747A4BD" w14:textId="77777777" w:rsidR="00747792" w:rsidRPr="005D3E18" w:rsidRDefault="00747792" w:rsidP="00747792">
      <w:pPr>
        <w:spacing w:after="120"/>
        <w:ind w:left="709" w:right="709"/>
        <w:jc w:val="both"/>
        <w:rPr>
          <w:rFonts w:ascii="Verdana" w:eastAsia="Calibri" w:hAnsi="Verdana" w:cs="Arial"/>
          <w:color w:val="000000" w:themeColor="text1"/>
          <w:sz w:val="20"/>
          <w:szCs w:val="20"/>
          <w:lang w:val="es-ES"/>
        </w:rPr>
      </w:pPr>
      <w:r w:rsidRPr="005D3E18">
        <w:rPr>
          <w:rFonts w:ascii="Verdana" w:eastAsia="Calibri" w:hAnsi="Verdana" w:cs="Arial"/>
          <w:color w:val="000000" w:themeColor="text1"/>
          <w:sz w:val="20"/>
          <w:szCs w:val="20"/>
          <w:lang w:val="es-ES"/>
        </w:rPr>
        <w:t>“[…] los actos administrativos de trámite son aquellos que tienen por objeto impulsar las actuaciones administrativas, haciendo referencia primordialmente al procedimiento administrativo requerido para adoptar la decisión correspondiente, mientras que los actos definitivos, como su nombre lo indica, ponen fin a la actuación administrativa, decidiendo directamente o indirectamente el fondo del asunto sometido a consideración de la administración, una vez se ha adelantado el trámite administrativo que corresponda.</w:t>
      </w:r>
    </w:p>
    <w:p w14:paraId="4287C718" w14:textId="77777777" w:rsidR="00747792" w:rsidRPr="005D3E18" w:rsidRDefault="00747792" w:rsidP="00601837">
      <w:pPr>
        <w:spacing w:after="0"/>
        <w:ind w:left="709" w:right="709"/>
        <w:jc w:val="both"/>
        <w:rPr>
          <w:rFonts w:ascii="Verdana" w:eastAsia="Calibri" w:hAnsi="Verdana" w:cs="Arial"/>
          <w:color w:val="000000" w:themeColor="text1"/>
          <w:sz w:val="21"/>
          <w:szCs w:val="21"/>
          <w:lang w:val="es-ES"/>
        </w:rPr>
      </w:pPr>
      <w:r w:rsidRPr="005D3E18">
        <w:rPr>
          <w:rFonts w:ascii="Verdana" w:eastAsia="Calibri" w:hAnsi="Verdana" w:cs="Arial"/>
          <w:color w:val="000000" w:themeColor="text1"/>
          <w:sz w:val="20"/>
          <w:szCs w:val="20"/>
          <w:lang w:val="es-ES"/>
        </w:rPr>
        <w:t xml:space="preserve">En razón al destinatario, el acto administrativo de carácter general es aquel proferido para satisfacer el interés general, acorde con las circunstancias imperantes al momento de materializar el ejercicio de la función administrativa. […] </w:t>
      </w:r>
      <w:r w:rsidRPr="005D3E18">
        <w:rPr>
          <w:rFonts w:ascii="Verdana" w:eastAsia="Calibri" w:hAnsi="Verdana" w:cs="Arial"/>
          <w:i/>
          <w:iCs/>
          <w:color w:val="000000" w:themeColor="text1"/>
          <w:sz w:val="20"/>
          <w:szCs w:val="20"/>
          <w:lang w:val="es-ES"/>
        </w:rPr>
        <w:t>A contrario sensu</w:t>
      </w:r>
      <w:r w:rsidRPr="005D3E18">
        <w:rPr>
          <w:rFonts w:ascii="Verdana" w:eastAsia="Calibri" w:hAnsi="Verdana" w:cs="Arial"/>
          <w:color w:val="000000" w:themeColor="text1"/>
          <w:sz w:val="20"/>
          <w:szCs w:val="20"/>
          <w:lang w:val="es-ES"/>
        </w:rPr>
        <w:t>, los actos de carácter particular son aquellos que resuelven una situación específica ante la administración, en interés de una persona o grupo de personas individualmente consideradas, verbigracia, una solicitud concreta, formulada en ejercicio del derecho de petición”</w:t>
      </w:r>
      <w:r w:rsidRPr="005D3E18">
        <w:rPr>
          <w:rStyle w:val="Refdenotaalpie"/>
          <w:rFonts w:ascii="Verdana" w:eastAsia="Calibri" w:hAnsi="Verdana" w:cs="Arial"/>
          <w:color w:val="000000" w:themeColor="text1"/>
          <w:sz w:val="20"/>
          <w:szCs w:val="20"/>
        </w:rPr>
        <w:footnoteReference w:id="13"/>
      </w:r>
      <w:r w:rsidRPr="005D3E18">
        <w:rPr>
          <w:rFonts w:ascii="Verdana" w:eastAsia="Calibri" w:hAnsi="Verdana" w:cs="Arial"/>
          <w:color w:val="000000" w:themeColor="text1"/>
          <w:sz w:val="20"/>
          <w:szCs w:val="20"/>
          <w:lang w:val="es-ES"/>
        </w:rPr>
        <w:t>.</w:t>
      </w:r>
    </w:p>
    <w:p w14:paraId="6DEDB4CA" w14:textId="77777777" w:rsidR="00747792" w:rsidRPr="005D3E18" w:rsidRDefault="00747792" w:rsidP="00601837">
      <w:pPr>
        <w:spacing w:after="0" w:line="276" w:lineRule="auto"/>
        <w:jc w:val="both"/>
        <w:rPr>
          <w:rFonts w:ascii="Verdana" w:eastAsia="Calibri" w:hAnsi="Verdana" w:cs="Arial"/>
          <w:color w:val="000000" w:themeColor="text1"/>
          <w:lang w:val="es-ES"/>
        </w:rPr>
      </w:pPr>
    </w:p>
    <w:p w14:paraId="533D97C0" w14:textId="77777777" w:rsidR="00747792" w:rsidRPr="005D3E18" w:rsidRDefault="00747792" w:rsidP="00747792">
      <w:pPr>
        <w:spacing w:after="120" w:line="276" w:lineRule="auto"/>
        <w:ind w:firstLine="708"/>
        <w:jc w:val="both"/>
        <w:rPr>
          <w:rFonts w:ascii="Verdana" w:eastAsia="Calibri" w:hAnsi="Verdana" w:cs="Arial"/>
          <w:color w:val="000000" w:themeColor="text1"/>
          <w:lang w:val="es-ES"/>
        </w:rPr>
      </w:pPr>
      <w:r w:rsidRPr="005D3E18">
        <w:rPr>
          <w:rFonts w:ascii="Verdana" w:eastAsia="Calibri" w:hAnsi="Verdana" w:cs="Arial"/>
          <w:color w:val="000000" w:themeColor="text1"/>
          <w:lang w:val="es-ES"/>
        </w:rPr>
        <w:t>Con fundamento en las anteriores definiciones, algunos podrían considerar que el plan anual es un acto administrativo de trámite en la medida en que la ejecución del objeto supone la celebración del contrato. No obstante, la Subdirección no comparte esta idea, porque el documento es un instrumento de planeación con un valor jurídico propio, al margen de los procesos de selección. En efecto, salvo la mínima cuantía, inician con la publicación conjunta del aviso de convocatoria, el proyecto de pliego, el estudio del sector y los estudios previos. Aunque la entidad no está obligada a expedir el acto de apertura, pese a publicar el proyecto de pliegos de condiciones definitivos</w:t>
      </w:r>
      <w:r w:rsidRPr="005D3E18">
        <w:rPr>
          <w:rStyle w:val="Refdenotaalpie"/>
          <w:rFonts w:ascii="Verdana" w:eastAsia="Calibri" w:hAnsi="Verdana" w:cs="Arial"/>
          <w:color w:val="000000" w:themeColor="text1"/>
        </w:rPr>
        <w:footnoteReference w:id="14"/>
      </w:r>
      <w:r w:rsidRPr="005D3E18">
        <w:rPr>
          <w:rFonts w:ascii="Verdana" w:eastAsia="Calibri" w:hAnsi="Verdana" w:cs="Arial"/>
          <w:color w:val="000000" w:themeColor="text1"/>
          <w:lang w:val="es-ES"/>
        </w:rPr>
        <w:t xml:space="preserve">, se observa que el plan anual –si bien guarda relación con los futuros contratos– es </w:t>
      </w:r>
      <w:r w:rsidRPr="005D3E18">
        <w:rPr>
          <w:rFonts w:ascii="Verdana" w:eastAsia="Calibri" w:hAnsi="Verdana" w:cs="Arial"/>
          <w:color w:val="000000" w:themeColor="text1"/>
          <w:lang w:val="es-ES"/>
        </w:rPr>
        <w:lastRenderedPageBreak/>
        <w:t xml:space="preserve">un acto jurídico independiente, máxime cuando el antecitado artículo 2.2.1.1.1.4.4 del Decreto 1082 de 2015 permite su actualización. En esta medida, pese a que es un documento programático, tiene carácter definitivo por tratarse de una actuación administrativa independiente de los procesos de selección que se fundamenten en él. </w:t>
      </w:r>
    </w:p>
    <w:p w14:paraId="36BE793F" w14:textId="384B52DC" w:rsidR="00195381" w:rsidRDefault="00747792" w:rsidP="000C2490">
      <w:pPr>
        <w:spacing w:after="0" w:line="276" w:lineRule="auto"/>
        <w:ind w:firstLine="708"/>
        <w:jc w:val="both"/>
        <w:rPr>
          <w:rFonts w:ascii="Verdana" w:hAnsi="Verdana"/>
        </w:rPr>
      </w:pPr>
      <w:r w:rsidRPr="005D3E18">
        <w:rPr>
          <w:rFonts w:ascii="Verdana" w:eastAsia="Calibri" w:hAnsi="Verdana" w:cs="Arial"/>
          <w:color w:val="000000" w:themeColor="text1"/>
        </w:rPr>
        <w:t>Por otra parte, este acto contiene decisiones impersonales para quienes aspiren a contratar, por lo que se trata de un acto general. El carácter general o particular de un acto administrativo no depende del objeto sino de la indeterminación de los destinatarios</w:t>
      </w:r>
      <w:r w:rsidRPr="005D3E18">
        <w:rPr>
          <w:rFonts w:ascii="Verdana" w:eastAsia="Calibri" w:hAnsi="Verdana" w:cs="Arial"/>
        </w:rPr>
        <w:t>.</w:t>
      </w:r>
    </w:p>
    <w:p w14:paraId="55B0D8FC" w14:textId="77777777" w:rsidR="000C2490" w:rsidRPr="00601837" w:rsidRDefault="000C2490" w:rsidP="00601837">
      <w:pPr>
        <w:spacing w:after="0" w:line="276" w:lineRule="auto"/>
        <w:ind w:firstLine="708"/>
        <w:jc w:val="both"/>
        <w:rPr>
          <w:rFonts w:ascii="Verdana" w:hAnsi="Verdana"/>
        </w:rPr>
      </w:pPr>
    </w:p>
    <w:p w14:paraId="117D7A4A" w14:textId="379575BF" w:rsidR="00AA30FB" w:rsidRPr="00601837" w:rsidRDefault="00195381" w:rsidP="00601837">
      <w:pPr>
        <w:spacing w:line="276" w:lineRule="auto"/>
        <w:jc w:val="both"/>
        <w:rPr>
          <w:rFonts w:ascii="Verdana" w:eastAsia="Calibri" w:hAnsi="Verdana" w:cs="Arial"/>
          <w:bCs/>
          <w:lang w:val="es-ES"/>
        </w:rPr>
      </w:pPr>
      <w:proofErr w:type="spellStart"/>
      <w:r>
        <w:rPr>
          <w:rFonts w:ascii="Verdana" w:eastAsia="Calibri" w:hAnsi="Verdana" w:cs="Arial"/>
          <w:bCs/>
          <w:lang w:val="es-ES"/>
        </w:rPr>
        <w:t>iii</w:t>
      </w:r>
      <w:proofErr w:type="spellEnd"/>
      <w:r>
        <w:rPr>
          <w:rFonts w:ascii="Verdana" w:eastAsia="Calibri" w:hAnsi="Verdana" w:cs="Arial"/>
          <w:bCs/>
          <w:lang w:val="es-ES"/>
        </w:rPr>
        <w:t xml:space="preserve">. </w:t>
      </w:r>
      <w:r w:rsidR="00AA30FB" w:rsidRPr="009512CD">
        <w:rPr>
          <w:rFonts w:ascii="Verdana" w:eastAsia="Calibri" w:hAnsi="Verdana" w:cs="Arial"/>
          <w:bCs/>
          <w:lang w:val="es-ES"/>
        </w:rPr>
        <w:t>Ahora bien, p</w:t>
      </w:r>
      <w:r w:rsidR="00AA30FB" w:rsidRPr="009512CD">
        <w:rPr>
          <w:rFonts w:ascii="Verdana" w:eastAsia="Calibri" w:hAnsi="Verdana" w:cs="Arial"/>
          <w:lang w:val="es-ES"/>
        </w:rPr>
        <w:t>recisar el grado de vinculatoriedad del plan anual de adquisiciones supone el análisis de lo dispuesto en los artículos 2.2.1.1.1.4.1</w:t>
      </w:r>
      <w:r w:rsidR="00AA30FB" w:rsidRPr="009512CD">
        <w:rPr>
          <w:rStyle w:val="Refdenotaalpie"/>
          <w:rFonts w:ascii="Verdana" w:eastAsia="Calibri" w:hAnsi="Verdana" w:cs="Arial"/>
          <w:lang w:val="es-ES"/>
        </w:rPr>
        <w:footnoteReference w:id="15"/>
      </w:r>
      <w:r w:rsidR="00AA30FB" w:rsidRPr="009512CD">
        <w:rPr>
          <w:rFonts w:ascii="Verdana" w:eastAsia="Calibri" w:hAnsi="Verdana" w:cs="Arial"/>
          <w:lang w:val="es-ES"/>
        </w:rPr>
        <w:t>, 2.2.1.1.1.4.3</w:t>
      </w:r>
      <w:r w:rsidR="00AA30FB" w:rsidRPr="009512CD">
        <w:rPr>
          <w:rStyle w:val="Refdenotaalpie"/>
          <w:rFonts w:ascii="Verdana" w:eastAsia="Calibri" w:hAnsi="Verdana" w:cs="Arial"/>
        </w:rPr>
        <w:footnoteReference w:id="16"/>
      </w:r>
      <w:r w:rsidR="00AA30FB" w:rsidRPr="009512CD">
        <w:rPr>
          <w:rFonts w:ascii="Verdana" w:eastAsia="Calibri" w:hAnsi="Verdana" w:cs="Arial"/>
          <w:lang w:val="es-ES"/>
        </w:rPr>
        <w:t xml:space="preserve"> y 2.2.1.1.1.4.4</w:t>
      </w:r>
      <w:r w:rsidR="00AA30FB" w:rsidRPr="009512CD">
        <w:rPr>
          <w:rStyle w:val="Refdenotaalpie"/>
          <w:rFonts w:ascii="Verdana" w:eastAsia="Calibri" w:hAnsi="Verdana" w:cs="Arial"/>
        </w:rPr>
        <w:footnoteReference w:id="17"/>
      </w:r>
      <w:r w:rsidR="00AA30FB" w:rsidRPr="009512CD">
        <w:rPr>
          <w:rFonts w:ascii="Verdana" w:eastAsia="Calibri" w:hAnsi="Verdana" w:cs="Arial"/>
          <w:lang w:val="es-ES"/>
        </w:rPr>
        <w:t xml:space="preserve"> del Decreto 1082 de 2015. </w:t>
      </w:r>
      <w:r w:rsidR="00AA30FB" w:rsidRPr="009512CD">
        <w:rPr>
          <w:rFonts w:ascii="Verdana" w:eastAsia="Calibri" w:hAnsi="Verdana" w:cs="Arial"/>
          <w:color w:val="000000" w:themeColor="text1"/>
          <w:lang w:val="es-ES"/>
        </w:rPr>
        <w:t xml:space="preserve">El primer artículo establece el deber de las entidades de “elaborar el plan anual de adquisiciones, el cual debe contener la lista de bienes, obras y servicios que pretenden adquirir durante el año”. El aparte trascrito permite inferir que se trata de un documento estimativo, pues contiene un listado de bienes, obras o servicios que, producto del ejercicio de planeación de la entidad, esta pretende adquirir dentro de la vigencia correspondiente. Esta redacción advierte la naturaleza estimativa del documento, pues contiene los siguientes aspectos: i) la necesidad; </w:t>
      </w:r>
      <w:proofErr w:type="spellStart"/>
      <w:r w:rsidR="00AA30FB" w:rsidRPr="009512CD">
        <w:rPr>
          <w:rFonts w:ascii="Verdana" w:eastAsia="Calibri" w:hAnsi="Verdana" w:cs="Arial"/>
          <w:color w:val="000000" w:themeColor="text1"/>
          <w:lang w:val="es-ES"/>
        </w:rPr>
        <w:t>ii</w:t>
      </w:r>
      <w:proofErr w:type="spellEnd"/>
      <w:r w:rsidR="00AA30FB" w:rsidRPr="009512CD">
        <w:rPr>
          <w:rFonts w:ascii="Verdana" w:eastAsia="Calibri" w:hAnsi="Verdana" w:cs="Arial"/>
          <w:color w:val="000000" w:themeColor="text1"/>
          <w:lang w:val="es-ES"/>
        </w:rPr>
        <w:t xml:space="preserve">) la identificación en el clasificador si la entidad conoce el bien, obra o servicio que satisface la necesidad; </w:t>
      </w:r>
      <w:proofErr w:type="spellStart"/>
      <w:r w:rsidR="00AA30FB" w:rsidRPr="009512CD">
        <w:rPr>
          <w:rFonts w:ascii="Verdana" w:eastAsia="Calibri" w:hAnsi="Verdana" w:cs="Arial"/>
          <w:color w:val="000000" w:themeColor="text1"/>
          <w:lang w:val="es-ES"/>
        </w:rPr>
        <w:t>iii</w:t>
      </w:r>
      <w:proofErr w:type="spellEnd"/>
      <w:r w:rsidR="00AA30FB" w:rsidRPr="009512CD">
        <w:rPr>
          <w:rFonts w:ascii="Verdana" w:eastAsia="Calibri" w:hAnsi="Verdana" w:cs="Arial"/>
          <w:color w:val="000000" w:themeColor="text1"/>
          <w:lang w:val="es-ES"/>
        </w:rPr>
        <w:t xml:space="preserve">) el valor estimado del contrato; </w:t>
      </w:r>
      <w:proofErr w:type="spellStart"/>
      <w:r w:rsidR="00AA30FB" w:rsidRPr="009512CD">
        <w:rPr>
          <w:rFonts w:ascii="Verdana" w:eastAsia="Calibri" w:hAnsi="Verdana" w:cs="Arial"/>
          <w:color w:val="000000" w:themeColor="text1"/>
          <w:lang w:val="es-ES"/>
        </w:rPr>
        <w:t>iv</w:t>
      </w:r>
      <w:proofErr w:type="spellEnd"/>
      <w:r w:rsidR="00AA30FB" w:rsidRPr="009512CD">
        <w:rPr>
          <w:rFonts w:ascii="Verdana" w:eastAsia="Calibri" w:hAnsi="Verdana" w:cs="Arial"/>
          <w:color w:val="000000" w:themeColor="text1"/>
          <w:lang w:val="es-ES"/>
        </w:rPr>
        <w:t xml:space="preserve">) el tipo de recursos con cargo a los cuales la entidad pagará el bien, obra o servicio; v) la modalidad </w:t>
      </w:r>
      <w:r w:rsidR="00AA30FB" w:rsidRPr="009512CD">
        <w:rPr>
          <w:rFonts w:ascii="Verdana" w:eastAsia="Calibri" w:hAnsi="Verdana" w:cs="Arial"/>
          <w:color w:val="000000" w:themeColor="text1"/>
          <w:lang w:val="es-ES"/>
        </w:rPr>
        <w:lastRenderedPageBreak/>
        <w:t xml:space="preserve">de selección del contratista y vi) la fecha aproximada en la cual la entidad indicará el procedimiento de selección. </w:t>
      </w:r>
    </w:p>
    <w:p w14:paraId="15C9274D" w14:textId="77777777" w:rsidR="00AA30FB" w:rsidRPr="009512CD" w:rsidRDefault="00AA30FB" w:rsidP="00AA30FB">
      <w:pPr>
        <w:spacing w:before="120" w:after="120" w:line="276" w:lineRule="auto"/>
        <w:ind w:firstLine="709"/>
        <w:jc w:val="both"/>
        <w:rPr>
          <w:rFonts w:ascii="Verdana" w:eastAsia="Calibri" w:hAnsi="Verdana" w:cs="Arial"/>
          <w:color w:val="000000" w:themeColor="text1"/>
          <w:lang w:val="es-ES"/>
        </w:rPr>
      </w:pPr>
      <w:r w:rsidRPr="009512CD">
        <w:rPr>
          <w:rFonts w:ascii="Verdana" w:eastAsia="Calibri" w:hAnsi="Verdana" w:cs="Arial"/>
          <w:color w:val="000000" w:themeColor="text1"/>
          <w:lang w:val="es-ES"/>
        </w:rPr>
        <w:t xml:space="preserve">La norma referida establece la obligación de enunciar la información de manera indicativa, y no impone determinar valores precisos, tiempos, bienes, obras o servicios de manera exacta; todo lo contrario, permite realizar un pronóstico indicativo de las necesidades que debe contratar. Este carácter estimativo del plan anual de adquisiciones fue reconocido por la Agencia Nacional de Contratación Pública </w:t>
      </w:r>
      <w:r w:rsidRPr="009512CD">
        <w:rPr>
          <w:rFonts w:ascii="Verdana" w:eastAsia="Calibri" w:hAnsi="Verdana" w:cs="Arial"/>
          <w:bCs/>
          <w:color w:val="000000" w:themeColor="text1"/>
          <w:lang w:val="es-ES"/>
        </w:rPr>
        <w:t>–</w:t>
      </w:r>
      <w:r w:rsidRPr="009512CD">
        <w:rPr>
          <w:rFonts w:ascii="Verdana" w:eastAsia="Calibri" w:hAnsi="Verdana" w:cs="Arial"/>
          <w:b/>
          <w:color w:val="000000" w:themeColor="text1"/>
          <w:lang w:val="es-ES"/>
        </w:rPr>
        <w:t xml:space="preserve"> </w:t>
      </w:r>
      <w:r w:rsidRPr="009512CD">
        <w:rPr>
          <w:rFonts w:ascii="Verdana" w:eastAsia="Calibri" w:hAnsi="Verdana" w:cs="Arial"/>
          <w:color w:val="000000" w:themeColor="text1"/>
          <w:lang w:val="es-ES"/>
        </w:rPr>
        <w:t>Colombia Compra Eficiente en la guía sobre el tema, donde precisó, como una de sus finalidades, “servir como referente inicial para evaluar la ejecución de presupuesto y pronosticar la demanda de bienes y servicios de la entidad durante el año referido del plan”</w:t>
      </w:r>
      <w:r w:rsidRPr="009512CD">
        <w:rPr>
          <w:rStyle w:val="Refdenotaalpie"/>
          <w:rFonts w:ascii="Verdana" w:eastAsia="Calibri" w:hAnsi="Verdana" w:cs="Arial"/>
          <w:color w:val="000000" w:themeColor="text1"/>
        </w:rPr>
        <w:footnoteReference w:id="18"/>
      </w:r>
      <w:r w:rsidRPr="009512CD">
        <w:rPr>
          <w:rFonts w:ascii="Verdana" w:eastAsia="Calibri" w:hAnsi="Verdana" w:cs="Arial"/>
          <w:color w:val="000000" w:themeColor="text1"/>
          <w:lang w:val="es-ES"/>
        </w:rPr>
        <w:t xml:space="preserve">. </w:t>
      </w:r>
    </w:p>
    <w:p w14:paraId="60F57436" w14:textId="77777777" w:rsidR="00AA30FB" w:rsidRPr="009512CD" w:rsidRDefault="00AA30FB" w:rsidP="00AA30FB">
      <w:pPr>
        <w:spacing w:before="120" w:after="120" w:line="276" w:lineRule="auto"/>
        <w:ind w:firstLine="709"/>
        <w:jc w:val="both"/>
        <w:rPr>
          <w:rFonts w:ascii="Verdana" w:eastAsia="Calibri" w:hAnsi="Verdana" w:cs="Arial"/>
          <w:color w:val="000000" w:themeColor="text1"/>
          <w:lang w:val="es-ES"/>
        </w:rPr>
      </w:pPr>
      <w:r w:rsidRPr="009512CD">
        <w:rPr>
          <w:rFonts w:ascii="Verdana" w:eastAsia="Calibri" w:hAnsi="Verdana" w:cs="Arial"/>
          <w:color w:val="000000" w:themeColor="text1"/>
          <w:lang w:val="es-ES"/>
        </w:rPr>
        <w:t xml:space="preserve">La segunda disposición relevante </w:t>
      </w:r>
      <w:r w:rsidRPr="009512CD">
        <w:rPr>
          <w:rFonts w:ascii="Verdana" w:eastAsia="Calibri" w:hAnsi="Verdana" w:cs="Arial"/>
          <w:bCs/>
          <w:color w:val="000000" w:themeColor="text1"/>
          <w:lang w:val="es-ES"/>
        </w:rPr>
        <w:t xml:space="preserve">–esto es, el artículo </w:t>
      </w:r>
      <w:r w:rsidRPr="009512CD">
        <w:rPr>
          <w:rFonts w:ascii="Verdana" w:eastAsia="Calibri" w:hAnsi="Verdana" w:cs="Arial"/>
          <w:color w:val="000000" w:themeColor="text1"/>
          <w:lang w:val="es-ES"/>
        </w:rPr>
        <w:t>2.2.1.1.1.4.3 del Decreto 1082 de 2015</w:t>
      </w:r>
      <w:r w:rsidRPr="009512CD">
        <w:rPr>
          <w:rFonts w:ascii="Verdana" w:eastAsia="Calibri" w:hAnsi="Verdana" w:cs="Arial"/>
          <w:bCs/>
          <w:color w:val="000000" w:themeColor="text1"/>
          <w:lang w:val="es-ES"/>
        </w:rPr>
        <w:t>–</w:t>
      </w:r>
      <w:r w:rsidRPr="009512CD">
        <w:rPr>
          <w:rFonts w:ascii="Verdana" w:eastAsia="Calibri" w:hAnsi="Verdana" w:cs="Arial"/>
          <w:b/>
          <w:color w:val="000000" w:themeColor="text1"/>
          <w:lang w:val="es-ES"/>
        </w:rPr>
        <w:t xml:space="preserve"> </w:t>
      </w:r>
      <w:r w:rsidRPr="009512CD">
        <w:rPr>
          <w:rFonts w:ascii="Verdana" w:eastAsia="Calibri" w:hAnsi="Verdana" w:cs="Arial"/>
          <w:color w:val="000000" w:themeColor="text1"/>
          <w:lang w:val="es-ES"/>
        </w:rPr>
        <w:t xml:space="preserve">establece el deber de publicidad de las entidades públicas del plan anual de adquisiciones, en sus páginas web y en el SECOP II, con la información mínima señalada en el artículo 2.2.1.1.1.4.1. del Decreto 1082 de 2015. La norma impone a las entidades el deber de publicar las actualizaciones que realicen al plan anual. De esta manera, se faculta a la Administración para realizar cambios y modificaciones, por lo que no es un documento rígido que vincule la contratación sino que, por el contrario, se trata de un instrumento de planificación que orienta y permite tener un referente de las necesidades de bienes, obras y servicio que debe contratar para la respectiva anualidad, y que además puede ser actualizado. </w:t>
      </w:r>
    </w:p>
    <w:p w14:paraId="43782125" w14:textId="77777777" w:rsidR="00AA30FB" w:rsidRPr="009512CD" w:rsidRDefault="00AA30FB" w:rsidP="00AA30FB">
      <w:pPr>
        <w:spacing w:before="120" w:after="120" w:line="276" w:lineRule="auto"/>
        <w:ind w:firstLine="709"/>
        <w:jc w:val="both"/>
        <w:rPr>
          <w:rFonts w:ascii="Verdana" w:eastAsia="Calibri" w:hAnsi="Verdana" w:cs="Arial"/>
          <w:color w:val="000000" w:themeColor="text1"/>
          <w:lang w:val="es-ES"/>
        </w:rPr>
      </w:pPr>
      <w:r w:rsidRPr="009512CD">
        <w:rPr>
          <w:rFonts w:ascii="Verdana" w:eastAsia="Calibri" w:hAnsi="Verdana" w:cs="Arial"/>
          <w:color w:val="000000" w:themeColor="text1"/>
          <w:lang w:val="es-ES"/>
        </w:rPr>
        <w:t xml:space="preserve">La tercera norma mencionada, el artículo 2.2.1.1.1.4.4. del Decreto 1082 de 2015, en el inciso 1, fijó, en criterio de esta Subdirección, el alcance de la facultad otorgada a las entidades para actualizar el plan anual de adquisiciones. Por ello es pertinente consultar el significado natural del verbo rector de la disposición y luego establecer los límites establecidos en la norma. </w:t>
      </w:r>
    </w:p>
    <w:p w14:paraId="729C6700" w14:textId="5CF470C7" w:rsidR="00AA30FB" w:rsidRPr="009512CD" w:rsidRDefault="00AA30FB" w:rsidP="00AA30FB">
      <w:pPr>
        <w:spacing w:before="120" w:after="120" w:line="276" w:lineRule="auto"/>
        <w:ind w:firstLine="709"/>
        <w:jc w:val="both"/>
        <w:rPr>
          <w:rFonts w:ascii="Verdana" w:eastAsia="Calibri" w:hAnsi="Verdana" w:cs="Arial"/>
          <w:color w:val="000000" w:themeColor="text1"/>
          <w:lang w:val="es-ES"/>
        </w:rPr>
      </w:pPr>
      <w:r w:rsidRPr="009512CD">
        <w:rPr>
          <w:rFonts w:ascii="Verdana" w:eastAsia="Calibri" w:hAnsi="Verdana" w:cs="Arial"/>
          <w:color w:val="000000" w:themeColor="text1"/>
          <w:lang w:val="es-ES"/>
        </w:rPr>
        <w:t>El Diccionario de la Lengua Española define “actualizar” como “hacer actual algo, darle actualidad” o “poner al día datos, normas, precios rentas, salarios”. Es decir, “actualizar” se puede asociar con la acción de traer al presente un dato establecido en el pasado. Aplicada esta definición a la norma citada, se tendría que el reglamento facultó a las entidades públicas para poner al día la información contenida en el documento del plan anual de adquisiciones.</w:t>
      </w:r>
      <w:r w:rsidR="005679AE">
        <w:rPr>
          <w:rFonts w:ascii="Verdana" w:eastAsia="Calibri" w:hAnsi="Verdana" w:cs="Arial"/>
          <w:color w:val="000000" w:themeColor="text1"/>
          <w:lang w:val="es-ES"/>
        </w:rPr>
        <w:t xml:space="preserve"> </w:t>
      </w:r>
      <w:r w:rsidR="005679AE">
        <w:rPr>
          <w:rFonts w:ascii="Verdana" w:eastAsia="Calibri" w:hAnsi="Verdana" w:cs="Arial"/>
          <w:bCs/>
          <w:color w:val="000000" w:themeColor="text1"/>
        </w:rPr>
        <w:lastRenderedPageBreak/>
        <w:t>En esta medida, si el PAA es un acto administrativo, las modificaciones tienen la misma naturaleza jurídica.</w:t>
      </w:r>
    </w:p>
    <w:p w14:paraId="75284DAD" w14:textId="77777777" w:rsidR="00AA30FB" w:rsidRPr="009512CD" w:rsidRDefault="00AA30FB" w:rsidP="00AA30FB">
      <w:pPr>
        <w:spacing w:before="120" w:after="120" w:line="276" w:lineRule="auto"/>
        <w:ind w:firstLine="709"/>
        <w:jc w:val="both"/>
        <w:rPr>
          <w:rFonts w:ascii="Verdana" w:eastAsia="Calibri" w:hAnsi="Verdana" w:cs="Arial"/>
          <w:color w:val="000000" w:themeColor="text1"/>
          <w:lang w:val="es-ES"/>
        </w:rPr>
      </w:pPr>
      <w:r w:rsidRPr="009512CD">
        <w:rPr>
          <w:rFonts w:ascii="Verdana" w:eastAsia="Calibri" w:hAnsi="Verdana" w:cs="Arial"/>
          <w:color w:val="000000" w:themeColor="text1"/>
          <w:lang w:val="es-ES"/>
        </w:rPr>
        <w:t xml:space="preserve">Con el deber de actualizar el plan, una vez al año cuando menos, implícitamente se señala que el contenido inicial no es rígido ni inmodificable y, en consecuencia, por la misma dinámica de la actividad contractual de la Administración, estos datos necesariamente tendrán que modificarse. Además, la norma no limita la actualización del plan a un tope máximo, pero estableció un número mínimo, pues indicó que debían actualizarlo por lo menos una vez durante su vigencia. </w:t>
      </w:r>
    </w:p>
    <w:p w14:paraId="2638EE98" w14:textId="77777777" w:rsidR="00AA30FB" w:rsidRPr="009512CD" w:rsidRDefault="00AA30FB" w:rsidP="00AA30FB">
      <w:pPr>
        <w:spacing w:before="120" w:after="120" w:line="276" w:lineRule="auto"/>
        <w:ind w:firstLine="709"/>
        <w:jc w:val="both"/>
        <w:rPr>
          <w:rFonts w:ascii="Verdana" w:eastAsia="Calibri" w:hAnsi="Verdana" w:cs="Arial"/>
          <w:color w:val="000000" w:themeColor="text1"/>
          <w:lang w:val="es-ES"/>
        </w:rPr>
      </w:pPr>
      <w:r w:rsidRPr="009512CD">
        <w:rPr>
          <w:rFonts w:ascii="Verdana" w:eastAsia="Calibri" w:hAnsi="Verdana" w:cs="Arial"/>
          <w:color w:val="000000" w:themeColor="text1"/>
          <w:lang w:val="es-ES"/>
        </w:rPr>
        <w:t xml:space="preserve">El inciso 2 del artículo citado estableció cuatro (4) eventos en los que procede actualizar el plan anual de adquisiciones: i) ajustes en los cronogramas de adquisición, valores, modalidad de selección y origen de los recursos; </w:t>
      </w:r>
      <w:proofErr w:type="spellStart"/>
      <w:r w:rsidRPr="009512CD">
        <w:rPr>
          <w:rFonts w:ascii="Verdana" w:eastAsia="Calibri" w:hAnsi="Verdana" w:cs="Arial"/>
          <w:color w:val="000000" w:themeColor="text1"/>
          <w:lang w:val="es-ES"/>
        </w:rPr>
        <w:t>ii</w:t>
      </w:r>
      <w:proofErr w:type="spellEnd"/>
      <w:r w:rsidRPr="009512CD">
        <w:rPr>
          <w:rFonts w:ascii="Verdana" w:eastAsia="Calibri" w:hAnsi="Verdana" w:cs="Arial"/>
          <w:color w:val="000000" w:themeColor="text1"/>
          <w:lang w:val="es-ES"/>
        </w:rPr>
        <w:t xml:space="preserve">) para incluir nuevas obras, bienes o servicios; </w:t>
      </w:r>
      <w:proofErr w:type="spellStart"/>
      <w:r w:rsidRPr="009512CD">
        <w:rPr>
          <w:rFonts w:ascii="Verdana" w:eastAsia="Calibri" w:hAnsi="Verdana" w:cs="Arial"/>
          <w:color w:val="000000" w:themeColor="text1"/>
          <w:lang w:val="es-ES"/>
        </w:rPr>
        <w:t>iii</w:t>
      </w:r>
      <w:proofErr w:type="spellEnd"/>
      <w:r w:rsidRPr="009512CD">
        <w:rPr>
          <w:rFonts w:ascii="Verdana" w:eastAsia="Calibri" w:hAnsi="Verdana" w:cs="Arial"/>
          <w:color w:val="000000" w:themeColor="text1"/>
          <w:lang w:val="es-ES"/>
        </w:rPr>
        <w:t xml:space="preserve">) excluir obras, bienes o servicios y </w:t>
      </w:r>
      <w:proofErr w:type="spellStart"/>
      <w:r w:rsidRPr="009512CD">
        <w:rPr>
          <w:rFonts w:ascii="Verdana" w:eastAsia="Calibri" w:hAnsi="Verdana" w:cs="Arial"/>
          <w:color w:val="000000" w:themeColor="text1"/>
          <w:lang w:val="es-ES"/>
        </w:rPr>
        <w:t>iv</w:t>
      </w:r>
      <w:proofErr w:type="spellEnd"/>
      <w:r w:rsidRPr="009512CD">
        <w:rPr>
          <w:rFonts w:ascii="Verdana" w:eastAsia="Calibri" w:hAnsi="Verdana" w:cs="Arial"/>
          <w:color w:val="000000" w:themeColor="text1"/>
          <w:lang w:val="es-ES"/>
        </w:rPr>
        <w:t xml:space="preserve">) modificar el presupuesto anual de adquisiciones. El inciso citado solo estableció los eventos en los que tiene que actualizarse, sin limitar la modificación a ciertos topes, como, por ejemplo, aumentar o disminuir valores. La norma no enfatizó en este punto, por lo cual, en principio, podrá modificarse. </w:t>
      </w:r>
    </w:p>
    <w:p w14:paraId="712603B9" w14:textId="77777777" w:rsidR="00AA30FB" w:rsidRPr="009512CD" w:rsidRDefault="00AA30FB" w:rsidP="00AA30FB">
      <w:pPr>
        <w:spacing w:before="120" w:after="120" w:line="276" w:lineRule="auto"/>
        <w:ind w:firstLine="709"/>
        <w:jc w:val="both"/>
        <w:rPr>
          <w:rFonts w:ascii="Verdana" w:eastAsia="Calibri" w:hAnsi="Verdana" w:cs="Arial"/>
          <w:color w:val="000000" w:themeColor="text1"/>
          <w:lang w:val="es-ES"/>
        </w:rPr>
      </w:pPr>
      <w:r w:rsidRPr="009512CD">
        <w:rPr>
          <w:rFonts w:ascii="Verdana" w:eastAsia="Calibri" w:hAnsi="Verdana" w:cs="Arial"/>
          <w:color w:val="000000" w:themeColor="text1"/>
          <w:lang w:val="es-ES"/>
        </w:rPr>
        <w:t xml:space="preserve">Así las cosas, la Subdirección de Gestión Contractual considera que el plan anual de adquisiciones es un instrumento de planificación y orientación de la contratación de las entidades públicas, establecido para identificar las necesidades de contratación, en el que se incluyen, de manera estimativa, los bienes, obras y servicios que la Administración está interesada en adquirir, pero que de ninguna manera restringe las decisiones en la contratación, que habrán de adoptarse dentro de la anualidad respectiva. </w:t>
      </w:r>
    </w:p>
    <w:p w14:paraId="5A69CD7C" w14:textId="77777777" w:rsidR="00AA30FB" w:rsidRPr="009512CD" w:rsidRDefault="00AA30FB" w:rsidP="00AA30FB">
      <w:pPr>
        <w:spacing w:after="120" w:line="276" w:lineRule="auto"/>
        <w:ind w:firstLine="709"/>
        <w:jc w:val="both"/>
        <w:rPr>
          <w:rFonts w:ascii="Verdana" w:eastAsia="Calibri" w:hAnsi="Verdana" w:cs="Arial"/>
          <w:color w:val="000000" w:themeColor="text1"/>
          <w:lang w:val="es-ES"/>
        </w:rPr>
      </w:pPr>
      <w:r w:rsidRPr="009512CD">
        <w:rPr>
          <w:rFonts w:ascii="Verdana" w:eastAsia="Calibri" w:hAnsi="Verdana" w:cs="Arial"/>
          <w:color w:val="000000" w:themeColor="text1"/>
          <w:lang w:val="es-ES"/>
        </w:rPr>
        <w:t xml:space="preserve">Las normas citadas permiten concluir que el objetivo del plan anual de adquisiciones es indicar los bienes, obras y servicios que la entidad pretende adquirir, sin consideración a la forma en que estos deberán obtenerse, pues es el criterio de necesidad de aquellos el que fundamenta la inclusión o no en la lista del plan y no el carácter pecuniario de este ni su modalidad de contratación. Por tanto, bastará con que la entidad identifique la necesidad contractual para que deba incluirlo en el listado. </w:t>
      </w:r>
    </w:p>
    <w:p w14:paraId="27FD02DD" w14:textId="77777777" w:rsidR="00AA30FB" w:rsidRPr="009512CD" w:rsidRDefault="00AA30FB" w:rsidP="00AA30FB">
      <w:pPr>
        <w:pStyle w:val="paragraph"/>
        <w:spacing w:before="0" w:beforeAutospacing="0" w:after="120" w:afterAutospacing="0" w:line="276" w:lineRule="auto"/>
        <w:ind w:firstLine="703"/>
        <w:jc w:val="both"/>
        <w:textAlignment w:val="baseline"/>
        <w:rPr>
          <w:rFonts w:ascii="Verdana" w:hAnsi="Verdana" w:cs="Segoe UI"/>
          <w:sz w:val="18"/>
          <w:szCs w:val="18"/>
        </w:rPr>
      </w:pPr>
      <w:r w:rsidRPr="009512CD">
        <w:rPr>
          <w:rStyle w:val="normaltextrun"/>
          <w:rFonts w:ascii="Verdana" w:hAnsi="Verdana" w:cs="Arial"/>
          <w:color w:val="000000"/>
          <w:sz w:val="22"/>
          <w:szCs w:val="22"/>
          <w:lang w:val="es-ES"/>
        </w:rPr>
        <w:t xml:space="preserve">Un interrogante surge de lo anterior: ¿cómo la entidad puede definir si debe o no incluir un bien, obra o servicio en el plan? Basta consultar el artículo 2.2.1.1.1.4.1. del Decreto 1082 de 2015, donde señala que “las entidades estatales deben elaborar un plan anual de adquisiciones, el cual debe contener </w:t>
      </w:r>
      <w:r w:rsidRPr="009512CD">
        <w:rPr>
          <w:rStyle w:val="normaltextrun"/>
          <w:rFonts w:ascii="Verdana" w:hAnsi="Verdana" w:cs="Arial"/>
          <w:color w:val="000000"/>
          <w:sz w:val="22"/>
          <w:szCs w:val="22"/>
          <w:lang w:val="es-ES"/>
        </w:rPr>
        <w:lastRenderedPageBreak/>
        <w:t>la lista de bienes, obras y servicios que pretenden adquirir durante el año”. Este aparte permite extraer el contenido esencialísimo del mismo, pues los enlista como requisitos mínimos del plan. Luego, la norma establece el deber de incluir otra información:  “la Entidad Estatal debe señalar como mínimo la necesidad y cuando conoce el bien, obra o servicio que satisface esa necesidad debe identificarlo utilizando el Clasificador de Bienes y Servicios, e indicar el valor estimado del contrato, el tipo de recursos con cargo a los cuales la Entidad Estatal pagará el bien, obra o servicio, la modalidad de selección del contratista, y la fecha aproximada en la cual la Entidad Estatal iniciará el Proceso de Contratación”, que no siendo menos importante es complementaria y descriptiva de la información esencialísima del plan, como se explicará a continuación. </w:t>
      </w:r>
      <w:r w:rsidRPr="009512CD">
        <w:rPr>
          <w:rStyle w:val="eop"/>
          <w:rFonts w:ascii="Verdana" w:hAnsi="Verdana" w:cs="Arial"/>
          <w:color w:val="000000"/>
          <w:sz w:val="22"/>
          <w:szCs w:val="22"/>
        </w:rPr>
        <w:t> </w:t>
      </w:r>
    </w:p>
    <w:p w14:paraId="30639295" w14:textId="77777777" w:rsidR="00AA30FB" w:rsidRPr="009512CD" w:rsidRDefault="00AA30FB" w:rsidP="00AA30FB">
      <w:pPr>
        <w:pStyle w:val="paragraph"/>
        <w:spacing w:before="0" w:beforeAutospacing="0" w:after="120" w:afterAutospacing="0" w:line="276" w:lineRule="auto"/>
        <w:ind w:firstLine="703"/>
        <w:jc w:val="both"/>
        <w:textAlignment w:val="baseline"/>
        <w:rPr>
          <w:rFonts w:ascii="Verdana" w:hAnsi="Verdana" w:cs="Segoe UI"/>
          <w:sz w:val="18"/>
          <w:szCs w:val="18"/>
        </w:rPr>
      </w:pPr>
      <w:r w:rsidRPr="009512CD">
        <w:rPr>
          <w:rStyle w:val="normaltextrun"/>
          <w:rFonts w:ascii="Verdana" w:hAnsi="Verdana" w:cs="Arial"/>
          <w:color w:val="000000"/>
          <w:sz w:val="22"/>
          <w:szCs w:val="22"/>
          <w:lang w:val="es-ES"/>
        </w:rPr>
        <w:t>La norma citada en el párrafo precedente dispone que el plan tiene un contenido esencial –la lista de bienes, obras y servicios que pretenda adquirir la entidad– y otro que es obligatorio incluirlo pero que es complementario y descriptivo de lo esencial –valor del contrato, modalidad de selección, tipo de recursos, etc.–. A partir de esta clasificación se infiere su finalidad y el criterio rector para que, en cada caso, la entidad resuelva cómo se define si un bien, obra o servicio se incluye o no en el plan. </w:t>
      </w:r>
      <w:r w:rsidRPr="009512CD">
        <w:rPr>
          <w:rStyle w:val="eop"/>
          <w:rFonts w:ascii="Verdana" w:hAnsi="Verdana" w:cs="Arial"/>
          <w:color w:val="000000"/>
          <w:sz w:val="22"/>
          <w:szCs w:val="22"/>
        </w:rPr>
        <w:t> </w:t>
      </w:r>
    </w:p>
    <w:p w14:paraId="76FB1DBD" w14:textId="77777777" w:rsidR="00AA30FB" w:rsidRPr="009512CD" w:rsidRDefault="00AA30FB" w:rsidP="00AA30FB">
      <w:pPr>
        <w:pStyle w:val="paragraph"/>
        <w:spacing w:before="0" w:beforeAutospacing="0" w:after="120" w:afterAutospacing="0" w:line="276" w:lineRule="auto"/>
        <w:ind w:firstLine="703"/>
        <w:jc w:val="both"/>
        <w:textAlignment w:val="baseline"/>
        <w:rPr>
          <w:rFonts w:ascii="Verdana" w:hAnsi="Verdana" w:cs="Segoe UI"/>
          <w:sz w:val="18"/>
          <w:szCs w:val="18"/>
        </w:rPr>
      </w:pPr>
      <w:r w:rsidRPr="009512CD">
        <w:rPr>
          <w:rStyle w:val="normaltextrun"/>
          <w:rFonts w:ascii="Verdana" w:hAnsi="Verdana" w:cs="Arial"/>
          <w:color w:val="000000"/>
          <w:sz w:val="22"/>
          <w:szCs w:val="22"/>
          <w:lang w:val="es-ES"/>
        </w:rPr>
        <w:t>Del primer aparte de la norma, se observa que su finalidad es clara: todo los bienes, obras o servicios que la entidad tenga intención de </w:t>
      </w:r>
      <w:r w:rsidRPr="009512CD">
        <w:rPr>
          <w:rStyle w:val="normaltextrun"/>
          <w:rFonts w:ascii="Verdana" w:hAnsi="Verdana" w:cs="Arial"/>
          <w:i/>
          <w:iCs/>
          <w:color w:val="000000"/>
          <w:sz w:val="22"/>
          <w:szCs w:val="22"/>
          <w:lang w:val="es-ES"/>
        </w:rPr>
        <w:t>adquirir</w:t>
      </w:r>
      <w:r w:rsidRPr="009512CD">
        <w:rPr>
          <w:rStyle w:val="normaltextrun"/>
          <w:rFonts w:ascii="Verdana" w:hAnsi="Verdana" w:cs="Arial"/>
          <w:color w:val="000000"/>
          <w:sz w:val="22"/>
          <w:szCs w:val="22"/>
          <w:lang w:val="es-ES"/>
        </w:rPr>
        <w:t> deben incluirse en el plan. Es decir, la obligación de incluir un contenido específico en el plan se fundamenta únicamente en que se trate de un bien, obra o servicio que la entidad pretenda </w:t>
      </w:r>
      <w:r w:rsidRPr="009512CD">
        <w:rPr>
          <w:rStyle w:val="normaltextrun"/>
          <w:rFonts w:ascii="Verdana" w:hAnsi="Verdana" w:cs="Arial"/>
          <w:i/>
          <w:iCs/>
          <w:color w:val="000000"/>
          <w:sz w:val="22"/>
          <w:szCs w:val="22"/>
          <w:lang w:val="es-ES"/>
        </w:rPr>
        <w:t>adquirir. </w:t>
      </w:r>
      <w:r w:rsidRPr="009512CD">
        <w:rPr>
          <w:rStyle w:val="normaltextrun"/>
          <w:rFonts w:ascii="Verdana" w:hAnsi="Verdana" w:cs="Arial"/>
          <w:color w:val="000000"/>
          <w:sz w:val="22"/>
          <w:szCs w:val="22"/>
          <w:lang w:val="es-ES"/>
        </w:rPr>
        <w:t> De manera que, para responder a la pregunta de si una entidad está o no obligada a incluir un contenido en particular dentro del plan anual de adquisiciones, bastará con tener claro que aquellos sean objeto de adquisición, sin consideración a la forma en que la entidad planee obtenerlos. </w:t>
      </w:r>
      <w:r w:rsidRPr="009512CD">
        <w:rPr>
          <w:rStyle w:val="eop"/>
          <w:rFonts w:ascii="Verdana" w:hAnsi="Verdana" w:cs="Arial"/>
          <w:color w:val="000000"/>
          <w:sz w:val="22"/>
          <w:szCs w:val="22"/>
        </w:rPr>
        <w:t> </w:t>
      </w:r>
    </w:p>
    <w:p w14:paraId="1AB0E408" w14:textId="77777777" w:rsidR="00AA30FB" w:rsidRPr="009512CD" w:rsidRDefault="00AA30FB" w:rsidP="00AA30FB">
      <w:pPr>
        <w:pStyle w:val="paragraph"/>
        <w:spacing w:before="0" w:beforeAutospacing="0" w:after="120" w:afterAutospacing="0" w:line="276" w:lineRule="auto"/>
        <w:ind w:firstLine="703"/>
        <w:jc w:val="both"/>
        <w:textAlignment w:val="baseline"/>
        <w:rPr>
          <w:rFonts w:ascii="Verdana" w:hAnsi="Verdana" w:cs="Segoe UI"/>
          <w:sz w:val="18"/>
          <w:szCs w:val="18"/>
        </w:rPr>
      </w:pPr>
      <w:r w:rsidRPr="009512CD">
        <w:rPr>
          <w:rStyle w:val="normaltextrun"/>
          <w:rFonts w:ascii="Verdana" w:hAnsi="Verdana" w:cs="Arial"/>
          <w:color w:val="000000"/>
          <w:sz w:val="22"/>
          <w:szCs w:val="22"/>
          <w:lang w:val="es-ES"/>
        </w:rPr>
        <w:t>Lo anterior, también permite entender que la actividad de “adquirir”, como el criterio rector</w:t>
      </w:r>
      <w:r w:rsidRPr="009512CD">
        <w:rPr>
          <w:rStyle w:val="normaltextrun"/>
          <w:rFonts w:ascii="Verdana" w:hAnsi="Verdana" w:cs="Arial"/>
          <w:b/>
          <w:bCs/>
          <w:color w:val="000000"/>
          <w:sz w:val="22"/>
          <w:szCs w:val="22"/>
          <w:lang w:val="es-ES"/>
        </w:rPr>
        <w:t> </w:t>
      </w:r>
      <w:r w:rsidRPr="009512CD">
        <w:rPr>
          <w:rStyle w:val="normaltextrun"/>
          <w:rFonts w:ascii="Verdana" w:hAnsi="Verdana" w:cs="Arial"/>
          <w:color w:val="000000"/>
          <w:sz w:val="22"/>
          <w:szCs w:val="22"/>
          <w:lang w:val="es-ES"/>
        </w:rPr>
        <w:t>para determinar el alcance de la obligatoriedad de incluir en el plan una información específica. Cuando el primer aparte señala que el plan </w:t>
      </w:r>
      <w:r>
        <w:rPr>
          <w:rStyle w:val="normaltextrun"/>
          <w:rFonts w:ascii="Verdana" w:hAnsi="Verdana" w:cs="Arial"/>
          <w:color w:val="000000"/>
          <w:sz w:val="22"/>
          <w:szCs w:val="22"/>
          <w:lang w:val="es-ES"/>
        </w:rPr>
        <w:t>“</w:t>
      </w:r>
      <w:r w:rsidRPr="009512CD">
        <w:rPr>
          <w:rStyle w:val="normaltextrun"/>
          <w:rFonts w:ascii="Verdana" w:hAnsi="Verdana" w:cs="Arial"/>
          <w:color w:val="000000"/>
          <w:sz w:val="22"/>
          <w:szCs w:val="22"/>
          <w:lang w:val="es-ES"/>
        </w:rPr>
        <w:t xml:space="preserve">[…] deberá contener la lista de bienes, obras y servicios que pretenden adquirir durante un año”, es claro que adquirir es el elemento determinante para concluir qué debe enlistarse un bien, obra o servicio en el plan. Esto, muy a pesar de que la misma disposición establezca otra información adicional que debe incluir este documento –modalidad, valor </w:t>
      </w:r>
      <w:r w:rsidRPr="009512CD">
        <w:rPr>
          <w:rStyle w:val="normaltextrun"/>
          <w:rFonts w:ascii="Verdana" w:hAnsi="Verdana" w:cs="Arial"/>
          <w:color w:val="000000"/>
          <w:sz w:val="22"/>
          <w:szCs w:val="22"/>
          <w:lang w:val="es-ES"/>
        </w:rPr>
        <w:lastRenderedPageBreak/>
        <w:t>estimado–, pero que para esta Subdirección es complementaria o descriptiva a la señalada como información mínima o esencialísima del plan. </w:t>
      </w:r>
      <w:r w:rsidRPr="009512CD">
        <w:rPr>
          <w:rStyle w:val="eop"/>
          <w:rFonts w:ascii="Verdana" w:hAnsi="Verdana" w:cs="Arial"/>
          <w:color w:val="000000"/>
          <w:sz w:val="22"/>
          <w:szCs w:val="22"/>
        </w:rPr>
        <w:t> </w:t>
      </w:r>
    </w:p>
    <w:p w14:paraId="0F28D0DD" w14:textId="77777777" w:rsidR="00AA30FB" w:rsidRPr="009512CD" w:rsidRDefault="00AA30FB" w:rsidP="00AA30FB">
      <w:pPr>
        <w:pStyle w:val="paragraph"/>
        <w:spacing w:before="0" w:beforeAutospacing="0" w:after="120" w:afterAutospacing="0" w:line="276" w:lineRule="auto"/>
        <w:ind w:firstLine="703"/>
        <w:jc w:val="both"/>
        <w:textAlignment w:val="baseline"/>
        <w:rPr>
          <w:rFonts w:ascii="Verdana" w:hAnsi="Verdana" w:cs="Segoe UI"/>
          <w:sz w:val="18"/>
          <w:szCs w:val="18"/>
        </w:rPr>
      </w:pPr>
      <w:r w:rsidRPr="009512CD">
        <w:rPr>
          <w:rStyle w:val="normaltextrun"/>
          <w:rFonts w:ascii="Verdana" w:hAnsi="Verdana" w:cs="Arial"/>
          <w:color w:val="000000"/>
          <w:sz w:val="22"/>
          <w:szCs w:val="22"/>
          <w:lang w:val="es-ES"/>
        </w:rPr>
        <w:t>Así las cosas, la obligación de incluir información en el plan se fundamenta en que se trate de la adquisición de bienes, obras o servicios por parte de la entidad, y no se encuentra condicionada por la naturaleza de la información complementaria –modalidad de contratación, valor, forma de pago, etc.–</w:t>
      </w:r>
      <w:r w:rsidRPr="009512CD">
        <w:rPr>
          <w:rStyle w:val="normaltextrun"/>
          <w:rFonts w:ascii="Verdana" w:hAnsi="Verdana" w:cs="Arial"/>
          <w:b/>
          <w:bCs/>
          <w:color w:val="000000"/>
          <w:sz w:val="22"/>
          <w:szCs w:val="22"/>
          <w:lang w:val="es-ES"/>
        </w:rPr>
        <w:t> </w:t>
      </w:r>
      <w:r w:rsidRPr="009512CD">
        <w:rPr>
          <w:rStyle w:val="normaltextrun"/>
          <w:rFonts w:ascii="Verdana" w:hAnsi="Verdana" w:cs="Arial"/>
          <w:color w:val="000000"/>
          <w:sz w:val="22"/>
          <w:szCs w:val="22"/>
          <w:lang w:val="es-ES"/>
        </w:rPr>
        <w:t>relacionada con la información principal, máxime cuando la obligación de enlistar está consagrada en la norma respecto de los bienes, obras o servicios a adquirir, y no respecto de los procesos de contratación, lo cual otorga cierta importancia a ese primer aspecto, más que a su forma de contratación.  </w:t>
      </w:r>
      <w:r w:rsidRPr="009512CD">
        <w:rPr>
          <w:rStyle w:val="eop"/>
          <w:rFonts w:ascii="Verdana" w:hAnsi="Verdana" w:cs="Arial"/>
          <w:color w:val="000000"/>
          <w:sz w:val="22"/>
          <w:szCs w:val="22"/>
        </w:rPr>
        <w:t> </w:t>
      </w:r>
    </w:p>
    <w:p w14:paraId="2BE16C7A" w14:textId="77777777" w:rsidR="00AA30FB" w:rsidRPr="009512CD" w:rsidRDefault="00AA30FB" w:rsidP="00AA30FB">
      <w:pPr>
        <w:pStyle w:val="paragraph"/>
        <w:spacing w:before="0" w:beforeAutospacing="0" w:after="120" w:afterAutospacing="0" w:line="276" w:lineRule="auto"/>
        <w:ind w:firstLine="703"/>
        <w:jc w:val="both"/>
        <w:textAlignment w:val="baseline"/>
        <w:rPr>
          <w:rFonts w:ascii="Verdana" w:hAnsi="Verdana" w:cs="Segoe UI"/>
          <w:sz w:val="18"/>
          <w:szCs w:val="18"/>
        </w:rPr>
      </w:pPr>
      <w:r w:rsidRPr="009512CD">
        <w:rPr>
          <w:rStyle w:val="normaltextrun"/>
          <w:rFonts w:ascii="Verdana" w:hAnsi="Verdana" w:cs="Arial"/>
          <w:color w:val="000000"/>
          <w:sz w:val="22"/>
          <w:szCs w:val="22"/>
          <w:lang w:val="es-ES"/>
        </w:rPr>
        <w:t>La norma es categórica en señalar que en el plan debe enlistarse todo bien, obra o servicio que se pretenda adquirir, y en este sentido las entidades deben cumplir la obligación, sin consideración a las condiciones en que planee hacerlo, pues el deber de inclusión en el plan es independiente de la clase o modalidad de contratación o de la forma en que se pagará el valor estimado, etc. Basta con que se trate de un bien obra o servicio que la entidad quiere adquirir para que surja la obligación de relacionarlo. </w:t>
      </w:r>
      <w:r w:rsidRPr="009512CD">
        <w:rPr>
          <w:rStyle w:val="eop"/>
          <w:rFonts w:ascii="Verdana" w:hAnsi="Verdana" w:cs="Arial"/>
          <w:color w:val="000000"/>
          <w:sz w:val="22"/>
          <w:szCs w:val="22"/>
        </w:rPr>
        <w:t> </w:t>
      </w:r>
    </w:p>
    <w:p w14:paraId="020B5506" w14:textId="77777777" w:rsidR="00AA30FB" w:rsidRPr="009512CD" w:rsidRDefault="00AA30FB" w:rsidP="00AA30FB">
      <w:pPr>
        <w:pStyle w:val="paragraph"/>
        <w:spacing w:before="0" w:beforeAutospacing="0" w:after="120" w:afterAutospacing="0" w:line="276" w:lineRule="auto"/>
        <w:ind w:firstLine="703"/>
        <w:jc w:val="both"/>
        <w:textAlignment w:val="baseline"/>
        <w:rPr>
          <w:rFonts w:ascii="Verdana" w:hAnsi="Verdana" w:cs="Segoe UI"/>
          <w:sz w:val="18"/>
          <w:szCs w:val="18"/>
        </w:rPr>
      </w:pPr>
      <w:r w:rsidRPr="009512CD">
        <w:rPr>
          <w:rStyle w:val="normaltextrun"/>
          <w:rFonts w:ascii="Verdana" w:hAnsi="Verdana" w:cs="Arial"/>
          <w:color w:val="000000"/>
          <w:sz w:val="22"/>
          <w:szCs w:val="22"/>
          <w:lang w:val="es-ES"/>
        </w:rPr>
        <w:t>De modo que el elemento rector para anunciar la posible contratación en el plan anual de adquisiciones es la intención de </w:t>
      </w:r>
      <w:r w:rsidRPr="009512CD">
        <w:rPr>
          <w:rStyle w:val="normaltextrun"/>
          <w:rFonts w:ascii="Verdana" w:hAnsi="Verdana" w:cs="Arial"/>
          <w:i/>
          <w:iCs/>
          <w:color w:val="000000"/>
          <w:sz w:val="22"/>
          <w:szCs w:val="22"/>
          <w:lang w:val="es-ES"/>
        </w:rPr>
        <w:t>adquirir</w:t>
      </w:r>
      <w:r w:rsidRPr="009512CD">
        <w:rPr>
          <w:rStyle w:val="normaltextrun"/>
          <w:rFonts w:ascii="Verdana" w:hAnsi="Verdana" w:cs="Arial"/>
          <w:color w:val="000000"/>
          <w:sz w:val="22"/>
          <w:szCs w:val="22"/>
          <w:lang w:val="es-ES"/>
        </w:rPr>
        <w:t> el bien, obra o servicio, independientemente de la forma en que la entidad pretenda hacerlo, es decir, para el reglamento es irrelevante si el bien será comprado o si la contraprestación por este será en especie. Lo importante es que en el plan se reporte la estimación del valor que la entidad deberá pagar como contraprestación para la obtención de dicho bien, obra o servicio. Por tanto, las entidades deben incluir en su plan anual de adquisición todos los convenios o cualquier otra modalidad de contratación, a través de los que la entidad podrá adquirir bienes, obras y servicios para satisfacer sus necesidades, pues la finalidad del artículo 2.2.1.1.1.4.1 del Decreto 1082 de 2015 es que en este documento se enuncien todas las necesidades de contratación de las entidades públicas. </w:t>
      </w:r>
      <w:r w:rsidRPr="009512CD">
        <w:rPr>
          <w:rStyle w:val="eop"/>
          <w:rFonts w:ascii="Verdana" w:hAnsi="Verdana" w:cs="Arial"/>
          <w:color w:val="000000"/>
          <w:sz w:val="22"/>
          <w:szCs w:val="22"/>
        </w:rPr>
        <w:t> </w:t>
      </w:r>
    </w:p>
    <w:p w14:paraId="07C96C59" w14:textId="77777777" w:rsidR="00AA30FB" w:rsidRPr="009512CD" w:rsidRDefault="00AA30FB" w:rsidP="00AA30FB">
      <w:pPr>
        <w:spacing w:after="120" w:line="276" w:lineRule="auto"/>
        <w:ind w:firstLine="709"/>
        <w:jc w:val="both"/>
        <w:rPr>
          <w:rFonts w:ascii="Verdana" w:eastAsia="Calibri" w:hAnsi="Verdana" w:cs="Arial"/>
        </w:rPr>
      </w:pPr>
      <w:r w:rsidRPr="009512CD">
        <w:rPr>
          <w:rFonts w:ascii="Verdana" w:eastAsia="Calibri" w:hAnsi="Verdana" w:cs="Arial"/>
        </w:rPr>
        <w:t xml:space="preserve">Asimismo, aunque –por expresa disposición del reglamento– exista el deber de mantener actualizado el Plan Anual de Adquisiciones, no es necesario incorporar en él todas las modificaciones que efectúe la entidad, por dos (2) razones fundamentales: i) el reglamento no impone la obligación de modificarlo cada vez que se adopte una variación en la contratación prevista en él; y </w:t>
      </w:r>
      <w:proofErr w:type="spellStart"/>
      <w:r w:rsidRPr="009512CD">
        <w:rPr>
          <w:rFonts w:ascii="Verdana" w:eastAsia="Calibri" w:hAnsi="Verdana" w:cs="Arial"/>
        </w:rPr>
        <w:t>ii</w:t>
      </w:r>
      <w:proofErr w:type="spellEnd"/>
      <w:r w:rsidRPr="009512CD">
        <w:rPr>
          <w:rFonts w:ascii="Verdana" w:eastAsia="Calibri" w:hAnsi="Verdana" w:cs="Arial"/>
        </w:rPr>
        <w:t xml:space="preserve">) el </w:t>
      </w:r>
      <w:r w:rsidRPr="009512CD">
        <w:rPr>
          <w:rFonts w:ascii="Verdana" w:eastAsia="Calibri" w:hAnsi="Verdana" w:cs="Arial"/>
        </w:rPr>
        <w:lastRenderedPageBreak/>
        <w:t xml:space="preserve">reglamento autorizó incluir en el plan información estimativa, como cuando en el artículo 2.2.1.1.1.4.1 utiliza expresiones como “indicar el valor estimado del contrato”. </w:t>
      </w:r>
    </w:p>
    <w:p w14:paraId="554E4968" w14:textId="77777777" w:rsidR="00AA30FB" w:rsidRPr="009512CD" w:rsidRDefault="00AA30FB" w:rsidP="00AA30FB">
      <w:pPr>
        <w:spacing w:before="120" w:after="120" w:line="276" w:lineRule="auto"/>
        <w:ind w:firstLine="709"/>
        <w:jc w:val="both"/>
        <w:rPr>
          <w:rFonts w:ascii="Verdana" w:eastAsia="Calibri" w:hAnsi="Verdana" w:cs="Arial"/>
        </w:rPr>
      </w:pPr>
      <w:r w:rsidRPr="009512CD">
        <w:rPr>
          <w:rFonts w:ascii="Verdana" w:eastAsia="Calibri" w:hAnsi="Verdana" w:cs="Arial"/>
        </w:rPr>
        <w:t xml:space="preserve">De manera que </w:t>
      </w:r>
      <w:r w:rsidRPr="009512CD">
        <w:rPr>
          <w:rFonts w:ascii="Verdana" w:eastAsia="Calibri" w:hAnsi="Verdana" w:cs="Arial"/>
          <w:color w:val="000000" w:themeColor="text1"/>
          <w:lang w:val="es-ES"/>
        </w:rPr>
        <w:t>la norma no señaló un número máximo de oportunidades para actualizar el plan anual de adquisiciones, por lo cual la entidad podrá modificarlo las veces que considere pertinente. Pero el reglamento, al establecer cierto margen de laxitud en relación con la información incluida en el plan anual de adquisiciones, se colige también que la descripción del plan anual de adquisiciones no necesariamente tiene que ser idéntica a la minuta contractual o a los pliegos de condiciones. Solo las modificaciones sustanciales al contenido inicial del plan deben incluirse en éste, por lo cual no es necesaria la identidad absoluta entre la información contenida en el plan y el contenido del pliego de condiciones o las minutas contractuales</w:t>
      </w:r>
      <w:r w:rsidRPr="009512CD">
        <w:rPr>
          <w:rFonts w:ascii="Verdana" w:eastAsia="Calibri" w:hAnsi="Verdana" w:cs="Arial"/>
        </w:rPr>
        <w:t xml:space="preserve">.  </w:t>
      </w:r>
    </w:p>
    <w:p w14:paraId="3762F8A8" w14:textId="77777777" w:rsidR="00AA30FB" w:rsidRDefault="00AA30FB" w:rsidP="00195381">
      <w:pPr>
        <w:spacing w:after="0" w:line="276" w:lineRule="auto"/>
        <w:ind w:firstLine="709"/>
        <w:jc w:val="both"/>
        <w:rPr>
          <w:rFonts w:ascii="Verdana" w:eastAsia="Calibri" w:hAnsi="Verdana" w:cs="Arial"/>
          <w:color w:val="000000" w:themeColor="text1"/>
          <w:lang w:val="es-ES"/>
        </w:rPr>
      </w:pPr>
      <w:r w:rsidRPr="009512CD">
        <w:rPr>
          <w:rFonts w:ascii="Verdana" w:eastAsia="Calibri" w:hAnsi="Verdana" w:cs="Arial"/>
        </w:rPr>
        <w:t xml:space="preserve">Tampoco tiene que existir necesariamente identidad entre el valor del contrato previsto en el plan y el de cada procedimiento de contratación, porque la norma señaló que el valor del contrato, señalado en el plan es “estimado”. La misma conclusión aplica para todas las modalidades de contratación que deberán ser incluidas en el Plan Anual de Adquisiciones, porque la norma señala que deben incluirse todas las necesidades de contratación, sin importar que generen o no erogación, la fecha aproximada en que se iniciará el proceso de contratación y, en general, para todo el contenido del plan. </w:t>
      </w:r>
      <w:r w:rsidRPr="009512CD">
        <w:rPr>
          <w:rFonts w:ascii="Verdana" w:eastAsia="Calibri" w:hAnsi="Verdana" w:cs="Arial"/>
          <w:color w:val="000000" w:themeColor="text1"/>
          <w:lang w:val="es-ES"/>
        </w:rPr>
        <w:t>Incluso, por esta misma razón, es innecesaria la identidad entre el valor señalado en el plan y el monto por el cual finalmente se suscribe el contrato, pues lo usual es que luego de realizar el procedimiento de selección, el valor del ofrecimiento beneficiado con la adjudicación sea el valor por el que finalmente se suscribe el contrato.</w:t>
      </w:r>
    </w:p>
    <w:p w14:paraId="6ADC5E3B" w14:textId="77777777" w:rsidR="00195381" w:rsidRPr="002129FB" w:rsidRDefault="00195381" w:rsidP="00601837">
      <w:pPr>
        <w:spacing w:after="0" w:line="276" w:lineRule="auto"/>
        <w:ind w:firstLine="709"/>
        <w:jc w:val="both"/>
        <w:rPr>
          <w:rFonts w:ascii="Verdana" w:eastAsia="Calibri" w:hAnsi="Verdana" w:cs="Arial"/>
          <w:color w:val="000000" w:themeColor="text1"/>
          <w:lang w:val="es-ES"/>
        </w:rPr>
      </w:pPr>
    </w:p>
    <w:p w14:paraId="6AEA2670" w14:textId="2EC46110" w:rsidR="00AA30FB" w:rsidRDefault="00195381" w:rsidP="00601837">
      <w:pPr>
        <w:spacing w:after="120" w:line="276" w:lineRule="auto"/>
        <w:jc w:val="both"/>
        <w:rPr>
          <w:rFonts w:ascii="Verdana" w:eastAsia="Calibri" w:hAnsi="Verdana" w:cs="Arial"/>
          <w:bCs/>
          <w:color w:val="000000" w:themeColor="text1"/>
        </w:rPr>
      </w:pPr>
      <w:proofErr w:type="spellStart"/>
      <w:r>
        <w:rPr>
          <w:rFonts w:ascii="Verdana" w:eastAsia="Calibri" w:hAnsi="Verdana" w:cs="Arial"/>
          <w:bCs/>
          <w:color w:val="000000" w:themeColor="text1"/>
        </w:rPr>
        <w:t>iv</w:t>
      </w:r>
      <w:proofErr w:type="spellEnd"/>
      <w:r>
        <w:rPr>
          <w:rFonts w:ascii="Verdana" w:eastAsia="Calibri" w:hAnsi="Verdana" w:cs="Arial"/>
          <w:bCs/>
          <w:color w:val="000000" w:themeColor="text1"/>
        </w:rPr>
        <w:t xml:space="preserve">. </w:t>
      </w:r>
      <w:r w:rsidR="00AA30FB" w:rsidRPr="00E853DE">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3D1759F" w14:textId="77777777" w:rsidR="00AA30FB" w:rsidRPr="00185EE9" w:rsidRDefault="00AA30FB" w:rsidP="00AA30FB">
      <w:pPr>
        <w:spacing w:after="0" w:line="276" w:lineRule="auto"/>
        <w:ind w:firstLine="708"/>
        <w:jc w:val="both"/>
        <w:rPr>
          <w:rFonts w:ascii="Verdana" w:eastAsia="Calibri" w:hAnsi="Verdana" w:cs="Arial"/>
          <w:bCs/>
          <w:color w:val="000000" w:themeColor="text1"/>
        </w:rPr>
      </w:pPr>
      <w:r w:rsidRPr="00E853DE">
        <w:rPr>
          <w:rFonts w:ascii="Verdana" w:eastAsia="Calibri" w:hAnsi="Verdana" w:cs="Arial"/>
          <w:bCs/>
          <w:color w:val="000000" w:themeColor="text1"/>
        </w:rPr>
        <w:lastRenderedPageBreak/>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p>
    <w:p w14:paraId="059A3400" w14:textId="77777777" w:rsidR="00AA30FB" w:rsidRPr="00182C89" w:rsidRDefault="00AA30FB" w:rsidP="00AA30FB">
      <w:pPr>
        <w:tabs>
          <w:tab w:val="left" w:pos="709"/>
        </w:tabs>
        <w:spacing w:after="0" w:line="276" w:lineRule="auto"/>
        <w:jc w:val="both"/>
        <w:rPr>
          <w:rFonts w:ascii="Verdana" w:eastAsia="Calibri" w:hAnsi="Verdana" w:cs="Arial"/>
          <w:color w:val="000000" w:themeColor="text1"/>
        </w:rPr>
      </w:pPr>
    </w:p>
    <w:p w14:paraId="07C9924F" w14:textId="77777777" w:rsidR="00AA30FB" w:rsidRPr="00593A5F" w:rsidRDefault="00AA30FB" w:rsidP="00AA30F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5AFE9DEA" w14:textId="77777777" w:rsidR="00AA30FB" w:rsidRPr="00593A5F" w:rsidRDefault="00AA30FB" w:rsidP="00AA30FB">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A30FB" w:rsidRPr="002407CE" w14:paraId="65A69264" w14:textId="77777777" w:rsidTr="00E54B96">
        <w:trPr>
          <w:trHeight w:val="870"/>
          <w:jc w:val="center"/>
        </w:trPr>
        <w:tc>
          <w:tcPr>
            <w:tcW w:w="8647" w:type="dxa"/>
          </w:tcPr>
          <w:p w14:paraId="74FD0334" w14:textId="77777777" w:rsidR="00AA30FB" w:rsidRDefault="00AA30FB" w:rsidP="00E54B96">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1474 de 2011, artículo 74.</w:t>
            </w:r>
          </w:p>
          <w:p w14:paraId="2970E2FE" w14:textId="77777777" w:rsidR="00AA30FB" w:rsidRDefault="00AA30FB" w:rsidP="00E54B96">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1712 de 2014, artículos 5 y 9.</w:t>
            </w:r>
          </w:p>
          <w:p w14:paraId="6AC102E9" w14:textId="77777777" w:rsidR="00AA30FB" w:rsidRDefault="00AA30FB" w:rsidP="00E54B96">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 xml:space="preserve">Decreto 1081 de 2015, artículo </w:t>
            </w:r>
            <w:r w:rsidRPr="009B4F1A">
              <w:rPr>
                <w:rFonts w:ascii="Verdana" w:hAnsi="Verdana" w:cs="Arial"/>
              </w:rPr>
              <w:t>2.1.1.2.1.10</w:t>
            </w:r>
            <w:r>
              <w:rPr>
                <w:rFonts w:ascii="Verdana" w:hAnsi="Verdana" w:cs="Arial"/>
              </w:rPr>
              <w:t>.</w:t>
            </w:r>
          </w:p>
          <w:p w14:paraId="0999A048" w14:textId="77777777" w:rsidR="00AA30FB" w:rsidRPr="002F2729" w:rsidRDefault="00AA30FB" w:rsidP="00E54B96">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Pr>
                <w:rFonts w:ascii="Verdana" w:hAnsi="Verdana" w:cs="Arial"/>
              </w:rPr>
              <w:t xml:space="preserve">Decreto 1082 de 2015, artículos </w:t>
            </w:r>
            <w:r w:rsidRPr="009512CD">
              <w:rPr>
                <w:rFonts w:ascii="Verdana" w:eastAsia="Calibri" w:hAnsi="Verdana" w:cs="Arial"/>
              </w:rPr>
              <w:t>2.2.1.1.1.3.1</w:t>
            </w:r>
            <w:r>
              <w:rPr>
                <w:rFonts w:ascii="Verdana" w:eastAsia="Calibri" w:hAnsi="Verdana" w:cs="Arial"/>
              </w:rPr>
              <w:t xml:space="preserve">, </w:t>
            </w:r>
            <w:r w:rsidRPr="009B4F1A">
              <w:rPr>
                <w:rFonts w:ascii="Verdana" w:eastAsia="Calibri" w:hAnsi="Verdana" w:cs="Arial"/>
              </w:rPr>
              <w:t>2.2.1.1.1.4.1, 2.2.1.1.1.4.3 y 2.2.1.1.1.4.4</w:t>
            </w:r>
            <w:r>
              <w:rPr>
                <w:rFonts w:ascii="Verdana" w:hAnsi="Verdana" w:cs="Arial"/>
              </w:rPr>
              <w:t>.</w:t>
            </w:r>
          </w:p>
        </w:tc>
      </w:tr>
    </w:tbl>
    <w:p w14:paraId="424AF4EC" w14:textId="77777777" w:rsidR="00AA30FB" w:rsidRPr="002407CE" w:rsidRDefault="00AA30FB" w:rsidP="00AA30FB">
      <w:pPr>
        <w:widowControl w:val="0"/>
        <w:autoSpaceDE w:val="0"/>
        <w:autoSpaceDN w:val="0"/>
        <w:spacing w:after="0" w:line="276" w:lineRule="auto"/>
        <w:jc w:val="both"/>
        <w:rPr>
          <w:rFonts w:ascii="Verdana" w:hAnsi="Verdana" w:cs="Arial"/>
        </w:rPr>
      </w:pPr>
    </w:p>
    <w:p w14:paraId="50A2DF78" w14:textId="77777777" w:rsidR="00AA30FB" w:rsidRPr="00593A5F" w:rsidRDefault="00AA30FB" w:rsidP="00AA30F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1363E15A" w14:textId="77777777" w:rsidR="00AA30FB" w:rsidRPr="00593A5F" w:rsidRDefault="00AA30FB" w:rsidP="00AA30FB">
      <w:pPr>
        <w:widowControl w:val="0"/>
        <w:autoSpaceDE w:val="0"/>
        <w:autoSpaceDN w:val="0"/>
        <w:spacing w:after="0" w:line="276" w:lineRule="auto"/>
        <w:jc w:val="both"/>
        <w:rPr>
          <w:rFonts w:ascii="Verdana" w:hAnsi="Verdana" w:cs="Arial"/>
        </w:rPr>
      </w:pPr>
    </w:p>
    <w:p w14:paraId="79C8FC9A" w14:textId="77777777" w:rsidR="00AA30FB" w:rsidRPr="00ED0098" w:rsidRDefault="00AA30FB" w:rsidP="00AA30FB">
      <w:pPr>
        <w:widowControl w:val="0"/>
        <w:autoSpaceDE w:val="0"/>
        <w:autoSpaceDN w:val="0"/>
        <w:spacing w:after="0" w:line="276" w:lineRule="auto"/>
        <w:jc w:val="both"/>
        <w:rPr>
          <w:rStyle w:val="normaltextrun"/>
          <w:rFonts w:ascii="Verdana" w:hAnsi="Verdana" w:cs="Arial"/>
          <w:shd w:val="clear" w:color="auto" w:fill="FFFFFF"/>
        </w:rPr>
      </w:pPr>
      <w:r w:rsidRPr="002F2729">
        <w:rPr>
          <w:rFonts w:ascii="Verdana" w:hAnsi="Verdana" w:cs="Arial"/>
          <w:shd w:val="clear" w:color="auto" w:fill="FFFFFF"/>
        </w:rPr>
        <w:t xml:space="preserve">Esta Subdirección se ha pronunciado </w:t>
      </w:r>
      <w:r w:rsidRPr="009C0079">
        <w:rPr>
          <w:rFonts w:ascii="Verdana" w:hAnsi="Verdana" w:cs="Arial"/>
          <w:shd w:val="clear" w:color="auto" w:fill="FFFFFF"/>
        </w:rPr>
        <w:t>sobre</w:t>
      </w:r>
      <w:r>
        <w:rPr>
          <w:rFonts w:ascii="Verdana" w:hAnsi="Verdana" w:cs="Arial"/>
          <w:shd w:val="clear" w:color="auto" w:fill="FFFFFF"/>
        </w:rPr>
        <w:t xml:space="preserve"> </w:t>
      </w:r>
      <w:r w:rsidRPr="006B0E52">
        <w:rPr>
          <w:rStyle w:val="normaltextrun"/>
          <w:rFonts w:ascii="Verdana" w:hAnsi="Verdana" w:cs="Arial"/>
          <w:shd w:val="clear" w:color="auto" w:fill="FFFFFF"/>
          <w:lang w:val="es-ES"/>
        </w:rPr>
        <w:t xml:space="preserve">la elaboración del Plan Anual de Adquisiciones y su contenido en los </w:t>
      </w:r>
      <w:r>
        <w:rPr>
          <w:rStyle w:val="normaltextrun"/>
          <w:rFonts w:ascii="Verdana" w:hAnsi="Verdana" w:cs="Arial"/>
          <w:shd w:val="clear" w:color="auto" w:fill="FFFFFF"/>
          <w:lang w:val="es-ES"/>
        </w:rPr>
        <w:t>C</w:t>
      </w:r>
      <w:r w:rsidRPr="006B0E52">
        <w:rPr>
          <w:rStyle w:val="normaltextrun"/>
          <w:rFonts w:ascii="Verdana" w:hAnsi="Verdana" w:cs="Arial"/>
          <w:shd w:val="clear" w:color="auto" w:fill="FFFFFF"/>
          <w:lang w:val="es-ES"/>
        </w:rPr>
        <w:t>onceptos</w:t>
      </w:r>
      <w:r w:rsidRPr="006B0E52">
        <w:rPr>
          <w:rStyle w:val="normaltextrun"/>
          <w:rFonts w:ascii="Verdana" w:hAnsi="Verdana" w:cs="Calibri"/>
          <w:shd w:val="clear" w:color="auto" w:fill="FFFFFF"/>
        </w:rPr>
        <w:t xml:space="preserve"> </w:t>
      </w:r>
      <w:r w:rsidRPr="006B0E52">
        <w:rPr>
          <w:rStyle w:val="normaltextrun"/>
          <w:rFonts w:ascii="Verdana" w:hAnsi="Verdana" w:cs="Arial"/>
          <w:shd w:val="clear" w:color="auto" w:fill="FFFFFF"/>
          <w:lang w:val="es-ES"/>
        </w:rPr>
        <w:t xml:space="preserve">4201913000006571 del 8 de noviembre de 2019, 4201912000007258 del 4 de diciembre de 2019, C-011 del 14 de febrero de 2020, C-048 del 13 de enero de 2020, C-106 del 20 de marzo de 2020, C-109 del 25 de marzo de 2020, C-177 del 31 de marzo de 2020, C- 158 del 03 de abril de 2020, C-237 del 27 de abril de 2020, C-266 del 21 de mayo de 2020, C- 329 del 16 de junio de 2020, C-390 del 23 de junio de 2020, C-331 del 25 de junio de 2020, C-428 del 07 de julio de 2020, C-467 del 31 de julio de 2020, C-638 del 14 de octubre de 2020, C-648 del 25 de octubre de 2020 y C-686 del 01 de diciembre de 2020, C-131 de 6 de abril de 2021, C-257 de 3 de junio de 2021, C-258 de 3 de junio de 2021, C-345 de 13 de julio de 2021, C-376 de 26 de julio de 2021, C-489 de 13 de septiembre de 2021, C-637 del 7 de diciembre de 2021, C-733 del 13 de enero de 2022,  C-026 del 18 de febrero de 2022, C-027 del 25 de febrero de 2022, C-047 del 2 de marzo de 2022, C-087 del 17 de marzo de 2022, C-408 del 23 de junio de 2022, C-622 de 28 de septiembre de 2022, C-754 de 9 de noviembre de 2022 , C-763 de 15 </w:t>
      </w:r>
      <w:r w:rsidRPr="006B0E52">
        <w:rPr>
          <w:rStyle w:val="normaltextrun"/>
          <w:rFonts w:ascii="Verdana" w:hAnsi="Verdana" w:cs="Arial"/>
          <w:shd w:val="clear" w:color="auto" w:fill="FFFFFF"/>
          <w:lang w:val="es-ES"/>
        </w:rPr>
        <w:lastRenderedPageBreak/>
        <w:t>de noviembre de 2022, C-889 de 26 de diciembre de 2022, C-062 del 18 de abril de 2023, C-142 de 30 de mayo de 2023, C-196 de 15 de junio de 2023, C-122 de 21 de junio de 2023, C-364 de 6 de septiembre de 2023, C-438 del 24 de octubre 2023,</w:t>
      </w:r>
      <w:r>
        <w:rPr>
          <w:rStyle w:val="normaltextrun"/>
          <w:rFonts w:ascii="Verdana" w:hAnsi="Verdana" w:cs="Arial"/>
          <w:shd w:val="clear" w:color="auto" w:fill="FFFFFF"/>
          <w:lang w:val="es-ES"/>
        </w:rPr>
        <w:t xml:space="preserve">C- 1015 del 30 de diciembre de 2024, C-023 del 29 de enero de 2025, C-035 del 25 de febrero de 2025, </w:t>
      </w:r>
      <w:r w:rsidRPr="006B0E52">
        <w:rPr>
          <w:rStyle w:val="normaltextrun"/>
          <w:rFonts w:ascii="Verdana" w:hAnsi="Verdana" w:cs="Arial"/>
          <w:shd w:val="clear" w:color="auto" w:fill="FFFFFF"/>
          <w:lang w:val="es-ES"/>
        </w:rPr>
        <w:t>entre otros</w:t>
      </w:r>
      <w:r>
        <w:rPr>
          <w:rFonts w:ascii="Verdana" w:hAnsi="Verdana"/>
        </w:rPr>
        <w:t>.</w:t>
      </w:r>
      <w:r>
        <w:rPr>
          <w:rFonts w:ascii="Verdana" w:hAnsi="Verdana" w:cs="Arial"/>
          <w:shd w:val="clear" w:color="auto" w:fill="FFFFFF"/>
        </w:rPr>
        <w:t xml:space="preserve">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w:t>
      </w:r>
      <w:r w:rsidRPr="008D0AB0">
        <w:rPr>
          <w:rStyle w:val="normaltextrun"/>
          <w:rFonts w:ascii="Verdana" w:hAnsi="Verdana" w:cs="Arial"/>
          <w:shd w:val="clear" w:color="auto" w:fill="FFFFFF"/>
        </w:rPr>
        <w:t>se</w:t>
      </w:r>
      <w:r>
        <w:rPr>
          <w:rStyle w:val="normaltextrun"/>
          <w:rFonts w:ascii="Verdana" w:hAnsi="Verdana" w:cs="Arial"/>
          <w:shd w:val="clear" w:color="auto" w:fill="FFFFFF"/>
        </w:rPr>
        <w:t xml:space="preserve"> </w:t>
      </w:r>
      <w:r w:rsidRPr="008D0AB0">
        <w:rPr>
          <w:rStyle w:val="normaltextrun"/>
          <w:rFonts w:ascii="Verdana" w:hAnsi="Verdana" w:cs="Arial"/>
          <w:shd w:val="clear" w:color="auto" w:fill="FFFFFF"/>
        </w:rPr>
        <w:t xml:space="preserve">encuentran disponibles para consulta en el Sistema de relatoría de la Agencia, al cual puede accederse a través del siguiente enlace: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2E8FA804" w14:textId="77777777" w:rsidR="00AA30FB" w:rsidRPr="00096788" w:rsidRDefault="00AA30FB" w:rsidP="00AA30FB">
      <w:pPr>
        <w:widowControl w:val="0"/>
        <w:autoSpaceDE w:val="0"/>
        <w:autoSpaceDN w:val="0"/>
        <w:spacing w:after="0" w:line="276" w:lineRule="auto"/>
        <w:jc w:val="both"/>
        <w:rPr>
          <w:rFonts w:ascii="Verdana" w:hAnsi="Verdana" w:cs="Arial"/>
          <w:color w:val="000000" w:themeColor="text1"/>
          <w:shd w:val="clear" w:color="auto" w:fill="FFFFFF"/>
        </w:rPr>
      </w:pPr>
    </w:p>
    <w:p w14:paraId="582D75E5" w14:textId="77777777" w:rsidR="00AA30FB" w:rsidRPr="00E440FD" w:rsidRDefault="00AA30FB" w:rsidP="00AA30FB">
      <w:pPr>
        <w:shd w:val="clear" w:color="auto" w:fill="FFFFFF"/>
        <w:spacing w:after="0" w:line="276" w:lineRule="auto"/>
        <w:jc w:val="both"/>
        <w:rPr>
          <w:rFonts w:ascii="Verdana" w:hAnsi="Verdana"/>
          <w:color w:val="467886"/>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Pr>
          <w:rFonts w:ascii="Verdana" w:hAnsi="Verdana"/>
          <w:color w:val="000000"/>
          <w:u w:val="single"/>
        </w:rPr>
        <w:t>.</w:t>
      </w:r>
    </w:p>
    <w:p w14:paraId="6310C73A" w14:textId="77777777" w:rsidR="00AA30FB" w:rsidRDefault="00AA30FB" w:rsidP="00AA30FB">
      <w:pPr>
        <w:widowControl w:val="0"/>
        <w:autoSpaceDE w:val="0"/>
        <w:autoSpaceDN w:val="0"/>
        <w:spacing w:after="0" w:line="276" w:lineRule="auto"/>
        <w:jc w:val="both"/>
        <w:rPr>
          <w:rStyle w:val="normaltextrun"/>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15B7F1A3" w14:textId="77777777" w:rsidR="00AA30FB" w:rsidRPr="00116940" w:rsidRDefault="00AA30FB" w:rsidP="00AA30FB">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4CBDAD77" w14:textId="77777777" w:rsidR="00AA30FB" w:rsidRPr="00116940" w:rsidRDefault="00AA30FB" w:rsidP="00AA30FB">
      <w:pPr>
        <w:spacing w:after="0"/>
        <w:jc w:val="both"/>
        <w:rPr>
          <w:rFonts w:ascii="Verdana" w:hAnsi="Verdana"/>
        </w:rPr>
      </w:pPr>
    </w:p>
    <w:p w14:paraId="23B4915D" w14:textId="77777777" w:rsidR="00AA30FB" w:rsidRPr="00116940" w:rsidRDefault="00AA30FB" w:rsidP="00AA30FB">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61395C2C" w14:textId="77777777" w:rsidR="00AA30FB" w:rsidRPr="00116940" w:rsidRDefault="00AA30FB" w:rsidP="00AA30FB">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7091F772" w14:textId="77777777" w:rsidR="00AA30FB" w:rsidRPr="00116940" w:rsidRDefault="00AA30FB" w:rsidP="00AA30FB">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4">
        <w:r w:rsidRPr="00116940">
          <w:rPr>
            <w:rStyle w:val="Hipervnculo"/>
            <w:rFonts w:ascii="Verdana" w:eastAsia="Verdana" w:hAnsi="Verdana" w:cs="Verdana"/>
            <w:lang w:val="es-MX"/>
          </w:rPr>
          <w:t>ventanilladeradicacion@colombiacompra.gov.co</w:t>
        </w:r>
      </w:hyperlink>
    </w:p>
    <w:p w14:paraId="2ACECD19" w14:textId="77777777" w:rsidR="00AA30FB" w:rsidRPr="00116940" w:rsidRDefault="00AA30FB" w:rsidP="00AA30FB">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5">
        <w:r w:rsidRPr="00116940">
          <w:rPr>
            <w:rStyle w:val="Hipervnculo"/>
            <w:rFonts w:ascii="Verdana" w:eastAsia="Verdana" w:hAnsi="Verdana" w:cs="Verdana"/>
            <w:lang w:val="es-MX"/>
          </w:rPr>
          <w:t>https://www.colombiacompra.gov.co/pqrsd/informacion-importante-antes-de-formular-una-pqrsd</w:t>
        </w:r>
      </w:hyperlink>
    </w:p>
    <w:p w14:paraId="5A9EF526" w14:textId="77777777" w:rsidR="00AA30FB" w:rsidRPr="00116940" w:rsidRDefault="00AA30FB" w:rsidP="00AA30FB">
      <w:pPr>
        <w:spacing w:after="0" w:line="240" w:lineRule="auto"/>
        <w:ind w:left="720"/>
        <w:jc w:val="both"/>
        <w:rPr>
          <w:rFonts w:ascii="Verdana" w:hAnsi="Verdana"/>
        </w:rPr>
      </w:pPr>
    </w:p>
    <w:p w14:paraId="1F2F8E12" w14:textId="77777777" w:rsidR="00AA30FB" w:rsidRPr="00116940" w:rsidRDefault="00AA30FB" w:rsidP="00AA30FB">
      <w:pPr>
        <w:spacing w:after="0" w:line="240" w:lineRule="auto"/>
        <w:rPr>
          <w:rFonts w:ascii="Verdana" w:hAnsi="Verdana"/>
        </w:rPr>
      </w:pPr>
      <w:r w:rsidRPr="00116940">
        <w:rPr>
          <w:rFonts w:ascii="Verdana" w:hAnsi="Verdana"/>
        </w:rPr>
        <w:lastRenderedPageBreak/>
        <w:t>Evalúa el servicio que ofrece la Agencia por el canal de atención de PQRSD en el siguiente enlace :</w:t>
      </w:r>
      <w:hyperlink r:id="rId16"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7E6A0527" w14:textId="77777777" w:rsidR="00AA30FB" w:rsidRPr="00116940" w:rsidRDefault="00AA30FB" w:rsidP="00AA30FB">
      <w:pPr>
        <w:spacing w:after="0" w:line="240" w:lineRule="auto"/>
        <w:rPr>
          <w:rFonts w:ascii="Verdana" w:hAnsi="Verdana"/>
        </w:rPr>
      </w:pPr>
    </w:p>
    <w:p w14:paraId="4454A759" w14:textId="77777777" w:rsidR="00AA30FB" w:rsidRPr="00116940" w:rsidRDefault="00AA30FB" w:rsidP="00AA30FB">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7EA4D6AC" w14:textId="77777777" w:rsidR="00AA30FB" w:rsidRPr="00116940" w:rsidRDefault="00AA30FB" w:rsidP="00AA30FB">
      <w:pPr>
        <w:spacing w:after="0" w:line="240" w:lineRule="auto"/>
        <w:jc w:val="both"/>
        <w:rPr>
          <w:rFonts w:ascii="Verdana" w:hAnsi="Verdana"/>
        </w:rPr>
      </w:pPr>
    </w:p>
    <w:p w14:paraId="14CC806B" w14:textId="77777777" w:rsidR="00AA30FB" w:rsidRPr="00116940" w:rsidRDefault="00AA30FB" w:rsidP="00AA30FB">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04674CFC" w14:textId="77777777" w:rsidR="00AA30FB" w:rsidRPr="00116940" w:rsidRDefault="00AA30FB" w:rsidP="00AA30FB">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0A01174C" w14:textId="77777777" w:rsidR="00AA30FB" w:rsidRPr="00116940" w:rsidRDefault="00AA30FB" w:rsidP="00AA30FB">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66E7777A" w14:textId="77777777" w:rsidR="00AA30FB" w:rsidRPr="00562805" w:rsidRDefault="00AA30FB" w:rsidP="00AA30FB">
      <w:pPr>
        <w:widowControl w:val="0"/>
        <w:autoSpaceDE w:val="0"/>
        <w:autoSpaceDN w:val="0"/>
        <w:spacing w:after="120" w:line="276" w:lineRule="auto"/>
        <w:jc w:val="both"/>
        <w:rPr>
          <w:rFonts w:ascii="Verdana" w:hAnsi="Verdana" w:cs="Arial"/>
          <w:color w:val="FF0000"/>
          <w:shd w:val="clear" w:color="auto" w:fill="FFFFFF"/>
        </w:rPr>
      </w:pPr>
    </w:p>
    <w:p w14:paraId="58DF7E5A" w14:textId="77777777" w:rsidR="00AA30FB" w:rsidRPr="00593A5F" w:rsidRDefault="00AA30FB" w:rsidP="00AA30FB">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10FF2647" w14:textId="77777777" w:rsidR="00AA30FB" w:rsidRPr="00593A5F" w:rsidRDefault="00AA30FB" w:rsidP="00AA30FB">
      <w:pPr>
        <w:widowControl w:val="0"/>
        <w:autoSpaceDE w:val="0"/>
        <w:autoSpaceDN w:val="0"/>
        <w:spacing w:after="0" w:line="276" w:lineRule="auto"/>
        <w:jc w:val="both"/>
        <w:rPr>
          <w:rFonts w:ascii="Verdana" w:hAnsi="Verdana" w:cs="Arial"/>
        </w:rPr>
      </w:pPr>
    </w:p>
    <w:p w14:paraId="276C34A1" w14:textId="77777777" w:rsidR="00AA30FB" w:rsidRPr="00593A5F" w:rsidRDefault="00AA30FB" w:rsidP="00AA30FB">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7D2BDF39" w14:textId="2D9A4FDB" w:rsidR="00AA30FB" w:rsidRPr="00593A5F" w:rsidRDefault="00605A49" w:rsidP="00AA30FB">
      <w:pPr>
        <w:spacing w:line="276" w:lineRule="auto"/>
        <w:jc w:val="center"/>
        <w:rPr>
          <w:rFonts w:ascii="Verdana" w:hAnsi="Verdana" w:cs="Arial"/>
          <w:color w:val="000000"/>
          <w:lang w:val="es-ES_tradnl" w:eastAsia="es-CO"/>
        </w:rPr>
      </w:pPr>
      <w:r>
        <w:rPr>
          <w:noProof/>
        </w:rPr>
        <w:drawing>
          <wp:inline distT="0" distB="0" distL="0" distR="0" wp14:anchorId="13F640F4" wp14:editId="6926938D">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7"/>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A30FB" w:rsidRPr="00593A5F" w14:paraId="1BA2B5B5" w14:textId="77777777" w:rsidTr="00E54B96">
        <w:trPr>
          <w:trHeight w:val="315"/>
        </w:trPr>
        <w:tc>
          <w:tcPr>
            <w:tcW w:w="893" w:type="dxa"/>
            <w:vAlign w:val="center"/>
            <w:hideMark/>
          </w:tcPr>
          <w:p w14:paraId="171F8CA3" w14:textId="77777777" w:rsidR="00AA30FB" w:rsidRPr="003751C7" w:rsidRDefault="00AA30FB" w:rsidP="00E54B96">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0631784" w14:textId="77777777" w:rsidR="00AA30FB" w:rsidRPr="00254A7A" w:rsidRDefault="00AA30FB" w:rsidP="00E54B96">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6489F5AC" w14:textId="77777777" w:rsidR="00AA30FB" w:rsidRPr="00254A7A" w:rsidRDefault="00AA30FB" w:rsidP="00E54B96">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AA30FB" w:rsidRPr="00593A5F" w14:paraId="45C73CD4" w14:textId="77777777" w:rsidTr="00E54B96">
        <w:trPr>
          <w:trHeight w:val="330"/>
        </w:trPr>
        <w:tc>
          <w:tcPr>
            <w:tcW w:w="893" w:type="dxa"/>
            <w:vAlign w:val="center"/>
            <w:hideMark/>
          </w:tcPr>
          <w:p w14:paraId="4C219BA6" w14:textId="77777777" w:rsidR="00AA30FB" w:rsidRPr="003751C7" w:rsidRDefault="00AA30FB" w:rsidP="00E54B96">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05D004D" w14:textId="77777777" w:rsidR="00AA30FB" w:rsidRPr="001B6B73" w:rsidRDefault="00AA30FB" w:rsidP="00E54B96">
            <w:pPr>
              <w:pStyle w:val="paragraph"/>
              <w:spacing w:after="0"/>
              <w:contextualSpacing/>
              <w:textAlignment w:val="baseline"/>
              <w:rPr>
                <w:rStyle w:val="normaltextrun"/>
                <w:rFonts w:ascii="Verdana" w:hAnsi="Verdana" w:cs="Arial"/>
                <w:sz w:val="16"/>
                <w:szCs w:val="16"/>
                <w:lang w:val="es-ES_tradnl"/>
              </w:rPr>
            </w:pPr>
            <w:r w:rsidRPr="001B6B73">
              <w:rPr>
                <w:rStyle w:val="normaltextrun"/>
                <w:rFonts w:ascii="Verdana" w:hAnsi="Verdana" w:cs="Arial"/>
                <w:sz w:val="16"/>
                <w:szCs w:val="16"/>
                <w:lang w:val="es-ES_tradnl"/>
              </w:rPr>
              <w:t>Alejandro Sarmiento Cantillo</w:t>
            </w:r>
          </w:p>
          <w:p w14:paraId="4AE17160" w14:textId="77777777" w:rsidR="00AA30FB" w:rsidRPr="00254A7A" w:rsidRDefault="00AA30FB" w:rsidP="00E54B96">
            <w:pPr>
              <w:pStyle w:val="paragraph"/>
              <w:spacing w:before="0" w:beforeAutospacing="0" w:after="0" w:afterAutospacing="0"/>
              <w:contextualSpacing/>
              <w:textAlignment w:val="baseline"/>
              <w:rPr>
                <w:rFonts w:ascii="Verdana" w:hAnsi="Verdana" w:cs="Segoe UI"/>
                <w:sz w:val="16"/>
                <w:szCs w:val="16"/>
              </w:rPr>
            </w:pPr>
            <w:r w:rsidRPr="001B6B73">
              <w:rPr>
                <w:rStyle w:val="normaltextrun"/>
                <w:rFonts w:ascii="Verdana" w:hAnsi="Verdana" w:cs="Arial"/>
                <w:sz w:val="16"/>
                <w:szCs w:val="16"/>
                <w:lang w:val="es-ES_tradnl"/>
              </w:rPr>
              <w:t>Gestor T1 ‒ 15 de la Subdirección de Gestión Contractual</w:t>
            </w:r>
          </w:p>
        </w:tc>
      </w:tr>
      <w:tr w:rsidR="00AA30FB" w:rsidRPr="00593A5F" w14:paraId="0CFF6AA3" w14:textId="77777777" w:rsidTr="00E54B96">
        <w:trPr>
          <w:trHeight w:val="300"/>
        </w:trPr>
        <w:tc>
          <w:tcPr>
            <w:tcW w:w="893" w:type="dxa"/>
            <w:vAlign w:val="center"/>
          </w:tcPr>
          <w:p w14:paraId="07755966" w14:textId="77777777" w:rsidR="00AA30FB" w:rsidRPr="003751C7" w:rsidRDefault="00AA30FB" w:rsidP="00E54B96">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BF3635D" w14:textId="77777777" w:rsidR="00AA30FB" w:rsidRPr="003751C7" w:rsidRDefault="00AA30FB" w:rsidP="00E54B96">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 xml:space="preserve">Carolina Quintero </w:t>
            </w:r>
            <w:proofErr w:type="spellStart"/>
            <w:r w:rsidRPr="003751C7">
              <w:rPr>
                <w:rFonts w:ascii="Verdana" w:eastAsia="Calibri" w:hAnsi="Verdana" w:cs="Arial"/>
                <w:sz w:val="16"/>
                <w:szCs w:val="16"/>
                <w:lang w:val="pt-BR" w:eastAsia="es-ES"/>
              </w:rPr>
              <w:t>Gacharná</w:t>
            </w:r>
            <w:proofErr w:type="spellEnd"/>
          </w:p>
          <w:p w14:paraId="0337C14D" w14:textId="77777777" w:rsidR="00AA30FB" w:rsidRPr="003751C7" w:rsidRDefault="00AA30FB" w:rsidP="00E54B96">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w:t>
            </w:r>
            <w:proofErr w:type="spellStart"/>
            <w:r w:rsidRPr="003751C7">
              <w:rPr>
                <w:rFonts w:ascii="Verdana" w:eastAsia="Calibri" w:hAnsi="Verdana" w:cs="Arial"/>
                <w:sz w:val="16"/>
                <w:szCs w:val="16"/>
                <w:lang w:val="pt-BR" w:eastAsia="es-ES"/>
              </w:rPr>
              <w:t>Contractual</w:t>
            </w:r>
            <w:proofErr w:type="spellEnd"/>
            <w:r w:rsidRPr="003751C7">
              <w:rPr>
                <w:rFonts w:ascii="Verdana" w:eastAsia="Calibri" w:hAnsi="Verdana" w:cs="Arial"/>
                <w:sz w:val="16"/>
                <w:szCs w:val="16"/>
                <w:lang w:val="pt-BR" w:eastAsia="es-ES"/>
              </w:rPr>
              <w:t xml:space="preserve"> ANCP – CCE</w:t>
            </w:r>
          </w:p>
        </w:tc>
      </w:tr>
    </w:tbl>
    <w:p w14:paraId="3DAAA385" w14:textId="77777777" w:rsidR="00AA30FB" w:rsidRPr="00543BFE" w:rsidRDefault="00AA30FB" w:rsidP="00AA30FB"/>
    <w:p w14:paraId="0F293BF4" w14:textId="438BFC59" w:rsidR="00127233" w:rsidRPr="00DD3564" w:rsidRDefault="00127233" w:rsidP="00DD3564"/>
    <w:sectPr w:rsidR="00127233" w:rsidRPr="00DD3564"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384914" w14:textId="77777777" w:rsidR="00E174E4" w:rsidRDefault="00E174E4" w:rsidP="004A1847">
      <w:pPr>
        <w:spacing w:after="0" w:line="240" w:lineRule="auto"/>
      </w:pPr>
      <w:r>
        <w:separator/>
      </w:r>
    </w:p>
  </w:endnote>
  <w:endnote w:type="continuationSeparator" w:id="0">
    <w:p w14:paraId="158A0CBD" w14:textId="77777777" w:rsidR="00E174E4" w:rsidRDefault="00E174E4" w:rsidP="004A1847">
      <w:pPr>
        <w:spacing w:after="0" w:line="240" w:lineRule="auto"/>
      </w:pPr>
      <w:r>
        <w:continuationSeparator/>
      </w:r>
    </w:p>
  </w:endnote>
  <w:endnote w:type="continuationNotice" w:id="1">
    <w:p w14:paraId="59953972" w14:textId="77777777" w:rsidR="00E174E4" w:rsidRDefault="00E174E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orbel"/>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20FFB9" w14:textId="77777777" w:rsidR="00E174E4" w:rsidRDefault="00E174E4" w:rsidP="004A1847">
      <w:pPr>
        <w:spacing w:after="0" w:line="240" w:lineRule="auto"/>
      </w:pPr>
      <w:r>
        <w:separator/>
      </w:r>
    </w:p>
  </w:footnote>
  <w:footnote w:type="continuationSeparator" w:id="0">
    <w:p w14:paraId="51CC9E6E" w14:textId="77777777" w:rsidR="00E174E4" w:rsidRDefault="00E174E4" w:rsidP="004A1847">
      <w:pPr>
        <w:spacing w:after="0" w:line="240" w:lineRule="auto"/>
      </w:pPr>
      <w:r>
        <w:continuationSeparator/>
      </w:r>
    </w:p>
  </w:footnote>
  <w:footnote w:type="continuationNotice" w:id="1">
    <w:p w14:paraId="7EFB53E5" w14:textId="77777777" w:rsidR="00E174E4" w:rsidRDefault="00E174E4">
      <w:pPr>
        <w:spacing w:after="0" w:line="240" w:lineRule="auto"/>
      </w:pPr>
    </w:p>
  </w:footnote>
  <w:footnote w:id="2">
    <w:p w14:paraId="126E3E89" w14:textId="77777777" w:rsidR="00AA30FB" w:rsidRPr="009512CD" w:rsidRDefault="00AA30FB" w:rsidP="00AA30FB">
      <w:pPr>
        <w:pStyle w:val="Textonotapie"/>
        <w:ind w:firstLine="708"/>
        <w:jc w:val="both"/>
        <w:rPr>
          <w:rFonts w:ascii="Verdana" w:hAnsi="Verdana" w:cs="Arial"/>
          <w:sz w:val="16"/>
          <w:szCs w:val="16"/>
          <w:lang w:val="es-ES"/>
        </w:rPr>
      </w:pPr>
      <w:r w:rsidRPr="009512CD">
        <w:rPr>
          <w:rStyle w:val="Refdenotaalpie"/>
          <w:rFonts w:ascii="Verdana" w:hAnsi="Verdana" w:cs="Arial"/>
          <w:sz w:val="16"/>
          <w:szCs w:val="16"/>
        </w:rPr>
        <w:footnoteRef/>
      </w:r>
      <w:r w:rsidRPr="009512CD">
        <w:rPr>
          <w:rFonts w:ascii="Verdana" w:hAnsi="Verdana" w:cs="Arial"/>
          <w:sz w:val="16"/>
          <w:szCs w:val="16"/>
        </w:rPr>
        <w:t xml:space="preserve"> El artículo 74 de la Ley 1474 prescribe: “</w:t>
      </w:r>
      <w:r w:rsidRPr="009512CD">
        <w:rPr>
          <w:rFonts w:ascii="Verdana" w:hAnsi="Verdana" w:cs="Arial"/>
          <w:sz w:val="16"/>
          <w:szCs w:val="16"/>
          <w:lang w:val="es-ES"/>
        </w:rPr>
        <w:t>A partir de la vigencia de la presente ley, todas las entidades del Estado a más tardar el 31 de enero de cada año, deberán publicar en su respectiva página web el Plan de Acción para el año siguiente, en el cual se especificarán los objetivos, las estrategias, los proyectos, las metas, los responsables, los planes generales de compras y la distribución presupuestal de sus proyectos de inversión junto a los indicadores de gestión.</w:t>
      </w:r>
    </w:p>
    <w:p w14:paraId="2A61D5C7" w14:textId="77777777" w:rsidR="00AA30FB" w:rsidRPr="009512CD" w:rsidRDefault="00AA30FB" w:rsidP="00AA30FB">
      <w:pPr>
        <w:pStyle w:val="Textonotapie"/>
        <w:ind w:firstLine="708"/>
        <w:jc w:val="both"/>
        <w:rPr>
          <w:rFonts w:ascii="Verdana" w:hAnsi="Verdana" w:cs="Arial"/>
          <w:sz w:val="16"/>
          <w:szCs w:val="16"/>
          <w:lang w:val="es-ES"/>
        </w:rPr>
      </w:pPr>
      <w:r w:rsidRPr="009512CD">
        <w:rPr>
          <w:rFonts w:ascii="Verdana" w:hAnsi="Verdana" w:cs="Arial"/>
          <w:sz w:val="16"/>
          <w:szCs w:val="16"/>
          <w:lang w:val="es-ES"/>
        </w:rPr>
        <w:t>A partir del año siguiente, el Plan de Acción deberá estar acompañado del informe de gestión del año inmediatamente anterior.</w:t>
      </w:r>
    </w:p>
    <w:p w14:paraId="0652FC21" w14:textId="77777777" w:rsidR="00AA30FB" w:rsidRPr="009512CD" w:rsidRDefault="00AA30FB" w:rsidP="00AA30FB">
      <w:pPr>
        <w:pStyle w:val="Textonotapie"/>
        <w:ind w:firstLine="708"/>
        <w:jc w:val="both"/>
        <w:rPr>
          <w:rFonts w:ascii="Verdana" w:hAnsi="Verdana" w:cs="Arial"/>
          <w:sz w:val="16"/>
          <w:szCs w:val="16"/>
          <w:lang w:val="es-ES"/>
        </w:rPr>
      </w:pPr>
      <w:r w:rsidRPr="009512CD">
        <w:rPr>
          <w:rFonts w:ascii="Verdana" w:hAnsi="Verdana" w:cs="Arial"/>
          <w:sz w:val="16"/>
          <w:szCs w:val="16"/>
          <w:lang w:val="es-ES"/>
        </w:rPr>
        <w:t>Igualmente publicarán por dicho medio su presupuesto debidamente desagregado, así como las modificaciones a este o a su desagregación.</w:t>
      </w:r>
      <w:r w:rsidRPr="009512CD">
        <w:rPr>
          <w:rFonts w:ascii="Verdana" w:hAnsi="Verdana" w:cs="Arial"/>
          <w:sz w:val="16"/>
          <w:szCs w:val="16"/>
          <w:lang w:val="es-ES"/>
        </w:rPr>
        <w:tab/>
      </w:r>
    </w:p>
    <w:p w14:paraId="389F2062" w14:textId="77777777" w:rsidR="00AA30FB" w:rsidRPr="009512CD" w:rsidRDefault="00AA30FB" w:rsidP="00AA30FB">
      <w:pPr>
        <w:pStyle w:val="Textonotapie"/>
        <w:ind w:firstLine="708"/>
        <w:jc w:val="both"/>
        <w:rPr>
          <w:rFonts w:ascii="Verdana" w:hAnsi="Verdana" w:cs="Arial"/>
          <w:sz w:val="16"/>
          <w:szCs w:val="16"/>
          <w:lang w:val="es-ES"/>
        </w:rPr>
      </w:pPr>
      <w:r w:rsidRPr="009512CD">
        <w:rPr>
          <w:rFonts w:ascii="Verdana" w:hAnsi="Verdana" w:cs="Arial"/>
          <w:sz w:val="16"/>
          <w:szCs w:val="16"/>
          <w:lang w:val="es-ES"/>
        </w:rPr>
        <w:t>Parágrafo. Las empresas industriales y comerciales del Estado y las Sociedades de Economía Mixta estarán exentas de publicar la información relacionada con sus proyectos de inversión”.</w:t>
      </w:r>
    </w:p>
  </w:footnote>
  <w:footnote w:id="3">
    <w:p w14:paraId="4BAA1163" w14:textId="77777777" w:rsidR="00AA30FB" w:rsidRPr="009512CD" w:rsidRDefault="00AA30FB" w:rsidP="00AA30FB">
      <w:pPr>
        <w:pStyle w:val="Textonotapie"/>
        <w:ind w:firstLine="709"/>
        <w:jc w:val="both"/>
        <w:rPr>
          <w:rFonts w:ascii="Verdana" w:hAnsi="Verdana" w:cs="Arial"/>
          <w:color w:val="000000" w:themeColor="text1"/>
          <w:sz w:val="16"/>
          <w:szCs w:val="16"/>
          <w:shd w:val="clear" w:color="auto" w:fill="FFFFFF"/>
        </w:rPr>
      </w:pPr>
      <w:r w:rsidRPr="009512CD">
        <w:rPr>
          <w:rStyle w:val="Refdenotaalpie"/>
          <w:rFonts w:ascii="Verdana" w:hAnsi="Verdana" w:cs="Arial"/>
          <w:color w:val="000000" w:themeColor="text1"/>
          <w:sz w:val="16"/>
          <w:szCs w:val="16"/>
        </w:rPr>
        <w:footnoteRef/>
      </w:r>
      <w:r w:rsidRPr="009512CD">
        <w:rPr>
          <w:rFonts w:ascii="Verdana" w:hAnsi="Verdana" w:cs="Arial"/>
          <w:color w:val="000000" w:themeColor="text1"/>
          <w:sz w:val="16"/>
          <w:szCs w:val="16"/>
        </w:rPr>
        <w:t xml:space="preserve"> “</w:t>
      </w:r>
      <w:r w:rsidRPr="009512CD">
        <w:rPr>
          <w:rStyle w:val="Textoennegrita"/>
          <w:rFonts w:ascii="Verdana" w:hAnsi="Verdana" w:cs="Arial"/>
          <w:color w:val="000000" w:themeColor="text1"/>
          <w:sz w:val="16"/>
          <w:szCs w:val="16"/>
          <w:shd w:val="clear" w:color="auto" w:fill="FFFFFF"/>
        </w:rPr>
        <w:t>Artículo 2.2.1.1.1.3.1. </w:t>
      </w:r>
      <w:r w:rsidRPr="009512CD">
        <w:rPr>
          <w:rStyle w:val="nfasis"/>
          <w:rFonts w:ascii="Verdana" w:hAnsi="Verdana" w:cs="Arial"/>
          <w:color w:val="000000" w:themeColor="text1"/>
          <w:sz w:val="16"/>
          <w:szCs w:val="16"/>
          <w:shd w:val="clear" w:color="auto" w:fill="FFFFFF"/>
        </w:rPr>
        <w:t>Definiciones. </w:t>
      </w:r>
      <w:r w:rsidRPr="009512CD">
        <w:rPr>
          <w:rFonts w:ascii="Verdana" w:hAnsi="Verdana" w:cs="Arial"/>
          <w:color w:val="000000" w:themeColor="text1"/>
          <w:sz w:val="16"/>
          <w:szCs w:val="16"/>
          <w:shd w:val="clear" w:color="auto" w:fill="FFFFFF"/>
        </w:rPr>
        <w:t>Los términos no definidos en el Título I de la Parte 2 del presente decreto y utilizados frecuentemente deben entenderse de acuerdo con su significado natural y obvio. Para la interpretación del presente Título I, las expresiones aquí utilizadas con mayúscula inicial deben ser entendidas con el significado que a continuación se indica. Los términos definidos son utilizados en singular y en plural de acuerdo como lo requiera el contexto en el cual son utilizados.</w:t>
      </w:r>
    </w:p>
    <w:p w14:paraId="5669EF3C" w14:textId="77777777" w:rsidR="00AA30FB" w:rsidRPr="009512CD" w:rsidRDefault="00AA30FB" w:rsidP="00AA30FB">
      <w:pPr>
        <w:pStyle w:val="Textonotapie"/>
        <w:ind w:firstLine="709"/>
        <w:jc w:val="both"/>
        <w:rPr>
          <w:rFonts w:ascii="Verdana" w:hAnsi="Verdana" w:cs="Arial"/>
          <w:color w:val="000000" w:themeColor="text1"/>
          <w:sz w:val="16"/>
          <w:szCs w:val="16"/>
          <w:shd w:val="clear" w:color="auto" w:fill="FFFFFF"/>
        </w:rPr>
      </w:pPr>
      <w:r w:rsidRPr="009512CD">
        <w:rPr>
          <w:rFonts w:ascii="Verdana" w:hAnsi="Verdana" w:cs="Arial"/>
          <w:color w:val="000000" w:themeColor="text1"/>
          <w:sz w:val="16"/>
          <w:szCs w:val="16"/>
          <w:shd w:val="clear" w:color="auto" w:fill="FFFFFF"/>
        </w:rPr>
        <w:t>[…]</w:t>
      </w:r>
    </w:p>
    <w:p w14:paraId="390BBCB2" w14:textId="77777777" w:rsidR="00AA30FB" w:rsidRPr="009512CD" w:rsidRDefault="00AA30FB" w:rsidP="00AA30FB">
      <w:pPr>
        <w:pStyle w:val="NormalWeb"/>
        <w:shd w:val="clear" w:color="auto" w:fill="FFFFFF"/>
        <w:spacing w:before="0" w:beforeAutospacing="0" w:after="0" w:afterAutospacing="0"/>
        <w:ind w:firstLine="709"/>
        <w:jc w:val="both"/>
        <w:rPr>
          <w:rFonts w:ascii="Verdana" w:hAnsi="Verdana" w:cs="Arial"/>
          <w:color w:val="000000" w:themeColor="text1"/>
          <w:sz w:val="16"/>
          <w:szCs w:val="16"/>
        </w:rPr>
      </w:pPr>
      <w:r w:rsidRPr="009512CD">
        <w:rPr>
          <w:rStyle w:val="nfasis"/>
          <w:rFonts w:ascii="Verdana" w:hAnsi="Verdana" w:cs="Arial"/>
          <w:color w:val="000000" w:themeColor="text1"/>
          <w:sz w:val="16"/>
          <w:szCs w:val="16"/>
        </w:rPr>
        <w:t>Plan Anual de Adquisiciones: </w:t>
      </w:r>
      <w:r w:rsidRPr="009512CD">
        <w:rPr>
          <w:rFonts w:ascii="Verdana" w:hAnsi="Verdana" w:cs="Arial"/>
          <w:color w:val="000000" w:themeColor="text1"/>
          <w:sz w:val="16"/>
          <w:szCs w:val="16"/>
        </w:rPr>
        <w:t>Plan general de compras al que se refiere el </w:t>
      </w:r>
      <w:hyperlink r:id="rId1" w:history="1">
        <w:r w:rsidRPr="009512CD">
          <w:rPr>
            <w:rStyle w:val="Hipervnculo"/>
            <w:rFonts w:ascii="Verdana" w:hAnsi="Verdana" w:cs="Arial"/>
            <w:color w:val="000000" w:themeColor="text1"/>
            <w:sz w:val="16"/>
            <w:szCs w:val="16"/>
          </w:rPr>
          <w:t>artículo 74 de la Ley 1474 de 2011</w:t>
        </w:r>
      </w:hyperlink>
      <w:r w:rsidRPr="009512CD">
        <w:rPr>
          <w:rFonts w:ascii="Verdana" w:hAnsi="Verdana" w:cs="Arial"/>
          <w:color w:val="000000" w:themeColor="text1"/>
          <w:sz w:val="16"/>
          <w:szCs w:val="16"/>
        </w:rPr>
        <w:t> y el plan de compras al que se refiere la Ley Anual de Presupuesto. Es un instrumento de planeación contractual que las Entidades Estatales deben diligenciar, publicar y actualizar en los términos del presente título”.</w:t>
      </w:r>
    </w:p>
  </w:footnote>
  <w:footnote w:id="4">
    <w:p w14:paraId="1252C1B9" w14:textId="77777777" w:rsidR="00AA30FB" w:rsidRPr="009512CD" w:rsidRDefault="00AA30FB" w:rsidP="00AA30FB">
      <w:pPr>
        <w:pStyle w:val="NormalWeb"/>
        <w:shd w:val="clear" w:color="auto" w:fill="FFFFFF"/>
        <w:spacing w:before="0" w:beforeAutospacing="0" w:after="0" w:afterAutospacing="0"/>
        <w:ind w:firstLine="709"/>
        <w:jc w:val="both"/>
        <w:rPr>
          <w:rStyle w:val="nfasis"/>
          <w:rFonts w:ascii="Verdana" w:hAnsi="Verdana" w:cs="Arial"/>
          <w:i w:val="0"/>
          <w:iCs w:val="0"/>
          <w:color w:val="000000" w:themeColor="text1"/>
          <w:sz w:val="16"/>
          <w:szCs w:val="16"/>
        </w:rPr>
      </w:pPr>
      <w:r w:rsidRPr="009512CD">
        <w:rPr>
          <w:rStyle w:val="Refdenotaalpie"/>
          <w:rFonts w:ascii="Verdana" w:hAnsi="Verdana" w:cs="Arial"/>
          <w:color w:val="000000" w:themeColor="text1"/>
          <w:sz w:val="16"/>
          <w:szCs w:val="16"/>
        </w:rPr>
        <w:footnoteRef/>
      </w:r>
      <w:r w:rsidRPr="009512CD">
        <w:rPr>
          <w:rFonts w:ascii="Verdana" w:hAnsi="Verdana" w:cs="Arial"/>
          <w:color w:val="000000" w:themeColor="text1"/>
          <w:sz w:val="16"/>
          <w:szCs w:val="16"/>
        </w:rPr>
        <w:t xml:space="preserve"> </w:t>
      </w:r>
      <w:r w:rsidRPr="009512CD">
        <w:rPr>
          <w:rFonts w:ascii="Verdana" w:hAnsi="Verdana" w:cs="Arial"/>
          <w:b/>
          <w:color w:val="000000" w:themeColor="text1"/>
          <w:sz w:val="16"/>
          <w:szCs w:val="16"/>
        </w:rPr>
        <w:t>“</w:t>
      </w:r>
      <w:r w:rsidRPr="009512CD">
        <w:rPr>
          <w:rStyle w:val="nfasis"/>
          <w:rFonts w:ascii="Verdana" w:hAnsi="Verdana" w:cs="Arial"/>
          <w:color w:val="000000" w:themeColor="text1"/>
          <w:sz w:val="16"/>
          <w:szCs w:val="16"/>
        </w:rPr>
        <w:t>Todo sujeto obligado deberá publicar la siguiente información mínima obligatoria de manera proactiva en los sistemas de información del Estado o herramientas que lo sustituyan:</w:t>
      </w:r>
    </w:p>
    <w:p w14:paraId="0BDE8D82" w14:textId="77777777" w:rsidR="00AA30FB" w:rsidRPr="009512CD" w:rsidRDefault="00AA30FB" w:rsidP="00AA30FB">
      <w:pPr>
        <w:pStyle w:val="NormalWeb"/>
        <w:shd w:val="clear" w:color="auto" w:fill="FFFFFF"/>
        <w:spacing w:before="0" w:beforeAutospacing="0" w:after="0" w:afterAutospacing="0"/>
        <w:ind w:firstLine="709"/>
        <w:jc w:val="both"/>
        <w:rPr>
          <w:rStyle w:val="nfasis"/>
          <w:rFonts w:ascii="Verdana" w:hAnsi="Verdana" w:cs="Arial"/>
          <w:i w:val="0"/>
          <w:iCs w:val="0"/>
          <w:color w:val="000000" w:themeColor="text1"/>
          <w:sz w:val="16"/>
          <w:szCs w:val="16"/>
        </w:rPr>
      </w:pPr>
      <w:r w:rsidRPr="009512CD">
        <w:rPr>
          <w:rStyle w:val="nfasis"/>
          <w:rFonts w:ascii="Verdana" w:hAnsi="Verdana" w:cs="Arial"/>
          <w:color w:val="000000" w:themeColor="text1"/>
          <w:sz w:val="16"/>
          <w:szCs w:val="16"/>
        </w:rPr>
        <w:t>[…]</w:t>
      </w:r>
    </w:p>
    <w:p w14:paraId="73E769A6" w14:textId="77777777" w:rsidR="00AA30FB" w:rsidRPr="009512CD" w:rsidRDefault="00AA30FB" w:rsidP="00AA30FB">
      <w:pPr>
        <w:pStyle w:val="NormalWeb"/>
        <w:shd w:val="clear" w:color="auto" w:fill="FFFFFF"/>
        <w:spacing w:before="0" w:beforeAutospacing="0" w:after="0" w:afterAutospacing="0"/>
        <w:ind w:firstLine="709"/>
        <w:jc w:val="both"/>
        <w:rPr>
          <w:rStyle w:val="nfasis"/>
          <w:rFonts w:ascii="Verdana" w:hAnsi="Verdana" w:cs="Arial"/>
          <w:i w:val="0"/>
          <w:iCs w:val="0"/>
          <w:color w:val="000000" w:themeColor="text1"/>
          <w:sz w:val="16"/>
          <w:szCs w:val="16"/>
        </w:rPr>
      </w:pPr>
      <w:r w:rsidRPr="009512CD">
        <w:rPr>
          <w:rStyle w:val="nfasis"/>
          <w:rFonts w:ascii="Verdana" w:hAnsi="Verdana" w:cs="Arial"/>
          <w:color w:val="000000" w:themeColor="text1"/>
          <w:sz w:val="16"/>
          <w:szCs w:val="16"/>
        </w:rPr>
        <w:t>“e) Su respectivo plan de compras anual, así como las contrataciones adjudicadas para la correspondiente vigencia en lo relacionado con funcionamiento e inversión, las obras públicas, los bienes adquiridos, arrendados y en caso de los servicios de estudios o investigaciones deberá señalarse el tema específico, de conformidad con el artículo 74 de la Ley 1474 de 2011. En el caso de las personas naturales con contratos de prestación de servicios, deberá publicarse el objeto del contrato, monto de los honorarios y direcciones de correo electrónico, de conformidad con el formato de información de servidores públicos y contratistas […]</w:t>
      </w:r>
      <w:r w:rsidRPr="009512CD">
        <w:rPr>
          <w:rFonts w:ascii="Verdana" w:hAnsi="Verdana" w:cs="Arial"/>
          <w:color w:val="000000" w:themeColor="text1"/>
          <w:sz w:val="16"/>
          <w:szCs w:val="16"/>
        </w:rPr>
        <w:t>”</w:t>
      </w:r>
      <w:r w:rsidRPr="009512CD">
        <w:rPr>
          <w:rStyle w:val="nfasis"/>
          <w:rFonts w:ascii="Verdana" w:hAnsi="Verdana" w:cs="Arial"/>
          <w:color w:val="000000" w:themeColor="text1"/>
          <w:sz w:val="16"/>
          <w:szCs w:val="16"/>
        </w:rPr>
        <w:t>.</w:t>
      </w:r>
    </w:p>
  </w:footnote>
  <w:footnote w:id="5">
    <w:p w14:paraId="4ED49529" w14:textId="77777777" w:rsidR="00747792" w:rsidRPr="005D3E18" w:rsidRDefault="00747792" w:rsidP="00601837">
      <w:pPr>
        <w:pStyle w:val="Textonotapie"/>
        <w:ind w:firstLine="708"/>
        <w:jc w:val="both"/>
        <w:rPr>
          <w:rFonts w:ascii="Verdana" w:hAnsi="Verdana" w:cs="Arial"/>
          <w:sz w:val="16"/>
          <w:szCs w:val="16"/>
          <w:lang w:val="es-CO"/>
        </w:rPr>
      </w:pPr>
      <w:r w:rsidRPr="005D3E18">
        <w:rPr>
          <w:rStyle w:val="Refdenotaalpie"/>
          <w:rFonts w:ascii="Verdana" w:hAnsi="Verdana"/>
          <w:sz w:val="16"/>
          <w:szCs w:val="16"/>
        </w:rPr>
        <w:footnoteRef/>
      </w:r>
      <w:r w:rsidRPr="005D3E18">
        <w:rPr>
          <w:rFonts w:ascii="Verdana" w:hAnsi="Verdana"/>
          <w:sz w:val="16"/>
          <w:szCs w:val="16"/>
        </w:rPr>
        <w:t xml:space="preserve"> </w:t>
      </w:r>
      <w:r w:rsidRPr="005D3E18">
        <w:rPr>
          <w:rFonts w:ascii="Verdana" w:hAnsi="Verdana" w:cs="Arial"/>
          <w:sz w:val="16"/>
          <w:szCs w:val="16"/>
          <w:lang w:val="es-CO"/>
        </w:rPr>
        <w:t xml:space="preserve">Al respecto, el inciso 1 del artículo 104 de la Ley 1437 de 2011 dispone: </w:t>
      </w:r>
      <w:r>
        <w:rPr>
          <w:rFonts w:ascii="Verdana" w:hAnsi="Verdana" w:cs="Arial"/>
          <w:sz w:val="16"/>
          <w:szCs w:val="16"/>
          <w:lang w:val="es-CO"/>
        </w:rPr>
        <w:t>“</w:t>
      </w:r>
      <w:r w:rsidRPr="005D3E18">
        <w:rPr>
          <w:rFonts w:ascii="Verdana" w:hAnsi="Verdana" w:cs="Arial"/>
          <w:sz w:val="16"/>
          <w:szCs w:val="16"/>
          <w:lang w:val="es-CO"/>
        </w:rPr>
        <w:t>La Jurisdicción de lo Contencioso Administrativo está instituida para conocer, además de lo dispuesto en la Constitución Política y en leyes especiales, de las controversias y litigios originados en actos, contratos, hechos, omisiones y operaciones, sujetos al derecho administrativo, en los que estén involucradas las entidades públicas, o los particulares cuando ejerzan función administrativa</w:t>
      </w:r>
      <w:r>
        <w:rPr>
          <w:rFonts w:ascii="Verdana" w:hAnsi="Verdana" w:cs="Arial"/>
          <w:sz w:val="16"/>
          <w:szCs w:val="16"/>
          <w:lang w:val="es-CO"/>
        </w:rPr>
        <w:t>”</w:t>
      </w:r>
      <w:r w:rsidRPr="005D3E18">
        <w:rPr>
          <w:rFonts w:ascii="Verdana" w:hAnsi="Verdana" w:cs="Arial"/>
          <w:sz w:val="16"/>
          <w:szCs w:val="16"/>
          <w:lang w:val="es-CO"/>
        </w:rPr>
        <w:t>.</w:t>
      </w:r>
    </w:p>
  </w:footnote>
  <w:footnote w:id="6">
    <w:p w14:paraId="4C6B328A" w14:textId="77777777" w:rsidR="00747792" w:rsidRPr="005D3E18" w:rsidRDefault="00747792" w:rsidP="00601837">
      <w:pPr>
        <w:pStyle w:val="Textonotapie"/>
        <w:ind w:firstLine="708"/>
        <w:jc w:val="both"/>
        <w:rPr>
          <w:rFonts w:ascii="Verdana" w:hAnsi="Verdana" w:cs="Arial"/>
          <w:sz w:val="16"/>
          <w:szCs w:val="16"/>
          <w:lang w:val="es-CO"/>
        </w:rPr>
      </w:pPr>
      <w:r w:rsidRPr="005D3E18">
        <w:rPr>
          <w:rStyle w:val="Refdenotaalpie"/>
          <w:rFonts w:ascii="Verdana" w:hAnsi="Verdana"/>
          <w:sz w:val="16"/>
          <w:szCs w:val="16"/>
        </w:rPr>
        <w:footnoteRef/>
      </w:r>
      <w:r w:rsidRPr="005D3E18">
        <w:rPr>
          <w:rFonts w:ascii="Verdana" w:hAnsi="Verdana"/>
          <w:sz w:val="16"/>
          <w:szCs w:val="16"/>
        </w:rPr>
        <w:t xml:space="preserve"> </w:t>
      </w:r>
      <w:r w:rsidRPr="005D3E18">
        <w:rPr>
          <w:rFonts w:ascii="Verdana" w:hAnsi="Verdana" w:cs="Arial"/>
          <w:sz w:val="16"/>
          <w:szCs w:val="16"/>
          <w:lang w:val="es-CO"/>
        </w:rPr>
        <w:t>CONSEJO DE ESTADO. Sección Primera. Sentencia del 26 de agosto de 2004. Exp. 66001233100020000005701. C.P. Gabriel Eduardo Mendoza Martelo.</w:t>
      </w:r>
    </w:p>
  </w:footnote>
  <w:footnote w:id="7">
    <w:p w14:paraId="477EC082" w14:textId="77777777" w:rsidR="00747792" w:rsidRPr="005D3E18" w:rsidRDefault="00747792" w:rsidP="00601837">
      <w:pPr>
        <w:pStyle w:val="Textonotapie"/>
        <w:ind w:firstLine="708"/>
        <w:jc w:val="both"/>
        <w:rPr>
          <w:rFonts w:ascii="Verdana" w:hAnsi="Verdana"/>
          <w:sz w:val="16"/>
          <w:szCs w:val="16"/>
          <w:lang w:val="es-ES"/>
        </w:rPr>
      </w:pPr>
      <w:r w:rsidRPr="005D3E18">
        <w:rPr>
          <w:rStyle w:val="Refdenotaalpie"/>
          <w:rFonts w:ascii="Verdana" w:hAnsi="Verdana"/>
          <w:sz w:val="16"/>
          <w:szCs w:val="16"/>
        </w:rPr>
        <w:footnoteRef/>
      </w:r>
      <w:r w:rsidRPr="005D3E18">
        <w:rPr>
          <w:rFonts w:ascii="Verdana" w:hAnsi="Verdana"/>
          <w:sz w:val="16"/>
          <w:szCs w:val="16"/>
        </w:rPr>
        <w:t xml:space="preserve"> </w:t>
      </w:r>
      <w:r w:rsidRPr="005D3E18">
        <w:rPr>
          <w:rFonts w:ascii="Verdana" w:hAnsi="Verdana" w:cs="Arial"/>
          <w:sz w:val="16"/>
          <w:szCs w:val="16"/>
          <w:lang w:val="es-CO"/>
        </w:rPr>
        <w:t xml:space="preserve">En todo caso, un sector de la doctrina también señala la existencia de hechos administrativos que dependen de la voluntad de las entidades públicas, ya que </w:t>
      </w:r>
      <w:r>
        <w:rPr>
          <w:rFonts w:ascii="Verdana" w:hAnsi="Verdana" w:cs="Arial"/>
          <w:sz w:val="16"/>
          <w:szCs w:val="16"/>
          <w:lang w:val="es-CO"/>
        </w:rPr>
        <w:t>“</w:t>
      </w:r>
      <w:r w:rsidRPr="005D3E18">
        <w:rPr>
          <w:rFonts w:ascii="Verdana" w:hAnsi="Verdana" w:cs="Arial"/>
          <w:sz w:val="16"/>
          <w:szCs w:val="16"/>
          <w:lang w:val="es-CO"/>
        </w:rPr>
        <w:t>Puede ocurrir que, en algunas oportunidades, la Administración actúe sin que exista previamente el acto como declaración de voluntad. Así en el supuesto que los bomberos decidieran destruir una casa para evitar la propagación de un incendio sin que se haya dictado ningún acto administrativo que autorice esta decisión. En algunos supuestos, los hechos administrativos tienen apareados para la Administración resultados que no han tenido a la vista cuando se realizó. Por ejemplo, la ejecución de una obra, hecha por la administración, puede traer apareados daños a los particulares que la Administración debe indemnizar</w:t>
      </w:r>
      <w:r>
        <w:rPr>
          <w:rFonts w:ascii="Verdana" w:hAnsi="Verdana" w:cs="Arial"/>
          <w:sz w:val="16"/>
          <w:szCs w:val="16"/>
          <w:lang w:val="es-CO"/>
        </w:rPr>
        <w:t>”</w:t>
      </w:r>
      <w:r w:rsidRPr="005D3E18">
        <w:rPr>
          <w:rFonts w:ascii="Verdana" w:hAnsi="Verdana" w:cs="Arial"/>
          <w:sz w:val="16"/>
          <w:szCs w:val="16"/>
          <w:lang w:val="es-CO"/>
        </w:rPr>
        <w:t xml:space="preserve"> (DÍEZ, Manuel María. Manual de derecho administrativo. Tomo I. Buenos Aires: Editorial Plus Ultra, 1997. pp. 170-171).</w:t>
      </w:r>
      <w:r w:rsidRPr="005D3E18">
        <w:rPr>
          <w:rFonts w:ascii="Verdana" w:hAnsi="Verdana"/>
          <w:sz w:val="16"/>
          <w:szCs w:val="16"/>
        </w:rPr>
        <w:t xml:space="preserve">       </w:t>
      </w:r>
    </w:p>
  </w:footnote>
  <w:footnote w:id="8">
    <w:p w14:paraId="64AC160A" w14:textId="77777777" w:rsidR="00747792" w:rsidRPr="005D3E18" w:rsidRDefault="00747792" w:rsidP="00601837">
      <w:pPr>
        <w:pStyle w:val="Textonotapie"/>
        <w:ind w:firstLine="708"/>
        <w:jc w:val="both"/>
        <w:rPr>
          <w:rFonts w:ascii="Verdana" w:hAnsi="Verdana" w:cs="Arial"/>
          <w:sz w:val="16"/>
          <w:szCs w:val="16"/>
          <w:lang w:val="es-CO"/>
        </w:rPr>
      </w:pPr>
      <w:r w:rsidRPr="005D3E18">
        <w:rPr>
          <w:rStyle w:val="Refdenotaalpie"/>
          <w:rFonts w:ascii="Verdana" w:hAnsi="Verdana"/>
          <w:sz w:val="16"/>
          <w:szCs w:val="16"/>
        </w:rPr>
        <w:footnoteRef/>
      </w:r>
      <w:r w:rsidRPr="005D3E18">
        <w:rPr>
          <w:rFonts w:ascii="Verdana" w:hAnsi="Verdana"/>
          <w:sz w:val="16"/>
          <w:szCs w:val="16"/>
        </w:rPr>
        <w:t xml:space="preserve"> </w:t>
      </w:r>
      <w:r w:rsidRPr="005D3E18">
        <w:rPr>
          <w:rFonts w:ascii="Verdana" w:hAnsi="Verdana" w:cs="Arial"/>
          <w:sz w:val="16"/>
          <w:szCs w:val="16"/>
          <w:lang w:val="es-CO"/>
        </w:rPr>
        <w:t>CONSEJO DE ESTADO. Sección Tercera. Subsección C. Sentencia del 23 de octubre de 2017. Rad. 53.206. C.P. Jaime Orlando Santofimio Gamboa.</w:t>
      </w:r>
    </w:p>
  </w:footnote>
  <w:footnote w:id="9">
    <w:p w14:paraId="38D65D2B" w14:textId="77777777" w:rsidR="00747792" w:rsidRPr="005D3E18" w:rsidRDefault="00747792" w:rsidP="00601837">
      <w:pPr>
        <w:pStyle w:val="Textonotapie"/>
        <w:ind w:firstLine="708"/>
        <w:jc w:val="both"/>
        <w:rPr>
          <w:rFonts w:ascii="Verdana" w:hAnsi="Verdana" w:cs="Arial"/>
          <w:sz w:val="16"/>
          <w:szCs w:val="16"/>
          <w:lang w:val="es-CO"/>
        </w:rPr>
      </w:pPr>
      <w:r w:rsidRPr="005D3E18">
        <w:rPr>
          <w:rStyle w:val="Refdenotaalpie"/>
          <w:rFonts w:ascii="Verdana" w:hAnsi="Verdana"/>
          <w:sz w:val="16"/>
          <w:szCs w:val="16"/>
        </w:rPr>
        <w:footnoteRef/>
      </w:r>
      <w:r w:rsidRPr="005D3E18">
        <w:rPr>
          <w:rFonts w:ascii="Verdana" w:hAnsi="Verdana"/>
          <w:sz w:val="16"/>
          <w:szCs w:val="16"/>
        </w:rPr>
        <w:t xml:space="preserve"> </w:t>
      </w:r>
      <w:r w:rsidRPr="005D3E18">
        <w:rPr>
          <w:rFonts w:ascii="Verdana" w:hAnsi="Verdana" w:cs="Arial"/>
          <w:sz w:val="16"/>
          <w:szCs w:val="16"/>
          <w:lang w:val="es-CO"/>
        </w:rPr>
        <w:t xml:space="preserve">MARÍN CORTÉS, Fabián Gonzalo. El concepto de acto administrativo. Texto inédito. p. 13. </w:t>
      </w:r>
    </w:p>
  </w:footnote>
  <w:footnote w:id="10">
    <w:p w14:paraId="12C104CE" w14:textId="77777777" w:rsidR="00747792" w:rsidRPr="005D3E18" w:rsidRDefault="00747792" w:rsidP="00601837">
      <w:pPr>
        <w:pStyle w:val="Textonotapie"/>
        <w:ind w:firstLine="708"/>
        <w:jc w:val="both"/>
        <w:rPr>
          <w:rFonts w:ascii="Verdana" w:hAnsi="Verdana" w:cs="Arial"/>
          <w:sz w:val="16"/>
          <w:szCs w:val="16"/>
          <w:lang w:val="es-CO"/>
        </w:rPr>
      </w:pPr>
      <w:r w:rsidRPr="005D3E18">
        <w:rPr>
          <w:rStyle w:val="Refdenotaalpie"/>
          <w:rFonts w:ascii="Verdana" w:hAnsi="Verdana"/>
          <w:sz w:val="16"/>
          <w:szCs w:val="16"/>
        </w:rPr>
        <w:footnoteRef/>
      </w:r>
      <w:r w:rsidRPr="005D3E18">
        <w:rPr>
          <w:rFonts w:ascii="Verdana" w:hAnsi="Verdana"/>
          <w:sz w:val="16"/>
          <w:szCs w:val="16"/>
        </w:rPr>
        <w:t xml:space="preserve"> </w:t>
      </w:r>
      <w:r w:rsidRPr="005D3E18">
        <w:rPr>
          <w:rFonts w:ascii="Verdana" w:hAnsi="Verdana" w:cs="Arial"/>
          <w:sz w:val="16"/>
          <w:szCs w:val="16"/>
          <w:lang w:val="es-CO"/>
        </w:rPr>
        <w:t xml:space="preserve">Para estos efectos, la función administrativa se define como </w:t>
      </w:r>
      <w:r>
        <w:rPr>
          <w:rFonts w:ascii="Verdana" w:hAnsi="Verdana" w:cs="Arial"/>
          <w:sz w:val="16"/>
          <w:szCs w:val="16"/>
          <w:lang w:val="es-CO"/>
        </w:rPr>
        <w:t>“</w:t>
      </w:r>
      <w:r w:rsidRPr="005D3E18">
        <w:rPr>
          <w:rFonts w:ascii="Verdana" w:hAnsi="Verdana" w:cs="Arial"/>
          <w:sz w:val="16"/>
          <w:szCs w:val="16"/>
          <w:lang w:val="es-CO"/>
        </w:rPr>
        <w:t>[…] consiste en una actividad concreta y continuada, práctica y espontánea, de carácter subordinado, que tiene por objeto satisfacer en forma directa e inmediata las necesidades colectivas y el logro de los fines del Estado, dentro del orden jurídico establecido y con arreglo a este</w:t>
      </w:r>
      <w:r>
        <w:rPr>
          <w:rFonts w:ascii="Verdana" w:hAnsi="Verdana" w:cs="Arial"/>
          <w:sz w:val="16"/>
          <w:szCs w:val="16"/>
          <w:lang w:val="es-CO"/>
        </w:rPr>
        <w:t>”</w:t>
      </w:r>
      <w:r w:rsidRPr="005D3E18">
        <w:rPr>
          <w:rFonts w:ascii="Verdana" w:hAnsi="Verdana" w:cs="Arial"/>
          <w:sz w:val="16"/>
          <w:szCs w:val="16"/>
          <w:lang w:val="es-CO"/>
        </w:rPr>
        <w:t xml:space="preserve"> (ESCOLA, Héctor Jorge. Compendio de derecho administrativo. Buenos Aires: Depalma, 1990. p. 33).</w:t>
      </w:r>
    </w:p>
  </w:footnote>
  <w:footnote w:id="11">
    <w:p w14:paraId="11E1FF92" w14:textId="77777777" w:rsidR="00747792" w:rsidRPr="005D3E18" w:rsidRDefault="00747792" w:rsidP="00601837">
      <w:pPr>
        <w:pStyle w:val="Textonotapie"/>
        <w:ind w:firstLine="708"/>
        <w:jc w:val="both"/>
        <w:rPr>
          <w:rFonts w:ascii="Verdana" w:hAnsi="Verdana" w:cs="Arial"/>
          <w:sz w:val="16"/>
          <w:szCs w:val="16"/>
          <w:lang w:val="es-CO"/>
        </w:rPr>
      </w:pPr>
      <w:r w:rsidRPr="005D3E18">
        <w:rPr>
          <w:rStyle w:val="Refdenotaalpie"/>
          <w:rFonts w:ascii="Verdana" w:hAnsi="Verdana"/>
          <w:sz w:val="16"/>
          <w:szCs w:val="16"/>
        </w:rPr>
        <w:footnoteRef/>
      </w:r>
      <w:r w:rsidRPr="005D3E18">
        <w:rPr>
          <w:rFonts w:ascii="Verdana" w:hAnsi="Verdana"/>
          <w:sz w:val="16"/>
          <w:szCs w:val="16"/>
        </w:rPr>
        <w:t xml:space="preserve"> </w:t>
      </w:r>
      <w:r w:rsidRPr="005D3E18">
        <w:rPr>
          <w:rFonts w:ascii="Verdana" w:hAnsi="Verdana" w:cs="Arial"/>
          <w:sz w:val="16"/>
          <w:szCs w:val="16"/>
          <w:lang w:val="es-CO"/>
        </w:rPr>
        <w:t xml:space="preserve">MARÍN CORTÉS, Fabián Gonzalo. El concepto de acto administrativo. Texto inédito. pp. 53-54.  </w:t>
      </w:r>
    </w:p>
  </w:footnote>
  <w:footnote w:id="12">
    <w:p w14:paraId="26164860" w14:textId="77777777" w:rsidR="00747792" w:rsidRPr="005D3E18" w:rsidRDefault="00747792" w:rsidP="00601837">
      <w:pPr>
        <w:pStyle w:val="Textonotapie"/>
        <w:ind w:firstLine="708"/>
        <w:jc w:val="both"/>
        <w:rPr>
          <w:rFonts w:ascii="Verdana" w:hAnsi="Verdana" w:cs="Arial"/>
          <w:sz w:val="16"/>
          <w:szCs w:val="16"/>
          <w:lang w:val="es-ES"/>
        </w:rPr>
      </w:pPr>
      <w:r w:rsidRPr="005D3E18">
        <w:rPr>
          <w:rStyle w:val="Refdenotaalpie"/>
          <w:rFonts w:ascii="Verdana" w:hAnsi="Verdana" w:cs="Arial"/>
          <w:sz w:val="16"/>
          <w:szCs w:val="16"/>
        </w:rPr>
        <w:footnoteRef/>
      </w:r>
      <w:r w:rsidRPr="005D3E18">
        <w:rPr>
          <w:rFonts w:ascii="Verdana" w:hAnsi="Verdana" w:cs="Arial"/>
          <w:sz w:val="16"/>
          <w:szCs w:val="16"/>
        </w:rPr>
        <w:t xml:space="preserve"> Al respecto, el artículo 3, inciso 1, de la Ley 1150 de 2007 dispone que </w:t>
      </w:r>
      <w:r>
        <w:rPr>
          <w:rFonts w:ascii="Verdana" w:hAnsi="Verdana" w:cs="Arial"/>
          <w:sz w:val="16"/>
          <w:szCs w:val="16"/>
        </w:rPr>
        <w:t>“</w:t>
      </w:r>
      <w:r w:rsidRPr="005D3E18">
        <w:rPr>
          <w:rFonts w:ascii="Verdana" w:hAnsi="Verdana" w:cs="Arial"/>
          <w:sz w:val="16"/>
          <w:szCs w:val="16"/>
        </w:rPr>
        <w:t xml:space="preserve">De conformidad con lo dispuesto en la Ley 527 de 1999, la sustanciación de las actuaciones, </w:t>
      </w:r>
      <w:r w:rsidRPr="005D3E18">
        <w:rPr>
          <w:rFonts w:ascii="Verdana" w:hAnsi="Verdana" w:cs="Arial"/>
          <w:i/>
          <w:iCs/>
          <w:sz w:val="16"/>
          <w:szCs w:val="16"/>
        </w:rPr>
        <w:t>la expedición de los actos administrativos</w:t>
      </w:r>
      <w:r w:rsidRPr="005D3E18">
        <w:rPr>
          <w:rFonts w:ascii="Verdana" w:hAnsi="Verdana" w:cs="Arial"/>
          <w:sz w:val="16"/>
          <w:szCs w:val="16"/>
        </w:rPr>
        <w:t xml:space="preserve">, los documentos, contratos y en general los actos derivados de la actividad precontractual y contractual, </w:t>
      </w:r>
      <w:r w:rsidRPr="005D3E18">
        <w:rPr>
          <w:rFonts w:ascii="Verdana" w:hAnsi="Verdana" w:cs="Arial"/>
          <w:i/>
          <w:iCs/>
          <w:sz w:val="16"/>
          <w:szCs w:val="16"/>
        </w:rPr>
        <w:t>podrán tener lugar por medios electrónicos</w:t>
      </w:r>
      <w:r w:rsidRPr="005D3E18">
        <w:rPr>
          <w:rFonts w:ascii="Verdana" w:hAnsi="Verdana" w:cs="Arial"/>
          <w:sz w:val="16"/>
          <w:szCs w:val="16"/>
        </w:rPr>
        <w:t xml:space="preserve">. </w:t>
      </w:r>
      <w:r w:rsidRPr="005D3E18">
        <w:rPr>
          <w:rFonts w:ascii="Verdana" w:hAnsi="Verdana" w:cs="Arial"/>
          <w:i/>
          <w:iCs/>
          <w:sz w:val="16"/>
          <w:szCs w:val="16"/>
        </w:rPr>
        <w:t>Para el trámite, notificación y publicación de tales actos, podrán utilizarse soportes, medios y aplicaciones electrónicas</w:t>
      </w:r>
      <w:r w:rsidRPr="005D3E18">
        <w:rPr>
          <w:rFonts w:ascii="Verdana" w:hAnsi="Verdana" w:cs="Arial"/>
          <w:sz w:val="16"/>
          <w:szCs w:val="16"/>
        </w:rPr>
        <w:t>. Los mecanismos e instrumentos por medio de los cuales las entidades cumplirán con las obligaciones de publicidad del proceso contractual serán señalados por el Gobierno Nacional</w:t>
      </w:r>
      <w:r>
        <w:rPr>
          <w:rFonts w:ascii="Verdana" w:hAnsi="Verdana" w:cs="Arial"/>
          <w:sz w:val="16"/>
          <w:szCs w:val="16"/>
        </w:rPr>
        <w:t>”</w:t>
      </w:r>
      <w:r w:rsidRPr="005D3E18">
        <w:rPr>
          <w:rFonts w:ascii="Verdana" w:hAnsi="Verdana" w:cs="Arial"/>
          <w:sz w:val="16"/>
          <w:szCs w:val="16"/>
        </w:rPr>
        <w:t xml:space="preserve"> (Énfasis fuera de texto).</w:t>
      </w:r>
    </w:p>
  </w:footnote>
  <w:footnote w:id="13">
    <w:p w14:paraId="3FE35787" w14:textId="77777777" w:rsidR="00747792" w:rsidRPr="005D3E18" w:rsidRDefault="00747792" w:rsidP="00601837">
      <w:pPr>
        <w:pStyle w:val="Textonotapie"/>
        <w:ind w:firstLine="708"/>
        <w:jc w:val="both"/>
        <w:rPr>
          <w:rFonts w:ascii="Verdana" w:hAnsi="Verdana" w:cs="Arial"/>
          <w:sz w:val="16"/>
          <w:szCs w:val="16"/>
          <w:lang w:val="es-CO"/>
        </w:rPr>
      </w:pPr>
      <w:r w:rsidRPr="005D3E18">
        <w:rPr>
          <w:rStyle w:val="Refdenotaalpie"/>
          <w:rFonts w:ascii="Verdana" w:hAnsi="Verdana"/>
          <w:sz w:val="16"/>
          <w:szCs w:val="16"/>
        </w:rPr>
        <w:footnoteRef/>
      </w:r>
      <w:r w:rsidRPr="005D3E18">
        <w:rPr>
          <w:rFonts w:ascii="Verdana" w:hAnsi="Verdana"/>
          <w:sz w:val="16"/>
          <w:szCs w:val="16"/>
        </w:rPr>
        <w:t xml:space="preserve"> </w:t>
      </w:r>
      <w:r w:rsidRPr="005D3E18">
        <w:rPr>
          <w:rFonts w:ascii="Verdana" w:hAnsi="Verdana" w:cs="Arial"/>
          <w:sz w:val="16"/>
          <w:szCs w:val="16"/>
          <w:lang w:val="es-CO"/>
        </w:rPr>
        <w:t>CONSEJO DE ESTADO. Sección Cuarta. Auto del 31 de mayo de 2010. Rad. 17.858. C.P. William Giraldo Giraldo.</w:t>
      </w:r>
    </w:p>
  </w:footnote>
  <w:footnote w:id="14">
    <w:p w14:paraId="0FA1A8EB" w14:textId="77777777" w:rsidR="00747792" w:rsidRPr="005D3E18" w:rsidRDefault="00747792" w:rsidP="00601837">
      <w:pPr>
        <w:pStyle w:val="Textonotapie"/>
        <w:ind w:firstLine="708"/>
        <w:jc w:val="both"/>
        <w:rPr>
          <w:rFonts w:ascii="Verdana" w:hAnsi="Verdana" w:cs="Arial"/>
          <w:sz w:val="16"/>
          <w:szCs w:val="16"/>
          <w:lang w:val="es-CO"/>
        </w:rPr>
      </w:pPr>
      <w:r w:rsidRPr="005D3E18">
        <w:rPr>
          <w:rStyle w:val="Refdenotaalpie"/>
          <w:rFonts w:ascii="Verdana" w:hAnsi="Verdana"/>
          <w:sz w:val="16"/>
          <w:szCs w:val="16"/>
        </w:rPr>
        <w:footnoteRef/>
      </w:r>
      <w:r w:rsidRPr="005D3E18">
        <w:rPr>
          <w:rFonts w:ascii="Verdana" w:hAnsi="Verdana"/>
          <w:sz w:val="16"/>
          <w:szCs w:val="16"/>
        </w:rPr>
        <w:t xml:space="preserve"> </w:t>
      </w:r>
      <w:r w:rsidRPr="005D3E18">
        <w:rPr>
          <w:rFonts w:ascii="Verdana" w:hAnsi="Verdana" w:cs="Arial"/>
          <w:sz w:val="16"/>
          <w:szCs w:val="16"/>
          <w:lang w:val="es-CO"/>
        </w:rPr>
        <w:t xml:space="preserve">El inciso 2 del artículo 8 de la Ley 1150 de 2007 prescribe lo siguiente: </w:t>
      </w:r>
      <w:r>
        <w:rPr>
          <w:rFonts w:ascii="Verdana" w:hAnsi="Verdana" w:cs="Arial"/>
          <w:sz w:val="16"/>
          <w:szCs w:val="16"/>
          <w:lang w:val="es-CO"/>
        </w:rPr>
        <w:t>“</w:t>
      </w:r>
      <w:r w:rsidRPr="005D3E18">
        <w:rPr>
          <w:rFonts w:ascii="Verdana" w:hAnsi="Verdana" w:cs="Arial"/>
          <w:sz w:val="16"/>
          <w:szCs w:val="16"/>
          <w:lang w:val="es-CO"/>
        </w:rPr>
        <w:t>La publicación de los proyectos de pliegos de condiciones o sus equivalentes no genera obligación para la entidad de dar apertura al proceso de selección</w:t>
      </w:r>
      <w:r>
        <w:rPr>
          <w:rFonts w:ascii="Verdana" w:hAnsi="Verdana" w:cs="Arial"/>
          <w:sz w:val="16"/>
          <w:szCs w:val="16"/>
          <w:lang w:val="es-CO"/>
        </w:rPr>
        <w:t>”</w:t>
      </w:r>
      <w:r w:rsidRPr="005D3E18">
        <w:rPr>
          <w:rFonts w:ascii="Verdana" w:hAnsi="Verdana" w:cs="Arial"/>
          <w:sz w:val="16"/>
          <w:szCs w:val="16"/>
          <w:lang w:val="es-CO"/>
        </w:rPr>
        <w:t>.</w:t>
      </w:r>
    </w:p>
  </w:footnote>
  <w:footnote w:id="15">
    <w:p w14:paraId="0FCCF2B4" w14:textId="77777777" w:rsidR="00AA30FB" w:rsidRPr="009512CD" w:rsidRDefault="00AA30FB" w:rsidP="00AA30FB">
      <w:pPr>
        <w:pStyle w:val="Textonotapie"/>
        <w:ind w:firstLine="708"/>
        <w:jc w:val="both"/>
        <w:rPr>
          <w:rFonts w:ascii="Verdana" w:hAnsi="Verdana" w:cs="Arial"/>
          <w:sz w:val="16"/>
          <w:szCs w:val="16"/>
        </w:rPr>
      </w:pPr>
      <w:r w:rsidRPr="009512CD">
        <w:rPr>
          <w:rStyle w:val="Refdenotaalpie"/>
          <w:rFonts w:ascii="Verdana" w:hAnsi="Verdana" w:cs="Arial"/>
          <w:sz w:val="16"/>
          <w:szCs w:val="16"/>
        </w:rPr>
        <w:footnoteRef/>
      </w:r>
      <w:r w:rsidRPr="009512CD">
        <w:rPr>
          <w:rFonts w:ascii="Verdana" w:hAnsi="Verdana" w:cs="Arial"/>
          <w:sz w:val="16"/>
          <w:szCs w:val="16"/>
        </w:rPr>
        <w:t xml:space="preserve"> Decreto 1082 de 2015: “Artículo 2.2.1.1.1.4.1. </w:t>
      </w:r>
      <w:bookmarkStart w:id="2" w:name="_Hlk127183777"/>
      <w:r w:rsidRPr="009512CD">
        <w:rPr>
          <w:rFonts w:ascii="Verdana" w:hAnsi="Verdana" w:cs="Arial"/>
          <w:sz w:val="16"/>
          <w:szCs w:val="16"/>
        </w:rPr>
        <w:t>Modificado por el </w:t>
      </w:r>
      <w:bookmarkEnd w:id="2"/>
      <w:r w:rsidRPr="009512CD">
        <w:rPr>
          <w:rFonts w:ascii="Verdana" w:hAnsi="Verdana" w:cs="Arial"/>
          <w:sz w:val="16"/>
          <w:szCs w:val="16"/>
        </w:rPr>
        <w:t>Decreto 142 de 2023, artículo 2º. Plan Anual de Adquisiciones.</w:t>
      </w:r>
      <w:r w:rsidRPr="009512CD">
        <w:rPr>
          <w:rFonts w:ascii="Verdana" w:hAnsi="Verdana" w:cs="Arial"/>
          <w:b/>
          <w:bCs/>
          <w:sz w:val="16"/>
          <w:szCs w:val="16"/>
        </w:rPr>
        <w:t> </w:t>
      </w:r>
      <w:r w:rsidRPr="009512CD">
        <w:rPr>
          <w:rFonts w:ascii="Verdana" w:hAnsi="Verdana" w:cs="Arial"/>
          <w:sz w:val="16"/>
          <w:szCs w:val="16"/>
        </w:rPr>
        <w:t>Las entidades estatales deben elaborar un Plan Anual de Adquisiciones, el cual debe contener la lista de bienes, obras y servicios que pretenden adquirir durante el año. En el Plan Anual de Adquisiciones, la Entidad Estatal debe señalar como mínimo la necesidad y cuando conoce el bien, obra o servicio que satisface esa necesidad debe identificarlo utilizando el Clasificador de Bienes y Servicios, e indicar el valor estimado del contrato, el tipo de recursos con cargo a los cuales la entidad estatal pagará el bien, obra o servicio, la modalidad de selección del contratista, y la fecha aproximada en la cual la entidad estatal iniciará el Proceso de Contratación.</w:t>
      </w:r>
    </w:p>
    <w:p w14:paraId="44879E5C" w14:textId="77777777" w:rsidR="00AA30FB" w:rsidRPr="009512CD" w:rsidRDefault="00AA30FB" w:rsidP="00AA30FB">
      <w:pPr>
        <w:pStyle w:val="Textonotapie"/>
        <w:ind w:firstLine="708"/>
        <w:jc w:val="both"/>
        <w:rPr>
          <w:rFonts w:ascii="Verdana" w:hAnsi="Verdana" w:cs="Arial"/>
          <w:sz w:val="16"/>
          <w:szCs w:val="16"/>
        </w:rPr>
      </w:pPr>
      <w:r w:rsidRPr="009512CD">
        <w:rPr>
          <w:rFonts w:ascii="Verdana" w:hAnsi="Verdana" w:cs="Arial"/>
          <w:sz w:val="16"/>
          <w:szCs w:val="16"/>
        </w:rPr>
        <w:t>[…]”.</w:t>
      </w:r>
    </w:p>
  </w:footnote>
  <w:footnote w:id="16">
    <w:p w14:paraId="21D30764" w14:textId="77777777" w:rsidR="00AA30FB" w:rsidRPr="009512CD" w:rsidRDefault="00AA30FB" w:rsidP="00AA30FB">
      <w:pPr>
        <w:pStyle w:val="Textonotapie"/>
        <w:ind w:firstLine="708"/>
        <w:jc w:val="both"/>
        <w:rPr>
          <w:rFonts w:ascii="Verdana" w:hAnsi="Verdana" w:cs="Arial"/>
          <w:sz w:val="16"/>
          <w:szCs w:val="16"/>
        </w:rPr>
      </w:pPr>
      <w:r w:rsidRPr="009512CD">
        <w:rPr>
          <w:rStyle w:val="Refdenotaalpie"/>
          <w:rFonts w:ascii="Verdana" w:hAnsi="Verdana" w:cs="Arial"/>
          <w:sz w:val="16"/>
          <w:szCs w:val="16"/>
        </w:rPr>
        <w:footnoteRef/>
      </w:r>
      <w:r w:rsidRPr="009512CD">
        <w:rPr>
          <w:rFonts w:ascii="Verdana" w:hAnsi="Verdana" w:cs="Arial"/>
          <w:sz w:val="16"/>
          <w:szCs w:val="16"/>
        </w:rPr>
        <w:t xml:space="preserve"> </w:t>
      </w:r>
      <w:bookmarkStart w:id="3" w:name="_Hlk135306364"/>
      <w:r w:rsidRPr="009512CD">
        <w:rPr>
          <w:rFonts w:ascii="Verdana" w:hAnsi="Verdana" w:cs="Arial"/>
          <w:sz w:val="16"/>
          <w:szCs w:val="16"/>
        </w:rPr>
        <w:t>Decreto 1082 de 2015: “Artículo 2.2.1.1.1.4.3.</w:t>
      </w:r>
      <w:bookmarkEnd w:id="3"/>
      <w:r w:rsidRPr="009512CD">
        <w:rPr>
          <w:rFonts w:ascii="Verdana" w:hAnsi="Verdana" w:cs="Arial"/>
          <w:sz w:val="16"/>
          <w:szCs w:val="16"/>
        </w:rPr>
        <w:t> Publicación del Plan Anual de Adquisiciones.</w:t>
      </w:r>
      <w:r w:rsidRPr="009512CD">
        <w:rPr>
          <w:rFonts w:ascii="Verdana" w:hAnsi="Verdana" w:cs="Arial"/>
          <w:i/>
          <w:iCs/>
          <w:sz w:val="16"/>
          <w:szCs w:val="16"/>
        </w:rPr>
        <w:t> </w:t>
      </w:r>
      <w:r w:rsidRPr="009512CD">
        <w:rPr>
          <w:rFonts w:ascii="Verdana" w:hAnsi="Verdana" w:cs="Arial"/>
          <w:sz w:val="16"/>
          <w:szCs w:val="16"/>
        </w:rPr>
        <w:t>La Entidad Estatal debe publicar su Plan Anual de Adquisiciones y las actualizaciones del mismo en su página web y en el SECOP, en la forma que para el efecto disponga Colombia Compra Eficiente”.</w:t>
      </w:r>
    </w:p>
  </w:footnote>
  <w:footnote w:id="17">
    <w:p w14:paraId="37CF443F" w14:textId="77777777" w:rsidR="00AA30FB" w:rsidRPr="009512CD" w:rsidRDefault="00AA30FB" w:rsidP="00AA30FB">
      <w:pPr>
        <w:pStyle w:val="NormalWeb"/>
        <w:shd w:val="clear" w:color="auto" w:fill="FFFFFF"/>
        <w:spacing w:before="0" w:beforeAutospacing="0" w:after="0" w:afterAutospacing="0"/>
        <w:ind w:firstLine="708"/>
        <w:jc w:val="both"/>
        <w:rPr>
          <w:rFonts w:ascii="Verdana" w:eastAsiaTheme="minorHAnsi" w:hAnsi="Verdana" w:cs="Arial"/>
          <w:sz w:val="16"/>
          <w:szCs w:val="16"/>
          <w:lang w:val="es-MX" w:eastAsia="en-US"/>
        </w:rPr>
      </w:pPr>
      <w:r w:rsidRPr="009512CD">
        <w:rPr>
          <w:rStyle w:val="Refdenotaalpie"/>
          <w:rFonts w:ascii="Verdana" w:hAnsi="Verdana" w:cs="Arial"/>
          <w:sz w:val="16"/>
          <w:szCs w:val="16"/>
        </w:rPr>
        <w:footnoteRef/>
      </w:r>
      <w:r w:rsidRPr="009512CD">
        <w:rPr>
          <w:rFonts w:ascii="Verdana" w:hAnsi="Verdana" w:cs="Arial"/>
          <w:sz w:val="16"/>
          <w:szCs w:val="16"/>
        </w:rPr>
        <w:t xml:space="preserve"> Decreto 1082 de 2015: </w:t>
      </w:r>
      <w:r w:rsidRPr="009512CD">
        <w:rPr>
          <w:rFonts w:ascii="Verdana" w:eastAsiaTheme="minorHAnsi" w:hAnsi="Verdana" w:cs="Arial"/>
          <w:sz w:val="16"/>
          <w:szCs w:val="16"/>
          <w:lang w:val="es-MX" w:eastAsia="en-US"/>
        </w:rPr>
        <w:t>“Artículo 2.2.1.1.1.4.4. Actualización del Plan Anual de Adquisiciones. La Entidad Estatal debe actualizar el Plan Anual de Adquisiciones por lo menos una vez durante su vigencia, en la forma y la oportunidad que para el efecto disponga Colombia Compra Eficiente.</w:t>
      </w:r>
    </w:p>
    <w:p w14:paraId="2579F237" w14:textId="77777777" w:rsidR="00AA30FB" w:rsidRPr="009512CD" w:rsidRDefault="00AA30FB" w:rsidP="00AA30FB">
      <w:pPr>
        <w:pStyle w:val="NormalWeb"/>
        <w:shd w:val="clear" w:color="auto" w:fill="FFFFFF"/>
        <w:spacing w:before="0" w:beforeAutospacing="0" w:after="0" w:afterAutospacing="0"/>
        <w:ind w:firstLine="708"/>
        <w:jc w:val="both"/>
        <w:rPr>
          <w:rFonts w:ascii="Verdana" w:eastAsiaTheme="minorHAnsi" w:hAnsi="Verdana" w:cs="Arial"/>
          <w:sz w:val="16"/>
          <w:szCs w:val="16"/>
          <w:lang w:val="es-MX" w:eastAsia="en-US"/>
        </w:rPr>
      </w:pPr>
      <w:r w:rsidRPr="009512CD">
        <w:rPr>
          <w:rFonts w:ascii="Verdana" w:eastAsiaTheme="minorHAnsi" w:hAnsi="Verdana" w:cs="Arial"/>
          <w:sz w:val="16"/>
          <w:szCs w:val="16"/>
          <w:lang w:val="es-MX" w:eastAsia="en-US"/>
        </w:rPr>
        <w:t>La Entidad Estatal debe actualizar el Plan Anual de Adquisiciones cuando: (i) haya ajustes en los cronogramas de adquisición, valores, modalidad de selección, origen de los recursos; (ii) para incluir nuevas obras, bienes y/o servicios; (iii) excluir obras, bienes y/o servicios; o (iv) modificar el presupuesto anual de adquisiciones”.</w:t>
      </w:r>
    </w:p>
  </w:footnote>
  <w:footnote w:id="18">
    <w:p w14:paraId="524DECD7" w14:textId="77777777" w:rsidR="00AA30FB" w:rsidRPr="009512CD" w:rsidRDefault="00AA30FB" w:rsidP="00AA30FB">
      <w:pPr>
        <w:pStyle w:val="Textonotapie"/>
        <w:ind w:firstLine="708"/>
        <w:jc w:val="both"/>
        <w:rPr>
          <w:rFonts w:ascii="Verdana" w:hAnsi="Verdana" w:cs="Arial"/>
          <w:sz w:val="16"/>
          <w:szCs w:val="16"/>
          <w:lang w:val="es-CO"/>
        </w:rPr>
      </w:pPr>
      <w:r w:rsidRPr="009512CD">
        <w:rPr>
          <w:rStyle w:val="Refdenotaalpie"/>
          <w:rFonts w:ascii="Verdana" w:hAnsi="Verdana" w:cs="Arial"/>
          <w:sz w:val="16"/>
          <w:szCs w:val="16"/>
        </w:rPr>
        <w:footnoteRef/>
      </w:r>
      <w:r w:rsidRPr="009512CD">
        <w:rPr>
          <w:rFonts w:ascii="Verdana" w:eastAsia="Calibri" w:hAnsi="Verdana" w:cs="Arial"/>
          <w:sz w:val="16"/>
          <w:szCs w:val="16"/>
        </w:rPr>
        <w:t xml:space="preserve"> Agencia Nacional de Contratación Pública </w:t>
      </w:r>
      <w:r w:rsidRPr="009512CD">
        <w:rPr>
          <w:rFonts w:ascii="Verdana" w:eastAsia="Calibri" w:hAnsi="Verdana" w:cs="Arial"/>
          <w:b/>
          <w:sz w:val="16"/>
          <w:szCs w:val="16"/>
        </w:rPr>
        <w:t>―</w:t>
      </w:r>
      <w:r w:rsidRPr="009512CD">
        <w:rPr>
          <w:rFonts w:ascii="Verdana" w:eastAsia="Calibri" w:hAnsi="Verdana" w:cs="Arial"/>
          <w:sz w:val="16"/>
          <w:szCs w:val="16"/>
        </w:rPr>
        <w:t>Colombia Compra Eficiente</w:t>
      </w:r>
      <w:r w:rsidRPr="009512CD">
        <w:rPr>
          <w:rFonts w:ascii="Verdana" w:hAnsi="Verdana" w:cs="Arial"/>
          <w:sz w:val="16"/>
          <w:szCs w:val="16"/>
          <w:lang w:val="es-CO"/>
        </w:rPr>
        <w:t xml:space="preserve"> Guía para elaborar el plan anual de adquisiciones. Página 3.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5" type="#_x0000_t75" style="width:11.2pt;height:11.2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7"/>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C2490"/>
    <w:rsid w:val="000D0334"/>
    <w:rsid w:val="000F6486"/>
    <w:rsid w:val="00116994"/>
    <w:rsid w:val="00125105"/>
    <w:rsid w:val="00127233"/>
    <w:rsid w:val="00162F17"/>
    <w:rsid w:val="00195381"/>
    <w:rsid w:val="001E4177"/>
    <w:rsid w:val="001F569B"/>
    <w:rsid w:val="001F7DC6"/>
    <w:rsid w:val="00233AC1"/>
    <w:rsid w:val="002421BB"/>
    <w:rsid w:val="0025796E"/>
    <w:rsid w:val="002707A2"/>
    <w:rsid w:val="002951A0"/>
    <w:rsid w:val="002962BC"/>
    <w:rsid w:val="002A093D"/>
    <w:rsid w:val="002A0DD0"/>
    <w:rsid w:val="002A49AC"/>
    <w:rsid w:val="002A64FD"/>
    <w:rsid w:val="002C7A84"/>
    <w:rsid w:val="002E4BF8"/>
    <w:rsid w:val="002E4FD9"/>
    <w:rsid w:val="002F52CC"/>
    <w:rsid w:val="002F7879"/>
    <w:rsid w:val="0031397A"/>
    <w:rsid w:val="00322A85"/>
    <w:rsid w:val="00323183"/>
    <w:rsid w:val="00324168"/>
    <w:rsid w:val="003448F4"/>
    <w:rsid w:val="00374F5E"/>
    <w:rsid w:val="00377E3E"/>
    <w:rsid w:val="00387A3C"/>
    <w:rsid w:val="003A779E"/>
    <w:rsid w:val="003D0F4D"/>
    <w:rsid w:val="003D5B0D"/>
    <w:rsid w:val="003E0499"/>
    <w:rsid w:val="003F3941"/>
    <w:rsid w:val="00406575"/>
    <w:rsid w:val="00414C74"/>
    <w:rsid w:val="0042722E"/>
    <w:rsid w:val="0044528D"/>
    <w:rsid w:val="0045750D"/>
    <w:rsid w:val="004612E0"/>
    <w:rsid w:val="004862C6"/>
    <w:rsid w:val="004A1847"/>
    <w:rsid w:val="004A305D"/>
    <w:rsid w:val="004E7206"/>
    <w:rsid w:val="004F21C4"/>
    <w:rsid w:val="004F685F"/>
    <w:rsid w:val="005126F3"/>
    <w:rsid w:val="005566E8"/>
    <w:rsid w:val="005679AE"/>
    <w:rsid w:val="00574867"/>
    <w:rsid w:val="00591460"/>
    <w:rsid w:val="005C3777"/>
    <w:rsid w:val="005C5CDC"/>
    <w:rsid w:val="005C7191"/>
    <w:rsid w:val="005D476C"/>
    <w:rsid w:val="00601837"/>
    <w:rsid w:val="006054F9"/>
    <w:rsid w:val="00605A49"/>
    <w:rsid w:val="006219F8"/>
    <w:rsid w:val="006302F7"/>
    <w:rsid w:val="00652C42"/>
    <w:rsid w:val="00665D70"/>
    <w:rsid w:val="006900D9"/>
    <w:rsid w:val="006A4D28"/>
    <w:rsid w:val="006A760C"/>
    <w:rsid w:val="006B1D30"/>
    <w:rsid w:val="006B6BA0"/>
    <w:rsid w:val="006D0073"/>
    <w:rsid w:val="006D4938"/>
    <w:rsid w:val="006E5C99"/>
    <w:rsid w:val="00706C16"/>
    <w:rsid w:val="00747792"/>
    <w:rsid w:val="00756841"/>
    <w:rsid w:val="007649AB"/>
    <w:rsid w:val="00771D0C"/>
    <w:rsid w:val="007833AC"/>
    <w:rsid w:val="007B268C"/>
    <w:rsid w:val="007B7171"/>
    <w:rsid w:val="007C0C0F"/>
    <w:rsid w:val="007C3DC2"/>
    <w:rsid w:val="007E5497"/>
    <w:rsid w:val="007F4E1D"/>
    <w:rsid w:val="00806F5F"/>
    <w:rsid w:val="00820278"/>
    <w:rsid w:val="00867F95"/>
    <w:rsid w:val="008843B6"/>
    <w:rsid w:val="00891928"/>
    <w:rsid w:val="00897A3A"/>
    <w:rsid w:val="008A446D"/>
    <w:rsid w:val="008D180B"/>
    <w:rsid w:val="008F0EA7"/>
    <w:rsid w:val="00923EEF"/>
    <w:rsid w:val="009419F9"/>
    <w:rsid w:val="0095685E"/>
    <w:rsid w:val="00961B09"/>
    <w:rsid w:val="00965334"/>
    <w:rsid w:val="0097093E"/>
    <w:rsid w:val="00986170"/>
    <w:rsid w:val="009A0DFA"/>
    <w:rsid w:val="009A197C"/>
    <w:rsid w:val="009B25A8"/>
    <w:rsid w:val="009B2D26"/>
    <w:rsid w:val="009C71FA"/>
    <w:rsid w:val="009C7225"/>
    <w:rsid w:val="009C72E7"/>
    <w:rsid w:val="009D3058"/>
    <w:rsid w:val="009F3A13"/>
    <w:rsid w:val="00A122D3"/>
    <w:rsid w:val="00A17F13"/>
    <w:rsid w:val="00A20739"/>
    <w:rsid w:val="00A264F9"/>
    <w:rsid w:val="00A33C78"/>
    <w:rsid w:val="00A44EBF"/>
    <w:rsid w:val="00A45690"/>
    <w:rsid w:val="00A52829"/>
    <w:rsid w:val="00A91BB9"/>
    <w:rsid w:val="00AA30FB"/>
    <w:rsid w:val="00AB0ADB"/>
    <w:rsid w:val="00B00C0E"/>
    <w:rsid w:val="00B01B1A"/>
    <w:rsid w:val="00B16681"/>
    <w:rsid w:val="00B21857"/>
    <w:rsid w:val="00B44A47"/>
    <w:rsid w:val="00B72CD3"/>
    <w:rsid w:val="00B72FFF"/>
    <w:rsid w:val="00B75966"/>
    <w:rsid w:val="00BA38A6"/>
    <w:rsid w:val="00BC3D36"/>
    <w:rsid w:val="00BC51B2"/>
    <w:rsid w:val="00BD7F72"/>
    <w:rsid w:val="00BE6817"/>
    <w:rsid w:val="00C04FB3"/>
    <w:rsid w:val="00C330EB"/>
    <w:rsid w:val="00C754BE"/>
    <w:rsid w:val="00C76B1C"/>
    <w:rsid w:val="00C8687D"/>
    <w:rsid w:val="00CB32D9"/>
    <w:rsid w:val="00CB6357"/>
    <w:rsid w:val="00CC1B26"/>
    <w:rsid w:val="00CF0BF3"/>
    <w:rsid w:val="00D00544"/>
    <w:rsid w:val="00D30A6C"/>
    <w:rsid w:val="00D423A2"/>
    <w:rsid w:val="00D520D8"/>
    <w:rsid w:val="00D53786"/>
    <w:rsid w:val="00D63AC2"/>
    <w:rsid w:val="00D66878"/>
    <w:rsid w:val="00D7383B"/>
    <w:rsid w:val="00D76CC2"/>
    <w:rsid w:val="00D871FF"/>
    <w:rsid w:val="00DA231B"/>
    <w:rsid w:val="00DC39FC"/>
    <w:rsid w:val="00DD3564"/>
    <w:rsid w:val="00DD693C"/>
    <w:rsid w:val="00DF5254"/>
    <w:rsid w:val="00E16408"/>
    <w:rsid w:val="00E174E4"/>
    <w:rsid w:val="00E20894"/>
    <w:rsid w:val="00E2128C"/>
    <w:rsid w:val="00E245AB"/>
    <w:rsid w:val="00E2764C"/>
    <w:rsid w:val="00E27F2E"/>
    <w:rsid w:val="00E40F7E"/>
    <w:rsid w:val="00E50AFE"/>
    <w:rsid w:val="00E75C92"/>
    <w:rsid w:val="00E771DC"/>
    <w:rsid w:val="00E8638D"/>
    <w:rsid w:val="00E8772A"/>
    <w:rsid w:val="00E90F6B"/>
    <w:rsid w:val="00E92C27"/>
    <w:rsid w:val="00EA0E3D"/>
    <w:rsid w:val="00EB4D72"/>
    <w:rsid w:val="00EC38A7"/>
    <w:rsid w:val="00EE1AA8"/>
    <w:rsid w:val="00F157D3"/>
    <w:rsid w:val="00F27F90"/>
    <w:rsid w:val="00F31EDC"/>
    <w:rsid w:val="00F462B3"/>
    <w:rsid w:val="00F5664F"/>
    <w:rsid w:val="00F62E4B"/>
    <w:rsid w:val="00F666C4"/>
    <w:rsid w:val="00F76AFC"/>
    <w:rsid w:val="00F90434"/>
    <w:rsid w:val="00FA47C0"/>
    <w:rsid w:val="00FA6DF9"/>
    <w:rsid w:val="00FB5DD1"/>
    <w:rsid w:val="00FC2B5D"/>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rsid w:val="00AA30FB"/>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A30FB"/>
    <w:rPr>
      <w:rFonts w:ascii="Geomanist Light" w:hAnsi="Geomanist Light"/>
      <w:lang w:val="es-ES"/>
    </w:rPr>
  </w:style>
  <w:style w:type="character" w:customStyle="1" w:styleId="s15">
    <w:name w:val="s15"/>
    <w:basedOn w:val="Fuentedeprrafopredeter"/>
    <w:rsid w:val="00AA30FB"/>
  </w:style>
  <w:style w:type="character" w:customStyle="1" w:styleId="apple-converted-space">
    <w:name w:val="apple-converted-space"/>
    <w:basedOn w:val="Fuentedeprrafopredeter"/>
    <w:rsid w:val="00AA30FB"/>
  </w:style>
  <w:style w:type="character" w:styleId="Textoennegrita">
    <w:name w:val="Strong"/>
    <w:basedOn w:val="Fuentedeprrafopredeter"/>
    <w:uiPriority w:val="22"/>
    <w:qFormat/>
    <w:rsid w:val="00AA30FB"/>
    <w:rPr>
      <w:b/>
      <w:bCs/>
    </w:rPr>
  </w:style>
  <w:style w:type="character" w:customStyle="1" w:styleId="NormalWebCar">
    <w:name w:val="Normal (Web) Car"/>
    <w:link w:val="NormalWeb"/>
    <w:uiPriority w:val="99"/>
    <w:rsid w:val="00AA30FB"/>
    <w:rPr>
      <w:rFonts w:ascii="Times New Roman" w:eastAsia="Times New Roman" w:hAnsi="Times New Roman" w:cs="Times New Roman"/>
      <w:sz w:val="24"/>
      <w:szCs w:val="24"/>
      <w:lang w:eastAsia="es-CO"/>
    </w:rPr>
  </w:style>
  <w:style w:type="character" w:styleId="nfasis">
    <w:name w:val="Emphasis"/>
    <w:basedOn w:val="Fuentedeprrafopredeter"/>
    <w:uiPriority w:val="20"/>
    <w:qFormat/>
    <w:rsid w:val="00AA30FB"/>
    <w:rPr>
      <w:i/>
      <w:iCs/>
    </w:rPr>
  </w:style>
  <w:style w:type="character" w:styleId="Refdecomentario">
    <w:name w:val="annotation reference"/>
    <w:basedOn w:val="Fuentedeprrafopredeter"/>
    <w:uiPriority w:val="99"/>
    <w:semiHidden/>
    <w:unhideWhenUsed/>
    <w:rsid w:val="009A197C"/>
    <w:rPr>
      <w:sz w:val="16"/>
      <w:szCs w:val="16"/>
    </w:rPr>
  </w:style>
  <w:style w:type="paragraph" w:styleId="Textocomentario">
    <w:name w:val="annotation text"/>
    <w:basedOn w:val="Normal"/>
    <w:link w:val="TextocomentarioCar"/>
    <w:uiPriority w:val="99"/>
    <w:semiHidden/>
    <w:unhideWhenUsed/>
    <w:rsid w:val="009A197C"/>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9A197C"/>
    <w:rPr>
      <w:sz w:val="20"/>
      <w:szCs w:val="20"/>
    </w:rPr>
  </w:style>
  <w:style w:type="paragraph" w:styleId="Asuntodelcomentario">
    <w:name w:val="annotation subject"/>
    <w:basedOn w:val="Textocomentario"/>
    <w:next w:val="Textocomentario"/>
    <w:link w:val="AsuntodelcomentarioCar"/>
    <w:uiPriority w:val="99"/>
    <w:semiHidden/>
    <w:unhideWhenUsed/>
    <w:rsid w:val="009A197C"/>
    <w:rPr>
      <w:b/>
      <w:bCs/>
    </w:rPr>
  </w:style>
  <w:style w:type="character" w:customStyle="1" w:styleId="AsuntodelcomentarioCar">
    <w:name w:val="Asunto del comentario Car"/>
    <w:basedOn w:val="TextocomentarioCar"/>
    <w:link w:val="Asuntodelcomentario"/>
    <w:uiPriority w:val="99"/>
    <w:semiHidden/>
    <w:rsid w:val="009A197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algarra@sena.edu.co" TargetMode="External"/><Relationship Id="rId5" Type="http://schemas.openxmlformats.org/officeDocument/2006/relationships/styles" Target="styles.xml"/><Relationship Id="rId15" Type="http://schemas.openxmlformats.org/officeDocument/2006/relationships/hyperlink" Target="https://www.colombiacompra.gov.co/pqrsd/informacion-importante-antes-de-formular-una-pqrsd"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ventanilladeradicacion@colombiacompra.gov.co"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www.alcaldiabogota.gov.co/sisjur/normas/Norma1.jsp?i=43292"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7fd6426d-c0fc-47b5-a6b8-86becfa1e099"/>
    <ds:schemaRef ds:uri="8ae15d26-076e-464e-81a7-6f76a0fb3917"/>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AD5EB545-4871-4E8B-A2A3-DF50B867BE39}"/>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3</TotalTime>
  <Pages>20</Pages>
  <Words>6723</Words>
  <Characters>36980</Characters>
  <Application>Microsoft Office Word</Application>
  <DocSecurity>0</DocSecurity>
  <Lines>308</Lines>
  <Paragraphs>87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Joan Montoya Penagos</cp:lastModifiedBy>
  <cp:revision>6</cp:revision>
  <cp:lastPrinted>2023-01-10T21:18:00Z</cp:lastPrinted>
  <dcterms:created xsi:type="dcterms:W3CDTF">2025-11-06T03:59:00Z</dcterms:created>
  <dcterms:modified xsi:type="dcterms:W3CDTF">2025-11-06T14:36:00Z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