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B25183" w14:textId="48101209" w:rsidR="009B16C4" w:rsidRPr="009B16C4" w:rsidRDefault="00AD567E" w:rsidP="00AD567E">
      <w:pPr>
        <w:jc w:val="both"/>
        <w:rPr>
          <w:rFonts w:ascii="Verdana" w:eastAsia="Calibri" w:hAnsi="Verdana" w:cs="Arial"/>
          <w:b/>
          <w:bCs/>
          <w:lang w:val="es-ES" w:eastAsia="es-ES"/>
        </w:rPr>
      </w:pPr>
      <w:bookmarkStart w:id="0" w:name="_Hlk143780582"/>
      <w:r w:rsidRPr="009B16C4">
        <w:rPr>
          <w:rFonts w:ascii="Verdana" w:eastAsia="Calibri" w:hAnsi="Verdana" w:cs="Arial"/>
          <w:b/>
          <w:bCs/>
          <w:lang w:val="es-ES" w:eastAsia="es-ES"/>
        </w:rPr>
        <w:t xml:space="preserve">SUSPENSIÓN – Ley 1123 de 2007 </w:t>
      </w:r>
    </w:p>
    <w:p w14:paraId="6A23F34F" w14:textId="77777777" w:rsidR="009B16C4" w:rsidRPr="001268BD" w:rsidRDefault="009B16C4" w:rsidP="009B16C4">
      <w:pPr>
        <w:widowControl w:val="0"/>
        <w:autoSpaceDE w:val="0"/>
        <w:autoSpaceDN w:val="0"/>
        <w:spacing w:after="120" w:line="276" w:lineRule="auto"/>
        <w:jc w:val="both"/>
        <w:rPr>
          <w:rFonts w:ascii="Verdana" w:eastAsia="Calibri" w:hAnsi="Verdana" w:cs="Arial"/>
          <w:lang w:val="es-ES"/>
        </w:rPr>
      </w:pPr>
      <w:r w:rsidRPr="00BE021E">
        <w:rPr>
          <w:rFonts w:ascii="Verdana" w:eastAsia="Calibri" w:hAnsi="Verdana" w:cs="Arial"/>
          <w:lang w:val="es-ES"/>
        </w:rPr>
        <w:t xml:space="preserve">En el Código Disciplinario del Abogado – Ley 1123 de 2007 – se establece expresamente en su artículo </w:t>
      </w:r>
      <w:r>
        <w:rPr>
          <w:rFonts w:ascii="Verdana" w:eastAsia="Calibri" w:hAnsi="Verdana" w:cs="Arial"/>
          <w:lang w:val="es-ES"/>
        </w:rPr>
        <w:t>43</w:t>
      </w:r>
      <w:r w:rsidRPr="00BE021E">
        <w:rPr>
          <w:rFonts w:ascii="Verdana" w:eastAsia="Calibri" w:hAnsi="Verdana" w:cs="Arial"/>
          <w:lang w:val="es-ES"/>
        </w:rPr>
        <w:t xml:space="preserve"> la </w:t>
      </w:r>
      <w:r>
        <w:rPr>
          <w:rFonts w:ascii="Verdana" w:eastAsia="Calibri" w:hAnsi="Verdana" w:cs="Arial"/>
          <w:lang w:val="es-ES"/>
        </w:rPr>
        <w:t>suspensión</w:t>
      </w:r>
      <w:r w:rsidRPr="00BE021E">
        <w:rPr>
          <w:rFonts w:ascii="Verdana" w:eastAsia="Calibri" w:hAnsi="Verdana" w:cs="Arial"/>
          <w:lang w:val="es-ES"/>
        </w:rPr>
        <w:t xml:space="preserve"> como una sanción disciplinaria</w:t>
      </w:r>
      <w:r>
        <w:rPr>
          <w:rFonts w:ascii="Verdana" w:eastAsia="Calibri" w:hAnsi="Verdana" w:cs="Arial"/>
          <w:lang w:val="es-ES"/>
        </w:rPr>
        <w:t xml:space="preserve"> que</w:t>
      </w:r>
      <w:r w:rsidRPr="001268BD">
        <w:rPr>
          <w:rFonts w:ascii="Verdana" w:hAnsi="Verdana" w:cs="Open Sans"/>
        </w:rPr>
        <w:t xml:space="preserve"> “</w:t>
      </w:r>
      <w:r w:rsidRPr="00954F07">
        <w:rPr>
          <w:rFonts w:ascii="Verdana" w:hAnsi="Verdana" w:cs="Open Sans"/>
        </w:rPr>
        <w:t>Consiste en la prohibición de ejercer la profesión por el término señalado en el fallo. Esta sanción oscilará entre dos (2) meses y (3) tres años</w:t>
      </w:r>
      <w:r w:rsidRPr="001268BD">
        <w:rPr>
          <w:rFonts w:ascii="Verdana" w:hAnsi="Verdana" w:cs="Open Sans"/>
        </w:rPr>
        <w:t xml:space="preserve">”. </w:t>
      </w:r>
    </w:p>
    <w:p w14:paraId="2B90B95D" w14:textId="7B414C50" w:rsidR="009B16C4" w:rsidRDefault="009B16C4" w:rsidP="00AD567E">
      <w:pPr>
        <w:jc w:val="both"/>
        <w:rPr>
          <w:rFonts w:ascii="Verdana" w:eastAsia="Calibri" w:hAnsi="Verdana" w:cs="Arial"/>
          <w:lang w:val="es-ES" w:eastAsia="es-ES"/>
        </w:rPr>
      </w:pPr>
      <w:r>
        <w:rPr>
          <w:rFonts w:ascii="Verdana" w:eastAsia="Calibri" w:hAnsi="Verdana" w:cs="Arial"/>
          <w:lang w:val="es-ES" w:eastAsia="es-ES"/>
        </w:rPr>
        <w:t>[…]</w:t>
      </w:r>
    </w:p>
    <w:p w14:paraId="13198B42" w14:textId="5B61BDB6" w:rsidR="009B16C4" w:rsidRDefault="009B16C4" w:rsidP="00AD567E">
      <w:pPr>
        <w:jc w:val="both"/>
        <w:rPr>
          <w:rFonts w:ascii="Verdana" w:eastAsia="Calibri" w:hAnsi="Verdana" w:cs="Arial"/>
          <w:lang w:val="es-ES" w:eastAsia="es-ES"/>
        </w:rPr>
      </w:pPr>
      <w:r w:rsidRPr="00BE021E">
        <w:rPr>
          <w:rFonts w:ascii="Verdana" w:hAnsi="Verdana" w:cs="Arial"/>
        </w:rPr>
        <w:t xml:space="preserve">Así, se encuentra que la </w:t>
      </w:r>
      <w:r>
        <w:rPr>
          <w:rFonts w:ascii="Verdana" w:hAnsi="Verdana" w:cs="Arial"/>
        </w:rPr>
        <w:t>suspensión</w:t>
      </w:r>
      <w:r w:rsidRPr="00BE021E">
        <w:rPr>
          <w:rFonts w:ascii="Verdana" w:hAnsi="Verdana" w:cs="Arial"/>
        </w:rPr>
        <w:t xml:space="preserve"> es una sanción disciplinaria </w:t>
      </w:r>
      <w:r>
        <w:rPr>
          <w:rFonts w:ascii="Verdana" w:hAnsi="Verdana" w:cs="Arial"/>
        </w:rPr>
        <w:t>que</w:t>
      </w:r>
      <w:r w:rsidRPr="00BE021E">
        <w:rPr>
          <w:rFonts w:ascii="Verdana" w:hAnsi="Verdana" w:cs="Arial"/>
        </w:rPr>
        <w:t xml:space="preserve"> corresponde a la </w:t>
      </w:r>
      <w:r>
        <w:rPr>
          <w:rFonts w:ascii="Verdana" w:hAnsi="Verdana" w:cs="Arial"/>
        </w:rPr>
        <w:t xml:space="preserve">prohibición para ejercer la profesión de abogado por el término señalado en el fallo y en </w:t>
      </w:r>
      <w:r w:rsidRPr="00BE021E">
        <w:rPr>
          <w:rFonts w:ascii="Verdana" w:eastAsia="Calibri" w:hAnsi="Verdana" w:cs="Arial"/>
          <w:lang w:eastAsia="es-ES"/>
        </w:rPr>
        <w:t>tal sentido, es importante precisar que el artículo 29, numeral 4° de la Ley 1123 de 2007 que regula las incompatibilidades para ejercer la abogacía, dispone que no pueden ejercer la profesión de abogado cuando sean suspendidos o excluidos, esto es, que la sanción haya sido la suspensión o la exclusión, contemplados en los artículos 4</w:t>
      </w:r>
      <w:r>
        <w:rPr>
          <w:rFonts w:ascii="Verdana" w:eastAsia="Calibri" w:hAnsi="Verdana" w:cs="Arial"/>
          <w:lang w:eastAsia="es-ES"/>
        </w:rPr>
        <w:t>3</w:t>
      </w:r>
      <w:r w:rsidRPr="00BE021E">
        <w:rPr>
          <w:rFonts w:ascii="Verdana" w:eastAsia="Calibri" w:hAnsi="Verdana" w:cs="Arial"/>
          <w:lang w:eastAsia="es-ES"/>
        </w:rPr>
        <w:t xml:space="preserve"> y 4</w:t>
      </w:r>
      <w:r>
        <w:rPr>
          <w:rFonts w:ascii="Verdana" w:eastAsia="Calibri" w:hAnsi="Verdana" w:cs="Arial"/>
          <w:lang w:eastAsia="es-ES"/>
        </w:rPr>
        <w:t>4</w:t>
      </w:r>
      <w:r w:rsidRPr="00BE021E">
        <w:rPr>
          <w:rFonts w:ascii="Verdana" w:eastAsia="Calibri" w:hAnsi="Verdana" w:cs="Arial"/>
          <w:lang w:eastAsia="es-ES"/>
        </w:rPr>
        <w:t xml:space="preserve"> respectivamente de la precitada Ley. De este modo, puede inferirse de la Ley 1123 de 2007 –Código Disciplinario del Abogado- que la </w:t>
      </w:r>
      <w:r>
        <w:rPr>
          <w:rFonts w:ascii="Verdana" w:eastAsia="Calibri" w:hAnsi="Verdana" w:cs="Arial"/>
          <w:lang w:eastAsia="es-ES"/>
        </w:rPr>
        <w:t>suspensión como sanción disciplinaria a un abogado sí im</w:t>
      </w:r>
      <w:r w:rsidRPr="00BE021E">
        <w:rPr>
          <w:rFonts w:ascii="Verdana" w:eastAsia="Calibri" w:hAnsi="Verdana" w:cs="Arial"/>
          <w:lang w:eastAsia="es-ES"/>
        </w:rPr>
        <w:t>plica</w:t>
      </w:r>
      <w:r>
        <w:rPr>
          <w:rFonts w:ascii="Verdana" w:eastAsia="Calibri" w:hAnsi="Verdana" w:cs="Arial"/>
          <w:lang w:eastAsia="es-ES"/>
        </w:rPr>
        <w:t xml:space="preserve"> </w:t>
      </w:r>
      <w:r w:rsidRPr="00BE021E">
        <w:rPr>
          <w:rFonts w:ascii="Verdana" w:eastAsia="Calibri" w:hAnsi="Verdana" w:cs="Arial"/>
          <w:lang w:eastAsia="es-ES"/>
        </w:rPr>
        <w:t xml:space="preserve">una restricción </w:t>
      </w:r>
      <w:r>
        <w:rPr>
          <w:rFonts w:ascii="Verdana" w:eastAsia="Calibri" w:hAnsi="Verdana" w:cs="Arial"/>
          <w:lang w:eastAsia="es-ES"/>
        </w:rPr>
        <w:t xml:space="preserve">o afectación de la capacidad </w:t>
      </w:r>
      <w:r w:rsidRPr="00BE021E">
        <w:rPr>
          <w:rFonts w:ascii="Verdana" w:eastAsia="Calibri" w:hAnsi="Verdana" w:cs="Arial"/>
          <w:lang w:eastAsia="es-ES"/>
        </w:rPr>
        <w:t xml:space="preserve">para celebrar </w:t>
      </w:r>
      <w:r>
        <w:rPr>
          <w:rFonts w:ascii="Verdana" w:eastAsia="Calibri" w:hAnsi="Verdana" w:cs="Arial"/>
          <w:lang w:eastAsia="es-ES"/>
        </w:rPr>
        <w:t xml:space="preserve">y ejecutar </w:t>
      </w:r>
      <w:r w:rsidRPr="00BE021E">
        <w:rPr>
          <w:rFonts w:ascii="Verdana" w:eastAsia="Calibri" w:hAnsi="Verdana" w:cs="Arial"/>
          <w:lang w:eastAsia="es-ES"/>
        </w:rPr>
        <w:t>un contrato de prestación de servicios profesionales con una entidad estatal.</w:t>
      </w:r>
    </w:p>
    <w:p w14:paraId="2A7F346A" w14:textId="4FB7C403" w:rsidR="009B16C4" w:rsidRPr="009B16C4" w:rsidRDefault="00AD567E" w:rsidP="00AD567E">
      <w:pPr>
        <w:jc w:val="both"/>
        <w:rPr>
          <w:rFonts w:ascii="Verdana" w:eastAsia="Calibri" w:hAnsi="Verdana" w:cs="Arial"/>
          <w:b/>
          <w:bCs/>
          <w:lang w:val="es-ES" w:eastAsia="es-ES"/>
        </w:rPr>
      </w:pPr>
      <w:r w:rsidRPr="009B16C4">
        <w:rPr>
          <w:rFonts w:ascii="Verdana" w:eastAsia="Calibri" w:hAnsi="Verdana" w:cs="Arial"/>
          <w:b/>
          <w:bCs/>
          <w:lang w:val="es-ES" w:eastAsia="es-ES"/>
        </w:rPr>
        <w:t xml:space="preserve">RÉGIMEN DE INHABILIDADES E INCOMPATIBILIDADES – Concepto – Interpretación Restrictiva </w:t>
      </w:r>
    </w:p>
    <w:p w14:paraId="57E77936" w14:textId="02E26B5E" w:rsidR="009B16C4" w:rsidRDefault="009B16C4" w:rsidP="00AD567E">
      <w:pPr>
        <w:jc w:val="both"/>
        <w:rPr>
          <w:rFonts w:ascii="Verdana" w:eastAsia="Calibri" w:hAnsi="Verdana" w:cs="Arial"/>
          <w:lang w:val="es-ES" w:eastAsia="es-ES"/>
        </w:rPr>
      </w:pPr>
      <w:r w:rsidRPr="00BE021E">
        <w:rPr>
          <w:rFonts w:ascii="Verdana" w:eastAsia="Calibri" w:hAnsi="Verdana" w:cs="Arial"/>
          <w:lang w:val="es-ES"/>
        </w:rPr>
        <w:t>Debido a las restricciones que impone el régimen de inhabilidades e incompatibilidades, este se tipifica en la Ley expresamente y su interpretación debe ser restrictiva. Es decir, las causales de inhabilidad e impedimentos deben estar enunciadas en las normas de forma taxativa y al aplicarse en una situación particular su interpretación debe ser restrictiva, de tal forma que no se admita una interpretación amplia o extensiva que permitiera contemplar supuestos indeterminados como causales de inhabilidad o impedimentos.</w:t>
      </w:r>
      <w:r>
        <w:rPr>
          <w:rFonts w:ascii="Verdana" w:eastAsia="Calibri" w:hAnsi="Verdana" w:cs="Arial"/>
          <w:lang w:val="es-ES"/>
        </w:rPr>
        <w:t xml:space="preserve"> Por lo que, la interpretación de los efectos de la suspensión o exclusión del ejercicio de la profesión no puede hacerse extensiva a otras sanciones que no estén expresamente establecidas en la norma.</w:t>
      </w:r>
    </w:p>
    <w:p w14:paraId="0C66550E" w14:textId="19714C0C" w:rsidR="00AD567E" w:rsidRPr="009B16C4" w:rsidRDefault="00AD567E" w:rsidP="00AD567E">
      <w:pPr>
        <w:jc w:val="both"/>
        <w:rPr>
          <w:rFonts w:ascii="Verdana" w:eastAsia="Calibri" w:hAnsi="Verdana" w:cs="Arial"/>
          <w:b/>
          <w:bCs/>
          <w:lang w:val="es-ES" w:eastAsia="es-ES"/>
        </w:rPr>
      </w:pPr>
      <w:r w:rsidRPr="009B16C4">
        <w:rPr>
          <w:rFonts w:ascii="Verdana" w:eastAsia="Calibri" w:hAnsi="Verdana" w:cs="Arial"/>
          <w:b/>
          <w:bCs/>
          <w:lang w:val="es-ES" w:eastAsia="es-ES"/>
        </w:rPr>
        <w:t>CONTRATO DE PRESTACIÓN DE SERVICIOS – Ejecución – Inhabilidades e incompatibilidades sobrevinientes</w:t>
      </w:r>
    </w:p>
    <w:p w14:paraId="589A9540" w14:textId="787CC694" w:rsidR="00AD567E" w:rsidRDefault="009B16C4" w:rsidP="009B16C4">
      <w:pPr>
        <w:spacing w:after="0" w:line="240" w:lineRule="auto"/>
        <w:jc w:val="both"/>
        <w:rPr>
          <w:rFonts w:ascii="Verdana" w:hAnsi="Verdana"/>
        </w:rPr>
      </w:pPr>
      <w:r>
        <w:rPr>
          <w:rFonts w:ascii="Verdana" w:hAnsi="Verdana" w:cs="Arial"/>
          <w:color w:val="000000" w:themeColor="text1"/>
        </w:rPr>
        <w:t>Sólo con el cumplimiento de los requisitos de los artículos 39 y 41 del Estatuto General de Contratación Pública existe el contrato estatal, de manera que tienen carácter solemne</w:t>
      </w:r>
      <w:r w:rsidRPr="00102540">
        <w:rPr>
          <w:rFonts w:ascii="Verdana" w:hAnsi="Verdana" w:cs="Arial"/>
          <w:color w:val="000000" w:themeColor="text1"/>
        </w:rPr>
        <w:t xml:space="preserve"> y, por tanto, requieren formalidad escrita</w:t>
      </w:r>
      <w:r>
        <w:rPr>
          <w:rFonts w:ascii="Verdana" w:hAnsi="Verdana" w:cs="Arial"/>
          <w:color w:val="000000" w:themeColor="text1"/>
        </w:rPr>
        <w:t xml:space="preserve">. Por ello, </w:t>
      </w:r>
      <w:r w:rsidRPr="00F87C06">
        <w:rPr>
          <w:rFonts w:ascii="Verdana" w:hAnsi="Verdana" w:cs="Arial"/>
          <w:i/>
          <w:iCs/>
          <w:color w:val="000000" w:themeColor="text1"/>
        </w:rPr>
        <w:t>respecto al contratista</w:t>
      </w:r>
      <w:r>
        <w:rPr>
          <w:rFonts w:ascii="Verdana" w:hAnsi="Verdana" w:cs="Arial"/>
          <w:color w:val="000000" w:themeColor="text1"/>
        </w:rPr>
        <w:t>, el inciso primero del artículo 9 de la Ley 80 de 1993 dispone que “</w:t>
      </w:r>
      <w:r w:rsidRPr="00F87C06">
        <w:rPr>
          <w:rFonts w:ascii="Verdana" w:hAnsi="Verdana" w:cs="Arial"/>
          <w:color w:val="000000" w:themeColor="text1"/>
        </w:rPr>
        <w:t xml:space="preserve">Si </w:t>
      </w:r>
      <w:r w:rsidRPr="00F87C06">
        <w:rPr>
          <w:rFonts w:ascii="Verdana" w:hAnsi="Verdana" w:cs="Arial"/>
          <w:color w:val="000000" w:themeColor="text1"/>
        </w:rPr>
        <w:lastRenderedPageBreak/>
        <w:t>llegare a sobrevenir inhabilidad o incompatibilidad en el contratista, este cederá el contrato previa autorización escrita de la entidad contratante o, si ello no fuere posible, renunciará a su ejecución</w:t>
      </w:r>
      <w:r>
        <w:rPr>
          <w:rFonts w:ascii="Verdana" w:hAnsi="Verdana" w:cs="Arial"/>
          <w:color w:val="000000" w:themeColor="text1"/>
        </w:rPr>
        <w:t>”.</w:t>
      </w:r>
    </w:p>
    <w:p w14:paraId="5537C6BE" w14:textId="6E3FB501" w:rsidR="00AD567E" w:rsidRDefault="00AD567E" w:rsidP="009B16C4">
      <w:pPr>
        <w:spacing w:after="0" w:line="240" w:lineRule="auto"/>
        <w:jc w:val="both"/>
        <w:rPr>
          <w:rFonts w:ascii="Verdana" w:hAnsi="Verdana"/>
        </w:rPr>
      </w:pPr>
    </w:p>
    <w:p w14:paraId="1D0FD1EA" w14:textId="02F4BCE0" w:rsidR="00AD567E" w:rsidRDefault="00AD567E" w:rsidP="00F21157">
      <w:pPr>
        <w:spacing w:after="0" w:line="240" w:lineRule="auto"/>
        <w:rPr>
          <w:rFonts w:ascii="Verdana" w:hAnsi="Verdana"/>
        </w:rPr>
      </w:pPr>
    </w:p>
    <w:p w14:paraId="01FEA011" w14:textId="204F529E" w:rsidR="00AD567E" w:rsidRDefault="00AD567E" w:rsidP="00F21157">
      <w:pPr>
        <w:spacing w:after="0" w:line="240" w:lineRule="auto"/>
        <w:rPr>
          <w:rFonts w:ascii="Verdana" w:hAnsi="Verdana"/>
        </w:rPr>
      </w:pPr>
    </w:p>
    <w:p w14:paraId="1E2148D8" w14:textId="7DF4434F" w:rsidR="00AD567E" w:rsidRDefault="00AD567E" w:rsidP="00F21157">
      <w:pPr>
        <w:spacing w:after="0" w:line="240" w:lineRule="auto"/>
        <w:rPr>
          <w:rFonts w:ascii="Verdana" w:hAnsi="Verdana"/>
        </w:rPr>
      </w:pPr>
    </w:p>
    <w:p w14:paraId="1EC71A6C" w14:textId="574D6A4A" w:rsidR="00AD567E" w:rsidRDefault="00AD567E" w:rsidP="00F21157">
      <w:pPr>
        <w:spacing w:after="0" w:line="240" w:lineRule="auto"/>
        <w:rPr>
          <w:rFonts w:ascii="Verdana" w:hAnsi="Verdana"/>
        </w:rPr>
      </w:pPr>
    </w:p>
    <w:p w14:paraId="4FF3768B" w14:textId="4A178E48" w:rsidR="00AD567E" w:rsidRDefault="00AD567E" w:rsidP="00F21157">
      <w:pPr>
        <w:spacing w:after="0" w:line="240" w:lineRule="auto"/>
        <w:rPr>
          <w:rFonts w:ascii="Verdana" w:hAnsi="Verdana"/>
        </w:rPr>
      </w:pPr>
    </w:p>
    <w:p w14:paraId="04BA4D8E" w14:textId="7A3DFB8D" w:rsidR="00AD567E" w:rsidRDefault="00AD567E" w:rsidP="00F21157">
      <w:pPr>
        <w:spacing w:after="0" w:line="240" w:lineRule="auto"/>
        <w:rPr>
          <w:rFonts w:ascii="Verdana" w:hAnsi="Verdana"/>
        </w:rPr>
      </w:pPr>
    </w:p>
    <w:p w14:paraId="36E84E8D" w14:textId="091A5AA8" w:rsidR="00AD567E" w:rsidRDefault="00AD567E" w:rsidP="00F21157">
      <w:pPr>
        <w:spacing w:after="0" w:line="240" w:lineRule="auto"/>
        <w:rPr>
          <w:rFonts w:ascii="Verdana" w:hAnsi="Verdana"/>
        </w:rPr>
      </w:pPr>
    </w:p>
    <w:p w14:paraId="531493EE" w14:textId="577BF471" w:rsidR="00AD567E" w:rsidRDefault="00AD567E" w:rsidP="00F21157">
      <w:pPr>
        <w:spacing w:after="0" w:line="240" w:lineRule="auto"/>
        <w:rPr>
          <w:rFonts w:ascii="Verdana" w:hAnsi="Verdana"/>
        </w:rPr>
      </w:pPr>
    </w:p>
    <w:p w14:paraId="495D6ADE" w14:textId="1FD99BFE" w:rsidR="00AD567E" w:rsidRDefault="00AD567E" w:rsidP="00F21157">
      <w:pPr>
        <w:spacing w:after="0" w:line="240" w:lineRule="auto"/>
        <w:rPr>
          <w:rFonts w:ascii="Verdana" w:hAnsi="Verdana"/>
        </w:rPr>
      </w:pPr>
    </w:p>
    <w:p w14:paraId="7A4234D7" w14:textId="58F20694" w:rsidR="00AD567E" w:rsidRDefault="00AD567E" w:rsidP="00F21157">
      <w:pPr>
        <w:spacing w:after="0" w:line="240" w:lineRule="auto"/>
        <w:rPr>
          <w:rFonts w:ascii="Verdana" w:hAnsi="Verdana"/>
        </w:rPr>
      </w:pPr>
    </w:p>
    <w:p w14:paraId="57F339F3" w14:textId="2903057B" w:rsidR="00AD567E" w:rsidRDefault="00AD567E" w:rsidP="00F21157">
      <w:pPr>
        <w:spacing w:after="0" w:line="240" w:lineRule="auto"/>
        <w:rPr>
          <w:rFonts w:ascii="Verdana" w:hAnsi="Verdana"/>
        </w:rPr>
      </w:pPr>
    </w:p>
    <w:p w14:paraId="73F6103B" w14:textId="41D98B63" w:rsidR="00AD567E" w:rsidRDefault="00AD567E" w:rsidP="00F21157">
      <w:pPr>
        <w:spacing w:after="0" w:line="240" w:lineRule="auto"/>
        <w:rPr>
          <w:rFonts w:ascii="Verdana" w:hAnsi="Verdana"/>
        </w:rPr>
      </w:pPr>
    </w:p>
    <w:p w14:paraId="51C53ACB" w14:textId="166D51D2" w:rsidR="00AD567E" w:rsidRDefault="00AD567E" w:rsidP="00F21157">
      <w:pPr>
        <w:spacing w:after="0" w:line="240" w:lineRule="auto"/>
        <w:rPr>
          <w:rFonts w:ascii="Verdana" w:hAnsi="Verdana"/>
        </w:rPr>
      </w:pPr>
    </w:p>
    <w:p w14:paraId="7AE8911E" w14:textId="47143611" w:rsidR="00AD567E" w:rsidRDefault="00AD567E" w:rsidP="00F21157">
      <w:pPr>
        <w:spacing w:after="0" w:line="240" w:lineRule="auto"/>
        <w:rPr>
          <w:rFonts w:ascii="Verdana" w:hAnsi="Verdana"/>
        </w:rPr>
      </w:pPr>
    </w:p>
    <w:p w14:paraId="6D6B01EA" w14:textId="3D3562BF" w:rsidR="00AD567E" w:rsidRDefault="00AD567E" w:rsidP="00F21157">
      <w:pPr>
        <w:spacing w:after="0" w:line="240" w:lineRule="auto"/>
        <w:rPr>
          <w:rFonts w:ascii="Verdana" w:hAnsi="Verdana"/>
        </w:rPr>
      </w:pPr>
    </w:p>
    <w:p w14:paraId="441A133A" w14:textId="376069BE" w:rsidR="00AD567E" w:rsidRDefault="00AD567E" w:rsidP="00F21157">
      <w:pPr>
        <w:spacing w:after="0" w:line="240" w:lineRule="auto"/>
        <w:rPr>
          <w:rFonts w:ascii="Verdana" w:hAnsi="Verdana"/>
        </w:rPr>
      </w:pPr>
    </w:p>
    <w:p w14:paraId="08C5776B" w14:textId="1A82EBBC" w:rsidR="00AD567E" w:rsidRDefault="00AD567E" w:rsidP="00F21157">
      <w:pPr>
        <w:spacing w:after="0" w:line="240" w:lineRule="auto"/>
        <w:rPr>
          <w:rFonts w:ascii="Verdana" w:hAnsi="Verdana"/>
        </w:rPr>
      </w:pPr>
    </w:p>
    <w:p w14:paraId="2B9A570D" w14:textId="5B0A59B3" w:rsidR="00AD567E" w:rsidRDefault="00AD567E" w:rsidP="00F21157">
      <w:pPr>
        <w:spacing w:after="0" w:line="240" w:lineRule="auto"/>
        <w:rPr>
          <w:rFonts w:ascii="Verdana" w:hAnsi="Verdana"/>
        </w:rPr>
      </w:pPr>
    </w:p>
    <w:p w14:paraId="372008E9" w14:textId="65DB1825" w:rsidR="00AD567E" w:rsidRDefault="00AD567E" w:rsidP="00F21157">
      <w:pPr>
        <w:spacing w:after="0" w:line="240" w:lineRule="auto"/>
        <w:rPr>
          <w:rFonts w:ascii="Verdana" w:hAnsi="Verdana"/>
        </w:rPr>
      </w:pPr>
    </w:p>
    <w:p w14:paraId="213A315D" w14:textId="5084822B" w:rsidR="009B16C4" w:rsidRDefault="009B16C4" w:rsidP="00F21157">
      <w:pPr>
        <w:spacing w:after="0" w:line="240" w:lineRule="auto"/>
        <w:rPr>
          <w:rFonts w:ascii="Verdana" w:hAnsi="Verdana"/>
        </w:rPr>
      </w:pPr>
    </w:p>
    <w:p w14:paraId="06828D1B" w14:textId="596C0459" w:rsidR="009B16C4" w:rsidRDefault="009B16C4" w:rsidP="00F21157">
      <w:pPr>
        <w:spacing w:after="0" w:line="240" w:lineRule="auto"/>
        <w:rPr>
          <w:rFonts w:ascii="Verdana" w:hAnsi="Verdana"/>
        </w:rPr>
      </w:pPr>
    </w:p>
    <w:p w14:paraId="1FEFA55F" w14:textId="47A7FB96" w:rsidR="009B16C4" w:rsidRDefault="009B16C4" w:rsidP="00F21157">
      <w:pPr>
        <w:spacing w:after="0" w:line="240" w:lineRule="auto"/>
        <w:rPr>
          <w:rFonts w:ascii="Verdana" w:hAnsi="Verdana"/>
        </w:rPr>
      </w:pPr>
    </w:p>
    <w:p w14:paraId="126B8DAD" w14:textId="4326D3B4" w:rsidR="009B16C4" w:rsidRDefault="009B16C4" w:rsidP="00F21157">
      <w:pPr>
        <w:spacing w:after="0" w:line="240" w:lineRule="auto"/>
        <w:rPr>
          <w:rFonts w:ascii="Verdana" w:hAnsi="Verdana"/>
        </w:rPr>
      </w:pPr>
    </w:p>
    <w:p w14:paraId="43948086" w14:textId="3313703E" w:rsidR="009B16C4" w:rsidRDefault="009B16C4" w:rsidP="00F21157">
      <w:pPr>
        <w:spacing w:after="0" w:line="240" w:lineRule="auto"/>
        <w:rPr>
          <w:rFonts w:ascii="Verdana" w:hAnsi="Verdana"/>
        </w:rPr>
      </w:pPr>
    </w:p>
    <w:p w14:paraId="0BC5D304" w14:textId="3F3D07C9" w:rsidR="009B16C4" w:rsidRDefault="009B16C4" w:rsidP="00F21157">
      <w:pPr>
        <w:spacing w:after="0" w:line="240" w:lineRule="auto"/>
        <w:rPr>
          <w:rFonts w:ascii="Verdana" w:hAnsi="Verdana"/>
        </w:rPr>
      </w:pPr>
    </w:p>
    <w:p w14:paraId="236080DD" w14:textId="483C65C4" w:rsidR="009B16C4" w:rsidRDefault="009B16C4" w:rsidP="00F21157">
      <w:pPr>
        <w:spacing w:after="0" w:line="240" w:lineRule="auto"/>
        <w:rPr>
          <w:rFonts w:ascii="Verdana" w:hAnsi="Verdana"/>
        </w:rPr>
      </w:pPr>
    </w:p>
    <w:p w14:paraId="5018F4FB" w14:textId="687B26C9" w:rsidR="009B16C4" w:rsidRDefault="009B16C4" w:rsidP="00F21157">
      <w:pPr>
        <w:spacing w:after="0" w:line="240" w:lineRule="auto"/>
        <w:rPr>
          <w:rFonts w:ascii="Verdana" w:hAnsi="Verdana"/>
        </w:rPr>
      </w:pPr>
    </w:p>
    <w:p w14:paraId="578BD28C" w14:textId="2A19236C" w:rsidR="009B16C4" w:rsidRDefault="009B16C4" w:rsidP="00F21157">
      <w:pPr>
        <w:spacing w:after="0" w:line="240" w:lineRule="auto"/>
        <w:rPr>
          <w:rFonts w:ascii="Verdana" w:hAnsi="Verdana"/>
        </w:rPr>
      </w:pPr>
    </w:p>
    <w:p w14:paraId="2170A28E" w14:textId="7918DD87" w:rsidR="009B16C4" w:rsidRDefault="009B16C4" w:rsidP="00F21157">
      <w:pPr>
        <w:spacing w:after="0" w:line="240" w:lineRule="auto"/>
        <w:rPr>
          <w:rFonts w:ascii="Verdana" w:hAnsi="Verdana"/>
        </w:rPr>
      </w:pPr>
    </w:p>
    <w:p w14:paraId="49F769DF" w14:textId="33A56428" w:rsidR="009B16C4" w:rsidRDefault="009B16C4" w:rsidP="00F21157">
      <w:pPr>
        <w:spacing w:after="0" w:line="240" w:lineRule="auto"/>
        <w:rPr>
          <w:rFonts w:ascii="Verdana" w:hAnsi="Verdana"/>
        </w:rPr>
      </w:pPr>
    </w:p>
    <w:p w14:paraId="6B002BB2" w14:textId="00992B5A" w:rsidR="009B16C4" w:rsidRDefault="009B16C4" w:rsidP="00F21157">
      <w:pPr>
        <w:spacing w:after="0" w:line="240" w:lineRule="auto"/>
        <w:rPr>
          <w:rFonts w:ascii="Verdana" w:hAnsi="Verdana"/>
        </w:rPr>
      </w:pPr>
    </w:p>
    <w:p w14:paraId="0F20CD87" w14:textId="78795F80" w:rsidR="009B16C4" w:rsidRDefault="009B16C4" w:rsidP="00F21157">
      <w:pPr>
        <w:spacing w:after="0" w:line="240" w:lineRule="auto"/>
        <w:rPr>
          <w:rFonts w:ascii="Verdana" w:hAnsi="Verdana"/>
        </w:rPr>
      </w:pPr>
    </w:p>
    <w:p w14:paraId="6351A453" w14:textId="4E19FF42" w:rsidR="009B16C4" w:rsidRDefault="009B16C4" w:rsidP="00F21157">
      <w:pPr>
        <w:spacing w:after="0" w:line="240" w:lineRule="auto"/>
        <w:rPr>
          <w:rFonts w:ascii="Verdana" w:hAnsi="Verdana"/>
        </w:rPr>
      </w:pPr>
    </w:p>
    <w:p w14:paraId="56627186" w14:textId="77777777" w:rsidR="009B16C4" w:rsidRDefault="009B16C4" w:rsidP="00F21157">
      <w:pPr>
        <w:spacing w:after="0" w:line="240" w:lineRule="auto"/>
        <w:rPr>
          <w:rFonts w:ascii="Verdana" w:hAnsi="Verdana"/>
        </w:rPr>
      </w:pPr>
    </w:p>
    <w:p w14:paraId="25265977" w14:textId="77777777" w:rsidR="00AD567E" w:rsidRDefault="00AD567E" w:rsidP="00F21157">
      <w:pPr>
        <w:spacing w:after="0" w:line="240" w:lineRule="auto"/>
        <w:rPr>
          <w:rFonts w:ascii="Verdana" w:hAnsi="Verdana"/>
        </w:rPr>
      </w:pPr>
    </w:p>
    <w:p w14:paraId="6478DE4A" w14:textId="77777777" w:rsidR="00AD567E" w:rsidRDefault="00AD567E" w:rsidP="00F21157">
      <w:pPr>
        <w:spacing w:after="0" w:line="240" w:lineRule="auto"/>
        <w:rPr>
          <w:rFonts w:ascii="Verdana" w:hAnsi="Verdana"/>
        </w:rPr>
      </w:pPr>
    </w:p>
    <w:p w14:paraId="417DA66C" w14:textId="77777777" w:rsidR="00AD567E" w:rsidRDefault="00AD567E" w:rsidP="00F21157">
      <w:pPr>
        <w:spacing w:after="0" w:line="240" w:lineRule="auto"/>
        <w:rPr>
          <w:rFonts w:ascii="Verdana" w:hAnsi="Verdana"/>
        </w:rPr>
      </w:pPr>
    </w:p>
    <w:p w14:paraId="1468C46D" w14:textId="0BF49826" w:rsidR="00C15139" w:rsidRDefault="00AD567E" w:rsidP="00F21157">
      <w:pPr>
        <w:spacing w:after="0" w:line="240" w:lineRule="auto"/>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151A6E7E" wp14:editId="333F16C5">
            <wp:simplePos x="0" y="0"/>
            <wp:positionH relativeFrom="column">
              <wp:posOffset>3097725</wp:posOffset>
            </wp:positionH>
            <wp:positionV relativeFrom="paragraph">
              <wp:posOffset>-95934</wp:posOffset>
            </wp:positionV>
            <wp:extent cx="2658794" cy="791663"/>
            <wp:effectExtent l="0" t="0" r="0" b="889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1">
                      <a:extLst>
                        <a:ext uri="{28A0092B-C50C-407E-A947-70E740481C1C}">
                          <a14:useLocalDpi xmlns:a14="http://schemas.microsoft.com/office/drawing/2010/main" val="0"/>
                        </a:ext>
                      </a:extLst>
                    </a:blip>
                    <a:stretch>
                      <a:fillRect/>
                    </a:stretch>
                  </pic:blipFill>
                  <pic:spPr>
                    <a:xfrm>
                      <a:off x="0" y="0"/>
                      <a:ext cx="2658794" cy="791663"/>
                    </a:xfrm>
                    <a:prstGeom prst="rect">
                      <a:avLst/>
                    </a:prstGeom>
                  </pic:spPr>
                </pic:pic>
              </a:graphicData>
            </a:graphic>
            <wp14:sizeRelH relativeFrom="page">
              <wp14:pctWidth>0</wp14:pctWidth>
            </wp14:sizeRelH>
            <wp14:sizeRelV relativeFrom="page">
              <wp14:pctHeight>0</wp14:pctHeight>
            </wp14:sizeRelV>
          </wp:anchor>
        </w:drawing>
      </w:r>
      <w:r w:rsidR="00C15139" w:rsidRPr="0024624F">
        <w:rPr>
          <w:rFonts w:ascii="Verdana" w:hAnsi="Verdana"/>
        </w:rPr>
        <w:t xml:space="preserve">Bogotá D.C., </w:t>
      </w:r>
      <w:r>
        <w:rPr>
          <w:rFonts w:ascii="Verdana" w:hAnsi="Verdana"/>
        </w:rPr>
        <w:t xml:space="preserve">07 </w:t>
      </w:r>
      <w:proofErr w:type="gramStart"/>
      <w:r>
        <w:rPr>
          <w:rFonts w:ascii="Verdana" w:hAnsi="Verdana"/>
        </w:rPr>
        <w:t>Noviembre</w:t>
      </w:r>
      <w:proofErr w:type="gramEnd"/>
      <w:r>
        <w:rPr>
          <w:rFonts w:ascii="Verdana" w:hAnsi="Verdana"/>
        </w:rPr>
        <w:t xml:space="preserve"> 2025</w:t>
      </w:r>
      <w:r w:rsidR="00C15139" w:rsidRPr="000E2B93">
        <w:rPr>
          <w:rFonts w:ascii="Verdana" w:hAnsi="Verdana"/>
        </w:rPr>
        <w:tab/>
      </w:r>
      <w:r w:rsidR="00C15139" w:rsidRPr="000E2B93">
        <w:rPr>
          <w:rFonts w:ascii="Verdana" w:hAnsi="Verdana"/>
        </w:rPr>
        <w:br/>
      </w:r>
    </w:p>
    <w:p w14:paraId="793CFA49" w14:textId="77777777" w:rsidR="0042120A" w:rsidRPr="00B96799" w:rsidRDefault="0042120A" w:rsidP="0042120A">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r>
        <w:rPr>
          <w:rFonts w:ascii="Verdana" w:eastAsia="Calibri" w:hAnsi="Verdana" w:cs="Arial"/>
          <w:lang w:val="es-ES" w:eastAsia="es-ES"/>
        </w:rPr>
        <w:t>a</w:t>
      </w:r>
    </w:p>
    <w:p w14:paraId="335AC62B" w14:textId="77777777" w:rsidR="0042120A" w:rsidRPr="00FA3E8C" w:rsidRDefault="0042120A" w:rsidP="0042120A">
      <w:pPr>
        <w:spacing w:after="0" w:line="240" w:lineRule="auto"/>
        <w:rPr>
          <w:rFonts w:ascii="Verdana" w:eastAsia="Calibri" w:hAnsi="Verdana" w:cs="Arial"/>
          <w:b/>
          <w:lang w:val="es-ES" w:eastAsia="es-ES"/>
        </w:rPr>
      </w:pPr>
      <w:proofErr w:type="spellStart"/>
      <w:r w:rsidRPr="70556F5F">
        <w:rPr>
          <w:rFonts w:ascii="Verdana" w:eastAsia="Calibri" w:hAnsi="Verdana" w:cs="Arial"/>
          <w:b/>
          <w:lang w:val="es-ES" w:eastAsia="es-ES"/>
        </w:rPr>
        <w:t>Jermy</w:t>
      </w:r>
      <w:proofErr w:type="spellEnd"/>
      <w:r w:rsidRPr="70556F5F">
        <w:rPr>
          <w:rFonts w:ascii="Verdana" w:eastAsia="Calibri" w:hAnsi="Verdana" w:cs="Arial"/>
          <w:b/>
          <w:lang w:val="es-ES" w:eastAsia="es-ES"/>
        </w:rPr>
        <w:t xml:space="preserve"> Andrea Castaño </w:t>
      </w:r>
      <w:proofErr w:type="spellStart"/>
      <w:r w:rsidRPr="70556F5F">
        <w:rPr>
          <w:rFonts w:ascii="Verdana" w:eastAsia="Calibri" w:hAnsi="Verdana" w:cs="Arial"/>
          <w:b/>
          <w:lang w:val="es-ES" w:eastAsia="es-ES"/>
        </w:rPr>
        <w:t>Hernandez</w:t>
      </w:r>
      <w:proofErr w:type="spellEnd"/>
    </w:p>
    <w:p w14:paraId="3C713F01" w14:textId="77777777" w:rsidR="0042120A" w:rsidRDefault="00050C1B" w:rsidP="0042120A">
      <w:pPr>
        <w:spacing w:after="0" w:line="240" w:lineRule="auto"/>
        <w:rPr>
          <w:rFonts w:ascii="Verdana" w:eastAsia="Calibri" w:hAnsi="Verdana" w:cs="Arial"/>
          <w:u w:val="single"/>
          <w:lang w:val="es-ES" w:eastAsia="es-ES"/>
        </w:rPr>
      </w:pPr>
      <w:hyperlink r:id="rId12" w:history="1">
        <w:r w:rsidR="0042120A" w:rsidRPr="00FA3E8C">
          <w:rPr>
            <w:rStyle w:val="Hipervnculo"/>
            <w:rFonts w:ascii="Verdana" w:eastAsia="Calibri" w:hAnsi="Verdana" w:cs="Arial"/>
            <w:lang w:val="es-ES" w:eastAsia="es-ES"/>
          </w:rPr>
          <w:t>jach1495@gmail.com</w:t>
        </w:r>
      </w:hyperlink>
    </w:p>
    <w:p w14:paraId="5F8AEBF8" w14:textId="77777777" w:rsidR="0042120A" w:rsidRPr="00B96799" w:rsidRDefault="0042120A" w:rsidP="0042120A">
      <w:pPr>
        <w:spacing w:after="0" w:line="240" w:lineRule="auto"/>
        <w:rPr>
          <w:rFonts w:ascii="Verdana" w:eastAsia="Calibri" w:hAnsi="Verdana" w:cs="Arial"/>
          <w:b/>
          <w:bCs/>
          <w:lang w:val="es-ES" w:eastAsia="es-ES"/>
        </w:rPr>
      </w:pPr>
      <w:r>
        <w:rPr>
          <w:rFonts w:ascii="Verdana" w:eastAsia="Calibri" w:hAnsi="Verdana" w:cs="Arial"/>
          <w:lang w:val="es-ES" w:eastAsia="es-ES"/>
        </w:rPr>
        <w:t>Bogotá D.C.</w:t>
      </w:r>
      <w:r w:rsidRPr="00B96799">
        <w:rPr>
          <w:rFonts w:ascii="Verdana" w:eastAsia="Calibri" w:hAnsi="Verdana" w:cs="Arial"/>
          <w:lang w:val="es-ES" w:eastAsia="es-ES"/>
        </w:rPr>
        <w:t>, Cundinamarca</w:t>
      </w:r>
    </w:p>
    <w:p w14:paraId="6F8B646E" w14:textId="77777777" w:rsidR="0042120A" w:rsidRPr="00593A5F" w:rsidRDefault="0042120A" w:rsidP="0042120A">
      <w:pPr>
        <w:spacing w:after="0" w:line="240" w:lineRule="auto"/>
        <w:rPr>
          <w:rFonts w:ascii="Verdana" w:eastAsia="Calibri" w:hAnsi="Verdana" w:cs="Arial"/>
          <w:b/>
          <w:bCs/>
          <w:color w:val="000000"/>
          <w:lang w:val="es-ES_tradnl" w:eastAsia="es-ES_tradnl"/>
        </w:rPr>
      </w:pPr>
    </w:p>
    <w:p w14:paraId="5198B9E9" w14:textId="77777777" w:rsidR="0042120A" w:rsidRPr="00593A5F" w:rsidRDefault="0042120A" w:rsidP="0042120A">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2120A" w:rsidRPr="00593A5F" w14:paraId="1A1BAA8B" w14:textId="77777777" w:rsidTr="00266DBE">
        <w:trPr>
          <w:trHeight w:val="222"/>
        </w:trPr>
        <w:tc>
          <w:tcPr>
            <w:tcW w:w="2689" w:type="dxa"/>
          </w:tcPr>
          <w:p w14:paraId="6B20F37D" w14:textId="77777777" w:rsidR="0042120A" w:rsidRPr="00C00976" w:rsidRDefault="0042120A" w:rsidP="00266DBE">
            <w:pPr>
              <w:jc w:val="both"/>
              <w:rPr>
                <w:rFonts w:ascii="Verdana" w:eastAsia="Calibri" w:hAnsi="Verdana" w:cs="Arial"/>
                <w:b/>
                <w:bCs/>
                <w:color w:val="7030A0"/>
                <w:lang w:val="es-ES_tradnl" w:eastAsia="es-ES_tradnl"/>
              </w:rPr>
            </w:pPr>
          </w:p>
        </w:tc>
        <w:tc>
          <w:tcPr>
            <w:tcW w:w="6100" w:type="dxa"/>
          </w:tcPr>
          <w:p w14:paraId="6A29E610" w14:textId="77777777" w:rsidR="0042120A" w:rsidRDefault="0042120A" w:rsidP="00266DBE">
            <w:pPr>
              <w:jc w:val="both"/>
              <w:rPr>
                <w:rFonts w:ascii="Verdana" w:eastAsia="Calibri" w:hAnsi="Verdana" w:cs="Arial"/>
                <w:b/>
                <w:bCs/>
                <w:lang w:val="es-ES" w:eastAsia="es-ES"/>
              </w:rPr>
            </w:pPr>
            <w:r w:rsidRPr="00247BDE">
              <w:rPr>
                <w:rFonts w:ascii="Verdana" w:eastAsia="Calibri" w:hAnsi="Verdana" w:cs="Arial"/>
                <w:b/>
                <w:bCs/>
                <w:lang w:val="es-ES" w:eastAsia="es-ES"/>
              </w:rPr>
              <w:t>Concepto C-</w:t>
            </w:r>
            <w:r>
              <w:rPr>
                <w:rFonts w:ascii="Verdana" w:eastAsia="Calibri" w:hAnsi="Verdana" w:cs="Arial"/>
                <w:b/>
                <w:bCs/>
                <w:lang w:val="es-ES" w:eastAsia="es-ES"/>
              </w:rPr>
              <w:t>1402</w:t>
            </w:r>
            <w:r w:rsidRPr="00C00976">
              <w:rPr>
                <w:rFonts w:ascii="Verdana" w:eastAsia="Calibri" w:hAnsi="Verdana" w:cs="Arial"/>
                <w:b/>
                <w:bCs/>
                <w:color w:val="7030A0"/>
                <w:lang w:val="es-ES" w:eastAsia="es-ES"/>
              </w:rPr>
              <w:t xml:space="preserve"> </w:t>
            </w:r>
            <w:r w:rsidRPr="00247BDE">
              <w:rPr>
                <w:rFonts w:ascii="Verdana" w:eastAsia="Calibri" w:hAnsi="Verdana" w:cs="Arial"/>
                <w:b/>
                <w:bCs/>
                <w:lang w:val="es-ES" w:eastAsia="es-ES"/>
              </w:rPr>
              <w:t>de</w:t>
            </w:r>
            <w:r w:rsidRPr="00C00976">
              <w:rPr>
                <w:rFonts w:ascii="Verdana" w:eastAsia="Calibri" w:hAnsi="Verdana" w:cs="Arial"/>
                <w:b/>
                <w:bCs/>
                <w:color w:val="7030A0"/>
                <w:lang w:val="es-ES" w:eastAsia="es-ES"/>
              </w:rPr>
              <w:t xml:space="preserve"> </w:t>
            </w:r>
            <w:r w:rsidRPr="006C34DD">
              <w:rPr>
                <w:rFonts w:ascii="Verdana" w:eastAsia="Calibri" w:hAnsi="Verdana" w:cs="Arial"/>
                <w:b/>
                <w:bCs/>
                <w:lang w:val="es-ES" w:eastAsia="es-ES"/>
              </w:rPr>
              <w:t>2025</w:t>
            </w:r>
          </w:p>
          <w:p w14:paraId="646BE421" w14:textId="77777777" w:rsidR="0042120A" w:rsidRPr="00C00976" w:rsidRDefault="0042120A" w:rsidP="00266DBE">
            <w:pPr>
              <w:jc w:val="both"/>
              <w:rPr>
                <w:rFonts w:ascii="Verdana" w:eastAsia="Calibri" w:hAnsi="Verdana" w:cs="Arial"/>
                <w:b/>
                <w:bCs/>
                <w:color w:val="7030A0"/>
                <w:lang w:val="es-ES" w:eastAsia="es-ES"/>
              </w:rPr>
            </w:pPr>
          </w:p>
        </w:tc>
      </w:tr>
      <w:tr w:rsidR="0042120A" w:rsidRPr="00593A5F" w14:paraId="0688648C" w14:textId="77777777" w:rsidTr="00266DBE">
        <w:trPr>
          <w:trHeight w:val="884"/>
        </w:trPr>
        <w:tc>
          <w:tcPr>
            <w:tcW w:w="2689" w:type="dxa"/>
          </w:tcPr>
          <w:p w14:paraId="326A6732" w14:textId="77777777" w:rsidR="0042120A" w:rsidRPr="00593A5F" w:rsidRDefault="0042120A" w:rsidP="00266DBE">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3705B4B1" w14:textId="77777777" w:rsidR="0042120A" w:rsidRPr="00211832" w:rsidRDefault="0042120A" w:rsidP="00266DBE">
            <w:pPr>
              <w:jc w:val="both"/>
              <w:rPr>
                <w:rFonts w:ascii="Verdana" w:eastAsia="Calibri" w:hAnsi="Verdana" w:cs="Arial"/>
                <w:lang w:val="es-ES" w:eastAsia="es-ES"/>
              </w:rPr>
            </w:pPr>
            <w:r w:rsidRPr="00211832">
              <w:rPr>
                <w:rFonts w:ascii="Verdana" w:eastAsia="Calibri" w:hAnsi="Verdana" w:cs="Arial"/>
                <w:lang w:val="es-ES" w:eastAsia="es-ES"/>
              </w:rPr>
              <w:t>SUSPENSIÓN – Ley 1123 de 2007 / RÉGIMEN DE INHABILIDADES E INCOMPATIBILIDADES – Concepto – Interpretación Restrictiva / CONTRATO DE PRESTACIÓN DE SERVICIOS – Ejecución – Inhabilidades e incompatibilidades sobrevinientes</w:t>
            </w:r>
          </w:p>
          <w:p w14:paraId="70F1C7BC" w14:textId="77777777" w:rsidR="0042120A" w:rsidRPr="00211832" w:rsidRDefault="0042120A" w:rsidP="00266DBE">
            <w:pPr>
              <w:jc w:val="both"/>
              <w:rPr>
                <w:rFonts w:ascii="Verdana" w:eastAsia="Calibri" w:hAnsi="Verdana" w:cs="Arial"/>
                <w:lang w:val="es-ES" w:eastAsia="es-ES"/>
              </w:rPr>
            </w:pPr>
          </w:p>
        </w:tc>
      </w:tr>
      <w:tr w:rsidR="0042120A" w:rsidRPr="00593A5F" w14:paraId="2CD52195" w14:textId="77777777" w:rsidTr="00266DBE">
        <w:tc>
          <w:tcPr>
            <w:tcW w:w="2689" w:type="dxa"/>
          </w:tcPr>
          <w:p w14:paraId="3985FC0B" w14:textId="77777777" w:rsidR="0042120A" w:rsidRPr="006C34DD" w:rsidRDefault="0042120A" w:rsidP="00266DBE">
            <w:pPr>
              <w:jc w:val="both"/>
              <w:rPr>
                <w:rFonts w:ascii="Verdana" w:eastAsia="Calibri" w:hAnsi="Verdana" w:cs="Arial"/>
                <w:b/>
                <w:lang w:val="es-ES_tradnl" w:eastAsia="es-ES_tradnl"/>
              </w:rPr>
            </w:pPr>
            <w:r w:rsidRPr="006C34DD">
              <w:rPr>
                <w:rFonts w:ascii="Verdana" w:eastAsia="Calibri" w:hAnsi="Verdana" w:cs="Arial"/>
                <w:b/>
                <w:lang w:val="es-ES_tradnl" w:eastAsia="es-ES_tradnl"/>
              </w:rPr>
              <w:t>Radicación:</w:t>
            </w:r>
            <w:r w:rsidRPr="006C34DD">
              <w:rPr>
                <w:rFonts w:ascii="Verdana" w:eastAsia="Calibri" w:hAnsi="Verdana" w:cs="Arial"/>
                <w:lang w:val="es-ES_tradnl" w:eastAsia="es-ES_tradnl"/>
              </w:rPr>
              <w:t xml:space="preserve">               </w:t>
            </w:r>
          </w:p>
        </w:tc>
        <w:tc>
          <w:tcPr>
            <w:tcW w:w="6100" w:type="dxa"/>
          </w:tcPr>
          <w:p w14:paraId="6422F9C7" w14:textId="77777777" w:rsidR="0042120A" w:rsidRPr="006C34DD" w:rsidRDefault="0042120A" w:rsidP="00266DBE">
            <w:pPr>
              <w:jc w:val="both"/>
              <w:rPr>
                <w:rFonts w:ascii="Verdana" w:eastAsia="Calibri" w:hAnsi="Verdana" w:cs="Arial"/>
                <w:lang w:val="es-ES_tradnl" w:eastAsia="es-ES_tradnl"/>
              </w:rPr>
            </w:pPr>
            <w:r w:rsidRPr="006C34DD">
              <w:rPr>
                <w:rFonts w:ascii="Verdana" w:eastAsia="Calibri" w:hAnsi="Verdana" w:cs="Arial"/>
                <w:lang w:val="es-ES_tradnl" w:eastAsia="es-ES_tradnl"/>
              </w:rPr>
              <w:t xml:space="preserve">Respuesta a consulta con radicado No. </w:t>
            </w:r>
            <w:r w:rsidRPr="00455C77">
              <w:rPr>
                <w:rFonts w:ascii="Verdana" w:eastAsia="Calibri" w:hAnsi="Verdana" w:cs="Arial"/>
                <w:lang w:val="es-ES_tradnl" w:eastAsia="es-ES_tradnl"/>
              </w:rPr>
              <w:t>1_2025_09_30_010802</w:t>
            </w:r>
          </w:p>
        </w:tc>
      </w:tr>
    </w:tbl>
    <w:p w14:paraId="07762640" w14:textId="77777777" w:rsidR="0042120A" w:rsidRPr="00593A5F" w:rsidRDefault="0042120A" w:rsidP="0042120A">
      <w:pPr>
        <w:spacing w:after="0" w:line="240" w:lineRule="auto"/>
        <w:jc w:val="both"/>
        <w:rPr>
          <w:rFonts w:ascii="Verdana" w:eastAsia="Calibri" w:hAnsi="Verdana" w:cs="Arial"/>
          <w:color w:val="000000"/>
          <w:lang w:val="es-ES_tradnl" w:eastAsia="es-ES_tradnl"/>
        </w:rPr>
      </w:pPr>
    </w:p>
    <w:p w14:paraId="5AA625E9" w14:textId="77777777" w:rsidR="0042120A" w:rsidRPr="00593A5F" w:rsidRDefault="0042120A" w:rsidP="0042120A">
      <w:pPr>
        <w:spacing w:after="0" w:line="240" w:lineRule="auto"/>
        <w:jc w:val="both"/>
        <w:rPr>
          <w:rFonts w:ascii="Verdana" w:eastAsia="Calibri" w:hAnsi="Verdana" w:cs="Arial"/>
          <w:color w:val="000000"/>
          <w:lang w:val="es-ES_tradnl" w:eastAsia="es-ES_tradnl"/>
        </w:rPr>
      </w:pPr>
    </w:p>
    <w:p w14:paraId="3309527B" w14:textId="4D856A4C" w:rsidR="0042120A" w:rsidRPr="006C34DD" w:rsidRDefault="0042120A" w:rsidP="0042120A">
      <w:pPr>
        <w:spacing w:after="0" w:line="276" w:lineRule="auto"/>
        <w:jc w:val="both"/>
        <w:rPr>
          <w:rFonts w:ascii="Verdana" w:eastAsia="Calibri" w:hAnsi="Verdana" w:cs="Arial"/>
          <w:lang w:val="es-ES" w:eastAsia="es-ES"/>
        </w:rPr>
      </w:pPr>
      <w:r w:rsidRPr="00593A5F">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593A5F">
        <w:rPr>
          <w:rFonts w:ascii="Verdana" w:eastAsia="Calibri" w:hAnsi="Verdana" w:cs="Arial"/>
          <w:color w:val="000000" w:themeColor="text1"/>
          <w:lang w:val="es-ES" w:eastAsia="es-ES"/>
        </w:rPr>
        <w:t xml:space="preserve"> </w:t>
      </w:r>
      <w:r w:rsidRPr="006C34DD">
        <w:rPr>
          <w:rFonts w:ascii="Verdana" w:eastAsia="Calibri" w:hAnsi="Verdana" w:cs="Arial"/>
          <w:lang w:val="es-ES" w:eastAsia="es-ES"/>
        </w:rPr>
        <w:t xml:space="preserve">señora </w:t>
      </w:r>
      <w:r w:rsidR="00771819">
        <w:rPr>
          <w:rFonts w:ascii="Verdana" w:eastAsia="Calibri" w:hAnsi="Verdana" w:cs="Arial"/>
          <w:lang w:val="es-ES" w:eastAsia="es-ES"/>
        </w:rPr>
        <w:t>Castaño</w:t>
      </w:r>
      <w:r w:rsidRPr="006C34DD">
        <w:rPr>
          <w:rFonts w:ascii="Verdana" w:eastAsia="Calibri" w:hAnsi="Verdana" w:cs="Arial"/>
          <w:lang w:val="es-ES" w:eastAsia="es-ES"/>
        </w:rPr>
        <w:t xml:space="preserve">: </w:t>
      </w:r>
    </w:p>
    <w:p w14:paraId="07AE15AC" w14:textId="67DB3286" w:rsidR="0042120A" w:rsidRDefault="0042120A" w:rsidP="0042120A">
      <w:pPr>
        <w:tabs>
          <w:tab w:val="left" w:pos="3768"/>
        </w:tabs>
        <w:spacing w:after="0" w:line="276" w:lineRule="auto"/>
        <w:jc w:val="both"/>
        <w:rPr>
          <w:rFonts w:ascii="Verdana" w:eastAsia="Calibri" w:hAnsi="Verdana" w:cs="Arial"/>
          <w:color w:val="000000" w:themeColor="text1"/>
          <w:lang w:val="es-ES" w:eastAsia="es-ES"/>
        </w:rPr>
      </w:pPr>
    </w:p>
    <w:p w14:paraId="3C822AEC" w14:textId="77777777" w:rsidR="0042120A" w:rsidRPr="00593A5F" w:rsidRDefault="0042120A" w:rsidP="0042120A">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remitida por el Departamento Administrativo de la Función Pública de </w:t>
      </w:r>
      <w:r w:rsidRPr="006C34DD">
        <w:rPr>
          <w:rFonts w:ascii="Verdana" w:eastAsia="Calibri" w:hAnsi="Verdana" w:cs="Arial"/>
          <w:lang w:val="es-ES" w:eastAsia="es-ES"/>
        </w:rPr>
        <w:t xml:space="preserve">fecha </w:t>
      </w:r>
      <w:r>
        <w:rPr>
          <w:rFonts w:ascii="Verdana" w:eastAsia="Calibri" w:hAnsi="Verdana" w:cs="Arial"/>
          <w:lang w:val="es-ES" w:eastAsia="es-ES"/>
        </w:rPr>
        <w:t>30</w:t>
      </w:r>
      <w:r w:rsidRPr="006C34DD">
        <w:rPr>
          <w:rFonts w:ascii="Verdana" w:eastAsia="Calibri" w:hAnsi="Verdana" w:cs="Arial"/>
          <w:lang w:val="es-ES" w:eastAsia="es-ES"/>
        </w:rPr>
        <w:t xml:space="preserve"> de </w:t>
      </w:r>
      <w:r>
        <w:rPr>
          <w:rFonts w:ascii="Verdana" w:eastAsia="Calibri" w:hAnsi="Verdana" w:cs="Arial"/>
          <w:lang w:val="es-ES" w:eastAsia="es-ES"/>
        </w:rPr>
        <w:t>septiembre</w:t>
      </w:r>
      <w:r w:rsidRPr="006C34DD">
        <w:rPr>
          <w:rFonts w:ascii="Verdana" w:eastAsia="Calibri" w:hAnsi="Verdana" w:cs="Arial"/>
          <w:lang w:val="es-ES" w:eastAsia="es-ES"/>
        </w:rPr>
        <w:t xml:space="preserve"> de 2025, en la cual manifiesta lo siguiente</w:t>
      </w:r>
      <w:r w:rsidRPr="005233F3">
        <w:rPr>
          <w:rFonts w:ascii="Verdana" w:eastAsia="Calibri" w:hAnsi="Verdana" w:cs="Arial"/>
          <w:color w:val="7030A0"/>
          <w:lang w:val="es-ES" w:eastAsia="es-ES"/>
        </w:rPr>
        <w:t xml:space="preserve">: </w:t>
      </w:r>
    </w:p>
    <w:p w14:paraId="68B5657E" w14:textId="77777777" w:rsidR="0042120A" w:rsidRPr="006C34DD" w:rsidRDefault="0042120A" w:rsidP="0042120A">
      <w:pPr>
        <w:pStyle w:val="Default"/>
        <w:spacing w:line="276" w:lineRule="auto"/>
        <w:rPr>
          <w:rFonts w:ascii="Times New Roman" w:hAnsi="Times New Roman" w:cs="Times New Roman"/>
        </w:rPr>
      </w:pPr>
    </w:p>
    <w:p w14:paraId="120370BD" w14:textId="77777777" w:rsidR="0042120A" w:rsidRPr="00A64196" w:rsidRDefault="0042120A" w:rsidP="0042120A">
      <w:pPr>
        <w:spacing w:after="0" w:line="240" w:lineRule="auto"/>
        <w:ind w:left="709" w:right="709"/>
        <w:jc w:val="both"/>
        <w:rPr>
          <w:rFonts w:ascii="Verdana" w:hAnsi="Verdana" w:cs="Times New Roman"/>
          <w:color w:val="000000"/>
          <w:sz w:val="20"/>
          <w:szCs w:val="20"/>
        </w:rPr>
      </w:pPr>
      <w:r w:rsidRPr="006C34DD">
        <w:rPr>
          <w:rFonts w:ascii="Verdana" w:hAnsi="Verdana" w:cs="Times New Roman"/>
          <w:color w:val="000000"/>
          <w:sz w:val="20"/>
          <w:szCs w:val="20"/>
        </w:rPr>
        <w:t>“</w:t>
      </w:r>
      <w:r w:rsidRPr="00A64196">
        <w:rPr>
          <w:rFonts w:ascii="Verdana" w:hAnsi="Verdana" w:cs="Times New Roman"/>
          <w:color w:val="000000"/>
          <w:sz w:val="20"/>
          <w:szCs w:val="20"/>
        </w:rPr>
        <w:t xml:space="preserve">De manera atenta me permito solicitar concepto frente a lo siguiente: </w:t>
      </w:r>
    </w:p>
    <w:p w14:paraId="2908AD99" w14:textId="77777777" w:rsidR="0042120A" w:rsidRPr="00A64196" w:rsidRDefault="0042120A" w:rsidP="0042120A">
      <w:pPr>
        <w:spacing w:after="0" w:line="240" w:lineRule="auto"/>
        <w:ind w:left="709" w:right="709"/>
        <w:jc w:val="both"/>
        <w:rPr>
          <w:rFonts w:ascii="Verdana" w:hAnsi="Verdana" w:cs="Times New Roman"/>
          <w:color w:val="000000"/>
          <w:sz w:val="20"/>
          <w:szCs w:val="20"/>
        </w:rPr>
      </w:pPr>
      <w:r w:rsidRPr="00A64196">
        <w:rPr>
          <w:rFonts w:ascii="Verdana" w:hAnsi="Verdana" w:cs="Times New Roman"/>
          <w:color w:val="000000"/>
          <w:sz w:val="20"/>
          <w:szCs w:val="20"/>
        </w:rPr>
        <w:t xml:space="preserve">Si una persona, de profesión abogado, suscribió contrato de prestación de </w:t>
      </w:r>
    </w:p>
    <w:p w14:paraId="4CF87D21" w14:textId="77777777" w:rsidR="0042120A" w:rsidRPr="00A64196" w:rsidRDefault="0042120A" w:rsidP="0042120A">
      <w:pPr>
        <w:spacing w:after="0" w:line="240" w:lineRule="auto"/>
        <w:ind w:left="709" w:right="709"/>
        <w:jc w:val="both"/>
        <w:rPr>
          <w:rFonts w:ascii="Verdana" w:hAnsi="Verdana" w:cs="Times New Roman"/>
          <w:color w:val="000000"/>
          <w:sz w:val="20"/>
          <w:szCs w:val="20"/>
        </w:rPr>
      </w:pPr>
      <w:r w:rsidRPr="00A64196">
        <w:rPr>
          <w:rFonts w:ascii="Verdana" w:hAnsi="Verdana" w:cs="Times New Roman"/>
          <w:color w:val="000000"/>
          <w:sz w:val="20"/>
          <w:szCs w:val="20"/>
        </w:rPr>
        <w:t xml:space="preserve">servicios con una entidad territorial el 22 de mayo del 2025, con el objeto </w:t>
      </w:r>
    </w:p>
    <w:p w14:paraId="73E53DD1" w14:textId="77777777" w:rsidR="0042120A" w:rsidRPr="00A64196" w:rsidRDefault="0042120A" w:rsidP="0042120A">
      <w:pPr>
        <w:spacing w:after="0" w:line="240" w:lineRule="auto"/>
        <w:ind w:left="709" w:right="709"/>
        <w:jc w:val="both"/>
        <w:rPr>
          <w:rFonts w:ascii="Verdana" w:hAnsi="Verdana" w:cs="Times New Roman"/>
          <w:color w:val="000000"/>
          <w:sz w:val="20"/>
          <w:szCs w:val="20"/>
        </w:rPr>
      </w:pPr>
      <w:r w:rsidRPr="00A64196">
        <w:rPr>
          <w:rFonts w:ascii="Verdana" w:hAnsi="Verdana" w:cs="Times New Roman"/>
          <w:color w:val="000000"/>
          <w:sz w:val="20"/>
          <w:szCs w:val="20"/>
        </w:rPr>
        <w:t>contractual "PRESTAR POR SUS PROPIOS MEDIOS, CON PLENA AUTONOMÍA, LOS SERVICIOS PROFESIONALES PARA BRINDAR APOYO A LA PLANEACIÓN, EJECUCIÓN Y SUPERVISIÓN DEL PROGRAMA DE ALIMENTACIÓN ESCOLAR EN LOS 46 MUNICIPIOS NO CERTIFICADOS EN EDUCACIÓN DEL DEPARTAMENTO". […]</w:t>
      </w:r>
    </w:p>
    <w:p w14:paraId="730F1286" w14:textId="77777777" w:rsidR="009A5CD5" w:rsidRPr="00A64196" w:rsidRDefault="009A5CD5" w:rsidP="0042120A">
      <w:pPr>
        <w:spacing w:after="0" w:line="240" w:lineRule="auto"/>
        <w:ind w:left="709" w:right="709"/>
        <w:jc w:val="both"/>
        <w:rPr>
          <w:rFonts w:ascii="Verdana" w:hAnsi="Verdana" w:cs="Times New Roman"/>
          <w:color w:val="000000"/>
          <w:sz w:val="20"/>
          <w:szCs w:val="20"/>
        </w:rPr>
      </w:pPr>
    </w:p>
    <w:p w14:paraId="55E22FB0" w14:textId="77777777" w:rsidR="009A5CD5" w:rsidRDefault="0042120A" w:rsidP="0042120A">
      <w:pPr>
        <w:spacing w:after="0" w:line="240" w:lineRule="auto"/>
        <w:ind w:left="709" w:right="709"/>
        <w:jc w:val="both"/>
        <w:rPr>
          <w:rFonts w:ascii="Verdana" w:hAnsi="Verdana"/>
          <w:sz w:val="20"/>
          <w:szCs w:val="20"/>
        </w:rPr>
      </w:pPr>
      <w:r w:rsidRPr="00A64196">
        <w:rPr>
          <w:rFonts w:ascii="Verdana" w:hAnsi="Verdana"/>
          <w:sz w:val="20"/>
          <w:szCs w:val="20"/>
        </w:rPr>
        <w:t xml:space="preserve">De acuerdo al contexto anteriormente aportado, sírvase emitir concepto sobre la siguiente pregunta: </w:t>
      </w:r>
    </w:p>
    <w:p w14:paraId="376A8937" w14:textId="77777777" w:rsidR="009A5CD5" w:rsidRDefault="009A5CD5" w:rsidP="0042120A">
      <w:pPr>
        <w:spacing w:after="0" w:line="240" w:lineRule="auto"/>
        <w:ind w:left="709" w:right="709"/>
        <w:jc w:val="both"/>
        <w:rPr>
          <w:rFonts w:ascii="Verdana" w:hAnsi="Verdana"/>
          <w:sz w:val="20"/>
          <w:szCs w:val="20"/>
        </w:rPr>
      </w:pPr>
    </w:p>
    <w:p w14:paraId="59CC1211" w14:textId="77777777" w:rsidR="009A5CD5" w:rsidRDefault="0042120A" w:rsidP="0042120A">
      <w:pPr>
        <w:spacing w:after="0" w:line="240" w:lineRule="auto"/>
        <w:ind w:left="709" w:right="709"/>
        <w:jc w:val="both"/>
        <w:rPr>
          <w:rFonts w:ascii="Verdana" w:hAnsi="Verdana"/>
          <w:sz w:val="20"/>
          <w:szCs w:val="20"/>
        </w:rPr>
      </w:pPr>
      <w:r w:rsidRPr="00A64196">
        <w:rPr>
          <w:rFonts w:ascii="Verdana" w:hAnsi="Verdana"/>
          <w:sz w:val="20"/>
          <w:szCs w:val="20"/>
        </w:rPr>
        <w:lastRenderedPageBreak/>
        <w:t xml:space="preserve">1. Teniendo en cuenta que el objeto contractual no referencia como tal la expresión o la palabra abogado, y la sentencia de la sanción no contempla ni expresa la prohibición para suscribir contratos con entidades públicas, ni ejercer cargos o funciones públicas ¿Puede la persona continuar ejecutando el contrato de prestación de servicios? </w:t>
      </w:r>
    </w:p>
    <w:p w14:paraId="5F932649" w14:textId="77777777" w:rsidR="009A5CD5" w:rsidRDefault="009A5CD5" w:rsidP="0042120A">
      <w:pPr>
        <w:spacing w:after="0" w:line="240" w:lineRule="auto"/>
        <w:ind w:left="709" w:right="709"/>
        <w:jc w:val="both"/>
        <w:rPr>
          <w:rFonts w:ascii="Verdana" w:hAnsi="Verdana"/>
          <w:sz w:val="20"/>
          <w:szCs w:val="20"/>
        </w:rPr>
      </w:pPr>
    </w:p>
    <w:p w14:paraId="3C816B2B" w14:textId="0A6BEA15" w:rsidR="0042120A" w:rsidRPr="00A64196" w:rsidRDefault="0042120A" w:rsidP="0042120A">
      <w:pPr>
        <w:spacing w:after="0" w:line="240" w:lineRule="auto"/>
        <w:ind w:left="709" w:right="709"/>
        <w:jc w:val="both"/>
        <w:rPr>
          <w:rFonts w:ascii="Verdana" w:eastAsia="Century Gothic" w:hAnsi="Verdana" w:cs="Century Gothic"/>
          <w:color w:val="7030A0"/>
          <w:sz w:val="20"/>
          <w:szCs w:val="20"/>
          <w:lang w:val="es-ES"/>
        </w:rPr>
      </w:pPr>
      <w:r w:rsidRPr="00A64196">
        <w:rPr>
          <w:rFonts w:ascii="Verdana" w:hAnsi="Verdana"/>
          <w:sz w:val="20"/>
          <w:szCs w:val="20"/>
        </w:rPr>
        <w:t xml:space="preserve">2. Teniendo en cuenta que solo una de las obligaciones contractuales contiene “Emitir conceptos jurídicos en los casos que se </w:t>
      </w:r>
      <w:proofErr w:type="gramStart"/>
      <w:r w:rsidRPr="00A64196">
        <w:rPr>
          <w:rFonts w:ascii="Verdana" w:hAnsi="Verdana"/>
          <w:sz w:val="20"/>
          <w:szCs w:val="20"/>
        </w:rPr>
        <w:t>requiera..</w:t>
      </w:r>
      <w:proofErr w:type="gramEnd"/>
      <w:r w:rsidRPr="00A64196">
        <w:rPr>
          <w:rFonts w:ascii="Verdana" w:hAnsi="Verdana"/>
          <w:sz w:val="20"/>
          <w:szCs w:val="20"/>
        </w:rPr>
        <w:t>” ¿Puede la persona continuar ejecutando el contrato de prestación de servicios omitiendo realizar la mencionada obligación mientras se supera el tiempo de la sanción?</w:t>
      </w:r>
      <w:r w:rsidRPr="00A64196">
        <w:rPr>
          <w:rFonts w:ascii="Verdana" w:hAnsi="Verdana" w:cs="Times New Roman"/>
          <w:color w:val="000000"/>
          <w:sz w:val="20"/>
          <w:szCs w:val="20"/>
        </w:rPr>
        <w:t>”.</w:t>
      </w:r>
    </w:p>
    <w:p w14:paraId="4BF92E5B" w14:textId="77777777" w:rsidR="0042120A" w:rsidRPr="00593A5F" w:rsidRDefault="0042120A" w:rsidP="0042120A">
      <w:pPr>
        <w:pStyle w:val="Prrafodelista"/>
        <w:tabs>
          <w:tab w:val="left" w:pos="142"/>
          <w:tab w:val="left" w:pos="284"/>
        </w:tabs>
        <w:spacing w:after="0" w:line="276" w:lineRule="auto"/>
        <w:ind w:left="0"/>
        <w:jc w:val="both"/>
        <w:rPr>
          <w:rFonts w:ascii="Verdana" w:eastAsia="Century Gothic" w:hAnsi="Verdana" w:cs="Century Gothic"/>
          <w:b/>
          <w:bCs/>
        </w:rPr>
      </w:pPr>
    </w:p>
    <w:p w14:paraId="31743BD1" w14:textId="77777777" w:rsidR="0042120A" w:rsidRDefault="0042120A" w:rsidP="0042120A">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532783D6" w14:textId="77777777" w:rsidR="0042120A" w:rsidRDefault="0042120A" w:rsidP="0042120A">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2DF98A73" w14:textId="77777777" w:rsidR="0042120A" w:rsidRPr="00593A5F" w:rsidRDefault="0042120A" w:rsidP="0042120A">
      <w:pPr>
        <w:spacing w:after="0" w:line="276" w:lineRule="auto"/>
        <w:ind w:firstLine="709"/>
        <w:jc w:val="both"/>
        <w:rPr>
          <w:rFonts w:ascii="Verdana" w:eastAsia="Calibri" w:hAnsi="Verdana" w:cs="Arial"/>
          <w:color w:val="000000"/>
          <w:lang w:val="es-ES" w:eastAsia="es-ES"/>
        </w:rPr>
      </w:pPr>
    </w:p>
    <w:p w14:paraId="59413238" w14:textId="77777777" w:rsidR="0042120A" w:rsidRPr="00593A5F" w:rsidRDefault="0042120A" w:rsidP="0042120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Problema planteado:</w:t>
      </w:r>
    </w:p>
    <w:p w14:paraId="35308362" w14:textId="77777777" w:rsidR="0042120A" w:rsidRPr="00593A5F" w:rsidRDefault="0042120A" w:rsidP="0042120A">
      <w:pPr>
        <w:tabs>
          <w:tab w:val="left" w:pos="426"/>
        </w:tabs>
        <w:spacing w:after="0" w:line="276" w:lineRule="auto"/>
        <w:jc w:val="both"/>
        <w:rPr>
          <w:rFonts w:ascii="Verdana" w:eastAsia="Century Gothic" w:hAnsi="Verdana" w:cs="Century Gothic"/>
          <w:lang w:val="es-ES"/>
        </w:rPr>
      </w:pPr>
    </w:p>
    <w:p w14:paraId="212D15CE" w14:textId="5A09CAF1" w:rsidR="0042120A" w:rsidRPr="00593A5F" w:rsidRDefault="0042120A" w:rsidP="0042120A">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su solicitud, esta Agencia resolverá el siguiente problema jurídico:</w:t>
      </w:r>
      <w:r>
        <w:rPr>
          <w:rFonts w:ascii="Verdana" w:eastAsia="Century Gothic" w:hAnsi="Verdana" w:cs="Century Gothic"/>
        </w:rPr>
        <w:t xml:space="preserve"> ¿la sanción de suspensión </w:t>
      </w:r>
      <w:r w:rsidR="00A64DE8">
        <w:rPr>
          <w:rFonts w:ascii="Verdana" w:eastAsia="Century Gothic" w:hAnsi="Verdana" w:cs="Century Gothic"/>
        </w:rPr>
        <w:t>en el ejercicio de la profesión</w:t>
      </w:r>
      <w:r>
        <w:rPr>
          <w:rFonts w:ascii="Verdana" w:eastAsia="Century Gothic" w:hAnsi="Verdana" w:cs="Century Gothic"/>
        </w:rPr>
        <w:t xml:space="preserve"> impuesta a un abogado constituye una inhabilidad o incompatibilidad para ejecutar un contrato de prestación de servicios profesionales con una entidad estatal?</w:t>
      </w:r>
    </w:p>
    <w:p w14:paraId="59AA3316" w14:textId="77777777" w:rsidR="0042120A" w:rsidRPr="00593A5F" w:rsidRDefault="0042120A" w:rsidP="0042120A">
      <w:pPr>
        <w:spacing w:after="0" w:line="276" w:lineRule="auto"/>
        <w:jc w:val="both"/>
        <w:rPr>
          <w:rFonts w:ascii="Verdana" w:eastAsia="Calibri" w:hAnsi="Verdana" w:cs="Arial"/>
          <w:color w:val="7030A0"/>
          <w:lang w:val="es-ES"/>
        </w:rPr>
      </w:pPr>
    </w:p>
    <w:p w14:paraId="7176B61F" w14:textId="77777777" w:rsidR="0042120A" w:rsidRPr="00593A5F" w:rsidRDefault="0042120A" w:rsidP="0042120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lastRenderedPageBreak/>
        <w:t>Respuesta:</w:t>
      </w:r>
    </w:p>
    <w:p w14:paraId="7235A903" w14:textId="77777777" w:rsidR="0042120A" w:rsidRPr="00593A5F" w:rsidRDefault="0042120A" w:rsidP="0042120A">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2120A" w:rsidRPr="00593A5F" w14:paraId="581D4087" w14:textId="77777777" w:rsidTr="00266DBE">
        <w:tc>
          <w:tcPr>
            <w:tcW w:w="8828" w:type="dxa"/>
          </w:tcPr>
          <w:p w14:paraId="0FA1CBB5" w14:textId="77777777" w:rsidR="0042120A" w:rsidRDefault="0042120A" w:rsidP="00F21157">
            <w:pPr>
              <w:widowControl w:val="0"/>
              <w:autoSpaceDE w:val="0"/>
              <w:autoSpaceDN w:val="0"/>
              <w:spacing w:after="120" w:line="276" w:lineRule="auto"/>
              <w:jc w:val="both"/>
              <w:rPr>
                <w:rFonts w:ascii="Verdana" w:hAnsi="Verdana" w:cs="Arial"/>
              </w:rPr>
            </w:pPr>
            <w:r w:rsidRPr="6042873E">
              <w:rPr>
                <w:rFonts w:ascii="Verdana" w:eastAsia="Calibri" w:hAnsi="Verdana" w:cs="Arial"/>
                <w:color w:val="000000" w:themeColor="text1"/>
                <w:lang w:val="es-ES" w:eastAsia="es-ES"/>
              </w:rPr>
              <w:t xml:space="preserve">En torno al problema jurídico, objeto de la consulta, se señala </w:t>
            </w:r>
            <w:r w:rsidRPr="00BE021E">
              <w:rPr>
                <w:rFonts w:ascii="Verdana" w:hAnsi="Verdana" w:cs="Arial"/>
              </w:rPr>
              <w:t xml:space="preserve">que </w:t>
            </w:r>
            <w:r>
              <w:rPr>
                <w:rFonts w:ascii="Verdana" w:hAnsi="Verdana" w:cs="Arial"/>
              </w:rPr>
              <w:t>e</w:t>
            </w:r>
            <w:r w:rsidRPr="00E2458E">
              <w:rPr>
                <w:rFonts w:ascii="Verdana" w:hAnsi="Verdana" w:cs="Arial"/>
              </w:rPr>
              <w:t xml:space="preserve">n el Código Disciplinario del Abogado – Ley 1123 de 2007 – se establece expresamente en su artículo 43 la suspensión como una sanción disciplinaria que “Consiste en la prohibición de ejercer la profesión por el término señalado en el fallo. Esta sanción oscilará entre dos (2) meses y (3) tres años”. </w:t>
            </w:r>
          </w:p>
          <w:p w14:paraId="4D109CB8" w14:textId="68FFD57C" w:rsidR="0042120A" w:rsidRDefault="0042120A" w:rsidP="00266DBE">
            <w:pPr>
              <w:widowControl w:val="0"/>
              <w:autoSpaceDE w:val="0"/>
              <w:autoSpaceDN w:val="0"/>
              <w:spacing w:after="120" w:line="276" w:lineRule="auto"/>
              <w:ind w:firstLine="708"/>
              <w:jc w:val="both"/>
              <w:rPr>
                <w:rFonts w:ascii="Verdana" w:eastAsia="Calibri" w:hAnsi="Verdana" w:cs="Arial"/>
                <w:lang w:eastAsia="es-ES"/>
              </w:rPr>
            </w:pPr>
            <w:r w:rsidRPr="00E2458E">
              <w:rPr>
                <w:rFonts w:ascii="Verdana" w:eastAsia="Calibri" w:hAnsi="Verdana" w:cs="Arial"/>
                <w:lang w:eastAsia="es-ES"/>
              </w:rPr>
              <w:t>Así, se encuentra que la suspensión es una sanción disciplinaria que corresponde a la prohibición para ejercer la profesión de abogado por el término señalado en el fallo y en tal sentido, es importante precisar que el artículo 29, numeral 4° de la Ley 1123 de 2007 que regula las incompatibilidades para ejercer la abogacía, dispone que no pueden ejercer la profesión de abogado cuando sean suspendidos o excluidos, esto es, que la sanción haya sido la suspensión o la exclusión, contemplados en los artículos 43 y 44 respectivamente de la precitada Ley. De este modo, puede inferirse de la Ley 1123 de 2007 –Código Disciplinario del Abogado- que la suspensión como sanción disciplinaria a un abogado sí implica una restricción o afectación de la capacidad para celebrar y ejecutar un contrato de prestación de servicios profesionales con una entidad estatal.</w:t>
            </w:r>
          </w:p>
          <w:p w14:paraId="11592101" w14:textId="77777777" w:rsidR="0042120A" w:rsidRPr="00E2458E" w:rsidRDefault="0042120A" w:rsidP="00F21157">
            <w:pPr>
              <w:pStyle w:val="NormalWeb"/>
              <w:spacing w:before="0" w:beforeAutospacing="0" w:after="120" w:afterAutospacing="0" w:line="270" w:lineRule="atLeast"/>
              <w:ind w:firstLine="741"/>
              <w:jc w:val="both"/>
              <w:rPr>
                <w:rFonts w:ascii="Verdana" w:eastAsia="Calibri" w:hAnsi="Verdana" w:cs="Arial"/>
                <w:sz w:val="22"/>
                <w:szCs w:val="22"/>
                <w:lang w:eastAsia="es-ES"/>
              </w:rPr>
            </w:pPr>
            <w:r w:rsidRPr="00E2458E">
              <w:rPr>
                <w:rFonts w:ascii="Verdana" w:eastAsia="Calibri" w:hAnsi="Verdana" w:cs="Arial"/>
                <w:sz w:val="22"/>
                <w:szCs w:val="22"/>
                <w:lang w:eastAsia="es-ES"/>
              </w:rPr>
              <w:t xml:space="preserve">En relación con el régimen de inhabilidades e incompatibilidades en contratación estatal, </w:t>
            </w:r>
            <w:r w:rsidRPr="00E2458E">
              <w:rPr>
                <w:rFonts w:ascii="Verdana" w:eastAsia="Calibri" w:hAnsi="Verdana" w:cs="Arial"/>
                <w:sz w:val="22"/>
                <w:szCs w:val="22"/>
                <w:lang w:val="es-ES"/>
              </w:rPr>
              <w:t>este se tipifica en la Ley expresamente y su interpretación debe ser restrictiva. Es decir, las causales de inhabilidad e impedimentos deben estar enunciadas en las normas de forma taxativa y al aplicarse en una situación particular su interpretación debe ser restrictiva, de tal forma que no se admita una interpretación amplia o extensiva que permitiera contemplar supuestos indeterminados como causales de inhabilidad o impedimentos. Así, al revisar lo dispuesto en el artículo 8 de la Ley 80 de 1993, que establece las causales de inhabilidad e incompatibilidad en contratación estatal, se encuentra la disposición del numeral 1 “</w:t>
            </w:r>
            <w:r w:rsidRPr="00E2458E">
              <w:rPr>
                <w:rFonts w:ascii="Verdana" w:hAnsi="Verdana" w:cs="Open Sans"/>
                <w:sz w:val="22"/>
                <w:szCs w:val="22"/>
              </w:rPr>
              <w:t>Son inhábiles para participar en licitaciones </w:t>
            </w:r>
            <w:r w:rsidRPr="00E2458E">
              <w:rPr>
                <w:rStyle w:val="baj"/>
                <w:rFonts w:ascii="Verdana" w:hAnsi="Verdana" w:cs="Open Sans"/>
                <w:b/>
                <w:bCs/>
                <w:strike/>
                <w:sz w:val="22"/>
                <w:szCs w:val="22"/>
              </w:rPr>
              <w:t>o concursos</w:t>
            </w:r>
            <w:r w:rsidRPr="00E2458E">
              <w:rPr>
                <w:rFonts w:ascii="Verdana" w:hAnsi="Verdana" w:cs="Open Sans"/>
                <w:sz w:val="22"/>
                <w:szCs w:val="22"/>
              </w:rPr>
              <w:t> y para celebrar contratos con las entidades estatales: a) Las personas que se hallen inhabilitadas para contratar por la Constitución y las leyes.” Y para el caso específico, esta causal se considera aplicable teniendo en cuenta que en la Ley 1123 de 2007, en el</w:t>
            </w:r>
            <w:r w:rsidRPr="00E2458E">
              <w:rPr>
                <w:rFonts w:ascii="Verdana" w:eastAsia="Calibri" w:hAnsi="Verdana" w:cs="Arial"/>
                <w:sz w:val="22"/>
                <w:szCs w:val="22"/>
                <w:lang w:eastAsia="es-ES"/>
              </w:rPr>
              <w:t xml:space="preserve"> artículo 29, numeral 4°, se dispone como incompatibilidad que no pueden ejercer la profesión los abogados suspendidos.</w:t>
            </w:r>
          </w:p>
          <w:p w14:paraId="2353D4E5" w14:textId="77777777" w:rsidR="0042120A" w:rsidRDefault="0042120A" w:rsidP="00266DBE">
            <w:pPr>
              <w:widowControl w:val="0"/>
              <w:autoSpaceDE w:val="0"/>
              <w:autoSpaceDN w:val="0"/>
              <w:spacing w:after="120" w:line="276" w:lineRule="auto"/>
              <w:ind w:firstLine="708"/>
              <w:jc w:val="both"/>
              <w:rPr>
                <w:rFonts w:ascii="Verdana" w:hAnsi="Verdana" w:cs="Arial"/>
                <w:color w:val="000000" w:themeColor="text1"/>
              </w:rPr>
            </w:pPr>
            <w:r>
              <w:rPr>
                <w:rFonts w:ascii="Verdana" w:hAnsi="Verdana" w:cs="Arial"/>
              </w:rPr>
              <w:t xml:space="preserve">Ahora bien, dado que el contrato de prestación de servicios se encuentra en ejecución, sería aplicable ante la incompatibilidad por la sanción </w:t>
            </w:r>
            <w:r>
              <w:rPr>
                <w:rFonts w:ascii="Verdana" w:hAnsi="Verdana" w:cs="Arial"/>
              </w:rPr>
              <w:lastRenderedPageBreak/>
              <w:t xml:space="preserve">disciplinaria de suspensión de la profesión de abogado lo dispuesto en el artículo 9 de la Ley 80 de 1993 sobre las incompatibilidades sobrevinientes: </w:t>
            </w:r>
            <w:r w:rsidRPr="00F87C06">
              <w:rPr>
                <w:rFonts w:ascii="Verdana" w:hAnsi="Verdana" w:cs="Arial"/>
                <w:i/>
                <w:iCs/>
                <w:color w:val="000000" w:themeColor="text1"/>
              </w:rPr>
              <w:t>respecto al contratista</w:t>
            </w:r>
            <w:r>
              <w:rPr>
                <w:rFonts w:ascii="Verdana" w:hAnsi="Verdana" w:cs="Arial"/>
                <w:color w:val="000000" w:themeColor="text1"/>
              </w:rPr>
              <w:t>, el inciso primero del artículo 9 de la Ley 80 de 1993 dispone que “</w:t>
            </w:r>
            <w:r w:rsidRPr="00F87C06">
              <w:rPr>
                <w:rFonts w:ascii="Verdana" w:hAnsi="Verdana" w:cs="Arial"/>
                <w:color w:val="000000" w:themeColor="text1"/>
              </w:rPr>
              <w:t>Si llegare a sobrevenir inhabilidad o incompatibilidad en el contratista, este cederá el contrato previa autorización escrita de la entidad contratante o, si ello no fuere posible, renunciará a su ejecución</w:t>
            </w:r>
            <w:r>
              <w:rPr>
                <w:rFonts w:ascii="Verdana" w:hAnsi="Verdana" w:cs="Arial"/>
                <w:color w:val="000000" w:themeColor="text1"/>
              </w:rPr>
              <w:t>”.</w:t>
            </w:r>
          </w:p>
          <w:p w14:paraId="621B0B23" w14:textId="77777777" w:rsidR="0042120A" w:rsidRPr="00DB4737" w:rsidRDefault="0042120A" w:rsidP="00266DBE">
            <w:pPr>
              <w:spacing w:after="120" w:line="276" w:lineRule="auto"/>
              <w:ind w:firstLine="708"/>
              <w:jc w:val="both"/>
              <w:rPr>
                <w:rFonts w:ascii="Verdana" w:eastAsia="Calibri" w:hAnsi="Verdana" w:cs="Times New Roman"/>
                <w:lang w:val="es-ES"/>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42873586" w14:textId="77777777" w:rsidR="0042120A" w:rsidRPr="00211832" w:rsidRDefault="0042120A" w:rsidP="00266DBE">
            <w:pPr>
              <w:spacing w:line="276" w:lineRule="auto"/>
              <w:ind w:firstLine="709"/>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bl>
    <w:p w14:paraId="754155A1" w14:textId="77777777" w:rsidR="0042120A" w:rsidRPr="00593A5F" w:rsidRDefault="0042120A" w:rsidP="0042120A">
      <w:pPr>
        <w:tabs>
          <w:tab w:val="left" w:pos="142"/>
          <w:tab w:val="left" w:pos="284"/>
        </w:tabs>
        <w:spacing w:after="0" w:line="276" w:lineRule="auto"/>
        <w:jc w:val="both"/>
        <w:rPr>
          <w:rFonts w:ascii="Verdana" w:eastAsia="Century Gothic" w:hAnsi="Verdana" w:cs="Century Gothic"/>
          <w:b/>
          <w:bCs/>
          <w:lang w:val="es-ES"/>
        </w:rPr>
      </w:pPr>
    </w:p>
    <w:p w14:paraId="667EF27A" w14:textId="77777777" w:rsidR="0042120A" w:rsidRPr="00593A5F" w:rsidRDefault="0042120A" w:rsidP="0042120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F292F3A" w14:textId="77777777" w:rsidR="0042120A" w:rsidRPr="00593A5F" w:rsidRDefault="0042120A" w:rsidP="0042120A">
      <w:pPr>
        <w:spacing w:after="0" w:line="276" w:lineRule="auto"/>
        <w:jc w:val="both"/>
        <w:rPr>
          <w:rFonts w:ascii="Verdana" w:eastAsia="Calibri" w:hAnsi="Verdana" w:cs="Arial"/>
          <w:color w:val="7030A0"/>
          <w:lang w:val="es-ES"/>
        </w:rPr>
      </w:pPr>
    </w:p>
    <w:p w14:paraId="5A05960A" w14:textId="77777777" w:rsidR="0042120A" w:rsidRPr="00B96799" w:rsidRDefault="0042120A" w:rsidP="0042120A">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2359F2E6" w14:textId="77777777" w:rsidR="0042120A" w:rsidRDefault="0042120A" w:rsidP="0042120A">
      <w:pPr>
        <w:widowControl w:val="0"/>
        <w:autoSpaceDE w:val="0"/>
        <w:autoSpaceDN w:val="0"/>
        <w:spacing w:after="0" w:line="276" w:lineRule="auto"/>
        <w:jc w:val="both"/>
        <w:rPr>
          <w:rFonts w:ascii="Verdana" w:eastAsia="Calibri" w:hAnsi="Verdana" w:cs="Arial"/>
          <w:color w:val="7030A0"/>
          <w:lang w:val="es-ES"/>
        </w:rPr>
      </w:pPr>
    </w:p>
    <w:p w14:paraId="4CC81F4C" w14:textId="77777777" w:rsidR="0042120A" w:rsidRPr="001268BD" w:rsidRDefault="0042120A" w:rsidP="0042120A">
      <w:pPr>
        <w:widowControl w:val="0"/>
        <w:autoSpaceDE w:val="0"/>
        <w:autoSpaceDN w:val="0"/>
        <w:spacing w:after="120" w:line="276" w:lineRule="auto"/>
        <w:jc w:val="both"/>
        <w:rPr>
          <w:rFonts w:ascii="Verdana" w:eastAsia="Calibri" w:hAnsi="Verdana" w:cs="Arial"/>
          <w:lang w:val="es-ES"/>
        </w:rPr>
      </w:pPr>
      <w:r w:rsidRPr="00BE021E">
        <w:rPr>
          <w:rFonts w:ascii="Verdana" w:eastAsia="Calibri" w:hAnsi="Verdana" w:cs="Arial"/>
          <w:lang w:val="es-ES"/>
        </w:rPr>
        <w:t xml:space="preserve">Para determinar si la </w:t>
      </w:r>
      <w:r>
        <w:rPr>
          <w:rFonts w:ascii="Verdana" w:eastAsia="Calibri" w:hAnsi="Verdana" w:cs="Arial"/>
          <w:lang w:val="es-ES"/>
        </w:rPr>
        <w:t>suspensión</w:t>
      </w:r>
      <w:r w:rsidRPr="00BE021E">
        <w:rPr>
          <w:rFonts w:ascii="Verdana" w:eastAsia="Calibri" w:hAnsi="Verdana" w:cs="Arial"/>
          <w:lang w:val="es-ES"/>
        </w:rPr>
        <w:t xml:space="preserve"> es una posible causal de inhabilidad o impedimento para </w:t>
      </w:r>
      <w:r>
        <w:rPr>
          <w:rFonts w:ascii="Verdana" w:eastAsia="Calibri" w:hAnsi="Verdana" w:cs="Arial"/>
          <w:lang w:val="es-ES"/>
        </w:rPr>
        <w:t>ejecutar</w:t>
      </w:r>
      <w:r w:rsidRPr="00BE021E">
        <w:rPr>
          <w:rFonts w:ascii="Verdana" w:eastAsia="Calibri" w:hAnsi="Verdana" w:cs="Arial"/>
          <w:lang w:val="es-ES"/>
        </w:rPr>
        <w:t xml:space="preserve"> un contrato de prestación de servicios, sea lo primero analizar su naturaleza jurídica. En el Código Disciplinario del Abogado – Ley 1123 de 2007 – se establece expresamente en su artículo </w:t>
      </w:r>
      <w:r>
        <w:rPr>
          <w:rFonts w:ascii="Verdana" w:eastAsia="Calibri" w:hAnsi="Verdana" w:cs="Arial"/>
          <w:lang w:val="es-ES"/>
        </w:rPr>
        <w:t>43</w:t>
      </w:r>
      <w:r w:rsidRPr="00BE021E">
        <w:rPr>
          <w:rFonts w:ascii="Verdana" w:eastAsia="Calibri" w:hAnsi="Verdana" w:cs="Arial"/>
          <w:lang w:val="es-ES"/>
        </w:rPr>
        <w:t xml:space="preserve"> la </w:t>
      </w:r>
      <w:r>
        <w:rPr>
          <w:rFonts w:ascii="Verdana" w:eastAsia="Calibri" w:hAnsi="Verdana" w:cs="Arial"/>
          <w:lang w:val="es-ES"/>
        </w:rPr>
        <w:t>suspensión</w:t>
      </w:r>
      <w:r w:rsidRPr="00BE021E">
        <w:rPr>
          <w:rFonts w:ascii="Verdana" w:eastAsia="Calibri" w:hAnsi="Verdana" w:cs="Arial"/>
          <w:lang w:val="es-ES"/>
        </w:rPr>
        <w:t xml:space="preserve"> como una sanción disciplinaria</w:t>
      </w:r>
      <w:r>
        <w:rPr>
          <w:rFonts w:ascii="Verdana" w:eastAsia="Calibri" w:hAnsi="Verdana" w:cs="Arial"/>
          <w:lang w:val="es-ES"/>
        </w:rPr>
        <w:t xml:space="preserve"> que</w:t>
      </w:r>
      <w:r w:rsidRPr="001268BD">
        <w:rPr>
          <w:rFonts w:ascii="Verdana" w:hAnsi="Verdana" w:cs="Open Sans"/>
        </w:rPr>
        <w:t xml:space="preserve"> “</w:t>
      </w:r>
      <w:r w:rsidRPr="00954F07">
        <w:rPr>
          <w:rFonts w:ascii="Verdana" w:hAnsi="Verdana" w:cs="Open Sans"/>
        </w:rPr>
        <w:t>Consiste en la prohibición de ejercer la profesión por el término señalado en el fallo. Esta sanción oscilará entre dos (2) meses y (3) tres años</w:t>
      </w:r>
      <w:r w:rsidRPr="001268BD">
        <w:rPr>
          <w:rFonts w:ascii="Verdana" w:hAnsi="Verdana" w:cs="Open Sans"/>
        </w:rPr>
        <w:t xml:space="preserve">”. </w:t>
      </w:r>
    </w:p>
    <w:p w14:paraId="346573DD" w14:textId="77777777" w:rsidR="0042120A" w:rsidRPr="00BE021E" w:rsidRDefault="0042120A" w:rsidP="0042120A">
      <w:pPr>
        <w:widowControl w:val="0"/>
        <w:autoSpaceDE w:val="0"/>
        <w:autoSpaceDN w:val="0"/>
        <w:spacing w:after="0" w:line="276" w:lineRule="auto"/>
        <w:jc w:val="both"/>
        <w:rPr>
          <w:rFonts w:ascii="Verdana" w:eastAsia="Calibri" w:hAnsi="Verdana" w:cs="Arial"/>
          <w:lang w:val="es-ES"/>
        </w:rPr>
      </w:pPr>
      <w:r w:rsidRPr="00BE021E">
        <w:rPr>
          <w:rFonts w:ascii="Verdana" w:eastAsia="Calibri" w:hAnsi="Verdana" w:cs="Arial"/>
          <w:lang w:val="es-ES"/>
        </w:rPr>
        <w:tab/>
        <w:t xml:space="preserve">Al analizar la constitucionalidad del sistema de sanciones que establece </w:t>
      </w:r>
      <w:r w:rsidRPr="00BE021E">
        <w:rPr>
          <w:rFonts w:ascii="Verdana" w:eastAsia="Calibri" w:hAnsi="Verdana" w:cs="Arial"/>
          <w:lang w:val="es-ES"/>
        </w:rPr>
        <w:lastRenderedPageBreak/>
        <w:t>dicho Código, la Corte Constitucional señaló que:</w:t>
      </w:r>
    </w:p>
    <w:p w14:paraId="331AA32D" w14:textId="77777777" w:rsidR="0042120A" w:rsidRPr="00BE021E" w:rsidRDefault="0042120A" w:rsidP="0042120A">
      <w:pPr>
        <w:widowControl w:val="0"/>
        <w:autoSpaceDE w:val="0"/>
        <w:autoSpaceDN w:val="0"/>
        <w:spacing w:after="0" w:line="276" w:lineRule="auto"/>
        <w:jc w:val="both"/>
        <w:rPr>
          <w:rFonts w:ascii="Verdana" w:eastAsia="Calibri" w:hAnsi="Verdana" w:cs="Arial"/>
          <w:lang w:val="es-ES"/>
        </w:rPr>
      </w:pPr>
    </w:p>
    <w:p w14:paraId="1FF2D08A" w14:textId="77777777" w:rsidR="0042120A" w:rsidRPr="00BE021E" w:rsidRDefault="0042120A" w:rsidP="00F21157">
      <w:pPr>
        <w:pStyle w:val="NormalWeb"/>
        <w:spacing w:before="0" w:beforeAutospacing="0" w:after="0" w:afterAutospacing="0"/>
        <w:ind w:left="708" w:right="709" w:firstLine="2"/>
        <w:jc w:val="both"/>
        <w:rPr>
          <w:rFonts w:ascii="Verdana" w:hAnsi="Verdana" w:cs="Open Sans"/>
          <w:sz w:val="20"/>
          <w:szCs w:val="20"/>
        </w:rPr>
      </w:pPr>
      <w:r w:rsidRPr="00BE021E">
        <w:rPr>
          <w:rFonts w:ascii="Verdana" w:hAnsi="Verdana" w:cs="Open Sans"/>
          <w:sz w:val="20"/>
          <w:szCs w:val="20"/>
        </w:rPr>
        <w:t>Teniendo en cuenta que el legislador delimitó de manera taxativa la clase de sanciones que es posible imponer, describiendo cada una de ellas y sometiéndolas a un límite temporal</w:t>
      </w:r>
      <w:bookmarkStart w:id="1" w:name="ref_endnote_53"/>
      <w:bookmarkEnd w:id="1"/>
      <w:r w:rsidRPr="00BE021E">
        <w:rPr>
          <w:rFonts w:ascii="Verdana" w:hAnsi="Verdana" w:cs="Open Sans"/>
          <w:sz w:val="20"/>
          <w:szCs w:val="20"/>
        </w:rPr>
        <w:t>[53]; que proporcionó unos criterios de graduación (Art. 45) que vinculan a la autoridad competente; que condicionó la imposición de una sanción a la infracción injustificada de alguno de los deberes previstos en el estatuto (arts. 4º y 28); que estableció como guías inexcusables del proceso de individualización de la sanción los principios de razonabilidad y proporcionalidad, y que impuso la necesidad de motivación de la dosificación sancionatoria , es posible afirmar que el legislador proporcionó un marco de referencia que se aviene a la razonable flexibilización que se le ha reconocido al principio de legalidad en el ámbito disciplinario.</w:t>
      </w:r>
    </w:p>
    <w:p w14:paraId="4136F3C8" w14:textId="77777777" w:rsidR="0042120A" w:rsidRPr="00BE021E" w:rsidRDefault="0042120A" w:rsidP="00F21157">
      <w:pPr>
        <w:pStyle w:val="NormalWeb"/>
        <w:spacing w:before="0" w:beforeAutospacing="0" w:after="0" w:afterAutospacing="0"/>
        <w:ind w:left="708" w:right="709" w:firstLine="2"/>
        <w:jc w:val="both"/>
        <w:rPr>
          <w:rFonts w:ascii="Verdana" w:hAnsi="Verdana" w:cs="Open Sans"/>
          <w:sz w:val="20"/>
          <w:szCs w:val="20"/>
        </w:rPr>
      </w:pPr>
    </w:p>
    <w:p w14:paraId="74331B97" w14:textId="77777777" w:rsidR="0042120A" w:rsidRPr="00BE021E" w:rsidRDefault="0042120A" w:rsidP="00F21157">
      <w:pPr>
        <w:spacing w:after="0" w:line="240" w:lineRule="auto"/>
        <w:ind w:left="708" w:right="709"/>
        <w:jc w:val="both"/>
        <w:rPr>
          <w:rFonts w:ascii="Verdana" w:eastAsia="Times New Roman" w:hAnsi="Verdana" w:cs="Open Sans"/>
          <w:sz w:val="20"/>
          <w:szCs w:val="20"/>
          <w:lang w:eastAsia="es-CO"/>
        </w:rPr>
      </w:pPr>
      <w:r w:rsidRPr="00BE021E">
        <w:rPr>
          <w:rFonts w:ascii="Verdana" w:eastAsia="Times New Roman" w:hAnsi="Verdana" w:cs="Open Sans"/>
          <w:sz w:val="20"/>
          <w:szCs w:val="20"/>
          <w:lang w:eastAsia="es-CO"/>
        </w:rPr>
        <w:t>El margen de discrecionalidad que el legislador asigna a la autoridad disciplinaria para la individualización de la sanción se encuentra limitado así por la taxativa consagración de los tipos de sanciones permitidas; el suministro de unos criterios objetivos generales, de agravación y de atenuación de la sanción (Art.45); la vinculación explícita del funcionario a los criterios de razonabilidad y proporcionalidad; y por los controles establecidos al interior del mismo proceso frente a una eventual decisión sancionatoria (la doble instancia Arts. 55 y 59).</w:t>
      </w:r>
      <w:r w:rsidRPr="00BE021E">
        <w:rPr>
          <w:rStyle w:val="Refdenotaalpie"/>
          <w:rFonts w:ascii="Verdana" w:eastAsia="Times New Roman" w:hAnsi="Verdana" w:cs="Open Sans"/>
          <w:sz w:val="20"/>
          <w:szCs w:val="20"/>
          <w:lang w:eastAsia="es-CO"/>
        </w:rPr>
        <w:footnoteReference w:id="2"/>
      </w:r>
    </w:p>
    <w:p w14:paraId="67B66B2F" w14:textId="77777777" w:rsidR="0042120A" w:rsidRPr="001268BD" w:rsidRDefault="0042120A" w:rsidP="0042120A">
      <w:pPr>
        <w:spacing w:after="0" w:line="276" w:lineRule="auto"/>
        <w:ind w:left="709" w:right="709"/>
        <w:jc w:val="both"/>
        <w:rPr>
          <w:rFonts w:ascii="Verdana" w:eastAsia="Times New Roman" w:hAnsi="Verdana" w:cs="Open Sans"/>
          <w:lang w:eastAsia="es-CO"/>
        </w:rPr>
      </w:pPr>
    </w:p>
    <w:p w14:paraId="5C3AE9AD" w14:textId="77777777" w:rsidR="0042120A" w:rsidRPr="00BE021E" w:rsidRDefault="0042120A" w:rsidP="0042120A">
      <w:pPr>
        <w:widowControl w:val="0"/>
        <w:autoSpaceDE w:val="0"/>
        <w:autoSpaceDN w:val="0"/>
        <w:spacing w:after="0" w:line="276" w:lineRule="auto"/>
        <w:jc w:val="both"/>
        <w:rPr>
          <w:rFonts w:ascii="Verdana" w:hAnsi="Verdana" w:cs="Arial"/>
        </w:rPr>
      </w:pPr>
      <w:r w:rsidRPr="00BE021E">
        <w:rPr>
          <w:rFonts w:ascii="Verdana" w:hAnsi="Verdana" w:cs="Arial"/>
        </w:rPr>
        <w:tab/>
        <w:t xml:space="preserve">De lo anterior, se resalta entonces que la </w:t>
      </w:r>
      <w:r>
        <w:rPr>
          <w:rFonts w:ascii="Verdana" w:hAnsi="Verdana" w:cs="Arial"/>
        </w:rPr>
        <w:t>suspensión</w:t>
      </w:r>
      <w:r w:rsidRPr="00BE021E">
        <w:rPr>
          <w:rFonts w:ascii="Verdana" w:hAnsi="Verdana" w:cs="Arial"/>
        </w:rPr>
        <w:t xml:space="preserve"> como sanción disciplinaria se impone como resultado de un proceso disciplinario, en el que la autoridad competente debe motivar su decisión y la dosificación sancionatoria atendiendo a los criterios de razonabilidad y proporcionalidad, así como de graduación, individualizando la sanción correspondiente a la infracción cometida por el disciplinado. Sobre este tema, la Corte Constitucional ha aclarado que:</w:t>
      </w:r>
    </w:p>
    <w:p w14:paraId="5B237880" w14:textId="77777777" w:rsidR="0042120A" w:rsidRPr="00BE021E" w:rsidRDefault="0042120A" w:rsidP="0042120A">
      <w:pPr>
        <w:widowControl w:val="0"/>
        <w:autoSpaceDE w:val="0"/>
        <w:autoSpaceDN w:val="0"/>
        <w:spacing w:after="0" w:line="276" w:lineRule="auto"/>
        <w:jc w:val="both"/>
        <w:rPr>
          <w:rFonts w:ascii="Verdana" w:hAnsi="Verdana" w:cs="Arial"/>
        </w:rPr>
      </w:pPr>
    </w:p>
    <w:p w14:paraId="7AD29A7E" w14:textId="77777777" w:rsidR="0042120A" w:rsidRPr="000E112E" w:rsidRDefault="0042120A" w:rsidP="0042120A">
      <w:pPr>
        <w:widowControl w:val="0"/>
        <w:autoSpaceDE w:val="0"/>
        <w:autoSpaceDN w:val="0"/>
        <w:spacing w:after="0" w:line="240" w:lineRule="auto"/>
        <w:ind w:left="708" w:right="709" w:firstLine="2"/>
        <w:jc w:val="both"/>
        <w:rPr>
          <w:rFonts w:ascii="Verdana" w:hAnsi="Verdana" w:cs="Arial"/>
          <w:sz w:val="20"/>
          <w:szCs w:val="20"/>
        </w:rPr>
      </w:pPr>
      <w:r w:rsidRPr="000E112E">
        <w:rPr>
          <w:rFonts w:ascii="Verdana" w:hAnsi="Verdana"/>
          <w:sz w:val="20"/>
          <w:szCs w:val="20"/>
          <w:shd w:val="clear" w:color="auto" w:fill="FFFFFF"/>
        </w:rPr>
        <w:t>[…] las faltas disciplinarias imputables a los abogados en cuanto no revisten la misma lesividad pueden ser sancionadas con diversas medidas, dependiendo de su gravedad: con censura y multa – como sanción autónoma- las de menor entidad, y con suspensión y exclusión de la profesión las que revisten mayor gravedad, trascendencia social y potencialidad lesiva de intereses de especial relevancia.</w:t>
      </w:r>
      <w:r w:rsidRPr="000E112E">
        <w:rPr>
          <w:rStyle w:val="Refdenotaalpie"/>
          <w:rFonts w:ascii="Verdana" w:hAnsi="Verdana"/>
          <w:sz w:val="20"/>
          <w:szCs w:val="20"/>
          <w:shd w:val="clear" w:color="auto" w:fill="FFFFFF"/>
        </w:rPr>
        <w:footnoteReference w:id="3"/>
      </w:r>
    </w:p>
    <w:p w14:paraId="7C7DC55D" w14:textId="77777777" w:rsidR="0042120A" w:rsidRPr="00BE021E" w:rsidRDefault="0042120A" w:rsidP="0042120A">
      <w:pPr>
        <w:widowControl w:val="0"/>
        <w:autoSpaceDE w:val="0"/>
        <w:autoSpaceDN w:val="0"/>
        <w:spacing w:after="0" w:line="276" w:lineRule="auto"/>
        <w:jc w:val="both"/>
        <w:rPr>
          <w:rFonts w:ascii="Verdana" w:hAnsi="Verdana" w:cs="Arial"/>
        </w:rPr>
      </w:pPr>
    </w:p>
    <w:p w14:paraId="000968B7" w14:textId="77777777" w:rsidR="0042120A" w:rsidRDefault="0042120A" w:rsidP="0042120A">
      <w:pPr>
        <w:widowControl w:val="0"/>
        <w:autoSpaceDE w:val="0"/>
        <w:autoSpaceDN w:val="0"/>
        <w:spacing w:after="120" w:line="276" w:lineRule="auto"/>
        <w:jc w:val="both"/>
        <w:rPr>
          <w:rFonts w:ascii="Verdana" w:eastAsia="Calibri" w:hAnsi="Verdana" w:cs="Arial"/>
          <w:lang w:eastAsia="es-ES"/>
        </w:rPr>
      </w:pPr>
      <w:r w:rsidRPr="00BE021E">
        <w:rPr>
          <w:rFonts w:ascii="Verdana" w:hAnsi="Verdana" w:cs="Arial"/>
        </w:rPr>
        <w:tab/>
        <w:t xml:space="preserve">Así, se encuentra que la </w:t>
      </w:r>
      <w:r>
        <w:rPr>
          <w:rFonts w:ascii="Verdana" w:hAnsi="Verdana" w:cs="Arial"/>
        </w:rPr>
        <w:t>suspensión</w:t>
      </w:r>
      <w:r w:rsidRPr="00BE021E">
        <w:rPr>
          <w:rFonts w:ascii="Verdana" w:hAnsi="Verdana" w:cs="Arial"/>
        </w:rPr>
        <w:t xml:space="preserve"> es una sanción disciplinaria </w:t>
      </w:r>
      <w:r>
        <w:rPr>
          <w:rFonts w:ascii="Verdana" w:hAnsi="Verdana" w:cs="Arial"/>
        </w:rPr>
        <w:t>que</w:t>
      </w:r>
      <w:r w:rsidRPr="00BE021E">
        <w:rPr>
          <w:rFonts w:ascii="Verdana" w:hAnsi="Verdana" w:cs="Arial"/>
        </w:rPr>
        <w:t xml:space="preserve"> </w:t>
      </w:r>
      <w:r w:rsidRPr="00BE021E">
        <w:rPr>
          <w:rFonts w:ascii="Verdana" w:hAnsi="Verdana" w:cs="Arial"/>
        </w:rPr>
        <w:lastRenderedPageBreak/>
        <w:t xml:space="preserve">corresponde a la </w:t>
      </w:r>
      <w:r>
        <w:rPr>
          <w:rFonts w:ascii="Verdana" w:hAnsi="Verdana" w:cs="Arial"/>
        </w:rPr>
        <w:t xml:space="preserve">prohibición para ejercer la profesión de abogado por el término señalado en el fallo y en </w:t>
      </w:r>
      <w:r w:rsidRPr="00BE021E">
        <w:rPr>
          <w:rFonts w:ascii="Verdana" w:eastAsia="Calibri" w:hAnsi="Verdana" w:cs="Arial"/>
          <w:lang w:eastAsia="es-ES"/>
        </w:rPr>
        <w:t>tal sentido, es importante precisar que el artículo 29, numeral 4° de la Ley 1123 de 2007 que regula las incompatibilidades para ejercer la abogacía, dispone que no pueden ejercer la profesión de abogado cuando sean suspendidos o excluidos, esto es, que la sanción haya sido la suspensión o la exclusión, contemplados en los artículos 4</w:t>
      </w:r>
      <w:r>
        <w:rPr>
          <w:rFonts w:ascii="Verdana" w:eastAsia="Calibri" w:hAnsi="Verdana" w:cs="Arial"/>
          <w:lang w:eastAsia="es-ES"/>
        </w:rPr>
        <w:t>3</w:t>
      </w:r>
      <w:r w:rsidRPr="00BE021E">
        <w:rPr>
          <w:rFonts w:ascii="Verdana" w:eastAsia="Calibri" w:hAnsi="Verdana" w:cs="Arial"/>
          <w:lang w:eastAsia="es-ES"/>
        </w:rPr>
        <w:t xml:space="preserve"> y 4</w:t>
      </w:r>
      <w:r>
        <w:rPr>
          <w:rFonts w:ascii="Verdana" w:eastAsia="Calibri" w:hAnsi="Verdana" w:cs="Arial"/>
          <w:lang w:eastAsia="es-ES"/>
        </w:rPr>
        <w:t>4</w:t>
      </w:r>
      <w:r w:rsidRPr="00BE021E">
        <w:rPr>
          <w:rFonts w:ascii="Verdana" w:eastAsia="Calibri" w:hAnsi="Verdana" w:cs="Arial"/>
          <w:lang w:eastAsia="es-ES"/>
        </w:rPr>
        <w:t xml:space="preserve"> respectivamente de la precitada Ley. De este modo, puede inferirse de la Ley 1123 de 2007 –Código Disciplinario del Abogado- que la </w:t>
      </w:r>
      <w:r>
        <w:rPr>
          <w:rFonts w:ascii="Verdana" w:eastAsia="Calibri" w:hAnsi="Verdana" w:cs="Arial"/>
          <w:lang w:eastAsia="es-ES"/>
        </w:rPr>
        <w:t>suspensión como sanción disciplinaria a un abogado sí im</w:t>
      </w:r>
      <w:r w:rsidRPr="00BE021E">
        <w:rPr>
          <w:rFonts w:ascii="Verdana" w:eastAsia="Calibri" w:hAnsi="Verdana" w:cs="Arial"/>
          <w:lang w:eastAsia="es-ES"/>
        </w:rPr>
        <w:t>plica</w:t>
      </w:r>
      <w:r>
        <w:rPr>
          <w:rFonts w:ascii="Verdana" w:eastAsia="Calibri" w:hAnsi="Verdana" w:cs="Arial"/>
          <w:lang w:eastAsia="es-ES"/>
        </w:rPr>
        <w:t xml:space="preserve"> </w:t>
      </w:r>
      <w:r w:rsidRPr="00BE021E">
        <w:rPr>
          <w:rFonts w:ascii="Verdana" w:eastAsia="Calibri" w:hAnsi="Verdana" w:cs="Arial"/>
          <w:lang w:eastAsia="es-ES"/>
        </w:rPr>
        <w:t xml:space="preserve">una restricción </w:t>
      </w:r>
      <w:r>
        <w:rPr>
          <w:rFonts w:ascii="Verdana" w:eastAsia="Calibri" w:hAnsi="Verdana" w:cs="Arial"/>
          <w:lang w:eastAsia="es-ES"/>
        </w:rPr>
        <w:t xml:space="preserve">o afectación de la capacidad </w:t>
      </w:r>
      <w:r w:rsidRPr="00BE021E">
        <w:rPr>
          <w:rFonts w:ascii="Verdana" w:eastAsia="Calibri" w:hAnsi="Verdana" w:cs="Arial"/>
          <w:lang w:eastAsia="es-ES"/>
        </w:rPr>
        <w:t xml:space="preserve">para celebrar </w:t>
      </w:r>
      <w:r>
        <w:rPr>
          <w:rFonts w:ascii="Verdana" w:eastAsia="Calibri" w:hAnsi="Verdana" w:cs="Arial"/>
          <w:lang w:eastAsia="es-ES"/>
        </w:rPr>
        <w:t xml:space="preserve">y ejecutar </w:t>
      </w:r>
      <w:r w:rsidRPr="00BE021E">
        <w:rPr>
          <w:rFonts w:ascii="Verdana" w:eastAsia="Calibri" w:hAnsi="Verdana" w:cs="Arial"/>
          <w:lang w:eastAsia="es-ES"/>
        </w:rPr>
        <w:t xml:space="preserve">un contrato de prestación de servicios profesionales con una entidad estatal. </w:t>
      </w:r>
    </w:p>
    <w:p w14:paraId="0402E590" w14:textId="77777777" w:rsidR="0042120A" w:rsidRDefault="0042120A" w:rsidP="0042120A">
      <w:pPr>
        <w:widowControl w:val="0"/>
        <w:autoSpaceDE w:val="0"/>
        <w:autoSpaceDN w:val="0"/>
        <w:spacing w:after="120" w:line="276" w:lineRule="auto"/>
        <w:ind w:firstLine="708"/>
        <w:jc w:val="both"/>
        <w:rPr>
          <w:rFonts w:ascii="Verdana" w:eastAsia="Calibri" w:hAnsi="Verdana" w:cs="Arial"/>
          <w:lang w:eastAsia="es-ES"/>
        </w:rPr>
      </w:pPr>
      <w:r w:rsidRPr="00BA7032">
        <w:rPr>
          <w:rFonts w:ascii="Verdana" w:eastAsia="Calibri" w:hAnsi="Verdana" w:cs="Arial"/>
          <w:lang w:eastAsia="es-ES"/>
        </w:rPr>
        <w:t xml:space="preserve">No obstante, los tipos de sanciones disciplinarias que puedan llegar a imponerse a los abogados, como la multa, censura, suspensión o exclusión, éstas tienen una regulación dispuesta para su registro en el </w:t>
      </w:r>
      <w:bookmarkStart w:id="4" w:name="_Hlk194585783"/>
      <w:r w:rsidRPr="00BA7032">
        <w:rPr>
          <w:rFonts w:ascii="Verdana" w:eastAsia="Calibri" w:hAnsi="Verdana" w:cs="Arial"/>
          <w:lang w:eastAsia="es-ES"/>
        </w:rPr>
        <w:t>Acuerdo 075 de 2024, “Por el cual se regula la expedición de los certificados de sanciones vigentes y de antecedentes disciplinarios de la Comisión Nacional de Disciplina Judicial</w:t>
      </w:r>
      <w:bookmarkEnd w:id="4"/>
      <w:r w:rsidRPr="00BA7032">
        <w:rPr>
          <w:rFonts w:ascii="Verdana" w:eastAsia="Calibri" w:hAnsi="Verdana" w:cs="Arial"/>
          <w:lang w:eastAsia="es-ES"/>
        </w:rPr>
        <w:t>”</w:t>
      </w:r>
      <w:r>
        <w:rPr>
          <w:rFonts w:ascii="Verdana" w:eastAsia="Calibri" w:hAnsi="Verdana" w:cs="Arial"/>
          <w:lang w:eastAsia="es-ES"/>
        </w:rPr>
        <w:t xml:space="preserve">. Esta resolución </w:t>
      </w:r>
      <w:r w:rsidRPr="00BA7032">
        <w:rPr>
          <w:rFonts w:ascii="Verdana" w:eastAsia="Calibri" w:hAnsi="Verdana" w:cs="Arial"/>
          <w:lang w:eastAsia="es-ES"/>
        </w:rPr>
        <w:t xml:space="preserve">establece dos tipos de certificados para efectos de consulta de los interesados: i) el certificado de sanciones vigentes, que contiene las sanciones vigentes de la expedición, en cumplimiento de lo establecido en el artículo 238 de la Ley 1952 de 2019, en armonía con el artículo 45 de Ley 1123 de 2007; </w:t>
      </w:r>
      <w:proofErr w:type="spellStart"/>
      <w:r w:rsidRPr="00BA7032">
        <w:rPr>
          <w:rFonts w:ascii="Verdana" w:eastAsia="Calibri" w:hAnsi="Verdana" w:cs="Arial"/>
          <w:lang w:eastAsia="es-ES"/>
        </w:rPr>
        <w:t>ii</w:t>
      </w:r>
      <w:proofErr w:type="spellEnd"/>
      <w:r w:rsidRPr="00BA7032">
        <w:rPr>
          <w:rFonts w:ascii="Verdana" w:eastAsia="Calibri" w:hAnsi="Verdana" w:cs="Arial"/>
          <w:lang w:eastAsia="es-ES"/>
        </w:rPr>
        <w:t>) el certificado de antecedentes disciplinarios, que contiene el listado de anotaciones de las sanciones de los últimos cinco (5) años, previos a la comisión de la falta que se investiga, en cumplimiento de lo establecido en el artículo 238 de la Ley 1952 de 2019, en armonía con el artículo 45 de Ley 1123 de 2007.</w:t>
      </w:r>
    </w:p>
    <w:p w14:paraId="7E2D77D0" w14:textId="77777777" w:rsidR="0042120A" w:rsidRPr="00BE021E" w:rsidRDefault="0042120A" w:rsidP="0042120A">
      <w:pPr>
        <w:widowControl w:val="0"/>
        <w:autoSpaceDE w:val="0"/>
        <w:autoSpaceDN w:val="0"/>
        <w:spacing w:after="120" w:line="276" w:lineRule="auto"/>
        <w:ind w:firstLine="708"/>
        <w:jc w:val="both"/>
        <w:rPr>
          <w:rFonts w:ascii="Verdana" w:eastAsia="Calibri" w:hAnsi="Verdana" w:cs="Arial"/>
          <w:lang w:val="es-ES"/>
        </w:rPr>
      </w:pPr>
      <w:r>
        <w:rPr>
          <w:rFonts w:ascii="Verdana" w:eastAsia="Calibri" w:hAnsi="Verdana" w:cs="Arial"/>
          <w:lang w:val="es-ES"/>
        </w:rPr>
        <w:t>Adicionalmente, al analizar el ré</w:t>
      </w:r>
      <w:r w:rsidRPr="00BE021E">
        <w:rPr>
          <w:rFonts w:ascii="Verdana" w:eastAsia="Calibri" w:hAnsi="Verdana" w:cs="Arial"/>
          <w:lang w:val="es-ES"/>
        </w:rPr>
        <w:t xml:space="preserve">gimen de inhabilidades e incompatibilidades para determinar si la sanción de </w:t>
      </w:r>
      <w:r>
        <w:rPr>
          <w:rFonts w:ascii="Verdana" w:eastAsia="Calibri" w:hAnsi="Verdana" w:cs="Arial"/>
          <w:lang w:val="es-ES"/>
        </w:rPr>
        <w:t>suspensión</w:t>
      </w:r>
      <w:r w:rsidRPr="00BE021E">
        <w:rPr>
          <w:rFonts w:ascii="Verdana" w:eastAsia="Calibri" w:hAnsi="Verdana" w:cs="Arial"/>
          <w:lang w:val="es-ES"/>
        </w:rPr>
        <w:t xml:space="preserve"> da lugar a la aplicación del mismo</w:t>
      </w:r>
      <w:r>
        <w:rPr>
          <w:rFonts w:ascii="Verdana" w:eastAsia="Calibri" w:hAnsi="Verdana" w:cs="Arial"/>
          <w:lang w:val="es-ES"/>
        </w:rPr>
        <w:t>, sea lo primero aclarar que e</w:t>
      </w:r>
      <w:r w:rsidRPr="00BE021E">
        <w:rPr>
          <w:rFonts w:ascii="Verdana" w:eastAsia="Calibri" w:hAnsi="Verdana" w:cs="Arial"/>
          <w:lang w:val="es-ES"/>
        </w:rPr>
        <w:t>ste régimen es un conjunto de normas que impone restricciones para los sujetos que eventualmente pretendan participar en los procedimientos de selección o en la celebración de contratos con las entidades estatales, constituyendo “</w:t>
      </w:r>
      <w:r w:rsidRPr="00BE021E">
        <w:rPr>
          <w:rFonts w:ascii="Verdana" w:eastAsia="Calibri" w:hAnsi="Verdana" w:cs="Arial"/>
          <w:i/>
          <w:iCs/>
          <w:lang w:val="es-ES"/>
        </w:rPr>
        <w:t>prohibiciones que restringen la capacidad y la libertad de un contratista para acceder a la contratación</w:t>
      </w:r>
      <w:r w:rsidRPr="00BE021E">
        <w:rPr>
          <w:rFonts w:ascii="Verdana" w:eastAsia="Calibri" w:hAnsi="Verdana" w:cs="Arial"/>
          <w:lang w:val="es-ES"/>
        </w:rPr>
        <w:t>”</w:t>
      </w:r>
      <w:r w:rsidRPr="00BE021E">
        <w:rPr>
          <w:rStyle w:val="Refdenotaalpie"/>
          <w:rFonts w:ascii="Verdana" w:eastAsia="Calibri" w:hAnsi="Verdana" w:cs="Arial"/>
          <w:lang w:val="es-ES"/>
        </w:rPr>
        <w:footnoteReference w:id="4"/>
      </w:r>
      <w:r w:rsidRPr="00BE021E">
        <w:rPr>
          <w:rFonts w:ascii="Verdana" w:eastAsia="Calibri" w:hAnsi="Verdana" w:cs="Arial"/>
          <w:lang w:val="es-ES"/>
        </w:rPr>
        <w:t xml:space="preserve">. </w:t>
      </w:r>
    </w:p>
    <w:p w14:paraId="315A5E65" w14:textId="77777777" w:rsidR="0042120A" w:rsidRPr="00BE021E" w:rsidRDefault="0042120A" w:rsidP="0042120A">
      <w:pPr>
        <w:widowControl w:val="0"/>
        <w:autoSpaceDE w:val="0"/>
        <w:autoSpaceDN w:val="0"/>
        <w:spacing w:after="120" w:line="276" w:lineRule="auto"/>
        <w:ind w:firstLine="708"/>
        <w:jc w:val="both"/>
        <w:rPr>
          <w:rFonts w:ascii="Verdana" w:eastAsia="Calibri" w:hAnsi="Verdana" w:cs="Arial"/>
          <w:lang w:val="es-ES"/>
        </w:rPr>
      </w:pPr>
      <w:r w:rsidRPr="00BE021E">
        <w:rPr>
          <w:rFonts w:ascii="Verdana" w:eastAsia="Calibri" w:hAnsi="Verdana" w:cs="Arial"/>
          <w:lang w:val="es-ES"/>
        </w:rPr>
        <w:lastRenderedPageBreak/>
        <w:t>De una parte, las inhabilidades son prohibiciones para concurrir a los procedimientos de selección y para contratar con el Estado, que se derivan i) de la existencia de comportamientos reprochables o de sanciones anteriormente impuestas</w:t>
      </w:r>
      <w:r w:rsidRPr="00BE021E">
        <w:rPr>
          <w:rFonts w:ascii="Verdana" w:eastAsia="Calibri" w:hAnsi="Verdana" w:cs="Arial"/>
          <w:vertAlign w:val="superscript"/>
          <w:lang w:val="es-ES"/>
        </w:rPr>
        <w:footnoteReference w:id="5"/>
      </w:r>
      <w:r w:rsidRPr="00BE021E">
        <w:rPr>
          <w:rFonts w:ascii="Verdana" w:eastAsia="Calibri" w:hAnsi="Verdana" w:cs="Arial"/>
          <w:lang w:val="es-ES"/>
        </w:rPr>
        <w:t xml:space="preserve">, </w:t>
      </w:r>
      <w:proofErr w:type="spellStart"/>
      <w:r w:rsidRPr="00BE021E">
        <w:rPr>
          <w:rFonts w:ascii="Verdana" w:eastAsia="Calibri" w:hAnsi="Verdana" w:cs="Arial"/>
          <w:lang w:val="es-ES"/>
        </w:rPr>
        <w:t>ii</w:t>
      </w:r>
      <w:proofErr w:type="spellEnd"/>
      <w:r w:rsidRPr="00BE021E">
        <w:rPr>
          <w:rFonts w:ascii="Verdana" w:eastAsia="Calibri" w:hAnsi="Verdana" w:cs="Arial"/>
          <w:lang w:val="es-ES"/>
        </w:rPr>
        <w:t>) de vínculos personales relativos al parentesco o al estado civil</w:t>
      </w:r>
      <w:r w:rsidRPr="00BE021E">
        <w:rPr>
          <w:rFonts w:ascii="Verdana" w:eastAsia="Calibri" w:hAnsi="Verdana" w:cs="Arial"/>
          <w:vertAlign w:val="superscript"/>
          <w:lang w:val="es-ES"/>
        </w:rPr>
        <w:footnoteReference w:id="6"/>
      </w:r>
      <w:r w:rsidRPr="00BE021E">
        <w:rPr>
          <w:rFonts w:ascii="Verdana" w:eastAsia="Calibri" w:hAnsi="Verdana" w:cs="Arial"/>
          <w:lang w:val="es-ES"/>
        </w:rPr>
        <w:t xml:space="preserve"> o </w:t>
      </w:r>
      <w:proofErr w:type="spellStart"/>
      <w:r w:rsidRPr="00BE021E">
        <w:rPr>
          <w:rFonts w:ascii="Verdana" w:eastAsia="Calibri" w:hAnsi="Verdana" w:cs="Arial"/>
          <w:lang w:val="es-ES"/>
        </w:rPr>
        <w:t>iii</w:t>
      </w:r>
      <w:proofErr w:type="spellEnd"/>
      <w:r w:rsidRPr="00BE021E">
        <w:rPr>
          <w:rFonts w:ascii="Verdana" w:eastAsia="Calibri" w:hAnsi="Verdana" w:cs="Arial"/>
          <w:lang w:val="es-ES"/>
        </w:rPr>
        <w:t>) de una actividad u oficio que se desempeñó en el pasado</w:t>
      </w:r>
      <w:r w:rsidRPr="00BE021E">
        <w:rPr>
          <w:rFonts w:ascii="Verdana" w:eastAsia="Calibri" w:hAnsi="Verdana" w:cs="Arial"/>
          <w:vertAlign w:val="superscript"/>
          <w:lang w:val="es-ES"/>
        </w:rPr>
        <w:footnoteReference w:id="7"/>
      </w:r>
      <w:r w:rsidRPr="00BE021E">
        <w:rPr>
          <w:rFonts w:ascii="Verdana" w:eastAsia="Calibri" w:hAnsi="Verdana" w:cs="Arial"/>
          <w:lang w:val="es-ES"/>
        </w:rPr>
        <w:t xml:space="preserve">. De otra, las </w:t>
      </w:r>
      <w:r w:rsidRPr="00BE021E">
        <w:rPr>
          <w:rFonts w:ascii="Verdana" w:eastAsia="Calibri" w:hAnsi="Verdana" w:cs="Arial"/>
          <w:lang w:val="es-ES"/>
        </w:rPr>
        <w:lastRenderedPageBreak/>
        <w:t>incompatibilidades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w:t>
      </w:r>
      <w:r w:rsidRPr="00BE021E">
        <w:rPr>
          <w:rFonts w:ascii="Verdana" w:eastAsia="Calibri" w:hAnsi="Verdana" w:cs="Arial"/>
          <w:vertAlign w:val="superscript"/>
          <w:lang w:val="es-ES"/>
        </w:rPr>
        <w:footnoteReference w:id="8"/>
      </w:r>
      <w:r w:rsidRPr="00BE021E">
        <w:rPr>
          <w:rFonts w:ascii="Verdana" w:eastAsia="Calibri" w:hAnsi="Verdana" w:cs="Arial"/>
          <w:lang w:val="es-ES"/>
        </w:rPr>
        <w:t>.</w:t>
      </w:r>
    </w:p>
    <w:p w14:paraId="72E40575" w14:textId="77777777" w:rsidR="0042120A" w:rsidRDefault="0042120A" w:rsidP="0042120A">
      <w:pPr>
        <w:widowControl w:val="0"/>
        <w:autoSpaceDE w:val="0"/>
        <w:autoSpaceDN w:val="0"/>
        <w:spacing w:after="120" w:line="276" w:lineRule="auto"/>
        <w:jc w:val="both"/>
        <w:rPr>
          <w:rFonts w:ascii="Verdana" w:eastAsia="Calibri" w:hAnsi="Verdana" w:cs="Arial"/>
          <w:lang w:val="es-ES"/>
        </w:rPr>
      </w:pPr>
      <w:r w:rsidRPr="00BE021E">
        <w:rPr>
          <w:rFonts w:ascii="Verdana" w:eastAsia="Calibri" w:hAnsi="Verdana" w:cs="Arial"/>
          <w:lang w:val="es-ES"/>
        </w:rPr>
        <w:tab/>
        <w:t>Debido a las restricciones que impone el régimen de inhabilidades e incompatibilidades, este se tipifica en la Ley expresamente y su interpretación debe ser restrictiva. Es decir, las causales de inhabilidad e impedimentos deben estar enunciadas en las normas de forma taxativa y al aplicarse en una situación particular su interpretación debe ser restrictiva, de tal forma que no se admita una interpretación amplia o extensiva que permitiera contemplar supuestos indeterminados como causales de inhabilidad o impedimentos.</w:t>
      </w:r>
      <w:r>
        <w:rPr>
          <w:rFonts w:ascii="Verdana" w:eastAsia="Calibri" w:hAnsi="Verdana" w:cs="Arial"/>
          <w:lang w:val="es-ES"/>
        </w:rPr>
        <w:t xml:space="preserve"> Por lo que, la interpretación de los efectos de la suspensión o exclusión del ejercicio de la profesión no puede hacerse extensiva a otras sanciones que no estén expresamente establecidas en la norma. </w:t>
      </w:r>
    </w:p>
    <w:p w14:paraId="30B23F42" w14:textId="77777777" w:rsidR="0042120A" w:rsidRPr="000E112E" w:rsidRDefault="0042120A" w:rsidP="0042120A">
      <w:pPr>
        <w:widowControl w:val="0"/>
        <w:autoSpaceDE w:val="0"/>
        <w:autoSpaceDN w:val="0"/>
        <w:spacing w:after="120" w:line="276" w:lineRule="auto"/>
        <w:ind w:firstLine="708"/>
        <w:jc w:val="both"/>
        <w:rPr>
          <w:rFonts w:ascii="Verdana" w:eastAsia="Calibri" w:hAnsi="Verdana" w:cs="Arial"/>
          <w:lang w:val="es-ES"/>
        </w:rPr>
      </w:pPr>
      <w:r>
        <w:rPr>
          <w:rFonts w:ascii="Verdana" w:eastAsia="Calibri" w:hAnsi="Verdana" w:cs="Arial"/>
          <w:lang w:val="es-ES"/>
        </w:rPr>
        <w:t>En efecto, sobre la interpretación de este tipo de normas, la Corte Constitucional ha aclarado que</w:t>
      </w:r>
      <w:r w:rsidRPr="000E112E">
        <w:rPr>
          <w:rFonts w:ascii="Verdana" w:eastAsia="Calibri" w:hAnsi="Verdana" w:cs="Arial"/>
          <w:color w:val="000000"/>
          <w:szCs w:val="24"/>
          <w:lang w:val="es-ES_tradnl" w:eastAsia="es-ES_tradnl"/>
        </w:rPr>
        <w:t xml:space="preserve"> “[…] el intérprete de las disposiciones legislativas en la materia ha de ceñirse en la mayor medida posible al tenor literal y </w:t>
      </w:r>
      <w:r w:rsidRPr="000E112E">
        <w:rPr>
          <w:rFonts w:ascii="Verdana" w:eastAsia="Calibri" w:hAnsi="Verdana" w:cs="Arial"/>
          <w:color w:val="000000"/>
          <w:szCs w:val="24"/>
          <w:lang w:val="es-ES_tradnl" w:eastAsia="es-ES_tradnl"/>
        </w:rPr>
        <w:lastRenderedPageBreak/>
        <w:t>gramatical de los enunciados normativos, sin que pueda acudir prima facie a criterios interpretativos tales como la analogía, la interpretación extensiva para ampliar el alcance de las causales legalmente fijadas”</w:t>
      </w:r>
      <w:r w:rsidRPr="000E112E">
        <w:rPr>
          <w:rFonts w:ascii="Verdana" w:eastAsia="Aptos" w:hAnsi="Verdana" w:cs="Times New Roman"/>
          <w:vertAlign w:val="superscript"/>
        </w:rPr>
        <w:footnoteReference w:id="9"/>
      </w:r>
      <w:r w:rsidRPr="000E112E">
        <w:rPr>
          <w:rFonts w:ascii="Verdana" w:eastAsia="Calibri" w:hAnsi="Verdana" w:cs="Arial"/>
          <w:color w:val="000000"/>
          <w:szCs w:val="24"/>
          <w:lang w:val="es-ES_tradnl" w:eastAsia="es-ES_tradnl"/>
        </w:rPr>
        <w:t>. 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0E112E">
        <w:rPr>
          <w:rFonts w:ascii="Verdana" w:eastAsia="Aptos" w:hAnsi="Verdana" w:cs="Times New Roman"/>
          <w:vertAlign w:val="superscript"/>
        </w:rPr>
        <w:footnoteReference w:id="10"/>
      </w:r>
      <w:r w:rsidRPr="000E112E">
        <w:rPr>
          <w:rFonts w:ascii="Verdana" w:eastAsia="Calibri" w:hAnsi="Verdana" w:cs="Arial"/>
          <w:color w:val="000000"/>
          <w:szCs w:val="24"/>
          <w:lang w:val="es-ES_tradnl" w:eastAsia="es-ES_tradnl"/>
        </w:rPr>
        <w:t>.</w:t>
      </w:r>
    </w:p>
    <w:p w14:paraId="4131943A" w14:textId="77777777" w:rsidR="0042120A" w:rsidRDefault="0042120A" w:rsidP="0042120A">
      <w:pPr>
        <w:pStyle w:val="NormalWeb"/>
        <w:spacing w:line="270" w:lineRule="atLeast"/>
        <w:jc w:val="both"/>
        <w:rPr>
          <w:rFonts w:ascii="Verdana" w:eastAsia="Calibri" w:hAnsi="Verdana" w:cs="Arial"/>
          <w:lang w:eastAsia="es-ES"/>
        </w:rPr>
      </w:pPr>
      <w:r w:rsidRPr="00BE021E">
        <w:rPr>
          <w:rFonts w:ascii="Verdana" w:eastAsia="Calibri" w:hAnsi="Verdana" w:cs="Arial"/>
          <w:lang w:val="es-ES"/>
        </w:rPr>
        <w:t xml:space="preserve"> Así, al revisar lo dispuesto en el artículo 8 de la Ley 80 de 1993, que establece las </w:t>
      </w:r>
      <w:r w:rsidRPr="00E2458E">
        <w:rPr>
          <w:rFonts w:ascii="Verdana" w:eastAsia="Calibri" w:hAnsi="Verdana" w:cs="Arial"/>
          <w:sz w:val="22"/>
          <w:szCs w:val="22"/>
          <w:lang w:val="es-ES"/>
        </w:rPr>
        <w:t>causales de inhabilidad e incompatibilidad en contratación estatal, se encuentra la disposición del numeral 1 “</w:t>
      </w:r>
      <w:r w:rsidRPr="00E2458E">
        <w:rPr>
          <w:rFonts w:ascii="Verdana" w:hAnsi="Verdana" w:cs="Open Sans"/>
          <w:sz w:val="22"/>
          <w:szCs w:val="22"/>
        </w:rPr>
        <w:t>Son inhábiles para participar en licitaciones </w:t>
      </w:r>
      <w:r w:rsidRPr="00E2458E">
        <w:rPr>
          <w:rStyle w:val="baj"/>
          <w:rFonts w:ascii="Verdana" w:hAnsi="Verdana" w:cs="Open Sans"/>
          <w:b/>
          <w:bCs/>
          <w:strike/>
          <w:sz w:val="22"/>
          <w:szCs w:val="22"/>
        </w:rPr>
        <w:t>o concursos</w:t>
      </w:r>
      <w:r w:rsidRPr="00E2458E">
        <w:rPr>
          <w:rFonts w:ascii="Verdana" w:hAnsi="Verdana" w:cs="Open Sans"/>
          <w:sz w:val="22"/>
          <w:szCs w:val="22"/>
        </w:rPr>
        <w:t> y para celebrar contratos con las entidades estatales: a) Las personas que se hallen inhabilitadas para contratar por la Constitución y las leyes.” Y para el caso específico, esta causal se considera aplicable teniendo en cuenta que en la Ley 1123 de 2007, en el</w:t>
      </w:r>
      <w:r w:rsidRPr="00E2458E">
        <w:rPr>
          <w:rFonts w:ascii="Verdana" w:eastAsia="Calibri" w:hAnsi="Verdana" w:cs="Arial"/>
          <w:sz w:val="22"/>
          <w:szCs w:val="22"/>
          <w:lang w:eastAsia="es-ES"/>
        </w:rPr>
        <w:t xml:space="preserve"> artículo 29, numeral 4°, se dispone como incompatibilidad</w:t>
      </w:r>
      <w:r w:rsidRPr="00E2458E">
        <w:rPr>
          <w:rFonts w:ascii="Verdana" w:eastAsia="Calibri" w:hAnsi="Verdana" w:cs="Arial"/>
          <w:lang w:eastAsia="es-ES"/>
        </w:rPr>
        <w:t xml:space="preserve"> </w:t>
      </w:r>
      <w:r>
        <w:rPr>
          <w:rFonts w:ascii="Verdana" w:eastAsia="Calibri" w:hAnsi="Verdana" w:cs="Arial"/>
          <w:lang w:eastAsia="es-ES"/>
        </w:rPr>
        <w:t>que no pueden ejercer la profesión los abogados suspendidos.</w:t>
      </w:r>
    </w:p>
    <w:p w14:paraId="26105954" w14:textId="77777777" w:rsidR="0042120A" w:rsidRDefault="0042120A" w:rsidP="0042120A">
      <w:pPr>
        <w:widowControl w:val="0"/>
        <w:autoSpaceDE w:val="0"/>
        <w:autoSpaceDN w:val="0"/>
        <w:spacing w:after="0" w:line="276" w:lineRule="auto"/>
        <w:jc w:val="both"/>
        <w:rPr>
          <w:rFonts w:ascii="Verdana" w:hAnsi="Verdana" w:cs="Arial"/>
        </w:rPr>
      </w:pPr>
      <w:r>
        <w:rPr>
          <w:rFonts w:ascii="Verdana" w:hAnsi="Verdana" w:cs="Arial"/>
        </w:rPr>
        <w:t>Ahora bien, dado que el contrato de prestación de servicios se encuentra en ejecución, sería aplicable ante la incompatibilidad por la sanción disciplinaria de suspensión de la profesión de abogado lo dispuesto en el artículo 9 de la Ley 80 de 1993 sobre las incompatibilidades sobrevinientes:</w:t>
      </w:r>
    </w:p>
    <w:p w14:paraId="5C3FA057" w14:textId="77777777" w:rsidR="0042120A" w:rsidRPr="00E2458E" w:rsidRDefault="0042120A" w:rsidP="0042120A">
      <w:pPr>
        <w:pStyle w:val="NormalWeb"/>
        <w:spacing w:line="270" w:lineRule="atLeast"/>
        <w:ind w:left="708" w:right="758" w:firstLine="2"/>
        <w:jc w:val="both"/>
        <w:rPr>
          <w:rFonts w:ascii="Verdana" w:hAnsi="Verdana" w:cs="Open Sans"/>
          <w:sz w:val="20"/>
          <w:szCs w:val="20"/>
        </w:rPr>
      </w:pPr>
      <w:r w:rsidRPr="00E2458E">
        <w:rPr>
          <w:rFonts w:ascii="Verdana" w:hAnsi="Verdana" w:cs="Open Sans"/>
          <w:sz w:val="20"/>
          <w:szCs w:val="20"/>
        </w:rPr>
        <w:t>Si llegare a sobrevenir inhabilidad o incompatibilidad en el contratista, este cederá el contrato previa autorización escrita de la entidad contratante o, si ello no fuere posible, renunciará a su ejecución.</w:t>
      </w:r>
    </w:p>
    <w:p w14:paraId="0FF7059F" w14:textId="77777777" w:rsidR="0042120A" w:rsidRPr="00467DCB" w:rsidRDefault="0042120A" w:rsidP="0042120A">
      <w:pPr>
        <w:spacing w:before="100" w:beforeAutospacing="1" w:after="100" w:afterAutospacing="1" w:line="270" w:lineRule="atLeast"/>
        <w:ind w:left="708" w:right="758"/>
        <w:jc w:val="both"/>
        <w:rPr>
          <w:rFonts w:ascii="Verdana" w:eastAsia="Times New Roman" w:hAnsi="Verdana" w:cs="Open Sans"/>
          <w:sz w:val="20"/>
          <w:szCs w:val="20"/>
          <w:lang w:eastAsia="es-CO"/>
        </w:rPr>
      </w:pPr>
      <w:r w:rsidRPr="00467DCB">
        <w:rPr>
          <w:rFonts w:ascii="Verdana" w:eastAsia="Times New Roman" w:hAnsi="Verdana" w:cs="Open Sans"/>
          <w:sz w:val="20"/>
          <w:szCs w:val="20"/>
          <w:lang w:eastAsia="es-CO"/>
        </w:rPr>
        <w:t xml:space="preserve">Cuando la inhabilidad o incompatibilidad sobrevenga en un proponente dentro de un proceso de selección, se entenderá que renuncia a la </w:t>
      </w:r>
      <w:r w:rsidRPr="00467DCB">
        <w:rPr>
          <w:rFonts w:ascii="Verdana" w:eastAsia="Times New Roman" w:hAnsi="Verdana" w:cs="Open Sans"/>
          <w:sz w:val="20"/>
          <w:szCs w:val="20"/>
          <w:lang w:eastAsia="es-CO"/>
        </w:rPr>
        <w:lastRenderedPageBreak/>
        <w:t>participación en el proceso de selección y a los derechos surgidos del mismo.</w:t>
      </w:r>
    </w:p>
    <w:p w14:paraId="129F5A57" w14:textId="77777777" w:rsidR="0042120A" w:rsidRPr="00467DCB" w:rsidRDefault="0042120A" w:rsidP="0042120A">
      <w:pPr>
        <w:spacing w:before="100" w:beforeAutospacing="1" w:after="100" w:afterAutospacing="1" w:line="270" w:lineRule="atLeast"/>
        <w:ind w:left="708" w:right="758"/>
        <w:jc w:val="both"/>
        <w:rPr>
          <w:rFonts w:ascii="Verdana" w:eastAsia="Times New Roman" w:hAnsi="Verdana" w:cs="Open Sans"/>
          <w:sz w:val="20"/>
          <w:szCs w:val="20"/>
          <w:lang w:eastAsia="es-CO"/>
        </w:rPr>
      </w:pPr>
      <w:r w:rsidRPr="00467DCB">
        <w:rPr>
          <w:rFonts w:ascii="Verdana" w:eastAsia="Times New Roman" w:hAnsi="Verdana" w:cs="Open Sans"/>
          <w:sz w:val="20"/>
          <w:szCs w:val="20"/>
          <w:lang w:eastAsia="es-CO"/>
        </w:rPr>
        <w:t>Si la inhabilidad o incompatibilidad sobreviene en uno de los miembros de un consorcio o unión temporal, este cederá su participación a un tercero previa autorización escrita de la entidad contratante. En ningún caso podrá haber cesión del contrato entre quienes integran el consorcio o unión temporal.</w:t>
      </w:r>
    </w:p>
    <w:p w14:paraId="06596A37" w14:textId="77777777" w:rsidR="0042120A" w:rsidRDefault="0042120A" w:rsidP="0042120A">
      <w:pPr>
        <w:spacing w:after="120" w:line="276" w:lineRule="auto"/>
        <w:ind w:firstLine="708"/>
        <w:jc w:val="both"/>
        <w:rPr>
          <w:rFonts w:ascii="Verdana" w:hAnsi="Verdana" w:cs="Arial"/>
          <w:color w:val="000000" w:themeColor="text1"/>
        </w:rPr>
      </w:pPr>
      <w:r>
        <w:rPr>
          <w:rFonts w:ascii="Verdana" w:hAnsi="Verdana" w:cs="Arial"/>
          <w:color w:val="000000" w:themeColor="text1"/>
        </w:rPr>
        <w:t xml:space="preserve">Como se observa en la anterior disposición, si las inhabilidades o incompatibilidades tienen carácter sobreviniente, es necesario tener en cuenta que el ordenamiento jurídico trata de manera distinta al oferente, al adjudicatario y al contratista. </w:t>
      </w:r>
      <w:r w:rsidRPr="006437AB">
        <w:rPr>
          <w:rFonts w:ascii="Verdana" w:hAnsi="Verdana" w:cs="Arial"/>
          <w:i/>
          <w:iCs/>
          <w:color w:val="000000" w:themeColor="text1"/>
        </w:rPr>
        <w:t>Respecto al ofer</w:t>
      </w:r>
      <w:r>
        <w:rPr>
          <w:rFonts w:ascii="Verdana" w:hAnsi="Verdana" w:cs="Arial"/>
          <w:i/>
          <w:iCs/>
          <w:color w:val="000000" w:themeColor="text1"/>
        </w:rPr>
        <w:t>en</w:t>
      </w:r>
      <w:r w:rsidRPr="006437AB">
        <w:rPr>
          <w:rFonts w:ascii="Verdana" w:hAnsi="Verdana" w:cs="Arial"/>
          <w:i/>
          <w:iCs/>
          <w:color w:val="000000" w:themeColor="text1"/>
        </w:rPr>
        <w:t>te</w:t>
      </w:r>
      <w:r>
        <w:rPr>
          <w:rFonts w:ascii="Verdana" w:hAnsi="Verdana" w:cs="Arial"/>
          <w:color w:val="000000" w:themeColor="text1"/>
        </w:rPr>
        <w:t>, el inciso segundo del artículo 9 de la Ley 80 de 1993 dispone que “</w:t>
      </w:r>
      <w:r w:rsidRPr="006437AB">
        <w:rPr>
          <w:rFonts w:ascii="Verdana" w:hAnsi="Verdana" w:cs="Arial"/>
          <w:color w:val="000000" w:themeColor="text1"/>
        </w:rPr>
        <w:t>Cuando la inhabilidad o incompatibilidad sobrevenga en un proponente dentro de un proceso de selección, se entenderá que renuncia a la participación en el proceso de selección y a los derechos surgidos del mismo</w:t>
      </w:r>
      <w:r>
        <w:rPr>
          <w:rFonts w:ascii="Verdana" w:hAnsi="Verdana" w:cs="Arial"/>
          <w:color w:val="000000" w:themeColor="text1"/>
        </w:rPr>
        <w:t>”</w:t>
      </w:r>
      <w:r w:rsidRPr="006437AB">
        <w:rPr>
          <w:rFonts w:ascii="Verdana" w:hAnsi="Verdana" w:cs="Arial"/>
          <w:color w:val="000000" w:themeColor="text1"/>
        </w:rPr>
        <w:t>.</w:t>
      </w:r>
      <w:r>
        <w:rPr>
          <w:rFonts w:ascii="Verdana" w:hAnsi="Verdana" w:cs="Arial"/>
          <w:color w:val="000000" w:themeColor="text1"/>
        </w:rPr>
        <w:t xml:space="preserve"> </w:t>
      </w:r>
      <w:r w:rsidRPr="00102540">
        <w:rPr>
          <w:rFonts w:ascii="Verdana" w:hAnsi="Verdana" w:cs="Arial"/>
          <w:i/>
          <w:iCs/>
          <w:color w:val="000000" w:themeColor="text1"/>
        </w:rPr>
        <w:t>Respecto al adjudicatario</w:t>
      </w:r>
      <w:r>
        <w:rPr>
          <w:rFonts w:ascii="Verdana" w:hAnsi="Verdana" w:cs="Arial"/>
          <w:color w:val="000000" w:themeColor="text1"/>
        </w:rPr>
        <w:t xml:space="preserve">, el inciso 3 del artículo 9 de la Ley 1150 de 2007 prescribe lo siguiente: “[…] </w:t>
      </w:r>
      <w:r w:rsidRPr="00102540">
        <w:rPr>
          <w:rFonts w:ascii="Verdana" w:hAnsi="Verdana" w:cs="Arial"/>
          <w:color w:val="000000" w:themeColor="text1"/>
        </w:rPr>
        <w:t xml:space="preserve">si dentro del plazo comprendido entre la adjudicación del contrato y la suscripción del mismo, sobreviene una inhabilidad o incompatibilidad </w:t>
      </w:r>
      <w:r>
        <w:rPr>
          <w:rFonts w:ascii="Verdana" w:hAnsi="Verdana" w:cs="Arial"/>
          <w:color w:val="000000" w:themeColor="text1"/>
        </w:rPr>
        <w:t>[…]</w:t>
      </w:r>
      <w:r w:rsidRPr="00102540">
        <w:rPr>
          <w:rFonts w:ascii="Verdana" w:hAnsi="Verdana" w:cs="Arial"/>
          <w:color w:val="000000" w:themeColor="text1"/>
        </w:rPr>
        <w:t xml:space="preserve"> este podrá ser revocado</w:t>
      </w:r>
      <w:r>
        <w:rPr>
          <w:rFonts w:ascii="Verdana" w:hAnsi="Verdana" w:cs="Arial"/>
          <w:color w:val="000000" w:themeColor="text1"/>
        </w:rPr>
        <w:t xml:space="preserve"> […]”.</w:t>
      </w:r>
    </w:p>
    <w:p w14:paraId="2F4C72B5" w14:textId="77777777" w:rsidR="0042120A" w:rsidRDefault="0042120A" w:rsidP="0042120A">
      <w:pPr>
        <w:spacing w:after="120" w:line="276" w:lineRule="auto"/>
        <w:ind w:firstLine="708"/>
        <w:jc w:val="both"/>
        <w:rPr>
          <w:rFonts w:ascii="Verdana" w:hAnsi="Verdana" w:cs="Arial"/>
          <w:color w:val="000000" w:themeColor="text1"/>
        </w:rPr>
      </w:pPr>
      <w:r>
        <w:rPr>
          <w:rFonts w:ascii="Verdana" w:hAnsi="Verdana" w:cs="Arial"/>
          <w:color w:val="000000" w:themeColor="text1"/>
        </w:rPr>
        <w:t>Sólo con el cumplimiento de los requisitos de los artículos 39 y 41 del Estatuto General de Contratación Pública existe el contrato estatal, de manera que tienen carácter solemne</w:t>
      </w:r>
      <w:r w:rsidRPr="00102540">
        <w:rPr>
          <w:rFonts w:ascii="Verdana" w:hAnsi="Verdana" w:cs="Arial"/>
          <w:color w:val="000000" w:themeColor="text1"/>
        </w:rPr>
        <w:t xml:space="preserve"> y, por tanto, requieren formalidad escrita</w:t>
      </w:r>
      <w:r>
        <w:rPr>
          <w:rFonts w:ascii="Verdana" w:hAnsi="Verdana" w:cs="Arial"/>
          <w:color w:val="000000" w:themeColor="text1"/>
        </w:rPr>
        <w:t xml:space="preserve">. Por ello, </w:t>
      </w:r>
      <w:r w:rsidRPr="00F87C06">
        <w:rPr>
          <w:rFonts w:ascii="Verdana" w:hAnsi="Verdana" w:cs="Arial"/>
          <w:i/>
          <w:iCs/>
          <w:color w:val="000000" w:themeColor="text1"/>
        </w:rPr>
        <w:t>respecto al contratista</w:t>
      </w:r>
      <w:r>
        <w:rPr>
          <w:rFonts w:ascii="Verdana" w:hAnsi="Verdana" w:cs="Arial"/>
          <w:color w:val="000000" w:themeColor="text1"/>
        </w:rPr>
        <w:t>, el inciso primero del artículo 9 de la Ley 80 de 1993 dispone que “</w:t>
      </w:r>
      <w:r w:rsidRPr="00F87C06">
        <w:rPr>
          <w:rFonts w:ascii="Verdana" w:hAnsi="Verdana" w:cs="Arial"/>
          <w:color w:val="000000" w:themeColor="text1"/>
        </w:rPr>
        <w:t>Si llegare a sobrevenir inhabilidad o incompatibilidad en el contratista, este cederá el contrato previa autorización escrita de la entidad contratante o, si ello no fuere posible, renunciará a su ejecución</w:t>
      </w:r>
      <w:r>
        <w:rPr>
          <w:rFonts w:ascii="Verdana" w:hAnsi="Verdana" w:cs="Arial"/>
          <w:color w:val="000000" w:themeColor="text1"/>
        </w:rPr>
        <w:t xml:space="preserve">”. El inciso tercero </w:t>
      </w:r>
      <w:r w:rsidRPr="00F87C06">
        <w:rPr>
          <w:rFonts w:ascii="Verdana" w:hAnsi="Verdana" w:cs="Arial"/>
          <w:i/>
          <w:iCs/>
          <w:color w:val="000000" w:themeColor="text1"/>
        </w:rPr>
        <w:t>ibidem</w:t>
      </w:r>
      <w:r>
        <w:rPr>
          <w:rFonts w:ascii="Verdana" w:hAnsi="Verdana" w:cs="Arial"/>
          <w:color w:val="000000" w:themeColor="text1"/>
        </w:rPr>
        <w:t xml:space="preserve"> agrega lo siguiente: “</w:t>
      </w:r>
      <w:r w:rsidRPr="00F87C06">
        <w:rPr>
          <w:rFonts w:ascii="Verdana" w:hAnsi="Verdana" w:cs="Arial"/>
          <w:color w:val="000000" w:themeColor="text1"/>
        </w:rPr>
        <w:t>Si la inhabilidad o incompatibilidad sobreviene en uno de los miembros de un consorcio o unión temporal, este cederá su participación a un tercero previa autorización escrita de la entidad contratante. En ningún caso podrá haber cesión del contrato entre quienes integran el consorcio o unión temporal</w:t>
      </w:r>
      <w:r>
        <w:rPr>
          <w:rFonts w:ascii="Verdana" w:hAnsi="Verdana" w:cs="Arial"/>
          <w:color w:val="000000" w:themeColor="text1"/>
        </w:rPr>
        <w:t>”</w:t>
      </w:r>
      <w:r w:rsidRPr="00F87C06">
        <w:rPr>
          <w:rFonts w:ascii="Verdana" w:hAnsi="Verdana" w:cs="Arial"/>
          <w:color w:val="000000" w:themeColor="text1"/>
        </w:rPr>
        <w:t>.</w:t>
      </w:r>
      <w:r>
        <w:rPr>
          <w:rFonts w:ascii="Verdana" w:hAnsi="Verdana" w:cs="Arial"/>
          <w:color w:val="000000" w:themeColor="text1"/>
        </w:rPr>
        <w:t xml:space="preserve">   </w:t>
      </w:r>
    </w:p>
    <w:p w14:paraId="22D96279" w14:textId="77777777" w:rsidR="0042120A" w:rsidRDefault="0042120A" w:rsidP="0042120A">
      <w:pPr>
        <w:spacing w:after="0" w:line="276" w:lineRule="auto"/>
        <w:ind w:firstLine="708"/>
        <w:jc w:val="both"/>
        <w:rPr>
          <w:rFonts w:ascii="Verdana" w:hAnsi="Verdana" w:cs="Arial"/>
          <w:color w:val="000000" w:themeColor="text1"/>
        </w:rPr>
      </w:pPr>
      <w:r>
        <w:rPr>
          <w:rFonts w:ascii="Verdana" w:hAnsi="Verdana" w:cs="Arial"/>
          <w:color w:val="000000" w:themeColor="text1"/>
        </w:rPr>
        <w:t xml:space="preserve">En este contexto, durante la fase de ejecución, el contratista con una incompatibilidad sobreviniente no debería continuar con la ejecución del contrato sino realizar la cesión del mismo. La cesión es una institución jurídica propia de la etapa contractual, por lo que sólo pueden cederse los contratos estatales que </w:t>
      </w:r>
      <w:r>
        <w:rPr>
          <w:rFonts w:ascii="Verdana" w:hAnsi="Verdana" w:cs="Arial"/>
          <w:color w:val="000000" w:themeColor="text1"/>
        </w:rPr>
        <w:lastRenderedPageBreak/>
        <w:t>se encuentren perfeccionados y no estén liquidados, para los que la requieran, o no se hayan extinguido las obligaciones entre las partes, para aquellos negocios que no la requieran</w:t>
      </w:r>
      <w:r>
        <w:rPr>
          <w:rStyle w:val="Refdenotaalpie"/>
          <w:rFonts w:ascii="Verdana" w:hAnsi="Verdana" w:cs="Arial"/>
          <w:color w:val="000000" w:themeColor="text1"/>
        </w:rPr>
        <w:footnoteReference w:id="11"/>
      </w:r>
      <w:r>
        <w:rPr>
          <w:rFonts w:ascii="Verdana" w:hAnsi="Verdana" w:cs="Arial"/>
          <w:color w:val="000000" w:themeColor="text1"/>
        </w:rPr>
        <w:t xml:space="preserve">. </w:t>
      </w:r>
    </w:p>
    <w:p w14:paraId="08A371D6" w14:textId="77777777" w:rsidR="0042120A" w:rsidRPr="00DB4737" w:rsidRDefault="0042120A" w:rsidP="0042120A">
      <w:pPr>
        <w:spacing w:after="120" w:line="276" w:lineRule="auto"/>
        <w:ind w:firstLine="708"/>
        <w:jc w:val="both"/>
        <w:rPr>
          <w:rFonts w:ascii="Verdana" w:eastAsia="Calibri" w:hAnsi="Verdana" w:cs="Times New Roman"/>
          <w:lang w:val="es-ES"/>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0152C2DD" w14:textId="77777777" w:rsidR="0042120A" w:rsidRPr="00195334" w:rsidRDefault="0042120A" w:rsidP="0042120A">
      <w:pPr>
        <w:spacing w:after="0" w:line="276" w:lineRule="auto"/>
        <w:ind w:firstLine="709"/>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5F0A3A87" w14:textId="77777777" w:rsidR="0042120A" w:rsidRPr="00BE021E" w:rsidRDefault="0042120A" w:rsidP="0042120A">
      <w:pPr>
        <w:widowControl w:val="0"/>
        <w:autoSpaceDE w:val="0"/>
        <w:autoSpaceDN w:val="0"/>
        <w:spacing w:after="0" w:line="276" w:lineRule="auto"/>
        <w:jc w:val="both"/>
        <w:rPr>
          <w:rFonts w:ascii="Verdana" w:hAnsi="Verdana" w:cs="Arial"/>
        </w:rPr>
      </w:pPr>
    </w:p>
    <w:p w14:paraId="26742742" w14:textId="77777777" w:rsidR="0042120A" w:rsidRPr="00BE021E" w:rsidRDefault="0042120A" w:rsidP="0042120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E021E">
        <w:rPr>
          <w:rFonts w:ascii="Verdana" w:eastAsia="Century Gothic" w:hAnsi="Verdana" w:cs="Century Gothic"/>
          <w:b/>
          <w:bCs/>
        </w:rPr>
        <w:t>Referencias normativas, jurisprudenciales y otras fuentes:</w:t>
      </w:r>
    </w:p>
    <w:p w14:paraId="5112E897" w14:textId="77777777" w:rsidR="0042120A" w:rsidRPr="00BE021E" w:rsidRDefault="0042120A" w:rsidP="0042120A">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2120A" w:rsidRPr="00BE021E" w14:paraId="0229B7F4" w14:textId="77777777" w:rsidTr="00266DBE">
        <w:trPr>
          <w:trHeight w:val="870"/>
        </w:trPr>
        <w:tc>
          <w:tcPr>
            <w:tcW w:w="8647" w:type="dxa"/>
          </w:tcPr>
          <w:p w14:paraId="5D71CBFC" w14:textId="77777777" w:rsidR="0042120A" w:rsidRPr="00463520" w:rsidRDefault="0042120A" w:rsidP="00266DBE">
            <w:pPr>
              <w:pStyle w:val="Prrafodelista"/>
              <w:widowControl w:val="0"/>
              <w:numPr>
                <w:ilvl w:val="0"/>
                <w:numId w:val="17"/>
              </w:numPr>
              <w:autoSpaceDE w:val="0"/>
              <w:autoSpaceDN w:val="0"/>
              <w:spacing w:after="120" w:line="276" w:lineRule="auto"/>
              <w:jc w:val="both"/>
              <w:rPr>
                <w:rFonts w:ascii="Verdana" w:hAnsi="Verdana" w:cs="Arial"/>
              </w:rPr>
            </w:pPr>
            <w:r w:rsidRPr="00463520">
              <w:rPr>
                <w:rFonts w:ascii="Verdana" w:hAnsi="Verdana" w:cs="Arial"/>
              </w:rPr>
              <w:t>Ley 1123 de 2007, artículos 29, 41, 4</w:t>
            </w:r>
            <w:r>
              <w:rPr>
                <w:rFonts w:ascii="Verdana" w:hAnsi="Verdana" w:cs="Arial"/>
              </w:rPr>
              <w:t>3</w:t>
            </w:r>
            <w:r w:rsidRPr="00463520">
              <w:rPr>
                <w:rFonts w:ascii="Verdana" w:hAnsi="Verdana" w:cs="Arial"/>
              </w:rPr>
              <w:t xml:space="preserve"> y 4</w:t>
            </w:r>
            <w:r>
              <w:rPr>
                <w:rFonts w:ascii="Verdana" w:hAnsi="Verdana" w:cs="Arial"/>
              </w:rPr>
              <w:t>4</w:t>
            </w:r>
          </w:p>
          <w:p w14:paraId="71AB684C" w14:textId="77777777" w:rsidR="0042120A" w:rsidRPr="00463520" w:rsidRDefault="0042120A" w:rsidP="00266DBE">
            <w:pPr>
              <w:pStyle w:val="Prrafodelista"/>
              <w:widowControl w:val="0"/>
              <w:numPr>
                <w:ilvl w:val="0"/>
                <w:numId w:val="17"/>
              </w:numPr>
              <w:autoSpaceDE w:val="0"/>
              <w:autoSpaceDN w:val="0"/>
              <w:spacing w:after="120" w:line="276" w:lineRule="auto"/>
              <w:jc w:val="both"/>
              <w:rPr>
                <w:rFonts w:ascii="Verdana" w:hAnsi="Verdana" w:cs="Arial"/>
              </w:rPr>
            </w:pPr>
            <w:r w:rsidRPr="00463520">
              <w:rPr>
                <w:rFonts w:ascii="Verdana" w:hAnsi="Verdana" w:cs="Arial"/>
              </w:rPr>
              <w:t>Ley 80 de 1993, artículo 8</w:t>
            </w:r>
            <w:r>
              <w:rPr>
                <w:rFonts w:ascii="Verdana" w:hAnsi="Verdana" w:cs="Arial"/>
              </w:rPr>
              <w:t>, 9</w:t>
            </w:r>
            <w:r w:rsidRPr="00463520">
              <w:rPr>
                <w:rFonts w:ascii="Verdana" w:hAnsi="Verdana" w:cs="Arial"/>
              </w:rPr>
              <w:t xml:space="preserve"> y 32</w:t>
            </w:r>
          </w:p>
          <w:p w14:paraId="57CD1F13" w14:textId="77777777" w:rsidR="0042120A" w:rsidRPr="00463520" w:rsidRDefault="0042120A" w:rsidP="00266DBE">
            <w:pPr>
              <w:pStyle w:val="Prrafodelista"/>
              <w:widowControl w:val="0"/>
              <w:numPr>
                <w:ilvl w:val="0"/>
                <w:numId w:val="17"/>
              </w:numPr>
              <w:autoSpaceDE w:val="0"/>
              <w:autoSpaceDN w:val="0"/>
              <w:spacing w:after="120" w:line="276" w:lineRule="auto"/>
              <w:jc w:val="both"/>
              <w:rPr>
                <w:rFonts w:ascii="Verdana" w:hAnsi="Verdana" w:cs="Arial"/>
              </w:rPr>
            </w:pPr>
            <w:r w:rsidRPr="00463520">
              <w:rPr>
                <w:rFonts w:ascii="Verdana" w:hAnsi="Verdana" w:cs="Arial"/>
              </w:rPr>
              <w:t>Decreto 3032 de 2013, artículo 1</w:t>
            </w:r>
          </w:p>
          <w:p w14:paraId="732DF24B" w14:textId="77777777" w:rsidR="0042120A" w:rsidRPr="00463520" w:rsidRDefault="0042120A" w:rsidP="00266DBE">
            <w:pPr>
              <w:pStyle w:val="Prrafodelista"/>
              <w:widowControl w:val="0"/>
              <w:numPr>
                <w:ilvl w:val="0"/>
                <w:numId w:val="17"/>
              </w:numPr>
              <w:autoSpaceDE w:val="0"/>
              <w:autoSpaceDN w:val="0"/>
              <w:spacing w:after="120" w:line="276" w:lineRule="auto"/>
              <w:jc w:val="both"/>
              <w:rPr>
                <w:rFonts w:ascii="Verdana" w:hAnsi="Verdana" w:cs="Arial"/>
              </w:rPr>
            </w:pPr>
            <w:r w:rsidRPr="00463520">
              <w:rPr>
                <w:rFonts w:ascii="Verdana" w:hAnsi="Verdana" w:cs="Arial"/>
              </w:rPr>
              <w:t>Decreto 1082 de 2015, artículo 2.2.1.2.1.4.9</w:t>
            </w:r>
          </w:p>
          <w:p w14:paraId="44B511A5" w14:textId="77777777" w:rsidR="0042120A" w:rsidRPr="00463520" w:rsidRDefault="0042120A" w:rsidP="00266DBE">
            <w:pPr>
              <w:pStyle w:val="Prrafodelista"/>
              <w:widowControl w:val="0"/>
              <w:numPr>
                <w:ilvl w:val="0"/>
                <w:numId w:val="17"/>
              </w:numPr>
              <w:autoSpaceDE w:val="0"/>
              <w:autoSpaceDN w:val="0"/>
              <w:spacing w:after="120" w:line="276" w:lineRule="auto"/>
              <w:jc w:val="both"/>
              <w:rPr>
                <w:rFonts w:ascii="Verdana" w:hAnsi="Verdana" w:cs="Arial"/>
              </w:rPr>
            </w:pPr>
            <w:r w:rsidRPr="00463520">
              <w:rPr>
                <w:rFonts w:ascii="Verdana" w:hAnsi="Verdana" w:cs="Arial"/>
              </w:rPr>
              <w:t>Acuerdo 075 de 2024, “Por el cual se regula la expedición de los certificados de sanciones vigentes y de antecedentes disciplinarios de la Comisión Nacional de Disciplina Judicial”</w:t>
            </w:r>
          </w:p>
          <w:p w14:paraId="7172BE15" w14:textId="77777777" w:rsidR="0042120A" w:rsidRPr="00463520" w:rsidRDefault="0042120A" w:rsidP="00266DBE">
            <w:pPr>
              <w:pStyle w:val="Prrafodelista"/>
              <w:widowControl w:val="0"/>
              <w:numPr>
                <w:ilvl w:val="0"/>
                <w:numId w:val="17"/>
              </w:numPr>
              <w:autoSpaceDE w:val="0"/>
              <w:autoSpaceDN w:val="0"/>
              <w:spacing w:after="120" w:line="276" w:lineRule="auto"/>
              <w:jc w:val="both"/>
              <w:rPr>
                <w:rFonts w:ascii="Verdana" w:hAnsi="Verdana" w:cs="Arial"/>
              </w:rPr>
            </w:pPr>
            <w:r w:rsidRPr="00463520">
              <w:rPr>
                <w:rFonts w:ascii="Verdana" w:hAnsi="Verdana" w:cs="Arial"/>
              </w:rPr>
              <w:t>Corte Constitucional. Sentencia C-290/08. M.P: Jaime Córdoba Triviño</w:t>
            </w:r>
          </w:p>
          <w:p w14:paraId="59F30EFC" w14:textId="77777777" w:rsidR="0042120A" w:rsidRPr="00463520" w:rsidRDefault="0042120A" w:rsidP="00266DBE">
            <w:pPr>
              <w:pStyle w:val="Prrafodelista"/>
              <w:widowControl w:val="0"/>
              <w:numPr>
                <w:ilvl w:val="0"/>
                <w:numId w:val="17"/>
              </w:numPr>
              <w:autoSpaceDE w:val="0"/>
              <w:autoSpaceDN w:val="0"/>
              <w:spacing w:after="120" w:line="276" w:lineRule="auto"/>
              <w:jc w:val="both"/>
              <w:rPr>
                <w:rFonts w:ascii="Verdana" w:hAnsi="Verdana" w:cs="Arial"/>
              </w:rPr>
            </w:pPr>
            <w:r w:rsidRPr="00463520">
              <w:rPr>
                <w:rFonts w:ascii="Verdana" w:hAnsi="Verdana" w:cs="Arial"/>
              </w:rPr>
              <w:t>Corte Constitucional. Sentencia C-612/13. M.P: Alberto Rojas Ríos</w:t>
            </w:r>
          </w:p>
          <w:p w14:paraId="5C92ADFD" w14:textId="77777777" w:rsidR="0042120A" w:rsidRPr="00BE021E" w:rsidRDefault="0042120A" w:rsidP="00266DBE">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463520">
              <w:rPr>
                <w:rFonts w:ascii="Verdana" w:hAnsi="Verdana" w:cs="Arial"/>
              </w:rPr>
              <w:t>Corte Constitucional. Sentencia C-489/96. M.P: Antonio Barrera Carbonell</w:t>
            </w:r>
          </w:p>
        </w:tc>
      </w:tr>
    </w:tbl>
    <w:p w14:paraId="1582B47B" w14:textId="77777777" w:rsidR="0042120A" w:rsidRPr="00BE021E" w:rsidRDefault="0042120A" w:rsidP="0042120A">
      <w:pPr>
        <w:widowControl w:val="0"/>
        <w:autoSpaceDE w:val="0"/>
        <w:autoSpaceDN w:val="0"/>
        <w:spacing w:after="0" w:line="276" w:lineRule="auto"/>
        <w:jc w:val="both"/>
        <w:rPr>
          <w:rFonts w:ascii="Verdana" w:hAnsi="Verdana" w:cs="Arial"/>
        </w:rPr>
      </w:pPr>
    </w:p>
    <w:p w14:paraId="525285F0" w14:textId="77777777" w:rsidR="0042120A" w:rsidRDefault="0042120A" w:rsidP="0042120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E021E">
        <w:rPr>
          <w:rFonts w:ascii="Verdana" w:eastAsia="Century Gothic" w:hAnsi="Verdana" w:cs="Century Gothic"/>
          <w:b/>
          <w:bCs/>
        </w:rPr>
        <w:t>Doctrina de la Agencia Nacional de Contratación Pública:</w:t>
      </w:r>
    </w:p>
    <w:p w14:paraId="42E91BF5" w14:textId="77777777" w:rsidR="0042120A" w:rsidRDefault="0042120A" w:rsidP="0042120A">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3E262B2" w14:textId="77777777" w:rsidR="0042120A" w:rsidRPr="00463520" w:rsidRDefault="0042120A" w:rsidP="0042120A">
      <w:pPr>
        <w:widowControl w:val="0"/>
        <w:autoSpaceDE w:val="0"/>
        <w:autoSpaceDN w:val="0"/>
        <w:spacing w:after="0" w:line="276" w:lineRule="auto"/>
        <w:jc w:val="both"/>
        <w:rPr>
          <w:rStyle w:val="normaltextrun"/>
          <w:rFonts w:ascii="Verdana" w:eastAsia="Aptos" w:hAnsi="Verdana" w:cs="Calibri"/>
        </w:rPr>
      </w:pPr>
      <w:r w:rsidRPr="00BA1192">
        <w:rPr>
          <w:rFonts w:ascii="Verdana" w:eastAsia="Calibri" w:hAnsi="Verdana" w:cs="Arial"/>
          <w:lang w:val="es-ES_tradnl" w:eastAsia="es-ES_tradnl"/>
        </w:rPr>
        <w:t>Sobre el régimen de inhabilidades e incompatibilidades esta Subdirección se pronunció en los</w:t>
      </w:r>
      <w:r w:rsidRPr="00BA1192">
        <w:rPr>
          <w:rFonts w:ascii="Verdana" w:eastAsia="Calibri" w:hAnsi="Verdana" w:cs="Arial"/>
          <w:lang w:val="es-MX"/>
        </w:rPr>
        <w:t xml:space="preserve"> C−410 del 7 de julio de 2021, C−491 del 14 de septiembre de 2021, C−522 del 1 de octubre de 2021, C−128 del 25 de marzo de 2022, 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 la respuesta </w:t>
      </w:r>
      <w:r w:rsidRPr="00BA1192">
        <w:rPr>
          <w:rFonts w:ascii="Verdana" w:hAnsi="Verdana" w:cs="Arial"/>
        </w:rPr>
        <w:t xml:space="preserve">al radicado </w:t>
      </w:r>
      <w:r w:rsidRPr="00BA1192">
        <w:rPr>
          <w:rFonts w:ascii="Verdana" w:eastAsia="Aptos" w:hAnsi="Verdana" w:cs="Calibri"/>
        </w:rPr>
        <w:t>P20240308002646 del 24 de abril de 2024,</w:t>
      </w:r>
      <w:r w:rsidRPr="00BA1192">
        <w:rPr>
          <w:rFonts w:ascii="Verdana" w:eastAsia="Calibri" w:hAnsi="Verdana" w:cs="Arial"/>
          <w:lang w:val="es-MX"/>
        </w:rPr>
        <w:t xml:space="preserve"> el C-039 del 23 de abril de 2024, </w:t>
      </w:r>
      <w:r w:rsidRPr="00BA1192">
        <w:rPr>
          <w:rFonts w:ascii="Verdana" w:hAnsi="Verdana" w:cs="Arial"/>
        </w:rPr>
        <w:t xml:space="preserve">C-085 del 3 de marzo de 2025 y </w:t>
      </w:r>
      <w:r w:rsidRPr="00BA1192">
        <w:rPr>
          <w:rFonts w:ascii="Verdana" w:eastAsia="Aptos" w:hAnsi="Verdana" w:cs="Calibri"/>
        </w:rPr>
        <w:t>C-170 del 19 de marzo de 2025.</w:t>
      </w:r>
      <w:r>
        <w:rPr>
          <w:rFonts w:ascii="Verdana" w:eastAsia="Aptos" w:hAnsi="Verdana" w:cs="Calibri"/>
        </w:rPr>
        <w:t xml:space="preserve"> </w:t>
      </w:r>
      <w:r w:rsidRPr="00BA1192">
        <w:rPr>
          <w:rStyle w:val="normaltextrun"/>
          <w:rFonts w:ascii="Verdana" w:hAnsi="Verdana" w:cs="Arial"/>
          <w:shd w:val="clear" w:color="auto" w:fill="FFFFFF"/>
          <w:lang w:val="es-ES"/>
        </w:rPr>
        <w:t>Sobre las características de los contratos de prestación de servicios se pronunció esta Subdirección en los conceptos</w:t>
      </w:r>
      <w:r w:rsidRPr="00BA1192">
        <w:rPr>
          <w:rStyle w:val="normaltextrun"/>
          <w:rFonts w:ascii="Verdana" w:hAnsi="Verdana" w:cs="Calibri"/>
          <w:shd w:val="clear" w:color="auto" w:fill="FFFFFF"/>
        </w:rPr>
        <w:t xml:space="preserve"> C-311 de 21 de agosto de 2024, C- 604 de 25 de octubre de 2024, C-028 del 5 de febrero de 2025, C-037 de 20 de febrero de 2025</w:t>
      </w:r>
      <w:r>
        <w:rPr>
          <w:rStyle w:val="normaltextrun"/>
          <w:rFonts w:ascii="Verdana" w:hAnsi="Verdana" w:cs="Calibri"/>
          <w:shd w:val="clear" w:color="auto" w:fill="FFFFFF"/>
        </w:rPr>
        <w:t xml:space="preserve">, C-261 de 2025. </w:t>
      </w:r>
      <w:r w:rsidRPr="00A1554D">
        <w:rPr>
          <w:rStyle w:val="normaltextrun"/>
          <w:rFonts w:ascii="Verdana" w:hAnsi="Verdana" w:cs="Arial"/>
          <w:shd w:val="clear" w:color="auto" w:fill="FFFFFF"/>
          <w:lang w:val="es-ES"/>
        </w:rPr>
        <w:t>Es</w:t>
      </w:r>
      <w:r w:rsidRPr="00A1554D">
        <w:rPr>
          <w:rFonts w:ascii="Verdana" w:hAnsi="Verdana"/>
        </w:rPr>
        <w:t xml:space="preserve">tos y otros conceptos se encuentran disponibles para consulta en el Sistema de </w:t>
      </w:r>
      <w:r>
        <w:rPr>
          <w:rFonts w:ascii="Verdana" w:hAnsi="Verdana"/>
        </w:rPr>
        <w:t>r</w:t>
      </w:r>
      <w:r w:rsidRPr="00A1554D">
        <w:rPr>
          <w:rFonts w:ascii="Verdana" w:hAnsi="Verdana"/>
        </w:rPr>
        <w:t>elatoría de la Agencia, al cual se puede acceder a través del siguiente enlace:</w:t>
      </w:r>
      <w:r w:rsidRPr="00A1554D">
        <w:rPr>
          <w:rStyle w:val="normaltextrun"/>
          <w:rFonts w:ascii="Verdana" w:hAnsi="Verdana" w:cs="Arial"/>
          <w:shd w:val="clear" w:color="auto" w:fill="FFFFFF"/>
          <w:lang w:val="es-ES"/>
        </w:rPr>
        <w:t xml:space="preserve"> </w:t>
      </w:r>
      <w:hyperlink r:id="rId13" w:history="1">
        <w:r w:rsidRPr="00D4732D">
          <w:rPr>
            <w:rStyle w:val="Hipervnculo"/>
            <w:rFonts w:ascii="Verdana" w:hAnsi="Verdana" w:cs="Arial"/>
            <w:shd w:val="clear" w:color="auto" w:fill="FFFFFF"/>
            <w:lang w:val="es-ES"/>
          </w:rPr>
          <w:t>https://relatoria.colombiacompra.gov.co/busqueda/conceptos</w:t>
        </w:r>
      </w:hyperlink>
      <w:r w:rsidRPr="00D4732D">
        <w:rPr>
          <w:rStyle w:val="normaltextrun"/>
          <w:rFonts w:ascii="Verdana" w:hAnsi="Verdana" w:cs="Arial"/>
          <w:color w:val="FF0000"/>
          <w:shd w:val="clear" w:color="auto" w:fill="FFFFFF"/>
          <w:lang w:val="es-ES"/>
        </w:rPr>
        <w:t xml:space="preserve">. </w:t>
      </w:r>
    </w:p>
    <w:p w14:paraId="1EF0EE3B" w14:textId="77777777" w:rsidR="0042120A" w:rsidRDefault="0042120A" w:rsidP="0042120A">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1BEFFD51" w14:textId="77777777" w:rsidR="0042120A" w:rsidRPr="003E2460" w:rsidRDefault="0042120A" w:rsidP="0042120A">
      <w:pPr>
        <w:spacing w:after="0" w:line="276"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60D5C286" w14:textId="77777777" w:rsidR="0042120A" w:rsidRPr="003E2460" w:rsidRDefault="0042120A" w:rsidP="0042120A">
      <w:pPr>
        <w:spacing w:after="0" w:line="276" w:lineRule="auto"/>
        <w:jc w:val="both"/>
        <w:rPr>
          <w:rFonts w:ascii="Verdana" w:hAnsi="Verdana"/>
        </w:rPr>
      </w:pPr>
    </w:p>
    <w:p w14:paraId="03946E11" w14:textId="77777777" w:rsidR="0042120A" w:rsidRPr="003E2460" w:rsidRDefault="0042120A" w:rsidP="0042120A">
      <w:pPr>
        <w:spacing w:after="0" w:line="276"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704F3E6A" w14:textId="77777777" w:rsidR="0042120A" w:rsidRPr="003E2460" w:rsidRDefault="0042120A" w:rsidP="0042120A">
      <w:pPr>
        <w:spacing w:after="0" w:line="276" w:lineRule="auto"/>
        <w:jc w:val="both"/>
        <w:rPr>
          <w:rFonts w:ascii="Verdana" w:hAnsi="Verdana"/>
        </w:rPr>
      </w:pPr>
      <w:r w:rsidRPr="003E2460">
        <w:rPr>
          <w:rFonts w:ascii="Verdana" w:hAnsi="Verdana"/>
        </w:rPr>
        <w:t xml:space="preserve">Facebook: </w:t>
      </w:r>
      <w:proofErr w:type="spellStart"/>
      <w:r w:rsidRPr="003E2460">
        <w:rPr>
          <w:rStyle w:val="Hipervnculo"/>
          <w:rFonts w:ascii="Verdana" w:hAnsi="Verdana"/>
          <w:color w:val="4472C4" w:themeColor="accent1"/>
        </w:rPr>
        <w:t>ColombiaCompraEficiente</w:t>
      </w:r>
      <w:proofErr w:type="spellEnd"/>
    </w:p>
    <w:p w14:paraId="2B1A6A36" w14:textId="77777777" w:rsidR="0042120A" w:rsidRPr="003E2460" w:rsidRDefault="0042120A" w:rsidP="0042120A">
      <w:pPr>
        <w:spacing w:after="0" w:line="276"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2F695D47" w14:textId="77777777" w:rsidR="0042120A" w:rsidRPr="00593A5F" w:rsidRDefault="0042120A" w:rsidP="0042120A">
      <w:pPr>
        <w:widowControl w:val="0"/>
        <w:autoSpaceDE w:val="0"/>
        <w:autoSpaceDN w:val="0"/>
        <w:spacing w:after="0" w:line="276" w:lineRule="auto"/>
        <w:jc w:val="both"/>
        <w:rPr>
          <w:rFonts w:ascii="Verdana" w:hAnsi="Verdana" w:cs="Arial"/>
        </w:rPr>
      </w:pPr>
    </w:p>
    <w:p w14:paraId="782C4774" w14:textId="77777777" w:rsidR="0042120A" w:rsidRPr="00593A5F" w:rsidRDefault="0042120A" w:rsidP="0042120A">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55BE251A" w14:textId="77777777" w:rsidR="0042120A" w:rsidRPr="00593A5F" w:rsidRDefault="0042120A" w:rsidP="0042120A">
      <w:pPr>
        <w:widowControl w:val="0"/>
        <w:autoSpaceDE w:val="0"/>
        <w:autoSpaceDN w:val="0"/>
        <w:spacing w:after="0" w:line="276" w:lineRule="auto"/>
        <w:jc w:val="both"/>
        <w:rPr>
          <w:rFonts w:ascii="Verdana" w:hAnsi="Verdana" w:cs="Arial"/>
        </w:rPr>
      </w:pPr>
    </w:p>
    <w:p w14:paraId="7AA228F0" w14:textId="77777777" w:rsidR="0042120A" w:rsidRPr="00593A5F" w:rsidRDefault="0042120A" w:rsidP="0042120A">
      <w:pPr>
        <w:spacing w:after="0" w:line="276"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3A097EDE" w14:textId="4525F562" w:rsidR="0042120A" w:rsidRPr="00593A5F" w:rsidRDefault="00AD567E" w:rsidP="0042120A">
      <w:pPr>
        <w:spacing w:line="276" w:lineRule="auto"/>
        <w:jc w:val="center"/>
        <w:rPr>
          <w:rFonts w:ascii="Verdana" w:hAnsi="Verdana" w:cs="Arial"/>
          <w:color w:val="000000"/>
          <w:lang w:val="es-ES_tradnl" w:eastAsia="es-CO"/>
        </w:rPr>
      </w:pPr>
      <w:r>
        <w:rPr>
          <w:noProof/>
        </w:rPr>
        <w:lastRenderedPageBreak/>
        <w:drawing>
          <wp:inline distT="0" distB="0" distL="0" distR="0" wp14:anchorId="5C4399CD" wp14:editId="28702836">
            <wp:extent cx="3768725" cy="1399540"/>
            <wp:effectExtent l="0" t="0" r="3175" b="0"/>
            <wp:docPr id="3" name="Imagen 3"/>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2120A" w:rsidRPr="00593A5F" w14:paraId="2470A7C2" w14:textId="77777777" w:rsidTr="00266DBE">
        <w:trPr>
          <w:trHeight w:val="315"/>
        </w:trPr>
        <w:tc>
          <w:tcPr>
            <w:tcW w:w="893" w:type="dxa"/>
            <w:vAlign w:val="center"/>
            <w:hideMark/>
          </w:tcPr>
          <w:p w14:paraId="1954D1E8" w14:textId="77777777" w:rsidR="0042120A" w:rsidRPr="003751C7" w:rsidRDefault="0042120A" w:rsidP="00266DBE">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6058127" w14:textId="77777777" w:rsidR="0042120A" w:rsidRPr="004466B9" w:rsidRDefault="0042120A" w:rsidP="00266DBE">
            <w:pPr>
              <w:contextualSpacing/>
              <w:rPr>
                <w:rFonts w:ascii="Verdana" w:eastAsia="Arial" w:hAnsi="Verdana" w:cs="Arial"/>
                <w:sz w:val="16"/>
                <w:szCs w:val="16"/>
              </w:rPr>
            </w:pPr>
            <w:r w:rsidRPr="004466B9">
              <w:rPr>
                <w:rFonts w:ascii="Verdana" w:eastAsia="Arial" w:hAnsi="Verdana" w:cs="Arial"/>
                <w:sz w:val="16"/>
                <w:szCs w:val="16"/>
              </w:rPr>
              <w:t xml:space="preserve">Catalina Cubides </w:t>
            </w:r>
            <w:proofErr w:type="spellStart"/>
            <w:r w:rsidRPr="004466B9">
              <w:rPr>
                <w:rFonts w:ascii="Verdana" w:eastAsia="Arial" w:hAnsi="Verdana" w:cs="Arial"/>
                <w:sz w:val="16"/>
                <w:szCs w:val="16"/>
              </w:rPr>
              <w:t>Estupiñan</w:t>
            </w:r>
            <w:proofErr w:type="spellEnd"/>
          </w:p>
          <w:p w14:paraId="7C38A721" w14:textId="77777777" w:rsidR="0042120A" w:rsidRPr="003751C7" w:rsidRDefault="0042120A" w:rsidP="00266DBE">
            <w:pPr>
              <w:contextualSpacing/>
              <w:rPr>
                <w:rFonts w:ascii="Verdana" w:eastAsia="Arial" w:hAnsi="Verdana" w:cs="Arial"/>
                <w:sz w:val="16"/>
                <w:szCs w:val="16"/>
              </w:rPr>
            </w:pPr>
            <w:r w:rsidRPr="004466B9">
              <w:rPr>
                <w:rStyle w:val="normaltextrun"/>
                <w:rFonts w:ascii="Verdana" w:eastAsia="Arial" w:hAnsi="Verdana" w:cs="Arial"/>
                <w:sz w:val="16"/>
                <w:szCs w:val="16"/>
              </w:rPr>
              <w:t>Contratista de la Subdirección de Gestión Contractual</w:t>
            </w:r>
          </w:p>
        </w:tc>
      </w:tr>
      <w:tr w:rsidR="0042120A" w:rsidRPr="00593A5F" w14:paraId="2CB9F9BB" w14:textId="77777777" w:rsidTr="00266DBE">
        <w:trPr>
          <w:trHeight w:val="330"/>
        </w:trPr>
        <w:tc>
          <w:tcPr>
            <w:tcW w:w="893" w:type="dxa"/>
            <w:vAlign w:val="center"/>
            <w:hideMark/>
          </w:tcPr>
          <w:p w14:paraId="10E0803E" w14:textId="77777777" w:rsidR="0042120A" w:rsidRPr="003751C7" w:rsidRDefault="0042120A" w:rsidP="00266DBE">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FA477EF" w14:textId="77777777" w:rsidR="0042120A" w:rsidRPr="004466B9" w:rsidRDefault="0042120A" w:rsidP="00266DBE">
            <w:pPr>
              <w:pStyle w:val="paragraph"/>
              <w:spacing w:before="0" w:beforeAutospacing="0" w:after="0" w:afterAutospacing="0"/>
              <w:contextualSpacing/>
              <w:textAlignment w:val="baseline"/>
              <w:rPr>
                <w:rFonts w:ascii="Verdana" w:hAnsi="Verdana" w:cs="Segoe UI"/>
                <w:sz w:val="16"/>
                <w:szCs w:val="16"/>
              </w:rPr>
            </w:pPr>
            <w:r w:rsidRPr="004466B9">
              <w:rPr>
                <w:rStyle w:val="normaltextrun"/>
                <w:rFonts w:ascii="Verdana" w:hAnsi="Verdana" w:cs="Arial"/>
                <w:sz w:val="16"/>
                <w:szCs w:val="16"/>
                <w:lang w:val="es-ES"/>
              </w:rPr>
              <w:t>Diana Lucía Saavedra</w:t>
            </w:r>
          </w:p>
          <w:p w14:paraId="3399C226" w14:textId="77777777" w:rsidR="0042120A" w:rsidRPr="003751C7" w:rsidRDefault="0042120A" w:rsidP="00266DBE">
            <w:pPr>
              <w:pStyle w:val="paragraph"/>
              <w:spacing w:before="0" w:beforeAutospacing="0" w:after="0" w:afterAutospacing="0"/>
              <w:contextualSpacing/>
              <w:textAlignment w:val="baseline"/>
              <w:rPr>
                <w:rFonts w:ascii="Verdana" w:hAnsi="Verdana" w:cs="Segoe UI"/>
                <w:sz w:val="16"/>
                <w:szCs w:val="16"/>
              </w:rPr>
            </w:pPr>
            <w:r w:rsidRPr="004466B9">
              <w:rPr>
                <w:rStyle w:val="normaltextrun"/>
                <w:rFonts w:ascii="Verdana" w:hAnsi="Verdana" w:cs="Arial"/>
                <w:sz w:val="16"/>
                <w:szCs w:val="16"/>
                <w:lang w:val="es-ES"/>
              </w:rPr>
              <w:t>Contratista de la Subdirección de Gestión Contractual</w:t>
            </w:r>
            <w:r w:rsidRPr="004466B9">
              <w:rPr>
                <w:rStyle w:val="eop"/>
                <w:rFonts w:ascii="Verdana" w:hAnsi="Verdana" w:cs="Arial"/>
                <w:sz w:val="16"/>
                <w:szCs w:val="16"/>
              </w:rPr>
              <w:t> </w:t>
            </w:r>
          </w:p>
        </w:tc>
      </w:tr>
      <w:tr w:rsidR="0042120A" w:rsidRPr="00593A5F" w14:paraId="5DB84979" w14:textId="77777777" w:rsidTr="00266DBE">
        <w:trPr>
          <w:trHeight w:val="300"/>
        </w:trPr>
        <w:tc>
          <w:tcPr>
            <w:tcW w:w="893" w:type="dxa"/>
            <w:vAlign w:val="center"/>
          </w:tcPr>
          <w:p w14:paraId="75AE512C" w14:textId="77777777" w:rsidR="0042120A" w:rsidRPr="003751C7" w:rsidRDefault="0042120A" w:rsidP="00266DBE">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B6D07CF" w14:textId="77777777" w:rsidR="0042120A" w:rsidRPr="003751C7" w:rsidRDefault="0042120A" w:rsidP="00266DBE">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60D16FBB" w14:textId="77777777" w:rsidR="0042120A" w:rsidRPr="003751C7" w:rsidRDefault="0042120A" w:rsidP="00266DBE">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w:t>
            </w:r>
            <w:proofErr w:type="spellStart"/>
            <w:r w:rsidRPr="003751C7">
              <w:rPr>
                <w:rFonts w:ascii="Verdana" w:eastAsia="Calibri" w:hAnsi="Verdana" w:cs="Arial"/>
                <w:sz w:val="16"/>
                <w:szCs w:val="16"/>
                <w:lang w:val="pt-BR" w:eastAsia="es-ES"/>
              </w:rPr>
              <w:t>Gestión</w:t>
            </w:r>
            <w:proofErr w:type="spellEnd"/>
            <w:r w:rsidRPr="003751C7">
              <w:rPr>
                <w:rFonts w:ascii="Verdana" w:eastAsia="Calibri" w:hAnsi="Verdana" w:cs="Arial"/>
                <w:sz w:val="16"/>
                <w:szCs w:val="16"/>
                <w:lang w:val="pt-BR" w:eastAsia="es-ES"/>
              </w:rPr>
              <w:t xml:space="preserve">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01E7A06B" w14:textId="77777777" w:rsidR="0042120A" w:rsidRPr="00593A5F" w:rsidRDefault="0042120A" w:rsidP="0042120A">
      <w:pPr>
        <w:spacing w:after="0" w:line="240" w:lineRule="auto"/>
        <w:rPr>
          <w:rFonts w:ascii="Verdana" w:eastAsia="Times New Roman" w:hAnsi="Verdana" w:cs="Arial"/>
          <w:sz w:val="24"/>
          <w:szCs w:val="24"/>
          <w:lang w:eastAsia="es-ES"/>
        </w:rPr>
      </w:pPr>
    </w:p>
    <w:p w14:paraId="2E01ED35" w14:textId="77777777" w:rsidR="0042120A" w:rsidRPr="00871B59" w:rsidRDefault="0042120A" w:rsidP="0042120A"/>
    <w:p w14:paraId="1AF5D6E9" w14:textId="77777777" w:rsidR="0042120A" w:rsidRPr="0044528D" w:rsidRDefault="0042120A" w:rsidP="0042120A">
      <w:pPr>
        <w:spacing w:after="0"/>
        <w:rPr>
          <w:rFonts w:ascii="Verdana" w:eastAsia="Times New Roman" w:hAnsi="Verdana" w:cs="Segoe UI"/>
          <w:b/>
          <w:bCs/>
          <w:color w:val="46589C"/>
          <w:lang w:val="es-ES" w:eastAsia="es-CO"/>
        </w:rPr>
      </w:pPr>
    </w:p>
    <w:bookmarkEnd w:id="0"/>
    <w:p w14:paraId="4B9EC237" w14:textId="77777777" w:rsidR="0042120A" w:rsidRPr="0024624F" w:rsidRDefault="0042120A" w:rsidP="00C15139">
      <w:pPr>
        <w:spacing w:after="0"/>
        <w:rPr>
          <w:rFonts w:ascii="Verdana" w:hAnsi="Verdana"/>
        </w:rPr>
      </w:pPr>
    </w:p>
    <w:sectPr w:rsidR="0042120A" w:rsidRPr="0024624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B5FE5C" w14:textId="77777777" w:rsidR="00C86EBF" w:rsidRDefault="00C86EBF" w:rsidP="004A1847">
      <w:pPr>
        <w:spacing w:after="0" w:line="240" w:lineRule="auto"/>
      </w:pPr>
      <w:r>
        <w:separator/>
      </w:r>
    </w:p>
  </w:endnote>
  <w:endnote w:type="continuationSeparator" w:id="0">
    <w:p w14:paraId="4C656734" w14:textId="77777777" w:rsidR="00C86EBF" w:rsidRDefault="00C86EBF" w:rsidP="004A1847">
      <w:pPr>
        <w:spacing w:after="0" w:line="240" w:lineRule="auto"/>
      </w:pPr>
      <w:r>
        <w:continuationSeparator/>
      </w:r>
    </w:p>
  </w:endnote>
  <w:endnote w:type="continuationNotice" w:id="1">
    <w:p w14:paraId="33810C6B" w14:textId="77777777" w:rsidR="00C86EBF" w:rsidRDefault="00C86EB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Open Sans">
    <w:charset w:val="00"/>
    <w:family w:val="swiss"/>
    <w:pitch w:val="variable"/>
    <w:sig w:usb0="E00002EF" w:usb1="4000205B" w:usb2="00000028"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altName w:val="Calibri"/>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1E0F83" w14:textId="77777777" w:rsidR="00C86EBF" w:rsidRDefault="00C86EBF" w:rsidP="004A1847">
      <w:pPr>
        <w:spacing w:after="0" w:line="240" w:lineRule="auto"/>
      </w:pPr>
      <w:r>
        <w:separator/>
      </w:r>
    </w:p>
  </w:footnote>
  <w:footnote w:type="continuationSeparator" w:id="0">
    <w:p w14:paraId="32823092" w14:textId="77777777" w:rsidR="00C86EBF" w:rsidRDefault="00C86EBF" w:rsidP="004A1847">
      <w:pPr>
        <w:spacing w:after="0" w:line="240" w:lineRule="auto"/>
      </w:pPr>
      <w:r>
        <w:continuationSeparator/>
      </w:r>
    </w:p>
  </w:footnote>
  <w:footnote w:type="continuationNotice" w:id="1">
    <w:p w14:paraId="2FDF9BA6" w14:textId="77777777" w:rsidR="00C86EBF" w:rsidRDefault="00C86EBF">
      <w:pPr>
        <w:spacing w:after="0" w:line="240" w:lineRule="auto"/>
      </w:pPr>
    </w:p>
  </w:footnote>
  <w:footnote w:id="2">
    <w:p w14:paraId="10EF48D2" w14:textId="77777777" w:rsidR="0042120A" w:rsidRPr="006F43F2" w:rsidRDefault="0042120A" w:rsidP="0042120A">
      <w:pPr>
        <w:pStyle w:val="Textonotapie"/>
        <w:rPr>
          <w:lang w:val="es-ES"/>
        </w:rPr>
      </w:pPr>
      <w:r>
        <w:rPr>
          <w:rStyle w:val="Refdenotaalpie"/>
        </w:rPr>
        <w:footnoteRef/>
      </w:r>
      <w:r>
        <w:t xml:space="preserve"> </w:t>
      </w:r>
      <w:bookmarkStart w:id="2" w:name="_Hlk194585735"/>
      <w:r>
        <w:rPr>
          <w:lang w:val="es-ES"/>
        </w:rPr>
        <w:t>Corte Constitucional. Sentencia C-290/08. M.P: Jaime Córdoba Triviño</w:t>
      </w:r>
      <w:bookmarkEnd w:id="2"/>
    </w:p>
  </w:footnote>
  <w:footnote w:id="3">
    <w:p w14:paraId="46C94B99" w14:textId="77777777" w:rsidR="0042120A" w:rsidRPr="009026F5" w:rsidRDefault="0042120A" w:rsidP="0042120A">
      <w:pPr>
        <w:pStyle w:val="Textonotapie"/>
        <w:rPr>
          <w:lang w:val="es-ES"/>
        </w:rPr>
      </w:pPr>
      <w:r>
        <w:rPr>
          <w:rStyle w:val="Refdenotaalpie"/>
        </w:rPr>
        <w:footnoteRef/>
      </w:r>
      <w:r>
        <w:t xml:space="preserve"> </w:t>
      </w:r>
      <w:bookmarkStart w:id="3" w:name="_Hlk194585800"/>
      <w:r>
        <w:rPr>
          <w:lang w:val="es-ES"/>
        </w:rPr>
        <w:t>Corte Constitucional. Sentencia C-612/13. M.P: Alberto Rojas Ríos</w:t>
      </w:r>
      <w:bookmarkEnd w:id="3"/>
    </w:p>
  </w:footnote>
  <w:footnote w:id="4">
    <w:p w14:paraId="336605F9" w14:textId="77777777" w:rsidR="0042120A" w:rsidRPr="007F6E1C" w:rsidRDefault="0042120A" w:rsidP="0042120A">
      <w:pPr>
        <w:pStyle w:val="Textonotapie"/>
        <w:rPr>
          <w:lang w:val="es-ES"/>
        </w:rPr>
      </w:pPr>
      <w:bookmarkStart w:id="5" w:name="_Hlk194585808"/>
      <w:r>
        <w:rPr>
          <w:rStyle w:val="Refdenotaalpie"/>
        </w:rPr>
        <w:footnoteRef/>
      </w:r>
      <w:r>
        <w:t xml:space="preserve"> </w:t>
      </w:r>
      <w:r>
        <w:rPr>
          <w:lang w:val="es-ES"/>
        </w:rPr>
        <w:t>Corte Constitucional. Sentencia C-489/96. M.P: Antonio Barrera Carbonell</w:t>
      </w:r>
      <w:bookmarkEnd w:id="5"/>
    </w:p>
  </w:footnote>
  <w:footnote w:id="5">
    <w:p w14:paraId="6BFFEFAE" w14:textId="77777777" w:rsidR="0042120A" w:rsidRPr="001A625A" w:rsidRDefault="0042120A" w:rsidP="0042120A">
      <w:pPr>
        <w:spacing w:after="0" w:line="240" w:lineRule="auto"/>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 xml:space="preserve">Son inhabilidades que responden a esta circunstancia, entre otras, las siguientes: “Quienes participaron en las licitaciones o celebraron los contratos de que trata el literal anterior estando inhabilitados” (art. 8, </w:t>
      </w:r>
      <w:r w:rsidRPr="001A625A">
        <w:rPr>
          <w:rFonts w:ascii="Verdana" w:hAnsi="Verdana" w:cs="Arial"/>
          <w:color w:val="000000" w:themeColor="text1"/>
          <w:sz w:val="16"/>
          <w:szCs w:val="16"/>
          <w:lang w:val="es-ES"/>
        </w:rPr>
        <w:t>num. 1º, lit. b, Ley 80/93); “Quienes dieron lugar a la declaratoria de caducidad” (art. 8, num. 1º, lit. c), Ley 80/93); “Quienes en sentencia judicial hayan sido condenados a la pena accesoria de interdicción de derechos y funciones públicas y quienes hayan sido sancionados disciplinariamente con destitución” (art. 8, num. 1º, lit. d), Ley 80/93); “Quienes sin justa causa se abstengan de suscribir el contrato estatal adjudicado” (art. 8, num. 1º, lit. e), Ley 80/93); “i) Los socios de sociedades de personas a las cuales se haya declarado la caducidad, así como las sociedades de personas de las que aquellos formen parte con posterioridad a dicha declaratoria” (art. 8, num. 1º, lit. i), Ley 80/93); “Las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(art. 8, num. 1º, lit. j), Ley 80/93);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 (art. 8, num. 1º, lit. k), Ley 80/93); “Haber sido objeto de imposición de cinco (5) o más multas durante la ejecución de uno o varios contratos, con una o varias entidades estatales, durante los últimos tres (3) años; […] Haber sido objeto de declaratorias de incumplimiento contractual en por lo menos dos (2) contratos, con una o varias entidades estatales, durante los últimos tres (3) años; […] Haber sido objeto de imposición de dos (2) multas y un (1) incumplimiento durante una misma vigencia fiscal, con una o varias entidades estatales” (art. 90, lit. a), b) y c), Ley 1474/11, modificado por el art. 43, Ley 1955/19).</w:t>
      </w:r>
    </w:p>
    <w:p w14:paraId="549AD853" w14:textId="77777777" w:rsidR="0042120A" w:rsidRPr="001A625A" w:rsidRDefault="0042120A" w:rsidP="0042120A">
      <w:pPr>
        <w:spacing w:after="0" w:line="240" w:lineRule="auto"/>
        <w:ind w:firstLine="709"/>
        <w:jc w:val="both"/>
        <w:rPr>
          <w:rFonts w:ascii="Verdana" w:hAnsi="Verdana" w:cs="Arial"/>
          <w:color w:val="000000" w:themeColor="text1"/>
          <w:sz w:val="16"/>
          <w:szCs w:val="16"/>
          <w:lang w:val="es-ES"/>
        </w:rPr>
      </w:pPr>
    </w:p>
  </w:footnote>
  <w:footnote w:id="6">
    <w:p w14:paraId="5369DA91" w14:textId="77777777" w:rsidR="0042120A" w:rsidRPr="001A625A" w:rsidRDefault="0042120A" w:rsidP="0042120A">
      <w:pPr>
        <w:pStyle w:val="Textonotapie"/>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 xml:space="preserve">Por ejemplo, a título enunciativo, las siguientes: “Quienes sean cónyuges o compañeros permanentes y quienes se encuentren dentro del segundo grado de consanguinidad o segundo de afinidad con cualquier otra persona que formalmente haya presentado propuesta para una misma licitación” (art. 8, </w:t>
      </w:r>
      <w:r w:rsidRPr="001A625A">
        <w:rPr>
          <w:rFonts w:ascii="Verdana" w:hAnsi="Verdana" w:cs="Arial"/>
          <w:color w:val="000000" w:themeColor="text1"/>
          <w:sz w:val="16"/>
          <w:szCs w:val="16"/>
          <w:lang w:val="es-ES"/>
        </w:rPr>
        <w:t>num. 1º, lit. g), Ley 80/93);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(art. 8, num. 1º, lit. h), Ley 80/93);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(art. 8, num. 2º, lit. b), Ley 80/93); “El cónyuge, compañero o compañera permanente del servidor público en los niveles directivo, asesor, ejecutivo, o de un miembro de la junta o consejo directivo, o de quien ejerza funciones de control interno o de control fiscal” (art. 8, num. 2º, lit. c),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w:t>
      </w:r>
    </w:p>
    <w:p w14:paraId="1EF2D487" w14:textId="77777777" w:rsidR="0042120A" w:rsidRPr="001A625A" w:rsidRDefault="0042120A" w:rsidP="0042120A">
      <w:pPr>
        <w:pStyle w:val="Textonotapie"/>
        <w:ind w:firstLine="709"/>
        <w:jc w:val="both"/>
        <w:rPr>
          <w:rFonts w:ascii="Verdana" w:hAnsi="Verdana" w:cs="Arial"/>
          <w:color w:val="000000" w:themeColor="text1"/>
          <w:sz w:val="16"/>
          <w:szCs w:val="16"/>
          <w:lang w:val="es-CO"/>
        </w:rPr>
      </w:pPr>
    </w:p>
  </w:footnote>
  <w:footnote w:id="7">
    <w:p w14:paraId="64D00F70" w14:textId="77777777" w:rsidR="0042120A" w:rsidRPr="001A625A" w:rsidRDefault="0042120A" w:rsidP="0042120A">
      <w:pPr>
        <w:pStyle w:val="Textonotapie"/>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 xml:space="preserve">Verbigracia, entre otras, las que se indican a continuación: “Las personas que hayan financiado campañas políticas a la Presidencia de la República, a las gobernaciones o a las alcaldías con aportes superiores al dos punto cinco por ciento (2.5%)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 (art. 8, </w:t>
      </w:r>
      <w:r w:rsidRPr="001A625A">
        <w:rPr>
          <w:rFonts w:ascii="Verdana" w:hAnsi="Verdana" w:cs="Arial"/>
          <w:color w:val="000000" w:themeColor="text1"/>
          <w:sz w:val="16"/>
          <w:szCs w:val="16"/>
          <w:lang w:val="es-ES"/>
        </w:rPr>
        <w:t xml:space="preserve">num. 1º, lit. k), Ley 80/93, modificado por el art. 33, Ley 1778/16); “Quienes fueron miembros de la junta o consejo directivo o servidores públicos de la entidad contratante” (art. 8, num. 2º, lit. a), Ley 80/93) [a pesar de que la norma la califica como una incompatibilidad, en realidad se trata de una inhabilidad, ya que en dicha causal no existe concurrencia de calidades en un sujeto];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(art. 8, num. 2º, lit. f), Ley 80/93, adicionado por el art. 4º, Ley 1474/2011) [a pesar de que la norma la califica como una incompatibilidad, en realidad se trata de una inhabilidad, ya que en dicha causal no existe concurrencia de calidades en un sujeto]. </w:t>
      </w:r>
    </w:p>
    <w:p w14:paraId="1CED3812" w14:textId="77777777" w:rsidR="0042120A" w:rsidRPr="001A625A" w:rsidRDefault="0042120A" w:rsidP="0042120A">
      <w:pPr>
        <w:pStyle w:val="Textonotapie"/>
        <w:ind w:firstLine="709"/>
        <w:jc w:val="both"/>
        <w:rPr>
          <w:rFonts w:ascii="Verdana" w:hAnsi="Verdana" w:cs="Arial"/>
          <w:color w:val="000000" w:themeColor="text1"/>
          <w:sz w:val="16"/>
          <w:szCs w:val="16"/>
          <w:lang w:val="es-CO"/>
        </w:rPr>
      </w:pPr>
      <w:r w:rsidRPr="001A625A">
        <w:rPr>
          <w:rFonts w:ascii="Verdana" w:hAnsi="Verdana" w:cs="Arial"/>
          <w:color w:val="000000" w:themeColor="text1"/>
          <w:sz w:val="16"/>
          <w:szCs w:val="16"/>
          <w:lang w:val="es-ES"/>
        </w:rPr>
        <w:t xml:space="preserve">  </w:t>
      </w:r>
    </w:p>
  </w:footnote>
  <w:footnote w:id="8">
    <w:p w14:paraId="538CD218" w14:textId="77777777" w:rsidR="0042120A" w:rsidRPr="001A625A" w:rsidRDefault="0042120A" w:rsidP="0042120A">
      <w:pPr>
        <w:spacing w:after="0" w:line="240" w:lineRule="auto"/>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 xml:space="preserve">Como las señaladas a continuación: “Los servidores públicos” (art. 8, </w:t>
      </w:r>
      <w:r w:rsidRPr="001A625A">
        <w:rPr>
          <w:rFonts w:ascii="Verdana" w:hAnsi="Verdana" w:cs="Arial"/>
          <w:color w:val="000000" w:themeColor="text1"/>
          <w:sz w:val="16"/>
          <w:szCs w:val="16"/>
          <w:lang w:val="es-ES"/>
        </w:rPr>
        <w:t xml:space="preserve">num. 1º, lit. f),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 “Los miembros de las juntas o consejos directivos. Esta incompatibilidad sólo se predica respecto de la entidad a la cual prestan sus servicios y de las del sector administrativo al que la misma esté adscrita o vinculada” (art. 8, num. 2º, lit. e), Ley 80/93); “Quien haya celebrado un contrato estatal de obra pública, de concesión, suministro de medicamentos y de alimentos o su cónyuge, compañero o compañera permanente, pariente hasta el segundo grado de consaguinidad,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 (art. 5, Ley 1474/11). </w:t>
      </w:r>
    </w:p>
    <w:p w14:paraId="5C64CE77" w14:textId="77777777" w:rsidR="0042120A" w:rsidRPr="001A625A" w:rsidRDefault="0042120A" w:rsidP="0042120A">
      <w:pPr>
        <w:spacing w:after="0" w:line="240" w:lineRule="auto"/>
        <w:ind w:firstLine="709"/>
        <w:jc w:val="both"/>
        <w:rPr>
          <w:rFonts w:ascii="Verdana" w:hAnsi="Verdana" w:cs="Arial"/>
          <w:color w:val="000000" w:themeColor="text1"/>
          <w:sz w:val="16"/>
          <w:szCs w:val="16"/>
          <w:lang w:val="es-ES"/>
        </w:rPr>
      </w:pPr>
    </w:p>
  </w:footnote>
  <w:footnote w:id="9">
    <w:p w14:paraId="22518CB7" w14:textId="77777777" w:rsidR="0042120A" w:rsidRPr="007A0D4B" w:rsidRDefault="0042120A" w:rsidP="0042120A">
      <w:pPr>
        <w:pStyle w:val="Textonotapie"/>
        <w:ind w:firstLine="709"/>
        <w:contextualSpacing/>
        <w:jc w:val="both"/>
        <w:rPr>
          <w:rFonts w:ascii="Century Gothic" w:hAnsi="Century Gothic" w:cs="Arial"/>
          <w:color w:val="000000"/>
          <w:sz w:val="16"/>
          <w:szCs w:val="16"/>
          <w:lang w:val="es-ES"/>
        </w:rPr>
      </w:pPr>
      <w:r w:rsidRPr="007A0D4B">
        <w:rPr>
          <w:rStyle w:val="Refdenotaalpie"/>
          <w:rFonts w:ascii="Century Gothic" w:hAnsi="Century Gothic"/>
          <w:sz w:val="16"/>
          <w:szCs w:val="16"/>
        </w:rPr>
        <w:footnoteRef/>
      </w:r>
      <w:r w:rsidRPr="007A0D4B">
        <w:rPr>
          <w:rFonts w:ascii="Century Gothic" w:hAnsi="Century Gothic" w:cs="Arial"/>
          <w:color w:val="000000"/>
          <w:sz w:val="16"/>
          <w:szCs w:val="16"/>
        </w:rPr>
        <w:t xml:space="preserve"> </w:t>
      </w:r>
      <w:r w:rsidRPr="007A0D4B">
        <w:rPr>
          <w:rFonts w:ascii="Century Gothic" w:hAnsi="Century Gothic" w:cs="Arial"/>
          <w:color w:val="000000"/>
          <w:sz w:val="16"/>
          <w:szCs w:val="16"/>
          <w:lang w:val="es-ES"/>
        </w:rPr>
        <w:t xml:space="preserve">Corte Constitucional. Sentencia T-1039 de 2006. </w:t>
      </w:r>
      <w:r w:rsidRPr="001268BD">
        <w:rPr>
          <w:rFonts w:ascii="Century Gothic" w:hAnsi="Century Gothic" w:cs="Arial"/>
          <w:color w:val="000000"/>
          <w:sz w:val="16"/>
          <w:szCs w:val="16"/>
          <w:lang w:val="it-IT"/>
        </w:rPr>
        <w:t xml:space="preserve">Magistrado Ponente: Humberto Sierra Porto. </w:t>
      </w:r>
      <w:r w:rsidRPr="007A0D4B">
        <w:rPr>
          <w:rFonts w:ascii="Century Gothic" w:hAnsi="Century Gothic" w:cs="Arial"/>
          <w:color w:val="000000"/>
          <w:sz w:val="16"/>
          <w:szCs w:val="16"/>
          <w:lang w:val="es-ES"/>
        </w:rPr>
        <w:t xml:space="preserve">La Corte ha mantenido este criterio en las sentencias: C-903 de 2008. Magistrado Ponente: Jaime Araujo Rentería; C-101 de 2018. Magistrada Ponente Gloria Stella Ortiz Delgado; entre otras. </w:t>
      </w:r>
    </w:p>
    <w:p w14:paraId="2D900805" w14:textId="77777777" w:rsidR="0042120A" w:rsidRPr="007A0D4B" w:rsidRDefault="0042120A" w:rsidP="0042120A">
      <w:pPr>
        <w:pStyle w:val="Textonotapie"/>
        <w:ind w:firstLine="709"/>
        <w:contextualSpacing/>
        <w:jc w:val="both"/>
        <w:rPr>
          <w:rFonts w:ascii="Century Gothic" w:hAnsi="Century Gothic" w:cs="Arial"/>
          <w:color w:val="000000"/>
          <w:sz w:val="16"/>
          <w:szCs w:val="16"/>
          <w:lang w:val="es-ES"/>
        </w:rPr>
      </w:pPr>
    </w:p>
  </w:footnote>
  <w:footnote w:id="10">
    <w:p w14:paraId="099082DC" w14:textId="77777777" w:rsidR="0042120A" w:rsidRPr="007A0D4B" w:rsidRDefault="0042120A" w:rsidP="0042120A">
      <w:pPr>
        <w:pStyle w:val="Textonotapie"/>
        <w:ind w:firstLine="709"/>
        <w:contextualSpacing/>
        <w:jc w:val="both"/>
        <w:rPr>
          <w:rFonts w:ascii="Century Gothic" w:hAnsi="Century Gothic" w:cs="Arial"/>
          <w:color w:val="000000"/>
          <w:sz w:val="16"/>
          <w:szCs w:val="16"/>
          <w:lang w:val="es-ES"/>
        </w:rPr>
      </w:pPr>
      <w:r w:rsidRPr="007A0D4B">
        <w:rPr>
          <w:rStyle w:val="Refdenotaalpie"/>
          <w:rFonts w:ascii="Century Gothic" w:hAnsi="Century Gothic"/>
          <w:sz w:val="16"/>
          <w:szCs w:val="16"/>
        </w:rPr>
        <w:footnoteRef/>
      </w:r>
      <w:r w:rsidRPr="007A0D4B">
        <w:rPr>
          <w:rFonts w:ascii="Century Gothic" w:hAnsi="Century Gothic" w:cs="Arial"/>
          <w:color w:val="000000"/>
          <w:sz w:val="16"/>
          <w:szCs w:val="16"/>
        </w:rPr>
        <w:t xml:space="preserve"> </w:t>
      </w:r>
      <w:r w:rsidRPr="007A0D4B">
        <w:rPr>
          <w:rFonts w:ascii="Century Gothic" w:hAnsi="Century Gothic" w:cs="Arial"/>
          <w:color w:val="000000"/>
          <w:sz w:val="16"/>
          <w:szCs w:val="16"/>
          <w:lang w:val="es-ES"/>
        </w:rPr>
        <w:t xml:space="preserve">Consejo de Estado. Sala de Consulta y Servicio Civil. Concepto del 30 de abril de 2015. Expediente: 2.251. Consejero Ponente: Álvaro </w:t>
      </w:r>
      <w:r w:rsidRPr="007A0D4B">
        <w:rPr>
          <w:rFonts w:ascii="Century Gothic" w:hAnsi="Century Gothic" w:cs="Arial"/>
          <w:color w:val="000000"/>
          <w:sz w:val="16"/>
          <w:szCs w:val="16"/>
          <w:lang w:val="es-ES"/>
        </w:rPr>
        <w:t>Namén Vargas.</w:t>
      </w:r>
    </w:p>
    <w:p w14:paraId="07F8D9A3" w14:textId="77777777" w:rsidR="0042120A" w:rsidRPr="007A0D4B" w:rsidRDefault="0042120A" w:rsidP="0042120A">
      <w:pPr>
        <w:pStyle w:val="Textonotapie"/>
        <w:ind w:firstLine="709"/>
        <w:contextualSpacing/>
        <w:jc w:val="both"/>
        <w:rPr>
          <w:rFonts w:ascii="Century Gothic" w:hAnsi="Century Gothic" w:cs="Arial"/>
          <w:color w:val="000000"/>
          <w:sz w:val="16"/>
          <w:szCs w:val="16"/>
          <w:lang w:val="es-ES"/>
        </w:rPr>
      </w:pPr>
    </w:p>
  </w:footnote>
  <w:footnote w:id="11">
    <w:p w14:paraId="70C20007" w14:textId="77777777" w:rsidR="0042120A" w:rsidRPr="005366FC" w:rsidRDefault="0042120A" w:rsidP="0042120A">
      <w:pPr>
        <w:pStyle w:val="Textonotapie"/>
        <w:ind w:firstLine="708"/>
        <w:jc w:val="both"/>
        <w:rPr>
          <w:rFonts w:ascii="Verdana" w:hAnsi="Verdana"/>
          <w:sz w:val="16"/>
          <w:szCs w:val="16"/>
          <w:lang w:val="es-ES_tradnl"/>
        </w:rPr>
      </w:pPr>
      <w:r w:rsidRPr="005366FC">
        <w:rPr>
          <w:rStyle w:val="Refdenotaalpie"/>
          <w:rFonts w:ascii="Verdana" w:hAnsi="Verdana"/>
          <w:sz w:val="16"/>
          <w:szCs w:val="16"/>
        </w:rPr>
        <w:footnoteRef/>
      </w:r>
      <w:r w:rsidRPr="00090B08">
        <w:rPr>
          <w:rFonts w:ascii="Verdana" w:hAnsi="Verdana"/>
          <w:sz w:val="16"/>
          <w:szCs w:val="16"/>
          <w:lang w:val="es-CO"/>
        </w:rPr>
        <w:t xml:space="preserve"> RAMÍREZ </w:t>
      </w:r>
      <w:r w:rsidRPr="005366FC">
        <w:rPr>
          <w:rFonts w:ascii="Verdana" w:hAnsi="Verdana"/>
          <w:sz w:val="16"/>
          <w:szCs w:val="16"/>
          <w:lang w:val="es-ES_tradnl"/>
        </w:rPr>
        <w:t>GRISALES, Richard Steve. La cesión.</w:t>
      </w:r>
      <w:r>
        <w:rPr>
          <w:rFonts w:ascii="Verdana" w:hAnsi="Verdana"/>
          <w:sz w:val="16"/>
          <w:szCs w:val="16"/>
          <w:lang w:val="es-ES_tradnl"/>
        </w:rPr>
        <w:t xml:space="preserve"> Medellín: Librería Jurídica Sánchez R LTDA – Centro de Estudios de Derecho Administrativo, 2014.</w:t>
      </w:r>
      <w:r w:rsidRPr="005366FC">
        <w:rPr>
          <w:rFonts w:ascii="Verdana" w:hAnsi="Verdana"/>
          <w:sz w:val="16"/>
          <w:szCs w:val="16"/>
          <w:lang w:val="es-ES_tradnl"/>
        </w:rPr>
        <w:t xml:space="preserve"> p. 36.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5"/>
  </w:num>
  <w:num w:numId="8">
    <w:abstractNumId w:val="12"/>
  </w:num>
  <w:num w:numId="9">
    <w:abstractNumId w:val="7"/>
  </w:num>
  <w:num w:numId="10">
    <w:abstractNumId w:val="11"/>
  </w:num>
  <w:num w:numId="11">
    <w:abstractNumId w:val="8"/>
  </w:num>
  <w:num w:numId="12">
    <w:abstractNumId w:val="1"/>
  </w:num>
  <w:num w:numId="13">
    <w:abstractNumId w:val="3"/>
  </w:num>
  <w:num w:numId="14">
    <w:abstractNumId w:val="14"/>
  </w:num>
  <w:num w:numId="15">
    <w:abstractNumId w:val="10"/>
  </w:num>
  <w:num w:numId="16">
    <w:abstractNumId w:val="0"/>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0C1B"/>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040B7"/>
    <w:rsid w:val="0022400B"/>
    <w:rsid w:val="002421BB"/>
    <w:rsid w:val="0025796E"/>
    <w:rsid w:val="002707A2"/>
    <w:rsid w:val="002951A0"/>
    <w:rsid w:val="002962BC"/>
    <w:rsid w:val="002A093D"/>
    <w:rsid w:val="002A0DD0"/>
    <w:rsid w:val="002A49AC"/>
    <w:rsid w:val="002A64FD"/>
    <w:rsid w:val="002C496E"/>
    <w:rsid w:val="002C7A84"/>
    <w:rsid w:val="002E2BF8"/>
    <w:rsid w:val="002E4FD9"/>
    <w:rsid w:val="0030657A"/>
    <w:rsid w:val="00322A85"/>
    <w:rsid w:val="00323C20"/>
    <w:rsid w:val="00324168"/>
    <w:rsid w:val="00330834"/>
    <w:rsid w:val="003448F4"/>
    <w:rsid w:val="0036384B"/>
    <w:rsid w:val="00374F5E"/>
    <w:rsid w:val="00377E3E"/>
    <w:rsid w:val="003A779E"/>
    <w:rsid w:val="003D0F4D"/>
    <w:rsid w:val="003D5B0D"/>
    <w:rsid w:val="003E0499"/>
    <w:rsid w:val="003E4F80"/>
    <w:rsid w:val="003E6439"/>
    <w:rsid w:val="003F3941"/>
    <w:rsid w:val="00406575"/>
    <w:rsid w:val="00414C74"/>
    <w:rsid w:val="0042120A"/>
    <w:rsid w:val="0042722E"/>
    <w:rsid w:val="0044528D"/>
    <w:rsid w:val="00466E39"/>
    <w:rsid w:val="004A1847"/>
    <w:rsid w:val="004A305D"/>
    <w:rsid w:val="004A615B"/>
    <w:rsid w:val="004F21C4"/>
    <w:rsid w:val="004F685F"/>
    <w:rsid w:val="005566E8"/>
    <w:rsid w:val="00574867"/>
    <w:rsid w:val="00574FAE"/>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819"/>
    <w:rsid w:val="00771D0C"/>
    <w:rsid w:val="007833AC"/>
    <w:rsid w:val="007906BD"/>
    <w:rsid w:val="007B268C"/>
    <w:rsid w:val="007B7171"/>
    <w:rsid w:val="007C0C0F"/>
    <w:rsid w:val="007C3DC2"/>
    <w:rsid w:val="007E5497"/>
    <w:rsid w:val="00806F5F"/>
    <w:rsid w:val="00820278"/>
    <w:rsid w:val="008258C9"/>
    <w:rsid w:val="00844AE9"/>
    <w:rsid w:val="00867F95"/>
    <w:rsid w:val="008843B6"/>
    <w:rsid w:val="0088533B"/>
    <w:rsid w:val="00891928"/>
    <w:rsid w:val="008A446D"/>
    <w:rsid w:val="008B25F1"/>
    <w:rsid w:val="008D180B"/>
    <w:rsid w:val="008F0EA7"/>
    <w:rsid w:val="00920903"/>
    <w:rsid w:val="00923EEF"/>
    <w:rsid w:val="009419F9"/>
    <w:rsid w:val="0095685E"/>
    <w:rsid w:val="00961B09"/>
    <w:rsid w:val="00965334"/>
    <w:rsid w:val="0097093E"/>
    <w:rsid w:val="009A0DFA"/>
    <w:rsid w:val="009A1C6F"/>
    <w:rsid w:val="009A5CD5"/>
    <w:rsid w:val="009B16C4"/>
    <w:rsid w:val="009B2D26"/>
    <w:rsid w:val="009C71FA"/>
    <w:rsid w:val="009C72E7"/>
    <w:rsid w:val="009C7F7E"/>
    <w:rsid w:val="009D3058"/>
    <w:rsid w:val="009F3A13"/>
    <w:rsid w:val="00A122D3"/>
    <w:rsid w:val="00A14468"/>
    <w:rsid w:val="00A17F13"/>
    <w:rsid w:val="00A20739"/>
    <w:rsid w:val="00A23AF9"/>
    <w:rsid w:val="00A33C78"/>
    <w:rsid w:val="00A64DE8"/>
    <w:rsid w:val="00A65FD8"/>
    <w:rsid w:val="00AB0ADB"/>
    <w:rsid w:val="00AD567E"/>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45ABF"/>
    <w:rsid w:val="00C50D69"/>
    <w:rsid w:val="00C5365C"/>
    <w:rsid w:val="00C73679"/>
    <w:rsid w:val="00C754BE"/>
    <w:rsid w:val="00C76B1C"/>
    <w:rsid w:val="00C86EBF"/>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1157"/>
    <w:rsid w:val="00F23FEA"/>
    <w:rsid w:val="00F31EDC"/>
    <w:rsid w:val="00F462B3"/>
    <w:rsid w:val="00F5664F"/>
    <w:rsid w:val="00F666C4"/>
    <w:rsid w:val="00F76AFC"/>
    <w:rsid w:val="00FA3E8C"/>
    <w:rsid w:val="00FA47C0"/>
    <w:rsid w:val="00FB5DD1"/>
    <w:rsid w:val="00FC2B5D"/>
    <w:rsid w:val="00FF1449"/>
    <w:rsid w:val="00FF7963"/>
    <w:rsid w:val="09908A09"/>
    <w:rsid w:val="13CFC91B"/>
    <w:rsid w:val="19A2EC2C"/>
    <w:rsid w:val="2859CA1B"/>
    <w:rsid w:val="32A4F9CF"/>
    <w:rsid w:val="356CEDFD"/>
    <w:rsid w:val="69614A15"/>
    <w:rsid w:val="70556F5F"/>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2120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2120A"/>
    <w:rPr>
      <w:rFonts w:ascii="Geomanist Light" w:hAnsi="Geomanist Light"/>
      <w:lang w:val="es-ES"/>
    </w:rPr>
  </w:style>
  <w:style w:type="character" w:customStyle="1" w:styleId="baj">
    <w:name w:val="b_aj"/>
    <w:basedOn w:val="Fuentedeprrafopredeter"/>
    <w:rsid w:val="004212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ach1495@g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tmp"/><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a6cb9e4b-f1d1-4245-83ec-6cad768d538a"/>
    <ds:schemaRef ds:uri="http://purl.org/dc/dcmitype/"/>
    <ds:schemaRef ds:uri="http://purl.org/dc/elements/1.1/"/>
    <ds:schemaRef ds:uri="http://schemas.microsoft.com/office/2006/metadata/properties"/>
    <ds:schemaRef ds:uri="9d85dbaf-23eb-4e57-a637-93dcacc8b1a1"/>
    <ds:schemaRef ds:uri="http://schemas.microsoft.com/office/2006/documentManagement/types"/>
    <ds:schemaRef ds:uri="http://www.w3.org/XML/1998/namespace"/>
    <ds:schemaRef ds:uri="http://schemas.microsoft.com/office/infopath/2007/PartnerControls"/>
    <ds:schemaRef ds:uri="http://schemas.openxmlformats.org/package/2006/metadata/core-properties"/>
    <ds:schemaRef ds:uri="http://purl.org/dc/term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7072A3D-B6CA-4777-9E07-A7ADFF9693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A8D940A-F69D-47CA-A005-13370206F1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15</Pages>
  <Words>4060</Words>
  <Characters>22333</Characters>
  <Application>Microsoft Office Word</Application>
  <DocSecurity>0</DocSecurity>
  <Lines>186</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2025-11-11T15:41:00Z</dcterms:created>
  <dcterms:modified xsi:type="dcterms:W3CDTF">2025-11-11T15:41:00Z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