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80EB5F" w14:textId="77777777" w:rsidR="0043219C" w:rsidRPr="00AF1555" w:rsidRDefault="0043219C" w:rsidP="0043219C">
      <w:pPr>
        <w:spacing w:after="0" w:line="240" w:lineRule="auto"/>
        <w:jc w:val="both"/>
        <w:rPr>
          <w:rFonts w:ascii="Verdana" w:eastAsia="Calibri" w:hAnsi="Verdana" w:cs="Arial"/>
          <w:b/>
          <w:lang w:val="es-ES"/>
        </w:rPr>
      </w:pPr>
      <w:bookmarkStart w:id="0" w:name="_Hlk213229958"/>
      <w:r w:rsidRPr="00292198">
        <w:rPr>
          <w:rFonts w:ascii="Verdana" w:eastAsia="Calibri" w:hAnsi="Verdana" w:cs="Arial"/>
          <w:b/>
          <w:lang w:val="es-ES"/>
        </w:rPr>
        <w:t>AIU – Costos indirectos – Finalidad – Ejecución del contrato</w:t>
      </w:r>
    </w:p>
    <w:p w14:paraId="63D28888" w14:textId="77777777" w:rsidR="0043219C" w:rsidRPr="00AF1555" w:rsidRDefault="0043219C" w:rsidP="0043219C">
      <w:pPr>
        <w:spacing w:after="0" w:line="240" w:lineRule="auto"/>
        <w:jc w:val="both"/>
        <w:rPr>
          <w:rFonts w:ascii="Verdana" w:eastAsia="Calibri" w:hAnsi="Verdana" w:cs="Arial"/>
          <w:b/>
          <w:sz w:val="20"/>
          <w:szCs w:val="20"/>
          <w:lang w:val="es-ES"/>
        </w:rPr>
      </w:pPr>
    </w:p>
    <w:p w14:paraId="1ECCAE43" w14:textId="77777777" w:rsidR="0043219C" w:rsidRPr="00683260" w:rsidRDefault="0043219C" w:rsidP="0043219C">
      <w:pPr>
        <w:spacing w:after="0" w:line="240" w:lineRule="auto"/>
        <w:jc w:val="both"/>
        <w:rPr>
          <w:rFonts w:ascii="Verdana" w:eastAsia="Calibri" w:hAnsi="Verdana" w:cs="Arial"/>
          <w:bCs/>
          <w:sz w:val="20"/>
          <w:szCs w:val="20"/>
          <w:lang w:val="es-ES"/>
        </w:rPr>
      </w:pPr>
      <w:r w:rsidRPr="00683260">
        <w:rPr>
          <w:rFonts w:ascii="Verdana" w:eastAsia="Calibri" w:hAnsi="Verdana" w:cs="Arial"/>
          <w:bCs/>
          <w:sz w:val="20"/>
          <w:szCs w:val="20"/>
          <w:lang w:val="es-ES"/>
        </w:rPr>
        <w:t xml:space="preserve">Lo usual, que se advierte en la práctica de las entidades estatales, es que acuden al AIU con la finalidad de establecer un precio más estable, de manera que el valor del contrato consistirá en lo que resulte de afectar los costos directos por el porcentaje, en principio, invariable del AIU, de manera que al valor de los costos directos se le sume el AIU. Así las cosas, las partes asumen los riesgos inherentes a esta forma de pactar el precio, entendiendo aceptados los </w:t>
      </w:r>
      <w:proofErr w:type="spellStart"/>
      <w:r w:rsidRPr="00683260">
        <w:rPr>
          <w:rFonts w:ascii="Verdana" w:eastAsia="Calibri" w:hAnsi="Verdana" w:cs="Arial"/>
          <w:bCs/>
          <w:sz w:val="20"/>
          <w:szCs w:val="20"/>
          <w:lang w:val="es-ES"/>
        </w:rPr>
        <w:t>áleas</w:t>
      </w:r>
      <w:proofErr w:type="spellEnd"/>
      <w:r w:rsidRPr="00683260">
        <w:rPr>
          <w:rFonts w:ascii="Verdana" w:eastAsia="Calibri" w:hAnsi="Verdana" w:cs="Arial"/>
          <w:bCs/>
          <w:sz w:val="20"/>
          <w:szCs w:val="20"/>
          <w:lang w:val="es-ES"/>
        </w:rPr>
        <w:t xml:space="preserve"> normales que se presenten en la ejecución del contrato, de manera que, aunque el contratista incurra en mayores costos de los ítems incluidos en la </w:t>
      </w:r>
      <w:r w:rsidRPr="00683260">
        <w:rPr>
          <w:rFonts w:ascii="Verdana" w:eastAsia="Calibri" w:hAnsi="Verdana" w:cs="Arial"/>
          <w:bCs/>
          <w:i/>
          <w:iCs/>
          <w:sz w:val="20"/>
          <w:szCs w:val="20"/>
          <w:lang w:val="es-ES"/>
        </w:rPr>
        <w:t>Administración</w:t>
      </w:r>
      <w:r w:rsidRPr="00683260">
        <w:rPr>
          <w:rFonts w:ascii="Verdana" w:eastAsia="Calibri" w:hAnsi="Verdana" w:cs="Arial"/>
          <w:bCs/>
          <w:sz w:val="20"/>
          <w:szCs w:val="20"/>
          <w:lang w:val="es-ES"/>
        </w:rPr>
        <w:t xml:space="preserve"> o en más gastos de </w:t>
      </w:r>
      <w:r w:rsidRPr="00683260">
        <w:rPr>
          <w:rFonts w:ascii="Verdana" w:eastAsia="Calibri" w:hAnsi="Verdana" w:cs="Arial"/>
          <w:bCs/>
          <w:i/>
          <w:iCs/>
          <w:sz w:val="20"/>
          <w:szCs w:val="20"/>
          <w:lang w:val="es-ES"/>
        </w:rPr>
        <w:t>Imprevistos</w:t>
      </w:r>
      <w:r w:rsidRPr="00683260">
        <w:rPr>
          <w:rFonts w:ascii="Verdana" w:eastAsia="Calibri" w:hAnsi="Verdana" w:cs="Arial"/>
          <w:bCs/>
          <w:sz w:val="20"/>
          <w:szCs w:val="20"/>
          <w:lang w:val="es-ES"/>
        </w:rPr>
        <w:t xml:space="preserve"> al presentar su oferta, o que estos disminuyan, aparezcan algunos nuevos o desaparezcan algunos de ellos, el valor se mantenga invariable. De este modo, las partes optan por darle estabilidad al negocio, asumiendo cada una de ellas lo que le favorezca o desfavorezca, lo que evita, además, incurrir en costos de transacción relacionados con la necesidad de acreditar y verificar cada costo o gasto específico asociado a la </w:t>
      </w:r>
      <w:r w:rsidRPr="00683260">
        <w:rPr>
          <w:rFonts w:ascii="Verdana" w:eastAsia="Calibri" w:hAnsi="Verdana" w:cs="Arial"/>
          <w:bCs/>
          <w:i/>
          <w:iCs/>
          <w:sz w:val="20"/>
          <w:szCs w:val="20"/>
          <w:lang w:val="es-ES"/>
        </w:rPr>
        <w:t xml:space="preserve">Administración </w:t>
      </w:r>
      <w:r w:rsidRPr="00683260">
        <w:rPr>
          <w:rFonts w:ascii="Verdana" w:eastAsia="Calibri" w:hAnsi="Verdana" w:cs="Arial"/>
          <w:bCs/>
          <w:sz w:val="20"/>
          <w:szCs w:val="20"/>
          <w:lang w:val="es-ES"/>
        </w:rPr>
        <w:t>o lo</w:t>
      </w:r>
      <w:r w:rsidRPr="00683260">
        <w:rPr>
          <w:rFonts w:ascii="Verdana" w:eastAsia="Calibri" w:hAnsi="Verdana" w:cs="Arial"/>
          <w:bCs/>
          <w:i/>
          <w:iCs/>
          <w:sz w:val="20"/>
          <w:szCs w:val="20"/>
          <w:lang w:val="es-ES"/>
        </w:rPr>
        <w:t>s Imprevistos</w:t>
      </w:r>
      <w:r w:rsidRPr="00683260">
        <w:rPr>
          <w:rFonts w:ascii="Verdana" w:eastAsia="Calibri" w:hAnsi="Verdana" w:cs="Arial"/>
          <w:bCs/>
          <w:sz w:val="20"/>
          <w:szCs w:val="20"/>
          <w:lang w:val="es-ES"/>
        </w:rPr>
        <w:t>, lo que generaría más gastos tanto para la entidad como para el contratista</w:t>
      </w:r>
      <w:r>
        <w:rPr>
          <w:rFonts w:ascii="Verdana" w:eastAsia="Calibri" w:hAnsi="Verdana" w:cs="Arial"/>
          <w:bCs/>
          <w:sz w:val="20"/>
          <w:szCs w:val="20"/>
        </w:rPr>
        <w:t>.</w:t>
      </w:r>
    </w:p>
    <w:p w14:paraId="2D46068D" w14:textId="77777777" w:rsidR="0043219C" w:rsidRPr="00AF1555" w:rsidRDefault="0043219C" w:rsidP="0043219C">
      <w:pPr>
        <w:spacing w:after="0" w:line="240" w:lineRule="auto"/>
        <w:jc w:val="both"/>
        <w:rPr>
          <w:rFonts w:ascii="Verdana" w:eastAsia="Geomanist Light" w:hAnsi="Verdana" w:cs="Arial"/>
          <w:color w:val="000000" w:themeColor="text1"/>
          <w:sz w:val="20"/>
          <w:szCs w:val="20"/>
          <w:lang w:val="es-ES_tradnl"/>
        </w:rPr>
      </w:pPr>
    </w:p>
    <w:p w14:paraId="72760A43" w14:textId="77777777" w:rsidR="0043219C" w:rsidRDefault="0043219C" w:rsidP="0043219C">
      <w:pPr>
        <w:spacing w:after="0" w:line="240" w:lineRule="auto"/>
        <w:jc w:val="both"/>
        <w:rPr>
          <w:rFonts w:ascii="Verdana" w:eastAsia="Calibri" w:hAnsi="Verdana" w:cs="Arial"/>
          <w:b/>
          <w:bCs/>
          <w:color w:val="000000" w:themeColor="text1"/>
          <w:lang w:val="es-ES"/>
        </w:rPr>
      </w:pPr>
    </w:p>
    <w:p w14:paraId="09F17A28" w14:textId="77777777" w:rsidR="00B62BDF" w:rsidRDefault="00B62BDF" w:rsidP="00B62BDF">
      <w:pPr>
        <w:spacing w:after="0" w:line="240" w:lineRule="auto"/>
        <w:rPr>
          <w:rFonts w:ascii="Verdana" w:eastAsia="Calibri" w:hAnsi="Verdana" w:cs="Arial"/>
          <w:b/>
          <w:bCs/>
          <w:noProof/>
          <w:lang w:eastAsia="es-ES"/>
        </w:rPr>
      </w:pPr>
    </w:p>
    <w:p w14:paraId="4BF07BB1" w14:textId="77777777" w:rsidR="0043219C" w:rsidRDefault="0043219C" w:rsidP="00B62BDF">
      <w:pPr>
        <w:spacing w:after="0" w:line="240" w:lineRule="auto"/>
        <w:rPr>
          <w:rFonts w:ascii="Verdana" w:eastAsia="Calibri" w:hAnsi="Verdana" w:cs="Arial"/>
          <w:b/>
          <w:bCs/>
          <w:noProof/>
          <w:lang w:eastAsia="es-ES"/>
        </w:rPr>
      </w:pPr>
    </w:p>
    <w:p w14:paraId="3E206231" w14:textId="77777777" w:rsidR="0043219C" w:rsidRDefault="0043219C" w:rsidP="00B62BDF">
      <w:pPr>
        <w:spacing w:after="0" w:line="240" w:lineRule="auto"/>
        <w:rPr>
          <w:rFonts w:ascii="Verdana" w:eastAsia="Calibri" w:hAnsi="Verdana" w:cs="Arial"/>
          <w:b/>
          <w:bCs/>
          <w:noProof/>
          <w:lang w:eastAsia="es-ES"/>
        </w:rPr>
      </w:pPr>
    </w:p>
    <w:p w14:paraId="403470FB" w14:textId="77777777" w:rsidR="0043219C" w:rsidRDefault="0043219C" w:rsidP="00B62BDF">
      <w:pPr>
        <w:spacing w:after="0" w:line="240" w:lineRule="auto"/>
        <w:rPr>
          <w:rFonts w:ascii="Verdana" w:eastAsia="Calibri" w:hAnsi="Verdana" w:cs="Arial"/>
          <w:b/>
          <w:bCs/>
          <w:noProof/>
          <w:lang w:eastAsia="es-ES"/>
        </w:rPr>
      </w:pPr>
    </w:p>
    <w:p w14:paraId="29D1E3E3" w14:textId="77777777" w:rsidR="0043219C" w:rsidRDefault="0043219C" w:rsidP="00B62BDF">
      <w:pPr>
        <w:spacing w:after="0" w:line="240" w:lineRule="auto"/>
        <w:rPr>
          <w:rFonts w:ascii="Verdana" w:eastAsia="Calibri" w:hAnsi="Verdana" w:cs="Arial"/>
          <w:b/>
          <w:bCs/>
          <w:noProof/>
          <w:lang w:eastAsia="es-ES"/>
        </w:rPr>
      </w:pPr>
    </w:p>
    <w:p w14:paraId="16952D19" w14:textId="77777777" w:rsidR="0043219C" w:rsidRDefault="0043219C" w:rsidP="00B62BDF">
      <w:pPr>
        <w:spacing w:after="0" w:line="240" w:lineRule="auto"/>
        <w:rPr>
          <w:rFonts w:ascii="Verdana" w:eastAsia="Calibri" w:hAnsi="Verdana" w:cs="Arial"/>
          <w:b/>
          <w:bCs/>
          <w:noProof/>
          <w:lang w:eastAsia="es-ES"/>
        </w:rPr>
      </w:pPr>
    </w:p>
    <w:p w14:paraId="537D664F" w14:textId="77777777" w:rsidR="0043219C" w:rsidRDefault="0043219C" w:rsidP="00B62BDF">
      <w:pPr>
        <w:spacing w:after="0" w:line="240" w:lineRule="auto"/>
        <w:rPr>
          <w:rFonts w:ascii="Verdana" w:eastAsia="Calibri" w:hAnsi="Verdana" w:cs="Arial"/>
          <w:b/>
          <w:bCs/>
          <w:noProof/>
          <w:lang w:eastAsia="es-ES"/>
        </w:rPr>
      </w:pPr>
    </w:p>
    <w:p w14:paraId="57D19341" w14:textId="77777777" w:rsidR="0043219C" w:rsidRDefault="0043219C" w:rsidP="00B62BDF">
      <w:pPr>
        <w:spacing w:after="0" w:line="240" w:lineRule="auto"/>
        <w:rPr>
          <w:rFonts w:ascii="Verdana" w:eastAsia="Calibri" w:hAnsi="Verdana" w:cs="Arial"/>
          <w:b/>
          <w:bCs/>
          <w:noProof/>
          <w:lang w:eastAsia="es-ES"/>
        </w:rPr>
      </w:pPr>
    </w:p>
    <w:p w14:paraId="27BC2F36" w14:textId="77777777" w:rsidR="0043219C" w:rsidRDefault="0043219C" w:rsidP="00B62BDF">
      <w:pPr>
        <w:spacing w:after="0" w:line="240" w:lineRule="auto"/>
        <w:rPr>
          <w:rFonts w:ascii="Verdana" w:eastAsia="Calibri" w:hAnsi="Verdana" w:cs="Arial"/>
          <w:b/>
          <w:bCs/>
          <w:noProof/>
          <w:lang w:eastAsia="es-ES"/>
        </w:rPr>
      </w:pPr>
    </w:p>
    <w:p w14:paraId="3B3C847E" w14:textId="77777777" w:rsidR="0043219C" w:rsidRDefault="0043219C" w:rsidP="00B62BDF">
      <w:pPr>
        <w:spacing w:after="0" w:line="240" w:lineRule="auto"/>
        <w:rPr>
          <w:rFonts w:ascii="Verdana" w:eastAsia="Calibri" w:hAnsi="Verdana" w:cs="Arial"/>
          <w:b/>
          <w:bCs/>
          <w:noProof/>
          <w:lang w:eastAsia="es-ES"/>
        </w:rPr>
      </w:pPr>
    </w:p>
    <w:p w14:paraId="5805E477" w14:textId="77777777" w:rsidR="0043219C" w:rsidRDefault="0043219C" w:rsidP="00B62BDF">
      <w:pPr>
        <w:spacing w:after="0" w:line="240" w:lineRule="auto"/>
        <w:rPr>
          <w:rFonts w:ascii="Verdana" w:eastAsia="Calibri" w:hAnsi="Verdana" w:cs="Arial"/>
          <w:b/>
          <w:bCs/>
          <w:noProof/>
          <w:lang w:eastAsia="es-ES"/>
        </w:rPr>
      </w:pPr>
    </w:p>
    <w:p w14:paraId="14FADD06" w14:textId="77777777" w:rsidR="0043219C" w:rsidRDefault="0043219C" w:rsidP="00B62BDF">
      <w:pPr>
        <w:spacing w:after="0" w:line="240" w:lineRule="auto"/>
        <w:rPr>
          <w:rFonts w:ascii="Verdana" w:eastAsia="Calibri" w:hAnsi="Verdana" w:cs="Arial"/>
          <w:b/>
          <w:bCs/>
          <w:noProof/>
          <w:lang w:eastAsia="es-ES"/>
        </w:rPr>
      </w:pPr>
    </w:p>
    <w:p w14:paraId="07C1781E" w14:textId="77777777" w:rsidR="0043219C" w:rsidRDefault="0043219C" w:rsidP="00B62BDF">
      <w:pPr>
        <w:spacing w:after="0" w:line="240" w:lineRule="auto"/>
        <w:rPr>
          <w:rFonts w:ascii="Verdana" w:eastAsia="Calibri" w:hAnsi="Verdana" w:cs="Arial"/>
          <w:b/>
          <w:bCs/>
          <w:noProof/>
          <w:lang w:eastAsia="es-ES"/>
        </w:rPr>
      </w:pPr>
    </w:p>
    <w:p w14:paraId="71D29BB8" w14:textId="77777777" w:rsidR="0043219C" w:rsidRDefault="0043219C" w:rsidP="00B62BDF">
      <w:pPr>
        <w:spacing w:after="0" w:line="240" w:lineRule="auto"/>
        <w:rPr>
          <w:rFonts w:ascii="Verdana" w:eastAsia="Calibri" w:hAnsi="Verdana" w:cs="Arial"/>
          <w:b/>
          <w:bCs/>
          <w:noProof/>
          <w:lang w:eastAsia="es-ES"/>
        </w:rPr>
      </w:pPr>
    </w:p>
    <w:p w14:paraId="7A4CA770" w14:textId="77777777" w:rsidR="0043219C" w:rsidRDefault="0043219C" w:rsidP="00B62BDF">
      <w:pPr>
        <w:spacing w:after="0" w:line="240" w:lineRule="auto"/>
        <w:rPr>
          <w:rFonts w:ascii="Verdana" w:eastAsia="Calibri" w:hAnsi="Verdana" w:cs="Arial"/>
          <w:b/>
          <w:bCs/>
          <w:noProof/>
          <w:lang w:eastAsia="es-ES"/>
        </w:rPr>
      </w:pPr>
    </w:p>
    <w:p w14:paraId="1436C584" w14:textId="77777777" w:rsidR="0043219C" w:rsidRDefault="0043219C" w:rsidP="00B62BDF">
      <w:pPr>
        <w:spacing w:after="0" w:line="240" w:lineRule="auto"/>
        <w:rPr>
          <w:rFonts w:ascii="Verdana" w:eastAsia="Calibri" w:hAnsi="Verdana" w:cs="Arial"/>
          <w:b/>
          <w:bCs/>
          <w:noProof/>
          <w:lang w:eastAsia="es-ES"/>
        </w:rPr>
      </w:pPr>
    </w:p>
    <w:p w14:paraId="12FF39BB" w14:textId="77777777" w:rsidR="0043219C" w:rsidRDefault="0043219C" w:rsidP="00B62BDF">
      <w:pPr>
        <w:spacing w:after="0" w:line="240" w:lineRule="auto"/>
        <w:rPr>
          <w:rFonts w:ascii="Verdana" w:eastAsia="Calibri" w:hAnsi="Verdana" w:cs="Arial"/>
          <w:b/>
          <w:bCs/>
          <w:noProof/>
          <w:lang w:eastAsia="es-ES"/>
        </w:rPr>
      </w:pPr>
    </w:p>
    <w:p w14:paraId="618BF2B0" w14:textId="77777777" w:rsidR="0043219C" w:rsidRDefault="0043219C" w:rsidP="00B62BDF">
      <w:pPr>
        <w:spacing w:after="0" w:line="240" w:lineRule="auto"/>
        <w:rPr>
          <w:rFonts w:ascii="Verdana" w:eastAsia="Calibri" w:hAnsi="Verdana" w:cs="Arial"/>
          <w:b/>
          <w:bCs/>
          <w:noProof/>
          <w:lang w:eastAsia="es-ES"/>
        </w:rPr>
      </w:pPr>
    </w:p>
    <w:p w14:paraId="43626455" w14:textId="77777777" w:rsidR="0043219C" w:rsidRDefault="0043219C" w:rsidP="00B62BDF">
      <w:pPr>
        <w:spacing w:after="0" w:line="240" w:lineRule="auto"/>
        <w:rPr>
          <w:rFonts w:ascii="Verdana" w:eastAsia="Calibri" w:hAnsi="Verdana" w:cs="Arial"/>
          <w:b/>
          <w:bCs/>
          <w:noProof/>
          <w:lang w:eastAsia="es-ES"/>
        </w:rPr>
      </w:pPr>
    </w:p>
    <w:p w14:paraId="68E339F8" w14:textId="77777777" w:rsidR="0043219C" w:rsidRDefault="0043219C" w:rsidP="00B62BDF">
      <w:pPr>
        <w:spacing w:after="0" w:line="240" w:lineRule="auto"/>
        <w:rPr>
          <w:rFonts w:ascii="Verdana" w:eastAsia="Calibri" w:hAnsi="Verdana" w:cs="Arial"/>
          <w:b/>
          <w:bCs/>
          <w:noProof/>
          <w:lang w:eastAsia="es-ES"/>
        </w:rPr>
      </w:pPr>
    </w:p>
    <w:p w14:paraId="0E8EF4DE" w14:textId="77777777" w:rsidR="0043219C" w:rsidRDefault="0043219C" w:rsidP="00B62BDF">
      <w:pPr>
        <w:spacing w:after="0" w:line="240" w:lineRule="auto"/>
        <w:rPr>
          <w:rFonts w:ascii="Verdana" w:eastAsia="Calibri" w:hAnsi="Verdana" w:cs="Arial"/>
          <w:b/>
          <w:bCs/>
          <w:noProof/>
          <w:lang w:eastAsia="es-ES"/>
        </w:rPr>
      </w:pPr>
    </w:p>
    <w:p w14:paraId="50699B25" w14:textId="77777777" w:rsidR="0043219C" w:rsidRDefault="0043219C" w:rsidP="00B62BDF">
      <w:pPr>
        <w:spacing w:after="0" w:line="240" w:lineRule="auto"/>
        <w:rPr>
          <w:rFonts w:ascii="Verdana" w:eastAsia="Calibri" w:hAnsi="Verdana" w:cs="Arial"/>
          <w:b/>
          <w:bCs/>
          <w:noProof/>
          <w:lang w:eastAsia="es-ES"/>
        </w:rPr>
      </w:pPr>
    </w:p>
    <w:p w14:paraId="6A0A0C3E" w14:textId="77777777" w:rsidR="0043219C" w:rsidRDefault="0043219C" w:rsidP="00B62BDF">
      <w:pPr>
        <w:spacing w:after="0" w:line="240" w:lineRule="auto"/>
        <w:rPr>
          <w:rFonts w:ascii="Verdana" w:eastAsia="Calibri" w:hAnsi="Verdana" w:cs="Arial"/>
          <w:b/>
          <w:bCs/>
          <w:noProof/>
          <w:lang w:eastAsia="es-ES"/>
        </w:rPr>
      </w:pPr>
    </w:p>
    <w:p w14:paraId="5DFDAD48" w14:textId="77777777" w:rsidR="0043219C" w:rsidRDefault="0043219C" w:rsidP="00B62BDF">
      <w:pPr>
        <w:spacing w:after="0" w:line="240" w:lineRule="auto"/>
        <w:rPr>
          <w:rFonts w:ascii="Verdana" w:eastAsia="Calibri" w:hAnsi="Verdana" w:cs="Arial"/>
          <w:b/>
          <w:bCs/>
          <w:noProof/>
          <w:lang w:eastAsia="es-ES"/>
        </w:rPr>
      </w:pPr>
    </w:p>
    <w:p w14:paraId="1E34450D" w14:textId="77777777" w:rsidR="0043219C" w:rsidRDefault="0043219C" w:rsidP="00B62BDF">
      <w:pPr>
        <w:spacing w:after="0" w:line="240" w:lineRule="auto"/>
        <w:rPr>
          <w:rFonts w:ascii="Verdana" w:eastAsia="Calibri" w:hAnsi="Verdana" w:cs="Arial"/>
          <w:b/>
          <w:bCs/>
          <w:noProof/>
          <w:lang w:eastAsia="es-ES"/>
        </w:rPr>
      </w:pPr>
    </w:p>
    <w:p w14:paraId="66D1DC81" w14:textId="77777777" w:rsidR="0043219C" w:rsidRPr="004D420E" w:rsidRDefault="0043219C" w:rsidP="00B62BDF">
      <w:pPr>
        <w:spacing w:after="0" w:line="240" w:lineRule="auto"/>
        <w:rPr>
          <w:rFonts w:ascii="Verdana" w:eastAsia="Calibri" w:hAnsi="Verdana" w:cs="Arial"/>
          <w:b/>
          <w:bCs/>
          <w:noProof/>
          <w:lang w:eastAsia="es-ES"/>
        </w:rPr>
      </w:pPr>
    </w:p>
    <w:p w14:paraId="0FE81671" w14:textId="3F7E0A9B" w:rsidR="00B62BDF" w:rsidRPr="004D420E" w:rsidRDefault="00B62BDF" w:rsidP="00B62BDF">
      <w:pPr>
        <w:spacing w:after="0" w:line="240" w:lineRule="auto"/>
        <w:rPr>
          <w:rFonts w:ascii="Verdana" w:hAnsi="Verdana" w:cs="Arial"/>
          <w:noProof/>
          <w:lang w:val="es-ES_tradnl"/>
        </w:rPr>
      </w:pPr>
      <w:r w:rsidRPr="004D420E">
        <w:rPr>
          <w:rFonts w:ascii="Verdana" w:eastAsia="Geomanist Light" w:hAnsi="Verdana" w:cs="Arial"/>
        </w:rPr>
        <w:t>Bogotá D.C., </w:t>
      </w:r>
      <w:r w:rsidR="0043219C" w:rsidRPr="0043219C">
        <w:rPr>
          <w:rFonts w:ascii="Verdana" w:eastAsia="Geomanist Light" w:hAnsi="Verdana" w:cs="Arial"/>
        </w:rPr>
        <w:t xml:space="preserve">06 de </w:t>
      </w:r>
      <w:proofErr w:type="gramStart"/>
      <w:r w:rsidR="0043219C" w:rsidRPr="0043219C">
        <w:rPr>
          <w:rFonts w:ascii="Verdana" w:eastAsia="Geomanist Light" w:hAnsi="Verdana" w:cs="Arial"/>
        </w:rPr>
        <w:t>Noviembre</w:t>
      </w:r>
      <w:proofErr w:type="gramEnd"/>
      <w:r w:rsidR="0043219C" w:rsidRPr="0043219C">
        <w:rPr>
          <w:rFonts w:ascii="Verdana" w:eastAsia="Geomanist Light" w:hAnsi="Verdana" w:cs="Arial"/>
        </w:rPr>
        <w:t xml:space="preserve"> de 2025</w:t>
      </w:r>
    </w:p>
    <w:p w14:paraId="55B1B295" w14:textId="77777777" w:rsidR="00B62BDF" w:rsidRDefault="00B62BDF" w:rsidP="00B62BDF">
      <w:pPr>
        <w:spacing w:after="0" w:line="240" w:lineRule="auto"/>
        <w:jc w:val="both"/>
        <w:rPr>
          <w:rFonts w:ascii="Verdana" w:eastAsia="Calibri" w:hAnsi="Verdana" w:cs="Arial"/>
        </w:rPr>
      </w:pPr>
    </w:p>
    <w:p w14:paraId="4DC7C13A" w14:textId="7F75F101" w:rsidR="0043219C" w:rsidRPr="004D420E" w:rsidRDefault="0043219C" w:rsidP="0043219C">
      <w:pPr>
        <w:spacing w:after="0" w:line="240" w:lineRule="auto"/>
        <w:ind w:left="6372"/>
        <w:jc w:val="both"/>
        <w:rPr>
          <w:rFonts w:ascii="Verdana" w:eastAsia="Calibri" w:hAnsi="Verdana" w:cs="Arial"/>
        </w:rPr>
      </w:pPr>
      <w:r>
        <w:rPr>
          <w:noProof/>
        </w:rPr>
        <w:drawing>
          <wp:inline distT="0" distB="0" distL="0" distR="0" wp14:anchorId="6AABBF8D" wp14:editId="0885DECF">
            <wp:extent cx="1924050" cy="762000"/>
            <wp:effectExtent l="0" t="0" r="0" b="0"/>
            <wp:docPr id="72860828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608281" name=""/>
                    <pic:cNvPicPr/>
                  </pic:nvPicPr>
                  <pic:blipFill>
                    <a:blip r:embed="rId10"/>
                    <a:stretch>
                      <a:fillRect/>
                    </a:stretch>
                  </pic:blipFill>
                  <pic:spPr>
                    <a:xfrm>
                      <a:off x="0" y="0"/>
                      <a:ext cx="1924050" cy="762000"/>
                    </a:xfrm>
                    <a:prstGeom prst="rect">
                      <a:avLst/>
                    </a:prstGeom>
                  </pic:spPr>
                </pic:pic>
              </a:graphicData>
            </a:graphic>
          </wp:inline>
        </w:drawing>
      </w:r>
    </w:p>
    <w:p w14:paraId="1D1CED8D" w14:textId="77777777" w:rsidR="00B62BDF" w:rsidRPr="004D420E" w:rsidRDefault="00B62BDF" w:rsidP="00B62BDF">
      <w:pPr>
        <w:spacing w:after="0" w:line="240" w:lineRule="auto"/>
        <w:jc w:val="both"/>
        <w:rPr>
          <w:rFonts w:ascii="Verdana" w:eastAsia="Calibri" w:hAnsi="Verdana" w:cs="Arial"/>
          <w:lang w:eastAsia="es-ES"/>
        </w:rPr>
      </w:pPr>
      <w:r w:rsidRPr="004D420E">
        <w:rPr>
          <w:rFonts w:ascii="Verdana" w:eastAsia="Calibri" w:hAnsi="Verdana" w:cs="Arial"/>
          <w:lang w:eastAsia="es-ES"/>
        </w:rPr>
        <w:t>Señor</w:t>
      </w:r>
    </w:p>
    <w:p w14:paraId="79D1F184" w14:textId="77777777" w:rsidR="00B62BDF" w:rsidRPr="004D420E" w:rsidRDefault="00B62BDF" w:rsidP="00B62BDF">
      <w:pPr>
        <w:spacing w:after="0" w:line="240" w:lineRule="auto"/>
        <w:jc w:val="both"/>
        <w:rPr>
          <w:rFonts w:ascii="Verdana" w:eastAsia="Calibri" w:hAnsi="Verdana" w:cs="Arial"/>
          <w:b/>
          <w:bCs/>
          <w:lang w:eastAsia="es-ES"/>
        </w:rPr>
      </w:pPr>
      <w:r w:rsidRPr="004D420E">
        <w:rPr>
          <w:rFonts w:ascii="Verdana" w:eastAsia="Calibri" w:hAnsi="Verdana" w:cs="Arial"/>
          <w:b/>
          <w:bCs/>
          <w:lang w:eastAsia="es-ES"/>
        </w:rPr>
        <w:t>Edgar Daniel Mantilla Blanco</w:t>
      </w:r>
    </w:p>
    <w:p w14:paraId="062B571C" w14:textId="77777777" w:rsidR="00B62BDF" w:rsidRPr="004D420E" w:rsidRDefault="00B62BDF" w:rsidP="00B62BDF">
      <w:pPr>
        <w:spacing w:after="0" w:line="240" w:lineRule="auto"/>
        <w:jc w:val="both"/>
        <w:rPr>
          <w:rFonts w:ascii="Verdana" w:eastAsia="Calibri" w:hAnsi="Verdana" w:cs="Arial"/>
          <w:lang w:eastAsia="es-ES"/>
        </w:rPr>
      </w:pPr>
      <w:r w:rsidRPr="004D420E">
        <w:rPr>
          <w:rFonts w:ascii="Verdana" w:eastAsia="Calibri" w:hAnsi="Verdana" w:cs="Arial"/>
          <w:lang w:eastAsia="es-ES"/>
        </w:rPr>
        <w:t>emantilla9@gmail.com</w:t>
      </w:r>
    </w:p>
    <w:p w14:paraId="47B96DEA" w14:textId="77777777" w:rsidR="00B62BDF" w:rsidRPr="004D420E" w:rsidRDefault="00B62BDF" w:rsidP="00B62BDF">
      <w:pPr>
        <w:spacing w:after="0" w:line="240" w:lineRule="auto"/>
        <w:rPr>
          <w:rFonts w:ascii="Verdana" w:eastAsia="Calibri" w:hAnsi="Verdana" w:cs="Arial"/>
          <w:b/>
          <w:bCs/>
          <w:lang w:eastAsia="es-ES"/>
        </w:rPr>
      </w:pPr>
      <w:r w:rsidRPr="004D420E">
        <w:rPr>
          <w:rFonts w:ascii="Verdana" w:eastAsia="Calibri" w:hAnsi="Verdana" w:cs="Arial"/>
          <w:lang w:eastAsia="es-ES"/>
        </w:rPr>
        <w:t>Valledupar, Cesar</w:t>
      </w:r>
    </w:p>
    <w:p w14:paraId="2FBA924F" w14:textId="77777777" w:rsidR="00B62BDF" w:rsidRPr="004D420E" w:rsidRDefault="00B62BDF" w:rsidP="00B62BDF">
      <w:pPr>
        <w:spacing w:after="0" w:line="240" w:lineRule="auto"/>
        <w:rPr>
          <w:rFonts w:ascii="Verdana" w:eastAsia="Calibri" w:hAnsi="Verdana" w:cs="Arial"/>
          <w:b/>
          <w:bCs/>
          <w:lang w:eastAsia="es-ES_tradnl"/>
        </w:rPr>
      </w:pPr>
    </w:p>
    <w:p w14:paraId="238BB48C" w14:textId="77777777" w:rsidR="00B62BDF" w:rsidRPr="004D420E" w:rsidRDefault="00B62BDF" w:rsidP="00B62BDF">
      <w:pPr>
        <w:spacing w:after="0" w:line="240" w:lineRule="auto"/>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62BDF" w:rsidRPr="004D420E" w14:paraId="5171D1D7" w14:textId="77777777" w:rsidTr="004E263A">
        <w:trPr>
          <w:trHeight w:val="190"/>
        </w:trPr>
        <w:tc>
          <w:tcPr>
            <w:tcW w:w="2689" w:type="dxa"/>
          </w:tcPr>
          <w:p w14:paraId="419A1C27" w14:textId="77777777" w:rsidR="00B62BDF" w:rsidRPr="004D420E" w:rsidRDefault="00B62BDF" w:rsidP="004E263A">
            <w:pPr>
              <w:jc w:val="both"/>
              <w:rPr>
                <w:rFonts w:ascii="Verdana" w:eastAsia="Calibri" w:hAnsi="Verdana" w:cs="Arial"/>
                <w:b/>
                <w:bCs/>
                <w:lang w:eastAsia="es-ES_tradnl"/>
              </w:rPr>
            </w:pPr>
          </w:p>
        </w:tc>
        <w:tc>
          <w:tcPr>
            <w:tcW w:w="6100" w:type="dxa"/>
          </w:tcPr>
          <w:p w14:paraId="5036CDF9" w14:textId="77777777" w:rsidR="00B62BDF" w:rsidRPr="004D420E" w:rsidRDefault="00B62BDF" w:rsidP="004E263A">
            <w:pPr>
              <w:jc w:val="both"/>
              <w:rPr>
                <w:rFonts w:ascii="Verdana" w:eastAsia="Calibri" w:hAnsi="Verdana" w:cs="Arial"/>
                <w:b/>
                <w:bCs/>
                <w:lang w:eastAsia="es-ES"/>
              </w:rPr>
            </w:pPr>
            <w:r w:rsidRPr="004D420E">
              <w:rPr>
                <w:rFonts w:ascii="Verdana" w:eastAsia="Calibri" w:hAnsi="Verdana" w:cs="Arial"/>
                <w:b/>
                <w:bCs/>
                <w:lang w:eastAsia="es-ES"/>
              </w:rPr>
              <w:t>Concepto C- 1404 de 2025</w:t>
            </w:r>
          </w:p>
          <w:p w14:paraId="6188A013" w14:textId="77777777" w:rsidR="00B62BDF" w:rsidRPr="004D420E" w:rsidRDefault="00B62BDF" w:rsidP="004E263A">
            <w:pPr>
              <w:jc w:val="both"/>
              <w:rPr>
                <w:rFonts w:ascii="Verdana" w:eastAsia="Calibri" w:hAnsi="Verdana" w:cs="Arial"/>
                <w:b/>
                <w:bCs/>
                <w:lang w:eastAsia="es-ES"/>
              </w:rPr>
            </w:pPr>
          </w:p>
        </w:tc>
      </w:tr>
      <w:tr w:rsidR="00B62BDF" w:rsidRPr="004D420E" w14:paraId="70D87406" w14:textId="77777777" w:rsidTr="004E263A">
        <w:trPr>
          <w:trHeight w:val="884"/>
        </w:trPr>
        <w:tc>
          <w:tcPr>
            <w:tcW w:w="2689" w:type="dxa"/>
          </w:tcPr>
          <w:p w14:paraId="168C1640" w14:textId="77777777" w:rsidR="00B62BDF" w:rsidRPr="004D420E" w:rsidRDefault="00B62BDF" w:rsidP="004E263A">
            <w:pPr>
              <w:jc w:val="both"/>
              <w:rPr>
                <w:rFonts w:ascii="Verdana" w:eastAsia="Calibri" w:hAnsi="Verdana" w:cs="Arial"/>
                <w:lang w:eastAsia="es-ES_tradnl"/>
              </w:rPr>
            </w:pPr>
            <w:r w:rsidRPr="004D420E">
              <w:rPr>
                <w:rFonts w:ascii="Verdana" w:eastAsia="Calibri" w:hAnsi="Verdana" w:cs="Arial"/>
                <w:b/>
                <w:lang w:eastAsia="es-ES_tradnl"/>
              </w:rPr>
              <w:t>Tema:</w:t>
            </w:r>
            <w:r w:rsidRPr="004D420E">
              <w:rPr>
                <w:rFonts w:ascii="Verdana" w:eastAsia="Calibri" w:hAnsi="Verdana" w:cs="Arial"/>
                <w:lang w:eastAsia="es-ES_tradnl"/>
              </w:rPr>
              <w:t xml:space="preserve">                   </w:t>
            </w:r>
          </w:p>
        </w:tc>
        <w:tc>
          <w:tcPr>
            <w:tcW w:w="6100" w:type="dxa"/>
          </w:tcPr>
          <w:p w14:paraId="173E535E" w14:textId="77777777" w:rsidR="00B62BDF" w:rsidRPr="001278F6" w:rsidRDefault="00B62BDF" w:rsidP="004E263A">
            <w:pPr>
              <w:widowControl w:val="0"/>
              <w:autoSpaceDE w:val="0"/>
              <w:autoSpaceDN w:val="0"/>
              <w:jc w:val="both"/>
              <w:rPr>
                <w:rFonts w:ascii="Verdana" w:eastAsia="Arial" w:hAnsi="Verdana" w:cs="Arial"/>
                <w:bCs/>
                <w:lang w:val="es-ES_tradnl"/>
              </w:rPr>
            </w:pPr>
            <w:r w:rsidRPr="001278F6">
              <w:rPr>
                <w:rFonts w:ascii="Verdana" w:eastAsia="Calibri" w:hAnsi="Verdana" w:cs="Arial"/>
                <w:bCs/>
                <w:color w:val="000000"/>
                <w:lang w:val="es-ES"/>
              </w:rPr>
              <w:t xml:space="preserve">PRECIOS UNITARIOS – APU – AIU – Diferencias / </w:t>
            </w:r>
            <w:r w:rsidRPr="001278F6">
              <w:rPr>
                <w:rFonts w:ascii="Verdana" w:eastAsia="Calibri" w:hAnsi="Verdana" w:cs="Arial"/>
                <w:bCs/>
                <w:lang w:val="es-ES"/>
              </w:rPr>
              <w:t xml:space="preserve">AIU – Costos indirectos – Finalidad – Ejecución del contrato / </w:t>
            </w:r>
            <w:r w:rsidRPr="001278F6">
              <w:rPr>
                <w:rFonts w:ascii="Verdana" w:eastAsia="Aptos" w:hAnsi="Verdana" w:cs="Arial"/>
                <w:bCs/>
                <w:lang w:eastAsia="es-CO"/>
              </w:rPr>
              <w:t xml:space="preserve">AIU – Componentes – Discrecionalidad / </w:t>
            </w:r>
            <w:r w:rsidRPr="001278F6">
              <w:rPr>
                <w:rFonts w:ascii="Verdana" w:eastAsia="Calibri" w:hAnsi="Verdana" w:cs="Arial"/>
                <w:bCs/>
                <w:color w:val="000000"/>
                <w:lang w:val="es-ES"/>
              </w:rPr>
              <w:t>PRECIOS UNITARIOS – APU – Obras adicionales – ítems no previstos</w:t>
            </w:r>
          </w:p>
          <w:p w14:paraId="4D1106E1" w14:textId="77777777" w:rsidR="00B62BDF" w:rsidRPr="004D420E" w:rsidRDefault="00B62BDF" w:rsidP="004E263A">
            <w:pPr>
              <w:jc w:val="both"/>
              <w:rPr>
                <w:rFonts w:ascii="Verdana" w:eastAsia="Calibri" w:hAnsi="Verdana" w:cs="Arial"/>
                <w:lang w:val="es-ES" w:eastAsia="es-ES"/>
              </w:rPr>
            </w:pPr>
            <w:r w:rsidRPr="004D420E">
              <w:rPr>
                <w:rFonts w:ascii="Verdana" w:eastAsia="Calibri" w:hAnsi="Verdana" w:cs="Arial"/>
                <w:lang w:val="es-ES" w:eastAsia="es-ES"/>
              </w:rPr>
              <w:t xml:space="preserve"> </w:t>
            </w:r>
          </w:p>
          <w:p w14:paraId="2141B564" w14:textId="77777777" w:rsidR="00B62BDF" w:rsidRPr="004D420E" w:rsidRDefault="00B62BDF" w:rsidP="004E263A">
            <w:pPr>
              <w:jc w:val="both"/>
              <w:rPr>
                <w:rFonts w:ascii="Verdana" w:eastAsia="Calibri" w:hAnsi="Verdana" w:cs="Arial"/>
                <w:lang w:eastAsia="es-ES"/>
              </w:rPr>
            </w:pPr>
          </w:p>
        </w:tc>
      </w:tr>
      <w:tr w:rsidR="00B62BDF" w:rsidRPr="004D420E" w14:paraId="5226B836" w14:textId="77777777" w:rsidTr="004E263A">
        <w:tc>
          <w:tcPr>
            <w:tcW w:w="2689" w:type="dxa"/>
          </w:tcPr>
          <w:p w14:paraId="3AE7FAF3" w14:textId="77777777" w:rsidR="00B62BDF" w:rsidRPr="004D420E" w:rsidRDefault="00B62BDF" w:rsidP="004E263A">
            <w:pPr>
              <w:jc w:val="both"/>
              <w:rPr>
                <w:rFonts w:ascii="Verdana" w:eastAsia="Calibri" w:hAnsi="Verdana" w:cs="Arial"/>
                <w:b/>
                <w:lang w:eastAsia="es-ES_tradnl"/>
              </w:rPr>
            </w:pPr>
            <w:r w:rsidRPr="004D420E">
              <w:rPr>
                <w:rFonts w:ascii="Verdana" w:eastAsia="Calibri" w:hAnsi="Verdana" w:cs="Arial"/>
                <w:b/>
                <w:lang w:eastAsia="es-ES_tradnl"/>
              </w:rPr>
              <w:t>Radicación:</w:t>
            </w:r>
            <w:r w:rsidRPr="004D420E">
              <w:rPr>
                <w:rFonts w:ascii="Verdana" w:eastAsia="Calibri" w:hAnsi="Verdana" w:cs="Arial"/>
                <w:lang w:eastAsia="es-ES_tradnl"/>
              </w:rPr>
              <w:t xml:space="preserve">               </w:t>
            </w:r>
          </w:p>
        </w:tc>
        <w:tc>
          <w:tcPr>
            <w:tcW w:w="6100" w:type="dxa"/>
          </w:tcPr>
          <w:p w14:paraId="7092FDFD" w14:textId="77777777" w:rsidR="00B62BDF" w:rsidRPr="004D420E" w:rsidRDefault="00B62BDF" w:rsidP="004E263A">
            <w:pPr>
              <w:jc w:val="both"/>
              <w:rPr>
                <w:rFonts w:ascii="Verdana" w:eastAsia="Calibri" w:hAnsi="Verdana" w:cs="Arial"/>
                <w:lang w:eastAsia="es-ES_tradnl"/>
              </w:rPr>
            </w:pPr>
            <w:r w:rsidRPr="004D420E">
              <w:rPr>
                <w:rFonts w:ascii="Verdana" w:eastAsia="Calibri" w:hAnsi="Verdana" w:cs="Arial"/>
                <w:lang w:eastAsia="es-ES_tradnl"/>
              </w:rPr>
              <w:t>Respuesta a consulta con radicado No. 1_2025_09_29_010787</w:t>
            </w:r>
          </w:p>
        </w:tc>
      </w:tr>
    </w:tbl>
    <w:p w14:paraId="3275DFA3" w14:textId="77777777" w:rsidR="00B62BDF" w:rsidRPr="004D420E" w:rsidRDefault="00B62BDF" w:rsidP="00B62BDF">
      <w:pPr>
        <w:spacing w:after="0" w:line="240" w:lineRule="auto"/>
        <w:jc w:val="both"/>
        <w:rPr>
          <w:rFonts w:ascii="Verdana" w:eastAsia="Calibri" w:hAnsi="Verdana" w:cs="Arial"/>
          <w:lang w:eastAsia="es-ES_tradnl"/>
        </w:rPr>
      </w:pPr>
    </w:p>
    <w:p w14:paraId="6F1138E5" w14:textId="77777777" w:rsidR="00B62BDF" w:rsidRPr="004D420E" w:rsidRDefault="00B62BDF" w:rsidP="00B62BDF">
      <w:pPr>
        <w:spacing w:after="0" w:line="276" w:lineRule="auto"/>
        <w:jc w:val="both"/>
        <w:rPr>
          <w:rFonts w:ascii="Verdana" w:eastAsia="Calibri" w:hAnsi="Verdana" w:cs="Arial"/>
          <w:lang w:eastAsia="es-ES"/>
        </w:rPr>
      </w:pPr>
    </w:p>
    <w:p w14:paraId="02C08A61" w14:textId="77777777" w:rsidR="00B62BDF" w:rsidRPr="004D420E" w:rsidRDefault="00B62BDF" w:rsidP="00B62BDF">
      <w:pPr>
        <w:spacing w:after="0" w:line="276" w:lineRule="auto"/>
        <w:jc w:val="both"/>
        <w:rPr>
          <w:rFonts w:ascii="Verdana" w:eastAsia="Calibri" w:hAnsi="Verdana" w:cs="Arial"/>
          <w:lang w:eastAsia="es-ES"/>
        </w:rPr>
      </w:pPr>
      <w:r w:rsidRPr="004D420E">
        <w:rPr>
          <w:rFonts w:ascii="Verdana" w:eastAsia="Calibri" w:hAnsi="Verdana" w:cs="Arial"/>
          <w:lang w:eastAsia="es-ES"/>
        </w:rPr>
        <w:t xml:space="preserve">Estimado señor Mantilla: </w:t>
      </w:r>
    </w:p>
    <w:p w14:paraId="2F894EFB" w14:textId="77777777" w:rsidR="00B62BDF" w:rsidRPr="004D420E" w:rsidRDefault="00B62BDF" w:rsidP="00B62BDF">
      <w:pPr>
        <w:tabs>
          <w:tab w:val="left" w:pos="3768"/>
        </w:tabs>
        <w:spacing w:after="0" w:line="276" w:lineRule="auto"/>
        <w:jc w:val="both"/>
        <w:rPr>
          <w:rFonts w:ascii="Verdana" w:eastAsia="Calibri" w:hAnsi="Verdana" w:cs="Arial"/>
          <w:lang w:eastAsia="es-ES"/>
        </w:rPr>
      </w:pPr>
    </w:p>
    <w:p w14:paraId="41A7BF50" w14:textId="77777777" w:rsidR="00B62BDF" w:rsidRPr="004D420E" w:rsidRDefault="00B62BDF" w:rsidP="00B62BDF">
      <w:pPr>
        <w:spacing w:after="0" w:line="276" w:lineRule="auto"/>
        <w:jc w:val="both"/>
        <w:rPr>
          <w:rFonts w:ascii="Verdana" w:eastAsia="Calibri" w:hAnsi="Verdana" w:cs="Arial"/>
          <w:lang w:eastAsia="es-ES"/>
        </w:rPr>
      </w:pPr>
      <w:r w:rsidRPr="004D420E">
        <w:rPr>
          <w:rFonts w:ascii="Verdana" w:eastAsia="Calibri" w:hAnsi="Verdana" w:cs="Arial"/>
          <w:lang w:eastAsia="es-ES"/>
        </w:rPr>
        <w:t>En ejercicio de la competencia otorgada por los artículos 3, numeral 5º, y 11, numeral 8º, del Decreto Ley 4170 de 2011,</w:t>
      </w:r>
      <w:r w:rsidRPr="004D420E">
        <w:rPr>
          <w:rFonts w:ascii="Verdana" w:eastAsia="Arial MT" w:hAnsi="Verdana" w:cs="Arial MT"/>
          <w:lang w:eastAsia="es-ES"/>
        </w:rPr>
        <w:t xml:space="preserve"> </w:t>
      </w:r>
      <w:r w:rsidRPr="004D420E">
        <w:rPr>
          <w:rFonts w:ascii="Verdana" w:hAnsi="Verdana" w:cs="Arial"/>
        </w:rPr>
        <w:t xml:space="preserve">así como lo establecido en el artículo 4 de la Resolución 1707 de 2018 expedida por esta Entidad, </w:t>
      </w:r>
      <w:r w:rsidRPr="004D420E">
        <w:rPr>
          <w:rFonts w:ascii="Verdana" w:eastAsia="Calibri" w:hAnsi="Verdana" w:cs="Arial"/>
          <w:lang w:eastAsia="es-ES"/>
        </w:rPr>
        <w:t xml:space="preserve">la Agencia Nacional de Contratación Pública – Colombia Compra Eficiente– responde su solicitud de consulta de fecha del 29 de septiembre de 2025, en la cual manifiesta lo siguiente: </w:t>
      </w:r>
    </w:p>
    <w:p w14:paraId="5B633F85" w14:textId="77777777" w:rsidR="00B62BDF" w:rsidRPr="004D420E" w:rsidRDefault="00B62BDF" w:rsidP="00B62BDF">
      <w:pPr>
        <w:spacing w:after="0" w:line="276" w:lineRule="auto"/>
        <w:jc w:val="both"/>
        <w:rPr>
          <w:rFonts w:ascii="Verdana" w:eastAsia="Calibri" w:hAnsi="Verdana" w:cs="Arial"/>
          <w:lang w:eastAsia="es-ES"/>
        </w:rPr>
      </w:pPr>
    </w:p>
    <w:p w14:paraId="0988BAE5" w14:textId="77777777" w:rsidR="00B62BDF" w:rsidRPr="004D420E" w:rsidRDefault="00B62BDF" w:rsidP="00B62BDF">
      <w:pPr>
        <w:spacing w:after="0" w:line="240" w:lineRule="auto"/>
        <w:ind w:left="709" w:right="709"/>
        <w:jc w:val="both"/>
        <w:rPr>
          <w:rFonts w:ascii="Verdana" w:eastAsia="Calibri" w:hAnsi="Verdana" w:cs="Arial"/>
          <w:sz w:val="20"/>
          <w:szCs w:val="20"/>
          <w:lang w:eastAsia="es-ES"/>
        </w:rPr>
      </w:pPr>
      <w:r w:rsidRPr="004D420E">
        <w:rPr>
          <w:rFonts w:ascii="Verdana" w:eastAsia="Calibri" w:hAnsi="Verdana" w:cs="Arial"/>
          <w:sz w:val="20"/>
          <w:szCs w:val="20"/>
          <w:lang w:eastAsia="es-ES"/>
        </w:rPr>
        <w:t>“Cordial saludo, me gustaría solicitar un concepto donde se aclare si el pago del impuesto de Industria y Comercio se puede considerar como un costo a incluir dentro de la Administración del contrato de obra pública o interventoría, así como las estampillas y demás impuestos nacionales. Muchas gracias”. [sic]</w:t>
      </w:r>
    </w:p>
    <w:p w14:paraId="5D76940B" w14:textId="77777777" w:rsidR="00B62BDF" w:rsidRPr="004D420E" w:rsidRDefault="00B62BDF" w:rsidP="00B62BDF">
      <w:pPr>
        <w:spacing w:after="0" w:line="276" w:lineRule="auto"/>
        <w:ind w:left="709" w:right="709"/>
        <w:jc w:val="both"/>
        <w:rPr>
          <w:rFonts w:ascii="Verdana" w:eastAsia="Calibri" w:hAnsi="Verdana" w:cs="Arial"/>
          <w:lang w:eastAsia="es-ES"/>
        </w:rPr>
      </w:pPr>
    </w:p>
    <w:p w14:paraId="291A5452" w14:textId="77777777" w:rsidR="00B62BDF" w:rsidRPr="004D420E" w:rsidRDefault="00B62BDF" w:rsidP="00B62BDF">
      <w:pPr>
        <w:spacing w:after="120" w:line="276" w:lineRule="auto"/>
        <w:ind w:firstLine="709"/>
        <w:jc w:val="both"/>
        <w:rPr>
          <w:rFonts w:ascii="Verdana" w:eastAsia="Calibri" w:hAnsi="Verdana" w:cs="Arial"/>
          <w:szCs w:val="24"/>
          <w:lang w:eastAsia="es-ES_tradnl"/>
        </w:rPr>
      </w:pPr>
      <w:r w:rsidRPr="004D420E">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4D420E">
        <w:rPr>
          <w:rFonts w:ascii="Verdana" w:eastAsia="Calibri" w:hAnsi="Verdana" w:cs="Arial"/>
          <w:szCs w:val="24"/>
          <w:lang w:eastAsia="es-ES_tradnl"/>
        </w:rPr>
        <w:tab/>
      </w:r>
    </w:p>
    <w:p w14:paraId="72219DF6" w14:textId="77777777" w:rsidR="00B62BDF" w:rsidRPr="004D420E" w:rsidRDefault="00B62BDF" w:rsidP="00B62BDF">
      <w:pPr>
        <w:spacing w:after="0" w:line="276" w:lineRule="auto"/>
        <w:ind w:firstLine="709"/>
        <w:jc w:val="both"/>
        <w:rPr>
          <w:rFonts w:ascii="Verdana" w:eastAsia="Calibri" w:hAnsi="Verdana" w:cs="Arial"/>
          <w:lang w:eastAsia="es-ES"/>
        </w:rPr>
      </w:pPr>
      <w:r w:rsidRPr="004D420E">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el problema jurídico de su consulta. </w:t>
      </w:r>
    </w:p>
    <w:p w14:paraId="0EB5CDD9" w14:textId="77777777" w:rsidR="00B62BDF" w:rsidRPr="004D420E" w:rsidRDefault="00B62BDF" w:rsidP="00B62BDF">
      <w:pPr>
        <w:spacing w:after="0" w:line="276" w:lineRule="auto"/>
        <w:ind w:firstLine="709"/>
        <w:jc w:val="both"/>
        <w:rPr>
          <w:rFonts w:ascii="Verdana" w:eastAsia="Calibri" w:hAnsi="Verdana" w:cs="Arial"/>
          <w:lang w:eastAsia="es-ES"/>
        </w:rPr>
      </w:pPr>
    </w:p>
    <w:p w14:paraId="6FA6AB76" w14:textId="77777777" w:rsidR="00B62BDF" w:rsidRPr="004D420E" w:rsidRDefault="00B62BDF" w:rsidP="00B62BD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4D420E">
        <w:rPr>
          <w:rFonts w:ascii="Verdana" w:eastAsia="Century Gothic" w:hAnsi="Verdana" w:cs="Century Gothic"/>
          <w:b/>
          <w:bCs/>
          <w:lang w:val="es-CO"/>
        </w:rPr>
        <w:t>Problema planteado:</w:t>
      </w:r>
    </w:p>
    <w:p w14:paraId="680CBF75" w14:textId="77777777" w:rsidR="00B62BDF" w:rsidRPr="004D420E" w:rsidRDefault="00B62BDF" w:rsidP="00B62BDF">
      <w:pPr>
        <w:tabs>
          <w:tab w:val="left" w:pos="426"/>
        </w:tabs>
        <w:spacing w:after="0" w:line="276" w:lineRule="auto"/>
        <w:jc w:val="both"/>
        <w:rPr>
          <w:rFonts w:ascii="Verdana" w:eastAsia="Century Gothic" w:hAnsi="Verdana" w:cs="Century Gothic"/>
        </w:rPr>
      </w:pPr>
    </w:p>
    <w:p w14:paraId="4C19D36E" w14:textId="77777777" w:rsidR="00B62BDF" w:rsidRPr="004D420E" w:rsidRDefault="00B62BDF" w:rsidP="00B62BDF">
      <w:pPr>
        <w:spacing w:after="0" w:line="276" w:lineRule="auto"/>
        <w:ind w:firstLine="709"/>
        <w:jc w:val="both"/>
        <w:rPr>
          <w:rFonts w:ascii="Verdana" w:eastAsia="Calibri" w:hAnsi="Verdana" w:cs="Arial"/>
          <w:lang w:eastAsia="es-ES"/>
        </w:rPr>
      </w:pPr>
      <w:r w:rsidRPr="004D420E">
        <w:rPr>
          <w:rFonts w:ascii="Verdana" w:eastAsia="Calibri" w:hAnsi="Verdana" w:cs="Arial"/>
          <w:lang w:eastAsia="es-ES"/>
        </w:rPr>
        <w:t>De acuerdo con el contenido de su solicitud, esta Agencia resolverá el siguiente problema jurídico ¿</w:t>
      </w:r>
      <w:r>
        <w:rPr>
          <w:rFonts w:ascii="Verdana" w:eastAsia="Calibri" w:hAnsi="Verdana" w:cs="Arial"/>
          <w:lang w:eastAsia="es-ES"/>
        </w:rPr>
        <w:t>El</w:t>
      </w:r>
      <w:r w:rsidRPr="004D420E">
        <w:rPr>
          <w:rFonts w:ascii="Verdana" w:eastAsia="Calibri" w:hAnsi="Verdana" w:cs="Arial"/>
          <w:lang w:eastAsia="es-ES"/>
        </w:rPr>
        <w:t xml:space="preserve"> pago del Impuesto de Industria y Comercio (ICA), así como el de estampillas y demás tributos de carácter nacional, puede ser considerado como un costo imputable al componente de Administración dentro de los contratos de obra pública o de interventoría</w:t>
      </w:r>
      <w:r w:rsidRPr="004D420E">
        <w:rPr>
          <w:rFonts w:ascii="Verdana" w:eastAsia="Century Gothic" w:hAnsi="Verdana" w:cs="Century Gothic"/>
        </w:rPr>
        <w:t>?</w:t>
      </w:r>
    </w:p>
    <w:p w14:paraId="15D0FA55" w14:textId="77777777" w:rsidR="00B62BDF" w:rsidRPr="004D420E" w:rsidRDefault="00B62BDF" w:rsidP="00B62BDF">
      <w:pPr>
        <w:spacing w:after="0" w:line="276" w:lineRule="auto"/>
        <w:jc w:val="both"/>
        <w:rPr>
          <w:rFonts w:ascii="Verdana" w:eastAsia="Century Gothic" w:hAnsi="Verdana" w:cs="Century Gothic"/>
        </w:rPr>
      </w:pPr>
    </w:p>
    <w:p w14:paraId="0D203A6A" w14:textId="77777777" w:rsidR="00B62BDF" w:rsidRPr="004D420E" w:rsidRDefault="00B62BDF" w:rsidP="00B62BD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4D420E">
        <w:rPr>
          <w:rFonts w:ascii="Verdana" w:eastAsia="Century Gothic" w:hAnsi="Verdana" w:cs="Century Gothic"/>
          <w:b/>
          <w:bCs/>
          <w:lang w:val="es-CO"/>
        </w:rPr>
        <w:t>Respuesta:</w:t>
      </w:r>
    </w:p>
    <w:p w14:paraId="286DBC71" w14:textId="77777777" w:rsidR="00B62BDF" w:rsidRPr="004D420E" w:rsidRDefault="00B62BDF" w:rsidP="00B62BDF">
      <w:pPr>
        <w:tabs>
          <w:tab w:val="left" w:pos="142"/>
          <w:tab w:val="left" w:pos="284"/>
        </w:tabs>
        <w:spacing w:after="0" w:line="276" w:lineRule="auto"/>
        <w:jc w:val="both"/>
        <w:rPr>
          <w:rFonts w:ascii="Verdana" w:eastAsia="Century Gothic" w:hAnsi="Verdana" w:cs="Century Gothic"/>
          <w:b/>
          <w:bCs/>
        </w:rPr>
      </w:pPr>
    </w:p>
    <w:p w14:paraId="673FCD92" w14:textId="61EC3259" w:rsidR="54D29886" w:rsidRDefault="54D29886"/>
    <w:p w14:paraId="0A13DE8C" w14:textId="10773F9C" w:rsidR="54D29886" w:rsidRDefault="54D29886"/>
    <w:p w14:paraId="7EB70CD6" w14:textId="1BA4798A" w:rsidR="54D29886" w:rsidRDefault="54D29886"/>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62BDF" w:rsidRPr="002C675F" w14:paraId="3E14273E" w14:textId="77777777" w:rsidTr="004E263A">
        <w:trPr>
          <w:jc w:val="center"/>
        </w:trPr>
        <w:tc>
          <w:tcPr>
            <w:tcW w:w="8828" w:type="dxa"/>
            <w:shd w:val="clear" w:color="auto" w:fill="auto"/>
          </w:tcPr>
          <w:p w14:paraId="7717C4B5" w14:textId="7CC4A326" w:rsidR="00B62BDF" w:rsidRDefault="145720D2" w:rsidP="0043219C">
            <w:pPr>
              <w:snapToGrid w:val="0"/>
              <w:spacing w:before="120" w:line="276" w:lineRule="auto"/>
              <w:ind w:firstLine="709"/>
              <w:jc w:val="both"/>
              <w:rPr>
                <w:rFonts w:ascii="Verdana" w:eastAsia="Calibri" w:hAnsi="Verdana" w:cs="Arial"/>
                <w:lang w:val="es-ES" w:eastAsia="es-ES"/>
              </w:rPr>
            </w:pPr>
            <w:bookmarkStart w:id="1" w:name="_Hlk171694685"/>
            <w:r w:rsidRPr="54D29886">
              <w:rPr>
                <w:rFonts w:ascii="Verdana" w:eastAsia="Calibri" w:hAnsi="Verdana" w:cs="Arial"/>
                <w:lang w:val="es-ES" w:eastAsia="es-ES"/>
              </w:rPr>
              <w:lastRenderedPageBreak/>
              <w:t xml:space="preserve">De acuerdo con la </w:t>
            </w:r>
            <w:r w:rsidRPr="43D95AEF">
              <w:rPr>
                <w:rFonts w:ascii="Verdana" w:eastAsia="Calibri" w:hAnsi="Verdana" w:cs="Arial"/>
                <w:lang w:val="es-ES" w:eastAsia="es-ES"/>
              </w:rPr>
              <w:t>jurisprudencia emitida por la Sección</w:t>
            </w:r>
            <w:r w:rsidRPr="54D29886">
              <w:rPr>
                <w:rFonts w:ascii="Verdana" w:eastAsia="Calibri" w:hAnsi="Verdana" w:cs="Arial"/>
                <w:lang w:val="es-ES" w:eastAsia="es-ES"/>
              </w:rPr>
              <w:t xml:space="preserve"> Tercera del Consejo de Estado, el AIU, concepto de común utilización en los contratos de tracto sucesivo –entre ellos, los contratos de obra– no cuenta con una definición normativa, pero hay elementos que permiten precisar su alcance, así: </w:t>
            </w:r>
          </w:p>
          <w:p w14:paraId="51D7B9E5" w14:textId="77777777" w:rsidR="00B62BDF" w:rsidRDefault="145720D2" w:rsidP="54D29886">
            <w:pPr>
              <w:tabs>
                <w:tab w:val="left" w:pos="709"/>
              </w:tabs>
              <w:snapToGrid w:val="0"/>
              <w:spacing w:before="120" w:after="120"/>
              <w:ind w:left="709" w:right="709"/>
              <w:jc w:val="both"/>
              <w:rPr>
                <w:rFonts w:ascii="Verdana" w:eastAsia="Calibri" w:hAnsi="Verdana" w:cs="Arial"/>
                <w:sz w:val="21"/>
                <w:szCs w:val="21"/>
                <w:lang w:val="es-ES" w:eastAsia="es-ES"/>
              </w:rPr>
            </w:pPr>
            <w:r w:rsidRPr="54D29886">
              <w:rPr>
                <w:rFonts w:ascii="Verdana" w:eastAsia="Calibri" w:hAnsi="Verdana" w:cs="Arial"/>
                <w:sz w:val="21"/>
                <w:szCs w:val="21"/>
                <w:lang w:val="es-ES" w:eastAsia="es-ES"/>
              </w:rPr>
              <w:t xml:space="preserve">“[…] el AIU propuesto para el contrato, corresponde a: </w:t>
            </w:r>
          </w:p>
          <w:p w14:paraId="2EFC2D55" w14:textId="77777777" w:rsidR="00B62BDF" w:rsidRDefault="145720D2" w:rsidP="54D29886">
            <w:pPr>
              <w:tabs>
                <w:tab w:val="left" w:pos="709"/>
              </w:tabs>
              <w:snapToGrid w:val="0"/>
              <w:spacing w:before="120" w:after="120"/>
              <w:ind w:left="709" w:right="709"/>
              <w:jc w:val="both"/>
              <w:rPr>
                <w:rFonts w:ascii="Verdana" w:eastAsia="Calibri" w:hAnsi="Verdana" w:cs="Arial"/>
                <w:sz w:val="21"/>
                <w:szCs w:val="21"/>
                <w:lang w:val="es-ES" w:eastAsia="es-ES"/>
              </w:rPr>
            </w:pPr>
            <w:r w:rsidRPr="54D29886">
              <w:rPr>
                <w:rFonts w:ascii="Verdana" w:eastAsia="Calibri" w:hAnsi="Verdana" w:cs="Arial"/>
                <w:sz w:val="21"/>
                <w:szCs w:val="21"/>
                <w:lang w:val="es-ES" w:eastAsia="es-ES"/>
              </w:rPr>
              <w:t xml:space="preserve">i) los costos de administración o costos indirectos para la operación del contrato, tales como los gastos de disponibilidad de la organización del contratista, esto es: A; </w:t>
            </w:r>
          </w:p>
          <w:p w14:paraId="5F2BDB8E" w14:textId="77777777" w:rsidR="00B62BDF" w:rsidRDefault="145720D2" w:rsidP="54D29886">
            <w:pPr>
              <w:tabs>
                <w:tab w:val="left" w:pos="709"/>
              </w:tabs>
              <w:snapToGrid w:val="0"/>
              <w:spacing w:before="120" w:after="120"/>
              <w:ind w:left="709" w:right="709"/>
              <w:jc w:val="both"/>
              <w:rPr>
                <w:rFonts w:ascii="Verdana" w:eastAsia="Calibri" w:hAnsi="Verdana" w:cs="Arial"/>
                <w:sz w:val="21"/>
                <w:szCs w:val="21"/>
                <w:lang w:val="es-ES" w:eastAsia="es-ES"/>
              </w:rPr>
            </w:pPr>
            <w:proofErr w:type="spellStart"/>
            <w:r w:rsidRPr="54D29886">
              <w:rPr>
                <w:rFonts w:ascii="Verdana" w:eastAsia="Calibri" w:hAnsi="Verdana" w:cs="Arial"/>
                <w:sz w:val="21"/>
                <w:szCs w:val="21"/>
                <w:lang w:val="es-ES" w:eastAsia="es-ES"/>
              </w:rPr>
              <w:t>ii</w:t>
            </w:r>
            <w:proofErr w:type="spellEnd"/>
            <w:r w:rsidRPr="54D29886">
              <w:rPr>
                <w:rFonts w:ascii="Verdana" w:eastAsia="Calibri" w:hAnsi="Verdana" w:cs="Arial"/>
                <w:sz w:val="21"/>
                <w:szCs w:val="21"/>
                <w:lang w:val="es-ES" w:eastAsia="es-ES"/>
              </w:rPr>
              <w:t xml:space="preserve">) los imprevistos, que es el porcentaje destinado a cubrir los gastos con los que no se contaba y que se presenten durante la ejecución del contrato, esto es, el </w:t>
            </w:r>
            <w:proofErr w:type="spellStart"/>
            <w:r w:rsidRPr="54D29886">
              <w:rPr>
                <w:rFonts w:ascii="Verdana" w:eastAsia="Calibri" w:hAnsi="Verdana" w:cs="Arial"/>
                <w:sz w:val="21"/>
                <w:szCs w:val="21"/>
                <w:lang w:val="es-ES" w:eastAsia="es-ES"/>
              </w:rPr>
              <w:t>álea</w:t>
            </w:r>
            <w:proofErr w:type="spellEnd"/>
            <w:r w:rsidRPr="54D29886">
              <w:rPr>
                <w:rFonts w:ascii="Verdana" w:eastAsia="Calibri" w:hAnsi="Verdana" w:cs="Arial"/>
                <w:sz w:val="21"/>
                <w:szCs w:val="21"/>
                <w:lang w:val="es-ES" w:eastAsia="es-ES"/>
              </w:rPr>
              <w:t xml:space="preserve"> normal del contrato: I; </w:t>
            </w:r>
          </w:p>
          <w:p w14:paraId="50DEBEE7" w14:textId="77777777" w:rsidR="00B62BDF" w:rsidRDefault="145720D2" w:rsidP="54D29886">
            <w:pPr>
              <w:tabs>
                <w:tab w:val="left" w:pos="709"/>
              </w:tabs>
              <w:snapToGrid w:val="0"/>
              <w:spacing w:before="120" w:after="120"/>
              <w:ind w:left="709" w:right="709"/>
              <w:jc w:val="both"/>
              <w:rPr>
                <w:rFonts w:ascii="Verdana" w:eastAsia="Calibri" w:hAnsi="Verdana" w:cs="Arial"/>
                <w:sz w:val="21"/>
                <w:szCs w:val="21"/>
                <w:lang w:val="es-ES" w:eastAsia="es-ES"/>
              </w:rPr>
            </w:pPr>
            <w:proofErr w:type="spellStart"/>
            <w:r w:rsidRPr="54D29886">
              <w:rPr>
                <w:rFonts w:ascii="Verdana" w:eastAsia="Calibri" w:hAnsi="Verdana" w:cs="Arial"/>
                <w:sz w:val="21"/>
                <w:szCs w:val="21"/>
                <w:lang w:val="es-ES" w:eastAsia="es-ES"/>
              </w:rPr>
              <w:t>iii</w:t>
            </w:r>
            <w:proofErr w:type="spellEnd"/>
            <w:r w:rsidRPr="54D29886">
              <w:rPr>
                <w:rFonts w:ascii="Verdana" w:eastAsia="Calibri" w:hAnsi="Verdana" w:cs="Arial"/>
                <w:sz w:val="21"/>
                <w:szCs w:val="21"/>
                <w:lang w:val="es-ES" w:eastAsia="es-ES"/>
              </w:rPr>
              <w:t xml:space="preserve">) la utilidad o el beneficio económico que pretende percibir el contratista por la ejecución del contrato, esto es: U. </w:t>
            </w:r>
          </w:p>
          <w:p w14:paraId="761ABEDF" w14:textId="1B4ECE9B" w:rsidR="00B62BDF" w:rsidRDefault="145720D2" w:rsidP="54D29886">
            <w:pPr>
              <w:tabs>
                <w:tab w:val="left" w:pos="709"/>
              </w:tabs>
              <w:snapToGrid w:val="0"/>
              <w:spacing w:before="120"/>
              <w:ind w:left="709" w:right="709"/>
              <w:jc w:val="both"/>
              <w:rPr>
                <w:rFonts w:ascii="Verdana" w:eastAsia="Calibri" w:hAnsi="Verdana" w:cs="Arial"/>
                <w:sz w:val="21"/>
                <w:szCs w:val="21"/>
                <w:lang w:val="es-ES" w:eastAsia="es-ES"/>
              </w:rPr>
            </w:pPr>
            <w:r w:rsidRPr="54D29886">
              <w:rPr>
                <w:rFonts w:ascii="Verdana" w:eastAsia="Calibri" w:hAnsi="Verdana" w:cs="Arial"/>
                <w:sz w:val="21"/>
                <w:szCs w:val="21"/>
                <w:lang w:val="es-ES" w:eastAsia="es-ES"/>
              </w:rPr>
              <w:t>Ahora, teniendo en cuenta que no existe ninguna reglamentación que establezca porcentajes mínimos o máximos para determinar el A.I.U., cada empresa o comerciante de acuerdo con su infraestructura, experiencia, las condiciones del mercado, la naturaleza del contrato a celebrar, entre otros factores, establece su estructura de costos conforme a la cual se compromete a ejecutar cabalmente un contrato en el caso de que le sea adjudicado”</w:t>
            </w:r>
            <w:r w:rsidR="00B62BDF" w:rsidRPr="54D29886">
              <w:rPr>
                <w:rFonts w:ascii="Verdana" w:eastAsia="Calibri" w:hAnsi="Verdana" w:cs="Arial"/>
                <w:sz w:val="21"/>
                <w:szCs w:val="21"/>
                <w:vertAlign w:val="superscript"/>
                <w:lang w:val="es-ES" w:eastAsia="es-ES"/>
              </w:rPr>
              <w:footnoteReference w:id="2"/>
            </w:r>
            <w:r w:rsidRPr="54D29886">
              <w:rPr>
                <w:rFonts w:ascii="Verdana" w:eastAsia="Calibri" w:hAnsi="Verdana" w:cs="Arial"/>
                <w:sz w:val="21"/>
                <w:szCs w:val="21"/>
                <w:lang w:val="es-ES" w:eastAsia="es-ES"/>
              </w:rPr>
              <w:t>.</w:t>
            </w:r>
            <w:r w:rsidRPr="54D29886">
              <w:rPr>
                <w:rFonts w:ascii="Verdana" w:eastAsia="Calibri" w:hAnsi="Verdana" w:cs="Arial"/>
                <w:color w:val="000000" w:themeColor="text1"/>
                <w:lang w:val="es-ES"/>
              </w:rPr>
              <w:t xml:space="preserve"> </w:t>
            </w:r>
          </w:p>
          <w:p w14:paraId="14E2FCEA" w14:textId="694960F7" w:rsidR="00B62BDF" w:rsidRDefault="00B62BDF" w:rsidP="004E263A">
            <w:pPr>
              <w:snapToGrid w:val="0"/>
              <w:spacing w:before="120" w:line="276" w:lineRule="auto"/>
              <w:ind w:firstLine="709"/>
              <w:jc w:val="both"/>
              <w:rPr>
                <w:rFonts w:ascii="Verdana" w:eastAsia="Calibri" w:hAnsi="Verdana" w:cs="Arial"/>
                <w:iCs/>
                <w:color w:val="000000"/>
                <w:lang w:val="es-ES"/>
              </w:rPr>
            </w:pPr>
            <w:r w:rsidRPr="001278F6">
              <w:rPr>
                <w:rFonts w:ascii="Verdana" w:eastAsia="Calibri" w:hAnsi="Verdana" w:cs="Arial"/>
                <w:iCs/>
                <w:color w:val="000000"/>
                <w:lang w:val="es-ES"/>
              </w:rPr>
              <w:t>La Agencia Nacional de Contratación Pública – Colombia Compra Eficiente considera que, para la determinación de “</w:t>
            </w:r>
            <w:r w:rsidRPr="00DF5E8B">
              <w:rPr>
                <w:rFonts w:ascii="Verdana" w:eastAsia="Calibri" w:hAnsi="Verdana" w:cs="Arial"/>
                <w:b/>
                <w:bCs/>
                <w:iCs/>
                <w:color w:val="000000"/>
                <w:lang w:val="es-ES"/>
              </w:rPr>
              <w:t>Gastos de</w:t>
            </w:r>
            <w:r>
              <w:rPr>
                <w:rFonts w:ascii="Verdana" w:eastAsia="Calibri" w:hAnsi="Verdana" w:cs="Arial"/>
                <w:iCs/>
                <w:color w:val="000000"/>
                <w:lang w:val="es-ES"/>
              </w:rPr>
              <w:t xml:space="preserve"> </w:t>
            </w:r>
            <w:r>
              <w:rPr>
                <w:rFonts w:ascii="Aptos" w:hAnsi="Aptos"/>
                <w:b/>
                <w:bCs/>
                <w:color w:val="000000"/>
                <w:shd w:val="clear" w:color="auto" w:fill="FFFFFF"/>
              </w:rPr>
              <w:t>Administración</w:t>
            </w:r>
            <w:r>
              <w:rPr>
                <w:rFonts w:ascii="Aptos" w:hAnsi="Aptos"/>
                <w:color w:val="000000"/>
                <w:shd w:val="clear" w:color="auto" w:fill="FFFFFF"/>
              </w:rPr>
              <w:t>”</w:t>
            </w:r>
            <w:r w:rsidRPr="001278F6">
              <w:rPr>
                <w:rFonts w:ascii="Verdana" w:eastAsia="Calibri" w:hAnsi="Verdana" w:cs="Arial"/>
                <w:iCs/>
                <w:color w:val="000000"/>
                <w:lang w:val="es-ES"/>
              </w:rPr>
              <w:t xml:space="preserve">, además de atender lo previsto en el contrato -y en caso de que este no contemple un procedimiento específico-, pueden tenerse </w:t>
            </w:r>
            <w:r w:rsidR="192010C1" w:rsidRPr="7BF39062">
              <w:rPr>
                <w:rFonts w:ascii="Verdana" w:eastAsia="Calibri" w:hAnsi="Verdana" w:cs="Arial"/>
                <w:color w:val="000000"/>
                <w:lang w:val="es-ES"/>
              </w:rPr>
              <w:t xml:space="preserve">entre otros los </w:t>
            </w:r>
            <w:proofErr w:type="gramStart"/>
            <w:r w:rsidR="192010C1" w:rsidRPr="7BF39062">
              <w:rPr>
                <w:rFonts w:ascii="Verdana" w:eastAsia="Calibri" w:hAnsi="Verdana" w:cs="Arial"/>
                <w:color w:val="000000"/>
                <w:lang w:val="es-ES"/>
              </w:rPr>
              <w:t xml:space="preserve">siguientes </w:t>
            </w:r>
            <w:r w:rsidRPr="7ECEDADB">
              <w:rPr>
                <w:rFonts w:ascii="Verdana" w:eastAsia="Calibri" w:hAnsi="Verdana" w:cs="Arial"/>
                <w:color w:val="000000"/>
                <w:lang w:val="es-ES"/>
              </w:rPr>
              <w:t xml:space="preserve"> a</w:t>
            </w:r>
            <w:r w:rsidRPr="001278F6">
              <w:rPr>
                <w:rFonts w:ascii="Verdana" w:eastAsia="Calibri" w:hAnsi="Verdana" w:cs="Arial"/>
                <w:iCs/>
                <w:color w:val="000000"/>
                <w:lang w:val="es-ES"/>
              </w:rPr>
              <w:t>spectos</w:t>
            </w:r>
            <w:proofErr w:type="gramEnd"/>
            <w:r>
              <w:rPr>
                <w:rFonts w:ascii="Verdana" w:eastAsia="Calibri" w:hAnsi="Verdana" w:cs="Arial"/>
                <w:iCs/>
                <w:color w:val="000000"/>
                <w:lang w:val="es-ES"/>
              </w:rPr>
              <w:t>:</w:t>
            </w:r>
          </w:p>
          <w:p w14:paraId="6F76832A" w14:textId="77777777" w:rsidR="00B62BDF" w:rsidRPr="00DF5E8B" w:rsidRDefault="00B62BDF" w:rsidP="004E263A">
            <w:pPr>
              <w:snapToGrid w:val="0"/>
              <w:spacing w:before="120" w:line="276" w:lineRule="auto"/>
              <w:ind w:firstLine="709"/>
              <w:jc w:val="both"/>
              <w:rPr>
                <w:rFonts w:ascii="Aptos" w:eastAsia="Times New Roman" w:hAnsi="Aptos" w:cs="Segoe UI"/>
                <w:color w:val="000000"/>
                <w:sz w:val="24"/>
                <w:szCs w:val="24"/>
                <w:u w:val="single"/>
                <w:lang w:eastAsia="es-CO"/>
              </w:rPr>
            </w:pPr>
            <w:r w:rsidRPr="00DF5E8B">
              <w:rPr>
                <w:rFonts w:ascii="Aptos" w:eastAsia="Times New Roman" w:hAnsi="Aptos" w:cs="Segoe UI"/>
                <w:b/>
                <w:bCs/>
                <w:color w:val="000000"/>
                <w:sz w:val="24"/>
                <w:szCs w:val="24"/>
                <w:lang w:eastAsia="es-CO"/>
              </w:rPr>
              <w:t>Gastos Contractuales:</w:t>
            </w:r>
            <w:r w:rsidRPr="00DF5E8B">
              <w:rPr>
                <w:rFonts w:ascii="Aptos" w:eastAsia="Times New Roman" w:hAnsi="Aptos" w:cs="Segoe UI"/>
                <w:color w:val="000000"/>
                <w:sz w:val="24"/>
                <w:szCs w:val="24"/>
                <w:lang w:eastAsia="es-CO"/>
              </w:rPr>
              <w:t> </w:t>
            </w:r>
            <w:r w:rsidRPr="00DF5E8B">
              <w:rPr>
                <w:rFonts w:ascii="Aptos" w:eastAsia="Times New Roman" w:hAnsi="Aptos" w:cs="Segoe UI"/>
                <w:color w:val="000000"/>
                <w:sz w:val="24"/>
                <w:szCs w:val="24"/>
                <w:u w:val="single"/>
                <w:lang w:eastAsia="es-CO"/>
              </w:rPr>
              <w:t xml:space="preserve">Impuestos, tasas y contribuciones (timbre cuando aplique, industria y comercio, retención en la fuente, estampillas e impuestos locales, costos de IGF), costos de fiducia por manejo de Anticipo (cuando se otorgue), pólizas y garantías (cumplimiento, Salarios y prestaciones sociales, responsabilidad civil extracontractual, </w:t>
            </w:r>
            <w:r w:rsidRPr="00DF5E8B">
              <w:rPr>
                <w:rFonts w:ascii="Aptos" w:eastAsia="Times New Roman" w:hAnsi="Aptos" w:cs="Segoe UI"/>
                <w:color w:val="000000"/>
                <w:sz w:val="24"/>
                <w:szCs w:val="24"/>
                <w:u w:val="single"/>
                <w:lang w:eastAsia="es-CO"/>
              </w:rPr>
              <w:lastRenderedPageBreak/>
              <w:t>estabilidad de obra, buen manejo y correcta inversión de anticipo (cuando aplique), y gastos financieros</w:t>
            </w:r>
            <w:r>
              <w:rPr>
                <w:rStyle w:val="Refdenotaalpie"/>
                <w:rFonts w:ascii="Aptos" w:eastAsia="Times New Roman" w:hAnsi="Aptos" w:cs="Segoe UI"/>
                <w:color w:val="000000"/>
                <w:sz w:val="24"/>
                <w:szCs w:val="24"/>
                <w:u w:val="single"/>
                <w:lang w:eastAsia="es-CO"/>
              </w:rPr>
              <w:footnoteReference w:id="3"/>
            </w:r>
            <w:r w:rsidRPr="00DF5E8B">
              <w:rPr>
                <w:rFonts w:ascii="Aptos" w:eastAsia="Times New Roman" w:hAnsi="Aptos" w:cs="Segoe UI"/>
                <w:color w:val="000000"/>
                <w:sz w:val="24"/>
                <w:szCs w:val="24"/>
                <w:u w:val="single"/>
                <w:lang w:eastAsia="es-CO"/>
              </w:rPr>
              <w:t>. </w:t>
            </w:r>
          </w:p>
          <w:p w14:paraId="59E95F1F" w14:textId="74049F71" w:rsidR="00B62BDF" w:rsidRPr="001278F6" w:rsidRDefault="6F570443" w:rsidP="2FE97427">
            <w:pPr>
              <w:spacing w:before="120" w:line="276" w:lineRule="auto"/>
              <w:ind w:firstLine="709"/>
              <w:jc w:val="both"/>
              <w:rPr>
                <w:rFonts w:ascii="Verdana" w:eastAsia="Calibri" w:hAnsi="Verdana" w:cs="Arial"/>
                <w:lang w:val="es-ES" w:eastAsia="es-ES"/>
              </w:rPr>
            </w:pPr>
            <w:r w:rsidRPr="354408C6">
              <w:rPr>
                <w:rFonts w:ascii="Verdana" w:eastAsia="Calibri" w:hAnsi="Verdana" w:cs="Arial"/>
                <w:lang w:eastAsia="es-ES"/>
              </w:rPr>
              <w:t xml:space="preserve">Por ende, dentro </w:t>
            </w:r>
            <w:r w:rsidRPr="0BE30CDC">
              <w:rPr>
                <w:rFonts w:ascii="Verdana" w:eastAsia="Calibri" w:hAnsi="Verdana" w:cs="Arial"/>
                <w:lang w:eastAsia="es-ES"/>
              </w:rPr>
              <w:t>de</w:t>
            </w:r>
            <w:r w:rsidR="047AF212" w:rsidRPr="0BE30CDC">
              <w:rPr>
                <w:rFonts w:ascii="Verdana" w:eastAsia="Calibri" w:hAnsi="Verdana" w:cs="Arial"/>
                <w:lang w:eastAsia="es-ES"/>
              </w:rPr>
              <w:t xml:space="preserve"> </w:t>
            </w:r>
            <w:r w:rsidRPr="0BE30CDC">
              <w:rPr>
                <w:rFonts w:ascii="Verdana" w:eastAsia="Calibri" w:hAnsi="Verdana" w:cs="Arial"/>
                <w:lang w:eastAsia="es-ES"/>
              </w:rPr>
              <w:t>los</w:t>
            </w:r>
            <w:r w:rsidRPr="354408C6">
              <w:rPr>
                <w:rFonts w:ascii="Verdana" w:eastAsia="Calibri" w:hAnsi="Verdana" w:cs="Arial"/>
                <w:lang w:eastAsia="es-ES"/>
              </w:rPr>
              <w:t xml:space="preserve"> </w:t>
            </w:r>
            <w:r w:rsidRPr="103566AA">
              <w:rPr>
                <w:rFonts w:ascii="Verdana" w:eastAsia="Calibri" w:hAnsi="Verdana" w:cs="Arial"/>
                <w:lang w:eastAsia="es-ES"/>
              </w:rPr>
              <w:t>gastos</w:t>
            </w:r>
            <w:r w:rsidRPr="354408C6">
              <w:rPr>
                <w:rFonts w:ascii="Verdana" w:eastAsia="Calibri" w:hAnsi="Verdana" w:cs="Arial"/>
                <w:lang w:eastAsia="es-ES"/>
              </w:rPr>
              <w:t xml:space="preserve"> de Administración que </w:t>
            </w:r>
            <w:r w:rsidRPr="103566AA">
              <w:rPr>
                <w:rFonts w:ascii="Verdana" w:eastAsia="Calibri" w:hAnsi="Verdana" w:cs="Arial"/>
                <w:lang w:eastAsia="es-ES"/>
              </w:rPr>
              <w:t>conforman</w:t>
            </w:r>
            <w:r w:rsidRPr="354408C6">
              <w:rPr>
                <w:rFonts w:ascii="Verdana" w:eastAsia="Calibri" w:hAnsi="Verdana" w:cs="Arial"/>
                <w:lang w:eastAsia="es-ES"/>
              </w:rPr>
              <w:t xml:space="preserve"> el </w:t>
            </w:r>
            <w:r w:rsidRPr="103566AA">
              <w:rPr>
                <w:rFonts w:ascii="Verdana" w:eastAsia="Calibri" w:hAnsi="Verdana" w:cs="Arial"/>
                <w:lang w:eastAsia="es-ES"/>
              </w:rPr>
              <w:t xml:space="preserve">AIU, se considera que pueden incluirse los </w:t>
            </w:r>
            <w:r w:rsidR="60C36046" w:rsidRPr="2FE97427">
              <w:rPr>
                <w:rFonts w:ascii="Verdana" w:eastAsia="Calibri" w:hAnsi="Verdana" w:cs="Arial"/>
                <w:lang w:eastAsia="es-ES"/>
              </w:rPr>
              <w:t>relacionados</w:t>
            </w:r>
            <w:r w:rsidRPr="103566AA">
              <w:rPr>
                <w:rFonts w:ascii="Verdana" w:eastAsia="Calibri" w:hAnsi="Verdana" w:cs="Arial"/>
                <w:lang w:eastAsia="es-ES"/>
              </w:rPr>
              <w:t xml:space="preserve"> con impuestos, estampillas</w:t>
            </w:r>
            <w:r w:rsidR="378C4A75" w:rsidRPr="5132191D">
              <w:rPr>
                <w:rFonts w:ascii="Verdana" w:eastAsia="Calibri" w:hAnsi="Verdana" w:cs="Arial"/>
                <w:lang w:eastAsia="es-ES"/>
              </w:rPr>
              <w:t>.</w:t>
            </w:r>
            <w:r w:rsidR="378C4A75" w:rsidRPr="652E6C7E">
              <w:rPr>
                <w:rFonts w:ascii="Verdana" w:eastAsia="Calibri" w:hAnsi="Verdana" w:cs="Arial"/>
                <w:lang w:eastAsia="es-ES"/>
              </w:rPr>
              <w:t xml:space="preserve"> No obstante</w:t>
            </w:r>
            <w:r w:rsidR="378C4A75" w:rsidRPr="652E6C7E">
              <w:rPr>
                <w:rFonts w:ascii="Verdana" w:eastAsia="Aptos" w:hAnsi="Verdana" w:cs="Arial"/>
                <w:lang w:val="es-ES" w:eastAsia="es-ES"/>
              </w:rPr>
              <w:t>, las entidades cuentan con discrecionalidad para establecer en el pliego de condiciones o en su documento equivalente, así como en el contrato, el sistema de precios unitarios y la figura del AIU. De este modo, teniendo en cuenta que el análisis de precios unitarios no cuenta con una regulación normativa en materia contractual del Estado, la determinación de estos y de los componentes del AIU dependerá del análisis particular que realice la entidad en relación con el presupuesto estimado del valor de la ejecución del contrato que, a su vez, sirve de guía para que los proponentes formulen sus ofertas.</w:t>
            </w:r>
          </w:p>
          <w:p w14:paraId="678000F4" w14:textId="6EF482DE" w:rsidR="00B62BDF" w:rsidRPr="001278F6" w:rsidRDefault="00B62BDF" w:rsidP="004E263A">
            <w:pPr>
              <w:spacing w:before="120" w:line="276" w:lineRule="auto"/>
              <w:ind w:firstLine="709"/>
              <w:jc w:val="both"/>
              <w:rPr>
                <w:rFonts w:ascii="Verdana" w:eastAsia="Calibri" w:hAnsi="Verdana" w:cs="Arial"/>
                <w:lang w:eastAsia="es-ES"/>
              </w:rPr>
            </w:pPr>
            <w:r w:rsidRPr="103566AA">
              <w:rPr>
                <w:rFonts w:ascii="Verdana" w:eastAsia="Calibri" w:hAnsi="Verdana" w:cs="Arial"/>
                <w:lang w:eastAsia="es-ES"/>
              </w:rPr>
              <w:t>Finalmente</w:t>
            </w:r>
            <w:r w:rsidRPr="001278F6">
              <w:rPr>
                <w:rFonts w:ascii="Verdana" w:eastAsia="Calibri" w:hAnsi="Verdana" w:cs="Arial"/>
                <w:lang w:eastAsia="es-ES"/>
              </w:rPr>
              <w:t>, debe advertirse que, al margen de la explicación precedente debe advertirse que el análisis requerido para resolver problemas específicos en torno al análisis de precios unitarios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4B1829C" w14:textId="77777777" w:rsidR="00B62BDF" w:rsidRPr="00DF5E8B" w:rsidRDefault="00B62BDF" w:rsidP="004E263A">
            <w:pPr>
              <w:snapToGrid w:val="0"/>
              <w:spacing w:before="120" w:line="276" w:lineRule="auto"/>
              <w:ind w:firstLine="709"/>
              <w:jc w:val="both"/>
              <w:rPr>
                <w:rFonts w:ascii="Verdana" w:eastAsia="Calibri" w:hAnsi="Verdana" w:cs="Arial"/>
                <w:iCs/>
                <w:color w:val="000000"/>
                <w:lang w:val="es-ES"/>
              </w:rPr>
            </w:pPr>
            <w:r w:rsidRPr="001278F6">
              <w:rPr>
                <w:rFonts w:ascii="Verdana" w:eastAsia="Calibri"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entidad definirá la forma de adelantar su gestión contractual, sin que sea atribución de Colombia Compra Eficiente validar sus actuaciones.</w:t>
            </w:r>
          </w:p>
          <w:p w14:paraId="18EC58B7" w14:textId="77777777" w:rsidR="00B62BDF" w:rsidRPr="006848C0" w:rsidRDefault="00B62BDF" w:rsidP="004E263A">
            <w:pPr>
              <w:snapToGrid w:val="0"/>
              <w:spacing w:before="120" w:line="276" w:lineRule="auto"/>
              <w:ind w:firstLine="709"/>
              <w:jc w:val="both"/>
              <w:rPr>
                <w:rFonts w:ascii="Verdana" w:eastAsia="Aptos" w:hAnsi="Verdana" w:cs="Arial"/>
              </w:rPr>
            </w:pPr>
          </w:p>
        </w:tc>
      </w:tr>
    </w:tbl>
    <w:p w14:paraId="2632494C" w14:textId="77777777" w:rsidR="00B62BDF" w:rsidRPr="002C675F" w:rsidRDefault="00B62BDF" w:rsidP="00B62BDF">
      <w:pPr>
        <w:tabs>
          <w:tab w:val="left" w:pos="142"/>
          <w:tab w:val="left" w:pos="284"/>
        </w:tabs>
        <w:spacing w:after="0" w:line="276" w:lineRule="auto"/>
        <w:jc w:val="both"/>
        <w:rPr>
          <w:rFonts w:ascii="Verdana" w:eastAsia="Century Gothic" w:hAnsi="Verdana" w:cs="Century Gothic"/>
          <w:b/>
          <w:bCs/>
        </w:rPr>
      </w:pPr>
    </w:p>
    <w:bookmarkEnd w:id="1"/>
    <w:p w14:paraId="72329EEE" w14:textId="77777777" w:rsidR="00B62BDF" w:rsidRPr="002C675F" w:rsidRDefault="00B62BDF" w:rsidP="00B62BDF">
      <w:pPr>
        <w:numPr>
          <w:ilvl w:val="0"/>
          <w:numId w:val="16"/>
        </w:numPr>
        <w:tabs>
          <w:tab w:val="left" w:pos="142"/>
          <w:tab w:val="left" w:pos="284"/>
        </w:tabs>
        <w:spacing w:after="0" w:line="276" w:lineRule="auto"/>
        <w:ind w:left="1068"/>
        <w:jc w:val="both"/>
        <w:rPr>
          <w:rFonts w:ascii="Verdana" w:eastAsia="Century Gothic" w:hAnsi="Verdana" w:cs="Century Gothic"/>
          <w:b/>
          <w:bCs/>
        </w:rPr>
      </w:pPr>
      <w:r w:rsidRPr="002C675F">
        <w:rPr>
          <w:rFonts w:ascii="Verdana" w:eastAsia="Century Gothic" w:hAnsi="Verdana" w:cs="Century Gothic"/>
          <w:b/>
          <w:bCs/>
        </w:rPr>
        <w:t>Razones de las respuestas:</w:t>
      </w:r>
    </w:p>
    <w:p w14:paraId="1B0804C1" w14:textId="77777777" w:rsidR="00B62BDF" w:rsidRPr="002C675F" w:rsidRDefault="00B62BDF" w:rsidP="00B62BDF">
      <w:pPr>
        <w:spacing w:after="0" w:line="276" w:lineRule="auto"/>
        <w:jc w:val="both"/>
        <w:rPr>
          <w:rFonts w:ascii="Verdana" w:eastAsia="Calibri" w:hAnsi="Verdana" w:cs="Arial"/>
          <w:color w:val="7030A0"/>
        </w:rPr>
      </w:pPr>
    </w:p>
    <w:p w14:paraId="1DAB0FFF" w14:textId="77777777" w:rsidR="00B62BDF" w:rsidRPr="001278F6" w:rsidRDefault="00B62BDF" w:rsidP="00B62BDF">
      <w:pPr>
        <w:spacing w:after="0" w:line="276" w:lineRule="auto"/>
        <w:jc w:val="both"/>
        <w:rPr>
          <w:rFonts w:ascii="Verdana" w:eastAsia="Calibri" w:hAnsi="Verdana" w:cs="Arial"/>
          <w:lang w:val="es-ES"/>
        </w:rPr>
      </w:pPr>
      <w:r w:rsidRPr="001278F6">
        <w:rPr>
          <w:rFonts w:ascii="Verdana" w:eastAsia="Calibri" w:hAnsi="Verdana" w:cs="Arial"/>
          <w:lang w:val="es-ES"/>
        </w:rPr>
        <w:t>Lo anterior se sustenta en las siguientes consideraciones:</w:t>
      </w:r>
    </w:p>
    <w:p w14:paraId="46915FBC" w14:textId="77777777" w:rsidR="00B62BDF" w:rsidRPr="001278F6" w:rsidRDefault="00B62BDF" w:rsidP="00B62BDF">
      <w:pPr>
        <w:spacing w:after="0" w:line="276" w:lineRule="auto"/>
        <w:jc w:val="both"/>
        <w:rPr>
          <w:rFonts w:ascii="Verdana" w:eastAsia="Calibri" w:hAnsi="Verdana" w:cs="Arial"/>
          <w:lang w:val="es-ES"/>
        </w:rPr>
      </w:pPr>
    </w:p>
    <w:p w14:paraId="52128EAE" w14:textId="77777777" w:rsidR="00B62BDF" w:rsidRPr="001278F6" w:rsidRDefault="00B62BDF" w:rsidP="00B62BDF">
      <w:pPr>
        <w:spacing w:after="0" w:line="276" w:lineRule="auto"/>
        <w:jc w:val="both"/>
        <w:rPr>
          <w:rFonts w:ascii="Verdana" w:eastAsia="Calibri" w:hAnsi="Verdana" w:cs="Arial"/>
          <w:lang w:val="es-ES" w:eastAsia="es-ES"/>
        </w:rPr>
      </w:pPr>
      <w:r w:rsidRPr="001278F6">
        <w:rPr>
          <w:rFonts w:ascii="Verdana" w:eastAsia="Calibri" w:hAnsi="Verdana" w:cs="Arial"/>
          <w:bCs/>
          <w:szCs w:val="24"/>
          <w:lang w:val="es-ES_tradnl" w:eastAsia="es-ES_tradnl"/>
        </w:rPr>
        <w:t>Como es sabido, uno de los elementos más comunes en los contratos estatales es el precio, 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para el contratista, porque equivale a la remuneración que la entidad contratante le pagará por la ejecución del objeto</w:t>
      </w:r>
      <w:r w:rsidRPr="001278F6">
        <w:rPr>
          <w:rFonts w:ascii="Verdana" w:eastAsia="Calibri" w:hAnsi="Verdana" w:cs="Arial"/>
          <w:lang w:val="es-ES" w:eastAsia="es-ES"/>
        </w:rPr>
        <w:t xml:space="preserve"> contractual.</w:t>
      </w:r>
    </w:p>
    <w:p w14:paraId="2CF88BD1" w14:textId="77777777" w:rsidR="00B62BDF" w:rsidRPr="001278F6" w:rsidRDefault="00B62BDF" w:rsidP="00B62BDF">
      <w:pPr>
        <w:spacing w:before="120" w:after="120" w:line="276" w:lineRule="auto"/>
        <w:ind w:firstLine="709"/>
        <w:jc w:val="both"/>
        <w:rPr>
          <w:rFonts w:ascii="Verdana" w:eastAsia="Calibri" w:hAnsi="Verdana" w:cs="Arial"/>
          <w:lang w:val="es-ES" w:eastAsia="es-ES"/>
        </w:rPr>
      </w:pPr>
      <w:r w:rsidRPr="001278F6">
        <w:rPr>
          <w:rFonts w:ascii="Verdana" w:eastAsia="Calibri" w:hAnsi="Verdana" w:cs="Arial"/>
          <w:lang w:val="es-ES" w:eastAsia="es-ES"/>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001278F6">
        <w:rPr>
          <w:rFonts w:ascii="Verdana" w:eastAsia="Calibri" w:hAnsi="Verdana" w:cs="Arial"/>
          <w:vertAlign w:val="superscript"/>
          <w:lang w:val="es-ES" w:eastAsia="es-ES"/>
        </w:rPr>
        <w:footnoteReference w:id="4"/>
      </w:r>
      <w:r w:rsidRPr="001278F6">
        <w:rPr>
          <w:rFonts w:ascii="Verdana" w:eastAsia="Calibri" w:hAnsi="Verdana" w:cs="Arial"/>
          <w:lang w:val="es-ES" w:eastAsia="es-ES"/>
        </w:rPr>
        <w:t xml:space="preserve">. No hay, pues, una sola </w:t>
      </w:r>
      <w:r w:rsidRPr="001278F6">
        <w:rPr>
          <w:rFonts w:ascii="Verdana" w:eastAsia="Calibri" w:hAnsi="Verdana" w:cs="Arial"/>
          <w:lang w:val="es-ES" w:eastAsia="es-ES"/>
        </w:rPr>
        <w:lastRenderedPageBreak/>
        <w:t xml:space="preserve">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001278F6">
        <w:rPr>
          <w:rFonts w:ascii="Verdana" w:eastAsia="Calibri" w:hAnsi="Verdana" w:cs="Arial"/>
          <w:lang w:val="es-ES" w:eastAsia="es-ES"/>
        </w:rPr>
        <w:t>ii</w:t>
      </w:r>
      <w:proofErr w:type="spellEnd"/>
      <w:r w:rsidRPr="001278F6">
        <w:rPr>
          <w:rFonts w:ascii="Verdana" w:eastAsia="Calibri" w:hAnsi="Verdana" w:cs="Arial"/>
          <w:lang w:val="es-ES" w:eastAsia="es-ES"/>
        </w:rPr>
        <w:t xml:space="preserve">) el precio global –que equivale al monto total, sin discriminar unidades–, y </w:t>
      </w:r>
      <w:proofErr w:type="spellStart"/>
      <w:r w:rsidRPr="001278F6">
        <w:rPr>
          <w:rFonts w:ascii="Verdana" w:eastAsia="Calibri" w:hAnsi="Verdana" w:cs="Arial"/>
          <w:lang w:val="es-ES" w:eastAsia="es-ES"/>
        </w:rPr>
        <w:t>iii</w:t>
      </w:r>
      <w:proofErr w:type="spellEnd"/>
      <w:r w:rsidRPr="001278F6">
        <w:rPr>
          <w:rFonts w:ascii="Verdana" w:eastAsia="Calibri" w:hAnsi="Verdana" w:cs="Arial"/>
          <w:lang w:val="es-ES" w:eastAsia="es-ES"/>
        </w:rPr>
        <w:t>) la administración delegada de recursos –en la que se distinguen los costos de inversión de los honorarios del administrador–.</w:t>
      </w:r>
    </w:p>
    <w:p w14:paraId="5618AC43" w14:textId="77777777" w:rsidR="00B62BDF" w:rsidRPr="001278F6" w:rsidRDefault="00B62BDF" w:rsidP="00B62BDF">
      <w:pPr>
        <w:spacing w:before="120" w:after="120" w:line="276" w:lineRule="auto"/>
        <w:ind w:firstLine="709"/>
        <w:jc w:val="both"/>
        <w:rPr>
          <w:rFonts w:ascii="Verdana" w:eastAsia="Calibri" w:hAnsi="Verdana" w:cs="Arial"/>
          <w:lang w:val="es-ES" w:eastAsia="es-ES"/>
        </w:rPr>
      </w:pPr>
      <w:r w:rsidRPr="001278F6">
        <w:rPr>
          <w:rFonts w:ascii="Verdana" w:eastAsia="Calibri" w:hAnsi="Verdana" w:cs="Arial"/>
          <w:lang w:val="es-ES" w:eastAsia="es-ES"/>
        </w:rPr>
        <w:t xml:space="preserve">Pues bien, en los contratos cuyo precio se estructura a partir del sistema de precios unitarios, ha hecho parte de la práctica de los negocios que el contratante le solicite al potencial contratista que separe en su propuesta los </w:t>
      </w:r>
      <w:r w:rsidRPr="001278F6">
        <w:rPr>
          <w:rFonts w:ascii="Verdana" w:eastAsia="Calibri" w:hAnsi="Verdana" w:cs="Arial"/>
          <w:i/>
          <w:iCs/>
          <w:lang w:val="es-ES" w:eastAsia="es-ES"/>
        </w:rPr>
        <w:t>costos directos</w:t>
      </w:r>
      <w:r w:rsidRPr="001278F6">
        <w:rPr>
          <w:rFonts w:ascii="Verdana" w:eastAsia="Calibri" w:hAnsi="Verdana" w:cs="Arial"/>
          <w:lang w:val="es-ES" w:eastAsia="es-ES"/>
        </w:rPr>
        <w:t xml:space="preserve"> –es decir, los que están directamente implicados en la ejecución del objeto–, de los </w:t>
      </w:r>
      <w:r w:rsidRPr="001278F6">
        <w:rPr>
          <w:rFonts w:ascii="Verdana" w:eastAsia="Calibri" w:hAnsi="Verdana" w:cs="Arial"/>
          <w:i/>
          <w:iCs/>
          <w:lang w:val="es-ES" w:eastAsia="es-ES"/>
        </w:rPr>
        <w:t>costos indirectos</w:t>
      </w:r>
      <w:r w:rsidRPr="001278F6">
        <w:rPr>
          <w:rFonts w:ascii="Verdana" w:eastAsia="Calibri"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1278F6">
        <w:rPr>
          <w:rFonts w:ascii="Verdana" w:eastAsia="Calibri" w:hAnsi="Verdana" w:cs="Arial"/>
          <w:i/>
          <w:iCs/>
          <w:lang w:val="es-ES" w:eastAsia="es-ES"/>
        </w:rPr>
        <w:t>costos directos</w:t>
      </w:r>
      <w:r w:rsidRPr="001278F6">
        <w:rPr>
          <w:rFonts w:ascii="Verdana" w:eastAsia="Calibri" w:hAnsi="Verdana" w:cs="Arial"/>
          <w:lang w:val="es-ES" w:eastAsia="es-ES"/>
        </w:rPr>
        <w:t xml:space="preserve"> se evidencian en el análisis de precios unitarios –APU–, como la sumatoria de los valores de los </w:t>
      </w:r>
      <w:r w:rsidRPr="001278F6">
        <w:rPr>
          <w:rFonts w:ascii="Verdana" w:eastAsia="Calibri" w:hAnsi="Verdana" w:cs="Arial"/>
          <w:i/>
          <w:iCs/>
          <w:lang w:val="es-ES" w:eastAsia="es-ES"/>
        </w:rPr>
        <w:t>ítems</w:t>
      </w:r>
      <w:r w:rsidRPr="001278F6">
        <w:rPr>
          <w:rFonts w:ascii="Verdana" w:eastAsia="Calibri" w:hAnsi="Verdana" w:cs="Arial"/>
          <w:lang w:val="es-ES" w:eastAsia="es-ES"/>
        </w:rPr>
        <w:t xml:space="preserve"> según su unidad de medida, los </w:t>
      </w:r>
      <w:r w:rsidRPr="001278F6">
        <w:rPr>
          <w:rFonts w:ascii="Verdana" w:eastAsia="Calibri" w:hAnsi="Verdana" w:cs="Arial"/>
          <w:i/>
          <w:iCs/>
          <w:lang w:val="es-ES" w:eastAsia="es-ES"/>
        </w:rPr>
        <w:t>costos indirectos</w:t>
      </w:r>
      <w:r w:rsidRPr="001278F6">
        <w:rPr>
          <w:rFonts w:ascii="Verdana" w:eastAsia="Calibri" w:hAnsi="Verdana" w:cs="Arial"/>
          <w:lang w:val="es-ES" w:eastAsia="es-ES"/>
        </w:rPr>
        <w:t xml:space="preserve"> se suelen abreviar en las variables que integran el acrónimo AIU –Administración, Imprevistos y Utilidad–. </w:t>
      </w:r>
    </w:p>
    <w:p w14:paraId="0B95704B" w14:textId="77777777" w:rsidR="00B62BDF" w:rsidRPr="001278F6" w:rsidRDefault="00B62BDF" w:rsidP="00B62BDF">
      <w:pPr>
        <w:spacing w:before="120" w:after="0" w:line="276" w:lineRule="auto"/>
        <w:ind w:firstLine="709"/>
        <w:jc w:val="both"/>
        <w:rPr>
          <w:rFonts w:ascii="Verdana" w:eastAsia="Calibri" w:hAnsi="Verdana" w:cs="Arial"/>
          <w:bCs/>
          <w:szCs w:val="24"/>
          <w:lang w:eastAsia="es-ES_tradnl"/>
        </w:rPr>
      </w:pPr>
      <w:r w:rsidRPr="54D29886">
        <w:rPr>
          <w:rFonts w:ascii="Verdana" w:eastAsia="Calibri" w:hAnsi="Verdana" w:cs="Arial"/>
          <w:lang w:val="es-ES" w:eastAsia="es-ES"/>
        </w:rPr>
        <w:t xml:space="preserve">La jurisprudencia ha señalado que “[…] </w:t>
      </w:r>
      <w:r w:rsidRPr="54D29886">
        <w:rPr>
          <w:rFonts w:ascii="Verdana" w:eastAsia="Calibri" w:hAnsi="Verdana" w:cs="Arial"/>
          <w:lang w:eastAsia="es-ES"/>
        </w:rPr>
        <w:t>en la conformación de dichos precios unitarios, se tienen en cuenta todos los gastos que se requieren para realizar la unidad de medida respectiva –el metro lineal, el metro cúbico, el metro cuadrado, etc.-. Y lo que comúnmente se denomina análisis de precios unitarios, corresponde a la descomposición de los mismos para determinar los costos que los conforman: la maquinaria que se utilizará, calculando el valor por el tiempo que se requiera; la mano de obra, teniendo en cuenta el costo hora-</w:t>
      </w:r>
      <w:r w:rsidRPr="54D29886">
        <w:rPr>
          <w:rFonts w:ascii="Verdana" w:eastAsia="Calibri" w:hAnsi="Verdana" w:cs="Arial"/>
          <w:lang w:eastAsia="es-ES"/>
        </w:rPr>
        <w:lastRenderedPageBreak/>
        <w:t>hombre, y cuántas personas se requieren para la ejecución de esa unidad de medida; la cantidad de los materiales necesarios, etc.</w:t>
      </w:r>
      <w:r w:rsidRPr="54D29886">
        <w:rPr>
          <w:rFonts w:ascii="Verdana" w:eastAsia="Calibri" w:hAnsi="Verdana" w:cs="Arial"/>
          <w:lang w:val="es-ES" w:eastAsia="es-ES"/>
        </w:rPr>
        <w:t>”</w:t>
      </w:r>
      <w:r w:rsidRPr="54D29886">
        <w:rPr>
          <w:rFonts w:ascii="Verdana" w:eastAsia="Calibri" w:hAnsi="Verdana" w:cs="Arial"/>
          <w:vertAlign w:val="superscript"/>
          <w:lang w:val="es-ES" w:eastAsia="es-ES"/>
        </w:rPr>
        <w:footnoteReference w:id="5"/>
      </w:r>
      <w:r w:rsidRPr="54D29886">
        <w:rPr>
          <w:rFonts w:ascii="Verdana" w:eastAsia="Calibri" w:hAnsi="Verdana" w:cs="Arial"/>
          <w:lang w:eastAsia="es-ES"/>
        </w:rPr>
        <w:t>. En concordancia, la doctrina explica que en la estructuración de los precios unitarios se tendrán en cuenta todos los costos directos necesarios para la ejecución del objeto contractual que se multiplicará por al AIU, lo que determina el valor unitario:</w:t>
      </w:r>
    </w:p>
    <w:p w14:paraId="7F019A93" w14:textId="77777777" w:rsidR="00B62BDF" w:rsidRPr="001278F6" w:rsidRDefault="00B62BDF" w:rsidP="00B62BDF">
      <w:pPr>
        <w:spacing w:after="0" w:line="276" w:lineRule="auto"/>
        <w:ind w:firstLine="709"/>
        <w:jc w:val="both"/>
        <w:rPr>
          <w:rFonts w:ascii="Verdana" w:eastAsia="Calibri" w:hAnsi="Verdana" w:cs="Arial"/>
          <w:bCs/>
          <w:szCs w:val="24"/>
          <w:lang w:eastAsia="es-ES_tradnl"/>
        </w:rPr>
      </w:pPr>
    </w:p>
    <w:p w14:paraId="7B93F57B" w14:textId="77777777" w:rsidR="00B62BDF" w:rsidRPr="001278F6" w:rsidRDefault="00B62BDF" w:rsidP="00B62BDF">
      <w:pPr>
        <w:tabs>
          <w:tab w:val="left" w:pos="709"/>
        </w:tabs>
        <w:spacing w:after="120" w:line="240" w:lineRule="auto"/>
        <w:ind w:left="709" w:right="709"/>
        <w:jc w:val="both"/>
        <w:rPr>
          <w:rFonts w:ascii="Verdana" w:eastAsia="Calibri" w:hAnsi="Verdana" w:cs="Arial"/>
          <w:sz w:val="21"/>
          <w:szCs w:val="21"/>
          <w:lang w:val="es-ES" w:eastAsia="es-ES"/>
        </w:rPr>
      </w:pPr>
      <w:r w:rsidRPr="001278F6">
        <w:rPr>
          <w:rFonts w:ascii="Verdana" w:eastAsia="Calibri" w:hAnsi="Verdana" w:cs="Arial"/>
          <w:sz w:val="21"/>
          <w:szCs w:val="21"/>
          <w:lang w:val="es-ES" w:eastAsia="es-ES"/>
        </w:rPr>
        <w:t>“Cada uno de los valores unitarios resultan de un análisis de los componentes requeridos para su elaboración, estudio que se denomina comúnmente ‘análisis de precios unitarios’. Así, se examinará, por ejemplo, que para la construcción de un metro cuadrado de muro se requieren 50 ladrillos, que tienen un valor de $50.000; 15 kilos de cemento, que tienen un valor de $5.000; 30 kilos de arena, que tienen un valor de $500; 5 litros de agua, que tienen un valor de 100, y la mano de obra que tiene un valor de $5.000. La sumatoria de cada uno de estos insumos básicos arroja el costo directo que debe cancelar el contratista para la construcción de un metro de muro.</w:t>
      </w:r>
    </w:p>
    <w:p w14:paraId="763D6817" w14:textId="77777777" w:rsidR="00B62BDF" w:rsidRPr="001278F6" w:rsidRDefault="00B62BDF" w:rsidP="00B62BDF">
      <w:pPr>
        <w:tabs>
          <w:tab w:val="left" w:pos="709"/>
        </w:tabs>
        <w:spacing w:after="0" w:line="240" w:lineRule="auto"/>
        <w:ind w:left="709" w:right="709"/>
        <w:jc w:val="both"/>
        <w:rPr>
          <w:rFonts w:ascii="Verdana" w:eastAsia="Calibri" w:hAnsi="Verdana" w:cs="Arial"/>
          <w:sz w:val="21"/>
          <w:szCs w:val="21"/>
          <w:lang w:val="es-ES_tradnl" w:eastAsia="es-ES_tradnl"/>
        </w:rPr>
      </w:pPr>
      <w:r w:rsidRPr="54D29886">
        <w:rPr>
          <w:rFonts w:ascii="Verdana" w:eastAsia="Calibri" w:hAnsi="Verdana" w:cs="Arial"/>
          <w:sz w:val="21"/>
          <w:szCs w:val="21"/>
          <w:lang w:val="es-ES" w:eastAsia="es-ES"/>
        </w:rPr>
        <w:t>El costo directo se multiplica por el AIU, es decir, por los gastos de administración, que incluye los gastos de personal que dirige la obra; los gastos de imprevistos, que pretende cubrir imprevistos y la utilidad. El resultado de la multiplicación anterior determina el valor unitario que deberá cancelar la entidad estatal. Dentro del valor unitario, entonces, están incorporados la totalidad de los gastos en los que incurre el contratista y la utilidad que espera recibir”</w:t>
      </w:r>
      <w:r w:rsidRPr="54D29886">
        <w:rPr>
          <w:rFonts w:ascii="Verdana" w:eastAsia="Calibri" w:hAnsi="Verdana" w:cs="Arial"/>
          <w:sz w:val="21"/>
          <w:szCs w:val="21"/>
          <w:vertAlign w:val="superscript"/>
          <w:lang w:val="es-ES" w:eastAsia="es-ES"/>
        </w:rPr>
        <w:footnoteReference w:id="6"/>
      </w:r>
      <w:r w:rsidRPr="54D29886">
        <w:rPr>
          <w:rFonts w:ascii="Verdana" w:eastAsia="Calibri" w:hAnsi="Verdana" w:cs="Arial"/>
          <w:sz w:val="21"/>
          <w:szCs w:val="21"/>
          <w:lang w:val="es-ES" w:eastAsia="es-ES"/>
        </w:rPr>
        <w:t xml:space="preserve">. </w:t>
      </w:r>
    </w:p>
    <w:p w14:paraId="2CCF36AA" w14:textId="77777777" w:rsidR="00B62BDF" w:rsidRPr="001278F6" w:rsidRDefault="00B62BDF" w:rsidP="00B62BDF">
      <w:pPr>
        <w:tabs>
          <w:tab w:val="left" w:pos="709"/>
        </w:tabs>
        <w:spacing w:after="0" w:line="276" w:lineRule="auto"/>
        <w:ind w:left="709" w:right="760"/>
        <w:jc w:val="both"/>
        <w:rPr>
          <w:rFonts w:ascii="Verdana" w:eastAsia="Calibri" w:hAnsi="Verdana" w:cs="Arial"/>
          <w:szCs w:val="24"/>
          <w:lang w:val="es-ES_tradnl" w:eastAsia="es-ES_tradnl"/>
        </w:rPr>
      </w:pPr>
    </w:p>
    <w:p w14:paraId="2470D86C" w14:textId="77777777" w:rsidR="00B62BDF" w:rsidRPr="001278F6" w:rsidRDefault="00B62BDF" w:rsidP="00B62BDF">
      <w:pPr>
        <w:spacing w:after="0" w:line="276" w:lineRule="auto"/>
        <w:ind w:firstLine="709"/>
        <w:jc w:val="both"/>
        <w:rPr>
          <w:rFonts w:ascii="Verdana" w:eastAsia="Calibri" w:hAnsi="Verdana" w:cs="Arial"/>
          <w:szCs w:val="24"/>
          <w:lang w:val="es-ES_tradnl" w:eastAsia="es-ES_tradnl"/>
        </w:rPr>
      </w:pPr>
      <w:r w:rsidRPr="001278F6">
        <w:rPr>
          <w:rFonts w:ascii="Verdana" w:eastAsia="Calibri" w:hAnsi="Verdana" w:cs="Arial"/>
          <w:szCs w:val="24"/>
          <w:lang w:val="es-ES_tradnl" w:eastAsia="es-ES_tradnl"/>
        </w:rPr>
        <w:t xml:space="preserve">Por su parte, de acuerdo con la Sección Tercera del Consejo de Estado, el AIU, concepto de común utilización en los contratos de tracto sucesivo –entre ellos, los contratos de obra– no cuenta con una definición normativa, pero hay elementos que permiten precisar su alcance, así: </w:t>
      </w:r>
    </w:p>
    <w:p w14:paraId="182B77B6" w14:textId="77777777" w:rsidR="00B62BDF" w:rsidRPr="001278F6" w:rsidRDefault="00B62BDF" w:rsidP="00B62BDF">
      <w:pPr>
        <w:spacing w:after="0" w:line="276" w:lineRule="auto"/>
        <w:ind w:firstLine="709"/>
        <w:jc w:val="both"/>
        <w:rPr>
          <w:rFonts w:ascii="Verdana" w:eastAsia="Calibri" w:hAnsi="Verdana" w:cs="Arial"/>
          <w:szCs w:val="24"/>
          <w:lang w:val="es-ES_tradnl" w:eastAsia="es-ES_tradnl"/>
        </w:rPr>
      </w:pPr>
    </w:p>
    <w:p w14:paraId="569C37BD" w14:textId="77777777" w:rsidR="00B62BDF" w:rsidRPr="001278F6" w:rsidRDefault="00B62BDF" w:rsidP="00B62BDF">
      <w:pPr>
        <w:tabs>
          <w:tab w:val="left" w:pos="709"/>
        </w:tabs>
        <w:spacing w:after="120" w:line="240" w:lineRule="auto"/>
        <w:ind w:left="709" w:right="709"/>
        <w:jc w:val="both"/>
        <w:rPr>
          <w:rFonts w:ascii="Verdana" w:eastAsia="Calibri" w:hAnsi="Verdana" w:cs="Arial"/>
          <w:sz w:val="21"/>
          <w:szCs w:val="21"/>
          <w:lang w:val="es-ES_tradnl" w:eastAsia="es-ES_tradnl"/>
        </w:rPr>
      </w:pPr>
      <w:r w:rsidRPr="001278F6">
        <w:rPr>
          <w:rFonts w:ascii="Verdana" w:eastAsia="Calibri" w:hAnsi="Verdana" w:cs="Arial"/>
          <w:sz w:val="21"/>
          <w:szCs w:val="21"/>
          <w:lang w:val="es-ES_tradnl" w:eastAsia="es-ES_tradnl"/>
        </w:rPr>
        <w:t xml:space="preserve">“[…] el AIU propuesto para el contrato, corresponde a: </w:t>
      </w:r>
    </w:p>
    <w:p w14:paraId="42133776" w14:textId="77777777" w:rsidR="00B62BDF" w:rsidRPr="001278F6" w:rsidRDefault="00B62BDF" w:rsidP="00B62BDF">
      <w:pPr>
        <w:tabs>
          <w:tab w:val="left" w:pos="709"/>
        </w:tabs>
        <w:spacing w:after="120" w:line="240" w:lineRule="auto"/>
        <w:ind w:left="709" w:right="709"/>
        <w:jc w:val="both"/>
        <w:rPr>
          <w:rFonts w:ascii="Verdana" w:eastAsia="Calibri" w:hAnsi="Verdana" w:cs="Arial"/>
          <w:sz w:val="21"/>
          <w:szCs w:val="21"/>
          <w:lang w:val="es-ES_tradnl" w:eastAsia="es-ES_tradnl"/>
        </w:rPr>
      </w:pPr>
      <w:r w:rsidRPr="001278F6">
        <w:rPr>
          <w:rFonts w:ascii="Verdana" w:eastAsia="Calibri" w:hAnsi="Verdana" w:cs="Arial"/>
          <w:sz w:val="21"/>
          <w:szCs w:val="21"/>
          <w:lang w:val="es-ES_tradnl" w:eastAsia="es-ES_tradnl"/>
        </w:rPr>
        <w:t xml:space="preserve">i) los costos de administración o costos indirectos para la operación del contrato, tales como los gastos de disponibilidad de la organización del contratista, esto es: A; </w:t>
      </w:r>
    </w:p>
    <w:p w14:paraId="76436F9F" w14:textId="77777777" w:rsidR="00B62BDF" w:rsidRPr="001278F6" w:rsidRDefault="00B62BDF" w:rsidP="00B62BDF">
      <w:pPr>
        <w:tabs>
          <w:tab w:val="left" w:pos="709"/>
        </w:tabs>
        <w:spacing w:after="120" w:line="240" w:lineRule="auto"/>
        <w:ind w:left="709" w:right="709"/>
        <w:jc w:val="both"/>
        <w:rPr>
          <w:rFonts w:ascii="Verdana" w:eastAsia="Calibri" w:hAnsi="Verdana" w:cs="Arial"/>
          <w:sz w:val="21"/>
          <w:szCs w:val="21"/>
          <w:lang w:val="es-ES" w:eastAsia="es-ES"/>
        </w:rPr>
      </w:pPr>
      <w:proofErr w:type="spellStart"/>
      <w:r w:rsidRPr="001278F6">
        <w:rPr>
          <w:rFonts w:ascii="Verdana" w:eastAsia="Calibri" w:hAnsi="Verdana" w:cs="Arial"/>
          <w:sz w:val="21"/>
          <w:szCs w:val="21"/>
          <w:lang w:val="es-ES" w:eastAsia="es-ES"/>
        </w:rPr>
        <w:lastRenderedPageBreak/>
        <w:t>ii</w:t>
      </w:r>
      <w:proofErr w:type="spellEnd"/>
      <w:r w:rsidRPr="001278F6">
        <w:rPr>
          <w:rFonts w:ascii="Verdana" w:eastAsia="Calibri" w:hAnsi="Verdana" w:cs="Arial"/>
          <w:sz w:val="21"/>
          <w:szCs w:val="21"/>
          <w:lang w:val="es-ES" w:eastAsia="es-ES"/>
        </w:rPr>
        <w:t xml:space="preserve">) los imprevistos, que es el porcentaje destinado a cubrir los gastos con los que no se contaba y que se presenten durante la ejecución del contrato, esto es, el </w:t>
      </w:r>
      <w:proofErr w:type="spellStart"/>
      <w:r w:rsidRPr="001278F6">
        <w:rPr>
          <w:rFonts w:ascii="Verdana" w:eastAsia="Calibri" w:hAnsi="Verdana" w:cs="Arial"/>
          <w:sz w:val="21"/>
          <w:szCs w:val="21"/>
          <w:lang w:val="es-ES" w:eastAsia="es-ES"/>
        </w:rPr>
        <w:t>álea</w:t>
      </w:r>
      <w:proofErr w:type="spellEnd"/>
      <w:r w:rsidRPr="001278F6">
        <w:rPr>
          <w:rFonts w:ascii="Verdana" w:eastAsia="Calibri" w:hAnsi="Verdana" w:cs="Arial"/>
          <w:sz w:val="21"/>
          <w:szCs w:val="21"/>
          <w:lang w:val="es-ES" w:eastAsia="es-ES"/>
        </w:rPr>
        <w:t xml:space="preserve"> normal del contrato: I; </w:t>
      </w:r>
    </w:p>
    <w:p w14:paraId="141E2B17" w14:textId="77777777" w:rsidR="00B62BDF" w:rsidRPr="001278F6" w:rsidRDefault="00B62BDF" w:rsidP="00B62BDF">
      <w:pPr>
        <w:tabs>
          <w:tab w:val="left" w:pos="709"/>
        </w:tabs>
        <w:spacing w:after="120" w:line="240" w:lineRule="auto"/>
        <w:ind w:left="709" w:right="709"/>
        <w:jc w:val="both"/>
        <w:rPr>
          <w:rFonts w:ascii="Verdana" w:eastAsia="Calibri" w:hAnsi="Verdana" w:cs="Arial"/>
          <w:sz w:val="21"/>
          <w:szCs w:val="21"/>
          <w:lang w:val="es-ES" w:eastAsia="es-ES"/>
        </w:rPr>
      </w:pPr>
      <w:proofErr w:type="spellStart"/>
      <w:r w:rsidRPr="001278F6">
        <w:rPr>
          <w:rFonts w:ascii="Verdana" w:eastAsia="Calibri" w:hAnsi="Verdana" w:cs="Arial"/>
          <w:sz w:val="21"/>
          <w:szCs w:val="21"/>
          <w:lang w:val="es-ES" w:eastAsia="es-ES"/>
        </w:rPr>
        <w:t>iii</w:t>
      </w:r>
      <w:proofErr w:type="spellEnd"/>
      <w:r w:rsidRPr="001278F6">
        <w:rPr>
          <w:rFonts w:ascii="Verdana" w:eastAsia="Calibri" w:hAnsi="Verdana" w:cs="Arial"/>
          <w:sz w:val="21"/>
          <w:szCs w:val="21"/>
          <w:lang w:val="es-ES" w:eastAsia="es-ES"/>
        </w:rPr>
        <w:t xml:space="preserve">) la utilidad o el beneficio económico que pretende percibir el contratista por la ejecución del contrato, esto es: U. </w:t>
      </w:r>
    </w:p>
    <w:p w14:paraId="6467BC70" w14:textId="77777777" w:rsidR="00B62BDF" w:rsidRPr="001278F6" w:rsidRDefault="00B62BDF" w:rsidP="00B62BDF">
      <w:pPr>
        <w:tabs>
          <w:tab w:val="left" w:pos="709"/>
        </w:tabs>
        <w:spacing w:after="0" w:line="240" w:lineRule="auto"/>
        <w:ind w:left="709" w:right="709"/>
        <w:jc w:val="both"/>
        <w:rPr>
          <w:rFonts w:ascii="Verdana" w:eastAsia="Calibri" w:hAnsi="Verdana" w:cs="Arial"/>
          <w:sz w:val="21"/>
          <w:szCs w:val="21"/>
          <w:lang w:val="es-ES_tradnl" w:eastAsia="es-ES_tradnl"/>
        </w:rPr>
      </w:pPr>
      <w:r w:rsidRPr="54D29886">
        <w:rPr>
          <w:rFonts w:ascii="Verdana" w:eastAsia="Calibri" w:hAnsi="Verdana" w:cs="Arial"/>
          <w:sz w:val="21"/>
          <w:szCs w:val="21"/>
          <w:lang w:val="es-ES" w:eastAsia="es-ES"/>
        </w:rPr>
        <w:t>Ahora, teniendo en cuenta que no existe ninguna reglamentación que establezca porcentajes mínimos o máximos para determinar el A.I.U., cada empresa o comerciante de acuerdo con su infraestructura, experiencia, las condiciones del mercado, la naturaleza del contrato a celebrar, entre otros factores, establece su estructura de costos conforme a la cual se compromete a ejecutar cabalmente un contrato en el caso de que le sea adjudicado”</w:t>
      </w:r>
      <w:r w:rsidRPr="54D29886">
        <w:rPr>
          <w:rFonts w:ascii="Verdana" w:eastAsia="Calibri" w:hAnsi="Verdana" w:cs="Arial"/>
          <w:sz w:val="21"/>
          <w:szCs w:val="21"/>
          <w:vertAlign w:val="superscript"/>
          <w:lang w:val="es-ES" w:eastAsia="es-ES"/>
        </w:rPr>
        <w:footnoteReference w:id="7"/>
      </w:r>
      <w:r w:rsidRPr="54D29886">
        <w:rPr>
          <w:rFonts w:ascii="Verdana" w:eastAsia="Calibri" w:hAnsi="Verdana" w:cs="Arial"/>
          <w:sz w:val="21"/>
          <w:szCs w:val="21"/>
          <w:lang w:val="es-ES" w:eastAsia="es-ES"/>
        </w:rPr>
        <w:t>.</w:t>
      </w:r>
    </w:p>
    <w:p w14:paraId="7AB4FF88" w14:textId="77777777" w:rsidR="00B62BDF" w:rsidRPr="001278F6" w:rsidRDefault="00B62BDF" w:rsidP="00B62BDF">
      <w:pPr>
        <w:tabs>
          <w:tab w:val="left" w:pos="709"/>
        </w:tabs>
        <w:spacing w:after="0" w:line="276" w:lineRule="auto"/>
        <w:ind w:left="709" w:right="760"/>
        <w:jc w:val="both"/>
        <w:rPr>
          <w:rFonts w:ascii="Verdana" w:eastAsia="Calibri" w:hAnsi="Verdana" w:cs="Arial"/>
          <w:szCs w:val="24"/>
          <w:lang w:val="es-ES_tradnl" w:eastAsia="es-ES_tradnl"/>
        </w:rPr>
      </w:pPr>
    </w:p>
    <w:p w14:paraId="0CBC055C" w14:textId="77777777" w:rsidR="00B62BDF" w:rsidRPr="001278F6" w:rsidRDefault="00B62BDF" w:rsidP="00B62BDF">
      <w:pPr>
        <w:spacing w:after="0" w:line="276" w:lineRule="auto"/>
        <w:ind w:firstLine="709"/>
        <w:jc w:val="both"/>
        <w:rPr>
          <w:rFonts w:ascii="Verdana" w:eastAsia="Calibri" w:hAnsi="Verdana" w:cs="Arial"/>
          <w:lang w:val="es-ES" w:eastAsia="es-ES"/>
        </w:rPr>
      </w:pPr>
      <w:r w:rsidRPr="001278F6">
        <w:rPr>
          <w:rFonts w:ascii="Verdana" w:eastAsia="Calibri" w:hAnsi="Verdana" w:cs="Arial"/>
          <w:lang w:val="es-ES" w:eastAsia="es-ES"/>
        </w:rPr>
        <w:t>A su turno, la Sala de Consulta y Servicio Civil del Consejo de Estado sostuvo en concepto del 5 de septiembre de 2018</w:t>
      </w:r>
      <w:r w:rsidRPr="001278F6">
        <w:rPr>
          <w:rFonts w:ascii="Verdana" w:eastAsia="Calibri" w:hAnsi="Verdana" w:cs="Arial"/>
          <w:vertAlign w:val="superscript"/>
          <w:lang w:val="es-ES" w:eastAsia="es-ES"/>
        </w:rPr>
        <w:footnoteReference w:id="8"/>
      </w:r>
      <w:r w:rsidRPr="001278F6">
        <w:rPr>
          <w:rFonts w:ascii="Verdana" w:eastAsia="Calibri" w:hAnsi="Verdana" w:cs="Arial"/>
          <w:lang w:val="es-ES" w:eastAsia="es-ES"/>
        </w:rPr>
        <w:t xml:space="preserve"> que “el concepto del A.I.U. comprende la Administración (costos indirectos) imprevistos y utilidades, y en algunos contratos este valor aparece cuantificado en forma independiente al valor de la obra y como un porcentaje de la misma</w:t>
      </w:r>
      <w:r w:rsidRPr="001278F6">
        <w:rPr>
          <w:rFonts w:ascii="Verdana" w:eastAsia="Calibri" w:hAnsi="Verdana" w:cs="Arial"/>
          <w:vertAlign w:val="superscript"/>
          <w:lang w:val="es-ES" w:eastAsia="es-ES"/>
        </w:rPr>
        <w:footnoteReference w:id="9"/>
      </w:r>
      <w:r w:rsidRPr="001278F6">
        <w:rPr>
          <w:rFonts w:ascii="Verdana" w:eastAsia="Calibri" w:hAnsi="Verdana" w:cs="Arial"/>
          <w:lang w:val="es-ES" w:eastAsia="es-ES"/>
        </w:rPr>
        <w:t>, sin perjuicio que en otros contratos este valor no aparezca discriminado y se incorpore en el valor de los precios unitarios”</w:t>
      </w:r>
      <w:r w:rsidRPr="001278F6">
        <w:rPr>
          <w:rFonts w:ascii="Verdana" w:eastAsia="Calibri" w:hAnsi="Verdana" w:cs="Arial"/>
          <w:vertAlign w:val="superscript"/>
          <w:lang w:val="es-ES" w:eastAsia="es-ES"/>
        </w:rPr>
        <w:footnoteReference w:id="10"/>
      </w:r>
      <w:r w:rsidRPr="001278F6">
        <w:rPr>
          <w:rFonts w:ascii="Verdana" w:eastAsia="Calibri" w:hAnsi="Verdana" w:cs="Arial"/>
          <w:lang w:val="es-ES" w:eastAsia="es-ES"/>
        </w:rPr>
        <w:t xml:space="preserve">. </w:t>
      </w:r>
    </w:p>
    <w:p w14:paraId="24266521" w14:textId="77777777" w:rsidR="00B62BDF" w:rsidRPr="001278F6" w:rsidRDefault="00B62BDF" w:rsidP="00B62BDF">
      <w:pPr>
        <w:spacing w:before="120" w:after="0" w:line="276" w:lineRule="auto"/>
        <w:ind w:firstLine="709"/>
        <w:jc w:val="both"/>
        <w:rPr>
          <w:rFonts w:ascii="Verdana" w:eastAsia="Calibri" w:hAnsi="Verdana" w:cs="Arial"/>
          <w:bCs/>
          <w:szCs w:val="24"/>
          <w:lang w:val="es-ES_tradnl" w:eastAsia="es-ES_tradnl"/>
        </w:rPr>
      </w:pPr>
      <w:r w:rsidRPr="54D29886">
        <w:rPr>
          <w:rFonts w:ascii="Verdana" w:eastAsia="Calibri" w:hAnsi="Verdana" w:cs="Arial"/>
          <w:lang w:val="es-ES" w:eastAsia="es-ES"/>
        </w:rPr>
        <w:lastRenderedPageBreak/>
        <w:t>Así pues, ni el sistema de precios unitarios –como metodología de estipulación del valor contractual–, ni el concepto de AIU, ni mucho menos la forma de calcularlo –es decir, su porcentaje–, son aspectos regulados en el conjunto de las disposiciones legales y reglamentarias que integran la normativa contractual del Estado: “La justificación de esta manera de cotizar el precio procede, incluso, de la formación universitaria que reciben los ingenieros, a quienes les enseñan esta metodología para elaborar las ofertas. En fin, lo que se quiere indicar con estos comentarios es que la necesidad de presentar una propuesta desglosando en forma intensa su precio no procede de la ley, ni del reglamento, sino de la costumbre, […]”</w:t>
      </w:r>
      <w:r w:rsidRPr="54D29886">
        <w:rPr>
          <w:rFonts w:ascii="Verdana" w:eastAsia="Calibri" w:hAnsi="Verdana" w:cs="Arial"/>
          <w:vertAlign w:val="superscript"/>
          <w:lang w:val="es-ES" w:eastAsia="es-ES"/>
        </w:rPr>
        <w:footnoteReference w:id="11"/>
      </w:r>
      <w:r w:rsidRPr="54D29886">
        <w:rPr>
          <w:rFonts w:ascii="Verdana" w:eastAsia="Calibri" w:hAnsi="Verdana" w:cs="Arial"/>
          <w:lang w:val="es-ES" w:eastAsia="es-ES"/>
        </w:rPr>
        <w:t xml:space="preserve">. De otro lado, quien define el valor de cada </w:t>
      </w:r>
      <w:r w:rsidRPr="54D29886">
        <w:rPr>
          <w:rFonts w:ascii="Verdana" w:eastAsia="Calibri" w:hAnsi="Verdana" w:cs="Arial"/>
          <w:i/>
          <w:lang w:val="es-ES" w:eastAsia="es-ES"/>
        </w:rPr>
        <w:t>letra</w:t>
      </w:r>
      <w:r w:rsidRPr="54D29886">
        <w:rPr>
          <w:rFonts w:ascii="Verdana" w:eastAsia="Calibri" w:hAnsi="Verdana" w:cs="Arial"/>
          <w:lang w:val="es-ES" w:eastAsia="es-ES"/>
        </w:rPr>
        <w:t xml:space="preserve"> –AIU– es el proponente, pues goza de libertad empresarial para hacerlo en la elaboración de su oferta</w:t>
      </w:r>
      <w:r w:rsidRPr="54D29886">
        <w:rPr>
          <w:rFonts w:ascii="Verdana" w:eastAsia="Calibri" w:hAnsi="Verdana" w:cs="Arial"/>
          <w:vertAlign w:val="superscript"/>
          <w:lang w:val="es-ES" w:eastAsia="es-ES"/>
        </w:rPr>
        <w:footnoteReference w:id="12"/>
      </w:r>
      <w:r w:rsidRPr="54D29886">
        <w:rPr>
          <w:rFonts w:ascii="Verdana" w:eastAsia="Calibri" w:hAnsi="Verdana" w:cs="Arial"/>
          <w:lang w:val="es-ES" w:eastAsia="es-ES"/>
        </w:rPr>
        <w:t>.</w:t>
      </w:r>
    </w:p>
    <w:p w14:paraId="70025A22" w14:textId="77777777" w:rsidR="00B62BDF" w:rsidRPr="001278F6" w:rsidRDefault="00B62BDF" w:rsidP="00B62BDF">
      <w:pPr>
        <w:spacing w:before="120" w:after="0" w:line="276" w:lineRule="auto"/>
        <w:ind w:firstLine="709"/>
        <w:jc w:val="both"/>
        <w:rPr>
          <w:rFonts w:ascii="Verdana" w:eastAsia="Calibri" w:hAnsi="Verdana" w:cs="Arial"/>
          <w:lang w:val="es-ES" w:eastAsia="es-ES"/>
        </w:rPr>
      </w:pPr>
      <w:r w:rsidRPr="001278F6">
        <w:rPr>
          <w:rFonts w:ascii="Verdana" w:eastAsia="Calibri" w:hAnsi="Verdana" w:cs="Arial"/>
          <w:lang w:val="es-ES" w:eastAsia="es-ES"/>
        </w:rPr>
        <w:t xml:space="preserve">De esta manera, usualmente en los contratos cuyo valor se estructura bajo el sistema de precios unitarios y con el desglose del AIU, el precio se paga con base en el valor de los costos directos incrementados por el porcentaje del AIU, forma de pago que pueden incluir las entidades estatales en virtud de la autonomía de la voluntad a que remiten los artículos 13, 32 y 40 del EGCAP. </w:t>
      </w:r>
    </w:p>
    <w:p w14:paraId="2548BE91" w14:textId="77777777" w:rsidR="00B62BDF" w:rsidRPr="001278F6" w:rsidRDefault="00B62BDF" w:rsidP="00B62BDF">
      <w:pPr>
        <w:spacing w:before="120" w:after="0" w:line="276" w:lineRule="auto"/>
        <w:ind w:firstLine="709"/>
        <w:jc w:val="both"/>
        <w:rPr>
          <w:rFonts w:ascii="Verdana" w:eastAsia="Calibri" w:hAnsi="Verdana" w:cs="Arial"/>
          <w:lang w:val="es-ES" w:eastAsia="es-ES"/>
        </w:rPr>
      </w:pPr>
      <w:r w:rsidRPr="001278F6">
        <w:rPr>
          <w:rFonts w:ascii="Verdana" w:eastAsia="Aptos" w:hAnsi="Verdana" w:cs="Arial"/>
          <w:kern w:val="2"/>
          <w:lang w:val="es-ES" w:eastAsia="es-ES"/>
          <w14:ligatures w14:val="standardContextual"/>
        </w:rPr>
        <w:t>Así las cosas, las entidades cuentan con discrecionalidad para establecer en el pliego de condiciones o en su documento equivalente, así como en el contrato, el sistema de precios unitarios y la figura del AIU. De este modo, teniendo en cuenta que el análisis de precios unitarios no cuenta con una regulación normativa en materia contractual del Estado, la determinación de estos y de los componentes del AIU dependerá del análisis particular que realice la entidad en relación con el presupuesto estimado del valor de la ejecución del contrato que, a su vez, sirve de guía para que los proponentes formulen sus ofertas.</w:t>
      </w:r>
    </w:p>
    <w:p w14:paraId="72C39006" w14:textId="77777777" w:rsidR="00B62BDF" w:rsidRPr="001278F6" w:rsidRDefault="00B62BDF" w:rsidP="00B62BDF">
      <w:pPr>
        <w:spacing w:before="120" w:after="120" w:line="276" w:lineRule="auto"/>
        <w:ind w:firstLine="709"/>
        <w:jc w:val="both"/>
        <w:rPr>
          <w:rFonts w:ascii="Verdana" w:eastAsia="Aptos" w:hAnsi="Verdana" w:cs="Arial"/>
          <w:kern w:val="2"/>
          <w:lang w:val="es-ES" w:eastAsia="es-ES"/>
          <w14:ligatures w14:val="standardContextual"/>
        </w:rPr>
      </w:pPr>
      <w:r w:rsidRPr="001278F6">
        <w:rPr>
          <w:rFonts w:ascii="Verdana" w:eastAsia="Aptos" w:hAnsi="Verdana" w:cs="Arial"/>
          <w:kern w:val="2"/>
          <w:lang w:val="es-ES" w:eastAsia="es-ES"/>
          <w14:ligatures w14:val="standardContextual"/>
        </w:rPr>
        <w:t xml:space="preserve">En este contexto, es pertinente señalar que, en caso de que los precios unitarios establecidos en los pliegos de condiciones presenten alguna inconsistencia, el proponente podrá realizar las observaciones correspondientes en los plazos señalados para el efecto. </w:t>
      </w:r>
    </w:p>
    <w:p w14:paraId="7BDA948E" w14:textId="2DAB4783" w:rsidR="00B62BDF" w:rsidRPr="000C1B9E" w:rsidRDefault="00B62BDF" w:rsidP="000C1B9E">
      <w:pPr>
        <w:spacing w:before="120" w:after="120" w:line="276" w:lineRule="auto"/>
        <w:ind w:firstLine="709"/>
        <w:jc w:val="both"/>
        <w:rPr>
          <w:rFonts w:ascii="Verdana" w:eastAsia="Aptos" w:hAnsi="Verdana" w:cs="Arial"/>
          <w:kern w:val="2"/>
          <w:lang w:val="es-ES" w:eastAsia="es-ES"/>
          <w14:ligatures w14:val="standardContextual"/>
        </w:rPr>
      </w:pPr>
      <w:r w:rsidRPr="001278F6">
        <w:rPr>
          <w:rFonts w:ascii="Verdana" w:eastAsia="Aptos" w:hAnsi="Verdana" w:cs="Arial"/>
          <w:kern w:val="2"/>
          <w:lang w:val="es-ES" w:eastAsia="es-ES"/>
          <w14:ligatures w14:val="standardContextual"/>
        </w:rPr>
        <w:t xml:space="preserve">En consecuencia, tanto las entidades sometidas al Estatuto General de Contratación de la Administración Pública, como las excluidas de este –es decir, </w:t>
      </w:r>
      <w:r w:rsidRPr="001278F6">
        <w:rPr>
          <w:rFonts w:ascii="Verdana" w:eastAsia="Aptos" w:hAnsi="Verdana" w:cs="Arial"/>
          <w:kern w:val="2"/>
          <w:lang w:val="es-ES" w:eastAsia="es-ES"/>
          <w14:ligatures w14:val="standardContextual"/>
        </w:rPr>
        <w:lastRenderedPageBreak/>
        <w:t>las que tienen un régimen especial– gozan de autonomía para configurar el precio y para establecer el sistema de pago más apropiado para satisfacer los fines de la contratación, respetando los límites previstos en el ordenamiento. Por ende, la decisión de determinar el sistema de precios unitarios y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0B81FA7C" w14:textId="77777777" w:rsidR="00B62BDF" w:rsidRPr="001278F6" w:rsidRDefault="00B62BDF" w:rsidP="00B62BDF">
      <w:pPr>
        <w:spacing w:before="120" w:after="0" w:line="276" w:lineRule="auto"/>
        <w:ind w:firstLine="709"/>
        <w:jc w:val="both"/>
        <w:rPr>
          <w:rFonts w:ascii="Verdana" w:eastAsia="Calibri" w:hAnsi="Verdana" w:cs="Arial"/>
          <w:lang w:eastAsia="es-ES"/>
        </w:rPr>
      </w:pPr>
      <w:r w:rsidRPr="001278F6">
        <w:rPr>
          <w:rFonts w:ascii="Verdana" w:eastAsia="Calibri"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entidad definirá la forma de adelantar su gestión contractual, sin que sea atribución de Colombia Compra Eficiente validar sus actuaciones.</w:t>
      </w:r>
    </w:p>
    <w:p w14:paraId="147313EF" w14:textId="77777777" w:rsidR="00B62BDF" w:rsidRPr="001278F6" w:rsidRDefault="00B62BDF" w:rsidP="00B62BDF">
      <w:pPr>
        <w:spacing w:after="0" w:line="276" w:lineRule="auto"/>
        <w:jc w:val="both"/>
        <w:rPr>
          <w:rFonts w:ascii="Verdana" w:eastAsia="Times New Roman" w:hAnsi="Verdana" w:cs="Arial"/>
          <w:color w:val="000000"/>
          <w:lang w:eastAsia="es-CO"/>
        </w:rPr>
      </w:pPr>
    </w:p>
    <w:p w14:paraId="1DD063BC" w14:textId="77777777" w:rsidR="00B62BDF" w:rsidRPr="001278F6" w:rsidRDefault="00B62BDF" w:rsidP="00B62BDF">
      <w:pPr>
        <w:numPr>
          <w:ilvl w:val="0"/>
          <w:numId w:val="20"/>
        </w:numPr>
        <w:tabs>
          <w:tab w:val="left" w:pos="142"/>
          <w:tab w:val="left" w:pos="284"/>
        </w:tabs>
        <w:spacing w:after="0" w:line="276" w:lineRule="auto"/>
        <w:jc w:val="both"/>
        <w:rPr>
          <w:rFonts w:ascii="Verdana" w:eastAsia="Century Gothic" w:hAnsi="Verdana" w:cs="Century Gothic"/>
          <w:b/>
          <w:bCs/>
          <w:lang w:val="es-ES"/>
        </w:rPr>
      </w:pPr>
      <w:r w:rsidRPr="001278F6">
        <w:rPr>
          <w:rFonts w:ascii="Verdana" w:eastAsia="Century Gothic" w:hAnsi="Verdana" w:cs="Century Gothic"/>
          <w:b/>
          <w:bCs/>
          <w:lang w:val="es-ES"/>
        </w:rPr>
        <w:t>Referencias normativas:</w:t>
      </w:r>
    </w:p>
    <w:p w14:paraId="5E8EE7B4" w14:textId="77777777" w:rsidR="00B62BDF" w:rsidRPr="001278F6" w:rsidRDefault="00B62BDF" w:rsidP="00B62BDF">
      <w:pPr>
        <w:widowControl w:val="0"/>
        <w:autoSpaceDE w:val="0"/>
        <w:autoSpaceDN w:val="0"/>
        <w:spacing w:after="0" w:line="276" w:lineRule="auto"/>
        <w:jc w:val="both"/>
        <w:rPr>
          <w:rFonts w:ascii="Verdana" w:eastAsia="Calibri"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62BDF" w:rsidRPr="001278F6" w14:paraId="7E6ED79F" w14:textId="77777777" w:rsidTr="004E263A">
        <w:trPr>
          <w:trHeight w:val="404"/>
          <w:jc w:val="center"/>
        </w:trPr>
        <w:tc>
          <w:tcPr>
            <w:tcW w:w="8647" w:type="dxa"/>
          </w:tcPr>
          <w:p w14:paraId="2B5BDE60" w14:textId="77777777" w:rsidR="00B62BDF" w:rsidRPr="001278F6" w:rsidRDefault="00B62BDF" w:rsidP="00B62BDF">
            <w:pPr>
              <w:widowControl w:val="0"/>
              <w:numPr>
                <w:ilvl w:val="0"/>
                <w:numId w:val="19"/>
              </w:numPr>
              <w:autoSpaceDE w:val="0"/>
              <w:autoSpaceDN w:val="0"/>
              <w:spacing w:line="276" w:lineRule="auto"/>
              <w:contextualSpacing/>
              <w:jc w:val="both"/>
              <w:rPr>
                <w:rFonts w:ascii="Verdana" w:eastAsia="Calibri" w:hAnsi="Verdana" w:cs="Arial"/>
                <w:lang w:val="es-ES"/>
              </w:rPr>
            </w:pPr>
            <w:r w:rsidRPr="001278F6">
              <w:rPr>
                <w:rFonts w:ascii="Verdana" w:eastAsia="Calibri" w:hAnsi="Verdana" w:cs="Arial"/>
                <w:lang w:val="es-ES"/>
              </w:rPr>
              <w:t xml:space="preserve">Ley 80 de 1993, artículos 13, 32 y 40.  </w:t>
            </w:r>
          </w:p>
        </w:tc>
      </w:tr>
    </w:tbl>
    <w:p w14:paraId="7D52EB4A" w14:textId="77777777" w:rsidR="00B62BDF" w:rsidRPr="001278F6" w:rsidRDefault="00B62BDF" w:rsidP="00B62BDF">
      <w:pPr>
        <w:widowControl w:val="0"/>
        <w:autoSpaceDE w:val="0"/>
        <w:autoSpaceDN w:val="0"/>
        <w:spacing w:after="0" w:line="276" w:lineRule="auto"/>
        <w:jc w:val="both"/>
        <w:rPr>
          <w:rFonts w:ascii="Verdana" w:eastAsia="Calibri" w:hAnsi="Verdana" w:cs="Arial"/>
        </w:rPr>
      </w:pPr>
    </w:p>
    <w:p w14:paraId="711971E3" w14:textId="77777777" w:rsidR="00B62BDF" w:rsidRPr="001278F6" w:rsidRDefault="00B62BDF" w:rsidP="00B62BDF">
      <w:pPr>
        <w:numPr>
          <w:ilvl w:val="0"/>
          <w:numId w:val="20"/>
        </w:numPr>
        <w:tabs>
          <w:tab w:val="left" w:pos="142"/>
          <w:tab w:val="left" w:pos="284"/>
        </w:tabs>
        <w:spacing w:after="0" w:line="276" w:lineRule="auto"/>
        <w:jc w:val="both"/>
        <w:rPr>
          <w:rFonts w:ascii="Verdana" w:eastAsia="Century Gothic" w:hAnsi="Verdana" w:cs="Century Gothic"/>
          <w:b/>
          <w:bCs/>
          <w:lang w:val="es-ES"/>
        </w:rPr>
      </w:pPr>
      <w:r w:rsidRPr="001278F6">
        <w:rPr>
          <w:rFonts w:ascii="Verdana" w:eastAsia="Century Gothic" w:hAnsi="Verdana" w:cs="Century Gothic"/>
          <w:b/>
          <w:bCs/>
          <w:lang w:val="es-ES"/>
        </w:rPr>
        <w:t>Doctrina de la Agencia Nacional de Contratación Pública:</w:t>
      </w:r>
    </w:p>
    <w:p w14:paraId="783302FA" w14:textId="77777777" w:rsidR="00B62BDF" w:rsidRPr="001278F6" w:rsidRDefault="00B62BDF" w:rsidP="00B62BDF">
      <w:pPr>
        <w:widowControl w:val="0"/>
        <w:autoSpaceDE w:val="0"/>
        <w:autoSpaceDN w:val="0"/>
        <w:spacing w:after="0" w:line="276" w:lineRule="auto"/>
        <w:jc w:val="both"/>
        <w:rPr>
          <w:rFonts w:ascii="Verdana" w:eastAsia="Calibri" w:hAnsi="Verdana" w:cs="Arial"/>
        </w:rPr>
      </w:pPr>
    </w:p>
    <w:p w14:paraId="58063837" w14:textId="77777777" w:rsidR="00B62BDF" w:rsidRPr="001278F6" w:rsidRDefault="00B62BDF" w:rsidP="00B62BDF">
      <w:pPr>
        <w:widowControl w:val="0"/>
        <w:autoSpaceDE w:val="0"/>
        <w:autoSpaceDN w:val="0"/>
        <w:spacing w:after="0" w:line="276" w:lineRule="auto"/>
        <w:jc w:val="both"/>
        <w:rPr>
          <w:rFonts w:ascii="Verdana" w:eastAsia="Calibri" w:hAnsi="Verdana" w:cs="Arial"/>
          <w:shd w:val="clear" w:color="auto" w:fill="FFFFFF"/>
        </w:rPr>
      </w:pPr>
      <w:r w:rsidRPr="001278F6">
        <w:rPr>
          <w:rFonts w:ascii="Verdana" w:eastAsia="Calibri" w:hAnsi="Verdana" w:cs="Arial"/>
          <w:shd w:val="clear" w:color="auto" w:fill="FFFFFF"/>
        </w:rPr>
        <w:t xml:space="preserve">La Agencia Nacional de Contratación Pública – Colombia Compra Eficiente se ha pronunciado en varias ocasiones sobre el análisis de precios unitarios en los Conceptos 4201714000005136 del 14 de noviembre de 2017; 4201714000006401 del 23 de noviembre de 2017; 4201813000004155 del 9 de mayo de 2018; 4201814000008069 del 27 de septiembre de 2018; 4201814000007383 del 18 de octubre de 2018; 4201814000008069 del 13 de noviembre de 2018; 4201912000004214 del 26 de junio de 2019; 4201912000006455 y 4201912000006463 del 19 de septiembre de 2019; 4201912000007375 del 28 de octubre de 2019; 4201912000007092 del 29 de </w:t>
      </w:r>
      <w:r w:rsidRPr="001278F6">
        <w:rPr>
          <w:rFonts w:ascii="Verdana" w:eastAsia="Calibri" w:hAnsi="Verdana" w:cs="Arial"/>
          <w:shd w:val="clear" w:color="auto" w:fill="FFFFFF"/>
        </w:rPr>
        <w:lastRenderedPageBreak/>
        <w:t xml:space="preserve">noviembre de 2019; 4202012000000093, C–037 del 28 de enero de 2020, 4202012000000664 del 30 de enero de 2020, C-191 del 16 de marzo de 2020, C-211 del 8 de abril de 2020, C-714 del 9 de diciembre de 2020, C-059 del 10 de marzo de 2021, C-613 del 6 de octubre de 2022, C-716 de 15 de noviembre de 2022, C-802 de 23 de noviembre de 2022, C-854 del 9 de diciembre de 2022, C-914 del 27 de diciembre de 2022, C-361 de septiembre de 2023, C-401 del 27 de septiembre de 2023, C-455 del 18 de septiembre de 2024, C-1000 del 14 de enero de 2025 y C-248 del 3 de abril de 2025. </w:t>
      </w:r>
    </w:p>
    <w:p w14:paraId="01A77884" w14:textId="77777777" w:rsidR="00B62BDF" w:rsidRPr="001278F6" w:rsidRDefault="00B62BDF" w:rsidP="00B62BDF">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p>
    <w:p w14:paraId="10C70DF6" w14:textId="77777777" w:rsidR="00B62BDF" w:rsidRPr="001278F6" w:rsidRDefault="00B62BDF" w:rsidP="00B62BDF">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1278F6">
        <w:rPr>
          <w:rFonts w:ascii="Verdana" w:eastAsia="Times New Roman" w:hAnsi="Verdana" w:cs="Arial"/>
          <w:kern w:val="2"/>
          <w:shd w:val="clear" w:color="auto" w:fill="FFFFFF"/>
          <w:lang w:val="es-ES"/>
          <w14:ligatures w14:val="standardContextual"/>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1" w:tgtFrame="_blank" w:tooltip="Dirección URL original: https://relatoria.colombiacompra.gov.co/. Haga clic o pulse si confía en este vínculo." w:history="1">
        <w:r w:rsidRPr="001278F6">
          <w:rPr>
            <w:rFonts w:ascii="Verdana" w:eastAsia="Calibri" w:hAnsi="Verdana" w:cs="Arial"/>
            <w:color w:val="0000FF"/>
            <w:kern w:val="2"/>
            <w:u w:val="single"/>
            <w:shd w:val="clear" w:color="auto" w:fill="FFFFFF"/>
            <w14:ligatures w14:val="standardContextual"/>
          </w:rPr>
          <w:t>https://relatoria.colombiacompra.gov.co/</w:t>
        </w:r>
      </w:hyperlink>
      <w:r w:rsidRPr="001278F6">
        <w:rPr>
          <w:rFonts w:ascii="Verdana" w:eastAsia="Calibri" w:hAnsi="Verdana" w:cs="Arial"/>
          <w:color w:val="0000FF"/>
          <w:kern w:val="2"/>
          <w:u w:val="single"/>
          <w:shd w:val="clear" w:color="auto" w:fill="FFFFFF"/>
          <w14:ligatures w14:val="standardContextual"/>
        </w:rPr>
        <w:t> .</w:t>
      </w:r>
    </w:p>
    <w:p w14:paraId="3F6F5E13" w14:textId="77777777" w:rsidR="00B62BDF" w:rsidRPr="001278F6" w:rsidRDefault="00B62BDF" w:rsidP="00B62BDF">
      <w:pPr>
        <w:spacing w:after="0" w:line="240" w:lineRule="auto"/>
        <w:jc w:val="both"/>
        <w:rPr>
          <w:rFonts w:ascii="Verdana" w:eastAsia="Calibri" w:hAnsi="Verdana" w:cs="Arial"/>
          <w:color w:val="000000"/>
          <w:kern w:val="2"/>
          <w:shd w:val="clear" w:color="auto" w:fill="FFFFFF"/>
          <w14:ligatures w14:val="standardContextual"/>
        </w:rPr>
      </w:pPr>
    </w:p>
    <w:p w14:paraId="2E78DDBA" w14:textId="77777777" w:rsidR="00B62BDF" w:rsidRPr="001278F6" w:rsidRDefault="00B62BDF" w:rsidP="00B62BDF">
      <w:pPr>
        <w:spacing w:after="0" w:line="240" w:lineRule="auto"/>
        <w:jc w:val="both"/>
        <w:rPr>
          <w:rFonts w:ascii="Verdana" w:eastAsia="Calibri" w:hAnsi="Verdana" w:cs="Arial"/>
          <w:color w:val="000000"/>
          <w:kern w:val="2"/>
          <w:shd w:val="clear" w:color="auto" w:fill="FFFFFF"/>
          <w14:ligatures w14:val="standardContextual"/>
        </w:rPr>
      </w:pPr>
      <w:r w:rsidRPr="001278F6">
        <w:rPr>
          <w:rFonts w:ascii="Verdana" w:eastAsia="Calibri" w:hAnsi="Verdana" w:cs="Arial"/>
          <w:color w:val="000000"/>
          <w:kern w:val="2"/>
          <w:shd w:val="clear" w:color="auto" w:fill="FFFFFF"/>
          <w14:ligatures w14:val="standardContextual"/>
        </w:rPr>
        <w:t>La Agencia Nacional de Contratación Pública – Colombia Compra Eficiente le informa que ya se encuentra disponible la </w:t>
      </w:r>
      <w:r w:rsidRPr="001278F6">
        <w:rPr>
          <w:rFonts w:ascii="Verdana" w:eastAsia="Calibri" w:hAnsi="Verdana" w:cs="Arial"/>
          <w:b/>
          <w:bCs/>
          <w:color w:val="000000"/>
          <w:kern w:val="2"/>
          <w:shd w:val="clear" w:color="auto" w:fill="FFFFFF"/>
          <w14:ligatures w14:val="standardContextual"/>
        </w:rPr>
        <w:t>Guía de lineamientos de transparencia y selección objetiva para el departamento de La Guajira – Objetivo sexto constitucional de la Sentencia T-302 del 2017. </w:t>
      </w:r>
      <w:r w:rsidRPr="001278F6">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1278F6">
        <w:rPr>
          <w:rFonts w:ascii="Verdana" w:eastAsia="Calibri" w:hAnsi="Verdana" w:cs="Arial"/>
          <w:color w:val="000000"/>
          <w:kern w:val="2"/>
          <w:shd w:val="clear" w:color="auto" w:fill="FFFFFF"/>
          <w14:ligatures w14:val="standardContextual"/>
        </w:rPr>
        <w:t>Wayúu</w:t>
      </w:r>
      <w:proofErr w:type="spellEnd"/>
      <w:r w:rsidRPr="001278F6">
        <w:rPr>
          <w:rFonts w:ascii="Verdana" w:eastAsia="Calibri" w:hAnsi="Verdana" w:cs="Arial"/>
          <w:color w:val="000000"/>
          <w:kern w:val="2"/>
          <w:shd w:val="clear" w:color="auto" w:fill="FFFFFF"/>
          <w14:ligatures w14:val="standardContextual"/>
        </w:rPr>
        <w:t>. Puede consultar la guía en el siguiente enlace: </w:t>
      </w:r>
      <w:hyperlink r:id="rId12" w:tooltip="Dirección URL original: https://www.colombiacompra.gov.co/wp-content/uploads/2025/05/GUIA-DE-LINEAMIENTOS-DE-TRANSPARENCIA-Y-SELECCION-OBJETIVA-1.0.pdf. Haga clic o pulse si confía en este vínculo." w:history="1">
        <w:r w:rsidRPr="001278F6">
          <w:rPr>
            <w:rFonts w:ascii="Verdana" w:eastAsia="Calibri" w:hAnsi="Verdana" w:cs="Arial"/>
            <w:color w:val="0000FF"/>
            <w:kern w:val="2"/>
            <w:u w:val="single"/>
            <w:shd w:val="clear" w:color="auto" w:fill="FFFFFF"/>
            <w14:ligatures w14:val="standardContextual"/>
          </w:rPr>
          <w:t>Guía de lineamientos de transparencia y selección objetiva para el departamento de La Guajira – Objetivo sexto constitucional de la Sentencia T-302 del 2017</w:t>
        </w:r>
      </w:hyperlink>
      <w:r w:rsidRPr="001278F6">
        <w:rPr>
          <w:rFonts w:ascii="Verdana" w:eastAsia="Calibri" w:hAnsi="Verdana" w:cs="Arial"/>
          <w:color w:val="000000"/>
          <w:kern w:val="2"/>
          <w:u w:val="single"/>
          <w:shd w:val="clear" w:color="auto" w:fill="FFFFFF"/>
          <w14:ligatures w14:val="standardContextual"/>
        </w:rPr>
        <w:t>"</w:t>
      </w:r>
    </w:p>
    <w:p w14:paraId="6DDEEA0E" w14:textId="77777777" w:rsidR="00B62BDF" w:rsidRPr="001278F6" w:rsidRDefault="00B62BDF" w:rsidP="00B62BDF">
      <w:pPr>
        <w:spacing w:after="0" w:line="278" w:lineRule="auto"/>
        <w:jc w:val="both"/>
        <w:rPr>
          <w:rFonts w:ascii="Verdana" w:eastAsia="Aptos" w:hAnsi="Verdana" w:cs="Times New Roman"/>
          <w:color w:val="212121"/>
          <w:kern w:val="2"/>
          <w14:ligatures w14:val="standardContextual"/>
        </w:rPr>
      </w:pPr>
    </w:p>
    <w:p w14:paraId="1BC611DA" w14:textId="77777777" w:rsidR="00B62BDF" w:rsidRPr="001278F6" w:rsidRDefault="00B62BDF" w:rsidP="00B62BDF">
      <w:pPr>
        <w:spacing w:after="0" w:line="240" w:lineRule="auto"/>
        <w:jc w:val="both"/>
        <w:rPr>
          <w:rFonts w:ascii="Verdana" w:eastAsia="Calibri" w:hAnsi="Verdana" w:cs="Times New Roman"/>
          <w:kern w:val="2"/>
          <w14:ligatures w14:val="standardContextual"/>
        </w:rPr>
      </w:pPr>
      <w:r w:rsidRPr="001278F6">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18A787ED" w14:textId="77777777" w:rsidR="00B62BDF" w:rsidRPr="001278F6" w:rsidRDefault="00B62BDF" w:rsidP="00B62BDF">
      <w:pPr>
        <w:spacing w:after="0" w:line="240" w:lineRule="auto"/>
        <w:jc w:val="both"/>
        <w:rPr>
          <w:rFonts w:ascii="Verdana" w:eastAsia="Aptos" w:hAnsi="Verdana" w:cs="Times New Roman"/>
          <w:kern w:val="2"/>
          <w14:ligatures w14:val="standardContextual"/>
        </w:rPr>
      </w:pPr>
    </w:p>
    <w:p w14:paraId="6E165D9F" w14:textId="77777777" w:rsidR="00B62BDF" w:rsidRPr="001278F6" w:rsidRDefault="00B62BDF" w:rsidP="00B62BDF">
      <w:pPr>
        <w:spacing w:after="0" w:line="240" w:lineRule="auto"/>
        <w:jc w:val="both"/>
        <w:rPr>
          <w:rFonts w:ascii="Verdana" w:eastAsia="Aptos" w:hAnsi="Verdana" w:cs="Times New Roman"/>
          <w:kern w:val="2"/>
          <w14:ligatures w14:val="standardContextual"/>
        </w:rPr>
      </w:pPr>
      <w:r w:rsidRPr="001278F6">
        <w:rPr>
          <w:rFonts w:ascii="Verdana" w:eastAsia="Aptos" w:hAnsi="Verdana" w:cs="Times New Roman"/>
          <w:kern w:val="2"/>
          <w14:ligatures w14:val="standardContextual"/>
        </w:rPr>
        <w:t xml:space="preserve">Twitter: </w:t>
      </w:r>
      <w:r w:rsidRPr="001278F6">
        <w:rPr>
          <w:rFonts w:ascii="Verdana" w:eastAsia="Calibri" w:hAnsi="Verdana" w:cs="Times New Roman"/>
          <w:color w:val="156082"/>
          <w:kern w:val="2"/>
          <w:u w:val="single"/>
          <w14:ligatures w14:val="standardContextual"/>
        </w:rPr>
        <w:t>@colombiacompra</w:t>
      </w:r>
      <w:r w:rsidRPr="001278F6">
        <w:rPr>
          <w:rFonts w:ascii="Verdana" w:eastAsia="Calibri" w:hAnsi="Verdana" w:cs="Times New Roman"/>
          <w:color w:val="156082"/>
          <w:kern w:val="2"/>
          <w14:ligatures w14:val="standardContextual"/>
        </w:rPr>
        <w:t xml:space="preserve"> </w:t>
      </w:r>
    </w:p>
    <w:p w14:paraId="6B128463" w14:textId="77777777" w:rsidR="00B62BDF" w:rsidRPr="001278F6" w:rsidRDefault="00B62BDF" w:rsidP="00B62BDF">
      <w:pPr>
        <w:spacing w:after="0" w:line="240" w:lineRule="auto"/>
        <w:jc w:val="both"/>
        <w:rPr>
          <w:rFonts w:ascii="Verdana" w:eastAsia="Aptos" w:hAnsi="Verdana" w:cs="Times New Roman"/>
          <w:kern w:val="2"/>
          <w14:ligatures w14:val="standardContextual"/>
        </w:rPr>
      </w:pPr>
      <w:r w:rsidRPr="001278F6">
        <w:rPr>
          <w:rFonts w:ascii="Verdana" w:eastAsia="Aptos" w:hAnsi="Verdana" w:cs="Times New Roman"/>
          <w:kern w:val="2"/>
          <w14:ligatures w14:val="standardContextual"/>
        </w:rPr>
        <w:t xml:space="preserve">Facebook: </w:t>
      </w:r>
      <w:proofErr w:type="spellStart"/>
      <w:r w:rsidRPr="001278F6">
        <w:rPr>
          <w:rFonts w:ascii="Verdana" w:eastAsia="Calibri" w:hAnsi="Verdana" w:cs="Times New Roman"/>
          <w:color w:val="156082"/>
          <w:kern w:val="2"/>
          <w:u w:val="single"/>
          <w14:ligatures w14:val="standardContextual"/>
        </w:rPr>
        <w:t>ColombiaCompraEficiente</w:t>
      </w:r>
      <w:proofErr w:type="spellEnd"/>
    </w:p>
    <w:p w14:paraId="406DABE5" w14:textId="77777777" w:rsidR="00B62BDF" w:rsidRPr="001278F6" w:rsidRDefault="00B62BDF" w:rsidP="00B62BDF">
      <w:pPr>
        <w:spacing w:after="0" w:line="240" w:lineRule="auto"/>
        <w:jc w:val="both"/>
        <w:rPr>
          <w:rFonts w:ascii="Verdana" w:eastAsia="Aptos" w:hAnsi="Verdana" w:cs="Times New Roman"/>
          <w:kern w:val="2"/>
          <w14:ligatures w14:val="standardContextual"/>
        </w:rPr>
      </w:pPr>
      <w:r w:rsidRPr="001278F6">
        <w:rPr>
          <w:rFonts w:ascii="Verdana" w:eastAsia="Aptos" w:hAnsi="Verdana" w:cs="Times New Roman"/>
          <w:kern w:val="2"/>
          <w14:ligatures w14:val="standardContextual"/>
        </w:rPr>
        <w:t xml:space="preserve">LinkedIn: </w:t>
      </w:r>
      <w:r w:rsidRPr="001278F6">
        <w:rPr>
          <w:rFonts w:ascii="Verdana" w:eastAsia="Calibri" w:hAnsi="Verdana" w:cs="Times New Roman"/>
          <w:color w:val="156082"/>
          <w:kern w:val="2"/>
          <w:u w:val="single"/>
          <w14:ligatures w14:val="standardContextual"/>
        </w:rPr>
        <w:t>Agencia Nacional de Contratación Pública - Colombia Compra Eficiente</w:t>
      </w:r>
      <w:r w:rsidRPr="001278F6">
        <w:rPr>
          <w:rFonts w:ascii="Verdana" w:eastAsia="Calibri" w:hAnsi="Verdana" w:cs="Times New Roman"/>
          <w:color w:val="156082"/>
          <w:kern w:val="2"/>
          <w14:ligatures w14:val="standardContextual"/>
        </w:rPr>
        <w:t xml:space="preserve"> </w:t>
      </w:r>
      <w:r w:rsidRPr="001278F6">
        <w:rPr>
          <w:rFonts w:ascii="Verdana" w:eastAsia="Aptos" w:hAnsi="Verdana" w:cs="Times New Roman"/>
          <w:kern w:val="2"/>
          <w14:ligatures w14:val="standardContextual"/>
        </w:rPr>
        <w:t xml:space="preserve">Instagram: </w:t>
      </w:r>
      <w:r w:rsidRPr="001278F6">
        <w:rPr>
          <w:rFonts w:ascii="Verdana" w:eastAsia="Calibri" w:hAnsi="Verdana" w:cs="Times New Roman"/>
          <w:color w:val="156082"/>
          <w:kern w:val="2"/>
          <w:u w:val="single"/>
          <w14:ligatures w14:val="standardContextual"/>
        </w:rPr>
        <w:t>@colombiacompraeficiente_cce</w:t>
      </w:r>
    </w:p>
    <w:p w14:paraId="4A68599D" w14:textId="77777777" w:rsidR="00B62BDF" w:rsidRPr="001278F6" w:rsidRDefault="00B62BDF" w:rsidP="00B62BDF">
      <w:pPr>
        <w:spacing w:after="0" w:line="276" w:lineRule="auto"/>
        <w:jc w:val="both"/>
        <w:rPr>
          <w:rFonts w:ascii="Verdana" w:eastAsia="Aptos" w:hAnsi="Verdana" w:cs="Times New Roman"/>
          <w:kern w:val="2"/>
          <w14:ligatures w14:val="standardContextual"/>
        </w:rPr>
      </w:pPr>
    </w:p>
    <w:p w14:paraId="19B7D441" w14:textId="77777777" w:rsidR="0043219C" w:rsidRDefault="0043219C" w:rsidP="00B62BDF">
      <w:pPr>
        <w:spacing w:after="0" w:line="276" w:lineRule="auto"/>
        <w:jc w:val="both"/>
        <w:rPr>
          <w:rFonts w:ascii="Verdana" w:eastAsia="Calibri" w:hAnsi="Verdana" w:cs="Times New Roman"/>
          <w:kern w:val="2"/>
          <w:lang w:val="es-ES_tradnl"/>
          <w14:ligatures w14:val="standardContextual"/>
        </w:rPr>
      </w:pPr>
    </w:p>
    <w:p w14:paraId="5BD10549" w14:textId="77777777" w:rsidR="0043219C" w:rsidRDefault="0043219C" w:rsidP="00B62BDF">
      <w:pPr>
        <w:spacing w:after="0" w:line="276" w:lineRule="auto"/>
        <w:jc w:val="both"/>
        <w:rPr>
          <w:rFonts w:ascii="Verdana" w:eastAsia="Calibri" w:hAnsi="Verdana" w:cs="Times New Roman"/>
          <w:kern w:val="2"/>
          <w:lang w:val="es-ES_tradnl"/>
          <w14:ligatures w14:val="standardContextual"/>
        </w:rPr>
      </w:pPr>
    </w:p>
    <w:p w14:paraId="2042CBAE" w14:textId="3C5674F1" w:rsidR="00B62BDF" w:rsidRPr="001278F6" w:rsidRDefault="00B62BDF" w:rsidP="00B62BDF">
      <w:pPr>
        <w:spacing w:after="0" w:line="276" w:lineRule="auto"/>
        <w:jc w:val="both"/>
        <w:rPr>
          <w:rFonts w:ascii="Verdana" w:eastAsia="Calibri" w:hAnsi="Verdana" w:cs="Times New Roman"/>
          <w:bCs/>
          <w:kern w:val="2"/>
          <w:lang w:val="es-ES_tradnl"/>
          <w14:ligatures w14:val="standardContextual"/>
        </w:rPr>
      </w:pPr>
      <w:r w:rsidRPr="001278F6">
        <w:rPr>
          <w:rFonts w:ascii="Verdana" w:eastAsia="Calibri" w:hAnsi="Verdana" w:cs="Times New Roman"/>
          <w:kern w:val="2"/>
          <w:lang w:val="es-ES_tradnl"/>
          <w14:ligatures w14:val="standardContextual"/>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D8C9E6A" w14:textId="77777777" w:rsidR="00B62BDF" w:rsidRDefault="00B62BDF" w:rsidP="00B62BDF">
      <w:pPr>
        <w:spacing w:after="0" w:line="276" w:lineRule="auto"/>
        <w:rPr>
          <w:rFonts w:ascii="Verdana" w:hAnsi="Verdana" w:cs="Arial"/>
          <w:lang w:eastAsia="es-CO"/>
        </w:rPr>
      </w:pPr>
      <w:r w:rsidRPr="004D420E">
        <w:rPr>
          <w:rFonts w:ascii="Verdana" w:eastAsia="Times New Roman" w:hAnsi="Verdana" w:cs="Arial"/>
          <w:lang w:eastAsia="es-CO"/>
        </w:rPr>
        <w:t>Atentamente,</w:t>
      </w:r>
      <w:r w:rsidRPr="004D420E">
        <w:rPr>
          <w:rFonts w:ascii="Verdana" w:hAnsi="Verdana" w:cs="Arial"/>
          <w:lang w:eastAsia="es-CO"/>
        </w:rPr>
        <w:t xml:space="preserve"> </w:t>
      </w:r>
    </w:p>
    <w:p w14:paraId="29412290" w14:textId="77777777" w:rsidR="0043219C" w:rsidRPr="004D420E" w:rsidRDefault="0043219C" w:rsidP="00B62BDF">
      <w:pPr>
        <w:spacing w:after="0" w:line="276" w:lineRule="auto"/>
        <w:rPr>
          <w:rFonts w:ascii="Verdana" w:hAnsi="Verdana" w:cs="Arial"/>
          <w:lang w:eastAsia="es-CO"/>
        </w:rPr>
      </w:pPr>
    </w:p>
    <w:p w14:paraId="56A617EE" w14:textId="4EDF34DF" w:rsidR="00B62BDF" w:rsidRPr="004D420E" w:rsidRDefault="0043219C" w:rsidP="00B62BDF">
      <w:pPr>
        <w:spacing w:after="0" w:line="276" w:lineRule="auto"/>
        <w:jc w:val="center"/>
        <w:rPr>
          <w:rFonts w:ascii="Verdana" w:hAnsi="Verdana"/>
        </w:rPr>
      </w:pPr>
      <w:r>
        <w:rPr>
          <w:rFonts w:ascii="Verdana" w:hAnsi="Verdana"/>
          <w:noProof/>
        </w:rPr>
        <w:drawing>
          <wp:inline distT="0" distB="0" distL="0" distR="0" wp14:anchorId="63FC3D87" wp14:editId="17CDA979">
            <wp:extent cx="4431030" cy="1905172"/>
            <wp:effectExtent l="0" t="0" r="7620" b="0"/>
            <wp:docPr id="62011234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112344" name="Imagen 620112344"/>
                    <pic:cNvPicPr/>
                  </pic:nvPicPr>
                  <pic:blipFill>
                    <a:blip r:embed="rId13">
                      <a:extLst>
                        <a:ext uri="{28A0092B-C50C-407E-A947-70E740481C1C}">
                          <a14:useLocalDpi xmlns:a14="http://schemas.microsoft.com/office/drawing/2010/main" val="0"/>
                        </a:ext>
                      </a:extLst>
                    </a:blip>
                    <a:stretch>
                      <a:fillRect/>
                    </a:stretch>
                  </pic:blipFill>
                  <pic:spPr>
                    <a:xfrm>
                      <a:off x="0" y="0"/>
                      <a:ext cx="4437417" cy="1907918"/>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62BDF" w:rsidRPr="004D420E" w14:paraId="6C133811" w14:textId="77777777" w:rsidTr="004E263A">
        <w:trPr>
          <w:trHeight w:val="315"/>
        </w:trPr>
        <w:tc>
          <w:tcPr>
            <w:tcW w:w="893" w:type="dxa"/>
            <w:vAlign w:val="center"/>
            <w:hideMark/>
          </w:tcPr>
          <w:p w14:paraId="3CF0F3FB" w14:textId="77777777" w:rsidR="00B62BDF" w:rsidRPr="004D420E" w:rsidRDefault="00B62BDF" w:rsidP="004E263A">
            <w:pPr>
              <w:contextualSpacing/>
              <w:rPr>
                <w:rFonts w:ascii="Verdana" w:hAnsi="Verdana" w:cs="Arial"/>
                <w:sz w:val="16"/>
                <w:szCs w:val="16"/>
                <w:lang w:eastAsia="es-ES"/>
              </w:rPr>
            </w:pPr>
            <w:bookmarkStart w:id="2" w:name="_Hlk210670112"/>
            <w:r w:rsidRPr="004D420E">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02CCBAF4" w14:textId="77777777" w:rsidR="00B62BDF" w:rsidRPr="004D420E" w:rsidRDefault="00B62BDF" w:rsidP="004E263A">
            <w:pPr>
              <w:contextualSpacing/>
              <w:rPr>
                <w:rFonts w:ascii="Verdana" w:hAnsi="Verdana"/>
                <w:sz w:val="16"/>
                <w:szCs w:val="16"/>
              </w:rPr>
            </w:pPr>
            <w:proofErr w:type="spellStart"/>
            <w:r w:rsidRPr="004D420E">
              <w:rPr>
                <w:rFonts w:ascii="Verdana" w:hAnsi="Verdana"/>
                <w:sz w:val="16"/>
                <w:szCs w:val="16"/>
              </w:rPr>
              <w:t>Karol</w:t>
            </w:r>
            <w:proofErr w:type="spellEnd"/>
            <w:r w:rsidRPr="004D420E">
              <w:rPr>
                <w:rFonts w:ascii="Verdana" w:hAnsi="Verdana"/>
                <w:sz w:val="16"/>
                <w:szCs w:val="16"/>
              </w:rPr>
              <w:t xml:space="preserve"> Andrea </w:t>
            </w:r>
            <w:proofErr w:type="spellStart"/>
            <w:r w:rsidRPr="004D420E">
              <w:rPr>
                <w:rFonts w:ascii="Verdana" w:hAnsi="Verdana"/>
                <w:sz w:val="16"/>
                <w:szCs w:val="16"/>
              </w:rPr>
              <w:t>Gonzalez</w:t>
            </w:r>
            <w:proofErr w:type="spellEnd"/>
            <w:r w:rsidRPr="004D420E">
              <w:rPr>
                <w:rFonts w:ascii="Verdana" w:hAnsi="Verdana"/>
                <w:sz w:val="16"/>
                <w:szCs w:val="16"/>
              </w:rPr>
              <w:t xml:space="preserve"> Marín </w:t>
            </w:r>
          </w:p>
          <w:p w14:paraId="032CE328" w14:textId="77777777" w:rsidR="00B62BDF" w:rsidRPr="004D420E" w:rsidRDefault="00B62BDF" w:rsidP="004E263A">
            <w:pPr>
              <w:contextualSpacing/>
              <w:rPr>
                <w:rFonts w:ascii="Verdana" w:eastAsia="Arial" w:hAnsi="Verdana" w:cs="Arial"/>
                <w:sz w:val="16"/>
                <w:szCs w:val="16"/>
              </w:rPr>
            </w:pPr>
            <w:r w:rsidRPr="004D420E">
              <w:rPr>
                <w:rFonts w:ascii="Verdana" w:hAnsi="Verdana"/>
                <w:sz w:val="16"/>
                <w:szCs w:val="16"/>
              </w:rPr>
              <w:t>Contratista de la Subdirección de Gestión Contractual</w:t>
            </w:r>
          </w:p>
        </w:tc>
      </w:tr>
      <w:tr w:rsidR="00B62BDF" w:rsidRPr="004D420E" w14:paraId="6B30B9A9" w14:textId="77777777" w:rsidTr="004E263A">
        <w:trPr>
          <w:trHeight w:val="330"/>
        </w:trPr>
        <w:tc>
          <w:tcPr>
            <w:tcW w:w="893" w:type="dxa"/>
            <w:vAlign w:val="center"/>
            <w:hideMark/>
          </w:tcPr>
          <w:p w14:paraId="385AE067" w14:textId="77777777" w:rsidR="00B62BDF" w:rsidRPr="004D420E" w:rsidRDefault="00B62BDF" w:rsidP="004E263A">
            <w:pPr>
              <w:contextualSpacing/>
              <w:rPr>
                <w:rFonts w:ascii="Verdana" w:hAnsi="Verdana" w:cs="Arial"/>
                <w:sz w:val="16"/>
                <w:szCs w:val="16"/>
                <w:lang w:eastAsia="es-ES"/>
              </w:rPr>
            </w:pPr>
            <w:r w:rsidRPr="004D420E">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15FA7E9" w14:textId="77777777" w:rsidR="00B62BDF" w:rsidRPr="004D420E" w:rsidRDefault="00B62BDF" w:rsidP="004E263A">
            <w:pPr>
              <w:spacing w:line="276" w:lineRule="auto"/>
              <w:contextualSpacing/>
              <w:jc w:val="both"/>
              <w:rPr>
                <w:rFonts w:ascii="Verdana" w:hAnsi="Verdana"/>
                <w:sz w:val="16"/>
                <w:szCs w:val="16"/>
              </w:rPr>
            </w:pPr>
            <w:r w:rsidRPr="004D420E">
              <w:rPr>
                <w:rFonts w:ascii="Verdana" w:hAnsi="Verdana"/>
                <w:sz w:val="16"/>
                <w:szCs w:val="16"/>
              </w:rPr>
              <w:t>Juan Carlos González Vásquez</w:t>
            </w:r>
          </w:p>
          <w:p w14:paraId="1DB95CFB" w14:textId="77777777" w:rsidR="00B62BDF" w:rsidRPr="004D420E" w:rsidRDefault="00B62BDF" w:rsidP="004E263A">
            <w:pPr>
              <w:spacing w:line="276" w:lineRule="auto"/>
              <w:contextualSpacing/>
              <w:jc w:val="both"/>
              <w:rPr>
                <w:rFonts w:ascii="Verdana" w:hAnsi="Verdana" w:cstheme="minorHAnsi"/>
                <w:sz w:val="16"/>
                <w:szCs w:val="16"/>
              </w:rPr>
            </w:pPr>
            <w:r w:rsidRPr="004D420E">
              <w:rPr>
                <w:rStyle w:val="normaltextrun"/>
                <w:rFonts w:ascii="Verdana" w:eastAsia="Arial" w:hAnsi="Verdana"/>
                <w:sz w:val="16"/>
                <w:szCs w:val="16"/>
              </w:rPr>
              <w:t>Contratita de la</w:t>
            </w:r>
            <w:r w:rsidRPr="004D420E">
              <w:rPr>
                <w:rStyle w:val="normaltextrun"/>
                <w:rFonts w:ascii="Verdana" w:eastAsia="Arial" w:hAnsi="Verdana" w:cs="Arial"/>
                <w:sz w:val="16"/>
                <w:szCs w:val="16"/>
              </w:rPr>
              <w:t xml:space="preserve"> Subdirección de Gestión Contractual</w:t>
            </w:r>
          </w:p>
        </w:tc>
      </w:tr>
      <w:tr w:rsidR="00B62BDF" w:rsidRPr="00960F72" w14:paraId="541180B1" w14:textId="77777777" w:rsidTr="004E263A">
        <w:trPr>
          <w:trHeight w:val="330"/>
        </w:trPr>
        <w:tc>
          <w:tcPr>
            <w:tcW w:w="893" w:type="dxa"/>
            <w:vAlign w:val="center"/>
          </w:tcPr>
          <w:p w14:paraId="474F763D" w14:textId="77777777" w:rsidR="00B62BDF" w:rsidRPr="004D420E" w:rsidRDefault="00B62BDF" w:rsidP="004E263A">
            <w:pPr>
              <w:contextualSpacing/>
              <w:rPr>
                <w:rFonts w:ascii="Verdana" w:hAnsi="Verdana" w:cs="Arial"/>
                <w:sz w:val="16"/>
                <w:szCs w:val="16"/>
                <w:lang w:eastAsia="es-ES"/>
              </w:rPr>
            </w:pPr>
            <w:r w:rsidRPr="004D420E">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E77E717" w14:textId="77777777" w:rsidR="00B62BDF" w:rsidRPr="004D420E" w:rsidRDefault="00B62BDF" w:rsidP="004E263A">
            <w:pPr>
              <w:contextualSpacing/>
              <w:rPr>
                <w:rFonts w:ascii="Verdana" w:eastAsia="Calibri" w:hAnsi="Verdana" w:cs="Arial"/>
                <w:sz w:val="16"/>
                <w:szCs w:val="16"/>
                <w:lang w:eastAsia="es-ES"/>
              </w:rPr>
            </w:pPr>
            <w:r w:rsidRPr="004D420E">
              <w:rPr>
                <w:rFonts w:ascii="Verdana" w:eastAsia="Calibri" w:hAnsi="Verdana" w:cs="Arial"/>
                <w:sz w:val="16"/>
                <w:szCs w:val="16"/>
                <w:lang w:eastAsia="es-ES"/>
              </w:rPr>
              <w:t xml:space="preserve">Carolina Quintero </w:t>
            </w:r>
            <w:proofErr w:type="spellStart"/>
            <w:r w:rsidRPr="004D420E">
              <w:rPr>
                <w:rFonts w:ascii="Verdana" w:eastAsia="Calibri" w:hAnsi="Verdana" w:cs="Arial"/>
                <w:sz w:val="16"/>
                <w:szCs w:val="16"/>
                <w:lang w:eastAsia="es-ES"/>
              </w:rPr>
              <w:t>Gacharná</w:t>
            </w:r>
            <w:proofErr w:type="spellEnd"/>
          </w:p>
          <w:p w14:paraId="68E92A88" w14:textId="77777777" w:rsidR="00B62BDF" w:rsidRPr="00960F72" w:rsidRDefault="00B62BDF" w:rsidP="004E263A">
            <w:pPr>
              <w:spacing w:line="276" w:lineRule="auto"/>
              <w:contextualSpacing/>
              <w:jc w:val="both"/>
              <w:rPr>
                <w:rFonts w:ascii="Verdana" w:hAnsi="Verdana"/>
                <w:sz w:val="16"/>
                <w:szCs w:val="16"/>
              </w:rPr>
            </w:pPr>
            <w:r w:rsidRPr="004D420E">
              <w:rPr>
                <w:rFonts w:ascii="Verdana" w:eastAsia="Calibri" w:hAnsi="Verdana" w:cs="Arial"/>
                <w:sz w:val="16"/>
                <w:szCs w:val="16"/>
                <w:lang w:eastAsia="es-ES"/>
              </w:rPr>
              <w:t xml:space="preserve">Subdirectora de Gestión </w:t>
            </w:r>
            <w:proofErr w:type="spellStart"/>
            <w:r w:rsidRPr="004D420E">
              <w:rPr>
                <w:rFonts w:ascii="Verdana" w:eastAsia="Calibri" w:hAnsi="Verdana" w:cs="Arial"/>
                <w:sz w:val="16"/>
                <w:szCs w:val="16"/>
                <w:lang w:eastAsia="es-ES"/>
              </w:rPr>
              <w:t>Contratual</w:t>
            </w:r>
            <w:proofErr w:type="spellEnd"/>
            <w:r w:rsidRPr="004D420E">
              <w:rPr>
                <w:rFonts w:ascii="Verdana" w:eastAsia="Calibri" w:hAnsi="Verdana" w:cs="Arial"/>
                <w:sz w:val="16"/>
                <w:szCs w:val="16"/>
                <w:lang w:eastAsia="es-ES"/>
              </w:rPr>
              <w:t xml:space="preserve"> - ANCP – CCE</w:t>
            </w:r>
          </w:p>
        </w:tc>
      </w:tr>
      <w:bookmarkEnd w:id="0"/>
      <w:bookmarkEnd w:id="2"/>
    </w:tbl>
    <w:p w14:paraId="0F293BF4" w14:textId="28E7AE98" w:rsidR="00127233" w:rsidRPr="00B62BDF" w:rsidRDefault="00127233" w:rsidP="00B62BDF"/>
    <w:sectPr w:rsidR="00127233" w:rsidRPr="00B62BDF"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BEDAE1" w14:textId="77777777" w:rsidR="004471FE" w:rsidRDefault="004471FE" w:rsidP="004A1847">
      <w:pPr>
        <w:spacing w:after="0" w:line="240" w:lineRule="auto"/>
      </w:pPr>
      <w:r>
        <w:separator/>
      </w:r>
    </w:p>
  </w:endnote>
  <w:endnote w:type="continuationSeparator" w:id="0">
    <w:p w14:paraId="30755306" w14:textId="77777777" w:rsidR="004471FE" w:rsidRDefault="004471FE" w:rsidP="004A1847">
      <w:pPr>
        <w:spacing w:after="0" w:line="240" w:lineRule="auto"/>
      </w:pPr>
      <w:r>
        <w:continuationSeparator/>
      </w:r>
    </w:p>
  </w:endnote>
  <w:endnote w:type="continuationNotice" w:id="1">
    <w:p w14:paraId="0FDAA909" w14:textId="77777777" w:rsidR="004471FE" w:rsidRDefault="004471F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altName w:val="Calibri"/>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CF51FD"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CF51FD">
      <w:rPr>
        <w:rFonts w:ascii="Century Gothic" w:eastAsia="Geo" w:hAnsi="Century Gothic" w:cs="Geo"/>
        <w:b/>
        <w:bCs/>
        <w:color w:val="000000" w:themeColor="text1"/>
        <w:sz w:val="16"/>
        <w:szCs w:val="16"/>
        <w:lang w:val="pt-PT" w:eastAsia="es-CO"/>
      </w:rPr>
      <w:t xml:space="preserve">Código: </w:t>
    </w:r>
    <w:r w:rsidRPr="00CF51FD">
      <w:rPr>
        <w:rFonts w:ascii="Century Gothic" w:eastAsia="Geo" w:hAnsi="Century Gothic" w:cs="Geo"/>
        <w:color w:val="000000" w:themeColor="text1"/>
        <w:sz w:val="16"/>
        <w:szCs w:val="16"/>
        <w:lang w:val="pt-PT" w:eastAsia="es-CO"/>
      </w:rPr>
      <w:t xml:space="preserve">CCE-REC-FM-17 </w:t>
    </w:r>
    <w:r w:rsidRPr="00CF51FD">
      <w:rPr>
        <w:rFonts w:ascii="Century Gothic" w:eastAsia="Geo" w:hAnsi="Century Gothic" w:cs="Geo"/>
        <w:b/>
        <w:bCs/>
        <w:color w:val="000000" w:themeColor="text1"/>
        <w:sz w:val="16"/>
        <w:szCs w:val="16"/>
        <w:lang w:val="pt-PT" w:eastAsia="es-CO"/>
      </w:rPr>
      <w:t>V</w:t>
    </w:r>
    <w:r w:rsidRPr="00CF51FD">
      <w:rPr>
        <w:rFonts w:ascii="Century Gothic" w:eastAsia="Arial Nova" w:hAnsi="Century Gothic" w:cs="Arial Nova"/>
        <w:b/>
        <w:bCs/>
        <w:color w:val="000000" w:themeColor="text1"/>
        <w:sz w:val="16"/>
        <w:szCs w:val="16"/>
        <w:lang w:val="pt-PT" w:eastAsia="es-CO"/>
      </w:rPr>
      <w:t xml:space="preserve">: </w:t>
    </w:r>
    <w:r w:rsidRPr="00CF51FD">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0A55BA" w14:textId="77777777" w:rsidR="004471FE" w:rsidRDefault="004471FE" w:rsidP="004A1847">
      <w:pPr>
        <w:spacing w:after="0" w:line="240" w:lineRule="auto"/>
      </w:pPr>
      <w:r>
        <w:separator/>
      </w:r>
    </w:p>
  </w:footnote>
  <w:footnote w:type="continuationSeparator" w:id="0">
    <w:p w14:paraId="0A325DC1" w14:textId="77777777" w:rsidR="004471FE" w:rsidRDefault="004471FE" w:rsidP="004A1847">
      <w:pPr>
        <w:spacing w:after="0" w:line="240" w:lineRule="auto"/>
      </w:pPr>
      <w:r>
        <w:continuationSeparator/>
      </w:r>
    </w:p>
  </w:footnote>
  <w:footnote w:type="continuationNotice" w:id="1">
    <w:p w14:paraId="38F96713" w14:textId="77777777" w:rsidR="004471FE" w:rsidRDefault="004471FE">
      <w:pPr>
        <w:spacing w:after="0" w:line="240" w:lineRule="auto"/>
      </w:pPr>
    </w:p>
  </w:footnote>
  <w:footnote w:id="2">
    <w:p w14:paraId="4540E641" w14:textId="77777777" w:rsidR="54D29886" w:rsidRDefault="54D29886" w:rsidP="54D29886">
      <w:pPr>
        <w:pStyle w:val="Textonotapie"/>
        <w:ind w:firstLine="708"/>
        <w:jc w:val="both"/>
        <w:rPr>
          <w:rFonts w:ascii="Verdana" w:eastAsia="Calibri" w:hAnsi="Verdana" w:cs="Arial"/>
          <w:sz w:val="19"/>
          <w:szCs w:val="19"/>
          <w:lang w:val="es-ES" w:eastAsia="es-ES"/>
        </w:rPr>
      </w:pPr>
      <w:r w:rsidRPr="54D29886">
        <w:rPr>
          <w:rStyle w:val="Refdenotaalpie"/>
          <w:rFonts w:ascii="Verdana" w:hAnsi="Verdana" w:cs="Arial"/>
          <w:sz w:val="19"/>
          <w:szCs w:val="19"/>
        </w:rPr>
        <w:footnoteRef/>
      </w:r>
      <w:r w:rsidRPr="54D29886">
        <w:rPr>
          <w:rFonts w:ascii="Verdana" w:hAnsi="Verdana" w:cs="Arial"/>
          <w:sz w:val="19"/>
          <w:szCs w:val="19"/>
        </w:rPr>
        <w:t xml:space="preserve"> </w:t>
      </w:r>
      <w:r w:rsidRPr="54D29886">
        <w:rPr>
          <w:rFonts w:ascii="Verdana" w:eastAsia="Calibri" w:hAnsi="Verdana" w:cs="Arial"/>
          <w:sz w:val="19"/>
          <w:szCs w:val="19"/>
          <w:lang w:val="es-ES" w:eastAsia="es-ES"/>
        </w:rPr>
        <w:t>CONSEJO DE ESTADO. Sección Tercera. Subsección B. Sentencia del 14 de octubre de 2011. Exp. 20811, C.P. Ruth Stella Correa Palacio.</w:t>
      </w:r>
    </w:p>
    <w:p w14:paraId="154E0832" w14:textId="77777777" w:rsidR="54D29886" w:rsidRDefault="54D29886" w:rsidP="54D29886">
      <w:pPr>
        <w:pStyle w:val="Textonotapie"/>
        <w:ind w:firstLine="708"/>
        <w:jc w:val="both"/>
        <w:rPr>
          <w:rFonts w:ascii="Verdana" w:hAnsi="Verdana" w:cs="Arial"/>
          <w:sz w:val="19"/>
          <w:szCs w:val="19"/>
        </w:rPr>
      </w:pPr>
    </w:p>
  </w:footnote>
  <w:footnote w:id="3">
    <w:p w14:paraId="6B014F28" w14:textId="77777777" w:rsidR="00B62BDF" w:rsidRPr="00083F6E" w:rsidRDefault="00B62BDF" w:rsidP="00B62BDF">
      <w:pPr>
        <w:pStyle w:val="Textonotapie"/>
      </w:pPr>
      <w:r>
        <w:rPr>
          <w:rStyle w:val="Refdenotaalpie"/>
        </w:rPr>
        <w:footnoteRef/>
      </w:r>
      <w:r>
        <w:t xml:space="preserve"> </w:t>
      </w:r>
      <w:r w:rsidRPr="00C70886">
        <w:t>CCE-EICP-IDI-24 Anexo 3 Glosario Interventoría de obra pública de Infraestructura de Transporte V4 12-12-2024.docx</w:t>
      </w:r>
    </w:p>
  </w:footnote>
  <w:footnote w:id="4">
    <w:p w14:paraId="2C469B1B" w14:textId="77777777" w:rsidR="00B62BDF" w:rsidRDefault="00B62BDF" w:rsidP="00B62BDF">
      <w:pPr>
        <w:pStyle w:val="Textonotapie"/>
        <w:ind w:firstLine="709"/>
        <w:jc w:val="both"/>
        <w:rPr>
          <w:rFonts w:ascii="Verdana" w:eastAsia="Calibri" w:hAnsi="Verdana" w:cs="Arial"/>
          <w:sz w:val="19"/>
          <w:szCs w:val="19"/>
          <w:lang w:val="es-ES_tradnl" w:eastAsia="es-ES_tradnl"/>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 xml:space="preserve">“La manera como las ofertas presentan el precio varía demasiado, incluso por razón de la costumbre que se impone en determinados negocios. Por ejemplo, tratándose de la compraventa, del </w:t>
      </w:r>
      <w:r w:rsidRPr="00D366A3">
        <w:rPr>
          <w:rFonts w:ascii="Verdana" w:eastAsia="Calibri" w:hAnsi="Verdana" w:cs="Arial"/>
          <w:sz w:val="19"/>
          <w:szCs w:val="19"/>
          <w:lang w:val="es-ES_tradnl" w:eastAsia="es-ES_tradnl"/>
        </w:rPr>
        <w:t>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2BB9321A" w14:textId="77777777" w:rsidR="00B62BDF" w:rsidRPr="00D366A3" w:rsidRDefault="00B62BDF" w:rsidP="00B62BDF">
      <w:pPr>
        <w:pStyle w:val="Textonotapie"/>
        <w:ind w:firstLine="709"/>
        <w:jc w:val="both"/>
        <w:rPr>
          <w:rFonts w:ascii="Verdana" w:eastAsia="Calibri" w:hAnsi="Verdana" w:cs="Arial"/>
          <w:sz w:val="19"/>
          <w:szCs w:val="19"/>
          <w:lang w:val="es-ES_tradnl" w:eastAsia="es-ES_tradnl"/>
        </w:rPr>
      </w:pPr>
    </w:p>
    <w:p w14:paraId="7AC3DA5F" w14:textId="77777777" w:rsidR="00B62BDF" w:rsidRPr="002A1F9C" w:rsidRDefault="00B62BDF" w:rsidP="00B62BDF">
      <w:pPr>
        <w:pStyle w:val="Textonotapie"/>
        <w:ind w:firstLine="709"/>
        <w:jc w:val="both"/>
        <w:rPr>
          <w:rFonts w:ascii="Verdana" w:hAnsi="Verdana" w:cs="Arial"/>
          <w:sz w:val="19"/>
          <w:szCs w:val="19"/>
          <w:lang w:val="es-ES"/>
        </w:rPr>
      </w:pPr>
      <w:r w:rsidRPr="00D366A3">
        <w:rPr>
          <w:rFonts w:ascii="Verdana" w:eastAsia="Calibri" w:hAnsi="Verdana" w:cs="Arial"/>
          <w:sz w:val="19"/>
          <w:szCs w:val="19"/>
          <w:lang w:val="es-ES_tradnl" w:eastAsia="es-ES_tradnl"/>
        </w:rPr>
        <w:t>Sin embargo, en otros negocios, como la obra pública, la concesión y la consultoría</w:t>
      </w:r>
      <w:r w:rsidRPr="002A1F9C">
        <w:rPr>
          <w:rFonts w:ascii="Verdana" w:eastAsia="Calibri" w:hAnsi="Verdana" w:cs="Arial"/>
          <w:sz w:val="19"/>
          <w:szCs w:val="19"/>
          <w:lang w:val="es-ES_tradnl" w:eastAsia="es-ES_tradnl"/>
        </w:rPr>
        <w:t>, el Estado está acostumbrado a que se desglosen intensamente los costos, exigiendo no sólo el precio total sino una distinción entre los costos directos y los costos indirectos.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ítems que componen el contrato–. Los costos indirectos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5">
    <w:p w14:paraId="469D60ED" w14:textId="77777777" w:rsidR="00B62BDF" w:rsidRPr="002A1F9C" w:rsidRDefault="00B62BDF" w:rsidP="00B62BDF">
      <w:pPr>
        <w:pStyle w:val="Textonotapie"/>
        <w:ind w:firstLine="708"/>
        <w:jc w:val="both"/>
        <w:rPr>
          <w:rFonts w:ascii="Verdana" w:hAnsi="Verdana" w:cs="Arial"/>
          <w:sz w:val="19"/>
          <w:szCs w:val="19"/>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CONSEJO DE ESTADO. Sección Tercera. Subsección B. Sentencia del 29 de febrero de 2012. Exp. 16371, C.P. Danilo Rojas Betancourth.</w:t>
      </w:r>
    </w:p>
  </w:footnote>
  <w:footnote w:id="6">
    <w:p w14:paraId="1E9C4C07" w14:textId="77777777" w:rsidR="00B62BDF" w:rsidRPr="002A1F9C" w:rsidRDefault="00B62BDF" w:rsidP="00B62BDF">
      <w:pPr>
        <w:pStyle w:val="Textonotapie"/>
        <w:ind w:firstLine="709"/>
        <w:jc w:val="both"/>
        <w:rPr>
          <w:rFonts w:ascii="Verdana" w:hAnsi="Verdana" w:cs="Arial"/>
          <w:sz w:val="19"/>
          <w:szCs w:val="19"/>
          <w:lang w:val="es-CO"/>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PINO RICCI, Jorge. El régimen jurídico de los contratos estatales. Universidad Externado de Colombia. Bogotá, 2005. pp. 416.</w:t>
      </w:r>
    </w:p>
  </w:footnote>
  <w:footnote w:id="7">
    <w:p w14:paraId="6D1D598B" w14:textId="77777777" w:rsidR="00B62BDF" w:rsidRDefault="00B62BDF" w:rsidP="00B62BDF">
      <w:pPr>
        <w:pStyle w:val="Textonotapie"/>
        <w:ind w:firstLine="708"/>
        <w:jc w:val="both"/>
        <w:rPr>
          <w:rFonts w:ascii="Verdana" w:eastAsia="Calibri" w:hAnsi="Verdana" w:cs="Arial"/>
          <w:sz w:val="19"/>
          <w:szCs w:val="19"/>
          <w:lang w:val="es-ES_tradnl" w:eastAsia="es-ES_tradnl"/>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CONSEJO DE ESTADO. Sección Tercera. Subsección B. Sentencia del 14 de octubre de 2011. Exp. 20811, C.P. Ruth Stella Correa Palacio.</w:t>
      </w:r>
    </w:p>
    <w:p w14:paraId="1A0121C2" w14:textId="77777777" w:rsidR="00B62BDF" w:rsidRPr="002A1F9C" w:rsidRDefault="00B62BDF" w:rsidP="00B62BDF">
      <w:pPr>
        <w:pStyle w:val="Textonotapie"/>
        <w:ind w:firstLine="708"/>
        <w:jc w:val="both"/>
        <w:rPr>
          <w:rFonts w:ascii="Verdana" w:hAnsi="Verdana" w:cs="Arial"/>
          <w:sz w:val="19"/>
          <w:szCs w:val="19"/>
        </w:rPr>
      </w:pPr>
    </w:p>
  </w:footnote>
  <w:footnote w:id="8">
    <w:p w14:paraId="3878D77C" w14:textId="77777777" w:rsidR="00B62BDF" w:rsidRDefault="00B62BDF" w:rsidP="00B62BDF">
      <w:pPr>
        <w:pStyle w:val="Textonotapie"/>
        <w:ind w:firstLine="708"/>
        <w:jc w:val="both"/>
        <w:rPr>
          <w:rFonts w:ascii="Verdana" w:eastAsia="Calibri" w:hAnsi="Verdana" w:cs="Arial"/>
          <w:sz w:val="19"/>
          <w:szCs w:val="19"/>
          <w:lang w:val="es-ES_tradnl" w:eastAsia="es-ES_tradnl"/>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CONSEJO DE ESTADO. Sala de Consulta y Servicio Civil. Concepto del 5 de septiembre de 2018, radicado No. 11001-03-06-000-2018-00124-00 C.P. Édgar González López.</w:t>
      </w:r>
    </w:p>
    <w:p w14:paraId="0EEF78E1" w14:textId="77777777" w:rsidR="00B62BDF" w:rsidRPr="002A1F9C" w:rsidRDefault="00B62BDF" w:rsidP="00B62BDF">
      <w:pPr>
        <w:pStyle w:val="Textonotapie"/>
        <w:ind w:firstLine="708"/>
        <w:jc w:val="both"/>
        <w:rPr>
          <w:rFonts w:ascii="Verdana" w:hAnsi="Verdana" w:cs="Arial"/>
          <w:sz w:val="19"/>
          <w:szCs w:val="19"/>
        </w:rPr>
      </w:pPr>
    </w:p>
  </w:footnote>
  <w:footnote w:id="9">
    <w:p w14:paraId="13FD187F" w14:textId="77777777" w:rsidR="00B62BDF" w:rsidRDefault="00B62BDF" w:rsidP="00B62BDF">
      <w:pPr>
        <w:pStyle w:val="Textonotapie"/>
        <w:ind w:firstLine="708"/>
        <w:jc w:val="both"/>
        <w:rPr>
          <w:rFonts w:ascii="Verdana" w:eastAsia="Calibri" w:hAnsi="Verdana" w:cs="Arial"/>
          <w:sz w:val="19"/>
          <w:szCs w:val="19"/>
          <w:lang w:val="es-ES_tradnl" w:eastAsia="es-ES_tradnl"/>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“Los costos indirectos incorporados en el A, corresponden como regla general a gastos de la oficina central, honorarios del director de obra, y de personal especializado. Generalmente estos costos pueden estar compartidos con los diversos contratos de obra que en forma simultánea esté ejecutando el contratista. Un ejemplo corresponde a los costos de la oficina central, y de los asesores de proyectos”.</w:t>
      </w:r>
    </w:p>
    <w:p w14:paraId="6FA181EC" w14:textId="77777777" w:rsidR="00B62BDF" w:rsidRPr="002A1F9C" w:rsidRDefault="00B62BDF" w:rsidP="00B62BDF">
      <w:pPr>
        <w:pStyle w:val="Textonotapie"/>
        <w:ind w:firstLine="708"/>
        <w:jc w:val="both"/>
        <w:rPr>
          <w:rFonts w:ascii="Verdana" w:hAnsi="Verdana" w:cs="Arial"/>
          <w:sz w:val="19"/>
          <w:szCs w:val="19"/>
        </w:rPr>
      </w:pPr>
    </w:p>
  </w:footnote>
  <w:footnote w:id="10">
    <w:p w14:paraId="22022702" w14:textId="77777777" w:rsidR="00B62BDF" w:rsidRPr="002A1F9C" w:rsidRDefault="00B62BDF" w:rsidP="00B62BDF">
      <w:pPr>
        <w:pStyle w:val="Textonotapie"/>
        <w:ind w:firstLine="708"/>
        <w:jc w:val="both"/>
        <w:rPr>
          <w:rFonts w:ascii="Verdana" w:hAnsi="Verdana" w:cs="Arial"/>
          <w:sz w:val="19"/>
          <w:szCs w:val="19"/>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 la utilidad es el beneficio económico que pretende percibir el contratista por la ejecución del contrato y por costos de administración se han tenido como tales los que constituyen costos indirectos para la operación del contrato, tales como los gastos de disponibilidad de la organización del contratista; el porcentaje para imprevistos, como su nombre lo indica, está destinado a cubrir los gastos con los que no se contaba y que se presenten durante la ejecución del contrato” (Consejo de Estado. Sección Tercera. Consejero Ponente: Ramiro Saavedra Becerra. Sentencia del 28 de agosto de 2003. Radicado: 17.554).</w:t>
      </w:r>
      <w:r w:rsidRPr="002A1F9C">
        <w:rPr>
          <w:rFonts w:ascii="Verdana" w:hAnsi="Verdana" w:cs="Arial"/>
          <w:sz w:val="19"/>
          <w:szCs w:val="19"/>
        </w:rPr>
        <w:t xml:space="preserve"> </w:t>
      </w:r>
    </w:p>
  </w:footnote>
  <w:footnote w:id="11">
    <w:p w14:paraId="479F3D56" w14:textId="77777777" w:rsidR="00B62BDF" w:rsidRPr="002A1F9C" w:rsidRDefault="00B62BDF" w:rsidP="00B62BDF">
      <w:pPr>
        <w:pStyle w:val="Textonotapie"/>
        <w:ind w:firstLine="709"/>
        <w:jc w:val="both"/>
        <w:rPr>
          <w:rFonts w:ascii="Verdana" w:eastAsia="Calibri" w:hAnsi="Verdana" w:cs="Arial"/>
          <w:sz w:val="19"/>
          <w:szCs w:val="19"/>
          <w:lang w:val="es-ES_tradnl" w:eastAsia="es-ES_tradnl"/>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MARÍN, Op. Cit., pp. 64-65.</w:t>
      </w:r>
    </w:p>
  </w:footnote>
  <w:footnote w:id="12">
    <w:p w14:paraId="4300DC44" w14:textId="77777777" w:rsidR="00B62BDF" w:rsidRPr="002A1F9C" w:rsidRDefault="00B62BDF" w:rsidP="00B62BDF">
      <w:pPr>
        <w:pStyle w:val="Textonotapie"/>
        <w:ind w:firstLine="709"/>
        <w:jc w:val="both"/>
        <w:rPr>
          <w:rFonts w:ascii="Verdana" w:hAnsi="Verdana" w:cs="Arial"/>
          <w:sz w:val="19"/>
          <w:szCs w:val="19"/>
          <w:lang w:val="es-ES"/>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Ibíd., p. 66.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AFC16BB"/>
    <w:multiLevelType w:val="hybridMultilevel"/>
    <w:tmpl w:val="50367D36"/>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1" w15:restartNumberingAfterBreak="0">
    <w:nsid w:val="50081945"/>
    <w:multiLevelType w:val="hybridMultilevel"/>
    <w:tmpl w:val="2B28EC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63B2B87"/>
    <w:multiLevelType w:val="hybridMultilevel"/>
    <w:tmpl w:val="18AE16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E1691C"/>
    <w:multiLevelType w:val="hybridMultilevel"/>
    <w:tmpl w:val="E048A90C"/>
    <w:lvl w:ilvl="0" w:tplc="FFFFFFFF">
      <w:start w:val="1"/>
      <w:numFmt w:val="lowerRoman"/>
      <w:lvlText w:val="%1)"/>
      <w:lvlJc w:val="left"/>
      <w:pPr>
        <w:ind w:left="1429" w:hanging="720"/>
      </w:pPr>
      <w:rPr>
        <w:rFonts w:hint="default"/>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6"/>
  </w:num>
  <w:num w:numId="7">
    <w:abstractNumId w:val="5"/>
  </w:num>
  <w:num w:numId="8">
    <w:abstractNumId w:val="15"/>
  </w:num>
  <w:num w:numId="9">
    <w:abstractNumId w:val="7"/>
  </w:num>
  <w:num w:numId="10">
    <w:abstractNumId w:val="14"/>
  </w:num>
  <w:num w:numId="11">
    <w:abstractNumId w:val="8"/>
  </w:num>
  <w:num w:numId="12">
    <w:abstractNumId w:val="1"/>
  </w:num>
  <w:num w:numId="13">
    <w:abstractNumId w:val="3"/>
  </w:num>
  <w:num w:numId="14">
    <w:abstractNumId w:val="17"/>
  </w:num>
  <w:num w:numId="15">
    <w:abstractNumId w:val="12"/>
  </w:num>
  <w:num w:numId="16">
    <w:abstractNumId w:val="0"/>
  </w:num>
  <w:num w:numId="17">
    <w:abstractNumId w:val="11"/>
  </w:num>
  <w:num w:numId="18">
    <w:abstractNumId w:val="13"/>
  </w:num>
  <w:num w:numId="19">
    <w:abstractNumId w:val="9"/>
  </w:num>
  <w:num w:numId="20">
    <w:abstractNumId w:val="10"/>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0410"/>
    <w:rsid w:val="000763AD"/>
    <w:rsid w:val="00082362"/>
    <w:rsid w:val="000A683E"/>
    <w:rsid w:val="000B19B9"/>
    <w:rsid w:val="000B7319"/>
    <w:rsid w:val="000C1B9E"/>
    <w:rsid w:val="000C7885"/>
    <w:rsid w:val="000D0334"/>
    <w:rsid w:val="000D5DA7"/>
    <w:rsid w:val="000F6486"/>
    <w:rsid w:val="00116940"/>
    <w:rsid w:val="00125105"/>
    <w:rsid w:val="00126454"/>
    <w:rsid w:val="00127233"/>
    <w:rsid w:val="0015699B"/>
    <w:rsid w:val="001A33BF"/>
    <w:rsid w:val="001E4177"/>
    <w:rsid w:val="001F0B24"/>
    <w:rsid w:val="001F7DC6"/>
    <w:rsid w:val="002008EA"/>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5CE"/>
    <w:rsid w:val="003448F4"/>
    <w:rsid w:val="00374F5E"/>
    <w:rsid w:val="00377E3E"/>
    <w:rsid w:val="003A779E"/>
    <w:rsid w:val="003D0F4D"/>
    <w:rsid w:val="003D5B0D"/>
    <w:rsid w:val="003E0499"/>
    <w:rsid w:val="003E4F80"/>
    <w:rsid w:val="003E6439"/>
    <w:rsid w:val="003F3941"/>
    <w:rsid w:val="00406575"/>
    <w:rsid w:val="00414C74"/>
    <w:rsid w:val="0042722E"/>
    <w:rsid w:val="0043219C"/>
    <w:rsid w:val="0044528D"/>
    <w:rsid w:val="004471FE"/>
    <w:rsid w:val="00465CB5"/>
    <w:rsid w:val="00466E39"/>
    <w:rsid w:val="004A1847"/>
    <w:rsid w:val="004A305D"/>
    <w:rsid w:val="004F21C4"/>
    <w:rsid w:val="004F685F"/>
    <w:rsid w:val="0055465B"/>
    <w:rsid w:val="005566E8"/>
    <w:rsid w:val="00574867"/>
    <w:rsid w:val="00591460"/>
    <w:rsid w:val="00594863"/>
    <w:rsid w:val="005A65E0"/>
    <w:rsid w:val="005C3777"/>
    <w:rsid w:val="005C5CDC"/>
    <w:rsid w:val="005D476C"/>
    <w:rsid w:val="0061382F"/>
    <w:rsid w:val="006200BF"/>
    <w:rsid w:val="006219F8"/>
    <w:rsid w:val="006302F7"/>
    <w:rsid w:val="00646B9F"/>
    <w:rsid w:val="00654432"/>
    <w:rsid w:val="00665D70"/>
    <w:rsid w:val="006900D9"/>
    <w:rsid w:val="006A4C3C"/>
    <w:rsid w:val="006F7F52"/>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0E4E"/>
    <w:rsid w:val="008258C9"/>
    <w:rsid w:val="00844AE9"/>
    <w:rsid w:val="00867F95"/>
    <w:rsid w:val="008843B6"/>
    <w:rsid w:val="00891928"/>
    <w:rsid w:val="008A446D"/>
    <w:rsid w:val="008B25F1"/>
    <w:rsid w:val="008C252E"/>
    <w:rsid w:val="008D180B"/>
    <w:rsid w:val="008F0EA7"/>
    <w:rsid w:val="00923EEF"/>
    <w:rsid w:val="009419F9"/>
    <w:rsid w:val="0095685E"/>
    <w:rsid w:val="00961B09"/>
    <w:rsid w:val="00965334"/>
    <w:rsid w:val="0097093E"/>
    <w:rsid w:val="00986159"/>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341F6"/>
    <w:rsid w:val="00B44A47"/>
    <w:rsid w:val="00B57A0A"/>
    <w:rsid w:val="00B62BDF"/>
    <w:rsid w:val="00B72CD3"/>
    <w:rsid w:val="00B72FFF"/>
    <w:rsid w:val="00BC0C1F"/>
    <w:rsid w:val="00BC14AE"/>
    <w:rsid w:val="00BC3D36"/>
    <w:rsid w:val="00BD54A6"/>
    <w:rsid w:val="00BD7F72"/>
    <w:rsid w:val="00BE5C6C"/>
    <w:rsid w:val="00BF7425"/>
    <w:rsid w:val="00C04FB3"/>
    <w:rsid w:val="00C11D8B"/>
    <w:rsid w:val="00C15139"/>
    <w:rsid w:val="00C15E4B"/>
    <w:rsid w:val="00C330EB"/>
    <w:rsid w:val="00C50D69"/>
    <w:rsid w:val="00C5365C"/>
    <w:rsid w:val="00C754BE"/>
    <w:rsid w:val="00C76B1C"/>
    <w:rsid w:val="00C925AC"/>
    <w:rsid w:val="00CB6357"/>
    <w:rsid w:val="00CC1B26"/>
    <w:rsid w:val="00CF51FD"/>
    <w:rsid w:val="00D1324B"/>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47AF212"/>
    <w:rsid w:val="062A49CF"/>
    <w:rsid w:val="09908A09"/>
    <w:rsid w:val="0BE30CDC"/>
    <w:rsid w:val="103566AA"/>
    <w:rsid w:val="13CFC91B"/>
    <w:rsid w:val="145720D2"/>
    <w:rsid w:val="192010C1"/>
    <w:rsid w:val="19A2EC2C"/>
    <w:rsid w:val="25827E88"/>
    <w:rsid w:val="2859CA1B"/>
    <w:rsid w:val="2A50654A"/>
    <w:rsid w:val="2E5CF475"/>
    <w:rsid w:val="2E91ECB4"/>
    <w:rsid w:val="2FE97427"/>
    <w:rsid w:val="318EEFAF"/>
    <w:rsid w:val="32A4F9CF"/>
    <w:rsid w:val="354408C6"/>
    <w:rsid w:val="356CEDFD"/>
    <w:rsid w:val="378C4A75"/>
    <w:rsid w:val="3A908F13"/>
    <w:rsid w:val="3C797B09"/>
    <w:rsid w:val="4084F4CA"/>
    <w:rsid w:val="43D95AEF"/>
    <w:rsid w:val="5132191D"/>
    <w:rsid w:val="54D29886"/>
    <w:rsid w:val="60C36046"/>
    <w:rsid w:val="652E6C7E"/>
    <w:rsid w:val="69614A15"/>
    <w:rsid w:val="6994DAB4"/>
    <w:rsid w:val="6F287E97"/>
    <w:rsid w:val="6F570443"/>
    <w:rsid w:val="732EE5F8"/>
    <w:rsid w:val="7A36FC7F"/>
    <w:rsid w:val="7BB183BC"/>
    <w:rsid w:val="7BF39062"/>
    <w:rsid w:val="7ECEDAD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F51F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F51FD"/>
    <w:rPr>
      <w:rFonts w:ascii="Geomanist Light" w:hAnsi="Geomanist Light"/>
      <w:lang w:val="es-ES"/>
    </w:rPr>
  </w:style>
  <w:style w:type="character" w:customStyle="1" w:styleId="superscript">
    <w:name w:val="superscript"/>
    <w:basedOn w:val="Fuentedeprrafopredeter"/>
    <w:rsid w:val="00CF51FD"/>
  </w:style>
  <w:style w:type="character" w:customStyle="1" w:styleId="s15">
    <w:name w:val="s15"/>
    <w:basedOn w:val="Fuentedeprrafopredeter"/>
    <w:rsid w:val="00CF51FD"/>
  </w:style>
  <w:style w:type="character" w:customStyle="1" w:styleId="apple-converted-space">
    <w:name w:val="apple-converted-space"/>
    <w:basedOn w:val="Fuentedeprrafopredeter"/>
    <w:rsid w:val="00CF51FD"/>
  </w:style>
  <w:style w:type="paragraph" w:styleId="Sinespaciado">
    <w:name w:val="No Spacing"/>
    <w:aliases w:val="No Indent"/>
    <w:uiPriority w:val="3"/>
    <w:qFormat/>
    <w:rsid w:val="00CF51FD"/>
    <w:pPr>
      <w:spacing w:after="0" w:line="240" w:lineRule="auto"/>
    </w:pPr>
    <w:rPr>
      <w:sz w:val="24"/>
      <w:lang w:val="es-MX"/>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paragraph" w:customStyle="1" w:styleId="Sinespaciado1">
    <w:name w:val="Sin espaciado1"/>
    <w:next w:val="Sinespaciado"/>
    <w:uiPriority w:val="1"/>
    <w:qFormat/>
    <w:rsid w:val="00B62BDF"/>
    <w:pPr>
      <w:spacing w:after="0" w:line="240" w:lineRule="auto"/>
    </w:pPr>
    <w:rPr>
      <w:kern w:val="2"/>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purl.org/dc/dcmitype/"/>
    <ds:schemaRef ds:uri="http://purl.org/dc/elements/1.1/"/>
    <ds:schemaRef ds:uri="http://schemas.microsoft.com/office/infopath/2007/PartnerControls"/>
    <ds:schemaRef ds:uri="http://purl.org/dc/terms/"/>
    <ds:schemaRef ds:uri="http://schemas.microsoft.com/office/2006/documentManagement/types"/>
    <ds:schemaRef ds:uri="http://www.w3.org/XML/1998/namespace"/>
    <ds:schemaRef ds:uri="http://schemas.openxmlformats.org/package/2006/metadata/core-properties"/>
    <ds:schemaRef ds:uri="a6cb9e4b-f1d1-4245-83ec-6cad768d538a"/>
    <ds:schemaRef ds:uri="9d85dbaf-23eb-4e57-a637-93dcacc8b1a1"/>
    <ds:schemaRef ds:uri="http://schemas.microsoft.com/office/2006/metadata/properties"/>
  </ds:schemaRefs>
</ds:datastoreItem>
</file>

<file path=customXml/itemProps3.xml><?xml version="1.0" encoding="utf-8"?>
<ds:datastoreItem xmlns:ds="http://schemas.openxmlformats.org/officeDocument/2006/customXml" ds:itemID="{B0C93335-C25A-4B11-AB7A-C6615C932C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13</Pages>
  <Words>3646</Words>
  <Characters>20059</Characters>
  <Application>Microsoft Office Word</Application>
  <DocSecurity>0</DocSecurity>
  <Lines>167</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2025-11-11T15:42:00Z</dcterms:created>
  <dcterms:modified xsi:type="dcterms:W3CDTF">2025-11-11T15:42:00Z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