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BC6AC3" w14:textId="77777777" w:rsidR="004F240F" w:rsidRPr="007C11D3" w:rsidRDefault="004F240F" w:rsidP="004F240F">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Tipos de restricciones ‒ Ámbito temporal </w:t>
      </w:r>
    </w:p>
    <w:p w14:paraId="6358A78F" w14:textId="77777777" w:rsidR="004F240F" w:rsidRPr="007C11D3" w:rsidRDefault="004F240F" w:rsidP="004F240F">
      <w:pPr>
        <w:spacing w:after="0" w:line="240" w:lineRule="auto"/>
        <w:rPr>
          <w:rFonts w:ascii="Verdana" w:eastAsia="Calibri" w:hAnsi="Verdana" w:cs="Arial"/>
          <w:b/>
          <w:color w:val="000000" w:themeColor="text1"/>
          <w:lang w:val="es-ES_tradnl"/>
        </w:rPr>
      </w:pPr>
    </w:p>
    <w:p w14:paraId="5B21085E"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D4ADBD0" w14:textId="77777777" w:rsidR="004F240F" w:rsidRPr="007C11D3" w:rsidRDefault="004F240F" w:rsidP="004F240F">
      <w:pPr>
        <w:spacing w:after="0" w:line="240" w:lineRule="auto"/>
        <w:rPr>
          <w:rFonts w:ascii="Verdana" w:eastAsia="Calibri" w:hAnsi="Verdana" w:cs="Arial"/>
          <w:b/>
          <w:color w:val="000000" w:themeColor="text1"/>
          <w:lang w:val="es-ES_tradnl"/>
        </w:rPr>
      </w:pPr>
    </w:p>
    <w:p w14:paraId="5BDF6FFC" w14:textId="77777777" w:rsidR="004F240F" w:rsidRPr="007C11D3" w:rsidRDefault="004F240F" w:rsidP="004F240F">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Prohibición ‒ Contratación directa ‒ Alcance – Excepciones </w:t>
      </w:r>
    </w:p>
    <w:p w14:paraId="25D803F2" w14:textId="77777777" w:rsidR="004F240F" w:rsidRPr="007C11D3" w:rsidRDefault="004F240F" w:rsidP="004F240F">
      <w:pPr>
        <w:spacing w:after="0" w:line="240" w:lineRule="auto"/>
        <w:rPr>
          <w:rFonts w:ascii="Verdana" w:eastAsia="Calibri" w:hAnsi="Verdana" w:cs="Arial"/>
          <w:b/>
          <w:color w:val="000000" w:themeColor="text1"/>
          <w:lang w:val="es-ES_tradnl"/>
        </w:rPr>
      </w:pPr>
    </w:p>
    <w:p w14:paraId="6B1C15E1"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w:t>
      </w:r>
      <w:proofErr w:type="gramStart"/>
      <w:r w:rsidRPr="5B89E16D">
        <w:rPr>
          <w:rFonts w:ascii="Verdana" w:eastAsia="Calibri" w:hAnsi="Verdana" w:cs="Arial"/>
          <w:color w:val="000000" w:themeColor="text1"/>
          <w:sz w:val="20"/>
          <w:szCs w:val="20"/>
          <w:lang w:val="es-ES"/>
        </w:rPr>
        <w:t>méritos  y</w:t>
      </w:r>
      <w:proofErr w:type="gramEnd"/>
      <w:r w:rsidRPr="5B89E16D">
        <w:rPr>
          <w:rFonts w:ascii="Verdana" w:eastAsia="Calibri" w:hAnsi="Verdana" w:cs="Arial"/>
          <w:color w:val="000000" w:themeColor="text1"/>
          <w:sz w:val="20"/>
          <w:szCs w:val="20"/>
          <w:lang w:val="es-ES"/>
        </w:rPr>
        <w:t xml:space="preserve"> sistematizó las causales de contratación directa.</w:t>
      </w:r>
    </w:p>
    <w:p w14:paraId="2F805712" w14:textId="77777777" w:rsidR="004F240F" w:rsidRPr="007C11D3" w:rsidRDefault="004F240F" w:rsidP="004F240F">
      <w:pPr>
        <w:spacing w:after="0" w:line="240" w:lineRule="auto"/>
        <w:jc w:val="both"/>
        <w:rPr>
          <w:rFonts w:ascii="Verdana" w:eastAsia="Calibri" w:hAnsi="Verdana" w:cs="Arial"/>
          <w:bCs/>
          <w:color w:val="000000" w:themeColor="text1"/>
          <w:sz w:val="20"/>
          <w:szCs w:val="20"/>
          <w:lang w:val="es-ES_tradnl"/>
        </w:rPr>
      </w:pPr>
    </w:p>
    <w:p w14:paraId="69990A9A"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los contratos de crédito público;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requeridos para cubrir las emergencias educativas, sanitarias y desastres;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F38B793" w14:textId="77777777" w:rsidR="004F240F" w:rsidRPr="007C11D3" w:rsidRDefault="004F240F" w:rsidP="004F240F">
      <w:pPr>
        <w:spacing w:after="0" w:line="240" w:lineRule="auto"/>
        <w:jc w:val="both"/>
        <w:rPr>
          <w:rFonts w:ascii="Verdana" w:eastAsia="Calibri" w:hAnsi="Verdana" w:cs="Arial"/>
          <w:b/>
          <w:color w:val="000000" w:themeColor="text1"/>
          <w:lang w:val="es-ES_tradnl"/>
        </w:rPr>
      </w:pPr>
    </w:p>
    <w:p w14:paraId="2DE73F05" w14:textId="77777777" w:rsidR="004F240F" w:rsidRPr="007C11D3" w:rsidRDefault="004F240F" w:rsidP="004F240F">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lastRenderedPageBreak/>
        <w:t>LEY DE GARANTÍAS ELECTORALES ‒ Prohibición del artículo 33 ‒ Destinatarios</w:t>
      </w:r>
    </w:p>
    <w:p w14:paraId="1B697AA3" w14:textId="77777777" w:rsidR="004F240F" w:rsidRPr="007C11D3" w:rsidRDefault="004F240F" w:rsidP="004F240F">
      <w:pPr>
        <w:spacing w:after="0" w:line="240" w:lineRule="auto"/>
        <w:jc w:val="both"/>
        <w:rPr>
          <w:rFonts w:ascii="Verdana" w:eastAsia="Calibri" w:hAnsi="Verdana" w:cs="Arial"/>
          <w:bCs/>
          <w:color w:val="000000" w:themeColor="text1"/>
          <w:lang w:val="es-ES_tradnl"/>
        </w:rPr>
      </w:pPr>
    </w:p>
    <w:p w14:paraId="38926E32"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El artículo 33 de la Ley 996 de 2005 señala expresamente a los destinatarios de la prohibición, en el sentido de que son </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todos los entes del Estado</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 xml:space="preserve">, expresión que contempla a los diferentes organismos o entidades autorizadas por la ley para suscribir contratos. En efecto, tal como lo ha sostenido el Consejo de Estado, el vocablo </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todos</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49A49BB" w14:textId="77777777" w:rsidR="004F240F" w:rsidRPr="00A51781" w:rsidRDefault="004F240F" w:rsidP="004F240F">
      <w:pPr>
        <w:jc w:val="both"/>
        <w:rPr>
          <w:rFonts w:ascii="Verdana" w:eastAsia="Calibri" w:hAnsi="Verdana" w:cs="Arial"/>
          <w:b/>
          <w:bCs/>
          <w:lang w:val="es-ES"/>
        </w:rPr>
      </w:pPr>
    </w:p>
    <w:p w14:paraId="0E0B7569" w14:textId="77777777" w:rsidR="004F240F" w:rsidRPr="00A51781" w:rsidRDefault="004F240F" w:rsidP="004F240F">
      <w:pPr>
        <w:jc w:val="both"/>
        <w:rPr>
          <w:rFonts w:ascii="Verdana" w:eastAsia="Calibri" w:hAnsi="Verdana" w:cs="Arial"/>
          <w:b/>
          <w:bCs/>
          <w:color w:val="000000" w:themeColor="text1"/>
          <w:lang w:val="es-ES_tradnl"/>
        </w:rPr>
      </w:pPr>
      <w:r>
        <w:rPr>
          <w:rFonts w:ascii="Verdana" w:eastAsia="Calibri" w:hAnsi="Verdana" w:cs="Arial"/>
          <w:b/>
          <w:bCs/>
          <w:lang w:val="es-ES"/>
        </w:rPr>
        <w:t xml:space="preserve">INSTITUCIONES EDUCATIVAS OFICIALES- Ley de Garantías- Restricciones. </w:t>
      </w:r>
      <w:r w:rsidRPr="00A51781">
        <w:rPr>
          <w:rFonts w:ascii="Verdana" w:eastAsia="Calibri" w:hAnsi="Verdana" w:cs="Arial"/>
          <w:b/>
          <w:bCs/>
          <w:lang w:val="es-ES"/>
        </w:rPr>
        <w:t xml:space="preserve"> </w:t>
      </w:r>
    </w:p>
    <w:p w14:paraId="68A3F4E4" w14:textId="77777777" w:rsidR="004F240F" w:rsidRDefault="004F240F" w:rsidP="004F240F">
      <w:pPr>
        <w:spacing w:after="0" w:line="240" w:lineRule="auto"/>
        <w:rPr>
          <w:rFonts w:ascii="Verdana" w:hAnsi="Verdana"/>
        </w:rPr>
      </w:pPr>
    </w:p>
    <w:p w14:paraId="74F6AE0F" w14:textId="77777777" w:rsidR="004F240F" w:rsidRPr="0056665D" w:rsidRDefault="004F240F" w:rsidP="004F240F">
      <w:pPr>
        <w:spacing w:after="120" w:line="276" w:lineRule="auto"/>
        <w:jc w:val="both"/>
        <w:rPr>
          <w:rFonts w:ascii="Verdana" w:hAnsi="Verdana" w:cs="Arial"/>
          <w:bCs/>
          <w:color w:val="000000" w:themeColor="text1"/>
          <w:lang w:eastAsia="es-ES_tradnl"/>
        </w:rPr>
      </w:pPr>
      <w:r w:rsidRPr="5B89E16D">
        <w:rPr>
          <w:rFonts w:ascii="Verdana" w:eastAsia="Calibri" w:hAnsi="Verdana" w:cs="Arial"/>
          <w:color w:val="000000" w:themeColor="text1"/>
          <w:sz w:val="20"/>
          <w:szCs w:val="20"/>
          <w:lang w:val="es-ES"/>
        </w:rPr>
        <w:t>[…]</w:t>
      </w:r>
      <w:r>
        <w:rPr>
          <w:rFonts w:ascii="Verdana" w:eastAsia="Calibri" w:hAnsi="Verdana" w:cs="Arial"/>
          <w:color w:val="000000" w:themeColor="text1"/>
          <w:sz w:val="20"/>
          <w:szCs w:val="20"/>
          <w:lang w:val="es-ES"/>
        </w:rPr>
        <w:t xml:space="preserve"> </w:t>
      </w:r>
      <w:r w:rsidRPr="0056665D">
        <w:rPr>
          <w:rFonts w:ascii="Verdana" w:hAnsi="Verdana" w:cs="Arial"/>
          <w:bCs/>
          <w:color w:val="000000" w:themeColor="text1"/>
          <w:lang w:eastAsia="es-ES_tradnl"/>
        </w:rPr>
        <w:t>En el caso de las instituciones educativas oficiales, si bien estas carecen de personería jurídica, administran recursos públicos a través de los Fondos de Servicios Educativos (FSE), conforme a lo previsto en el artículo 13 de la Ley 715 de 2001 y el artículo 2.3.1.6.3.17 del Decreto 1075 de 2015. En virtud de dichas normas, los FSE pueden celebrar contratos bajo dos escenarios:</w:t>
      </w:r>
      <w:r w:rsidRPr="0056665D">
        <w:rPr>
          <w:rFonts w:ascii="Verdana" w:hAnsi="Verdana" w:cs="Arial"/>
          <w:bCs/>
          <w:color w:val="000000" w:themeColor="text1"/>
          <w:lang w:eastAsia="es-ES_tradnl"/>
        </w:rPr>
        <w:br/>
        <w:t>i) cuando la cuantía no supera los veinte (20) salarios mínimos mensuales legales vigentes, aplican el reglamento interno adoptado por el consejo directivo de la institución; y</w:t>
      </w:r>
      <w:r>
        <w:rPr>
          <w:rFonts w:ascii="Verdana" w:hAnsi="Verdana" w:cs="Arial"/>
          <w:bCs/>
          <w:color w:val="000000" w:themeColor="text1"/>
          <w:lang w:eastAsia="es-ES_tradnl"/>
        </w:rPr>
        <w:t xml:space="preserve"> </w:t>
      </w:r>
      <w:proofErr w:type="spellStart"/>
      <w:r w:rsidRPr="0056665D">
        <w:rPr>
          <w:rFonts w:ascii="Verdana" w:hAnsi="Verdana" w:cs="Arial"/>
          <w:bCs/>
          <w:color w:val="000000" w:themeColor="text1"/>
          <w:lang w:eastAsia="es-ES_tradnl"/>
        </w:rPr>
        <w:t>ii</w:t>
      </w:r>
      <w:proofErr w:type="spellEnd"/>
      <w:r w:rsidRPr="0056665D">
        <w:rPr>
          <w:rFonts w:ascii="Verdana" w:hAnsi="Verdana" w:cs="Arial"/>
          <w:bCs/>
          <w:color w:val="000000" w:themeColor="text1"/>
          <w:lang w:eastAsia="es-ES_tradnl"/>
        </w:rPr>
        <w:t>) cuando excede dicho monto, deben sujetarse a las reglas del Estatuto General de Contratación de la Administración Pública.</w:t>
      </w:r>
      <w:r>
        <w:rPr>
          <w:rFonts w:ascii="Verdana" w:hAnsi="Verdana" w:cs="Arial"/>
          <w:bCs/>
          <w:color w:val="000000" w:themeColor="text1"/>
          <w:lang w:eastAsia="es-ES_tradnl"/>
        </w:rPr>
        <w:t xml:space="preserve"> </w:t>
      </w:r>
      <w:r w:rsidRPr="0056665D">
        <w:rPr>
          <w:rFonts w:ascii="Verdana" w:hAnsi="Verdana" w:cs="Arial"/>
          <w:bCs/>
          <w:color w:val="000000" w:themeColor="text1"/>
          <w:lang w:eastAsia="es-ES_tradnl"/>
        </w:rPr>
        <w:t>Sin perjuicio de lo anterior, la aplicación de la Ley de Garantías Electorales no depende del régimen contractual sino de la modalidad de selección utilizada. En ese sentido, la prohibición del artículo 33 recae sobre toda modalidad que no garantice convocatoria pública ni pluralidad de oferentes. Por tanto, las instituciones educativas oficiales no pueden celebrar contratos directos durante los cuatro meses previos a las elecciones presidenciales, salvo que se configure una de las excepciones establecidas en la ley, tales como las relacionadas con defensa y seguridad nacional, crédito público, emergencias educativas, sanitarias o desastres, entre otras.</w:t>
      </w:r>
    </w:p>
    <w:p w14:paraId="3680707B" w14:textId="77777777" w:rsidR="004F240F" w:rsidRPr="004F6CAF" w:rsidRDefault="004F240F" w:rsidP="004F240F">
      <w:pPr>
        <w:spacing w:after="120" w:line="276" w:lineRule="auto"/>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 xml:space="preserve">Así mismo, el parágrafo del artículo 38 resulta aplicable cuando las instituciones educativas, a través de sus rectores u ordenadores del gasto, suscriben convenios interadministrativos con otras entidades públicas para la ejecución de </w:t>
      </w:r>
      <w:r w:rsidRPr="0056665D">
        <w:rPr>
          <w:rFonts w:ascii="Verdana" w:hAnsi="Verdana" w:cs="Arial"/>
          <w:bCs/>
          <w:color w:val="000000" w:themeColor="text1"/>
          <w:lang w:eastAsia="es-ES_tradnl"/>
        </w:rPr>
        <w:lastRenderedPageBreak/>
        <w:t>recursos públicos, dado que dichas actuaciones tienen la naturaleza de convenios entre entidades estatales. En consecuencia, durante los cuatro meses anteriores a cualquier elección, no podrán celebrarse este tipo de convenios, sin perjuicio de que la entidad pueda adelantar procedimientos con pluralidad de oferentes que garanticen la participación y la transparencia en la contratación.</w:t>
      </w:r>
      <w:r>
        <w:rPr>
          <w:rFonts w:ascii="Verdana" w:eastAsia="Calibri" w:hAnsi="Verdana" w:cs="Arial"/>
          <w:color w:val="000000" w:themeColor="text1"/>
          <w:sz w:val="20"/>
          <w:szCs w:val="20"/>
          <w:lang w:val="es-ES"/>
        </w:rPr>
        <w:t xml:space="preserve"> </w:t>
      </w:r>
      <w:r w:rsidRPr="5B89E16D">
        <w:rPr>
          <w:rFonts w:ascii="Verdana" w:eastAsia="Calibri" w:hAnsi="Verdana" w:cs="Arial"/>
          <w:color w:val="000000" w:themeColor="text1"/>
          <w:sz w:val="20"/>
          <w:szCs w:val="20"/>
          <w:lang w:val="es-ES"/>
        </w:rPr>
        <w:t>[…]</w:t>
      </w:r>
    </w:p>
    <w:p w14:paraId="78680269"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49316D48"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083A35CE"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3C2EE0B9"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6D6FFE95"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7C86911D"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5179F075"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4E0A9A23" w14:textId="77777777" w:rsidR="004F240F" w:rsidRDefault="004F240F" w:rsidP="004F240F">
      <w:pPr>
        <w:spacing w:after="0" w:line="240" w:lineRule="auto"/>
        <w:jc w:val="both"/>
        <w:rPr>
          <w:rFonts w:ascii="Verdana" w:eastAsia="Calibri" w:hAnsi="Verdana" w:cs="Arial"/>
          <w:color w:val="000000" w:themeColor="text1"/>
          <w:sz w:val="20"/>
          <w:szCs w:val="20"/>
          <w:lang w:val="es-ES"/>
        </w:rPr>
      </w:pPr>
    </w:p>
    <w:p w14:paraId="07C7FE32" w14:textId="77777777" w:rsidR="004F240F" w:rsidRPr="00A51781" w:rsidRDefault="004F240F" w:rsidP="004F240F">
      <w:pPr>
        <w:spacing w:after="0" w:line="240" w:lineRule="auto"/>
        <w:jc w:val="both"/>
        <w:rPr>
          <w:rFonts w:ascii="Verdana" w:eastAsia="Calibri" w:hAnsi="Verdana" w:cs="Arial"/>
          <w:color w:val="000000" w:themeColor="text1"/>
          <w:sz w:val="20"/>
          <w:szCs w:val="20"/>
          <w:lang w:val="es-ES"/>
        </w:rPr>
      </w:pPr>
    </w:p>
    <w:p w14:paraId="1E6F7099" w14:textId="77777777" w:rsidR="004F240F" w:rsidRDefault="004F240F" w:rsidP="004F240F">
      <w:pPr>
        <w:spacing w:after="0" w:line="240" w:lineRule="auto"/>
        <w:rPr>
          <w:rFonts w:ascii="Verdana" w:hAnsi="Verdana"/>
        </w:rPr>
      </w:pPr>
    </w:p>
    <w:p w14:paraId="343F6C68" w14:textId="77777777" w:rsidR="004F240F" w:rsidRDefault="004F240F" w:rsidP="004F240F">
      <w:pPr>
        <w:spacing w:after="0" w:line="240" w:lineRule="auto"/>
        <w:rPr>
          <w:rFonts w:ascii="Verdana" w:hAnsi="Verdana"/>
        </w:rPr>
      </w:pPr>
    </w:p>
    <w:p w14:paraId="002EAEEC" w14:textId="77777777" w:rsidR="004F240F" w:rsidRDefault="004F240F" w:rsidP="004F240F">
      <w:pPr>
        <w:spacing w:after="0" w:line="240" w:lineRule="auto"/>
        <w:rPr>
          <w:rFonts w:ascii="Verdana" w:hAnsi="Verdana"/>
        </w:rPr>
      </w:pPr>
    </w:p>
    <w:p w14:paraId="19F93EBF" w14:textId="77777777" w:rsidR="004F240F" w:rsidRDefault="004F240F" w:rsidP="004F240F">
      <w:pPr>
        <w:spacing w:after="0" w:line="240" w:lineRule="auto"/>
        <w:rPr>
          <w:rFonts w:ascii="Verdana" w:hAnsi="Verdana"/>
        </w:rPr>
      </w:pPr>
    </w:p>
    <w:p w14:paraId="09E8E2E8" w14:textId="77777777" w:rsidR="004F240F" w:rsidRDefault="004F240F" w:rsidP="004F240F">
      <w:pPr>
        <w:spacing w:after="0" w:line="240" w:lineRule="auto"/>
        <w:rPr>
          <w:rFonts w:ascii="Verdana" w:hAnsi="Verdana"/>
        </w:rPr>
      </w:pPr>
    </w:p>
    <w:p w14:paraId="4655A4FF" w14:textId="77777777" w:rsidR="004F240F" w:rsidRDefault="004F240F" w:rsidP="004F240F">
      <w:pPr>
        <w:spacing w:after="0" w:line="240" w:lineRule="auto"/>
        <w:rPr>
          <w:rFonts w:ascii="Verdana" w:hAnsi="Verdana"/>
        </w:rPr>
      </w:pPr>
    </w:p>
    <w:p w14:paraId="5EA797F1" w14:textId="77777777" w:rsidR="004F240F" w:rsidRDefault="004F240F" w:rsidP="004F240F">
      <w:pPr>
        <w:spacing w:after="0" w:line="240" w:lineRule="auto"/>
        <w:rPr>
          <w:rFonts w:ascii="Verdana" w:hAnsi="Verdana"/>
        </w:rPr>
      </w:pPr>
    </w:p>
    <w:p w14:paraId="5E7CEBA4" w14:textId="77777777" w:rsidR="004F240F" w:rsidRDefault="004F240F" w:rsidP="004F240F">
      <w:pPr>
        <w:spacing w:after="0" w:line="240" w:lineRule="auto"/>
        <w:rPr>
          <w:rFonts w:ascii="Verdana" w:hAnsi="Verdana"/>
        </w:rPr>
      </w:pPr>
    </w:p>
    <w:p w14:paraId="7968CC6A" w14:textId="77777777" w:rsidR="004F240F" w:rsidRDefault="004F240F" w:rsidP="004F240F">
      <w:pPr>
        <w:spacing w:after="0" w:line="240" w:lineRule="auto"/>
        <w:rPr>
          <w:rFonts w:ascii="Verdana" w:hAnsi="Verdana"/>
        </w:rPr>
      </w:pPr>
    </w:p>
    <w:p w14:paraId="4476F68B" w14:textId="77777777" w:rsidR="004F240F" w:rsidRDefault="004F240F" w:rsidP="004F240F">
      <w:pPr>
        <w:spacing w:after="0" w:line="240" w:lineRule="auto"/>
        <w:rPr>
          <w:rFonts w:ascii="Verdana" w:hAnsi="Verdana"/>
        </w:rPr>
      </w:pPr>
    </w:p>
    <w:p w14:paraId="22DD0C0A" w14:textId="77777777" w:rsidR="004F240F" w:rsidRDefault="004F240F" w:rsidP="004F240F">
      <w:pPr>
        <w:spacing w:after="0" w:line="240" w:lineRule="auto"/>
        <w:rPr>
          <w:rFonts w:ascii="Verdana" w:hAnsi="Verdana"/>
        </w:rPr>
      </w:pPr>
    </w:p>
    <w:p w14:paraId="1523916F" w14:textId="77777777" w:rsidR="004F240F" w:rsidRDefault="004F240F" w:rsidP="004F240F">
      <w:pPr>
        <w:spacing w:after="0" w:line="240" w:lineRule="auto"/>
        <w:jc w:val="both"/>
        <w:rPr>
          <w:rFonts w:ascii="Verdana" w:hAnsi="Verdana" w:cs="Arial"/>
          <w:noProof/>
          <w:lang w:val="es-ES_tradnl"/>
        </w:rPr>
      </w:pPr>
    </w:p>
    <w:p w14:paraId="108F12D6" w14:textId="77777777" w:rsidR="004F240F" w:rsidRDefault="004F240F" w:rsidP="004F240F">
      <w:pPr>
        <w:spacing w:after="0" w:line="240" w:lineRule="auto"/>
        <w:jc w:val="both"/>
        <w:rPr>
          <w:rFonts w:ascii="Verdana" w:hAnsi="Verdana" w:cs="Arial"/>
          <w:noProof/>
          <w:lang w:val="es-ES_tradnl"/>
        </w:rPr>
      </w:pPr>
    </w:p>
    <w:p w14:paraId="5BD26878" w14:textId="77777777" w:rsidR="004F240F" w:rsidRDefault="004F240F" w:rsidP="004F240F">
      <w:pPr>
        <w:spacing w:after="0" w:line="240" w:lineRule="auto"/>
        <w:jc w:val="both"/>
        <w:rPr>
          <w:rFonts w:ascii="Verdana" w:hAnsi="Verdana" w:cs="Arial"/>
          <w:noProof/>
          <w:lang w:val="es-ES_tradnl"/>
        </w:rPr>
      </w:pPr>
    </w:p>
    <w:p w14:paraId="31FE9D6F" w14:textId="77777777" w:rsidR="004F240F" w:rsidRDefault="004F240F" w:rsidP="004F240F">
      <w:pPr>
        <w:spacing w:after="0" w:line="240" w:lineRule="auto"/>
        <w:jc w:val="both"/>
        <w:rPr>
          <w:rFonts w:ascii="Verdana" w:hAnsi="Verdana" w:cs="Arial"/>
          <w:noProof/>
          <w:lang w:val="es-ES_tradnl"/>
        </w:rPr>
      </w:pPr>
    </w:p>
    <w:p w14:paraId="0FEA7D00" w14:textId="77777777" w:rsidR="004F240F" w:rsidRDefault="004F240F" w:rsidP="004F240F">
      <w:pPr>
        <w:spacing w:after="0" w:line="240" w:lineRule="auto"/>
        <w:jc w:val="both"/>
        <w:rPr>
          <w:rFonts w:ascii="Verdana" w:hAnsi="Verdana" w:cs="Arial"/>
          <w:noProof/>
          <w:lang w:val="es-ES_tradnl"/>
        </w:rPr>
      </w:pPr>
    </w:p>
    <w:p w14:paraId="31CA1C07" w14:textId="77777777" w:rsidR="004F240F" w:rsidRDefault="004F240F" w:rsidP="004F240F">
      <w:pPr>
        <w:spacing w:after="0" w:line="276" w:lineRule="auto"/>
        <w:jc w:val="both"/>
        <w:rPr>
          <w:rFonts w:ascii="Verdana" w:hAnsi="Verdana" w:cs="Arial"/>
          <w:noProof/>
          <w:lang w:val="es-ES_tradnl"/>
        </w:rPr>
      </w:pPr>
    </w:p>
    <w:p w14:paraId="31A206C5" w14:textId="77777777" w:rsidR="004F240F" w:rsidRDefault="004F240F" w:rsidP="004F240F">
      <w:pPr>
        <w:spacing w:after="0" w:line="276" w:lineRule="auto"/>
        <w:jc w:val="both"/>
        <w:rPr>
          <w:rFonts w:ascii="Verdana" w:hAnsi="Verdana" w:cs="Arial"/>
          <w:noProof/>
          <w:lang w:val="es-ES_tradnl"/>
        </w:rPr>
      </w:pPr>
    </w:p>
    <w:p w14:paraId="2FEA7F52" w14:textId="77777777" w:rsidR="004F240F" w:rsidRDefault="004F240F" w:rsidP="004F240F">
      <w:pPr>
        <w:spacing w:after="0" w:line="276" w:lineRule="auto"/>
        <w:jc w:val="both"/>
        <w:rPr>
          <w:rFonts w:ascii="Verdana" w:hAnsi="Verdana" w:cs="Arial"/>
          <w:noProof/>
          <w:lang w:val="es-ES_tradnl"/>
        </w:rPr>
      </w:pPr>
    </w:p>
    <w:p w14:paraId="522338C4" w14:textId="77777777" w:rsidR="004F240F" w:rsidRDefault="004F240F" w:rsidP="004F240F">
      <w:pPr>
        <w:spacing w:after="0" w:line="276" w:lineRule="auto"/>
        <w:jc w:val="both"/>
        <w:rPr>
          <w:rFonts w:ascii="Verdana" w:hAnsi="Verdana" w:cs="Arial"/>
          <w:noProof/>
          <w:lang w:val="es-ES_tradnl"/>
        </w:rPr>
      </w:pPr>
    </w:p>
    <w:p w14:paraId="2C459816" w14:textId="77777777" w:rsidR="004F240F" w:rsidRDefault="004F240F" w:rsidP="004F240F">
      <w:pPr>
        <w:spacing w:after="0" w:line="276" w:lineRule="auto"/>
        <w:jc w:val="both"/>
        <w:rPr>
          <w:rFonts w:ascii="Verdana" w:hAnsi="Verdana" w:cs="Arial"/>
          <w:noProof/>
          <w:lang w:val="es-ES_tradnl"/>
        </w:rPr>
      </w:pPr>
    </w:p>
    <w:p w14:paraId="04E85884" w14:textId="77777777" w:rsidR="004F240F" w:rsidRDefault="004F240F" w:rsidP="004F240F">
      <w:pPr>
        <w:spacing w:after="0" w:line="240" w:lineRule="auto"/>
        <w:rPr>
          <w:rFonts w:ascii="Verdana" w:hAnsi="Verdana" w:cs="Arial"/>
          <w:noProof/>
          <w:lang w:val="es-ES_tradnl"/>
        </w:rPr>
      </w:pPr>
    </w:p>
    <w:p w14:paraId="60986F3B" w14:textId="77777777" w:rsidR="004F240F" w:rsidRDefault="004F240F" w:rsidP="004F240F">
      <w:pPr>
        <w:spacing w:after="0" w:line="240" w:lineRule="auto"/>
        <w:rPr>
          <w:rFonts w:ascii="Verdana" w:hAnsi="Verdana" w:cs="Arial"/>
          <w:noProof/>
          <w:lang w:val="es-ES_tradnl"/>
        </w:rPr>
      </w:pPr>
    </w:p>
    <w:p w14:paraId="52F01BE0" w14:textId="77777777" w:rsidR="004F240F" w:rsidRDefault="004F240F" w:rsidP="004F240F">
      <w:pPr>
        <w:spacing w:after="0" w:line="240" w:lineRule="auto"/>
        <w:rPr>
          <w:rFonts w:ascii="Verdana" w:hAnsi="Verdana" w:cs="Arial"/>
          <w:noProof/>
          <w:lang w:val="es-ES_tradnl"/>
        </w:rPr>
      </w:pPr>
    </w:p>
    <w:p w14:paraId="606A3A5D" w14:textId="77777777" w:rsidR="004F240F" w:rsidRDefault="004F240F" w:rsidP="004F240F">
      <w:pPr>
        <w:spacing w:after="0" w:line="240" w:lineRule="auto"/>
        <w:rPr>
          <w:rFonts w:ascii="Verdana" w:hAnsi="Verdana" w:cs="Arial"/>
          <w:noProof/>
          <w:lang w:val="es-ES_tradnl"/>
        </w:rPr>
      </w:pPr>
    </w:p>
    <w:p w14:paraId="6E3BE7EC" w14:textId="7FCCA635" w:rsidR="004F240F" w:rsidRPr="00960F72" w:rsidRDefault="004F240F" w:rsidP="004F240F">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0B3D46C4" w14:textId="691135CA" w:rsidR="004F240F" w:rsidRPr="00960F72" w:rsidRDefault="007D7A18" w:rsidP="004F240F">
      <w:pPr>
        <w:spacing w:after="0" w:line="240" w:lineRule="auto"/>
        <w:jc w:val="both"/>
        <w:rPr>
          <w:rFonts w:ascii="Verdana" w:eastAsia="Calibri" w:hAnsi="Verdana" w:cs="Arial"/>
        </w:rPr>
      </w:pPr>
      <w:r w:rsidRPr="005F5341">
        <w:rPr>
          <w:rFonts w:ascii="Verdana" w:eastAsia="Calibri" w:hAnsi="Verdana" w:cs="Arial"/>
          <w:lang w:eastAsia="es-ES"/>
        </w:rPr>
        <w:drawing>
          <wp:anchor distT="0" distB="0" distL="114300" distR="114300" simplePos="0" relativeHeight="251658240" behindDoc="1" locked="0" layoutInCell="1" allowOverlap="1" wp14:anchorId="03A6C9AD" wp14:editId="050A353B">
            <wp:simplePos x="0" y="0"/>
            <wp:positionH relativeFrom="column">
              <wp:posOffset>4018915</wp:posOffset>
            </wp:positionH>
            <wp:positionV relativeFrom="paragraph">
              <wp:posOffset>147955</wp:posOffset>
            </wp:positionV>
            <wp:extent cx="2253615" cy="768350"/>
            <wp:effectExtent l="0" t="0" r="0" b="0"/>
            <wp:wrapTight wrapText="bothSides">
              <wp:wrapPolygon edited="0">
                <wp:start x="0" y="0"/>
                <wp:lineTo x="0" y="20886"/>
                <wp:lineTo x="21363" y="20886"/>
                <wp:lineTo x="21363" y="0"/>
                <wp:lineTo x="0" y="0"/>
              </wp:wrapPolygon>
            </wp:wrapTight>
            <wp:docPr id="19552960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29600"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253615" cy="768350"/>
                    </a:xfrm>
                    <a:prstGeom prst="rect">
                      <a:avLst/>
                    </a:prstGeom>
                  </pic:spPr>
                </pic:pic>
              </a:graphicData>
            </a:graphic>
            <wp14:sizeRelH relativeFrom="page">
              <wp14:pctWidth>0</wp14:pctWidth>
            </wp14:sizeRelH>
            <wp14:sizeRelV relativeFrom="page">
              <wp14:pctHeight>0</wp14:pctHeight>
            </wp14:sizeRelV>
          </wp:anchor>
        </w:drawing>
      </w:r>
    </w:p>
    <w:p w14:paraId="48D094C2" w14:textId="0C526679" w:rsidR="004F240F" w:rsidRPr="00A518F4" w:rsidRDefault="004F240F" w:rsidP="004F240F">
      <w:pPr>
        <w:spacing w:after="0" w:line="240" w:lineRule="auto"/>
        <w:jc w:val="both"/>
        <w:rPr>
          <w:rFonts w:ascii="Verdana" w:eastAsia="Calibri" w:hAnsi="Verdana" w:cs="Arial"/>
          <w:lang w:eastAsia="es-ES"/>
        </w:rPr>
      </w:pPr>
      <w:r w:rsidRPr="00A518F4">
        <w:rPr>
          <w:rFonts w:ascii="Verdana" w:eastAsia="Calibri" w:hAnsi="Verdana" w:cs="Arial"/>
          <w:lang w:eastAsia="es-ES"/>
        </w:rPr>
        <w:t>Señor</w:t>
      </w:r>
      <w:r>
        <w:rPr>
          <w:rFonts w:ascii="Verdana" w:eastAsia="Calibri" w:hAnsi="Verdana" w:cs="Arial"/>
          <w:lang w:eastAsia="es-ES"/>
        </w:rPr>
        <w:t>a</w:t>
      </w:r>
    </w:p>
    <w:p w14:paraId="04E7C23A" w14:textId="77777777" w:rsidR="004F240F" w:rsidRPr="00A518F4" w:rsidRDefault="004F240F" w:rsidP="004F240F">
      <w:pPr>
        <w:spacing w:after="0" w:line="240" w:lineRule="auto"/>
        <w:jc w:val="both"/>
        <w:rPr>
          <w:rFonts w:ascii="Verdana" w:eastAsia="Calibri" w:hAnsi="Verdana" w:cs="Arial"/>
          <w:lang w:eastAsia="es-ES"/>
        </w:rPr>
      </w:pPr>
      <w:r>
        <w:rPr>
          <w:rFonts w:ascii="Verdana" w:eastAsia="Calibri" w:hAnsi="Verdana" w:cs="Arial"/>
          <w:b/>
          <w:bCs/>
          <w:lang w:eastAsia="es-ES"/>
        </w:rPr>
        <w:t xml:space="preserve">Andrea Julieth Monrroy </w:t>
      </w:r>
      <w:proofErr w:type="spellStart"/>
      <w:r>
        <w:rPr>
          <w:rFonts w:ascii="Verdana" w:eastAsia="Calibri" w:hAnsi="Verdana" w:cs="Arial"/>
          <w:b/>
          <w:bCs/>
          <w:lang w:eastAsia="es-ES"/>
        </w:rPr>
        <w:t>Altazurra</w:t>
      </w:r>
      <w:proofErr w:type="spellEnd"/>
    </w:p>
    <w:p w14:paraId="4A12E630" w14:textId="77777777" w:rsidR="004F240F" w:rsidRPr="00A518F4" w:rsidRDefault="004F240F" w:rsidP="004F240F">
      <w:pPr>
        <w:spacing w:after="0" w:line="240" w:lineRule="auto"/>
        <w:jc w:val="both"/>
        <w:rPr>
          <w:rFonts w:ascii="Verdana" w:eastAsia="Calibri" w:hAnsi="Verdana" w:cs="Arial"/>
          <w:lang w:eastAsia="es-ES"/>
        </w:rPr>
      </w:pPr>
      <w:r>
        <w:rPr>
          <w:rFonts w:ascii="Verdana" w:hAnsi="Verdana"/>
        </w:rPr>
        <w:t>Andreamonroy09@gmail.com</w:t>
      </w:r>
    </w:p>
    <w:p w14:paraId="5215A557" w14:textId="6D331774" w:rsidR="004F240F" w:rsidRPr="00A518F4" w:rsidRDefault="004F240F" w:rsidP="004F240F">
      <w:pPr>
        <w:spacing w:after="0" w:line="240" w:lineRule="auto"/>
        <w:rPr>
          <w:rFonts w:ascii="Verdana" w:eastAsia="Calibri" w:hAnsi="Verdana" w:cs="Arial"/>
          <w:b/>
          <w:bCs/>
          <w:lang w:eastAsia="es-ES"/>
        </w:rPr>
      </w:pPr>
      <w:r>
        <w:rPr>
          <w:rFonts w:ascii="Verdana" w:eastAsia="Calibri" w:hAnsi="Verdana" w:cs="Arial"/>
          <w:lang w:eastAsia="es-ES"/>
        </w:rPr>
        <w:t>Bogotá, Cundinamarca</w:t>
      </w:r>
      <w:r w:rsidR="005F5341" w:rsidRPr="005F5341">
        <w:rPr>
          <w:noProof/>
        </w:rPr>
        <w:t xml:space="preserve"> </w:t>
      </w:r>
    </w:p>
    <w:p w14:paraId="2374D5A5" w14:textId="77777777" w:rsidR="004F240F" w:rsidRPr="00A518F4" w:rsidRDefault="004F240F" w:rsidP="004F240F">
      <w:pPr>
        <w:spacing w:after="0" w:line="240" w:lineRule="auto"/>
        <w:rPr>
          <w:rFonts w:ascii="Verdana" w:eastAsia="Calibri" w:hAnsi="Verdana" w:cs="Arial"/>
          <w:b/>
          <w:bCs/>
          <w:lang w:eastAsia="es-ES_tradnl"/>
        </w:rPr>
      </w:pPr>
    </w:p>
    <w:p w14:paraId="5434E904" w14:textId="77777777" w:rsidR="004F240F" w:rsidRPr="00960F72" w:rsidRDefault="004F240F" w:rsidP="004F240F">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55"/>
        <w:gridCol w:w="6434"/>
      </w:tblGrid>
      <w:tr w:rsidR="004F240F" w:rsidRPr="00960F72" w14:paraId="5A68891F" w14:textId="77777777" w:rsidTr="4102901C">
        <w:trPr>
          <w:trHeight w:val="190"/>
        </w:trPr>
        <w:tc>
          <w:tcPr>
            <w:tcW w:w="2355" w:type="dxa"/>
          </w:tcPr>
          <w:p w14:paraId="0CDC22A3" w14:textId="77777777" w:rsidR="004F240F" w:rsidRPr="00960F72" w:rsidRDefault="004F240F" w:rsidP="009B4DB8">
            <w:pPr>
              <w:jc w:val="both"/>
              <w:rPr>
                <w:rFonts w:ascii="Verdana" w:eastAsia="Calibri" w:hAnsi="Verdana" w:cs="Arial"/>
                <w:b/>
                <w:bCs/>
                <w:lang w:eastAsia="es-ES_tradnl"/>
              </w:rPr>
            </w:pPr>
          </w:p>
        </w:tc>
        <w:tc>
          <w:tcPr>
            <w:tcW w:w="6434" w:type="dxa"/>
          </w:tcPr>
          <w:p w14:paraId="74297511" w14:textId="77777777" w:rsidR="004F240F" w:rsidRPr="00960F72" w:rsidRDefault="004F240F" w:rsidP="009B4DB8">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411</w:t>
            </w:r>
            <w:r w:rsidRPr="00960F72">
              <w:rPr>
                <w:rFonts w:ascii="Verdana" w:eastAsia="Calibri" w:hAnsi="Verdana" w:cs="Arial"/>
                <w:b/>
                <w:bCs/>
                <w:lang w:eastAsia="es-ES"/>
              </w:rPr>
              <w:t xml:space="preserve"> de 2025</w:t>
            </w:r>
          </w:p>
          <w:p w14:paraId="757D13AB" w14:textId="77777777" w:rsidR="004F240F" w:rsidRPr="00960F72" w:rsidRDefault="004F240F" w:rsidP="009B4DB8">
            <w:pPr>
              <w:jc w:val="both"/>
              <w:rPr>
                <w:rFonts w:ascii="Verdana" w:eastAsia="Calibri" w:hAnsi="Verdana" w:cs="Arial"/>
                <w:b/>
                <w:bCs/>
                <w:lang w:eastAsia="es-ES"/>
              </w:rPr>
            </w:pPr>
          </w:p>
        </w:tc>
      </w:tr>
      <w:tr w:rsidR="004F240F" w:rsidRPr="00960F72" w14:paraId="7C636F42" w14:textId="77777777" w:rsidTr="4102901C">
        <w:trPr>
          <w:trHeight w:val="884"/>
        </w:trPr>
        <w:tc>
          <w:tcPr>
            <w:tcW w:w="2355" w:type="dxa"/>
          </w:tcPr>
          <w:p w14:paraId="776149CB" w14:textId="77777777" w:rsidR="004F240F" w:rsidRPr="00960F72" w:rsidRDefault="004F240F" w:rsidP="009B4DB8">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434" w:type="dxa"/>
          </w:tcPr>
          <w:p w14:paraId="6A58E149" w14:textId="77777777" w:rsidR="004F240F" w:rsidRDefault="004F240F" w:rsidP="009B4DB8">
            <w:pPr>
              <w:jc w:val="both"/>
              <w:rPr>
                <w:rFonts w:ascii="Verdana" w:eastAsia="Calibri" w:hAnsi="Verdana" w:cs="Arial"/>
                <w:lang w:val="es-ES" w:eastAsia="es-ES"/>
              </w:rPr>
            </w:pPr>
            <w:r w:rsidRPr="007C11D3">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sidRPr="00263083">
              <w:rPr>
                <w:rFonts w:ascii="Verdana" w:eastAsia="Calibri" w:hAnsi="Verdana" w:cs="Arial"/>
                <w:lang w:val="es-ES" w:eastAsia="es-ES"/>
              </w:rPr>
              <w:t xml:space="preserve">/ </w:t>
            </w:r>
            <w:r w:rsidRPr="00F93094">
              <w:rPr>
                <w:rFonts w:ascii="Verdana" w:eastAsia="Calibri" w:hAnsi="Verdana" w:cs="Arial"/>
                <w:lang w:val="es-ES"/>
              </w:rPr>
              <w:t xml:space="preserve">INSTITUCIONES EDUCATIVAS OFICIALES- Ley de Garantías- Restricciones.  </w:t>
            </w:r>
          </w:p>
          <w:p w14:paraId="6EC7A720" w14:textId="77777777" w:rsidR="004F240F" w:rsidRPr="00960F72" w:rsidRDefault="004F240F" w:rsidP="009B4DB8">
            <w:pPr>
              <w:jc w:val="both"/>
              <w:rPr>
                <w:rFonts w:ascii="Verdana" w:eastAsia="Calibri" w:hAnsi="Verdana" w:cs="Arial"/>
                <w:lang w:eastAsia="es-ES"/>
              </w:rPr>
            </w:pPr>
          </w:p>
        </w:tc>
      </w:tr>
      <w:tr w:rsidR="004F240F" w:rsidRPr="00960F72" w14:paraId="69243CE9" w14:textId="77777777" w:rsidTr="4102901C">
        <w:tc>
          <w:tcPr>
            <w:tcW w:w="2355" w:type="dxa"/>
          </w:tcPr>
          <w:p w14:paraId="0DB021E7" w14:textId="77777777" w:rsidR="004F240F" w:rsidRPr="00960F72" w:rsidRDefault="004F240F" w:rsidP="009B4DB8">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434" w:type="dxa"/>
          </w:tcPr>
          <w:p w14:paraId="39115630" w14:textId="77777777" w:rsidR="004F240F" w:rsidRPr="00960F72" w:rsidRDefault="004F240F" w:rsidP="009B4DB8">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EC2363">
              <w:rPr>
                <w:rFonts w:ascii="Verdana" w:eastAsia="Calibri" w:hAnsi="Verdana" w:cs="Arial"/>
                <w:lang w:eastAsia="es-ES_tradnl"/>
              </w:rPr>
              <w:t>1_2025_10_01_010893</w:t>
            </w:r>
          </w:p>
        </w:tc>
      </w:tr>
    </w:tbl>
    <w:p w14:paraId="2E41AFCE" w14:textId="77777777" w:rsidR="004F240F" w:rsidRPr="00960F72" w:rsidRDefault="004F240F" w:rsidP="004F240F">
      <w:pPr>
        <w:spacing w:after="0" w:line="240" w:lineRule="auto"/>
        <w:jc w:val="both"/>
        <w:rPr>
          <w:rFonts w:ascii="Verdana" w:eastAsia="Calibri" w:hAnsi="Verdana" w:cs="Arial"/>
          <w:lang w:eastAsia="es-ES_tradnl"/>
        </w:rPr>
      </w:pPr>
    </w:p>
    <w:p w14:paraId="290240AA" w14:textId="77777777" w:rsidR="004F240F" w:rsidRPr="00960F72" w:rsidRDefault="004F240F" w:rsidP="004F240F">
      <w:pPr>
        <w:spacing w:after="0" w:line="240" w:lineRule="auto"/>
        <w:jc w:val="both"/>
        <w:rPr>
          <w:rFonts w:ascii="Verdana" w:eastAsia="Calibri" w:hAnsi="Verdana" w:cs="Arial"/>
          <w:lang w:eastAsia="es-ES_tradnl"/>
        </w:rPr>
      </w:pPr>
    </w:p>
    <w:p w14:paraId="56777088" w14:textId="77777777" w:rsidR="004F240F" w:rsidRPr="00960F72" w:rsidRDefault="004F240F" w:rsidP="004F240F">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a </w:t>
      </w:r>
      <w:r w:rsidRPr="00960F72">
        <w:rPr>
          <w:rFonts w:ascii="Verdana" w:eastAsia="Calibri" w:hAnsi="Verdana" w:cs="Arial"/>
          <w:lang w:eastAsia="es-ES"/>
        </w:rPr>
        <w:t>señor</w:t>
      </w:r>
      <w:r>
        <w:rPr>
          <w:rFonts w:ascii="Verdana" w:eastAsia="Calibri" w:hAnsi="Verdana" w:cs="Arial"/>
          <w:lang w:eastAsia="es-ES"/>
        </w:rPr>
        <w:t>a Monrroy</w:t>
      </w:r>
      <w:r w:rsidRPr="00960F72">
        <w:rPr>
          <w:rFonts w:ascii="Verdana" w:eastAsia="Calibri" w:hAnsi="Verdana" w:cs="Arial"/>
          <w:lang w:eastAsia="es-ES"/>
        </w:rPr>
        <w:t xml:space="preserve">: </w:t>
      </w:r>
    </w:p>
    <w:p w14:paraId="3F24E2C7" w14:textId="77777777" w:rsidR="004F240F" w:rsidRPr="00960F72" w:rsidRDefault="004F240F" w:rsidP="004F240F">
      <w:pPr>
        <w:tabs>
          <w:tab w:val="left" w:pos="3768"/>
        </w:tabs>
        <w:spacing w:after="0" w:line="276" w:lineRule="auto"/>
        <w:jc w:val="both"/>
        <w:rPr>
          <w:rFonts w:ascii="Verdana" w:eastAsia="Calibri" w:hAnsi="Verdana" w:cs="Arial"/>
          <w:lang w:eastAsia="es-ES"/>
        </w:rPr>
      </w:pPr>
    </w:p>
    <w:p w14:paraId="051CD02D" w14:textId="77777777" w:rsidR="004F240F" w:rsidRPr="00960F72" w:rsidRDefault="004F240F" w:rsidP="004F240F">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01</w:t>
      </w:r>
      <w:r w:rsidRPr="00960F72">
        <w:rPr>
          <w:rFonts w:ascii="Verdana" w:eastAsia="Calibri" w:hAnsi="Verdana" w:cs="Arial"/>
          <w:lang w:eastAsia="es-ES"/>
        </w:rPr>
        <w:t xml:space="preserve"> 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3D6B06B2" w14:textId="77777777" w:rsidR="004F240F" w:rsidRPr="00960F72" w:rsidRDefault="004F240F" w:rsidP="004F240F">
      <w:pPr>
        <w:spacing w:after="0" w:line="276" w:lineRule="auto"/>
        <w:jc w:val="both"/>
        <w:rPr>
          <w:rFonts w:ascii="Verdana" w:eastAsia="Calibri" w:hAnsi="Verdana" w:cs="Arial"/>
          <w:lang w:eastAsia="es-ES"/>
        </w:rPr>
      </w:pPr>
    </w:p>
    <w:p w14:paraId="4DECA4EB" w14:textId="77777777" w:rsidR="004F240F" w:rsidRDefault="004F240F" w:rsidP="004F240F">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EC2363">
        <w:rPr>
          <w:rFonts w:ascii="Verdana" w:eastAsia="Calibri" w:hAnsi="Verdana" w:cs="Arial"/>
          <w:sz w:val="20"/>
          <w:szCs w:val="20"/>
          <w:lang w:eastAsia="es-ES"/>
        </w:rPr>
        <w:t>Agradezco la amable ayuda con el fin de conocer si una institución educativa o una fundación puede celebrar cualquier tipo de convenio y contrato por contratación directa con entidades municipales, gubernamentales, o entidades municipales a partir del 8 de noviembre de 2025, o si esto solo aplica para convenios interadministrativos</w:t>
      </w:r>
      <w:r w:rsidRPr="002762D2">
        <w:rPr>
          <w:rFonts w:ascii="Verdana" w:eastAsia="Calibri" w:hAnsi="Verdana" w:cs="Arial"/>
          <w:sz w:val="20"/>
          <w:szCs w:val="20"/>
          <w:lang w:eastAsia="es-ES"/>
        </w:rPr>
        <w:t>.</w:t>
      </w:r>
      <w:r>
        <w:rPr>
          <w:rFonts w:ascii="Verdana" w:eastAsia="Calibri" w:hAnsi="Verdana" w:cs="Arial"/>
          <w:sz w:val="20"/>
          <w:szCs w:val="20"/>
          <w:lang w:eastAsia="es-ES"/>
        </w:rPr>
        <w:t>”</w:t>
      </w:r>
    </w:p>
    <w:p w14:paraId="0A7FA570" w14:textId="77777777" w:rsidR="004F240F" w:rsidRPr="00755387" w:rsidRDefault="004F240F" w:rsidP="004F240F">
      <w:pPr>
        <w:spacing w:after="0" w:line="276" w:lineRule="auto"/>
        <w:ind w:left="709" w:right="709"/>
        <w:jc w:val="both"/>
        <w:rPr>
          <w:rFonts w:ascii="Verdana" w:eastAsia="Calibri" w:hAnsi="Verdana" w:cs="Arial"/>
          <w:lang w:eastAsia="es-ES"/>
        </w:rPr>
      </w:pPr>
    </w:p>
    <w:p w14:paraId="5DFA79E6" w14:textId="77777777" w:rsidR="004F240F" w:rsidRPr="00960F72" w:rsidRDefault="004F240F" w:rsidP="004F240F">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w:t>
      </w:r>
      <w:r w:rsidRPr="00960F72">
        <w:rPr>
          <w:rFonts w:ascii="Verdana" w:eastAsia="Calibri" w:hAnsi="Verdana" w:cs="Arial"/>
          <w:lang w:eastAsia="es-ES"/>
        </w:rPr>
        <w:lastRenderedPageBreak/>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D235FF1" w14:textId="77777777" w:rsidR="004F240F" w:rsidRPr="00960F72" w:rsidRDefault="004F240F" w:rsidP="004F240F">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1249644" w14:textId="77777777" w:rsidR="004F240F" w:rsidRPr="00960F72" w:rsidRDefault="004F240F" w:rsidP="004F240F">
      <w:pPr>
        <w:spacing w:after="0" w:line="276" w:lineRule="auto"/>
        <w:ind w:firstLine="709"/>
        <w:jc w:val="both"/>
        <w:rPr>
          <w:rFonts w:ascii="Verdana" w:eastAsia="Calibri" w:hAnsi="Verdana" w:cs="Arial"/>
          <w:lang w:eastAsia="es-ES"/>
        </w:rPr>
      </w:pPr>
    </w:p>
    <w:p w14:paraId="73A56FF6" w14:textId="77777777" w:rsidR="004F240F" w:rsidRPr="00960F72" w:rsidRDefault="004F240F" w:rsidP="004F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2CC53897" w14:textId="77777777" w:rsidR="004F240F" w:rsidRPr="00960F72" w:rsidRDefault="004F240F" w:rsidP="004F240F">
      <w:pPr>
        <w:tabs>
          <w:tab w:val="left" w:pos="426"/>
        </w:tabs>
        <w:spacing w:after="0" w:line="276" w:lineRule="auto"/>
        <w:jc w:val="both"/>
        <w:rPr>
          <w:rFonts w:ascii="Verdana" w:eastAsia="Century Gothic" w:hAnsi="Verdana" w:cs="Century Gothic"/>
        </w:rPr>
      </w:pPr>
    </w:p>
    <w:p w14:paraId="2518C06A" w14:textId="77777777" w:rsidR="004F240F" w:rsidRPr="00BE7F01" w:rsidRDefault="004F240F" w:rsidP="004F240F">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BE7F01">
        <w:rPr>
          <w:rFonts w:ascii="Verdana" w:eastAsia="Century Gothic" w:hAnsi="Verdana" w:cs="Century Gothic"/>
        </w:rPr>
        <w:t>¿Es jurídicamente viable que las instituciones educativas o las fundaciones celebren cualquier tipo de convenio o contrato con entidades municipales o gubernamentales a partir del 8 de noviembre de 2025, o las restricciones establecidas en la Ley 996 de 2005</w:t>
      </w:r>
      <w:r>
        <w:rPr>
          <w:rFonts w:ascii="Verdana" w:eastAsia="Century Gothic" w:hAnsi="Verdana" w:cs="Century Gothic"/>
        </w:rPr>
        <w:t>-</w:t>
      </w:r>
      <w:r w:rsidRPr="00BE7F01">
        <w:rPr>
          <w:rFonts w:ascii="Verdana" w:eastAsia="Century Gothic" w:hAnsi="Verdana" w:cs="Century Gothic"/>
        </w:rPr>
        <w:t>Ley de Garantías Electorales– limitan dicha posibilidad únicamente a los convenios interadministrativos?</w:t>
      </w:r>
    </w:p>
    <w:p w14:paraId="419A67E4" w14:textId="77777777" w:rsidR="004F240F" w:rsidRPr="00960F72" w:rsidRDefault="004F240F" w:rsidP="004F240F">
      <w:pPr>
        <w:spacing w:after="0" w:line="276" w:lineRule="auto"/>
        <w:jc w:val="both"/>
        <w:rPr>
          <w:rFonts w:ascii="Verdana" w:eastAsia="Century Gothic" w:hAnsi="Verdana" w:cs="Century Gothic"/>
        </w:rPr>
      </w:pPr>
    </w:p>
    <w:p w14:paraId="5B90774F" w14:textId="77777777" w:rsidR="004F240F" w:rsidRPr="00960F72" w:rsidRDefault="004F240F" w:rsidP="004F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503DF79A" w14:textId="77777777" w:rsidR="004F240F" w:rsidRPr="00960F72" w:rsidRDefault="004F240F" w:rsidP="004F240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F240F" w:rsidRPr="00960F72" w14:paraId="675FD6CE" w14:textId="77777777" w:rsidTr="009B4DB8">
        <w:tc>
          <w:tcPr>
            <w:tcW w:w="8828" w:type="dxa"/>
          </w:tcPr>
          <w:p w14:paraId="7450A9FB" w14:textId="77777777" w:rsidR="004F240F" w:rsidRDefault="004F240F" w:rsidP="009B4DB8">
            <w:pPr>
              <w:pStyle w:val="Textoindependiente"/>
              <w:spacing w:after="120" w:line="276" w:lineRule="auto"/>
              <w:jc w:val="both"/>
              <w:rPr>
                <w:rFonts w:ascii="Verdana" w:hAnsi="Verdana"/>
                <w:sz w:val="22"/>
                <w:szCs w:val="22"/>
                <w:lang w:eastAsia="es-ES" w:bidi="es-ES"/>
              </w:rPr>
            </w:pPr>
            <w:r w:rsidRPr="003D0447">
              <w:rPr>
                <w:rFonts w:ascii="Verdana" w:hAnsi="Verdana"/>
                <w:bCs/>
                <w:sz w:val="22"/>
                <w:szCs w:val="22"/>
                <w:lang w:val="es-MX" w:eastAsia="es-CO"/>
              </w:rPr>
              <w:t xml:space="preserve">De acuerdo con la interpretación de las normas generales del sistema de compras y contratación pública, sin perjuicio de que </w:t>
            </w:r>
            <w:r w:rsidRPr="003D0447">
              <w:rPr>
                <w:rFonts w:ascii="Verdana" w:eastAsia="Calibri" w:hAnsi="Verdana"/>
                <w:color w:val="000000"/>
                <w:sz w:val="22"/>
                <w:szCs w:val="22"/>
                <w:shd w:val="clear" w:color="auto" w:fill="FFFFFF"/>
                <w:lang w:val="es-MX"/>
              </w:rPr>
              <w:t>cada entidad defina la viabilidad técnica, jurídica y financiera de celebrar determinado contrato estatal en específico,</w:t>
            </w:r>
            <w:r w:rsidRPr="003D0447">
              <w:rPr>
                <w:rFonts w:ascii="Verdana" w:hAnsi="Verdana"/>
                <w:bCs/>
                <w:sz w:val="22"/>
                <w:szCs w:val="22"/>
                <w:lang w:val="es-MX" w:eastAsia="es-CO"/>
              </w:rPr>
              <w:t xml:space="preserve"> es posible afirmar que l</w:t>
            </w:r>
            <w:r w:rsidRPr="003D0447">
              <w:rPr>
                <w:rFonts w:ascii="Verdana" w:hAnsi="Verdana"/>
                <w:sz w:val="22"/>
                <w:szCs w:val="22"/>
                <w:lang w:eastAsia="es-ES" w:bidi="es-ES"/>
              </w:rPr>
              <w:t xml:space="preserve">a Ley 996 de 2005 establece dos (2) tipos de restricciones en materia de contratación, las cuales coinciden parcialmente. </w:t>
            </w:r>
          </w:p>
          <w:p w14:paraId="5595F69F" w14:textId="77777777" w:rsidR="004F240F" w:rsidRDefault="004F240F" w:rsidP="009B4DB8">
            <w:pPr>
              <w:pStyle w:val="Textoindependiente"/>
              <w:spacing w:after="120" w:line="276" w:lineRule="auto"/>
              <w:jc w:val="both"/>
              <w:rPr>
                <w:rFonts w:ascii="Verdana" w:hAnsi="Verdana"/>
                <w:sz w:val="22"/>
                <w:szCs w:val="22"/>
                <w:lang w:eastAsia="es-ES" w:bidi="es-ES"/>
              </w:rPr>
            </w:pPr>
            <w:r>
              <w:rPr>
                <w:rFonts w:ascii="Verdana" w:hAnsi="Verdana"/>
                <w:i/>
                <w:iCs/>
                <w:sz w:val="22"/>
                <w:szCs w:val="22"/>
                <w:lang w:eastAsia="es-ES" w:bidi="es-ES"/>
              </w:rPr>
              <w:t xml:space="preserve">      </w:t>
            </w:r>
            <w:r w:rsidRPr="003D0447">
              <w:rPr>
                <w:rFonts w:ascii="Verdana" w:hAnsi="Verdana"/>
                <w:i/>
                <w:iCs/>
                <w:sz w:val="22"/>
                <w:szCs w:val="22"/>
                <w:lang w:eastAsia="es-ES" w:bidi="es-ES"/>
              </w:rPr>
              <w:t>En primer lugar</w:t>
            </w:r>
            <w:r w:rsidRPr="003D0447">
              <w:rPr>
                <w:rFonts w:ascii="Verdana" w:hAnsi="Verdana"/>
                <w:sz w:val="22"/>
                <w:szCs w:val="22"/>
                <w:lang w:eastAsia="es-ES" w:bidi="es-ES"/>
              </w:rPr>
              <w:t xml:space="preserve">, la del artículo 33 que opera solo respecto de las elecciones presidenciales, en virtud de la cual queda proscrita la contratación directa dentro de los cuatro (4) meses anteriores a la celebración de los comicios, salvo las excepciones contempladas en el inciso segundo del mismo </w:t>
            </w:r>
            <w:r w:rsidRPr="003D0447">
              <w:rPr>
                <w:rFonts w:ascii="Verdana" w:hAnsi="Verdana"/>
                <w:sz w:val="22"/>
                <w:szCs w:val="22"/>
                <w:lang w:eastAsia="es-ES" w:bidi="es-ES"/>
              </w:rPr>
              <w:lastRenderedPageBreak/>
              <w:t xml:space="preserve">artículo.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75231616" w14:textId="77777777" w:rsidR="004F240F" w:rsidRPr="003D0447" w:rsidRDefault="004F240F" w:rsidP="009B4DB8">
            <w:pPr>
              <w:pStyle w:val="Textoindependiente"/>
              <w:spacing w:after="120" w:line="276" w:lineRule="auto"/>
              <w:jc w:val="both"/>
              <w:rPr>
                <w:rFonts w:ascii="Verdana" w:hAnsi="Verdana"/>
                <w:sz w:val="22"/>
                <w:szCs w:val="22"/>
                <w:lang w:eastAsia="es-ES" w:bidi="es-ES"/>
              </w:rPr>
            </w:pPr>
            <w:r>
              <w:rPr>
                <w:rFonts w:ascii="Verdana" w:hAnsi="Verdana"/>
                <w:i/>
                <w:iCs/>
                <w:sz w:val="22"/>
                <w:szCs w:val="22"/>
                <w:lang w:eastAsia="es-ES" w:bidi="es-ES"/>
              </w:rPr>
              <w:t xml:space="preserve">      </w:t>
            </w:r>
            <w:r w:rsidRPr="003D0447">
              <w:rPr>
                <w:rFonts w:ascii="Verdana" w:hAnsi="Verdana"/>
                <w:i/>
                <w:iCs/>
                <w:sz w:val="22"/>
                <w:szCs w:val="22"/>
                <w:lang w:eastAsia="es-ES" w:bidi="es-ES"/>
              </w:rPr>
              <w:t>En segundo lugar</w:t>
            </w:r>
            <w:r w:rsidRPr="003D0447">
              <w:rPr>
                <w:rFonts w:ascii="Verdana" w:hAnsi="Verdana"/>
                <w:sz w:val="22"/>
                <w:szCs w:val="22"/>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E135283" w14:textId="5F8DC8D0" w:rsidR="004F240F" w:rsidRPr="003D0447" w:rsidRDefault="004F240F" w:rsidP="009B4DB8">
            <w:pPr>
              <w:spacing w:after="120" w:line="276" w:lineRule="auto"/>
              <w:ind w:firstLine="709"/>
              <w:jc w:val="both"/>
              <w:rPr>
                <w:rFonts w:ascii="Verdana" w:eastAsia="Calibri" w:hAnsi="Verdana" w:cs="Arial"/>
                <w:color w:val="000000" w:themeColor="text1"/>
              </w:rPr>
            </w:pPr>
            <w:r w:rsidRPr="003D0447">
              <w:rPr>
                <w:rFonts w:ascii="Verdana" w:eastAsia="Arial" w:hAnsi="Verdana" w:cs="Arial"/>
                <w:lang w:val="es-ES" w:eastAsia="es-ES" w:bidi="es-ES"/>
              </w:rPr>
              <w:t xml:space="preserve">Ambas restricciones no son excluyentes, lo que implica que en el período preelectoral para elección de </w:t>
            </w:r>
            <w:proofErr w:type="gramStart"/>
            <w:r w:rsidRPr="003D0447">
              <w:rPr>
                <w:rFonts w:ascii="Verdana" w:eastAsia="Arial" w:hAnsi="Verdana" w:cs="Arial"/>
                <w:lang w:val="es-ES" w:eastAsia="es-ES" w:bidi="es-ES"/>
              </w:rPr>
              <w:t>Presidente</w:t>
            </w:r>
            <w:proofErr w:type="gramEnd"/>
            <w:r w:rsidRPr="003D0447">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p w14:paraId="265143A2" w14:textId="29D4BC4D" w:rsidR="004F240F" w:rsidRPr="000521F4" w:rsidRDefault="004F240F" w:rsidP="009B4DB8">
            <w:pPr>
              <w:pStyle w:val="NormalWeb"/>
              <w:spacing w:before="0" w:beforeAutospacing="0" w:after="120" w:afterAutospacing="0" w:line="276" w:lineRule="auto"/>
              <w:ind w:firstLine="708"/>
              <w:jc w:val="both"/>
              <w:rPr>
                <w:rFonts w:ascii="Verdana" w:hAnsi="Verdana" w:cs="Arial"/>
                <w:color w:val="000000" w:themeColor="text1"/>
                <w:sz w:val="22"/>
                <w:szCs w:val="22"/>
                <w:lang w:eastAsia="es-ES"/>
              </w:rPr>
            </w:pPr>
            <w:r w:rsidRPr="6D044EED">
              <w:rPr>
                <w:rFonts w:ascii="Verdana" w:hAnsi="Verdana" w:cs="Arial"/>
                <w:color w:val="000000" w:themeColor="text1"/>
                <w:sz w:val="22"/>
                <w:szCs w:val="22"/>
                <w:lang w:eastAsia="es-ES"/>
              </w:rPr>
              <w:t xml:space="preserve">Ahora bien, frente al problema jurídico planteado, debe precisarse que la restricción prevista en el artículo 33 de la Ley 996 de 2005 aplica a todos los entes del Estado, sin distinción de su régimen contractual o del nivel administrativo al que pertenezcan. En esa medida, las instituciones educativas oficiales, en tanto </w:t>
            </w:r>
            <w:r w:rsidR="3C77ECC3" w:rsidRPr="6D044EED">
              <w:rPr>
                <w:rFonts w:ascii="Verdana" w:hAnsi="Verdana" w:cs="Arial"/>
                <w:color w:val="000000" w:themeColor="text1"/>
                <w:sz w:val="22"/>
                <w:szCs w:val="22"/>
                <w:lang w:eastAsia="es-ES"/>
              </w:rPr>
              <w:t xml:space="preserve">son </w:t>
            </w:r>
            <w:r w:rsidRPr="6D044EED">
              <w:rPr>
                <w:rFonts w:ascii="Verdana" w:hAnsi="Verdana" w:cs="Arial"/>
                <w:color w:val="000000" w:themeColor="text1"/>
                <w:sz w:val="22"/>
                <w:szCs w:val="22"/>
                <w:lang w:eastAsia="es-ES"/>
              </w:rPr>
              <w:t>administradoras de recursos públicos a través de los Fondos de Servicios Educativos (FSE), también se encuentran sujetas a dicha disposición, toda vez que actúan por delegación de la entidad territorial certificada en educación.</w:t>
            </w:r>
          </w:p>
          <w:p w14:paraId="169C61BD" w14:textId="77777777" w:rsidR="004F240F" w:rsidRPr="000521F4" w:rsidRDefault="004F240F" w:rsidP="009B4DB8">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0521F4">
              <w:rPr>
                <w:rFonts w:ascii="Verdana" w:hAnsi="Verdana" w:cs="Arial"/>
                <w:bCs/>
                <w:color w:val="000000" w:themeColor="text1"/>
                <w:sz w:val="22"/>
                <w:szCs w:val="22"/>
                <w:lang w:eastAsia="es-ES_tradnl"/>
              </w:rPr>
              <w:t>En consecuencia, durante los cuatro (4) meses previos a las elecciones presidenciales, las instituciones educativas oficiales no pueden celebrar contratos mediante la modalidad de contratación directa, salvo que se configure alguna de las excepciones expresamente previstas</w:t>
            </w:r>
            <w:r>
              <w:rPr>
                <w:rFonts w:ascii="Verdana" w:hAnsi="Verdana" w:cs="Arial"/>
                <w:bCs/>
                <w:color w:val="000000" w:themeColor="text1"/>
                <w:sz w:val="22"/>
                <w:szCs w:val="22"/>
                <w:lang w:eastAsia="es-ES_tradnl"/>
              </w:rPr>
              <w:t xml:space="preserve"> en la Ley</w:t>
            </w:r>
            <w:r w:rsidRPr="000521F4">
              <w:rPr>
                <w:rFonts w:ascii="Verdana" w:hAnsi="Verdana" w:cs="Arial"/>
                <w:bCs/>
                <w:color w:val="000000" w:themeColor="text1"/>
                <w:sz w:val="22"/>
                <w:szCs w:val="22"/>
                <w:lang w:eastAsia="es-ES_tradnl"/>
              </w:rPr>
              <w:t>. No obstante, pueden adelantar procesos que aseguren la pluralidad de oferentes</w:t>
            </w:r>
            <w:r>
              <w:rPr>
                <w:rFonts w:ascii="Verdana" w:hAnsi="Verdana" w:cs="Arial"/>
                <w:bCs/>
                <w:color w:val="000000" w:themeColor="text1"/>
                <w:sz w:val="22"/>
                <w:szCs w:val="22"/>
                <w:lang w:eastAsia="es-ES_tradnl"/>
              </w:rPr>
              <w:t xml:space="preserve"> </w:t>
            </w:r>
            <w:r w:rsidRPr="000521F4">
              <w:rPr>
                <w:rFonts w:ascii="Verdana" w:hAnsi="Verdana" w:cs="Arial"/>
                <w:bCs/>
                <w:color w:val="000000" w:themeColor="text1"/>
                <w:sz w:val="22"/>
                <w:szCs w:val="22"/>
                <w:lang w:eastAsia="es-ES_tradnl"/>
              </w:rPr>
              <w:t>conforme a las normas que rigen su gestión contractual.</w:t>
            </w:r>
          </w:p>
          <w:p w14:paraId="085E58DE" w14:textId="77777777" w:rsidR="004F240F" w:rsidRPr="000521F4" w:rsidRDefault="004F240F" w:rsidP="009B4DB8">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0521F4">
              <w:rPr>
                <w:rFonts w:ascii="Verdana" w:hAnsi="Verdana" w:cs="Arial"/>
                <w:bCs/>
                <w:color w:val="000000" w:themeColor="text1"/>
                <w:sz w:val="22"/>
                <w:szCs w:val="22"/>
                <w:lang w:eastAsia="es-ES_tradnl"/>
              </w:rPr>
              <w:t xml:space="preserve">Por su parte, el parágrafo del artículo 38 de la misma ley dispone que los gobernadores, alcaldes y directivos de entidades descentralizadas de los órdenes departamental, distrital o municipal no pueden celebrar convenios interadministrativos para la ejecución de recursos públicos durante los cuatro </w:t>
            </w:r>
            <w:r w:rsidRPr="000521F4">
              <w:rPr>
                <w:rFonts w:ascii="Verdana" w:hAnsi="Verdana" w:cs="Arial"/>
                <w:bCs/>
                <w:color w:val="000000" w:themeColor="text1"/>
                <w:sz w:val="22"/>
                <w:szCs w:val="22"/>
                <w:lang w:eastAsia="es-ES_tradnl"/>
              </w:rPr>
              <w:lastRenderedPageBreak/>
              <w:t>(4) meses previos a cualquier elección. En virtud de lo anterior, los establecimientos educativos territoriales que actúan como dependencias adscritas a entidades descentralizadas o que participan en convenios financiados con recursos públicos también deben observar esta restricción cuando se trate de convenios interadministrativos suscritos con otras entidades públicas.</w:t>
            </w:r>
          </w:p>
          <w:p w14:paraId="268401E2" w14:textId="77777777" w:rsidR="004F240F" w:rsidRPr="000521F4" w:rsidRDefault="004F240F" w:rsidP="009B4DB8">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0521F4">
              <w:rPr>
                <w:rFonts w:ascii="Verdana" w:hAnsi="Verdana" w:cs="Arial"/>
                <w:bCs/>
                <w:color w:val="000000" w:themeColor="text1"/>
                <w:sz w:val="22"/>
                <w:szCs w:val="22"/>
                <w:lang w:eastAsia="es-ES_tradnl"/>
              </w:rPr>
              <w:t>De esta forma, las instituciones educativas oficiales se encuentran sujetas a las limitaciones previstas en los artículos 33 y 38 de la Ley 996 de 2005, dependiendo del tipo de proceso y del nivel de elección de que se trate</w:t>
            </w:r>
            <w:r>
              <w:rPr>
                <w:rFonts w:ascii="Verdana" w:hAnsi="Verdana" w:cs="Arial"/>
                <w:bCs/>
                <w:color w:val="000000" w:themeColor="text1"/>
                <w:sz w:val="22"/>
                <w:szCs w:val="22"/>
                <w:lang w:eastAsia="es-ES_tradnl"/>
              </w:rPr>
              <w:t>.</w:t>
            </w:r>
          </w:p>
          <w:p w14:paraId="31490EA6" w14:textId="5D5DB664" w:rsidR="004F240F" w:rsidRDefault="004F240F" w:rsidP="009B4DB8">
            <w:pPr>
              <w:pStyle w:val="NormalWeb"/>
              <w:spacing w:before="0" w:beforeAutospacing="0" w:after="120" w:afterAutospacing="0" w:line="276" w:lineRule="auto"/>
              <w:ind w:firstLine="708"/>
              <w:jc w:val="both"/>
              <w:rPr>
                <w:rFonts w:ascii="Verdana" w:hAnsi="Verdana" w:cs="Arial"/>
                <w:color w:val="000000" w:themeColor="text1"/>
                <w:sz w:val="22"/>
                <w:szCs w:val="22"/>
                <w:lang w:eastAsia="es-ES"/>
              </w:rPr>
            </w:pPr>
            <w:r w:rsidRPr="6D044EED">
              <w:rPr>
                <w:rFonts w:ascii="Verdana" w:hAnsi="Verdana" w:cs="Arial"/>
                <w:color w:val="000000" w:themeColor="text1"/>
                <w:sz w:val="22"/>
                <w:szCs w:val="22"/>
                <w:lang w:eastAsia="es-ES"/>
              </w:rPr>
              <w:t xml:space="preserve">En relación con las fundaciones, es necesario atender a su naturaleza jurídica para determinar la aplicación de las restricciones previstas en la Ley 996 de 2005. Las fundaciones son, en principio, personas jurídicas de derecho privado, por lo que no configuran la figura del convenio interadministrativo, </w:t>
            </w:r>
            <w:r w:rsidR="70065E3C" w:rsidRPr="6D044EED">
              <w:rPr>
                <w:rFonts w:ascii="Verdana" w:hAnsi="Verdana" w:cs="Arial"/>
                <w:color w:val="000000" w:themeColor="text1"/>
                <w:sz w:val="22"/>
                <w:szCs w:val="22"/>
                <w:lang w:eastAsia="es-ES"/>
              </w:rPr>
              <w:t>el</w:t>
            </w:r>
            <w:r w:rsidRPr="6D044EED">
              <w:rPr>
                <w:rFonts w:ascii="Verdana" w:hAnsi="Verdana" w:cs="Arial"/>
                <w:color w:val="000000" w:themeColor="text1"/>
                <w:sz w:val="22"/>
                <w:szCs w:val="22"/>
                <w:lang w:eastAsia="es-ES"/>
              </w:rPr>
              <w:t xml:space="preserve"> cual, conforme al artículo 95 de la Ley 489 de 1998, solo puede celebrarse entre entidades estatales.</w:t>
            </w:r>
          </w:p>
          <w:p w14:paraId="5AC3BE16" w14:textId="77777777" w:rsidR="004F240F" w:rsidRPr="004F5E7A" w:rsidRDefault="004F240F" w:rsidP="009B4DB8">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Pr>
                <w:rFonts w:ascii="Verdana" w:hAnsi="Verdana" w:cs="Arial"/>
                <w:bCs/>
                <w:color w:val="000000" w:themeColor="text1"/>
                <w:sz w:val="22"/>
                <w:szCs w:val="22"/>
                <w:lang w:eastAsia="es-ES_tradnl"/>
              </w:rPr>
              <w:t xml:space="preserve">     E</w:t>
            </w:r>
            <w:r w:rsidRPr="00BB4571">
              <w:rPr>
                <w:rFonts w:ascii="Verdana" w:hAnsi="Verdana" w:cs="Arial"/>
                <w:bCs/>
                <w:color w:val="000000" w:themeColor="text1"/>
                <w:sz w:val="22"/>
                <w:szCs w:val="22"/>
                <w:lang w:eastAsia="es-ES_tradnl"/>
              </w:rPr>
              <w:t>n ese sentido, las fundaciones de carácter privado no se encuentran, en principio, comprendidas dentro del ámbito de aplicación de la restricción prevista en el parágrafo del artículo 38 de la Ley de Garantías Electorales, relativa a la celebración de convenios interadministrativos con ejecución de recursos públicos durante los cuatro (4) meses anteriores a los comicios.</w:t>
            </w:r>
          </w:p>
          <w:p w14:paraId="22602C48" w14:textId="77777777" w:rsidR="004F240F" w:rsidRDefault="004F240F" w:rsidP="009B4DB8">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4F5E7A">
              <w:rPr>
                <w:rFonts w:ascii="Verdana" w:hAnsi="Verdana" w:cs="Arial"/>
                <w:bCs/>
                <w:color w:val="000000" w:themeColor="text1"/>
                <w:sz w:val="22"/>
                <w:szCs w:val="22"/>
                <w:lang w:eastAsia="es-ES_tradnl"/>
              </w:rPr>
              <w:t xml:space="preserve">Sin embargo, el hecho de que las fundaciones privadas </w:t>
            </w:r>
            <w:r>
              <w:rPr>
                <w:rFonts w:ascii="Verdana" w:hAnsi="Verdana" w:cs="Arial"/>
                <w:bCs/>
                <w:color w:val="000000" w:themeColor="text1"/>
                <w:sz w:val="22"/>
                <w:szCs w:val="22"/>
                <w:lang w:eastAsia="es-ES_tradnl"/>
              </w:rPr>
              <w:t>podrían no estar</w:t>
            </w:r>
            <w:r w:rsidRPr="004F5E7A">
              <w:rPr>
                <w:rFonts w:ascii="Verdana" w:hAnsi="Verdana" w:cs="Arial"/>
                <w:bCs/>
                <w:color w:val="000000" w:themeColor="text1"/>
                <w:sz w:val="22"/>
                <w:szCs w:val="22"/>
                <w:lang w:eastAsia="es-ES_tradnl"/>
              </w:rPr>
              <w:t xml:space="preserve"> cobijadas por dicha prohibición no implica que las entidades públicas puedan contratar con ellas sin limitación alguna durante el periodo de Ley de Garantías.</w:t>
            </w:r>
            <w:r>
              <w:rPr>
                <w:rFonts w:ascii="Verdana" w:hAnsi="Verdana" w:cs="Arial"/>
                <w:bCs/>
                <w:color w:val="000000" w:themeColor="text1"/>
                <w:sz w:val="22"/>
                <w:szCs w:val="22"/>
                <w:lang w:eastAsia="es-ES_tradnl"/>
              </w:rPr>
              <w:t xml:space="preserve">  </w:t>
            </w:r>
            <w:r w:rsidRPr="004F5E7A">
              <w:rPr>
                <w:rFonts w:ascii="Verdana" w:hAnsi="Verdana" w:cs="Arial"/>
                <w:bCs/>
                <w:color w:val="000000" w:themeColor="text1"/>
                <w:sz w:val="22"/>
                <w:szCs w:val="22"/>
                <w:lang w:eastAsia="es-ES_tradnl"/>
              </w:rPr>
              <w:t>La restricción prevista en el artículo 33 de la Ley 996 de 2005, referida a la prohibición de celebrar contratos mediante la modalidad de contratación directa durante los cuatro (4) meses anteriores a las elecciones presidenciales, sí resulta aplicable a todas las entidades estatales, sin importar la naturaleza jurídica del contratista.</w:t>
            </w:r>
          </w:p>
          <w:p w14:paraId="5E8F9B46" w14:textId="77777777" w:rsidR="004F240F" w:rsidRPr="004F5E7A" w:rsidRDefault="004F240F" w:rsidP="009B4DB8">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4F5E7A">
              <w:rPr>
                <w:rFonts w:ascii="Verdana" w:hAnsi="Verdana" w:cs="Arial"/>
                <w:bCs/>
                <w:color w:val="000000" w:themeColor="text1"/>
                <w:sz w:val="22"/>
                <w:szCs w:val="22"/>
                <w:lang w:eastAsia="es-ES_tradnl"/>
              </w:rPr>
              <w:t xml:space="preserve">En consecuencia, si una entidad pública pretende contratar con una fundación durante ese periodo, deberá verificar que el proceso </w:t>
            </w:r>
            <w:proofErr w:type="gramStart"/>
            <w:r w:rsidRPr="004F5E7A">
              <w:rPr>
                <w:rFonts w:ascii="Verdana" w:hAnsi="Verdana" w:cs="Arial"/>
                <w:bCs/>
                <w:color w:val="000000" w:themeColor="text1"/>
                <w:sz w:val="22"/>
                <w:szCs w:val="22"/>
                <w:lang w:eastAsia="es-ES_tradnl"/>
              </w:rPr>
              <w:t>se enmarque dentro de</w:t>
            </w:r>
            <w:proofErr w:type="gramEnd"/>
            <w:r w:rsidRPr="004F5E7A">
              <w:rPr>
                <w:rFonts w:ascii="Verdana" w:hAnsi="Verdana" w:cs="Arial"/>
                <w:bCs/>
                <w:color w:val="000000" w:themeColor="text1"/>
                <w:sz w:val="22"/>
                <w:szCs w:val="22"/>
                <w:lang w:eastAsia="es-ES_tradnl"/>
              </w:rPr>
              <w:t xml:space="preserve"> alguna de las excepciones expresamente contempladas en la ley o, en su defecto, adelantar un procedimiento de selección con pluralidad de oferentes.</w:t>
            </w:r>
          </w:p>
          <w:p w14:paraId="4644B375" w14:textId="77777777" w:rsidR="004F240F" w:rsidRPr="004F5E7A" w:rsidRDefault="004F240F" w:rsidP="009B4DB8">
            <w:pPr>
              <w:pStyle w:val="NormalWeb"/>
              <w:spacing w:before="0" w:beforeAutospacing="0" w:after="120" w:afterAutospacing="0" w:line="276" w:lineRule="auto"/>
              <w:ind w:firstLine="708"/>
              <w:jc w:val="both"/>
              <w:rPr>
                <w:rFonts w:ascii="Verdana" w:hAnsi="Verdana" w:cs="Arial"/>
                <w:bCs/>
                <w:color w:val="000000" w:themeColor="text1"/>
                <w:lang w:eastAsia="es-ES_tradnl"/>
              </w:rPr>
            </w:pPr>
            <w:r w:rsidRPr="004F5E7A">
              <w:rPr>
                <w:rFonts w:ascii="Verdana" w:hAnsi="Verdana" w:cs="Arial"/>
                <w:bCs/>
                <w:color w:val="000000" w:themeColor="text1"/>
                <w:sz w:val="22"/>
                <w:szCs w:val="22"/>
                <w:lang w:eastAsia="es-ES_tradnl"/>
              </w:rPr>
              <w:lastRenderedPageBreak/>
              <w:t>Por su parte, las fundaciones con participación estatal o que administren recursos públicos sí se encuentran sujetas a las mismas restricciones que las entidades estatales, tanto en lo relativo a convenios interadministrativos como a la contratación directa durante los periodos establecidos en los artículos 33 y 38 de la Ley 996 de 2005</w:t>
            </w:r>
            <w:r w:rsidRPr="004F5E7A">
              <w:rPr>
                <w:rFonts w:ascii="Verdana" w:hAnsi="Verdana" w:cs="Arial"/>
                <w:bCs/>
                <w:color w:val="000000" w:themeColor="text1"/>
                <w:lang w:eastAsia="es-ES_tradnl"/>
              </w:rPr>
              <w:t>.</w:t>
            </w:r>
          </w:p>
          <w:p w14:paraId="54A55FFA" w14:textId="77777777" w:rsidR="004F240F" w:rsidRPr="000521F4" w:rsidRDefault="004F240F" w:rsidP="009B4DB8">
            <w:pPr>
              <w:pStyle w:val="Prrafodelista"/>
              <w:spacing w:after="120" w:line="276" w:lineRule="auto"/>
              <w:ind w:left="0" w:firstLine="709"/>
              <w:contextualSpacing w:val="0"/>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3D0447">
              <w:rPr>
                <w:rFonts w:ascii="Verdana" w:hAnsi="Verdana"/>
              </w:rPr>
              <w:t xml:space="preserve"> </w:t>
            </w:r>
          </w:p>
        </w:tc>
      </w:tr>
    </w:tbl>
    <w:p w14:paraId="0EF9E0FA" w14:textId="77777777" w:rsidR="004F240F" w:rsidRDefault="004F240F" w:rsidP="004F240F">
      <w:pPr>
        <w:tabs>
          <w:tab w:val="left" w:pos="142"/>
          <w:tab w:val="left" w:pos="284"/>
        </w:tabs>
        <w:spacing w:after="0" w:line="276" w:lineRule="auto"/>
        <w:jc w:val="both"/>
        <w:rPr>
          <w:rFonts w:ascii="Verdana" w:eastAsia="Century Gothic" w:hAnsi="Verdana" w:cs="Century Gothic"/>
          <w:b/>
          <w:bCs/>
        </w:rPr>
      </w:pPr>
    </w:p>
    <w:p w14:paraId="2334CD38" w14:textId="77777777" w:rsidR="007D7A18" w:rsidRPr="00960F72" w:rsidRDefault="007D7A18" w:rsidP="004F240F">
      <w:pPr>
        <w:tabs>
          <w:tab w:val="left" w:pos="142"/>
          <w:tab w:val="left" w:pos="284"/>
        </w:tabs>
        <w:spacing w:after="0" w:line="276" w:lineRule="auto"/>
        <w:jc w:val="both"/>
        <w:rPr>
          <w:rFonts w:ascii="Verdana" w:eastAsia="Century Gothic" w:hAnsi="Verdana" w:cs="Century Gothic"/>
          <w:b/>
          <w:bCs/>
        </w:rPr>
      </w:pPr>
    </w:p>
    <w:p w14:paraId="23388E6B" w14:textId="77777777" w:rsidR="004F240F" w:rsidRDefault="004F240F" w:rsidP="004F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4BBC702B" w14:textId="77777777" w:rsidR="004F240F" w:rsidRDefault="004F240F" w:rsidP="004F240F">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727FE89" w14:textId="77777777" w:rsidR="004F240F" w:rsidRDefault="004F240F" w:rsidP="004F240F">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745C8A3C" w14:textId="77777777" w:rsidR="004F240F" w:rsidRDefault="004F240F" w:rsidP="004F240F">
      <w:pPr>
        <w:spacing w:after="0" w:line="276" w:lineRule="auto"/>
        <w:jc w:val="both"/>
        <w:rPr>
          <w:rFonts w:ascii="Verdana" w:eastAsia="Calibri" w:hAnsi="Verdana" w:cs="Arial"/>
          <w:lang w:val="es-ES"/>
        </w:rPr>
      </w:pPr>
    </w:p>
    <w:p w14:paraId="1D30100B" w14:textId="77777777" w:rsidR="004F240F" w:rsidRPr="00F10E52" w:rsidRDefault="004F240F" w:rsidP="004F240F">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w:t>
      </w:r>
      <w:r>
        <w:rPr>
          <w:rFonts w:ascii="Verdana" w:eastAsia="Calibri" w:hAnsi="Verdana" w:cs="Arial"/>
          <w:bCs/>
        </w:rPr>
        <w:t>,</w:t>
      </w:r>
      <w:r w:rsidRPr="00F10E52">
        <w:rPr>
          <w:rFonts w:ascii="Verdana" w:eastAsia="Calibri" w:hAnsi="Verdana" w:cs="Arial"/>
          <w:bCs/>
        </w:rPr>
        <w:t xml:space="preserve"> en cuanto</w:t>
      </w:r>
      <w:r>
        <w:rPr>
          <w:rFonts w:ascii="Verdana" w:eastAsia="Calibri" w:hAnsi="Verdana" w:cs="Arial"/>
          <w:bCs/>
        </w:rPr>
        <w:t>,</w:t>
      </w:r>
      <w:r w:rsidRPr="00F10E52">
        <w:rPr>
          <w:rFonts w:ascii="Verdana" w:eastAsia="Calibri" w:hAnsi="Verdana" w:cs="Arial"/>
          <w:bCs/>
        </w:rPr>
        <w:t xml:space="preserve"> a aspectos políticos establece restricciones a ciertos empleados del Estado, incluso en época no electoral</w:t>
      </w:r>
      <w:r w:rsidRPr="00F10E52">
        <w:rPr>
          <w:rStyle w:val="Refdenotaalpie"/>
          <w:rFonts w:ascii="Verdana" w:eastAsia="Calibri" w:hAnsi="Verdana" w:cs="Arial"/>
          <w:bCs/>
        </w:rPr>
        <w:footnoteReference w:id="2"/>
      </w:r>
      <w:r w:rsidRPr="00F10E52">
        <w:rPr>
          <w:rFonts w:ascii="Verdana" w:eastAsia="Calibri" w:hAnsi="Verdana" w:cs="Arial"/>
          <w:bCs/>
        </w:rPr>
        <w:t xml:space="preserve">. </w:t>
      </w:r>
    </w:p>
    <w:p w14:paraId="57E42D5E" w14:textId="77777777" w:rsidR="004F240F" w:rsidRDefault="004F240F" w:rsidP="004F240F">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w:t>
      </w:r>
      <w:r w:rsidRPr="00F10E52">
        <w:rPr>
          <w:rFonts w:ascii="Verdana" w:eastAsia="Times New Roman" w:hAnsi="Verdana" w:cs="Arial"/>
          <w:bCs/>
          <w:lang w:eastAsia="es-CO"/>
        </w:rPr>
        <w:lastRenderedPageBreak/>
        <w:t>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67AD51E7" w14:textId="77777777" w:rsidR="004F240F" w:rsidRPr="00F10E52" w:rsidRDefault="004F240F" w:rsidP="004F240F">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F2BF430" w14:textId="77777777" w:rsidR="004F240F" w:rsidRDefault="004F240F" w:rsidP="004F240F">
      <w:pPr>
        <w:spacing w:after="0" w:line="276" w:lineRule="auto"/>
        <w:ind w:left="709" w:right="709"/>
        <w:jc w:val="both"/>
        <w:rPr>
          <w:rFonts w:ascii="Verdana" w:eastAsia="Times New Roman" w:hAnsi="Verdana" w:cs="Arial"/>
          <w:lang w:val="es-ES" w:eastAsia="es-CO"/>
        </w:rPr>
      </w:pPr>
    </w:p>
    <w:p w14:paraId="5443DD82" w14:textId="77777777" w:rsidR="004F240F" w:rsidRPr="003D0447" w:rsidRDefault="004F240F" w:rsidP="004F240F">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4A9598AC"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80ECD28" w14:textId="77777777" w:rsidR="004F240F" w:rsidRPr="00143D05" w:rsidRDefault="004F240F" w:rsidP="004F240F">
      <w:pPr>
        <w:spacing w:after="0" w:line="240" w:lineRule="auto"/>
        <w:ind w:left="709" w:right="709"/>
        <w:jc w:val="both"/>
        <w:rPr>
          <w:rFonts w:ascii="Verdana" w:eastAsia="Times New Roman" w:hAnsi="Verdana" w:cs="Arial"/>
          <w:bCs/>
          <w:sz w:val="20"/>
          <w:szCs w:val="20"/>
          <w:lang w:eastAsia="es-CO"/>
        </w:rPr>
      </w:pPr>
    </w:p>
    <w:p w14:paraId="1AE16D19" w14:textId="77777777" w:rsidR="004F240F" w:rsidRPr="003D0447" w:rsidRDefault="004F240F" w:rsidP="004F240F">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55230B55" w14:textId="77777777" w:rsidR="004F240F" w:rsidRDefault="004F240F" w:rsidP="004F240F">
      <w:pPr>
        <w:spacing w:after="0" w:line="276" w:lineRule="auto"/>
        <w:ind w:firstLine="709"/>
        <w:jc w:val="both"/>
        <w:rPr>
          <w:rFonts w:ascii="Verdana" w:eastAsia="Times New Roman" w:hAnsi="Verdana" w:cs="Arial"/>
          <w:bCs/>
          <w:lang w:eastAsia="es-CO"/>
        </w:rPr>
      </w:pPr>
      <w:bookmarkStart w:id="0" w:name="_Hlk78818186"/>
    </w:p>
    <w:p w14:paraId="3C769F02" w14:textId="77777777" w:rsidR="004F240F" w:rsidRDefault="004F240F" w:rsidP="004F240F">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0"/>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2DBEF57B" w14:textId="77777777" w:rsidR="004F240F" w:rsidRPr="00F10E52" w:rsidRDefault="004F240F" w:rsidP="004F240F">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lastRenderedPageBreak/>
        <w:t>En efecto, la Sala de Consulta y Servicio Civil del Consejo de Estado al analizar la referida ley, precisó lo siguiente:</w:t>
      </w:r>
    </w:p>
    <w:p w14:paraId="11DC3CCA" w14:textId="77777777" w:rsidR="004F240F" w:rsidRPr="00F10E52" w:rsidRDefault="004F240F" w:rsidP="004F240F">
      <w:pPr>
        <w:spacing w:after="0" w:line="276" w:lineRule="auto"/>
        <w:ind w:firstLine="709"/>
        <w:jc w:val="both"/>
        <w:rPr>
          <w:rFonts w:ascii="Verdana" w:eastAsia="Times New Roman" w:hAnsi="Verdana" w:cs="Arial"/>
          <w:bCs/>
          <w:lang w:eastAsia="es-CO"/>
        </w:rPr>
      </w:pPr>
    </w:p>
    <w:p w14:paraId="4914C156"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C49E3AC"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p>
    <w:p w14:paraId="79B018BE"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73B23A5D"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p>
    <w:p w14:paraId="1776000B" w14:textId="77777777" w:rsidR="004F240F" w:rsidRPr="00F10E52" w:rsidRDefault="004F240F" w:rsidP="004F240F">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1"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w:t>
      </w:r>
      <w:r w:rsidRPr="00F10E52">
        <w:rPr>
          <w:rFonts w:ascii="Verdana" w:eastAsia="Arial" w:hAnsi="Verdana" w:cs="Arial"/>
          <w:lang w:val="es-ES" w:eastAsia="es-ES" w:bidi="es-ES"/>
        </w:rPr>
        <w:lastRenderedPageBreak/>
        <w:t>(2) tipos de campañas electorales claramente diferenciadas: las presidenciales y las demás que se adelanten para la elección de los demás cargos de elección popular, tanto a nivel nacional como a nivel territorial.</w:t>
      </w:r>
      <w:bookmarkEnd w:id="1"/>
    </w:p>
    <w:p w14:paraId="24EC5C05" w14:textId="77777777" w:rsidR="004F240F" w:rsidRPr="00F10E52" w:rsidRDefault="004F240F" w:rsidP="004F240F">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1A93043C" w14:textId="77777777" w:rsidR="004F240F" w:rsidRDefault="004F240F" w:rsidP="004F240F">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1516322A" w14:textId="77777777" w:rsidR="004F240F" w:rsidRPr="00F10E52" w:rsidRDefault="004F240F" w:rsidP="004F240F">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0F8F29DC" w14:textId="77777777" w:rsidR="004F240F" w:rsidRPr="003D0447" w:rsidRDefault="004F240F" w:rsidP="004F240F">
      <w:pPr>
        <w:widowControl w:val="0"/>
        <w:autoSpaceDE w:val="0"/>
        <w:autoSpaceDN w:val="0"/>
        <w:spacing w:after="0" w:line="276" w:lineRule="auto"/>
        <w:ind w:left="709" w:right="709"/>
        <w:jc w:val="both"/>
        <w:rPr>
          <w:rFonts w:ascii="Verdana" w:eastAsia="Arial" w:hAnsi="Verdana" w:cs="Arial"/>
          <w:lang w:val="es-ES" w:eastAsia="es-ES" w:bidi="es-ES"/>
        </w:rPr>
      </w:pPr>
    </w:p>
    <w:p w14:paraId="0245A408" w14:textId="77777777" w:rsidR="004F240F" w:rsidRPr="009B20C5" w:rsidRDefault="004F240F" w:rsidP="004F240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2" w:name="_Hlk76109421"/>
      <w:r w:rsidRPr="48E0C270">
        <w:rPr>
          <w:rFonts w:ascii="Verdana" w:eastAsia="Arial" w:hAnsi="Verdana" w:cs="Arial"/>
          <w:sz w:val="20"/>
          <w:szCs w:val="20"/>
          <w:lang w:eastAsia="es-ES" w:bidi="es-ES"/>
        </w:rPr>
        <w:t>se integran parcialmente</w:t>
      </w:r>
      <w:bookmarkEnd w:id="2"/>
      <w:r w:rsidRPr="48E0C270">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48E0C270">
        <w:rPr>
          <w:rFonts w:ascii="Verdana" w:eastAsia="Arial" w:hAnsi="Verdana" w:cs="Arial"/>
          <w:sz w:val="20"/>
          <w:szCs w:val="20"/>
          <w:lang w:eastAsia="es-ES" w:bidi="es-ES"/>
        </w:rPr>
        <w:t>Presidente</w:t>
      </w:r>
      <w:proofErr w:type="gramEnd"/>
      <w:r w:rsidRPr="48E0C270">
        <w:rPr>
          <w:rFonts w:ascii="Verdana" w:eastAsia="Arial" w:hAnsi="Verdana" w:cs="Arial"/>
          <w:sz w:val="20"/>
          <w:szCs w:val="20"/>
          <w:lang w:eastAsia="es-ES" w:bidi="es-ES"/>
        </w:rPr>
        <w:t xml:space="preserve"> de la República, a las </w:t>
      </w:r>
      <w:r w:rsidRPr="48E0C270">
        <w:rPr>
          <w:rFonts w:ascii="Verdana" w:eastAsia="Arial" w:hAnsi="Verdana" w:cs="Arial"/>
          <w:sz w:val="20"/>
          <w:szCs w:val="20"/>
          <w:lang w:eastAsia="es-ES" w:bidi="es-ES"/>
        </w:rPr>
        <w:lastRenderedPageBreak/>
        <w:t>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8"/>
      </w:r>
    </w:p>
    <w:p w14:paraId="44B288D8" w14:textId="77777777" w:rsidR="004F240F" w:rsidRDefault="004F240F" w:rsidP="004F240F">
      <w:pPr>
        <w:spacing w:after="0" w:line="276" w:lineRule="auto"/>
        <w:ind w:firstLine="709"/>
        <w:jc w:val="both"/>
        <w:rPr>
          <w:rFonts w:ascii="Verdana" w:eastAsia="Arial" w:hAnsi="Verdana" w:cs="Arial"/>
          <w:lang w:val="es-ES" w:eastAsia="es-ES" w:bidi="es-ES"/>
        </w:rPr>
      </w:pPr>
    </w:p>
    <w:p w14:paraId="10389A52" w14:textId="77777777" w:rsidR="004F240F" w:rsidRPr="00F10E52" w:rsidRDefault="004F240F" w:rsidP="004F240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3" w:name="_Hlk99438241"/>
      <w:r w:rsidRPr="00F10E52">
        <w:rPr>
          <w:rFonts w:ascii="Verdana" w:eastAsia="Arial" w:hAnsi="Verdana" w:cs="Arial"/>
          <w:lang w:val="es-ES" w:eastAsia="es-ES" w:bidi="es-ES"/>
        </w:rPr>
        <w:t xml:space="preserve">, </w:t>
      </w:r>
      <w:bookmarkStart w:id="4" w:name="_Hlk77236420"/>
      <w:bookmarkStart w:id="5" w:name="_Hlk78818435"/>
      <w:bookmarkStart w:id="6"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3"/>
    <w:bookmarkEnd w:id="5"/>
    <w:p w14:paraId="6684E9B8" w14:textId="758C815D" w:rsidR="004F240F" w:rsidRPr="00F10E52" w:rsidRDefault="004F240F" w:rsidP="004F240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bookmarkEnd w:id="6"/>
    <w:p w14:paraId="703B015A" w14:textId="77777777" w:rsidR="004F240F" w:rsidRPr="003D0447" w:rsidRDefault="004F240F" w:rsidP="004F240F">
      <w:pPr>
        <w:spacing w:after="120" w:line="276" w:lineRule="auto"/>
        <w:ind w:firstLine="709"/>
        <w:jc w:val="both"/>
        <w:rPr>
          <w:rFonts w:ascii="Verdana" w:hAnsi="Verdana" w:cs="Arial"/>
          <w:b/>
          <w:color w:val="000000" w:themeColor="text1"/>
          <w:lang w:eastAsia="es-ES_tradnl"/>
        </w:rPr>
      </w:pPr>
      <w:r w:rsidRPr="003D0447">
        <w:rPr>
          <w:rFonts w:ascii="Verdana" w:hAnsi="Verdana" w:cs="Arial"/>
          <w:bCs/>
          <w:color w:val="000000"/>
          <w:lang w:val="es-ES" w:eastAsia="es-CO"/>
        </w:rPr>
        <w:t xml:space="preserve">Teniendo en cuenta la consulta planteada, </w:t>
      </w:r>
      <w:r w:rsidRPr="003D0447">
        <w:rPr>
          <w:rFonts w:ascii="Verdana" w:hAnsi="Verdana" w:cs="Arial"/>
          <w:bCs/>
          <w:color w:val="000000"/>
          <w:lang w:eastAsia="es-CO"/>
        </w:rPr>
        <w:t>es importante analizar las restricciones aplicables a cada una de estas elecciones, pues presentan importantes diferencias, como su fundamento jurídico. Con esa finalidad, en primer lugar, se analizarán las restricciones aplicables frente a las elecciones presidenciales, y, posteriormente, las referentes a los demás cargos de elección popular.</w:t>
      </w:r>
    </w:p>
    <w:p w14:paraId="22AFD8ED" w14:textId="77777777" w:rsidR="004F240F" w:rsidRPr="00F10E52" w:rsidRDefault="004F240F" w:rsidP="004F240F">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En primer lugar, e</w:t>
      </w:r>
      <w:r w:rsidRPr="00F10E52">
        <w:rPr>
          <w:rFonts w:ascii="Verdana" w:eastAsia="Times New Roman" w:hAnsi="Verdana" w:cs="Arial"/>
          <w:bCs/>
          <w:lang w:eastAsia="x-none"/>
        </w:rPr>
        <w:t xml:space="preserve">l ámbito material de la prohibición contenida </w:t>
      </w:r>
      <w:bookmarkStart w:id="7" w:name="_Hlk75628761"/>
      <w:r w:rsidRPr="00F10E52">
        <w:rPr>
          <w:rFonts w:ascii="Verdana" w:eastAsia="Times New Roman" w:hAnsi="Verdana" w:cs="Arial"/>
          <w:bCs/>
          <w:lang w:eastAsia="x-none"/>
        </w:rPr>
        <w:t xml:space="preserve">en el artículo 33 de la </w:t>
      </w:r>
      <w:r>
        <w:rPr>
          <w:rFonts w:ascii="Verdana" w:eastAsia="Times New Roman" w:hAnsi="Verdana" w:cs="Arial"/>
          <w:bCs/>
          <w:lang w:eastAsia="x-none"/>
        </w:rPr>
        <w:t>L</w:t>
      </w:r>
      <w:r w:rsidRPr="00F10E52">
        <w:rPr>
          <w:rFonts w:ascii="Verdana" w:eastAsia="Times New Roman" w:hAnsi="Verdana" w:cs="Arial"/>
          <w:bCs/>
          <w:lang w:eastAsia="x-none"/>
        </w:rPr>
        <w:t xml:space="preserve">ey 996 de 2005 </w:t>
      </w:r>
      <w:bookmarkEnd w:id="7"/>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w:t>
      </w:r>
      <w:r w:rsidRPr="00F10E52">
        <w:rPr>
          <w:rFonts w:ascii="Verdana" w:eastAsia="Times New Roman" w:hAnsi="Verdana" w:cs="Arial"/>
          <w:lang w:eastAsia="es-CO"/>
        </w:rPr>
        <w:lastRenderedPageBreak/>
        <w:t>Garantías Electorales, la Sala de Consulta y Servicio Civil del Consejo de Estado ha considerado que:</w:t>
      </w:r>
    </w:p>
    <w:p w14:paraId="4F21C00F" w14:textId="77777777" w:rsidR="004F240F" w:rsidRPr="00F10E52" w:rsidRDefault="004F240F" w:rsidP="004F240F">
      <w:pPr>
        <w:spacing w:after="0" w:line="276" w:lineRule="auto"/>
        <w:ind w:left="708" w:right="709"/>
        <w:jc w:val="both"/>
        <w:rPr>
          <w:rFonts w:ascii="Verdana" w:hAnsi="Verdana" w:cs="Arial"/>
        </w:rPr>
      </w:pPr>
    </w:p>
    <w:p w14:paraId="5CD1CF9F" w14:textId="77777777" w:rsidR="004F240F" w:rsidRPr="009B20C5" w:rsidRDefault="004F240F" w:rsidP="004F240F">
      <w:pPr>
        <w:spacing w:after="0" w:line="240" w:lineRule="auto"/>
        <w:ind w:left="709" w:right="709"/>
        <w:jc w:val="both"/>
        <w:rPr>
          <w:rFonts w:ascii="Verdana" w:hAnsi="Verdana" w:cs="Arial"/>
          <w:sz w:val="20"/>
          <w:szCs w:val="20"/>
        </w:rPr>
      </w:pPr>
      <w:r>
        <w:rPr>
          <w:rFonts w:ascii="Verdana" w:hAnsi="Verdana" w:cs="Arial"/>
          <w:sz w:val="20"/>
          <w:szCs w:val="20"/>
        </w:rPr>
        <w:t>“</w:t>
      </w: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9"/>
      </w:r>
      <w:r w:rsidRPr="009B20C5">
        <w:rPr>
          <w:rFonts w:ascii="Verdana" w:hAnsi="Verdana" w:cs="Arial"/>
          <w:sz w:val="20"/>
          <w:szCs w:val="20"/>
        </w:rPr>
        <w:t>.</w:t>
      </w:r>
    </w:p>
    <w:p w14:paraId="7816EE3C" w14:textId="77777777" w:rsidR="004F240F" w:rsidRPr="009B20C5" w:rsidRDefault="004F240F" w:rsidP="004F240F">
      <w:pPr>
        <w:spacing w:after="0" w:line="240" w:lineRule="auto"/>
        <w:ind w:left="709" w:right="709"/>
        <w:jc w:val="both"/>
        <w:rPr>
          <w:rFonts w:ascii="Verdana" w:hAnsi="Verdana" w:cs="Arial"/>
          <w:sz w:val="20"/>
          <w:szCs w:val="20"/>
        </w:rPr>
      </w:pPr>
    </w:p>
    <w:p w14:paraId="22BE6E15" w14:textId="77777777" w:rsidR="004F240F" w:rsidRPr="009B20C5" w:rsidRDefault="004F240F" w:rsidP="004F240F">
      <w:pPr>
        <w:spacing w:after="0" w:line="240" w:lineRule="auto"/>
        <w:ind w:left="709" w:right="709"/>
        <w:jc w:val="both"/>
        <w:rPr>
          <w:rFonts w:ascii="Verdana" w:hAnsi="Verdana" w:cs="Arial"/>
          <w:sz w:val="20"/>
          <w:szCs w:val="20"/>
        </w:rPr>
      </w:pPr>
      <w:r w:rsidRPr="009B20C5">
        <w:rPr>
          <w:rFonts w:ascii="Verdana" w:hAnsi="Verdana" w:cs="Arial"/>
          <w:sz w:val="20"/>
          <w:szCs w:val="20"/>
        </w:rPr>
        <w:t xml:space="preserve">Esta Sala ha entendido </w:t>
      </w:r>
      <w:proofErr w:type="gramStart"/>
      <w:r w:rsidRPr="009B20C5">
        <w:rPr>
          <w:rFonts w:ascii="Verdana" w:hAnsi="Verdana" w:cs="Arial"/>
          <w:sz w:val="20"/>
          <w:szCs w:val="20"/>
        </w:rPr>
        <w:t>que</w:t>
      </w:r>
      <w:proofErr w:type="gramEnd"/>
      <w:r w:rsidRPr="009B20C5">
        <w:rPr>
          <w:rFonts w:ascii="Verdana" w:hAnsi="Verdana" w:cs="Arial"/>
          <w:sz w:val="20"/>
          <w:szCs w:val="20"/>
        </w:rPr>
        <w:t xml:space="preserve"> para los efectos de la ley de garantías, y dada su finalidad, el enunciado ´contratación directa´ es sinónimo </w:t>
      </w:r>
      <w:bookmarkStart w:id="10" w:name="_Hlk75741738"/>
      <w:r w:rsidRPr="009B20C5">
        <w:rPr>
          <w:rFonts w:ascii="Verdana" w:hAnsi="Verdana" w:cs="Arial"/>
          <w:sz w:val="20"/>
          <w:szCs w:val="20"/>
        </w:rPr>
        <w:t xml:space="preserve">de cualquier sistema que no implique convocatoria pública y posibilidad de pluralidad de oferentes, </w:t>
      </w:r>
      <w:bookmarkEnd w:id="10"/>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0"/>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9B20C5">
        <w:rPr>
          <w:rFonts w:ascii="Verdana" w:hAnsi="Verdana" w:cs="Arial"/>
          <w:sz w:val="20"/>
          <w:szCs w:val="20"/>
        </w:rPr>
        <w:t>]</w:t>
      </w:r>
      <w:r>
        <w:rPr>
          <w:rFonts w:ascii="Verdana" w:hAnsi="Verdana" w:cs="Arial"/>
          <w:sz w:val="20"/>
          <w:szCs w:val="20"/>
        </w:rPr>
        <w:t>”</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 xml:space="preserve"> .</w:t>
      </w:r>
    </w:p>
    <w:p w14:paraId="7E91DFE3" w14:textId="77777777" w:rsidR="004F240F" w:rsidRDefault="004F240F" w:rsidP="004F240F">
      <w:pPr>
        <w:spacing w:after="0" w:line="276" w:lineRule="auto"/>
        <w:ind w:firstLine="708"/>
        <w:jc w:val="both"/>
        <w:rPr>
          <w:rFonts w:ascii="Verdana" w:eastAsia="Times New Roman" w:hAnsi="Verdana" w:cs="Arial"/>
          <w:lang w:eastAsia="x-none"/>
        </w:rPr>
      </w:pPr>
      <w:bookmarkStart w:id="11" w:name="_Hlk94521748"/>
    </w:p>
    <w:p w14:paraId="3D46F383" w14:textId="77777777" w:rsidR="004F240F" w:rsidRPr="00F10E52" w:rsidRDefault="004F240F" w:rsidP="004F240F">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lang w:eastAsia="x-none"/>
        </w:rPr>
        <w:t xml:space="preserve">De conformidad con el citado concepto, </w:t>
      </w:r>
      <w:bookmarkStart w:id="12" w:name="_Hlk78818702"/>
      <w:r w:rsidRPr="00F10E52">
        <w:rPr>
          <w:rFonts w:ascii="Verdana" w:eastAsia="Times New Roman" w:hAnsi="Verdana" w:cs="Arial"/>
          <w:lang w:eastAsia="x-none"/>
        </w:rPr>
        <w:t xml:space="preserve">la prohibición del artículo 33 de la Ley de Garantías Electorales se refiere a </w:t>
      </w:r>
      <w:bookmarkStart w:id="13" w:name="_Hlk74294635"/>
      <w:r>
        <w:rPr>
          <w:rFonts w:ascii="Verdana" w:eastAsia="Times New Roman" w:hAnsi="Verdana" w:cs="Arial"/>
          <w:lang w:eastAsia="en-GB"/>
        </w:rPr>
        <w:t>“</w:t>
      </w:r>
      <w:bookmarkEnd w:id="13"/>
      <w:r w:rsidRPr="00F10E52">
        <w:rPr>
          <w:rFonts w:ascii="Verdana" w:eastAsia="Times New Roman" w:hAnsi="Verdana" w:cs="Arial"/>
          <w:lang w:eastAsia="x-none"/>
        </w:rPr>
        <w:t>cualquier sistema que no implique convocatoria pública y posibilidad de pluralidad de oferentes</w:t>
      </w:r>
      <w:bookmarkStart w:id="14" w:name="_Hlk74404754"/>
      <w:r>
        <w:rPr>
          <w:rFonts w:ascii="Verdana" w:eastAsia="Times New Roman" w:hAnsi="Verdana" w:cs="Arial"/>
          <w:lang w:eastAsia="en-GB"/>
        </w:rPr>
        <w:t>”</w:t>
      </w:r>
      <w:bookmarkEnd w:id="14"/>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1"/>
      <w:bookmarkEnd w:id="12"/>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2"/>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3"/>
      </w:r>
      <w:r w:rsidRPr="00F10E52">
        <w:rPr>
          <w:rFonts w:ascii="Verdana" w:eastAsia="Times New Roman" w:hAnsi="Verdana" w:cs="Arial"/>
          <w:lang w:eastAsia="x-none"/>
        </w:rPr>
        <w:t xml:space="preserve">. </w:t>
      </w:r>
    </w:p>
    <w:p w14:paraId="65F8BFBB" w14:textId="77777777" w:rsidR="004F240F" w:rsidRPr="00F10E52" w:rsidRDefault="004F240F" w:rsidP="004F240F">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lang w:eastAsia="x-none"/>
        </w:rPr>
        <w:lastRenderedPageBreak/>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12E04C4B" w14:textId="77777777" w:rsidR="004F240F" w:rsidRPr="00F10E52" w:rsidRDefault="004F240F" w:rsidP="004F240F">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5"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5"/>
      <w:r w:rsidRPr="00F10E52">
        <w:rPr>
          <w:rFonts w:ascii="Verdana" w:eastAsia="Times New Roman" w:hAnsi="Verdana" w:cs="Arial"/>
          <w:vertAlign w:val="superscript"/>
          <w:lang w:eastAsia="x-none"/>
        </w:rPr>
        <w:footnoteReference w:id="15"/>
      </w:r>
      <w:r w:rsidRPr="00F10E52">
        <w:rPr>
          <w:rFonts w:ascii="Verdana" w:eastAsia="Times New Roman" w:hAnsi="Verdana" w:cs="Arial"/>
          <w:lang w:eastAsia="x-none"/>
        </w:rPr>
        <w:t xml:space="preserve">. </w:t>
      </w:r>
    </w:p>
    <w:p w14:paraId="41DB872D" w14:textId="77777777" w:rsidR="004F240F" w:rsidRPr="00F10E52" w:rsidRDefault="004F240F" w:rsidP="004F240F">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1DDDB074" w14:textId="77777777" w:rsidR="004F240F" w:rsidRPr="00F10E52" w:rsidRDefault="004F240F" w:rsidP="004F240F">
      <w:pPr>
        <w:spacing w:after="120" w:line="276" w:lineRule="auto"/>
        <w:ind w:firstLine="708"/>
        <w:jc w:val="both"/>
        <w:rPr>
          <w:rFonts w:ascii="Verdana" w:eastAsia="Times New Roman" w:hAnsi="Verdana" w:cs="Arial"/>
          <w:bCs/>
          <w:lang w:eastAsia="x-none"/>
        </w:rPr>
      </w:pPr>
      <w:bookmarkStart w:id="16" w:name="_Hlk78818796"/>
      <w:r w:rsidRPr="00F10E52">
        <w:rPr>
          <w:rFonts w:ascii="Verdana" w:eastAsia="Times New Roman" w:hAnsi="Verdana" w:cs="Arial"/>
          <w:bCs/>
          <w:lang w:eastAsia="x-none"/>
        </w:rPr>
        <w:t xml:space="preserve">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w:t>
      </w:r>
      <w:r w:rsidRPr="00F10E52">
        <w:rPr>
          <w:rFonts w:ascii="Verdana" w:eastAsia="Times New Roman" w:hAnsi="Verdana" w:cs="Arial"/>
          <w:bCs/>
          <w:lang w:eastAsia="x-none"/>
        </w:rPr>
        <w:lastRenderedPageBreak/>
        <w:t>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6"/>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16"/>
    <w:p w14:paraId="5CC70338" w14:textId="77777777" w:rsidR="004F240F" w:rsidRPr="00F10E52" w:rsidRDefault="004F240F" w:rsidP="004F240F">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9D35435" w14:textId="77777777" w:rsidR="004F240F" w:rsidRPr="00F10E52" w:rsidRDefault="004F240F" w:rsidP="004F240F">
      <w:pPr>
        <w:spacing w:after="120" w:line="276" w:lineRule="auto"/>
        <w:ind w:firstLine="708"/>
        <w:jc w:val="both"/>
        <w:rPr>
          <w:rFonts w:ascii="Verdana" w:eastAsia="Times New Roman" w:hAnsi="Verdana" w:cs="Arial"/>
          <w:bCs/>
          <w:lang w:eastAsia="x-none"/>
        </w:rPr>
      </w:pPr>
      <w:bookmarkStart w:id="17" w:name="_Hlk77237094"/>
      <w:r w:rsidRPr="00F10E52">
        <w:rPr>
          <w:rFonts w:ascii="Verdana" w:eastAsia="Times New Roman" w:hAnsi="Verdana" w:cs="Arial"/>
          <w:bCs/>
          <w:lang w:eastAsia="es-CO"/>
        </w:rPr>
        <w:t xml:space="preserve">Como en otras oportunidades lo ha manifestado esta Agencia, las prórrogas, modificaciones o adiciones de los contratos suscritos antes de la </w:t>
      </w:r>
      <w:proofErr w:type="gramStart"/>
      <w:r w:rsidRPr="00F10E52">
        <w:rPr>
          <w:rFonts w:ascii="Verdana" w:eastAsia="Times New Roman" w:hAnsi="Verdana" w:cs="Arial"/>
          <w:bCs/>
          <w:lang w:eastAsia="es-CO"/>
        </w:rPr>
        <w:t>entrada en vigencia</w:t>
      </w:r>
      <w:proofErr w:type="gramEnd"/>
      <w:r w:rsidRPr="00F10E52">
        <w:rPr>
          <w:rFonts w:ascii="Verdana" w:eastAsia="Times New Roman" w:hAnsi="Verdana" w:cs="Arial"/>
          <w:bCs/>
          <w:lang w:eastAsia="es-CO"/>
        </w:rPr>
        <w:t xml:space="preserve"> de las prohibiciones anotadas, así como la cesión de los mismos, pueden tener lugar en el período de aplicación de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sin que ello haga nugatoria la restricción de la contratación directa y siempre que cumplan los principios de planeación, transparencia y responsabilidad.</w:t>
      </w:r>
      <w:bookmarkEnd w:id="17"/>
    </w:p>
    <w:p w14:paraId="1B525F6E" w14:textId="77777777" w:rsidR="004F240F" w:rsidRPr="00F10E52" w:rsidRDefault="004F240F" w:rsidP="004F240F">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w:t>
      </w:r>
      <w:r w:rsidRPr="003D0447">
        <w:rPr>
          <w:rFonts w:ascii="Verdana" w:eastAsia="Times New Roman" w:hAnsi="Verdana" w:cs="Arial"/>
          <w:i/>
          <w:lang w:eastAsia="x-none"/>
        </w:rPr>
        <w:t>emergencias educativas</w:t>
      </w:r>
      <w:r w:rsidRPr="00F10E52">
        <w:rPr>
          <w:rFonts w:ascii="Verdana" w:eastAsia="Times New Roman" w:hAnsi="Verdana" w:cs="Arial"/>
          <w:bCs/>
          <w:lang w:eastAsia="x-none"/>
        </w:rPr>
        <w:t xml:space="preserve">,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w:t>
      </w:r>
      <w:r w:rsidRPr="00F10E52">
        <w:rPr>
          <w:rFonts w:ascii="Verdana" w:eastAsia="Times New Roman" w:hAnsi="Verdana" w:cs="Arial"/>
          <w:bCs/>
          <w:lang w:eastAsia="es-CO"/>
        </w:rPr>
        <w:lastRenderedPageBreak/>
        <w:t>excepciones, de manera que se le permita realizar la contratación que necesite en forma directa.</w:t>
      </w:r>
    </w:p>
    <w:p w14:paraId="4223C133" w14:textId="77777777" w:rsidR="004F240F" w:rsidRPr="00F10E52" w:rsidRDefault="004F240F" w:rsidP="004F240F">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18" w:name="_Hlk74309042"/>
      <w:r w:rsidRPr="00F10E52">
        <w:rPr>
          <w:rFonts w:ascii="Verdana" w:eastAsia="Times New Roman" w:hAnsi="Verdana" w:cs="Arial"/>
          <w:bCs/>
          <w:lang w:eastAsia="x-none"/>
        </w:rPr>
        <w:t xml:space="preserve">que </w:t>
      </w:r>
      <w:bookmarkEnd w:id="18"/>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19" w:name="_Hlk75768308"/>
      <w:r w:rsidRPr="00F10E52">
        <w:rPr>
          <w:rFonts w:ascii="Verdana" w:eastAsia="Times New Roman" w:hAnsi="Verdana" w:cs="Arial"/>
          <w:bCs/>
          <w:lang w:eastAsia="x-none"/>
        </w:rPr>
        <w:t>no termine yendo en detrimento de intereses públicos, cuya garantía está en cabeza del ejecutivo, como son los inmersos en 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7"/>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0" w:name="_Hlk75783800"/>
      <w:bookmarkEnd w:id="19"/>
    </w:p>
    <w:p w14:paraId="70B78AE1" w14:textId="77777777" w:rsidR="004F240F" w:rsidRPr="00F10E52" w:rsidRDefault="004F240F" w:rsidP="004F240F">
      <w:pPr>
        <w:spacing w:before="120" w:after="0" w:line="276" w:lineRule="auto"/>
        <w:ind w:firstLine="708"/>
        <w:jc w:val="both"/>
        <w:rPr>
          <w:rFonts w:ascii="Verdana" w:eastAsia="Times New Roman" w:hAnsi="Verdana" w:cs="Arial"/>
          <w:bCs/>
          <w:lang w:eastAsia="x-none"/>
        </w:rPr>
      </w:pPr>
      <w:bookmarkStart w:id="21"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0"/>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1"/>
      <w:r w:rsidRPr="00F10E52">
        <w:rPr>
          <w:rFonts w:ascii="Verdana" w:eastAsia="Times New Roman" w:hAnsi="Verdana" w:cs="Arial"/>
          <w:bCs/>
          <w:lang w:eastAsia="x-none"/>
        </w:rPr>
        <w:t xml:space="preserve">El Consejo de Estado, en Concepto con radicado 1727 de fecha 20 de febrero de 2006, consideró que: </w:t>
      </w:r>
    </w:p>
    <w:p w14:paraId="4C57D346" w14:textId="77777777" w:rsidR="004F240F" w:rsidRPr="00F10E52" w:rsidRDefault="004F240F" w:rsidP="004F240F">
      <w:pPr>
        <w:spacing w:after="0" w:line="276" w:lineRule="auto"/>
        <w:ind w:firstLine="708"/>
        <w:jc w:val="both"/>
        <w:rPr>
          <w:rFonts w:ascii="Verdana" w:eastAsia="Times New Roman" w:hAnsi="Verdana" w:cs="Arial"/>
          <w:bCs/>
          <w:lang w:eastAsia="x-none"/>
        </w:rPr>
      </w:pPr>
    </w:p>
    <w:p w14:paraId="6050EFE1"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x-none"/>
        </w:rPr>
        <w:t xml:space="preserve">“El artículo 33 de la ley 996 de 2005, </w:t>
      </w:r>
      <w:bookmarkStart w:id="22" w:name="_Hlk75787147"/>
      <w:r w:rsidRPr="009B20C5">
        <w:rPr>
          <w:rFonts w:ascii="Verdana" w:eastAsia="Times New Roman" w:hAnsi="Verdana" w:cs="Arial"/>
          <w:bCs/>
          <w:sz w:val="20"/>
          <w:szCs w:val="20"/>
          <w:lang w:eastAsia="x-none"/>
        </w:rPr>
        <w:t xml:space="preserve">efectivamente se aplica </w:t>
      </w:r>
      <w:bookmarkStart w:id="23" w:name="_Hlk76074089"/>
      <w:r w:rsidRPr="009B20C5">
        <w:rPr>
          <w:rFonts w:ascii="Verdana" w:eastAsia="Times New Roman"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23"/>
      <w:r w:rsidRPr="009B20C5">
        <w:rPr>
          <w:rFonts w:ascii="Verdana" w:eastAsia="Times New Roman" w:hAnsi="Verdana" w:cs="Arial"/>
          <w:bCs/>
          <w:sz w:val="20"/>
          <w:szCs w:val="20"/>
          <w:lang w:eastAsia="x-none"/>
        </w:rPr>
        <w:t xml:space="preserve">, como por ejemplo los prestadores de servicios públicos domiciliarios (empresas de servicios públicos oficiales y empresas industriales y comerciales del Estado) y a los municipios </w:t>
      </w:r>
      <w:r w:rsidRPr="009B20C5">
        <w:rPr>
          <w:rFonts w:ascii="Verdana" w:eastAsia="Times New Roman" w:hAnsi="Verdana" w:cs="Arial"/>
          <w:bCs/>
          <w:sz w:val="20"/>
          <w:szCs w:val="20"/>
          <w:lang w:eastAsia="x-none"/>
        </w:rPr>
        <w:lastRenderedPageBreak/>
        <w:t>prestadores directos, incluyendo las excepciones contenidas en el segundo inciso de esta norma</w:t>
      </w:r>
      <w:r>
        <w:rPr>
          <w:rFonts w:ascii="Verdana" w:eastAsia="Times New Roman" w:hAnsi="Verdana" w:cs="Arial"/>
          <w:bCs/>
          <w:sz w:val="20"/>
          <w:szCs w:val="20"/>
          <w:lang w:eastAsia="x-none"/>
        </w:rPr>
        <w:t>”</w:t>
      </w:r>
      <w:r w:rsidRPr="009B20C5">
        <w:rPr>
          <w:rStyle w:val="Refdenotaalpie"/>
          <w:rFonts w:ascii="Verdana" w:eastAsia="Times New Roman" w:hAnsi="Verdana" w:cs="Arial"/>
          <w:bCs/>
          <w:sz w:val="20"/>
          <w:szCs w:val="20"/>
          <w:lang w:eastAsia="x-none"/>
        </w:rPr>
        <w:footnoteReference w:id="18"/>
      </w:r>
      <w:r w:rsidRPr="009B20C5">
        <w:rPr>
          <w:rFonts w:ascii="Verdana" w:eastAsia="Times New Roman" w:hAnsi="Verdana" w:cs="Arial"/>
          <w:bCs/>
          <w:sz w:val="20"/>
          <w:szCs w:val="20"/>
          <w:lang w:eastAsia="x-none"/>
        </w:rPr>
        <w:t>.</w:t>
      </w:r>
      <w:r w:rsidRPr="009B20C5">
        <w:rPr>
          <w:rFonts w:ascii="Verdana" w:eastAsia="Times New Roman" w:hAnsi="Verdana" w:cs="Arial"/>
          <w:bCs/>
          <w:sz w:val="20"/>
          <w:szCs w:val="20"/>
          <w:lang w:eastAsia="es-CO"/>
        </w:rPr>
        <w:t xml:space="preserve"> </w:t>
      </w:r>
    </w:p>
    <w:p w14:paraId="1C0F8792" w14:textId="77777777" w:rsidR="004F240F" w:rsidRDefault="004F240F" w:rsidP="004F240F">
      <w:pPr>
        <w:spacing w:after="0" w:line="276" w:lineRule="auto"/>
        <w:ind w:firstLine="709"/>
        <w:jc w:val="both"/>
        <w:rPr>
          <w:rFonts w:ascii="Verdana" w:eastAsia="Times New Roman" w:hAnsi="Verdana" w:cs="Arial"/>
          <w:bCs/>
          <w:lang w:eastAsia="x-none"/>
        </w:rPr>
      </w:pPr>
    </w:p>
    <w:p w14:paraId="1AD0B70B" w14:textId="77777777" w:rsidR="004F240F" w:rsidRDefault="004F240F" w:rsidP="004F240F">
      <w:pPr>
        <w:spacing w:after="120" w:line="276" w:lineRule="auto"/>
        <w:ind w:firstLine="708"/>
        <w:jc w:val="both"/>
        <w:rPr>
          <w:rFonts w:ascii="Verdana" w:eastAsia="Times New Roman" w:hAnsi="Verdana" w:cs="Arial"/>
          <w:bCs/>
          <w:lang w:eastAsia="x-none"/>
        </w:rPr>
      </w:pPr>
      <w:bookmarkStart w:id="24" w:name="_Hlk77237229"/>
      <w:bookmarkEnd w:id="22"/>
      <w:r w:rsidRPr="00345E20">
        <w:rPr>
          <w:rFonts w:ascii="Verdana" w:hAnsi="Verdana" w:cs="Arial"/>
        </w:rPr>
        <w:t xml:space="preserve">Por lo tanto, la restricción prevista en la Ley 996 de 2005, </w:t>
      </w:r>
      <w:r w:rsidRPr="00345E20">
        <w:rPr>
          <w:rFonts w:ascii="Verdana" w:eastAsia="Times New Roman" w:hAnsi="Verdana" w:cs="Arial"/>
          <w:bCs/>
          <w:lang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40AF404" w14:textId="77777777" w:rsidR="004F240F" w:rsidRPr="00E2397D" w:rsidRDefault="004F240F" w:rsidP="004F240F">
      <w:pPr>
        <w:spacing w:after="120" w:line="276" w:lineRule="auto"/>
        <w:ind w:firstLine="708"/>
        <w:jc w:val="both"/>
        <w:rPr>
          <w:rFonts w:ascii="Verdana" w:eastAsia="Times New Roman" w:hAnsi="Verdana" w:cs="Arial"/>
          <w:lang w:val="es-MX" w:eastAsia="x-none"/>
        </w:rPr>
      </w:pPr>
      <w:r>
        <w:rPr>
          <w:rFonts w:ascii="Verdana" w:eastAsia="Times New Roman" w:hAnsi="Verdana" w:cs="Arial"/>
          <w:bCs/>
          <w:lang w:eastAsia="x-none"/>
        </w:rPr>
        <w:t xml:space="preserve">En segundo lugar, </w:t>
      </w:r>
      <w:r w:rsidRPr="00E2397D">
        <w:rPr>
          <w:rFonts w:ascii="Verdana" w:eastAsia="Calibri" w:hAnsi="Verdana" w:cs="Arial"/>
          <w:lang w:eastAsia="es-ES" w:bidi="es-ES"/>
        </w:rPr>
        <w:t xml:space="preserve">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w:t>
      </w:r>
      <w:proofErr w:type="gramStart"/>
      <w:r w:rsidRPr="00E2397D">
        <w:rPr>
          <w:rFonts w:ascii="Verdana" w:eastAsia="Calibri" w:hAnsi="Verdana" w:cs="Arial"/>
        </w:rPr>
        <w:t>Alcaldes</w:t>
      </w:r>
      <w:proofErr w:type="gramEnd"/>
      <w:r w:rsidRPr="00E2397D">
        <w:rPr>
          <w:rFonts w:ascii="Verdana" w:eastAsia="Calibri" w:hAnsi="Verdana" w:cs="Arial"/>
        </w:rPr>
        <w:t xml:space="preserve"> Municipales y/o Distritales, Secretarios,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4340212F" w14:textId="77777777" w:rsidR="004F240F" w:rsidRPr="00E2397D" w:rsidRDefault="004F240F" w:rsidP="004F240F">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w:t>
      </w:r>
      <w:r w:rsidRPr="00E2397D">
        <w:rPr>
          <w:rFonts w:ascii="Verdana" w:eastAsia="Calibri" w:hAnsi="Verdana" w:cs="Arial"/>
          <w:lang w:bidi="es-ES"/>
        </w:rPr>
        <w:lastRenderedPageBreak/>
        <w:t xml:space="preserve">tipos de obligaciones, siempre que su objeto de creación les permita cumplirlas, con el objetivo común de materializar los fines del Estado. </w:t>
      </w:r>
    </w:p>
    <w:p w14:paraId="0E45D8DA" w14:textId="77777777" w:rsidR="004F240F" w:rsidRPr="00E2397D" w:rsidRDefault="004F240F" w:rsidP="004F240F">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19"/>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0"/>
      </w:r>
      <w:r w:rsidRPr="00E2397D">
        <w:rPr>
          <w:rFonts w:ascii="Verdana" w:eastAsia="Arial" w:hAnsi="Verdana" w:cs="Arial"/>
          <w:lang w:val="es-ES" w:eastAsia="es-ES" w:bidi="es-ES"/>
        </w:rPr>
        <w:t>.</w:t>
      </w:r>
    </w:p>
    <w:p w14:paraId="289CCF54" w14:textId="77777777" w:rsidR="004F240F" w:rsidRPr="00E2397D" w:rsidRDefault="004F240F" w:rsidP="004F240F">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22CAA2D5" w14:textId="77777777" w:rsidR="004F240F" w:rsidRPr="00E2397D" w:rsidRDefault="004F240F" w:rsidP="004F240F">
      <w:pPr>
        <w:widowControl w:val="0"/>
        <w:autoSpaceDE w:val="0"/>
        <w:autoSpaceDN w:val="0"/>
        <w:spacing w:after="0" w:line="276" w:lineRule="auto"/>
        <w:contextualSpacing/>
        <w:jc w:val="both"/>
        <w:rPr>
          <w:rFonts w:ascii="Verdana" w:eastAsia="Arial" w:hAnsi="Verdana" w:cs="Arial"/>
          <w:lang w:val="es-ES" w:eastAsia="es-ES" w:bidi="es-ES"/>
        </w:rPr>
      </w:pPr>
    </w:p>
    <w:p w14:paraId="52D58CA3"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 xml:space="preserve">para tal fin, se entenderán en el mismo sentido. Es así como el Decreto 1082 de 2015 trata indistintamente a los convenios y contratos interadministrativos, al establecer la contratación directa como la </w:t>
      </w:r>
      <w:r w:rsidRPr="00E2397D">
        <w:rPr>
          <w:rFonts w:ascii="Verdana" w:eastAsia="Calibri" w:hAnsi="Verdana" w:cs="Arial"/>
          <w:sz w:val="20"/>
          <w:szCs w:val="20"/>
          <w:lang w:val="es-MX"/>
        </w:rPr>
        <w:lastRenderedPageBreak/>
        <w:t>modalidad de selección para la contratación entre entidades públicas a través de estas dos figuras jurídicas.</w:t>
      </w:r>
    </w:p>
    <w:p w14:paraId="65811916"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p>
    <w:p w14:paraId="24AC52F6"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01F76569"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p>
    <w:p w14:paraId="0AFA2FE9"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3B0CAB0E" w14:textId="77777777" w:rsidR="004F240F" w:rsidRPr="00E2397D" w:rsidRDefault="004F240F" w:rsidP="004F240F">
      <w:pPr>
        <w:widowControl w:val="0"/>
        <w:autoSpaceDE w:val="0"/>
        <w:autoSpaceDN w:val="0"/>
        <w:spacing w:after="0" w:line="276" w:lineRule="auto"/>
        <w:contextualSpacing/>
        <w:jc w:val="both"/>
        <w:rPr>
          <w:rFonts w:ascii="Verdana" w:eastAsia="Arial" w:hAnsi="Verdana" w:cs="Arial"/>
          <w:lang w:val="es-ES" w:eastAsia="es-ES" w:bidi="es-ES"/>
        </w:rPr>
      </w:pPr>
    </w:p>
    <w:p w14:paraId="700B0566" w14:textId="77777777" w:rsidR="004F240F" w:rsidRPr="00E2397D" w:rsidRDefault="004F240F" w:rsidP="004F240F">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71DB1C5A" w14:textId="77777777" w:rsidR="004F240F" w:rsidRPr="00E2397D" w:rsidRDefault="004F240F" w:rsidP="004F240F">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1"/>
      </w:r>
      <w:r w:rsidRPr="00E2397D">
        <w:rPr>
          <w:rFonts w:ascii="Verdana" w:hAnsi="Verdana"/>
        </w:rPr>
        <w:t>:</w:t>
      </w:r>
      <w:r w:rsidRPr="00E2397D">
        <w:t xml:space="preserve"> </w:t>
      </w:r>
    </w:p>
    <w:p w14:paraId="7DDBA419" w14:textId="77777777" w:rsidR="004F240F" w:rsidRPr="00E2397D" w:rsidRDefault="004F240F" w:rsidP="004F240F">
      <w:pPr>
        <w:spacing w:after="0" w:line="276" w:lineRule="auto"/>
        <w:ind w:firstLine="709"/>
        <w:jc w:val="both"/>
      </w:pPr>
    </w:p>
    <w:p w14:paraId="6E335993" w14:textId="77777777" w:rsidR="004F240F" w:rsidRPr="00E2397D" w:rsidRDefault="004F240F" w:rsidP="004F240F">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3005E67" w14:textId="77777777" w:rsidR="004F240F" w:rsidRPr="00E2397D" w:rsidRDefault="004F240F" w:rsidP="004F240F">
      <w:pPr>
        <w:spacing w:after="0" w:line="240" w:lineRule="auto"/>
        <w:ind w:left="709" w:right="709"/>
        <w:jc w:val="both"/>
        <w:rPr>
          <w:rFonts w:ascii="Verdana" w:eastAsia="Calibri" w:hAnsi="Verdana" w:cs="Arial"/>
          <w:sz w:val="20"/>
          <w:szCs w:val="20"/>
        </w:rPr>
      </w:pPr>
    </w:p>
    <w:p w14:paraId="003274F5" w14:textId="77777777" w:rsidR="004F240F" w:rsidRPr="00E2397D" w:rsidRDefault="004F240F" w:rsidP="004F240F">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ABD7ED2" w14:textId="77777777" w:rsidR="004F240F" w:rsidRPr="00E2397D" w:rsidRDefault="004F240F" w:rsidP="004F240F">
      <w:pPr>
        <w:spacing w:after="0" w:line="276" w:lineRule="auto"/>
        <w:ind w:left="709" w:right="709"/>
        <w:jc w:val="both"/>
        <w:rPr>
          <w:rFonts w:ascii="Verdana" w:hAnsi="Verdana"/>
        </w:rPr>
      </w:pPr>
    </w:p>
    <w:p w14:paraId="42B71163" w14:textId="77777777" w:rsidR="004F240F" w:rsidRPr="00E2397D" w:rsidRDefault="004F240F" w:rsidP="004F240F">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422D5B1" w14:textId="77777777" w:rsidR="004F240F" w:rsidRPr="00E2397D" w:rsidRDefault="004F240F" w:rsidP="004F240F">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w:t>
      </w:r>
      <w:r w:rsidRPr="00E2397D">
        <w:rPr>
          <w:rFonts w:ascii="Verdana" w:eastAsia="Arial" w:hAnsi="Verdana" w:cs="Arial"/>
          <w:lang w:val="es-MX" w:eastAsia="es-ES" w:bidi="es-ES"/>
        </w:rPr>
        <w:lastRenderedPageBreak/>
        <w:t xml:space="preserve">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476C88CB" w14:textId="77777777" w:rsidR="004F240F" w:rsidRPr="00E2397D" w:rsidRDefault="004F240F" w:rsidP="004F240F">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29C8B501" w14:textId="77777777" w:rsidR="004F240F" w:rsidRDefault="004F240F" w:rsidP="004F240F">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w:t>
      </w:r>
      <w:r>
        <w:rPr>
          <w:rFonts w:ascii="Verdana" w:eastAsia="Times New Roman" w:hAnsi="Verdana" w:cs="Arial"/>
          <w:lang w:val="es-MX" w:eastAsia="es-CO"/>
        </w:rPr>
        <w:t xml:space="preserve">istrativos. </w:t>
      </w:r>
    </w:p>
    <w:p w14:paraId="13D4B85D" w14:textId="77777777" w:rsidR="004F240F" w:rsidRPr="0056665D" w:rsidRDefault="004F240F" w:rsidP="004F240F">
      <w:pPr>
        <w:spacing w:after="120" w:line="276" w:lineRule="auto"/>
        <w:ind w:firstLine="709"/>
        <w:jc w:val="both"/>
        <w:rPr>
          <w:rFonts w:ascii="Verdana" w:eastAsia="Times New Roman" w:hAnsi="Verdana" w:cs="Arial"/>
          <w:lang w:val="es-MX" w:eastAsia="es-CO"/>
        </w:rPr>
      </w:pPr>
      <w:r w:rsidRPr="0056665D">
        <w:rPr>
          <w:rFonts w:ascii="Verdana" w:eastAsia="Times New Roman" w:hAnsi="Verdana" w:cs="Arial"/>
          <w:lang w:eastAsia="es-CO"/>
        </w:rPr>
        <w:t>Ahora bien, con el fin de dar respuesta a su consulta, a continuación</w:t>
      </w:r>
      <w:r>
        <w:rPr>
          <w:rFonts w:ascii="Verdana" w:eastAsia="Times New Roman" w:hAnsi="Verdana" w:cs="Arial"/>
          <w:lang w:eastAsia="es-CO"/>
        </w:rPr>
        <w:t>,</w:t>
      </w:r>
      <w:r w:rsidRPr="0056665D">
        <w:rPr>
          <w:rFonts w:ascii="Verdana" w:eastAsia="Times New Roman" w:hAnsi="Verdana" w:cs="Arial"/>
          <w:lang w:eastAsia="es-CO"/>
        </w:rPr>
        <w:t xml:space="preserve"> se analiza la aplicación de la Ley 996 de 2005 –Ley de Garantías Electorales– frente a la posibilidad de celebrar contratos o convenios durante los periodos en que dicha norma resulta aplicable. Para tal efecto, es necesario distinguir entre las instituciones educativas oficiales y las fundaciones, en razón a que sus regímenes jurídicos y su capacidad contractual presentan diferencias sustanciales que inciden en la determinación de las restricciones previstas en la ley.</w:t>
      </w:r>
    </w:p>
    <w:p w14:paraId="62B188D2" w14:textId="6718D8F7" w:rsidR="004F240F" w:rsidRDefault="004F240F" w:rsidP="004F240F">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lastRenderedPageBreak/>
        <w:t>En el caso de las instituciones educativas oficiales, si bien estas carecen de personería jurídica, administran recursos públicos a través de los Fondos de Servicios Educativos (FSE), conforme a lo previsto en el artículo 13 de la Ley 715 de 2001 y el artículo 2.3.1.6.3.17 del Decreto 1075 de 2015. En virtud de dichas normas, los FSE pueden celebrar contratos bajo dos escenarios:</w:t>
      </w:r>
    </w:p>
    <w:p w14:paraId="0CA39914" w14:textId="77777777" w:rsidR="007D7A18" w:rsidRDefault="004F240F" w:rsidP="007D7A18">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i) cuando la cuantía no supera los veinte (20) salarios mínimos mensuales legales vigentes, aplican el reglamento interno adoptado por el consejo directivo de la institución; y</w:t>
      </w:r>
    </w:p>
    <w:p w14:paraId="18F4A9B1" w14:textId="573AFA5D" w:rsidR="004F240F" w:rsidRPr="0056665D" w:rsidRDefault="004F240F" w:rsidP="007D7A18">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br/>
      </w:r>
      <w:proofErr w:type="spellStart"/>
      <w:r w:rsidRPr="0056665D">
        <w:rPr>
          <w:rFonts w:ascii="Verdana" w:hAnsi="Verdana" w:cs="Arial"/>
          <w:bCs/>
          <w:color w:val="000000" w:themeColor="text1"/>
          <w:lang w:eastAsia="es-ES_tradnl"/>
        </w:rPr>
        <w:t>ii</w:t>
      </w:r>
      <w:proofErr w:type="spellEnd"/>
      <w:r w:rsidRPr="0056665D">
        <w:rPr>
          <w:rFonts w:ascii="Verdana" w:hAnsi="Verdana" w:cs="Arial"/>
          <w:bCs/>
          <w:color w:val="000000" w:themeColor="text1"/>
          <w:lang w:eastAsia="es-ES_tradnl"/>
        </w:rPr>
        <w:t>) cuando excede dicho monto, deben sujetarse a las reglas del Estatuto General de Contratación de la Administración Pública.</w:t>
      </w:r>
    </w:p>
    <w:p w14:paraId="7D1EB09B" w14:textId="77777777" w:rsidR="004F240F" w:rsidRPr="0056665D" w:rsidRDefault="004F240F" w:rsidP="004F240F">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Sin perjuicio de lo anterior, la aplicación de la Ley de Garantías Electorales no depende del régimen contractual sino de la modalidad de selección utilizada. En ese sentido, la prohibición del artículo 33 recae sobre toda modalidad que no garantice convocatoria pública ni pluralidad de oferentes. Por tanto, las instituciones educativas oficiales no pueden celebrar contratos directos durante los cuatro meses previos a las elecciones presidenciales, salvo que se configure una de las excepciones establecidas en la ley, tales como las relacionadas con defensa y seguridad nacional, crédito público, emergencias educativas, sanitarias o desastres, entre otras.</w:t>
      </w:r>
    </w:p>
    <w:p w14:paraId="1D6A2B30" w14:textId="77777777" w:rsidR="004F240F" w:rsidRPr="0056665D" w:rsidRDefault="004F240F" w:rsidP="004F240F">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Así mismo, el parágrafo del artículo 38 resulta aplicable cuando las instituciones educativas, a través de sus rectores u ordenadores del gasto, suscriben convenios interadministrativos con otras entidades públicas para la ejecución de recursos públicos, dado que dichas actuaciones tienen la naturaleza de convenios entre entidades estatales. En consecuencia, durante los cuatro meses anteriores a cualquier elección, no podrán celebrarse este tipo de convenios, sin perjuicio de que la entidad pueda adelantar procedimientos con pluralidad de oferentes que garanticen la participación y la transparencia en la contratación.</w:t>
      </w:r>
    </w:p>
    <w:p w14:paraId="0D07941A" w14:textId="77777777" w:rsidR="004F240F" w:rsidRPr="0056665D" w:rsidRDefault="004F240F" w:rsidP="004F240F">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 xml:space="preserve">Por su parte, respecto de las fundaciones, es necesario diferenciar entre las fundaciones privadas y las fundaciones con participación estatal o mixta. Las primeras son personas jurídicas de derecho privado y, por tanto, no pueden suscribir convenios interadministrativos, los cuales, según el artículo 95 de la Ley 489 de 1998, solo pueden celebrarse entre entidades públicas. En </w:t>
      </w:r>
      <w:r w:rsidRPr="0056665D">
        <w:rPr>
          <w:rFonts w:ascii="Verdana" w:hAnsi="Verdana" w:cs="Arial"/>
          <w:bCs/>
          <w:color w:val="000000" w:themeColor="text1"/>
          <w:lang w:eastAsia="es-ES_tradnl"/>
        </w:rPr>
        <w:lastRenderedPageBreak/>
        <w:t>consecuencia, las fundaciones privadas no están cobijadas por la restricción del parágrafo del artículo 38. Sin embargo, las entidades estatales que contraten con fundaciones privadas sí están sujetas a la prohibición del artículo 33, que impide celebrar contratos mediante la modalidad de contratación directa durante los cuatro meses previos a las elecciones presidenciales, salvo las excepciones taxativas establecidas en la ley.</w:t>
      </w:r>
    </w:p>
    <w:p w14:paraId="76C95DBE" w14:textId="77777777" w:rsidR="004F240F" w:rsidRPr="0056665D" w:rsidRDefault="004F240F" w:rsidP="004F240F">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En cambio, las fundaciones con participación estatal o que administren recursos públicos adquieren la condición de entidades estatales y, por tanto, sí se encuentran sujetas a ambas restricciones: la del artículo 33, relativa a la contratación directa, y la del parágrafo del artículo 38, concerniente a los convenios interadministrativos con ejecución de recursos públicos.</w:t>
      </w:r>
    </w:p>
    <w:p w14:paraId="261E39FC" w14:textId="77777777" w:rsidR="004F240F" w:rsidRPr="003D0447" w:rsidRDefault="004F240F" w:rsidP="004F240F">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En conclusión, la celebración de contratos o convenios durante los periodos de Ley de Garantías Electorales no está prohibida de manera absoluta, pero sí sujeta a las limitaciones de los artículos 33 y 38 de la Ley 996 de 2005. Por tanto, corresponde a cada entidad estatal verificar el tipo de elección, la naturaleza jurídica de la contraparte y la modalidad de selección aplicable, con el fin de garantizar el respeto por los principios de transparencia, igualdad, responsabilidad y neutralidad electoral que orientan la contratación pública.</w:t>
      </w:r>
    </w:p>
    <w:bookmarkEnd w:id="24"/>
    <w:p w14:paraId="7625AA5B" w14:textId="77777777" w:rsidR="007D7A18" w:rsidRDefault="007D7A18" w:rsidP="004F240F">
      <w:pPr>
        <w:widowControl w:val="0"/>
        <w:spacing w:after="0" w:line="276" w:lineRule="auto"/>
        <w:jc w:val="both"/>
        <w:rPr>
          <w:rFonts w:ascii="Verdana" w:eastAsia="Calibri" w:hAnsi="Verdana" w:cs="Times New Roman"/>
          <w:lang w:val="es-ES"/>
        </w:rPr>
      </w:pPr>
    </w:p>
    <w:p w14:paraId="70A34B0A" w14:textId="35B4DA40" w:rsidR="004F240F" w:rsidRDefault="004F240F" w:rsidP="004F240F">
      <w:pPr>
        <w:widowControl w:val="0"/>
        <w:spacing w:after="0" w:line="276" w:lineRule="auto"/>
        <w:jc w:val="both"/>
        <w:rPr>
          <w:rFonts w:ascii="Verdana" w:eastAsia="Calibri" w:hAnsi="Verdana" w:cs="Arial"/>
          <w:lang w:eastAsia="es-ES"/>
        </w:rPr>
      </w:pPr>
      <w:r>
        <w:rPr>
          <w:rFonts w:ascii="Verdana" w:eastAsia="Calibri" w:hAnsi="Verdana" w:cs="Times New Roman"/>
          <w:lang w:val="es-ES"/>
        </w:rPr>
        <w:t xml:space="preserve">        Finalmente</w:t>
      </w:r>
      <w:r w:rsidRPr="00DB4737">
        <w:rPr>
          <w:rFonts w:ascii="Verdana" w:eastAsia="Calibri" w:hAnsi="Verdana" w:cs="Times New Roman"/>
          <w:lang w:val="es-ES"/>
        </w:rPr>
        <w:t>,</w:t>
      </w:r>
      <w:r>
        <w:rPr>
          <w:rFonts w:ascii="Verdana" w:eastAsia="Calibri" w:hAnsi="Verdana" w:cs="Times New Roman"/>
          <w:lang w:val="es-ES"/>
        </w:rPr>
        <w:t xml:space="preserve"> debe señalarse que</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cs="Arial"/>
          <w:iCs/>
          <w:color w:val="000000" w:themeColor="text1"/>
        </w:rPr>
        <w:t xml:space="preserve">        </w:t>
      </w:r>
    </w:p>
    <w:p w14:paraId="4382BE50" w14:textId="77777777" w:rsidR="004F240F" w:rsidRDefault="004F240F" w:rsidP="004F240F">
      <w:pPr>
        <w:spacing w:after="0" w:line="276" w:lineRule="auto"/>
        <w:ind w:firstLine="708"/>
        <w:jc w:val="both"/>
        <w:rPr>
          <w:rFonts w:ascii="Verdana" w:eastAsia="Times New Roman" w:hAnsi="Verdana" w:cs="Arial"/>
          <w:lang w:val="es-ES_tradnl" w:eastAsia="es-ES_tradnl"/>
        </w:rPr>
      </w:pPr>
    </w:p>
    <w:p w14:paraId="3E2BE9CB" w14:textId="77777777" w:rsidR="007D7A18" w:rsidRDefault="007D7A18" w:rsidP="004F240F">
      <w:pPr>
        <w:spacing w:after="0" w:line="276" w:lineRule="auto"/>
        <w:ind w:firstLine="708"/>
        <w:jc w:val="both"/>
        <w:rPr>
          <w:rFonts w:ascii="Verdana" w:eastAsia="Times New Roman" w:hAnsi="Verdana" w:cs="Arial"/>
          <w:lang w:val="es-ES_tradnl" w:eastAsia="es-ES_tradnl"/>
        </w:rPr>
      </w:pPr>
    </w:p>
    <w:p w14:paraId="6A1D7BA9" w14:textId="196AF2EF" w:rsidR="004F240F" w:rsidRPr="007D7A18" w:rsidRDefault="004F240F" w:rsidP="007D7A18">
      <w:pPr>
        <w:pStyle w:val="Prrafodelista"/>
        <w:numPr>
          <w:ilvl w:val="0"/>
          <w:numId w:val="16"/>
        </w:numPr>
        <w:spacing w:after="0" w:line="276" w:lineRule="auto"/>
        <w:ind w:left="426"/>
        <w:contextualSpacing w:val="0"/>
        <w:jc w:val="both"/>
        <w:rPr>
          <w:rFonts w:ascii="Verdana" w:eastAsia="Times New Roman" w:hAnsi="Verdana" w:cs="Arial"/>
          <w:lang w:val="es-ES_tradnl" w:eastAsia="es-ES_tradnl"/>
        </w:rPr>
      </w:pPr>
      <w:r w:rsidRPr="00B715C6">
        <w:rPr>
          <w:rFonts w:ascii="Verdana" w:eastAsia="Century Gothic" w:hAnsi="Verdana" w:cs="Century Gothic"/>
          <w:b/>
          <w:bCs/>
        </w:rPr>
        <w:t>Referencias normativas, jurisprudenciales y otras fuentes:</w:t>
      </w:r>
    </w:p>
    <w:p w14:paraId="6E8E0F33" w14:textId="77777777" w:rsidR="007D7A18" w:rsidRDefault="007D7A18" w:rsidP="007D7A18">
      <w:pPr>
        <w:pStyle w:val="Prrafodelista"/>
        <w:spacing w:after="0" w:line="276" w:lineRule="auto"/>
        <w:ind w:left="426"/>
        <w:contextualSpacing w:val="0"/>
        <w:jc w:val="both"/>
        <w:rPr>
          <w:rFonts w:ascii="Verdana" w:eastAsia="Century Gothic" w:hAnsi="Verdana" w:cs="Century Gothic"/>
          <w:b/>
          <w:bCs/>
        </w:rPr>
      </w:pPr>
    </w:p>
    <w:p w14:paraId="5EEE3183" w14:textId="77777777" w:rsidR="007D7A18" w:rsidRPr="007D7A18" w:rsidRDefault="007D7A18" w:rsidP="007D7A18">
      <w:pPr>
        <w:pStyle w:val="Prrafodelista"/>
        <w:spacing w:after="0" w:line="276" w:lineRule="auto"/>
        <w:ind w:left="426"/>
        <w:contextualSpacing w:val="0"/>
        <w:jc w:val="both"/>
        <w:rPr>
          <w:rFonts w:ascii="Verdana" w:eastAsia="Times New Roman" w:hAnsi="Verdana" w:cs="Arial"/>
          <w:lang w:val="es-ES_tradnl" w:eastAsia="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240F" w:rsidRPr="00593A5F" w14:paraId="10A0BECF" w14:textId="77777777" w:rsidTr="009B4DB8">
        <w:trPr>
          <w:trHeight w:val="870"/>
        </w:trPr>
        <w:tc>
          <w:tcPr>
            <w:tcW w:w="8647" w:type="dxa"/>
          </w:tcPr>
          <w:p w14:paraId="081DF45D" w14:textId="77777777" w:rsidR="004F240F" w:rsidRDefault="004F240F" w:rsidP="004F240F">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Constitución Política: Artículo 127.</w:t>
            </w:r>
          </w:p>
          <w:p w14:paraId="003451D4" w14:textId="77777777" w:rsidR="004F240F" w:rsidRPr="00377B05" w:rsidRDefault="004F240F" w:rsidP="004F240F">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Ley 996 de 2005: artículos 33 y 38 parágrafo.</w:t>
            </w:r>
          </w:p>
          <w:p w14:paraId="7233F4C6" w14:textId="77777777" w:rsidR="004F240F" w:rsidRDefault="004F240F" w:rsidP="004F240F">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Ley 1150 de 2007, Artículo 2, numeral 4.</w:t>
            </w:r>
          </w:p>
          <w:p w14:paraId="4E424A10"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lastRenderedPageBreak/>
              <w:t xml:space="preserve">Corte Constitucional, Sentencia C-233 de 4 de abril de 2002, </w:t>
            </w:r>
            <w:proofErr w:type="spellStart"/>
            <w:r w:rsidRPr="0092765E">
              <w:rPr>
                <w:rFonts w:ascii="Verdana" w:hAnsi="Verdana" w:cs="Arial"/>
                <w:lang w:val="es-ES"/>
              </w:rPr>
              <w:t>Exp</w:t>
            </w:r>
            <w:proofErr w:type="spellEnd"/>
            <w:r w:rsidRPr="0092765E">
              <w:rPr>
                <w:rFonts w:ascii="Verdana" w:hAnsi="Verdana" w:cs="Arial"/>
                <w:lang w:val="es-ES"/>
              </w:rPr>
              <w:t>. D-3704.</w:t>
            </w:r>
          </w:p>
          <w:p w14:paraId="602032E2"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4E4CF798"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79C366D8"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CRF-001 de 9 de julio de 2003.</w:t>
            </w:r>
          </w:p>
          <w:p w14:paraId="584D6A7F"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2CFB780F" w14:textId="77777777" w:rsidR="004F240F" w:rsidRPr="00BA4B56" w:rsidRDefault="004F240F" w:rsidP="004F240F">
            <w:pPr>
              <w:widowControl w:val="0"/>
              <w:numPr>
                <w:ilvl w:val="0"/>
                <w:numId w:val="17"/>
              </w:numPr>
              <w:autoSpaceDE w:val="0"/>
              <w:autoSpaceDN w:val="0"/>
              <w:spacing w:line="276" w:lineRule="auto"/>
              <w:jc w:val="both"/>
              <w:rPr>
                <w:rFonts w:ascii="Verdana" w:hAnsi="Verdana" w:cs="Arial"/>
                <w:lang w:val="es-ES"/>
              </w:rPr>
            </w:pPr>
            <w:r w:rsidRPr="00BA4B56">
              <w:rPr>
                <w:rFonts w:ascii="Verdana" w:hAnsi="Verdana" w:cs="Arial"/>
                <w:lang w:val="es-ES"/>
              </w:rPr>
              <w:t>Corte Constitucional, Sentencia C-1153 de 11 de noviembre de 2005, M.P. Marco Gerardo Monroy Cabra.</w:t>
            </w:r>
          </w:p>
          <w:p w14:paraId="46399CD5" w14:textId="77777777" w:rsidR="004F240F" w:rsidRPr="00BA4B56" w:rsidRDefault="004F240F" w:rsidP="004F240F">
            <w:pPr>
              <w:widowControl w:val="0"/>
              <w:numPr>
                <w:ilvl w:val="0"/>
                <w:numId w:val="17"/>
              </w:numPr>
              <w:autoSpaceDE w:val="0"/>
              <w:autoSpaceDN w:val="0"/>
              <w:spacing w:line="276" w:lineRule="auto"/>
              <w:jc w:val="both"/>
              <w:rPr>
                <w:rFonts w:ascii="Verdana" w:hAnsi="Verdana" w:cs="Arial"/>
                <w:lang w:val="es-ES"/>
              </w:rPr>
            </w:pPr>
            <w:r w:rsidRPr="00BA4B56">
              <w:rPr>
                <w:rFonts w:ascii="Verdana" w:hAnsi="Verdana" w:cs="Arial"/>
                <w:lang w:val="es-ES"/>
              </w:rPr>
              <w:t>Corte Constitucional, Sentencia C-736 de 2007, M.P. Marco Gerardo Monroy Cabra.</w:t>
            </w:r>
          </w:p>
          <w:p w14:paraId="2B4278DD"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302375D3"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p>
          <w:p w14:paraId="5B6BFAB0"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20 de febrero de 2006, Rad. 1727, C.P. Enrique José Arboleda Perdomo.</w:t>
            </w:r>
          </w:p>
          <w:p w14:paraId="587D2660"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6 de abril de 2006, Rad. 1738, C.P. Enrique José Arboleda Perdomo.</w:t>
            </w:r>
          </w:p>
          <w:p w14:paraId="5436150E" w14:textId="77777777" w:rsidR="004F240F" w:rsidRPr="00BA4B56" w:rsidRDefault="004F240F" w:rsidP="004F240F">
            <w:pPr>
              <w:widowControl w:val="0"/>
              <w:numPr>
                <w:ilvl w:val="0"/>
                <w:numId w:val="17"/>
              </w:numPr>
              <w:autoSpaceDE w:val="0"/>
              <w:autoSpaceDN w:val="0"/>
              <w:spacing w:line="276" w:lineRule="auto"/>
              <w:jc w:val="both"/>
              <w:rPr>
                <w:rFonts w:ascii="Verdana" w:hAnsi="Verdana" w:cs="Arial"/>
                <w:lang w:val="es-ES"/>
              </w:rPr>
            </w:pPr>
            <w:r w:rsidRPr="00BA4B56">
              <w:rPr>
                <w:rFonts w:ascii="Verdana" w:hAnsi="Verdana" w:cs="Arial"/>
                <w:lang w:val="es-ES"/>
              </w:rPr>
              <w:t xml:space="preserve">Consejo de Estado, Sala de lo Contencioso Administrativo, Sección Tercera, Sentencia de 3 de diciembre de 2007, </w:t>
            </w:r>
            <w:proofErr w:type="spellStart"/>
            <w:r w:rsidRPr="00BA4B56">
              <w:rPr>
                <w:rFonts w:ascii="Verdana" w:hAnsi="Verdana" w:cs="Arial"/>
                <w:lang w:val="es-ES"/>
              </w:rPr>
              <w:t>Exp</w:t>
            </w:r>
            <w:proofErr w:type="spellEnd"/>
            <w:r w:rsidRPr="00BA4B56">
              <w:rPr>
                <w:rFonts w:ascii="Verdana" w:hAnsi="Verdana" w:cs="Arial"/>
                <w:lang w:val="es-ES"/>
              </w:rPr>
              <w:t>. 24.715, 25.206, 25.409, 24.524, 27.834, 25.410, 26.105, 28.244, 31.447 (acumulados).</w:t>
            </w:r>
          </w:p>
          <w:p w14:paraId="39D28E4E"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5DAA2678"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6392A527"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24 de julio de 2013, Rad. 2166,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0BD6C806"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 de septiembre de 2013, Rad. 2168,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49C45583"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17 </w:t>
            </w:r>
            <w:r w:rsidRPr="0092765E">
              <w:rPr>
                <w:rFonts w:ascii="Verdana" w:hAnsi="Verdana" w:cs="Arial"/>
                <w:lang w:val="es-ES"/>
              </w:rPr>
              <w:lastRenderedPageBreak/>
              <w:t>de febrero de 2015, Rad. 2269, C.P. William Zambrano Cetina.</w:t>
            </w:r>
          </w:p>
          <w:p w14:paraId="0C11596F" w14:textId="77777777" w:rsidR="004F240F" w:rsidRPr="00797E96" w:rsidRDefault="004F240F" w:rsidP="004F240F">
            <w:pPr>
              <w:widowControl w:val="0"/>
              <w:numPr>
                <w:ilvl w:val="0"/>
                <w:numId w:val="17"/>
              </w:numPr>
              <w:autoSpaceDE w:val="0"/>
              <w:autoSpaceDN w:val="0"/>
              <w:spacing w:line="276" w:lineRule="auto"/>
              <w:jc w:val="both"/>
              <w:rPr>
                <w:rFonts w:ascii="Verdana" w:hAnsi="Verdana" w:cs="Arial"/>
              </w:rPr>
            </w:pPr>
            <w:r w:rsidRPr="0092765E">
              <w:rPr>
                <w:rFonts w:ascii="Verdana" w:hAnsi="Verdana" w:cs="Arial"/>
                <w:lang w:val="es-ES"/>
              </w:rPr>
              <w:t xml:space="preserve">Consejo de Estado, Sala de Consulta y Servicio Civil, Concepto de 8 de mayo de 2018, Rad. 2382,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tc>
      </w:tr>
    </w:tbl>
    <w:p w14:paraId="01C4C99E" w14:textId="77777777" w:rsidR="004F240F" w:rsidRDefault="004F240F" w:rsidP="004F240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57771A3" w14:textId="77777777" w:rsidR="004F240F" w:rsidRDefault="004F240F" w:rsidP="004F240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24F5FC0" w14:textId="77777777" w:rsidR="004F240F" w:rsidRPr="00593A5F" w:rsidRDefault="004F240F" w:rsidP="004F240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A18F196" w14:textId="77777777" w:rsidR="004F240F" w:rsidRDefault="004F240F" w:rsidP="004F240F">
      <w:pPr>
        <w:widowControl w:val="0"/>
        <w:autoSpaceDE w:val="0"/>
        <w:autoSpaceDN w:val="0"/>
        <w:spacing w:after="0" w:line="276" w:lineRule="auto"/>
        <w:jc w:val="both"/>
        <w:rPr>
          <w:rFonts w:ascii="Verdana" w:hAnsi="Verdana" w:cs="Arial"/>
          <w:color w:val="0563C1" w:themeColor="hyperlink"/>
          <w:u w:val="single"/>
          <w:shd w:val="clear" w:color="auto" w:fill="FFFFFF"/>
          <w:lang w:val="es-ES"/>
        </w:rPr>
      </w:pPr>
      <w:r w:rsidRPr="00EA47E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 y C–750 de 17 de julio 2025</w:t>
      </w:r>
      <w:r>
        <w:rPr>
          <w:rFonts w:ascii="Verdana" w:hAnsi="Verdana" w:cs="Arial"/>
          <w:shd w:val="clear" w:color="auto" w:fill="FFFFFF"/>
        </w:rPr>
        <w:t xml:space="preserve">,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eastAsia="Aptos" w:hAnsi="Verdana" w:cs="Arial"/>
          <w:shd w:val="clear" w:color="auto" w:fill="FFFFFF"/>
          <w:lang w:val="es-ES"/>
        </w:rPr>
        <w:t xml:space="preserve">. </w:t>
      </w:r>
      <w:r w:rsidRPr="000C14B8">
        <w:rPr>
          <w:rFonts w:ascii="Verdana" w:eastAsia="Calibri" w:hAnsi="Verdana" w:cs="Arial"/>
          <w:lang w:val="es-ES" w:eastAsia="es-ES_tradnl"/>
        </w:rPr>
        <w:t>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69F8E11B" w14:textId="77777777" w:rsidR="004F240F" w:rsidRDefault="004F240F" w:rsidP="004F240F">
      <w:pPr>
        <w:widowControl w:val="0"/>
        <w:autoSpaceDE w:val="0"/>
        <w:autoSpaceDN w:val="0"/>
        <w:spacing w:after="0" w:line="276" w:lineRule="auto"/>
        <w:jc w:val="both"/>
        <w:rPr>
          <w:rFonts w:ascii="Verdana" w:hAnsi="Verdana" w:cs="Arial"/>
          <w:color w:val="0563C1" w:themeColor="hyperlink"/>
          <w:u w:val="single"/>
          <w:shd w:val="clear" w:color="auto" w:fill="FFFFFF"/>
          <w:lang w:val="es-ES"/>
        </w:rPr>
      </w:pPr>
    </w:p>
    <w:p w14:paraId="0BE0C2F2" w14:textId="77777777" w:rsidR="004F240F" w:rsidRPr="00073A28" w:rsidRDefault="004F240F" w:rsidP="004F240F">
      <w:pPr>
        <w:widowControl w:val="0"/>
        <w:autoSpaceDE w:val="0"/>
        <w:autoSpaceDN w:val="0"/>
        <w:spacing w:after="0" w:line="276" w:lineRule="auto"/>
        <w:jc w:val="both"/>
        <w:rPr>
          <w:rFonts w:ascii="Verdana" w:hAnsi="Verdana"/>
        </w:rPr>
      </w:pPr>
      <w:r w:rsidRPr="00073A28">
        <w:rPr>
          <w:rFonts w:ascii="Verdana" w:hAnsi="Verdana" w:cs="Arial"/>
          <w:color w:val="000000" w:themeColor="text1"/>
          <w:shd w:val="clear" w:color="auto" w:fill="FFFFFF"/>
        </w:rPr>
        <w:t xml:space="preserve">También, te contamos que ya publicamos la nueva </w:t>
      </w:r>
      <w:r w:rsidRPr="00073A28">
        <w:rPr>
          <w:rFonts w:ascii="Verdana" w:hAnsi="Verdana" w:cs="Arial"/>
          <w:b/>
          <w:bCs/>
          <w:color w:val="000000" w:themeColor="text1"/>
          <w:shd w:val="clear" w:color="auto" w:fill="FFFFFF"/>
        </w:rPr>
        <w:t>Guía de Contratación Pública Sostenible y Socialmente Responsable</w:t>
      </w:r>
      <w:r w:rsidRPr="00073A2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1" w:tgtFrame="_blank" w:tooltip="Dirección URL original: https://www.colombiacompra.gov.co/manuales-guias-y-pliegos-tipo/manuales-y-guias/guia-de-contratacion-publica-sostenible-y-socialmente. Haga clic o pulse si confía en este vínculo." w:history="1">
        <w:r w:rsidRPr="00073A2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073A28">
        <w:rPr>
          <w:rFonts w:ascii="Verdana" w:hAnsi="Verdana"/>
        </w:rPr>
        <w:t>.</w:t>
      </w:r>
    </w:p>
    <w:p w14:paraId="48A3743D" w14:textId="77777777" w:rsidR="004F240F" w:rsidRPr="003D0447" w:rsidRDefault="004F240F" w:rsidP="004F240F">
      <w:pPr>
        <w:widowControl w:val="0"/>
        <w:autoSpaceDE w:val="0"/>
        <w:autoSpaceDN w:val="0"/>
        <w:spacing w:after="0" w:line="276" w:lineRule="auto"/>
        <w:jc w:val="both"/>
        <w:rPr>
          <w:rFonts w:ascii="Verdana" w:hAnsi="Verdana"/>
        </w:rPr>
      </w:pPr>
    </w:p>
    <w:p w14:paraId="41AF1616" w14:textId="77777777" w:rsidR="004F240F" w:rsidRPr="00505CD6" w:rsidRDefault="004F240F" w:rsidP="004F240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w:t>
      </w:r>
      <w:r w:rsidRPr="00505CD6">
        <w:rPr>
          <w:rFonts w:ascii="Verdana" w:hAnsi="Verdana" w:cs="Arial"/>
        </w:rPr>
        <w:lastRenderedPageBreak/>
        <w:t xml:space="preserve">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4EF203B" w14:textId="77777777" w:rsidR="004F240F" w:rsidRPr="00505CD6" w:rsidRDefault="004F240F" w:rsidP="004F240F">
      <w:pPr>
        <w:widowControl w:val="0"/>
        <w:autoSpaceDE w:val="0"/>
        <w:autoSpaceDN w:val="0"/>
        <w:spacing w:after="0" w:line="276" w:lineRule="auto"/>
        <w:jc w:val="both"/>
        <w:rPr>
          <w:rFonts w:ascii="Verdana" w:hAnsi="Verdana" w:cs="Arial"/>
        </w:rPr>
      </w:pPr>
    </w:p>
    <w:p w14:paraId="14B47A43" w14:textId="77777777" w:rsidR="004F240F" w:rsidRDefault="004F240F" w:rsidP="004F240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AC31582" w14:textId="26FC1817" w:rsidR="004F240F" w:rsidRDefault="005F5341" w:rsidP="004F240F">
      <w:pPr>
        <w:spacing w:after="0" w:line="276" w:lineRule="auto"/>
        <w:jc w:val="center"/>
        <w:rPr>
          <w:rFonts w:ascii="Verdana" w:hAnsi="Verdana"/>
          <w:lang w:val="es-ES_tradnl"/>
        </w:rPr>
      </w:pPr>
      <w:r>
        <w:rPr>
          <w:rFonts w:ascii="Verdana" w:hAnsi="Verdana"/>
          <w:noProof/>
          <w:lang w:val="es-ES_tradnl"/>
        </w:rPr>
        <w:drawing>
          <wp:inline distT="0" distB="0" distL="0" distR="0" wp14:anchorId="3034F5CF" wp14:editId="1B15CB26">
            <wp:extent cx="3639058" cy="1343212"/>
            <wp:effectExtent l="0" t="0" r="0" b="0"/>
            <wp:docPr id="139384608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846085"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F240F" w:rsidRPr="00D53651" w14:paraId="37513F5F" w14:textId="77777777" w:rsidTr="009B4DB8">
        <w:trPr>
          <w:trHeight w:val="315"/>
        </w:trPr>
        <w:tc>
          <w:tcPr>
            <w:tcW w:w="893" w:type="dxa"/>
            <w:vAlign w:val="center"/>
            <w:hideMark/>
          </w:tcPr>
          <w:p w14:paraId="591D0CC5"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4A7FB4A9" w14:textId="77777777" w:rsidR="004F240F" w:rsidRPr="00D53651" w:rsidRDefault="004F240F" w:rsidP="009B4DB8">
            <w:pPr>
              <w:spacing w:line="276" w:lineRule="auto"/>
              <w:jc w:val="both"/>
              <w:rPr>
                <w:rFonts w:ascii="Verdana" w:hAnsi="Verdana"/>
                <w:sz w:val="16"/>
                <w:szCs w:val="16"/>
              </w:rPr>
            </w:pPr>
            <w:r>
              <w:rPr>
                <w:rFonts w:ascii="Verdana" w:hAnsi="Verdana"/>
                <w:sz w:val="16"/>
                <w:szCs w:val="16"/>
              </w:rPr>
              <w:t xml:space="preserve">Diana </w:t>
            </w:r>
            <w:r w:rsidRPr="00D53651">
              <w:rPr>
                <w:rFonts w:ascii="Verdana" w:hAnsi="Verdana"/>
                <w:sz w:val="16"/>
                <w:szCs w:val="16"/>
              </w:rPr>
              <w:t xml:space="preserve">Carolina Blanco </w:t>
            </w:r>
            <w:proofErr w:type="spellStart"/>
            <w:r w:rsidRPr="00D53651">
              <w:rPr>
                <w:rFonts w:ascii="Verdana" w:hAnsi="Verdana"/>
                <w:sz w:val="16"/>
                <w:szCs w:val="16"/>
              </w:rPr>
              <w:t>Rodriguez</w:t>
            </w:r>
            <w:proofErr w:type="spellEnd"/>
            <w:r w:rsidRPr="00D53651">
              <w:rPr>
                <w:rFonts w:ascii="Verdana" w:hAnsi="Verdana"/>
                <w:sz w:val="16"/>
                <w:szCs w:val="16"/>
              </w:rPr>
              <w:t xml:space="preserve"> </w:t>
            </w:r>
          </w:p>
          <w:p w14:paraId="2042A218"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4F240F" w:rsidRPr="00D53651" w14:paraId="324D4780" w14:textId="77777777" w:rsidTr="009B4DB8">
        <w:trPr>
          <w:trHeight w:val="330"/>
        </w:trPr>
        <w:tc>
          <w:tcPr>
            <w:tcW w:w="893" w:type="dxa"/>
            <w:vAlign w:val="center"/>
            <w:hideMark/>
          </w:tcPr>
          <w:p w14:paraId="42F8F262"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63776F65" w14:textId="77777777" w:rsidR="004F240F" w:rsidRPr="00D53651" w:rsidRDefault="004F240F" w:rsidP="009B4DB8">
            <w:pPr>
              <w:spacing w:line="276" w:lineRule="auto"/>
              <w:jc w:val="both"/>
              <w:rPr>
                <w:rFonts w:ascii="Verdana" w:hAnsi="Verdana"/>
                <w:sz w:val="16"/>
                <w:szCs w:val="16"/>
              </w:rPr>
            </w:pPr>
            <w:r>
              <w:rPr>
                <w:rFonts w:ascii="Verdana" w:hAnsi="Verdana"/>
                <w:sz w:val="16"/>
                <w:szCs w:val="16"/>
              </w:rPr>
              <w:t>Juan Carlos González Vásquez</w:t>
            </w:r>
            <w:r w:rsidRPr="00D53651">
              <w:rPr>
                <w:rFonts w:ascii="Verdana" w:hAnsi="Verdana"/>
                <w:sz w:val="16"/>
                <w:szCs w:val="16"/>
              </w:rPr>
              <w:t xml:space="preserve"> </w:t>
            </w:r>
          </w:p>
          <w:p w14:paraId="77F94EB4"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4F240F" w:rsidRPr="00D53651" w14:paraId="02E9E626" w14:textId="77777777" w:rsidTr="009B4DB8">
        <w:trPr>
          <w:trHeight w:val="300"/>
        </w:trPr>
        <w:tc>
          <w:tcPr>
            <w:tcW w:w="893" w:type="dxa"/>
            <w:vAlign w:val="center"/>
            <w:hideMark/>
          </w:tcPr>
          <w:p w14:paraId="59BCD9EE"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3D0176E6" w14:textId="77777777" w:rsidR="004F240F" w:rsidRPr="00D53651" w:rsidRDefault="004F240F" w:rsidP="009B4DB8">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C3B1D8F" w14:textId="77777777" w:rsidR="004F240F" w:rsidRPr="00D53651" w:rsidRDefault="004F240F" w:rsidP="009B4DB8">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622EE232" w14:textId="77777777" w:rsidR="004F240F" w:rsidRPr="000931E9" w:rsidRDefault="004F240F" w:rsidP="004F240F"/>
    <w:p w14:paraId="3BA88051" w14:textId="77777777" w:rsidR="004F240F" w:rsidRPr="0044528D" w:rsidRDefault="004F240F" w:rsidP="004F240F">
      <w:pPr>
        <w:spacing w:after="0"/>
        <w:rPr>
          <w:rFonts w:ascii="Verdana" w:hAnsi="Verdana"/>
        </w:rPr>
      </w:pPr>
    </w:p>
    <w:p w14:paraId="4A4F8056" w14:textId="77777777" w:rsidR="004F240F" w:rsidRPr="00FA01E0" w:rsidRDefault="004F240F" w:rsidP="004F240F">
      <w:pPr>
        <w:spacing w:after="0" w:line="276" w:lineRule="auto"/>
        <w:jc w:val="both"/>
        <w:rPr>
          <w:rFonts w:ascii="Verdana" w:eastAsia="Calibri" w:hAnsi="Verdana" w:cs="Arial"/>
          <w:lang w:val="es-ES"/>
        </w:rPr>
      </w:pPr>
    </w:p>
    <w:p w14:paraId="0F293BF4" w14:textId="7504785A" w:rsidR="00127233" w:rsidRPr="004F240F" w:rsidRDefault="00127233" w:rsidP="004F240F"/>
    <w:sectPr w:rsidR="00127233" w:rsidRPr="004F240F"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413672" w14:textId="77777777" w:rsidR="006316C7" w:rsidRDefault="006316C7" w:rsidP="004A1847">
      <w:pPr>
        <w:spacing w:after="0" w:line="240" w:lineRule="auto"/>
      </w:pPr>
      <w:r>
        <w:separator/>
      </w:r>
    </w:p>
  </w:endnote>
  <w:endnote w:type="continuationSeparator" w:id="0">
    <w:p w14:paraId="6B1D83D4" w14:textId="77777777" w:rsidR="006316C7" w:rsidRDefault="006316C7" w:rsidP="004A1847">
      <w:pPr>
        <w:spacing w:after="0" w:line="240" w:lineRule="auto"/>
      </w:pPr>
      <w:r>
        <w:continuationSeparator/>
      </w:r>
    </w:p>
  </w:endnote>
  <w:endnote w:type="continuationNotice" w:id="1">
    <w:p w14:paraId="3FB90AAE" w14:textId="77777777" w:rsidR="006316C7" w:rsidRDefault="006316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F2466A" w14:textId="77777777" w:rsidR="006316C7" w:rsidRDefault="006316C7" w:rsidP="004A1847">
      <w:pPr>
        <w:spacing w:after="0" w:line="240" w:lineRule="auto"/>
      </w:pPr>
      <w:r>
        <w:separator/>
      </w:r>
    </w:p>
  </w:footnote>
  <w:footnote w:type="continuationSeparator" w:id="0">
    <w:p w14:paraId="73B0AB2E" w14:textId="77777777" w:rsidR="006316C7" w:rsidRDefault="006316C7" w:rsidP="004A1847">
      <w:pPr>
        <w:spacing w:after="0" w:line="240" w:lineRule="auto"/>
      </w:pPr>
      <w:r>
        <w:continuationSeparator/>
      </w:r>
    </w:p>
  </w:footnote>
  <w:footnote w:type="continuationNotice" w:id="1">
    <w:p w14:paraId="3EF4B138" w14:textId="77777777" w:rsidR="006316C7" w:rsidRDefault="006316C7">
      <w:pPr>
        <w:spacing w:after="0" w:line="240" w:lineRule="auto"/>
      </w:pPr>
    </w:p>
  </w:footnote>
  <w:footnote w:id="2">
    <w:p w14:paraId="59DCA63E" w14:textId="77777777" w:rsidR="004F240F" w:rsidRPr="009B20C5"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0E26D59" w14:textId="77777777" w:rsidR="004F240F" w:rsidRDefault="004F240F" w:rsidP="004F240F">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p w14:paraId="09899420" w14:textId="77777777" w:rsidR="004F240F" w:rsidRPr="009B20C5" w:rsidRDefault="004F240F" w:rsidP="004F240F">
      <w:pPr>
        <w:pStyle w:val="Textonotapie"/>
        <w:ind w:firstLine="709"/>
        <w:jc w:val="both"/>
        <w:rPr>
          <w:rFonts w:ascii="Verdana" w:hAnsi="Verdana" w:cs="Arial"/>
          <w:sz w:val="16"/>
          <w:szCs w:val="16"/>
        </w:rPr>
      </w:pPr>
    </w:p>
  </w:footnote>
  <w:footnote w:id="3">
    <w:p w14:paraId="7E044A37" w14:textId="77777777" w:rsidR="004F240F" w:rsidRPr="009B20C5"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05A02D56" w14:textId="77777777" w:rsidR="004F240F" w:rsidRPr="009B20C5" w:rsidRDefault="004F240F" w:rsidP="004F240F">
      <w:pPr>
        <w:pStyle w:val="Textonotapie"/>
        <w:ind w:firstLine="709"/>
        <w:jc w:val="both"/>
        <w:rPr>
          <w:rFonts w:ascii="Verdana" w:hAnsi="Verdana" w:cs="Arial"/>
          <w:sz w:val="16"/>
          <w:szCs w:val="16"/>
        </w:rPr>
      </w:pPr>
    </w:p>
  </w:footnote>
  <w:footnote w:id="4">
    <w:p w14:paraId="6CF7F629"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7FAB6C64" w14:textId="77777777" w:rsidR="004F240F" w:rsidRPr="009B20C5" w:rsidRDefault="004F240F" w:rsidP="004F240F">
      <w:pPr>
        <w:pStyle w:val="Textonotapie"/>
        <w:ind w:firstLine="709"/>
        <w:jc w:val="both"/>
        <w:rPr>
          <w:rFonts w:ascii="Verdana" w:hAnsi="Verdana" w:cs="Arial"/>
          <w:sz w:val="16"/>
          <w:szCs w:val="16"/>
        </w:rPr>
      </w:pPr>
    </w:p>
  </w:footnote>
  <w:footnote w:id="5">
    <w:p w14:paraId="6E6A2EF0"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7A979BB4" w14:textId="77777777" w:rsidR="004F240F" w:rsidRPr="009B20C5" w:rsidRDefault="004F240F" w:rsidP="004F240F">
      <w:pPr>
        <w:pStyle w:val="Textonotapie"/>
        <w:ind w:firstLine="709"/>
        <w:jc w:val="both"/>
        <w:rPr>
          <w:rFonts w:ascii="Verdana" w:hAnsi="Verdana" w:cs="Arial"/>
          <w:sz w:val="16"/>
          <w:szCs w:val="16"/>
        </w:rPr>
      </w:pPr>
    </w:p>
  </w:footnote>
  <w:footnote w:id="6">
    <w:p w14:paraId="253D4599" w14:textId="77777777" w:rsidR="004F240F" w:rsidRDefault="004F240F" w:rsidP="004F240F">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p w14:paraId="3AA3C624" w14:textId="77777777" w:rsidR="004F240F" w:rsidRPr="009B20C5" w:rsidRDefault="004F240F" w:rsidP="004F240F">
      <w:pPr>
        <w:pStyle w:val="Textonotapie"/>
        <w:ind w:firstLine="709"/>
        <w:jc w:val="both"/>
        <w:rPr>
          <w:rFonts w:ascii="Verdana" w:hAnsi="Verdana" w:cs="Arial"/>
          <w:sz w:val="16"/>
          <w:szCs w:val="16"/>
          <w:lang w:val="es-CO"/>
        </w:rPr>
      </w:pPr>
    </w:p>
  </w:footnote>
  <w:footnote w:id="7">
    <w:p w14:paraId="37F51876"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w:t>
      </w:r>
      <w:proofErr w:type="spellStart"/>
      <w:r w:rsidRPr="009B20C5">
        <w:rPr>
          <w:rFonts w:ascii="Verdana" w:hAnsi="Verdana" w:cs="Arial"/>
          <w:sz w:val="16"/>
          <w:szCs w:val="16"/>
        </w:rPr>
        <w:t>Namén</w:t>
      </w:r>
      <w:proofErr w:type="spellEnd"/>
      <w:r w:rsidRPr="009B20C5">
        <w:rPr>
          <w:rFonts w:ascii="Verdana" w:hAnsi="Verdana" w:cs="Arial"/>
          <w:sz w:val="16"/>
          <w:szCs w:val="16"/>
        </w:rPr>
        <w:t xml:space="preserve"> Vargas.  </w:t>
      </w:r>
    </w:p>
    <w:p w14:paraId="50B84859" w14:textId="77777777" w:rsidR="004F240F" w:rsidRPr="009B20C5" w:rsidRDefault="004F240F" w:rsidP="004F240F">
      <w:pPr>
        <w:pStyle w:val="Textonotapie"/>
        <w:ind w:firstLine="709"/>
        <w:jc w:val="both"/>
        <w:rPr>
          <w:rFonts w:ascii="Verdana" w:hAnsi="Verdana" w:cs="Arial"/>
          <w:sz w:val="16"/>
          <w:szCs w:val="16"/>
        </w:rPr>
      </w:pPr>
    </w:p>
  </w:footnote>
  <w:footnote w:id="8">
    <w:p w14:paraId="48BC643C" w14:textId="77777777" w:rsidR="004F240F" w:rsidRDefault="004F240F" w:rsidP="004F240F">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7E5E2CD5" w14:textId="77777777" w:rsidR="004F240F" w:rsidRPr="0069134B" w:rsidRDefault="004F240F" w:rsidP="004F240F">
      <w:pPr>
        <w:spacing w:after="0" w:line="240" w:lineRule="auto"/>
        <w:ind w:firstLine="709"/>
        <w:jc w:val="both"/>
        <w:rPr>
          <w:rFonts w:ascii="Verdana" w:hAnsi="Verdana" w:cs="Arial"/>
          <w:sz w:val="16"/>
          <w:szCs w:val="16"/>
          <w:lang w:val="es-ES"/>
        </w:rPr>
      </w:pPr>
    </w:p>
  </w:footnote>
  <w:footnote w:id="9">
    <w:p w14:paraId="7DEADBD0" w14:textId="77777777" w:rsidR="004F240F" w:rsidRPr="009B20C5"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8" w:name="_Hlk74272731"/>
      <w:r>
        <w:rPr>
          <w:rFonts w:ascii="Verdana" w:hAnsi="Verdana" w:cs="Arial"/>
          <w:sz w:val="16"/>
          <w:szCs w:val="16"/>
        </w:rPr>
        <w:t>“</w:t>
      </w:r>
      <w:bookmarkEnd w:id="8"/>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r w:rsidRPr="0069134B">
        <w:rPr>
          <w:rFonts w:ascii="Verdana" w:hAnsi="Verdana" w:cs="Arial"/>
          <w:sz w:val="16"/>
          <w:szCs w:val="16"/>
        </w:rPr>
        <w:t>-</w:t>
      </w:r>
      <w:bookmarkStart w:id="9" w:name="_Hlk74271358"/>
      <w:r>
        <w:rPr>
          <w:rFonts w:ascii="Verdana" w:hAnsi="Verdana" w:cs="Arial"/>
          <w:sz w:val="16"/>
          <w:szCs w:val="16"/>
        </w:rPr>
        <w:t>“</w:t>
      </w:r>
      <w:bookmarkEnd w:id="9"/>
      <w:r w:rsidRPr="0069134B">
        <w:rPr>
          <w:rFonts w:ascii="Verdana" w:hAnsi="Verdana" w:cs="Arial"/>
          <w:sz w:val="16"/>
          <w:szCs w:val="16"/>
        </w:rPr>
        <w:t>.</w:t>
      </w:r>
    </w:p>
  </w:footnote>
  <w:footnote w:id="10">
    <w:p w14:paraId="35FFC541"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Al respecto ver el concepto 1712 de 2 de febrero de 2006. Consejo de Estado Sala de Consulta y Servicio Civil</w:t>
      </w:r>
    </w:p>
    <w:p w14:paraId="303F30D8" w14:textId="77777777" w:rsidR="004F240F" w:rsidRPr="009B20C5" w:rsidRDefault="004F240F" w:rsidP="004F240F">
      <w:pPr>
        <w:pStyle w:val="Textonotapie"/>
        <w:ind w:firstLine="709"/>
        <w:jc w:val="both"/>
        <w:rPr>
          <w:rFonts w:ascii="Verdana" w:hAnsi="Verdana" w:cs="Arial"/>
          <w:sz w:val="16"/>
          <w:szCs w:val="16"/>
        </w:rPr>
      </w:pPr>
      <w:r w:rsidRPr="0069134B">
        <w:rPr>
          <w:rFonts w:ascii="Verdana" w:hAnsi="Verdana" w:cs="Arial"/>
          <w:sz w:val="16"/>
          <w:szCs w:val="16"/>
        </w:rPr>
        <w:t>.</w:t>
      </w:r>
    </w:p>
  </w:footnote>
  <w:footnote w:id="11">
    <w:p w14:paraId="0341AD55" w14:textId="77777777" w:rsidR="004F240F" w:rsidRDefault="004F240F" w:rsidP="004F240F">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Consejo de Estado. Sala de Consulta y Servicio Civil. Concepto del 2 de septiembre de 2013. Radicación número: 11001-03-06-000-2013-00412-00 (2168). Consejero Ponente: Álvaro </w:t>
      </w:r>
      <w:proofErr w:type="spellStart"/>
      <w:r w:rsidRPr="0069134B">
        <w:rPr>
          <w:rFonts w:ascii="Verdana" w:hAnsi="Verdana" w:cs="Arial"/>
          <w:sz w:val="16"/>
          <w:szCs w:val="16"/>
        </w:rPr>
        <w:t>Namén</w:t>
      </w:r>
      <w:proofErr w:type="spellEnd"/>
      <w:r w:rsidRPr="0069134B">
        <w:rPr>
          <w:rFonts w:ascii="Verdana" w:hAnsi="Verdana" w:cs="Arial"/>
          <w:sz w:val="16"/>
          <w:szCs w:val="16"/>
        </w:rPr>
        <w:t xml:space="preserve"> Vargas.</w:t>
      </w:r>
    </w:p>
    <w:p w14:paraId="09A347B6" w14:textId="77777777" w:rsidR="004F240F" w:rsidRPr="0069134B" w:rsidRDefault="004F240F" w:rsidP="004F240F">
      <w:pPr>
        <w:pStyle w:val="Textonotapie"/>
        <w:ind w:firstLine="709"/>
        <w:jc w:val="both"/>
        <w:rPr>
          <w:rFonts w:ascii="Verdana" w:hAnsi="Verdana" w:cs="Arial"/>
          <w:sz w:val="16"/>
          <w:szCs w:val="16"/>
        </w:rPr>
      </w:pPr>
    </w:p>
  </w:footnote>
  <w:footnote w:id="12">
    <w:p w14:paraId="5802BC94" w14:textId="77777777" w:rsidR="004F240F" w:rsidRPr="009B20C5" w:rsidRDefault="004F240F" w:rsidP="004F240F">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3">
    <w:p w14:paraId="7C0951B8" w14:textId="77777777" w:rsidR="004F240F" w:rsidRDefault="004F240F" w:rsidP="004F240F">
      <w:pPr>
        <w:pStyle w:val="Textonotapie"/>
        <w:ind w:firstLine="709"/>
        <w:jc w:val="both"/>
        <w:rPr>
          <w:rFonts w:ascii="Verdana" w:hAnsi="Verdana" w:cs="Arial"/>
          <w:sz w:val="16"/>
          <w:szCs w:val="16"/>
        </w:rPr>
      </w:pPr>
    </w:p>
    <w:p w14:paraId="0C90FA35" w14:textId="77777777" w:rsidR="004F240F" w:rsidRPr="009B20C5" w:rsidRDefault="004F240F" w:rsidP="004F240F">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footnote>
  <w:footnote w:id="14">
    <w:p w14:paraId="30DB6832" w14:textId="77777777" w:rsidR="004F240F" w:rsidRPr="009B20C5" w:rsidRDefault="004F240F" w:rsidP="004F240F">
      <w:pPr>
        <w:pStyle w:val="Textonotapie"/>
        <w:ind w:firstLine="709"/>
        <w:jc w:val="both"/>
        <w:rPr>
          <w:rFonts w:ascii="Verdana" w:hAnsi="Verdana" w:cs="Arial"/>
          <w:sz w:val="16"/>
          <w:szCs w:val="16"/>
        </w:rPr>
      </w:pPr>
    </w:p>
    <w:p w14:paraId="6C390EB1" w14:textId="77777777" w:rsidR="004F240F" w:rsidRDefault="004F240F" w:rsidP="004F240F">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xml:space="preserve">[…] A este respecto, cabe recordar que el artículo 860 del Código de Comercio regula la licitación en el derecho privado. </w:t>
      </w:r>
    </w:p>
    <w:p w14:paraId="63F595E8" w14:textId="77777777" w:rsidR="004F240F" w:rsidRPr="009B20C5" w:rsidRDefault="004F240F" w:rsidP="004F240F">
      <w:pPr>
        <w:pStyle w:val="Textonotapie"/>
        <w:ind w:firstLine="709"/>
        <w:jc w:val="both"/>
        <w:rPr>
          <w:rFonts w:ascii="Verdana" w:hAnsi="Verdana" w:cs="Arial"/>
          <w:sz w:val="16"/>
          <w:szCs w:val="16"/>
          <w:lang w:val="es-ES"/>
        </w:rPr>
      </w:pPr>
    </w:p>
  </w:footnote>
  <w:footnote w:id="15">
    <w:p w14:paraId="5F84DDFD" w14:textId="77777777" w:rsidR="004F240F" w:rsidRDefault="004F240F" w:rsidP="004F240F">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074524A8" w14:textId="77777777" w:rsidR="004F240F" w:rsidRPr="009B20C5" w:rsidRDefault="004F240F" w:rsidP="004F240F">
      <w:pPr>
        <w:shd w:val="clear" w:color="auto" w:fill="FFFFFF"/>
        <w:spacing w:after="0" w:line="240" w:lineRule="auto"/>
        <w:ind w:firstLine="709"/>
        <w:jc w:val="both"/>
        <w:rPr>
          <w:rFonts w:ascii="Verdana" w:hAnsi="Verdana" w:cs="Arial"/>
          <w:sz w:val="16"/>
          <w:szCs w:val="16"/>
          <w:lang w:val="es-ES"/>
        </w:rPr>
      </w:pPr>
    </w:p>
  </w:footnote>
  <w:footnote w:id="16">
    <w:p w14:paraId="029BEA2C"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327342BF" w14:textId="77777777" w:rsidR="004F240F" w:rsidRPr="009B20C5" w:rsidRDefault="004F240F" w:rsidP="004F240F">
      <w:pPr>
        <w:pStyle w:val="Textonotapie"/>
        <w:ind w:firstLine="709"/>
        <w:jc w:val="both"/>
        <w:rPr>
          <w:rFonts w:ascii="Verdana" w:hAnsi="Verdana" w:cs="Arial"/>
          <w:sz w:val="16"/>
          <w:szCs w:val="16"/>
        </w:rPr>
      </w:pPr>
    </w:p>
  </w:footnote>
  <w:footnote w:id="17">
    <w:p w14:paraId="0AD46C0A"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2416D2A" w14:textId="77777777" w:rsidR="004F240F" w:rsidRPr="009B20C5" w:rsidRDefault="004F240F" w:rsidP="004F240F">
      <w:pPr>
        <w:pStyle w:val="Textonotapie"/>
        <w:ind w:firstLine="709"/>
        <w:jc w:val="both"/>
        <w:rPr>
          <w:rFonts w:ascii="Verdana" w:hAnsi="Verdana" w:cs="Arial"/>
          <w:sz w:val="16"/>
          <w:szCs w:val="16"/>
        </w:rPr>
      </w:pPr>
    </w:p>
  </w:footnote>
  <w:footnote w:id="18">
    <w:p w14:paraId="73059A34" w14:textId="77777777" w:rsidR="004F240F" w:rsidRDefault="004F240F" w:rsidP="004F240F">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8F9B4B4" w14:textId="77777777" w:rsidR="004F240F" w:rsidRPr="009B20C5" w:rsidRDefault="004F240F" w:rsidP="004F240F">
      <w:pPr>
        <w:spacing w:after="0" w:line="240" w:lineRule="auto"/>
        <w:ind w:firstLine="709"/>
        <w:jc w:val="both"/>
        <w:rPr>
          <w:rFonts w:ascii="Verdana" w:hAnsi="Verdana" w:cs="Arial"/>
          <w:sz w:val="16"/>
          <w:szCs w:val="16"/>
        </w:rPr>
      </w:pPr>
    </w:p>
  </w:footnote>
  <w:footnote w:id="19">
    <w:p w14:paraId="5E9621F3" w14:textId="77777777" w:rsidR="004F240F" w:rsidRDefault="004F240F" w:rsidP="004F240F">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Es lo que sucede, por ejemplo, con el Decreto 092 de 2017, que en su desarrollo hace referencia tanto a los “contratos” como a los “convenios”. </w:t>
      </w:r>
    </w:p>
    <w:p w14:paraId="40A148D6" w14:textId="77777777" w:rsidR="004F240F" w:rsidRPr="0069134B" w:rsidRDefault="004F240F" w:rsidP="004F240F">
      <w:pPr>
        <w:pStyle w:val="Textonotapie"/>
        <w:ind w:firstLine="709"/>
        <w:jc w:val="both"/>
        <w:rPr>
          <w:rFonts w:ascii="Verdana" w:hAnsi="Verdana" w:cs="Arial"/>
          <w:sz w:val="16"/>
          <w:szCs w:val="16"/>
        </w:rPr>
      </w:pPr>
    </w:p>
  </w:footnote>
  <w:footnote w:id="20">
    <w:p w14:paraId="06740041" w14:textId="77777777" w:rsidR="004F240F" w:rsidRDefault="004F240F" w:rsidP="004F240F">
      <w:pPr>
        <w:pStyle w:val="Textonotapie"/>
        <w:ind w:firstLine="709"/>
        <w:jc w:val="both"/>
        <w:rPr>
          <w:rFonts w:ascii="Verdana" w:hAnsi="Verdana" w:cs="Arial"/>
          <w:sz w:val="16"/>
          <w:szCs w:val="16"/>
          <w:lang w:val="pt-BR"/>
        </w:rPr>
      </w:pPr>
      <w:r w:rsidRPr="0069134B">
        <w:rPr>
          <w:rStyle w:val="Refdenotaalpie"/>
          <w:rFonts w:ascii="Verdana" w:hAnsi="Verdana" w:cs="Arial"/>
          <w:sz w:val="16"/>
          <w:szCs w:val="16"/>
        </w:rPr>
        <w:footnoteRef/>
      </w:r>
      <w:r w:rsidRPr="0069134B">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69134B">
        <w:rPr>
          <w:rFonts w:ascii="Verdana" w:hAnsi="Verdana" w:cs="Arial"/>
          <w:sz w:val="16"/>
          <w:szCs w:val="16"/>
          <w:lang w:val="pt-BR"/>
        </w:rPr>
        <w:t>(Corte Constitucional. Sentencia C-671 de 2015. M.P. Alberto Rojas Ríos).</w:t>
      </w:r>
    </w:p>
    <w:p w14:paraId="2B3A6E2B" w14:textId="77777777" w:rsidR="004F240F" w:rsidRPr="0069134B" w:rsidRDefault="004F240F" w:rsidP="004F240F">
      <w:pPr>
        <w:pStyle w:val="Textonotapie"/>
        <w:ind w:firstLine="709"/>
        <w:jc w:val="both"/>
        <w:rPr>
          <w:rFonts w:ascii="Verdana" w:hAnsi="Verdana" w:cs="Arial"/>
          <w:sz w:val="16"/>
          <w:szCs w:val="16"/>
          <w:lang w:val="pt-BR"/>
        </w:rPr>
      </w:pPr>
    </w:p>
  </w:footnote>
  <w:footnote w:id="21">
    <w:p w14:paraId="72A43132" w14:textId="3BB19EE8" w:rsidR="004F240F" w:rsidRPr="007D7A18" w:rsidRDefault="004F240F" w:rsidP="007D7A18">
      <w:pPr>
        <w:pStyle w:val="Textonotapie"/>
        <w:ind w:firstLine="709"/>
        <w:jc w:val="both"/>
        <w:rPr>
          <w:rFonts w:ascii="Verdana" w:hAnsi="Verdana" w:cs="Arial"/>
          <w:sz w:val="16"/>
          <w:szCs w:val="16"/>
          <w:lang w:val="es-CO"/>
        </w:rPr>
      </w:pPr>
      <w:r w:rsidRPr="0069134B">
        <w:rPr>
          <w:rStyle w:val="Refdenotaalpie"/>
          <w:rFonts w:ascii="Verdana" w:hAnsi="Verdana"/>
          <w:sz w:val="16"/>
          <w:szCs w:val="16"/>
        </w:rPr>
        <w:footnoteRef/>
      </w:r>
      <w:r w:rsidRPr="0069134B">
        <w:rPr>
          <w:rFonts w:ascii="Verdana" w:hAnsi="Verdana"/>
          <w:sz w:val="16"/>
          <w:szCs w:val="16"/>
          <w:lang w:val="es-CO"/>
        </w:rPr>
        <w:t xml:space="preserve"> </w:t>
      </w:r>
      <w:r w:rsidRPr="0069134B">
        <w:rPr>
          <w:rFonts w:ascii="Verdana" w:hAnsi="Verdana" w:cs="Arial"/>
          <w:sz w:val="16"/>
          <w:szCs w:val="16"/>
          <w:lang w:val="es-CO"/>
        </w:rPr>
        <w:t>Consejo de Estado, Sección Tercera. Auto del 4 de octubre de 2024. Exp. 70.313. C.P: Fredy Ibarra Martínez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53255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5A86"/>
    <w:rsid w:val="000F6486"/>
    <w:rsid w:val="00116940"/>
    <w:rsid w:val="00125105"/>
    <w:rsid w:val="00127233"/>
    <w:rsid w:val="0015699B"/>
    <w:rsid w:val="00180D42"/>
    <w:rsid w:val="001A33BF"/>
    <w:rsid w:val="001E4177"/>
    <w:rsid w:val="001F0B24"/>
    <w:rsid w:val="001F7DC6"/>
    <w:rsid w:val="0022400B"/>
    <w:rsid w:val="002421BB"/>
    <w:rsid w:val="00244993"/>
    <w:rsid w:val="0025796E"/>
    <w:rsid w:val="002707A2"/>
    <w:rsid w:val="002951A0"/>
    <w:rsid w:val="002962BC"/>
    <w:rsid w:val="002A093D"/>
    <w:rsid w:val="002A0DD0"/>
    <w:rsid w:val="002A49AC"/>
    <w:rsid w:val="002A64FD"/>
    <w:rsid w:val="002C7A84"/>
    <w:rsid w:val="002E2BF8"/>
    <w:rsid w:val="002E4FD9"/>
    <w:rsid w:val="00302BF0"/>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240F"/>
    <w:rsid w:val="004F685F"/>
    <w:rsid w:val="005566E8"/>
    <w:rsid w:val="00574867"/>
    <w:rsid w:val="00591460"/>
    <w:rsid w:val="005A65E0"/>
    <w:rsid w:val="005C3777"/>
    <w:rsid w:val="005C5CDC"/>
    <w:rsid w:val="005D476C"/>
    <w:rsid w:val="005F5341"/>
    <w:rsid w:val="006200BF"/>
    <w:rsid w:val="006219F8"/>
    <w:rsid w:val="006302F7"/>
    <w:rsid w:val="006316C7"/>
    <w:rsid w:val="00646B9F"/>
    <w:rsid w:val="00647F48"/>
    <w:rsid w:val="00665D70"/>
    <w:rsid w:val="006900D9"/>
    <w:rsid w:val="00706C16"/>
    <w:rsid w:val="007340C3"/>
    <w:rsid w:val="0075235A"/>
    <w:rsid w:val="00756841"/>
    <w:rsid w:val="007649AB"/>
    <w:rsid w:val="00771D0C"/>
    <w:rsid w:val="007833AC"/>
    <w:rsid w:val="007A0943"/>
    <w:rsid w:val="007B268C"/>
    <w:rsid w:val="007B7171"/>
    <w:rsid w:val="007C0C0F"/>
    <w:rsid w:val="007C3DC2"/>
    <w:rsid w:val="007D7A18"/>
    <w:rsid w:val="007E5497"/>
    <w:rsid w:val="00806F5F"/>
    <w:rsid w:val="00816C5E"/>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0C66"/>
    <w:rsid w:val="009F3A13"/>
    <w:rsid w:val="00A0476C"/>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2322"/>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64C5"/>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2109457"/>
    <w:rsid w:val="13CFC91B"/>
    <w:rsid w:val="19A2EC2C"/>
    <w:rsid w:val="2859CA1B"/>
    <w:rsid w:val="302467AE"/>
    <w:rsid w:val="32A4F9CF"/>
    <w:rsid w:val="356CEDFD"/>
    <w:rsid w:val="3C77ECC3"/>
    <w:rsid w:val="4102901C"/>
    <w:rsid w:val="44B4B37F"/>
    <w:rsid w:val="48119F7F"/>
    <w:rsid w:val="69614A15"/>
    <w:rsid w:val="6D044EED"/>
    <w:rsid w:val="70065E3C"/>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F240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F240F"/>
    <w:rPr>
      <w:rFonts w:ascii="Geomanist Light" w:hAnsi="Geomanist Light"/>
      <w:lang w:val="es-ES"/>
    </w:rPr>
  </w:style>
  <w:style w:type="character" w:customStyle="1" w:styleId="NormalWebCar">
    <w:name w:val="Normal (Web) Car"/>
    <w:link w:val="NormalWeb"/>
    <w:uiPriority w:val="99"/>
    <w:locked/>
    <w:rsid w:val="004F240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4F240F"/>
    <w:pPr>
      <w:widowControl w:val="0"/>
      <w:autoSpaceDE w:val="0"/>
      <w:autoSpaceDN w:val="0"/>
      <w:spacing w:after="0" w:line="240" w:lineRule="auto"/>
    </w:pPr>
    <w:rPr>
      <w:rFonts w:ascii="Arial" w:eastAsia="Arial" w:hAnsi="Arial" w:cs="Arial"/>
      <w:sz w:val="20"/>
      <w:szCs w:val="20"/>
      <w:lang w:val="es-ES"/>
    </w:rPr>
  </w:style>
  <w:style w:type="character" w:customStyle="1" w:styleId="TextoindependienteCar">
    <w:name w:val="Texto independiente Car"/>
    <w:basedOn w:val="Fuentedeprrafopredeter"/>
    <w:link w:val="Textoindependiente"/>
    <w:uiPriority w:val="1"/>
    <w:rsid w:val="004F240F"/>
    <w:rPr>
      <w:rFonts w:ascii="Arial" w:eastAsia="Arial" w:hAnsi="Arial" w:cs="Arial"/>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3.xml><?xml version="1.0" encoding="utf-8"?>
<ds:datastoreItem xmlns:ds="http://schemas.openxmlformats.org/officeDocument/2006/customXml" ds:itemID="{74917419-17F2-4FED-8419-D51A7C912F1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26</Pages>
  <Words>8570</Words>
  <Characters>47135</Characters>
  <Application>Microsoft Office Word</Application>
  <DocSecurity>0</DocSecurity>
  <Lines>392</Lines>
  <Paragraphs>111</Paragraphs>
  <ScaleCrop>false</ScaleCrop>
  <Company/>
  <LinksUpToDate>false</LinksUpToDate>
  <CharactersWithSpaces>55594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Gloria Arango</cp:lastModifiedBy>
  <cp:revision>3</cp:revision>
  <cp:lastPrinted>2023-01-10T21:18:00Z</cp:lastPrinted>
  <dcterms:created xsi:type="dcterms:W3CDTF">2025-11-07T23:43:00Z</dcterms:created>
  <dcterms:modified xsi:type="dcterms:W3CDTF">2025-11-07T23:53:00Z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