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4098B" w14:textId="77777777" w:rsidR="00AE75E5" w:rsidRPr="00B379C1" w:rsidRDefault="00AE75E5" w:rsidP="00AE75E5">
      <w:pPr>
        <w:spacing w:after="0" w:line="240" w:lineRule="auto"/>
        <w:jc w:val="both"/>
        <w:rPr>
          <w:rFonts w:ascii="Verdana" w:eastAsia="Calibri" w:hAnsi="Verdana"/>
          <w:b/>
          <w:bCs/>
          <w:lang w:val="es-ES_tradnl" w:eastAsia="es-ES_tradnl"/>
        </w:rPr>
      </w:pPr>
      <w:bookmarkStart w:id="0" w:name="_Hlk143780582"/>
      <w:r w:rsidRPr="00B379C1">
        <w:rPr>
          <w:rFonts w:ascii="Verdana" w:eastAsia="Times New Roman" w:hAnsi="Verdana"/>
          <w:b/>
          <w:bCs/>
          <w:lang w:val="es-ES_tradnl" w:eastAsia="es-ES_tradnl"/>
        </w:rPr>
        <w:t xml:space="preserve">CONTRATOS CON ESAL </w:t>
      </w:r>
      <w:r w:rsidRPr="00B379C1">
        <w:rPr>
          <w:rFonts w:ascii="Verdana" w:eastAsia="Calibri" w:hAnsi="Verdana"/>
          <w:b/>
          <w:bCs/>
          <w:lang w:val="es-ES_tradnl" w:eastAsia="es-ES_tradnl"/>
        </w:rPr>
        <w:t>–</w:t>
      </w:r>
      <w:r w:rsidRPr="00B379C1">
        <w:rPr>
          <w:rFonts w:ascii="Verdana" w:eastAsia="Times New Roman" w:hAnsi="Verdana"/>
          <w:b/>
          <w:bCs/>
          <w:lang w:val="es-ES_tradnl" w:eastAsia="es-ES_tradnl"/>
        </w:rPr>
        <w:t xml:space="preserve"> Artículo 355 </w:t>
      </w:r>
      <w:r w:rsidRPr="00B379C1">
        <w:rPr>
          <w:rFonts w:ascii="Verdana" w:eastAsia="Calibri" w:hAnsi="Verdana"/>
          <w:b/>
          <w:bCs/>
          <w:lang w:val="es-ES_tradnl" w:eastAsia="es-ES_tradnl"/>
        </w:rPr>
        <w:t>–</w:t>
      </w:r>
      <w:r w:rsidRPr="00B379C1">
        <w:rPr>
          <w:rFonts w:ascii="Verdana" w:eastAsia="Times New Roman" w:hAnsi="Verdana"/>
          <w:b/>
          <w:bCs/>
          <w:lang w:val="es-ES_tradnl" w:eastAsia="es-ES_tradnl"/>
        </w:rPr>
        <w:t xml:space="preserve"> Constitución </w:t>
      </w:r>
      <w:r w:rsidRPr="00B379C1">
        <w:rPr>
          <w:rFonts w:ascii="Verdana" w:eastAsia="Calibri" w:hAnsi="Verdana"/>
          <w:b/>
          <w:bCs/>
          <w:lang w:val="es-ES_tradnl" w:eastAsia="es-ES_tradnl"/>
        </w:rPr>
        <w:t xml:space="preserve">– Fundamento </w:t>
      </w:r>
    </w:p>
    <w:p w14:paraId="25AEF4FC" w14:textId="77777777" w:rsidR="00AE75E5" w:rsidRPr="00B379C1" w:rsidRDefault="00AE75E5" w:rsidP="00AE75E5">
      <w:pPr>
        <w:spacing w:after="0" w:line="240" w:lineRule="auto"/>
        <w:jc w:val="both"/>
        <w:rPr>
          <w:rFonts w:ascii="Verdana" w:eastAsia="Calibri" w:hAnsi="Verdana"/>
          <w:sz w:val="20"/>
          <w:szCs w:val="20"/>
          <w:lang w:val="es-ES_tradnl" w:eastAsia="es-ES_tradnl"/>
        </w:rPr>
      </w:pPr>
    </w:p>
    <w:p w14:paraId="43F93912" w14:textId="77777777" w:rsidR="00AE75E5" w:rsidRPr="00B379C1" w:rsidRDefault="00AE75E5" w:rsidP="00AE75E5">
      <w:pPr>
        <w:spacing w:after="0" w:line="240" w:lineRule="auto"/>
        <w:jc w:val="both"/>
        <w:rPr>
          <w:rFonts w:ascii="Verdana" w:eastAsia="Calibri" w:hAnsi="Verdana" w:cs="Arial"/>
          <w:sz w:val="20"/>
          <w:szCs w:val="20"/>
          <w:lang w:val="es-ES"/>
        </w:rPr>
      </w:pPr>
      <w:r w:rsidRPr="00B379C1">
        <w:rPr>
          <w:rFonts w:ascii="Verdana" w:eastAsia="Calibri" w:hAnsi="Verdana" w:cs="Arial"/>
          <w:sz w:val="20"/>
          <w:szCs w:val="20"/>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3BE492F6" w14:textId="77777777" w:rsidR="004C4C8D" w:rsidRPr="00B379C1" w:rsidRDefault="004C4C8D" w:rsidP="00AE75E5">
      <w:pPr>
        <w:spacing w:after="0" w:line="240" w:lineRule="auto"/>
        <w:jc w:val="both"/>
        <w:rPr>
          <w:rFonts w:ascii="Verdana" w:eastAsia="Calibri" w:hAnsi="Verdana" w:cs="Arial"/>
          <w:sz w:val="20"/>
          <w:szCs w:val="20"/>
          <w:lang w:val="es-ES"/>
        </w:rPr>
      </w:pPr>
    </w:p>
    <w:p w14:paraId="221BEE73" w14:textId="77777777" w:rsidR="004C4C8D" w:rsidRPr="00B379C1" w:rsidRDefault="004C4C8D" w:rsidP="004C4C8D">
      <w:pPr>
        <w:spacing w:after="0" w:line="240" w:lineRule="auto"/>
        <w:jc w:val="both"/>
        <w:rPr>
          <w:rFonts w:ascii="Verdana" w:eastAsia="Calibri" w:hAnsi="Verdana"/>
          <w:b/>
          <w:bCs/>
          <w:lang w:val="es-ES_tradnl" w:eastAsia="es-ES_tradnl"/>
        </w:rPr>
      </w:pPr>
      <w:r w:rsidRPr="00B379C1">
        <w:rPr>
          <w:rFonts w:ascii="Verdana" w:eastAsia="Times New Roman" w:hAnsi="Verdana"/>
          <w:b/>
          <w:bCs/>
          <w:lang w:val="es-ES_tradnl" w:eastAsia="es-ES_tradnl"/>
        </w:rPr>
        <w:t xml:space="preserve">TIPOS DE CONTRATOS </w:t>
      </w:r>
      <w:r w:rsidRPr="00B379C1">
        <w:rPr>
          <w:rFonts w:ascii="Verdana" w:eastAsia="Calibri" w:hAnsi="Verdana"/>
          <w:b/>
          <w:bCs/>
          <w:lang w:val="es-ES_tradnl" w:eastAsia="es-ES_tradnl"/>
        </w:rPr>
        <w:t>–</w:t>
      </w:r>
      <w:r w:rsidRPr="00B379C1">
        <w:rPr>
          <w:rFonts w:ascii="Verdana" w:eastAsia="Times New Roman" w:hAnsi="Verdana"/>
          <w:b/>
          <w:bCs/>
          <w:lang w:val="es-ES_tradnl" w:eastAsia="es-ES_tradnl"/>
        </w:rPr>
        <w:t xml:space="preserve"> Artículo 355 </w:t>
      </w:r>
      <w:r w:rsidRPr="00B379C1">
        <w:rPr>
          <w:rFonts w:ascii="Verdana" w:eastAsia="Calibri" w:hAnsi="Verdana"/>
          <w:b/>
          <w:bCs/>
          <w:lang w:val="es-ES_tradnl" w:eastAsia="es-ES_tradnl"/>
        </w:rPr>
        <w:t>–</w:t>
      </w:r>
      <w:r w:rsidRPr="00B379C1">
        <w:rPr>
          <w:rFonts w:ascii="Verdana" w:eastAsia="Times New Roman" w:hAnsi="Verdana"/>
          <w:b/>
          <w:bCs/>
          <w:lang w:val="es-ES_tradnl" w:eastAsia="es-ES_tradnl"/>
        </w:rPr>
        <w:t xml:space="preserve"> Constitución </w:t>
      </w:r>
      <w:r w:rsidRPr="00B379C1">
        <w:rPr>
          <w:rFonts w:ascii="Verdana" w:eastAsia="Calibri" w:hAnsi="Verdana"/>
          <w:b/>
          <w:bCs/>
          <w:lang w:val="es-ES_tradnl" w:eastAsia="es-ES_tradnl"/>
        </w:rPr>
        <w:t xml:space="preserve">– ESAL </w:t>
      </w:r>
    </w:p>
    <w:p w14:paraId="24976422" w14:textId="77777777" w:rsidR="004C4C8D" w:rsidRPr="00B379C1" w:rsidRDefault="004C4C8D" w:rsidP="004C4C8D">
      <w:pPr>
        <w:spacing w:after="0" w:line="240" w:lineRule="auto"/>
        <w:jc w:val="both"/>
        <w:rPr>
          <w:rFonts w:ascii="Verdana" w:eastAsia="Calibri" w:hAnsi="Verdana" w:cs="Arial"/>
          <w:sz w:val="20"/>
          <w:szCs w:val="20"/>
          <w:lang w:val="es-ES"/>
        </w:rPr>
      </w:pPr>
    </w:p>
    <w:p w14:paraId="5EE92239" w14:textId="77777777" w:rsidR="004C4C8D" w:rsidRPr="00B379C1" w:rsidRDefault="004C4C8D" w:rsidP="004C4C8D">
      <w:pPr>
        <w:spacing w:after="0" w:line="240" w:lineRule="auto"/>
        <w:jc w:val="both"/>
        <w:rPr>
          <w:rFonts w:ascii="Verdana" w:eastAsia="Calibri" w:hAnsi="Verdana" w:cs="Arial"/>
          <w:sz w:val="20"/>
          <w:szCs w:val="20"/>
          <w:lang w:val="es-ES"/>
        </w:rPr>
      </w:pPr>
      <w:r w:rsidRPr="00B379C1">
        <w:rPr>
          <w:rFonts w:ascii="Verdana" w:eastAsia="Calibri" w:hAnsi="Verdana" w:cs="Arial"/>
          <w:sz w:val="20"/>
          <w:szCs w:val="20"/>
          <w:lang w:val="es-ES"/>
        </w:rPr>
        <w:t xml:space="preserve">De un lado, los </w:t>
      </w:r>
      <w:r w:rsidRPr="00B379C1">
        <w:rPr>
          <w:rFonts w:ascii="Verdana" w:eastAsia="Calibri" w:hAnsi="Verdana" w:cs="Arial"/>
          <w:i/>
          <w:iCs/>
          <w:sz w:val="20"/>
          <w:szCs w:val="20"/>
          <w:lang w:val="es-ES"/>
        </w:rPr>
        <w:t>contratos del artículo 355 de la Constitución Política</w:t>
      </w:r>
      <w:r w:rsidRPr="00B379C1">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Por lo anterior,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30D2D58D" w14:textId="77777777" w:rsidR="004C4C8D" w:rsidRPr="00B379C1" w:rsidRDefault="004C4C8D" w:rsidP="004C4C8D">
      <w:pPr>
        <w:spacing w:after="0" w:line="240" w:lineRule="auto"/>
        <w:jc w:val="both"/>
        <w:rPr>
          <w:rFonts w:ascii="Verdana" w:eastAsia="Calibri" w:hAnsi="Verdana" w:cs="Arial"/>
          <w:sz w:val="20"/>
          <w:szCs w:val="20"/>
          <w:lang w:val="es-ES"/>
        </w:rPr>
      </w:pPr>
    </w:p>
    <w:p w14:paraId="23574AD5" w14:textId="77777777" w:rsidR="004C4C8D" w:rsidRPr="00B379C1" w:rsidRDefault="004C4C8D" w:rsidP="004C4C8D">
      <w:pPr>
        <w:spacing w:after="0" w:line="240" w:lineRule="auto"/>
        <w:jc w:val="both"/>
        <w:rPr>
          <w:rFonts w:ascii="Verdana" w:eastAsia="Calibri" w:hAnsi="Verdana" w:cs="Arial"/>
          <w:sz w:val="20"/>
          <w:szCs w:val="20"/>
          <w:lang w:val="es-MX" w:eastAsia="es-ES_tradnl"/>
        </w:rPr>
      </w:pPr>
      <w:r w:rsidRPr="00B379C1">
        <w:rPr>
          <w:rFonts w:ascii="Verdana" w:eastAsia="Calibri" w:hAnsi="Verdana" w:cs="Arial"/>
          <w:sz w:val="20"/>
          <w:szCs w:val="20"/>
          <w:lang w:val="es-ES"/>
        </w:rPr>
        <w:t xml:space="preserve">De otro lado, los </w:t>
      </w:r>
      <w:r w:rsidRPr="00B379C1">
        <w:rPr>
          <w:rFonts w:ascii="Verdana" w:eastAsia="Calibri" w:hAnsi="Verdana" w:cs="Arial"/>
          <w:i/>
          <w:iCs/>
          <w:sz w:val="20"/>
          <w:szCs w:val="20"/>
          <w:lang w:val="es-ES"/>
        </w:rPr>
        <w:t>convenios de asociación</w:t>
      </w:r>
      <w:r w:rsidRPr="00B379C1">
        <w:rPr>
          <w:rFonts w:ascii="Verdana" w:eastAsia="Calibri" w:hAnsi="Verdana" w:cs="Arial"/>
          <w:sz w:val="20"/>
          <w:szCs w:val="20"/>
          <w:lang w:val="es-ES"/>
        </w:rPr>
        <w:t xml:space="preserve">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w:t>
      </w:r>
      <w:r w:rsidRPr="00B379C1">
        <w:rPr>
          <w:rFonts w:ascii="Verdana" w:eastAsia="Calibri" w:hAnsi="Verdana" w:cs="Arial"/>
          <w:sz w:val="20"/>
          <w:szCs w:val="20"/>
          <w:lang w:val="es-MX" w:eastAsia="es-ES_tradnl"/>
        </w:rPr>
        <w:t xml:space="preserve">De conformidad con el inciso segundo del artículo 96 de la Ley 489 de 1998, en estos convenios debe determinarse “con precisión su objeto, término, obligaciones de las partes, </w:t>
      </w:r>
      <w:r w:rsidRPr="00B379C1">
        <w:rPr>
          <w:rFonts w:ascii="Verdana" w:eastAsia="Calibri" w:hAnsi="Verdana" w:cs="Arial"/>
          <w:i/>
          <w:iCs/>
          <w:sz w:val="20"/>
          <w:szCs w:val="20"/>
          <w:lang w:val="es-MX" w:eastAsia="es-ES_tradnl"/>
        </w:rPr>
        <w:t>aportes</w:t>
      </w:r>
      <w:r w:rsidRPr="00B379C1">
        <w:rPr>
          <w:rFonts w:ascii="Verdana" w:eastAsia="Calibri" w:hAnsi="Verdana" w:cs="Arial"/>
          <w:sz w:val="20"/>
          <w:szCs w:val="20"/>
          <w:lang w:val="es-MX" w:eastAsia="es-ES_tradnl"/>
        </w:rPr>
        <w:t xml:space="preserve">, coordinación y todos aquellos aspectos que se consideren pertinentes”. Dentro de estos elementos se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730FA5D6" w14:textId="77777777" w:rsidR="00A4682B" w:rsidRPr="00B379C1" w:rsidRDefault="00A4682B" w:rsidP="004C4C8D">
      <w:pPr>
        <w:spacing w:after="0" w:line="240" w:lineRule="auto"/>
        <w:jc w:val="both"/>
        <w:rPr>
          <w:rFonts w:ascii="Verdana" w:eastAsia="Calibri" w:hAnsi="Verdana" w:cs="Arial"/>
          <w:sz w:val="20"/>
          <w:szCs w:val="20"/>
          <w:lang w:val="es-MX" w:eastAsia="es-ES_tradnl"/>
        </w:rPr>
      </w:pPr>
    </w:p>
    <w:p w14:paraId="7E43E617" w14:textId="3A59FC34" w:rsidR="00A4682B" w:rsidRPr="00B379C1" w:rsidRDefault="00A4682B" w:rsidP="00A4682B">
      <w:pPr>
        <w:spacing w:after="0" w:line="240" w:lineRule="auto"/>
        <w:jc w:val="both"/>
        <w:rPr>
          <w:rFonts w:ascii="Verdana" w:eastAsia="Calibri" w:hAnsi="Verdana"/>
          <w:b/>
          <w:bCs/>
          <w:lang w:val="es-ES_tradnl" w:eastAsia="es-ES_tradnl"/>
        </w:rPr>
      </w:pPr>
      <w:r w:rsidRPr="00B379C1">
        <w:rPr>
          <w:rFonts w:ascii="Verdana" w:eastAsia="Calibri" w:hAnsi="Verdana"/>
          <w:b/>
          <w:bCs/>
          <w:lang w:val="es-ES_tradnl" w:eastAsia="es-ES_tradnl"/>
        </w:rPr>
        <w:t xml:space="preserve">ESAL – Régimen – Remisión – Artículo 8 – Decreto 092 de 2017 </w:t>
      </w:r>
    </w:p>
    <w:p w14:paraId="0DDEFEC3" w14:textId="77777777" w:rsidR="00A4682B" w:rsidRPr="00B379C1" w:rsidRDefault="00A4682B" w:rsidP="00A4682B">
      <w:pPr>
        <w:spacing w:after="0" w:line="240" w:lineRule="auto"/>
        <w:jc w:val="both"/>
        <w:rPr>
          <w:rFonts w:ascii="Verdana" w:eastAsia="Calibri" w:hAnsi="Verdana" w:cs="Arial"/>
          <w:sz w:val="20"/>
          <w:szCs w:val="20"/>
          <w:lang w:val="es-ES_tradnl"/>
        </w:rPr>
      </w:pPr>
    </w:p>
    <w:p w14:paraId="3EE042CD" w14:textId="77777777" w:rsidR="00A4682B" w:rsidRPr="00B379C1" w:rsidRDefault="00A4682B" w:rsidP="00A4682B">
      <w:pPr>
        <w:spacing w:after="0" w:line="240" w:lineRule="auto"/>
        <w:jc w:val="both"/>
        <w:rPr>
          <w:rFonts w:ascii="Verdana" w:eastAsia="Calibri" w:hAnsi="Verdana" w:cs="Arial"/>
          <w:sz w:val="20"/>
          <w:szCs w:val="20"/>
          <w:lang w:val="es-ES"/>
        </w:rPr>
      </w:pPr>
      <w:r w:rsidRPr="00B379C1">
        <w:rPr>
          <w:rFonts w:ascii="Verdana" w:eastAsia="Calibri" w:hAnsi="Verdana" w:cs="Arial"/>
          <w:sz w:val="20"/>
          <w:szCs w:val="20"/>
          <w:lang w:val="es-ES_tradnl"/>
        </w:rPr>
        <w:t xml:space="preserve">[…] </w:t>
      </w:r>
      <w:r w:rsidRPr="00B379C1">
        <w:rPr>
          <w:rFonts w:ascii="Verdana" w:eastAsia="Calibri" w:hAnsi="Verdana" w:cs="Arial"/>
          <w:sz w:val="20"/>
          <w:szCs w:val="20"/>
          <w:lang w:val="es-ES"/>
        </w:rPr>
        <w:t xml:space="preserve">cuando el artículo 8 del Decreto menciona a las “[…] normas generales aplicables a la contratación pública […]”, está </w:t>
      </w:r>
      <w:r w:rsidRPr="00B379C1">
        <w:rPr>
          <w:rFonts w:ascii="Verdana" w:eastAsia="Calibri" w:hAnsi="Verdana" w:cs="Arial"/>
          <w:i/>
          <w:iCs/>
          <w:sz w:val="20"/>
          <w:szCs w:val="20"/>
          <w:lang w:val="es-ES"/>
        </w:rPr>
        <w:t>remitiendo integralmente</w:t>
      </w:r>
      <w:r w:rsidRPr="00B379C1">
        <w:rPr>
          <w:rFonts w:ascii="Verdana" w:eastAsia="Calibri" w:hAnsi="Verdana" w:cs="Arial"/>
          <w:sz w:val="20"/>
          <w:szCs w:val="20"/>
          <w:lang w:val="es-ES"/>
        </w:rPr>
        <w:t xml:space="preserve"> al EGCAP.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3EA06A53" w14:textId="231F0140" w:rsidR="001271A5" w:rsidRPr="00B379C1" w:rsidRDefault="001271A5" w:rsidP="001271A5">
      <w:pPr>
        <w:spacing w:after="0"/>
        <w:jc w:val="both"/>
        <w:rPr>
          <w:rFonts w:ascii="Verdana" w:hAnsi="Verdana" w:cs="Arial"/>
          <w:b/>
          <w:kern w:val="2"/>
          <w:lang w:val="es-ES"/>
          <w14:ligatures w14:val="standardContextual"/>
        </w:rPr>
      </w:pPr>
      <w:r w:rsidRPr="00B379C1">
        <w:rPr>
          <w:rFonts w:ascii="Verdana" w:hAnsi="Verdana" w:cs="Arial"/>
          <w:b/>
          <w:kern w:val="2"/>
          <w:lang w:val="es-ES"/>
          <w14:ligatures w14:val="standardContextual"/>
        </w:rPr>
        <w:lastRenderedPageBreak/>
        <w:t>INTEGRACIÓN NORMATIVA – Convenios de asociación</w:t>
      </w:r>
      <w:r w:rsidR="00002B53" w:rsidRPr="00B379C1">
        <w:rPr>
          <w:rFonts w:ascii="Verdana" w:hAnsi="Verdana" w:cs="Arial"/>
          <w:b/>
          <w:kern w:val="2"/>
          <w:lang w:val="es-ES"/>
          <w14:ligatures w14:val="standardContextual"/>
        </w:rPr>
        <w:t xml:space="preserve"> – Contratos del Artículo 355</w:t>
      </w:r>
      <w:r w:rsidRPr="00B379C1">
        <w:rPr>
          <w:rFonts w:ascii="Verdana" w:hAnsi="Verdana" w:cs="Arial"/>
          <w:b/>
          <w:kern w:val="2"/>
          <w:lang w:val="es-ES"/>
          <w14:ligatures w14:val="standardContextual"/>
        </w:rPr>
        <w:t xml:space="preserve"> - Reglas – inaplicabilidad del anticipo y pago anticipado</w:t>
      </w:r>
    </w:p>
    <w:p w14:paraId="2B1BB73D" w14:textId="77777777" w:rsidR="001271A5" w:rsidRPr="00B379C1" w:rsidRDefault="001271A5" w:rsidP="001271A5">
      <w:pPr>
        <w:spacing w:after="0" w:line="240" w:lineRule="auto"/>
        <w:jc w:val="both"/>
        <w:rPr>
          <w:rFonts w:ascii="Verdana" w:eastAsia="Calibri" w:hAnsi="Verdana" w:cs="Arial"/>
          <w:sz w:val="20"/>
          <w:lang w:val="es-ES"/>
        </w:rPr>
      </w:pPr>
    </w:p>
    <w:p w14:paraId="615164C4" w14:textId="77777777" w:rsidR="001271A5" w:rsidRPr="00B379C1" w:rsidRDefault="001271A5" w:rsidP="001271A5">
      <w:pPr>
        <w:spacing w:after="0" w:line="240" w:lineRule="auto"/>
        <w:jc w:val="both"/>
        <w:rPr>
          <w:rFonts w:ascii="Verdana" w:eastAsia="Calibri" w:hAnsi="Verdana" w:cs="Arial"/>
          <w:sz w:val="20"/>
          <w:lang w:val="es-ES"/>
        </w:rPr>
      </w:pPr>
      <w:r w:rsidRPr="00B379C1">
        <w:rPr>
          <w:rFonts w:ascii="Verdana" w:eastAsia="Calibri" w:hAnsi="Verdana" w:cs="Arial"/>
          <w:sz w:val="20"/>
          <w:lang w:val="es-ES"/>
        </w:rPr>
        <w:t xml:space="preserve">En esta medida, los </w:t>
      </w:r>
      <w:r w:rsidRPr="00B379C1">
        <w:rPr>
          <w:rFonts w:ascii="Verdana" w:eastAsia="Calibri" w:hAnsi="Verdana" w:cs="Arial"/>
          <w:i/>
          <w:iCs/>
          <w:sz w:val="20"/>
          <w:lang w:val="es-ES"/>
        </w:rPr>
        <w:t xml:space="preserve">contratos del artículo 355 de la Constitución </w:t>
      </w:r>
      <w:r w:rsidRPr="00B379C1">
        <w:rPr>
          <w:rFonts w:ascii="Verdana" w:eastAsia="Calibri" w:hAnsi="Verdana" w:cs="Arial"/>
          <w:sz w:val="20"/>
          <w:lang w:val="es-ES"/>
        </w:rPr>
        <w:t xml:space="preserve">y los </w:t>
      </w:r>
      <w:r w:rsidRPr="00B379C1">
        <w:rPr>
          <w:rFonts w:ascii="Verdana" w:eastAsia="Calibri" w:hAnsi="Verdana" w:cs="Arial"/>
          <w:i/>
          <w:iCs/>
          <w:sz w:val="20"/>
          <w:lang w:val="es-ES"/>
        </w:rPr>
        <w:t>convenios de asociación</w:t>
      </w:r>
      <w:r w:rsidRPr="00B379C1">
        <w:rPr>
          <w:rFonts w:ascii="Verdana" w:eastAsia="Calibri" w:hAnsi="Verdana" w:cs="Arial"/>
          <w:sz w:val="20"/>
          <w:lang w:val="es-ES"/>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la prohibición de adicionarlo en más del cincuenta por ciento –art. 40–, el régimen de perfeccionamiento –art. 41–, las causales de nulidad –art. 44 y ss.–, el régimen de responsabilidad contractual –art. 50 y ss.– y de liquidación de los contratos –art. 60–. </w:t>
      </w:r>
    </w:p>
    <w:p w14:paraId="0A93A998" w14:textId="77777777" w:rsidR="001271A5" w:rsidRPr="00B379C1" w:rsidRDefault="001271A5" w:rsidP="001271A5">
      <w:pPr>
        <w:spacing w:after="0" w:line="240" w:lineRule="auto"/>
        <w:jc w:val="both"/>
        <w:rPr>
          <w:rFonts w:ascii="Verdana" w:eastAsia="Calibri" w:hAnsi="Verdana" w:cs="Arial"/>
          <w:sz w:val="20"/>
          <w:lang w:val="es-ES"/>
        </w:rPr>
      </w:pPr>
    </w:p>
    <w:p w14:paraId="5DDDDF65" w14:textId="77777777" w:rsidR="001271A5" w:rsidRPr="00B379C1" w:rsidRDefault="001271A5" w:rsidP="001271A5">
      <w:pPr>
        <w:spacing w:after="0" w:line="240" w:lineRule="auto"/>
        <w:jc w:val="both"/>
        <w:rPr>
          <w:rFonts w:ascii="Verdana" w:eastAsia="Calibri" w:hAnsi="Verdana" w:cs="Arial"/>
          <w:sz w:val="20"/>
          <w:lang w:val="es-ES"/>
        </w:rPr>
      </w:pPr>
      <w:r w:rsidRPr="00B379C1">
        <w:rPr>
          <w:rFonts w:ascii="Verdana" w:eastAsia="Calibri" w:hAnsi="Verdana" w:cs="Arial"/>
          <w:sz w:val="20"/>
          <w:lang w:val="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r w:rsidRPr="00B379C1">
        <w:rPr>
          <w:rFonts w:ascii="Verdana" w:eastAsia="Calibri" w:hAnsi="Verdana" w:cs="Times New Roman"/>
          <w:sz w:val="18"/>
          <w:szCs w:val="20"/>
          <w:lang w:val="es-ES"/>
        </w:rPr>
        <w:t xml:space="preserve"> </w:t>
      </w:r>
    </w:p>
    <w:p w14:paraId="23D001DB" w14:textId="77777777" w:rsidR="001271A5" w:rsidRPr="00B379C1" w:rsidRDefault="001271A5" w:rsidP="001271A5">
      <w:pPr>
        <w:tabs>
          <w:tab w:val="left" w:pos="284"/>
        </w:tabs>
        <w:spacing w:after="0" w:line="240" w:lineRule="auto"/>
        <w:jc w:val="both"/>
        <w:rPr>
          <w:rFonts w:ascii="Verdana" w:eastAsia="Arial" w:hAnsi="Verdana" w:cs="Arial"/>
          <w:sz w:val="20"/>
          <w:lang w:val="es-ES" w:eastAsia="es-ES" w:bidi="es-ES"/>
        </w:rPr>
      </w:pPr>
    </w:p>
    <w:p w14:paraId="7DE3F211" w14:textId="77777777" w:rsidR="001271A5" w:rsidRPr="00B379C1" w:rsidRDefault="001271A5" w:rsidP="001271A5">
      <w:pPr>
        <w:tabs>
          <w:tab w:val="left" w:pos="284"/>
        </w:tabs>
        <w:spacing w:after="0" w:line="240" w:lineRule="auto"/>
        <w:jc w:val="both"/>
        <w:rPr>
          <w:rFonts w:ascii="Verdana" w:eastAsia="Calibri" w:hAnsi="Verdana" w:cs="Arial"/>
          <w:bCs/>
          <w:sz w:val="20"/>
        </w:rPr>
      </w:pPr>
      <w:r w:rsidRPr="00B379C1">
        <w:rPr>
          <w:rFonts w:ascii="Verdana" w:eastAsia="Arial" w:hAnsi="Verdana" w:cs="Arial"/>
          <w:sz w:val="20"/>
          <w:lang w:eastAsia="es-ES" w:bidi="es-ES"/>
        </w:rPr>
        <w:t xml:space="preserve">Conforme a lo expresado,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w:t>
      </w:r>
      <w:r w:rsidRPr="00B379C1">
        <w:rPr>
          <w:rFonts w:ascii="Verdana" w:eastAsia="Calibri" w:hAnsi="Verdana" w:cs="Arial"/>
          <w:bCs/>
          <w:sz w:val="20"/>
        </w:rPr>
        <w:t xml:space="preserve">una contraprestación económica, no es aplicable la remisión integral al anticipo o pago anticipado. </w:t>
      </w:r>
    </w:p>
    <w:p w14:paraId="2CCA6944" w14:textId="77777777" w:rsidR="001271A5" w:rsidRPr="00B379C1" w:rsidRDefault="001271A5" w:rsidP="001271A5">
      <w:pPr>
        <w:shd w:val="clear" w:color="auto" w:fill="FFFFFF"/>
        <w:spacing w:after="0" w:line="240" w:lineRule="auto"/>
        <w:jc w:val="both"/>
        <w:textAlignment w:val="baseline"/>
        <w:rPr>
          <w:rFonts w:ascii="Verdana" w:eastAsia="Calibri" w:hAnsi="Verdana" w:cs="Arial"/>
          <w:bCs/>
          <w:sz w:val="20"/>
        </w:rPr>
      </w:pPr>
    </w:p>
    <w:p w14:paraId="6C352F8A" w14:textId="77777777" w:rsidR="001271A5" w:rsidRPr="00B379C1" w:rsidRDefault="001271A5" w:rsidP="001271A5">
      <w:pPr>
        <w:shd w:val="clear" w:color="auto" w:fill="FFFFFF"/>
        <w:spacing w:after="0" w:line="240" w:lineRule="auto"/>
        <w:jc w:val="both"/>
        <w:textAlignment w:val="baseline"/>
        <w:rPr>
          <w:rFonts w:ascii="Verdana" w:eastAsia="Calibri" w:hAnsi="Verdana" w:cs="Arial"/>
          <w:bCs/>
          <w:sz w:val="20"/>
          <w:lang w:val="es-ES_tradnl"/>
        </w:rPr>
      </w:pPr>
      <w:r w:rsidRPr="00B379C1">
        <w:rPr>
          <w:rFonts w:ascii="Verdana" w:eastAsia="Calibri" w:hAnsi="Verdana" w:cs="Arial"/>
          <w:bCs/>
          <w:sz w:val="20"/>
        </w:rPr>
        <w:t xml:space="preserve">Según el marco jurídico aplicable del Decreto 092 de 2017, se prohíbe que de dichos convenios emanen intereses onerosos, o produzca obligaciones entre los extremos con equivalencia entre sí, como sucede con los contratos de obra o de suministro, y por tanto, no puede estipularse anticipos y pagos anticipados que por su naturaleza tienen un carácter prestacional. </w:t>
      </w:r>
      <w:r w:rsidRPr="00B379C1">
        <w:rPr>
          <w:rFonts w:ascii="Verdana" w:eastAsia="Calibri" w:hAnsi="Verdana" w:cs="Arial"/>
          <w:bCs/>
          <w:sz w:val="20"/>
          <w:lang w:val="es-ES_tradnl"/>
        </w:rPr>
        <w:t xml:space="preserve">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del convenio. </w:t>
      </w:r>
    </w:p>
    <w:p w14:paraId="0D6A35D8" w14:textId="77777777" w:rsidR="001271A5" w:rsidRPr="00B379C1" w:rsidRDefault="001271A5" w:rsidP="00A4682B">
      <w:pPr>
        <w:spacing w:after="0" w:line="240" w:lineRule="auto"/>
        <w:jc w:val="both"/>
        <w:rPr>
          <w:rFonts w:ascii="Verdana" w:eastAsia="Calibri" w:hAnsi="Verdana" w:cs="Arial"/>
          <w:sz w:val="20"/>
          <w:szCs w:val="20"/>
          <w:lang w:val="es-ES_tradnl"/>
        </w:rPr>
      </w:pPr>
    </w:p>
    <w:p w14:paraId="392DAD43"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072052EA"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36AF8EE2"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651A4996"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79FA34FD"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7B284010"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5C8422E4"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05AB6C49" w14:textId="77777777" w:rsidR="00B33F97" w:rsidRPr="00B379C1" w:rsidRDefault="00B33F97" w:rsidP="00A4682B">
      <w:pPr>
        <w:spacing w:after="0" w:line="240" w:lineRule="auto"/>
        <w:jc w:val="both"/>
        <w:rPr>
          <w:rFonts w:ascii="Verdana" w:eastAsia="Calibri" w:hAnsi="Verdana" w:cs="Arial"/>
          <w:sz w:val="20"/>
          <w:szCs w:val="20"/>
          <w:lang w:val="es-ES_tradnl"/>
        </w:rPr>
      </w:pPr>
    </w:p>
    <w:p w14:paraId="7E50D68D" w14:textId="77777777" w:rsidR="00A4682B" w:rsidRPr="00B379C1" w:rsidRDefault="00A4682B" w:rsidP="004C4C8D">
      <w:pPr>
        <w:spacing w:after="0" w:line="240" w:lineRule="auto"/>
        <w:jc w:val="both"/>
        <w:rPr>
          <w:rFonts w:ascii="Verdana" w:eastAsia="Calibri" w:hAnsi="Verdana" w:cs="Arial"/>
          <w:sz w:val="20"/>
          <w:szCs w:val="20"/>
          <w:lang w:val="es-ES" w:eastAsia="es-ES_tradnl"/>
        </w:rPr>
      </w:pPr>
    </w:p>
    <w:p w14:paraId="2A16E420" w14:textId="77777777" w:rsidR="00CB4E03" w:rsidRPr="00B379C1" w:rsidRDefault="00CB4E03" w:rsidP="00E245AB">
      <w:pPr>
        <w:spacing w:after="0"/>
        <w:rPr>
          <w:rFonts w:ascii="Verdana" w:eastAsia="Calibri" w:hAnsi="Verdana" w:cs="Arial"/>
          <w:sz w:val="20"/>
          <w:szCs w:val="20"/>
          <w:lang w:val="es-MX"/>
        </w:rPr>
      </w:pPr>
    </w:p>
    <w:p w14:paraId="3FE2184B" w14:textId="2B362DF9" w:rsidR="00E245AB" w:rsidRDefault="00897A3A" w:rsidP="00E245AB">
      <w:pPr>
        <w:spacing w:after="0"/>
        <w:rPr>
          <w:rFonts w:ascii="Verdana" w:hAnsi="Verdana"/>
        </w:rPr>
      </w:pPr>
      <w:r w:rsidRPr="00B379C1">
        <w:rPr>
          <w:rFonts w:ascii="Verdana" w:hAnsi="Verdana"/>
        </w:rPr>
        <w:lastRenderedPageBreak/>
        <w:t xml:space="preserve">Bogotá D.C., </w:t>
      </w:r>
      <w:r w:rsidR="00EE64D0">
        <w:rPr>
          <w:rFonts w:ascii="Verdana" w:hAnsi="Verdana"/>
        </w:rPr>
        <w:t>31 de octubre del 2025</w:t>
      </w:r>
    </w:p>
    <w:p w14:paraId="6B89CC39" w14:textId="77777777" w:rsidR="00EE64D0" w:rsidRDefault="00EE64D0" w:rsidP="00E245AB">
      <w:pPr>
        <w:spacing w:after="0"/>
        <w:rPr>
          <w:rFonts w:ascii="Verdana" w:hAnsi="Verdana"/>
        </w:rPr>
      </w:pPr>
    </w:p>
    <w:p w14:paraId="008BCA28" w14:textId="3CA2C294" w:rsidR="00EE64D0" w:rsidRPr="00B379C1" w:rsidRDefault="00EE64D0" w:rsidP="00EE64D0">
      <w:pPr>
        <w:spacing w:after="0"/>
        <w:jc w:val="right"/>
        <w:rPr>
          <w:rFonts w:ascii="Verdana" w:hAnsi="Verdana"/>
        </w:rPr>
      </w:pPr>
      <w:r w:rsidRPr="00EE64D0">
        <w:rPr>
          <w:rFonts w:ascii="Verdana" w:hAnsi="Verdana"/>
        </w:rPr>
        <w:drawing>
          <wp:inline distT="0" distB="0" distL="0" distR="0" wp14:anchorId="4B0F84FA" wp14:editId="5655624A">
            <wp:extent cx="3152775" cy="914400"/>
            <wp:effectExtent l="0" t="0" r="9525" b="0"/>
            <wp:docPr id="62403333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033337" name="Imagen 1" descr="Texto&#10;&#10;El contenido generado por IA puede ser incorrecto."/>
                    <pic:cNvPicPr/>
                  </pic:nvPicPr>
                  <pic:blipFill>
                    <a:blip r:embed="rId10"/>
                    <a:stretch>
                      <a:fillRect/>
                    </a:stretch>
                  </pic:blipFill>
                  <pic:spPr>
                    <a:xfrm>
                      <a:off x="0" y="0"/>
                      <a:ext cx="3153224" cy="914530"/>
                    </a:xfrm>
                    <a:prstGeom prst="rect">
                      <a:avLst/>
                    </a:prstGeom>
                  </pic:spPr>
                </pic:pic>
              </a:graphicData>
            </a:graphic>
          </wp:inline>
        </w:drawing>
      </w:r>
    </w:p>
    <w:bookmarkEnd w:id="0"/>
    <w:p w14:paraId="67309508" w14:textId="2935E1B0" w:rsidR="008C0B1F" w:rsidRPr="00B379C1" w:rsidRDefault="008C0B1F" w:rsidP="008C0B1F">
      <w:pPr>
        <w:spacing w:after="0" w:line="240" w:lineRule="auto"/>
        <w:jc w:val="both"/>
        <w:rPr>
          <w:rFonts w:ascii="Verdana" w:eastAsia="Calibri" w:hAnsi="Verdana" w:cs="Arial"/>
          <w:color w:val="000000" w:themeColor="text1"/>
          <w:lang w:val="es-ES" w:eastAsia="es-ES"/>
        </w:rPr>
      </w:pPr>
      <w:r w:rsidRPr="00B379C1">
        <w:rPr>
          <w:rFonts w:ascii="Verdana" w:eastAsia="Calibri" w:hAnsi="Verdana" w:cs="Arial"/>
          <w:color w:val="000000" w:themeColor="text1"/>
          <w:lang w:val="es-ES" w:eastAsia="es-ES"/>
        </w:rPr>
        <w:t>Señor:</w:t>
      </w:r>
    </w:p>
    <w:p w14:paraId="4DD2341D" w14:textId="1DC412D3" w:rsidR="008C0B1F" w:rsidRPr="00B379C1" w:rsidRDefault="00CE29A0" w:rsidP="008C0B1F">
      <w:pPr>
        <w:spacing w:after="0" w:line="240" w:lineRule="auto"/>
        <w:jc w:val="both"/>
        <w:rPr>
          <w:rFonts w:ascii="Verdana" w:eastAsia="Calibri" w:hAnsi="Verdana" w:cs="Arial"/>
          <w:b/>
          <w:bCs/>
          <w:color w:val="000000" w:themeColor="text1"/>
          <w:lang w:val="es-ES" w:eastAsia="es-ES"/>
        </w:rPr>
      </w:pPr>
      <w:r w:rsidRPr="00B379C1">
        <w:rPr>
          <w:rFonts w:ascii="Verdana" w:eastAsia="Calibri" w:hAnsi="Verdana" w:cs="Arial"/>
          <w:b/>
          <w:bCs/>
          <w:color w:val="000000" w:themeColor="text1"/>
          <w:lang w:val="es-ES" w:eastAsia="es-ES"/>
        </w:rPr>
        <w:t xml:space="preserve">Oscar Fabian </w:t>
      </w:r>
      <w:bookmarkStart w:id="1" w:name="_Hlk211441723"/>
      <w:r w:rsidRPr="00B379C1">
        <w:rPr>
          <w:rFonts w:ascii="Verdana" w:eastAsia="Calibri" w:hAnsi="Verdana" w:cs="Arial"/>
          <w:b/>
          <w:bCs/>
          <w:color w:val="000000" w:themeColor="text1"/>
          <w:lang w:val="es-ES" w:eastAsia="es-ES"/>
        </w:rPr>
        <w:t xml:space="preserve">López </w:t>
      </w:r>
      <w:bookmarkEnd w:id="1"/>
      <w:r w:rsidRPr="00B379C1">
        <w:rPr>
          <w:rFonts w:ascii="Verdana" w:eastAsia="Calibri" w:hAnsi="Verdana" w:cs="Arial"/>
          <w:b/>
          <w:bCs/>
          <w:color w:val="000000" w:themeColor="text1"/>
          <w:lang w:val="es-ES" w:eastAsia="es-ES"/>
        </w:rPr>
        <w:t>Sierra</w:t>
      </w:r>
    </w:p>
    <w:p w14:paraId="53CC5439" w14:textId="52868848" w:rsidR="00C62A35" w:rsidRPr="00B379C1" w:rsidRDefault="00C62A35" w:rsidP="008C0B1F">
      <w:pPr>
        <w:spacing w:after="0" w:line="240" w:lineRule="auto"/>
        <w:rPr>
          <w:rFonts w:ascii="Verdana" w:hAnsi="Verdana"/>
        </w:rPr>
      </w:pPr>
      <w:hyperlink r:id="rId11" w:history="1">
        <w:r w:rsidRPr="00B379C1">
          <w:rPr>
            <w:rStyle w:val="Hipervnculo"/>
            <w:rFonts w:ascii="Verdana" w:hAnsi="Verdana"/>
          </w:rPr>
          <w:t>oscarfabianlopezsierra@gmail.com</w:t>
        </w:r>
      </w:hyperlink>
    </w:p>
    <w:p w14:paraId="1582A38C" w14:textId="3EB30D58" w:rsidR="008C0B1F" w:rsidRPr="00B379C1" w:rsidRDefault="00C62A35" w:rsidP="008C0B1F">
      <w:pPr>
        <w:spacing w:after="0" w:line="240" w:lineRule="auto"/>
        <w:rPr>
          <w:rFonts w:ascii="Verdana" w:eastAsia="Calibri" w:hAnsi="Verdana" w:cs="Arial"/>
          <w:b/>
          <w:color w:val="000000" w:themeColor="text1"/>
          <w:lang w:val="es-ES" w:eastAsia="es-ES"/>
        </w:rPr>
      </w:pPr>
      <w:r w:rsidRPr="00B379C1">
        <w:rPr>
          <w:rFonts w:ascii="Verdana" w:eastAsia="Calibri" w:hAnsi="Verdana" w:cs="Arial"/>
          <w:color w:val="000000" w:themeColor="text1"/>
          <w:lang w:val="es-ES" w:eastAsia="es-ES"/>
        </w:rPr>
        <w:t>Tunja</w:t>
      </w:r>
      <w:r w:rsidR="008C0B1F" w:rsidRPr="00B379C1">
        <w:rPr>
          <w:rFonts w:ascii="Verdana" w:eastAsia="Calibri" w:hAnsi="Verdana" w:cs="Arial"/>
          <w:color w:val="000000" w:themeColor="text1"/>
          <w:lang w:val="es-ES" w:eastAsia="es-ES"/>
        </w:rPr>
        <w:t xml:space="preserve">, </w:t>
      </w:r>
      <w:r w:rsidR="009F05F3" w:rsidRPr="00B379C1">
        <w:rPr>
          <w:rFonts w:ascii="Verdana" w:eastAsia="Calibri" w:hAnsi="Verdana" w:cs="Arial"/>
          <w:color w:val="000000" w:themeColor="text1"/>
          <w:lang w:val="es-ES" w:eastAsia="es-ES"/>
        </w:rPr>
        <w:t>Boyacá</w:t>
      </w:r>
    </w:p>
    <w:p w14:paraId="4FC8F991" w14:textId="77777777" w:rsidR="008C0B1F" w:rsidRPr="00B379C1" w:rsidRDefault="008C0B1F" w:rsidP="008C0B1F">
      <w:pPr>
        <w:spacing w:after="0" w:line="240" w:lineRule="auto"/>
        <w:rPr>
          <w:rFonts w:ascii="Verdana" w:eastAsia="Calibri" w:hAnsi="Verdana" w:cs="Arial"/>
          <w:b/>
          <w:bCs/>
          <w:color w:val="000000" w:themeColor="text1"/>
          <w:highlight w:val="cyan"/>
          <w:lang w:val="es-ES_tradnl" w:eastAsia="es-ES_tradnl"/>
        </w:rPr>
      </w:pPr>
    </w:p>
    <w:p w14:paraId="6C1B02FE" w14:textId="77777777" w:rsidR="008C0B1F" w:rsidRPr="00B379C1" w:rsidRDefault="008C0B1F" w:rsidP="008C0B1F">
      <w:pPr>
        <w:spacing w:after="0" w:line="240" w:lineRule="auto"/>
        <w:rPr>
          <w:rFonts w:ascii="Verdana" w:eastAsia="Calibri" w:hAnsi="Verdana" w:cs="Arial"/>
          <w:b/>
          <w:bCs/>
          <w:color w:val="000000" w:themeColor="text1"/>
          <w:highlight w:val="cyan"/>
          <w:lang w:val="es-ES_tradnl" w:eastAsia="es-ES_tradnl"/>
        </w:rPr>
      </w:pPr>
    </w:p>
    <w:p w14:paraId="634EC9E0" w14:textId="60E41385" w:rsidR="008C0B1F" w:rsidRPr="00B379C1" w:rsidRDefault="008C0B1F" w:rsidP="008C0B1F">
      <w:pPr>
        <w:spacing w:after="0" w:line="240" w:lineRule="auto"/>
        <w:rPr>
          <w:rFonts w:ascii="Verdana" w:eastAsia="Calibri" w:hAnsi="Verdana" w:cs="Arial"/>
          <w:b/>
          <w:bCs/>
          <w:color w:val="000000" w:themeColor="text1"/>
          <w:lang w:val="es-ES_tradnl" w:eastAsia="es-ES_tradnl"/>
        </w:rPr>
      </w:pPr>
      <w:r w:rsidRPr="00B379C1">
        <w:rPr>
          <w:rFonts w:ascii="Verdana" w:eastAsia="Calibri" w:hAnsi="Verdana" w:cs="Arial"/>
          <w:b/>
          <w:bCs/>
          <w:color w:val="000000" w:themeColor="text1"/>
          <w:lang w:val="es-ES_tradnl" w:eastAsia="es-ES_tradnl"/>
        </w:rPr>
        <w:t xml:space="preserve">                                   Concepto </w:t>
      </w:r>
      <w:r w:rsidR="005A0F36" w:rsidRPr="00B379C1">
        <w:rPr>
          <w:rFonts w:ascii="Verdana" w:eastAsia="Calibri" w:hAnsi="Verdana" w:cs="Arial"/>
          <w:b/>
          <w:bCs/>
          <w:color w:val="000000" w:themeColor="text1"/>
          <w:lang w:val="es-ES_tradnl" w:eastAsia="es-ES_tradnl"/>
        </w:rPr>
        <w:t xml:space="preserve">C-1413 </w:t>
      </w:r>
      <w:r w:rsidRPr="00B379C1">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C0B1F" w:rsidRPr="00B379C1" w14:paraId="7B032968" w14:textId="77777777" w:rsidTr="002D0420">
        <w:trPr>
          <w:gridAfter w:val="1"/>
          <w:wAfter w:w="6100" w:type="dxa"/>
          <w:trHeight w:val="59"/>
        </w:trPr>
        <w:tc>
          <w:tcPr>
            <w:tcW w:w="2689" w:type="dxa"/>
          </w:tcPr>
          <w:p w14:paraId="60A37D1A" w14:textId="77777777" w:rsidR="008C0B1F" w:rsidRPr="00B379C1" w:rsidRDefault="008C0B1F" w:rsidP="00C50BF4">
            <w:pPr>
              <w:jc w:val="both"/>
              <w:rPr>
                <w:rFonts w:ascii="Verdana" w:eastAsia="Calibri" w:hAnsi="Verdana" w:cs="Arial"/>
                <w:b/>
                <w:bCs/>
                <w:color w:val="000000" w:themeColor="text1"/>
                <w:highlight w:val="cyan"/>
                <w:lang w:val="es-ES_tradnl" w:eastAsia="es-ES_tradnl"/>
              </w:rPr>
            </w:pPr>
          </w:p>
        </w:tc>
      </w:tr>
      <w:tr w:rsidR="008C0B1F" w:rsidRPr="00B379C1" w14:paraId="2A7099B9" w14:textId="77777777" w:rsidTr="00C50BF4">
        <w:trPr>
          <w:trHeight w:val="884"/>
        </w:trPr>
        <w:tc>
          <w:tcPr>
            <w:tcW w:w="2689" w:type="dxa"/>
          </w:tcPr>
          <w:p w14:paraId="43586840" w14:textId="1152C6E6" w:rsidR="008C0B1F" w:rsidRPr="00B379C1" w:rsidRDefault="005A35DD" w:rsidP="00C50BF4">
            <w:pPr>
              <w:jc w:val="both"/>
              <w:rPr>
                <w:rFonts w:ascii="Verdana" w:eastAsia="Calibri" w:hAnsi="Verdana" w:cs="Arial"/>
                <w:color w:val="000000" w:themeColor="text1"/>
                <w:highlight w:val="cyan"/>
                <w:lang w:val="es-ES_tradnl" w:eastAsia="es-ES_tradnl"/>
              </w:rPr>
            </w:pPr>
            <w:r>
              <w:rPr>
                <w:rFonts w:ascii="Verdana" w:eastAsia="Calibri" w:hAnsi="Verdana" w:cs="Arial"/>
                <w:b/>
                <w:color w:val="000000" w:themeColor="text1"/>
                <w:lang w:val="es-ES_tradnl" w:eastAsia="es-ES_tradnl"/>
              </w:rPr>
              <w:t>T</w:t>
            </w:r>
            <w:r w:rsidR="008C0B1F" w:rsidRPr="00B379C1">
              <w:rPr>
                <w:rFonts w:ascii="Verdana" w:eastAsia="Calibri" w:hAnsi="Verdana" w:cs="Arial"/>
                <w:b/>
                <w:color w:val="000000" w:themeColor="text1"/>
                <w:lang w:val="es-ES_tradnl" w:eastAsia="es-ES_tradnl"/>
              </w:rPr>
              <w:t>emas:</w:t>
            </w:r>
            <w:r w:rsidR="008C0B1F" w:rsidRPr="00B379C1">
              <w:rPr>
                <w:rFonts w:ascii="Verdana" w:eastAsia="Calibri" w:hAnsi="Verdana" w:cs="Arial"/>
                <w:color w:val="000000" w:themeColor="text1"/>
                <w:lang w:val="es-ES_tradnl" w:eastAsia="es-ES_tradnl"/>
              </w:rPr>
              <w:t xml:space="preserve">                   </w:t>
            </w:r>
          </w:p>
        </w:tc>
        <w:tc>
          <w:tcPr>
            <w:tcW w:w="6100" w:type="dxa"/>
          </w:tcPr>
          <w:p w14:paraId="62C2BBFB" w14:textId="4982C117" w:rsidR="00B23F8E" w:rsidRPr="00B379C1" w:rsidRDefault="00B23F8E" w:rsidP="00B23F8E">
            <w:pPr>
              <w:spacing w:line="276" w:lineRule="auto"/>
              <w:jc w:val="both"/>
              <w:rPr>
                <w:rFonts w:ascii="Verdana" w:eastAsia="Calibri" w:hAnsi="Verdana"/>
                <w:lang w:val="es-ES" w:eastAsia="es-ES_tradnl"/>
              </w:rPr>
            </w:pPr>
            <w:r w:rsidRPr="00B379C1">
              <w:rPr>
                <w:rFonts w:ascii="Verdana" w:eastAsia="Times New Roman" w:hAnsi="Verdana"/>
                <w:lang w:val="es-ES_tradnl" w:eastAsia="es-ES_tradnl"/>
              </w:rPr>
              <w:t xml:space="preserve">CONTRATOS CON ESAL </w:t>
            </w:r>
            <w:r w:rsidRPr="00B379C1">
              <w:rPr>
                <w:rFonts w:ascii="Verdana" w:eastAsia="Calibri" w:hAnsi="Verdana"/>
                <w:lang w:val="es-ES_tradnl" w:eastAsia="es-ES_tradnl"/>
              </w:rPr>
              <w:t>–</w:t>
            </w:r>
            <w:r w:rsidRPr="00B379C1">
              <w:rPr>
                <w:rFonts w:ascii="Verdana" w:eastAsia="Times New Roman" w:hAnsi="Verdana"/>
                <w:lang w:val="es-ES_tradnl" w:eastAsia="es-ES_tradnl"/>
              </w:rPr>
              <w:t xml:space="preserve"> Artículo 355 </w:t>
            </w:r>
            <w:r w:rsidRPr="00B379C1">
              <w:rPr>
                <w:rFonts w:ascii="Verdana" w:eastAsia="Calibri" w:hAnsi="Verdana"/>
                <w:lang w:val="es-ES_tradnl" w:eastAsia="es-ES_tradnl"/>
              </w:rPr>
              <w:t>–</w:t>
            </w:r>
            <w:r w:rsidRPr="00B379C1">
              <w:rPr>
                <w:rFonts w:ascii="Verdana" w:eastAsia="Times New Roman" w:hAnsi="Verdana"/>
                <w:lang w:val="es-ES_tradnl" w:eastAsia="es-ES_tradnl"/>
              </w:rPr>
              <w:t xml:space="preserve"> Constitución </w:t>
            </w:r>
            <w:r w:rsidRPr="00B379C1">
              <w:rPr>
                <w:rFonts w:ascii="Verdana" w:eastAsia="Calibri" w:hAnsi="Verdana"/>
                <w:lang w:val="es-ES_tradnl" w:eastAsia="es-ES_tradnl"/>
              </w:rPr>
              <w:t xml:space="preserve">– Fundamento / </w:t>
            </w:r>
            <w:r w:rsidRPr="00B379C1">
              <w:rPr>
                <w:rFonts w:ascii="Verdana" w:eastAsia="Times New Roman" w:hAnsi="Verdana"/>
                <w:lang w:val="es-ES_tradnl" w:eastAsia="es-ES_tradnl"/>
              </w:rPr>
              <w:t xml:space="preserve">TIPOS DE CONTRATOS </w:t>
            </w:r>
            <w:r w:rsidRPr="00B379C1">
              <w:rPr>
                <w:rFonts w:ascii="Verdana" w:eastAsia="Calibri" w:hAnsi="Verdana"/>
                <w:lang w:val="es-ES_tradnl" w:eastAsia="es-ES_tradnl"/>
              </w:rPr>
              <w:t>–</w:t>
            </w:r>
            <w:r w:rsidRPr="00B379C1">
              <w:rPr>
                <w:rFonts w:ascii="Verdana" w:eastAsia="Times New Roman" w:hAnsi="Verdana"/>
                <w:lang w:val="es-ES_tradnl" w:eastAsia="es-ES_tradnl"/>
              </w:rPr>
              <w:t xml:space="preserve"> Artículo 355 </w:t>
            </w:r>
            <w:r w:rsidRPr="00B379C1">
              <w:rPr>
                <w:rFonts w:ascii="Verdana" w:eastAsia="Calibri" w:hAnsi="Verdana"/>
                <w:lang w:val="es-ES_tradnl" w:eastAsia="es-ES_tradnl"/>
              </w:rPr>
              <w:t>–</w:t>
            </w:r>
            <w:r w:rsidRPr="00B379C1">
              <w:rPr>
                <w:rFonts w:ascii="Verdana" w:eastAsia="Times New Roman" w:hAnsi="Verdana"/>
                <w:lang w:val="es-ES_tradnl" w:eastAsia="es-ES_tradnl"/>
              </w:rPr>
              <w:t xml:space="preserve"> Constitución </w:t>
            </w:r>
            <w:r w:rsidRPr="00B379C1">
              <w:rPr>
                <w:rFonts w:ascii="Verdana" w:eastAsia="Calibri" w:hAnsi="Verdana"/>
                <w:lang w:val="es-ES_tradnl" w:eastAsia="es-ES_tradnl"/>
              </w:rPr>
              <w:t xml:space="preserve">– ESAL / </w:t>
            </w:r>
            <w:r w:rsidRPr="00B379C1">
              <w:rPr>
                <w:rFonts w:ascii="Verdana" w:eastAsia="Calibri" w:hAnsi="Verdana"/>
                <w:lang w:eastAsia="es-ES_tradnl"/>
              </w:rPr>
              <w:t xml:space="preserve">CONVENIOS DE ASOCIACIÓN – Aporte económico de la ESAL – Treinta por ciento - Contratación directa / </w:t>
            </w:r>
            <w:r w:rsidR="00A4682B" w:rsidRPr="00B379C1">
              <w:rPr>
                <w:rFonts w:ascii="Verdana" w:eastAsia="Times New Roman" w:hAnsi="Verdana"/>
                <w:lang w:val="es-ES_tradnl" w:eastAsia="es-ES_tradnl"/>
              </w:rPr>
              <w:t>ESAL – Régimen – Remisión – Artículo 8 – Decreto 092 de 2017</w:t>
            </w:r>
            <w:r w:rsidR="000C709B" w:rsidRPr="00B379C1">
              <w:rPr>
                <w:rFonts w:ascii="Verdana" w:eastAsia="Times New Roman" w:hAnsi="Verdana"/>
                <w:lang w:val="es-ES_tradnl" w:eastAsia="es-ES_tradnl"/>
              </w:rPr>
              <w:t xml:space="preserve"> / </w:t>
            </w:r>
            <w:r w:rsidR="00002B53" w:rsidRPr="00B379C1">
              <w:rPr>
                <w:rFonts w:ascii="Verdana" w:hAnsi="Verdana" w:cs="Arial"/>
                <w:kern w:val="2"/>
                <w:lang w:val="es-ES"/>
                <w14:ligatures w14:val="standardContextual"/>
              </w:rPr>
              <w:t>INTEGRACIÓN NORMATIVA – Convenios de asociación – Contratos del Artículo 355 - Reglas – inaplicabilidad del anticipo y pago anticipado</w:t>
            </w:r>
          </w:p>
          <w:p w14:paraId="065C9FF1" w14:textId="77777777" w:rsidR="008C0B1F" w:rsidRPr="00B379C1" w:rsidRDefault="008C0B1F" w:rsidP="00C50BF4">
            <w:pPr>
              <w:spacing w:line="276" w:lineRule="auto"/>
              <w:jc w:val="both"/>
              <w:rPr>
                <w:rFonts w:ascii="Verdana" w:hAnsi="Verdana" w:cs="Arial"/>
                <w:bCs/>
                <w:color w:val="000000" w:themeColor="text1"/>
                <w:highlight w:val="cyan"/>
                <w:lang w:val="es-ES_tradnl"/>
              </w:rPr>
            </w:pPr>
          </w:p>
        </w:tc>
      </w:tr>
      <w:tr w:rsidR="008C0B1F" w:rsidRPr="00B379C1" w14:paraId="35EBE975" w14:textId="77777777" w:rsidTr="00C50BF4">
        <w:tc>
          <w:tcPr>
            <w:tcW w:w="2689" w:type="dxa"/>
          </w:tcPr>
          <w:p w14:paraId="3CC61863" w14:textId="77777777" w:rsidR="008C0B1F" w:rsidRPr="00B379C1" w:rsidRDefault="008C0B1F" w:rsidP="00C50BF4">
            <w:pPr>
              <w:jc w:val="both"/>
              <w:rPr>
                <w:rFonts w:ascii="Verdana" w:eastAsia="Calibri" w:hAnsi="Verdana" w:cs="Arial"/>
                <w:b/>
                <w:color w:val="000000" w:themeColor="text1"/>
                <w:lang w:val="es-ES_tradnl" w:eastAsia="es-ES_tradnl"/>
              </w:rPr>
            </w:pPr>
            <w:r w:rsidRPr="00B379C1">
              <w:rPr>
                <w:rFonts w:ascii="Verdana" w:eastAsia="Calibri" w:hAnsi="Verdana" w:cs="Arial"/>
                <w:b/>
                <w:color w:val="000000" w:themeColor="text1"/>
                <w:lang w:val="es-ES_tradnl" w:eastAsia="es-ES_tradnl"/>
              </w:rPr>
              <w:t>Radicación:</w:t>
            </w:r>
            <w:r w:rsidRPr="00B379C1">
              <w:rPr>
                <w:rFonts w:ascii="Verdana" w:eastAsia="Calibri" w:hAnsi="Verdana" w:cs="Arial"/>
                <w:color w:val="000000" w:themeColor="text1"/>
                <w:lang w:val="es-ES_tradnl" w:eastAsia="es-ES_tradnl"/>
              </w:rPr>
              <w:t xml:space="preserve">               </w:t>
            </w:r>
          </w:p>
        </w:tc>
        <w:tc>
          <w:tcPr>
            <w:tcW w:w="6100" w:type="dxa"/>
          </w:tcPr>
          <w:p w14:paraId="16A26110" w14:textId="15CA9274" w:rsidR="008C0B1F" w:rsidRPr="00B379C1" w:rsidRDefault="008C0B1F" w:rsidP="00C50BF4">
            <w:pPr>
              <w:jc w:val="both"/>
              <w:rPr>
                <w:rFonts w:ascii="Verdana" w:hAnsi="Verdana" w:cs="Arial"/>
              </w:rPr>
            </w:pPr>
            <w:r w:rsidRPr="00B379C1">
              <w:rPr>
                <w:rFonts w:ascii="Verdana" w:eastAsia="Calibri" w:hAnsi="Verdana" w:cs="Arial"/>
                <w:color w:val="000000" w:themeColor="text1"/>
                <w:lang w:val="es-ES_tradnl" w:eastAsia="es-ES_tradnl"/>
              </w:rPr>
              <w:t xml:space="preserve">Respuesta a consulta con radicado No. </w:t>
            </w:r>
            <w:r w:rsidR="003405CB" w:rsidRPr="00B379C1">
              <w:rPr>
                <w:rFonts w:ascii="Verdana" w:hAnsi="Verdana"/>
                <w:color w:val="000000"/>
              </w:rPr>
              <w:t>1_2025_10_01_010904</w:t>
            </w:r>
          </w:p>
          <w:p w14:paraId="6E726725" w14:textId="77777777" w:rsidR="008C0B1F" w:rsidRPr="00B379C1" w:rsidRDefault="008C0B1F" w:rsidP="00C50BF4">
            <w:pPr>
              <w:jc w:val="both"/>
              <w:rPr>
                <w:rFonts w:ascii="Verdana" w:hAnsi="Verdana"/>
                <w:color w:val="000000"/>
              </w:rPr>
            </w:pPr>
          </w:p>
        </w:tc>
      </w:tr>
    </w:tbl>
    <w:p w14:paraId="36680073" w14:textId="77777777" w:rsidR="008C0B1F" w:rsidRPr="00B379C1" w:rsidRDefault="008C0B1F" w:rsidP="008C0B1F">
      <w:pPr>
        <w:spacing w:after="0" w:line="240" w:lineRule="auto"/>
        <w:jc w:val="both"/>
        <w:rPr>
          <w:rFonts w:ascii="Verdana" w:eastAsia="Calibri" w:hAnsi="Verdana" w:cs="Arial"/>
          <w:color w:val="000000" w:themeColor="text1"/>
          <w:highlight w:val="cyan"/>
          <w:lang w:val="es-ES_tradnl" w:eastAsia="es-ES_tradnl"/>
        </w:rPr>
      </w:pPr>
    </w:p>
    <w:p w14:paraId="6C483B06" w14:textId="462B6793" w:rsidR="008C0B1F" w:rsidRPr="00B379C1" w:rsidRDefault="008C0B1F" w:rsidP="009C2512">
      <w:pPr>
        <w:tabs>
          <w:tab w:val="right" w:pos="6242"/>
        </w:tabs>
        <w:jc w:val="both"/>
        <w:rPr>
          <w:rFonts w:ascii="Verdana" w:hAnsi="Verdana" w:cs="Arial"/>
          <w:b/>
          <w:bCs/>
          <w:lang w:val="es-MX" w:eastAsia="es-ES" w:bidi="es-ES"/>
        </w:rPr>
      </w:pPr>
      <w:r w:rsidRPr="00B379C1">
        <w:rPr>
          <w:rFonts w:ascii="Verdana" w:eastAsia="Calibri" w:hAnsi="Verdana" w:cs="Arial"/>
          <w:color w:val="000000" w:themeColor="text1"/>
          <w:lang w:val="es-ES" w:eastAsia="es-ES"/>
        </w:rPr>
        <w:t>Estimad</w:t>
      </w:r>
      <w:r w:rsidR="00A23810" w:rsidRPr="00B379C1">
        <w:rPr>
          <w:rFonts w:ascii="Verdana" w:eastAsia="Calibri" w:hAnsi="Verdana" w:cs="Arial"/>
          <w:color w:val="000000" w:themeColor="text1"/>
          <w:lang w:val="es-ES" w:eastAsia="es-ES"/>
        </w:rPr>
        <w:t>o</w:t>
      </w:r>
      <w:r w:rsidRPr="00B379C1">
        <w:rPr>
          <w:rFonts w:ascii="Verdana" w:eastAsia="Calibri" w:hAnsi="Verdana" w:cs="Arial"/>
          <w:color w:val="000000" w:themeColor="text1"/>
          <w:lang w:val="es-ES" w:eastAsia="es-ES"/>
        </w:rPr>
        <w:t xml:space="preserve"> señor </w:t>
      </w:r>
      <w:r w:rsidR="00A23810" w:rsidRPr="00B379C1">
        <w:rPr>
          <w:rFonts w:ascii="Verdana" w:eastAsia="Calibri" w:hAnsi="Verdana" w:cs="Arial"/>
          <w:color w:val="000000" w:themeColor="text1"/>
          <w:lang w:val="es-ES" w:eastAsia="es-ES"/>
        </w:rPr>
        <w:t>López</w:t>
      </w:r>
      <w:r w:rsidRPr="00B379C1">
        <w:rPr>
          <w:rFonts w:ascii="Verdana" w:eastAsia="Calibri" w:hAnsi="Verdana" w:cs="Arial"/>
          <w:color w:val="000000" w:themeColor="text1"/>
          <w:lang w:val="es-ES" w:eastAsia="es-ES"/>
        </w:rPr>
        <w:t xml:space="preserve">: </w:t>
      </w:r>
    </w:p>
    <w:p w14:paraId="2A0D4DAB" w14:textId="77777777" w:rsidR="008C0B1F" w:rsidRPr="00B379C1" w:rsidRDefault="008C0B1F" w:rsidP="008C0B1F">
      <w:pPr>
        <w:tabs>
          <w:tab w:val="left" w:pos="3768"/>
        </w:tabs>
        <w:spacing w:after="0" w:line="276" w:lineRule="auto"/>
        <w:jc w:val="both"/>
        <w:rPr>
          <w:rFonts w:ascii="Verdana" w:eastAsia="Calibri" w:hAnsi="Verdana" w:cs="Arial"/>
          <w:color w:val="000000" w:themeColor="text1"/>
          <w:lang w:val="es-ES" w:eastAsia="es-ES"/>
        </w:rPr>
      </w:pPr>
      <w:r w:rsidRPr="00B379C1">
        <w:rPr>
          <w:rFonts w:ascii="Verdana" w:eastAsia="Calibri" w:hAnsi="Verdana" w:cs="Arial"/>
          <w:color w:val="000000" w:themeColor="text1"/>
          <w:lang w:val="es-ES" w:eastAsia="es-ES"/>
        </w:rPr>
        <w:tab/>
      </w:r>
    </w:p>
    <w:p w14:paraId="5B694F98" w14:textId="5EC7FC0C" w:rsidR="008C0B1F" w:rsidRPr="00B379C1" w:rsidRDefault="008C0B1F" w:rsidP="008C0B1F">
      <w:pPr>
        <w:spacing w:after="0" w:line="276" w:lineRule="auto"/>
        <w:jc w:val="both"/>
        <w:rPr>
          <w:rFonts w:ascii="Verdana" w:eastAsia="Calibri" w:hAnsi="Verdana" w:cs="Arial"/>
          <w:color w:val="000000" w:themeColor="text1"/>
          <w:lang w:val="es-ES" w:eastAsia="es-ES"/>
        </w:rPr>
      </w:pPr>
      <w:r w:rsidRPr="00B379C1">
        <w:rPr>
          <w:rFonts w:ascii="Verdana" w:eastAsia="Calibri" w:hAnsi="Verdana" w:cs="Arial"/>
          <w:color w:val="000000" w:themeColor="text1"/>
          <w:lang w:val="es-ES" w:eastAsia="es-ES"/>
        </w:rPr>
        <w:t>En ejercicio de la competencia otorgada por los artículos 3, numeral 5º, y 11, numeral 8º, del Decreto Ley 4170 de 2011,</w:t>
      </w:r>
      <w:r w:rsidRPr="00B379C1">
        <w:rPr>
          <w:rFonts w:ascii="Verdana" w:eastAsia="Arial MT" w:hAnsi="Verdana" w:cs="Arial MT"/>
          <w:color w:val="000000" w:themeColor="text1"/>
          <w:lang w:val="es-ES" w:eastAsia="es-ES"/>
        </w:rPr>
        <w:t xml:space="preserve"> </w:t>
      </w:r>
      <w:r w:rsidRPr="00B379C1">
        <w:rPr>
          <w:rFonts w:ascii="Verdana" w:hAnsi="Verdana" w:cs="Arial"/>
          <w:color w:val="000000" w:themeColor="text1"/>
        </w:rPr>
        <w:t xml:space="preserve">así como lo establecido en el artículo 4 de la Resolución 1707 de 2018 expedida por esta Entidad, </w:t>
      </w:r>
      <w:r w:rsidRPr="00B379C1">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772E07" w:rsidRPr="00B379C1">
        <w:rPr>
          <w:rFonts w:ascii="Verdana" w:eastAsia="Calibri" w:hAnsi="Verdana" w:cs="Arial"/>
          <w:color w:val="000000" w:themeColor="text1"/>
          <w:lang w:val="es-ES" w:eastAsia="es-ES"/>
        </w:rPr>
        <w:t>01 de octubre del 2025</w:t>
      </w:r>
      <w:r w:rsidRPr="00B379C1">
        <w:rPr>
          <w:rFonts w:ascii="Verdana" w:eastAsia="Calibri" w:hAnsi="Verdana" w:cs="Arial"/>
          <w:color w:val="000000" w:themeColor="text1"/>
          <w:lang w:val="es-ES" w:eastAsia="es-ES"/>
        </w:rPr>
        <w:t xml:space="preserve">, en la cual manifiesta lo siguiente: </w:t>
      </w:r>
    </w:p>
    <w:p w14:paraId="721F5614" w14:textId="77777777" w:rsidR="008C0B1F" w:rsidRPr="00B379C1" w:rsidRDefault="008C0B1F" w:rsidP="008C0B1F">
      <w:pPr>
        <w:spacing w:after="0" w:line="276" w:lineRule="auto"/>
        <w:jc w:val="both"/>
        <w:rPr>
          <w:rFonts w:ascii="Verdana" w:eastAsia="Calibri" w:hAnsi="Verdana" w:cs="Arial"/>
          <w:color w:val="000000" w:themeColor="text1"/>
          <w:highlight w:val="cyan"/>
          <w:lang w:val="es-ES" w:eastAsia="es-ES"/>
        </w:rPr>
      </w:pPr>
    </w:p>
    <w:p w14:paraId="373631A1" w14:textId="4A5E30E3" w:rsidR="008C0B1F" w:rsidRPr="00B379C1" w:rsidRDefault="008C0B1F" w:rsidP="008C0B1F">
      <w:pPr>
        <w:spacing w:after="0" w:line="240" w:lineRule="auto"/>
        <w:ind w:left="709" w:right="709"/>
        <w:jc w:val="both"/>
        <w:rPr>
          <w:rFonts w:ascii="Verdana" w:hAnsi="Verdana"/>
          <w:sz w:val="20"/>
          <w:szCs w:val="20"/>
        </w:rPr>
      </w:pPr>
      <w:bookmarkStart w:id="2" w:name="_Hlk95313578"/>
      <w:r w:rsidRPr="00B379C1">
        <w:rPr>
          <w:rFonts w:ascii="Verdana" w:eastAsia="Century Gothic" w:hAnsi="Verdana" w:cs="Century Gothic"/>
          <w:color w:val="000000" w:themeColor="text1"/>
          <w:sz w:val="20"/>
          <w:szCs w:val="20"/>
          <w:lang w:val="es-ES"/>
        </w:rPr>
        <w:t>“</w:t>
      </w:r>
      <w:bookmarkEnd w:id="2"/>
      <w:r w:rsidRPr="00B379C1">
        <w:rPr>
          <w:rFonts w:ascii="Verdana" w:eastAsia="Century Gothic" w:hAnsi="Verdana" w:cs="Century Gothic"/>
          <w:color w:val="000000" w:themeColor="text1"/>
          <w:sz w:val="20"/>
          <w:szCs w:val="20"/>
          <w:lang w:val="es-ES"/>
        </w:rPr>
        <w:t xml:space="preserve">[…] </w:t>
      </w:r>
      <w:r w:rsidR="00F2466D" w:rsidRPr="00B379C1">
        <w:rPr>
          <w:rFonts w:ascii="Verdana" w:hAnsi="Verdana"/>
          <w:sz w:val="20"/>
          <w:szCs w:val="20"/>
        </w:rPr>
        <w:t xml:space="preserve">Teniendo en cuenta que el Decreto 092 de 2017, es un régimen excepcional al Estatuto General de Contratación Pública, como se manejan </w:t>
      </w:r>
      <w:r w:rsidR="00F2466D" w:rsidRPr="00B379C1">
        <w:rPr>
          <w:rFonts w:ascii="Verdana" w:hAnsi="Verdana"/>
          <w:sz w:val="20"/>
          <w:szCs w:val="20"/>
        </w:rPr>
        <w:lastRenderedPageBreak/>
        <w:t>en este tipo de contratos los límites a las adiciones, anticipos y pagos anticipados que la ley 80 si contempla con un límite al 50%?</w:t>
      </w:r>
      <w:r w:rsidR="00F2466D" w:rsidRPr="00B379C1">
        <w:rPr>
          <w:rFonts w:ascii="Verdana" w:hAnsi="Verdana"/>
          <w:sz w:val="20"/>
          <w:szCs w:val="20"/>
          <w:lang w:val="es-ES"/>
        </w:rPr>
        <w:t xml:space="preserve"> </w:t>
      </w:r>
      <w:r w:rsidRPr="00B379C1">
        <w:rPr>
          <w:rFonts w:ascii="Verdana" w:eastAsia="Century Gothic" w:hAnsi="Verdana" w:cs="Century Gothic"/>
          <w:color w:val="000000" w:themeColor="text1"/>
          <w:sz w:val="20"/>
          <w:szCs w:val="20"/>
          <w:lang w:val="es-ES"/>
        </w:rPr>
        <w:t>[…]”</w:t>
      </w:r>
    </w:p>
    <w:p w14:paraId="351ACAC6" w14:textId="77777777" w:rsidR="008C0B1F" w:rsidRPr="002D0420" w:rsidRDefault="008C0B1F" w:rsidP="002D0420">
      <w:pPr>
        <w:spacing w:after="0" w:line="276" w:lineRule="auto"/>
        <w:ind w:left="709" w:right="709"/>
        <w:jc w:val="both"/>
        <w:rPr>
          <w:rFonts w:ascii="Verdana" w:eastAsia="Times New Roman" w:hAnsi="Verdana" w:cs="Arial"/>
          <w:i/>
          <w:highlight w:val="cyan"/>
          <w:lang w:eastAsia="es-ES_tradnl"/>
        </w:rPr>
      </w:pPr>
    </w:p>
    <w:p w14:paraId="5FE1ED3D" w14:textId="77777777" w:rsidR="008C0B1F" w:rsidRPr="00B379C1" w:rsidRDefault="008C0B1F" w:rsidP="008C0B1F">
      <w:pPr>
        <w:spacing w:after="120" w:line="276" w:lineRule="auto"/>
        <w:ind w:firstLine="709"/>
        <w:jc w:val="both"/>
        <w:rPr>
          <w:rFonts w:ascii="Verdana" w:eastAsia="Calibri" w:hAnsi="Verdana" w:cs="Arial"/>
          <w:color w:val="000000" w:themeColor="text1"/>
          <w:szCs w:val="24"/>
          <w:lang w:val="es-ES_tradnl" w:eastAsia="es-ES_tradnl"/>
        </w:rPr>
      </w:pPr>
      <w:r w:rsidRPr="00B379C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379C1">
        <w:rPr>
          <w:rFonts w:ascii="Verdana" w:eastAsia="Calibri" w:hAnsi="Verdana" w:cs="Arial"/>
          <w:color w:val="000000" w:themeColor="text1"/>
          <w:szCs w:val="24"/>
          <w:lang w:val="es-ES_tradnl" w:eastAsia="es-ES_tradnl"/>
        </w:rPr>
        <w:tab/>
      </w:r>
    </w:p>
    <w:p w14:paraId="795718CB" w14:textId="77777777" w:rsidR="008C0B1F" w:rsidRPr="00B379C1" w:rsidRDefault="008C0B1F" w:rsidP="008C0B1F">
      <w:pPr>
        <w:spacing w:after="0" w:line="276" w:lineRule="auto"/>
        <w:ind w:firstLine="709"/>
        <w:jc w:val="both"/>
        <w:rPr>
          <w:rFonts w:ascii="Verdana" w:eastAsia="Calibri" w:hAnsi="Verdana" w:cs="Arial"/>
          <w:color w:val="000000" w:themeColor="text1"/>
          <w:lang w:val="es-ES" w:eastAsia="es-ES"/>
        </w:rPr>
      </w:pPr>
      <w:r w:rsidRPr="00B379C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D5F2992" w14:textId="77777777" w:rsidR="008C0B1F" w:rsidRPr="00B379C1" w:rsidRDefault="008C0B1F" w:rsidP="008C0B1F">
      <w:pPr>
        <w:spacing w:after="0" w:line="276" w:lineRule="auto"/>
        <w:ind w:firstLine="709"/>
        <w:jc w:val="both"/>
        <w:rPr>
          <w:rFonts w:ascii="Verdana" w:eastAsia="Calibri" w:hAnsi="Verdana" w:cs="Arial"/>
          <w:color w:val="000000" w:themeColor="text1"/>
          <w:highlight w:val="cyan"/>
          <w:lang w:val="es-ES" w:eastAsia="es-ES"/>
        </w:rPr>
      </w:pPr>
    </w:p>
    <w:p w14:paraId="66CA8966" w14:textId="77777777" w:rsidR="008C0B1F" w:rsidRPr="00B379C1" w:rsidRDefault="008C0B1F" w:rsidP="008C0B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B379C1">
        <w:rPr>
          <w:rFonts w:ascii="Verdana" w:eastAsia="Century Gothic" w:hAnsi="Verdana" w:cs="Century Gothic"/>
          <w:b/>
          <w:bCs/>
          <w:color w:val="000000" w:themeColor="text1"/>
        </w:rPr>
        <w:t>Problema planteado:</w:t>
      </w:r>
    </w:p>
    <w:p w14:paraId="0305F336" w14:textId="77777777" w:rsidR="008C0B1F" w:rsidRPr="00B379C1" w:rsidRDefault="008C0B1F" w:rsidP="008C0B1F">
      <w:pPr>
        <w:tabs>
          <w:tab w:val="left" w:pos="426"/>
        </w:tabs>
        <w:spacing w:after="0" w:line="276" w:lineRule="auto"/>
        <w:jc w:val="both"/>
        <w:rPr>
          <w:rFonts w:ascii="Verdana" w:eastAsia="Century Gothic" w:hAnsi="Verdana" w:cs="Century Gothic"/>
          <w:color w:val="000000" w:themeColor="text1"/>
          <w:highlight w:val="cyan"/>
          <w:lang w:val="es-ES"/>
        </w:rPr>
      </w:pPr>
    </w:p>
    <w:p w14:paraId="16501A57" w14:textId="3717595C" w:rsidR="008C0B1F" w:rsidRPr="00B379C1" w:rsidRDefault="008C0B1F" w:rsidP="008C0B1F">
      <w:pPr>
        <w:spacing w:after="0" w:line="276" w:lineRule="auto"/>
        <w:jc w:val="both"/>
        <w:rPr>
          <w:rFonts w:ascii="Verdana" w:eastAsia="Century Gothic" w:hAnsi="Verdana" w:cs="Century Gothic"/>
        </w:rPr>
      </w:pPr>
      <w:r w:rsidRPr="00B379C1">
        <w:rPr>
          <w:rFonts w:ascii="Verdana" w:eastAsia="Century Gothic" w:hAnsi="Verdana" w:cs="Century Gothic"/>
          <w:color w:val="000000" w:themeColor="text1"/>
        </w:rPr>
        <w:t xml:space="preserve">De acuerdo con el contenido de su solicitud, esta Agencia resolverá </w:t>
      </w:r>
      <w:r w:rsidR="00AB6F20" w:rsidRPr="00B379C1">
        <w:rPr>
          <w:rFonts w:ascii="Verdana" w:eastAsia="Century Gothic" w:hAnsi="Verdana" w:cs="Century Gothic"/>
          <w:color w:val="000000" w:themeColor="text1"/>
        </w:rPr>
        <w:t>los</w:t>
      </w:r>
      <w:r w:rsidRPr="00B379C1">
        <w:rPr>
          <w:rFonts w:ascii="Verdana" w:eastAsia="Century Gothic" w:hAnsi="Verdana" w:cs="Century Gothic"/>
          <w:color w:val="000000" w:themeColor="text1"/>
        </w:rPr>
        <w:t xml:space="preserve"> siguiente</w:t>
      </w:r>
      <w:r w:rsidR="00AB6F20" w:rsidRPr="00B379C1">
        <w:rPr>
          <w:rFonts w:ascii="Verdana" w:eastAsia="Century Gothic" w:hAnsi="Verdana" w:cs="Century Gothic"/>
          <w:color w:val="000000" w:themeColor="text1"/>
        </w:rPr>
        <w:t>s</w:t>
      </w:r>
      <w:r w:rsidRPr="00B379C1">
        <w:rPr>
          <w:rFonts w:ascii="Verdana" w:eastAsia="Century Gothic" w:hAnsi="Verdana" w:cs="Century Gothic"/>
          <w:color w:val="000000" w:themeColor="text1"/>
        </w:rPr>
        <w:t xml:space="preserve"> problema</w:t>
      </w:r>
      <w:r w:rsidR="00AB6F20" w:rsidRPr="00B379C1">
        <w:rPr>
          <w:rFonts w:ascii="Verdana" w:eastAsia="Century Gothic" w:hAnsi="Verdana" w:cs="Century Gothic"/>
          <w:color w:val="000000" w:themeColor="text1"/>
        </w:rPr>
        <w:t>s</w:t>
      </w:r>
      <w:r w:rsidRPr="00B379C1">
        <w:rPr>
          <w:rFonts w:ascii="Verdana" w:eastAsia="Century Gothic" w:hAnsi="Verdana" w:cs="Century Gothic"/>
          <w:color w:val="000000" w:themeColor="text1"/>
        </w:rPr>
        <w:t xml:space="preserve"> jurídico</w:t>
      </w:r>
      <w:r w:rsidR="00AB6F20" w:rsidRPr="00B379C1">
        <w:rPr>
          <w:rFonts w:ascii="Verdana" w:eastAsia="Century Gothic" w:hAnsi="Verdana" w:cs="Century Gothic"/>
          <w:color w:val="000000" w:themeColor="text1"/>
        </w:rPr>
        <w:t>s</w:t>
      </w:r>
      <w:r w:rsidRPr="00B379C1">
        <w:rPr>
          <w:rFonts w:ascii="Verdana" w:eastAsia="Century Gothic" w:hAnsi="Verdana" w:cs="Century Gothic"/>
          <w:color w:val="000000" w:themeColor="text1"/>
        </w:rPr>
        <w:t xml:space="preserve">: </w:t>
      </w:r>
      <w:r w:rsidR="0073266A" w:rsidRPr="00B379C1">
        <w:rPr>
          <w:rFonts w:ascii="Verdana" w:eastAsia="Century Gothic" w:hAnsi="Verdana" w:cs="Century Gothic"/>
          <w:color w:val="000000" w:themeColor="text1"/>
        </w:rPr>
        <w:t xml:space="preserve">i) </w:t>
      </w:r>
      <w:r w:rsidR="00046534" w:rsidRPr="00B379C1">
        <w:rPr>
          <w:rFonts w:ascii="Verdana" w:eastAsia="Century Gothic" w:hAnsi="Verdana" w:cs="Century Gothic"/>
        </w:rPr>
        <w:t xml:space="preserve">¿Cuál es el límite </w:t>
      </w:r>
      <w:r w:rsidR="00BA1C11" w:rsidRPr="00B379C1">
        <w:rPr>
          <w:rFonts w:ascii="Verdana" w:eastAsia="Century Gothic" w:hAnsi="Verdana" w:cs="Century Gothic"/>
        </w:rPr>
        <w:t>para la</w:t>
      </w:r>
      <w:r w:rsidR="00C55F68" w:rsidRPr="00B379C1">
        <w:rPr>
          <w:rFonts w:ascii="Verdana" w:eastAsia="Century Gothic" w:hAnsi="Verdana" w:cs="Century Gothic"/>
        </w:rPr>
        <w:t xml:space="preserve"> adición de</w:t>
      </w:r>
      <w:r w:rsidR="008E2094" w:rsidRPr="00B379C1">
        <w:rPr>
          <w:rFonts w:ascii="Verdana" w:eastAsia="Century Gothic" w:hAnsi="Verdana" w:cs="Century Gothic"/>
        </w:rPr>
        <w:t xml:space="preserve"> </w:t>
      </w:r>
      <w:r w:rsidR="00AB6F20" w:rsidRPr="00B379C1">
        <w:rPr>
          <w:rFonts w:ascii="Verdana" w:eastAsia="Century Gothic" w:hAnsi="Verdana" w:cs="Century Gothic"/>
        </w:rPr>
        <w:t xml:space="preserve">negocios jurídicos celebrados de acuerdo con lo regulado en </w:t>
      </w:r>
      <w:r w:rsidR="004D6A70" w:rsidRPr="00B379C1">
        <w:rPr>
          <w:rFonts w:ascii="Verdana" w:eastAsia="Century Gothic" w:hAnsi="Verdana" w:cs="Century Gothic"/>
        </w:rPr>
        <w:t>el</w:t>
      </w:r>
      <w:r w:rsidR="00AB6F20" w:rsidRPr="00B379C1">
        <w:rPr>
          <w:rFonts w:ascii="Verdana" w:eastAsia="Century Gothic" w:hAnsi="Verdana" w:cs="Century Gothic"/>
        </w:rPr>
        <w:t xml:space="preserve"> Decreto 092 de 2017</w:t>
      </w:r>
      <w:r w:rsidR="005E5AF6" w:rsidRPr="00B379C1">
        <w:rPr>
          <w:rFonts w:ascii="Verdana" w:eastAsia="Century Gothic" w:hAnsi="Verdana" w:cs="Century Gothic"/>
        </w:rPr>
        <w:t xml:space="preserve"> </w:t>
      </w:r>
      <w:r w:rsidR="00AB6F20" w:rsidRPr="00B379C1">
        <w:rPr>
          <w:rFonts w:ascii="Verdana" w:eastAsia="Century Gothic" w:hAnsi="Verdana" w:cs="Century Gothic"/>
        </w:rPr>
        <w:t xml:space="preserve">?; y ii) </w:t>
      </w:r>
      <w:r w:rsidR="0048667A" w:rsidRPr="00B379C1">
        <w:rPr>
          <w:rFonts w:ascii="Verdana" w:eastAsia="Century Gothic" w:hAnsi="Verdana" w:cs="Century Gothic"/>
        </w:rPr>
        <w:t>¿</w:t>
      </w:r>
      <w:r w:rsidR="007F4FF6" w:rsidRPr="00B379C1">
        <w:rPr>
          <w:rFonts w:ascii="Verdana" w:eastAsia="Century Gothic" w:hAnsi="Verdana" w:cs="Century Gothic"/>
        </w:rPr>
        <w:t>Pueden fijarse</w:t>
      </w:r>
      <w:r w:rsidR="00A2317F" w:rsidRPr="00B379C1">
        <w:rPr>
          <w:rFonts w:ascii="Verdana" w:eastAsia="Century Gothic" w:hAnsi="Verdana" w:cs="Century Gothic"/>
        </w:rPr>
        <w:t xml:space="preserve"> anticipos o</w:t>
      </w:r>
      <w:r w:rsidR="007F4FF6" w:rsidRPr="00B379C1">
        <w:rPr>
          <w:rFonts w:ascii="Verdana" w:eastAsia="Century Gothic" w:hAnsi="Verdana" w:cs="Century Gothic"/>
        </w:rPr>
        <w:t xml:space="preserve"> pagos anticipados </w:t>
      </w:r>
      <w:r w:rsidR="008C7771" w:rsidRPr="00B379C1">
        <w:rPr>
          <w:rFonts w:ascii="Verdana" w:eastAsia="Century Gothic" w:hAnsi="Verdana" w:cs="Century Gothic"/>
        </w:rPr>
        <w:t xml:space="preserve">en contratos o convenios suscritos con ocasión a las disposiciones contempladas en el Decreto 092 de 2017? </w:t>
      </w:r>
    </w:p>
    <w:p w14:paraId="1A0F262B" w14:textId="77777777" w:rsidR="008C0B1F" w:rsidRPr="00B379C1" w:rsidRDefault="008C0B1F" w:rsidP="008C0B1F">
      <w:pPr>
        <w:spacing w:after="0" w:line="276" w:lineRule="auto"/>
        <w:jc w:val="both"/>
        <w:rPr>
          <w:rFonts w:ascii="Verdana" w:eastAsia="Calibri" w:hAnsi="Verdana" w:cs="Arial"/>
          <w:color w:val="000000" w:themeColor="text1"/>
        </w:rPr>
      </w:pPr>
    </w:p>
    <w:p w14:paraId="523810B1" w14:textId="77777777" w:rsidR="008C0B1F" w:rsidRPr="00B379C1" w:rsidRDefault="008C0B1F" w:rsidP="008C0B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379C1">
        <w:rPr>
          <w:rFonts w:ascii="Verdana" w:eastAsia="Century Gothic" w:hAnsi="Verdana" w:cs="Century Gothic"/>
          <w:b/>
          <w:bCs/>
          <w:color w:val="000000" w:themeColor="text1"/>
        </w:rPr>
        <w:t xml:space="preserve">Respuesta: </w:t>
      </w:r>
    </w:p>
    <w:p w14:paraId="4BE544AB" w14:textId="77777777" w:rsidR="008C0B1F" w:rsidRPr="00B379C1" w:rsidRDefault="008C0B1F" w:rsidP="008C0B1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0B1F" w:rsidRPr="00B379C1" w14:paraId="49CF92B2" w14:textId="77777777" w:rsidTr="00C50BF4">
        <w:tc>
          <w:tcPr>
            <w:tcW w:w="8828" w:type="dxa"/>
          </w:tcPr>
          <w:p w14:paraId="7923DDC7" w14:textId="058EEDAA" w:rsidR="00A94DBB" w:rsidRPr="00B379C1" w:rsidRDefault="008C0B1F" w:rsidP="002D0420">
            <w:pPr>
              <w:spacing w:after="120" w:line="276" w:lineRule="auto"/>
              <w:jc w:val="both"/>
              <w:rPr>
                <w:rFonts w:ascii="Verdana" w:hAnsi="Verdana" w:cs="Arial"/>
                <w:color w:val="000000" w:themeColor="text1"/>
              </w:rPr>
            </w:pPr>
            <w:r w:rsidRPr="00B379C1">
              <w:rPr>
                <w:rFonts w:ascii="Verdana" w:hAnsi="Verdana" w:cs="Arial"/>
                <w:color w:val="000000" w:themeColor="text1"/>
              </w:rPr>
              <w:t>En respuesta al problema antes planteado esta Subdirección manifiesta lo siguiente:</w:t>
            </w:r>
          </w:p>
          <w:p w14:paraId="07D77985" w14:textId="4EF76E1A" w:rsidR="00F30439" w:rsidRPr="00B379C1" w:rsidRDefault="00AC0378" w:rsidP="00A61049">
            <w:pPr>
              <w:spacing w:before="120" w:after="120" w:line="276" w:lineRule="auto"/>
              <w:ind w:firstLine="709"/>
              <w:jc w:val="both"/>
              <w:rPr>
                <w:rFonts w:ascii="Verdana" w:hAnsi="Verdana"/>
              </w:rPr>
            </w:pPr>
            <w:r w:rsidRPr="00B379C1">
              <w:rPr>
                <w:rFonts w:ascii="Verdana" w:hAnsi="Verdana" w:cs="Arial"/>
                <w:bCs/>
                <w:color w:val="000000" w:themeColor="text1"/>
              </w:rPr>
              <w:t xml:space="preserve">En primer lugar es preciso indicar </w:t>
            </w:r>
            <w:r w:rsidR="00F30439" w:rsidRPr="00B379C1">
              <w:rPr>
                <w:rFonts w:ascii="Verdana" w:eastAsia="Calibri" w:hAnsi="Verdana" w:cs="Arial"/>
                <w:lang w:val="es-ES"/>
              </w:rPr>
              <w:t xml:space="preserve">que esta materia – la adición de los contratos – no está regulada expresamente en el Decreto 092 de 2017. En </w:t>
            </w:r>
            <w:r w:rsidR="00F30439" w:rsidRPr="00B379C1">
              <w:rPr>
                <w:rFonts w:ascii="Verdana" w:eastAsia="Calibri" w:hAnsi="Verdana" w:cs="Arial"/>
                <w:lang w:val="es-ES"/>
              </w:rPr>
              <w:lastRenderedPageBreak/>
              <w:t xml:space="preserve">consecuencia, el vacío que se presenta frente a este asunto debe llenarse con la remisión que efectúa el artículo 8 del Decreto 092 de 2017. </w:t>
            </w:r>
          </w:p>
          <w:p w14:paraId="705DA6C0" w14:textId="77777777" w:rsidR="00F30439" w:rsidRPr="00B379C1" w:rsidRDefault="00F30439" w:rsidP="00F30439">
            <w:pPr>
              <w:spacing w:after="120" w:line="276" w:lineRule="auto"/>
              <w:ind w:firstLine="709"/>
              <w:jc w:val="both"/>
              <w:rPr>
                <w:rFonts w:ascii="Verdana" w:eastAsia="Calibri" w:hAnsi="Verdana" w:cs="Arial"/>
                <w:lang w:val="es-ES" w:bidi="es-ES"/>
              </w:rPr>
            </w:pPr>
            <w:r w:rsidRPr="00B379C1">
              <w:rPr>
                <w:rFonts w:ascii="Verdana" w:eastAsia="Calibri" w:hAnsi="Verdana" w:cs="Arial"/>
                <w:lang w:val="es-ES"/>
              </w:rPr>
              <w:t>Al respecto, debe señalarse que, e</w:t>
            </w:r>
            <w:r w:rsidRPr="00B379C1">
              <w:rPr>
                <w:rFonts w:ascii="Verdana" w:eastAsia="Calibri" w:hAnsi="Verdana" w:cs="Arial"/>
                <w:lang w:val="es-ES" w:bidi="es-ES"/>
              </w:rPr>
              <w:t xml:space="preserve">l EGCAP, contenido en las Leyes 80 de 1993, 1150 de 2007 y 1474 de 2011, así como en las normas que las han modificado y las reglamentan, no consagra una regulación expresa sobre la posibilidad de modificar los contratos celebrados por las Entidades Estatales. De igual forma, tampoco existe ninguna restricción expresa para modificar los contratos estatales. La regulación expresa contenida en el ordenamiento jurídico se limita a fijar los porcentajes límite para adicionar los valores inicialmente pactados, como lo hace el </w:t>
            </w:r>
            <w:r w:rsidRPr="00B379C1">
              <w:rPr>
                <w:rFonts w:ascii="Verdana" w:eastAsia="Calibri" w:hAnsi="Verdana" w:cs="Arial"/>
                <w:lang w:val="es-ES"/>
              </w:rPr>
              <w:t xml:space="preserve">parágrafo del </w:t>
            </w:r>
            <w:r w:rsidRPr="00B379C1">
              <w:rPr>
                <w:rFonts w:ascii="Verdana" w:eastAsia="Calibri" w:hAnsi="Verdana" w:cs="Arial"/>
                <w:lang w:val="es-ES" w:bidi="es-ES"/>
              </w:rPr>
              <w:t xml:space="preserve">artículo 40 de la Ley 80 de 1993, el cual dispone que, </w:t>
            </w:r>
            <w:r w:rsidRPr="00B379C1">
              <w:rPr>
                <w:rFonts w:ascii="Verdana" w:eastAsia="Calibri" w:hAnsi="Verdana" w:cs="Arial"/>
              </w:rPr>
              <w:t>los contratos no podrán adicionarse en más del cincuenta por ciento (50%) de su valor inicial, expresado en SMLMV.</w:t>
            </w:r>
          </w:p>
          <w:p w14:paraId="19555831" w14:textId="77777777" w:rsidR="005F7F20" w:rsidRPr="00B379C1" w:rsidRDefault="00F30439" w:rsidP="005F7F20">
            <w:pPr>
              <w:spacing w:after="120" w:line="276" w:lineRule="auto"/>
              <w:ind w:firstLine="708"/>
              <w:jc w:val="both"/>
              <w:rPr>
                <w:rFonts w:ascii="Verdana" w:eastAsia="Times New Roman" w:hAnsi="Verdana" w:cs="Arial"/>
                <w:lang w:eastAsia="es-ES_tradnl"/>
              </w:rPr>
            </w:pPr>
            <w:r w:rsidRPr="00B379C1">
              <w:rPr>
                <w:rFonts w:ascii="Verdana" w:eastAsia="Times New Roman" w:hAnsi="Verdana" w:cs="Arial"/>
                <w:lang w:eastAsia="es-ES_tradnl"/>
              </w:rPr>
              <w:t xml:space="preserve">De lo anterior, se desprende que es posible adicionar los convenios </w:t>
            </w:r>
            <w:r w:rsidR="007B4544" w:rsidRPr="00B379C1">
              <w:rPr>
                <w:rFonts w:ascii="Verdana" w:eastAsia="Times New Roman" w:hAnsi="Verdana" w:cs="Arial"/>
                <w:lang w:eastAsia="es-ES_tradnl"/>
              </w:rPr>
              <w:t>y contratos celebrados bajo las disposiciones contempladas en el Decreto 092 del 2017</w:t>
            </w:r>
            <w:r w:rsidRPr="00B379C1">
              <w:rPr>
                <w:rFonts w:ascii="Verdana" w:eastAsia="Times New Roman" w:hAnsi="Verdana" w:cs="Arial"/>
                <w:lang w:eastAsia="es-ES_tradnl"/>
              </w:rPr>
              <w:t xml:space="preserve">. No obstante, es </w:t>
            </w:r>
            <w:r w:rsidR="007B4544" w:rsidRPr="00B379C1">
              <w:rPr>
                <w:rFonts w:ascii="Verdana" w:eastAsia="Times New Roman" w:hAnsi="Verdana" w:cs="Arial"/>
                <w:lang w:eastAsia="es-ES_tradnl"/>
              </w:rPr>
              <w:t>necesario</w:t>
            </w:r>
            <w:r w:rsidRPr="00B379C1">
              <w:rPr>
                <w:rFonts w:ascii="Verdana" w:eastAsia="Times New Roman" w:hAnsi="Verdana" w:cs="Arial"/>
                <w:lang w:eastAsia="es-ES_tradnl"/>
              </w:rPr>
              <w:t xml:space="preserve"> </w:t>
            </w:r>
            <w:r w:rsidR="007B4544" w:rsidRPr="00B379C1">
              <w:rPr>
                <w:rFonts w:ascii="Verdana" w:eastAsia="Times New Roman" w:hAnsi="Verdana" w:cs="Arial"/>
                <w:lang w:eastAsia="es-ES_tradnl"/>
              </w:rPr>
              <w:t>manifestar</w:t>
            </w:r>
            <w:r w:rsidRPr="00B379C1">
              <w:rPr>
                <w:rFonts w:ascii="Verdana" w:eastAsia="Times New Roman" w:hAnsi="Verdana" w:cs="Arial"/>
                <w:lang w:eastAsia="es-ES_tradnl"/>
              </w:rPr>
              <w:t xml:space="preserve"> que, el parágrafo del artículo 40 de la Ley 80 prohíbe que las adiciones superen el cincuenta por ciento (50%) del valor inicial, expresado en salarios mínimos mensuales legales vigentes.</w:t>
            </w:r>
          </w:p>
          <w:p w14:paraId="65F70A9E" w14:textId="77777777" w:rsidR="005F7F20" w:rsidRPr="00B379C1" w:rsidRDefault="00701EA8" w:rsidP="005F7F20">
            <w:pPr>
              <w:spacing w:after="120" w:line="276" w:lineRule="auto"/>
              <w:ind w:firstLine="708"/>
              <w:jc w:val="both"/>
              <w:rPr>
                <w:rFonts w:ascii="Verdana" w:eastAsia="Calibri" w:hAnsi="Verdana" w:cs="Arial"/>
                <w:bCs/>
              </w:rPr>
            </w:pPr>
            <w:r w:rsidRPr="00B379C1">
              <w:rPr>
                <w:rFonts w:ascii="Verdana" w:hAnsi="Verdana"/>
                <w:color w:val="000000"/>
                <w:shd w:val="clear" w:color="auto" w:fill="FFFFFF"/>
              </w:rPr>
              <w:t xml:space="preserve">En relación con el segundo problema jurídico planteado debe manifestarse que el </w:t>
            </w:r>
            <w:r w:rsidR="00785B10" w:rsidRPr="00B379C1">
              <w:rPr>
                <w:rFonts w:ascii="Verdana" w:eastAsia="Arial" w:hAnsi="Verdana" w:cs="Arial"/>
                <w:lang w:eastAsia="es-ES" w:bidi="es-ES"/>
              </w:rPr>
              <w:t xml:space="preserve">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w:t>
            </w:r>
            <w:r w:rsidR="00785B10" w:rsidRPr="00B379C1">
              <w:rPr>
                <w:rFonts w:ascii="Verdana" w:eastAsia="Calibri" w:hAnsi="Verdana" w:cs="Arial"/>
                <w:bCs/>
              </w:rPr>
              <w:t>una contraprestación económica no aplica la remisión integral al anticipo o pago anticipado.</w:t>
            </w:r>
          </w:p>
          <w:p w14:paraId="252689F2" w14:textId="48D14D1A" w:rsidR="005F7F20" w:rsidRPr="00B379C1" w:rsidRDefault="005F7F20" w:rsidP="005F7F20">
            <w:pPr>
              <w:spacing w:after="120" w:line="276" w:lineRule="auto"/>
              <w:ind w:firstLine="708"/>
              <w:jc w:val="both"/>
              <w:rPr>
                <w:rFonts w:ascii="Verdana" w:eastAsia="Calibri" w:hAnsi="Verdana" w:cs="Arial"/>
                <w:bCs/>
                <w:lang w:val="es-ES_tradnl" w:bidi="es-ES"/>
              </w:rPr>
            </w:pPr>
            <w:r w:rsidRPr="00B379C1">
              <w:rPr>
                <w:rFonts w:ascii="Verdana" w:eastAsia="Calibri" w:hAnsi="Verdana" w:cs="Arial"/>
                <w:bCs/>
              </w:rPr>
              <w:t xml:space="preserve">De este modo, según el marco jurídico aplicable del Decreto 092 de 2017, se prohíbe que de dichos convenios emanen intereses onerosos, o produzca obligaciones entre los extremos con equivalencia entre sí, como sucede con los contratos de obra o de suministro, y por tanto, no puede estipularse anticipos y pagos anticipados que por su naturaleza tienen un carácter prestacional. </w:t>
            </w:r>
            <w:r w:rsidRPr="00B379C1">
              <w:rPr>
                <w:rFonts w:ascii="Verdana" w:eastAsia="Calibri" w:hAnsi="Verdana" w:cs="Arial"/>
                <w:bCs/>
                <w:lang w:val="es-ES_tradnl" w:bidi="es-ES"/>
              </w:rPr>
              <w:t xml:space="preserve">Sin embargo, no implica que, en el marco de convenios de asociación, en los contratos de colaboración o de interés público, así como en los convenios solidarios las partes no puedan establecer cláusulas que </w:t>
            </w:r>
            <w:r w:rsidRPr="00B379C1">
              <w:rPr>
                <w:rFonts w:ascii="Verdana" w:eastAsia="Calibri" w:hAnsi="Verdana" w:cs="Arial"/>
                <w:bCs/>
                <w:lang w:val="es-ES_tradnl" w:bidi="es-ES"/>
              </w:rPr>
              <w:lastRenderedPageBreak/>
              <w:t xml:space="preserve">garanticen el desembolso temprano de recursos, de manera que las entidades sin ánimo de lucro que actúan como ejecutoras, puedan contar con los recursos necesarios para la ejecución de los proyectos a su cargo. </w:t>
            </w:r>
          </w:p>
          <w:p w14:paraId="5B759B31" w14:textId="39CFFBC0" w:rsidR="00785B10" w:rsidRPr="00B379C1" w:rsidRDefault="007F35BD" w:rsidP="007F35BD">
            <w:pPr>
              <w:spacing w:after="120" w:line="276" w:lineRule="auto"/>
              <w:ind w:firstLine="708"/>
              <w:jc w:val="both"/>
              <w:rPr>
                <w:rFonts w:ascii="Verdana" w:eastAsia="Times New Roman" w:hAnsi="Verdana" w:cs="Arial"/>
                <w:lang w:eastAsia="es-ES_tradnl"/>
              </w:rPr>
            </w:pPr>
            <w:r w:rsidRPr="00B379C1">
              <w:rPr>
                <w:rFonts w:ascii="Verdana" w:eastAsia="Arial" w:hAnsi="Verdana" w:cs="Arial"/>
                <w:bCs/>
                <w:lang w:val="es-ES_tradnl" w:eastAsia="es-ES" w:bidi="es-ES"/>
              </w:rPr>
              <w:t>En todo caso</w:t>
            </w:r>
            <w:r w:rsidRPr="00B379C1">
              <w:rPr>
                <w:rFonts w:ascii="Verdana" w:eastAsia="Arial" w:hAnsi="Verdana" w:cs="Arial"/>
                <w:lang w:eastAsia="es-ES" w:bidi="es-ES"/>
              </w:rPr>
              <w:t>, las entidades públicas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tc>
      </w:tr>
    </w:tbl>
    <w:p w14:paraId="3B3BA615" w14:textId="77777777" w:rsidR="008C0B1F" w:rsidRPr="00B379C1" w:rsidRDefault="008C0B1F" w:rsidP="008C0B1F">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A5F5149" w14:textId="77777777" w:rsidR="008C0B1F" w:rsidRPr="00B379C1" w:rsidRDefault="008C0B1F" w:rsidP="008C0B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379C1">
        <w:rPr>
          <w:rFonts w:ascii="Verdana" w:eastAsia="Century Gothic" w:hAnsi="Verdana" w:cs="Century Gothic"/>
          <w:b/>
          <w:bCs/>
          <w:color w:val="000000" w:themeColor="text1"/>
        </w:rPr>
        <w:t>Razones de la respuesta:</w:t>
      </w:r>
    </w:p>
    <w:p w14:paraId="651E2AF9" w14:textId="77777777" w:rsidR="00127C3F" w:rsidRPr="00B379C1" w:rsidRDefault="00127C3F" w:rsidP="008857FD">
      <w:pPr>
        <w:spacing w:after="0" w:line="276" w:lineRule="auto"/>
        <w:jc w:val="both"/>
        <w:rPr>
          <w:rFonts w:ascii="Verdana" w:eastAsia="Times New Roman" w:hAnsi="Verdana" w:cs="Segoe UI"/>
          <w:sz w:val="18"/>
          <w:szCs w:val="18"/>
          <w:lang w:eastAsia="es-CO"/>
        </w:rPr>
      </w:pPr>
    </w:p>
    <w:p w14:paraId="3CFC2DAF" w14:textId="77777777" w:rsidR="008857FD" w:rsidRPr="00B379C1" w:rsidRDefault="008857FD" w:rsidP="008857FD">
      <w:pPr>
        <w:spacing w:after="0" w:line="276" w:lineRule="auto"/>
        <w:jc w:val="both"/>
        <w:rPr>
          <w:rFonts w:ascii="Verdana" w:eastAsia="Calibri" w:hAnsi="Verdana" w:cs="Arial"/>
          <w:lang w:val="es-ES"/>
        </w:rPr>
      </w:pPr>
      <w:r w:rsidRPr="00B379C1">
        <w:rPr>
          <w:rFonts w:ascii="Verdana" w:eastAsia="Calibri" w:hAnsi="Verdana" w:cs="Arial"/>
          <w:lang w:val="es-ES"/>
        </w:rPr>
        <w:t xml:space="preserve">Lo anterior se sustenta en las siguientes consideraciones: </w:t>
      </w:r>
    </w:p>
    <w:p w14:paraId="317166B8" w14:textId="77777777" w:rsidR="008857FD" w:rsidRPr="00B379C1" w:rsidRDefault="008857FD" w:rsidP="008857FD">
      <w:pPr>
        <w:spacing w:after="0" w:line="276" w:lineRule="auto"/>
        <w:jc w:val="both"/>
        <w:rPr>
          <w:rFonts w:ascii="Verdana" w:hAnsi="Verdana" w:cs="Arial"/>
          <w:bCs/>
          <w:lang w:val="es-ES" w:eastAsia="es-ES" w:bidi="es-ES"/>
        </w:rPr>
      </w:pPr>
    </w:p>
    <w:p w14:paraId="4774F836" w14:textId="77777777" w:rsidR="001E28C2" w:rsidRPr="00B379C1" w:rsidRDefault="001E28C2" w:rsidP="001E28C2">
      <w:pPr>
        <w:spacing w:after="120" w:line="276" w:lineRule="auto"/>
        <w:jc w:val="both"/>
        <w:rPr>
          <w:rFonts w:ascii="Verdana" w:eastAsia="Calibri" w:hAnsi="Verdana" w:cs="Arial"/>
          <w:lang w:val="es-ES"/>
        </w:rPr>
      </w:pPr>
      <w:r w:rsidRPr="00B379C1">
        <w:rPr>
          <w:rFonts w:ascii="Verdana" w:eastAsia="Calibri" w:hAnsi="Verdana" w:cs="Arial"/>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w:t>
      </w:r>
      <w:r w:rsidRPr="00B379C1">
        <w:rPr>
          <w:rFonts w:ascii="Verdana" w:hAnsi="Verdana" w:cs="Arial"/>
          <w:vertAlign w:val="superscript"/>
          <w:lang w:val="es-ES"/>
        </w:rPr>
        <w:footnoteReference w:id="1"/>
      </w:r>
      <w:r w:rsidRPr="00B379C1">
        <w:rPr>
          <w:rFonts w:ascii="Verdana" w:eastAsia="Calibri" w:hAnsi="Verdana" w:cs="Arial"/>
          <w:lang w:val="es-ES"/>
        </w:rPr>
        <w:t xml:space="preserve">. </w:t>
      </w:r>
      <w:bookmarkStart w:id="3" w:name="_Hlk164688501"/>
      <w:r w:rsidRPr="00B379C1">
        <w:rPr>
          <w:rFonts w:ascii="Verdana" w:eastAsia="Calibri" w:hAnsi="Verdana" w:cs="Arial"/>
          <w:lang w:val="es-ES"/>
        </w:rPr>
        <w:t>Por otra parte, el artículo 96 de la Ley 489 de 1998</w:t>
      </w:r>
      <w:r w:rsidRPr="00B379C1">
        <w:rPr>
          <w:rFonts w:ascii="Verdana" w:eastAsia="Calibri" w:hAnsi="Verdana" w:cs="Arial"/>
          <w:vertAlign w:val="superscript"/>
          <w:lang w:val="es-ES"/>
        </w:rPr>
        <w:footnoteReference w:id="2"/>
      </w:r>
      <w:r w:rsidRPr="00B379C1">
        <w:rPr>
          <w:rFonts w:ascii="Verdana" w:eastAsia="Calibri" w:hAnsi="Verdana" w:cs="Arial"/>
          <w:lang w:val="es-ES"/>
        </w:rPr>
        <w:t xml:space="preserve"> permite a las Entidades Públicas en general, es decir, cualquiera sea su naturaleza y orden administrativo, asociarse con personas jurídicas particulares, mediante la celebración de convenios de asociación o la creación de personas </w:t>
      </w:r>
      <w:r w:rsidRPr="00B379C1">
        <w:rPr>
          <w:rFonts w:ascii="Verdana" w:eastAsia="Calibri" w:hAnsi="Verdana" w:cs="Arial"/>
          <w:lang w:val="es-ES"/>
        </w:rPr>
        <w:lastRenderedPageBreak/>
        <w:t>jurídicas. Ambas figuras tienen como fin desarrollar conjuntamente actividades relacionadas con los cometidos y funciones legales asignadas a la entidad</w:t>
      </w:r>
      <w:bookmarkEnd w:id="3"/>
      <w:r w:rsidRPr="00B379C1">
        <w:rPr>
          <w:rFonts w:ascii="Verdana" w:eastAsia="Calibri" w:hAnsi="Verdana" w:cs="Arial"/>
          <w:lang w:val="es-ES"/>
        </w:rPr>
        <w:t>.</w:t>
      </w:r>
    </w:p>
    <w:p w14:paraId="6D631059" w14:textId="77777777" w:rsidR="001E28C2" w:rsidRPr="00B379C1" w:rsidRDefault="001E28C2" w:rsidP="001E28C2">
      <w:pPr>
        <w:spacing w:after="120" w:line="276" w:lineRule="auto"/>
        <w:ind w:firstLine="708"/>
        <w:jc w:val="both"/>
        <w:rPr>
          <w:rFonts w:ascii="Verdana" w:eastAsia="Calibri" w:hAnsi="Verdana" w:cs="Arial"/>
          <w:lang w:val="es-MX" w:eastAsia="es-ES_tradnl"/>
        </w:rPr>
      </w:pPr>
      <w:bookmarkStart w:id="5" w:name="_Hlk38819155"/>
      <w:r w:rsidRPr="00B379C1">
        <w:rPr>
          <w:rFonts w:ascii="Verdana" w:hAnsi="Verdana" w:cs="Arial"/>
          <w:lang w:val="es-MX"/>
        </w:rPr>
        <w:t>El Gobierno Nacional, en desarrollo del artículo 355 de la Constitución Política, expidió el Decreto 092 de 2017, el cual</w:t>
      </w:r>
      <w:r w:rsidRPr="00B379C1">
        <w:rPr>
          <w:rFonts w:ascii="Verdana" w:eastAsia="Calibri" w:hAnsi="Verdana" w:cs="Arial"/>
          <w:lang w:val="es-MX"/>
        </w:rPr>
        <w:t xml:space="preserve"> dispone las reglas para las contrataciones que realicen las Entidades Estatales con las ESAL. </w:t>
      </w:r>
      <w:r w:rsidRPr="00B379C1">
        <w:rPr>
          <w:rFonts w:ascii="Verdana" w:eastAsia="Calibri" w:hAnsi="Verdana" w:cs="Arial"/>
          <w:lang w:val="es-ES"/>
        </w:rPr>
        <w:t xml:space="preserve">El Decreto regula dos (2) eventos: i) </w:t>
      </w:r>
      <w:r w:rsidRPr="00B379C1">
        <w:rPr>
          <w:rFonts w:ascii="Verdana" w:eastAsia="Calibri" w:hAnsi="Verdana" w:cs="Arial"/>
          <w:lang w:eastAsia="es-ES_tradnl"/>
        </w:rPr>
        <w:t xml:space="preserve">los </w:t>
      </w:r>
      <w:r w:rsidRPr="00B379C1">
        <w:rPr>
          <w:rFonts w:ascii="Verdana" w:eastAsia="Calibri" w:hAnsi="Verdana" w:cs="Arial"/>
          <w:i/>
          <w:iCs/>
          <w:lang w:eastAsia="es-ES_tradnl"/>
        </w:rPr>
        <w:t>contratos de colaboración</w:t>
      </w:r>
      <w:r w:rsidRPr="00B379C1">
        <w:rPr>
          <w:rFonts w:ascii="Verdana" w:eastAsia="Calibri" w:hAnsi="Verdana" w:cs="Arial"/>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B379C1">
        <w:rPr>
          <w:rFonts w:ascii="Verdana" w:eastAsia="Calibri" w:hAnsi="Verdana" w:cs="Arial"/>
          <w:lang w:val="es-ES"/>
        </w:rPr>
        <w:t xml:space="preserve"> y; ii) los </w:t>
      </w:r>
      <w:r w:rsidRPr="00B379C1">
        <w:rPr>
          <w:rFonts w:ascii="Verdana" w:eastAsia="Calibri" w:hAnsi="Verdana" w:cs="Arial"/>
          <w:i/>
          <w:iCs/>
          <w:lang w:val="es-ES"/>
        </w:rPr>
        <w:t>convenios de asociación</w:t>
      </w:r>
      <w:r w:rsidRPr="00B379C1">
        <w:rPr>
          <w:rFonts w:ascii="Verdana" w:eastAsia="Calibri" w:hAnsi="Verdana" w:cs="Arial"/>
          <w:lang w:val="es-ES"/>
        </w:rPr>
        <w:t xml:space="preserve">, para el desarrollo conjunto de actividades relacionadas con las funciones de las Entidades Estatales, en desarrollo del artículo 96 de la Ley 489 de 1998. </w:t>
      </w:r>
      <w:r w:rsidRPr="00B379C1">
        <w:rPr>
          <w:rFonts w:ascii="Verdana" w:eastAsia="Calibri" w:hAnsi="Verdana" w:cs="Arial"/>
          <w:lang w:val="es-MX" w:eastAsia="es-ES_tradnl"/>
        </w:rPr>
        <w:t xml:space="preserve">Los primeros están regulados en el artículo 2 del Decreto 092 de 2017, mientras que los segundos en los artículos 5, 6, 7 y 8 </w:t>
      </w:r>
      <w:r w:rsidRPr="00B379C1">
        <w:rPr>
          <w:rFonts w:ascii="Verdana" w:eastAsia="Calibri" w:hAnsi="Verdana" w:cs="Arial"/>
          <w:i/>
          <w:iCs/>
          <w:lang w:val="es-MX" w:eastAsia="es-ES_tradnl"/>
        </w:rPr>
        <w:t>ibidem</w:t>
      </w:r>
      <w:r w:rsidRPr="00B379C1">
        <w:rPr>
          <w:rFonts w:ascii="Verdana" w:eastAsia="Calibri" w:hAnsi="Verdana" w:cs="Arial"/>
          <w:lang w:val="es-MX" w:eastAsia="es-ES_tradnl"/>
        </w:rPr>
        <w:t xml:space="preserve">. Así las cosas, es posible diferenciar los </w:t>
      </w:r>
      <w:r w:rsidRPr="00B379C1">
        <w:rPr>
          <w:rFonts w:ascii="Verdana" w:eastAsia="Calibri" w:hAnsi="Verdana" w:cs="Arial"/>
          <w:i/>
          <w:iCs/>
          <w:lang w:val="es-MX" w:eastAsia="es-ES_tradnl"/>
        </w:rPr>
        <w:t>contratos de colaboración</w:t>
      </w:r>
      <w:r w:rsidRPr="00B379C1">
        <w:rPr>
          <w:rFonts w:ascii="Verdana" w:eastAsia="Calibri" w:hAnsi="Verdana" w:cs="Arial"/>
          <w:lang w:val="es-MX" w:eastAsia="es-ES_tradnl"/>
        </w:rPr>
        <w:t xml:space="preserve">, establecidos en el artículo 2 del Decreto 092 de 2017, de los </w:t>
      </w:r>
      <w:r w:rsidRPr="00B379C1">
        <w:rPr>
          <w:rFonts w:ascii="Verdana" w:eastAsia="Calibri" w:hAnsi="Verdana" w:cs="Arial"/>
          <w:i/>
          <w:iCs/>
          <w:lang w:val="es-MX" w:eastAsia="es-ES_tradnl"/>
        </w:rPr>
        <w:t>convenios de asociación</w:t>
      </w:r>
      <w:r w:rsidRPr="00B379C1">
        <w:rPr>
          <w:rFonts w:ascii="Verdana" w:eastAsia="Calibri" w:hAnsi="Verdana" w:cs="Arial"/>
          <w:lang w:val="es-MX" w:eastAsia="es-ES_tradnl"/>
        </w:rPr>
        <w:t>, regulados en el artículo 5</w:t>
      </w:r>
      <w:r w:rsidRPr="00B379C1">
        <w:rPr>
          <w:rFonts w:ascii="Verdana" w:eastAsia="Calibri" w:hAnsi="Verdana" w:cs="Arial"/>
          <w:vertAlign w:val="superscript"/>
          <w:lang w:val="es-MX" w:eastAsia="es-ES_tradnl"/>
        </w:rPr>
        <w:footnoteReference w:id="3"/>
      </w:r>
      <w:r w:rsidRPr="00B379C1">
        <w:rPr>
          <w:rFonts w:ascii="Verdana" w:eastAsia="Calibri" w:hAnsi="Verdana" w:cs="Arial"/>
          <w:lang w:val="es-MX" w:eastAsia="es-ES_tradnl"/>
        </w:rPr>
        <w:t xml:space="preserve">. </w:t>
      </w:r>
    </w:p>
    <w:bookmarkEnd w:id="5"/>
    <w:p w14:paraId="0C771348" w14:textId="77777777" w:rsidR="001E28C2" w:rsidRPr="00B379C1" w:rsidRDefault="001E28C2" w:rsidP="001E28C2">
      <w:pPr>
        <w:spacing w:after="120" w:line="276" w:lineRule="auto"/>
        <w:ind w:firstLine="709"/>
        <w:jc w:val="both"/>
        <w:rPr>
          <w:rFonts w:ascii="Verdana" w:eastAsia="Calibri" w:hAnsi="Verdana" w:cs="Arial"/>
          <w:lang w:val="es-ES"/>
        </w:rPr>
      </w:pPr>
      <w:r w:rsidRPr="00B379C1">
        <w:rPr>
          <w:rFonts w:ascii="Verdana" w:eastAsia="Calibri" w:hAnsi="Verdana" w:cs="Arial"/>
          <w:lang w:val="es-ES"/>
        </w:rPr>
        <w:t xml:space="preserve">De un lado, los </w:t>
      </w:r>
      <w:r w:rsidRPr="00B379C1">
        <w:rPr>
          <w:rFonts w:ascii="Verdana" w:eastAsia="Calibri" w:hAnsi="Verdana" w:cs="Arial"/>
          <w:i/>
          <w:iCs/>
          <w:lang w:val="es-ES"/>
        </w:rPr>
        <w:t>contratos del artículo 355 de la Constitución Política</w:t>
      </w:r>
      <w:r w:rsidRPr="00B379C1">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Por lo anterior,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4F2B68D4" w14:textId="77777777" w:rsidR="001E28C2" w:rsidRPr="00B379C1" w:rsidRDefault="001E28C2" w:rsidP="001E28C2">
      <w:pPr>
        <w:spacing w:after="120" w:line="276" w:lineRule="auto"/>
        <w:ind w:firstLine="709"/>
        <w:jc w:val="both"/>
        <w:rPr>
          <w:rFonts w:ascii="Verdana" w:eastAsia="Calibri" w:hAnsi="Verdana" w:cs="Arial"/>
          <w:lang w:val="es-MX" w:eastAsia="es-ES_tradnl"/>
        </w:rPr>
      </w:pPr>
      <w:r w:rsidRPr="00B379C1">
        <w:rPr>
          <w:rFonts w:ascii="Verdana" w:eastAsia="Calibri" w:hAnsi="Verdana" w:cs="Arial"/>
          <w:lang w:val="es-ES"/>
        </w:rPr>
        <w:t xml:space="preserve">De otro lado, los </w:t>
      </w:r>
      <w:r w:rsidRPr="00B379C1">
        <w:rPr>
          <w:rFonts w:ascii="Verdana" w:eastAsia="Calibri" w:hAnsi="Verdana" w:cs="Arial"/>
          <w:i/>
          <w:iCs/>
          <w:lang w:val="es-ES"/>
        </w:rPr>
        <w:t>convenios de asociación</w:t>
      </w:r>
      <w:r w:rsidRPr="00B379C1">
        <w:rPr>
          <w:rFonts w:ascii="Verdana" w:eastAsia="Calibri" w:hAnsi="Verdana" w:cs="Arial"/>
          <w:lang w:val="es-ES"/>
        </w:rPr>
        <w:t xml:space="preserve">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B379C1">
        <w:rPr>
          <w:rFonts w:ascii="Verdana" w:hAnsi="Verdana" w:cs="Arial"/>
          <w:vertAlign w:val="superscript"/>
          <w:lang w:val="es-ES"/>
        </w:rPr>
        <w:footnoteReference w:id="4"/>
      </w:r>
      <w:r w:rsidRPr="00B379C1">
        <w:rPr>
          <w:rFonts w:ascii="Verdana" w:eastAsia="Calibri" w:hAnsi="Verdana" w:cs="Arial"/>
          <w:lang w:val="es-ES"/>
        </w:rPr>
        <w:t xml:space="preserve">. </w:t>
      </w:r>
      <w:r w:rsidRPr="00B379C1">
        <w:rPr>
          <w:rFonts w:ascii="Verdana" w:eastAsia="Calibri" w:hAnsi="Verdana" w:cs="Arial"/>
          <w:lang w:val="es-MX" w:eastAsia="es-ES_tradnl"/>
        </w:rPr>
        <w:t xml:space="preserve">De conformidad con el inciso segundo del artículo 96 de la Ley 489 de 1998, en estos convenios debe determinarse “con precisión su objeto, término, obligaciones de las partes, </w:t>
      </w:r>
      <w:r w:rsidRPr="00B379C1">
        <w:rPr>
          <w:rFonts w:ascii="Verdana" w:eastAsia="Calibri" w:hAnsi="Verdana" w:cs="Arial"/>
          <w:i/>
          <w:iCs/>
          <w:lang w:val="es-MX" w:eastAsia="es-ES_tradnl"/>
        </w:rPr>
        <w:t>aportes</w:t>
      </w:r>
      <w:r w:rsidRPr="00B379C1">
        <w:rPr>
          <w:rFonts w:ascii="Verdana" w:eastAsia="Calibri" w:hAnsi="Verdana" w:cs="Arial"/>
          <w:lang w:val="es-MX" w:eastAsia="es-ES_tradnl"/>
        </w:rPr>
        <w:t xml:space="preserve">, </w:t>
      </w:r>
      <w:r w:rsidRPr="00B379C1">
        <w:rPr>
          <w:rFonts w:ascii="Verdana" w:eastAsia="Calibri" w:hAnsi="Verdana" w:cs="Arial"/>
          <w:lang w:val="es-MX" w:eastAsia="es-ES_tradnl"/>
        </w:rPr>
        <w:lastRenderedPageBreak/>
        <w:t xml:space="preserve">coordinación y todos aquellos aspectos que se consideren pertinentes”. Dentro de estos elementos se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4F616548" w14:textId="77777777" w:rsidR="001E28C2" w:rsidRPr="00B379C1" w:rsidRDefault="001E28C2" w:rsidP="001E28C2">
      <w:pPr>
        <w:spacing w:after="120" w:line="276" w:lineRule="auto"/>
        <w:ind w:firstLine="709"/>
        <w:jc w:val="both"/>
        <w:rPr>
          <w:rFonts w:ascii="Verdana" w:eastAsia="Calibri" w:hAnsi="Verdana" w:cs="Arial"/>
          <w:lang w:val="es-ES"/>
        </w:rPr>
      </w:pPr>
      <w:r w:rsidRPr="00B379C1">
        <w:rPr>
          <w:rFonts w:ascii="Verdana" w:eastAsia="Calibri" w:hAnsi="Verdana" w:cs="Arial"/>
          <w:lang w:val="es-ES"/>
        </w:rPr>
        <w:t>En estos convenios no existe contraprestación o pago, sino aportes, los cuales están dirigidos, exclusivamente, a lograr la ejecución del convenio no a remunerar la actividad o actuaciones del asociado. De todos modos, la entidad debe adelantar un proceso competitivo, salvo cuando la ESAL comprometa recursos en dinero para la ejecución de estas actividades, en una proporción no inferior al treinta por ciento (30%) del valor total del convenio.</w:t>
      </w:r>
    </w:p>
    <w:p w14:paraId="667753F2" w14:textId="77777777" w:rsidR="001E28C2" w:rsidRPr="00B379C1" w:rsidRDefault="001E28C2" w:rsidP="001E28C2">
      <w:pPr>
        <w:spacing w:after="0" w:line="276" w:lineRule="auto"/>
        <w:ind w:firstLine="709"/>
        <w:jc w:val="both"/>
        <w:textAlignment w:val="baseline"/>
        <w:rPr>
          <w:rFonts w:ascii="Verdana" w:eastAsia="Calibri" w:hAnsi="Verdana" w:cs="Arial"/>
          <w:lang w:val="es-ES_tradnl" w:eastAsia="es-ES_tradnl"/>
        </w:rPr>
      </w:pPr>
      <w:r w:rsidRPr="00B379C1">
        <w:rPr>
          <w:rFonts w:ascii="Verdana" w:eastAsia="Calibri" w:hAnsi="Verdana" w:cs="Arial"/>
          <w:lang w:val="es-ES_tradnl" w:eastAsia="es-ES_tradnl"/>
        </w:rPr>
        <w:t>Es decir, según la normativa aplicable, tal como lo indicó esta Agencia en la “Guía para la contratación con entidades privadas sin ánimo de lucro y de reconocida idoneidad”, el artículo 5 del Decreto 092 de 2017 “[…] busca reconocer el esfuerzo de la ESAL para conseguir recursos propios o de cooperación para el desarrollo conjunto de actividades de las Entidades Estatales en el marco del artículo 96 de la Ley 489 de 1998 y eximirla de competencia cuando aporta 30% o más de los recursos requeridos”. En similar sentido, Mauricio Rodríguez Tamayo manifiesta:</w:t>
      </w:r>
    </w:p>
    <w:p w14:paraId="0ADC4E1F" w14:textId="77777777" w:rsidR="001E28C2" w:rsidRPr="00B379C1" w:rsidRDefault="001E28C2" w:rsidP="001E28C2">
      <w:pPr>
        <w:spacing w:after="0" w:line="276" w:lineRule="auto"/>
        <w:jc w:val="both"/>
        <w:textAlignment w:val="baseline"/>
        <w:rPr>
          <w:rFonts w:ascii="Verdana" w:eastAsia="Calibri" w:hAnsi="Verdana" w:cs="Arial"/>
          <w:lang w:val="es-ES_tradnl" w:eastAsia="es-ES_tradnl"/>
        </w:rPr>
      </w:pPr>
    </w:p>
    <w:p w14:paraId="40ADC19F" w14:textId="77777777" w:rsidR="001E28C2" w:rsidRPr="00B379C1" w:rsidRDefault="001E28C2" w:rsidP="001E28C2">
      <w:pPr>
        <w:autoSpaceDE w:val="0"/>
        <w:autoSpaceDN w:val="0"/>
        <w:adjustRightInd w:val="0"/>
        <w:spacing w:after="0" w:line="240" w:lineRule="auto"/>
        <w:ind w:left="709" w:right="709"/>
        <w:jc w:val="both"/>
        <w:rPr>
          <w:rFonts w:ascii="Verdana" w:eastAsia="Times New Roman" w:hAnsi="Verdana" w:cs="Arial"/>
          <w:sz w:val="20"/>
          <w:szCs w:val="20"/>
          <w:lang w:eastAsia="es-ES_tradnl"/>
        </w:rPr>
      </w:pPr>
      <w:r w:rsidRPr="00B379C1">
        <w:rPr>
          <w:rFonts w:ascii="Verdana" w:eastAsia="Times New Roman" w:hAnsi="Verdana" w:cs="Arial"/>
          <w:sz w:val="20"/>
          <w:szCs w:val="20"/>
          <w:lang w:val="es-ES_tradnl" w:eastAsia="es-ES_tradnl"/>
        </w:rPr>
        <w:t>“El Decreto 092 de 2017 permite la escogencia directa de una ESAL, para la suscripción de un convenio de asociación solo cuando el privado s</w:t>
      </w:r>
      <w:r w:rsidRPr="00B379C1">
        <w:rPr>
          <w:rFonts w:ascii="Verdana" w:eastAsia="Times New Roman" w:hAnsi="Verdana" w:cs="Arial"/>
          <w:sz w:val="20"/>
          <w:szCs w:val="20"/>
          <w:lang w:eastAsia="es-ES_tradnl"/>
        </w:rPr>
        <w:t>in ánimo de lucro aporta no menos de 30% en dinero del valor total del convenio. Por supuesto, es necesario acreditar la idoneidad necesaria de la ESAL, para que participe junto con el Estado en la atención y prestación de servicios públicos de naturaleza estatal.</w:t>
      </w:r>
    </w:p>
    <w:p w14:paraId="64E9B9BD" w14:textId="77777777" w:rsidR="001E28C2" w:rsidRPr="00B379C1" w:rsidRDefault="001E28C2" w:rsidP="001E28C2">
      <w:pPr>
        <w:autoSpaceDE w:val="0"/>
        <w:autoSpaceDN w:val="0"/>
        <w:adjustRightInd w:val="0"/>
        <w:spacing w:after="0" w:line="240" w:lineRule="auto"/>
        <w:ind w:left="709" w:right="709"/>
        <w:jc w:val="both"/>
        <w:rPr>
          <w:rFonts w:ascii="Verdana" w:eastAsia="Times New Roman" w:hAnsi="Verdana" w:cs="Arial"/>
          <w:sz w:val="20"/>
          <w:szCs w:val="20"/>
          <w:lang w:eastAsia="es-ES_tradnl"/>
        </w:rPr>
      </w:pPr>
    </w:p>
    <w:p w14:paraId="758784B6" w14:textId="77777777" w:rsidR="001E28C2" w:rsidRPr="00B379C1" w:rsidRDefault="001E28C2" w:rsidP="001E28C2">
      <w:pPr>
        <w:autoSpaceDE w:val="0"/>
        <w:autoSpaceDN w:val="0"/>
        <w:adjustRightInd w:val="0"/>
        <w:spacing w:after="0" w:line="240" w:lineRule="auto"/>
        <w:ind w:left="709" w:right="709"/>
        <w:jc w:val="both"/>
        <w:rPr>
          <w:rFonts w:ascii="Verdana" w:eastAsia="Times New Roman" w:hAnsi="Verdana" w:cs="Arial"/>
          <w:sz w:val="20"/>
          <w:szCs w:val="20"/>
          <w:lang w:eastAsia="es-ES_tradnl"/>
        </w:rPr>
      </w:pPr>
      <w:r w:rsidRPr="00B379C1">
        <w:rPr>
          <w:rFonts w:ascii="Verdana" w:eastAsia="Times New Roman" w:hAnsi="Verdana" w:cs="Arial"/>
          <w:sz w:val="20"/>
          <w:szCs w:val="20"/>
          <w:lang w:eastAsia="es-ES_tradnl"/>
        </w:rPr>
        <w:t>Se podrá contratar directamente por esta causal siempre que esté acreditada cualquiera de las siguientes circunstancias: […] ii) se celebran convenios de asociación a los que hace referencia el artículo 96 de la Ley 489 de 1998 y la ESAL compromete recursos en dinero en una proporción no inferior a 30% del valor total del convenio”</w:t>
      </w:r>
      <w:r w:rsidRPr="00B379C1">
        <w:rPr>
          <w:rFonts w:ascii="Verdana" w:eastAsia="Times New Roman" w:hAnsi="Verdana" w:cs="Arial"/>
          <w:sz w:val="20"/>
          <w:szCs w:val="20"/>
          <w:vertAlign w:val="superscript"/>
          <w:lang w:eastAsia="es-ES_tradnl"/>
        </w:rPr>
        <w:footnoteReference w:id="5"/>
      </w:r>
      <w:r w:rsidRPr="00B379C1">
        <w:rPr>
          <w:rFonts w:ascii="Verdana" w:eastAsia="Times New Roman" w:hAnsi="Verdana" w:cs="Arial"/>
          <w:sz w:val="20"/>
          <w:szCs w:val="20"/>
          <w:lang w:eastAsia="es-ES_tradnl"/>
        </w:rPr>
        <w:t>.</w:t>
      </w:r>
    </w:p>
    <w:p w14:paraId="6AFB4063" w14:textId="77777777" w:rsidR="001E28C2" w:rsidRPr="00B379C1" w:rsidRDefault="001E28C2" w:rsidP="001E28C2">
      <w:pPr>
        <w:spacing w:after="0" w:line="276" w:lineRule="auto"/>
        <w:jc w:val="both"/>
        <w:textAlignment w:val="baseline"/>
        <w:rPr>
          <w:rFonts w:ascii="Verdana" w:eastAsia="Calibri" w:hAnsi="Verdana" w:cs="Arial"/>
          <w:lang w:val="es-ES_tradnl" w:eastAsia="es-ES_tradnl"/>
        </w:rPr>
      </w:pPr>
    </w:p>
    <w:p w14:paraId="43E202FC" w14:textId="77777777" w:rsidR="001E28C2" w:rsidRPr="00B379C1" w:rsidRDefault="001E28C2" w:rsidP="001E28C2">
      <w:pPr>
        <w:spacing w:after="120" w:line="276" w:lineRule="auto"/>
        <w:ind w:firstLine="709"/>
        <w:jc w:val="both"/>
        <w:textAlignment w:val="baseline"/>
        <w:rPr>
          <w:rFonts w:ascii="Verdana" w:eastAsia="Calibri" w:hAnsi="Verdana" w:cs="Arial"/>
          <w:lang w:val="es-ES_tradnl" w:eastAsia="es-ES_tradnl"/>
        </w:rPr>
      </w:pPr>
      <w:r w:rsidRPr="00B379C1">
        <w:rPr>
          <w:rFonts w:ascii="Verdana" w:eastAsia="Calibri" w:hAnsi="Verdana" w:cs="Arial"/>
          <w:lang w:val="es-ES_tradnl" w:eastAsia="es-ES_tradnl"/>
        </w:rPr>
        <w:t xml:space="preserve">Sin embargo, según el mismo artículo 5, </w:t>
      </w:r>
      <w:r w:rsidRPr="00B379C1">
        <w:rPr>
          <w:rFonts w:ascii="Verdana" w:eastAsia="Calibri" w:hAnsi="Verdana" w:cs="Arial"/>
          <w:i/>
          <w:iCs/>
          <w:lang w:val="es-ES_tradnl" w:eastAsia="es-ES_tradnl"/>
        </w:rPr>
        <w:t>si hay más de una ESAL</w:t>
      </w:r>
      <w:r w:rsidRPr="00B379C1">
        <w:rPr>
          <w:rFonts w:ascii="Verdana" w:eastAsia="Calibri" w:hAnsi="Verdana" w:cs="Arial"/>
          <w:lang w:val="es-ES_tradnl" w:eastAsia="es-ES_tradnl"/>
        </w:rPr>
        <w:t xml:space="preserve"> que ofrezca su compromiso de recursos en dinero para el desarrollo conjunto de </w:t>
      </w:r>
      <w:r w:rsidRPr="00B379C1">
        <w:rPr>
          <w:rFonts w:ascii="Verdana" w:eastAsia="Calibri" w:hAnsi="Verdana" w:cs="Arial"/>
          <w:lang w:val="es-ES_tradnl" w:eastAsia="es-ES_tradnl"/>
        </w:rPr>
        <w:lastRenderedPageBreak/>
        <w:t xml:space="preserve">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tenga las mejores condiciones para alcanzar el resultado esperado con el proyecto de cooperación. </w:t>
      </w:r>
    </w:p>
    <w:p w14:paraId="50996279" w14:textId="77777777" w:rsidR="001E28C2" w:rsidRPr="00B379C1" w:rsidRDefault="001E28C2" w:rsidP="001E28C2">
      <w:pPr>
        <w:spacing w:after="120" w:line="276" w:lineRule="auto"/>
        <w:ind w:firstLine="709"/>
        <w:jc w:val="both"/>
        <w:rPr>
          <w:rFonts w:ascii="Verdana" w:eastAsia="Calibri" w:hAnsi="Verdana" w:cs="Arial"/>
          <w:lang w:val="es-ES"/>
        </w:rPr>
      </w:pPr>
      <w:r w:rsidRPr="00B379C1">
        <w:rPr>
          <w:rFonts w:ascii="Verdana" w:eastAsia="Calibri" w:hAnsi="Verdana" w:cs="Arial"/>
          <w:lang w:val="es-ES"/>
        </w:rPr>
        <w:t>Conforme a lo anterior, atendiendo a que los convenios de asociación “[…] no estarán sujetos a competencia cuando la entidad sin ánimo de lucro comprometa recursos en dinero para la ejecución de esas actividades en una proporción no inferior al 30% del valor total del convenio”, las Entidades Estatales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2763AF80" w14:textId="77777777" w:rsidR="001E28C2" w:rsidRPr="00B379C1" w:rsidRDefault="001E28C2" w:rsidP="001E28C2">
      <w:pPr>
        <w:spacing w:after="120" w:line="276" w:lineRule="auto"/>
        <w:ind w:firstLine="708"/>
        <w:jc w:val="both"/>
        <w:rPr>
          <w:rFonts w:ascii="Verdana" w:eastAsia="Calibri" w:hAnsi="Verdana" w:cs="Arial"/>
          <w:lang w:val="es-MX" w:eastAsia="es-ES_tradnl"/>
        </w:rPr>
      </w:pPr>
      <w:r w:rsidRPr="00B379C1">
        <w:rPr>
          <w:rFonts w:ascii="Verdana" w:eastAsia="Calibri" w:hAnsi="Verdana" w:cs="Arial"/>
          <w:lang w:val="es-MX" w:eastAsia="es-ES_tradnl"/>
        </w:rPr>
        <w:t xml:space="preserve">La noción </w:t>
      </w:r>
      <w:r w:rsidRPr="00B379C1">
        <w:rPr>
          <w:rFonts w:ascii="Verdana" w:eastAsia="Calibri" w:hAnsi="Verdana" w:cs="Arial"/>
          <w:i/>
          <w:iCs/>
          <w:lang w:val="es-MX" w:eastAsia="es-ES_tradnl"/>
        </w:rPr>
        <w:t>“seleccionar de forma objetiva”</w:t>
      </w:r>
      <w:r w:rsidRPr="00B379C1">
        <w:rPr>
          <w:rFonts w:ascii="Verdana" w:eastAsia="Calibri" w:hAnsi="Verdana" w:cs="Arial"/>
          <w:lang w:val="es-MX" w:eastAsia="es-ES_tradnl"/>
        </w:rPr>
        <w:t xml:space="preserve">, contenida en la disposición </w:t>
      </w:r>
      <w:r w:rsidRPr="00B379C1">
        <w:rPr>
          <w:rFonts w:ascii="Verdana" w:eastAsia="Calibri" w:hAnsi="Verdana" w:cs="Arial"/>
          <w:i/>
          <w:iCs/>
          <w:lang w:val="es-MX" w:eastAsia="es-ES_tradnl"/>
        </w:rPr>
        <w:t xml:space="preserve">sub examine </w:t>
      </w:r>
      <w:r w:rsidRPr="00B379C1">
        <w:rPr>
          <w:rFonts w:ascii="Verdana" w:eastAsia="Calibri" w:hAnsi="Verdana" w:cs="Arial"/>
          <w:lang w:val="es-MX" w:eastAsia="es-ES_tradnl"/>
        </w:rPr>
        <w:t>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3650786C" w14:textId="77777777" w:rsidR="001E28C2" w:rsidRPr="00B379C1" w:rsidRDefault="001E28C2" w:rsidP="001E28C2">
      <w:pPr>
        <w:spacing w:after="120" w:line="276" w:lineRule="auto"/>
        <w:ind w:firstLine="708"/>
        <w:jc w:val="both"/>
        <w:textAlignment w:val="baseline"/>
        <w:rPr>
          <w:rFonts w:ascii="Verdana" w:eastAsia="Calibri" w:hAnsi="Verdana" w:cs="Arial"/>
          <w:lang w:val="es-MX" w:eastAsia="es-ES_tradnl"/>
        </w:rPr>
      </w:pPr>
      <w:r w:rsidRPr="00B379C1">
        <w:rPr>
          <w:rFonts w:ascii="Verdana" w:eastAsia="Arial" w:hAnsi="Verdana" w:cs="Arial"/>
          <w:lang w:val="es-ES" w:eastAsia="es-ES_tradnl"/>
        </w:rPr>
        <w:t xml:space="preserve">En suma,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w:t>
      </w:r>
      <w:r w:rsidRPr="00B379C1">
        <w:rPr>
          <w:rFonts w:ascii="Verdana" w:eastAsia="Arial" w:hAnsi="Verdana" w:cs="Arial"/>
          <w:lang w:val="es-ES" w:eastAsia="es-ES_tradnl"/>
        </w:rPr>
        <w:lastRenderedPageBreak/>
        <w:t>interesados y la comparación objetiva de las ofertas. Este procedimiento puede ser análogo a otros donde existe competencia, como la licitación pública</w:t>
      </w:r>
      <w:r w:rsidRPr="00B379C1">
        <w:rPr>
          <w:rFonts w:ascii="Verdana" w:eastAsia="Calibri" w:hAnsi="Verdana" w:cs="Arial"/>
          <w:lang w:val="es-MX" w:eastAsia="es-ES_tradnl"/>
        </w:rPr>
        <w:t>.</w:t>
      </w:r>
    </w:p>
    <w:p w14:paraId="4828A68B" w14:textId="77777777" w:rsidR="001E28C2" w:rsidRPr="00B379C1" w:rsidRDefault="001E28C2" w:rsidP="001E28C2">
      <w:pPr>
        <w:spacing w:after="120" w:line="276" w:lineRule="auto"/>
        <w:ind w:firstLine="708"/>
        <w:jc w:val="both"/>
        <w:textAlignment w:val="baseline"/>
        <w:rPr>
          <w:rFonts w:ascii="Verdana" w:eastAsia="Calibri" w:hAnsi="Verdana" w:cs="Arial"/>
          <w:lang w:val="es-ES_tradnl" w:eastAsia="es-ES_tradnl"/>
        </w:rPr>
      </w:pPr>
      <w:r w:rsidRPr="00B379C1">
        <w:rPr>
          <w:rFonts w:ascii="Verdana" w:eastAsia="Calibri" w:hAnsi="Verdana" w:cs="Arial"/>
          <w:lang w:val="es-ES_tradnl" w:eastAsia="es-ES_tradnl"/>
        </w:rPr>
        <w:t>Ahora bien, en relación con el recaudo de los aportes, debe señalarse que la Agencia Nacional de Contratación Pública – Colombia Compra Eficiente en la “Guía para la contratación con entidades privadas sin ánimo de lucro y de reconocida idoneidad”, señaló que: “[…] la exigencia de recursos en dinero se puede cumplir con instrumentos financieros, jurídicos y contables que sean transables y que tengan liquidez suficiente para ser equivalentes al dinero”. Sin embargo, debe insistirse en que la entidad será autónoma en definir el mecanismo que le parezca más conveniente para el recaudo de los recursos económicos. Además, dichos recursos deberán comprometerse en actividades orientadas a la ejecución de los objetivos comunes de la asociación con la respectiva Entidad Pública, de acuerdo con lo prescrito en el artículo 96 de la Ley 489 de 1998.</w:t>
      </w:r>
    </w:p>
    <w:p w14:paraId="5A89FE22" w14:textId="77777777" w:rsidR="001E28C2" w:rsidRPr="00B379C1" w:rsidRDefault="001E28C2" w:rsidP="001E28C2">
      <w:pPr>
        <w:spacing w:after="120" w:line="276" w:lineRule="auto"/>
        <w:ind w:firstLine="708"/>
        <w:jc w:val="both"/>
        <w:textAlignment w:val="baseline"/>
        <w:rPr>
          <w:rFonts w:ascii="Verdana" w:eastAsia="Calibri" w:hAnsi="Verdana" w:cs="Arial"/>
          <w:lang w:val="es-ES" w:eastAsia="es-ES"/>
        </w:rPr>
      </w:pPr>
      <w:r w:rsidRPr="00B379C1">
        <w:rPr>
          <w:rFonts w:ascii="Verdana" w:eastAsia="Calibri" w:hAnsi="Verdana" w:cs="Arial"/>
          <w:lang w:val="es-ES" w:eastAsia="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B379C1">
        <w:rPr>
          <w:rFonts w:ascii="Verdana" w:eastAsia="Calibri" w:hAnsi="Verdana" w:cs="Arial"/>
          <w:i/>
          <w:lang w:val="es-ES" w:eastAsia="es-ES"/>
        </w:rPr>
        <w:t>no</w:t>
      </w:r>
      <w:r w:rsidRPr="00B379C1">
        <w:rPr>
          <w:rFonts w:ascii="Verdana" w:eastAsia="Calibri" w:hAnsi="Verdana" w:cs="Arial"/>
          <w:lang w:val="es-ES" w:eastAsia="es-ES"/>
        </w:rPr>
        <w:t xml:space="preserve"> se aplicará la regla que determina que si el aporte de recursos en dinero es igual o superior a un treinta por ciento (30%) del valor del convenio, este se podrá celebrar de forma directa, por lo que deberá adelantarse un proceso competitivo. No obstante, se precisa que eso no significa que no puedan hacerse aportes en especie, sino que como mínimo debe realizarse un aporte en dinero del treinta por ciento (30%) del valor del convenio de asociación para que pueda aplicar la selección directa de la ESAL, siempre que no haya otra ESAL que realice el mismo ofrecimiento. </w:t>
      </w:r>
    </w:p>
    <w:p w14:paraId="7AE73DCF" w14:textId="77777777" w:rsidR="001E28C2" w:rsidRPr="00B379C1" w:rsidRDefault="001E28C2" w:rsidP="001E28C2">
      <w:pPr>
        <w:spacing w:after="120" w:line="276" w:lineRule="auto"/>
        <w:ind w:firstLine="709"/>
        <w:jc w:val="both"/>
        <w:textAlignment w:val="baseline"/>
        <w:rPr>
          <w:rFonts w:ascii="Verdana" w:eastAsia="Calibri" w:hAnsi="Verdana" w:cs="Arial"/>
          <w:lang w:val="es-ES_tradnl" w:eastAsia="es-ES_tradnl"/>
        </w:rPr>
      </w:pPr>
      <w:r w:rsidRPr="00B379C1">
        <w:rPr>
          <w:rFonts w:ascii="Verdana" w:eastAsia="Calibri" w:hAnsi="Verdana" w:cs="Arial"/>
          <w:lang w:val="es-ES_tradnl" w:eastAsia="es-ES_tradnl"/>
        </w:rPr>
        <w:t xml:space="preserve">De este modo, en los convenios de asociación, la ESAL debe aportar un treinta por ciento (30%) total del convenio en dinero para que no proceda el proceso competitivo, el cual podrá tener origen en recursos propios o en recursos de cooperación internacional cuya destinación permita la ejecución y el logro de los objetivos comunes del convenio celebrado con la Entidad Estatal asociada, sin perjuicio de que haya otros aportes en especie que se pacten para la ejecución de las actividades y finalidades de este.  </w:t>
      </w:r>
    </w:p>
    <w:p w14:paraId="143B17C7" w14:textId="77777777" w:rsidR="001E28C2" w:rsidRPr="00B379C1" w:rsidRDefault="001E28C2" w:rsidP="001E28C2">
      <w:pPr>
        <w:spacing w:after="0" w:line="276" w:lineRule="auto"/>
        <w:ind w:firstLine="709"/>
        <w:jc w:val="both"/>
        <w:textAlignment w:val="baseline"/>
        <w:rPr>
          <w:rFonts w:ascii="Verdana" w:eastAsia="Calibri" w:hAnsi="Verdana" w:cs="Arial"/>
          <w:lang w:val="es-ES_tradnl"/>
        </w:rPr>
      </w:pPr>
      <w:r w:rsidRPr="00B379C1">
        <w:rPr>
          <w:rFonts w:ascii="Verdana" w:eastAsia="Calibri" w:hAnsi="Verdana" w:cs="Arial"/>
          <w:lang w:val="es-ES" w:eastAsia="es-ES_tradnl"/>
        </w:rPr>
        <w:t>Con el fin de resolver los problemas jurídicos planteados en la consulta, es importante adentrarse en el estudio de lo preceptuado en</w:t>
      </w:r>
      <w:r w:rsidRPr="00B379C1">
        <w:rPr>
          <w:rFonts w:ascii="Verdana" w:eastAsia="Calibri" w:hAnsi="Verdana" w:cs="Arial"/>
          <w:lang w:val="es-ES_tradnl"/>
        </w:rPr>
        <w:t xml:space="preserve"> los artículos 6, 7 y 8 del </w:t>
      </w:r>
      <w:bookmarkStart w:id="6" w:name="_Hlk38214426"/>
      <w:r w:rsidRPr="00B379C1">
        <w:rPr>
          <w:rFonts w:ascii="Verdana" w:eastAsia="Calibri" w:hAnsi="Verdana" w:cs="Arial"/>
          <w:lang w:val="es-ES_tradnl"/>
        </w:rPr>
        <w:t>Decreto 092 de 2017</w:t>
      </w:r>
      <w:bookmarkEnd w:id="6"/>
      <w:r w:rsidRPr="00B379C1">
        <w:rPr>
          <w:rFonts w:ascii="Verdana" w:eastAsia="Calibri" w:hAnsi="Verdana" w:cs="Arial"/>
          <w:lang w:val="es-ES_tradnl"/>
        </w:rPr>
        <w:t>, los cuales disponen lo siguiente:</w:t>
      </w:r>
    </w:p>
    <w:p w14:paraId="3A0BDE39" w14:textId="77777777" w:rsidR="001E28C2" w:rsidRPr="00B379C1" w:rsidRDefault="001E28C2" w:rsidP="001E28C2">
      <w:pPr>
        <w:spacing w:after="0" w:line="276" w:lineRule="auto"/>
        <w:ind w:left="709" w:right="709"/>
        <w:jc w:val="both"/>
        <w:rPr>
          <w:rFonts w:ascii="Verdana" w:eastAsia="Calibri" w:hAnsi="Verdana" w:cs="Arial"/>
          <w:lang w:val="es-ES_tradnl"/>
        </w:rPr>
      </w:pPr>
    </w:p>
    <w:p w14:paraId="7458FBA2" w14:textId="77777777" w:rsidR="001E28C2" w:rsidRPr="00B379C1" w:rsidRDefault="001E28C2" w:rsidP="001E28C2">
      <w:pPr>
        <w:spacing w:after="0" w:line="240" w:lineRule="auto"/>
        <w:ind w:left="709" w:right="709"/>
        <w:jc w:val="both"/>
        <w:rPr>
          <w:rFonts w:ascii="Verdana" w:eastAsia="Calibri" w:hAnsi="Verdana" w:cs="Arial"/>
          <w:sz w:val="20"/>
          <w:szCs w:val="20"/>
          <w:lang w:val="es-ES_tradnl"/>
        </w:rPr>
      </w:pPr>
      <w:r w:rsidRPr="00B379C1">
        <w:rPr>
          <w:rFonts w:ascii="Verdana" w:eastAsia="Calibri" w:hAnsi="Verdana" w:cs="Arial"/>
          <w:sz w:val="20"/>
          <w:szCs w:val="20"/>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14BA6845" w14:textId="77777777" w:rsidR="001E28C2" w:rsidRPr="00B379C1" w:rsidRDefault="001E28C2" w:rsidP="001E28C2">
      <w:pPr>
        <w:spacing w:after="0" w:line="240" w:lineRule="auto"/>
        <w:ind w:left="709" w:right="709"/>
        <w:jc w:val="both"/>
        <w:rPr>
          <w:rFonts w:ascii="Verdana" w:eastAsia="Calibri" w:hAnsi="Verdana" w:cs="Arial"/>
          <w:sz w:val="20"/>
          <w:szCs w:val="20"/>
          <w:lang w:val="es-ES_tradnl"/>
        </w:rPr>
      </w:pPr>
    </w:p>
    <w:p w14:paraId="4E3EE0A1" w14:textId="77777777" w:rsidR="001E28C2" w:rsidRPr="00B379C1" w:rsidRDefault="001E28C2" w:rsidP="001E28C2">
      <w:pPr>
        <w:spacing w:after="0" w:line="240" w:lineRule="auto"/>
        <w:ind w:left="709" w:right="709"/>
        <w:jc w:val="both"/>
        <w:rPr>
          <w:rFonts w:ascii="Verdana" w:eastAsia="Calibri" w:hAnsi="Verdana" w:cs="Arial"/>
          <w:sz w:val="20"/>
          <w:szCs w:val="20"/>
          <w:lang w:val="es-ES_tradnl"/>
        </w:rPr>
      </w:pPr>
      <w:r w:rsidRPr="00B379C1">
        <w:rPr>
          <w:rFonts w:ascii="Verdana" w:eastAsia="Calibri" w:hAnsi="Verdana" w:cs="Arial"/>
          <w:sz w:val="20"/>
          <w:szCs w:val="20"/>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5D3C57DA" w14:textId="77777777" w:rsidR="001E28C2" w:rsidRPr="00B379C1" w:rsidRDefault="001E28C2" w:rsidP="001E28C2">
      <w:pPr>
        <w:spacing w:after="0" w:line="240" w:lineRule="auto"/>
        <w:ind w:left="709" w:right="709"/>
        <w:jc w:val="both"/>
        <w:rPr>
          <w:rFonts w:ascii="Verdana" w:eastAsia="Calibri" w:hAnsi="Verdana" w:cs="Arial"/>
          <w:sz w:val="20"/>
          <w:szCs w:val="20"/>
          <w:lang w:val="es-ES_tradnl"/>
        </w:rPr>
      </w:pPr>
    </w:p>
    <w:p w14:paraId="6F033E74" w14:textId="77777777" w:rsidR="001E28C2" w:rsidRPr="00B379C1" w:rsidRDefault="001E28C2" w:rsidP="001E28C2">
      <w:pPr>
        <w:spacing w:after="0" w:line="240" w:lineRule="auto"/>
        <w:ind w:left="709" w:right="709"/>
        <w:jc w:val="both"/>
        <w:rPr>
          <w:rFonts w:ascii="Verdana" w:eastAsia="Calibri" w:hAnsi="Verdana" w:cs="Arial"/>
          <w:sz w:val="20"/>
          <w:szCs w:val="20"/>
          <w:lang w:val="es-ES_tradnl"/>
        </w:rPr>
      </w:pPr>
      <w:r w:rsidRPr="00B379C1">
        <w:rPr>
          <w:rFonts w:ascii="Verdana" w:eastAsia="Calibri" w:hAnsi="Verdana" w:cs="Arial"/>
          <w:sz w:val="20"/>
          <w:szCs w:val="20"/>
          <w:lang w:val="es-ES_tradnl"/>
        </w:rPr>
        <w:t xml:space="preserve">Artículo 8°. Aplicación de normas generales del sistema de contratación pública. La contratación a la que hace referencia el presente decreto está sujeta </w:t>
      </w:r>
      <w:bookmarkStart w:id="7" w:name="_Hlk38206940"/>
      <w:r w:rsidRPr="00B379C1">
        <w:rPr>
          <w:rFonts w:ascii="Verdana" w:eastAsia="Calibri" w:hAnsi="Verdana" w:cs="Arial"/>
          <w:sz w:val="20"/>
          <w:szCs w:val="20"/>
          <w:lang w:val="es-ES_tradnl"/>
        </w:rPr>
        <w:t xml:space="preserve">a las </w:t>
      </w:r>
      <w:bookmarkStart w:id="8" w:name="_Hlk38633960"/>
      <w:r w:rsidRPr="00B379C1">
        <w:rPr>
          <w:rFonts w:ascii="Verdana" w:eastAsia="Calibri" w:hAnsi="Verdana" w:cs="Arial"/>
          <w:sz w:val="20"/>
          <w:szCs w:val="20"/>
          <w:lang w:val="es-ES_tradnl"/>
        </w:rPr>
        <w:t xml:space="preserve">normas generales </w:t>
      </w:r>
      <w:bookmarkStart w:id="9" w:name="_Hlk38275055"/>
      <w:r w:rsidRPr="00B379C1">
        <w:rPr>
          <w:rFonts w:ascii="Verdana" w:eastAsia="Calibri" w:hAnsi="Verdana" w:cs="Arial"/>
          <w:sz w:val="20"/>
          <w:szCs w:val="20"/>
          <w:lang w:val="es-ES_tradnl"/>
        </w:rPr>
        <w:t>aplicables a la contratación pública</w:t>
      </w:r>
      <w:bookmarkEnd w:id="7"/>
      <w:bookmarkEnd w:id="8"/>
      <w:r w:rsidRPr="00B379C1">
        <w:rPr>
          <w:rFonts w:ascii="Verdana" w:eastAsia="Calibri" w:hAnsi="Verdana" w:cs="Arial"/>
          <w:sz w:val="20"/>
          <w:szCs w:val="20"/>
          <w:lang w:val="es-ES_tradnl"/>
        </w:rPr>
        <w:t xml:space="preserve"> </w:t>
      </w:r>
      <w:bookmarkEnd w:id="9"/>
      <w:r w:rsidRPr="00B379C1">
        <w:rPr>
          <w:rFonts w:ascii="Verdana" w:eastAsia="Calibri" w:hAnsi="Verdana" w:cs="Arial"/>
          <w:sz w:val="20"/>
          <w:szCs w:val="20"/>
          <w:lang w:val="es-ES_tradnl"/>
        </w:rPr>
        <w:t xml:space="preserve">excepto en lo reglamentado en el presente decreto”. </w:t>
      </w:r>
    </w:p>
    <w:p w14:paraId="6A7FD66F" w14:textId="77777777" w:rsidR="001E28C2" w:rsidRPr="00B379C1" w:rsidRDefault="001E28C2" w:rsidP="001E28C2">
      <w:pPr>
        <w:spacing w:after="0" w:line="276" w:lineRule="auto"/>
        <w:jc w:val="both"/>
        <w:rPr>
          <w:rFonts w:ascii="Verdana" w:eastAsia="Calibri" w:hAnsi="Verdana" w:cs="Arial"/>
          <w:lang w:val="es-ES_tradnl"/>
        </w:rPr>
      </w:pPr>
      <w:r w:rsidRPr="00B379C1">
        <w:rPr>
          <w:rFonts w:ascii="Verdana" w:eastAsia="Calibri" w:hAnsi="Verdana" w:cs="Arial"/>
          <w:lang w:val="es-ES_tradnl"/>
        </w:rPr>
        <w:tab/>
      </w:r>
    </w:p>
    <w:p w14:paraId="4552488D" w14:textId="77777777" w:rsidR="001E28C2" w:rsidRPr="00B379C1" w:rsidRDefault="001E28C2" w:rsidP="001E28C2">
      <w:pPr>
        <w:spacing w:after="120" w:line="276" w:lineRule="auto"/>
        <w:ind w:firstLine="709"/>
        <w:jc w:val="both"/>
        <w:rPr>
          <w:rFonts w:ascii="Verdana" w:eastAsia="Calibri" w:hAnsi="Verdana" w:cs="Arial"/>
          <w:lang w:val="es-ES"/>
        </w:rPr>
      </w:pPr>
      <w:r w:rsidRPr="00B379C1">
        <w:rPr>
          <w:rFonts w:ascii="Verdana" w:eastAsia="Calibri" w:hAnsi="Verdana" w:cs="Arial"/>
          <w:lang w:val="es-ES"/>
        </w:rPr>
        <w:t xml:space="preserve">Las normas citadas integran las lagunas o vacíos normativos del reglamento autónomo y se aplican a todo lo que no esté expresamente regulado en él. Por ello no es posible aplicar ninguna de las disposiciones anteriormente citadas en temas como la idoneidad de las ESAL –artículo 3–, su registro en el SECOP –artículo 9– y la inaplicación del Registro Único de Proponentes –artículo 10–. </w:t>
      </w:r>
    </w:p>
    <w:p w14:paraId="00B6161A" w14:textId="77777777" w:rsidR="001E28C2" w:rsidRPr="00B379C1" w:rsidRDefault="001E28C2" w:rsidP="001E28C2">
      <w:pPr>
        <w:spacing w:after="120" w:line="276" w:lineRule="auto"/>
        <w:ind w:firstLine="708"/>
        <w:jc w:val="both"/>
        <w:rPr>
          <w:rFonts w:ascii="Verdana" w:eastAsia="Calibri" w:hAnsi="Verdana" w:cs="Arial"/>
          <w:lang w:val="es-ES"/>
        </w:rPr>
      </w:pPr>
      <w:bookmarkStart w:id="10" w:name="_Hlk38282653"/>
      <w:r w:rsidRPr="00B379C1">
        <w:rPr>
          <w:rFonts w:ascii="Verdana" w:eastAsia="Calibri" w:hAnsi="Verdana" w:cs="Arial"/>
          <w:lang w:val="es-ES"/>
        </w:rPr>
        <w:t xml:space="preserve">Ahora bien, cuando el artículo 8 del Decreto menciona a las “[…] normas generales aplicables a la contratación pública […]”, está </w:t>
      </w:r>
      <w:r w:rsidRPr="00B379C1">
        <w:rPr>
          <w:rFonts w:ascii="Verdana" w:eastAsia="Calibri" w:hAnsi="Verdana" w:cs="Arial"/>
          <w:i/>
          <w:iCs/>
          <w:lang w:val="es-ES"/>
        </w:rPr>
        <w:t>remitiendo integralmente</w:t>
      </w:r>
      <w:r w:rsidRPr="00B379C1">
        <w:rPr>
          <w:rFonts w:ascii="Verdana" w:eastAsia="Calibri" w:hAnsi="Verdana" w:cs="Arial"/>
          <w:lang w:val="es-ES"/>
        </w:rPr>
        <w:t xml:space="preserve"> al EGCAP.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bookmarkEnd w:id="10"/>
    </w:p>
    <w:p w14:paraId="647AA4DB" w14:textId="3B6B1BCC" w:rsidR="001E28C2" w:rsidRPr="00B379C1" w:rsidRDefault="001E28C2" w:rsidP="001E28C2">
      <w:pPr>
        <w:spacing w:after="120" w:line="276" w:lineRule="auto"/>
        <w:ind w:firstLine="708"/>
        <w:jc w:val="both"/>
        <w:rPr>
          <w:rFonts w:ascii="Verdana" w:eastAsia="Calibri" w:hAnsi="Verdana" w:cs="Arial"/>
          <w:lang w:val="es-ES"/>
        </w:rPr>
      </w:pPr>
      <w:r w:rsidRPr="00B379C1">
        <w:rPr>
          <w:rFonts w:ascii="Verdana" w:eastAsia="Calibri" w:hAnsi="Verdana" w:cs="Arial"/>
          <w:lang w:val="es-ES"/>
        </w:rPr>
        <w:t xml:space="preserve">En tal sentido, frente al aspecto por el cual se formula la consulta – esto es la adición </w:t>
      </w:r>
      <w:r w:rsidR="006171AE" w:rsidRPr="00B379C1">
        <w:rPr>
          <w:rFonts w:ascii="Verdana" w:eastAsia="Calibri" w:hAnsi="Verdana" w:cs="Arial"/>
          <w:lang w:val="es-ES"/>
        </w:rPr>
        <w:t xml:space="preserve">de negocios celebrados </w:t>
      </w:r>
      <w:r w:rsidR="004762A7" w:rsidRPr="00B379C1">
        <w:rPr>
          <w:rFonts w:ascii="Verdana" w:eastAsia="Calibri" w:hAnsi="Verdana" w:cs="Arial"/>
          <w:lang w:val="es-ES"/>
        </w:rPr>
        <w:t>de acuerdo con</w:t>
      </w:r>
      <w:r w:rsidR="006171AE" w:rsidRPr="00B379C1">
        <w:rPr>
          <w:rFonts w:ascii="Verdana" w:eastAsia="Calibri" w:hAnsi="Verdana" w:cs="Arial"/>
          <w:lang w:val="es-ES"/>
        </w:rPr>
        <w:t xml:space="preserve"> las disposiciones contempladas en el Decreto 092 del 2017</w:t>
      </w:r>
      <w:r w:rsidRPr="00B379C1">
        <w:rPr>
          <w:rFonts w:ascii="Verdana" w:eastAsia="Calibri" w:hAnsi="Verdana" w:cs="Arial"/>
          <w:lang w:val="es-ES"/>
        </w:rPr>
        <w:t xml:space="preserve"> – habría que preguntarse si cuenta con una regulación especial en el Decreto 092 de 2017. Si la respuesta fuera afirmativa, tendría que aplicarse tal regulación. Pero, de ser negativa, habría que aplicar también el EGCAP, así como sus normas complementarias y reglamentarias, pues, precisamente, dichos preceptos son las “normas generales aplicables a la contratación pública” a las que alude el artículo 8 del Decreto 092 de 2017. En otras palabras, el EGCAP y sus normas </w:t>
      </w:r>
      <w:r w:rsidRPr="00B379C1">
        <w:rPr>
          <w:rFonts w:ascii="Verdana" w:eastAsia="Calibri" w:hAnsi="Verdana" w:cs="Arial"/>
          <w:lang w:val="es-ES"/>
        </w:rPr>
        <w:lastRenderedPageBreak/>
        <w:t>complementarias y reglamentarias llenan los vacíos que se presentan en el Decreto 092 de 2017 frente a la regulación de los asuntos asociados a la celebración, ejecución y liquidación de los convenios que encuentran fundamento en el artículo 355 de la Constitución, incluidos en esta categoría los convenios de asociación previstos en el artículo 96 de la Ley 489 de 1998.</w:t>
      </w:r>
    </w:p>
    <w:p w14:paraId="5013555A" w14:textId="2984DBE0" w:rsidR="001E28C2" w:rsidRPr="00B379C1" w:rsidRDefault="001E28C2" w:rsidP="00BB5401">
      <w:pPr>
        <w:spacing w:after="120" w:line="276" w:lineRule="auto"/>
        <w:ind w:firstLine="709"/>
        <w:jc w:val="both"/>
        <w:rPr>
          <w:rFonts w:ascii="Verdana" w:eastAsia="Calibri" w:hAnsi="Verdana" w:cs="Arial"/>
          <w:lang w:val="es-ES"/>
        </w:rPr>
      </w:pPr>
      <w:r w:rsidRPr="00B379C1">
        <w:rPr>
          <w:rFonts w:ascii="Verdana" w:eastAsia="Calibri" w:hAnsi="Verdana" w:cs="Arial"/>
          <w:lang w:val="es-ES"/>
        </w:rPr>
        <w:t xml:space="preserve">Pues bien, el peticionario indaga si los </w:t>
      </w:r>
      <w:r w:rsidR="00BB5401" w:rsidRPr="00B379C1">
        <w:rPr>
          <w:rFonts w:ascii="Verdana" w:eastAsia="Calibri" w:hAnsi="Verdana" w:cs="Arial"/>
          <w:lang w:val="es-ES"/>
        </w:rPr>
        <w:t xml:space="preserve">convenios y contratos de que trata el Decreto 092 del 2017 </w:t>
      </w:r>
      <w:r w:rsidRPr="00B379C1">
        <w:rPr>
          <w:rFonts w:ascii="Verdana" w:eastAsia="Calibri" w:hAnsi="Verdana" w:cs="Arial"/>
          <w:lang w:val="es-ES"/>
        </w:rPr>
        <w:t xml:space="preserve">pueden ser adicionados, después de adjudicados. Siguiendo la metodología explicada, hay que señalar que esta materia – la adición de los contratos – </w:t>
      </w:r>
      <w:r w:rsidRPr="00B379C1">
        <w:rPr>
          <w:rFonts w:ascii="Verdana" w:eastAsia="Calibri" w:hAnsi="Verdana" w:cs="Arial"/>
          <w:i/>
          <w:iCs/>
          <w:lang w:val="es-ES"/>
        </w:rPr>
        <w:t>no está regulada expresamente en el Decreto 092 de 2017</w:t>
      </w:r>
      <w:r w:rsidRPr="00B379C1">
        <w:rPr>
          <w:rFonts w:ascii="Verdana" w:eastAsia="Calibri" w:hAnsi="Verdana" w:cs="Arial"/>
          <w:lang w:val="es-ES"/>
        </w:rPr>
        <w:t>. En consecuencia, el vacío que se presenta frente a este asunto debe llenarse con la remisión que efectúa el artículo 8 del Decreto 092 de 2017</w:t>
      </w:r>
      <w:r w:rsidR="00F5414F" w:rsidRPr="00B379C1">
        <w:rPr>
          <w:rFonts w:ascii="Verdana" w:eastAsia="Calibri" w:hAnsi="Verdana" w:cs="Arial"/>
          <w:lang w:val="es-ES"/>
        </w:rPr>
        <w:t xml:space="preserve">, con la salvedad que deberá tenerse en consideración las particularidades de los negocios jurídicos que se celebren en atención a las disposiciones del precedido Decreto. </w:t>
      </w:r>
    </w:p>
    <w:p w14:paraId="140B0802" w14:textId="77777777" w:rsidR="00513F04" w:rsidRPr="00B379C1" w:rsidRDefault="001E28C2" w:rsidP="00513F04">
      <w:pPr>
        <w:spacing w:after="120" w:line="276" w:lineRule="auto"/>
        <w:ind w:firstLine="709"/>
        <w:jc w:val="both"/>
        <w:rPr>
          <w:rFonts w:ascii="Verdana" w:eastAsia="Calibri" w:hAnsi="Verdana" w:cs="Arial"/>
          <w:lang w:bidi="es-ES"/>
        </w:rPr>
      </w:pPr>
      <w:r w:rsidRPr="00B379C1">
        <w:rPr>
          <w:rFonts w:ascii="Verdana" w:eastAsia="Calibri" w:hAnsi="Verdana" w:cs="Arial"/>
          <w:lang w:val="es-ES"/>
        </w:rPr>
        <w:t>Al respecto, debe señalarse que, e</w:t>
      </w:r>
      <w:r w:rsidRPr="00B379C1">
        <w:rPr>
          <w:rFonts w:ascii="Verdana" w:eastAsia="Calibri" w:hAnsi="Verdana" w:cs="Arial"/>
          <w:lang w:val="es-ES" w:bidi="es-ES"/>
        </w:rPr>
        <w:t xml:space="preserve">l EGCAP, contenido en las Leyes 80 de 1993, 1150 de 2007 y 1474 de 2011, así como en las normas que las han modificado y las reglamentan, no consagra una regulación expresa sobre la posibilidad de modificar los contratos celebrados por las Entidades Estatales. De igual forma, tampoco existe ninguna restricción expresa para modificar los contratos estatales. La regulación expresa contenida en el ordenamiento jurídico se limita a fijar los porcentajes límite para adicionar los valores inicialmente pactados, como lo hace el </w:t>
      </w:r>
      <w:r w:rsidRPr="00B379C1">
        <w:rPr>
          <w:rFonts w:ascii="Verdana" w:eastAsia="Calibri" w:hAnsi="Verdana" w:cs="Arial"/>
          <w:lang w:val="es-ES"/>
        </w:rPr>
        <w:t xml:space="preserve">parágrafo del </w:t>
      </w:r>
      <w:r w:rsidRPr="00B379C1">
        <w:rPr>
          <w:rFonts w:ascii="Verdana" w:eastAsia="Calibri" w:hAnsi="Verdana" w:cs="Arial"/>
          <w:lang w:val="es-ES" w:bidi="es-ES"/>
        </w:rPr>
        <w:t xml:space="preserve">artículo 40 de la Ley 80 de 1993, el cual dispone que, </w:t>
      </w:r>
      <w:r w:rsidRPr="00B379C1">
        <w:rPr>
          <w:rFonts w:ascii="Verdana" w:eastAsia="Calibri" w:hAnsi="Verdana" w:cs="Arial"/>
        </w:rPr>
        <w:t>los contratos no podrán adicionarse en más del cincuenta por ciento (50%) de su valor inicial, expresado en SMLMV.</w:t>
      </w:r>
    </w:p>
    <w:p w14:paraId="015081C9" w14:textId="05E3D61F" w:rsidR="007A7926" w:rsidRPr="00B379C1" w:rsidRDefault="0001674F" w:rsidP="00513F04">
      <w:pPr>
        <w:spacing w:after="120" w:line="276" w:lineRule="auto"/>
        <w:ind w:firstLine="709"/>
        <w:jc w:val="both"/>
        <w:rPr>
          <w:rFonts w:ascii="Verdana" w:eastAsia="Calibri" w:hAnsi="Verdana" w:cs="Arial"/>
          <w:lang w:val="es-ES" w:bidi="es-ES"/>
        </w:rPr>
      </w:pPr>
      <w:r w:rsidRPr="00B379C1">
        <w:rPr>
          <w:rFonts w:ascii="Verdana" w:eastAsia="Calibri" w:hAnsi="Verdana" w:cs="Arial"/>
          <w:lang w:eastAsia="es-ES_tradnl"/>
        </w:rPr>
        <w:t xml:space="preserve">Frente al segundo problema jurídico planteado </w:t>
      </w:r>
      <w:r w:rsidR="00200EBC" w:rsidRPr="00B379C1">
        <w:rPr>
          <w:rFonts w:ascii="Verdana" w:eastAsia="Calibri" w:hAnsi="Verdana" w:cs="Arial"/>
          <w:lang w:eastAsia="es-ES_tradnl"/>
        </w:rPr>
        <w:t xml:space="preserve">se </w:t>
      </w:r>
      <w:r w:rsidRPr="00B379C1">
        <w:rPr>
          <w:rFonts w:ascii="Verdana" w:eastAsia="Calibri" w:hAnsi="Verdana" w:cs="Arial"/>
          <w:lang w:eastAsia="es-ES_tradnl"/>
        </w:rPr>
        <w:t xml:space="preserve">debe </w:t>
      </w:r>
      <w:r w:rsidR="005724CD" w:rsidRPr="00B379C1">
        <w:rPr>
          <w:rFonts w:ascii="Verdana" w:eastAsia="Calibri" w:hAnsi="Verdana" w:cs="Arial"/>
          <w:lang w:eastAsia="es-ES_tradnl"/>
        </w:rPr>
        <w:t>reiterar</w:t>
      </w:r>
      <w:r w:rsidR="006E15DF" w:rsidRPr="00B379C1">
        <w:rPr>
          <w:rFonts w:ascii="Verdana" w:eastAsia="Calibri" w:hAnsi="Verdana" w:cs="Arial"/>
          <w:lang w:eastAsia="es-ES_tradnl"/>
        </w:rPr>
        <w:t>se</w:t>
      </w:r>
      <w:r w:rsidRPr="00B379C1">
        <w:rPr>
          <w:rFonts w:ascii="Verdana" w:eastAsia="Calibri" w:hAnsi="Verdana" w:cs="Arial"/>
          <w:lang w:eastAsia="es-ES_tradnl"/>
        </w:rPr>
        <w:t xml:space="preserve"> que </w:t>
      </w:r>
      <w:r w:rsidR="007A7926" w:rsidRPr="00B379C1">
        <w:rPr>
          <w:rFonts w:ascii="Verdana" w:eastAsia="Calibri" w:hAnsi="Verdana" w:cs="Arial"/>
          <w:lang w:val="es-ES"/>
        </w:rPr>
        <w:t xml:space="preserve">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p>
    <w:p w14:paraId="793F80A1" w14:textId="77777777" w:rsidR="00D2587D" w:rsidRPr="00B379C1" w:rsidRDefault="00D2587D" w:rsidP="00D2587D">
      <w:pPr>
        <w:tabs>
          <w:tab w:val="left" w:pos="284"/>
        </w:tabs>
        <w:spacing w:line="276" w:lineRule="auto"/>
        <w:jc w:val="both"/>
        <w:rPr>
          <w:rFonts w:ascii="Verdana" w:eastAsia="Calibri" w:hAnsi="Verdana" w:cs="Times New Roman"/>
          <w:sz w:val="20"/>
          <w:szCs w:val="20"/>
          <w:lang w:val="es-ES"/>
        </w:rPr>
      </w:pPr>
      <w:r w:rsidRPr="00B379C1">
        <w:rPr>
          <w:rFonts w:ascii="Verdana" w:eastAsia="Calibri" w:hAnsi="Verdana" w:cs="Arial"/>
          <w:lang w:val="es-ES_tradnl"/>
        </w:rPr>
        <w:tab/>
      </w:r>
      <w:r w:rsidRPr="00B379C1">
        <w:rPr>
          <w:rFonts w:ascii="Verdana" w:eastAsia="Calibri" w:hAnsi="Verdana" w:cs="Arial"/>
          <w:lang w:val="es-ES_tradnl"/>
        </w:rPr>
        <w:tab/>
        <w:t xml:space="preserve">En efecto, es necesario revisar si los anticipos o los pagos anticipados son procedentes en los convenios de asociación regulados en el artículo 5° del Decreto 092 de 2017, así como en los demás tipos de convenios. </w:t>
      </w:r>
      <w:r w:rsidRPr="00B379C1">
        <w:rPr>
          <w:rFonts w:ascii="Verdana" w:eastAsia="Arial" w:hAnsi="Verdana" w:cs="Arial"/>
          <w:lang w:eastAsia="es-ES" w:bidi="es-ES"/>
        </w:rPr>
        <w:t xml:space="preserve">En materia de contratación pública, el anticipo ha sido definido como “un recurso o suma correspondiente a un porcentaje del valor total del contrato, pactado como contraprestación, que la entidad pública le entrega al contratista para que sea </w:t>
      </w:r>
      <w:r w:rsidRPr="00B379C1">
        <w:rPr>
          <w:rFonts w:ascii="Verdana" w:eastAsia="Arial" w:hAnsi="Verdana" w:cs="Arial"/>
          <w:lang w:eastAsia="es-ES" w:bidi="es-ES"/>
        </w:rPr>
        <w:lastRenderedPageBreak/>
        <w:t>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B379C1">
        <w:rPr>
          <w:rFonts w:ascii="Verdana" w:eastAsia="Arial" w:hAnsi="Verdana" w:cs="Arial"/>
          <w:vertAlign w:val="superscript"/>
          <w:lang w:eastAsia="es-ES" w:bidi="es-ES"/>
        </w:rPr>
        <w:footnoteReference w:id="6"/>
      </w:r>
      <w:r w:rsidRPr="00B379C1">
        <w:rPr>
          <w:rFonts w:ascii="Verdana" w:eastAsia="Arial" w:hAnsi="Verdana" w:cs="Arial"/>
          <w:lang w:eastAsia="es-ES" w:bidi="es-ES"/>
        </w:rPr>
        <w:t xml:space="preserve">. Esta institución es un mecanismo de apalancamiento financiero que implica un endeudamiento, que posibilita que la entidad contratante le entregue </w:t>
      </w:r>
      <w:r w:rsidRPr="00B379C1">
        <w:rPr>
          <w:rFonts w:ascii="Verdana" w:eastAsia="Arial" w:hAnsi="Verdana" w:cs="Arial"/>
          <w:i/>
          <w:lang w:eastAsia="es-ES" w:bidi="es-ES"/>
        </w:rPr>
        <w:t xml:space="preserve">ex ante </w:t>
      </w:r>
      <w:r w:rsidRPr="00B379C1">
        <w:rPr>
          <w:rFonts w:ascii="Verdana" w:eastAsia="Arial" w:hAnsi="Verdana" w:cs="Arial"/>
          <w:lang w:eastAsia="es-ES" w:bidi="es-ES"/>
        </w:rPr>
        <w:t xml:space="preserve">una suma de dinero al contratista, con el propósito de iniciar la ejecución del proyecto, la cual es amortizada y debitada de la contraprestación pactada. Mientras el pago anticipado </w:t>
      </w:r>
      <w:r w:rsidRPr="00B379C1">
        <w:rPr>
          <w:rFonts w:ascii="Verdana" w:eastAsia="Arial" w:hAnsi="Verdana" w:cs="Arial"/>
          <w:lang w:val="es-ES" w:eastAsia="es-ES" w:bidi="es-ES"/>
        </w:rPr>
        <w:t>es un pago efectivo del precio que se efectúa y se causa en forma anticipada. Por tanto, los recursos se integran al patrimonio del contratista desde su desembolso.</w:t>
      </w:r>
      <w:r w:rsidRPr="00B379C1">
        <w:rPr>
          <w:rFonts w:ascii="Verdana" w:eastAsia="Calibri" w:hAnsi="Verdana" w:cs="Times New Roman"/>
          <w:sz w:val="20"/>
          <w:szCs w:val="20"/>
          <w:lang w:val="es-ES"/>
        </w:rPr>
        <w:t xml:space="preserve"> </w:t>
      </w:r>
    </w:p>
    <w:p w14:paraId="140C1405" w14:textId="77777777" w:rsidR="00964CEF" w:rsidRPr="00B379C1" w:rsidRDefault="00964CEF" w:rsidP="00964CEF">
      <w:pPr>
        <w:tabs>
          <w:tab w:val="left" w:pos="284"/>
        </w:tabs>
        <w:spacing w:line="276" w:lineRule="auto"/>
        <w:jc w:val="both"/>
        <w:rPr>
          <w:rFonts w:ascii="Verdana" w:eastAsia="Calibri" w:hAnsi="Verdana" w:cs="Arial"/>
          <w:bCs/>
        </w:rPr>
      </w:pPr>
      <w:r w:rsidRPr="00B379C1">
        <w:rPr>
          <w:rFonts w:ascii="Verdana" w:eastAsia="Arial" w:hAnsi="Verdana" w:cs="Arial"/>
          <w:lang w:eastAsia="es-ES" w:bidi="es-ES"/>
        </w:rPr>
        <w:tab/>
      </w:r>
      <w:r w:rsidRPr="00B379C1">
        <w:rPr>
          <w:rFonts w:ascii="Verdana" w:eastAsia="Arial" w:hAnsi="Verdana" w:cs="Arial"/>
          <w:lang w:eastAsia="es-ES" w:bidi="es-ES"/>
        </w:rPr>
        <w:tab/>
        <w:t xml:space="preserve">Conforme a lo expresado,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w:t>
      </w:r>
      <w:r w:rsidRPr="00B379C1">
        <w:rPr>
          <w:rFonts w:ascii="Verdana" w:eastAsia="Calibri" w:hAnsi="Verdana" w:cs="Arial"/>
          <w:bCs/>
        </w:rPr>
        <w:t xml:space="preserve">una contraprestación económica, no es aplicable la remisión integral al anticipo o pago anticipado. </w:t>
      </w:r>
    </w:p>
    <w:p w14:paraId="78C0C0D0" w14:textId="77777777" w:rsidR="00E658C7" w:rsidRPr="00B379C1" w:rsidRDefault="00E658C7" w:rsidP="00E658C7">
      <w:pPr>
        <w:shd w:val="clear" w:color="auto" w:fill="FFFFFF"/>
        <w:spacing w:after="120" w:line="276" w:lineRule="auto"/>
        <w:ind w:firstLine="709"/>
        <w:jc w:val="both"/>
        <w:textAlignment w:val="baseline"/>
        <w:rPr>
          <w:rFonts w:ascii="Verdana" w:eastAsia="Calibri" w:hAnsi="Verdana" w:cs="Arial"/>
          <w:bCs/>
          <w:lang w:val="es-ES_tradnl"/>
        </w:rPr>
      </w:pPr>
      <w:r w:rsidRPr="00B379C1">
        <w:rPr>
          <w:rFonts w:ascii="Verdana" w:eastAsia="Calibri" w:hAnsi="Verdana" w:cs="Arial"/>
          <w:bCs/>
        </w:rPr>
        <w:t xml:space="preserve">Según el marco jurídico aplicable del Decreto 092 de 2017, se prohíbe que de dichos convenios emanen intereses onerosos, o produzca obligaciones entre los extremos con equivalencia entre sí, como sucede con los contratos de obra o de suministro, y por tanto, no puede estipularse anticipos y pagos anticipados que por su naturaleza tienen un carácter prestacional. </w:t>
      </w:r>
      <w:r w:rsidRPr="00B379C1">
        <w:rPr>
          <w:rFonts w:ascii="Verdana" w:eastAsia="Calibri" w:hAnsi="Verdana" w:cs="Arial"/>
          <w:bCs/>
          <w:lang w:val="es-ES_tradnl"/>
        </w:rPr>
        <w:t xml:space="preserve">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del convenio. </w:t>
      </w:r>
    </w:p>
    <w:p w14:paraId="2680F034" w14:textId="7EAC4226" w:rsidR="004C27CD" w:rsidRPr="00B379C1" w:rsidRDefault="004C27CD" w:rsidP="004C27CD">
      <w:pPr>
        <w:spacing w:after="120" w:line="276" w:lineRule="auto"/>
        <w:ind w:firstLine="709"/>
        <w:jc w:val="both"/>
        <w:rPr>
          <w:rFonts w:ascii="Verdana" w:eastAsia="Calibri" w:hAnsi="Verdana" w:cs="Arial"/>
          <w:bCs/>
          <w:lang w:val="es-ES_tradnl"/>
        </w:rPr>
      </w:pPr>
      <w:r w:rsidRPr="00B379C1">
        <w:rPr>
          <w:rFonts w:ascii="Verdana" w:eastAsia="Calibri" w:hAnsi="Verdana" w:cs="Arial"/>
          <w:bCs/>
          <w:lang w:val="es-ES_tradnl" w:bidi="es-ES"/>
        </w:rPr>
        <w:t xml:space="preserve">Sin embargo, no implica que, en el marco de convenios de asociación, en los contratos de colaboración o de interés público, así como en los convenios solidarios las partes no puedan establecer cláusulas que garanticen el desembolso temprano de recursos, de manera que las entidades sin ánimo de lucro que actúan como ejecutoras, puedan contar con los recursos necesarios </w:t>
      </w:r>
      <w:r w:rsidRPr="00B379C1">
        <w:rPr>
          <w:rFonts w:ascii="Verdana" w:eastAsia="Calibri" w:hAnsi="Verdana" w:cs="Arial"/>
          <w:bCs/>
          <w:lang w:val="es-ES_tradnl" w:bidi="es-ES"/>
        </w:rPr>
        <w:lastRenderedPageBreak/>
        <w:t xml:space="preserve">para la ejecución de los proyectos a su cargo. Por tanto, se recomienda establecer giros vinculados a las fases del proyecto y el cronograma de ejecución, al igual que condiciones administrativas claras y concisas para los desembolsos, que faciliten el entendimiento entre partes del convenio. </w:t>
      </w:r>
      <w:r w:rsidRPr="00B379C1">
        <w:rPr>
          <w:rFonts w:ascii="Verdana" w:eastAsia="Calibri" w:hAnsi="Verdana" w:cs="Arial"/>
          <w:bCs/>
          <w:lang w:val="es-ES_tradnl"/>
        </w:rPr>
        <w:t>A modo de ejemplo, en el caso del documento tipo para convenios solidarios, se incluyó la “Cláusula 7 Giro de los recursos” que establece tres (3) opciones para que la Entidad Estatal decida el mecanismo que más se adecúe a la necesidad y características propias de cada convenio solidario que pretenda adelantar.</w:t>
      </w:r>
    </w:p>
    <w:p w14:paraId="64C102CE" w14:textId="45BB8CFF" w:rsidR="0066398E" w:rsidRPr="00B379C1" w:rsidRDefault="0066398E" w:rsidP="0066398E">
      <w:pPr>
        <w:spacing w:after="120" w:line="276" w:lineRule="auto"/>
        <w:ind w:firstLine="709"/>
        <w:jc w:val="both"/>
        <w:rPr>
          <w:rFonts w:ascii="Verdana" w:eastAsia="Calibri" w:hAnsi="Verdana" w:cs="Arial"/>
          <w:bCs/>
          <w:lang w:val="es-ES_tradnl"/>
        </w:rPr>
      </w:pPr>
      <w:r w:rsidRPr="00B379C1">
        <w:rPr>
          <w:rFonts w:ascii="Verdana" w:eastAsia="Calibri" w:hAnsi="Verdana" w:cs="Arial"/>
          <w:bCs/>
          <w:lang w:val="es-ES_tradnl"/>
        </w:rPr>
        <w:t xml:space="preserve">Conforme lo expuesto, dichas estipulaciones no deben entenderse como una contraprestación para algunas de las partes o no pueden destinarse a remunerar a la ESAL o a la entidad pública que participe del convenio. </w:t>
      </w:r>
    </w:p>
    <w:p w14:paraId="20234DC0" w14:textId="77777777" w:rsidR="00365ECB" w:rsidRPr="00B379C1" w:rsidRDefault="00365ECB" w:rsidP="00365ECB">
      <w:pPr>
        <w:spacing w:after="120" w:line="276" w:lineRule="auto"/>
        <w:ind w:firstLine="709"/>
        <w:jc w:val="both"/>
        <w:rPr>
          <w:rFonts w:ascii="Verdana" w:eastAsia="Arial" w:hAnsi="Verdana" w:cs="Arial"/>
          <w:lang w:eastAsia="es-ES" w:bidi="es-ES"/>
        </w:rPr>
      </w:pPr>
      <w:r w:rsidRPr="00B379C1">
        <w:rPr>
          <w:rFonts w:ascii="Verdana" w:eastAsia="Arial" w:hAnsi="Verdana" w:cs="Arial"/>
          <w:bCs/>
          <w:lang w:val="es-ES_tradnl" w:eastAsia="es-ES" w:bidi="es-ES"/>
        </w:rPr>
        <w:t>En todo caso</w:t>
      </w:r>
      <w:r w:rsidRPr="00B379C1">
        <w:rPr>
          <w:rFonts w:ascii="Verdana" w:eastAsia="Arial" w:hAnsi="Verdana" w:cs="Arial"/>
          <w:lang w:eastAsia="es-ES" w:bidi="es-ES"/>
        </w:rPr>
        <w:t>, las entidades públicas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p w14:paraId="158222E0" w14:textId="77777777" w:rsidR="00E72944" w:rsidRPr="00B379C1" w:rsidRDefault="00E72944" w:rsidP="008857FD">
      <w:pPr>
        <w:spacing w:after="0" w:line="276" w:lineRule="auto"/>
        <w:jc w:val="both"/>
        <w:rPr>
          <w:rFonts w:ascii="Verdana" w:hAnsi="Verdana"/>
          <w:color w:val="000000"/>
          <w:shd w:val="clear" w:color="auto" w:fill="FFFFFF"/>
        </w:rPr>
      </w:pPr>
    </w:p>
    <w:p w14:paraId="51637FB4" w14:textId="77777777" w:rsidR="00127C3F" w:rsidRPr="00B379C1" w:rsidRDefault="00127C3F" w:rsidP="00127C3F">
      <w:pPr>
        <w:tabs>
          <w:tab w:val="left" w:pos="142"/>
          <w:tab w:val="left" w:pos="284"/>
        </w:tabs>
        <w:spacing w:after="0" w:line="276" w:lineRule="auto"/>
        <w:jc w:val="both"/>
        <w:rPr>
          <w:rFonts w:ascii="Verdana" w:eastAsia="Century Gothic" w:hAnsi="Verdana" w:cs="Century Gothic"/>
          <w:b/>
          <w:bCs/>
        </w:rPr>
      </w:pPr>
      <w:r w:rsidRPr="00B379C1">
        <w:rPr>
          <w:rFonts w:ascii="Verdana" w:eastAsia="Century Gothic" w:hAnsi="Verdana" w:cs="Century Gothic"/>
          <w:b/>
          <w:bCs/>
        </w:rPr>
        <w:t>4. Referencias normativas, jurisprudenciales y otras fuentes:</w:t>
      </w:r>
    </w:p>
    <w:p w14:paraId="7126EFC8" w14:textId="77777777" w:rsidR="00127C3F" w:rsidRPr="00B379C1" w:rsidRDefault="00127C3F" w:rsidP="00127C3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27C3F" w:rsidRPr="00B379C1" w14:paraId="07FB553B" w14:textId="77777777" w:rsidTr="00C50BF4">
        <w:trPr>
          <w:trHeight w:val="870"/>
        </w:trPr>
        <w:tc>
          <w:tcPr>
            <w:tcW w:w="8647" w:type="dxa"/>
          </w:tcPr>
          <w:p w14:paraId="2EF62A38" w14:textId="48A00AC6" w:rsidR="00A3487D" w:rsidRPr="00B379C1" w:rsidRDefault="00E856EF" w:rsidP="00A3487D">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lang w:val="es-CO"/>
              </w:rPr>
              <w:t>Constitución Política de 1991. Artículo 355</w:t>
            </w:r>
          </w:p>
          <w:p w14:paraId="6AEB96D2" w14:textId="77777777" w:rsidR="00C32592" w:rsidRPr="00B379C1" w:rsidRDefault="00C32592" w:rsidP="00C32592">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lang w:val="es-CO"/>
              </w:rPr>
              <w:t>Ley 80 de 1993. Artículo 40.</w:t>
            </w:r>
          </w:p>
          <w:p w14:paraId="389A1C6E" w14:textId="1CF03B06" w:rsidR="00E856EF" w:rsidRPr="00B379C1" w:rsidRDefault="00E856EF" w:rsidP="00A3487D">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lang w:val="es-CO"/>
              </w:rPr>
              <w:t>Ley 489 de 1998. Artículo 96</w:t>
            </w:r>
          </w:p>
          <w:p w14:paraId="4FCC4779" w14:textId="1FDF838E" w:rsidR="00E856EF" w:rsidRPr="00B379C1" w:rsidRDefault="00E856EF" w:rsidP="00A3487D">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lang w:val="es-CO"/>
              </w:rPr>
              <w:t>Ley 1150 de 2007.</w:t>
            </w:r>
          </w:p>
          <w:p w14:paraId="7332B4C6" w14:textId="04E5B8DE" w:rsidR="00C32592" w:rsidRPr="00B379C1" w:rsidRDefault="00C32592" w:rsidP="00C32592">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lang w:val="es-CO"/>
              </w:rPr>
              <w:t>Decreto 092 del 2017</w:t>
            </w:r>
            <w:r>
              <w:rPr>
                <w:rFonts w:ascii="Verdana" w:hAnsi="Verdana" w:cs="Arial"/>
                <w:lang w:val="es-CO"/>
              </w:rPr>
              <w:t xml:space="preserve">: </w:t>
            </w:r>
            <w:r w:rsidR="00E32966">
              <w:rPr>
                <w:rFonts w:ascii="Verdana" w:hAnsi="Verdana" w:cs="Arial"/>
                <w:lang w:val="es-CO"/>
              </w:rPr>
              <w:t xml:space="preserve">Artículo 8. </w:t>
            </w:r>
          </w:p>
          <w:p w14:paraId="187DD29B" w14:textId="77777777" w:rsidR="00A3487D" w:rsidRPr="00B379C1" w:rsidRDefault="00A3487D" w:rsidP="00A3487D">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rPr>
              <w:t>RODRÍGUEZ TAMAYO, Mauricio. Contratación pública con Entidades sin ánimo de lucro. Bogotá: Legis Editores, 2017.</w:t>
            </w:r>
          </w:p>
          <w:p w14:paraId="6A7C10C0" w14:textId="77777777" w:rsidR="00127C3F" w:rsidRPr="00B379C1" w:rsidRDefault="00A3487D" w:rsidP="00A3487D">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rPr>
              <w:t xml:space="preserve">MARÍN CORTÉS, Fabián Gonzalo. </w:t>
            </w:r>
            <w:r w:rsidRPr="00B379C1">
              <w:rPr>
                <w:rFonts w:ascii="Verdana" w:hAnsi="Verdana" w:cs="Arial"/>
                <w:i/>
              </w:rPr>
              <w:t>El precio</w:t>
            </w:r>
            <w:r w:rsidRPr="00B379C1">
              <w:rPr>
                <w:rFonts w:ascii="Verdana" w:hAnsi="Verdana" w:cs="Arial"/>
              </w:rPr>
              <w:t>. Medellín: Librería Jurídica Sánchez R Ltda. y CEDA, 2012</w:t>
            </w:r>
            <w:r w:rsidR="00127C3F" w:rsidRPr="00B379C1">
              <w:rPr>
                <w:rFonts w:ascii="Verdana" w:hAnsi="Verdana" w:cs="Arial"/>
              </w:rPr>
              <w:t xml:space="preserve"> </w:t>
            </w:r>
          </w:p>
          <w:p w14:paraId="7BABC6EC" w14:textId="1CCF22FC" w:rsidR="00D2587D" w:rsidRPr="00B379C1" w:rsidRDefault="00D2587D" w:rsidP="00A3487D">
            <w:pPr>
              <w:pStyle w:val="Prrafodelista"/>
              <w:numPr>
                <w:ilvl w:val="0"/>
                <w:numId w:val="17"/>
              </w:numPr>
              <w:spacing w:after="120" w:line="259" w:lineRule="auto"/>
              <w:contextualSpacing w:val="0"/>
              <w:jc w:val="both"/>
              <w:rPr>
                <w:rFonts w:ascii="Verdana" w:hAnsi="Verdana" w:cs="Arial"/>
                <w:lang w:val="es-CO"/>
              </w:rPr>
            </w:pPr>
            <w:r w:rsidRPr="00B379C1">
              <w:rPr>
                <w:rFonts w:ascii="Verdana" w:hAnsi="Verdana" w:cs="Arial"/>
                <w:lang w:val="es-CO"/>
              </w:rPr>
              <w:t>Consejo de Estado. Sección Tercera – Subsección A. Sentencia del 16 de mayo de 2019. Exp. 40102. C.P: María Adriana Marín.</w:t>
            </w:r>
          </w:p>
        </w:tc>
      </w:tr>
    </w:tbl>
    <w:p w14:paraId="500177E6" w14:textId="77777777" w:rsidR="00127C3F" w:rsidRPr="00B379C1" w:rsidRDefault="00127C3F" w:rsidP="00127C3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361869F" w14:textId="77777777" w:rsidR="00127C3F" w:rsidRPr="00B379C1" w:rsidRDefault="00127C3F" w:rsidP="00127C3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379C1">
        <w:rPr>
          <w:rFonts w:ascii="Verdana" w:eastAsia="Century Gothic" w:hAnsi="Verdana" w:cs="Century Gothic"/>
          <w:b/>
          <w:bCs/>
        </w:rPr>
        <w:lastRenderedPageBreak/>
        <w:t>5. Doctrina de la Agencia Nacional de Contratación Pública:</w:t>
      </w:r>
    </w:p>
    <w:p w14:paraId="2F767A53" w14:textId="77777777" w:rsidR="00127C3F" w:rsidRPr="00B379C1" w:rsidRDefault="00127C3F" w:rsidP="00127C3F">
      <w:pPr>
        <w:spacing w:after="0" w:line="276" w:lineRule="auto"/>
        <w:ind w:firstLine="709"/>
        <w:jc w:val="both"/>
        <w:rPr>
          <w:rFonts w:ascii="Verdana" w:eastAsia="Times New Roman" w:hAnsi="Verdana" w:cs="Arial"/>
          <w:lang w:eastAsia="es-ES_tradnl"/>
        </w:rPr>
      </w:pPr>
    </w:p>
    <w:p w14:paraId="61D2ECF4" w14:textId="77777777" w:rsidR="00FD1163" w:rsidRDefault="00127C3F" w:rsidP="002D0420">
      <w:pPr>
        <w:widowControl w:val="0"/>
        <w:autoSpaceDE w:val="0"/>
        <w:autoSpaceDN w:val="0"/>
        <w:spacing w:after="0" w:line="276" w:lineRule="auto"/>
        <w:jc w:val="both"/>
        <w:rPr>
          <w:rFonts w:ascii="Verdana" w:hAnsi="Verdana" w:cs="Arial"/>
          <w:shd w:val="clear" w:color="auto" w:fill="FFFFFF"/>
          <w:lang w:val="es-ES"/>
        </w:rPr>
      </w:pPr>
      <w:r w:rsidRPr="00B379C1">
        <w:rPr>
          <w:rFonts w:ascii="Verdana" w:hAnsi="Verdana" w:cs="Arial"/>
          <w:shd w:val="clear" w:color="auto" w:fill="FFFFFF"/>
          <w:lang w:val="es-ES"/>
        </w:rPr>
        <w:t xml:space="preserve">Sobre </w:t>
      </w:r>
      <w:r w:rsidR="0079209E" w:rsidRPr="00B379C1">
        <w:rPr>
          <w:rFonts w:ascii="Verdana" w:eastAsia="Calibri" w:hAnsi="Verdana" w:cs="Arial"/>
          <w:bCs/>
          <w:lang w:val="es-ES_tradnl" w:eastAsia="es-ES_tradnl"/>
        </w:rPr>
        <w:t xml:space="preserve">el régimen de los convenios de asociación </w:t>
      </w:r>
      <w:r w:rsidR="00982B54" w:rsidRPr="00B379C1">
        <w:rPr>
          <w:rFonts w:ascii="Verdana" w:eastAsia="Calibri" w:hAnsi="Verdana" w:cs="Arial"/>
          <w:bCs/>
          <w:lang w:val="es-ES_tradnl" w:eastAsia="es-ES_tradnl"/>
        </w:rPr>
        <w:t xml:space="preserve">y </w:t>
      </w:r>
      <w:r w:rsidR="0065164E" w:rsidRPr="00B379C1">
        <w:rPr>
          <w:rFonts w:ascii="Verdana" w:eastAsia="Calibri" w:hAnsi="Verdana" w:cs="Arial"/>
          <w:bCs/>
          <w:lang w:val="es-ES_tradnl" w:eastAsia="es-ES_tradnl"/>
        </w:rPr>
        <w:t xml:space="preserve">de </w:t>
      </w:r>
      <w:r w:rsidR="00982B54" w:rsidRPr="00B379C1">
        <w:rPr>
          <w:rFonts w:ascii="Verdana" w:eastAsia="Calibri" w:hAnsi="Verdana" w:cs="Arial"/>
          <w:bCs/>
          <w:lang w:val="es-ES_tradnl" w:eastAsia="es-ES_tradnl"/>
        </w:rPr>
        <w:t xml:space="preserve">los contratos </w:t>
      </w:r>
      <w:r w:rsidR="0065164E" w:rsidRPr="00B379C1">
        <w:rPr>
          <w:rFonts w:ascii="Verdana" w:eastAsia="Calibri" w:hAnsi="Verdana" w:cs="Arial"/>
          <w:bCs/>
          <w:lang w:val="es-ES_tradnl" w:eastAsia="es-ES_tradnl"/>
        </w:rPr>
        <w:t>regulados</w:t>
      </w:r>
      <w:r w:rsidR="0079209E" w:rsidRPr="00B379C1">
        <w:rPr>
          <w:rFonts w:ascii="Verdana" w:eastAsia="Calibri" w:hAnsi="Verdana" w:cs="Arial"/>
          <w:bCs/>
          <w:lang w:val="es-ES_tradnl" w:eastAsia="es-ES_tradnl"/>
        </w:rPr>
        <w:t xml:space="preserve"> </w:t>
      </w:r>
      <w:r w:rsidR="0065164E" w:rsidRPr="00B379C1">
        <w:rPr>
          <w:rFonts w:ascii="Verdana" w:eastAsia="Calibri" w:hAnsi="Verdana" w:cs="Arial"/>
          <w:bCs/>
          <w:lang w:val="es-ES_tradnl" w:eastAsia="es-ES_tradnl"/>
        </w:rPr>
        <w:t xml:space="preserve">en el </w:t>
      </w:r>
      <w:r w:rsidR="0079209E" w:rsidRPr="00B379C1">
        <w:rPr>
          <w:rFonts w:ascii="Verdana" w:eastAsia="Calibri" w:hAnsi="Verdana" w:cs="Arial"/>
          <w:bCs/>
          <w:lang w:val="es-ES_tradnl" w:eastAsia="es-ES_tradnl"/>
        </w:rPr>
        <w:t>artículo 355 de la Constitución y en el Decreto 092 de 2017</w:t>
      </w:r>
      <w:r w:rsidRPr="00B379C1">
        <w:rPr>
          <w:rFonts w:ascii="Verdana" w:hAnsi="Verdana" w:cs="Arial"/>
          <w:shd w:val="clear" w:color="auto" w:fill="FFFFFF"/>
          <w:lang w:val="es-ES"/>
        </w:rPr>
        <w:t xml:space="preserve">, esta Subdirección se ha referido en los Conceptos Nro. </w:t>
      </w:r>
      <w:r w:rsidR="00F941DE" w:rsidRPr="00B379C1">
        <w:rPr>
          <w:rFonts w:ascii="Verdana" w:hAnsi="Verdana" w:cs="Arial"/>
          <w:shd w:val="clear" w:color="auto" w:fill="FFFFFF"/>
          <w:lang w:val="es-ES"/>
        </w:rPr>
        <w:t xml:space="preserve">C-778 del 10 de diciembre del 2024, </w:t>
      </w:r>
      <w:r w:rsidR="009516A4" w:rsidRPr="00B379C1">
        <w:rPr>
          <w:rFonts w:ascii="Verdana" w:hAnsi="Verdana" w:cs="Arial"/>
          <w:shd w:val="clear" w:color="auto" w:fill="FFFFFF"/>
          <w:lang w:val="es-ES"/>
        </w:rPr>
        <w:t xml:space="preserve">C-105 del </w:t>
      </w:r>
      <w:r w:rsidR="005F1652" w:rsidRPr="00B379C1">
        <w:rPr>
          <w:rFonts w:ascii="Verdana" w:hAnsi="Verdana" w:cs="Arial"/>
          <w:shd w:val="clear" w:color="auto" w:fill="FFFFFF"/>
          <w:lang w:val="es-ES"/>
        </w:rPr>
        <w:t>17 de febrero del 2025, C-115 del 11 de marzo del 2025, C-</w:t>
      </w:r>
      <w:r w:rsidR="00B817C2" w:rsidRPr="00B379C1">
        <w:rPr>
          <w:rFonts w:ascii="Verdana" w:hAnsi="Verdana" w:cs="Arial"/>
          <w:shd w:val="clear" w:color="auto" w:fill="FFFFFF"/>
          <w:lang w:val="es-ES"/>
        </w:rPr>
        <w:t>179 del 20 de marzo del 2025, C-269 del 07 de abril del 2025, C-</w:t>
      </w:r>
      <w:r w:rsidR="00BA3C40" w:rsidRPr="00B379C1">
        <w:rPr>
          <w:rFonts w:ascii="Verdana" w:hAnsi="Verdana" w:cs="Arial"/>
          <w:shd w:val="clear" w:color="auto" w:fill="FFFFFF"/>
          <w:lang w:val="es-ES"/>
        </w:rPr>
        <w:t>420 del 12 de mayo del 2025, C-576 del 26 de mayo del 2025, C-</w:t>
      </w:r>
      <w:r w:rsidR="00340A51" w:rsidRPr="00B379C1">
        <w:rPr>
          <w:rFonts w:ascii="Verdana" w:hAnsi="Verdana" w:cs="Arial"/>
          <w:shd w:val="clear" w:color="auto" w:fill="FFFFFF"/>
          <w:lang w:val="es-ES"/>
        </w:rPr>
        <w:t>626 del 04 de junio del 2025, C-666 del 04 de julio del 2025, C-</w:t>
      </w:r>
      <w:r w:rsidR="00691E08" w:rsidRPr="00B379C1">
        <w:rPr>
          <w:rFonts w:ascii="Verdana" w:hAnsi="Verdana" w:cs="Arial"/>
          <w:shd w:val="clear" w:color="auto" w:fill="FFFFFF"/>
          <w:lang w:val="es-ES"/>
        </w:rPr>
        <w:t>711 del 15 de julio del 2025, C-942 del 20 de agosto del 2025, C-</w:t>
      </w:r>
      <w:r w:rsidR="000E3EDB" w:rsidRPr="00B379C1">
        <w:rPr>
          <w:rFonts w:ascii="Verdana" w:hAnsi="Verdana" w:cs="Arial"/>
          <w:shd w:val="clear" w:color="auto" w:fill="FFFFFF"/>
          <w:lang w:val="es-ES"/>
        </w:rPr>
        <w:t>960 del 26 de agosto del 2025, C-1013 del 03 de septiembre del 2025, C-</w:t>
      </w:r>
      <w:r w:rsidR="00C07E64" w:rsidRPr="00B379C1">
        <w:rPr>
          <w:rFonts w:ascii="Verdana" w:hAnsi="Verdana" w:cs="Arial"/>
          <w:shd w:val="clear" w:color="auto" w:fill="FFFFFF"/>
          <w:lang w:val="es-ES"/>
        </w:rPr>
        <w:t>1021 del 29 de agosto del 2025, C-1066 del 11 de septiembre del 2025, C-</w:t>
      </w:r>
      <w:r w:rsidR="00982DC2" w:rsidRPr="00B379C1">
        <w:rPr>
          <w:rFonts w:ascii="Verdana" w:hAnsi="Verdana" w:cs="Arial"/>
          <w:shd w:val="clear" w:color="auto" w:fill="FFFFFF"/>
          <w:lang w:val="es-ES"/>
        </w:rPr>
        <w:t xml:space="preserve">1223 del 07 de octubre del 2025, C-1238 del </w:t>
      </w:r>
      <w:r w:rsidR="00FD1163" w:rsidRPr="00B379C1">
        <w:rPr>
          <w:rFonts w:ascii="Verdana" w:hAnsi="Verdana" w:cs="Arial"/>
          <w:shd w:val="clear" w:color="auto" w:fill="FFFFFF"/>
          <w:lang w:val="es-ES"/>
        </w:rPr>
        <w:t xml:space="preserve">09 de octubre del 2025 y C-1283 del 15 de octubre del 2025. </w:t>
      </w:r>
    </w:p>
    <w:p w14:paraId="54C56121" w14:textId="77777777" w:rsidR="005A2C44" w:rsidRPr="00B379C1" w:rsidRDefault="005A2C44" w:rsidP="002D0420">
      <w:pPr>
        <w:widowControl w:val="0"/>
        <w:autoSpaceDE w:val="0"/>
        <w:autoSpaceDN w:val="0"/>
        <w:spacing w:after="0" w:line="276" w:lineRule="auto"/>
        <w:jc w:val="both"/>
        <w:rPr>
          <w:rFonts w:ascii="Verdana" w:hAnsi="Verdana" w:cs="Arial"/>
          <w:shd w:val="clear" w:color="auto" w:fill="FFFFFF"/>
          <w:lang w:val="es-ES"/>
        </w:rPr>
      </w:pPr>
    </w:p>
    <w:p w14:paraId="6F3F7F97" w14:textId="73D944F9" w:rsidR="00127C3F" w:rsidRDefault="001C1168" w:rsidP="002D0420">
      <w:pPr>
        <w:widowControl w:val="0"/>
        <w:autoSpaceDE w:val="0"/>
        <w:autoSpaceDN w:val="0"/>
        <w:spacing w:after="0" w:line="276" w:lineRule="auto"/>
        <w:jc w:val="both"/>
        <w:rPr>
          <w:rFonts w:ascii="Verdana" w:eastAsia="Calibri" w:hAnsi="Verdana" w:cs="Arial"/>
          <w:lang w:eastAsia="es-ES_tradnl"/>
        </w:rPr>
      </w:pPr>
      <w:r w:rsidRPr="00B379C1">
        <w:rPr>
          <w:rFonts w:ascii="Verdana" w:hAnsi="Verdana" w:cs="Arial"/>
          <w:shd w:val="clear" w:color="auto" w:fill="FFFFFF"/>
          <w:lang w:val="es-ES"/>
        </w:rPr>
        <w:t xml:space="preserve">Igualmente se ha pronunciado sobre </w:t>
      </w:r>
      <w:r w:rsidR="00AB36BD" w:rsidRPr="00B379C1">
        <w:rPr>
          <w:rFonts w:ascii="Verdana" w:hAnsi="Verdana" w:cs="Arial"/>
          <w:bCs/>
          <w:shd w:val="clear" w:color="auto" w:fill="FFFFFF"/>
        </w:rPr>
        <w:t>a los anticipos y los pagos anticipados en los convenios que se enmarcan en el artículo 355 de la Constitución Política: C-037 del 5 de abril de 2023, C-197 del 28 de marzo de 2025, C-341 del 27 de agosto de 2024</w:t>
      </w:r>
      <w:r w:rsidR="00127C3F" w:rsidRPr="00B379C1">
        <w:rPr>
          <w:rFonts w:ascii="Verdana" w:hAnsi="Verdana" w:cs="Arial"/>
          <w:shd w:val="clear" w:color="auto" w:fill="FFFFFF"/>
          <w:lang w:val="es-ES"/>
        </w:rPr>
        <w:t xml:space="preserve"> </w:t>
      </w:r>
      <w:r w:rsidR="00AB36BD" w:rsidRPr="00B379C1">
        <w:rPr>
          <w:rFonts w:ascii="Verdana" w:hAnsi="Verdana" w:cs="Arial"/>
          <w:shd w:val="clear" w:color="auto" w:fill="FFFFFF"/>
          <w:lang w:val="es-ES"/>
        </w:rPr>
        <w:t>y C-</w:t>
      </w:r>
      <w:r w:rsidR="00331538" w:rsidRPr="00B379C1">
        <w:rPr>
          <w:rFonts w:ascii="Verdana" w:hAnsi="Verdana" w:cs="Arial"/>
          <w:shd w:val="clear" w:color="auto" w:fill="FFFFFF"/>
          <w:lang w:val="es-ES"/>
        </w:rPr>
        <w:t xml:space="preserve">557 del 17 de junio del 2025. </w:t>
      </w:r>
      <w:r w:rsidR="00127C3F" w:rsidRPr="00B379C1">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00127C3F" w:rsidRPr="00B379C1">
          <w:rPr>
            <w:rStyle w:val="Hipervnculo"/>
            <w:rFonts w:ascii="Verdana" w:eastAsia="Calibri" w:hAnsi="Verdana" w:cs="Arial"/>
            <w:lang w:eastAsia="es-ES_tradnl"/>
          </w:rPr>
          <w:t>https://relatoria.colombiacompra.gov.co/</w:t>
        </w:r>
      </w:hyperlink>
      <w:r w:rsidR="00127C3F" w:rsidRPr="00B379C1">
        <w:rPr>
          <w:rFonts w:ascii="Verdana" w:eastAsia="Calibri" w:hAnsi="Verdana" w:cs="Arial"/>
          <w:lang w:eastAsia="es-ES_tradnl"/>
        </w:rPr>
        <w:t> </w:t>
      </w:r>
    </w:p>
    <w:p w14:paraId="02B4B4B5" w14:textId="77777777" w:rsidR="005A2C44" w:rsidRPr="00B379C1" w:rsidRDefault="005A2C44" w:rsidP="002D0420">
      <w:pPr>
        <w:widowControl w:val="0"/>
        <w:autoSpaceDE w:val="0"/>
        <w:autoSpaceDN w:val="0"/>
        <w:spacing w:after="0" w:line="276" w:lineRule="auto"/>
        <w:jc w:val="both"/>
        <w:rPr>
          <w:rFonts w:ascii="Verdana" w:hAnsi="Verdana" w:cs="Arial"/>
          <w:shd w:val="clear" w:color="auto" w:fill="FFFFFF"/>
          <w:lang w:val="es-ES"/>
        </w:rPr>
      </w:pPr>
    </w:p>
    <w:p w14:paraId="3B33C8D1" w14:textId="77777777" w:rsidR="00127C3F" w:rsidRPr="00B379C1" w:rsidRDefault="00127C3F" w:rsidP="00127C3F">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B379C1">
        <w:rPr>
          <w:rFonts w:ascii="Verdana" w:eastAsia="Times New Roman" w:hAnsi="Verdana" w:cs="Times New Roman"/>
          <w:color w:val="000000"/>
          <w:bdr w:val="none" w:sz="0" w:space="0" w:color="auto" w:frame="1"/>
          <w:lang w:eastAsia="es-CO"/>
        </w:rPr>
        <w:t xml:space="preserve">También le contamos que ya se encuentra disponible la </w:t>
      </w:r>
      <w:r w:rsidRPr="00B379C1">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B379C1">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379C1">
          <w:rPr>
            <w:rStyle w:val="Hipervnculo"/>
            <w:rFonts w:ascii="Verdana" w:eastAsia="Times New Roman" w:hAnsi="Verdana"/>
            <w:bdr w:val="none" w:sz="0" w:space="0" w:color="auto" w:frame="1"/>
            <w:lang w:eastAsia="es-CO"/>
          </w:rPr>
          <w:t>Guía de lineamientos de transparencia y selección objetiva para el departamento de La Guajira – Objetivo sexto constitucional de la Sentencia T-302 del 2017</w:t>
        </w:r>
      </w:hyperlink>
    </w:p>
    <w:p w14:paraId="4CABDAA8" w14:textId="77777777" w:rsidR="00127C3F" w:rsidRPr="00B379C1" w:rsidRDefault="00127C3F" w:rsidP="00127C3F">
      <w:pPr>
        <w:widowControl w:val="0"/>
        <w:autoSpaceDE w:val="0"/>
        <w:autoSpaceDN w:val="0"/>
        <w:spacing w:after="0" w:line="276" w:lineRule="auto"/>
        <w:jc w:val="both"/>
        <w:rPr>
          <w:rFonts w:ascii="Verdana" w:hAnsi="Verdana" w:cs="Arial"/>
        </w:rPr>
      </w:pPr>
    </w:p>
    <w:p w14:paraId="77F04BF9" w14:textId="77777777" w:rsidR="00127C3F" w:rsidRPr="00B379C1" w:rsidRDefault="00127C3F" w:rsidP="00127C3F">
      <w:pPr>
        <w:spacing w:after="0" w:line="276" w:lineRule="auto"/>
        <w:jc w:val="both"/>
        <w:rPr>
          <w:rFonts w:ascii="Verdana" w:hAnsi="Verdana"/>
        </w:rPr>
      </w:pPr>
      <w:r w:rsidRPr="00B379C1">
        <w:rPr>
          <w:rFonts w:ascii="Verdana" w:hAnsi="Verdana"/>
        </w:rPr>
        <w:lastRenderedPageBreak/>
        <w:t xml:space="preserve">Por último, lo invitamos a seguirnos en las redes sociales en las cuales se difunde información institucional: </w:t>
      </w:r>
    </w:p>
    <w:p w14:paraId="589F93B4" w14:textId="77777777" w:rsidR="00127C3F" w:rsidRPr="00B379C1" w:rsidRDefault="00127C3F" w:rsidP="00127C3F">
      <w:pPr>
        <w:spacing w:after="0" w:line="276" w:lineRule="auto"/>
        <w:jc w:val="both"/>
        <w:rPr>
          <w:rFonts w:ascii="Verdana" w:hAnsi="Verdana"/>
        </w:rPr>
      </w:pPr>
    </w:p>
    <w:p w14:paraId="7CF25128" w14:textId="77777777" w:rsidR="00127C3F" w:rsidRPr="00B379C1" w:rsidRDefault="00127C3F" w:rsidP="00127C3F">
      <w:pPr>
        <w:spacing w:after="0" w:line="276" w:lineRule="auto"/>
        <w:jc w:val="both"/>
        <w:rPr>
          <w:rFonts w:ascii="Verdana" w:hAnsi="Verdana"/>
        </w:rPr>
      </w:pPr>
      <w:r w:rsidRPr="00B379C1">
        <w:rPr>
          <w:rFonts w:ascii="Verdana" w:hAnsi="Verdana"/>
        </w:rPr>
        <w:t xml:space="preserve">Twitter: </w:t>
      </w:r>
      <w:r w:rsidRPr="00B379C1">
        <w:rPr>
          <w:rStyle w:val="Hipervnculo"/>
          <w:rFonts w:ascii="Verdana" w:hAnsi="Verdana"/>
          <w:color w:val="4472C4" w:themeColor="accent1"/>
        </w:rPr>
        <w:t>@colombiacompra</w:t>
      </w:r>
      <w:r w:rsidRPr="00B379C1">
        <w:rPr>
          <w:rFonts w:ascii="Verdana" w:hAnsi="Verdana"/>
          <w:color w:val="4472C4" w:themeColor="accent1"/>
        </w:rPr>
        <w:t xml:space="preserve"> </w:t>
      </w:r>
    </w:p>
    <w:p w14:paraId="77205387" w14:textId="77777777" w:rsidR="00127C3F" w:rsidRPr="00B379C1" w:rsidRDefault="00127C3F" w:rsidP="00127C3F">
      <w:pPr>
        <w:spacing w:after="0" w:line="276" w:lineRule="auto"/>
        <w:jc w:val="both"/>
        <w:rPr>
          <w:rFonts w:ascii="Verdana" w:hAnsi="Verdana"/>
        </w:rPr>
      </w:pPr>
      <w:r w:rsidRPr="00B379C1">
        <w:rPr>
          <w:rFonts w:ascii="Verdana" w:hAnsi="Verdana"/>
        </w:rPr>
        <w:t xml:space="preserve">Facebook: </w:t>
      </w:r>
      <w:r w:rsidRPr="00B379C1">
        <w:rPr>
          <w:rStyle w:val="Hipervnculo"/>
          <w:rFonts w:ascii="Verdana" w:hAnsi="Verdana"/>
          <w:color w:val="4472C4" w:themeColor="accent1"/>
        </w:rPr>
        <w:t>ColombiaCompraEficiente</w:t>
      </w:r>
    </w:p>
    <w:p w14:paraId="2E3166BE" w14:textId="77777777" w:rsidR="00127C3F" w:rsidRPr="00B379C1" w:rsidRDefault="00127C3F" w:rsidP="00127C3F">
      <w:pPr>
        <w:spacing w:after="0" w:line="276" w:lineRule="auto"/>
        <w:jc w:val="both"/>
        <w:rPr>
          <w:rFonts w:ascii="Verdana" w:hAnsi="Verdana"/>
        </w:rPr>
      </w:pPr>
      <w:r w:rsidRPr="00B379C1">
        <w:rPr>
          <w:rFonts w:ascii="Verdana" w:hAnsi="Verdana"/>
        </w:rPr>
        <w:t xml:space="preserve">LinkedIn: </w:t>
      </w:r>
      <w:r w:rsidRPr="00B379C1">
        <w:rPr>
          <w:rStyle w:val="Hipervnculo"/>
          <w:rFonts w:ascii="Verdana" w:hAnsi="Verdana"/>
          <w:color w:val="4472C4" w:themeColor="accent1"/>
        </w:rPr>
        <w:t>Agencia Nacional de Contratación Pública - Colombia Compra Eficiente</w:t>
      </w:r>
      <w:r w:rsidRPr="00B379C1">
        <w:rPr>
          <w:rFonts w:ascii="Verdana" w:hAnsi="Verdana"/>
          <w:color w:val="4472C4" w:themeColor="accent1"/>
        </w:rPr>
        <w:t xml:space="preserve"> </w:t>
      </w:r>
      <w:r w:rsidRPr="00B379C1">
        <w:rPr>
          <w:rFonts w:ascii="Verdana" w:hAnsi="Verdana"/>
        </w:rPr>
        <w:t xml:space="preserve">Instagram: </w:t>
      </w:r>
      <w:r w:rsidRPr="00B379C1">
        <w:rPr>
          <w:rStyle w:val="Hipervnculo"/>
          <w:rFonts w:ascii="Verdana" w:hAnsi="Verdana"/>
          <w:color w:val="4472C4" w:themeColor="accent1"/>
        </w:rPr>
        <w:t>@colombiacompraeficiente_cce</w:t>
      </w:r>
    </w:p>
    <w:p w14:paraId="383F54E0" w14:textId="77777777" w:rsidR="00127C3F" w:rsidRPr="00B379C1" w:rsidRDefault="00127C3F" w:rsidP="00127C3F">
      <w:pPr>
        <w:widowControl w:val="0"/>
        <w:autoSpaceDE w:val="0"/>
        <w:autoSpaceDN w:val="0"/>
        <w:spacing w:after="0" w:line="276" w:lineRule="auto"/>
        <w:jc w:val="both"/>
        <w:rPr>
          <w:rFonts w:ascii="Verdana" w:hAnsi="Verdana"/>
        </w:rPr>
      </w:pPr>
    </w:p>
    <w:p w14:paraId="70A7E4A6" w14:textId="77777777" w:rsidR="00127C3F" w:rsidRPr="00B379C1" w:rsidRDefault="00127C3F" w:rsidP="00127C3F">
      <w:pPr>
        <w:widowControl w:val="0"/>
        <w:autoSpaceDE w:val="0"/>
        <w:autoSpaceDN w:val="0"/>
        <w:spacing w:after="0" w:line="276" w:lineRule="auto"/>
        <w:jc w:val="both"/>
        <w:rPr>
          <w:rFonts w:ascii="Verdana" w:hAnsi="Verdana" w:cs="Arial"/>
        </w:rPr>
      </w:pPr>
      <w:r w:rsidRPr="00B379C1">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3FB94E2" w14:textId="77777777" w:rsidR="00127C3F" w:rsidRPr="00B379C1" w:rsidRDefault="00127C3F" w:rsidP="00127C3F">
      <w:pPr>
        <w:spacing w:after="0" w:line="276" w:lineRule="auto"/>
        <w:ind w:firstLine="709"/>
        <w:jc w:val="both"/>
        <w:rPr>
          <w:rFonts w:ascii="Verdana" w:eastAsia="Times New Roman" w:hAnsi="Verdana" w:cs="Arial"/>
          <w:lang w:eastAsia="es-ES_tradnl"/>
        </w:rPr>
      </w:pPr>
    </w:p>
    <w:p w14:paraId="158BA78D" w14:textId="77777777" w:rsidR="00127C3F" w:rsidRPr="00B379C1" w:rsidRDefault="00127C3F" w:rsidP="00127C3F">
      <w:pPr>
        <w:spacing w:after="0" w:line="276" w:lineRule="auto"/>
        <w:jc w:val="both"/>
        <w:rPr>
          <w:rFonts w:ascii="Verdana" w:eastAsia="Times New Roman" w:hAnsi="Verdana" w:cs="Arial"/>
          <w:lang w:eastAsia="es-CO"/>
        </w:rPr>
      </w:pPr>
      <w:bookmarkStart w:id="11" w:name="_Hlk117695077"/>
      <w:r w:rsidRPr="00B379C1">
        <w:rPr>
          <w:rFonts w:ascii="Verdana" w:eastAsia="Times New Roman" w:hAnsi="Verdana" w:cs="Arial"/>
          <w:lang w:eastAsia="es-CO"/>
        </w:rPr>
        <w:t>Atentamente,</w:t>
      </w:r>
      <w:bookmarkEnd w:id="11"/>
    </w:p>
    <w:p w14:paraId="7793AF7C" w14:textId="7F03350B" w:rsidR="006C34DC" w:rsidRPr="00B379C1" w:rsidRDefault="00564D98" w:rsidP="00564D98">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3A5607F7" wp14:editId="117C7130">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27C3F" w:rsidRPr="00B379C1" w14:paraId="24EE0FA8" w14:textId="77777777" w:rsidTr="00C50BF4">
        <w:trPr>
          <w:trHeight w:val="315"/>
        </w:trPr>
        <w:tc>
          <w:tcPr>
            <w:tcW w:w="893" w:type="dxa"/>
            <w:vAlign w:val="center"/>
            <w:hideMark/>
          </w:tcPr>
          <w:p w14:paraId="1C22AF36" w14:textId="77777777" w:rsidR="00127C3F" w:rsidRPr="00B379C1" w:rsidRDefault="00127C3F" w:rsidP="00C50BF4">
            <w:pPr>
              <w:contextualSpacing/>
              <w:rPr>
                <w:rFonts w:ascii="Verdana" w:hAnsi="Verdana" w:cs="Arial"/>
                <w:sz w:val="16"/>
                <w:szCs w:val="16"/>
                <w:lang w:eastAsia="es-ES"/>
              </w:rPr>
            </w:pPr>
            <w:r w:rsidRPr="00B379C1">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9A86668" w14:textId="77777777" w:rsidR="00127C3F" w:rsidRPr="00B379C1" w:rsidRDefault="00127C3F" w:rsidP="00C50BF4">
            <w:pPr>
              <w:contextualSpacing/>
              <w:rPr>
                <w:rFonts w:ascii="Verdana" w:hAnsi="Verdana"/>
                <w:sz w:val="16"/>
                <w:szCs w:val="16"/>
              </w:rPr>
            </w:pPr>
            <w:r w:rsidRPr="00B379C1">
              <w:rPr>
                <w:rFonts w:ascii="Verdana" w:hAnsi="Verdana"/>
                <w:sz w:val="16"/>
                <w:szCs w:val="16"/>
              </w:rPr>
              <w:t>Ana María Ortiz Ballesteros</w:t>
            </w:r>
          </w:p>
          <w:p w14:paraId="4C6DA209" w14:textId="77777777" w:rsidR="00127C3F" w:rsidRPr="00B379C1" w:rsidRDefault="00127C3F" w:rsidP="00C50BF4">
            <w:pPr>
              <w:contextualSpacing/>
              <w:rPr>
                <w:rFonts w:ascii="Verdana" w:eastAsia="Arial" w:hAnsi="Verdana" w:cs="Arial"/>
                <w:sz w:val="16"/>
                <w:szCs w:val="16"/>
              </w:rPr>
            </w:pPr>
            <w:r w:rsidRPr="00B379C1">
              <w:rPr>
                <w:rStyle w:val="normaltextrun"/>
                <w:rFonts w:ascii="Verdana" w:hAnsi="Verdana" w:cs="Arial"/>
                <w:sz w:val="16"/>
                <w:szCs w:val="16"/>
              </w:rPr>
              <w:t>Contratista de la Subdirección de Gestión Contractual</w:t>
            </w:r>
            <w:r w:rsidRPr="00B379C1">
              <w:rPr>
                <w:rStyle w:val="eop"/>
                <w:rFonts w:ascii="Verdana" w:eastAsiaTheme="majorEastAsia" w:hAnsi="Verdana" w:cs="Arial"/>
                <w:sz w:val="16"/>
                <w:szCs w:val="16"/>
              </w:rPr>
              <w:t> </w:t>
            </w:r>
          </w:p>
        </w:tc>
      </w:tr>
      <w:tr w:rsidR="00127C3F" w:rsidRPr="00B379C1" w14:paraId="40CFE11A" w14:textId="77777777" w:rsidTr="00C50BF4">
        <w:trPr>
          <w:trHeight w:val="330"/>
        </w:trPr>
        <w:tc>
          <w:tcPr>
            <w:tcW w:w="893" w:type="dxa"/>
            <w:vAlign w:val="center"/>
            <w:hideMark/>
          </w:tcPr>
          <w:p w14:paraId="5BDB7872" w14:textId="77777777" w:rsidR="00127C3F" w:rsidRPr="00B379C1" w:rsidRDefault="00127C3F" w:rsidP="00C50BF4">
            <w:pPr>
              <w:contextualSpacing/>
              <w:rPr>
                <w:rFonts w:ascii="Verdana" w:hAnsi="Verdana" w:cs="Arial"/>
                <w:sz w:val="16"/>
                <w:szCs w:val="16"/>
                <w:lang w:eastAsia="es-ES"/>
              </w:rPr>
            </w:pPr>
            <w:r w:rsidRPr="00B379C1">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38C2C2" w14:textId="35E48B9B" w:rsidR="007336C5" w:rsidRPr="00B379C1" w:rsidRDefault="007336C5" w:rsidP="00C50BF4">
            <w:pPr>
              <w:pStyle w:val="paragraph"/>
              <w:spacing w:before="0" w:beforeAutospacing="0" w:after="0" w:afterAutospacing="0"/>
              <w:contextualSpacing/>
              <w:textAlignment w:val="baseline"/>
              <w:rPr>
                <w:rFonts w:ascii="Verdana" w:eastAsiaTheme="minorHAnsi" w:hAnsi="Verdana" w:cstheme="minorBidi"/>
                <w:sz w:val="16"/>
                <w:szCs w:val="16"/>
                <w:lang w:eastAsia="en-US"/>
              </w:rPr>
            </w:pPr>
            <w:r w:rsidRPr="00B379C1">
              <w:rPr>
                <w:rFonts w:ascii="Verdana" w:eastAsiaTheme="minorHAnsi" w:hAnsi="Verdana" w:cstheme="minorBidi"/>
                <w:sz w:val="16"/>
                <w:szCs w:val="16"/>
                <w:lang w:eastAsia="en-US"/>
              </w:rPr>
              <w:t>Diana Lucia Saavedra Castañeda</w:t>
            </w:r>
          </w:p>
          <w:p w14:paraId="1748040B" w14:textId="69801F2C" w:rsidR="00127C3F" w:rsidRPr="00B379C1" w:rsidRDefault="00127C3F" w:rsidP="00C50BF4">
            <w:pPr>
              <w:pStyle w:val="paragraph"/>
              <w:spacing w:before="0" w:beforeAutospacing="0" w:after="0" w:afterAutospacing="0"/>
              <w:contextualSpacing/>
              <w:textAlignment w:val="baseline"/>
              <w:rPr>
                <w:rFonts w:ascii="Verdana" w:hAnsi="Verdana" w:cs="Segoe UI"/>
                <w:sz w:val="16"/>
                <w:szCs w:val="16"/>
              </w:rPr>
            </w:pPr>
            <w:r w:rsidRPr="00B379C1">
              <w:rPr>
                <w:rStyle w:val="normaltextrun"/>
                <w:rFonts w:ascii="Verdana" w:hAnsi="Verdana" w:cs="Arial"/>
                <w:sz w:val="16"/>
                <w:szCs w:val="16"/>
              </w:rPr>
              <w:t>Contratista de la Subdirección de Gestión Contractual</w:t>
            </w:r>
            <w:r w:rsidRPr="00B379C1">
              <w:rPr>
                <w:rStyle w:val="eop"/>
                <w:rFonts w:ascii="Verdana" w:eastAsiaTheme="majorEastAsia" w:hAnsi="Verdana" w:cs="Arial"/>
                <w:sz w:val="16"/>
                <w:szCs w:val="16"/>
              </w:rPr>
              <w:t> </w:t>
            </w:r>
          </w:p>
        </w:tc>
      </w:tr>
      <w:tr w:rsidR="00127C3F" w:rsidRPr="00B379C1" w14:paraId="31E33F2A" w14:textId="77777777" w:rsidTr="00C50BF4">
        <w:trPr>
          <w:trHeight w:val="300"/>
        </w:trPr>
        <w:tc>
          <w:tcPr>
            <w:tcW w:w="893" w:type="dxa"/>
            <w:vAlign w:val="center"/>
          </w:tcPr>
          <w:p w14:paraId="01FB8AC0" w14:textId="77777777" w:rsidR="00127C3F" w:rsidRPr="00B379C1" w:rsidRDefault="00127C3F" w:rsidP="00C50BF4">
            <w:pPr>
              <w:contextualSpacing/>
              <w:rPr>
                <w:rFonts w:ascii="Verdana" w:hAnsi="Verdana" w:cs="Arial"/>
                <w:sz w:val="16"/>
                <w:szCs w:val="16"/>
                <w:lang w:eastAsia="es-ES"/>
              </w:rPr>
            </w:pPr>
            <w:r w:rsidRPr="00B379C1">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06953C" w14:textId="77777777" w:rsidR="00127C3F" w:rsidRPr="00B379C1" w:rsidRDefault="00127C3F" w:rsidP="00C50BF4">
            <w:pPr>
              <w:rPr>
                <w:rFonts w:ascii="Verdana" w:hAnsi="Verdana"/>
                <w:sz w:val="16"/>
                <w:szCs w:val="16"/>
              </w:rPr>
            </w:pPr>
            <w:r w:rsidRPr="00B379C1">
              <w:rPr>
                <w:rFonts w:ascii="Verdana" w:eastAsia="Calibri" w:hAnsi="Verdana" w:cs="Arial"/>
                <w:sz w:val="16"/>
                <w:szCs w:val="16"/>
                <w:lang w:eastAsia="es-ES"/>
              </w:rPr>
              <w:t>Carolina Quintero Gacharná</w:t>
            </w:r>
          </w:p>
          <w:p w14:paraId="5997DC17" w14:textId="77777777" w:rsidR="00127C3F" w:rsidRPr="00B379C1" w:rsidRDefault="00127C3F" w:rsidP="00C50BF4">
            <w:pPr>
              <w:contextualSpacing/>
              <w:rPr>
                <w:rFonts w:ascii="Verdana" w:eastAsia="Calibri" w:hAnsi="Verdana" w:cs="Arial"/>
                <w:sz w:val="16"/>
                <w:szCs w:val="16"/>
                <w:lang w:eastAsia="es-ES"/>
              </w:rPr>
            </w:pPr>
            <w:r w:rsidRPr="00B379C1">
              <w:rPr>
                <w:rFonts w:ascii="Verdana" w:eastAsia="Calibri" w:hAnsi="Verdana" w:cs="Arial"/>
                <w:sz w:val="16"/>
                <w:szCs w:val="16"/>
                <w:lang w:eastAsia="es-ES"/>
              </w:rPr>
              <w:t xml:space="preserve">Subdirectora de Gestión Contractual ANCP – CCE </w:t>
            </w:r>
          </w:p>
        </w:tc>
      </w:tr>
    </w:tbl>
    <w:p w14:paraId="36C95712" w14:textId="77777777" w:rsidR="00127C3F" w:rsidRPr="00AB241A" w:rsidRDefault="00127C3F" w:rsidP="008C0B1F">
      <w:pPr>
        <w:spacing w:after="0"/>
        <w:rPr>
          <w:rFonts w:ascii="Verdana" w:eastAsia="Times New Roman" w:hAnsi="Verdana" w:cs="Segoe UI"/>
          <w:sz w:val="18"/>
          <w:szCs w:val="18"/>
          <w:lang w:eastAsia="es-CO"/>
        </w:rPr>
      </w:pPr>
    </w:p>
    <w:sectPr w:rsidR="00127C3F" w:rsidRPr="00AB241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59B4F" w14:textId="77777777" w:rsidR="000E7FC4" w:rsidRDefault="000E7FC4" w:rsidP="004A1847">
      <w:pPr>
        <w:spacing w:after="0" w:line="240" w:lineRule="auto"/>
      </w:pPr>
      <w:r>
        <w:separator/>
      </w:r>
    </w:p>
  </w:endnote>
  <w:endnote w:type="continuationSeparator" w:id="0">
    <w:p w14:paraId="3AB2E6A1" w14:textId="77777777" w:rsidR="000E7FC4" w:rsidRDefault="000E7FC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CDD0E" w14:textId="77777777" w:rsidR="000E7FC4" w:rsidRDefault="000E7FC4" w:rsidP="004A1847">
      <w:pPr>
        <w:spacing w:after="0" w:line="240" w:lineRule="auto"/>
      </w:pPr>
      <w:r>
        <w:separator/>
      </w:r>
    </w:p>
  </w:footnote>
  <w:footnote w:type="continuationSeparator" w:id="0">
    <w:p w14:paraId="6FE8CB2E" w14:textId="77777777" w:rsidR="000E7FC4" w:rsidRDefault="000E7FC4" w:rsidP="004A1847">
      <w:pPr>
        <w:spacing w:after="0" w:line="240" w:lineRule="auto"/>
      </w:pPr>
      <w:r>
        <w:continuationSeparator/>
      </w:r>
    </w:p>
  </w:footnote>
  <w:footnote w:id="1">
    <w:p w14:paraId="640AFD18" w14:textId="77777777" w:rsidR="001E28C2" w:rsidRPr="00FD1163" w:rsidRDefault="001E28C2" w:rsidP="001E28C2">
      <w:pPr>
        <w:pStyle w:val="Textonotapie"/>
        <w:ind w:firstLine="709"/>
        <w:jc w:val="both"/>
        <w:rPr>
          <w:rFonts w:ascii="Verdana" w:hAnsi="Verdana" w:cs="Arial"/>
          <w:color w:val="000000" w:themeColor="text1"/>
          <w:sz w:val="18"/>
          <w:szCs w:val="18"/>
        </w:rPr>
      </w:pPr>
      <w:r w:rsidRPr="00365ECB">
        <w:rPr>
          <w:rStyle w:val="Refdenotaalpie"/>
          <w:rFonts w:ascii="Verdana" w:hAnsi="Verdana" w:cs="Arial"/>
          <w:color w:val="000000" w:themeColor="text1"/>
          <w:sz w:val="18"/>
          <w:szCs w:val="18"/>
        </w:rPr>
        <w:footnoteRef/>
      </w:r>
      <w:r w:rsidRPr="00365ECB">
        <w:rPr>
          <w:rFonts w:ascii="Verdana" w:hAnsi="Verdana" w:cs="Arial"/>
          <w:color w:val="000000" w:themeColor="text1"/>
          <w:sz w:val="18"/>
          <w:szCs w:val="18"/>
        </w:rPr>
        <w:t xml:space="preserve"> </w:t>
      </w:r>
      <w:r w:rsidRPr="00FD1163">
        <w:rPr>
          <w:rFonts w:ascii="Verdana" w:hAnsi="Verdana" w:cs="Arial"/>
          <w:color w:val="000000" w:themeColor="text1"/>
          <w:sz w:val="18"/>
          <w:szCs w:val="18"/>
        </w:rPr>
        <w:t>Sobre esta norma, consultar los conceptos del 8 de octubre de 2019, con radicado No. 2201913000007532, y del 20 de diciembre de 2019, con radicado No. 4201913000008240.</w:t>
      </w:r>
    </w:p>
    <w:p w14:paraId="149C71F7" w14:textId="77777777" w:rsidR="001E28C2" w:rsidRPr="00FD1163" w:rsidRDefault="001E28C2" w:rsidP="001E28C2">
      <w:pPr>
        <w:pStyle w:val="Textonotapie"/>
        <w:ind w:firstLine="709"/>
        <w:jc w:val="both"/>
        <w:rPr>
          <w:rFonts w:ascii="Verdana" w:hAnsi="Verdana" w:cs="Arial"/>
          <w:color w:val="000000" w:themeColor="text1"/>
          <w:sz w:val="18"/>
          <w:szCs w:val="18"/>
          <w:lang w:val="es-ES"/>
        </w:rPr>
      </w:pPr>
    </w:p>
  </w:footnote>
  <w:footnote w:id="2">
    <w:p w14:paraId="50CCC7F4" w14:textId="77777777" w:rsidR="001E28C2" w:rsidRPr="00FD1163" w:rsidRDefault="001E28C2" w:rsidP="001E28C2">
      <w:pPr>
        <w:pStyle w:val="Textonotapie"/>
        <w:ind w:firstLine="709"/>
        <w:jc w:val="both"/>
        <w:rPr>
          <w:rFonts w:ascii="Verdana" w:hAnsi="Verdana" w:cs="Arial"/>
          <w:color w:val="000000" w:themeColor="text1"/>
          <w:sz w:val="18"/>
          <w:szCs w:val="18"/>
        </w:rPr>
      </w:pPr>
      <w:r w:rsidRPr="00FD1163">
        <w:rPr>
          <w:rStyle w:val="Refdenotaalpie"/>
          <w:rFonts w:ascii="Verdana" w:hAnsi="Verdana" w:cs="Arial"/>
          <w:color w:val="000000" w:themeColor="text1"/>
          <w:sz w:val="18"/>
          <w:szCs w:val="18"/>
        </w:rPr>
        <w:footnoteRef/>
      </w:r>
      <w:r w:rsidRPr="00FD1163">
        <w:rPr>
          <w:rFonts w:ascii="Verdana" w:hAnsi="Verdana" w:cs="Arial"/>
          <w:color w:val="000000" w:themeColor="text1"/>
          <w:sz w:val="18"/>
          <w:szCs w:val="18"/>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B1FB075" w14:textId="77777777" w:rsidR="001E28C2" w:rsidRPr="00FD1163" w:rsidRDefault="001E28C2" w:rsidP="001E28C2">
      <w:pPr>
        <w:pStyle w:val="Textonotapie"/>
        <w:ind w:firstLine="709"/>
        <w:jc w:val="both"/>
        <w:rPr>
          <w:rFonts w:ascii="Verdana" w:hAnsi="Verdana" w:cs="Arial"/>
          <w:color w:val="000000" w:themeColor="text1"/>
          <w:sz w:val="18"/>
          <w:szCs w:val="18"/>
        </w:rPr>
      </w:pPr>
    </w:p>
    <w:p w14:paraId="69C16A05" w14:textId="77777777" w:rsidR="001E28C2" w:rsidRPr="00FD1163" w:rsidRDefault="001E28C2" w:rsidP="001E28C2">
      <w:pPr>
        <w:pStyle w:val="Textonotapie"/>
        <w:ind w:firstLine="709"/>
        <w:jc w:val="both"/>
        <w:rPr>
          <w:rFonts w:ascii="Verdana" w:hAnsi="Verdana" w:cs="Arial"/>
          <w:color w:val="000000" w:themeColor="text1"/>
          <w:sz w:val="18"/>
          <w:szCs w:val="18"/>
        </w:rPr>
      </w:pPr>
      <w:r w:rsidRPr="00FD1163">
        <w:rPr>
          <w:rFonts w:ascii="Verdana" w:hAnsi="Verdana" w:cs="Arial"/>
          <w:color w:val="000000" w:themeColor="text1"/>
          <w:sz w:val="18"/>
          <w:szCs w:val="18"/>
        </w:rPr>
        <w:t xml:space="preserve">Los convenios de asociación a que se refiere el presente artículo </w:t>
      </w:r>
      <w:bookmarkStart w:id="4" w:name="_Hlk36023315"/>
      <w:r w:rsidRPr="00FD1163">
        <w:rPr>
          <w:rFonts w:ascii="Verdana" w:hAnsi="Verdana" w:cs="Arial"/>
          <w:color w:val="000000" w:themeColor="text1"/>
          <w:sz w:val="18"/>
          <w:szCs w:val="18"/>
        </w:rPr>
        <w:t>se celebrarán de conformidad con lo dispuesto en el artículo 355 de la Constitución Política</w:t>
      </w:r>
      <w:bookmarkEnd w:id="4"/>
      <w:r w:rsidRPr="00FD1163">
        <w:rPr>
          <w:rFonts w:ascii="Verdana" w:hAnsi="Verdana" w:cs="Arial"/>
          <w:color w:val="000000" w:themeColor="text1"/>
          <w:sz w:val="18"/>
          <w:szCs w:val="18"/>
        </w:rPr>
        <w:t>, en ellos se determinará con precisión su objeto, término, obligaciones de las partes, aportes, coordinación y todos aquellos aspectos que se consideren pertinentes”.</w:t>
      </w:r>
    </w:p>
    <w:p w14:paraId="3C0D22C6" w14:textId="77777777" w:rsidR="001E28C2" w:rsidRPr="00FD1163" w:rsidRDefault="001E28C2" w:rsidP="001E28C2">
      <w:pPr>
        <w:pStyle w:val="Textonotapie"/>
        <w:ind w:firstLine="709"/>
        <w:jc w:val="both"/>
        <w:rPr>
          <w:rFonts w:ascii="Verdana" w:hAnsi="Verdana" w:cs="Arial"/>
          <w:color w:val="000000" w:themeColor="text1"/>
          <w:sz w:val="18"/>
          <w:szCs w:val="18"/>
          <w:lang w:val="es-ES"/>
        </w:rPr>
      </w:pPr>
      <w:r w:rsidRPr="00FD1163">
        <w:rPr>
          <w:rFonts w:ascii="Verdana" w:hAnsi="Verdana" w:cs="Arial"/>
          <w:color w:val="000000" w:themeColor="text1"/>
          <w:sz w:val="18"/>
          <w:szCs w:val="18"/>
        </w:rPr>
        <w:t xml:space="preserve"> </w:t>
      </w:r>
    </w:p>
  </w:footnote>
  <w:footnote w:id="3">
    <w:p w14:paraId="5EFBE16A" w14:textId="77777777" w:rsidR="001E28C2" w:rsidRPr="00FD1163" w:rsidRDefault="001E28C2" w:rsidP="001E28C2">
      <w:pPr>
        <w:pStyle w:val="Textonotapie"/>
        <w:ind w:firstLine="708"/>
        <w:jc w:val="both"/>
        <w:rPr>
          <w:rFonts w:ascii="Verdana" w:hAnsi="Verdana" w:cs="Arial"/>
          <w:color w:val="000000"/>
          <w:sz w:val="18"/>
          <w:szCs w:val="18"/>
        </w:rPr>
      </w:pPr>
      <w:r w:rsidRPr="00FD1163">
        <w:rPr>
          <w:rStyle w:val="Refdenotaalpie"/>
          <w:rFonts w:ascii="Verdana" w:hAnsi="Verdana" w:cs="Arial"/>
          <w:color w:val="000000"/>
          <w:sz w:val="18"/>
          <w:szCs w:val="18"/>
        </w:rPr>
        <w:footnoteRef/>
      </w:r>
      <w:r w:rsidRPr="00FD1163">
        <w:rPr>
          <w:rFonts w:ascii="Verdana" w:hAnsi="Verdana" w:cs="Arial"/>
          <w:color w:val="000000"/>
          <w:sz w:val="18"/>
          <w:szCs w:val="18"/>
        </w:rPr>
        <w:t xml:space="preserve"> En el concepto emitido el 5 de febrero de 2019, dentro del radicado No. 2201913000000663, se dijo: “[l]os convenios de asociación del artículo 5 son distintos a los contratos de colaboración del artículo 2 del Decreto 092 de 2017”.</w:t>
      </w:r>
    </w:p>
    <w:p w14:paraId="00039766" w14:textId="77777777" w:rsidR="001E28C2" w:rsidRPr="00FD1163" w:rsidRDefault="001E28C2" w:rsidP="001E28C2">
      <w:pPr>
        <w:pStyle w:val="Textonotapie"/>
        <w:ind w:firstLine="708"/>
        <w:jc w:val="both"/>
        <w:rPr>
          <w:rFonts w:ascii="Verdana" w:hAnsi="Verdana" w:cs="Arial"/>
          <w:color w:val="000000"/>
          <w:sz w:val="18"/>
          <w:szCs w:val="18"/>
        </w:rPr>
      </w:pPr>
    </w:p>
  </w:footnote>
  <w:footnote w:id="4">
    <w:p w14:paraId="24D3C925" w14:textId="77777777" w:rsidR="001E28C2" w:rsidRPr="00FD1163" w:rsidRDefault="001E28C2" w:rsidP="001E28C2">
      <w:pPr>
        <w:pStyle w:val="Textonotapie"/>
        <w:ind w:firstLine="709"/>
        <w:jc w:val="both"/>
        <w:rPr>
          <w:rFonts w:ascii="Verdana" w:hAnsi="Verdana" w:cs="Arial"/>
          <w:color w:val="000000" w:themeColor="text1"/>
          <w:sz w:val="18"/>
          <w:szCs w:val="18"/>
        </w:rPr>
      </w:pPr>
      <w:r w:rsidRPr="00FD1163">
        <w:rPr>
          <w:rStyle w:val="Refdenotaalpie"/>
          <w:rFonts w:ascii="Verdana" w:hAnsi="Verdana" w:cs="Arial"/>
          <w:color w:val="000000" w:themeColor="text1"/>
          <w:sz w:val="18"/>
          <w:szCs w:val="18"/>
        </w:rPr>
        <w:footnoteRef/>
      </w:r>
      <w:r w:rsidRPr="00FD1163">
        <w:rPr>
          <w:rFonts w:ascii="Verdana" w:hAnsi="Verdana" w:cs="Arial"/>
          <w:color w:val="000000" w:themeColor="text1"/>
          <w:sz w:val="18"/>
          <w:szCs w:val="18"/>
        </w:rPr>
        <w:t xml:space="preserve"> Concepto del 3 de septiembre de 2019, con radicado No. 2201913000006512.</w:t>
      </w:r>
    </w:p>
    <w:p w14:paraId="6BD866E8" w14:textId="77777777" w:rsidR="001E28C2" w:rsidRPr="00FD1163" w:rsidRDefault="001E28C2" w:rsidP="001E28C2">
      <w:pPr>
        <w:pStyle w:val="Textonotapie"/>
        <w:ind w:firstLine="709"/>
        <w:jc w:val="both"/>
        <w:rPr>
          <w:rFonts w:ascii="Verdana" w:hAnsi="Verdana" w:cs="Arial"/>
          <w:color w:val="000000" w:themeColor="text1"/>
          <w:sz w:val="18"/>
          <w:szCs w:val="18"/>
        </w:rPr>
      </w:pPr>
    </w:p>
  </w:footnote>
  <w:footnote w:id="5">
    <w:p w14:paraId="67F0D178" w14:textId="77777777" w:rsidR="001E28C2" w:rsidRPr="00FD1163" w:rsidRDefault="001E28C2" w:rsidP="001E28C2">
      <w:pPr>
        <w:pStyle w:val="Textonotapie"/>
        <w:ind w:firstLine="708"/>
        <w:jc w:val="both"/>
        <w:rPr>
          <w:rFonts w:ascii="Verdana" w:hAnsi="Verdana" w:cs="Arial"/>
          <w:sz w:val="18"/>
          <w:szCs w:val="18"/>
        </w:rPr>
      </w:pPr>
      <w:r w:rsidRPr="00FD1163">
        <w:rPr>
          <w:rStyle w:val="Refdenotaalpie"/>
          <w:rFonts w:ascii="Verdana" w:hAnsi="Verdana" w:cs="Arial"/>
          <w:sz w:val="18"/>
          <w:szCs w:val="18"/>
        </w:rPr>
        <w:footnoteRef/>
      </w:r>
      <w:r w:rsidRPr="00FD1163">
        <w:rPr>
          <w:rFonts w:ascii="Verdana" w:hAnsi="Verdana" w:cs="Arial"/>
          <w:sz w:val="18"/>
          <w:szCs w:val="18"/>
        </w:rPr>
        <w:t xml:space="preserve"> RODRÍGUEZ TAMAYO, Mauricio. Contratación pública con Entidades sin ánimo de lucro. Bogotá: Legis Editores, 2017. p. 28. </w:t>
      </w:r>
    </w:p>
    <w:p w14:paraId="1CA0E281" w14:textId="77777777" w:rsidR="001E28C2" w:rsidRPr="00FD1163" w:rsidRDefault="001E28C2" w:rsidP="001E28C2">
      <w:pPr>
        <w:pStyle w:val="Textonotapie"/>
        <w:ind w:firstLine="708"/>
        <w:jc w:val="both"/>
        <w:rPr>
          <w:rFonts w:ascii="Verdana" w:hAnsi="Verdana" w:cs="Arial"/>
          <w:sz w:val="18"/>
          <w:szCs w:val="18"/>
        </w:rPr>
      </w:pPr>
    </w:p>
  </w:footnote>
  <w:footnote w:id="6">
    <w:p w14:paraId="0D91A5B5" w14:textId="1FF7E710" w:rsidR="00D2587D" w:rsidRPr="00FD1163" w:rsidRDefault="00D2587D" w:rsidP="00FD1163">
      <w:pPr>
        <w:pStyle w:val="Textonotapie"/>
        <w:ind w:firstLine="709"/>
        <w:jc w:val="both"/>
        <w:rPr>
          <w:rFonts w:ascii="Verdana" w:hAnsi="Verdana"/>
          <w:color w:val="000000" w:themeColor="text1"/>
          <w:sz w:val="18"/>
          <w:szCs w:val="18"/>
        </w:rPr>
      </w:pPr>
      <w:r w:rsidRPr="00FD1163">
        <w:rPr>
          <w:rStyle w:val="Refdenotaalpie"/>
          <w:rFonts w:ascii="Verdana" w:hAnsi="Verdana"/>
          <w:color w:val="000000" w:themeColor="text1"/>
          <w:sz w:val="18"/>
          <w:szCs w:val="18"/>
        </w:rPr>
        <w:footnoteRef/>
      </w:r>
      <w:r w:rsidRPr="00FD1163">
        <w:rPr>
          <w:rFonts w:ascii="Verdana" w:hAnsi="Verdana"/>
          <w:color w:val="000000" w:themeColor="text1"/>
          <w:sz w:val="18"/>
          <w:szCs w:val="18"/>
        </w:rPr>
        <w:t xml:space="preserve"> Consejo de Estado. Sección Tercera – Subsección A. Sentencia del 16 de mayo de 2019. Exp. 40102. C.P: María Adriana Marín.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03917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B53"/>
    <w:rsid w:val="0001674F"/>
    <w:rsid w:val="00016F78"/>
    <w:rsid w:val="00046534"/>
    <w:rsid w:val="00046945"/>
    <w:rsid w:val="00061B2A"/>
    <w:rsid w:val="00082362"/>
    <w:rsid w:val="00083552"/>
    <w:rsid w:val="000A683E"/>
    <w:rsid w:val="000B19B9"/>
    <w:rsid w:val="000C709B"/>
    <w:rsid w:val="000D0334"/>
    <w:rsid w:val="000E3EDB"/>
    <w:rsid w:val="000E7FC4"/>
    <w:rsid w:val="000F2871"/>
    <w:rsid w:val="000F6486"/>
    <w:rsid w:val="000F70E5"/>
    <w:rsid w:val="00112C2D"/>
    <w:rsid w:val="00125105"/>
    <w:rsid w:val="001271A5"/>
    <w:rsid w:val="00127233"/>
    <w:rsid w:val="00127C3F"/>
    <w:rsid w:val="00132E15"/>
    <w:rsid w:val="00133C6E"/>
    <w:rsid w:val="00186BE4"/>
    <w:rsid w:val="00190EED"/>
    <w:rsid w:val="001C1168"/>
    <w:rsid w:val="001E28C2"/>
    <w:rsid w:val="001E4177"/>
    <w:rsid w:val="001F7DC6"/>
    <w:rsid w:val="00200EBC"/>
    <w:rsid w:val="002421BB"/>
    <w:rsid w:val="0025796E"/>
    <w:rsid w:val="002707A2"/>
    <w:rsid w:val="002951A0"/>
    <w:rsid w:val="002962BC"/>
    <w:rsid w:val="002A093D"/>
    <w:rsid w:val="002A0DD0"/>
    <w:rsid w:val="002A49AC"/>
    <w:rsid w:val="002A64FD"/>
    <w:rsid w:val="002C5E94"/>
    <w:rsid w:val="002C7A84"/>
    <w:rsid w:val="002D0420"/>
    <w:rsid w:val="002D7BEC"/>
    <w:rsid w:val="002E4FD9"/>
    <w:rsid w:val="00317C09"/>
    <w:rsid w:val="00322A85"/>
    <w:rsid w:val="00324168"/>
    <w:rsid w:val="00331538"/>
    <w:rsid w:val="00336AF1"/>
    <w:rsid w:val="003405CB"/>
    <w:rsid w:val="00340A51"/>
    <w:rsid w:val="003448F4"/>
    <w:rsid w:val="00345A8A"/>
    <w:rsid w:val="003525B7"/>
    <w:rsid w:val="00365ECB"/>
    <w:rsid w:val="00374F5E"/>
    <w:rsid w:val="00377E3E"/>
    <w:rsid w:val="003A779E"/>
    <w:rsid w:val="003B75F4"/>
    <w:rsid w:val="003C1D40"/>
    <w:rsid w:val="003D0F4D"/>
    <w:rsid w:val="003D5B0D"/>
    <w:rsid w:val="003E0499"/>
    <w:rsid w:val="003E34A9"/>
    <w:rsid w:val="003E599F"/>
    <w:rsid w:val="003F3941"/>
    <w:rsid w:val="00406575"/>
    <w:rsid w:val="00407D50"/>
    <w:rsid w:val="00414C74"/>
    <w:rsid w:val="00425673"/>
    <w:rsid w:val="0042722E"/>
    <w:rsid w:val="004274A6"/>
    <w:rsid w:val="00436F6F"/>
    <w:rsid w:val="0044528D"/>
    <w:rsid w:val="004762A7"/>
    <w:rsid w:val="00477EB0"/>
    <w:rsid w:val="0048667A"/>
    <w:rsid w:val="004A1847"/>
    <w:rsid w:val="004A305D"/>
    <w:rsid w:val="004C27CD"/>
    <w:rsid w:val="004C4C8D"/>
    <w:rsid w:val="004D5A31"/>
    <w:rsid w:val="004D6A70"/>
    <w:rsid w:val="004F05A8"/>
    <w:rsid w:val="004F21C4"/>
    <w:rsid w:val="004F685F"/>
    <w:rsid w:val="00506CD4"/>
    <w:rsid w:val="00513F04"/>
    <w:rsid w:val="005566E8"/>
    <w:rsid w:val="00562A5A"/>
    <w:rsid w:val="00564D98"/>
    <w:rsid w:val="005724CD"/>
    <w:rsid w:val="005733BA"/>
    <w:rsid w:val="00574867"/>
    <w:rsid w:val="00580A84"/>
    <w:rsid w:val="00591460"/>
    <w:rsid w:val="0059328A"/>
    <w:rsid w:val="005951C9"/>
    <w:rsid w:val="005A0F36"/>
    <w:rsid w:val="005A2C44"/>
    <w:rsid w:val="005A35DD"/>
    <w:rsid w:val="005C3777"/>
    <w:rsid w:val="005C5CDC"/>
    <w:rsid w:val="005D476C"/>
    <w:rsid w:val="005E5AF6"/>
    <w:rsid w:val="005F1652"/>
    <w:rsid w:val="005F7F20"/>
    <w:rsid w:val="006171AE"/>
    <w:rsid w:val="006219F8"/>
    <w:rsid w:val="006302F7"/>
    <w:rsid w:val="0065164E"/>
    <w:rsid w:val="006564E6"/>
    <w:rsid w:val="0066398E"/>
    <w:rsid w:val="00665D70"/>
    <w:rsid w:val="006900D9"/>
    <w:rsid w:val="00691E08"/>
    <w:rsid w:val="006A760C"/>
    <w:rsid w:val="006C34DC"/>
    <w:rsid w:val="006E15DF"/>
    <w:rsid w:val="006F662B"/>
    <w:rsid w:val="00701EA8"/>
    <w:rsid w:val="00706C16"/>
    <w:rsid w:val="00721ECE"/>
    <w:rsid w:val="0073266A"/>
    <w:rsid w:val="007336C5"/>
    <w:rsid w:val="00752888"/>
    <w:rsid w:val="00756841"/>
    <w:rsid w:val="007649AB"/>
    <w:rsid w:val="00771509"/>
    <w:rsid w:val="00771D0C"/>
    <w:rsid w:val="00772E07"/>
    <w:rsid w:val="00782E85"/>
    <w:rsid w:val="007833AC"/>
    <w:rsid w:val="00785B10"/>
    <w:rsid w:val="0079209E"/>
    <w:rsid w:val="007A41A7"/>
    <w:rsid w:val="007A76D3"/>
    <w:rsid w:val="007A7926"/>
    <w:rsid w:val="007A7F81"/>
    <w:rsid w:val="007B268C"/>
    <w:rsid w:val="007B4544"/>
    <w:rsid w:val="007B7171"/>
    <w:rsid w:val="007C0C0F"/>
    <w:rsid w:val="007C3DC2"/>
    <w:rsid w:val="007D220E"/>
    <w:rsid w:val="007E5497"/>
    <w:rsid w:val="007E66E5"/>
    <w:rsid w:val="007F35BD"/>
    <w:rsid w:val="007F4FF6"/>
    <w:rsid w:val="00806F5F"/>
    <w:rsid w:val="00820278"/>
    <w:rsid w:val="00833732"/>
    <w:rsid w:val="00835072"/>
    <w:rsid w:val="00846AFD"/>
    <w:rsid w:val="00867F95"/>
    <w:rsid w:val="00870A23"/>
    <w:rsid w:val="00876AB0"/>
    <w:rsid w:val="00883522"/>
    <w:rsid w:val="008843B6"/>
    <w:rsid w:val="008857FD"/>
    <w:rsid w:val="00891928"/>
    <w:rsid w:val="00897A3A"/>
    <w:rsid w:val="008A146A"/>
    <w:rsid w:val="008A446D"/>
    <w:rsid w:val="008C0B1F"/>
    <w:rsid w:val="008C7771"/>
    <w:rsid w:val="008D180B"/>
    <w:rsid w:val="008D26C5"/>
    <w:rsid w:val="008D345B"/>
    <w:rsid w:val="008E2094"/>
    <w:rsid w:val="008F0EA7"/>
    <w:rsid w:val="00902FF7"/>
    <w:rsid w:val="00923EEF"/>
    <w:rsid w:val="00931AF6"/>
    <w:rsid w:val="009419F9"/>
    <w:rsid w:val="009516A4"/>
    <w:rsid w:val="0095685E"/>
    <w:rsid w:val="00961B09"/>
    <w:rsid w:val="00964CEF"/>
    <w:rsid w:val="00965334"/>
    <w:rsid w:val="0097093E"/>
    <w:rsid w:val="00982B54"/>
    <w:rsid w:val="00982DC2"/>
    <w:rsid w:val="0099055B"/>
    <w:rsid w:val="00995A46"/>
    <w:rsid w:val="009A0DFA"/>
    <w:rsid w:val="009B15EF"/>
    <w:rsid w:val="009B25A8"/>
    <w:rsid w:val="009B2D26"/>
    <w:rsid w:val="009C2512"/>
    <w:rsid w:val="009C71FA"/>
    <w:rsid w:val="009C72E7"/>
    <w:rsid w:val="009D3058"/>
    <w:rsid w:val="009F05F3"/>
    <w:rsid w:val="009F3A13"/>
    <w:rsid w:val="00A122D3"/>
    <w:rsid w:val="00A17F13"/>
    <w:rsid w:val="00A20739"/>
    <w:rsid w:val="00A2317F"/>
    <w:rsid w:val="00A23810"/>
    <w:rsid w:val="00A33C78"/>
    <w:rsid w:val="00A3487D"/>
    <w:rsid w:val="00A37730"/>
    <w:rsid w:val="00A4682B"/>
    <w:rsid w:val="00A509DE"/>
    <w:rsid w:val="00A61049"/>
    <w:rsid w:val="00A72712"/>
    <w:rsid w:val="00A9243B"/>
    <w:rsid w:val="00A94DBB"/>
    <w:rsid w:val="00AB0ADB"/>
    <w:rsid w:val="00AB241A"/>
    <w:rsid w:val="00AB36BD"/>
    <w:rsid w:val="00AB53EB"/>
    <w:rsid w:val="00AB6F20"/>
    <w:rsid w:val="00AC0378"/>
    <w:rsid w:val="00AE75E5"/>
    <w:rsid w:val="00B00C0E"/>
    <w:rsid w:val="00B01B1A"/>
    <w:rsid w:val="00B220CB"/>
    <w:rsid w:val="00B23F8E"/>
    <w:rsid w:val="00B33F97"/>
    <w:rsid w:val="00B379C1"/>
    <w:rsid w:val="00B44A47"/>
    <w:rsid w:val="00B53FEC"/>
    <w:rsid w:val="00B72774"/>
    <w:rsid w:val="00B72CD3"/>
    <w:rsid w:val="00B72FFF"/>
    <w:rsid w:val="00B817C2"/>
    <w:rsid w:val="00BA1C11"/>
    <w:rsid w:val="00BA3C40"/>
    <w:rsid w:val="00BA6591"/>
    <w:rsid w:val="00BB3E89"/>
    <w:rsid w:val="00BB4418"/>
    <w:rsid w:val="00BB5401"/>
    <w:rsid w:val="00BC3D36"/>
    <w:rsid w:val="00BD7F72"/>
    <w:rsid w:val="00C04FB3"/>
    <w:rsid w:val="00C07E64"/>
    <w:rsid w:val="00C32592"/>
    <w:rsid w:val="00C330EB"/>
    <w:rsid w:val="00C55F68"/>
    <w:rsid w:val="00C569FE"/>
    <w:rsid w:val="00C62A35"/>
    <w:rsid w:val="00C754BE"/>
    <w:rsid w:val="00C76B1C"/>
    <w:rsid w:val="00CB4E03"/>
    <w:rsid w:val="00CB6357"/>
    <w:rsid w:val="00CC1B26"/>
    <w:rsid w:val="00CE29A0"/>
    <w:rsid w:val="00D02C7A"/>
    <w:rsid w:val="00D2587D"/>
    <w:rsid w:val="00D423A2"/>
    <w:rsid w:val="00D520D8"/>
    <w:rsid w:val="00D63AC2"/>
    <w:rsid w:val="00D65482"/>
    <w:rsid w:val="00D7383B"/>
    <w:rsid w:val="00DA231B"/>
    <w:rsid w:val="00DC39FC"/>
    <w:rsid w:val="00DD7891"/>
    <w:rsid w:val="00DF5254"/>
    <w:rsid w:val="00E00055"/>
    <w:rsid w:val="00E16408"/>
    <w:rsid w:val="00E20894"/>
    <w:rsid w:val="00E245AB"/>
    <w:rsid w:val="00E26329"/>
    <w:rsid w:val="00E2764C"/>
    <w:rsid w:val="00E27F2E"/>
    <w:rsid w:val="00E32966"/>
    <w:rsid w:val="00E50AFE"/>
    <w:rsid w:val="00E63D85"/>
    <w:rsid w:val="00E658C7"/>
    <w:rsid w:val="00E72944"/>
    <w:rsid w:val="00E75C92"/>
    <w:rsid w:val="00E771DC"/>
    <w:rsid w:val="00E856EF"/>
    <w:rsid w:val="00E8772A"/>
    <w:rsid w:val="00E90F6B"/>
    <w:rsid w:val="00E92C27"/>
    <w:rsid w:val="00EA0E3D"/>
    <w:rsid w:val="00EC38A7"/>
    <w:rsid w:val="00EE1AA8"/>
    <w:rsid w:val="00EE2746"/>
    <w:rsid w:val="00EE64D0"/>
    <w:rsid w:val="00F2466D"/>
    <w:rsid w:val="00F30439"/>
    <w:rsid w:val="00F31EDC"/>
    <w:rsid w:val="00F462B3"/>
    <w:rsid w:val="00F5414F"/>
    <w:rsid w:val="00F5664F"/>
    <w:rsid w:val="00F666C4"/>
    <w:rsid w:val="00F76AFC"/>
    <w:rsid w:val="00F941DE"/>
    <w:rsid w:val="00FA47C0"/>
    <w:rsid w:val="00FB5DD1"/>
    <w:rsid w:val="00FC2B5D"/>
    <w:rsid w:val="00FD1163"/>
    <w:rsid w:val="00FF1449"/>
    <w:rsid w:val="2554D81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0B1F"/>
    <w:rPr>
      <w:rFonts w:ascii="Geomanist Light" w:hAnsi="Geomanist Light"/>
      <w:lang w:val="es-ES"/>
    </w:rPr>
  </w:style>
  <w:style w:type="paragraph" w:customStyle="1" w:styleId="Appelnotedebasde">
    <w:name w:val="Appel note de bas de..."/>
    <w:basedOn w:val="Normal"/>
    <w:link w:val="Refdenotaalpie"/>
    <w:rsid w:val="008857FD"/>
    <w:pPr>
      <w:spacing w:line="240" w:lineRule="exact"/>
    </w:pPr>
    <w:rPr>
      <w:vertAlign w:val="superscript"/>
    </w:rPr>
  </w:style>
  <w:style w:type="paragraph" w:styleId="Sinespaciado">
    <w:name w:val="No Spacing"/>
    <w:uiPriority w:val="1"/>
    <w:qFormat/>
    <w:rsid w:val="008857F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scarfabianlopezsierr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elements/1.1/"/>
    <ds:schemaRef ds:uri="http://purl.org/dc/dcmitype/"/>
    <ds:schemaRef ds:uri="http://www.w3.org/XML/1998/namespace"/>
    <ds:schemaRef ds:uri="http://schemas.microsoft.com/office/2006/documentManagement/types"/>
    <ds:schemaRef ds:uri="75ae58e5-9098-4e3e-9e26-9969ad851c13"/>
    <ds:schemaRef ds:uri="8ae15d26-076e-464e-81a7-6f76a0fb3917"/>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AC006F1-5D40-4380-9F90-CEE3AA2284E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16</Pages>
  <Words>5705</Words>
  <Characters>31382</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37013</CharactersWithSpaces>
  <SharedDoc>false</SharedDoc>
  <HLinks>
    <vt:vector size="24" baseType="variant">
      <vt:variant>
        <vt:i4>3801139</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vt:lpwstr>
      </vt:variant>
      <vt:variant>
        <vt:lpwstr/>
      </vt:variant>
      <vt:variant>
        <vt:i4>1900622</vt:i4>
      </vt:variant>
      <vt:variant>
        <vt:i4>6</vt:i4>
      </vt:variant>
      <vt:variant>
        <vt:i4>0</vt:i4>
      </vt:variant>
      <vt:variant>
        <vt:i4>5</vt:i4>
      </vt:variant>
      <vt:variant>
        <vt:lpwstr>https://relatoria.colombiacompra.gov.co/</vt:lpwstr>
      </vt:variant>
      <vt:variant>
        <vt:lpwstr/>
      </vt:variant>
      <vt:variant>
        <vt:i4>3342368</vt:i4>
      </vt:variant>
      <vt:variant>
        <vt:i4>3</vt:i4>
      </vt:variant>
      <vt:variant>
        <vt:i4>0</vt:i4>
      </vt:variant>
      <vt:variant>
        <vt:i4>5</vt:i4>
      </vt:variant>
      <vt:variant>
        <vt:lpwstr>https://www.colombiacompra.gov.co/archivos/manual/guia-para-promover-la-participacion-de-las-mipymes-en-los-procesos-de-compra-publica</vt:lpwstr>
      </vt:variant>
      <vt:variant>
        <vt:lpwstr/>
      </vt:variant>
      <vt:variant>
        <vt:i4>1114152</vt:i4>
      </vt:variant>
      <vt:variant>
        <vt:i4>0</vt:i4>
      </vt:variant>
      <vt:variant>
        <vt:i4>0</vt:i4>
      </vt:variant>
      <vt:variant>
        <vt:i4>5</vt:i4>
      </vt:variant>
      <vt:variant>
        <vt:lpwstr>mailto:oscarfabianlopezsierra@gmail.com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22</cp:revision>
  <cp:lastPrinted>2023-01-10T21:18:00Z</cp:lastPrinted>
  <dcterms:created xsi:type="dcterms:W3CDTF">2025-10-31T14:43:00Z</dcterms:created>
  <dcterms:modified xsi:type="dcterms:W3CDTF">2025-10-31T16:46:00Z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