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C5A32" w14:textId="77777777" w:rsidR="00C44790" w:rsidRPr="004E7E1E" w:rsidRDefault="00C44790" w:rsidP="00C44790">
      <w:pPr>
        <w:spacing w:after="0" w:line="240" w:lineRule="auto"/>
        <w:jc w:val="both"/>
        <w:rPr>
          <w:rFonts w:ascii="Verdana" w:eastAsia="Arial MT" w:hAnsi="Verdana" w:cs="Arial MT"/>
          <w:b/>
          <w:bCs/>
          <w:lang w:val="es-ES_tradnl"/>
        </w:rPr>
      </w:pPr>
      <w:bookmarkStart w:id="0" w:name="_Hlk181166130"/>
      <w:bookmarkStart w:id="1" w:name="_Hlk209714638"/>
      <w:r w:rsidRPr="004E7E1E">
        <w:rPr>
          <w:rFonts w:ascii="Verdana" w:eastAsia="Arial MT" w:hAnsi="Verdana" w:cs="Arial MT"/>
          <w:b/>
          <w:bCs/>
          <w:lang w:val="es-ES_tradnl"/>
        </w:rPr>
        <w:t>PRECIOS ARTIFICIALMENTE BAJOS – Noción –</w:t>
      </w:r>
      <w:r>
        <w:rPr>
          <w:rFonts w:ascii="Verdana" w:eastAsia="Arial MT" w:hAnsi="Verdana" w:cs="Arial MT"/>
          <w:b/>
          <w:bCs/>
          <w:lang w:val="es-ES_tradnl"/>
        </w:rPr>
        <w:t xml:space="preserve"> </w:t>
      </w:r>
      <w:r w:rsidRPr="004E7E1E">
        <w:rPr>
          <w:rFonts w:ascii="Verdana" w:eastAsia="Arial MT" w:hAnsi="Verdana" w:cs="Arial MT"/>
          <w:b/>
          <w:bCs/>
          <w:lang w:val="es-ES_tradnl"/>
        </w:rPr>
        <w:t xml:space="preserve">Deber de las entidades estatales </w:t>
      </w:r>
    </w:p>
    <w:p w14:paraId="29BCE1B1" w14:textId="77777777" w:rsidR="00C44790" w:rsidRPr="004E7E1E" w:rsidRDefault="00C44790" w:rsidP="00C44790">
      <w:pPr>
        <w:spacing w:after="0" w:line="240" w:lineRule="auto"/>
        <w:jc w:val="both"/>
        <w:rPr>
          <w:rFonts w:ascii="Verdana" w:eastAsia="Arial MT" w:hAnsi="Verdana" w:cs="Arial MT"/>
          <w:b/>
          <w:bCs/>
          <w:sz w:val="20"/>
          <w:szCs w:val="20"/>
          <w:lang w:val="es-ES_tradnl"/>
        </w:rPr>
      </w:pPr>
    </w:p>
    <w:p w14:paraId="4E2B1F9D" w14:textId="77777777" w:rsidR="00C44790" w:rsidRPr="004E7E1E" w:rsidRDefault="00C44790" w:rsidP="00C44790">
      <w:pPr>
        <w:spacing w:after="0" w:line="240" w:lineRule="auto"/>
        <w:jc w:val="both"/>
        <w:rPr>
          <w:rFonts w:ascii="Verdana" w:eastAsia="Arial" w:hAnsi="Verdana" w:cs="Arial"/>
          <w:sz w:val="20"/>
          <w:szCs w:val="20"/>
          <w:lang w:val="es-ES" w:eastAsia="es-ES" w:bidi="es-ES"/>
        </w:rPr>
      </w:pPr>
      <w:r w:rsidRPr="004E7E1E">
        <w:rPr>
          <w:rFonts w:ascii="Verdana" w:eastAsia="Arial" w:hAnsi="Verdana" w:cs="Arial"/>
          <w:sz w:val="20"/>
          <w:szCs w:val="20"/>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p>
    <w:p w14:paraId="67689B7B" w14:textId="77777777" w:rsidR="00C44790" w:rsidRPr="004E7E1E" w:rsidRDefault="00C44790" w:rsidP="00C44790">
      <w:pPr>
        <w:spacing w:after="0" w:line="240" w:lineRule="auto"/>
        <w:jc w:val="both"/>
        <w:rPr>
          <w:rFonts w:ascii="Verdana" w:eastAsia="Arial MT" w:hAnsi="Verdana" w:cs="Arial MT"/>
          <w:bCs/>
          <w:sz w:val="20"/>
          <w:szCs w:val="20"/>
          <w:lang w:val="es-ES"/>
        </w:rPr>
      </w:pPr>
      <w:r w:rsidRPr="004E7E1E">
        <w:rPr>
          <w:rFonts w:ascii="Verdana" w:eastAsia="Arial MT" w:hAnsi="Verdana" w:cs="Arial MT"/>
          <w:bCs/>
          <w:sz w:val="20"/>
          <w:szCs w:val="20"/>
          <w:lang w:val="es-ES"/>
        </w:rPr>
        <w:t>[…]</w:t>
      </w:r>
    </w:p>
    <w:p w14:paraId="3321A888" w14:textId="77777777" w:rsidR="00C44790" w:rsidRPr="004E7E1E" w:rsidRDefault="00C44790" w:rsidP="00C44790">
      <w:pPr>
        <w:spacing w:after="0" w:line="240" w:lineRule="auto"/>
        <w:jc w:val="both"/>
        <w:rPr>
          <w:rFonts w:ascii="Verdana" w:eastAsia="Calibri" w:hAnsi="Verdana" w:cs="Arial"/>
          <w:sz w:val="20"/>
          <w:szCs w:val="20"/>
          <w:lang w:val="es-ES"/>
        </w:rPr>
      </w:pPr>
      <w:r w:rsidRPr="004E7E1E">
        <w:rPr>
          <w:rFonts w:ascii="Verdana" w:eastAsia="Calibri" w:hAnsi="Verdana" w:cs="Arial"/>
          <w:sz w:val="20"/>
          <w:szCs w:val="20"/>
          <w:lang w:val="es-MX"/>
        </w:rPr>
        <w:t>Así pues, el artículo 2.2.1.1.2.2.4 ibidem, establece lo que debe hacer la entidad cuando el precio de una oferta parece artificialmente bajo, esto es: i) solicitar explicación al oferente, ii) analizar las explicaciones del oferente, iii) el responsable de la evaluación de las ofertas debe recomendar rechazar o continuar la evaluación de la oferta, y iv) para la subasta inversa, lo anterior se debe hacer al finalizar el evento.</w:t>
      </w:r>
    </w:p>
    <w:p w14:paraId="2D4B43FF" w14:textId="77777777" w:rsidR="00C44790" w:rsidRPr="004E7E1E" w:rsidRDefault="00C44790" w:rsidP="00C44790">
      <w:pPr>
        <w:spacing w:after="0" w:line="240" w:lineRule="auto"/>
        <w:jc w:val="both"/>
        <w:rPr>
          <w:rFonts w:ascii="Verdana" w:eastAsia="Arial MT" w:hAnsi="Verdana" w:cs="Arial MT"/>
          <w:b/>
          <w:bCs/>
          <w:lang w:val="es-ES"/>
        </w:rPr>
      </w:pPr>
    </w:p>
    <w:p w14:paraId="3B7C5844" w14:textId="77777777" w:rsidR="00C44790" w:rsidRPr="004E7E1E" w:rsidRDefault="00C44790" w:rsidP="00C44790">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EVALUACIÓN DE LAS OFERTAS – Finalidad – Oportunidad </w:t>
      </w:r>
    </w:p>
    <w:p w14:paraId="2C52FF3F" w14:textId="77777777" w:rsidR="00C44790" w:rsidRDefault="00C44790" w:rsidP="00C44790">
      <w:pPr>
        <w:spacing w:after="0" w:line="240" w:lineRule="auto"/>
        <w:jc w:val="both"/>
        <w:rPr>
          <w:rFonts w:ascii="Verdana" w:eastAsia="Calibri" w:hAnsi="Verdana" w:cs="Arial"/>
          <w:lang w:val="es-ES"/>
        </w:rPr>
      </w:pPr>
    </w:p>
    <w:p w14:paraId="0716E5DD" w14:textId="77777777" w:rsidR="00C44790" w:rsidRPr="004E7E1E" w:rsidRDefault="00C44790" w:rsidP="00C44790">
      <w:pPr>
        <w:spacing w:after="0" w:line="240" w:lineRule="auto"/>
        <w:jc w:val="both"/>
        <w:rPr>
          <w:rFonts w:ascii="Verdana" w:eastAsia="Arial MT" w:hAnsi="Verdana" w:cs="Arial MT"/>
          <w:bCs/>
          <w:sz w:val="20"/>
          <w:lang w:val="es-MX"/>
        </w:rPr>
      </w:pPr>
      <w:r w:rsidRPr="004E7E1E">
        <w:rPr>
          <w:rFonts w:ascii="Verdana" w:eastAsia="Arial MT" w:hAnsi="Verdana" w:cs="Arial MT"/>
          <w:bCs/>
          <w:sz w:val="20"/>
          <w:lang w:val="es-ES"/>
        </w:rPr>
        <w:t>Sin embargo, debe precisarse que el análisis de los precios de una oferta se hace en la fase de evaluación del procedimiento de selección, que es la oportunidad para verificar, a través del comité evaluador</w:t>
      </w:r>
      <w:r w:rsidRPr="004E7E1E">
        <w:rPr>
          <w:rFonts w:ascii="Verdana" w:eastAsia="Arial MT" w:hAnsi="Verdana" w:cs="Arial MT"/>
          <w:bCs/>
          <w:sz w:val="20"/>
          <w:lang w:val="es-MX"/>
        </w:rPr>
        <w:t xml:space="preserve"> si se cumplen o no las reglas de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147CF7D3" w14:textId="77777777" w:rsidR="00C44790" w:rsidRPr="004E7E1E" w:rsidRDefault="00C44790" w:rsidP="00C44790">
      <w:pPr>
        <w:spacing w:after="0" w:line="240" w:lineRule="auto"/>
        <w:jc w:val="both"/>
        <w:rPr>
          <w:rFonts w:ascii="Verdana" w:eastAsia="Arial MT" w:hAnsi="Verdana" w:cs="Arial MT"/>
          <w:bCs/>
          <w:sz w:val="20"/>
        </w:rPr>
      </w:pPr>
    </w:p>
    <w:p w14:paraId="193C1765" w14:textId="77777777" w:rsidR="00C44790" w:rsidRPr="004E7E1E" w:rsidRDefault="00C44790" w:rsidP="00C44790">
      <w:pPr>
        <w:spacing w:after="0" w:line="240" w:lineRule="auto"/>
        <w:jc w:val="both"/>
        <w:rPr>
          <w:rFonts w:ascii="Verdana" w:eastAsia="Arial MT" w:hAnsi="Verdana" w:cs="Arial MT"/>
          <w:bCs/>
          <w:sz w:val="20"/>
          <w:lang w:val="es-ES"/>
        </w:rPr>
      </w:pPr>
      <w:r w:rsidRPr="004E7E1E">
        <w:rPr>
          <w:rFonts w:ascii="Verdana" w:eastAsia="Arial MT" w:hAnsi="Verdana" w:cs="Arial MT"/>
          <w:bCs/>
          <w:sz w:val="20"/>
          <w:lang w:val="es-ES"/>
        </w:rPr>
        <w:t xml:space="preserve">En ese sentido, en la evaluación que se realiza antes de la adjudicación del contrato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del bien, obra o servicio que pretende contratarse. En ese caso, la entidad podrá identificar las ofertas con precios que parecen artificialmente bajos, y seguir el procedimiento del Decreto 1082 de 2015. </w:t>
      </w:r>
    </w:p>
    <w:p w14:paraId="315A4AF2" w14:textId="77777777" w:rsidR="00C44790" w:rsidRPr="004E7E1E" w:rsidRDefault="00C44790" w:rsidP="00C44790">
      <w:pPr>
        <w:spacing w:after="0" w:line="240" w:lineRule="auto"/>
        <w:jc w:val="both"/>
        <w:rPr>
          <w:rFonts w:ascii="Verdana" w:eastAsia="Arial MT" w:hAnsi="Verdana" w:cs="Arial MT"/>
          <w:b/>
          <w:bCs/>
          <w:lang w:val="es-ES"/>
        </w:rPr>
      </w:pPr>
    </w:p>
    <w:p w14:paraId="6FF9E3CD" w14:textId="77777777" w:rsidR="00C44790" w:rsidRPr="004E7E1E" w:rsidRDefault="00C44790" w:rsidP="00C44790">
      <w:pPr>
        <w:spacing w:after="0" w:line="240" w:lineRule="auto"/>
        <w:jc w:val="both"/>
        <w:rPr>
          <w:rFonts w:ascii="Verdana" w:eastAsia="Arial MT" w:hAnsi="Verdana" w:cs="Arial MT"/>
          <w:b/>
          <w:bCs/>
          <w:lang w:val="es-ES_tradnl"/>
        </w:rPr>
      </w:pPr>
      <w:r w:rsidRPr="004E7E1E">
        <w:rPr>
          <w:rFonts w:ascii="Verdana" w:eastAsia="Arial MT" w:hAnsi="Verdana" w:cs="Arial MT"/>
          <w:b/>
          <w:bCs/>
          <w:lang w:val="es-ES_tradnl"/>
        </w:rPr>
        <w:t xml:space="preserve">GUÍA DE OFERTAS ARTIFICIALMENTE BAJAS – Manejo </w:t>
      </w:r>
    </w:p>
    <w:p w14:paraId="60A53106" w14:textId="77777777" w:rsidR="00C44790" w:rsidRPr="004E7E1E" w:rsidRDefault="00C44790" w:rsidP="00C44790">
      <w:pPr>
        <w:spacing w:after="0" w:line="240" w:lineRule="auto"/>
        <w:jc w:val="both"/>
        <w:rPr>
          <w:rFonts w:ascii="Verdana" w:eastAsia="Arial MT" w:hAnsi="Verdana" w:cs="Arial MT"/>
          <w:bCs/>
          <w:sz w:val="20"/>
          <w:lang w:val="es-ES_tradnl"/>
        </w:rPr>
      </w:pPr>
    </w:p>
    <w:p w14:paraId="3C568F44" w14:textId="77777777" w:rsidR="00C44790" w:rsidRDefault="00C44790" w:rsidP="00C44790">
      <w:pPr>
        <w:spacing w:after="0" w:line="240" w:lineRule="auto"/>
        <w:jc w:val="both"/>
        <w:rPr>
          <w:rFonts w:ascii="Verdana" w:eastAsia="Arial MT" w:hAnsi="Verdana" w:cs="Arial MT"/>
          <w:bCs/>
          <w:sz w:val="20"/>
          <w:lang w:val="es-ES"/>
        </w:rPr>
      </w:pPr>
      <w:r w:rsidRPr="004E7E1E">
        <w:rPr>
          <w:rFonts w:ascii="Verdana" w:eastAsia="Arial MT" w:hAnsi="Verdana" w:cs="Arial MT"/>
          <w:bCs/>
          <w:sz w:val="20"/>
          <w:lang w:val="es-ES"/>
        </w:rPr>
        <w:t xml:space="preserve">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ii) la comparación relativa. </w:t>
      </w:r>
    </w:p>
    <w:p w14:paraId="5FC3069B" w14:textId="77777777" w:rsidR="00C44790" w:rsidRPr="004E7E1E" w:rsidRDefault="00C44790" w:rsidP="00C44790">
      <w:pPr>
        <w:spacing w:after="0" w:line="240" w:lineRule="auto"/>
        <w:jc w:val="both"/>
        <w:rPr>
          <w:rFonts w:ascii="Verdana" w:eastAsia="Arial MT" w:hAnsi="Verdana" w:cs="Arial MT"/>
          <w:bCs/>
          <w:sz w:val="20"/>
          <w:lang w:val="es-ES"/>
        </w:rPr>
      </w:pPr>
    </w:p>
    <w:p w14:paraId="57E15F85" w14:textId="77777777" w:rsidR="00C44790" w:rsidRDefault="00C44790" w:rsidP="00C44790">
      <w:pPr>
        <w:spacing w:after="0" w:line="240" w:lineRule="auto"/>
        <w:jc w:val="both"/>
        <w:rPr>
          <w:rFonts w:ascii="Verdana" w:eastAsia="Arial MT" w:hAnsi="Verdana" w:cs="Arial MT"/>
          <w:bCs/>
          <w:sz w:val="20"/>
        </w:rPr>
      </w:pPr>
      <w:r w:rsidRPr="004E7E1E">
        <w:rPr>
          <w:rFonts w:ascii="Verdana" w:eastAsia="Arial MT" w:hAnsi="Verdana" w:cs="Arial MT"/>
          <w:bCs/>
          <w:sz w:val="20"/>
          <w:lang w:val="es-ES"/>
        </w:rPr>
        <w:t xml:space="preserve">Es importante precisar que dentro de la Guía para el manejo de ofertas artificialmente bajas en Procesos de Contratación” efectúa un análisis especial en torno a la subasta inversa, la cual puede ser </w:t>
      </w:r>
      <w:r w:rsidRPr="004E7E1E">
        <w:rPr>
          <w:rFonts w:ascii="Verdana" w:eastAsia="Arial MT" w:hAnsi="Verdana" w:cs="Arial MT"/>
          <w:bCs/>
          <w:sz w:val="20"/>
        </w:rPr>
        <w:t xml:space="preserve">ordinaria y a la inversa. La primera consiste en que los compradores compiten para obtener un bien o servicio, ofreciendo precios cada vez más </w:t>
      </w:r>
      <w:r w:rsidRPr="004E7E1E">
        <w:rPr>
          <w:rFonts w:ascii="Verdana" w:eastAsia="Arial MT" w:hAnsi="Verdana" w:cs="Arial MT"/>
          <w:bCs/>
          <w:sz w:val="20"/>
        </w:rPr>
        <w:lastRenderedPageBreak/>
        <w:t>altos, mediante lances, como es el caso de los procesos de contratación de enajenación directa a través de subasta pública mediante la modalidad de selección abreviada, de acuerdo a lo prescrito en el artículo 2.2.1.2.2.2.2 del Decreto 1082 de 1025. El segundo, es la subasta inversa que consiste en que los vendedores compiten para obtener un negocio del comprador, y para ello, los lances realizados sobre la oferta económica tienen como objetivo disminuir los precios de los bienes y servicios que se están ofertando.</w:t>
      </w:r>
    </w:p>
    <w:p w14:paraId="7C1A4AC7" w14:textId="77777777" w:rsidR="00C44790" w:rsidRPr="004E7E1E" w:rsidRDefault="00C44790" w:rsidP="00C44790">
      <w:pPr>
        <w:spacing w:after="0" w:line="240" w:lineRule="auto"/>
        <w:jc w:val="both"/>
        <w:rPr>
          <w:rFonts w:ascii="Verdana" w:eastAsia="Arial MT" w:hAnsi="Verdana" w:cs="Arial MT"/>
          <w:bCs/>
          <w:sz w:val="20"/>
          <w:lang w:val="es-ES_tradnl"/>
        </w:rPr>
      </w:pPr>
    </w:p>
    <w:p w14:paraId="267E7275" w14:textId="77777777" w:rsidR="00C44790" w:rsidRDefault="00C44790" w:rsidP="006C4D38">
      <w:pPr>
        <w:spacing w:after="0" w:line="240" w:lineRule="auto"/>
        <w:rPr>
          <w:rFonts w:ascii="Verdana" w:hAnsi="Verdana"/>
        </w:rPr>
      </w:pPr>
    </w:p>
    <w:p w14:paraId="162FFF87" w14:textId="77777777" w:rsidR="00C44790" w:rsidRDefault="00C44790" w:rsidP="006C4D38">
      <w:pPr>
        <w:spacing w:after="0" w:line="240" w:lineRule="auto"/>
        <w:rPr>
          <w:rFonts w:ascii="Verdana" w:hAnsi="Verdana"/>
        </w:rPr>
      </w:pPr>
    </w:p>
    <w:p w14:paraId="7620E431" w14:textId="77777777" w:rsidR="00C44790" w:rsidRDefault="00C44790" w:rsidP="006C4D38">
      <w:pPr>
        <w:spacing w:after="0" w:line="240" w:lineRule="auto"/>
        <w:rPr>
          <w:rFonts w:ascii="Verdana" w:hAnsi="Verdana"/>
        </w:rPr>
      </w:pPr>
    </w:p>
    <w:p w14:paraId="18D64910" w14:textId="77777777" w:rsidR="00C44790" w:rsidRDefault="00C44790" w:rsidP="006C4D38">
      <w:pPr>
        <w:spacing w:after="0" w:line="240" w:lineRule="auto"/>
        <w:rPr>
          <w:rFonts w:ascii="Verdana" w:hAnsi="Verdana"/>
        </w:rPr>
      </w:pPr>
    </w:p>
    <w:p w14:paraId="5BB888A9" w14:textId="77777777" w:rsidR="00C44790" w:rsidRDefault="00C44790" w:rsidP="006C4D38">
      <w:pPr>
        <w:spacing w:after="0" w:line="240" w:lineRule="auto"/>
        <w:rPr>
          <w:rFonts w:ascii="Verdana" w:hAnsi="Verdana"/>
        </w:rPr>
      </w:pPr>
    </w:p>
    <w:p w14:paraId="5DE3CE53" w14:textId="77777777" w:rsidR="00C44790" w:rsidRDefault="00C44790" w:rsidP="006C4D38">
      <w:pPr>
        <w:spacing w:after="0" w:line="240" w:lineRule="auto"/>
        <w:rPr>
          <w:rFonts w:ascii="Verdana" w:hAnsi="Verdana"/>
        </w:rPr>
      </w:pPr>
    </w:p>
    <w:p w14:paraId="50C8BB4D" w14:textId="77777777" w:rsidR="00C44790" w:rsidRDefault="00C44790" w:rsidP="006C4D38">
      <w:pPr>
        <w:spacing w:after="0" w:line="240" w:lineRule="auto"/>
        <w:rPr>
          <w:rFonts w:ascii="Verdana" w:hAnsi="Verdana"/>
        </w:rPr>
      </w:pPr>
    </w:p>
    <w:p w14:paraId="38AE2CDA" w14:textId="77777777" w:rsidR="00C44790" w:rsidRDefault="00C44790" w:rsidP="006C4D38">
      <w:pPr>
        <w:spacing w:after="0" w:line="240" w:lineRule="auto"/>
        <w:rPr>
          <w:rFonts w:ascii="Verdana" w:hAnsi="Verdana"/>
        </w:rPr>
      </w:pPr>
    </w:p>
    <w:p w14:paraId="27FF4307" w14:textId="77777777" w:rsidR="00C44790" w:rsidRDefault="00C44790" w:rsidP="006C4D38">
      <w:pPr>
        <w:spacing w:after="0" w:line="240" w:lineRule="auto"/>
        <w:rPr>
          <w:rFonts w:ascii="Verdana" w:hAnsi="Verdana"/>
        </w:rPr>
      </w:pPr>
    </w:p>
    <w:p w14:paraId="57A4B07B" w14:textId="77777777" w:rsidR="00C44790" w:rsidRDefault="00C44790" w:rsidP="006C4D38">
      <w:pPr>
        <w:spacing w:after="0" w:line="240" w:lineRule="auto"/>
        <w:rPr>
          <w:rFonts w:ascii="Verdana" w:hAnsi="Verdana"/>
        </w:rPr>
      </w:pPr>
    </w:p>
    <w:p w14:paraId="5140F4C8" w14:textId="77777777" w:rsidR="00C44790" w:rsidRDefault="00C44790" w:rsidP="006C4D38">
      <w:pPr>
        <w:spacing w:after="0" w:line="240" w:lineRule="auto"/>
        <w:rPr>
          <w:rFonts w:ascii="Verdana" w:hAnsi="Verdana"/>
        </w:rPr>
      </w:pPr>
    </w:p>
    <w:p w14:paraId="21373539" w14:textId="77777777" w:rsidR="00C44790" w:rsidRDefault="00C44790" w:rsidP="006C4D38">
      <w:pPr>
        <w:spacing w:after="0" w:line="240" w:lineRule="auto"/>
        <w:rPr>
          <w:rFonts w:ascii="Verdana" w:hAnsi="Verdana"/>
        </w:rPr>
      </w:pPr>
    </w:p>
    <w:p w14:paraId="7F4D0822" w14:textId="77777777" w:rsidR="00C44790" w:rsidRDefault="00C44790" w:rsidP="006C4D38">
      <w:pPr>
        <w:spacing w:after="0" w:line="240" w:lineRule="auto"/>
        <w:rPr>
          <w:rFonts w:ascii="Verdana" w:hAnsi="Verdana"/>
        </w:rPr>
      </w:pPr>
    </w:p>
    <w:p w14:paraId="697D26C8" w14:textId="77777777" w:rsidR="00C44790" w:rsidRDefault="00C44790" w:rsidP="006C4D38">
      <w:pPr>
        <w:spacing w:after="0" w:line="240" w:lineRule="auto"/>
        <w:rPr>
          <w:rFonts w:ascii="Verdana" w:hAnsi="Verdana"/>
        </w:rPr>
      </w:pPr>
    </w:p>
    <w:p w14:paraId="6922032D" w14:textId="77777777" w:rsidR="00C44790" w:rsidRDefault="00C44790" w:rsidP="006C4D38">
      <w:pPr>
        <w:spacing w:after="0" w:line="240" w:lineRule="auto"/>
        <w:rPr>
          <w:rFonts w:ascii="Verdana" w:hAnsi="Verdana"/>
        </w:rPr>
      </w:pPr>
    </w:p>
    <w:p w14:paraId="4D9D315D" w14:textId="77777777" w:rsidR="00C44790" w:rsidRDefault="00C44790" w:rsidP="006C4D38">
      <w:pPr>
        <w:spacing w:after="0" w:line="240" w:lineRule="auto"/>
        <w:rPr>
          <w:rFonts w:ascii="Verdana" w:hAnsi="Verdana"/>
        </w:rPr>
      </w:pPr>
    </w:p>
    <w:p w14:paraId="7D5F067D" w14:textId="77777777" w:rsidR="00C44790" w:rsidRDefault="00C44790" w:rsidP="006C4D38">
      <w:pPr>
        <w:spacing w:after="0" w:line="240" w:lineRule="auto"/>
        <w:rPr>
          <w:rFonts w:ascii="Verdana" w:hAnsi="Verdana"/>
        </w:rPr>
      </w:pPr>
    </w:p>
    <w:p w14:paraId="3A85B43B" w14:textId="77777777" w:rsidR="00C44790" w:rsidRDefault="00C44790" w:rsidP="006C4D38">
      <w:pPr>
        <w:spacing w:after="0" w:line="240" w:lineRule="auto"/>
        <w:rPr>
          <w:rFonts w:ascii="Verdana" w:hAnsi="Verdana"/>
        </w:rPr>
      </w:pPr>
    </w:p>
    <w:p w14:paraId="1EBE145F" w14:textId="77777777" w:rsidR="00C44790" w:rsidRDefault="00C44790" w:rsidP="006C4D38">
      <w:pPr>
        <w:spacing w:after="0" w:line="240" w:lineRule="auto"/>
        <w:rPr>
          <w:rFonts w:ascii="Verdana" w:hAnsi="Verdana"/>
        </w:rPr>
      </w:pPr>
    </w:p>
    <w:p w14:paraId="5A87FF46" w14:textId="77777777" w:rsidR="00C44790" w:rsidRDefault="00C44790" w:rsidP="006C4D38">
      <w:pPr>
        <w:spacing w:after="0" w:line="240" w:lineRule="auto"/>
        <w:rPr>
          <w:rFonts w:ascii="Verdana" w:hAnsi="Verdana"/>
        </w:rPr>
      </w:pPr>
    </w:p>
    <w:p w14:paraId="2A574EC5" w14:textId="77777777" w:rsidR="00C44790" w:rsidRDefault="00C44790" w:rsidP="006C4D38">
      <w:pPr>
        <w:spacing w:after="0" w:line="240" w:lineRule="auto"/>
        <w:rPr>
          <w:rFonts w:ascii="Verdana" w:hAnsi="Verdana"/>
        </w:rPr>
      </w:pPr>
    </w:p>
    <w:p w14:paraId="25A98BE4" w14:textId="77777777" w:rsidR="00C44790" w:rsidRDefault="00C44790" w:rsidP="006C4D38">
      <w:pPr>
        <w:spacing w:after="0" w:line="240" w:lineRule="auto"/>
        <w:rPr>
          <w:rFonts w:ascii="Verdana" w:hAnsi="Verdana"/>
        </w:rPr>
      </w:pPr>
    </w:p>
    <w:p w14:paraId="653D2F12" w14:textId="77777777" w:rsidR="00C44790" w:rsidRDefault="00C44790" w:rsidP="006C4D38">
      <w:pPr>
        <w:spacing w:after="0" w:line="240" w:lineRule="auto"/>
        <w:rPr>
          <w:rFonts w:ascii="Verdana" w:hAnsi="Verdana"/>
        </w:rPr>
      </w:pPr>
    </w:p>
    <w:p w14:paraId="7CCF69A9" w14:textId="77777777" w:rsidR="00C44790" w:rsidRDefault="00C44790" w:rsidP="006C4D38">
      <w:pPr>
        <w:spacing w:after="0" w:line="240" w:lineRule="auto"/>
        <w:rPr>
          <w:rFonts w:ascii="Verdana" w:hAnsi="Verdana"/>
        </w:rPr>
      </w:pPr>
    </w:p>
    <w:p w14:paraId="1C6A723B" w14:textId="77777777" w:rsidR="00C44790" w:rsidRDefault="00C44790" w:rsidP="006C4D38">
      <w:pPr>
        <w:spacing w:after="0" w:line="240" w:lineRule="auto"/>
        <w:rPr>
          <w:rFonts w:ascii="Verdana" w:hAnsi="Verdana"/>
        </w:rPr>
      </w:pPr>
    </w:p>
    <w:p w14:paraId="1B305E4E" w14:textId="77777777" w:rsidR="00C44790" w:rsidRDefault="00C44790" w:rsidP="006C4D38">
      <w:pPr>
        <w:spacing w:after="0" w:line="240" w:lineRule="auto"/>
        <w:rPr>
          <w:rFonts w:ascii="Verdana" w:hAnsi="Verdana"/>
        </w:rPr>
      </w:pPr>
    </w:p>
    <w:p w14:paraId="4655717A" w14:textId="77777777" w:rsidR="00C44790" w:rsidRDefault="00C44790" w:rsidP="006C4D38">
      <w:pPr>
        <w:spacing w:after="0" w:line="240" w:lineRule="auto"/>
        <w:rPr>
          <w:rFonts w:ascii="Verdana" w:hAnsi="Verdana"/>
        </w:rPr>
      </w:pPr>
    </w:p>
    <w:p w14:paraId="33C2891B" w14:textId="77777777" w:rsidR="00C44790" w:rsidRDefault="00C44790" w:rsidP="006C4D38">
      <w:pPr>
        <w:spacing w:after="0" w:line="240" w:lineRule="auto"/>
        <w:rPr>
          <w:rFonts w:ascii="Verdana" w:hAnsi="Verdana"/>
        </w:rPr>
      </w:pPr>
    </w:p>
    <w:p w14:paraId="6C4ED24B" w14:textId="77777777" w:rsidR="00C44790" w:rsidRDefault="00C44790" w:rsidP="006C4D38">
      <w:pPr>
        <w:spacing w:after="0" w:line="240" w:lineRule="auto"/>
        <w:rPr>
          <w:rFonts w:ascii="Verdana" w:hAnsi="Verdana"/>
        </w:rPr>
      </w:pPr>
    </w:p>
    <w:p w14:paraId="728E53A0" w14:textId="77777777" w:rsidR="00C44790" w:rsidRDefault="00C44790" w:rsidP="006C4D38">
      <w:pPr>
        <w:spacing w:after="0" w:line="240" w:lineRule="auto"/>
        <w:rPr>
          <w:rFonts w:ascii="Verdana" w:hAnsi="Verdana"/>
        </w:rPr>
      </w:pPr>
    </w:p>
    <w:p w14:paraId="65881266" w14:textId="77777777" w:rsidR="00C44790" w:rsidRDefault="00C44790" w:rsidP="006C4D38">
      <w:pPr>
        <w:spacing w:after="0" w:line="240" w:lineRule="auto"/>
        <w:rPr>
          <w:rFonts w:ascii="Verdana" w:hAnsi="Verdana"/>
        </w:rPr>
      </w:pPr>
    </w:p>
    <w:p w14:paraId="3DBBB18B" w14:textId="77777777" w:rsidR="00C44790" w:rsidRDefault="00C44790" w:rsidP="006C4D38">
      <w:pPr>
        <w:spacing w:after="0" w:line="240" w:lineRule="auto"/>
        <w:rPr>
          <w:rFonts w:ascii="Verdana" w:hAnsi="Verdana"/>
        </w:rPr>
      </w:pPr>
    </w:p>
    <w:p w14:paraId="0EC4C8F6" w14:textId="77777777" w:rsidR="00C44790" w:rsidRDefault="00C44790" w:rsidP="006C4D38">
      <w:pPr>
        <w:spacing w:after="0" w:line="240" w:lineRule="auto"/>
        <w:rPr>
          <w:rFonts w:ascii="Verdana" w:hAnsi="Verdana"/>
        </w:rPr>
      </w:pPr>
    </w:p>
    <w:p w14:paraId="3FC47507" w14:textId="77777777" w:rsidR="00C44790" w:rsidRDefault="00C44790" w:rsidP="006C4D38">
      <w:pPr>
        <w:spacing w:after="0" w:line="240" w:lineRule="auto"/>
        <w:rPr>
          <w:rFonts w:ascii="Verdana" w:hAnsi="Verdana"/>
        </w:rPr>
      </w:pPr>
    </w:p>
    <w:p w14:paraId="67FDD47A" w14:textId="77777777" w:rsidR="00C44790" w:rsidRDefault="00C44790" w:rsidP="006C4D38">
      <w:pPr>
        <w:spacing w:after="0" w:line="240" w:lineRule="auto"/>
        <w:rPr>
          <w:rFonts w:ascii="Verdana" w:hAnsi="Verdana"/>
        </w:rPr>
      </w:pPr>
    </w:p>
    <w:p w14:paraId="4D8B3590" w14:textId="77777777" w:rsidR="00C44790" w:rsidRDefault="00C44790" w:rsidP="006C4D38">
      <w:pPr>
        <w:spacing w:after="0" w:line="240" w:lineRule="auto"/>
        <w:rPr>
          <w:rFonts w:ascii="Verdana" w:hAnsi="Verdana"/>
        </w:rPr>
      </w:pPr>
    </w:p>
    <w:p w14:paraId="495E59EC" w14:textId="77777777" w:rsidR="00C44790" w:rsidRDefault="00C44790" w:rsidP="006C4D38">
      <w:pPr>
        <w:spacing w:after="0" w:line="240" w:lineRule="auto"/>
        <w:rPr>
          <w:rFonts w:ascii="Verdana" w:hAnsi="Verdana"/>
        </w:rPr>
      </w:pPr>
    </w:p>
    <w:p w14:paraId="734BF481" w14:textId="4F72FE76" w:rsidR="00A64017" w:rsidRDefault="006C4D38" w:rsidP="00103B90">
      <w:pPr>
        <w:spacing w:after="0" w:line="240" w:lineRule="auto"/>
        <w:rPr>
          <w:rFonts w:ascii="Verdana" w:hAnsi="Verdana"/>
        </w:rPr>
      </w:pPr>
      <w:r>
        <w:rPr>
          <w:rFonts w:ascii="Verdana" w:hAnsi="Verdana"/>
        </w:rPr>
        <w:t>B</w:t>
      </w:r>
      <w:r w:rsidR="00A64017" w:rsidRPr="0044528D">
        <w:rPr>
          <w:rFonts w:ascii="Verdana" w:hAnsi="Verdana"/>
        </w:rPr>
        <w:t xml:space="preserve">ogotá D.C., </w:t>
      </w:r>
      <w:r w:rsidR="007F4C17">
        <w:rPr>
          <w:rFonts w:ascii="Verdana" w:hAnsi="Verdana"/>
        </w:rPr>
        <w:t>06</w:t>
      </w:r>
      <w:r w:rsidR="00282B85">
        <w:rPr>
          <w:rFonts w:ascii="Verdana" w:hAnsi="Verdana"/>
        </w:rPr>
        <w:t xml:space="preserve"> de </w:t>
      </w:r>
      <w:r w:rsidR="007F4C17">
        <w:rPr>
          <w:rFonts w:ascii="Verdana" w:hAnsi="Verdana"/>
        </w:rPr>
        <w:t>noviembre</w:t>
      </w:r>
      <w:r w:rsidR="00282B85">
        <w:rPr>
          <w:rFonts w:ascii="Verdana" w:hAnsi="Verdana"/>
        </w:rPr>
        <w:t xml:space="preserve"> de 2025</w:t>
      </w:r>
      <w:r w:rsidR="00763E4A">
        <w:rPr>
          <w:rFonts w:ascii="Verdana" w:hAnsi="Verdana"/>
        </w:rPr>
        <w:t xml:space="preserve"> </w:t>
      </w:r>
    </w:p>
    <w:bookmarkEnd w:id="0"/>
    <w:p w14:paraId="6BFA2CB4" w14:textId="20D1C473" w:rsidR="007F4C17" w:rsidRDefault="007F4C17" w:rsidP="00282B85">
      <w:pPr>
        <w:spacing w:after="0" w:line="240" w:lineRule="auto"/>
        <w:jc w:val="right"/>
        <w:rPr>
          <w:rFonts w:ascii="Verdana" w:hAnsi="Verdana"/>
        </w:rPr>
      </w:pPr>
      <w:r>
        <w:rPr>
          <w:rFonts w:ascii="Verdana" w:hAnsi="Verdana"/>
          <w:noProof/>
        </w:rPr>
        <w:drawing>
          <wp:inline distT="0" distB="0" distL="0" distR="0" wp14:anchorId="3E16153F" wp14:editId="50E03C10">
            <wp:extent cx="2707783" cy="828675"/>
            <wp:effectExtent l="0" t="0" r="0" b="0"/>
            <wp:docPr id="17957845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08321" cy="828840"/>
                    </a:xfrm>
                    <a:prstGeom prst="rect">
                      <a:avLst/>
                    </a:prstGeom>
                    <a:noFill/>
                    <a:ln>
                      <a:noFill/>
                    </a:ln>
                  </pic:spPr>
                </pic:pic>
              </a:graphicData>
            </a:graphic>
          </wp:inline>
        </w:drawing>
      </w:r>
    </w:p>
    <w:p w14:paraId="6EF9D4E0" w14:textId="7BB32995"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7EE57351" w14:textId="77777777" w:rsidR="001A0FB9" w:rsidRDefault="001A0FB9" w:rsidP="00A64017">
      <w:pPr>
        <w:spacing w:after="0" w:line="240" w:lineRule="auto"/>
        <w:rPr>
          <w:rFonts w:ascii="Verdana" w:eastAsia="Calibri" w:hAnsi="Verdana" w:cs="Arial"/>
          <w:b/>
          <w:bCs/>
          <w:lang w:eastAsia="es-ES"/>
        </w:rPr>
      </w:pPr>
      <w:r w:rsidRPr="001A0FB9">
        <w:rPr>
          <w:rFonts w:ascii="Verdana" w:eastAsia="Calibri" w:hAnsi="Verdana" w:cs="Arial"/>
          <w:b/>
          <w:bCs/>
          <w:lang w:eastAsia="es-ES"/>
        </w:rPr>
        <w:t>MICHAEL STEVEN CUITIVA CASTILLO</w:t>
      </w:r>
    </w:p>
    <w:p w14:paraId="1FD85336" w14:textId="6C5623A3" w:rsidR="00A64017" w:rsidRPr="00ED46C7" w:rsidRDefault="001A0FB9" w:rsidP="00A64017">
      <w:pPr>
        <w:spacing w:after="0" w:line="240" w:lineRule="auto"/>
        <w:rPr>
          <w:rFonts w:ascii="Verdana" w:hAnsi="Verdana"/>
        </w:rPr>
      </w:pPr>
      <w:hyperlink r:id="rId12" w:history="1">
        <w:r w:rsidRPr="005E7694">
          <w:rPr>
            <w:rStyle w:val="Hipervnculo"/>
            <w:rFonts w:ascii="Verdana" w:hAnsi="Verdana"/>
          </w:rPr>
          <w:t>mscuitiva@sena.edu.co</w:t>
        </w:r>
      </w:hyperlink>
      <w:r>
        <w:rPr>
          <w:rFonts w:ascii="Verdana" w:hAnsi="Verdana"/>
        </w:rPr>
        <w:t xml:space="preserve"> </w:t>
      </w:r>
      <w:r w:rsidR="00964DAB" w:rsidRPr="00ED46C7">
        <w:rPr>
          <w:rFonts w:ascii="Verdana" w:hAnsi="Verdana"/>
        </w:rPr>
        <w:t xml:space="preserve"> </w:t>
      </w:r>
      <w:r w:rsidR="0057166B" w:rsidRPr="00ED46C7">
        <w:rPr>
          <w:rFonts w:ascii="Verdana" w:hAnsi="Verdana"/>
        </w:rPr>
        <w:t xml:space="preserve"> </w:t>
      </w:r>
      <w:r w:rsidR="00631045" w:rsidRPr="00ED46C7">
        <w:rPr>
          <w:rFonts w:ascii="Verdana" w:hAnsi="Verdana"/>
        </w:rPr>
        <w:t xml:space="preserve"> </w:t>
      </w:r>
    </w:p>
    <w:p w14:paraId="48FCFCCF" w14:textId="41F89E5A" w:rsidR="00A64017" w:rsidRDefault="001A0FB9" w:rsidP="00A64017">
      <w:pPr>
        <w:spacing w:after="0" w:line="240" w:lineRule="auto"/>
        <w:rPr>
          <w:rFonts w:ascii="Verdana" w:hAnsi="Verdana"/>
        </w:rPr>
      </w:pPr>
      <w:r>
        <w:rPr>
          <w:rFonts w:ascii="Verdana" w:hAnsi="Verdana"/>
        </w:rPr>
        <w:t>Arauca</w:t>
      </w:r>
      <w:r w:rsidR="0057166B" w:rsidRPr="00ED46C7">
        <w:rPr>
          <w:rFonts w:ascii="Verdana" w:hAnsi="Verdana"/>
        </w:rPr>
        <w:t xml:space="preserve"> (</w:t>
      </w:r>
      <w:r>
        <w:rPr>
          <w:rFonts w:ascii="Verdana" w:hAnsi="Verdana"/>
        </w:rPr>
        <w:t>Arauca</w:t>
      </w:r>
      <w:r w:rsidR="0057166B" w:rsidRPr="00ED46C7">
        <w:rPr>
          <w:rFonts w:ascii="Verdana" w:hAnsi="Verdana"/>
        </w:rPr>
        <w:t>)</w:t>
      </w:r>
      <w:r w:rsidR="00324E0B" w:rsidRPr="00631045">
        <w:rPr>
          <w:rFonts w:ascii="Verdana" w:hAnsi="Verdana"/>
        </w:rPr>
        <w:t xml:space="preserve">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4E3FB8E8" w:rsidR="00A64017" w:rsidRDefault="00A64017" w:rsidP="00A15B1F">
            <w:pPr>
              <w:jc w:val="both"/>
              <w:rPr>
                <w:rFonts w:ascii="Verdana" w:eastAsia="Calibri" w:hAnsi="Verdana" w:cs="Arial"/>
                <w:b/>
                <w:bCs/>
                <w:lang w:val="es-ES" w:eastAsia="es-ES"/>
              </w:rPr>
            </w:pPr>
            <w:r w:rsidRPr="00500848">
              <w:rPr>
                <w:rFonts w:ascii="Verdana" w:eastAsia="Calibri" w:hAnsi="Verdana" w:cs="Arial"/>
                <w:b/>
                <w:bCs/>
                <w:lang w:val="es-ES" w:eastAsia="es-ES"/>
              </w:rPr>
              <w:t xml:space="preserve">Concepto C- </w:t>
            </w:r>
            <w:r w:rsidR="0057166B" w:rsidRPr="00500848">
              <w:rPr>
                <w:rFonts w:ascii="Verdana" w:eastAsia="Calibri" w:hAnsi="Verdana" w:cs="Arial"/>
                <w:b/>
                <w:bCs/>
                <w:lang w:val="es-ES" w:eastAsia="es-ES"/>
              </w:rPr>
              <w:t>1</w:t>
            </w:r>
            <w:r w:rsidR="001A0FB9">
              <w:rPr>
                <w:rFonts w:ascii="Verdana" w:eastAsia="Calibri" w:hAnsi="Verdana" w:cs="Arial"/>
                <w:b/>
                <w:bCs/>
                <w:lang w:val="es-ES" w:eastAsia="es-ES"/>
              </w:rPr>
              <w:t>414</w:t>
            </w:r>
            <w:r w:rsidRPr="00500848">
              <w:rPr>
                <w:rFonts w:ascii="Verdana" w:eastAsia="Calibri" w:hAnsi="Verdana" w:cs="Arial"/>
                <w:b/>
                <w:bCs/>
                <w:lang w:val="es-ES" w:eastAsia="es-ES"/>
              </w:rPr>
              <w:t xml:space="preserve"> de 2025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A049EB1" w14:textId="3B9B7CC2" w:rsidR="00C91AF4" w:rsidRPr="00280D79" w:rsidRDefault="00C44790" w:rsidP="00C44790">
            <w:pPr>
              <w:jc w:val="both"/>
              <w:rPr>
                <w:rFonts w:ascii="Verdana" w:eastAsia="Calibri" w:hAnsi="Verdana" w:cs="Arial"/>
                <w:b/>
                <w:highlight w:val="yellow"/>
                <w:lang w:val="es-ES" w:eastAsia="es-ES"/>
              </w:rPr>
            </w:pPr>
            <w:r w:rsidRPr="00FF383E">
              <w:rPr>
                <w:rFonts w:ascii="Verdana" w:eastAsia="Arial MT" w:hAnsi="Verdana" w:cs="Arial MT"/>
                <w:bCs/>
                <w:lang w:val="es-ES_tradnl"/>
              </w:rPr>
              <w:t>PRECIOS ARTIFICIALMENTE BAJOS – Noción – Deber de las entidades estatales / EVALUACIÓN DE LAS OFERTAS – Finalidad – Oportunidad / GUÍA DE OFERTAS ARTIFICIALMENTE BAJAS – Manejo</w:t>
            </w: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0C1E2662"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1A0FB9" w:rsidRPr="001A0FB9">
              <w:rPr>
                <w:rFonts w:ascii="Verdana" w:eastAsia="Calibri" w:hAnsi="Verdana" w:cs="Arial"/>
                <w:lang w:val="es-ES_tradnl" w:eastAsia="es-ES_tradnl"/>
              </w:rPr>
              <w:t>1_2025_09_30_010790</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502F4E6E"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1A0FB9">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1A0FB9">
        <w:rPr>
          <w:rFonts w:ascii="Verdana" w:eastAsia="Calibri" w:hAnsi="Verdana" w:cs="Arial"/>
          <w:lang w:val="es-ES" w:eastAsia="es-ES"/>
        </w:rPr>
        <w:t>Cuitiva</w:t>
      </w:r>
      <w:r>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1CF2E48C"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ED46C7">
        <w:rPr>
          <w:rFonts w:ascii="Verdana" w:eastAsia="Calibri" w:hAnsi="Verdana" w:cs="Arial"/>
          <w:lang w:val="es-ES" w:eastAsia="es-ES"/>
        </w:rPr>
        <w:t>0</w:t>
      </w:r>
      <w:r w:rsidR="001A0FB9">
        <w:rPr>
          <w:rFonts w:ascii="Verdana" w:eastAsia="Calibri" w:hAnsi="Verdana" w:cs="Arial"/>
          <w:lang w:val="es-ES" w:eastAsia="es-ES"/>
        </w:rPr>
        <w:t>1</w:t>
      </w:r>
      <w:r w:rsidR="00CA01D8">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1A0FB9">
        <w:rPr>
          <w:rFonts w:ascii="Verdana" w:eastAsia="Calibri" w:hAnsi="Verdana" w:cs="Arial"/>
          <w:lang w:val="es-ES" w:eastAsia="es-ES"/>
        </w:rPr>
        <w:t>octubre</w:t>
      </w:r>
      <w:r w:rsidRPr="00E5644F">
        <w:rPr>
          <w:rFonts w:ascii="Verdana" w:eastAsia="Calibri" w:hAnsi="Verdana" w:cs="Arial"/>
          <w:lang w:val="es-ES" w:eastAsia="es-ES"/>
        </w:rPr>
        <w:t xml:space="preserve"> de</w:t>
      </w:r>
      <w:r w:rsidR="00ED46C7">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11D516E0" w14:textId="1BA20C2B" w:rsidR="00A64017"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7DB4C414" w14:textId="3BAF4E4A" w:rsidR="001A0FB9" w:rsidRPr="001A0FB9" w:rsidRDefault="002316DB" w:rsidP="001A0FB9">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 </w:t>
      </w:r>
      <w:r w:rsidR="001A0FB9" w:rsidRPr="001A0FB9">
        <w:rPr>
          <w:rFonts w:ascii="Verdana" w:eastAsia="Century Gothic" w:hAnsi="Verdana" w:cs="Century Gothic"/>
          <w:i/>
          <w:iCs/>
          <w:sz w:val="20"/>
          <w:szCs w:val="20"/>
        </w:rPr>
        <w:t xml:space="preserve">Cuando uno de los participantes al proceso de </w:t>
      </w:r>
      <w:r w:rsidR="00C44790" w:rsidRPr="001A0FB9">
        <w:rPr>
          <w:rFonts w:ascii="Verdana" w:eastAsia="Century Gothic" w:hAnsi="Verdana" w:cs="Century Gothic"/>
          <w:i/>
          <w:iCs/>
          <w:sz w:val="20"/>
          <w:szCs w:val="20"/>
        </w:rPr>
        <w:t>pre-cotización</w:t>
      </w:r>
      <w:r w:rsidR="001A0FB9" w:rsidRPr="001A0FB9">
        <w:rPr>
          <w:rFonts w:ascii="Verdana" w:eastAsia="Century Gothic" w:hAnsi="Verdana" w:cs="Century Gothic"/>
          <w:i/>
          <w:iCs/>
          <w:sz w:val="20"/>
          <w:szCs w:val="20"/>
        </w:rPr>
        <w:t xml:space="preserve"> en la estructuración</w:t>
      </w:r>
      <w:r w:rsidR="001A0FB9">
        <w:rPr>
          <w:rFonts w:ascii="Verdana" w:eastAsia="Century Gothic" w:hAnsi="Verdana" w:cs="Century Gothic"/>
          <w:i/>
          <w:iCs/>
          <w:sz w:val="20"/>
          <w:szCs w:val="20"/>
        </w:rPr>
        <w:t xml:space="preserve"> </w:t>
      </w:r>
      <w:r w:rsidR="001A0FB9" w:rsidRPr="001A0FB9">
        <w:rPr>
          <w:rFonts w:ascii="Verdana" w:eastAsia="Century Gothic" w:hAnsi="Verdana" w:cs="Century Gothic"/>
          <w:i/>
          <w:iCs/>
          <w:sz w:val="20"/>
          <w:szCs w:val="20"/>
        </w:rPr>
        <w:t>de un proceso, y posterior a esto participa como posible oferente al proceso ya</w:t>
      </w:r>
      <w:r w:rsidR="001A0FB9">
        <w:rPr>
          <w:rFonts w:ascii="Verdana" w:eastAsia="Century Gothic" w:hAnsi="Verdana" w:cs="Century Gothic"/>
          <w:i/>
          <w:iCs/>
          <w:sz w:val="20"/>
          <w:szCs w:val="20"/>
        </w:rPr>
        <w:t xml:space="preserve"> </w:t>
      </w:r>
      <w:r w:rsidR="001A0FB9" w:rsidRPr="001A0FB9">
        <w:rPr>
          <w:rFonts w:ascii="Verdana" w:eastAsia="Century Gothic" w:hAnsi="Verdana" w:cs="Century Gothic"/>
          <w:i/>
          <w:iCs/>
          <w:sz w:val="20"/>
          <w:szCs w:val="20"/>
        </w:rPr>
        <w:t xml:space="preserve">publicado donde su oferta </w:t>
      </w:r>
      <w:r w:rsidR="00C44790" w:rsidRPr="001A0FB9">
        <w:rPr>
          <w:rFonts w:ascii="Verdana" w:eastAsia="Century Gothic" w:hAnsi="Verdana" w:cs="Century Gothic"/>
          <w:i/>
          <w:iCs/>
          <w:sz w:val="20"/>
          <w:szCs w:val="20"/>
        </w:rPr>
        <w:t>está</w:t>
      </w:r>
      <w:r w:rsidR="001A0FB9" w:rsidRPr="001A0FB9">
        <w:rPr>
          <w:rFonts w:ascii="Verdana" w:eastAsia="Century Gothic" w:hAnsi="Verdana" w:cs="Century Gothic"/>
          <w:i/>
          <w:iCs/>
          <w:sz w:val="20"/>
          <w:szCs w:val="20"/>
        </w:rPr>
        <w:t xml:space="preserve"> por debajo </w:t>
      </w:r>
      <w:r w:rsidR="00C44790" w:rsidRPr="001A0FB9">
        <w:rPr>
          <w:rFonts w:ascii="Verdana" w:eastAsia="Century Gothic" w:hAnsi="Verdana" w:cs="Century Gothic"/>
          <w:i/>
          <w:iCs/>
          <w:sz w:val="20"/>
          <w:szCs w:val="20"/>
        </w:rPr>
        <w:t>más</w:t>
      </w:r>
      <w:r w:rsidR="001A0FB9" w:rsidRPr="001A0FB9">
        <w:rPr>
          <w:rFonts w:ascii="Verdana" w:eastAsia="Century Gothic" w:hAnsi="Verdana" w:cs="Century Gothic"/>
          <w:i/>
          <w:iCs/>
          <w:sz w:val="20"/>
          <w:szCs w:val="20"/>
        </w:rPr>
        <w:t xml:space="preserve"> del 20% en los precios que ellos</w:t>
      </w:r>
      <w:r w:rsidR="001A0FB9">
        <w:rPr>
          <w:rFonts w:ascii="Verdana" w:eastAsia="Century Gothic" w:hAnsi="Verdana" w:cs="Century Gothic"/>
          <w:i/>
          <w:iCs/>
          <w:sz w:val="20"/>
          <w:szCs w:val="20"/>
        </w:rPr>
        <w:t xml:space="preserve"> </w:t>
      </w:r>
      <w:r w:rsidR="001A0FB9" w:rsidRPr="001A0FB9">
        <w:rPr>
          <w:rFonts w:ascii="Verdana" w:eastAsia="Century Gothic" w:hAnsi="Verdana" w:cs="Century Gothic"/>
          <w:i/>
          <w:iCs/>
          <w:sz w:val="20"/>
          <w:szCs w:val="20"/>
        </w:rPr>
        <w:t>mismos precotizarón (precios considerados artificialmente bajos), ¿influye esto al</w:t>
      </w:r>
      <w:r w:rsidR="001A0FB9">
        <w:rPr>
          <w:rFonts w:ascii="Verdana" w:eastAsia="Century Gothic" w:hAnsi="Verdana" w:cs="Century Gothic"/>
          <w:i/>
          <w:iCs/>
          <w:sz w:val="20"/>
          <w:szCs w:val="20"/>
        </w:rPr>
        <w:t xml:space="preserve"> </w:t>
      </w:r>
      <w:r w:rsidR="001A0FB9" w:rsidRPr="001A0FB9">
        <w:rPr>
          <w:rFonts w:ascii="Verdana" w:eastAsia="Century Gothic" w:hAnsi="Verdana" w:cs="Century Gothic"/>
          <w:i/>
          <w:iCs/>
          <w:sz w:val="20"/>
          <w:szCs w:val="20"/>
        </w:rPr>
        <w:t>momento de evaluar la oferta económica?</w:t>
      </w:r>
    </w:p>
    <w:p w14:paraId="2CDDC996" w14:textId="519CBD3B" w:rsidR="00A64017" w:rsidRPr="00B350FE" w:rsidRDefault="001A0FB9"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1A0FB9">
        <w:rPr>
          <w:rFonts w:ascii="Verdana" w:eastAsia="Century Gothic" w:hAnsi="Verdana" w:cs="Century Gothic"/>
          <w:i/>
          <w:iCs/>
          <w:sz w:val="20"/>
          <w:szCs w:val="20"/>
        </w:rPr>
        <w:t>¿Hasta que alcance tiene la entidad para solicitar soporte que justifiquen los precios</w:t>
      </w:r>
      <w:r>
        <w:rPr>
          <w:rFonts w:ascii="Verdana" w:eastAsia="Century Gothic" w:hAnsi="Verdana" w:cs="Century Gothic"/>
          <w:i/>
          <w:iCs/>
          <w:sz w:val="20"/>
          <w:szCs w:val="20"/>
        </w:rPr>
        <w:t xml:space="preserve"> </w:t>
      </w:r>
      <w:r w:rsidRPr="001A0FB9">
        <w:rPr>
          <w:rFonts w:ascii="Verdana" w:eastAsia="Century Gothic" w:hAnsi="Verdana" w:cs="Century Gothic"/>
          <w:i/>
          <w:iCs/>
          <w:sz w:val="20"/>
          <w:szCs w:val="20"/>
        </w:rPr>
        <w:t>artificialmente bajos?</w:t>
      </w:r>
      <w:r>
        <w:rPr>
          <w:rFonts w:ascii="Verdana" w:eastAsia="Century Gothic" w:hAnsi="Verdana" w:cs="Century Gothic"/>
          <w:i/>
          <w:iCs/>
          <w:sz w:val="20"/>
          <w:szCs w:val="20"/>
        </w:rPr>
        <w:t xml:space="preserve"> </w:t>
      </w:r>
      <w:r w:rsidR="00A64017"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3BFDA14D" w14:textId="7E9E42D3" w:rsidR="00EA17B5" w:rsidRDefault="00A64017" w:rsidP="001A0FB9">
      <w:pPr>
        <w:spacing w:after="0" w:line="276" w:lineRule="auto"/>
        <w:jc w:val="both"/>
        <w:rPr>
          <w:rFonts w:ascii="Verdana" w:eastAsia="Century Gothic" w:hAnsi="Verdana" w:cs="Century Gothic"/>
        </w:rPr>
      </w:pPr>
      <w:r w:rsidRPr="00E21BD1">
        <w:rPr>
          <w:rFonts w:ascii="Verdana" w:eastAsia="Calibri" w:hAnsi="Verdana" w:cs="Arial"/>
          <w:lang w:eastAsia="es-ES"/>
        </w:rPr>
        <w:t>De acuerdo con el contenido de su solicitud, esta Agencia resolverá</w:t>
      </w:r>
      <w:r w:rsidR="001A0FB9">
        <w:rPr>
          <w:rFonts w:ascii="Verdana" w:eastAsia="Calibri" w:hAnsi="Verdana" w:cs="Arial"/>
          <w:lang w:eastAsia="es-ES"/>
        </w:rPr>
        <w:t xml:space="preserve"> el</w:t>
      </w:r>
      <w:r w:rsidR="00D3590B">
        <w:rPr>
          <w:rFonts w:ascii="Verdana" w:eastAsia="Calibri" w:hAnsi="Verdana" w:cs="Arial"/>
          <w:lang w:eastAsia="es-ES"/>
        </w:rPr>
        <w:t xml:space="preserve"> </w:t>
      </w:r>
      <w:r w:rsidR="002C1AD5" w:rsidRPr="00E21BD1">
        <w:rPr>
          <w:rFonts w:ascii="Verdana" w:eastAsia="Calibri" w:hAnsi="Verdana" w:cs="Arial"/>
          <w:lang w:eastAsia="es-ES"/>
        </w:rPr>
        <w:t>siguiente</w:t>
      </w:r>
      <w:r w:rsidR="001A0FB9">
        <w:rPr>
          <w:rFonts w:ascii="Verdana" w:eastAsia="Calibri" w:hAnsi="Verdana" w:cs="Arial"/>
          <w:lang w:eastAsia="es-ES"/>
        </w:rPr>
        <w:t xml:space="preserve"> </w:t>
      </w:r>
      <w:r w:rsidR="002C1AD5" w:rsidRPr="00E21BD1">
        <w:rPr>
          <w:rFonts w:ascii="Verdana" w:eastAsia="Calibri" w:hAnsi="Verdana" w:cs="Arial"/>
          <w:lang w:eastAsia="es-ES"/>
        </w:rPr>
        <w:t>problema jurídico</w:t>
      </w:r>
      <w:r w:rsidRPr="00E21BD1">
        <w:rPr>
          <w:rFonts w:ascii="Verdana" w:eastAsia="Calibri" w:hAnsi="Verdana" w:cs="Arial"/>
          <w:lang w:eastAsia="es-ES"/>
        </w:rPr>
        <w:t>:</w:t>
      </w:r>
      <w:bookmarkStart w:id="3" w:name="_Hlk196737317"/>
      <w:r w:rsidR="00ED46C7">
        <w:rPr>
          <w:rFonts w:ascii="Verdana" w:eastAsia="Century Gothic" w:hAnsi="Verdana" w:cs="Century Gothic"/>
        </w:rPr>
        <w:t xml:space="preserve"> </w:t>
      </w:r>
      <w:r w:rsidR="00EA17B5" w:rsidRPr="00EA17B5">
        <w:rPr>
          <w:rFonts w:ascii="Verdana" w:eastAsia="Century Gothic" w:hAnsi="Verdana" w:cs="Century Gothic"/>
        </w:rPr>
        <w:t xml:space="preserve">¿Puede afectar la evaluación de la oferta económica el hecho de que un participante en la etapa de pre-cotización presente luego una oferta en el proceso formal con un valor más del 20% inferior al que él mismo precotizó, y hasta qué punto la entidad estatal puede requerirle soportes que justifiquen esos precios, al considerar que podrían ser </w:t>
      </w:r>
      <w:r w:rsidR="00EA17B5" w:rsidRPr="00C44790">
        <w:rPr>
          <w:rFonts w:ascii="Verdana" w:eastAsia="Century Gothic" w:hAnsi="Verdana" w:cs="Century Gothic"/>
        </w:rPr>
        <w:t>artificialmente bajos</w:t>
      </w:r>
      <w:r w:rsidR="00EA17B5" w:rsidRPr="00EA17B5">
        <w:rPr>
          <w:rFonts w:ascii="Verdana" w:eastAsia="Century Gothic" w:hAnsi="Verdana" w:cs="Century Gothic"/>
        </w:rPr>
        <w:t>?</w:t>
      </w:r>
    </w:p>
    <w:p w14:paraId="618CE816" w14:textId="77777777" w:rsidR="00ED46C7" w:rsidRPr="00D3590B" w:rsidRDefault="00ED46C7" w:rsidP="00D3590B">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25F75891" w14:textId="34D70C20" w:rsidR="00300B73" w:rsidRDefault="009C3869" w:rsidP="00300B73">
            <w:pPr>
              <w:spacing w:line="276" w:lineRule="auto"/>
              <w:jc w:val="both"/>
              <w:rPr>
                <w:rFonts w:ascii="Verdana" w:eastAsia="Calibri" w:hAnsi="Verdana" w:cs="Arial"/>
                <w:bCs/>
                <w:color w:val="000000" w:themeColor="text1"/>
              </w:rPr>
            </w:pPr>
            <w:r>
              <w:rPr>
                <w:rFonts w:ascii="Verdana" w:eastAsia="Calibri" w:hAnsi="Verdana" w:cs="Arial"/>
                <w:lang w:val="es-ES_tradnl" w:eastAsia="es-ES"/>
              </w:rPr>
              <w:t xml:space="preserve">    </w:t>
            </w:r>
            <w:r w:rsidR="000F551E">
              <w:rPr>
                <w:rFonts w:ascii="Verdana" w:eastAsia="Calibri" w:hAnsi="Verdana" w:cs="Arial"/>
                <w:lang w:val="es-ES_tradnl" w:eastAsia="es-ES"/>
              </w:rPr>
              <w:t xml:space="preserve">   </w:t>
            </w:r>
            <w:r>
              <w:rPr>
                <w:rFonts w:ascii="Verdana" w:eastAsia="Calibri" w:hAnsi="Verdana" w:cs="Arial"/>
                <w:lang w:val="es-ES_tradnl" w:eastAsia="es-ES"/>
              </w:rPr>
              <w:t xml:space="preserve"> </w:t>
            </w:r>
            <w:r w:rsidR="00300B73" w:rsidRPr="00C7680D">
              <w:rPr>
                <w:rFonts w:ascii="Verdana" w:eastAsia="Calibri" w:hAnsi="Verdana" w:cs="Arial"/>
                <w:bCs/>
                <w:color w:val="000000" w:themeColor="text1"/>
              </w:rPr>
              <w:t>De acuerdo</w:t>
            </w:r>
            <w:r w:rsidR="00300B73">
              <w:rPr>
                <w:rFonts w:ascii="Verdana" w:eastAsia="Calibri" w:hAnsi="Verdana" w:cs="Arial"/>
                <w:bCs/>
                <w:color w:val="000000" w:themeColor="text1"/>
              </w:rPr>
              <w:t xml:space="preserve"> con</w:t>
            </w:r>
            <w:r w:rsidR="00300B73" w:rsidRPr="00C7680D">
              <w:rPr>
                <w:rFonts w:ascii="Verdana" w:eastAsia="Calibri" w:hAnsi="Verdana" w:cs="Arial"/>
                <w:bCs/>
                <w:color w:val="000000" w:themeColor="text1"/>
              </w:rPr>
              <w:t xml:space="preserve"> la Guía para el Manejo de Ofertas Artificialmente Bajas emitida por la Agencia Nacional de Contratación Pública – Colombia Compra Eficiente (2024)</w:t>
            </w:r>
            <w:r w:rsidR="00300B73">
              <w:rPr>
                <w:rStyle w:val="Refdenotaalpie"/>
                <w:rFonts w:ascii="Verdana" w:eastAsia="Calibri" w:hAnsi="Verdana" w:cs="Arial"/>
                <w:bCs/>
                <w:color w:val="000000" w:themeColor="text1"/>
              </w:rPr>
              <w:footnoteReference w:id="1"/>
            </w:r>
            <w:r w:rsidR="00300B73">
              <w:rPr>
                <w:rFonts w:ascii="Verdana" w:eastAsia="Calibri" w:hAnsi="Verdana" w:cs="Arial"/>
                <w:bCs/>
                <w:color w:val="000000" w:themeColor="text1"/>
              </w:rPr>
              <w:t xml:space="preserve"> y en línea con los previsto en el concepto C-1299 del 20 de octubre de 2025 emitido por esta Subdirección Contractual,</w:t>
            </w:r>
            <w:r w:rsidR="00300B73" w:rsidRPr="00C7680D">
              <w:rPr>
                <w:rFonts w:ascii="Verdana" w:eastAsia="Calibri" w:hAnsi="Verdana" w:cs="Arial"/>
                <w:bCs/>
                <w:color w:val="000000" w:themeColor="text1"/>
              </w:rPr>
              <w:t xml:space="preserve"> una oferta puede ser calificada como presuntamente artificialmente baja cuando, con base en la metodología de comparación definida por la entidad en los pliegos, su precio resulta significativamente inferior al del mercado o no guarda relación con el objeto contractual proyectado. En estos casos, el artículo 2.2.1.1.2.2.4 del Decreto 1082 de 2015 obliga a la entidad a requerir al oferente para que justifique el valor presentado. La Guía es clara en señalar que, </w:t>
            </w:r>
            <w:r w:rsidR="00300B73">
              <w:rPr>
                <w:rFonts w:ascii="Verdana" w:eastAsia="Calibri" w:hAnsi="Verdana" w:cs="Arial"/>
                <w:bCs/>
                <w:color w:val="000000" w:themeColor="text1"/>
              </w:rPr>
              <w:t>“</w:t>
            </w:r>
            <w:r w:rsidR="00300B73" w:rsidRPr="00C7680D">
              <w:rPr>
                <w:rFonts w:ascii="Verdana" w:eastAsia="Calibri" w:hAnsi="Verdana" w:cs="Arial"/>
                <w:bCs/>
                <w:i/>
                <w:iCs/>
                <w:color w:val="000000" w:themeColor="text1"/>
              </w:rPr>
              <w:t>si el oferente no responde o su explicación resulta insuficiente, la entidad debe rechazar la oferta</w:t>
            </w:r>
            <w:r w:rsidR="00300B73">
              <w:rPr>
                <w:rFonts w:ascii="Verdana" w:eastAsia="Calibri" w:hAnsi="Verdana" w:cs="Arial"/>
                <w:bCs/>
                <w:i/>
                <w:iCs/>
                <w:color w:val="000000" w:themeColor="text1"/>
              </w:rPr>
              <w:t>”</w:t>
            </w:r>
            <w:r w:rsidR="00300B73" w:rsidRPr="00C7680D">
              <w:rPr>
                <w:rFonts w:ascii="Verdana" w:eastAsia="Calibri" w:hAnsi="Verdana" w:cs="Arial"/>
                <w:bCs/>
                <w:color w:val="000000" w:themeColor="text1"/>
              </w:rPr>
              <w:t>, pues no se acredita su viabilidad técnica, económica o jurídica . Asimismo, cuando el comportamiento del oferente evidencia un posible patrón destinado a distorsionar la competencia</w:t>
            </w:r>
            <w:r w:rsidR="00300B73">
              <w:rPr>
                <w:rFonts w:ascii="Verdana" w:eastAsia="Calibri" w:hAnsi="Verdana" w:cs="Arial"/>
                <w:bCs/>
                <w:color w:val="000000" w:themeColor="text1"/>
              </w:rPr>
              <w:t xml:space="preserve">, </w:t>
            </w:r>
            <w:r w:rsidR="00300B73" w:rsidRPr="00C7680D">
              <w:rPr>
                <w:rFonts w:ascii="Verdana" w:eastAsia="Calibri" w:hAnsi="Verdana" w:cs="Arial"/>
                <w:bCs/>
                <w:color w:val="000000" w:themeColor="text1"/>
              </w:rPr>
              <w:t>como presentar lances artificialmente bajos para afectar el resultado de una subasta inversa electrónica</w:t>
            </w:r>
            <w:r w:rsidR="00300B73">
              <w:rPr>
                <w:rFonts w:ascii="Verdana" w:eastAsia="Calibri" w:hAnsi="Verdana" w:cs="Arial"/>
                <w:bCs/>
                <w:color w:val="000000" w:themeColor="text1"/>
              </w:rPr>
              <w:t xml:space="preserve">, </w:t>
            </w:r>
            <w:r w:rsidR="00300B73" w:rsidRPr="00C7680D">
              <w:rPr>
                <w:rFonts w:ascii="Verdana" w:eastAsia="Calibri" w:hAnsi="Verdana" w:cs="Arial"/>
                <w:bCs/>
                <w:color w:val="000000" w:themeColor="text1"/>
              </w:rPr>
              <w:t xml:space="preserve"> la Guía dispone que la entidad debe </w:t>
            </w:r>
            <w:r w:rsidR="00300B73" w:rsidRPr="00C7680D">
              <w:rPr>
                <w:rFonts w:ascii="Verdana" w:eastAsia="Calibri" w:hAnsi="Verdana" w:cs="Arial"/>
                <w:color w:val="000000" w:themeColor="text1"/>
              </w:rPr>
              <w:t>reportar el caso a la Superintendencia de Industria y Comercio (SIC)</w:t>
            </w:r>
            <w:r w:rsidR="00300B73" w:rsidRPr="00C7680D">
              <w:rPr>
                <w:rFonts w:ascii="Verdana" w:eastAsia="Calibri" w:hAnsi="Verdana" w:cs="Arial"/>
                <w:bCs/>
                <w:color w:val="000000" w:themeColor="text1"/>
              </w:rPr>
              <w:t>, por un posible escenario de colusión o práctica restrictiva de la competencia, dado que esta autoridad es la competente para investigar y sancionar dichas conductas.</w:t>
            </w:r>
          </w:p>
          <w:p w14:paraId="1971DD75" w14:textId="77777777" w:rsidR="00300B73" w:rsidRDefault="00300B73" w:rsidP="00300B73">
            <w:pPr>
              <w:spacing w:line="276" w:lineRule="auto"/>
              <w:jc w:val="both"/>
              <w:rPr>
                <w:rFonts w:ascii="Verdana" w:eastAsia="Calibri" w:hAnsi="Verdana" w:cs="Arial"/>
                <w:bCs/>
                <w:color w:val="000000" w:themeColor="text1"/>
              </w:rPr>
            </w:pPr>
          </w:p>
          <w:p w14:paraId="385590F2" w14:textId="748EEB91" w:rsidR="00300B73" w:rsidRDefault="00300B73" w:rsidP="00300B73">
            <w:pPr>
              <w:spacing w:line="276" w:lineRule="auto"/>
              <w:jc w:val="both"/>
              <w:rPr>
                <w:rFonts w:ascii="Verdana" w:eastAsia="Calibri" w:hAnsi="Verdana" w:cs="Arial"/>
                <w:bCs/>
                <w:color w:val="000000" w:themeColor="text1"/>
              </w:rPr>
            </w:pPr>
            <w:r>
              <w:rPr>
                <w:rFonts w:ascii="Verdana" w:eastAsia="Calibri" w:hAnsi="Verdana" w:cs="Arial"/>
                <w:bCs/>
                <w:color w:val="000000" w:themeColor="text1"/>
              </w:rPr>
              <w:t>Ahora bien, en atención al problema jurídico planteado, e</w:t>
            </w:r>
            <w:r w:rsidRPr="00300B73">
              <w:rPr>
                <w:rFonts w:ascii="Verdana" w:eastAsia="Calibri" w:hAnsi="Verdana" w:cs="Arial"/>
                <w:bCs/>
                <w:color w:val="000000" w:themeColor="text1"/>
              </w:rPr>
              <w:t xml:space="preserve">l hecho de que un participante en la pre-cotización presente una oferta formal que esté más de un 20% por debajo del precio que él mismo precotizó o del promedio de mercado, </w:t>
            </w:r>
            <w:r>
              <w:rPr>
                <w:rFonts w:ascii="Verdana" w:eastAsia="Calibri" w:hAnsi="Verdana" w:cs="Arial"/>
                <w:bCs/>
                <w:color w:val="000000" w:themeColor="text1"/>
              </w:rPr>
              <w:t xml:space="preserve">debe evaluarse a la luz de la normatividad anteriormente transcrita con el fin de </w:t>
            </w:r>
            <w:r w:rsidRPr="00300B73">
              <w:rPr>
                <w:rFonts w:ascii="Verdana" w:eastAsia="Calibri" w:hAnsi="Verdana" w:cs="Arial"/>
                <w:bCs/>
                <w:color w:val="000000" w:themeColor="text1"/>
              </w:rPr>
              <w:t>asegurar que el precio propuesto sea suficiente para garantizar la correcta y sostenible ejecución del contrato, y no resulte en un riesgo para la entidad</w:t>
            </w:r>
            <w:r>
              <w:rPr>
                <w:rFonts w:ascii="Verdana" w:eastAsia="Calibri" w:hAnsi="Verdana" w:cs="Arial"/>
                <w:bCs/>
                <w:color w:val="000000" w:themeColor="text1"/>
              </w:rPr>
              <w:t>, por lo que corresponderá a l</w:t>
            </w:r>
            <w:r w:rsidRPr="00300B73">
              <w:rPr>
                <w:rFonts w:ascii="Verdana" w:eastAsia="Calibri" w:hAnsi="Verdana" w:cs="Arial"/>
                <w:bCs/>
                <w:color w:val="000000" w:themeColor="text1"/>
              </w:rPr>
              <w:t>a Entidad Estatal solicitar soporte y justificación detallada al proponente sobre la estructuración de ese precio tan bajo.</w:t>
            </w:r>
          </w:p>
          <w:p w14:paraId="1D0D8061" w14:textId="2D43D92C" w:rsidR="00300B73" w:rsidRPr="00C7680D" w:rsidRDefault="00300B73" w:rsidP="00300B73">
            <w:pPr>
              <w:spacing w:before="120"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        Por último, se recomienda </w:t>
            </w:r>
            <w:r w:rsidRPr="00D56D80">
              <w:rPr>
                <w:rFonts w:ascii="Verdana" w:eastAsia="Calibri" w:hAnsi="Verdana" w:cs="Arial"/>
                <w:bCs/>
                <w:color w:val="000000" w:themeColor="text1"/>
              </w:rPr>
              <w:t>consultar la “Guía para el Manejo de Ofertas Artificialmente Bajas”</w:t>
            </w:r>
            <w:r w:rsidR="00C26C85">
              <w:rPr>
                <w:rStyle w:val="Refdenotaalpie"/>
                <w:rFonts w:ascii="Verdana" w:eastAsia="Calibri" w:hAnsi="Verdana" w:cs="Arial"/>
                <w:bCs/>
                <w:color w:val="000000" w:themeColor="text1"/>
              </w:rPr>
              <w:footnoteReference w:id="2"/>
            </w:r>
            <w:r w:rsidRPr="00D56D80">
              <w:rPr>
                <w:rFonts w:ascii="Verdana" w:eastAsia="Calibri" w:hAnsi="Verdana" w:cs="Arial"/>
                <w:bCs/>
                <w:color w:val="000000" w:themeColor="text1"/>
              </w:rPr>
              <w:t>, con el fin de orientar adecuadamente la actuación frente a ofertas que presenten precios inusualmente bajos o que los proponentes no justifiquen debidamente. Esta guía ofrece directrices claras sobre los pasos que debe seguir la entidad para requerir explicaciones, evaluar su suficiencia y adoptar decisiones motivadas, garantizando la transparencia, la selección objetiva y la protección de la competencia en los procesos de subasta inversa electrónica.</w:t>
            </w:r>
          </w:p>
          <w:p w14:paraId="545403C0" w14:textId="1309985E" w:rsidR="00B87FBD" w:rsidRPr="00B87FBD" w:rsidRDefault="009C3869" w:rsidP="0043740D">
            <w:pPr>
              <w:jc w:val="both"/>
              <w:rPr>
                <w:rFonts w:ascii="Verdana" w:hAnsi="Verdana" w:cs="Arial"/>
              </w:rPr>
            </w:pPr>
            <w:r>
              <w:rPr>
                <w:rFonts w:ascii="Verdana" w:eastAsia="Calibri" w:hAnsi="Verdana" w:cs="Arial"/>
                <w:lang w:val="es-ES_tradnl" w:eastAsia="es-ES"/>
              </w:rPr>
              <w:t xml:space="preserve"> </w:t>
            </w:r>
          </w:p>
          <w:p w14:paraId="4FED5380" w14:textId="7CC0D693" w:rsidR="00A64017" w:rsidRPr="00C71956" w:rsidRDefault="00274CA6" w:rsidP="0043740D">
            <w:pPr>
              <w:spacing w:after="120" w:line="276" w:lineRule="auto"/>
              <w:jc w:val="both"/>
              <w:rPr>
                <w:rFonts w:ascii="Verdana" w:eastAsia="Aptos" w:hAnsi="Verdana" w:cs="Arial"/>
                <w:shd w:val="clear" w:color="auto" w:fill="FFFFFF"/>
              </w:rPr>
            </w:pPr>
            <w:r>
              <w:rPr>
                <w:rFonts w:ascii="Verdana" w:eastAsia="Arial MT" w:hAnsi="Verdana" w:cs="Arial"/>
                <w:lang w:eastAsia="es-ES" w:bidi="es-ES"/>
              </w:rPr>
              <w:t xml:space="preserve"> </w:t>
            </w:r>
            <w:r w:rsidR="0043740D">
              <w:rPr>
                <w:rFonts w:ascii="Verdana" w:eastAsia="Arial MT" w:hAnsi="Verdana" w:cs="Arial"/>
                <w:lang w:eastAsia="es-ES" w:bidi="es-ES"/>
              </w:rPr>
              <w:t xml:space="preserve">       </w:t>
            </w:r>
            <w:r w:rsidR="00A64017">
              <w:rPr>
                <w:rFonts w:ascii="Verdana" w:eastAsia="Calibri" w:hAnsi="Verdana" w:cs="Arial"/>
                <w:lang w:eastAsia="es-ES"/>
              </w:rPr>
              <w:t>Finalmente</w:t>
            </w:r>
            <w:r w:rsidR="00A64017">
              <w:rPr>
                <w:rFonts w:ascii="Verdana" w:eastAsia="Calibri" w:hAnsi="Verdana" w:cs="Times New Roman"/>
              </w:rPr>
              <w:t>,</w:t>
            </w:r>
            <w:r w:rsidR="00A64017" w:rsidRPr="00DB4737">
              <w:rPr>
                <w:rFonts w:ascii="Verdana" w:eastAsia="Calibri" w:hAnsi="Verdana" w:cs="Times New Roman"/>
              </w:rPr>
              <w:t xml:space="preserve"> debe advertirse que el análisis en torno </w:t>
            </w:r>
            <w:r w:rsidR="00A64017">
              <w:rPr>
                <w:rFonts w:ascii="Verdana" w:eastAsia="Calibri" w:hAnsi="Verdana" w:cs="Times New Roman"/>
              </w:rPr>
              <w:t>a un proceso de contratación especifico debe</w:t>
            </w:r>
            <w:r w:rsidR="00A64017" w:rsidRPr="0012388D">
              <w:rPr>
                <w:rFonts w:ascii="Verdana" w:eastAsia="Calibri" w:hAnsi="Verdana" w:cs="Times New Roman"/>
              </w:rPr>
              <w:t xml:space="preserve"> ser realizado por quienes tengan interés en ello.</w:t>
            </w:r>
            <w:r w:rsidR="00A64017"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A64017">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EBC54F" w14:textId="77777777" w:rsidR="00A64017" w:rsidRDefault="00A64017" w:rsidP="00A64017">
      <w:pPr>
        <w:spacing w:after="0" w:line="276" w:lineRule="auto"/>
        <w:ind w:firstLine="708"/>
        <w:jc w:val="both"/>
        <w:rPr>
          <w:rFonts w:ascii="Verdana" w:eastAsia="Calibri" w:hAnsi="Verdana" w:cs="Arial"/>
          <w:color w:val="000000" w:themeColor="text1"/>
        </w:rPr>
      </w:pPr>
    </w:p>
    <w:p w14:paraId="37D656FD" w14:textId="410325F5" w:rsidR="00C44790" w:rsidRPr="00161B60" w:rsidRDefault="00C653EC" w:rsidP="00C44790">
      <w:pPr>
        <w:widowControl w:val="0"/>
        <w:autoSpaceDE w:val="0"/>
        <w:autoSpaceDN w:val="0"/>
        <w:snapToGrid w:val="0"/>
        <w:spacing w:after="0" w:line="276" w:lineRule="auto"/>
        <w:jc w:val="both"/>
        <w:rPr>
          <w:rFonts w:ascii="Verdana" w:eastAsia="Calibri" w:hAnsi="Verdana" w:cs="Arial"/>
          <w:bCs/>
          <w:lang w:val="es-ES_tradnl"/>
        </w:rPr>
      </w:pPr>
      <w:bookmarkStart w:id="4" w:name="_Hlk108519028"/>
      <w:r>
        <w:rPr>
          <w:rFonts w:ascii="Verdana" w:eastAsia="Calibri" w:hAnsi="Verdana" w:cs="Arial"/>
          <w:color w:val="000000" w:themeColor="text1"/>
        </w:rPr>
        <w:t xml:space="preserve">        </w:t>
      </w:r>
      <w:r w:rsidR="000B6B58">
        <w:rPr>
          <w:rFonts w:ascii="Verdana" w:eastAsia="Calibri" w:hAnsi="Verdana" w:cs="Arial"/>
          <w:bCs/>
          <w:lang w:eastAsia="es-MX"/>
        </w:rPr>
        <w:t xml:space="preserve">  </w:t>
      </w:r>
      <w:r w:rsidR="00C44790" w:rsidRPr="00910028">
        <w:rPr>
          <w:rFonts w:ascii="Verdana" w:eastAsia="Arial" w:hAnsi="Verdana" w:cs="Arial"/>
          <w:lang w:val="es-ES" w:eastAsia="es-ES" w:bidi="es-ES"/>
        </w:rPr>
        <w:t>La Ley 80 de 1993, en el artículo 26, numeral 6, indica como una de las manifestaciones del principio de responsabilidad que los contratistas respondan cuando formulen propuestas en las que se fijen condiciones económicas y de contratación artificialmente bajas con el propósito de obtener la adjudicación del contrato</w:t>
      </w:r>
      <w:r w:rsidR="00C44790" w:rsidRPr="00910028">
        <w:rPr>
          <w:rFonts w:ascii="Verdana" w:eastAsia="Arial" w:hAnsi="Verdana" w:cs="Arial"/>
          <w:vertAlign w:val="superscript"/>
          <w:lang w:val="es-ES" w:eastAsia="es-ES" w:bidi="es-ES"/>
        </w:rPr>
        <w:footnoteReference w:id="3"/>
      </w:r>
      <w:r w:rsidR="00C44790" w:rsidRPr="00910028">
        <w:rPr>
          <w:rFonts w:ascii="Verdana" w:eastAsia="Arial" w:hAnsi="Verdana" w:cs="Arial"/>
          <w:lang w:val="es-ES" w:eastAsia="es-ES" w:bidi="es-ES"/>
        </w:rPr>
        <w:t>.</w:t>
      </w:r>
      <w:r w:rsidR="00C44790">
        <w:rPr>
          <w:rFonts w:ascii="Verdana" w:eastAsia="Arial" w:hAnsi="Verdana" w:cs="Arial"/>
          <w:lang w:val="es-ES" w:eastAsia="es-ES" w:bidi="es-ES"/>
        </w:rPr>
        <w:t xml:space="preserve"> Al respecto, e</w:t>
      </w:r>
      <w:r w:rsidR="00C44790" w:rsidRPr="00910028">
        <w:rPr>
          <w:rFonts w:ascii="Verdana" w:eastAsia="Arial" w:hAnsi="Verdana" w:cs="Arial"/>
          <w:lang w:val="es-ES" w:eastAsia="es-ES" w:bidi="es-ES"/>
        </w:rPr>
        <w:t>l Consejo de Estado, Sección Tercera, sentencia 4 de junio de 2008, radicado No. 17.783, M.P. Myriam Guerrero de Escobar, define el precio artificialmente bajo como aquel que no tiene sustento o fundamento en su</w:t>
      </w:r>
      <w:r w:rsidR="00C44790" w:rsidRPr="00910028">
        <w:rPr>
          <w:rFonts w:ascii="Verdana" w:eastAsia="Arial" w:hAnsi="Verdana" w:cs="Arial"/>
          <w:spacing w:val="-45"/>
          <w:lang w:val="es-ES" w:eastAsia="es-ES" w:bidi="es-ES"/>
        </w:rPr>
        <w:t xml:space="preserve"> </w:t>
      </w:r>
      <w:r w:rsidR="00C44790" w:rsidRPr="00910028">
        <w:rPr>
          <w:rFonts w:ascii="Verdana" w:eastAsia="Arial" w:hAnsi="Verdana" w:cs="Arial"/>
          <w:lang w:val="es-ES" w:eastAsia="es-ES" w:bidi="es-ES"/>
        </w:rPr>
        <w:t>estructuración dentro del tráfico comercial:</w:t>
      </w:r>
    </w:p>
    <w:p w14:paraId="34D3ED38" w14:textId="77777777" w:rsidR="00C44790" w:rsidRPr="00910028" w:rsidRDefault="00C44790" w:rsidP="00C44790">
      <w:pPr>
        <w:widowControl w:val="0"/>
        <w:autoSpaceDE w:val="0"/>
        <w:autoSpaceDN w:val="0"/>
        <w:spacing w:after="0" w:line="276" w:lineRule="auto"/>
        <w:ind w:left="720"/>
        <w:rPr>
          <w:rFonts w:ascii="Verdana" w:eastAsia="Arial" w:hAnsi="Verdana" w:cs="Arial"/>
          <w:lang w:val="es-ES" w:eastAsia="es-ES" w:bidi="es-ES"/>
        </w:rPr>
      </w:pPr>
    </w:p>
    <w:p w14:paraId="414057DB" w14:textId="77777777" w:rsidR="00C44790" w:rsidRPr="00666BAC" w:rsidRDefault="00C44790" w:rsidP="00C44790">
      <w:pPr>
        <w:spacing w:after="0" w:line="240" w:lineRule="auto"/>
        <w:ind w:left="709" w:right="709"/>
        <w:jc w:val="both"/>
        <w:rPr>
          <w:rFonts w:ascii="Verdana" w:eastAsia="Aptos" w:hAnsi="Verdana" w:cs="Times New Roman"/>
          <w:kern w:val="2"/>
          <w:sz w:val="20"/>
          <w:szCs w:val="20"/>
          <w14:ligatures w14:val="standardContextual"/>
        </w:rPr>
      </w:pPr>
      <w:r w:rsidRPr="00666BAC">
        <w:rPr>
          <w:rFonts w:ascii="Verdana" w:eastAsia="Aptos" w:hAnsi="Verdana" w:cs="Times New Roman"/>
          <w:kern w:val="2"/>
          <w:sz w:val="20"/>
          <w:szCs w:val="20"/>
          <w14:ligatures w14:val="standardContextual"/>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w:t>
      </w:r>
      <w:r w:rsidRPr="00666BAC">
        <w:rPr>
          <w:rFonts w:ascii="Verdana" w:eastAsia="Aptos" w:hAnsi="Verdana" w:cs="Times New Roman"/>
          <w:spacing w:val="-8"/>
          <w:kern w:val="2"/>
          <w:sz w:val="20"/>
          <w:szCs w:val="20"/>
          <w14:ligatures w14:val="standardContextual"/>
        </w:rPr>
        <w:t xml:space="preserve"> </w:t>
      </w:r>
      <w:r w:rsidRPr="00666BAC">
        <w:rPr>
          <w:rFonts w:ascii="Verdana" w:eastAsia="Aptos" w:hAnsi="Verdana" w:cs="Times New Roman"/>
          <w:kern w:val="2"/>
          <w:sz w:val="20"/>
          <w:szCs w:val="20"/>
          <w14:ligatures w14:val="standardContextual"/>
        </w:rPr>
        <w:t>[…]”.</w:t>
      </w:r>
    </w:p>
    <w:p w14:paraId="5C775695" w14:textId="77777777" w:rsidR="00C44790" w:rsidRPr="00910028" w:rsidRDefault="00C44790" w:rsidP="00C44790">
      <w:pPr>
        <w:widowControl w:val="0"/>
        <w:autoSpaceDE w:val="0"/>
        <w:autoSpaceDN w:val="0"/>
        <w:spacing w:after="0" w:line="276" w:lineRule="auto"/>
        <w:ind w:left="720"/>
        <w:jc w:val="both"/>
        <w:rPr>
          <w:rFonts w:ascii="Verdana" w:eastAsia="Arial" w:hAnsi="Verdana" w:cs="Arial"/>
          <w:lang w:val="es-ES" w:eastAsia="es-ES" w:bidi="es-ES"/>
        </w:rPr>
      </w:pPr>
    </w:p>
    <w:p w14:paraId="69416CCA" w14:textId="77777777" w:rsidR="00C44790" w:rsidRDefault="00C44790" w:rsidP="00C44790">
      <w:pPr>
        <w:widowControl w:val="0"/>
        <w:autoSpaceDE w:val="0"/>
        <w:autoSpaceDN w:val="0"/>
        <w:spacing w:after="0" w:line="276" w:lineRule="auto"/>
        <w:ind w:firstLine="709"/>
        <w:jc w:val="both"/>
        <w:rPr>
          <w:rFonts w:ascii="Verdana" w:eastAsia="Arial" w:hAnsi="Verdana" w:cs="Arial"/>
          <w:lang w:val="es-ES" w:eastAsia="es-ES" w:bidi="es-ES"/>
        </w:rPr>
      </w:pPr>
      <w:r w:rsidRPr="00910028">
        <w:rPr>
          <w:rFonts w:ascii="Verdana" w:eastAsia="Arial" w:hAnsi="Verdana" w:cs="Arial"/>
          <w:lang w:val="es-ES" w:eastAsia="es-ES" w:bidi="es-ES"/>
        </w:rPr>
        <w:t xml:space="preserve">Por su parte, el artículo 2.2.1.1.2.2.4. del Decreto 1082 de 2015 establece que cuando el valor de una oferta parezca artificialmente bajo, la entidad debe requerir al oferente para que explique las razones que sustentan el valor ofrecido. Frente a estas explicaciones le corresponde al comité evaluador </w:t>
      </w:r>
      <w:r>
        <w:rPr>
          <w:rFonts w:ascii="Verdana" w:eastAsia="Arial" w:hAnsi="Verdana" w:cs="Arial"/>
          <w:lang w:val="es-ES" w:eastAsia="es-ES" w:bidi="es-ES"/>
        </w:rPr>
        <w:t>analizarlas y recomendar si d</w:t>
      </w:r>
      <w:r w:rsidRPr="00910028">
        <w:rPr>
          <w:rFonts w:ascii="Verdana" w:eastAsia="Arial" w:hAnsi="Verdana" w:cs="Arial"/>
          <w:lang w:val="es-ES" w:eastAsia="es-ES" w:bidi="es-ES"/>
        </w:rPr>
        <w:t>ebe rechazar la oferta o continuar con el análisis de la oferta durante la evaluación de las ofertas</w:t>
      </w:r>
      <w:r>
        <w:rPr>
          <w:rFonts w:ascii="Verdana" w:eastAsia="Arial" w:hAnsi="Verdana" w:cs="Arial"/>
          <w:lang w:val="es-ES" w:eastAsia="es-ES" w:bidi="es-ES"/>
        </w:rPr>
        <w:t>:</w:t>
      </w:r>
    </w:p>
    <w:p w14:paraId="0DF77959" w14:textId="77777777" w:rsidR="00C44790" w:rsidRPr="001F4545" w:rsidRDefault="00C44790" w:rsidP="00C44790">
      <w:pPr>
        <w:spacing w:after="0" w:line="240" w:lineRule="auto"/>
        <w:ind w:left="708" w:right="616" w:firstLine="1"/>
        <w:jc w:val="both"/>
        <w:rPr>
          <w:rFonts w:ascii="Verdana" w:hAnsi="Verdana"/>
          <w:sz w:val="21"/>
          <w:szCs w:val="21"/>
        </w:rPr>
      </w:pPr>
    </w:p>
    <w:p w14:paraId="69F6F763" w14:textId="77777777" w:rsidR="00C44790" w:rsidRPr="00666BAC" w:rsidRDefault="00C44790" w:rsidP="00C44790">
      <w:pPr>
        <w:spacing w:after="0" w:line="240" w:lineRule="auto"/>
        <w:ind w:left="708" w:right="616" w:firstLine="1"/>
        <w:jc w:val="both"/>
        <w:rPr>
          <w:rFonts w:ascii="Verdana" w:hAnsi="Verdana"/>
          <w:sz w:val="20"/>
          <w:szCs w:val="20"/>
        </w:rPr>
      </w:pPr>
      <w:r w:rsidRPr="00666BAC">
        <w:rPr>
          <w:rFonts w:ascii="Verdana" w:hAnsi="Verdana"/>
          <w:bCs/>
          <w:sz w:val="20"/>
          <w:szCs w:val="20"/>
        </w:rPr>
        <w:t>“Artículo 2.2.1.1.2.2.4. </w:t>
      </w:r>
      <w:r w:rsidRPr="00666BAC">
        <w:rPr>
          <w:rFonts w:ascii="Verdana" w:hAnsi="Verdana"/>
          <w:bCs/>
          <w:i/>
          <w:iCs/>
          <w:sz w:val="20"/>
          <w:szCs w:val="20"/>
        </w:rPr>
        <w:t>Oferta con valor artificialmente bajo.</w:t>
      </w:r>
      <w:r w:rsidRPr="00666BAC">
        <w:rPr>
          <w:rFonts w:ascii="Verdana" w:hAnsi="Verdana"/>
          <w:i/>
          <w:iCs/>
          <w:sz w:val="20"/>
          <w:szCs w:val="20"/>
        </w:rPr>
        <w:t> </w:t>
      </w:r>
      <w:r w:rsidRPr="00666BAC">
        <w:rPr>
          <w:rFonts w:ascii="Verdana" w:hAnsi="Verdana"/>
          <w:sz w:val="20"/>
          <w:szCs w:val="20"/>
        </w:rPr>
        <w:t>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 ofertas.</w:t>
      </w:r>
    </w:p>
    <w:p w14:paraId="427D89AD" w14:textId="77777777" w:rsidR="00C44790" w:rsidRDefault="00C44790" w:rsidP="00C44790">
      <w:pPr>
        <w:spacing w:after="0" w:line="240" w:lineRule="auto"/>
        <w:ind w:left="708" w:right="616" w:firstLine="1"/>
        <w:jc w:val="both"/>
        <w:rPr>
          <w:rFonts w:ascii="Verdana" w:hAnsi="Verdana"/>
          <w:sz w:val="20"/>
          <w:szCs w:val="20"/>
        </w:rPr>
      </w:pPr>
    </w:p>
    <w:p w14:paraId="65177D39" w14:textId="77777777" w:rsidR="00C44790" w:rsidRPr="00666BAC" w:rsidRDefault="00C44790" w:rsidP="00C44790">
      <w:pPr>
        <w:spacing w:after="0" w:line="240" w:lineRule="auto"/>
        <w:ind w:left="708" w:right="616" w:firstLine="1"/>
        <w:jc w:val="both"/>
        <w:rPr>
          <w:rFonts w:ascii="Verdana" w:hAnsi="Verdana"/>
          <w:sz w:val="20"/>
          <w:szCs w:val="20"/>
        </w:rPr>
      </w:pPr>
      <w:r w:rsidRPr="00666BAC">
        <w:rPr>
          <w:rFonts w:ascii="Verdana" w:hAnsi="Verdana"/>
          <w:sz w:val="20"/>
          <w:szCs w:val="20"/>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512BE992" w14:textId="77777777" w:rsidR="00C44790" w:rsidRPr="00666BAC" w:rsidRDefault="00C44790" w:rsidP="00C44790">
      <w:pPr>
        <w:spacing w:after="0" w:line="240" w:lineRule="auto"/>
        <w:ind w:left="708" w:right="616" w:firstLine="1"/>
        <w:jc w:val="both"/>
        <w:rPr>
          <w:rFonts w:ascii="Verdana" w:hAnsi="Verdana"/>
          <w:sz w:val="20"/>
          <w:szCs w:val="20"/>
        </w:rPr>
      </w:pPr>
      <w:r w:rsidRPr="00666BAC">
        <w:rPr>
          <w:rFonts w:ascii="Verdana" w:hAnsi="Verdana"/>
          <w:sz w:val="20"/>
          <w:szCs w:val="20"/>
        </w:rPr>
        <w:t>En la subasta inversa esta disposición es aplicable sobre el precio obtenido al final de la misma”.</w:t>
      </w:r>
    </w:p>
    <w:p w14:paraId="1CAC552A" w14:textId="77777777" w:rsidR="00C44790" w:rsidRPr="00C71D70" w:rsidRDefault="00C44790" w:rsidP="00C44790">
      <w:pPr>
        <w:spacing w:after="0" w:line="240" w:lineRule="auto"/>
        <w:ind w:left="708" w:right="616" w:firstLine="1"/>
        <w:jc w:val="both"/>
        <w:rPr>
          <w:rFonts w:ascii="Verdana" w:hAnsi="Verdana"/>
          <w:sz w:val="21"/>
          <w:szCs w:val="21"/>
        </w:rPr>
      </w:pPr>
    </w:p>
    <w:p w14:paraId="1A4BFEE8" w14:textId="77777777" w:rsidR="00C44790" w:rsidRPr="00AC1339" w:rsidRDefault="00C44790" w:rsidP="00C44790">
      <w:pPr>
        <w:spacing w:after="120" w:line="276" w:lineRule="auto"/>
        <w:ind w:firstLine="708"/>
        <w:jc w:val="both"/>
        <w:rPr>
          <w:rFonts w:ascii="Verdana" w:eastAsia="Calibri" w:hAnsi="Verdana" w:cs="Arial"/>
          <w:lang w:val="es-ES"/>
        </w:rPr>
      </w:pPr>
      <w:r w:rsidRPr="00AC1339">
        <w:rPr>
          <w:rFonts w:ascii="Verdana" w:eastAsia="Calibri" w:hAnsi="Verdana" w:cs="Arial"/>
          <w:lang w:val="es-MX"/>
        </w:rPr>
        <w:t>Así pues, el artículo 2.2.1.1.2.2.4 ibidem, establece lo que debe hacer la entidad cuando el precio de una oferta parece artificialmente bajo, esto es: i) solicitar explicación al oferente, ii) analizar las explicaciones del oferente, iii) el responsable de la evaluación de las ofertas debe recomendar rechazar o continuar la evaluación de la oferta, y iv) para la subasta inversa, lo anterior se debe hacer al finalizar el evento.</w:t>
      </w:r>
    </w:p>
    <w:p w14:paraId="707ECB2B" w14:textId="77777777" w:rsidR="00C44790" w:rsidRPr="00AC1339" w:rsidRDefault="00C44790" w:rsidP="00C44790">
      <w:pPr>
        <w:spacing w:before="120" w:line="276" w:lineRule="auto"/>
        <w:ind w:firstLine="708"/>
        <w:jc w:val="both"/>
        <w:rPr>
          <w:rFonts w:ascii="Verdana" w:eastAsia="Calibri" w:hAnsi="Verdana" w:cs="Arial"/>
        </w:rPr>
      </w:pPr>
      <w:r w:rsidRPr="00AC1339">
        <w:rPr>
          <w:rFonts w:ascii="Verdana" w:eastAsia="Calibri" w:hAnsi="Verdana" w:cs="Arial"/>
          <w:lang w:val="es-ES"/>
        </w:rPr>
        <w:t>Sin embargo, debe precisarse que el análisis de los precios de una oferta se hace en la fase de evaluación del procedimiento</w:t>
      </w:r>
      <w:r>
        <w:rPr>
          <w:rFonts w:ascii="Verdana" w:eastAsia="Calibri" w:hAnsi="Verdana" w:cs="Arial"/>
          <w:lang w:val="es-ES"/>
        </w:rPr>
        <w:t xml:space="preserve"> de selección</w:t>
      </w:r>
      <w:r w:rsidRPr="00AC1339">
        <w:rPr>
          <w:rFonts w:ascii="Verdana" w:eastAsia="Calibri" w:hAnsi="Verdana" w:cs="Arial"/>
          <w:lang w:val="es-ES"/>
        </w:rPr>
        <w:t>, que es la oportunidad para verificar, a través del comité evaluador</w:t>
      </w:r>
      <w:r w:rsidRPr="00AC1339">
        <w:rPr>
          <w:rFonts w:ascii="Verdana" w:eastAsia="Aptos" w:hAnsi="Verdana" w:cs="Times New Roman"/>
          <w:kern w:val="2"/>
          <w:vertAlign w:val="superscript"/>
          <w:lang w:val="es-MX"/>
          <w14:ligatures w14:val="standardContextual"/>
        </w:rPr>
        <w:footnoteReference w:id="4"/>
      </w:r>
      <w:r>
        <w:rPr>
          <w:rFonts w:ascii="Verdana" w:eastAsia="Calibri" w:hAnsi="Verdana" w:cs="Arial"/>
          <w:lang w:val="es-MX"/>
        </w:rPr>
        <w:t xml:space="preserve"> si se cumplen o no</w:t>
      </w:r>
      <w:r w:rsidRPr="00AC1339">
        <w:rPr>
          <w:rFonts w:ascii="Verdana" w:eastAsia="Calibri" w:hAnsi="Verdana" w:cs="Arial"/>
          <w:lang w:val="es-MX"/>
        </w:rPr>
        <w:t xml:space="preserve"> las reglas </w:t>
      </w:r>
      <w:r>
        <w:rPr>
          <w:rFonts w:ascii="Verdana" w:eastAsia="Calibri" w:hAnsi="Verdana" w:cs="Arial"/>
          <w:lang w:val="es-MX"/>
        </w:rPr>
        <w:t>de</w:t>
      </w:r>
      <w:r w:rsidRPr="00AC1339">
        <w:rPr>
          <w:rFonts w:ascii="Verdana" w:eastAsia="Calibri" w:hAnsi="Verdana" w:cs="Arial"/>
          <w:lang w:val="es-MX"/>
        </w:rPr>
        <w:t xml:space="preserve"> los pliegos de condiciones. En efecto, el objeto de la evaluación de las ofertas es comprobar que estas cumplen con los parámetros exigidos, establecer la habilitación del proponente en dicho proceso de selección y definir si, de acuerdo con la ponderación de los factores de evaluación aplicables, cuál será el que resultará adjudicatario del futuro contrato.</w:t>
      </w:r>
    </w:p>
    <w:p w14:paraId="4B451600" w14:textId="77777777" w:rsidR="00C44790" w:rsidRPr="00AC1339" w:rsidRDefault="00C44790" w:rsidP="00C44790">
      <w:pPr>
        <w:spacing w:after="120" w:line="276" w:lineRule="auto"/>
        <w:ind w:firstLine="708"/>
        <w:jc w:val="both"/>
        <w:rPr>
          <w:rFonts w:ascii="Verdana" w:eastAsia="Calibri" w:hAnsi="Verdana" w:cs="Arial"/>
          <w:highlight w:val="yellow"/>
          <w:lang w:val="es-ES"/>
        </w:rPr>
      </w:pPr>
      <w:r w:rsidRPr="00AC1339">
        <w:rPr>
          <w:rFonts w:ascii="Verdana" w:eastAsia="Calibri" w:hAnsi="Verdana" w:cs="Arial"/>
          <w:lang w:val="es-ES"/>
        </w:rPr>
        <w:t>En ese sentid</w:t>
      </w:r>
      <w:r>
        <w:rPr>
          <w:rFonts w:ascii="Verdana" w:eastAsia="Calibri" w:hAnsi="Verdana" w:cs="Arial"/>
          <w:lang w:val="es-ES"/>
        </w:rPr>
        <w:t xml:space="preserve">o, </w:t>
      </w:r>
      <w:r w:rsidRPr="00AC1339">
        <w:rPr>
          <w:rFonts w:ascii="Verdana" w:eastAsia="Calibri" w:hAnsi="Verdana" w:cs="Arial"/>
          <w:lang w:val="es-ES"/>
        </w:rPr>
        <w:t>en la evaluación</w:t>
      </w:r>
      <w:r>
        <w:rPr>
          <w:rFonts w:ascii="Verdana" w:eastAsia="Calibri" w:hAnsi="Verdana" w:cs="Arial"/>
          <w:lang w:val="es-ES"/>
        </w:rPr>
        <w:t xml:space="preserve"> que se realiza antes de la adjudicación del contrato</w:t>
      </w:r>
      <w:r w:rsidRPr="00AC1339">
        <w:rPr>
          <w:rFonts w:ascii="Verdana" w:eastAsia="Calibri" w:hAnsi="Verdana" w:cs="Arial"/>
          <w:lang w:val="es-ES"/>
        </w:rPr>
        <w:t xml:space="preserve">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w:t>
      </w:r>
      <w:r>
        <w:rPr>
          <w:rFonts w:ascii="Verdana" w:eastAsia="Calibri" w:hAnsi="Verdana" w:cs="Arial"/>
          <w:lang w:val="es-ES"/>
        </w:rPr>
        <w:t xml:space="preserve">el bien, obra o servicio que </w:t>
      </w:r>
      <w:r w:rsidRPr="00AC1339">
        <w:rPr>
          <w:rFonts w:ascii="Verdana" w:eastAsia="Calibri" w:hAnsi="Verdana" w:cs="Arial"/>
          <w:lang w:val="es-ES"/>
        </w:rPr>
        <w:t>pretende contratar</w:t>
      </w:r>
      <w:r>
        <w:rPr>
          <w:rFonts w:ascii="Verdana" w:eastAsia="Calibri" w:hAnsi="Verdana" w:cs="Arial"/>
          <w:lang w:val="es-ES"/>
        </w:rPr>
        <w:t>se</w:t>
      </w:r>
      <w:r w:rsidRPr="00AC1339">
        <w:rPr>
          <w:rFonts w:ascii="Verdana" w:eastAsia="Calibri" w:hAnsi="Verdana" w:cs="Arial"/>
          <w:lang w:val="es-ES"/>
        </w:rPr>
        <w:t>. En ese caso, la entidad podrá identificar las ofertas con precios que parecen artificialmente bajos, y seguir el procedimiento del Decreto 1082 de 2015. Concluido dicho análisis, es posible que a partir de las explicaciones ofrecidas por el proponente se determine que el valor responde a circunstancias objetivas que le permiten cumplir el contrato, sin que con ello termine la evaluación, porque el Decreto 1082 de 2015 señala que la entidad puede continuar el análisis en esta fase de evaluación.</w:t>
      </w:r>
    </w:p>
    <w:p w14:paraId="3469CEB3" w14:textId="77777777" w:rsidR="00C44790" w:rsidRDefault="00C44790" w:rsidP="00C44790">
      <w:pPr>
        <w:spacing w:after="120" w:line="276" w:lineRule="auto"/>
        <w:ind w:firstLine="708"/>
        <w:jc w:val="both"/>
        <w:rPr>
          <w:rFonts w:ascii="Verdana" w:eastAsia="Times New Roman" w:hAnsi="Verdana" w:cs="Arial"/>
          <w:lang w:val="es-ES"/>
        </w:rPr>
      </w:pPr>
      <w:r w:rsidRPr="00AC1339">
        <w:rPr>
          <w:rFonts w:ascii="Verdana" w:eastAsia="Times New Roman" w:hAnsi="Verdana" w:cs="Arial"/>
          <w:lang w:val="es-ES"/>
        </w:rPr>
        <w:t>De esta forma, y con el objetivo de brindar herramientas que orienten a las Entidades Estatales en este asunto, la Agencia Nacional de Contratación Pública – Colombia Compra Eficiente el 16 de diciembre de 2024, actualizó la “Guía para el manejo de ofertas artificialmente bajas en Procesos de Contratación”, en la que se señalan no sólo las posibles causas y consecuencias de ofertas artificialmente bajas, sino que también se relaciona a modo de sugerencia dos metodologías que podrían aplicar las entidades para identificarlas y manejarlas. Estas son: i) la comparación absoluta y; ii) la comparación relativa.</w:t>
      </w:r>
      <w:r>
        <w:rPr>
          <w:rFonts w:ascii="Verdana" w:eastAsia="Times New Roman" w:hAnsi="Verdana" w:cs="Arial"/>
          <w:lang w:val="es-ES"/>
        </w:rPr>
        <w:t xml:space="preserve"> </w:t>
      </w:r>
    </w:p>
    <w:p w14:paraId="5A2B748E" w14:textId="77777777" w:rsidR="00C44790" w:rsidRPr="00D40E49" w:rsidRDefault="00C44790" w:rsidP="00C44790">
      <w:pPr>
        <w:spacing w:after="120" w:line="276" w:lineRule="auto"/>
        <w:ind w:firstLine="708"/>
        <w:jc w:val="both"/>
        <w:rPr>
          <w:rFonts w:ascii="Verdana" w:eastAsia="Times New Roman" w:hAnsi="Verdana" w:cs="Arial"/>
          <w:lang w:val="es-ES"/>
        </w:rPr>
      </w:pPr>
      <w:r>
        <w:rPr>
          <w:rFonts w:ascii="Verdana" w:eastAsia="Times New Roman" w:hAnsi="Verdana" w:cs="Arial"/>
          <w:lang w:val="es-ES"/>
        </w:rPr>
        <w:t xml:space="preserve">Es importante precisar que dentro de la Guía para el manejo de ofertas artificialmente bajas en Procesos de Contratación” efectúa un análisis especial en torno a la subasta inversa, la cual puede ser </w:t>
      </w:r>
      <w:r w:rsidRPr="001E5EA5">
        <w:rPr>
          <w:rFonts w:ascii="Verdana" w:eastAsia="Times New Roman" w:hAnsi="Verdana" w:cs="Arial"/>
        </w:rPr>
        <w:t>ordinaria y a la inversa.</w:t>
      </w:r>
      <w:r>
        <w:rPr>
          <w:rFonts w:ascii="Verdana" w:eastAsia="Times New Roman" w:hAnsi="Verdana" w:cs="Arial"/>
        </w:rPr>
        <w:t xml:space="preserve"> La primera consiste en que </w:t>
      </w:r>
      <w:r w:rsidRPr="001E5EA5">
        <w:rPr>
          <w:rFonts w:ascii="Verdana" w:eastAsia="Times New Roman" w:hAnsi="Verdana" w:cs="Arial"/>
        </w:rPr>
        <w:t>los compradores compiten para obtener un bien o servicio, ofreciend</w:t>
      </w:r>
      <w:r>
        <w:rPr>
          <w:rFonts w:ascii="Verdana" w:eastAsia="Times New Roman" w:hAnsi="Verdana" w:cs="Arial"/>
        </w:rPr>
        <w:t xml:space="preserve">o precios cada vez más altos, mediante </w:t>
      </w:r>
      <w:r w:rsidRPr="001E5EA5">
        <w:rPr>
          <w:rFonts w:ascii="Verdana" w:eastAsia="Times New Roman" w:hAnsi="Verdana" w:cs="Arial"/>
        </w:rPr>
        <w:t xml:space="preserve">lances, </w:t>
      </w:r>
      <w:r>
        <w:rPr>
          <w:rFonts w:ascii="Verdana" w:eastAsia="Times New Roman" w:hAnsi="Verdana" w:cs="Arial"/>
        </w:rPr>
        <w:t xml:space="preserve">como es el caso de los procesos de contratación de enajenación </w:t>
      </w:r>
      <w:r w:rsidRPr="001E5EA5">
        <w:rPr>
          <w:rFonts w:ascii="Verdana" w:eastAsia="Times New Roman" w:hAnsi="Verdana" w:cs="Arial"/>
        </w:rPr>
        <w:t>directa a través de subasta pública mediante la modalidad de selecció</w:t>
      </w:r>
      <w:r>
        <w:rPr>
          <w:rFonts w:ascii="Verdana" w:eastAsia="Times New Roman" w:hAnsi="Verdana" w:cs="Arial"/>
        </w:rPr>
        <w:t xml:space="preserve">n abreviada, de acuerdo con lo prescrito en el artículo </w:t>
      </w:r>
      <w:r w:rsidRPr="001E5EA5">
        <w:rPr>
          <w:rFonts w:ascii="Verdana" w:eastAsia="Times New Roman" w:hAnsi="Verdana" w:cs="Arial"/>
        </w:rPr>
        <w:t xml:space="preserve">2.2.1.2.2.2.2 del Decreto 1082 </w:t>
      </w:r>
      <w:r>
        <w:rPr>
          <w:rFonts w:ascii="Verdana" w:eastAsia="Times New Roman" w:hAnsi="Verdana" w:cs="Arial"/>
        </w:rPr>
        <w:t>de 1025</w:t>
      </w:r>
      <w:r>
        <w:rPr>
          <w:rStyle w:val="Refdenotaalpie"/>
          <w:rFonts w:ascii="Verdana" w:eastAsia="Times New Roman" w:hAnsi="Verdana" w:cs="Arial"/>
        </w:rPr>
        <w:footnoteReference w:id="5"/>
      </w:r>
      <w:r>
        <w:rPr>
          <w:rFonts w:ascii="Verdana" w:eastAsia="Times New Roman" w:hAnsi="Verdana" w:cs="Arial"/>
        </w:rPr>
        <w:t xml:space="preserve">. El segundo, es la subasta inversa que consiste en que los vendedores compiten para obtener </w:t>
      </w:r>
      <w:r w:rsidRPr="001E5EA5">
        <w:rPr>
          <w:rFonts w:ascii="Verdana" w:eastAsia="Times New Roman" w:hAnsi="Verdana" w:cs="Arial"/>
        </w:rPr>
        <w:t>un negocio del comprador, y para ello, los lances realizados sobre la oferta económica tienen como objetivo disminuir los precios</w:t>
      </w:r>
      <w:r>
        <w:rPr>
          <w:rFonts w:ascii="Verdana" w:eastAsia="Times New Roman" w:hAnsi="Verdana" w:cs="Arial"/>
        </w:rPr>
        <w:t xml:space="preserve"> de los bienes y servicios que se están ofertando</w:t>
      </w:r>
      <w:r w:rsidRPr="001E5EA5">
        <w:rPr>
          <w:rFonts w:ascii="Verdana" w:eastAsia="Times New Roman" w:hAnsi="Verdana" w:cs="Arial"/>
        </w:rPr>
        <w:t>. E</w:t>
      </w:r>
      <w:r>
        <w:rPr>
          <w:rFonts w:ascii="Verdana" w:eastAsia="Times New Roman" w:hAnsi="Verdana" w:cs="Arial"/>
        </w:rPr>
        <w:t xml:space="preserve">jemplo de este escenario, es el procedimiento de la selección abreviada mediante subasta inversa, en la que se busca </w:t>
      </w:r>
      <w:r w:rsidRPr="001E5EA5">
        <w:rPr>
          <w:rFonts w:ascii="Verdana" w:eastAsia="Times New Roman" w:hAnsi="Verdana" w:cs="Arial"/>
        </w:rPr>
        <w:t>la adquisición o s</w:t>
      </w:r>
      <w:r>
        <w:rPr>
          <w:rFonts w:ascii="Verdana" w:eastAsia="Times New Roman" w:hAnsi="Verdana" w:cs="Arial"/>
        </w:rPr>
        <w:t xml:space="preserve">uministro de bienes y servicios </w:t>
      </w:r>
      <w:r w:rsidRPr="001E5EA5">
        <w:rPr>
          <w:rFonts w:ascii="Verdana" w:eastAsia="Times New Roman" w:hAnsi="Verdana" w:cs="Arial"/>
        </w:rPr>
        <w:t xml:space="preserve">de características técnicas uniformes y de común utilización por parte de las Entidades Estatales, </w:t>
      </w:r>
      <w:r>
        <w:rPr>
          <w:rFonts w:ascii="Verdana" w:eastAsia="Times New Roman" w:hAnsi="Verdana" w:cs="Arial"/>
        </w:rPr>
        <w:t xml:space="preserve">que está regulada en el artículo </w:t>
      </w:r>
      <w:r w:rsidRPr="001E5EA5">
        <w:rPr>
          <w:rFonts w:ascii="Verdana" w:eastAsia="Times New Roman" w:hAnsi="Verdana" w:cs="Arial"/>
        </w:rPr>
        <w:t>2</w:t>
      </w:r>
      <w:r>
        <w:rPr>
          <w:rFonts w:ascii="Verdana" w:eastAsia="Times New Roman" w:hAnsi="Verdana" w:cs="Arial"/>
        </w:rPr>
        <w:t>, numeral 2, literal a)</w:t>
      </w:r>
      <w:r w:rsidRPr="001E5EA5">
        <w:rPr>
          <w:rFonts w:ascii="Verdana" w:eastAsia="Times New Roman" w:hAnsi="Verdana" w:cs="Arial"/>
        </w:rPr>
        <w:t xml:space="preserve"> de la Ley 1150 de 2007, y el artículo 2.2.1.2.1.2.2 del Decreto 1082 de 2015</w:t>
      </w:r>
      <w:r>
        <w:rPr>
          <w:rStyle w:val="Refdenotaalpie"/>
          <w:rFonts w:ascii="Verdana" w:eastAsia="Times New Roman" w:hAnsi="Verdana" w:cs="Arial"/>
        </w:rPr>
        <w:footnoteReference w:id="6"/>
      </w:r>
      <w:r w:rsidRPr="001E5EA5">
        <w:rPr>
          <w:rFonts w:ascii="Verdana" w:eastAsia="Times New Roman" w:hAnsi="Verdana" w:cs="Arial"/>
        </w:rPr>
        <w:t>.</w:t>
      </w:r>
    </w:p>
    <w:p w14:paraId="50234905" w14:textId="77777777" w:rsidR="00C44790" w:rsidRDefault="00C44790" w:rsidP="00C44790">
      <w:pPr>
        <w:spacing w:after="0" w:line="276" w:lineRule="auto"/>
        <w:ind w:firstLine="709"/>
        <w:jc w:val="both"/>
        <w:rPr>
          <w:rFonts w:ascii="Verdana" w:eastAsia="Times New Roman" w:hAnsi="Verdana" w:cs="Arial"/>
        </w:rPr>
      </w:pPr>
      <w:r>
        <w:rPr>
          <w:rFonts w:ascii="Verdana" w:eastAsia="Times New Roman" w:hAnsi="Verdana" w:cs="Arial"/>
          <w:lang w:val="es-ES"/>
        </w:rPr>
        <w:t xml:space="preserve">Dentro de la subasta inversa </w:t>
      </w:r>
      <w:r w:rsidRPr="001E5EA5">
        <w:rPr>
          <w:rFonts w:ascii="Verdana" w:eastAsia="Times New Roman" w:hAnsi="Verdana" w:cs="Arial"/>
        </w:rPr>
        <w:t xml:space="preserve">el único criterio de selección es el precio, </w:t>
      </w:r>
      <w:r>
        <w:rPr>
          <w:rFonts w:ascii="Verdana" w:eastAsia="Times New Roman" w:hAnsi="Verdana" w:cs="Arial"/>
        </w:rPr>
        <w:t>que se origina de los lances que son manifestación de pujas competitivas, en las que los procesos terminen en pre</w:t>
      </w:r>
      <w:r w:rsidRPr="001E5EA5">
        <w:rPr>
          <w:rFonts w:ascii="Verdana" w:eastAsia="Times New Roman" w:hAnsi="Verdana" w:cs="Arial"/>
        </w:rPr>
        <w:t xml:space="preserve">cios u ofertas bajas. </w:t>
      </w:r>
      <w:r>
        <w:rPr>
          <w:rFonts w:ascii="Verdana" w:eastAsia="Times New Roman" w:hAnsi="Verdana" w:cs="Arial"/>
        </w:rPr>
        <w:t xml:space="preserve">No obstante, dichas ofertas dentro de la audiencia de subasta </w:t>
      </w:r>
      <w:r w:rsidRPr="001E5EA5">
        <w:rPr>
          <w:rFonts w:ascii="Verdana" w:eastAsia="Times New Roman" w:hAnsi="Verdana" w:cs="Arial"/>
        </w:rPr>
        <w:t xml:space="preserve">no siempre deben </w:t>
      </w:r>
      <w:r>
        <w:rPr>
          <w:rFonts w:ascii="Verdana" w:eastAsia="Times New Roman" w:hAnsi="Verdana" w:cs="Arial"/>
        </w:rPr>
        <w:t xml:space="preserve">interpretarse como artificialmente bajas. En torno a este proceso de contratación, la Guía recomienda: </w:t>
      </w:r>
    </w:p>
    <w:p w14:paraId="74B5320F" w14:textId="77777777" w:rsidR="00C44790" w:rsidRDefault="00C44790" w:rsidP="00C44790">
      <w:pPr>
        <w:spacing w:after="120" w:line="240" w:lineRule="auto"/>
        <w:jc w:val="both"/>
        <w:rPr>
          <w:rFonts w:ascii="Verdana" w:eastAsia="Times New Roman" w:hAnsi="Verdana" w:cs="Arial"/>
        </w:rPr>
      </w:pPr>
    </w:p>
    <w:p w14:paraId="664E6335" w14:textId="77777777" w:rsidR="00C44790" w:rsidRPr="009653FC" w:rsidRDefault="00C44790" w:rsidP="00C44790">
      <w:pPr>
        <w:pStyle w:val="Prrafodelista"/>
        <w:numPr>
          <w:ilvl w:val="0"/>
          <w:numId w:val="27"/>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rPr>
        <w:t xml:space="preserve">Verificar la oferta y su componente económico, para así determinar si los precios tienen un componente extraño que no fue posible determinar al momento de realizar el Estudio del sector, en relación con los proveedores del bien, obra o servicio que se pretende contratar. </w:t>
      </w:r>
    </w:p>
    <w:p w14:paraId="6840C889" w14:textId="77777777" w:rsidR="00C44790" w:rsidRDefault="00C44790" w:rsidP="00C44790">
      <w:pPr>
        <w:pStyle w:val="Prrafodelista"/>
        <w:numPr>
          <w:ilvl w:val="0"/>
          <w:numId w:val="27"/>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rPr>
        <w:t xml:space="preserve">Comparar el valor de cada oferta con el costo estimado de la provisión del bien o servicio de acuerdo con el Estudio del Sector. La verificación de ofertas artificialmente bajas puede sustentarse en información adicional a la utilizada en el Estudio del Sector, como precios de fabricantes y otros factores económicos relevantes. </w:t>
      </w:r>
    </w:p>
    <w:p w14:paraId="185A1945" w14:textId="77777777" w:rsidR="00C44790" w:rsidRPr="009653FC" w:rsidRDefault="00C44790" w:rsidP="00C44790">
      <w:pPr>
        <w:pStyle w:val="Prrafodelista"/>
        <w:numPr>
          <w:ilvl w:val="0"/>
          <w:numId w:val="27"/>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lang w:val="es-CO"/>
        </w:rPr>
        <w:t>Solicitar explicaciones a los pr</w:t>
      </w:r>
      <w:r w:rsidRPr="009653FC">
        <w:rPr>
          <w:rFonts w:ascii="Verdana" w:eastAsia="Times New Roman" w:hAnsi="Verdana" w:cs="Arial"/>
          <w:sz w:val="21"/>
          <w:szCs w:val="21"/>
        </w:rPr>
        <w:t>oponentes cuyas ofertas sean me</w:t>
      </w:r>
      <w:r w:rsidRPr="009653FC">
        <w:rPr>
          <w:rFonts w:ascii="Verdana" w:eastAsia="Times New Roman" w:hAnsi="Verdana" w:cs="Arial"/>
          <w:sz w:val="21"/>
          <w:szCs w:val="21"/>
          <w:lang w:val="es-CO"/>
        </w:rPr>
        <w:t xml:space="preserve">nores en un 20%, o un mayor porcentaje, al costo total estimado por la Entidad Estatal (comparación absoluta, ver numeral 2.1.1). </w:t>
      </w:r>
    </w:p>
    <w:p w14:paraId="53883C50" w14:textId="77777777" w:rsidR="00C44790" w:rsidRPr="009653FC" w:rsidRDefault="00C44790" w:rsidP="00C44790">
      <w:pPr>
        <w:pStyle w:val="Prrafodelista"/>
        <w:numPr>
          <w:ilvl w:val="0"/>
          <w:numId w:val="27"/>
        </w:numPr>
        <w:spacing w:after="0" w:line="240" w:lineRule="auto"/>
        <w:ind w:right="709"/>
        <w:jc w:val="both"/>
        <w:rPr>
          <w:rFonts w:ascii="Verdana" w:eastAsia="Times New Roman" w:hAnsi="Verdana" w:cs="Arial"/>
          <w:sz w:val="21"/>
          <w:szCs w:val="21"/>
        </w:rPr>
      </w:pPr>
      <w:r w:rsidRPr="009653FC">
        <w:rPr>
          <w:rFonts w:ascii="Verdana" w:eastAsia="Times New Roman" w:hAnsi="Verdana" w:cs="Arial"/>
          <w:sz w:val="21"/>
          <w:szCs w:val="21"/>
          <w:lang w:val="es-CO"/>
        </w:rPr>
        <w:t>Analizar la información remitida por el proponente y considerar el rechazo de las ofertas que cumplan con alguna de las condiciones establecidas en el numeral 4.2 de la presente Guía</w:t>
      </w:r>
      <w:r>
        <w:rPr>
          <w:rStyle w:val="Refdenotaalpie"/>
          <w:rFonts w:ascii="Verdana" w:eastAsia="Times New Roman" w:hAnsi="Verdana" w:cs="Arial"/>
          <w:sz w:val="21"/>
          <w:szCs w:val="21"/>
          <w:lang w:val="es-CO"/>
        </w:rPr>
        <w:footnoteReference w:id="7"/>
      </w:r>
      <w:r w:rsidRPr="009653FC">
        <w:rPr>
          <w:rFonts w:ascii="Verdana" w:eastAsia="Times New Roman" w:hAnsi="Verdana" w:cs="Arial"/>
          <w:sz w:val="21"/>
          <w:szCs w:val="21"/>
          <w:lang w:val="es-CO"/>
        </w:rPr>
        <w:t xml:space="preserve">. </w:t>
      </w:r>
    </w:p>
    <w:p w14:paraId="2C7EB782" w14:textId="77777777" w:rsidR="00C44790" w:rsidRPr="001E5EA5" w:rsidRDefault="00C44790" w:rsidP="00C44790">
      <w:pPr>
        <w:spacing w:after="120" w:line="240" w:lineRule="auto"/>
        <w:ind w:firstLine="708"/>
        <w:jc w:val="both"/>
        <w:rPr>
          <w:rFonts w:ascii="Verdana" w:eastAsia="Times New Roman" w:hAnsi="Verdana" w:cs="Arial"/>
        </w:rPr>
      </w:pPr>
    </w:p>
    <w:p w14:paraId="1452C607" w14:textId="77777777" w:rsidR="00C44790" w:rsidRDefault="00C44790" w:rsidP="00C44790">
      <w:pPr>
        <w:spacing w:after="120" w:line="276" w:lineRule="auto"/>
        <w:ind w:firstLine="708"/>
        <w:jc w:val="both"/>
        <w:rPr>
          <w:rFonts w:ascii="Verdana" w:hAnsi="Verdana"/>
        </w:rPr>
      </w:pPr>
      <w:r w:rsidRPr="00527F01">
        <w:rPr>
          <w:rFonts w:ascii="Verdana" w:eastAsia="Times New Roman" w:hAnsi="Verdana" w:cs="Arial"/>
        </w:rPr>
        <w:t>En este aspecto, también se destaca la importancia de hacer un análisis cuidadoso de la sostenibilidad de las ofertas</w:t>
      </w:r>
      <w:r>
        <w:rPr>
          <w:rFonts w:ascii="Verdana" w:eastAsia="Times New Roman" w:hAnsi="Verdana" w:cs="Arial"/>
        </w:rPr>
        <w:t xml:space="preserve"> en dichos procesos de contratación</w:t>
      </w:r>
      <w:r w:rsidRPr="00527F01">
        <w:rPr>
          <w:rFonts w:ascii="Verdana" w:eastAsia="Times New Roman" w:hAnsi="Verdana" w:cs="Arial"/>
        </w:rPr>
        <w:t>. Ahora bien, en el evento en que los lances presentados en la audiencia del proceso de subasta inversa se evidencian que son precios artificialmente bajos, debe tener en cuenta lo siguiente: i) requerir al oferente con relación a los precios ofertados que parecen bajos, con el fin de que sustente las razones o motivos del valor; ii) a</w:t>
      </w:r>
      <w:r w:rsidRPr="00527F01">
        <w:rPr>
          <w:rFonts w:ascii="Verdana" w:hAnsi="Verdana"/>
        </w:rPr>
        <w:t>nalizar las explicaciones del oferente, para verificar si están sustentados en los valores ofrecidos y si son suficientes para ejecutar el contrato; iii) definir si continúa con la evaluación de la oferta, en el sentido de que la explicación demuestra la capacidad del proponente para cumplir adecuadamente con el contrato con los precios ofertados o, si por el contrario, rechaza la oferta porque no fue sustentada</w:t>
      </w:r>
      <w:r>
        <w:rPr>
          <w:rStyle w:val="Refdenotaalpie"/>
          <w:rFonts w:ascii="Verdana" w:hAnsi="Verdana"/>
        </w:rPr>
        <w:footnoteReference w:id="8"/>
      </w:r>
      <w:r w:rsidRPr="00527F01">
        <w:rPr>
          <w:rFonts w:ascii="Verdana" w:hAnsi="Verdana"/>
        </w:rPr>
        <w:t>. Esto debe realizarse al finalizar el evento de subasta, de acuerdo con el precio ofrecido al final de esta.</w:t>
      </w:r>
    </w:p>
    <w:bookmarkEnd w:id="4"/>
    <w:p w14:paraId="52B611DA" w14:textId="3976826A" w:rsidR="00C44790" w:rsidRDefault="00C44790" w:rsidP="00C44790">
      <w:pPr>
        <w:spacing w:after="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Ahora bien, en atención al problema jurídico planteado, e</w:t>
      </w:r>
      <w:r w:rsidRPr="00300B73">
        <w:rPr>
          <w:rFonts w:ascii="Verdana" w:eastAsia="Calibri" w:hAnsi="Verdana" w:cs="Arial"/>
          <w:bCs/>
          <w:color w:val="000000" w:themeColor="text1"/>
        </w:rPr>
        <w:t xml:space="preserve">l hecho de que un participante en la pre-cotización presente una oferta formal que esté más de un 20% por debajo del precio que él mismo precotizó o del promedio de mercado, </w:t>
      </w:r>
      <w:r>
        <w:rPr>
          <w:rFonts w:ascii="Verdana" w:eastAsia="Calibri" w:hAnsi="Verdana" w:cs="Arial"/>
          <w:bCs/>
          <w:color w:val="000000" w:themeColor="text1"/>
        </w:rPr>
        <w:t xml:space="preserve">debe evaluarse a la luz de la normatividad anteriormente transcrita con el fin de </w:t>
      </w:r>
      <w:r w:rsidRPr="00300B73">
        <w:rPr>
          <w:rFonts w:ascii="Verdana" w:eastAsia="Calibri" w:hAnsi="Verdana" w:cs="Arial"/>
          <w:bCs/>
          <w:color w:val="000000" w:themeColor="text1"/>
        </w:rPr>
        <w:t>asegurar que el precio propuesto sea suficiente para garantizar la correcta y sostenible ejecución del contrato, y no resulte en un riesgo para la entidad</w:t>
      </w:r>
      <w:r>
        <w:rPr>
          <w:rFonts w:ascii="Verdana" w:eastAsia="Calibri" w:hAnsi="Verdana" w:cs="Arial"/>
          <w:bCs/>
          <w:color w:val="000000" w:themeColor="text1"/>
        </w:rPr>
        <w:t>, por lo que corresponderá a l</w:t>
      </w:r>
      <w:r w:rsidRPr="00300B73">
        <w:rPr>
          <w:rFonts w:ascii="Verdana" w:eastAsia="Calibri" w:hAnsi="Verdana" w:cs="Arial"/>
          <w:bCs/>
          <w:color w:val="000000" w:themeColor="text1"/>
        </w:rPr>
        <w:t>a Entidad Estatal solicitar soporte y justificación detallada al proponente sobre la estructuración de ese precio tan bajo.</w:t>
      </w:r>
    </w:p>
    <w:p w14:paraId="4860F70F" w14:textId="5764F936" w:rsidR="00A70F7F" w:rsidRPr="00C7680D" w:rsidRDefault="00A70F7F" w:rsidP="00A70F7F">
      <w:pPr>
        <w:spacing w:before="120"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         Por último, se recomienda </w:t>
      </w:r>
      <w:r w:rsidRPr="00D56D80">
        <w:rPr>
          <w:rFonts w:ascii="Verdana" w:eastAsia="Calibri" w:hAnsi="Verdana" w:cs="Arial"/>
          <w:bCs/>
          <w:color w:val="000000" w:themeColor="text1"/>
        </w:rPr>
        <w:t>consultar la “Guía para el Manejo de Ofertas Artificialmente Bajas”</w:t>
      </w:r>
      <w:r>
        <w:rPr>
          <w:rStyle w:val="Refdenotaalpie"/>
          <w:rFonts w:ascii="Verdana" w:eastAsia="Calibri" w:hAnsi="Verdana" w:cs="Arial"/>
          <w:bCs/>
          <w:color w:val="000000" w:themeColor="text1"/>
        </w:rPr>
        <w:footnoteReference w:id="9"/>
      </w:r>
      <w:r w:rsidRPr="00D56D80">
        <w:rPr>
          <w:rFonts w:ascii="Verdana" w:eastAsia="Calibri" w:hAnsi="Verdana" w:cs="Arial"/>
          <w:bCs/>
          <w:color w:val="000000" w:themeColor="text1"/>
        </w:rPr>
        <w:t>, con el fin de orientar adecuadamente la actuación frente a ofertas que presenten precios inusualmente bajos o que los proponentes no justifiquen debidamente. Esta guía ofrece directrices claras sobre los pasos que debe seguir la entidad para requerir explicaciones, evaluar su suficiencia y adoptar decisiones motivadas, garantizando la transparencia, la selección objetiva y la protección de la competencia en los procesos de subasta inversa electrónica.</w:t>
      </w:r>
    </w:p>
    <w:p w14:paraId="1569DA98" w14:textId="7605A3D6" w:rsidR="00A64017" w:rsidRPr="004F7B86" w:rsidRDefault="00A64017" w:rsidP="00103B90">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388CDF6" w14:textId="77777777" w:rsidR="008E2432" w:rsidRDefault="008E2432" w:rsidP="00103B90">
      <w:pPr>
        <w:spacing w:after="0" w:line="276" w:lineRule="auto"/>
        <w:ind w:firstLine="708"/>
        <w:jc w:val="both"/>
        <w:rPr>
          <w:rFonts w:ascii="Verdana" w:eastAsia="Calibri" w:hAnsi="Verdana" w:cs="Times New Roman"/>
          <w:lang w:val="es-ES"/>
        </w:rPr>
      </w:pPr>
    </w:p>
    <w:p w14:paraId="414553D3" w14:textId="77777777" w:rsidR="00A97349" w:rsidRPr="008E2432" w:rsidRDefault="00A97349"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6742EB9C" w14:textId="77777777" w:rsidR="00C91AF4" w:rsidRDefault="00C91AF4" w:rsidP="00C91AF4">
            <w:pPr>
              <w:pStyle w:val="Prrafodelista"/>
              <w:widowControl w:val="0"/>
              <w:autoSpaceDE w:val="0"/>
              <w:autoSpaceDN w:val="0"/>
              <w:ind w:left="714"/>
              <w:jc w:val="both"/>
              <w:rPr>
                <w:rFonts w:ascii="Verdana" w:hAnsi="Verdana" w:cs="Arial"/>
              </w:rPr>
            </w:pPr>
          </w:p>
          <w:p w14:paraId="47088F1B" w14:textId="77777777" w:rsidR="00C44790" w:rsidRDefault="00C44790" w:rsidP="00C44790">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Ley 80 de 1993. Artículo 26</w:t>
            </w:r>
          </w:p>
          <w:p w14:paraId="2E66C71E" w14:textId="77777777" w:rsidR="00C44790" w:rsidRPr="005E5B81" w:rsidRDefault="00C44790" w:rsidP="00C44790">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Ley 1150 de 2007, artículo</w:t>
            </w:r>
            <w:r>
              <w:rPr>
                <w:rFonts w:ascii="Verdana" w:hAnsi="Verdana"/>
              </w:rPr>
              <w:t>s</w:t>
            </w:r>
            <w:r w:rsidRPr="005E5B81">
              <w:rPr>
                <w:rFonts w:ascii="Verdana" w:hAnsi="Verdana"/>
              </w:rPr>
              <w:t xml:space="preserve"> 4,</w:t>
            </w:r>
            <w:r>
              <w:rPr>
                <w:rFonts w:ascii="Verdana" w:hAnsi="Verdana"/>
              </w:rPr>
              <w:t xml:space="preserve"> 5 y 7. </w:t>
            </w:r>
          </w:p>
          <w:p w14:paraId="37F1883D" w14:textId="77777777" w:rsidR="00C44790" w:rsidRPr="00156132" w:rsidRDefault="00C44790" w:rsidP="00C44790">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Decreto 1082 de 2015, artículo 2.2.1.1.2.1.3. numeral 8 y 9 artículo 2.2.1.2.3.1.6 y 2.2.1.2.3.1.9., 2.2.1.2.3.1.13., 2.2.1.2.3.1.14</w:t>
            </w:r>
            <w:r>
              <w:rPr>
                <w:rFonts w:ascii="Verdana" w:hAnsi="Verdana"/>
              </w:rPr>
              <w:t xml:space="preserve"> 2.2.1.2.3.2.8. y 2.2.1.2.1.5.5, </w:t>
            </w:r>
            <w:r w:rsidRPr="00156132">
              <w:rPr>
                <w:rFonts w:ascii="Verdana" w:hAnsi="Verdana"/>
                <w:lang w:val="es-ES"/>
              </w:rPr>
              <w:t>2.2.1.1.1.6.1</w:t>
            </w:r>
            <w:r>
              <w:rPr>
                <w:rFonts w:ascii="Verdana" w:hAnsi="Verdana"/>
                <w:lang w:val="es-ES"/>
              </w:rPr>
              <w:t xml:space="preserve">, 2.2.1.1.2.2.3 y 2.2.1.1.2.2.4. </w:t>
            </w:r>
          </w:p>
          <w:p w14:paraId="48046ACB" w14:textId="77777777" w:rsidR="00C44790" w:rsidRPr="005E5B81" w:rsidRDefault="00C44790" w:rsidP="00C44790">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 xml:space="preserve">Código de Comercio, artículos 846, 847 y 1068 </w:t>
            </w:r>
          </w:p>
          <w:p w14:paraId="6C81D765" w14:textId="77777777" w:rsidR="00C44790" w:rsidRPr="005E5B81" w:rsidRDefault="00C44790" w:rsidP="00C44790">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CORTE CONSTITUCIONAL. Sentencia C-452 de 1999. M.P. Eduardo Cifuentes Muñoz.</w:t>
            </w:r>
          </w:p>
          <w:p w14:paraId="4C311BE0" w14:textId="77777777" w:rsidR="00C44790" w:rsidRPr="005E5B81" w:rsidRDefault="00C44790" w:rsidP="00C44790">
            <w:pPr>
              <w:widowControl w:val="0"/>
              <w:numPr>
                <w:ilvl w:val="0"/>
                <w:numId w:val="17"/>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rPr>
            </w:pPr>
            <w:r w:rsidRPr="005E5B81">
              <w:rPr>
                <w:rFonts w:ascii="Verdana" w:hAnsi="Verdana"/>
              </w:rPr>
              <w:t>CONSEJO DE ESTADO. Sección Tercera. Sentencia del 4 de junio de 2008. Exp. No. 17.783. C.P. Myriam Guerrero de Escobar.</w:t>
            </w:r>
          </w:p>
          <w:p w14:paraId="130746A8" w14:textId="77777777" w:rsidR="00C44790" w:rsidRPr="006E65CC" w:rsidRDefault="00C44790" w:rsidP="00C44790">
            <w:pPr>
              <w:pStyle w:val="Prrafodelista"/>
              <w:widowControl w:val="0"/>
              <w:autoSpaceDE w:val="0"/>
              <w:autoSpaceDN w:val="0"/>
              <w:ind w:left="714"/>
              <w:jc w:val="both"/>
              <w:rPr>
                <w:rFonts w:ascii="Verdana" w:hAnsi="Verdana" w:cs="Arial"/>
              </w:rPr>
            </w:pPr>
            <w:r w:rsidRPr="00156132">
              <w:rPr>
                <w:rFonts w:ascii="Verdana" w:hAnsi="Verdana"/>
              </w:rPr>
              <w:t xml:space="preserve">AGENCIA NACIONAL DE CONTRATACIÓN PÚBLICA –COLOMBIA COMPRA EFICIENTE. Guía para el manejo de ofertas artificialmente bajas en procesos de contratación. Disponible en línea: </w:t>
            </w:r>
            <w:hyperlink r:id="rId13" w:history="1">
              <w:r w:rsidRPr="00156132">
                <w:rPr>
                  <w:rStyle w:val="Hipervnculo"/>
                  <w:rFonts w:ascii="Verdana" w:hAnsi="Verdana"/>
                </w:rPr>
                <w:t>https://www.colombiacompra.gov.co/archivos/manual/guia-para-el-manejo-de-ofertas-artificialmente-bajas-en-procesos-de-contratacion-2</w:t>
              </w:r>
            </w:hyperlink>
            <w:r w:rsidRPr="00156132">
              <w:rPr>
                <w:rFonts w:ascii="Verdana" w:hAnsi="Verdana"/>
              </w:rPr>
              <w:t xml:space="preserve">. </w:t>
            </w:r>
            <w:r>
              <w:rPr>
                <w:rFonts w:ascii="Verdana" w:hAnsi="Verdana"/>
              </w:rPr>
              <w:t>2024.</w:t>
            </w:r>
          </w:p>
          <w:p w14:paraId="60CC6EC9" w14:textId="7684FF4C" w:rsidR="00A64017" w:rsidRPr="00332677" w:rsidRDefault="00A64017" w:rsidP="002A22D8">
            <w:pPr>
              <w:pStyle w:val="Prrafodelista"/>
              <w:widowControl w:val="0"/>
              <w:autoSpaceDE w:val="0"/>
              <w:autoSpaceDN w:val="0"/>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44A9929E" w:rsidR="00A64017" w:rsidRPr="002A22D8" w:rsidRDefault="00C44790" w:rsidP="00A64017">
      <w:pPr>
        <w:widowControl w:val="0"/>
        <w:autoSpaceDE w:val="0"/>
        <w:autoSpaceDN w:val="0"/>
        <w:spacing w:after="0" w:line="276" w:lineRule="auto"/>
        <w:jc w:val="both"/>
        <w:rPr>
          <w:rFonts w:ascii="Verdana" w:hAnsi="Verdana" w:cs="Arial"/>
          <w:bCs/>
          <w:shd w:val="clear" w:color="auto" w:fill="FFFFFF"/>
        </w:rPr>
      </w:pPr>
      <w:r w:rsidRPr="0094448B">
        <w:rPr>
          <w:rFonts w:ascii="Verdana" w:hAnsi="Verdana" w:cs="Arial"/>
          <w:bCs/>
          <w:shd w:val="clear" w:color="auto" w:fill="FFFFFF"/>
        </w:rPr>
        <w:t>La Agencia Nacional de Contratación Pública – Colombia Compra Eficiente ha expedido los siguientes conceptos</w:t>
      </w:r>
      <w:r>
        <w:rPr>
          <w:rFonts w:ascii="Verdana" w:hAnsi="Verdana" w:cs="Arial"/>
          <w:bCs/>
          <w:shd w:val="clear" w:color="auto" w:fill="FFFFFF"/>
        </w:rPr>
        <w:t xml:space="preserve"> sobre precios artificialmente bajos en subasta inversa:</w:t>
      </w:r>
      <w:r w:rsidRPr="0094448B">
        <w:rPr>
          <w:rFonts w:ascii="Verdana" w:hAnsi="Verdana" w:cs="Arial"/>
          <w:bCs/>
          <w:shd w:val="clear" w:color="auto" w:fill="FFFFFF"/>
        </w:rPr>
        <w:t xml:space="preserve"> </w:t>
      </w:r>
      <w:r w:rsidRPr="005E5B81">
        <w:rPr>
          <w:rFonts w:ascii="Verdana" w:hAnsi="Verdana" w:cs="Arial"/>
          <w:bCs/>
          <w:shd w:val="clear" w:color="auto" w:fill="FFFFFF"/>
          <w:lang w:val="es-ES"/>
        </w:rPr>
        <w:t xml:space="preserve">C–163 del 31 de marzo de 2020, C–200 del 14 de abril de 2020, C–767 del 7 de enero de 2021, C-205 del 7 de mayo de 2021, C-299 del 14 de mayo de 2022, C-484 de 2022, C-952 del 20 de enero de 2023, C-860 del 27 de diciembre de 2024, C-329 del 25 de abril de 2025, C-573 del 16 de junio de 2025, C-769 de 25 de julio de 2025, </w:t>
      </w:r>
      <w:r>
        <w:rPr>
          <w:rFonts w:ascii="Verdana" w:hAnsi="Verdana" w:cs="Arial"/>
          <w:bCs/>
          <w:shd w:val="clear" w:color="auto" w:fill="FFFFFF"/>
          <w:lang w:val="es-ES"/>
        </w:rPr>
        <w:t>C-1042 del 5 de septiembre de 2025, C-1069 del 12 de septiembre de 2025 y C-1299 del 20 de octubre de 2025</w:t>
      </w:r>
      <w:r>
        <w:rPr>
          <w:rFonts w:ascii="Verdana" w:hAnsi="Verdana" w:cs="Arial"/>
          <w:shd w:val="clear" w:color="auto" w:fill="FFFFFF"/>
        </w:rPr>
        <w:t xml:space="preserve">, </w:t>
      </w:r>
      <w:r w:rsidRPr="0027034B">
        <w:rPr>
          <w:rFonts w:ascii="Verdana" w:eastAsia="Calibri" w:hAnsi="Verdana" w:cs="Arial"/>
          <w:lang w:val="es-ES_tradnl" w:eastAsia="es-ES_tradnl"/>
        </w:rPr>
        <w:t>entre otros</w:t>
      </w:r>
      <w:r>
        <w:rPr>
          <w:rStyle w:val="normaltextrun"/>
          <w:rFonts w:ascii="Verdana" w:hAnsi="Verdana" w:cs="Arial"/>
          <w:shd w:val="clear" w:color="auto" w:fill="FFFFFF"/>
          <w:lang w:val="es-ES"/>
        </w:rPr>
        <w:t>.</w:t>
      </w:r>
      <w:r w:rsidR="0052066E">
        <w:rPr>
          <w:rStyle w:val="normaltextrun"/>
          <w:rFonts w:ascii="Verdana" w:hAnsi="Verdana" w:cs="Arial"/>
          <w:shd w:val="clear" w:color="auto" w:fill="FFFFFF"/>
          <w:lang w:val="es-ES"/>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FC0DC1D" w14:textId="5E5E8112" w:rsidR="00331CD0" w:rsidRDefault="007F4C17" w:rsidP="00A64017">
      <w:pPr>
        <w:spacing w:line="276" w:lineRule="auto"/>
        <w:jc w:val="center"/>
        <w:rPr>
          <w:noProof/>
        </w:rPr>
      </w:pPr>
      <w:r>
        <w:rPr>
          <w:noProof/>
        </w:rPr>
        <w:drawing>
          <wp:inline distT="0" distB="0" distL="0" distR="0" wp14:anchorId="53FEFD8A" wp14:editId="52EB6C55">
            <wp:extent cx="3563420" cy="1381125"/>
            <wp:effectExtent l="0" t="0" r="0" b="0"/>
            <wp:docPr id="145514271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80262" cy="1387653"/>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77777777" w:rsidR="00A64017" w:rsidRPr="007911EE" w:rsidRDefault="00A64017" w:rsidP="00A15B1F">
            <w:pPr>
              <w:contextualSpacing/>
              <w:rPr>
                <w:rFonts w:ascii="Verdana" w:hAnsi="Verdana"/>
                <w:sz w:val="16"/>
                <w:szCs w:val="16"/>
              </w:rPr>
            </w:pPr>
            <w:r w:rsidRPr="007911EE">
              <w:rPr>
                <w:rFonts w:ascii="Verdana" w:hAnsi="Verdana"/>
                <w:sz w:val="16"/>
                <w:szCs w:val="16"/>
              </w:rPr>
              <w:t xml:space="preserve">Nicolas Andrés Guzmán </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89F25CB" w14:textId="77777777" w:rsidR="001A0FB9" w:rsidRDefault="001A0FB9" w:rsidP="00A15B1F">
            <w:pPr>
              <w:spacing w:line="276" w:lineRule="auto"/>
              <w:contextualSpacing/>
              <w:jc w:val="both"/>
              <w:rPr>
                <w:rFonts w:ascii="Verdana" w:hAnsi="Verdana"/>
                <w:sz w:val="16"/>
                <w:szCs w:val="16"/>
              </w:rPr>
            </w:pPr>
            <w:r w:rsidRPr="001A0FB9">
              <w:rPr>
                <w:rFonts w:ascii="Verdana" w:hAnsi="Verdana"/>
                <w:sz w:val="16"/>
                <w:szCs w:val="16"/>
              </w:rPr>
              <w:t>Juan Carlos González</w:t>
            </w:r>
          </w:p>
          <w:p w14:paraId="72046261" w14:textId="45AC9363"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D4BC3" w14:textId="77777777" w:rsidR="00D4075C" w:rsidRDefault="00D4075C" w:rsidP="004A1847">
      <w:pPr>
        <w:spacing w:after="0" w:line="240" w:lineRule="auto"/>
      </w:pPr>
      <w:r>
        <w:separator/>
      </w:r>
    </w:p>
  </w:endnote>
  <w:endnote w:type="continuationSeparator" w:id="0">
    <w:p w14:paraId="0E28D699" w14:textId="77777777" w:rsidR="00D4075C" w:rsidRDefault="00D4075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D80A4" w14:textId="77777777" w:rsidR="00D4075C" w:rsidRDefault="00D4075C" w:rsidP="004A1847">
      <w:pPr>
        <w:spacing w:after="0" w:line="240" w:lineRule="auto"/>
      </w:pPr>
      <w:r>
        <w:separator/>
      </w:r>
    </w:p>
  </w:footnote>
  <w:footnote w:type="continuationSeparator" w:id="0">
    <w:p w14:paraId="75E3CB66" w14:textId="77777777" w:rsidR="00D4075C" w:rsidRDefault="00D4075C" w:rsidP="004A1847">
      <w:pPr>
        <w:spacing w:after="0" w:line="240" w:lineRule="auto"/>
      </w:pPr>
      <w:r>
        <w:continuationSeparator/>
      </w:r>
    </w:p>
  </w:footnote>
  <w:footnote w:id="1">
    <w:p w14:paraId="2A02CA94" w14:textId="77777777" w:rsidR="00300B73" w:rsidRPr="00D56D80" w:rsidRDefault="00300B73" w:rsidP="00300B73">
      <w:pPr>
        <w:pStyle w:val="Textonotapie"/>
        <w:jc w:val="both"/>
        <w:rPr>
          <w:rFonts w:ascii="Verdana" w:hAnsi="Verdana"/>
          <w:sz w:val="16"/>
          <w:szCs w:val="16"/>
          <w:lang w:val="es-ES"/>
        </w:rPr>
      </w:pPr>
      <w:r w:rsidRPr="00D56D80">
        <w:rPr>
          <w:rStyle w:val="Refdenotaalpie"/>
          <w:rFonts w:ascii="Verdana" w:hAnsi="Verdana"/>
          <w:sz w:val="16"/>
          <w:szCs w:val="16"/>
        </w:rPr>
        <w:footnoteRef/>
      </w:r>
      <w:r w:rsidRPr="00D56D80">
        <w:rPr>
          <w:rFonts w:ascii="Verdana" w:hAnsi="Verdana"/>
          <w:sz w:val="16"/>
          <w:szCs w:val="16"/>
        </w:rPr>
        <w:t xml:space="preserve"> https://www.colombiacompra.gov.co/archivos/manual/guia-para-el-manejo-de-ofertas-artificialmente-bajas-en-procesos-de-contratacion-2</w:t>
      </w:r>
    </w:p>
  </w:footnote>
  <w:footnote w:id="2">
    <w:p w14:paraId="1EEF416E" w14:textId="36A0E71F" w:rsidR="00C26C85" w:rsidRPr="00C26C85" w:rsidRDefault="00C26C85">
      <w:pPr>
        <w:pStyle w:val="Textonotapie"/>
        <w:rPr>
          <w:lang w:val="es-ES"/>
        </w:rPr>
      </w:pPr>
      <w:r>
        <w:rPr>
          <w:rStyle w:val="Refdenotaalpie"/>
        </w:rPr>
        <w:footnoteRef/>
      </w:r>
      <w:r>
        <w:t xml:space="preserve"> </w:t>
      </w:r>
      <w:r w:rsidRPr="00D56D80">
        <w:rPr>
          <w:rFonts w:ascii="Verdana" w:hAnsi="Verdana"/>
          <w:sz w:val="16"/>
          <w:szCs w:val="16"/>
        </w:rPr>
        <w:t>https://www.colombiacompra.gov.co/archivos/manual/guia-para-el-manejo-de-ofertas-artificialmente-bajas-en-procesos-de-contratacion-2</w:t>
      </w:r>
    </w:p>
  </w:footnote>
  <w:footnote w:id="3">
    <w:p w14:paraId="474A09DF" w14:textId="77777777" w:rsidR="00C44790" w:rsidRPr="00666BAC" w:rsidRDefault="00C44790" w:rsidP="00C44790">
      <w:pPr>
        <w:spacing w:after="0" w:line="240" w:lineRule="auto"/>
        <w:ind w:firstLine="709"/>
        <w:jc w:val="both"/>
        <w:rPr>
          <w:rFonts w:ascii="Verdana" w:hAnsi="Verdana"/>
          <w:sz w:val="16"/>
          <w:szCs w:val="16"/>
        </w:rPr>
      </w:pPr>
      <w:r w:rsidRPr="00666BAC">
        <w:rPr>
          <w:rStyle w:val="Refdenotaalpie"/>
          <w:rFonts w:ascii="Verdana" w:hAnsi="Verdana"/>
          <w:sz w:val="16"/>
          <w:szCs w:val="16"/>
        </w:rPr>
        <w:footnoteRef/>
      </w:r>
      <w:r w:rsidRPr="00666BAC">
        <w:rPr>
          <w:rFonts w:ascii="Verdana" w:hAnsi="Verdana"/>
          <w:sz w:val="16"/>
          <w:szCs w:val="16"/>
        </w:rPr>
        <w:t xml:space="preserve"> Ley 80 de 1993: “Artículo 26. Del Principio de Responsabilidad. En virtud de este principio:</w:t>
      </w:r>
    </w:p>
    <w:p w14:paraId="7E6998C2" w14:textId="77777777" w:rsidR="00C44790" w:rsidRPr="00666BAC" w:rsidRDefault="00C44790" w:rsidP="00C44790">
      <w:pPr>
        <w:spacing w:after="0" w:line="240" w:lineRule="auto"/>
        <w:ind w:firstLine="709"/>
        <w:jc w:val="both"/>
        <w:rPr>
          <w:rFonts w:ascii="Verdana" w:hAnsi="Verdana"/>
          <w:sz w:val="16"/>
          <w:szCs w:val="16"/>
        </w:rPr>
      </w:pPr>
      <w:r w:rsidRPr="00666BAC">
        <w:rPr>
          <w:rFonts w:ascii="Verdana" w:hAnsi="Verdana"/>
          <w:sz w:val="16"/>
          <w:szCs w:val="16"/>
        </w:rPr>
        <w:t>[…]</w:t>
      </w:r>
    </w:p>
    <w:p w14:paraId="34164822" w14:textId="77777777" w:rsidR="00C44790" w:rsidRPr="00666BAC" w:rsidRDefault="00C44790" w:rsidP="00C44790">
      <w:pPr>
        <w:spacing w:after="0" w:line="240" w:lineRule="auto"/>
        <w:ind w:firstLine="709"/>
        <w:jc w:val="both"/>
        <w:rPr>
          <w:rFonts w:ascii="Verdana" w:hAnsi="Verdana"/>
          <w:sz w:val="16"/>
          <w:szCs w:val="16"/>
        </w:rPr>
      </w:pPr>
      <w:r w:rsidRPr="00666BAC">
        <w:rPr>
          <w:rFonts w:ascii="Verdana" w:hAnsi="Verdana"/>
          <w:sz w:val="16"/>
          <w:szCs w:val="16"/>
        </w:rPr>
        <w:t>6o. Los contratistas responderán cuando formulen propuestas en las que se fijen condiciones económicas y de contratación artificialmente bajas con el propósito de obtener la adjudicación del contrato”.</w:t>
      </w:r>
    </w:p>
  </w:footnote>
  <w:footnote w:id="4">
    <w:p w14:paraId="55DA0B5B" w14:textId="77777777" w:rsidR="00C44790" w:rsidRPr="00666BAC" w:rsidRDefault="00C44790" w:rsidP="00C44790">
      <w:pPr>
        <w:pStyle w:val="Textonotapie"/>
        <w:ind w:firstLine="709"/>
        <w:jc w:val="both"/>
        <w:rPr>
          <w:rFonts w:ascii="Verdana" w:hAnsi="Verdana" w:cs="Arial"/>
          <w:sz w:val="16"/>
          <w:szCs w:val="16"/>
        </w:rPr>
      </w:pPr>
      <w:r w:rsidRPr="00666BAC">
        <w:rPr>
          <w:rStyle w:val="Refdenotaalpie"/>
          <w:rFonts w:ascii="Verdana" w:hAnsi="Verdana" w:cs="Arial"/>
          <w:sz w:val="16"/>
          <w:szCs w:val="16"/>
        </w:rPr>
        <w:footnoteRef/>
      </w:r>
      <w:r w:rsidRPr="00666BAC">
        <w:rPr>
          <w:rFonts w:ascii="Verdana" w:hAnsi="Verdana" w:cs="Arial"/>
          <w:sz w:val="16"/>
          <w:szCs w:val="16"/>
        </w:rPr>
        <w:t xml:space="preserve"> Decreto 1082 de 2015: </w:t>
      </w:r>
      <w:r w:rsidRPr="00666BAC">
        <w:rPr>
          <w:rFonts w:ascii="Verdana" w:eastAsia="Times New Roman" w:hAnsi="Verdana" w:cs="Arial"/>
          <w:sz w:val="16"/>
          <w:szCs w:val="16"/>
          <w:lang w:val="es-CO"/>
        </w:rPr>
        <w:t>“</w:t>
      </w:r>
      <w:r w:rsidRPr="00666BAC">
        <w:rPr>
          <w:rFonts w:ascii="Verdana" w:hAnsi="Verdana" w:cs="Arial"/>
          <w:sz w:val="16"/>
          <w:szCs w:val="16"/>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14:paraId="28F27515" w14:textId="77777777" w:rsidR="00C44790" w:rsidRPr="00666BAC" w:rsidRDefault="00C44790" w:rsidP="00C44790">
      <w:pPr>
        <w:pStyle w:val="Textonotapie"/>
        <w:ind w:firstLine="709"/>
        <w:jc w:val="both"/>
        <w:rPr>
          <w:rFonts w:ascii="Verdana" w:hAnsi="Verdana" w:cs="Arial"/>
          <w:sz w:val="16"/>
          <w:szCs w:val="16"/>
        </w:rPr>
      </w:pPr>
      <w:r w:rsidRPr="00666BAC">
        <w:rPr>
          <w:rFonts w:ascii="Verdana" w:hAnsi="Verdana" w:cs="Arial"/>
          <w:sz w:val="16"/>
          <w:szCs w:val="16"/>
        </w:rPr>
        <w:t>Los miembros del comité evaluador están sujetos al régimen de inhabilidades e incompatibilidades y conflicto de interés previstos en la Constitución y la ley.</w:t>
      </w:r>
    </w:p>
    <w:p w14:paraId="788263FE" w14:textId="77777777" w:rsidR="00C44790" w:rsidRPr="00666BAC" w:rsidRDefault="00C44790" w:rsidP="00C44790">
      <w:pPr>
        <w:pStyle w:val="Textonotapie"/>
        <w:ind w:firstLine="709"/>
        <w:jc w:val="both"/>
        <w:rPr>
          <w:rFonts w:ascii="Verdana" w:hAnsi="Verdana" w:cs="Arial"/>
          <w:sz w:val="16"/>
          <w:szCs w:val="16"/>
          <w:lang w:val="es-ES"/>
        </w:rPr>
      </w:pPr>
      <w:r w:rsidRPr="00666BAC">
        <w:rPr>
          <w:rFonts w:ascii="Verdana" w:hAnsi="Verdana" w:cs="Arial"/>
          <w:sz w:val="16"/>
          <w:szCs w:val="16"/>
        </w:rPr>
        <w:t>La verificación y la evaluación de las ofertas para la mínima cuantía será adelantada por quien sea designado por el ordenador del gasto sin que se requiera un comité plural”.</w:t>
      </w:r>
    </w:p>
  </w:footnote>
  <w:footnote w:id="5">
    <w:p w14:paraId="3D42FE69" w14:textId="77777777" w:rsidR="00C44790" w:rsidRPr="00666BAC" w:rsidRDefault="00C44790" w:rsidP="00C44790">
      <w:pPr>
        <w:pStyle w:val="Textonotapie"/>
        <w:ind w:firstLine="708"/>
        <w:jc w:val="both"/>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AGENCIA NACIONAL DE CONTRATACIÓN PÚBLICA –COLOMBIA COMPRA EFICIENTE. Guía para el manejo de ofertas artificialmente bajas en procesos de contratación. Disponible en línea: </w:t>
      </w:r>
      <w:hyperlink r:id="rId1" w:history="1">
        <w:r w:rsidRPr="00666BAC">
          <w:rPr>
            <w:rStyle w:val="Hipervnculo"/>
            <w:rFonts w:ascii="Verdana" w:hAnsi="Verdana"/>
            <w:sz w:val="16"/>
            <w:szCs w:val="16"/>
          </w:rPr>
          <w:t>https://www.colombiacompra.gov.co/archivos/manual/guia-para-el-manejo-de-ofertas-artificialmente-bajas-en-procesos-de-contratacion-2</w:t>
        </w:r>
      </w:hyperlink>
      <w:r w:rsidRPr="00666BAC">
        <w:rPr>
          <w:rFonts w:ascii="Verdana" w:hAnsi="Verdana"/>
          <w:sz w:val="16"/>
          <w:szCs w:val="16"/>
        </w:rPr>
        <w:t xml:space="preserve">. 2024. p.14. </w:t>
      </w:r>
    </w:p>
  </w:footnote>
  <w:footnote w:id="6">
    <w:p w14:paraId="4E26D4CA" w14:textId="77777777" w:rsidR="00C44790" w:rsidRPr="00666BAC" w:rsidRDefault="00C44790" w:rsidP="00C44790">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14. </w:t>
      </w:r>
    </w:p>
  </w:footnote>
  <w:footnote w:id="7">
    <w:p w14:paraId="42BE30A2" w14:textId="77777777" w:rsidR="00C44790" w:rsidRPr="00666BAC" w:rsidRDefault="00C44790" w:rsidP="00C44790">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Ibídem., p. 15. </w:t>
      </w:r>
    </w:p>
  </w:footnote>
  <w:footnote w:id="8">
    <w:p w14:paraId="155C9C3C" w14:textId="77777777" w:rsidR="00C44790" w:rsidRPr="00666BAC" w:rsidRDefault="00C44790" w:rsidP="00C44790">
      <w:pPr>
        <w:pStyle w:val="Textonotapie"/>
        <w:ind w:firstLine="708"/>
        <w:rPr>
          <w:rFonts w:ascii="Verdana" w:hAnsi="Verdana"/>
          <w:sz w:val="16"/>
          <w:szCs w:val="16"/>
          <w:lang w:val="es-ES"/>
        </w:rPr>
      </w:pPr>
      <w:r w:rsidRPr="00666BAC">
        <w:rPr>
          <w:rStyle w:val="Refdenotaalpie"/>
          <w:rFonts w:ascii="Verdana" w:hAnsi="Verdana"/>
          <w:sz w:val="16"/>
          <w:szCs w:val="16"/>
        </w:rPr>
        <w:footnoteRef/>
      </w:r>
      <w:r w:rsidRPr="00666BAC">
        <w:rPr>
          <w:rFonts w:ascii="Verdana" w:hAnsi="Verdana"/>
          <w:sz w:val="16"/>
          <w:szCs w:val="16"/>
        </w:rPr>
        <w:t xml:space="preserve"> Ibidem., p. 16. </w:t>
      </w:r>
    </w:p>
  </w:footnote>
  <w:footnote w:id="9">
    <w:p w14:paraId="4AF2E273" w14:textId="77777777" w:rsidR="00A70F7F" w:rsidRPr="00C26C85" w:rsidRDefault="00A70F7F" w:rsidP="00A70F7F">
      <w:pPr>
        <w:pStyle w:val="Textonotapie"/>
        <w:rPr>
          <w:lang w:val="es-ES"/>
        </w:rPr>
      </w:pPr>
      <w:r>
        <w:rPr>
          <w:rStyle w:val="Refdenotaalpie"/>
        </w:rPr>
        <w:footnoteRef/>
      </w:r>
      <w:r>
        <w:t xml:space="preserve"> </w:t>
      </w:r>
      <w:r w:rsidRPr="00D56D80">
        <w:rPr>
          <w:rFonts w:ascii="Verdana" w:hAnsi="Verdana"/>
          <w:sz w:val="16"/>
          <w:szCs w:val="16"/>
        </w:rPr>
        <w:t>https://www.colombiacompra.gov.co/archivos/manual/guia-para-el-manejo-de-ofertas-artificialmente-bajas-en-procesos-de-contratacion-2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1C4BDA"/>
    <w:multiLevelType w:val="hybridMultilevel"/>
    <w:tmpl w:val="5C2C9860"/>
    <w:lvl w:ilvl="0" w:tplc="9DB47134">
      <w:start w:val="1"/>
      <w:numFmt w:val="lowerRoman"/>
      <w:lvlText w:val="%1."/>
      <w:lvlJc w:val="left"/>
      <w:pPr>
        <w:ind w:left="1500" w:hanging="720"/>
      </w:pPr>
      <w:rPr>
        <w:rFonts w:hint="default"/>
      </w:r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4" w15:restartNumberingAfterBreak="0">
    <w:nsid w:val="0D8D0CA4"/>
    <w:multiLevelType w:val="hybridMultilevel"/>
    <w:tmpl w:val="BE9AA63E"/>
    <w:lvl w:ilvl="0" w:tplc="5C964C4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4AE0652"/>
    <w:multiLevelType w:val="hybridMultilevel"/>
    <w:tmpl w:val="CD6656B8"/>
    <w:lvl w:ilvl="0" w:tplc="C21EA71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513A68DC"/>
    <w:multiLevelType w:val="hybridMultilevel"/>
    <w:tmpl w:val="1B4C7434"/>
    <w:lvl w:ilvl="0" w:tplc="781E9986">
      <w:start w:val="1"/>
      <w:numFmt w:val="lowerRoman"/>
      <w:lvlText w:val="%1."/>
      <w:lvlJc w:val="left"/>
      <w:pPr>
        <w:ind w:left="1185" w:hanging="720"/>
      </w:pPr>
      <w:rPr>
        <w:rFonts w:hint="default"/>
      </w:rPr>
    </w:lvl>
    <w:lvl w:ilvl="1" w:tplc="240A0019" w:tentative="1">
      <w:start w:val="1"/>
      <w:numFmt w:val="lowerLetter"/>
      <w:lvlText w:val="%2."/>
      <w:lvlJc w:val="left"/>
      <w:pPr>
        <w:ind w:left="1545" w:hanging="360"/>
      </w:pPr>
    </w:lvl>
    <w:lvl w:ilvl="2" w:tplc="240A001B" w:tentative="1">
      <w:start w:val="1"/>
      <w:numFmt w:val="lowerRoman"/>
      <w:lvlText w:val="%3."/>
      <w:lvlJc w:val="right"/>
      <w:pPr>
        <w:ind w:left="2265" w:hanging="180"/>
      </w:pPr>
    </w:lvl>
    <w:lvl w:ilvl="3" w:tplc="240A000F" w:tentative="1">
      <w:start w:val="1"/>
      <w:numFmt w:val="decimal"/>
      <w:lvlText w:val="%4."/>
      <w:lvlJc w:val="left"/>
      <w:pPr>
        <w:ind w:left="2985" w:hanging="360"/>
      </w:pPr>
    </w:lvl>
    <w:lvl w:ilvl="4" w:tplc="240A0019" w:tentative="1">
      <w:start w:val="1"/>
      <w:numFmt w:val="lowerLetter"/>
      <w:lvlText w:val="%5."/>
      <w:lvlJc w:val="left"/>
      <w:pPr>
        <w:ind w:left="3705" w:hanging="360"/>
      </w:pPr>
    </w:lvl>
    <w:lvl w:ilvl="5" w:tplc="240A001B" w:tentative="1">
      <w:start w:val="1"/>
      <w:numFmt w:val="lowerRoman"/>
      <w:lvlText w:val="%6."/>
      <w:lvlJc w:val="right"/>
      <w:pPr>
        <w:ind w:left="4425" w:hanging="180"/>
      </w:pPr>
    </w:lvl>
    <w:lvl w:ilvl="6" w:tplc="240A000F" w:tentative="1">
      <w:start w:val="1"/>
      <w:numFmt w:val="decimal"/>
      <w:lvlText w:val="%7."/>
      <w:lvlJc w:val="left"/>
      <w:pPr>
        <w:ind w:left="5145" w:hanging="360"/>
      </w:pPr>
    </w:lvl>
    <w:lvl w:ilvl="7" w:tplc="240A0019" w:tentative="1">
      <w:start w:val="1"/>
      <w:numFmt w:val="lowerLetter"/>
      <w:lvlText w:val="%8."/>
      <w:lvlJc w:val="left"/>
      <w:pPr>
        <w:ind w:left="5865" w:hanging="360"/>
      </w:pPr>
    </w:lvl>
    <w:lvl w:ilvl="8" w:tplc="240A001B" w:tentative="1">
      <w:start w:val="1"/>
      <w:numFmt w:val="lowerRoman"/>
      <w:lvlText w:val="%9."/>
      <w:lvlJc w:val="right"/>
      <w:pPr>
        <w:ind w:left="6585" w:hanging="180"/>
      </w:pPr>
    </w:lvl>
  </w:abstractNum>
  <w:abstractNum w:abstractNumId="17" w15:restartNumberingAfterBreak="0">
    <w:nsid w:val="5C0276A9"/>
    <w:multiLevelType w:val="hybridMultilevel"/>
    <w:tmpl w:val="6484BC98"/>
    <w:lvl w:ilvl="0" w:tplc="0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9" w15:restartNumberingAfterBreak="0">
    <w:nsid w:val="66A21AA3"/>
    <w:multiLevelType w:val="hybridMultilevel"/>
    <w:tmpl w:val="3A24D6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92D2CE8"/>
    <w:multiLevelType w:val="hybridMultilevel"/>
    <w:tmpl w:val="6B809EC6"/>
    <w:lvl w:ilvl="0" w:tplc="6324F38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1"/>
  </w:num>
  <w:num w:numId="2" w16cid:durableId="19822139">
    <w:abstractNumId w:val="2"/>
  </w:num>
  <w:num w:numId="3" w16cid:durableId="876742304">
    <w:abstractNumId w:val="9"/>
  </w:num>
  <w:num w:numId="4" w16cid:durableId="24518640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3"/>
  </w:num>
  <w:num w:numId="7" w16cid:durableId="1946422806">
    <w:abstractNumId w:val="10"/>
  </w:num>
  <w:num w:numId="8" w16cid:durableId="152644682">
    <w:abstractNumId w:val="22"/>
  </w:num>
  <w:num w:numId="9" w16cid:durableId="1317221377">
    <w:abstractNumId w:val="13"/>
  </w:num>
  <w:num w:numId="10" w16cid:durableId="1471245386">
    <w:abstractNumId w:val="21"/>
  </w:num>
  <w:num w:numId="11" w16cid:durableId="289172385">
    <w:abstractNumId w:val="14"/>
  </w:num>
  <w:num w:numId="12" w16cid:durableId="1470781324">
    <w:abstractNumId w:val="1"/>
  </w:num>
  <w:num w:numId="13" w16cid:durableId="1512908409">
    <w:abstractNumId w:val="8"/>
  </w:num>
  <w:num w:numId="14" w16cid:durableId="895897244">
    <w:abstractNumId w:val="24"/>
  </w:num>
  <w:num w:numId="15" w16cid:durableId="390349800">
    <w:abstractNumId w:val="18"/>
  </w:num>
  <w:num w:numId="16" w16cid:durableId="1380713882">
    <w:abstractNumId w:val="0"/>
  </w:num>
  <w:num w:numId="17" w16cid:durableId="691802391">
    <w:abstractNumId w:val="15"/>
  </w:num>
  <w:num w:numId="18" w16cid:durableId="1290623316">
    <w:abstractNumId w:val="5"/>
  </w:num>
  <w:num w:numId="19" w16cid:durableId="562327327">
    <w:abstractNumId w:val="12"/>
  </w:num>
  <w:num w:numId="20" w16cid:durableId="1203205605">
    <w:abstractNumId w:val="7"/>
  </w:num>
  <w:num w:numId="21" w16cid:durableId="878511277">
    <w:abstractNumId w:val="19"/>
  </w:num>
  <w:num w:numId="22" w16cid:durableId="1469083389">
    <w:abstractNumId w:val="4"/>
  </w:num>
  <w:num w:numId="23" w16cid:durableId="1082021154">
    <w:abstractNumId w:val="3"/>
  </w:num>
  <w:num w:numId="24" w16cid:durableId="2118594490">
    <w:abstractNumId w:val="20"/>
  </w:num>
  <w:num w:numId="25" w16cid:durableId="915241207">
    <w:abstractNumId w:val="6"/>
  </w:num>
  <w:num w:numId="26" w16cid:durableId="299651578">
    <w:abstractNumId w:val="16"/>
  </w:num>
  <w:num w:numId="27" w16cid:durableId="2881235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32396"/>
    <w:rsid w:val="00046945"/>
    <w:rsid w:val="00046C11"/>
    <w:rsid w:val="00061B2A"/>
    <w:rsid w:val="00082362"/>
    <w:rsid w:val="0008627A"/>
    <w:rsid w:val="000A683E"/>
    <w:rsid w:val="000B19B9"/>
    <w:rsid w:val="000B4FA5"/>
    <w:rsid w:val="000B5583"/>
    <w:rsid w:val="000B6B58"/>
    <w:rsid w:val="000D0334"/>
    <w:rsid w:val="000F2222"/>
    <w:rsid w:val="000F551E"/>
    <w:rsid w:val="000F6486"/>
    <w:rsid w:val="00103B90"/>
    <w:rsid w:val="00112C6F"/>
    <w:rsid w:val="00125105"/>
    <w:rsid w:val="00127233"/>
    <w:rsid w:val="0013630D"/>
    <w:rsid w:val="001511A0"/>
    <w:rsid w:val="00194937"/>
    <w:rsid w:val="001A0FB9"/>
    <w:rsid w:val="001B322D"/>
    <w:rsid w:val="001D1756"/>
    <w:rsid w:val="001E4177"/>
    <w:rsid w:val="001F663F"/>
    <w:rsid w:val="001F7DC6"/>
    <w:rsid w:val="00203306"/>
    <w:rsid w:val="00203E0B"/>
    <w:rsid w:val="00205479"/>
    <w:rsid w:val="00215206"/>
    <w:rsid w:val="002316DB"/>
    <w:rsid w:val="00235E53"/>
    <w:rsid w:val="00240FC9"/>
    <w:rsid w:val="002421BB"/>
    <w:rsid w:val="00242FED"/>
    <w:rsid w:val="00254A2A"/>
    <w:rsid w:val="0025796E"/>
    <w:rsid w:val="002707A2"/>
    <w:rsid w:val="00274CA6"/>
    <w:rsid w:val="00282B85"/>
    <w:rsid w:val="002951A0"/>
    <w:rsid w:val="002962BC"/>
    <w:rsid w:val="002A093D"/>
    <w:rsid w:val="002A0DD0"/>
    <w:rsid w:val="002A128A"/>
    <w:rsid w:val="002A22D8"/>
    <w:rsid w:val="002A49AC"/>
    <w:rsid w:val="002A64FD"/>
    <w:rsid w:val="002A7DD8"/>
    <w:rsid w:val="002C0393"/>
    <w:rsid w:val="002C1AD5"/>
    <w:rsid w:val="002C7A84"/>
    <w:rsid w:val="002E4FD9"/>
    <w:rsid w:val="00300B73"/>
    <w:rsid w:val="00302C65"/>
    <w:rsid w:val="00310DA4"/>
    <w:rsid w:val="00322A85"/>
    <w:rsid w:val="00323054"/>
    <w:rsid w:val="00324168"/>
    <w:rsid w:val="00324E0B"/>
    <w:rsid w:val="00331CD0"/>
    <w:rsid w:val="00342217"/>
    <w:rsid w:val="003448F4"/>
    <w:rsid w:val="00361698"/>
    <w:rsid w:val="003639A5"/>
    <w:rsid w:val="00374F5E"/>
    <w:rsid w:val="00377E3E"/>
    <w:rsid w:val="00380918"/>
    <w:rsid w:val="003A2E2D"/>
    <w:rsid w:val="003A779E"/>
    <w:rsid w:val="003D0F4D"/>
    <w:rsid w:val="003D5B0D"/>
    <w:rsid w:val="003E0499"/>
    <w:rsid w:val="003E2F6B"/>
    <w:rsid w:val="003F3941"/>
    <w:rsid w:val="00406575"/>
    <w:rsid w:val="00407663"/>
    <w:rsid w:val="004138FA"/>
    <w:rsid w:val="00414C74"/>
    <w:rsid w:val="004200BD"/>
    <w:rsid w:val="0042722E"/>
    <w:rsid w:val="0043740D"/>
    <w:rsid w:val="0044528D"/>
    <w:rsid w:val="00487F18"/>
    <w:rsid w:val="0049089A"/>
    <w:rsid w:val="00493AF3"/>
    <w:rsid w:val="004A1847"/>
    <w:rsid w:val="004A305D"/>
    <w:rsid w:val="004B50C2"/>
    <w:rsid w:val="004C63BA"/>
    <w:rsid w:val="004D2AAA"/>
    <w:rsid w:val="004F21C4"/>
    <w:rsid w:val="004F685F"/>
    <w:rsid w:val="00500848"/>
    <w:rsid w:val="00510883"/>
    <w:rsid w:val="0052066E"/>
    <w:rsid w:val="005448DE"/>
    <w:rsid w:val="005566E8"/>
    <w:rsid w:val="00567040"/>
    <w:rsid w:val="0057166B"/>
    <w:rsid w:val="00574867"/>
    <w:rsid w:val="005806A6"/>
    <w:rsid w:val="00591460"/>
    <w:rsid w:val="005B3816"/>
    <w:rsid w:val="005B3FB2"/>
    <w:rsid w:val="005B65F1"/>
    <w:rsid w:val="005C3777"/>
    <w:rsid w:val="005C5CDC"/>
    <w:rsid w:val="005C7DAB"/>
    <w:rsid w:val="005D476C"/>
    <w:rsid w:val="005F7D4D"/>
    <w:rsid w:val="0061329B"/>
    <w:rsid w:val="006219F8"/>
    <w:rsid w:val="00631045"/>
    <w:rsid w:val="00637BBF"/>
    <w:rsid w:val="00665D70"/>
    <w:rsid w:val="00675FED"/>
    <w:rsid w:val="0068074B"/>
    <w:rsid w:val="006900D9"/>
    <w:rsid w:val="006905C0"/>
    <w:rsid w:val="006923C0"/>
    <w:rsid w:val="006B2C02"/>
    <w:rsid w:val="006C4D38"/>
    <w:rsid w:val="006D7121"/>
    <w:rsid w:val="00706C16"/>
    <w:rsid w:val="00722F82"/>
    <w:rsid w:val="0072552A"/>
    <w:rsid w:val="0073141C"/>
    <w:rsid w:val="00740D46"/>
    <w:rsid w:val="00756841"/>
    <w:rsid w:val="00763E4A"/>
    <w:rsid w:val="007649AB"/>
    <w:rsid w:val="00771D0C"/>
    <w:rsid w:val="007733E9"/>
    <w:rsid w:val="00782CD7"/>
    <w:rsid w:val="007833AC"/>
    <w:rsid w:val="00783E27"/>
    <w:rsid w:val="007B268C"/>
    <w:rsid w:val="007B7171"/>
    <w:rsid w:val="007C0C0F"/>
    <w:rsid w:val="007C3DC2"/>
    <w:rsid w:val="007E5497"/>
    <w:rsid w:val="007F4C17"/>
    <w:rsid w:val="007F7470"/>
    <w:rsid w:val="00806F5F"/>
    <w:rsid w:val="00820278"/>
    <w:rsid w:val="00826A46"/>
    <w:rsid w:val="00836334"/>
    <w:rsid w:val="00847C37"/>
    <w:rsid w:val="00853C28"/>
    <w:rsid w:val="00862660"/>
    <w:rsid w:val="008638AA"/>
    <w:rsid w:val="00867F95"/>
    <w:rsid w:val="008703CB"/>
    <w:rsid w:val="008843B6"/>
    <w:rsid w:val="00891928"/>
    <w:rsid w:val="008A30DF"/>
    <w:rsid w:val="008A446D"/>
    <w:rsid w:val="008B22D4"/>
    <w:rsid w:val="008B5BD4"/>
    <w:rsid w:val="008C5ABE"/>
    <w:rsid w:val="008D180B"/>
    <w:rsid w:val="008E2432"/>
    <w:rsid w:val="008F0EA7"/>
    <w:rsid w:val="00916515"/>
    <w:rsid w:val="00923EEF"/>
    <w:rsid w:val="00927EF1"/>
    <w:rsid w:val="0093441F"/>
    <w:rsid w:val="009419F9"/>
    <w:rsid w:val="009552F8"/>
    <w:rsid w:val="0095685E"/>
    <w:rsid w:val="00961B09"/>
    <w:rsid w:val="00964DAB"/>
    <w:rsid w:val="00965334"/>
    <w:rsid w:val="0097093E"/>
    <w:rsid w:val="00986AC5"/>
    <w:rsid w:val="009A0DFA"/>
    <w:rsid w:val="009A2609"/>
    <w:rsid w:val="009B2D26"/>
    <w:rsid w:val="009C3869"/>
    <w:rsid w:val="009C71FA"/>
    <w:rsid w:val="009C72E7"/>
    <w:rsid w:val="009D0270"/>
    <w:rsid w:val="009D3058"/>
    <w:rsid w:val="009E7558"/>
    <w:rsid w:val="009F3A13"/>
    <w:rsid w:val="00A122D3"/>
    <w:rsid w:val="00A17F13"/>
    <w:rsid w:val="00A20739"/>
    <w:rsid w:val="00A24C35"/>
    <w:rsid w:val="00A33C78"/>
    <w:rsid w:val="00A51CB5"/>
    <w:rsid w:val="00A52834"/>
    <w:rsid w:val="00A64017"/>
    <w:rsid w:val="00A70F7F"/>
    <w:rsid w:val="00A800B4"/>
    <w:rsid w:val="00A81AFE"/>
    <w:rsid w:val="00A97349"/>
    <w:rsid w:val="00AA1AB8"/>
    <w:rsid w:val="00AB0ADB"/>
    <w:rsid w:val="00AC19F6"/>
    <w:rsid w:val="00AD1D1F"/>
    <w:rsid w:val="00B01B1A"/>
    <w:rsid w:val="00B023E1"/>
    <w:rsid w:val="00B0429C"/>
    <w:rsid w:val="00B23BA1"/>
    <w:rsid w:val="00B2560E"/>
    <w:rsid w:val="00B350FE"/>
    <w:rsid w:val="00B403F3"/>
    <w:rsid w:val="00B41E30"/>
    <w:rsid w:val="00B45CE8"/>
    <w:rsid w:val="00B54B1C"/>
    <w:rsid w:val="00B66319"/>
    <w:rsid w:val="00B70BDA"/>
    <w:rsid w:val="00B72CD3"/>
    <w:rsid w:val="00B72FFF"/>
    <w:rsid w:val="00B74C13"/>
    <w:rsid w:val="00B87FBD"/>
    <w:rsid w:val="00BA7AA4"/>
    <w:rsid w:val="00BB5A06"/>
    <w:rsid w:val="00BC3D36"/>
    <w:rsid w:val="00BD7F72"/>
    <w:rsid w:val="00BE36F8"/>
    <w:rsid w:val="00C04FB3"/>
    <w:rsid w:val="00C203C3"/>
    <w:rsid w:val="00C26C85"/>
    <w:rsid w:val="00C330EB"/>
    <w:rsid w:val="00C41061"/>
    <w:rsid w:val="00C44790"/>
    <w:rsid w:val="00C63058"/>
    <w:rsid w:val="00C653EC"/>
    <w:rsid w:val="00C754BE"/>
    <w:rsid w:val="00C76B1C"/>
    <w:rsid w:val="00C76C5B"/>
    <w:rsid w:val="00C84124"/>
    <w:rsid w:val="00C8467B"/>
    <w:rsid w:val="00C90C14"/>
    <w:rsid w:val="00C91AF4"/>
    <w:rsid w:val="00C9219A"/>
    <w:rsid w:val="00CA01D8"/>
    <w:rsid w:val="00CB1A91"/>
    <w:rsid w:val="00CB6357"/>
    <w:rsid w:val="00CC08E9"/>
    <w:rsid w:val="00CC1B26"/>
    <w:rsid w:val="00CE429E"/>
    <w:rsid w:val="00CE58F3"/>
    <w:rsid w:val="00D0566B"/>
    <w:rsid w:val="00D3590B"/>
    <w:rsid w:val="00D4075C"/>
    <w:rsid w:val="00D423A2"/>
    <w:rsid w:val="00D520D8"/>
    <w:rsid w:val="00D63AC2"/>
    <w:rsid w:val="00D7383B"/>
    <w:rsid w:val="00D73921"/>
    <w:rsid w:val="00D75DA2"/>
    <w:rsid w:val="00DA231B"/>
    <w:rsid w:val="00DC39FC"/>
    <w:rsid w:val="00DF5254"/>
    <w:rsid w:val="00E10F5E"/>
    <w:rsid w:val="00E16408"/>
    <w:rsid w:val="00E20894"/>
    <w:rsid w:val="00E245AB"/>
    <w:rsid w:val="00E25A6A"/>
    <w:rsid w:val="00E2764C"/>
    <w:rsid w:val="00E27F2E"/>
    <w:rsid w:val="00E5014D"/>
    <w:rsid w:val="00E50AFE"/>
    <w:rsid w:val="00E75C92"/>
    <w:rsid w:val="00E771DC"/>
    <w:rsid w:val="00E8182D"/>
    <w:rsid w:val="00E82223"/>
    <w:rsid w:val="00E8772A"/>
    <w:rsid w:val="00E90F6B"/>
    <w:rsid w:val="00E92C27"/>
    <w:rsid w:val="00EA0E3D"/>
    <w:rsid w:val="00EA17B5"/>
    <w:rsid w:val="00EA70F7"/>
    <w:rsid w:val="00EC197C"/>
    <w:rsid w:val="00EC38A7"/>
    <w:rsid w:val="00EC5C8D"/>
    <w:rsid w:val="00ED15B1"/>
    <w:rsid w:val="00ED46C7"/>
    <w:rsid w:val="00ED706A"/>
    <w:rsid w:val="00ED7384"/>
    <w:rsid w:val="00EE1AA8"/>
    <w:rsid w:val="00EF736C"/>
    <w:rsid w:val="00F30C63"/>
    <w:rsid w:val="00F31EDC"/>
    <w:rsid w:val="00F462B3"/>
    <w:rsid w:val="00F5664F"/>
    <w:rsid w:val="00F572DF"/>
    <w:rsid w:val="00F666C4"/>
    <w:rsid w:val="00F76AFC"/>
    <w:rsid w:val="00FA0AFB"/>
    <w:rsid w:val="00FA3CFE"/>
    <w:rsid w:val="00FA47C0"/>
    <w:rsid w:val="00FB232E"/>
    <w:rsid w:val="00FB5DD1"/>
    <w:rsid w:val="00FC13EB"/>
    <w:rsid w:val="00FC2B5D"/>
    <w:rsid w:val="00FC6FA1"/>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8182D"/>
    <w:rPr>
      <w:rFonts w:ascii="Geomanist Light" w:hAnsi="Geomanist Light"/>
      <w:lang w:val="es-ES"/>
    </w:rPr>
  </w:style>
  <w:style w:type="paragraph" w:customStyle="1" w:styleId="Appelnotedebasde">
    <w:name w:val="Appel note de bas de..."/>
    <w:basedOn w:val="Normal"/>
    <w:link w:val="Refdenotaalpie"/>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 w:type="table" w:customStyle="1" w:styleId="Tablaconcuadrcula10">
    <w:name w:val="Tabla con cuadrícula10"/>
    <w:basedOn w:val="Tablanormal"/>
    <w:next w:val="Tablaconcuadrcula"/>
    <w:uiPriority w:val="59"/>
    <w:rsid w:val="00B87F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0B6B5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el-manejo-de-ofertas-artificialmente-bajas-en-procesos-de-contratacion-2"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scuitiva@sena.edu.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el-manejo-de-ofertas-artificialmente-bajas-en-procesos-de-contratacion-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B224063-85C9-45B9-94F8-88D100AFAF65}"/>
</file>

<file path=customXml/itemProps2.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1234</TotalTime>
  <Pages>13</Pages>
  <Words>4055</Words>
  <Characters>22060</Characters>
  <Application>Microsoft Office Word</Application>
  <DocSecurity>0</DocSecurity>
  <Lines>479</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57</cp:revision>
  <cp:lastPrinted>2023-01-10T21:18:00Z</cp:lastPrinted>
  <dcterms:created xsi:type="dcterms:W3CDTF">2025-08-19T14:54:00Z</dcterms:created>
  <dcterms:modified xsi:type="dcterms:W3CDTF">2025-11-13T20:38:00Z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