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0C002" w14:textId="77777777" w:rsidR="007071F7" w:rsidRPr="007071F7" w:rsidRDefault="007071F7" w:rsidP="007071F7">
      <w:pPr>
        <w:jc w:val="both"/>
        <w:rPr>
          <w:rFonts w:ascii="Verdana" w:eastAsia="Calibri" w:hAnsi="Verdana" w:cs="Arial"/>
          <w:b/>
          <w:bCs/>
          <w:lang w:val="es-ES" w:eastAsia="es-ES"/>
        </w:rPr>
      </w:pPr>
      <w:bookmarkStart w:id="0" w:name="_Hlk143780582"/>
      <w:r w:rsidRPr="007071F7">
        <w:rPr>
          <w:rFonts w:ascii="Verdana" w:eastAsia="Calibri" w:hAnsi="Verdana" w:cs="Arial"/>
          <w:b/>
          <w:bCs/>
          <w:lang w:val="es-ES" w:eastAsia="es-ES"/>
        </w:rPr>
        <w:t xml:space="preserve">CONVENIOS INTERADMINISTRATIVOS – Criterio orgánico </w:t>
      </w:r>
    </w:p>
    <w:p w14:paraId="00EA310C" w14:textId="7BEB3A17" w:rsidR="007071F7" w:rsidRPr="00F07AB6" w:rsidRDefault="007071F7" w:rsidP="007071F7">
      <w:pPr>
        <w:widowControl w:val="0"/>
        <w:autoSpaceDE w:val="0"/>
        <w:autoSpaceDN w:val="0"/>
        <w:spacing w:after="120" w:line="276" w:lineRule="auto"/>
        <w:jc w:val="both"/>
        <w:rPr>
          <w:rFonts w:ascii="Verdana" w:eastAsia="Arial" w:hAnsi="Verdana" w:cs="Arial"/>
          <w:color w:val="000000"/>
          <w:lang w:val="es-ES"/>
        </w:rPr>
      </w:pPr>
      <w:r>
        <w:rPr>
          <w:rFonts w:ascii="Verdana" w:eastAsia="Arial" w:hAnsi="Verdana" w:cs="Arial"/>
          <w:lang w:val="es-ES"/>
        </w:rPr>
        <w:t>S</w:t>
      </w:r>
      <w:r w:rsidRPr="00F07AB6">
        <w:rPr>
          <w:rFonts w:ascii="Verdana" w:eastAsia="Arial" w:hAnsi="Verdana" w:cs="Arial"/>
          <w:lang w:val="es-ES"/>
        </w:rPr>
        <w:t>obre</w:t>
      </w:r>
      <w:r w:rsidRPr="00F07AB6">
        <w:rPr>
          <w:rFonts w:ascii="Verdana" w:eastAsia="Calibri" w:hAnsi="Verdana" w:cs="Arial"/>
          <w:bCs/>
          <w:color w:val="000000"/>
          <w:lang w:val="es-ES"/>
        </w:rPr>
        <w:t xml:space="preserve"> la tipología de convenios o contratos interadministrativos conviene precisar que, </w:t>
      </w:r>
      <w:r w:rsidRPr="00F07AB6">
        <w:rPr>
          <w:rFonts w:ascii="Verdana" w:eastAsia="Arial" w:hAnsi="Verdana" w:cs="Arial"/>
          <w:color w:val="000000"/>
          <w:lang w:val="es-ES"/>
        </w:rPr>
        <w:t>aunque la ley no la definió ni desarrolló, el Decreto 1082 de 2015 se refiere como interadministrativa a aquella contratación entre entidades estatales. De acuerdo con lo anterior, es interadministrativo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F07AB6">
        <w:rPr>
          <w:rFonts w:ascii="Verdana" w:eastAsia="Arial" w:hAnsi="Verdana" w:cs="Arial"/>
          <w:color w:val="000000"/>
          <w:spacing w:val="-6"/>
          <w:lang w:val="es-ES"/>
        </w:rPr>
        <w:t xml:space="preserve"> </w:t>
      </w:r>
      <w:r w:rsidRPr="00F07AB6">
        <w:rPr>
          <w:rFonts w:ascii="Verdana" w:eastAsia="Arial" w:hAnsi="Verdana" w:cs="Arial"/>
          <w:color w:val="000000"/>
          <w:lang w:val="es-ES"/>
        </w:rPr>
        <w:t>estatales.</w:t>
      </w:r>
    </w:p>
    <w:p w14:paraId="5782E542" w14:textId="4DA24C37" w:rsidR="007071F7" w:rsidRPr="007071F7" w:rsidRDefault="007071F7" w:rsidP="007071F7">
      <w:pPr>
        <w:jc w:val="both"/>
        <w:rPr>
          <w:rFonts w:ascii="Verdana" w:eastAsia="Calibri" w:hAnsi="Verdana" w:cs="Arial"/>
          <w:b/>
          <w:bCs/>
          <w:lang w:val="es-ES" w:eastAsia="es-ES"/>
        </w:rPr>
      </w:pPr>
      <w:r w:rsidRPr="007071F7">
        <w:rPr>
          <w:rFonts w:ascii="Verdana" w:eastAsia="Calibri" w:hAnsi="Verdana" w:cs="Arial"/>
          <w:b/>
          <w:bCs/>
          <w:lang w:val="es-ES" w:eastAsia="es-ES"/>
        </w:rPr>
        <w:t>EMPRESAS DE SERVICIOS PÚBLICOS – Naturaleza jurídica – Empresas de participación mixta</w:t>
      </w:r>
    </w:p>
    <w:p w14:paraId="124F012E" w14:textId="6E7DAB1B" w:rsidR="005F4823" w:rsidRDefault="005F4823" w:rsidP="005F4823">
      <w:pPr>
        <w:spacing w:after="120" w:line="276" w:lineRule="auto"/>
        <w:jc w:val="both"/>
        <w:rPr>
          <w:rFonts w:ascii="Verdana" w:eastAsia="Calibri" w:hAnsi="Verdana" w:cs="Arial"/>
          <w:bCs/>
          <w:lang w:val="es-ES"/>
        </w:rPr>
      </w:pPr>
      <w:r>
        <w:rPr>
          <w:rFonts w:ascii="Verdana" w:eastAsia="Calibri" w:hAnsi="Verdana" w:cs="Arial"/>
          <w:bCs/>
          <w:lang w:val="es-ES"/>
        </w:rPr>
        <w:t>[…] l</w:t>
      </w:r>
      <w:r w:rsidRPr="0071096A">
        <w:rPr>
          <w:rFonts w:ascii="Verdana" w:eastAsia="Calibri" w:hAnsi="Verdana" w:cs="Arial"/>
          <w:bCs/>
          <w:lang w:val="es-ES"/>
        </w:rPr>
        <w:t>as empresas prestadoras del servicio públicos</w:t>
      </w:r>
      <w:r>
        <w:rPr>
          <w:rFonts w:ascii="Verdana" w:eastAsia="Calibri" w:hAnsi="Verdana" w:cs="Arial"/>
          <w:bCs/>
          <w:lang w:val="es-ES"/>
        </w:rPr>
        <w:t xml:space="preserve"> tienen la naturaleza jurídica de</w:t>
      </w:r>
      <w:r w:rsidRPr="0071096A">
        <w:rPr>
          <w:rFonts w:ascii="Verdana" w:eastAsia="Calibri" w:hAnsi="Verdana" w:cs="Arial"/>
          <w:bCs/>
          <w:lang w:val="es-ES"/>
        </w:rPr>
        <w:t xml:space="preserve"> empresas que pertenecen a la </w:t>
      </w:r>
      <w:r w:rsidRPr="0071096A">
        <w:rPr>
          <w:rFonts w:ascii="Verdana" w:eastAsia="Calibri" w:hAnsi="Verdana" w:cs="Arial"/>
          <w:bCs/>
          <w:i/>
          <w:iCs/>
          <w:lang w:val="es-ES"/>
        </w:rPr>
        <w:t>rama ejecutiva</w:t>
      </w:r>
      <w:r w:rsidRPr="0071096A">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 </w:t>
      </w:r>
    </w:p>
    <w:p w14:paraId="7BED025F" w14:textId="661A143B" w:rsidR="005F4823" w:rsidRPr="0071096A" w:rsidRDefault="005F4823" w:rsidP="005F4823">
      <w:pPr>
        <w:spacing w:after="120" w:line="276" w:lineRule="auto"/>
        <w:jc w:val="both"/>
        <w:rPr>
          <w:rFonts w:ascii="Verdana" w:eastAsia="Calibri" w:hAnsi="Verdana" w:cs="Arial"/>
          <w:bCs/>
          <w:lang w:val="es-ES"/>
        </w:rPr>
      </w:pPr>
      <w:r>
        <w:rPr>
          <w:rFonts w:ascii="Verdana" w:eastAsia="Calibri" w:hAnsi="Verdana" w:cs="Arial"/>
          <w:bCs/>
          <w:lang w:val="es-ES"/>
        </w:rPr>
        <w:t>Sin embargo, e</w:t>
      </w:r>
      <w:r w:rsidRPr="0071096A">
        <w:rPr>
          <w:rFonts w:ascii="Verdana" w:eastAsia="Calibri" w:hAnsi="Verdana" w:cs="Arial"/>
          <w:bCs/>
          <w:lang w:val="es-ES"/>
        </w:rPr>
        <w:t xml:space="preserve">l artículo </w:t>
      </w:r>
      <w:r>
        <w:rPr>
          <w:rFonts w:ascii="Verdana" w:eastAsia="Calibri" w:hAnsi="Verdana" w:cs="Arial"/>
          <w:bCs/>
          <w:lang w:val="es-ES"/>
        </w:rPr>
        <w:t>68</w:t>
      </w:r>
      <w:r w:rsidRPr="0071096A">
        <w:rPr>
          <w:rFonts w:ascii="Verdana" w:eastAsia="Calibri" w:hAnsi="Verdana" w:cs="Arial"/>
          <w:bCs/>
          <w:lang w:val="es-ES"/>
        </w:rPr>
        <w:t xml:space="preserve"> </w:t>
      </w:r>
      <w:proofErr w:type="spellStart"/>
      <w:r w:rsidRPr="0071096A">
        <w:rPr>
          <w:rFonts w:ascii="Verdana" w:eastAsia="Calibri" w:hAnsi="Verdana" w:cs="Arial"/>
          <w:bCs/>
          <w:i/>
          <w:iCs/>
          <w:lang w:val="es-ES"/>
        </w:rPr>
        <w:t>ibídem</w:t>
      </w:r>
      <w:proofErr w:type="spellEnd"/>
      <w:r w:rsidRPr="0071096A">
        <w:rPr>
          <w:rFonts w:ascii="Verdana" w:eastAsia="Calibri" w:hAnsi="Verdana" w:cs="Arial"/>
          <w:bCs/>
          <w:lang w:val="es-ES"/>
        </w:rPr>
        <w:t xml:space="preserve">, al enlistar las entidades descentralizadas del orden nacional, se refirió únicamente a las empresas oficiales de servicios públicos, esto es, aquellas en las que la participación del Estado es del </w:t>
      </w:r>
      <w:r>
        <w:rPr>
          <w:rFonts w:ascii="Verdana" w:eastAsia="Calibri" w:hAnsi="Verdana" w:cs="Arial"/>
          <w:bCs/>
          <w:lang w:val="es-ES"/>
        </w:rPr>
        <w:t>cien por ciento (</w:t>
      </w:r>
      <w:r w:rsidRPr="0071096A">
        <w:rPr>
          <w:rFonts w:ascii="Verdana" w:eastAsia="Calibri" w:hAnsi="Verdana" w:cs="Arial"/>
          <w:bCs/>
          <w:lang w:val="es-ES"/>
        </w:rPr>
        <w:t>100%</w:t>
      </w:r>
      <w:r>
        <w:rPr>
          <w:rFonts w:ascii="Verdana" w:eastAsia="Calibri" w:hAnsi="Verdana" w:cs="Arial"/>
          <w:bCs/>
          <w:lang w:val="es-ES"/>
        </w:rPr>
        <w:t>). Esto</w:t>
      </w:r>
      <w:r w:rsidRPr="0071096A">
        <w:rPr>
          <w:rFonts w:ascii="Verdana" w:eastAsia="Calibri" w:hAnsi="Verdana" w:cs="Arial"/>
          <w:bCs/>
          <w:lang w:val="es-ES"/>
        </w:rPr>
        <w:t xml:space="preserve"> llevó a pensar que el legislador había excluido de la Rama Ejecutiva a las empresas de servicios públicos mixtas –aquellas con capital público superior al </w:t>
      </w:r>
      <w:r>
        <w:rPr>
          <w:rFonts w:ascii="Verdana" w:eastAsia="Calibri" w:hAnsi="Verdana" w:cs="Arial"/>
          <w:bCs/>
          <w:lang w:val="es-ES"/>
        </w:rPr>
        <w:t>cincuenta por ciento (</w:t>
      </w:r>
      <w:r w:rsidRPr="0071096A">
        <w:rPr>
          <w:rFonts w:ascii="Verdana" w:eastAsia="Calibri" w:hAnsi="Verdana" w:cs="Arial"/>
          <w:bCs/>
          <w:lang w:val="es-ES"/>
        </w:rPr>
        <w:t>50%</w:t>
      </w:r>
      <w:r>
        <w:rPr>
          <w:rFonts w:ascii="Verdana" w:eastAsia="Calibri" w:hAnsi="Verdana" w:cs="Arial"/>
          <w:bCs/>
          <w:lang w:val="es-ES"/>
        </w:rPr>
        <w:t>)</w:t>
      </w:r>
      <w:r w:rsidRPr="0071096A">
        <w:rPr>
          <w:rFonts w:ascii="Verdana" w:eastAsia="Calibri" w:hAnsi="Verdana" w:cs="Arial"/>
          <w:bCs/>
          <w:lang w:val="es-ES"/>
        </w:rPr>
        <w:t xml:space="preserve">– y las privadas –las que cuentan con capital público inferior al </w:t>
      </w:r>
      <w:r>
        <w:rPr>
          <w:rFonts w:ascii="Verdana" w:eastAsia="Calibri" w:hAnsi="Verdana" w:cs="Arial"/>
          <w:bCs/>
          <w:lang w:val="es-ES"/>
        </w:rPr>
        <w:t>cincuenta por ciento (</w:t>
      </w:r>
      <w:r w:rsidRPr="0071096A">
        <w:rPr>
          <w:rFonts w:ascii="Verdana" w:eastAsia="Calibri" w:hAnsi="Verdana" w:cs="Arial"/>
          <w:bCs/>
          <w:lang w:val="es-ES"/>
        </w:rPr>
        <w:t>50%</w:t>
      </w:r>
      <w:r>
        <w:rPr>
          <w:rFonts w:ascii="Verdana" w:eastAsia="Calibri" w:hAnsi="Verdana" w:cs="Arial"/>
          <w:bCs/>
          <w:lang w:val="es-ES"/>
        </w:rPr>
        <w:t>)</w:t>
      </w:r>
      <w:r w:rsidRPr="0071096A">
        <w:rPr>
          <w:rFonts w:ascii="Verdana" w:eastAsia="Calibri" w:hAnsi="Verdana" w:cs="Arial"/>
          <w:bCs/>
          <w:lang w:val="es-ES"/>
        </w:rPr>
        <w:t xml:space="preserve">–. Sin embargo, la Corte Constitucional determinó que tanto las empresas de servicios públicos mixtas como las privadas hacían </w:t>
      </w:r>
      <w:r w:rsidRPr="002D6E15">
        <w:rPr>
          <w:rFonts w:ascii="Verdana" w:eastAsia="Calibri" w:hAnsi="Verdana" w:cs="Arial"/>
          <w:bCs/>
          <w:i/>
          <w:iCs/>
          <w:lang w:val="es-ES"/>
        </w:rPr>
        <w:t>parte de la Rama Ejecutiva</w:t>
      </w:r>
      <w:r w:rsidRPr="0071096A">
        <w:rPr>
          <w:rFonts w:ascii="Verdana" w:eastAsia="Calibri" w:hAnsi="Verdana" w:cs="Arial"/>
          <w:bCs/>
          <w:lang w:val="es-ES"/>
        </w:rPr>
        <w:t xml:space="preserve">, toda vez que el </w:t>
      </w:r>
      <w:r>
        <w:rPr>
          <w:rFonts w:ascii="Verdana" w:eastAsia="Calibri" w:hAnsi="Verdana" w:cs="Arial"/>
          <w:bCs/>
          <w:lang w:val="es-ES"/>
        </w:rPr>
        <w:t xml:space="preserve">numeral 2 del </w:t>
      </w:r>
      <w:r w:rsidRPr="0071096A">
        <w:rPr>
          <w:rFonts w:ascii="Verdana" w:eastAsia="Calibri" w:hAnsi="Verdana" w:cs="Arial"/>
          <w:bCs/>
          <w:lang w:val="es-ES"/>
        </w:rPr>
        <w:t>literal g) del artículo 38</w:t>
      </w:r>
      <w:r>
        <w:rPr>
          <w:rFonts w:ascii="Verdana" w:eastAsia="Calibri" w:hAnsi="Verdana" w:cs="Arial"/>
          <w:bCs/>
          <w:lang w:val="es-ES"/>
        </w:rPr>
        <w:t xml:space="preserve"> </w:t>
      </w:r>
      <w:r w:rsidRPr="0071096A">
        <w:rPr>
          <w:rFonts w:ascii="Verdana" w:eastAsia="Calibri" w:hAnsi="Verdana" w:cs="Arial"/>
          <w:bCs/>
          <w:lang w:val="es-ES"/>
        </w:rPr>
        <w:t>de la Ley 489 de 1998 dice en su literal “g) Las demás entidades administrativas nacionales con personería jurídica que cree, organice o autorice la ley para que formen parte de la Rama Ejecutiva del Poder Público”.</w:t>
      </w:r>
    </w:p>
    <w:p w14:paraId="279E68C4" w14:textId="77777777" w:rsidR="007071F7" w:rsidRDefault="007071F7" w:rsidP="00441E73">
      <w:pPr>
        <w:spacing w:after="0" w:line="240" w:lineRule="auto"/>
        <w:rPr>
          <w:rFonts w:ascii="Verdana" w:hAnsi="Verdana"/>
        </w:rPr>
      </w:pPr>
    </w:p>
    <w:p w14:paraId="614E13D5" w14:textId="77777777" w:rsidR="007071F7" w:rsidRDefault="007071F7" w:rsidP="00441E73">
      <w:pPr>
        <w:spacing w:after="0" w:line="240" w:lineRule="auto"/>
        <w:rPr>
          <w:rFonts w:ascii="Verdana" w:hAnsi="Verdana"/>
        </w:rPr>
      </w:pPr>
    </w:p>
    <w:p w14:paraId="5BF56EF3" w14:textId="77777777" w:rsidR="007071F7" w:rsidRDefault="007071F7" w:rsidP="00441E73">
      <w:pPr>
        <w:spacing w:after="0" w:line="240" w:lineRule="auto"/>
        <w:rPr>
          <w:rFonts w:ascii="Verdana" w:hAnsi="Verdana"/>
        </w:rPr>
      </w:pPr>
    </w:p>
    <w:p w14:paraId="46F5002B" w14:textId="77777777" w:rsidR="007071F7" w:rsidRDefault="007071F7" w:rsidP="00441E73">
      <w:pPr>
        <w:spacing w:after="0" w:line="240" w:lineRule="auto"/>
        <w:rPr>
          <w:rFonts w:ascii="Verdana" w:hAnsi="Verdana"/>
        </w:rPr>
      </w:pPr>
    </w:p>
    <w:p w14:paraId="6801241F" w14:textId="77777777" w:rsidR="007071F7" w:rsidRDefault="007071F7" w:rsidP="00441E73">
      <w:pPr>
        <w:spacing w:after="0" w:line="240" w:lineRule="auto"/>
        <w:rPr>
          <w:rFonts w:ascii="Verdana" w:hAnsi="Verdana"/>
        </w:rPr>
      </w:pPr>
    </w:p>
    <w:p w14:paraId="1468C46D" w14:textId="59E37257" w:rsidR="00C15139" w:rsidRPr="0024624F" w:rsidRDefault="007071F7" w:rsidP="00441E73">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1084CE3" wp14:editId="0086A042">
            <wp:simplePos x="0" y="0"/>
            <wp:positionH relativeFrom="column">
              <wp:posOffset>2942981</wp:posOffset>
            </wp:positionH>
            <wp:positionV relativeFrom="paragraph">
              <wp:posOffset>-88900</wp:posOffset>
            </wp:positionV>
            <wp:extent cx="2700997" cy="771713"/>
            <wp:effectExtent l="0" t="0" r="444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700997" cy="771713"/>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07 </w:t>
      </w:r>
      <w:proofErr w:type="gramStart"/>
      <w:r>
        <w:rPr>
          <w:rFonts w:ascii="Verdana" w:hAnsi="Verdana"/>
        </w:rPr>
        <w:t>Noviembre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621F1377" w14:textId="77777777" w:rsidR="00E4333A" w:rsidRPr="00B96799" w:rsidRDefault="00E4333A" w:rsidP="00E4333A">
      <w:pPr>
        <w:spacing w:after="0" w:line="240" w:lineRule="auto"/>
        <w:jc w:val="both"/>
        <w:rPr>
          <w:rFonts w:ascii="Verdana" w:eastAsia="Calibri" w:hAnsi="Verdana" w:cs="Arial"/>
          <w:lang w:val="es-ES" w:eastAsia="es-ES"/>
        </w:rPr>
      </w:pPr>
      <w:bookmarkStart w:id="1" w:name="_Hlk213307821"/>
      <w:r w:rsidRPr="00B96799">
        <w:rPr>
          <w:rFonts w:ascii="Verdana" w:eastAsia="Calibri" w:hAnsi="Verdana" w:cs="Arial"/>
          <w:lang w:val="es-ES" w:eastAsia="es-ES"/>
        </w:rPr>
        <w:t>Señor</w:t>
      </w:r>
      <w:r>
        <w:rPr>
          <w:rFonts w:ascii="Verdana" w:eastAsia="Calibri" w:hAnsi="Verdana" w:cs="Arial"/>
          <w:lang w:val="es-ES" w:eastAsia="es-ES"/>
        </w:rPr>
        <w:t>a</w:t>
      </w:r>
    </w:p>
    <w:p w14:paraId="5D3AB038" w14:textId="77777777" w:rsidR="00E4333A" w:rsidRPr="009C1E76" w:rsidRDefault="00E4333A" w:rsidP="00E4333A">
      <w:pPr>
        <w:spacing w:after="0" w:line="240" w:lineRule="auto"/>
        <w:rPr>
          <w:rFonts w:ascii="Verdana" w:eastAsia="Calibri" w:hAnsi="Verdana" w:cs="Arial"/>
          <w:b/>
          <w:lang w:val="es-ES" w:eastAsia="es-ES"/>
        </w:rPr>
      </w:pPr>
      <w:proofErr w:type="spellStart"/>
      <w:r w:rsidRPr="009C1E76">
        <w:rPr>
          <w:rFonts w:ascii="Verdana" w:eastAsia="Calibri" w:hAnsi="Verdana" w:cs="Arial"/>
          <w:b/>
          <w:lang w:val="es-ES" w:eastAsia="es-ES"/>
        </w:rPr>
        <w:t>Stheffania</w:t>
      </w:r>
      <w:proofErr w:type="spellEnd"/>
      <w:r w:rsidRPr="009C1E76">
        <w:rPr>
          <w:rFonts w:ascii="Verdana" w:eastAsia="Calibri" w:hAnsi="Verdana" w:cs="Arial"/>
          <w:b/>
          <w:lang w:val="es-ES" w:eastAsia="es-ES"/>
        </w:rPr>
        <w:t xml:space="preserve"> Caro Mendoza</w:t>
      </w:r>
    </w:p>
    <w:p w14:paraId="2F873514" w14:textId="77777777" w:rsidR="00E4333A" w:rsidRDefault="00877824" w:rsidP="00E4333A">
      <w:pPr>
        <w:spacing w:after="0" w:line="240" w:lineRule="auto"/>
        <w:rPr>
          <w:rFonts w:ascii="Verdana" w:eastAsia="Calibri" w:hAnsi="Verdana" w:cs="Arial"/>
          <w:u w:val="single"/>
          <w:lang w:val="es-ES" w:eastAsia="es-ES"/>
        </w:rPr>
      </w:pPr>
      <w:hyperlink r:id="rId11" w:history="1">
        <w:r w:rsidR="00E4333A" w:rsidRPr="00D40370">
          <w:rPr>
            <w:rStyle w:val="Hipervnculo"/>
            <w:rFonts w:ascii="Verdana" w:eastAsia="Calibri" w:hAnsi="Verdana" w:cs="Arial"/>
            <w:lang w:val="es-ES" w:eastAsia="es-ES"/>
          </w:rPr>
          <w:t>apoyojuridico.dsa4@electrohuila.co</w:t>
        </w:r>
      </w:hyperlink>
    </w:p>
    <w:p w14:paraId="710C06D8" w14:textId="77777777" w:rsidR="00E4333A" w:rsidRPr="00B96799" w:rsidRDefault="00E4333A" w:rsidP="00E4333A">
      <w:pPr>
        <w:spacing w:after="0" w:line="240" w:lineRule="auto"/>
        <w:rPr>
          <w:rFonts w:ascii="Verdana" w:eastAsia="Calibri" w:hAnsi="Verdana" w:cs="Arial"/>
          <w:b/>
          <w:bCs/>
          <w:lang w:val="es-ES" w:eastAsia="es-ES"/>
        </w:rPr>
      </w:pPr>
      <w:r>
        <w:rPr>
          <w:rFonts w:ascii="Verdana" w:eastAsia="Calibri" w:hAnsi="Verdana" w:cs="Arial"/>
          <w:lang w:val="es-ES" w:eastAsia="es-ES"/>
        </w:rPr>
        <w:t>Neiva</w:t>
      </w:r>
      <w:r w:rsidRPr="00B96799">
        <w:rPr>
          <w:rFonts w:ascii="Verdana" w:eastAsia="Calibri" w:hAnsi="Verdana" w:cs="Arial"/>
          <w:lang w:val="es-ES" w:eastAsia="es-ES"/>
        </w:rPr>
        <w:t xml:space="preserve">, </w:t>
      </w:r>
      <w:r>
        <w:rPr>
          <w:rFonts w:ascii="Verdana" w:eastAsia="Calibri" w:hAnsi="Verdana" w:cs="Arial"/>
          <w:lang w:val="es-ES" w:eastAsia="es-ES"/>
        </w:rPr>
        <w:t>Huila</w:t>
      </w:r>
    </w:p>
    <w:p w14:paraId="756F90B7" w14:textId="77777777" w:rsidR="00E4333A" w:rsidRPr="00593A5F" w:rsidRDefault="00E4333A" w:rsidP="00E4333A">
      <w:pPr>
        <w:spacing w:after="0" w:line="240" w:lineRule="auto"/>
        <w:rPr>
          <w:rFonts w:ascii="Verdana" w:eastAsia="Calibri" w:hAnsi="Verdana" w:cs="Arial"/>
          <w:b/>
          <w:bCs/>
          <w:color w:val="000000"/>
          <w:lang w:val="es-ES_tradnl" w:eastAsia="es-ES_tradnl"/>
        </w:rPr>
      </w:pPr>
    </w:p>
    <w:p w14:paraId="540FAD3F" w14:textId="77777777" w:rsidR="00E4333A" w:rsidRPr="00593A5F" w:rsidRDefault="00E4333A" w:rsidP="00E4333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4333A" w:rsidRPr="00593A5F" w14:paraId="1956C4C3" w14:textId="77777777" w:rsidTr="00E14C76">
        <w:trPr>
          <w:trHeight w:val="222"/>
        </w:trPr>
        <w:tc>
          <w:tcPr>
            <w:tcW w:w="2689" w:type="dxa"/>
          </w:tcPr>
          <w:p w14:paraId="787631F6" w14:textId="77777777" w:rsidR="00E4333A" w:rsidRPr="00C00976" w:rsidRDefault="00E4333A" w:rsidP="00E14C76">
            <w:pPr>
              <w:jc w:val="both"/>
              <w:rPr>
                <w:rFonts w:ascii="Verdana" w:eastAsia="Calibri" w:hAnsi="Verdana" w:cs="Arial"/>
                <w:b/>
                <w:bCs/>
                <w:color w:val="7030A0"/>
                <w:lang w:val="es-ES_tradnl" w:eastAsia="es-ES_tradnl"/>
              </w:rPr>
            </w:pPr>
          </w:p>
        </w:tc>
        <w:tc>
          <w:tcPr>
            <w:tcW w:w="6100" w:type="dxa"/>
          </w:tcPr>
          <w:p w14:paraId="69678FAB" w14:textId="77777777" w:rsidR="00E4333A" w:rsidRDefault="00E4333A" w:rsidP="00E14C76">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1419</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Pr="00C00976">
              <w:rPr>
                <w:rFonts w:ascii="Verdana" w:eastAsia="Calibri" w:hAnsi="Verdana" w:cs="Arial"/>
                <w:b/>
                <w:bCs/>
                <w:color w:val="7030A0"/>
                <w:lang w:val="es-ES" w:eastAsia="es-ES"/>
              </w:rPr>
              <w:t xml:space="preserve"> </w:t>
            </w:r>
            <w:r w:rsidRPr="006C34DD">
              <w:rPr>
                <w:rFonts w:ascii="Verdana" w:eastAsia="Calibri" w:hAnsi="Verdana" w:cs="Arial"/>
                <w:b/>
                <w:bCs/>
                <w:lang w:val="es-ES" w:eastAsia="es-ES"/>
              </w:rPr>
              <w:t>2025</w:t>
            </w:r>
          </w:p>
          <w:p w14:paraId="44FF8324" w14:textId="77777777" w:rsidR="00E4333A" w:rsidRPr="00C00976" w:rsidRDefault="00E4333A" w:rsidP="00E14C76">
            <w:pPr>
              <w:jc w:val="both"/>
              <w:rPr>
                <w:rFonts w:ascii="Verdana" w:eastAsia="Calibri" w:hAnsi="Verdana" w:cs="Arial"/>
                <w:b/>
                <w:bCs/>
                <w:color w:val="7030A0"/>
                <w:lang w:val="es-ES" w:eastAsia="es-ES"/>
              </w:rPr>
            </w:pPr>
          </w:p>
        </w:tc>
      </w:tr>
      <w:tr w:rsidR="00E4333A" w:rsidRPr="00593A5F" w14:paraId="0D49D90F" w14:textId="77777777" w:rsidTr="00E14C76">
        <w:trPr>
          <w:trHeight w:val="884"/>
        </w:trPr>
        <w:tc>
          <w:tcPr>
            <w:tcW w:w="2689" w:type="dxa"/>
          </w:tcPr>
          <w:p w14:paraId="30C727A9" w14:textId="77777777" w:rsidR="00E4333A" w:rsidRPr="00593A5F" w:rsidRDefault="00E4333A" w:rsidP="00E14C7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349486C" w14:textId="77777777" w:rsidR="00E4333A" w:rsidRPr="00211832" w:rsidRDefault="00E4333A" w:rsidP="00E14C76">
            <w:pPr>
              <w:jc w:val="both"/>
              <w:rPr>
                <w:rFonts w:ascii="Verdana" w:eastAsia="Calibri" w:hAnsi="Verdana" w:cs="Arial"/>
                <w:lang w:val="es-ES" w:eastAsia="es-ES"/>
              </w:rPr>
            </w:pPr>
            <w:r>
              <w:rPr>
                <w:rFonts w:ascii="Verdana" w:eastAsia="Calibri" w:hAnsi="Verdana" w:cs="Arial"/>
                <w:lang w:val="es-ES" w:eastAsia="es-ES"/>
              </w:rPr>
              <w:t>CONVENIOS INTERADMINISTRATIVOS – Criterio orgánico / Empresas de Servicios Públicos – Naturaleza jurídica – Empresas de participación mixta</w:t>
            </w:r>
          </w:p>
          <w:p w14:paraId="0D6C42C3" w14:textId="77777777" w:rsidR="00E4333A" w:rsidRPr="00211832" w:rsidRDefault="00E4333A" w:rsidP="00E14C76">
            <w:pPr>
              <w:jc w:val="both"/>
              <w:rPr>
                <w:rFonts w:ascii="Verdana" w:eastAsia="Calibri" w:hAnsi="Verdana" w:cs="Arial"/>
                <w:lang w:val="es-ES" w:eastAsia="es-ES"/>
              </w:rPr>
            </w:pPr>
          </w:p>
        </w:tc>
      </w:tr>
      <w:tr w:rsidR="00E4333A" w:rsidRPr="00593A5F" w14:paraId="2D8D8F4B" w14:textId="77777777" w:rsidTr="00E14C76">
        <w:tc>
          <w:tcPr>
            <w:tcW w:w="2689" w:type="dxa"/>
          </w:tcPr>
          <w:p w14:paraId="6518B9FD" w14:textId="77777777" w:rsidR="00E4333A" w:rsidRPr="006C34DD" w:rsidRDefault="00E4333A" w:rsidP="00E14C76">
            <w:pPr>
              <w:jc w:val="both"/>
              <w:rPr>
                <w:rFonts w:ascii="Verdana" w:eastAsia="Calibri" w:hAnsi="Verdana" w:cs="Arial"/>
                <w:b/>
                <w:lang w:val="es-ES_tradnl" w:eastAsia="es-ES_tradnl"/>
              </w:rPr>
            </w:pPr>
            <w:r w:rsidRPr="006C34DD">
              <w:rPr>
                <w:rFonts w:ascii="Verdana" w:eastAsia="Calibri" w:hAnsi="Verdana" w:cs="Arial"/>
                <w:b/>
                <w:lang w:val="es-ES_tradnl" w:eastAsia="es-ES_tradnl"/>
              </w:rPr>
              <w:t>Radicación:</w:t>
            </w:r>
            <w:r w:rsidRPr="006C34DD">
              <w:rPr>
                <w:rFonts w:ascii="Verdana" w:eastAsia="Calibri" w:hAnsi="Verdana" w:cs="Arial"/>
                <w:lang w:val="es-ES_tradnl" w:eastAsia="es-ES_tradnl"/>
              </w:rPr>
              <w:t xml:space="preserve">               </w:t>
            </w:r>
          </w:p>
        </w:tc>
        <w:tc>
          <w:tcPr>
            <w:tcW w:w="6100" w:type="dxa"/>
          </w:tcPr>
          <w:p w14:paraId="00A3F8D4" w14:textId="77777777" w:rsidR="00E4333A" w:rsidRPr="006C34DD" w:rsidRDefault="00E4333A" w:rsidP="00E14C76">
            <w:pPr>
              <w:jc w:val="both"/>
              <w:rPr>
                <w:rFonts w:ascii="Verdana" w:eastAsia="Calibri" w:hAnsi="Verdana" w:cs="Arial"/>
                <w:lang w:val="es-ES_tradnl" w:eastAsia="es-ES_tradnl"/>
              </w:rPr>
            </w:pPr>
            <w:r w:rsidRPr="006C34DD">
              <w:rPr>
                <w:rFonts w:ascii="Verdana" w:eastAsia="Calibri" w:hAnsi="Verdana" w:cs="Arial"/>
                <w:lang w:val="es-ES_tradnl" w:eastAsia="es-ES_tradnl"/>
              </w:rPr>
              <w:t xml:space="preserve">Respuesta a consulta con radicado No. </w:t>
            </w:r>
            <w:r w:rsidRPr="007A637D">
              <w:rPr>
                <w:rFonts w:ascii="Verdana" w:eastAsia="Calibri" w:hAnsi="Verdana" w:cs="Arial"/>
                <w:lang w:val="es-ES_tradnl" w:eastAsia="es-ES_tradnl"/>
              </w:rPr>
              <w:t>1_2025_10_01_010929</w:t>
            </w:r>
          </w:p>
        </w:tc>
      </w:tr>
    </w:tbl>
    <w:p w14:paraId="2ABF0584" w14:textId="77777777" w:rsidR="00E4333A" w:rsidRPr="00593A5F" w:rsidRDefault="00E4333A" w:rsidP="00E4333A">
      <w:pPr>
        <w:spacing w:after="0" w:line="240" w:lineRule="auto"/>
        <w:jc w:val="both"/>
        <w:rPr>
          <w:rFonts w:ascii="Verdana" w:eastAsia="Calibri" w:hAnsi="Verdana" w:cs="Arial"/>
          <w:color w:val="000000"/>
          <w:lang w:val="es-ES_tradnl" w:eastAsia="es-ES_tradnl"/>
        </w:rPr>
      </w:pPr>
    </w:p>
    <w:p w14:paraId="7D43730D" w14:textId="77777777" w:rsidR="00E4333A" w:rsidRPr="00593A5F" w:rsidRDefault="00E4333A" w:rsidP="00E4333A">
      <w:pPr>
        <w:spacing w:after="0" w:line="240" w:lineRule="auto"/>
        <w:jc w:val="both"/>
        <w:rPr>
          <w:rFonts w:ascii="Verdana" w:eastAsia="Calibri" w:hAnsi="Verdana" w:cs="Arial"/>
          <w:color w:val="000000"/>
          <w:lang w:val="es-ES_tradnl" w:eastAsia="es-ES_tradnl"/>
        </w:rPr>
      </w:pPr>
    </w:p>
    <w:p w14:paraId="1FA1B6F8" w14:textId="77777777" w:rsidR="00E4333A" w:rsidRPr="006C34DD" w:rsidRDefault="00E4333A" w:rsidP="00E4333A">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w:t>
      </w:r>
      <w:r w:rsidRPr="006C34DD">
        <w:rPr>
          <w:rFonts w:ascii="Verdana" w:eastAsia="Calibri" w:hAnsi="Verdana" w:cs="Arial"/>
          <w:lang w:val="es-ES" w:eastAsia="es-ES"/>
        </w:rPr>
        <w:t xml:space="preserve">señora </w:t>
      </w:r>
      <w:r>
        <w:rPr>
          <w:rFonts w:ascii="Verdana" w:eastAsia="Calibri" w:hAnsi="Verdana" w:cs="Arial"/>
          <w:lang w:val="es-ES" w:eastAsia="es-ES"/>
        </w:rPr>
        <w:t>Caro,</w:t>
      </w:r>
      <w:r w:rsidRPr="006C34DD">
        <w:rPr>
          <w:rFonts w:ascii="Verdana" w:eastAsia="Calibri" w:hAnsi="Verdana" w:cs="Arial"/>
          <w:lang w:val="es-ES" w:eastAsia="es-ES"/>
        </w:rPr>
        <w:t xml:space="preserve"> </w:t>
      </w:r>
    </w:p>
    <w:p w14:paraId="19F4FFEB" w14:textId="77777777" w:rsidR="00E4333A" w:rsidRDefault="00E4333A" w:rsidP="00E4333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70A9A35" w14:textId="77777777" w:rsidR="00E4333A" w:rsidRPr="00593A5F" w:rsidRDefault="00E4333A" w:rsidP="00E4333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6C34DD">
        <w:rPr>
          <w:rFonts w:ascii="Verdana" w:eastAsia="Calibri" w:hAnsi="Verdana" w:cs="Arial"/>
          <w:lang w:val="es-ES" w:eastAsia="es-ES"/>
        </w:rPr>
        <w:t xml:space="preserve">fecha </w:t>
      </w:r>
      <w:r>
        <w:rPr>
          <w:rFonts w:ascii="Verdana" w:eastAsia="Calibri" w:hAnsi="Verdana" w:cs="Arial"/>
          <w:lang w:val="es-ES" w:eastAsia="es-ES"/>
        </w:rPr>
        <w:t>01</w:t>
      </w:r>
      <w:r w:rsidRPr="006C34DD">
        <w:rPr>
          <w:rFonts w:ascii="Verdana" w:eastAsia="Calibri" w:hAnsi="Verdana" w:cs="Arial"/>
          <w:lang w:val="es-ES" w:eastAsia="es-ES"/>
        </w:rPr>
        <w:t xml:space="preserve"> de </w:t>
      </w:r>
      <w:r>
        <w:rPr>
          <w:rFonts w:ascii="Verdana" w:eastAsia="Calibri" w:hAnsi="Verdana" w:cs="Arial"/>
          <w:lang w:val="es-ES" w:eastAsia="es-ES"/>
        </w:rPr>
        <w:t>octubre</w:t>
      </w:r>
      <w:r w:rsidRPr="006C34DD">
        <w:rPr>
          <w:rFonts w:ascii="Verdana" w:eastAsia="Calibri" w:hAnsi="Verdana" w:cs="Arial"/>
          <w:lang w:val="es-ES" w:eastAsia="es-ES"/>
        </w:rPr>
        <w:t xml:space="preserve"> de 2025, en la cual manifiesta lo siguiente</w:t>
      </w:r>
      <w:r w:rsidRPr="005233F3">
        <w:rPr>
          <w:rFonts w:ascii="Verdana" w:eastAsia="Calibri" w:hAnsi="Verdana" w:cs="Arial"/>
          <w:color w:val="7030A0"/>
          <w:lang w:val="es-ES" w:eastAsia="es-ES"/>
        </w:rPr>
        <w:t xml:space="preserve">: </w:t>
      </w:r>
    </w:p>
    <w:p w14:paraId="1CCADA2B" w14:textId="77777777" w:rsidR="00E4333A" w:rsidRPr="00441E73" w:rsidRDefault="00E4333A" w:rsidP="00E4333A">
      <w:pPr>
        <w:pStyle w:val="Default"/>
        <w:spacing w:line="276" w:lineRule="auto"/>
        <w:rPr>
          <w:rFonts w:ascii="Verdana" w:hAnsi="Verdana" w:cs="Times New Roman"/>
        </w:rPr>
      </w:pPr>
    </w:p>
    <w:p w14:paraId="2D206137" w14:textId="77777777" w:rsidR="00E4333A" w:rsidRPr="007A637D" w:rsidRDefault="00E4333A" w:rsidP="00441E73">
      <w:pPr>
        <w:autoSpaceDE w:val="0"/>
        <w:autoSpaceDN w:val="0"/>
        <w:adjustRightInd w:val="0"/>
        <w:spacing w:after="0" w:line="240" w:lineRule="auto"/>
        <w:ind w:left="709" w:right="709" w:hanging="1"/>
        <w:jc w:val="both"/>
        <w:rPr>
          <w:rFonts w:ascii="Verdana" w:eastAsia="Century Gothic" w:hAnsi="Verdana" w:cs="Century Gothic"/>
          <w:color w:val="7030A0"/>
          <w:sz w:val="20"/>
          <w:szCs w:val="20"/>
          <w:lang w:val="es-ES"/>
        </w:rPr>
      </w:pPr>
      <w:r w:rsidRPr="007A637D">
        <w:rPr>
          <w:rFonts w:ascii="Verdana" w:hAnsi="Verdana" w:cs="Times New Roman"/>
          <w:color w:val="000000"/>
          <w:sz w:val="20"/>
          <w:szCs w:val="20"/>
        </w:rPr>
        <w:t>“</w:t>
      </w:r>
      <w:r w:rsidRPr="007A637D">
        <w:rPr>
          <w:rFonts w:ascii="Verdana" w:hAnsi="Verdana" w:cs="ArialMT"/>
          <w:sz w:val="20"/>
          <w:szCs w:val="20"/>
        </w:rPr>
        <w:t>¿una empresa de servicios públicos mixta, de orden nacional, constituida como sociedad por acciones del tipo de las anónimas, sometida al régimen general de los servicios públicos domiciliarios (leyes 142, 143 de 1994 y 689 de 2021), que ejerce sus actividades dentro del ámbito del derecho privado como empresario mercantil, es competente para adelantar convenios interadministrativos o interinstitucional?</w:t>
      </w:r>
      <w:r w:rsidRPr="007A637D">
        <w:rPr>
          <w:rFonts w:ascii="Verdana" w:hAnsi="Verdana" w:cs="Times New Roman"/>
          <w:color w:val="000000"/>
          <w:sz w:val="20"/>
          <w:szCs w:val="20"/>
        </w:rPr>
        <w:t>”.</w:t>
      </w:r>
    </w:p>
    <w:p w14:paraId="4E3E3A4B" w14:textId="77777777" w:rsidR="00E4333A" w:rsidRPr="00593A5F" w:rsidRDefault="00E4333A" w:rsidP="00441E73">
      <w:pPr>
        <w:pStyle w:val="Prrafodelista"/>
        <w:tabs>
          <w:tab w:val="left" w:pos="142"/>
          <w:tab w:val="left" w:pos="284"/>
        </w:tabs>
        <w:spacing w:after="0" w:line="276" w:lineRule="auto"/>
        <w:ind w:left="709" w:right="709"/>
        <w:jc w:val="both"/>
        <w:rPr>
          <w:rFonts w:ascii="Verdana" w:eastAsia="Century Gothic" w:hAnsi="Verdana" w:cs="Century Gothic"/>
          <w:b/>
          <w:bCs/>
        </w:rPr>
      </w:pPr>
    </w:p>
    <w:p w14:paraId="444F3BBE" w14:textId="77777777" w:rsidR="00E4333A" w:rsidRDefault="00E4333A" w:rsidP="00E4333A">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593A5F">
        <w:rPr>
          <w:rFonts w:ascii="Verdana" w:eastAsia="Calibri" w:hAnsi="Verdana" w:cs="Arial"/>
          <w:color w:val="000000"/>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EB3C277" w14:textId="77777777" w:rsidR="00E4333A" w:rsidRDefault="00E4333A" w:rsidP="00E4333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41380BEC" w14:textId="77777777" w:rsidR="00E4333A" w:rsidRPr="00593A5F" w:rsidRDefault="00E4333A" w:rsidP="00E4333A">
      <w:pPr>
        <w:spacing w:after="0" w:line="276" w:lineRule="auto"/>
        <w:ind w:firstLine="709"/>
        <w:jc w:val="both"/>
        <w:rPr>
          <w:rFonts w:ascii="Verdana" w:eastAsia="Calibri" w:hAnsi="Verdana" w:cs="Arial"/>
          <w:color w:val="000000"/>
          <w:lang w:val="es-ES" w:eastAsia="es-ES"/>
        </w:rPr>
      </w:pPr>
    </w:p>
    <w:p w14:paraId="1E2E3B85" w14:textId="77777777" w:rsidR="00E4333A" w:rsidRPr="00593A5F" w:rsidRDefault="00E4333A" w:rsidP="00E4333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6EAE2E89" w14:textId="77777777" w:rsidR="00E4333A" w:rsidRPr="00593A5F" w:rsidRDefault="00E4333A" w:rsidP="00E4333A">
      <w:pPr>
        <w:tabs>
          <w:tab w:val="left" w:pos="426"/>
        </w:tabs>
        <w:spacing w:after="0" w:line="276" w:lineRule="auto"/>
        <w:jc w:val="both"/>
        <w:rPr>
          <w:rFonts w:ascii="Verdana" w:eastAsia="Century Gothic" w:hAnsi="Verdana" w:cs="Century Gothic"/>
          <w:lang w:val="es-ES"/>
        </w:rPr>
      </w:pPr>
    </w:p>
    <w:p w14:paraId="2B3C3A14" w14:textId="166390C5" w:rsidR="00E4333A" w:rsidRPr="00593A5F" w:rsidRDefault="00E4333A" w:rsidP="00E4333A">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Pr>
          <w:rFonts w:ascii="Verdana" w:eastAsia="Century Gothic" w:hAnsi="Verdana" w:cs="Century Gothic"/>
        </w:rPr>
        <w:t xml:space="preserve"> ¿una empresa de servicios públicos mixta puede ser parte de </w:t>
      </w:r>
      <w:r w:rsidR="009C1E76">
        <w:rPr>
          <w:rFonts w:ascii="Verdana" w:eastAsia="Century Gothic" w:hAnsi="Verdana" w:cs="Century Gothic"/>
        </w:rPr>
        <w:t xml:space="preserve">un </w:t>
      </w:r>
      <w:r>
        <w:rPr>
          <w:rFonts w:ascii="Verdana" w:eastAsia="Century Gothic" w:hAnsi="Verdana" w:cs="Century Gothic"/>
        </w:rPr>
        <w:t>convenio interadministrativo?</w:t>
      </w:r>
    </w:p>
    <w:p w14:paraId="408CD1EE" w14:textId="77777777" w:rsidR="00E4333A" w:rsidRPr="00593A5F" w:rsidRDefault="00E4333A" w:rsidP="00E4333A">
      <w:pPr>
        <w:spacing w:after="0" w:line="276" w:lineRule="auto"/>
        <w:jc w:val="both"/>
        <w:rPr>
          <w:rFonts w:ascii="Verdana" w:eastAsia="Calibri" w:hAnsi="Verdana" w:cs="Arial"/>
          <w:color w:val="7030A0"/>
          <w:lang w:val="es-ES"/>
        </w:rPr>
      </w:pPr>
    </w:p>
    <w:p w14:paraId="755E67EE" w14:textId="77777777" w:rsidR="00E4333A" w:rsidRPr="00593A5F" w:rsidRDefault="00E4333A" w:rsidP="00E4333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1C618CF" w14:textId="77777777" w:rsidR="00E4333A" w:rsidRPr="00593A5F" w:rsidRDefault="00E4333A" w:rsidP="00E4333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4333A" w:rsidRPr="00593A5F" w14:paraId="3A868947" w14:textId="77777777" w:rsidTr="00E14C76">
        <w:tc>
          <w:tcPr>
            <w:tcW w:w="8828" w:type="dxa"/>
            <w:shd w:val="clear" w:color="auto" w:fill="auto"/>
          </w:tcPr>
          <w:p w14:paraId="67B2A712" w14:textId="77777777" w:rsidR="00E4333A" w:rsidRPr="00F07AB6" w:rsidRDefault="00E4333A" w:rsidP="00E14C76">
            <w:pPr>
              <w:widowControl w:val="0"/>
              <w:autoSpaceDE w:val="0"/>
              <w:autoSpaceDN w:val="0"/>
              <w:spacing w:after="120" w:line="276" w:lineRule="auto"/>
              <w:jc w:val="both"/>
              <w:rPr>
                <w:rFonts w:ascii="Verdana" w:eastAsia="Arial" w:hAnsi="Verdana" w:cs="Arial"/>
                <w:color w:val="000000"/>
                <w:lang w:val="es-ES"/>
              </w:rPr>
            </w:pPr>
            <w:r>
              <w:rPr>
                <w:rFonts w:ascii="Verdana" w:eastAsia="Arial" w:hAnsi="Verdana" w:cs="Arial"/>
                <w:lang w:val="es-ES"/>
              </w:rPr>
              <w:t>S</w:t>
            </w:r>
            <w:r w:rsidRPr="00F07AB6">
              <w:rPr>
                <w:rFonts w:ascii="Verdana" w:eastAsia="Arial" w:hAnsi="Verdana" w:cs="Arial"/>
                <w:lang w:val="es-ES"/>
              </w:rPr>
              <w:t>obre</w:t>
            </w:r>
            <w:r w:rsidRPr="00F07AB6">
              <w:rPr>
                <w:rFonts w:ascii="Verdana" w:eastAsia="Calibri" w:hAnsi="Verdana" w:cs="Arial"/>
                <w:bCs/>
                <w:color w:val="000000"/>
                <w:lang w:val="es-ES"/>
              </w:rPr>
              <w:t xml:space="preserve"> la tipología de convenios o contratos interadministrativos conviene precisar que, </w:t>
            </w:r>
            <w:r w:rsidRPr="00F07AB6">
              <w:rPr>
                <w:rFonts w:ascii="Verdana" w:eastAsia="Arial" w:hAnsi="Verdana" w:cs="Arial"/>
                <w:color w:val="000000"/>
                <w:lang w:val="es-ES"/>
              </w:rPr>
              <w:t>aunque la ley no la definió ni desarrolló, el Decreto 1082 de 2015 se refiere como interadministrativa a aquella contratación entre entidades estatales</w:t>
            </w:r>
            <w:r w:rsidRPr="00F07AB6">
              <w:rPr>
                <w:rFonts w:ascii="Verdana" w:eastAsia="Arial" w:hAnsi="Verdana" w:cs="Arial"/>
                <w:color w:val="000000"/>
                <w:vertAlign w:val="superscript"/>
                <w:lang w:val="es-ES"/>
              </w:rPr>
              <w:footnoteReference w:id="2"/>
            </w:r>
            <w:r w:rsidRPr="00F07AB6">
              <w:rPr>
                <w:rFonts w:ascii="Verdana" w:eastAsia="Arial" w:hAnsi="Verdana" w:cs="Arial"/>
                <w:color w:val="000000"/>
                <w:lang w:val="es-ES"/>
              </w:rPr>
              <w:t xml:space="preserve">. </w:t>
            </w:r>
            <w:r>
              <w:rPr>
                <w:rFonts w:ascii="Verdana" w:eastAsia="Arial" w:hAnsi="Verdana" w:cs="Arial"/>
                <w:color w:val="000000"/>
                <w:lang w:val="es-ES"/>
              </w:rPr>
              <w:t xml:space="preserve">De acuerdo con lo anterior, </w:t>
            </w:r>
            <w:r w:rsidRPr="00F07AB6">
              <w:rPr>
                <w:rFonts w:ascii="Verdana" w:eastAsia="Arial" w:hAnsi="Verdana" w:cs="Arial"/>
                <w:color w:val="000000"/>
                <w:lang w:val="es-ES"/>
              </w:rPr>
              <w:t>es interadministrativo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F07AB6">
              <w:rPr>
                <w:rFonts w:ascii="Verdana" w:eastAsia="Arial" w:hAnsi="Verdana" w:cs="Arial"/>
                <w:color w:val="000000"/>
                <w:spacing w:val="-6"/>
                <w:lang w:val="es-ES"/>
              </w:rPr>
              <w:t xml:space="preserve"> </w:t>
            </w:r>
            <w:r w:rsidRPr="00F07AB6">
              <w:rPr>
                <w:rFonts w:ascii="Verdana" w:eastAsia="Arial" w:hAnsi="Verdana" w:cs="Arial"/>
                <w:color w:val="000000"/>
                <w:lang w:val="es-ES"/>
              </w:rPr>
              <w:t>estatales.</w:t>
            </w:r>
          </w:p>
          <w:p w14:paraId="4BC050A1" w14:textId="77777777" w:rsidR="00E4333A" w:rsidRDefault="00E4333A" w:rsidP="00E14C76">
            <w:pPr>
              <w:spacing w:line="276" w:lineRule="auto"/>
              <w:ind w:firstLine="709"/>
              <w:jc w:val="both"/>
              <w:rPr>
                <w:rFonts w:ascii="Verdana" w:eastAsia="Arial" w:hAnsi="Verdana" w:cs="Arial"/>
                <w:color w:val="000000"/>
                <w:lang w:val="es-ES"/>
              </w:rPr>
            </w:pPr>
            <w:r w:rsidRPr="00F07AB6">
              <w:rPr>
                <w:rFonts w:ascii="Verdana" w:eastAsia="Arial" w:hAnsi="Verdana" w:cs="Arial"/>
                <w:color w:val="000000"/>
                <w:lang w:val="es-ES"/>
              </w:rPr>
              <w:t xml:space="preserve">En concordancia con estos, la Corte Constitucional expresó en la Sentencia C-671 de 2015 que «Lo que hace interadministrativo a un contrato o convenio no es el procedimiento de selección aplicable, sino la calidad de los </w:t>
            </w:r>
            <w:r w:rsidRPr="00F07AB6">
              <w:rPr>
                <w:rFonts w:ascii="Verdana" w:eastAsia="Arial" w:hAnsi="Verdana" w:cs="Arial"/>
                <w:color w:val="000000"/>
                <w:lang w:val="es-ES"/>
              </w:rPr>
              <w:lastRenderedPageBreak/>
              <w:t>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w:t>
            </w:r>
          </w:p>
          <w:p w14:paraId="2BE20A54" w14:textId="77777777" w:rsidR="00E4333A" w:rsidRDefault="00E4333A" w:rsidP="00E14C76">
            <w:pPr>
              <w:spacing w:after="120" w:line="276" w:lineRule="auto"/>
              <w:ind w:firstLine="708"/>
              <w:jc w:val="both"/>
              <w:rPr>
                <w:rFonts w:ascii="Verdana" w:eastAsia="Calibri" w:hAnsi="Verdana" w:cs="Arial"/>
                <w:bCs/>
                <w:lang w:val="es-ES"/>
              </w:rPr>
            </w:pPr>
            <w:r>
              <w:rPr>
                <w:rFonts w:ascii="Verdana" w:eastAsia="Arial" w:hAnsi="Verdana" w:cs="Arial"/>
                <w:color w:val="000000"/>
                <w:lang w:val="es-ES"/>
              </w:rPr>
              <w:t xml:space="preserve">Teniendo en cuenta el mencionado criterio orgánico, </w:t>
            </w:r>
            <w:r>
              <w:rPr>
                <w:rFonts w:ascii="Verdana" w:eastAsia="Calibri" w:hAnsi="Verdana" w:cs="Arial"/>
                <w:bCs/>
                <w:lang w:val="es-ES"/>
              </w:rPr>
              <w:t>l</w:t>
            </w:r>
            <w:r w:rsidRPr="0071096A">
              <w:rPr>
                <w:rFonts w:ascii="Verdana" w:eastAsia="Calibri" w:hAnsi="Verdana" w:cs="Arial"/>
                <w:bCs/>
                <w:lang w:val="es-ES"/>
              </w:rPr>
              <w:t>as empresas</w:t>
            </w:r>
            <w:r>
              <w:rPr>
                <w:rFonts w:ascii="Verdana" w:eastAsia="Calibri" w:hAnsi="Verdana" w:cs="Arial"/>
                <w:bCs/>
                <w:lang w:val="es-ES"/>
              </w:rPr>
              <w:t xml:space="preserve"> de</w:t>
            </w:r>
            <w:r w:rsidRPr="0071096A">
              <w:rPr>
                <w:rFonts w:ascii="Verdana" w:eastAsia="Calibri" w:hAnsi="Verdana" w:cs="Arial"/>
                <w:bCs/>
                <w:lang w:val="es-ES"/>
              </w:rPr>
              <w:t xml:space="preserve"> servicio</w:t>
            </w:r>
            <w:r>
              <w:rPr>
                <w:rFonts w:ascii="Verdana" w:eastAsia="Calibri" w:hAnsi="Verdana" w:cs="Arial"/>
                <w:bCs/>
                <w:lang w:val="es-ES"/>
              </w:rPr>
              <w:t>s</w:t>
            </w:r>
            <w:r w:rsidRPr="0071096A">
              <w:rPr>
                <w:rFonts w:ascii="Verdana" w:eastAsia="Calibri" w:hAnsi="Verdana" w:cs="Arial"/>
                <w:bCs/>
                <w:lang w:val="es-ES"/>
              </w:rPr>
              <w:t xml:space="preserve"> públicos</w:t>
            </w:r>
            <w:r>
              <w:rPr>
                <w:rFonts w:ascii="Verdana" w:eastAsia="Calibri" w:hAnsi="Verdana" w:cs="Arial"/>
                <w:bCs/>
                <w:lang w:val="es-ES"/>
              </w:rPr>
              <w:t xml:space="preserve"> tienen la naturaleza jurídica de</w:t>
            </w:r>
            <w:r w:rsidRPr="0071096A">
              <w:rPr>
                <w:rFonts w:ascii="Verdana" w:eastAsia="Calibri" w:hAnsi="Verdana" w:cs="Arial"/>
                <w:bCs/>
                <w:lang w:val="es-ES"/>
              </w:rPr>
              <w:t xml:space="preserve"> empresas que pertenecen a la </w:t>
            </w:r>
            <w:r w:rsidRPr="0071096A">
              <w:rPr>
                <w:rFonts w:ascii="Verdana" w:eastAsia="Calibri" w:hAnsi="Verdana" w:cs="Arial"/>
                <w:bCs/>
                <w:i/>
                <w:iCs/>
                <w:lang w:val="es-ES"/>
              </w:rPr>
              <w:t>rama ejecutiva</w:t>
            </w:r>
            <w:r w:rsidRPr="0071096A">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 </w:t>
            </w:r>
          </w:p>
          <w:p w14:paraId="19B30A31" w14:textId="77777777" w:rsidR="00E4333A" w:rsidRPr="0071096A" w:rsidRDefault="00E4333A" w:rsidP="00E14C76">
            <w:pPr>
              <w:spacing w:after="120" w:line="276" w:lineRule="auto"/>
              <w:ind w:firstLine="708"/>
              <w:jc w:val="both"/>
              <w:rPr>
                <w:rFonts w:ascii="Verdana" w:eastAsia="Calibri" w:hAnsi="Verdana" w:cs="Arial"/>
                <w:bCs/>
                <w:lang w:val="es-ES"/>
              </w:rPr>
            </w:pPr>
            <w:r>
              <w:rPr>
                <w:rFonts w:ascii="Verdana" w:eastAsia="Calibri" w:hAnsi="Verdana" w:cs="Arial"/>
                <w:bCs/>
                <w:lang w:val="es-ES"/>
              </w:rPr>
              <w:t>Sin embargo, e</w:t>
            </w:r>
            <w:r w:rsidRPr="0071096A">
              <w:rPr>
                <w:rFonts w:ascii="Verdana" w:eastAsia="Calibri" w:hAnsi="Verdana" w:cs="Arial"/>
                <w:bCs/>
                <w:lang w:val="es-ES"/>
              </w:rPr>
              <w:t xml:space="preserve">l artículo </w:t>
            </w:r>
            <w:r>
              <w:rPr>
                <w:rFonts w:ascii="Verdana" w:eastAsia="Calibri" w:hAnsi="Verdana" w:cs="Arial"/>
                <w:bCs/>
                <w:lang w:val="es-ES"/>
              </w:rPr>
              <w:t>6</w:t>
            </w:r>
            <w:r w:rsidRPr="0071096A">
              <w:rPr>
                <w:rFonts w:ascii="Verdana" w:eastAsia="Calibri" w:hAnsi="Verdana" w:cs="Arial"/>
                <w:bCs/>
                <w:lang w:val="es-ES"/>
              </w:rPr>
              <w:t xml:space="preserve">8 </w:t>
            </w:r>
            <w:proofErr w:type="spellStart"/>
            <w:r w:rsidRPr="0071096A">
              <w:rPr>
                <w:rFonts w:ascii="Verdana" w:eastAsia="Calibri" w:hAnsi="Verdana" w:cs="Arial"/>
                <w:bCs/>
                <w:i/>
                <w:iCs/>
                <w:lang w:val="es-ES"/>
              </w:rPr>
              <w:t>ibídem</w:t>
            </w:r>
            <w:proofErr w:type="spellEnd"/>
            <w:r w:rsidRPr="0071096A">
              <w:rPr>
                <w:rFonts w:ascii="Verdana" w:eastAsia="Calibri" w:hAnsi="Verdana" w:cs="Arial"/>
                <w:bCs/>
                <w:lang w:val="es-ES"/>
              </w:rPr>
              <w:t>, al enlistar las entidades descentralizadas del orden nacional, se refirió únicamente a las empresas oficiales de servicios públicos, esto es, aquellas en las que la participación del Estado es del 100%</w:t>
            </w:r>
            <w:r w:rsidRPr="0071096A">
              <w:rPr>
                <w:rFonts w:ascii="Verdana" w:eastAsia="Calibri" w:hAnsi="Verdana" w:cs="Arial"/>
                <w:bCs/>
                <w:vertAlign w:val="superscript"/>
                <w:lang w:val="es-ES"/>
              </w:rPr>
              <w:footnoteReference w:id="3"/>
            </w:r>
            <w:r>
              <w:rPr>
                <w:rFonts w:ascii="Verdana" w:eastAsia="Calibri" w:hAnsi="Verdana" w:cs="Arial"/>
                <w:bCs/>
                <w:lang w:val="es-ES"/>
              </w:rPr>
              <w:t>. Esto</w:t>
            </w:r>
            <w:r w:rsidRPr="0071096A">
              <w:rPr>
                <w:rFonts w:ascii="Verdana" w:eastAsia="Calibri" w:hAnsi="Verdana" w:cs="Arial"/>
                <w:bCs/>
                <w:lang w:val="es-ES"/>
              </w:rPr>
              <w:t xml:space="preserve"> llevó a pensar que el legislador había excluido de la Rama Ejecutiva a las empresas de servicios públicos mixtas –aquellas con capital público superior al 50%– y las privadas –las que cuentan con capital público inferior al 50%–. Sin embargo, la Corte Constitucional determinó que tanto las empresas de servicios públicos mixtas como las privadas hacían </w:t>
            </w:r>
            <w:r w:rsidRPr="002D6E15">
              <w:rPr>
                <w:rFonts w:ascii="Verdana" w:eastAsia="Calibri" w:hAnsi="Verdana" w:cs="Arial"/>
                <w:bCs/>
                <w:i/>
                <w:iCs/>
                <w:lang w:val="es-ES"/>
              </w:rPr>
              <w:t>parte de la Rama Ejecutiva</w:t>
            </w:r>
            <w:r w:rsidRPr="0071096A">
              <w:rPr>
                <w:rFonts w:ascii="Verdana" w:eastAsia="Calibri" w:hAnsi="Verdana" w:cs="Arial"/>
                <w:bCs/>
                <w:lang w:val="es-ES"/>
              </w:rPr>
              <w:t xml:space="preserve">, toda vez que el </w:t>
            </w:r>
            <w:r>
              <w:rPr>
                <w:rFonts w:ascii="Verdana" w:eastAsia="Calibri" w:hAnsi="Verdana" w:cs="Arial"/>
                <w:bCs/>
                <w:lang w:val="es-ES"/>
              </w:rPr>
              <w:t xml:space="preserve">numeral 2 del </w:t>
            </w:r>
            <w:r w:rsidRPr="0071096A">
              <w:rPr>
                <w:rFonts w:ascii="Verdana" w:eastAsia="Calibri" w:hAnsi="Verdana" w:cs="Arial"/>
                <w:bCs/>
                <w:lang w:val="es-ES"/>
              </w:rPr>
              <w:t>literal g) del artículo 38</w:t>
            </w:r>
            <w:r>
              <w:rPr>
                <w:rFonts w:ascii="Verdana" w:eastAsia="Calibri" w:hAnsi="Verdana" w:cs="Arial"/>
                <w:bCs/>
                <w:lang w:val="es-ES"/>
              </w:rPr>
              <w:t xml:space="preserve"> </w:t>
            </w:r>
            <w:r w:rsidRPr="0071096A">
              <w:rPr>
                <w:rFonts w:ascii="Verdana" w:eastAsia="Calibri" w:hAnsi="Verdana" w:cs="Arial"/>
                <w:bCs/>
                <w:lang w:val="es-ES"/>
              </w:rPr>
              <w:t>de la Ley 489 de 1998 dice en su literal “g) Las demás entidades administrativas nacionales con personería jurídica que cree, organice o autorice la ley para que formen parte de la Rama Ejecutiva del Poder Público”.</w:t>
            </w:r>
          </w:p>
          <w:p w14:paraId="05FC61F1" w14:textId="77777777" w:rsidR="00F25135" w:rsidRDefault="00E4333A" w:rsidP="00E14C76">
            <w:pPr>
              <w:spacing w:after="120" w:line="276" w:lineRule="auto"/>
              <w:ind w:firstLine="709"/>
              <w:jc w:val="both"/>
              <w:rPr>
                <w:rFonts w:ascii="Verdana" w:eastAsia="Arial" w:hAnsi="Verdana" w:cs="Arial"/>
                <w:color w:val="000000"/>
                <w:lang w:val="es-ES"/>
              </w:rPr>
            </w:pPr>
            <w:r>
              <w:rPr>
                <w:rFonts w:ascii="Verdana" w:eastAsia="Arial" w:hAnsi="Verdana" w:cs="Arial"/>
                <w:color w:val="000000"/>
                <w:lang w:val="es-ES"/>
              </w:rPr>
              <w:t xml:space="preserve">En conclusión, las empresas de servicios públicos mixtas se consideran entidades de naturaleza pública dentro de la rama ejecutiva en el sector descentralizado por servicios </w:t>
            </w:r>
            <w:proofErr w:type="gramStart"/>
            <w:r>
              <w:rPr>
                <w:rFonts w:ascii="Verdana" w:eastAsia="Arial" w:hAnsi="Verdana" w:cs="Arial"/>
                <w:color w:val="000000"/>
                <w:lang w:val="es-ES"/>
              </w:rPr>
              <w:t>y</w:t>
            </w:r>
            <w:proofErr w:type="gramEnd"/>
            <w:r>
              <w:rPr>
                <w:rFonts w:ascii="Verdana" w:eastAsia="Arial" w:hAnsi="Verdana" w:cs="Arial"/>
                <w:color w:val="000000"/>
                <w:lang w:val="es-ES"/>
              </w:rPr>
              <w:t xml:space="preserve"> por tanto, en aplicación del criterio orgánico pueden ser parte de convenios interadministrativos con otras entidades públicas. </w:t>
            </w:r>
          </w:p>
          <w:p w14:paraId="049AACD5" w14:textId="66CDF351" w:rsidR="00E4333A" w:rsidRPr="00DB4737" w:rsidRDefault="00E4333A" w:rsidP="00E14C76">
            <w:pPr>
              <w:spacing w:after="120" w:line="276" w:lineRule="auto"/>
              <w:ind w:firstLine="709"/>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 xml:space="preserve">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w:t>
            </w:r>
            <w:r w:rsidRPr="002B5057">
              <w:rPr>
                <w:rFonts w:ascii="Verdana" w:eastAsia="Calibri" w:hAnsi="Verdana" w:cs="Times New Roman"/>
                <w:lang w:val="es-ES"/>
              </w:rPr>
              <w:lastRenderedPageBreak/>
              <w:t>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CE50F3E" w14:textId="77777777" w:rsidR="00E4333A" w:rsidRPr="00211832" w:rsidRDefault="00E4333A" w:rsidP="00E14C76">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64D34C5" w14:textId="77777777" w:rsidR="00E4333A" w:rsidRPr="00593A5F" w:rsidRDefault="00E4333A" w:rsidP="00E4333A">
      <w:pPr>
        <w:tabs>
          <w:tab w:val="left" w:pos="142"/>
          <w:tab w:val="left" w:pos="284"/>
        </w:tabs>
        <w:spacing w:after="0" w:line="276" w:lineRule="auto"/>
        <w:jc w:val="both"/>
        <w:rPr>
          <w:rFonts w:ascii="Verdana" w:eastAsia="Century Gothic" w:hAnsi="Verdana" w:cs="Century Gothic"/>
          <w:b/>
          <w:bCs/>
          <w:lang w:val="es-ES"/>
        </w:rPr>
      </w:pPr>
    </w:p>
    <w:p w14:paraId="6AEE4A72" w14:textId="77777777" w:rsidR="00E4333A" w:rsidRPr="00593A5F" w:rsidRDefault="00E4333A" w:rsidP="00E4333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2AAF24C" w14:textId="77777777" w:rsidR="00E4333A" w:rsidRPr="00593A5F" w:rsidRDefault="00E4333A" w:rsidP="00E4333A">
      <w:pPr>
        <w:spacing w:after="0" w:line="276" w:lineRule="auto"/>
        <w:jc w:val="both"/>
        <w:rPr>
          <w:rFonts w:ascii="Verdana" w:eastAsia="Calibri" w:hAnsi="Verdana" w:cs="Arial"/>
          <w:color w:val="7030A0"/>
          <w:lang w:val="es-ES"/>
        </w:rPr>
      </w:pPr>
    </w:p>
    <w:p w14:paraId="031E2342" w14:textId="77777777" w:rsidR="00E4333A" w:rsidRPr="00B96799" w:rsidRDefault="00E4333A" w:rsidP="00E4333A">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63B3FB1" w14:textId="77777777" w:rsidR="00E4333A" w:rsidRDefault="00E4333A" w:rsidP="00E4333A">
      <w:pPr>
        <w:widowControl w:val="0"/>
        <w:autoSpaceDE w:val="0"/>
        <w:autoSpaceDN w:val="0"/>
        <w:spacing w:after="0" w:line="276" w:lineRule="auto"/>
        <w:jc w:val="both"/>
        <w:rPr>
          <w:rFonts w:ascii="Verdana" w:eastAsia="Calibri" w:hAnsi="Verdana" w:cs="Arial"/>
          <w:color w:val="7030A0"/>
          <w:lang w:val="es-ES"/>
        </w:rPr>
      </w:pPr>
    </w:p>
    <w:p w14:paraId="1A07434B" w14:textId="77777777" w:rsidR="00E4333A" w:rsidRPr="00F07AB6" w:rsidRDefault="00E4333A" w:rsidP="00E4333A">
      <w:pPr>
        <w:widowControl w:val="0"/>
        <w:autoSpaceDE w:val="0"/>
        <w:autoSpaceDN w:val="0"/>
        <w:spacing w:after="120" w:line="276" w:lineRule="auto"/>
        <w:jc w:val="both"/>
        <w:rPr>
          <w:rFonts w:ascii="Verdana" w:eastAsia="Arial" w:hAnsi="Verdana" w:cs="Arial"/>
          <w:color w:val="000000"/>
          <w:lang w:val="es-ES"/>
        </w:rPr>
      </w:pPr>
      <w:r>
        <w:rPr>
          <w:rFonts w:ascii="Verdana" w:eastAsia="Arial" w:hAnsi="Verdana" w:cs="Arial"/>
          <w:lang w:val="es-ES"/>
        </w:rPr>
        <w:t>S</w:t>
      </w:r>
      <w:r w:rsidRPr="00F07AB6">
        <w:rPr>
          <w:rFonts w:ascii="Verdana" w:eastAsia="Arial" w:hAnsi="Verdana" w:cs="Arial"/>
          <w:lang w:val="es-ES"/>
        </w:rPr>
        <w:t>obre</w:t>
      </w:r>
      <w:r w:rsidRPr="00F07AB6">
        <w:rPr>
          <w:rFonts w:ascii="Verdana" w:eastAsia="Calibri" w:hAnsi="Verdana" w:cs="Arial"/>
          <w:bCs/>
          <w:color w:val="000000"/>
          <w:lang w:val="es-ES"/>
        </w:rPr>
        <w:t xml:space="preserve"> la tipología de convenios o contratos interadministrativos conviene precisar que, </w:t>
      </w:r>
      <w:r w:rsidRPr="00F07AB6">
        <w:rPr>
          <w:rFonts w:ascii="Verdana" w:eastAsia="Arial" w:hAnsi="Verdana" w:cs="Arial"/>
          <w:color w:val="000000"/>
          <w:lang w:val="es-ES"/>
        </w:rPr>
        <w:t>aunque la ley no la definió ni desarrolló, el Decreto 1082 de 2015 se refiere como interadministrativa a aquella contratación entre entidades estatales</w:t>
      </w:r>
      <w:r w:rsidRPr="00F07AB6">
        <w:rPr>
          <w:rFonts w:ascii="Verdana" w:eastAsia="Arial" w:hAnsi="Verdana" w:cs="Arial"/>
          <w:color w:val="000000"/>
          <w:vertAlign w:val="superscript"/>
          <w:lang w:val="es-ES"/>
        </w:rPr>
        <w:footnoteReference w:id="4"/>
      </w:r>
      <w:r w:rsidRPr="00F07AB6">
        <w:rPr>
          <w:rFonts w:ascii="Verdana" w:eastAsia="Arial" w:hAnsi="Verdana" w:cs="Arial"/>
          <w:color w:val="000000"/>
          <w:lang w:val="es-ES"/>
        </w:rPr>
        <w:t>. De acuerdo con lo anterior, es interadministrativo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F07AB6">
        <w:rPr>
          <w:rFonts w:ascii="Verdana" w:eastAsia="Arial" w:hAnsi="Verdana" w:cs="Arial"/>
          <w:color w:val="000000"/>
          <w:spacing w:val="-6"/>
          <w:lang w:val="es-ES"/>
        </w:rPr>
        <w:t xml:space="preserve"> </w:t>
      </w:r>
      <w:r w:rsidRPr="00F07AB6">
        <w:rPr>
          <w:rFonts w:ascii="Verdana" w:eastAsia="Arial" w:hAnsi="Verdana" w:cs="Arial"/>
          <w:color w:val="000000"/>
          <w:lang w:val="es-ES"/>
        </w:rPr>
        <w:t>estatales.</w:t>
      </w:r>
    </w:p>
    <w:p w14:paraId="23AD647F" w14:textId="42AAC46D" w:rsidR="00E4333A" w:rsidRPr="00F07AB6" w:rsidRDefault="00E4333A" w:rsidP="00744C6B">
      <w:pPr>
        <w:widowControl w:val="0"/>
        <w:autoSpaceDE w:val="0"/>
        <w:autoSpaceDN w:val="0"/>
        <w:spacing w:after="0" w:line="276" w:lineRule="auto"/>
        <w:ind w:firstLine="709"/>
        <w:jc w:val="both"/>
        <w:rPr>
          <w:rFonts w:ascii="Verdana" w:eastAsia="Arial" w:hAnsi="Verdana" w:cs="Arial"/>
          <w:color w:val="000000"/>
          <w:lang w:val="es-ES"/>
        </w:rPr>
      </w:pPr>
      <w:r w:rsidRPr="00F07AB6">
        <w:rPr>
          <w:rFonts w:ascii="Verdana" w:eastAsia="Arial" w:hAnsi="Verdana" w:cs="Arial"/>
          <w:color w:val="000000"/>
          <w:lang w:val="es-ES"/>
        </w:rPr>
        <w:t xml:space="preserve">En concordancia con estos, la Corte Constitucional expresó en la Sentencia C-671 de 2015 que </w:t>
      </w:r>
      <w:r w:rsidR="00744C6B">
        <w:rPr>
          <w:rFonts w:ascii="Verdana" w:eastAsia="Arial" w:hAnsi="Verdana" w:cs="Arial"/>
          <w:color w:val="000000"/>
          <w:lang w:val="es-ES"/>
        </w:rPr>
        <w:t>“</w:t>
      </w:r>
      <w:r w:rsidRPr="00F07AB6">
        <w:rPr>
          <w:rFonts w:ascii="Verdana" w:eastAsia="Arial" w:hAnsi="Verdana" w:cs="Arial"/>
          <w:color w:val="000000"/>
          <w:lang w:val="es-ES"/>
        </w:rPr>
        <w:t xml:space="preserve">Lo que hace interadministrativo a un contrato o convenio </w:t>
      </w:r>
      <w:r w:rsidRPr="00F07AB6">
        <w:rPr>
          <w:rFonts w:ascii="Verdana" w:eastAsia="Arial" w:hAnsi="Verdana" w:cs="Arial"/>
          <w:color w:val="000000"/>
          <w:lang w:val="es-ES"/>
        </w:rPr>
        <w:lastRenderedPageBreak/>
        <w:t>no es el procedimiento de selección aplicable, sino la calidad de los sujetos contratantes, esto es que las dos partes de la relación jurídica contractual formen parte de la administración pública</w:t>
      </w:r>
      <w:r w:rsidR="00744C6B">
        <w:rPr>
          <w:rFonts w:ascii="Verdana" w:eastAsia="Arial" w:hAnsi="Verdana" w:cs="Arial"/>
          <w:color w:val="000000"/>
          <w:lang w:val="es-ES"/>
        </w:rPr>
        <w:t>”</w:t>
      </w:r>
      <w:r w:rsidRPr="00F07AB6">
        <w:rPr>
          <w:rFonts w:ascii="Verdana" w:eastAsia="Arial" w:hAnsi="Verdana" w:cs="Arial"/>
          <w:color w:val="000000"/>
          <w:lang w:val="es-ES"/>
        </w:rPr>
        <w:t>.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F07AB6">
        <w:rPr>
          <w:rFonts w:ascii="Verdana" w:eastAsia="Arial" w:hAnsi="Verdana" w:cs="Arial"/>
          <w:color w:val="000000"/>
          <w:spacing w:val="-13"/>
          <w:lang w:val="es-ES"/>
        </w:rPr>
        <w:t xml:space="preserve"> </w:t>
      </w:r>
      <w:r w:rsidRPr="00F07AB6">
        <w:rPr>
          <w:rFonts w:ascii="Verdana" w:eastAsia="Arial" w:hAnsi="Verdana" w:cs="Arial"/>
          <w:color w:val="000000"/>
          <w:lang w:val="es-ES"/>
        </w:rPr>
        <w:t>que:</w:t>
      </w:r>
    </w:p>
    <w:p w14:paraId="6CA22FE0" w14:textId="77777777" w:rsidR="00744C6B" w:rsidRPr="00F07AB6" w:rsidRDefault="00744C6B" w:rsidP="00441E73">
      <w:pPr>
        <w:widowControl w:val="0"/>
        <w:autoSpaceDE w:val="0"/>
        <w:autoSpaceDN w:val="0"/>
        <w:spacing w:after="0" w:line="276" w:lineRule="auto"/>
        <w:ind w:firstLine="709"/>
        <w:jc w:val="both"/>
        <w:rPr>
          <w:rFonts w:ascii="Verdana" w:eastAsia="Arial" w:hAnsi="Verdana" w:cs="Arial"/>
          <w:color w:val="000000"/>
          <w:lang w:val="es-ES"/>
        </w:rPr>
      </w:pPr>
    </w:p>
    <w:p w14:paraId="4DF52438" w14:textId="77777777" w:rsidR="00E4333A" w:rsidRPr="00652897" w:rsidRDefault="00E4333A" w:rsidP="00441E73">
      <w:pPr>
        <w:spacing w:after="0" w:line="240" w:lineRule="auto"/>
        <w:ind w:left="709" w:right="709"/>
        <w:jc w:val="both"/>
        <w:rPr>
          <w:rFonts w:ascii="Verdana" w:eastAsia="Calibri" w:hAnsi="Verdana" w:cs="Arial"/>
          <w:color w:val="000000"/>
          <w:sz w:val="20"/>
          <w:szCs w:val="20"/>
        </w:rPr>
      </w:pPr>
      <w:r w:rsidRPr="00652897">
        <w:rPr>
          <w:rFonts w:ascii="Verdana" w:eastAsia="Calibri" w:hAnsi="Verdana" w:cs="Arial"/>
          <w:color w:val="000000"/>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w:t>
      </w:r>
      <w:proofErr w:type="spellStart"/>
      <w:r w:rsidRPr="00652897">
        <w:rPr>
          <w:rFonts w:ascii="Verdana" w:eastAsia="Calibri" w:hAnsi="Verdana" w:cs="Arial"/>
          <w:color w:val="000000"/>
          <w:sz w:val="20"/>
          <w:szCs w:val="20"/>
        </w:rPr>
        <w:t>ii</w:t>
      </w:r>
      <w:proofErr w:type="spellEnd"/>
      <w:r w:rsidRPr="00652897">
        <w:rPr>
          <w:rFonts w:ascii="Verdana" w:eastAsia="Calibri" w:hAnsi="Verdana" w:cs="Arial"/>
          <w:color w:val="000000"/>
          <w:sz w:val="20"/>
          <w:szCs w:val="20"/>
        </w:rPr>
        <w:t>) tienen como fuente la autonomía contractual; (</w:t>
      </w:r>
      <w:proofErr w:type="spellStart"/>
      <w:r w:rsidRPr="00652897">
        <w:rPr>
          <w:rFonts w:ascii="Verdana" w:eastAsia="Calibri" w:hAnsi="Verdana" w:cs="Arial"/>
          <w:color w:val="000000"/>
          <w:sz w:val="20"/>
          <w:szCs w:val="20"/>
        </w:rPr>
        <w:t>iii</w:t>
      </w:r>
      <w:proofErr w:type="spellEnd"/>
      <w:r w:rsidRPr="00652897">
        <w:rPr>
          <w:rFonts w:ascii="Verdana" w:eastAsia="Calibri" w:hAnsi="Verdana" w:cs="Arial"/>
          <w:color w:val="000000"/>
          <w:sz w:val="20"/>
          <w:szCs w:val="20"/>
        </w:rPr>
        <w:t>) son contratos nominados puesto que están mencionados en la ley; (</w:t>
      </w:r>
      <w:proofErr w:type="spellStart"/>
      <w:r w:rsidRPr="00652897">
        <w:rPr>
          <w:rFonts w:ascii="Verdana" w:eastAsia="Calibri" w:hAnsi="Verdana" w:cs="Arial"/>
          <w:color w:val="000000"/>
          <w:sz w:val="20"/>
          <w:szCs w:val="20"/>
        </w:rPr>
        <w:t>iv</w:t>
      </w:r>
      <w:proofErr w:type="spellEnd"/>
      <w:r w:rsidRPr="00652897">
        <w:rPr>
          <w:rFonts w:ascii="Verdana" w:eastAsia="Calibri" w:hAnsi="Verdana" w:cs="Arial"/>
          <w:color w:val="000000"/>
          <w:sz w:val="20"/>
          <w:szCs w:val="20"/>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652897">
        <w:rPr>
          <w:rFonts w:ascii="Verdana" w:eastAsia="Calibri" w:hAnsi="Verdana" w:cs="Arial"/>
          <w:color w:val="000000"/>
          <w:sz w:val="20"/>
          <w:szCs w:val="20"/>
        </w:rPr>
        <w:t>vii</w:t>
      </w:r>
      <w:proofErr w:type="spellEnd"/>
      <w:r w:rsidRPr="00652897">
        <w:rPr>
          <w:rFonts w:ascii="Verdana" w:eastAsia="Calibri" w:hAnsi="Verdana" w:cs="Arial"/>
          <w:color w:val="000000"/>
          <w:sz w:val="20"/>
          <w:szCs w:val="20"/>
        </w:rPr>
        <w:t>) persiguen  una finalidad común a través de la realización de intereses compartidos entre las entidades vinculadas; (</w:t>
      </w:r>
      <w:proofErr w:type="spellStart"/>
      <w:r w:rsidRPr="00652897">
        <w:rPr>
          <w:rFonts w:ascii="Verdana" w:eastAsia="Calibri" w:hAnsi="Verdana" w:cs="Arial"/>
          <w:color w:val="000000"/>
          <w:sz w:val="20"/>
          <w:szCs w:val="20"/>
        </w:rPr>
        <w:t>viii</w:t>
      </w:r>
      <w:proofErr w:type="spellEnd"/>
      <w:r w:rsidRPr="00652897">
        <w:rPr>
          <w:rFonts w:ascii="Verdana" w:eastAsia="Calibri" w:hAnsi="Verdana" w:cs="Arial"/>
          <w:color w:val="000000"/>
          <w:sz w:val="20"/>
          <w:szCs w:val="20"/>
        </w:rPr>
        <w:t>) la acción mediante la cual se deben ventilar las diferencias que sobre el particular surjan es la de controversias contractuales</w:t>
      </w:r>
      <w:r w:rsidRPr="00652897">
        <w:rPr>
          <w:rFonts w:ascii="Verdana" w:eastAsia="Calibri" w:hAnsi="Verdana" w:cs="Arial"/>
          <w:color w:val="000000"/>
          <w:sz w:val="20"/>
          <w:szCs w:val="20"/>
          <w:vertAlign w:val="superscript"/>
        </w:rPr>
        <w:footnoteReference w:id="5"/>
      </w:r>
      <w:r w:rsidRPr="00652897">
        <w:rPr>
          <w:rFonts w:ascii="Verdana" w:eastAsia="Calibri" w:hAnsi="Verdana" w:cs="Arial"/>
          <w:color w:val="000000"/>
          <w:sz w:val="20"/>
          <w:szCs w:val="20"/>
        </w:rPr>
        <w:t>.</w:t>
      </w:r>
    </w:p>
    <w:p w14:paraId="15ECC49C" w14:textId="77777777" w:rsidR="00744C6B" w:rsidRDefault="00744C6B" w:rsidP="00441E73">
      <w:pPr>
        <w:widowControl w:val="0"/>
        <w:autoSpaceDE w:val="0"/>
        <w:autoSpaceDN w:val="0"/>
        <w:spacing w:after="0" w:line="276" w:lineRule="auto"/>
        <w:ind w:firstLine="709"/>
        <w:jc w:val="both"/>
        <w:rPr>
          <w:rFonts w:ascii="Verdana" w:eastAsia="Arial" w:hAnsi="Verdana" w:cs="Arial"/>
          <w:color w:val="000000"/>
          <w:lang w:val="es-ES"/>
        </w:rPr>
      </w:pPr>
    </w:p>
    <w:p w14:paraId="507B4824" w14:textId="494FD009" w:rsidR="00E4333A" w:rsidRPr="00F07AB6" w:rsidRDefault="00E4333A" w:rsidP="00E4333A">
      <w:pPr>
        <w:widowControl w:val="0"/>
        <w:autoSpaceDE w:val="0"/>
        <w:autoSpaceDN w:val="0"/>
        <w:spacing w:after="120" w:line="276" w:lineRule="auto"/>
        <w:ind w:firstLine="709"/>
        <w:jc w:val="both"/>
        <w:rPr>
          <w:rFonts w:ascii="Verdana" w:eastAsia="Arial" w:hAnsi="Verdana" w:cs="Arial"/>
          <w:color w:val="000000"/>
          <w:lang w:val="es-ES"/>
        </w:rPr>
      </w:pPr>
      <w:r w:rsidRPr="00F07AB6">
        <w:rPr>
          <w:rFonts w:ascii="Verdana" w:eastAsia="Arial" w:hAnsi="Verdana" w:cs="Arial"/>
          <w:color w:val="000000"/>
          <w:lang w:val="es-ES"/>
        </w:rPr>
        <w:t>En ese sentido, la calidad de interadministrativo de un contrato o convenio está determinada por los sujetos que intervienen en el negocio jurídico que la ley permite aplicar para su celebración, lo cual comporta un grado de excepcionalidad frente a las demás tipologías contractuales donde los sujetos no están restringidos a una cualificación particular.</w:t>
      </w:r>
    </w:p>
    <w:p w14:paraId="248B7814" w14:textId="77777777" w:rsidR="00E4333A" w:rsidRDefault="00E4333A" w:rsidP="00E4333A">
      <w:pPr>
        <w:spacing w:after="120" w:line="276" w:lineRule="auto"/>
        <w:ind w:firstLine="709"/>
        <w:jc w:val="both"/>
        <w:rPr>
          <w:rFonts w:ascii="Verdana" w:eastAsia="Calibri" w:hAnsi="Verdana" w:cs="Arial"/>
          <w:color w:val="000000"/>
          <w:lang w:val="es-ES_tradnl"/>
        </w:rPr>
      </w:pPr>
      <w:r w:rsidRPr="00F07AB6">
        <w:rPr>
          <w:rFonts w:ascii="Verdana" w:eastAsia="Calibri" w:hAnsi="Verdana" w:cs="Arial"/>
          <w:color w:val="000000"/>
          <w:lang w:val="es-ES_tradnl"/>
        </w:rPr>
        <w:t xml:space="preserve">En consideración a dicho criterio orgánico, esta Subdirección ha sostenido que, 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de </w:t>
      </w:r>
      <w:r w:rsidRPr="00F07AB6">
        <w:rPr>
          <w:rFonts w:ascii="Verdana" w:eastAsia="Calibri" w:hAnsi="Verdana" w:cs="Arial"/>
          <w:color w:val="000000"/>
          <w:lang w:val="es-ES_tradnl"/>
        </w:rPr>
        <w:lastRenderedPageBreak/>
        <w:t>Ley 80 de 1993 celebrar esta clase de convenios con una entidad estatal de régimen especial y no por ello dejará de ser un contrato o convenio interadministrativo, caso en el cual su ejecución estará sometida a la Ley 80 de 1993</w:t>
      </w:r>
      <w:r w:rsidRPr="00F07AB6">
        <w:rPr>
          <w:rFonts w:ascii="Verdana" w:eastAsia="Calibri" w:hAnsi="Verdana" w:cs="Arial"/>
          <w:color w:val="000000"/>
          <w:vertAlign w:val="superscript"/>
          <w:lang w:val="es-ES_tradnl"/>
        </w:rPr>
        <w:footnoteReference w:id="6"/>
      </w:r>
      <w:r w:rsidRPr="00F07AB6">
        <w:rPr>
          <w:rFonts w:ascii="Verdana" w:eastAsia="Calibri" w:hAnsi="Verdana" w:cs="Arial"/>
          <w:color w:val="000000"/>
          <w:lang w:val="es-ES_tradnl"/>
        </w:rPr>
        <w:t>.</w:t>
      </w:r>
    </w:p>
    <w:p w14:paraId="158A596E" w14:textId="77777777" w:rsidR="00E4333A" w:rsidRPr="001A2EE1" w:rsidRDefault="00E4333A" w:rsidP="00441E73">
      <w:pPr>
        <w:spacing w:after="120" w:line="276" w:lineRule="auto"/>
        <w:ind w:firstLine="708"/>
        <w:jc w:val="both"/>
        <w:rPr>
          <w:rFonts w:ascii="Verdana" w:eastAsia="Calibri" w:hAnsi="Verdana" w:cs="Arial"/>
          <w:color w:val="000000"/>
          <w:lang w:val="es-ES_tradnl"/>
        </w:rPr>
      </w:pPr>
      <w:r w:rsidRPr="001A2EE1">
        <w:rPr>
          <w:rFonts w:ascii="Verdana" w:eastAsia="Calibri" w:hAnsi="Verdana" w:cs="Arial"/>
          <w:color w:val="000000"/>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1A2EE1">
        <w:rPr>
          <w:rFonts w:ascii="Verdana" w:eastAsia="Calibri" w:hAnsi="Verdana" w:cs="Arial"/>
          <w:color w:val="000000"/>
          <w:vertAlign w:val="superscript"/>
          <w:lang w:val="es-ES_tradnl"/>
        </w:rPr>
        <w:footnoteReference w:id="7"/>
      </w:r>
      <w:r w:rsidRPr="001A2EE1">
        <w:rPr>
          <w:rFonts w:ascii="Verdana" w:eastAsia="Calibri" w:hAnsi="Verdana" w:cs="Arial"/>
          <w:color w:val="000000"/>
          <w:lang w:val="es-ES_tradnl"/>
        </w:rPr>
        <w:t>. Nótese que, en este caso, lo que cambia es la modalidad de selección y no la naturaleza de contrato interadministrativo.</w:t>
      </w:r>
    </w:p>
    <w:p w14:paraId="77959358" w14:textId="77777777" w:rsidR="00E4333A" w:rsidRPr="001A2EE1" w:rsidRDefault="00E4333A" w:rsidP="00441E73">
      <w:pPr>
        <w:spacing w:after="120" w:line="276" w:lineRule="auto"/>
        <w:ind w:firstLine="708"/>
        <w:jc w:val="both"/>
        <w:rPr>
          <w:rFonts w:ascii="Verdana" w:eastAsia="Calibri" w:hAnsi="Verdana" w:cs="Arial"/>
          <w:color w:val="000000"/>
          <w:lang w:val="es-ES_tradnl"/>
        </w:rPr>
      </w:pPr>
      <w:r w:rsidRPr="001A2EE1">
        <w:rPr>
          <w:rFonts w:ascii="Verdana" w:eastAsia="Calibri" w:hAnsi="Verdana" w:cs="Arial"/>
          <w:color w:val="000000"/>
          <w:lang w:val="es-ES_tradnl"/>
        </w:rPr>
        <w:t>Además, es necesario tener en cuenta que para que un contrato o convenio interadministrativo exista debe cumplir con los siguientes elementos: acuerdo sobre el objeto y la contraprestación y que conste por escrito</w:t>
      </w:r>
      <w:r w:rsidRPr="001A2EE1">
        <w:rPr>
          <w:rFonts w:ascii="Verdana" w:eastAsia="Calibri" w:hAnsi="Verdana" w:cs="Arial"/>
          <w:color w:val="000000"/>
          <w:vertAlign w:val="superscript"/>
          <w:lang w:val="es-ES_tradnl"/>
        </w:rPr>
        <w:footnoteReference w:id="8"/>
      </w:r>
      <w:r w:rsidRPr="001A2EE1">
        <w:rPr>
          <w:rFonts w:ascii="Verdana" w:eastAsia="Calibri" w:hAnsi="Verdana" w:cs="Arial"/>
          <w:color w:val="000000"/>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04294A0" w14:textId="77777777" w:rsidR="00E4333A" w:rsidRDefault="00E4333A" w:rsidP="00E4333A">
      <w:pPr>
        <w:spacing w:after="120" w:line="276" w:lineRule="auto"/>
        <w:ind w:firstLine="708"/>
        <w:jc w:val="both"/>
        <w:rPr>
          <w:rFonts w:ascii="Verdana" w:eastAsia="Calibri" w:hAnsi="Verdana" w:cs="Arial"/>
          <w:bCs/>
          <w:lang w:val="es-ES"/>
        </w:rPr>
      </w:pPr>
      <w:r>
        <w:rPr>
          <w:rFonts w:ascii="Verdana" w:eastAsia="Arial" w:hAnsi="Verdana" w:cs="Arial"/>
          <w:color w:val="000000"/>
          <w:lang w:val="es-ES"/>
        </w:rPr>
        <w:t xml:space="preserve">Teniendo en cuenta el mencionado criterio orgánico, para dar respuesta al problema jurídico en específico, se debe determinar si las empresas de servicios públicos son entidades públicas que como tales puedan celebrar convenios interadministrativos. Para empezar, </w:t>
      </w:r>
      <w:r>
        <w:rPr>
          <w:rFonts w:ascii="Verdana" w:eastAsia="Calibri" w:hAnsi="Verdana" w:cs="Arial"/>
          <w:bCs/>
          <w:lang w:val="es-ES"/>
        </w:rPr>
        <w:t>l</w:t>
      </w:r>
      <w:r w:rsidRPr="0071096A">
        <w:rPr>
          <w:rFonts w:ascii="Verdana" w:eastAsia="Calibri" w:hAnsi="Verdana" w:cs="Arial"/>
          <w:bCs/>
          <w:lang w:val="es-ES"/>
        </w:rPr>
        <w:t>as empresas prestadoras del servicio públicos</w:t>
      </w:r>
      <w:r>
        <w:rPr>
          <w:rFonts w:ascii="Verdana" w:eastAsia="Calibri" w:hAnsi="Verdana" w:cs="Arial"/>
          <w:bCs/>
          <w:lang w:val="es-ES"/>
        </w:rPr>
        <w:t xml:space="preserve"> tienen la naturaleza jurídica de</w:t>
      </w:r>
      <w:r w:rsidRPr="0071096A">
        <w:rPr>
          <w:rFonts w:ascii="Verdana" w:eastAsia="Calibri" w:hAnsi="Verdana" w:cs="Arial"/>
          <w:bCs/>
          <w:lang w:val="es-ES"/>
        </w:rPr>
        <w:t xml:space="preserve"> empresas que pertenecen a la </w:t>
      </w:r>
      <w:r w:rsidRPr="0071096A">
        <w:rPr>
          <w:rFonts w:ascii="Verdana" w:eastAsia="Calibri" w:hAnsi="Verdana" w:cs="Arial"/>
          <w:bCs/>
          <w:i/>
          <w:iCs/>
          <w:lang w:val="es-ES"/>
        </w:rPr>
        <w:lastRenderedPageBreak/>
        <w:t>rama ejecutiva</w:t>
      </w:r>
      <w:r w:rsidRPr="0071096A">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 </w:t>
      </w:r>
    </w:p>
    <w:p w14:paraId="554C8921" w14:textId="48960679" w:rsidR="00E4333A" w:rsidRPr="0071096A" w:rsidRDefault="00E4333A" w:rsidP="00E4333A">
      <w:pPr>
        <w:spacing w:after="120" w:line="276" w:lineRule="auto"/>
        <w:ind w:firstLine="708"/>
        <w:jc w:val="both"/>
        <w:rPr>
          <w:rFonts w:ascii="Verdana" w:eastAsia="Calibri" w:hAnsi="Verdana" w:cs="Arial"/>
          <w:bCs/>
          <w:lang w:val="es-ES"/>
        </w:rPr>
      </w:pPr>
      <w:r>
        <w:rPr>
          <w:rFonts w:ascii="Verdana" w:eastAsia="Calibri" w:hAnsi="Verdana" w:cs="Arial"/>
          <w:bCs/>
          <w:lang w:val="es-ES"/>
        </w:rPr>
        <w:t>Sin embargo, e</w:t>
      </w:r>
      <w:r w:rsidRPr="0071096A">
        <w:rPr>
          <w:rFonts w:ascii="Verdana" w:eastAsia="Calibri" w:hAnsi="Verdana" w:cs="Arial"/>
          <w:bCs/>
          <w:lang w:val="es-ES"/>
        </w:rPr>
        <w:t xml:space="preserve">l artículo </w:t>
      </w:r>
      <w:r>
        <w:rPr>
          <w:rFonts w:ascii="Verdana" w:eastAsia="Calibri" w:hAnsi="Verdana" w:cs="Arial"/>
          <w:bCs/>
          <w:lang w:val="es-ES"/>
        </w:rPr>
        <w:t>68</w:t>
      </w:r>
      <w:r w:rsidRPr="0071096A">
        <w:rPr>
          <w:rFonts w:ascii="Verdana" w:eastAsia="Calibri" w:hAnsi="Verdana" w:cs="Arial"/>
          <w:bCs/>
          <w:lang w:val="es-ES"/>
        </w:rPr>
        <w:t xml:space="preserve"> </w:t>
      </w:r>
      <w:proofErr w:type="spellStart"/>
      <w:r w:rsidRPr="0071096A">
        <w:rPr>
          <w:rFonts w:ascii="Verdana" w:eastAsia="Calibri" w:hAnsi="Verdana" w:cs="Arial"/>
          <w:bCs/>
          <w:i/>
          <w:iCs/>
          <w:lang w:val="es-ES"/>
        </w:rPr>
        <w:t>ibídem</w:t>
      </w:r>
      <w:proofErr w:type="spellEnd"/>
      <w:r w:rsidRPr="0071096A">
        <w:rPr>
          <w:rFonts w:ascii="Verdana" w:eastAsia="Calibri" w:hAnsi="Verdana" w:cs="Arial"/>
          <w:bCs/>
          <w:lang w:val="es-ES"/>
        </w:rPr>
        <w:t xml:space="preserve">, al enlistar las entidades descentralizadas del orden nacional, se refirió únicamente a las empresas oficiales de servicios públicos, esto es, aquellas en las que la participación del Estado es del </w:t>
      </w:r>
      <w:r w:rsidR="00744C6B">
        <w:rPr>
          <w:rFonts w:ascii="Verdana" w:eastAsia="Calibri" w:hAnsi="Verdana" w:cs="Arial"/>
          <w:bCs/>
          <w:lang w:val="es-ES"/>
        </w:rPr>
        <w:t>cien por ciento (</w:t>
      </w:r>
      <w:r w:rsidRPr="0071096A">
        <w:rPr>
          <w:rFonts w:ascii="Verdana" w:eastAsia="Calibri" w:hAnsi="Verdana" w:cs="Arial"/>
          <w:bCs/>
          <w:lang w:val="es-ES"/>
        </w:rPr>
        <w:t>100%</w:t>
      </w:r>
      <w:r w:rsidR="00744C6B">
        <w:rPr>
          <w:rFonts w:ascii="Verdana" w:eastAsia="Calibri" w:hAnsi="Verdana" w:cs="Arial"/>
          <w:bCs/>
          <w:lang w:val="es-ES"/>
        </w:rPr>
        <w:t>)</w:t>
      </w:r>
      <w:r w:rsidRPr="0071096A">
        <w:rPr>
          <w:rFonts w:ascii="Verdana" w:eastAsia="Calibri" w:hAnsi="Verdana" w:cs="Arial"/>
          <w:bCs/>
          <w:vertAlign w:val="superscript"/>
          <w:lang w:val="es-ES"/>
        </w:rPr>
        <w:footnoteReference w:id="9"/>
      </w:r>
      <w:r>
        <w:rPr>
          <w:rFonts w:ascii="Verdana" w:eastAsia="Calibri" w:hAnsi="Verdana" w:cs="Arial"/>
          <w:bCs/>
          <w:lang w:val="es-ES"/>
        </w:rPr>
        <w:t>. Esto</w:t>
      </w:r>
      <w:r w:rsidRPr="0071096A">
        <w:rPr>
          <w:rFonts w:ascii="Verdana" w:eastAsia="Calibri" w:hAnsi="Verdana" w:cs="Arial"/>
          <w:bCs/>
          <w:lang w:val="es-ES"/>
        </w:rPr>
        <w:t xml:space="preserve"> llevó a pensar que el legislador había excluido de la Rama Ejecutiva a las empresas de servicios públicos mixtas –aquellas con capital público superior al </w:t>
      </w:r>
      <w:r w:rsidR="00744C6B">
        <w:rPr>
          <w:rFonts w:ascii="Verdana" w:eastAsia="Calibri" w:hAnsi="Verdana" w:cs="Arial"/>
          <w:bCs/>
          <w:lang w:val="es-ES"/>
        </w:rPr>
        <w:t>cincuenta por ciento (</w:t>
      </w:r>
      <w:r w:rsidRPr="0071096A">
        <w:rPr>
          <w:rFonts w:ascii="Verdana" w:eastAsia="Calibri" w:hAnsi="Verdana" w:cs="Arial"/>
          <w:bCs/>
          <w:lang w:val="es-ES"/>
        </w:rPr>
        <w:t>50%</w:t>
      </w:r>
      <w:r w:rsidR="00744C6B">
        <w:rPr>
          <w:rFonts w:ascii="Verdana" w:eastAsia="Calibri" w:hAnsi="Verdana" w:cs="Arial"/>
          <w:bCs/>
          <w:lang w:val="es-ES"/>
        </w:rPr>
        <w:t>)</w:t>
      </w:r>
      <w:r w:rsidRPr="0071096A">
        <w:rPr>
          <w:rFonts w:ascii="Verdana" w:eastAsia="Calibri" w:hAnsi="Verdana" w:cs="Arial"/>
          <w:bCs/>
          <w:lang w:val="es-ES"/>
        </w:rPr>
        <w:t xml:space="preserve">– y las privadas –las que cuentan con capital público inferior al </w:t>
      </w:r>
      <w:r w:rsidR="00744C6B">
        <w:rPr>
          <w:rFonts w:ascii="Verdana" w:eastAsia="Calibri" w:hAnsi="Verdana" w:cs="Arial"/>
          <w:bCs/>
          <w:lang w:val="es-ES"/>
        </w:rPr>
        <w:t>cincuenta por ciento (</w:t>
      </w:r>
      <w:r w:rsidRPr="0071096A">
        <w:rPr>
          <w:rFonts w:ascii="Verdana" w:eastAsia="Calibri" w:hAnsi="Verdana" w:cs="Arial"/>
          <w:bCs/>
          <w:lang w:val="es-ES"/>
        </w:rPr>
        <w:t>50%</w:t>
      </w:r>
      <w:r w:rsidR="00744C6B">
        <w:rPr>
          <w:rFonts w:ascii="Verdana" w:eastAsia="Calibri" w:hAnsi="Verdana" w:cs="Arial"/>
          <w:bCs/>
          <w:lang w:val="es-ES"/>
        </w:rPr>
        <w:t>)</w:t>
      </w:r>
      <w:r w:rsidRPr="0071096A">
        <w:rPr>
          <w:rFonts w:ascii="Verdana" w:eastAsia="Calibri" w:hAnsi="Verdana" w:cs="Arial"/>
          <w:bCs/>
          <w:lang w:val="es-ES"/>
        </w:rPr>
        <w:t xml:space="preserve">–. Sin embargo, la Corte Constitucional determinó que tanto las empresas de servicios públicos mixtas como las privadas hacían </w:t>
      </w:r>
      <w:r w:rsidRPr="002D6E15">
        <w:rPr>
          <w:rFonts w:ascii="Verdana" w:eastAsia="Calibri" w:hAnsi="Verdana" w:cs="Arial"/>
          <w:bCs/>
          <w:i/>
          <w:iCs/>
          <w:lang w:val="es-ES"/>
        </w:rPr>
        <w:t>parte de la Rama Ejecutiva</w:t>
      </w:r>
      <w:r w:rsidRPr="0071096A">
        <w:rPr>
          <w:rFonts w:ascii="Verdana" w:eastAsia="Calibri" w:hAnsi="Verdana" w:cs="Arial"/>
          <w:bCs/>
          <w:lang w:val="es-ES"/>
        </w:rPr>
        <w:t xml:space="preserve">, toda vez que el </w:t>
      </w:r>
      <w:r>
        <w:rPr>
          <w:rFonts w:ascii="Verdana" w:eastAsia="Calibri" w:hAnsi="Verdana" w:cs="Arial"/>
          <w:bCs/>
          <w:lang w:val="es-ES"/>
        </w:rPr>
        <w:t xml:space="preserve">numeral 2 del </w:t>
      </w:r>
      <w:r w:rsidRPr="0071096A">
        <w:rPr>
          <w:rFonts w:ascii="Verdana" w:eastAsia="Calibri" w:hAnsi="Verdana" w:cs="Arial"/>
          <w:bCs/>
          <w:lang w:val="es-ES"/>
        </w:rPr>
        <w:t>literal g) del artículo 38</w:t>
      </w:r>
      <w:r>
        <w:rPr>
          <w:rFonts w:ascii="Verdana" w:eastAsia="Calibri" w:hAnsi="Verdana" w:cs="Arial"/>
          <w:bCs/>
          <w:lang w:val="es-ES"/>
        </w:rPr>
        <w:t xml:space="preserve"> </w:t>
      </w:r>
      <w:r w:rsidRPr="0071096A">
        <w:rPr>
          <w:rFonts w:ascii="Verdana" w:eastAsia="Calibri" w:hAnsi="Verdana" w:cs="Arial"/>
          <w:bCs/>
          <w:lang w:val="es-ES"/>
        </w:rPr>
        <w:t>de la Ley 489 de 1998 dice en su literal “g) Las demás entidades administrativas nacionales con personería jurídica que cree, organice o autorice la ley para que formen parte de la Rama Ejecutiva del Poder Público”.</w:t>
      </w:r>
    </w:p>
    <w:p w14:paraId="74358A02" w14:textId="77777777" w:rsidR="00E4333A" w:rsidRPr="0071096A" w:rsidRDefault="00E4333A" w:rsidP="00E4333A">
      <w:pPr>
        <w:spacing w:before="120" w:after="0" w:line="276" w:lineRule="auto"/>
        <w:ind w:firstLine="709"/>
        <w:jc w:val="both"/>
        <w:rPr>
          <w:rFonts w:ascii="Verdana" w:eastAsia="Calibri" w:hAnsi="Verdana" w:cs="Arial"/>
          <w:bCs/>
          <w:lang w:val="es-ES"/>
        </w:rPr>
      </w:pPr>
      <w:r w:rsidRPr="0071096A">
        <w:rPr>
          <w:rFonts w:ascii="Verdana" w:eastAsia="Calibri" w:hAnsi="Verdana" w:cs="Arial"/>
          <w:bCs/>
          <w:lang w:val="es-ES"/>
        </w:rPr>
        <w:t xml:space="preserve">Además de confirmar que las empresas de servicios públicos pertenecen a la rama ejecutiva, la Corte Constitucional sostuvo que tienen el carácter de </w:t>
      </w:r>
      <w:r w:rsidRPr="0071096A">
        <w:rPr>
          <w:rFonts w:ascii="Verdana" w:eastAsia="Calibri" w:hAnsi="Verdana" w:cs="Arial"/>
          <w:bCs/>
          <w:i/>
          <w:iCs/>
          <w:lang w:val="es-ES"/>
        </w:rPr>
        <w:t>entidades descentralizadas por servicios</w:t>
      </w:r>
      <w:r w:rsidRPr="0071096A">
        <w:rPr>
          <w:rFonts w:ascii="Verdana" w:eastAsia="Calibri" w:hAnsi="Verdana" w:cs="Arial"/>
          <w:bCs/>
          <w:lang w:val="es-ES"/>
        </w:rPr>
        <w:t>, en los términos del artículo 68 de la Ley 489 de 1998:</w:t>
      </w:r>
    </w:p>
    <w:p w14:paraId="44FC5275" w14:textId="77777777" w:rsidR="00E4333A" w:rsidRPr="0071096A" w:rsidRDefault="00E4333A" w:rsidP="00E4333A">
      <w:pPr>
        <w:spacing w:after="0" w:line="276" w:lineRule="auto"/>
        <w:contextualSpacing/>
        <w:jc w:val="both"/>
        <w:rPr>
          <w:rFonts w:ascii="Verdana" w:eastAsia="Calibri" w:hAnsi="Verdana" w:cs="Arial"/>
          <w:bCs/>
          <w:lang w:val="es-ES"/>
        </w:rPr>
      </w:pPr>
    </w:p>
    <w:p w14:paraId="1EF4235B"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r w:rsidRPr="00441E73">
        <w:rPr>
          <w:rFonts w:ascii="Verdana" w:eastAsia="Calibri" w:hAnsi="Verdana" w:cs="Arial"/>
          <w:sz w:val="20"/>
          <w:szCs w:val="20"/>
          <w:lang w:val="es-ES"/>
        </w:rPr>
        <w:t xml:space="preserve">“Nótese cómo una empresa de servicios públicos privada es aquella que mayoritariamente pertenece a particulares, lo cual a contrario sensu, significa que minoritariamente pertenece al Estado o a sus entidades. Y que una empresa de servicios públicos mixta es aquella en la cual el capital público es igual o superior al cincuenta por ciento (50%), lo cual significa que minoritariamente pertenece a particulares. Así las cosas, una y otra se conforman con aporte de capital público, por lo cual su exclusión de la estructura de la Rama Ejecutiva y de categoría jurídica denominada “entidades descentralizadas” resulta constitucionalmente cuestionable, toda vez que implica, a su vez, la exclusión de las consecuencias jurídicas </w:t>
      </w:r>
      <w:r w:rsidRPr="00441E73">
        <w:rPr>
          <w:rFonts w:ascii="Verdana" w:eastAsia="Calibri" w:hAnsi="Verdana" w:cs="Arial"/>
          <w:sz w:val="20"/>
          <w:szCs w:val="20"/>
          <w:lang w:val="es-ES"/>
        </w:rPr>
        <w:lastRenderedPageBreak/>
        <w:t>derivadas de tal naturaleza jurídica, dispuestas expresamente por la Constitución.</w:t>
      </w:r>
    </w:p>
    <w:p w14:paraId="16FD0D2A"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p>
    <w:p w14:paraId="04EEB318"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r w:rsidRPr="00441E73">
        <w:rPr>
          <w:rFonts w:ascii="Verdana" w:eastAsia="Calibri" w:hAnsi="Verdana" w:cs="Arial"/>
          <w:sz w:val="20"/>
          <w:szCs w:val="20"/>
          <w:lang w:val="es-ES"/>
        </w:rPr>
        <w:t>No obstante, la Corte observa que una interpretación armónica del literal d) del artículo 38 de la Ley 489 de 1998, junto con el literal g) de la misma norma, permiten entender que la voluntad legislativa no fue excluir a las empresas de servicios públicos mixtas o privadas de la pertenencia a la Rama Ejecutiva del poder público. […]</w:t>
      </w:r>
    </w:p>
    <w:p w14:paraId="545940FC"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p>
    <w:p w14:paraId="7F1EF642"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r w:rsidRPr="00441E73">
        <w:rPr>
          <w:rFonts w:ascii="Verdana" w:eastAsia="Calibri" w:hAnsi="Verdana" w:cs="Arial"/>
          <w:sz w:val="20"/>
          <w:szCs w:val="20"/>
          <w:lang w:val="es-ES"/>
        </w:rPr>
        <w:t>Nótese como en el literal d) el legislador incluye a las “demás entidades nacionales con personería jurídica que creen organice o autorice la ley para que formen parte de la Rama Ejecutiva del Poder Público”, categoría dentro de la cual deben entenderse incluidas las empresas de servicios públicos mixtas o privadas, que, de esta manera, se entienden como parte de la Rama Ejecutiva en su sector descentralizado nacional.</w:t>
      </w:r>
    </w:p>
    <w:p w14:paraId="61DA45B3"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p>
    <w:p w14:paraId="0DB0CA75"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r w:rsidRPr="00441E73">
        <w:rPr>
          <w:rFonts w:ascii="Verdana" w:eastAsia="Calibri" w:hAnsi="Verdana" w:cs="Arial"/>
          <w:sz w:val="20"/>
          <w:szCs w:val="20"/>
          <w:lang w:val="es-ES"/>
        </w:rPr>
        <w:t xml:space="preserve">Así las cosas, de cara a la constitucionalidad del artículo 38 de la Ley 489 de 1998, y concretamente de la expresión “las empresas oficiales de servicios públicos domiciliarios” contenida en su literal d), la Corte declarará su </w:t>
      </w:r>
      <w:proofErr w:type="spellStart"/>
      <w:r w:rsidRPr="00441E73">
        <w:rPr>
          <w:rFonts w:ascii="Verdana" w:eastAsia="Calibri" w:hAnsi="Verdana" w:cs="Arial"/>
          <w:sz w:val="20"/>
          <w:szCs w:val="20"/>
          <w:lang w:val="es-ES"/>
        </w:rPr>
        <w:t>exequibiliad</w:t>
      </w:r>
      <w:proofErr w:type="spellEnd"/>
      <w:r w:rsidRPr="00441E73">
        <w:rPr>
          <w:rFonts w:ascii="Verdana" w:eastAsia="Calibri" w:hAnsi="Verdana" w:cs="Arial"/>
          <w:sz w:val="20"/>
          <w:szCs w:val="20"/>
          <w:lang w:val="es-ES"/>
        </w:rPr>
        <w:t>, por considerar que dentro del supuesto normativo del literal g) se comprenden las empresas mixtas o privadas de servicios públicos, que de esta manera viene a conformar también la Rama Ejecutiva del poder público.</w:t>
      </w:r>
    </w:p>
    <w:p w14:paraId="5253A998"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p>
    <w:p w14:paraId="6E9E03CF"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r w:rsidRPr="00441E73">
        <w:rPr>
          <w:rFonts w:ascii="Verdana" w:eastAsia="Calibri" w:hAnsi="Verdana" w:cs="Arial"/>
          <w:sz w:val="20"/>
          <w:szCs w:val="20"/>
          <w:lang w:val="es-ES"/>
        </w:rPr>
        <w:t>[…]</w:t>
      </w:r>
    </w:p>
    <w:p w14:paraId="3F050300"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p>
    <w:p w14:paraId="3E50F8EF" w14:textId="77777777" w:rsidR="00E4333A" w:rsidRPr="00441E73" w:rsidRDefault="00E4333A" w:rsidP="00E4333A">
      <w:pPr>
        <w:spacing w:after="0" w:line="240" w:lineRule="auto"/>
        <w:ind w:left="709" w:right="709"/>
        <w:contextualSpacing/>
        <w:jc w:val="both"/>
        <w:rPr>
          <w:rFonts w:ascii="Verdana" w:eastAsia="Calibri" w:hAnsi="Verdana" w:cs="Arial"/>
          <w:sz w:val="20"/>
          <w:szCs w:val="20"/>
          <w:lang w:val="es-ES"/>
        </w:rPr>
      </w:pPr>
      <w:r w:rsidRPr="00441E73">
        <w:rPr>
          <w:rFonts w:ascii="Verdana" w:eastAsia="Calibri" w:hAnsi="Verdana" w:cs="Arial"/>
          <w:sz w:val="20"/>
          <w:szCs w:val="20"/>
          <w:lang w:val="es-ES"/>
        </w:rPr>
        <w:t>Obsérvese que si bien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(Subraya la Corte). Así las cosas, de manera implícita incluye a las empresas de servicios públicos mixtas o privadas como entidades descentralizadas, por lo cual la Corte no encuentra obstáculo para declarar su constitucionalidad”</w:t>
      </w:r>
      <w:r w:rsidRPr="00441E73">
        <w:rPr>
          <w:rFonts w:ascii="Verdana" w:eastAsia="Calibri" w:hAnsi="Verdana" w:cs="Arial"/>
          <w:sz w:val="20"/>
          <w:szCs w:val="20"/>
          <w:vertAlign w:val="superscript"/>
          <w:lang w:val="es-ES"/>
        </w:rPr>
        <w:footnoteReference w:id="10"/>
      </w:r>
    </w:p>
    <w:p w14:paraId="436AABCF" w14:textId="77777777" w:rsidR="00E4333A" w:rsidRPr="0071096A" w:rsidRDefault="00E4333A" w:rsidP="00E4333A">
      <w:pPr>
        <w:spacing w:after="0" w:line="276" w:lineRule="auto"/>
        <w:contextualSpacing/>
        <w:rPr>
          <w:rFonts w:ascii="Verdana" w:eastAsia="Calibri" w:hAnsi="Verdana" w:cs="Arial"/>
          <w:bCs/>
          <w:lang w:val="es-ES"/>
        </w:rPr>
      </w:pPr>
    </w:p>
    <w:p w14:paraId="6E4E0CDF" w14:textId="77777777" w:rsidR="00E4333A" w:rsidRPr="0071096A" w:rsidRDefault="00E4333A" w:rsidP="00E4333A">
      <w:pPr>
        <w:spacing w:after="0" w:line="276" w:lineRule="auto"/>
        <w:ind w:firstLine="708"/>
        <w:contextualSpacing/>
        <w:jc w:val="both"/>
        <w:rPr>
          <w:rFonts w:ascii="Verdana" w:eastAsia="Calibri" w:hAnsi="Verdana" w:cs="Arial"/>
          <w:bCs/>
          <w:sz w:val="21"/>
          <w:szCs w:val="21"/>
          <w:lang w:val="es-ES"/>
        </w:rPr>
      </w:pPr>
      <w:r w:rsidRPr="0071096A">
        <w:rPr>
          <w:rFonts w:ascii="Verdana" w:eastAsia="Calibri" w:hAnsi="Verdana" w:cs="Arial"/>
          <w:bCs/>
          <w:lang w:val="es-ES"/>
        </w:rPr>
        <w:t xml:space="preserve">Además, es importante resaltar que las empresas de servicios públicos cuentan con un carácter especial otorgado desde la Constitución Política. En </w:t>
      </w:r>
      <w:r w:rsidRPr="0071096A">
        <w:rPr>
          <w:rFonts w:ascii="Verdana" w:eastAsia="Calibri" w:hAnsi="Verdana" w:cs="Arial"/>
          <w:bCs/>
          <w:lang w:val="es-ES"/>
        </w:rPr>
        <w:lastRenderedPageBreak/>
        <w:t xml:space="preserve">virtud de lo anterior, las empresas prestadoras de servicios públicos que tienen un carácter mixto </w:t>
      </w:r>
      <w:r w:rsidRPr="002D6E15">
        <w:rPr>
          <w:rFonts w:ascii="Verdana" w:eastAsia="Calibri" w:hAnsi="Verdana" w:cs="Arial"/>
          <w:bCs/>
          <w:i/>
          <w:iCs/>
          <w:u w:val="single"/>
          <w:lang w:val="es-ES"/>
        </w:rPr>
        <w:t>no</w:t>
      </w:r>
      <w:r w:rsidRPr="0071096A">
        <w:rPr>
          <w:rFonts w:ascii="Verdana" w:eastAsia="Calibri" w:hAnsi="Verdana" w:cs="Arial"/>
          <w:bCs/>
          <w:lang w:val="es-ES"/>
        </w:rPr>
        <w:t xml:space="preserve"> pueden confundirse con las sociedades de economía mixta o las empresas industriales y comerciales del Estado, pues tienen una naturaleza jurídica distinta. La Corte Constitucional señaló esta distinción entre ambas figuras en los siguientes términos:</w:t>
      </w:r>
    </w:p>
    <w:p w14:paraId="4350BDB3" w14:textId="77777777" w:rsidR="00E4333A" w:rsidRPr="0071096A" w:rsidRDefault="00E4333A" w:rsidP="00E4333A">
      <w:pPr>
        <w:spacing w:after="0" w:line="276" w:lineRule="auto"/>
        <w:contextualSpacing/>
        <w:rPr>
          <w:rFonts w:ascii="Verdana" w:eastAsia="Calibri" w:hAnsi="Verdana" w:cs="Arial"/>
          <w:bCs/>
          <w:sz w:val="21"/>
          <w:szCs w:val="21"/>
          <w:lang w:val="es-ES"/>
        </w:rPr>
      </w:pPr>
    </w:p>
    <w:p w14:paraId="0B8A4B15" w14:textId="77777777" w:rsidR="00E4333A" w:rsidRPr="0071096A" w:rsidRDefault="00E4333A" w:rsidP="00E4333A">
      <w:pPr>
        <w:spacing w:after="0" w:line="240" w:lineRule="auto"/>
        <w:ind w:left="709" w:right="709"/>
        <w:contextualSpacing/>
        <w:jc w:val="both"/>
        <w:rPr>
          <w:rFonts w:ascii="Verdana" w:eastAsia="Calibri" w:hAnsi="Verdana" w:cs="Arial"/>
          <w:bCs/>
          <w:sz w:val="21"/>
          <w:szCs w:val="21"/>
          <w:lang w:val="es-ES"/>
        </w:rPr>
      </w:pPr>
      <w:r w:rsidRPr="0071096A">
        <w:rPr>
          <w:rFonts w:ascii="Verdana" w:eastAsia="Calibri" w:hAnsi="Verdana" w:cs="Arial"/>
          <w:bCs/>
          <w:sz w:val="21"/>
          <w:szCs w:val="21"/>
          <w:lang w:val="es-ES"/>
        </w:rPr>
        <w:t xml:space="preserve">“No obstante, después de haber estudiado los conceptos de sociedad de economía mixta y de empresa de servicios públicos, la Corte estima que la naturaleza y el régimen jurídico especial de la prestación de los servicios públicos dispuesto por el constituyente de la Carta </w:t>
      </w:r>
      <w:r w:rsidRPr="0071096A">
        <w:rPr>
          <w:rFonts w:ascii="Verdana" w:eastAsia="Calibri" w:hAnsi="Verdana" w:cs="Arial"/>
          <w:bCs/>
          <w:i/>
          <w:iCs/>
          <w:sz w:val="21"/>
          <w:szCs w:val="21"/>
          <w:lang w:val="es-ES"/>
        </w:rPr>
        <w:t>impiden considerar que las empresas de servicios públicos constituidas bajo la forma de sociedades por acciones, en las cuales concurran en cualquier proporción el capital público y el privado, sean “sociedades de economía mixta”</w:t>
      </w:r>
      <w:r w:rsidRPr="0071096A">
        <w:rPr>
          <w:rFonts w:ascii="Verdana" w:eastAsia="Calibri" w:hAnsi="Verdana" w:cs="Arial"/>
          <w:bCs/>
          <w:sz w:val="21"/>
          <w:szCs w:val="21"/>
          <w:lang w:val="es-ES"/>
        </w:rPr>
        <w:t>, A juicio de la Corporación, y por lo dicho anteriormente, se trata de entidades de tipología especial expresamente definida por el legislador en desarrollo de las normas superiores antes mencionadas, que señalan las particularidades de esta actividad.</w:t>
      </w:r>
    </w:p>
    <w:p w14:paraId="536F09F1" w14:textId="77777777" w:rsidR="00E4333A" w:rsidRPr="0071096A" w:rsidRDefault="00E4333A" w:rsidP="00E4333A">
      <w:pPr>
        <w:spacing w:after="0" w:line="240" w:lineRule="auto"/>
        <w:ind w:left="709" w:right="709"/>
        <w:contextualSpacing/>
        <w:jc w:val="both"/>
        <w:rPr>
          <w:rFonts w:ascii="Verdana" w:eastAsia="Calibri" w:hAnsi="Verdana" w:cs="Arial"/>
          <w:bCs/>
          <w:sz w:val="21"/>
          <w:szCs w:val="21"/>
          <w:lang w:val="es-ES"/>
        </w:rPr>
      </w:pPr>
    </w:p>
    <w:p w14:paraId="65DD4DEC" w14:textId="77777777" w:rsidR="00E4333A" w:rsidRPr="0071096A" w:rsidRDefault="00E4333A" w:rsidP="00E4333A">
      <w:pPr>
        <w:spacing w:after="0" w:line="240" w:lineRule="auto"/>
        <w:ind w:left="709" w:right="709"/>
        <w:contextualSpacing/>
        <w:jc w:val="both"/>
        <w:rPr>
          <w:rFonts w:ascii="Verdana" w:eastAsia="Calibri" w:hAnsi="Verdana" w:cs="Arial"/>
          <w:bCs/>
          <w:sz w:val="21"/>
          <w:szCs w:val="21"/>
          <w:lang w:val="es-ES"/>
        </w:rPr>
      </w:pPr>
      <w:r w:rsidRPr="0071096A">
        <w:rPr>
          <w:rFonts w:ascii="Verdana" w:eastAsia="Calibri" w:hAnsi="Verdana" w:cs="Arial"/>
          <w:bCs/>
          <w:sz w:val="21"/>
          <w:szCs w:val="21"/>
          <w:lang w:val="es-ES"/>
        </w:rPr>
        <w:t>[…]</w:t>
      </w:r>
    </w:p>
    <w:p w14:paraId="76033BBC" w14:textId="77777777" w:rsidR="00E4333A" w:rsidRPr="0071096A" w:rsidRDefault="00E4333A" w:rsidP="00E4333A">
      <w:pPr>
        <w:spacing w:after="0" w:line="240" w:lineRule="auto"/>
        <w:ind w:left="709" w:right="709"/>
        <w:contextualSpacing/>
        <w:jc w:val="both"/>
        <w:rPr>
          <w:rFonts w:ascii="Verdana" w:eastAsia="Calibri" w:hAnsi="Verdana" w:cs="Arial"/>
          <w:bCs/>
          <w:sz w:val="21"/>
          <w:szCs w:val="21"/>
          <w:lang w:val="es-ES"/>
        </w:rPr>
      </w:pPr>
    </w:p>
    <w:p w14:paraId="751795CD" w14:textId="77777777" w:rsidR="00E4333A" w:rsidRPr="0071096A" w:rsidRDefault="00E4333A" w:rsidP="00E4333A">
      <w:pPr>
        <w:spacing w:after="0" w:line="240" w:lineRule="auto"/>
        <w:ind w:left="709" w:right="709"/>
        <w:contextualSpacing/>
        <w:jc w:val="both"/>
        <w:rPr>
          <w:rFonts w:ascii="Verdana" w:eastAsia="Calibri" w:hAnsi="Verdana" w:cs="Arial"/>
          <w:bCs/>
          <w:sz w:val="21"/>
          <w:szCs w:val="21"/>
          <w:lang w:val="es-ES"/>
        </w:rPr>
      </w:pPr>
      <w:r w:rsidRPr="0071096A">
        <w:rPr>
          <w:rFonts w:ascii="Verdana" w:eastAsia="Calibri" w:hAnsi="Verdana" w:cs="Arial"/>
          <w:bCs/>
          <w:sz w:val="21"/>
          <w:szCs w:val="21"/>
          <w:lang w:val="es-ES"/>
        </w:rPr>
        <w:t xml:space="preserve">Al parecer de la Corte, la interpretación según la cual las empresas de servicios públicos son sociedades de economía mixta resulta contraria a la Constitución. Ciertamente, según se dijo arriba, del artículo 365 superior se desprende que régimen y la naturaleza jurídica de los prestadores de servicios públicos </w:t>
      </w:r>
      <w:r w:rsidRPr="0071096A">
        <w:rPr>
          <w:rFonts w:ascii="Verdana" w:eastAsia="Calibri" w:hAnsi="Verdana" w:cs="Arial"/>
          <w:bCs/>
          <w:i/>
          <w:iCs/>
          <w:sz w:val="21"/>
          <w:szCs w:val="21"/>
          <w:lang w:val="es-ES"/>
        </w:rPr>
        <w:t>es especial</w:t>
      </w:r>
      <w:r w:rsidRPr="0071096A">
        <w:rPr>
          <w:rFonts w:ascii="Verdana" w:eastAsia="Calibri" w:hAnsi="Verdana" w:cs="Arial"/>
          <w:bCs/>
          <w:sz w:val="21"/>
          <w:szCs w:val="21"/>
          <w:lang w:val="es-ES"/>
        </w:rPr>
        <w:t>; además, del numeral 7° del artículo 150 de la Carta, se extrae que el legislador está constitucionalmente autorizado para crear o autorizar la creación de” otras entidades del orden nacional “, distintas de los establecimientos públicos, las empresas comerciales e industriales del Estado y las Sociedades de economía mixta”</w:t>
      </w:r>
      <w:r w:rsidRPr="0071096A">
        <w:rPr>
          <w:rFonts w:ascii="Verdana" w:eastAsia="Calibri" w:hAnsi="Verdana" w:cs="Arial"/>
          <w:bCs/>
          <w:sz w:val="21"/>
          <w:szCs w:val="21"/>
          <w:vertAlign w:val="superscript"/>
          <w:lang w:val="es-ES"/>
        </w:rPr>
        <w:footnoteReference w:id="11"/>
      </w:r>
      <w:r w:rsidRPr="0071096A">
        <w:rPr>
          <w:rFonts w:ascii="Verdana" w:eastAsia="Calibri" w:hAnsi="Verdana" w:cs="Arial"/>
          <w:bCs/>
          <w:sz w:val="21"/>
          <w:szCs w:val="21"/>
          <w:lang w:val="es-ES"/>
        </w:rPr>
        <w:t>. [Énfasis fuera del texto original]</w:t>
      </w:r>
    </w:p>
    <w:p w14:paraId="24DAD914" w14:textId="77777777" w:rsidR="00E4333A" w:rsidRPr="0071096A" w:rsidRDefault="00E4333A" w:rsidP="00E4333A">
      <w:pPr>
        <w:spacing w:after="0" w:line="276" w:lineRule="auto"/>
        <w:ind w:left="709" w:right="709"/>
        <w:contextualSpacing/>
        <w:jc w:val="both"/>
        <w:rPr>
          <w:rFonts w:ascii="Verdana" w:eastAsia="Calibri" w:hAnsi="Verdana" w:cs="Arial"/>
          <w:bCs/>
          <w:lang w:val="es-ES"/>
        </w:rPr>
      </w:pPr>
    </w:p>
    <w:p w14:paraId="7AC694A0" w14:textId="77777777" w:rsidR="00E4333A" w:rsidRPr="0071096A" w:rsidRDefault="00E4333A" w:rsidP="00E4333A">
      <w:pPr>
        <w:spacing w:after="0" w:line="276" w:lineRule="auto"/>
        <w:ind w:firstLine="708"/>
        <w:jc w:val="both"/>
        <w:rPr>
          <w:rFonts w:ascii="Verdana" w:eastAsia="Calibri" w:hAnsi="Verdana" w:cs="Arial"/>
          <w:color w:val="000000"/>
          <w:lang w:val="es-ES"/>
        </w:rPr>
      </w:pPr>
      <w:r w:rsidRPr="0071096A">
        <w:rPr>
          <w:rFonts w:ascii="Verdana" w:eastAsia="Calibri" w:hAnsi="Verdana" w:cs="Arial"/>
          <w:bCs/>
          <w:lang w:val="es-ES"/>
        </w:rPr>
        <w:t xml:space="preserve">Aunque existe una distinción clara entre las empresas de servicios públicos, las sociedades de economía mixta y las empresas industriales y comerciales del Estado, es necesario aclarar que </w:t>
      </w:r>
      <w:r w:rsidRPr="0071096A">
        <w:rPr>
          <w:rFonts w:ascii="Verdana" w:eastAsia="Calibri" w:hAnsi="Verdana" w:cs="Arial"/>
          <w:color w:val="000000"/>
          <w:lang w:val="es-ES"/>
        </w:rPr>
        <w:t>el artículo 17 de la Ley 142 de 1994 establece que</w:t>
      </w:r>
      <w:r>
        <w:rPr>
          <w:rFonts w:ascii="Verdana" w:eastAsia="Calibri" w:hAnsi="Verdana" w:cs="Arial"/>
          <w:color w:val="000000"/>
          <w:lang w:val="es-ES"/>
        </w:rPr>
        <w:t xml:space="preserve"> las empresas de servicios públicos</w:t>
      </w:r>
      <w:r w:rsidRPr="0071096A">
        <w:rPr>
          <w:rFonts w:ascii="Verdana" w:eastAsia="Calibri" w:hAnsi="Verdana" w:cs="Arial"/>
          <w:bCs/>
          <w:lang w:val="es-ES"/>
        </w:rPr>
        <w:t xml:space="preserve"> son </w:t>
      </w:r>
      <w:r w:rsidRPr="0071096A">
        <w:rPr>
          <w:rFonts w:ascii="Verdana" w:eastAsia="Calibri" w:hAnsi="Verdana" w:cs="Arial"/>
          <w:bCs/>
          <w:i/>
          <w:iCs/>
          <w:lang w:val="es-ES"/>
        </w:rPr>
        <w:t>sociedades por acciones</w:t>
      </w:r>
      <w:r w:rsidRPr="0071096A">
        <w:rPr>
          <w:rFonts w:ascii="Verdana" w:eastAsia="Calibri" w:hAnsi="Verdana" w:cs="Arial"/>
          <w:bCs/>
          <w:lang w:val="es-ES"/>
        </w:rPr>
        <w:t xml:space="preserve"> cuyo objeto es la prestación de los servicios señalados en dicha norma. Sin embargo,</w:t>
      </w:r>
      <w:r w:rsidRPr="0071096A">
        <w:rPr>
          <w:rFonts w:ascii="Verdana" w:eastAsia="Calibri" w:hAnsi="Verdana" w:cs="Arial"/>
          <w:color w:val="000000"/>
          <w:lang w:val="es-ES"/>
        </w:rPr>
        <w:t xml:space="preserve"> “Las entidades descentralizadas de cualquier orden territorial o </w:t>
      </w:r>
      <w:r w:rsidRPr="0071096A">
        <w:rPr>
          <w:rFonts w:ascii="Verdana" w:eastAsia="Calibri" w:hAnsi="Verdana" w:cs="Arial"/>
          <w:color w:val="000000"/>
          <w:lang w:val="es-ES"/>
        </w:rPr>
        <w:lastRenderedPageBreak/>
        <w:t xml:space="preserve">nacional, cuyos propietarios no deseen que su capital esté representado en acciones, </w:t>
      </w:r>
      <w:r w:rsidRPr="0071096A">
        <w:rPr>
          <w:rFonts w:ascii="Verdana" w:eastAsia="Calibri" w:hAnsi="Verdana" w:cs="Arial"/>
          <w:i/>
          <w:iCs/>
          <w:color w:val="000000"/>
          <w:lang w:val="es-ES"/>
        </w:rPr>
        <w:t>deberán adoptar la forma de empresa industrial y comercial del estado</w:t>
      </w:r>
      <w:r w:rsidRPr="0071096A">
        <w:rPr>
          <w:rFonts w:ascii="Verdana" w:eastAsia="Calibri" w:hAnsi="Verdana" w:cs="Arial"/>
          <w:color w:val="000000"/>
          <w:lang w:val="es-ES"/>
        </w:rPr>
        <w:t xml:space="preserve">” </w:t>
      </w:r>
      <w:r>
        <w:rPr>
          <w:rFonts w:ascii="Verdana" w:eastAsia="Calibri" w:hAnsi="Verdana" w:cs="Arial"/>
          <w:color w:val="000000"/>
          <w:lang w:val="es-ES"/>
        </w:rPr>
        <w:t>[</w:t>
      </w:r>
      <w:r w:rsidRPr="0071096A">
        <w:rPr>
          <w:rFonts w:ascii="Verdana" w:eastAsia="Calibri" w:hAnsi="Verdana" w:cs="Arial"/>
          <w:color w:val="000000"/>
          <w:lang w:val="es-ES"/>
        </w:rPr>
        <w:t>Énfasis fuera de texto</w:t>
      </w:r>
      <w:r>
        <w:rPr>
          <w:rFonts w:ascii="Verdana" w:eastAsia="Calibri" w:hAnsi="Verdana" w:cs="Arial"/>
          <w:color w:val="000000"/>
          <w:lang w:val="es-ES"/>
        </w:rPr>
        <w:t>]</w:t>
      </w:r>
      <w:r w:rsidRPr="0071096A">
        <w:rPr>
          <w:rFonts w:ascii="Verdana" w:eastAsia="Calibri" w:hAnsi="Verdana" w:cs="Arial"/>
          <w:color w:val="000000"/>
          <w:lang w:val="es-ES"/>
        </w:rPr>
        <w:t xml:space="preserve">. Es decir que, las empresas de servicios públicos pueden tener la forma de sociedades por acciones o de empresas industriales y comerciales del Estado. Cuando se configure el supuesto </w:t>
      </w:r>
      <w:r>
        <w:rPr>
          <w:rFonts w:ascii="Verdana" w:eastAsia="Calibri" w:hAnsi="Verdana" w:cs="Arial"/>
          <w:color w:val="000000"/>
          <w:lang w:val="es-ES"/>
        </w:rPr>
        <w:t xml:space="preserve">del </w:t>
      </w:r>
      <w:r w:rsidRPr="0071096A">
        <w:rPr>
          <w:rFonts w:ascii="Verdana" w:eastAsia="Calibri" w:hAnsi="Verdana" w:cs="Arial"/>
          <w:color w:val="000000"/>
          <w:lang w:val="es-ES"/>
        </w:rPr>
        <w:t xml:space="preserve">artículo, </w:t>
      </w:r>
      <w:r>
        <w:rPr>
          <w:rFonts w:ascii="Verdana" w:eastAsia="Calibri" w:hAnsi="Verdana" w:cs="Arial"/>
          <w:color w:val="000000"/>
          <w:lang w:val="es-ES"/>
        </w:rPr>
        <w:t xml:space="preserve">la </w:t>
      </w:r>
      <w:r w:rsidRPr="0071096A">
        <w:rPr>
          <w:rFonts w:ascii="Verdana" w:eastAsia="Calibri" w:hAnsi="Verdana" w:cs="Arial"/>
          <w:color w:val="000000"/>
          <w:lang w:val="es-ES"/>
        </w:rPr>
        <w:t xml:space="preserve">empresa de servicios públicos tendrá la naturaleza de </w:t>
      </w:r>
      <w:r w:rsidRPr="0071096A">
        <w:rPr>
          <w:rFonts w:ascii="Verdana" w:eastAsia="Calibri" w:hAnsi="Verdana" w:cs="Arial"/>
          <w:i/>
          <w:iCs/>
          <w:color w:val="000000"/>
          <w:lang w:val="es-ES"/>
        </w:rPr>
        <w:t>empresa industrial y comercial del estado</w:t>
      </w:r>
      <w:r w:rsidRPr="0071096A">
        <w:rPr>
          <w:rFonts w:ascii="Verdana" w:eastAsia="Calibri" w:hAnsi="Verdana" w:cs="Arial"/>
          <w:color w:val="000000"/>
          <w:lang w:val="es-ES"/>
        </w:rPr>
        <w:t xml:space="preserve">. Así lo reconoció la Corte Constitucional en un apartado del fallo que se viene comentando, pues “[…] el artículo 17 de la Ley en cita define así </w:t>
      </w:r>
      <w:r w:rsidRPr="0071096A">
        <w:rPr>
          <w:rFonts w:ascii="Verdana" w:eastAsia="Calibri" w:hAnsi="Verdana" w:cs="Arial"/>
          <w:i/>
          <w:iCs/>
          <w:color w:val="000000"/>
          <w:lang w:val="es-ES"/>
        </w:rPr>
        <w:t>la naturaleza jurídica</w:t>
      </w:r>
      <w:r w:rsidRPr="0071096A">
        <w:rPr>
          <w:rFonts w:ascii="Verdana" w:eastAsia="Calibri" w:hAnsi="Verdana" w:cs="Arial"/>
          <w:color w:val="000000"/>
          <w:lang w:val="es-ES"/>
        </w:rPr>
        <w:t xml:space="preserve"> de las empresas de servicios públicos” [Énfasis fuera del texto original]. </w:t>
      </w:r>
    </w:p>
    <w:p w14:paraId="6BBD6F49" w14:textId="77777777" w:rsidR="001A0291" w:rsidRDefault="00E4333A" w:rsidP="00E4333A">
      <w:pPr>
        <w:spacing w:after="120" w:line="276" w:lineRule="auto"/>
        <w:ind w:firstLine="709"/>
        <w:jc w:val="both"/>
        <w:rPr>
          <w:rFonts w:ascii="Verdana" w:eastAsia="Arial" w:hAnsi="Verdana" w:cs="Arial"/>
          <w:color w:val="000000"/>
          <w:lang w:val="es-ES"/>
        </w:rPr>
      </w:pPr>
      <w:r>
        <w:rPr>
          <w:rFonts w:ascii="Verdana" w:eastAsia="Arial" w:hAnsi="Verdana" w:cs="Arial"/>
          <w:color w:val="000000"/>
          <w:lang w:val="es-ES"/>
        </w:rPr>
        <w:t>En conclusión, las empresas de servicios públicos mixtas se consideran entidades de naturaleza pública dentro de la rama ejecutiva en el sector descentralizado por servicios y</w:t>
      </w:r>
      <w:r w:rsidR="001A0291">
        <w:rPr>
          <w:rFonts w:ascii="Verdana" w:eastAsia="Arial" w:hAnsi="Verdana" w:cs="Arial"/>
          <w:color w:val="000000"/>
          <w:lang w:val="es-ES"/>
        </w:rPr>
        <w:t>,</w:t>
      </w:r>
      <w:r>
        <w:rPr>
          <w:rFonts w:ascii="Verdana" w:eastAsia="Arial" w:hAnsi="Verdana" w:cs="Arial"/>
          <w:color w:val="000000"/>
          <w:lang w:val="es-ES"/>
        </w:rPr>
        <w:t xml:space="preserve"> por tanto, en aplicación del criterio orgánico pueden ser parte de convenios interadministrativos con otras entidades públicas. </w:t>
      </w:r>
    </w:p>
    <w:p w14:paraId="2F40BF74" w14:textId="2C3E7413" w:rsidR="00E4333A" w:rsidRPr="00DB4737" w:rsidRDefault="00E4333A" w:rsidP="00E4333A">
      <w:pPr>
        <w:spacing w:after="120" w:line="276" w:lineRule="auto"/>
        <w:ind w:firstLine="709"/>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inalmente debe advertirse que</w:t>
      </w:r>
      <w:r w:rsidR="001A0291">
        <w:rPr>
          <w:rFonts w:ascii="Verdana" w:eastAsia="Calibri" w:hAnsi="Verdana" w:cs="Times New Roman"/>
          <w:lang w:val="es-ES"/>
        </w:rPr>
        <w:t>,</w:t>
      </w:r>
      <w:r w:rsidRPr="00B00396">
        <w:rPr>
          <w:rFonts w:ascii="Verdana" w:eastAsia="Calibri" w:hAnsi="Verdana" w:cs="Times New Roman"/>
          <w:lang w:val="es-ES"/>
        </w:rPr>
        <w:t xml:space="preserv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1FD8C65" w14:textId="77777777" w:rsidR="00E4333A" w:rsidRPr="00195334" w:rsidRDefault="00E4333A" w:rsidP="00E4333A">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6FFF4ED" w14:textId="77777777" w:rsidR="00E4333A" w:rsidRPr="00BE021E" w:rsidRDefault="00E4333A" w:rsidP="00E4333A">
      <w:pPr>
        <w:widowControl w:val="0"/>
        <w:autoSpaceDE w:val="0"/>
        <w:autoSpaceDN w:val="0"/>
        <w:spacing w:after="0" w:line="276" w:lineRule="auto"/>
        <w:jc w:val="both"/>
        <w:rPr>
          <w:rFonts w:ascii="Verdana" w:hAnsi="Verdana" w:cs="Arial"/>
        </w:rPr>
      </w:pPr>
    </w:p>
    <w:p w14:paraId="34641A11" w14:textId="77777777" w:rsidR="00E4333A" w:rsidRPr="00BE021E" w:rsidRDefault="00E4333A" w:rsidP="00E4333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Referencias normativas, jurisprudenciales y otras fuentes:</w:t>
      </w:r>
    </w:p>
    <w:p w14:paraId="7F48BC36" w14:textId="77777777" w:rsidR="00E4333A" w:rsidRPr="00BE021E" w:rsidRDefault="00E4333A" w:rsidP="00E4333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333A" w:rsidRPr="00BE021E" w14:paraId="2045FA5D" w14:textId="77777777" w:rsidTr="00E14C76">
        <w:trPr>
          <w:trHeight w:val="870"/>
        </w:trPr>
        <w:tc>
          <w:tcPr>
            <w:tcW w:w="8647" w:type="dxa"/>
          </w:tcPr>
          <w:p w14:paraId="2469731B" w14:textId="17CFCADF" w:rsidR="00E4333A" w:rsidRPr="0062252F" w:rsidRDefault="00E4333A" w:rsidP="00441E73">
            <w:pPr>
              <w:widowControl w:val="0"/>
              <w:numPr>
                <w:ilvl w:val="0"/>
                <w:numId w:val="17"/>
              </w:numPr>
              <w:autoSpaceDE w:val="0"/>
              <w:autoSpaceDN w:val="0"/>
              <w:spacing w:line="276" w:lineRule="auto"/>
              <w:ind w:left="714" w:hanging="357"/>
              <w:jc w:val="both"/>
              <w:rPr>
                <w:rFonts w:ascii="Verdana" w:eastAsia="Aptos" w:hAnsi="Verdana" w:cs="Arial"/>
                <w:lang w:val="es-ES"/>
              </w:rPr>
            </w:pPr>
            <w:r w:rsidRPr="0071096A">
              <w:rPr>
                <w:rFonts w:ascii="Verdana" w:hAnsi="Verdana" w:cs="Arial"/>
              </w:rPr>
              <w:lastRenderedPageBreak/>
              <w:t>Ley 489 de 1998, artículos 38, 68 y 83</w:t>
            </w:r>
            <w:r w:rsidR="001A0291" w:rsidRPr="001A0291">
              <w:rPr>
                <w:rFonts w:ascii="Verdana" w:hAnsi="Verdana" w:cs="Arial"/>
              </w:rPr>
              <w:t>.</w:t>
            </w:r>
          </w:p>
          <w:p w14:paraId="7C71A6A6" w14:textId="6150FC60" w:rsidR="00E4333A" w:rsidRPr="0071096A" w:rsidRDefault="00E4333A" w:rsidP="00441E73">
            <w:pPr>
              <w:pStyle w:val="Prrafodelista"/>
              <w:numPr>
                <w:ilvl w:val="0"/>
                <w:numId w:val="17"/>
              </w:numPr>
              <w:spacing w:line="276" w:lineRule="auto"/>
              <w:ind w:left="714" w:right="709" w:hanging="357"/>
              <w:contextualSpacing w:val="0"/>
              <w:jc w:val="both"/>
              <w:rPr>
                <w:rFonts w:ascii="Verdana" w:hAnsi="Verdana" w:cs="Arial"/>
              </w:rPr>
            </w:pPr>
            <w:r w:rsidRPr="0071096A">
              <w:rPr>
                <w:rFonts w:ascii="Verdana" w:hAnsi="Verdana" w:cs="Arial"/>
              </w:rPr>
              <w:t>Ley 1150 de 2007, artículo</w:t>
            </w:r>
            <w:r>
              <w:rPr>
                <w:rFonts w:ascii="Verdana" w:hAnsi="Verdana" w:cs="Arial"/>
              </w:rPr>
              <w:t xml:space="preserve"> 2</w:t>
            </w:r>
            <w:r w:rsidR="001A0291" w:rsidRPr="001A0291">
              <w:rPr>
                <w:rFonts w:ascii="Verdana" w:hAnsi="Verdana" w:cs="Arial"/>
              </w:rPr>
              <w:t>.</w:t>
            </w:r>
          </w:p>
          <w:p w14:paraId="2F133853" w14:textId="77777777" w:rsidR="00E4333A" w:rsidRDefault="00E4333A" w:rsidP="00441E73">
            <w:pPr>
              <w:widowControl w:val="0"/>
              <w:numPr>
                <w:ilvl w:val="0"/>
                <w:numId w:val="17"/>
              </w:numPr>
              <w:autoSpaceDE w:val="0"/>
              <w:autoSpaceDN w:val="0"/>
              <w:spacing w:line="276" w:lineRule="auto"/>
              <w:ind w:left="714" w:hanging="357"/>
              <w:jc w:val="both"/>
              <w:rPr>
                <w:rFonts w:ascii="Verdana" w:eastAsia="Aptos" w:hAnsi="Verdana" w:cs="Arial"/>
                <w:lang w:val="es-ES"/>
              </w:rPr>
            </w:pPr>
            <w:r>
              <w:rPr>
                <w:rFonts w:ascii="Verdana" w:eastAsia="Aptos" w:hAnsi="Verdana" w:cs="Arial"/>
                <w:lang w:val="es-ES"/>
              </w:rPr>
              <w:t>Decreto 1082 de 2015, Artículo 2.2.1.2.1.4.4.</w:t>
            </w:r>
          </w:p>
          <w:p w14:paraId="0F64921C" w14:textId="77777777" w:rsidR="00E4333A" w:rsidRPr="0062252F" w:rsidRDefault="00E4333A" w:rsidP="00441E73">
            <w:pPr>
              <w:widowControl w:val="0"/>
              <w:numPr>
                <w:ilvl w:val="0"/>
                <w:numId w:val="17"/>
              </w:numPr>
              <w:autoSpaceDE w:val="0"/>
              <w:autoSpaceDN w:val="0"/>
              <w:spacing w:line="276" w:lineRule="auto"/>
              <w:ind w:left="714" w:hanging="357"/>
              <w:jc w:val="both"/>
              <w:rPr>
                <w:rFonts w:ascii="Verdana" w:eastAsia="Aptos" w:hAnsi="Verdana" w:cs="Arial"/>
                <w:lang w:val="es-ES"/>
              </w:rPr>
            </w:pPr>
            <w:r w:rsidRPr="0062252F">
              <w:rPr>
                <w:rFonts w:ascii="Verdana" w:hAnsi="Verdana" w:cs="Arial"/>
              </w:rPr>
              <w:t>CONSEJO DE ESTADO. Sección Tercera. Sentencia del 23 de junio de 2010. Radicación No. 66001-23-31-000-1998-00261-01(17.860). Consejero Ponente: Mauricio Fajardo Gómez.</w:t>
            </w:r>
          </w:p>
        </w:tc>
      </w:tr>
    </w:tbl>
    <w:p w14:paraId="37A2927C" w14:textId="77777777" w:rsidR="00E4333A" w:rsidRPr="00BE021E" w:rsidRDefault="00E4333A" w:rsidP="00E4333A">
      <w:pPr>
        <w:widowControl w:val="0"/>
        <w:autoSpaceDE w:val="0"/>
        <w:autoSpaceDN w:val="0"/>
        <w:spacing w:after="0" w:line="276" w:lineRule="auto"/>
        <w:jc w:val="both"/>
        <w:rPr>
          <w:rFonts w:ascii="Verdana" w:hAnsi="Verdana" w:cs="Arial"/>
        </w:rPr>
      </w:pPr>
    </w:p>
    <w:p w14:paraId="72DA6A92" w14:textId="77777777" w:rsidR="00E4333A" w:rsidRDefault="00E4333A" w:rsidP="00E4333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Doctrina de la Agencia Nacional de Contratación Pública:</w:t>
      </w:r>
    </w:p>
    <w:p w14:paraId="403766D7" w14:textId="77777777" w:rsidR="00E4333A" w:rsidRDefault="00E4333A" w:rsidP="00E4333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710D10" w14:textId="77777777" w:rsidR="00E4333A" w:rsidRPr="00463520" w:rsidRDefault="00E4333A" w:rsidP="00E4333A">
      <w:pPr>
        <w:widowControl w:val="0"/>
        <w:autoSpaceDE w:val="0"/>
        <w:autoSpaceDN w:val="0"/>
        <w:spacing w:after="0" w:line="276" w:lineRule="auto"/>
        <w:jc w:val="both"/>
        <w:rPr>
          <w:rStyle w:val="normaltextrun"/>
          <w:rFonts w:ascii="Verdana" w:eastAsia="Aptos" w:hAnsi="Verdana" w:cs="Calibri"/>
        </w:rPr>
      </w:pPr>
      <w:r w:rsidRPr="00BA1192">
        <w:rPr>
          <w:rFonts w:ascii="Verdana" w:eastAsia="Calibri" w:hAnsi="Verdana" w:cs="Arial"/>
          <w:lang w:val="es-ES_tradnl" w:eastAsia="es-ES_tradnl"/>
        </w:rPr>
        <w:t xml:space="preserve">Sobre </w:t>
      </w:r>
      <w:r>
        <w:rPr>
          <w:rFonts w:ascii="Verdana" w:eastAsia="Calibri" w:hAnsi="Verdana" w:cs="Arial"/>
          <w:kern w:val="2"/>
          <w:shd w:val="clear" w:color="auto" w:fill="FFFFFF"/>
          <w:lang w:val="es-ES"/>
          <w14:ligatures w14:val="standardContextual"/>
        </w:rPr>
        <w:t xml:space="preserve">los convenios y contratos administrativos esta </w:t>
      </w:r>
      <w:r w:rsidRPr="00BA1192">
        <w:rPr>
          <w:rFonts w:ascii="Verdana" w:eastAsia="Calibri" w:hAnsi="Verdana" w:cs="Arial"/>
          <w:lang w:val="es-ES_tradnl" w:eastAsia="es-ES_tradnl"/>
        </w:rPr>
        <w:t>Subdirección se pronunció en los</w:t>
      </w:r>
      <w:r>
        <w:rPr>
          <w:rFonts w:ascii="Verdana" w:eastAsia="Calibri" w:hAnsi="Verdana" w:cs="Arial"/>
          <w:lang w:val="es-ES_tradnl" w:eastAsia="es-ES_tradnl"/>
        </w:rPr>
        <w:t xml:space="preserve"> </w:t>
      </w:r>
      <w:r w:rsidRPr="00F060DF">
        <w:rPr>
          <w:rFonts w:ascii="Verdana" w:eastAsia="Calibri" w:hAnsi="Verdana" w:cs="Arial"/>
          <w:kern w:val="2"/>
          <w:shd w:val="clear" w:color="auto" w:fill="FFFFFF"/>
          <w14:ligatures w14:val="standardContextual"/>
        </w:rPr>
        <w:t>con</w:t>
      </w:r>
      <w:r>
        <w:rPr>
          <w:rFonts w:ascii="Verdana" w:eastAsia="Calibri" w:hAnsi="Verdana" w:cs="Arial"/>
          <w:kern w:val="2"/>
          <w:shd w:val="clear" w:color="auto" w:fill="FFFFFF"/>
          <w14:ligatures w14:val="standardContextual"/>
        </w:rPr>
        <w:t>ceptos</w:t>
      </w:r>
      <w:r w:rsidRPr="00F060DF">
        <w:rPr>
          <w:rFonts w:ascii="Verdana" w:eastAsia="Calibri" w:hAnsi="Verdana" w:cs="Arial"/>
          <w:kern w:val="2"/>
          <w:shd w:val="clear" w:color="auto" w:fill="FFFFFF"/>
          <w14:ligatures w14:val="standardContextual"/>
        </w:rPr>
        <w:t xml:space="preserve"> C</w:t>
      </w:r>
      <w:r>
        <w:rPr>
          <w:rFonts w:ascii="Verdana" w:eastAsia="Calibri" w:hAnsi="Verdana" w:cs="Arial"/>
          <w:kern w:val="2"/>
          <w:shd w:val="clear" w:color="auto" w:fill="FFFFFF"/>
          <w14:ligatures w14:val="standardContextual"/>
        </w:rPr>
        <w:t>-</w:t>
      </w:r>
      <w:r w:rsidRPr="00F060DF">
        <w:rPr>
          <w:rFonts w:ascii="Verdana" w:eastAsia="Calibri" w:hAnsi="Verdana" w:cs="Arial"/>
          <w:kern w:val="2"/>
          <w:shd w:val="clear" w:color="auto" w:fill="FFFFFF"/>
          <w14:ligatures w14:val="standardContextual"/>
        </w:rPr>
        <w:t xml:space="preserve">270 del 6 de mayo de 2022, C-594 del 26 de agosto de 2022, C-444 del 18 de septiembre de 2024, C-190 del 25 de </w:t>
      </w:r>
      <w:r w:rsidRPr="00362292">
        <w:rPr>
          <w:rFonts w:ascii="Verdana" w:eastAsia="Calibri" w:hAnsi="Verdana" w:cs="Arial"/>
          <w:kern w:val="2"/>
          <w:shd w:val="clear" w:color="auto" w:fill="FFFFFF"/>
          <w:lang w:val="es-ES"/>
          <w14:ligatures w14:val="standardContextual"/>
        </w:rPr>
        <w:t>marzo de 2025</w:t>
      </w:r>
      <w:r>
        <w:rPr>
          <w:rFonts w:ascii="Verdana" w:eastAsia="Calibri" w:hAnsi="Verdana" w:cs="Arial"/>
          <w:kern w:val="2"/>
          <w:shd w:val="clear" w:color="auto" w:fill="FFFFFF"/>
          <w:lang w:val="es-ES"/>
          <w14:ligatures w14:val="standardContextual"/>
        </w:rPr>
        <w:t xml:space="preserve">, </w:t>
      </w:r>
      <w:r w:rsidRPr="00362292">
        <w:rPr>
          <w:rFonts w:ascii="Verdana" w:eastAsia="Calibri" w:hAnsi="Verdana" w:cs="Arial"/>
          <w:kern w:val="2"/>
          <w:shd w:val="clear" w:color="auto" w:fill="FFFFFF"/>
          <w:lang w:val="es-ES"/>
          <w14:ligatures w14:val="standardContextual"/>
        </w:rPr>
        <w:t>C–221 del 28 de marzo de 2025, C-324 del 24 de abril de 2025</w:t>
      </w:r>
      <w:r>
        <w:rPr>
          <w:rFonts w:ascii="Verdana" w:eastAsia="Calibri" w:hAnsi="Verdana" w:cs="Arial"/>
          <w:kern w:val="2"/>
          <w:shd w:val="clear" w:color="auto" w:fill="FFFFFF"/>
          <w:lang w:val="es-ES"/>
          <w14:ligatures w14:val="standardContextual"/>
        </w:rPr>
        <w:t>,</w:t>
      </w:r>
      <w:r w:rsidRPr="00BA1192">
        <w:rPr>
          <w:rFonts w:ascii="Verdana" w:eastAsia="Calibri" w:hAnsi="Verdana" w:cs="Arial"/>
          <w:lang w:val="es-MX"/>
        </w:rPr>
        <w:t xml:space="preserve"> </w:t>
      </w:r>
      <w:r>
        <w:rPr>
          <w:rFonts w:ascii="Verdana" w:eastAsia="Calibri" w:hAnsi="Verdana" w:cs="Arial"/>
          <w:lang w:val="es-MX"/>
        </w:rPr>
        <w:t xml:space="preserve">C-798 de 12 de diciembre de 2024, C-1361 del 29 de octubre de 2025, </w:t>
      </w:r>
      <w:r>
        <w:rPr>
          <w:rStyle w:val="normaltextrun"/>
          <w:rFonts w:ascii="Verdana" w:hAnsi="Verdana" w:cs="Calibri"/>
          <w:shd w:val="clear" w:color="auto" w:fill="FFFFFF"/>
        </w:rPr>
        <w:t>e</w:t>
      </w:r>
      <w:r w:rsidRPr="00A1554D">
        <w:rPr>
          <w:rStyle w:val="normaltextrun"/>
          <w:rFonts w:ascii="Verdana" w:hAnsi="Verdana" w:cs="Arial"/>
          <w:shd w:val="clear" w:color="auto" w:fill="FFFFFF"/>
          <w:lang w:val="es-ES"/>
        </w:rPr>
        <w:t>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2"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140EF92E" w14:textId="77777777" w:rsidR="00E4333A" w:rsidRDefault="00E4333A" w:rsidP="00E4333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D7A0F70" w14:textId="77777777" w:rsidR="00E4333A" w:rsidRPr="003E2460" w:rsidRDefault="00E4333A" w:rsidP="00E4333A">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EAEF83A" w14:textId="77777777" w:rsidR="00E4333A" w:rsidRPr="003E2460" w:rsidRDefault="00E4333A" w:rsidP="00E4333A">
      <w:pPr>
        <w:spacing w:after="0" w:line="276" w:lineRule="auto"/>
        <w:jc w:val="both"/>
        <w:rPr>
          <w:rFonts w:ascii="Verdana" w:hAnsi="Verdana"/>
        </w:rPr>
      </w:pPr>
    </w:p>
    <w:p w14:paraId="4975C048" w14:textId="77777777" w:rsidR="00E4333A" w:rsidRPr="003E2460" w:rsidRDefault="00E4333A" w:rsidP="00E4333A">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55E63B2" w14:textId="77777777" w:rsidR="00E4333A" w:rsidRPr="003E2460" w:rsidRDefault="00E4333A" w:rsidP="00E4333A">
      <w:pPr>
        <w:spacing w:after="0" w:line="276"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51237FD3" w14:textId="77777777" w:rsidR="00E4333A" w:rsidRPr="003E2460" w:rsidRDefault="00E4333A" w:rsidP="00E4333A">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59EBAB86" w14:textId="77777777" w:rsidR="00E4333A" w:rsidRPr="00593A5F" w:rsidRDefault="00E4333A" w:rsidP="00E4333A">
      <w:pPr>
        <w:widowControl w:val="0"/>
        <w:autoSpaceDE w:val="0"/>
        <w:autoSpaceDN w:val="0"/>
        <w:spacing w:after="0" w:line="276" w:lineRule="auto"/>
        <w:jc w:val="both"/>
        <w:rPr>
          <w:rFonts w:ascii="Verdana" w:hAnsi="Verdana" w:cs="Arial"/>
        </w:rPr>
      </w:pPr>
    </w:p>
    <w:p w14:paraId="412026C5" w14:textId="77777777" w:rsidR="00E4333A" w:rsidRPr="00593A5F" w:rsidRDefault="00E4333A" w:rsidP="00E4333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97C2D69" w14:textId="77777777" w:rsidR="00E4333A" w:rsidRPr="00593A5F" w:rsidRDefault="00E4333A" w:rsidP="00E4333A">
      <w:pPr>
        <w:widowControl w:val="0"/>
        <w:autoSpaceDE w:val="0"/>
        <w:autoSpaceDN w:val="0"/>
        <w:spacing w:after="0" w:line="276" w:lineRule="auto"/>
        <w:jc w:val="both"/>
        <w:rPr>
          <w:rFonts w:ascii="Verdana" w:hAnsi="Verdana" w:cs="Arial"/>
        </w:rPr>
      </w:pPr>
    </w:p>
    <w:p w14:paraId="7BE6C073" w14:textId="77777777" w:rsidR="00E4333A" w:rsidRPr="00593A5F" w:rsidRDefault="00E4333A" w:rsidP="00E4333A">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E71FB87" w14:textId="56CD1E05" w:rsidR="00E4333A" w:rsidRPr="00593A5F" w:rsidRDefault="00153671" w:rsidP="00E4333A">
      <w:pPr>
        <w:spacing w:line="276" w:lineRule="auto"/>
        <w:jc w:val="center"/>
        <w:rPr>
          <w:rFonts w:ascii="Verdana" w:hAnsi="Verdana" w:cs="Arial"/>
          <w:color w:val="000000"/>
          <w:lang w:val="es-ES_tradnl" w:eastAsia="es-CO"/>
        </w:rPr>
      </w:pPr>
      <w:r>
        <w:rPr>
          <w:noProof/>
        </w:rPr>
        <w:lastRenderedPageBreak/>
        <w:drawing>
          <wp:inline distT="0" distB="0" distL="0" distR="0" wp14:anchorId="16058487" wp14:editId="6CB9F94B">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4333A" w:rsidRPr="00593A5F" w14:paraId="782C47AD" w14:textId="77777777" w:rsidTr="00E14C76">
        <w:trPr>
          <w:trHeight w:val="315"/>
        </w:trPr>
        <w:tc>
          <w:tcPr>
            <w:tcW w:w="893" w:type="dxa"/>
            <w:vAlign w:val="center"/>
            <w:hideMark/>
          </w:tcPr>
          <w:p w14:paraId="55CB5EB5" w14:textId="77777777" w:rsidR="00E4333A" w:rsidRPr="003751C7" w:rsidRDefault="00E4333A" w:rsidP="00E14C7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FD1879" w14:textId="77777777" w:rsidR="00E4333A" w:rsidRPr="004466B9" w:rsidRDefault="00E4333A" w:rsidP="00E14C76">
            <w:pPr>
              <w:contextualSpacing/>
              <w:rPr>
                <w:rFonts w:ascii="Verdana" w:eastAsia="Arial" w:hAnsi="Verdana" w:cs="Arial"/>
                <w:sz w:val="16"/>
                <w:szCs w:val="16"/>
              </w:rPr>
            </w:pPr>
            <w:r w:rsidRPr="004466B9">
              <w:rPr>
                <w:rFonts w:ascii="Verdana" w:eastAsia="Arial" w:hAnsi="Verdana" w:cs="Arial"/>
                <w:sz w:val="16"/>
                <w:szCs w:val="16"/>
              </w:rPr>
              <w:t xml:space="preserve">Catalina Cubides </w:t>
            </w:r>
            <w:proofErr w:type="spellStart"/>
            <w:r w:rsidRPr="004466B9">
              <w:rPr>
                <w:rFonts w:ascii="Verdana" w:eastAsia="Arial" w:hAnsi="Verdana" w:cs="Arial"/>
                <w:sz w:val="16"/>
                <w:szCs w:val="16"/>
              </w:rPr>
              <w:t>Estupiñan</w:t>
            </w:r>
            <w:proofErr w:type="spellEnd"/>
          </w:p>
          <w:p w14:paraId="09A0C82E" w14:textId="77777777" w:rsidR="00E4333A" w:rsidRPr="003751C7" w:rsidRDefault="00E4333A" w:rsidP="00E14C76">
            <w:pPr>
              <w:contextualSpacing/>
              <w:rPr>
                <w:rFonts w:ascii="Verdana" w:eastAsia="Arial" w:hAnsi="Verdana" w:cs="Arial"/>
                <w:sz w:val="16"/>
                <w:szCs w:val="16"/>
              </w:rPr>
            </w:pPr>
            <w:r w:rsidRPr="004466B9">
              <w:rPr>
                <w:rStyle w:val="normaltextrun"/>
                <w:rFonts w:ascii="Verdana" w:eastAsia="Arial" w:hAnsi="Verdana" w:cs="Arial"/>
                <w:sz w:val="16"/>
                <w:szCs w:val="16"/>
              </w:rPr>
              <w:t>Contratista de la Subdirección de Gestión Contractual</w:t>
            </w:r>
          </w:p>
        </w:tc>
      </w:tr>
      <w:tr w:rsidR="00E4333A" w:rsidRPr="00593A5F" w14:paraId="1BA8FA92" w14:textId="77777777" w:rsidTr="00E14C76">
        <w:trPr>
          <w:trHeight w:val="330"/>
        </w:trPr>
        <w:tc>
          <w:tcPr>
            <w:tcW w:w="893" w:type="dxa"/>
            <w:vAlign w:val="center"/>
            <w:hideMark/>
          </w:tcPr>
          <w:p w14:paraId="55C6B62D" w14:textId="77777777" w:rsidR="00E4333A" w:rsidRPr="003751C7" w:rsidRDefault="00E4333A" w:rsidP="00E14C7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47BFC7" w14:textId="72F7B4A5" w:rsidR="00E4333A" w:rsidRPr="004466B9" w:rsidRDefault="00E4333A" w:rsidP="00E14C76">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Diana Lucía Saavedra</w:t>
            </w:r>
            <w:r w:rsidR="001A0291">
              <w:rPr>
                <w:rStyle w:val="normaltextrun"/>
                <w:rFonts w:ascii="Verdana" w:hAnsi="Verdana" w:cs="Arial"/>
                <w:sz w:val="16"/>
                <w:szCs w:val="16"/>
                <w:lang w:val="es-ES"/>
              </w:rPr>
              <w:t xml:space="preserve"> Castañeda</w:t>
            </w:r>
          </w:p>
          <w:p w14:paraId="3295108F" w14:textId="77777777" w:rsidR="00E4333A" w:rsidRPr="003751C7" w:rsidRDefault="00E4333A" w:rsidP="00E14C76">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Contratista de la Subdirección de Gestión Contractual</w:t>
            </w:r>
            <w:r w:rsidRPr="004466B9">
              <w:rPr>
                <w:rStyle w:val="eop"/>
                <w:rFonts w:ascii="Verdana" w:hAnsi="Verdana" w:cs="Arial"/>
                <w:sz w:val="16"/>
                <w:szCs w:val="16"/>
              </w:rPr>
              <w:t> </w:t>
            </w:r>
          </w:p>
        </w:tc>
      </w:tr>
      <w:tr w:rsidR="00E4333A" w:rsidRPr="00593A5F" w14:paraId="732AE6B3" w14:textId="77777777" w:rsidTr="00E14C76">
        <w:trPr>
          <w:trHeight w:val="300"/>
        </w:trPr>
        <w:tc>
          <w:tcPr>
            <w:tcW w:w="893" w:type="dxa"/>
            <w:vAlign w:val="center"/>
          </w:tcPr>
          <w:p w14:paraId="3CA1647E" w14:textId="77777777" w:rsidR="00E4333A" w:rsidRPr="003751C7" w:rsidRDefault="00E4333A" w:rsidP="00E14C7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990B1F" w14:textId="77777777" w:rsidR="00E4333A" w:rsidRPr="003751C7" w:rsidRDefault="00E4333A" w:rsidP="00E14C76">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84C5378" w14:textId="77777777" w:rsidR="00E4333A" w:rsidRPr="003751C7" w:rsidRDefault="00E4333A" w:rsidP="00E14C76">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w:t>
            </w:r>
            <w:proofErr w:type="spellStart"/>
            <w:r w:rsidRPr="003751C7">
              <w:rPr>
                <w:rFonts w:ascii="Verdana" w:eastAsia="Calibri" w:hAnsi="Verdana" w:cs="Arial"/>
                <w:sz w:val="16"/>
                <w:szCs w:val="16"/>
                <w:lang w:val="pt-BR" w:eastAsia="es-ES"/>
              </w:rPr>
              <w:t>Gestión</w:t>
            </w:r>
            <w:proofErr w:type="spellEnd"/>
            <w:r w:rsidRPr="003751C7">
              <w:rPr>
                <w:rFonts w:ascii="Verdana" w:eastAsia="Calibri" w:hAnsi="Verdana" w:cs="Arial"/>
                <w:sz w:val="16"/>
                <w:szCs w:val="16"/>
                <w:lang w:val="pt-BR" w:eastAsia="es-ES"/>
              </w:rPr>
              <w:t xml:space="preserve">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FE16580" w14:textId="77777777" w:rsidR="00E4333A" w:rsidRPr="00593A5F" w:rsidRDefault="00E4333A" w:rsidP="00E4333A">
      <w:pPr>
        <w:spacing w:after="0" w:line="240" w:lineRule="auto"/>
        <w:rPr>
          <w:rFonts w:ascii="Verdana" w:eastAsia="Times New Roman" w:hAnsi="Verdana" w:cs="Arial"/>
          <w:sz w:val="24"/>
          <w:szCs w:val="24"/>
          <w:lang w:eastAsia="es-ES"/>
        </w:rPr>
      </w:pPr>
    </w:p>
    <w:p w14:paraId="14FFBEBD" w14:textId="77777777" w:rsidR="00E4333A" w:rsidRPr="00871B59" w:rsidRDefault="00E4333A" w:rsidP="00E4333A"/>
    <w:bookmarkEnd w:id="1"/>
    <w:p w14:paraId="324506F8" w14:textId="77777777" w:rsidR="00E4333A" w:rsidRPr="0044528D" w:rsidRDefault="00E4333A" w:rsidP="00E4333A">
      <w:pPr>
        <w:spacing w:after="0"/>
        <w:rPr>
          <w:rFonts w:ascii="Verdana" w:eastAsia="Times New Roman" w:hAnsi="Verdana" w:cs="Segoe UI"/>
          <w:b/>
          <w:bCs/>
          <w:color w:val="46589C"/>
          <w:lang w:val="es-ES"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A7FD2" w14:textId="77777777" w:rsidR="00416AEB" w:rsidRDefault="00416AEB" w:rsidP="004A1847">
      <w:pPr>
        <w:spacing w:after="0" w:line="240" w:lineRule="auto"/>
      </w:pPr>
      <w:r>
        <w:separator/>
      </w:r>
    </w:p>
  </w:endnote>
  <w:endnote w:type="continuationSeparator" w:id="0">
    <w:p w14:paraId="6E560246" w14:textId="77777777" w:rsidR="00416AEB" w:rsidRDefault="00416AEB" w:rsidP="004A1847">
      <w:pPr>
        <w:spacing w:after="0" w:line="240" w:lineRule="auto"/>
      </w:pPr>
      <w:r>
        <w:continuationSeparator/>
      </w:r>
    </w:p>
  </w:endnote>
  <w:endnote w:type="continuationNotice" w:id="1">
    <w:p w14:paraId="0BDE8ED1" w14:textId="77777777" w:rsidR="00416AEB" w:rsidRDefault="00416A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858CB" w14:textId="77777777" w:rsidR="00416AEB" w:rsidRDefault="00416AEB" w:rsidP="004A1847">
      <w:pPr>
        <w:spacing w:after="0" w:line="240" w:lineRule="auto"/>
      </w:pPr>
      <w:r>
        <w:separator/>
      </w:r>
    </w:p>
  </w:footnote>
  <w:footnote w:type="continuationSeparator" w:id="0">
    <w:p w14:paraId="1DD2CC13" w14:textId="77777777" w:rsidR="00416AEB" w:rsidRDefault="00416AEB" w:rsidP="004A1847">
      <w:pPr>
        <w:spacing w:after="0" w:line="240" w:lineRule="auto"/>
      </w:pPr>
      <w:r>
        <w:continuationSeparator/>
      </w:r>
    </w:p>
  </w:footnote>
  <w:footnote w:type="continuationNotice" w:id="1">
    <w:p w14:paraId="7EAA1744" w14:textId="77777777" w:rsidR="00416AEB" w:rsidRDefault="00416AEB">
      <w:pPr>
        <w:spacing w:after="0" w:line="240" w:lineRule="auto"/>
      </w:pPr>
    </w:p>
  </w:footnote>
  <w:footnote w:id="2">
    <w:p w14:paraId="0449324C" w14:textId="77777777" w:rsidR="00E4333A" w:rsidRPr="00441E73" w:rsidRDefault="00E4333A" w:rsidP="00441E73">
      <w:pPr>
        <w:spacing w:after="0" w:line="240" w:lineRule="auto"/>
        <w:ind w:firstLine="709"/>
        <w:jc w:val="both"/>
        <w:rPr>
          <w:rFonts w:ascii="Verdana" w:hAnsi="Verdana" w:cs="Arial"/>
          <w:sz w:val="16"/>
          <w:szCs w:val="16"/>
        </w:rPr>
      </w:pPr>
      <w:r w:rsidRPr="00441E73">
        <w:rPr>
          <w:rStyle w:val="Refdenotaalpie"/>
          <w:rFonts w:ascii="Verdana" w:hAnsi="Verdana" w:cs="Arial"/>
          <w:sz w:val="16"/>
          <w:szCs w:val="16"/>
        </w:rPr>
        <w:footnoteRef/>
      </w:r>
      <w:r w:rsidRPr="00441E73">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w:t>
      </w:r>
      <w:proofErr w:type="gramStart"/>
      <w:r w:rsidRPr="00441E73">
        <w:rPr>
          <w:rFonts w:ascii="Verdana" w:hAnsi="Verdana" w:cs="Arial"/>
          <w:sz w:val="16"/>
          <w:szCs w:val="16"/>
        </w:rPr>
        <w:t>y</w:t>
      </w:r>
      <w:proofErr w:type="gramEnd"/>
      <w:r w:rsidRPr="00441E73">
        <w:rPr>
          <w:rFonts w:ascii="Verdana" w:hAnsi="Verdana" w:cs="Arial"/>
          <w:sz w:val="16"/>
          <w:szCs w:val="16"/>
        </w:rPr>
        <w:t xml:space="preserve"> en consecuencia, le es aplicable lo establecido en el artículo 2.2.1.2.1.4.1 del presente decreto.</w:t>
      </w:r>
    </w:p>
    <w:p w14:paraId="071B3FD1" w14:textId="77777777" w:rsidR="00E4333A" w:rsidRPr="00441E73" w:rsidRDefault="00E4333A" w:rsidP="00441E73">
      <w:pPr>
        <w:spacing w:after="0" w:line="240" w:lineRule="auto"/>
        <w:ind w:firstLine="709"/>
        <w:jc w:val="both"/>
        <w:rPr>
          <w:rFonts w:ascii="Verdana" w:hAnsi="Verdana" w:cs="Arial"/>
          <w:sz w:val="16"/>
          <w:szCs w:val="16"/>
        </w:rPr>
      </w:pPr>
      <w:proofErr w:type="gramStart"/>
      <w:r w:rsidRPr="00441E73">
        <w:rPr>
          <w:rFonts w:ascii="Verdana" w:hAnsi="Verdana" w:cs="Arial"/>
          <w:sz w:val="16"/>
          <w:szCs w:val="16"/>
        </w:rPr>
        <w:t>»Cuando</w:t>
      </w:r>
      <w:proofErr w:type="gramEnd"/>
      <w:r w:rsidRPr="00441E73">
        <w:rPr>
          <w:rFonts w:ascii="Verdana" w:hAnsi="Verdana" w:cs="Arial"/>
          <w:sz w:val="16"/>
          <w:szCs w:val="16"/>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441E73">
        <w:rPr>
          <w:rFonts w:ascii="Verdana" w:hAnsi="Verdana" w:cs="Arial"/>
          <w:spacing w:val="-1"/>
          <w:sz w:val="16"/>
          <w:szCs w:val="16"/>
        </w:rPr>
        <w:t xml:space="preserve"> </w:t>
      </w:r>
      <w:r w:rsidRPr="00441E73">
        <w:rPr>
          <w:rFonts w:ascii="Verdana" w:hAnsi="Verdana" w:cs="Arial"/>
          <w:sz w:val="16"/>
          <w:szCs w:val="16"/>
        </w:rPr>
        <w:t>Estatales».</w:t>
      </w:r>
    </w:p>
  </w:footnote>
  <w:footnote w:id="3">
    <w:p w14:paraId="3B6BDCDD" w14:textId="77777777" w:rsidR="00E4333A" w:rsidRPr="00441E73" w:rsidRDefault="00E4333A" w:rsidP="00E4333A">
      <w:pPr>
        <w:pStyle w:val="Textonotapie"/>
        <w:ind w:firstLine="708"/>
        <w:contextualSpacing/>
        <w:jc w:val="both"/>
        <w:rPr>
          <w:rFonts w:ascii="Verdana" w:hAnsi="Verdana" w:cs="Arial"/>
          <w:color w:val="000000"/>
          <w:sz w:val="16"/>
          <w:szCs w:val="16"/>
        </w:rPr>
      </w:pPr>
      <w:r w:rsidRPr="00441E73">
        <w:rPr>
          <w:rStyle w:val="Refdenotaalpie"/>
          <w:rFonts w:ascii="Verdana" w:hAnsi="Verdana" w:cs="Arial"/>
          <w:sz w:val="16"/>
          <w:szCs w:val="16"/>
        </w:rPr>
        <w:footnoteRef/>
      </w:r>
      <w:r w:rsidRPr="00441E73">
        <w:rPr>
          <w:rFonts w:ascii="Verdana" w:hAnsi="Verdana" w:cs="Arial"/>
          <w:sz w:val="16"/>
          <w:szCs w:val="16"/>
        </w:rPr>
        <w:t xml:space="preserve"> </w:t>
      </w:r>
      <w:r w:rsidRPr="00441E73">
        <w:rPr>
          <w:rFonts w:ascii="Verdana" w:hAnsi="Verdana" w:cs="Arial"/>
          <w:color w:val="000000"/>
          <w:sz w:val="16"/>
          <w:szCs w:val="16"/>
        </w:rPr>
        <w:t>Ley 489 de 1998: “Artículo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w:t>
      </w:r>
      <w:r w:rsidRPr="00441E73">
        <w:rPr>
          <w:rFonts w:ascii="Verdana" w:hAnsi="Verdana" w:cs="Arial"/>
          <w:i/>
          <w:color w:val="000000"/>
          <w:sz w:val="16"/>
          <w:szCs w:val="16"/>
        </w:rPr>
        <w:t>las empresas oficiales de servicios públicos</w:t>
      </w:r>
      <w:r w:rsidRPr="00441E73">
        <w:rPr>
          <w:rFonts w:ascii="Verdana" w:hAnsi="Verdana" w:cs="Arial"/>
          <w:color w:val="000000"/>
          <w:sz w:val="16"/>
          <w:szCs w:val="16"/>
        </w:rPr>
        <w:t> y las demás entidades creadas por la ley o con su autorización, cuyo objeto principal sea el ejercicio de funciones administrativas, la prestación de servicios públicos o la realización de actividades.”</w:t>
      </w:r>
    </w:p>
    <w:p w14:paraId="3404DD02" w14:textId="77777777" w:rsidR="00E4333A" w:rsidRPr="00EB66FB" w:rsidRDefault="00E4333A" w:rsidP="00E4333A">
      <w:pPr>
        <w:pStyle w:val="Textonotapie"/>
        <w:ind w:firstLine="708"/>
        <w:contextualSpacing/>
        <w:jc w:val="both"/>
        <w:rPr>
          <w:rFonts w:ascii="Verdana" w:hAnsi="Verdana" w:cs="Arial"/>
          <w:sz w:val="16"/>
          <w:szCs w:val="16"/>
        </w:rPr>
      </w:pPr>
    </w:p>
  </w:footnote>
  <w:footnote w:id="4">
    <w:p w14:paraId="399F5D95" w14:textId="23DA238A" w:rsidR="00E4333A" w:rsidRPr="00441E73" w:rsidRDefault="00E4333A" w:rsidP="00441E73">
      <w:pPr>
        <w:spacing w:after="0" w:line="240" w:lineRule="auto"/>
        <w:ind w:firstLine="709"/>
        <w:jc w:val="both"/>
        <w:rPr>
          <w:rFonts w:ascii="Verdana" w:hAnsi="Verdana" w:cs="Arial"/>
          <w:sz w:val="16"/>
          <w:szCs w:val="16"/>
        </w:rPr>
      </w:pPr>
      <w:r w:rsidRPr="00441E73">
        <w:rPr>
          <w:rStyle w:val="Refdenotaalpie"/>
          <w:rFonts w:ascii="Verdana" w:hAnsi="Verdana" w:cs="Arial"/>
          <w:sz w:val="16"/>
          <w:szCs w:val="16"/>
        </w:rPr>
        <w:footnoteRef/>
      </w:r>
      <w:r w:rsidRPr="00441E73">
        <w:rPr>
          <w:rFonts w:ascii="Verdana" w:hAnsi="Verdana" w:cs="Arial"/>
          <w:sz w:val="16"/>
          <w:szCs w:val="16"/>
        </w:rPr>
        <w:t xml:space="preserve"> Decreto 1082 de 2015: </w:t>
      </w:r>
      <w:r w:rsidR="009B0B1E">
        <w:rPr>
          <w:rFonts w:ascii="Verdana" w:hAnsi="Verdana" w:cs="Arial"/>
          <w:sz w:val="16"/>
          <w:szCs w:val="16"/>
        </w:rPr>
        <w:t>“</w:t>
      </w:r>
      <w:r w:rsidRPr="00441E73">
        <w:rPr>
          <w:rFonts w:ascii="Verdana" w:hAnsi="Verdana" w:cs="Arial"/>
          <w:sz w:val="16"/>
          <w:szCs w:val="16"/>
        </w:rPr>
        <w:t xml:space="preserve">Artículo 2.2.1.2.1.4.4. Convenios o contratos interadministrativos. La modalidad de selección para la contratación entre Entidades Estatales es la contratación directa; </w:t>
      </w:r>
      <w:proofErr w:type="gramStart"/>
      <w:r w:rsidRPr="00441E73">
        <w:rPr>
          <w:rFonts w:ascii="Verdana" w:hAnsi="Verdana" w:cs="Arial"/>
          <w:sz w:val="16"/>
          <w:szCs w:val="16"/>
        </w:rPr>
        <w:t>y</w:t>
      </w:r>
      <w:proofErr w:type="gramEnd"/>
      <w:r w:rsidRPr="00441E73">
        <w:rPr>
          <w:rFonts w:ascii="Verdana" w:hAnsi="Verdana" w:cs="Arial"/>
          <w:sz w:val="16"/>
          <w:szCs w:val="16"/>
        </w:rPr>
        <w:t xml:space="preserve"> en consecuencia, le es aplicable lo establecido en el artículo 2.2.1.2.1.4.1 del presente decreto.</w:t>
      </w:r>
    </w:p>
    <w:p w14:paraId="31D5FE63" w14:textId="3EC330EC" w:rsidR="00E4333A" w:rsidRDefault="00E4333A" w:rsidP="00441E73">
      <w:pPr>
        <w:spacing w:after="0" w:line="240" w:lineRule="auto"/>
        <w:ind w:firstLine="709"/>
        <w:jc w:val="both"/>
        <w:rPr>
          <w:rFonts w:ascii="Verdana" w:hAnsi="Verdana" w:cs="Arial"/>
          <w:sz w:val="16"/>
          <w:szCs w:val="16"/>
        </w:rPr>
      </w:pPr>
      <w:r w:rsidRPr="00441E73">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441E73">
        <w:rPr>
          <w:rFonts w:ascii="Verdana" w:hAnsi="Verdana" w:cs="Arial"/>
          <w:spacing w:val="-1"/>
          <w:sz w:val="16"/>
          <w:szCs w:val="16"/>
        </w:rPr>
        <w:t xml:space="preserve"> </w:t>
      </w:r>
      <w:r w:rsidRPr="00441E73">
        <w:rPr>
          <w:rFonts w:ascii="Verdana" w:hAnsi="Verdana" w:cs="Arial"/>
          <w:sz w:val="16"/>
          <w:szCs w:val="16"/>
        </w:rPr>
        <w:t>Estatales</w:t>
      </w:r>
      <w:r w:rsidR="009B0B1E">
        <w:rPr>
          <w:rFonts w:ascii="Verdana" w:hAnsi="Verdana" w:cs="Arial"/>
          <w:sz w:val="16"/>
          <w:szCs w:val="16"/>
        </w:rPr>
        <w:t>”</w:t>
      </w:r>
      <w:r w:rsidRPr="00441E73">
        <w:rPr>
          <w:rFonts w:ascii="Verdana" w:hAnsi="Verdana" w:cs="Arial"/>
          <w:sz w:val="16"/>
          <w:szCs w:val="16"/>
        </w:rPr>
        <w:t>.</w:t>
      </w:r>
    </w:p>
    <w:p w14:paraId="70043AE1" w14:textId="77777777" w:rsidR="00E4333A" w:rsidRPr="00441E73" w:rsidRDefault="00E4333A" w:rsidP="00441E73">
      <w:pPr>
        <w:spacing w:after="0" w:line="240" w:lineRule="auto"/>
        <w:ind w:firstLine="709"/>
        <w:jc w:val="both"/>
        <w:rPr>
          <w:rFonts w:ascii="Verdana" w:hAnsi="Verdana" w:cs="Arial"/>
          <w:sz w:val="16"/>
          <w:szCs w:val="16"/>
        </w:rPr>
      </w:pPr>
    </w:p>
  </w:footnote>
  <w:footnote w:id="5">
    <w:p w14:paraId="798CECF6" w14:textId="77777777" w:rsidR="00E4333A" w:rsidRPr="00441E73" w:rsidRDefault="00E4333A" w:rsidP="00441E73">
      <w:pPr>
        <w:spacing w:after="0" w:line="240" w:lineRule="auto"/>
        <w:ind w:firstLine="709"/>
        <w:jc w:val="both"/>
        <w:rPr>
          <w:rFonts w:ascii="Verdana" w:hAnsi="Verdana" w:cs="Arial"/>
          <w:sz w:val="16"/>
          <w:szCs w:val="16"/>
        </w:rPr>
      </w:pPr>
      <w:r w:rsidRPr="00441E73">
        <w:rPr>
          <w:rStyle w:val="Refdenotaalpie"/>
          <w:rFonts w:ascii="Verdana" w:hAnsi="Verdana" w:cs="Arial"/>
          <w:sz w:val="16"/>
          <w:szCs w:val="16"/>
        </w:rPr>
        <w:footnoteRef/>
      </w:r>
      <w:r w:rsidRPr="00441E73">
        <w:rPr>
          <w:rFonts w:ascii="Verdana" w:hAnsi="Verdana" w:cs="Arial"/>
          <w:position w:val="7"/>
          <w:sz w:val="16"/>
          <w:szCs w:val="16"/>
        </w:rPr>
        <w:t xml:space="preserve"> </w:t>
      </w:r>
      <w:bookmarkStart w:id="2" w:name="_Hlk104405774"/>
      <w:r w:rsidRPr="00441E73">
        <w:rPr>
          <w:rFonts w:ascii="Verdana" w:hAnsi="Verdana" w:cs="Arial"/>
          <w:sz w:val="16"/>
          <w:szCs w:val="16"/>
        </w:rPr>
        <w:t>CONSEJO DE ESTADO. Sección Tercera. Sentencia del 23 de junio de 2010. Radicación No. 66001-23-31-000-1998-00261-01(17.860). Consejero Ponente: Mauricio Fajardo Gómez.</w:t>
      </w:r>
      <w:bookmarkEnd w:id="2"/>
    </w:p>
    <w:p w14:paraId="2E6B80C5" w14:textId="77777777" w:rsidR="00E4333A" w:rsidRPr="00441E73" w:rsidRDefault="00E4333A" w:rsidP="00441E73">
      <w:pPr>
        <w:spacing w:after="0" w:line="240" w:lineRule="auto"/>
        <w:ind w:firstLine="709"/>
        <w:jc w:val="both"/>
        <w:rPr>
          <w:rFonts w:ascii="Verdana" w:hAnsi="Verdana" w:cs="Arial"/>
          <w:sz w:val="16"/>
          <w:szCs w:val="16"/>
        </w:rPr>
      </w:pPr>
    </w:p>
  </w:footnote>
  <w:footnote w:id="6">
    <w:p w14:paraId="6D37D284" w14:textId="77777777" w:rsidR="00E4333A" w:rsidRPr="00441E73" w:rsidRDefault="00E4333A" w:rsidP="00E4333A">
      <w:pPr>
        <w:pStyle w:val="Textonotapie"/>
        <w:ind w:firstLine="708"/>
        <w:jc w:val="both"/>
        <w:rPr>
          <w:rFonts w:ascii="Verdana" w:eastAsia="Arial" w:hAnsi="Verdana" w:cs="Arial"/>
          <w:sz w:val="16"/>
          <w:szCs w:val="16"/>
        </w:rPr>
      </w:pPr>
      <w:r w:rsidRPr="00441E73">
        <w:rPr>
          <w:rStyle w:val="Refdenotaalpie"/>
          <w:rFonts w:ascii="Verdana" w:hAnsi="Verdana" w:cs="Arial"/>
          <w:sz w:val="16"/>
          <w:szCs w:val="16"/>
        </w:rPr>
        <w:footnoteRef/>
      </w:r>
      <w:r w:rsidRPr="00441E73">
        <w:rPr>
          <w:rFonts w:ascii="Verdana" w:hAnsi="Verdana" w:cs="Arial"/>
          <w:sz w:val="16"/>
          <w:szCs w:val="16"/>
        </w:rPr>
        <w:t xml:space="preserve"> Agencia Nacional de Contratación Pública–Colombia Compra Eficiente–. Concepto C-762 del 6 de enero de 2021. Radicado No. </w:t>
      </w:r>
      <w:r w:rsidRPr="00441E73">
        <w:rPr>
          <w:rFonts w:ascii="Verdana" w:eastAsia="Arial" w:hAnsi="Verdana" w:cs="Arial"/>
          <w:sz w:val="16"/>
          <w:szCs w:val="16"/>
        </w:rPr>
        <w:t xml:space="preserve">RS20210106000041. </w:t>
      </w:r>
    </w:p>
    <w:p w14:paraId="119400B3" w14:textId="77777777" w:rsidR="00E4333A" w:rsidRPr="00441E73" w:rsidRDefault="00E4333A" w:rsidP="00E4333A">
      <w:pPr>
        <w:pStyle w:val="Textonotapie"/>
        <w:ind w:firstLine="708"/>
        <w:jc w:val="both"/>
        <w:rPr>
          <w:rFonts w:ascii="Verdana" w:hAnsi="Verdana" w:cs="Arial"/>
          <w:sz w:val="16"/>
          <w:szCs w:val="16"/>
        </w:rPr>
      </w:pPr>
    </w:p>
  </w:footnote>
  <w:footnote w:id="7">
    <w:p w14:paraId="75EB987C" w14:textId="11968658" w:rsidR="00E4333A" w:rsidRDefault="00E4333A" w:rsidP="009B0B1E">
      <w:pPr>
        <w:spacing w:after="0" w:line="240" w:lineRule="auto"/>
        <w:ind w:firstLine="709"/>
        <w:jc w:val="both"/>
        <w:rPr>
          <w:rFonts w:ascii="Verdana" w:hAnsi="Verdana" w:cs="Arial"/>
          <w:color w:val="000000"/>
          <w:sz w:val="16"/>
          <w:szCs w:val="16"/>
        </w:rPr>
      </w:pPr>
      <w:r w:rsidRPr="00441E73">
        <w:rPr>
          <w:rStyle w:val="Refdenotaalpie"/>
          <w:rFonts w:ascii="Verdana" w:hAnsi="Verdana" w:cs="Arial"/>
          <w:color w:val="000000"/>
          <w:sz w:val="16"/>
          <w:szCs w:val="16"/>
        </w:rPr>
        <w:footnoteRef/>
      </w:r>
      <w:r w:rsidRPr="00441E73">
        <w:rPr>
          <w:rStyle w:val="Refdenotaalpie"/>
          <w:rFonts w:ascii="Verdana" w:hAnsi="Verdana" w:cs="Arial"/>
          <w:color w:val="000000"/>
          <w:sz w:val="16"/>
          <w:szCs w:val="16"/>
        </w:rPr>
        <w:t xml:space="preserve"> </w:t>
      </w:r>
      <w:r w:rsidRPr="00441E73">
        <w:rPr>
          <w:rFonts w:ascii="Verdana" w:hAnsi="Verdana" w:cs="Arial"/>
          <w:color w:val="000000"/>
          <w:sz w:val="16"/>
          <w:szCs w:val="16"/>
        </w:rPr>
        <w:t xml:space="preserve">Ley 1150 de 2007: </w:t>
      </w:r>
      <w:r w:rsidR="009B0B1E">
        <w:rPr>
          <w:rFonts w:ascii="Verdana" w:hAnsi="Verdana" w:cs="Arial"/>
          <w:color w:val="000000"/>
          <w:sz w:val="16"/>
          <w:szCs w:val="16"/>
        </w:rPr>
        <w:t>“</w:t>
      </w:r>
      <w:r w:rsidRPr="00441E73">
        <w:rPr>
          <w:rFonts w:ascii="Verdana" w:hAnsi="Verdana" w:cs="Arial"/>
          <w:color w:val="000000"/>
          <w:sz w:val="16"/>
          <w:szCs w:val="16"/>
        </w:rPr>
        <w:t>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r w:rsidR="009B0B1E">
        <w:rPr>
          <w:rFonts w:ascii="Verdana" w:hAnsi="Verdana" w:cs="Arial"/>
          <w:color w:val="000000"/>
          <w:sz w:val="16"/>
          <w:szCs w:val="16"/>
        </w:rPr>
        <w:t>”</w:t>
      </w:r>
      <w:r w:rsidRPr="00441E73">
        <w:rPr>
          <w:rFonts w:ascii="Verdana" w:hAnsi="Verdana" w:cs="Arial"/>
          <w:color w:val="000000"/>
          <w:sz w:val="16"/>
          <w:szCs w:val="16"/>
        </w:rPr>
        <w:t>.</w:t>
      </w:r>
    </w:p>
    <w:p w14:paraId="7B2422E6" w14:textId="77777777" w:rsidR="00E4333A" w:rsidRPr="00441E73" w:rsidRDefault="00E4333A" w:rsidP="00441E73">
      <w:pPr>
        <w:spacing w:after="0" w:line="240" w:lineRule="auto"/>
        <w:ind w:firstLine="709"/>
        <w:jc w:val="both"/>
        <w:rPr>
          <w:rFonts w:ascii="Verdana" w:hAnsi="Verdana" w:cs="Arial"/>
          <w:color w:val="000000"/>
          <w:sz w:val="16"/>
          <w:szCs w:val="16"/>
        </w:rPr>
      </w:pPr>
    </w:p>
  </w:footnote>
  <w:footnote w:id="8">
    <w:p w14:paraId="6A45B57F" w14:textId="56ACA90C" w:rsidR="00E4333A" w:rsidRPr="00441E73" w:rsidRDefault="00E4333A" w:rsidP="00E4333A">
      <w:pPr>
        <w:pStyle w:val="Textonotapie"/>
        <w:ind w:firstLine="709"/>
        <w:jc w:val="both"/>
        <w:rPr>
          <w:rFonts w:ascii="Verdana" w:hAnsi="Verdana" w:cs="Arial"/>
          <w:color w:val="000000"/>
          <w:sz w:val="16"/>
          <w:szCs w:val="16"/>
        </w:rPr>
      </w:pPr>
      <w:r w:rsidRPr="00441E73">
        <w:rPr>
          <w:rStyle w:val="Refdenotaalpie"/>
          <w:rFonts w:ascii="Verdana" w:hAnsi="Verdana" w:cs="Arial"/>
          <w:color w:val="000000"/>
          <w:sz w:val="16"/>
          <w:szCs w:val="16"/>
        </w:rPr>
        <w:footnoteRef/>
      </w:r>
      <w:r w:rsidRPr="00441E73">
        <w:rPr>
          <w:rFonts w:ascii="Verdana" w:hAnsi="Verdana" w:cs="Arial"/>
          <w:color w:val="000000"/>
          <w:sz w:val="16"/>
          <w:szCs w:val="16"/>
        </w:rPr>
        <w:t xml:space="preserve"> Ley 80 de 1993: </w:t>
      </w:r>
      <w:r w:rsidR="009B0B1E">
        <w:rPr>
          <w:rFonts w:ascii="Verdana" w:hAnsi="Verdana" w:cs="Arial"/>
          <w:color w:val="000000"/>
          <w:sz w:val="16"/>
          <w:szCs w:val="16"/>
        </w:rPr>
        <w:t>“</w:t>
      </w:r>
      <w:r w:rsidRPr="00441E73">
        <w:rPr>
          <w:rFonts w:ascii="Verdana" w:hAnsi="Verdana" w:cs="Arial"/>
          <w:color w:val="000000"/>
          <w:sz w:val="16"/>
          <w:szCs w:val="16"/>
        </w:rPr>
        <w:t>Artículo 41. Del perfeccionamiento del contrato. Los contratos del Estado se perfeccionan cuando se logre acuerdo sobre el objeto y la contraprestación y éste se eleve a escrito.</w:t>
      </w:r>
    </w:p>
    <w:p w14:paraId="0F50AB12" w14:textId="38DE0B59" w:rsidR="00E4333A" w:rsidRPr="00441E73" w:rsidRDefault="00E4333A" w:rsidP="00E4333A">
      <w:pPr>
        <w:pStyle w:val="Textonotapie"/>
        <w:ind w:firstLine="709"/>
        <w:jc w:val="both"/>
        <w:rPr>
          <w:rFonts w:ascii="Verdana" w:hAnsi="Verdana" w:cs="Arial"/>
          <w:color w:val="000000"/>
          <w:sz w:val="16"/>
          <w:szCs w:val="16"/>
        </w:rPr>
      </w:pPr>
      <w:r w:rsidRPr="00441E73">
        <w:rPr>
          <w:rFonts w:ascii="Verdana" w:hAnsi="Verdana" w:cs="Arial"/>
          <w:color w:val="000000"/>
          <w:sz w:val="16"/>
          <w:szCs w:val="16"/>
        </w:rPr>
        <w:t>[…]</w:t>
      </w:r>
      <w:r w:rsidR="009B0B1E">
        <w:rPr>
          <w:rFonts w:ascii="Verdana" w:hAnsi="Verdana" w:cs="Arial"/>
          <w:color w:val="000000"/>
          <w:sz w:val="16"/>
          <w:szCs w:val="16"/>
        </w:rPr>
        <w:t>”</w:t>
      </w:r>
      <w:r w:rsidRPr="00441E73">
        <w:rPr>
          <w:rFonts w:ascii="Verdana" w:hAnsi="Verdana" w:cs="Arial"/>
          <w:color w:val="000000"/>
          <w:sz w:val="16"/>
          <w:szCs w:val="16"/>
        </w:rPr>
        <w:t>.</w:t>
      </w:r>
    </w:p>
    <w:p w14:paraId="24BF9487" w14:textId="77777777" w:rsidR="00E4333A" w:rsidRPr="00441E73" w:rsidRDefault="00E4333A" w:rsidP="00E4333A">
      <w:pPr>
        <w:pStyle w:val="Textonotapie"/>
        <w:ind w:firstLine="709"/>
        <w:jc w:val="both"/>
        <w:rPr>
          <w:rFonts w:ascii="Verdana" w:hAnsi="Verdana" w:cs="Arial"/>
          <w:color w:val="000000"/>
          <w:sz w:val="16"/>
          <w:szCs w:val="16"/>
          <w:lang w:val="es-ES"/>
        </w:rPr>
      </w:pPr>
    </w:p>
  </w:footnote>
  <w:footnote w:id="9">
    <w:p w14:paraId="64B1C15A" w14:textId="77777777" w:rsidR="00E4333A" w:rsidRPr="00EB66FB" w:rsidRDefault="00E4333A" w:rsidP="00E4333A">
      <w:pPr>
        <w:pStyle w:val="Textonotapie"/>
        <w:ind w:firstLine="708"/>
        <w:contextualSpacing/>
        <w:jc w:val="both"/>
        <w:rPr>
          <w:rFonts w:ascii="Verdana" w:hAnsi="Verdana" w:cs="Arial"/>
          <w:color w:val="000000"/>
          <w:sz w:val="16"/>
          <w:szCs w:val="16"/>
        </w:rPr>
      </w:pPr>
      <w:r w:rsidRPr="00EB66FB">
        <w:rPr>
          <w:rStyle w:val="Refdenotaalpie"/>
          <w:rFonts w:ascii="Verdana" w:hAnsi="Verdana" w:cs="Arial"/>
          <w:sz w:val="16"/>
          <w:szCs w:val="16"/>
        </w:rPr>
        <w:footnoteRef/>
      </w:r>
      <w:r w:rsidRPr="00EB66FB">
        <w:rPr>
          <w:rFonts w:ascii="Verdana" w:hAnsi="Verdana" w:cs="Arial"/>
          <w:sz w:val="16"/>
          <w:szCs w:val="16"/>
        </w:rPr>
        <w:t xml:space="preserve"> </w:t>
      </w:r>
      <w:r w:rsidRPr="00EB66FB">
        <w:rPr>
          <w:rFonts w:ascii="Verdana" w:hAnsi="Verdana" w:cs="Arial"/>
          <w:color w:val="000000"/>
          <w:sz w:val="16"/>
          <w:szCs w:val="16"/>
        </w:rPr>
        <w:t>Ley 489 de 1998: “Artículo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w:t>
      </w:r>
      <w:r w:rsidRPr="00EB66FB">
        <w:rPr>
          <w:rFonts w:ascii="Verdana" w:hAnsi="Verdana" w:cs="Arial"/>
          <w:bCs/>
          <w:i/>
          <w:iCs/>
          <w:color w:val="000000"/>
          <w:sz w:val="16"/>
          <w:szCs w:val="16"/>
        </w:rPr>
        <w:t>las empresas oficiales de servicios públicos</w:t>
      </w:r>
      <w:r w:rsidRPr="00EB66FB">
        <w:rPr>
          <w:rFonts w:ascii="Verdana" w:hAnsi="Verdana" w:cs="Arial"/>
          <w:color w:val="000000"/>
          <w:sz w:val="16"/>
          <w:szCs w:val="16"/>
        </w:rPr>
        <w:t> y las demás entidades creadas por la ley o con su autorización, cuyo objeto principal sea el ejercicio de funciones administrativas, la prestación de servicios públicos o la realización de actividades.”</w:t>
      </w:r>
    </w:p>
    <w:p w14:paraId="12539063" w14:textId="77777777" w:rsidR="00E4333A" w:rsidRPr="00EB66FB" w:rsidRDefault="00E4333A" w:rsidP="00E4333A">
      <w:pPr>
        <w:pStyle w:val="Textonotapie"/>
        <w:ind w:firstLine="708"/>
        <w:contextualSpacing/>
        <w:jc w:val="both"/>
        <w:rPr>
          <w:rFonts w:ascii="Verdana" w:hAnsi="Verdana" w:cs="Arial"/>
          <w:sz w:val="16"/>
          <w:szCs w:val="16"/>
        </w:rPr>
      </w:pPr>
    </w:p>
  </w:footnote>
  <w:footnote w:id="10">
    <w:p w14:paraId="2AD6CEA7" w14:textId="0D2B4B38" w:rsidR="00E4333A" w:rsidRDefault="00E4333A" w:rsidP="009B0B1E">
      <w:pPr>
        <w:pStyle w:val="Textonotapie"/>
        <w:ind w:firstLine="708"/>
        <w:contextualSpacing/>
        <w:jc w:val="both"/>
        <w:rPr>
          <w:rFonts w:ascii="Verdana" w:hAnsi="Verdana" w:cs="Arial"/>
          <w:sz w:val="16"/>
          <w:szCs w:val="16"/>
        </w:rPr>
      </w:pPr>
      <w:r w:rsidRPr="00EB66FB">
        <w:rPr>
          <w:rStyle w:val="Refdenotaalpie"/>
          <w:rFonts w:ascii="Verdana" w:hAnsi="Verdana" w:cs="Arial"/>
          <w:sz w:val="16"/>
          <w:szCs w:val="16"/>
        </w:rPr>
        <w:footnoteRef/>
      </w:r>
      <w:r w:rsidRPr="00EB66FB">
        <w:rPr>
          <w:rFonts w:ascii="Verdana" w:hAnsi="Verdana" w:cs="Arial"/>
          <w:sz w:val="16"/>
          <w:szCs w:val="16"/>
          <w:lang w:val="pt-PT"/>
        </w:rPr>
        <w:t xml:space="preserve"> </w:t>
      </w:r>
      <w:r w:rsidRPr="00EB66FB">
        <w:rPr>
          <w:rFonts w:ascii="Verdana" w:hAnsi="Verdana" w:cs="Arial"/>
          <w:sz w:val="16"/>
          <w:szCs w:val="16"/>
          <w:lang w:val="pt-PT"/>
        </w:rPr>
        <w:t xml:space="preserve">Corte Constitucional. Sentencia C-736 de 2007. </w:t>
      </w:r>
      <w:r w:rsidRPr="00EB66FB">
        <w:rPr>
          <w:rFonts w:ascii="Verdana" w:hAnsi="Verdana" w:cs="Arial"/>
          <w:sz w:val="16"/>
          <w:szCs w:val="16"/>
        </w:rPr>
        <w:t>M.P. Marco Gerardo Monroy Cabra.</w:t>
      </w:r>
    </w:p>
    <w:p w14:paraId="50F167FA" w14:textId="77777777" w:rsidR="00E4333A" w:rsidRPr="00EB66FB" w:rsidRDefault="00E4333A" w:rsidP="00E4333A">
      <w:pPr>
        <w:pStyle w:val="Textonotapie"/>
        <w:ind w:firstLine="708"/>
        <w:contextualSpacing/>
        <w:jc w:val="both"/>
        <w:rPr>
          <w:rFonts w:ascii="Verdana" w:hAnsi="Verdana" w:cs="Arial"/>
          <w:sz w:val="16"/>
          <w:szCs w:val="16"/>
        </w:rPr>
      </w:pPr>
    </w:p>
  </w:footnote>
  <w:footnote w:id="11">
    <w:p w14:paraId="0DC2A859" w14:textId="77777777" w:rsidR="00E4333A" w:rsidRPr="00EB66FB" w:rsidRDefault="00E4333A" w:rsidP="00E4333A">
      <w:pPr>
        <w:pStyle w:val="Textonotapie"/>
        <w:ind w:firstLine="708"/>
        <w:contextualSpacing/>
        <w:jc w:val="both"/>
        <w:rPr>
          <w:rFonts w:ascii="Verdana" w:hAnsi="Verdana" w:cs="Arial"/>
          <w:sz w:val="16"/>
          <w:szCs w:val="16"/>
        </w:rPr>
      </w:pPr>
      <w:r w:rsidRPr="00EB66FB">
        <w:rPr>
          <w:rStyle w:val="Refdenotaalpie"/>
          <w:rFonts w:ascii="Verdana" w:hAnsi="Verdana" w:cs="Arial"/>
          <w:sz w:val="16"/>
          <w:szCs w:val="16"/>
        </w:rPr>
        <w:footnoteRef/>
      </w:r>
      <w:r w:rsidRPr="00EB66FB">
        <w:rPr>
          <w:rFonts w:ascii="Verdana" w:hAnsi="Verdana" w:cs="Arial"/>
          <w:sz w:val="16"/>
          <w:szCs w:val="16"/>
        </w:rPr>
        <w:t xml:space="preserve"> Ibid.</w:t>
      </w:r>
    </w:p>
    <w:p w14:paraId="7FC12356" w14:textId="77777777" w:rsidR="00E4333A" w:rsidRPr="00EB66FB" w:rsidRDefault="00E4333A" w:rsidP="00E4333A">
      <w:pPr>
        <w:pStyle w:val="Textonotapie"/>
        <w:ind w:firstLine="708"/>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3671"/>
    <w:rsid w:val="0015699B"/>
    <w:rsid w:val="001A0291"/>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33AA"/>
    <w:rsid w:val="00374F5E"/>
    <w:rsid w:val="00377E3E"/>
    <w:rsid w:val="003A779E"/>
    <w:rsid w:val="003D0F4D"/>
    <w:rsid w:val="003D5B0D"/>
    <w:rsid w:val="003E0499"/>
    <w:rsid w:val="003E4F80"/>
    <w:rsid w:val="003E6439"/>
    <w:rsid w:val="003F3941"/>
    <w:rsid w:val="00406575"/>
    <w:rsid w:val="00414C74"/>
    <w:rsid w:val="00416AEB"/>
    <w:rsid w:val="0042722E"/>
    <w:rsid w:val="00441E73"/>
    <w:rsid w:val="0044528D"/>
    <w:rsid w:val="00466E39"/>
    <w:rsid w:val="004A1847"/>
    <w:rsid w:val="004A305D"/>
    <w:rsid w:val="004F21C4"/>
    <w:rsid w:val="004F685F"/>
    <w:rsid w:val="005566E8"/>
    <w:rsid w:val="00574867"/>
    <w:rsid w:val="00591460"/>
    <w:rsid w:val="005A65E0"/>
    <w:rsid w:val="005C3777"/>
    <w:rsid w:val="005C5CDC"/>
    <w:rsid w:val="005D476C"/>
    <w:rsid w:val="005F4823"/>
    <w:rsid w:val="006200BF"/>
    <w:rsid w:val="006219F8"/>
    <w:rsid w:val="006302F7"/>
    <w:rsid w:val="00646B9F"/>
    <w:rsid w:val="00665D70"/>
    <w:rsid w:val="006900D9"/>
    <w:rsid w:val="00706C16"/>
    <w:rsid w:val="007071F7"/>
    <w:rsid w:val="007340C3"/>
    <w:rsid w:val="00744C6B"/>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7824"/>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0B1E"/>
    <w:rsid w:val="009B2D26"/>
    <w:rsid w:val="009C1E7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53D1"/>
    <w:rsid w:val="00B44A47"/>
    <w:rsid w:val="00B4522B"/>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333A"/>
    <w:rsid w:val="00E50AFE"/>
    <w:rsid w:val="00E75C92"/>
    <w:rsid w:val="00E771DC"/>
    <w:rsid w:val="00E8772A"/>
    <w:rsid w:val="00E90F6B"/>
    <w:rsid w:val="00E92C27"/>
    <w:rsid w:val="00EA0E3D"/>
    <w:rsid w:val="00EA2DC3"/>
    <w:rsid w:val="00EC38A7"/>
    <w:rsid w:val="00EE1AA8"/>
    <w:rsid w:val="00F23FEA"/>
    <w:rsid w:val="00F25135"/>
    <w:rsid w:val="00F31EDC"/>
    <w:rsid w:val="00F462B3"/>
    <w:rsid w:val="00F5664F"/>
    <w:rsid w:val="00F666C4"/>
    <w:rsid w:val="00F7455C"/>
    <w:rsid w:val="00F76AFC"/>
    <w:rsid w:val="00FA47C0"/>
    <w:rsid w:val="00FB5DD1"/>
    <w:rsid w:val="00FC2B5D"/>
    <w:rsid w:val="00FF1449"/>
    <w:rsid w:val="00FF7963"/>
    <w:rsid w:val="03D68BB1"/>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4333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4333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poyojuridico.dsa4@electrohuila.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B75A747-77F3-4809-9A63-FC53D9C108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terms/"/>
    <ds:schemaRef ds:uri="9d85dbaf-23eb-4e57-a637-93dcacc8b1a1"/>
    <ds:schemaRef ds:uri="http://schemas.microsoft.com/office/2006/documentManagement/types"/>
    <ds:schemaRef ds:uri="http://purl.org/dc/elements/1.1/"/>
    <ds:schemaRef ds:uri="a6cb9e4b-f1d1-4245-83ec-6cad768d538a"/>
    <ds:schemaRef ds:uri="http://purl.org/dc/dcmitype/"/>
    <ds:schemaRef ds:uri="http://schemas.openxmlformats.org/package/2006/metadata/core-properties"/>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3888</Words>
  <Characters>21385</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2025-11-11T15:45:00Z</dcterms:created>
  <dcterms:modified xsi:type="dcterms:W3CDTF">2025-11-11T15:45:00Z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