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52A9A" w14:textId="77777777" w:rsidR="00736C0D" w:rsidRPr="00C628F9" w:rsidRDefault="00736C0D" w:rsidP="00736C0D">
      <w:pPr>
        <w:widowControl w:val="0"/>
        <w:autoSpaceDE w:val="0"/>
        <w:autoSpaceDN w:val="0"/>
        <w:spacing w:after="0" w:line="240" w:lineRule="auto"/>
        <w:jc w:val="both"/>
        <w:rPr>
          <w:rFonts w:ascii="Verdana" w:hAnsi="Verdana" w:cs="Arial"/>
          <w:b/>
          <w:bCs/>
        </w:rPr>
      </w:pPr>
      <w:bookmarkStart w:id="0" w:name="_Hlk143780582"/>
      <w:r w:rsidRPr="00C628F9">
        <w:rPr>
          <w:rFonts w:ascii="Verdana" w:hAnsi="Verdana" w:cs="Arial"/>
          <w:b/>
          <w:bCs/>
        </w:rPr>
        <w:t>CONTRATO DE PRESTACIÓN DE SERVICIOS – Definición</w:t>
      </w:r>
    </w:p>
    <w:p w14:paraId="51E05420" w14:textId="77777777" w:rsidR="00736C0D" w:rsidRPr="00C628F9" w:rsidRDefault="00736C0D" w:rsidP="00736C0D">
      <w:pPr>
        <w:widowControl w:val="0"/>
        <w:autoSpaceDE w:val="0"/>
        <w:autoSpaceDN w:val="0"/>
        <w:spacing w:after="0" w:line="240" w:lineRule="auto"/>
        <w:jc w:val="both"/>
        <w:rPr>
          <w:rFonts w:ascii="Verdana" w:hAnsi="Verdana" w:cs="Arial"/>
          <w:sz w:val="20"/>
          <w:szCs w:val="20"/>
        </w:rPr>
      </w:pPr>
    </w:p>
    <w:p w14:paraId="260824F8" w14:textId="4BBCF5C5" w:rsidR="00736C0D" w:rsidRPr="00C628F9" w:rsidRDefault="00736C0D" w:rsidP="00736C0D">
      <w:pPr>
        <w:widowControl w:val="0"/>
        <w:autoSpaceDE w:val="0"/>
        <w:autoSpaceDN w:val="0"/>
        <w:spacing w:after="0" w:line="240" w:lineRule="auto"/>
        <w:jc w:val="both"/>
        <w:rPr>
          <w:rFonts w:ascii="Verdana" w:hAnsi="Verdana" w:cs="Arial"/>
          <w:sz w:val="20"/>
          <w:szCs w:val="20"/>
        </w:rPr>
      </w:pPr>
      <w:r w:rsidRPr="00C628F9">
        <w:rPr>
          <w:rFonts w:ascii="Verdana" w:eastAsia="Century Gothic" w:hAnsi="Verdana" w:cs="Century Gothic"/>
          <w:color w:val="000000" w:themeColor="text1"/>
          <w:sz w:val="20"/>
          <w:szCs w:val="20"/>
          <w:lang w:val="es-ES"/>
        </w:rPr>
        <w:t xml:space="preserve">“[…] </w:t>
      </w:r>
      <w:r w:rsidRPr="00C628F9">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217F13AA" w14:textId="77777777" w:rsidR="00736C0D" w:rsidRPr="00C628F9" w:rsidRDefault="00736C0D" w:rsidP="00736C0D">
      <w:pPr>
        <w:widowControl w:val="0"/>
        <w:autoSpaceDE w:val="0"/>
        <w:autoSpaceDN w:val="0"/>
        <w:spacing w:after="0" w:line="240" w:lineRule="auto"/>
        <w:jc w:val="both"/>
        <w:rPr>
          <w:rFonts w:ascii="Verdana" w:hAnsi="Verdana" w:cs="Arial"/>
          <w:sz w:val="20"/>
          <w:szCs w:val="20"/>
        </w:rPr>
      </w:pPr>
    </w:p>
    <w:p w14:paraId="232224DF" w14:textId="3B44C035" w:rsidR="00736C0D" w:rsidRPr="00C628F9" w:rsidRDefault="00736C0D" w:rsidP="00736C0D">
      <w:pPr>
        <w:widowControl w:val="0"/>
        <w:autoSpaceDE w:val="0"/>
        <w:autoSpaceDN w:val="0"/>
        <w:spacing w:after="0" w:line="240" w:lineRule="auto"/>
        <w:jc w:val="both"/>
        <w:rPr>
          <w:rFonts w:ascii="Verdana" w:eastAsia="Century Gothic" w:hAnsi="Verdana" w:cs="Century Gothic"/>
          <w:color w:val="000000" w:themeColor="text1"/>
          <w:sz w:val="20"/>
          <w:szCs w:val="20"/>
        </w:rPr>
      </w:pPr>
      <w:r w:rsidRPr="00C628F9">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C628F9">
        <w:rPr>
          <w:rFonts w:ascii="Verdana" w:eastAsia="Century Gothic" w:hAnsi="Verdana" w:cs="Century Gothic"/>
          <w:color w:val="000000" w:themeColor="text1"/>
          <w:sz w:val="20"/>
          <w:szCs w:val="20"/>
          <w:lang w:val="es-ES"/>
        </w:rPr>
        <w:t>[…]”</w:t>
      </w:r>
      <w:r w:rsidR="00671385" w:rsidRPr="00C628F9">
        <w:rPr>
          <w:rFonts w:ascii="Verdana" w:eastAsia="Century Gothic" w:hAnsi="Verdana" w:cs="Century Gothic"/>
          <w:color w:val="000000" w:themeColor="text1"/>
          <w:sz w:val="20"/>
          <w:szCs w:val="20"/>
          <w:lang w:val="es-ES"/>
        </w:rPr>
        <w:t xml:space="preserve"> </w:t>
      </w:r>
    </w:p>
    <w:p w14:paraId="65323746" w14:textId="77777777" w:rsidR="00A954D2" w:rsidRPr="00C628F9" w:rsidRDefault="00A954D2" w:rsidP="00736C0D">
      <w:pPr>
        <w:widowControl w:val="0"/>
        <w:autoSpaceDE w:val="0"/>
        <w:autoSpaceDN w:val="0"/>
        <w:spacing w:after="0" w:line="240" w:lineRule="auto"/>
        <w:jc w:val="both"/>
        <w:rPr>
          <w:rFonts w:ascii="Verdana" w:eastAsia="Century Gothic" w:hAnsi="Verdana" w:cs="Century Gothic"/>
          <w:color w:val="000000" w:themeColor="text1"/>
          <w:sz w:val="20"/>
          <w:szCs w:val="20"/>
          <w:lang w:val="es-ES"/>
        </w:rPr>
      </w:pPr>
    </w:p>
    <w:p w14:paraId="7A168C24" w14:textId="6D90A907" w:rsidR="00A954D2" w:rsidRPr="00C628F9" w:rsidRDefault="00A954D2" w:rsidP="00736C0D">
      <w:pPr>
        <w:widowControl w:val="0"/>
        <w:autoSpaceDE w:val="0"/>
        <w:autoSpaceDN w:val="0"/>
        <w:spacing w:after="0" w:line="240" w:lineRule="auto"/>
        <w:jc w:val="both"/>
        <w:rPr>
          <w:rFonts w:ascii="Verdana" w:hAnsi="Verdana" w:cs="Arial"/>
          <w:b/>
          <w:bCs/>
        </w:rPr>
      </w:pPr>
      <w:r w:rsidRPr="00C628F9">
        <w:rPr>
          <w:rFonts w:ascii="Verdana" w:hAnsi="Verdana" w:cs="Arial"/>
          <w:b/>
          <w:bCs/>
        </w:rPr>
        <w:t>CONTRATO DE EPRESTACIÓN DE SERVICIOS – Características</w:t>
      </w:r>
    </w:p>
    <w:p w14:paraId="0E683BCD" w14:textId="77777777" w:rsidR="00E0662F" w:rsidRPr="00C628F9" w:rsidRDefault="00E0662F" w:rsidP="00671385">
      <w:pPr>
        <w:spacing w:after="0" w:line="240" w:lineRule="auto"/>
        <w:jc w:val="both"/>
        <w:rPr>
          <w:rFonts w:ascii="Verdana" w:eastAsia="Calibri" w:hAnsi="Verdana" w:cs="Arial"/>
          <w:sz w:val="20"/>
          <w:szCs w:val="20"/>
        </w:rPr>
      </w:pPr>
    </w:p>
    <w:p w14:paraId="1155C4F9" w14:textId="6C18B946" w:rsidR="00671385" w:rsidRPr="00C628F9" w:rsidRDefault="00671385" w:rsidP="00671385">
      <w:pPr>
        <w:spacing w:after="0" w:line="240" w:lineRule="auto"/>
        <w:jc w:val="both"/>
        <w:rPr>
          <w:rFonts w:ascii="Verdana" w:eastAsia="Calibri" w:hAnsi="Verdana" w:cs="Arial"/>
          <w:sz w:val="20"/>
          <w:szCs w:val="20"/>
        </w:rPr>
      </w:pPr>
      <w:r w:rsidRPr="00C628F9">
        <w:rPr>
          <w:rFonts w:ascii="Verdana" w:eastAsia="Calibri" w:hAnsi="Verdana" w:cs="Arial"/>
          <w:sz w:val="20"/>
          <w:szCs w:val="20"/>
        </w:rPr>
        <w:t xml:space="preserve">“[…] </w:t>
      </w:r>
      <w:proofErr w:type="spellStart"/>
      <w:r w:rsidRPr="00C628F9">
        <w:rPr>
          <w:rFonts w:ascii="Verdana" w:eastAsia="Calibri" w:hAnsi="Verdana" w:cs="Arial"/>
          <w:sz w:val="20"/>
          <w:szCs w:val="20"/>
        </w:rPr>
        <w:t>viii</w:t>
      </w:r>
      <w:proofErr w:type="spellEnd"/>
      <w:r w:rsidRPr="00C628F9">
        <w:rPr>
          <w:rFonts w:ascii="Verdana" w:eastAsia="Calibri" w:hAnsi="Verdana" w:cs="Arial"/>
          <w:sz w:val="20"/>
          <w:szCs w:val="20"/>
        </w:rPr>
        <w:t xml:space="preserve">) Admiten el pacto de cláusulas excepcionales. Es decir, en los contratos de prestación de servicios se puede estipular las figuras jurídicas de caducidad, así como la modificación, interpretación o </w:t>
      </w:r>
      <w:r w:rsidRPr="00C628F9">
        <w:rPr>
          <w:rFonts w:ascii="Verdana" w:eastAsia="Calibri" w:hAnsi="Verdana" w:cs="Arial"/>
          <w:i/>
          <w:iCs/>
          <w:sz w:val="20"/>
          <w:szCs w:val="20"/>
        </w:rPr>
        <w:t>terminación unilaterales</w:t>
      </w:r>
      <w:r w:rsidRPr="00C628F9">
        <w:rPr>
          <w:rFonts w:ascii="Verdana" w:eastAsia="Calibri" w:hAnsi="Verdana" w:cs="Arial"/>
          <w:sz w:val="20"/>
          <w:szCs w:val="20"/>
        </w:rPr>
        <w:t>, como elementos accidentales, es decir, que para que puedan ejercerse dichas exorbitancias, han debido quedar incluidas expresamente en el contrato, ya que no se entienden pactadas por naturaleza. Así se infiere del artículo 14, numeral 2º, de la Ley 80 de 1993. […]”</w:t>
      </w:r>
    </w:p>
    <w:p w14:paraId="17F5E0CB" w14:textId="77777777" w:rsidR="00A954D2" w:rsidRPr="00C628F9" w:rsidRDefault="00A954D2" w:rsidP="001B3702">
      <w:pPr>
        <w:spacing w:after="0" w:line="278" w:lineRule="auto"/>
        <w:jc w:val="both"/>
        <w:rPr>
          <w:rFonts w:ascii="Verdana" w:eastAsia="Calibri" w:hAnsi="Verdana" w:cs="Arial"/>
          <w:sz w:val="20"/>
          <w:szCs w:val="20"/>
        </w:rPr>
      </w:pPr>
    </w:p>
    <w:p w14:paraId="59EDBF8F" w14:textId="77777777" w:rsidR="00E0662F" w:rsidRPr="00C628F9" w:rsidRDefault="00E0662F" w:rsidP="00E0662F">
      <w:pPr>
        <w:widowControl w:val="0"/>
        <w:autoSpaceDE w:val="0"/>
        <w:autoSpaceDN w:val="0"/>
        <w:spacing w:after="0" w:line="240" w:lineRule="auto"/>
        <w:jc w:val="both"/>
        <w:rPr>
          <w:rFonts w:ascii="Verdana" w:hAnsi="Verdana" w:cs="Arial"/>
          <w:b/>
          <w:bCs/>
        </w:rPr>
      </w:pPr>
      <w:r w:rsidRPr="00C628F9">
        <w:rPr>
          <w:rFonts w:ascii="Verdana" w:hAnsi="Verdana" w:cs="Arial"/>
          <w:b/>
          <w:bCs/>
        </w:rPr>
        <w:t xml:space="preserve">TERMINACIÓN ANTICIPADA – Mutuo acuerdo </w:t>
      </w:r>
    </w:p>
    <w:p w14:paraId="10DAB787" w14:textId="77777777" w:rsidR="00E0662F" w:rsidRPr="00C628F9" w:rsidRDefault="00E0662F" w:rsidP="00E0662F">
      <w:pPr>
        <w:widowControl w:val="0"/>
        <w:autoSpaceDE w:val="0"/>
        <w:autoSpaceDN w:val="0"/>
        <w:spacing w:after="0" w:line="240" w:lineRule="auto"/>
        <w:jc w:val="both"/>
        <w:rPr>
          <w:rFonts w:ascii="Verdana" w:hAnsi="Verdana" w:cs="Arial"/>
          <w:sz w:val="20"/>
          <w:szCs w:val="20"/>
        </w:rPr>
      </w:pPr>
    </w:p>
    <w:p w14:paraId="31BF8312" w14:textId="5ACBD566" w:rsidR="00E0662F" w:rsidRPr="00C628F9" w:rsidRDefault="00E0662F" w:rsidP="00E0662F">
      <w:pPr>
        <w:widowControl w:val="0"/>
        <w:autoSpaceDE w:val="0"/>
        <w:autoSpaceDN w:val="0"/>
        <w:spacing w:after="0" w:line="240" w:lineRule="auto"/>
        <w:jc w:val="both"/>
        <w:rPr>
          <w:rFonts w:ascii="Verdana" w:hAnsi="Verdana" w:cs="Arial"/>
          <w:sz w:val="20"/>
          <w:szCs w:val="20"/>
        </w:rPr>
      </w:pPr>
      <w:r w:rsidRPr="00C628F9">
        <w:rPr>
          <w:rFonts w:ascii="Verdana" w:hAnsi="Verdana" w:cs="Arial"/>
          <w:sz w:val="20"/>
          <w:szCs w:val="20"/>
        </w:rPr>
        <w:t xml:space="preserve">“[…] La terminación anticipada de mutuo acuerdo es una práctica común en la contratación estatal a la que se acude cuando el contratista manifiesta a la Entidad Estatal contratante su voluntad de no continuar con la ejecución del contrato. Esto implica que, en ejercicio de la autonomía de la voluntad la entidad estatal contratante y el contratista convengan la terminación anticipada del contrato y lo eleven a escrito, de manera que la primera libera recursos asociados al contrato terminado, los cuales pueden ser destinados a la celebración de un nuevo contrato con otro contratista, en caso de que persista la necesidad que motivó la contratación. De esta manera, las partes además evitan que se consolide el incumplimiento del contrato, evitando la imposición de multas o cláusulas penales, siempre que se hayan cumplido a satisfacción durante el periodo que estuvo vigente el contrato. </w:t>
      </w:r>
    </w:p>
    <w:p w14:paraId="0EEAFD64" w14:textId="77777777" w:rsidR="00E0662F" w:rsidRPr="00C628F9" w:rsidRDefault="00E0662F" w:rsidP="00E0662F">
      <w:pPr>
        <w:widowControl w:val="0"/>
        <w:autoSpaceDE w:val="0"/>
        <w:autoSpaceDN w:val="0"/>
        <w:spacing w:after="0" w:line="240" w:lineRule="auto"/>
        <w:jc w:val="both"/>
        <w:rPr>
          <w:rFonts w:ascii="Verdana" w:hAnsi="Verdana" w:cs="Arial"/>
          <w:sz w:val="20"/>
          <w:szCs w:val="20"/>
        </w:rPr>
      </w:pPr>
    </w:p>
    <w:p w14:paraId="34F9458B" w14:textId="4E220558" w:rsidR="00E0662F" w:rsidRPr="00C628F9" w:rsidRDefault="00EE5AC0" w:rsidP="001B3702">
      <w:pPr>
        <w:spacing w:after="0" w:line="278" w:lineRule="auto"/>
        <w:jc w:val="both"/>
        <w:rPr>
          <w:rFonts w:ascii="Verdana" w:hAnsi="Verdana" w:cs="Arial"/>
          <w:b/>
          <w:bCs/>
          <w:lang w:val="es-ES"/>
        </w:rPr>
      </w:pPr>
      <w:r w:rsidRPr="00C628F9">
        <w:rPr>
          <w:rFonts w:ascii="Verdana" w:hAnsi="Verdana" w:cs="Arial"/>
          <w:b/>
          <w:bCs/>
          <w:lang w:val="es-ES"/>
        </w:rPr>
        <w:t>TERMINACIÓN UNILATERAL – Articulo 17 de la Ley 80 de 1993 – Causales – Acto Administrativo – Motivación</w:t>
      </w:r>
    </w:p>
    <w:p w14:paraId="14744092" w14:textId="77777777" w:rsidR="00A65D1F" w:rsidRPr="00C628F9" w:rsidRDefault="00A65D1F" w:rsidP="001B3702">
      <w:pPr>
        <w:spacing w:after="0" w:line="278" w:lineRule="auto"/>
        <w:jc w:val="both"/>
        <w:rPr>
          <w:rFonts w:ascii="Verdana" w:hAnsi="Verdana" w:cs="Arial"/>
          <w:b/>
          <w:bCs/>
          <w:lang w:val="es-ES"/>
        </w:rPr>
      </w:pPr>
    </w:p>
    <w:p w14:paraId="3918D7C0" w14:textId="77777777" w:rsidR="00A65D1F" w:rsidRPr="00C628F9" w:rsidRDefault="00A65D1F" w:rsidP="00A65D1F">
      <w:pPr>
        <w:widowControl w:val="0"/>
        <w:autoSpaceDE w:val="0"/>
        <w:autoSpaceDN w:val="0"/>
        <w:spacing w:after="0" w:line="240" w:lineRule="auto"/>
        <w:jc w:val="both"/>
        <w:rPr>
          <w:rFonts w:ascii="Verdana" w:hAnsi="Verdana" w:cs="Arial"/>
          <w:sz w:val="20"/>
          <w:szCs w:val="20"/>
        </w:rPr>
      </w:pPr>
      <w:r w:rsidRPr="00C628F9">
        <w:rPr>
          <w:rFonts w:ascii="Verdana" w:hAnsi="Verdana" w:cs="Arial"/>
          <w:sz w:val="20"/>
          <w:szCs w:val="20"/>
        </w:rPr>
        <w:t xml:space="preserve">[…]” En lo atinente a la terminación unilateral del contrato, si bien la ley otorga a las entidades públicas la potestad de actuar en ejercicio de una facultad exorbitante, les </w:t>
      </w:r>
      <w:r w:rsidRPr="00C628F9">
        <w:rPr>
          <w:rFonts w:ascii="Verdana" w:hAnsi="Verdana" w:cs="Arial"/>
          <w:sz w:val="20"/>
          <w:szCs w:val="20"/>
        </w:rPr>
        <w:lastRenderedPageBreak/>
        <w:t xml:space="preserve">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C628F9">
        <w:rPr>
          <w:rFonts w:ascii="Verdana" w:hAnsi="Verdana" w:cs="Arial"/>
          <w:sz w:val="20"/>
          <w:szCs w:val="20"/>
        </w:rPr>
        <w:t>ii</w:t>
      </w:r>
      <w:proofErr w:type="spellEnd"/>
      <w:r w:rsidRPr="00C628F9">
        <w:rPr>
          <w:rFonts w:ascii="Verdana" w:hAnsi="Verdana" w:cs="Arial"/>
          <w:sz w:val="20"/>
          <w:szCs w:val="20"/>
        </w:rPr>
        <w:t xml:space="preserve">) que dicho acto debe ser el resultado de un análisis soportado en la realidad del contrato, es decir, debe estar debidamente motivado y </w:t>
      </w:r>
      <w:proofErr w:type="spellStart"/>
      <w:r w:rsidRPr="00C628F9">
        <w:rPr>
          <w:rFonts w:ascii="Verdana" w:hAnsi="Verdana" w:cs="Arial"/>
          <w:sz w:val="20"/>
          <w:szCs w:val="20"/>
        </w:rPr>
        <w:t>iii</w:t>
      </w:r>
      <w:proofErr w:type="spellEnd"/>
      <w:r w:rsidRPr="00C628F9">
        <w:rPr>
          <w:rFonts w:ascii="Verdana" w:hAnsi="Verdana" w:cs="Arial"/>
          <w:sz w:val="20"/>
          <w:szCs w:val="20"/>
        </w:rPr>
        <w:t>) que la causal que se alegue en la decisión se encuentre enmarcada en los eventos que la ley ha dispuesto.</w:t>
      </w:r>
    </w:p>
    <w:p w14:paraId="3D5684CB" w14:textId="77777777" w:rsidR="00A65D1F" w:rsidRPr="00C628F9" w:rsidRDefault="00A65D1F" w:rsidP="00A65D1F">
      <w:pPr>
        <w:widowControl w:val="0"/>
        <w:autoSpaceDE w:val="0"/>
        <w:autoSpaceDN w:val="0"/>
        <w:spacing w:after="0" w:line="240" w:lineRule="auto"/>
        <w:jc w:val="both"/>
        <w:rPr>
          <w:rFonts w:ascii="Verdana" w:hAnsi="Verdana" w:cs="Arial"/>
          <w:sz w:val="20"/>
          <w:szCs w:val="20"/>
        </w:rPr>
      </w:pPr>
    </w:p>
    <w:p w14:paraId="0919B63F" w14:textId="77777777" w:rsidR="00A65D1F" w:rsidRPr="00C628F9" w:rsidRDefault="00A65D1F" w:rsidP="00A65D1F">
      <w:pPr>
        <w:widowControl w:val="0"/>
        <w:autoSpaceDE w:val="0"/>
        <w:autoSpaceDN w:val="0"/>
        <w:spacing w:after="0" w:line="240" w:lineRule="auto"/>
        <w:jc w:val="both"/>
        <w:rPr>
          <w:rFonts w:ascii="Verdana" w:hAnsi="Verdana" w:cs="Arial"/>
          <w:sz w:val="20"/>
          <w:szCs w:val="20"/>
        </w:rPr>
      </w:pPr>
      <w:r w:rsidRPr="00C628F9">
        <w:rPr>
          <w:rFonts w:ascii="Verdana" w:hAnsi="Verdana" w:cs="Arial"/>
          <w:sz w:val="20"/>
          <w:szCs w:val="20"/>
        </w:rPr>
        <w:t xml:space="preserve">[…] </w:t>
      </w:r>
    </w:p>
    <w:p w14:paraId="00AA576A" w14:textId="77777777" w:rsidR="00671385" w:rsidRPr="00C628F9" w:rsidRDefault="00671385" w:rsidP="00A65D1F">
      <w:pPr>
        <w:widowControl w:val="0"/>
        <w:autoSpaceDE w:val="0"/>
        <w:autoSpaceDN w:val="0"/>
        <w:spacing w:after="0" w:line="240" w:lineRule="auto"/>
        <w:jc w:val="both"/>
        <w:rPr>
          <w:rFonts w:ascii="Verdana" w:hAnsi="Verdana" w:cs="Arial"/>
          <w:sz w:val="20"/>
          <w:szCs w:val="20"/>
        </w:rPr>
      </w:pPr>
    </w:p>
    <w:p w14:paraId="6C9D117A" w14:textId="77777777" w:rsidR="00AA7C6E" w:rsidRPr="00C628F9" w:rsidRDefault="00A65D1F" w:rsidP="00AA7C6E">
      <w:pPr>
        <w:widowControl w:val="0"/>
        <w:autoSpaceDE w:val="0"/>
        <w:autoSpaceDN w:val="0"/>
        <w:spacing w:after="0" w:line="240" w:lineRule="auto"/>
        <w:jc w:val="both"/>
        <w:rPr>
          <w:rFonts w:ascii="Verdana" w:hAnsi="Verdana" w:cs="Arial"/>
          <w:sz w:val="20"/>
          <w:szCs w:val="20"/>
        </w:rPr>
      </w:pPr>
      <w:r w:rsidRPr="00C628F9">
        <w:rPr>
          <w:rFonts w:ascii="Verdana" w:hAnsi="Verdana" w:cs="Arial"/>
          <w:sz w:val="20"/>
          <w:szCs w:val="20"/>
        </w:rPr>
        <w:t>Esta potestad excepcional obedece a la naturaleza misional y prioritaria del interés general dentro de la contratación estatal, y debe ejercerse mediante acto administrativo debidamente motivado, en el cual se expongan de manera clara y sustentada los hechos y fundamentos jurídicos que justifiquen la decisión, atendiendo las particularidades del contrato en cuestión.</w:t>
      </w:r>
      <w:r w:rsidR="00AA7C6E" w:rsidRPr="00C628F9">
        <w:rPr>
          <w:rFonts w:ascii="Verdana" w:hAnsi="Verdana" w:cs="Arial"/>
          <w:sz w:val="20"/>
          <w:szCs w:val="20"/>
        </w:rPr>
        <w:t xml:space="preserve"> […] </w:t>
      </w:r>
    </w:p>
    <w:p w14:paraId="3A714C07" w14:textId="60B46423" w:rsidR="00A65D1F" w:rsidRPr="00C628F9" w:rsidRDefault="00A65D1F" w:rsidP="00A65D1F">
      <w:pPr>
        <w:widowControl w:val="0"/>
        <w:autoSpaceDE w:val="0"/>
        <w:autoSpaceDN w:val="0"/>
        <w:spacing w:after="0" w:line="240" w:lineRule="auto"/>
        <w:jc w:val="both"/>
        <w:rPr>
          <w:rFonts w:ascii="Verdana" w:hAnsi="Verdana" w:cs="Arial"/>
          <w:sz w:val="20"/>
          <w:szCs w:val="20"/>
        </w:rPr>
      </w:pPr>
    </w:p>
    <w:p w14:paraId="0BCDEEA0" w14:textId="77777777" w:rsidR="00AA7C6E" w:rsidRPr="00C628F9" w:rsidRDefault="00AA7C6E" w:rsidP="00A65D1F">
      <w:pPr>
        <w:widowControl w:val="0"/>
        <w:autoSpaceDE w:val="0"/>
        <w:autoSpaceDN w:val="0"/>
        <w:spacing w:after="0" w:line="240" w:lineRule="auto"/>
        <w:jc w:val="both"/>
        <w:rPr>
          <w:rFonts w:ascii="Verdana" w:hAnsi="Verdana" w:cs="Arial"/>
          <w:sz w:val="20"/>
          <w:szCs w:val="20"/>
        </w:rPr>
      </w:pPr>
    </w:p>
    <w:p w14:paraId="2E579993" w14:textId="77777777" w:rsidR="00A65D1F" w:rsidRPr="00C628F9" w:rsidRDefault="00A65D1F" w:rsidP="00A65D1F">
      <w:pPr>
        <w:widowControl w:val="0"/>
        <w:autoSpaceDE w:val="0"/>
        <w:autoSpaceDN w:val="0"/>
        <w:spacing w:after="0" w:line="240" w:lineRule="auto"/>
        <w:jc w:val="both"/>
        <w:rPr>
          <w:rFonts w:ascii="Verdana" w:hAnsi="Verdana" w:cs="Arial"/>
          <w:sz w:val="20"/>
          <w:szCs w:val="20"/>
        </w:rPr>
      </w:pPr>
    </w:p>
    <w:p w14:paraId="71AB6E39" w14:textId="77777777" w:rsidR="00A65D1F" w:rsidRPr="00C628F9" w:rsidRDefault="00A65D1F" w:rsidP="00A65D1F">
      <w:pPr>
        <w:widowControl w:val="0"/>
        <w:autoSpaceDE w:val="0"/>
        <w:autoSpaceDN w:val="0"/>
        <w:spacing w:after="0" w:line="240" w:lineRule="auto"/>
        <w:jc w:val="both"/>
        <w:rPr>
          <w:rFonts w:ascii="Verdana" w:hAnsi="Verdana" w:cs="Arial"/>
          <w:sz w:val="20"/>
          <w:szCs w:val="20"/>
        </w:rPr>
      </w:pPr>
    </w:p>
    <w:p w14:paraId="51D02499" w14:textId="77777777" w:rsidR="00A65D1F" w:rsidRPr="00C628F9" w:rsidRDefault="00A65D1F" w:rsidP="001B3702">
      <w:pPr>
        <w:spacing w:after="0" w:line="278" w:lineRule="auto"/>
        <w:jc w:val="both"/>
        <w:rPr>
          <w:rFonts w:ascii="Verdana" w:hAnsi="Verdana" w:cs="Arial"/>
          <w:b/>
          <w:bCs/>
        </w:rPr>
      </w:pPr>
    </w:p>
    <w:p w14:paraId="474C393A" w14:textId="77777777" w:rsidR="00EE5AC0" w:rsidRPr="00C628F9" w:rsidRDefault="00EE5AC0" w:rsidP="001B3702">
      <w:pPr>
        <w:spacing w:after="0" w:line="278" w:lineRule="auto"/>
        <w:jc w:val="both"/>
        <w:rPr>
          <w:rFonts w:ascii="Verdana" w:hAnsi="Verdana" w:cs="Arial"/>
          <w:b/>
          <w:bCs/>
          <w:lang w:val="es-ES"/>
        </w:rPr>
      </w:pPr>
    </w:p>
    <w:p w14:paraId="79B3582F" w14:textId="77777777" w:rsidR="00AD1DC1" w:rsidRPr="00C628F9" w:rsidRDefault="00AD1DC1" w:rsidP="001B3702">
      <w:pPr>
        <w:spacing w:after="0" w:line="278" w:lineRule="auto"/>
        <w:jc w:val="both"/>
        <w:rPr>
          <w:rFonts w:ascii="Verdana" w:hAnsi="Verdana" w:cs="Arial"/>
          <w:b/>
          <w:bCs/>
        </w:rPr>
      </w:pPr>
    </w:p>
    <w:p w14:paraId="070920B8" w14:textId="77777777" w:rsidR="00AD1DC1" w:rsidRPr="00C628F9" w:rsidRDefault="00AD1DC1" w:rsidP="001B3702">
      <w:pPr>
        <w:spacing w:after="0" w:line="278" w:lineRule="auto"/>
        <w:jc w:val="both"/>
        <w:rPr>
          <w:rFonts w:ascii="Verdana" w:hAnsi="Verdana" w:cs="Arial"/>
          <w:b/>
          <w:bCs/>
        </w:rPr>
      </w:pPr>
    </w:p>
    <w:p w14:paraId="15812E1F" w14:textId="77777777" w:rsidR="00AD1DC1" w:rsidRPr="00C628F9" w:rsidRDefault="00AD1DC1" w:rsidP="001B3702">
      <w:pPr>
        <w:spacing w:after="0" w:line="278" w:lineRule="auto"/>
        <w:jc w:val="both"/>
        <w:rPr>
          <w:rFonts w:ascii="Verdana" w:hAnsi="Verdana" w:cs="Arial"/>
          <w:b/>
          <w:bCs/>
        </w:rPr>
      </w:pPr>
    </w:p>
    <w:p w14:paraId="161483E8" w14:textId="77777777" w:rsidR="00AD1DC1" w:rsidRPr="00C628F9" w:rsidRDefault="00AD1DC1" w:rsidP="001B3702">
      <w:pPr>
        <w:spacing w:after="0" w:line="278" w:lineRule="auto"/>
        <w:jc w:val="both"/>
        <w:rPr>
          <w:rFonts w:ascii="Verdana" w:hAnsi="Verdana" w:cs="Arial"/>
          <w:b/>
          <w:bCs/>
        </w:rPr>
      </w:pPr>
    </w:p>
    <w:p w14:paraId="3E87FE4A" w14:textId="77777777" w:rsidR="00AD1DC1" w:rsidRPr="00C628F9" w:rsidRDefault="00AD1DC1" w:rsidP="001B3702">
      <w:pPr>
        <w:spacing w:after="0" w:line="278" w:lineRule="auto"/>
        <w:jc w:val="both"/>
        <w:rPr>
          <w:rFonts w:ascii="Verdana" w:hAnsi="Verdana" w:cs="Arial"/>
          <w:b/>
          <w:bCs/>
        </w:rPr>
      </w:pPr>
    </w:p>
    <w:p w14:paraId="7E7A0EE6" w14:textId="77777777" w:rsidR="00AD1DC1" w:rsidRPr="00C628F9" w:rsidRDefault="00AD1DC1" w:rsidP="001B3702">
      <w:pPr>
        <w:spacing w:after="0" w:line="278" w:lineRule="auto"/>
        <w:jc w:val="both"/>
        <w:rPr>
          <w:rFonts w:ascii="Verdana" w:eastAsia="Calibri" w:hAnsi="Verdana" w:cs="Arial"/>
          <w:sz w:val="20"/>
          <w:szCs w:val="20"/>
        </w:rPr>
      </w:pPr>
    </w:p>
    <w:p w14:paraId="155CD210" w14:textId="77777777" w:rsidR="00DB3E83" w:rsidRPr="00C628F9" w:rsidRDefault="00DB3E83" w:rsidP="001B3702">
      <w:pPr>
        <w:spacing w:after="0" w:line="278" w:lineRule="auto"/>
        <w:jc w:val="both"/>
        <w:rPr>
          <w:rFonts w:ascii="Verdana" w:eastAsia="Calibri" w:hAnsi="Verdana" w:cs="Arial"/>
          <w:sz w:val="20"/>
          <w:szCs w:val="20"/>
        </w:rPr>
      </w:pPr>
    </w:p>
    <w:p w14:paraId="28883BCE" w14:textId="77777777" w:rsidR="00DB3E83" w:rsidRPr="00C628F9" w:rsidRDefault="00DB3E83" w:rsidP="001B3702">
      <w:pPr>
        <w:spacing w:after="0" w:line="278" w:lineRule="auto"/>
        <w:jc w:val="both"/>
        <w:rPr>
          <w:rFonts w:ascii="Verdana" w:eastAsia="Calibri" w:hAnsi="Verdana" w:cs="Arial"/>
          <w:sz w:val="20"/>
          <w:szCs w:val="20"/>
        </w:rPr>
      </w:pPr>
    </w:p>
    <w:p w14:paraId="622311ED" w14:textId="77777777" w:rsidR="00DB3E83" w:rsidRPr="00C628F9" w:rsidRDefault="00DB3E83" w:rsidP="001B3702">
      <w:pPr>
        <w:spacing w:after="0" w:line="278" w:lineRule="auto"/>
        <w:jc w:val="both"/>
        <w:rPr>
          <w:rFonts w:ascii="Verdana" w:eastAsia="Calibri" w:hAnsi="Verdana" w:cs="Arial"/>
          <w:sz w:val="20"/>
          <w:szCs w:val="20"/>
        </w:rPr>
      </w:pPr>
    </w:p>
    <w:p w14:paraId="497ACCCD" w14:textId="77777777" w:rsidR="00DB3E83" w:rsidRPr="00C628F9" w:rsidRDefault="00DB3E83" w:rsidP="001B3702">
      <w:pPr>
        <w:spacing w:after="0" w:line="278" w:lineRule="auto"/>
        <w:jc w:val="both"/>
        <w:rPr>
          <w:rFonts w:ascii="Verdana" w:eastAsia="Calibri" w:hAnsi="Verdana" w:cs="Arial"/>
          <w:sz w:val="20"/>
          <w:szCs w:val="20"/>
        </w:rPr>
      </w:pPr>
    </w:p>
    <w:p w14:paraId="7D549F1D" w14:textId="77777777" w:rsidR="00DB3E83" w:rsidRPr="00C628F9" w:rsidRDefault="00DB3E83" w:rsidP="001B3702">
      <w:pPr>
        <w:spacing w:after="0" w:line="278" w:lineRule="auto"/>
        <w:jc w:val="both"/>
        <w:rPr>
          <w:rFonts w:ascii="Verdana" w:eastAsia="Calibri" w:hAnsi="Verdana" w:cs="Arial"/>
          <w:sz w:val="20"/>
          <w:szCs w:val="20"/>
        </w:rPr>
      </w:pPr>
    </w:p>
    <w:p w14:paraId="04CA39E1" w14:textId="77777777" w:rsidR="00DB3E83" w:rsidRPr="00C628F9" w:rsidRDefault="00DB3E83" w:rsidP="001B3702">
      <w:pPr>
        <w:spacing w:after="0" w:line="278" w:lineRule="auto"/>
        <w:jc w:val="both"/>
        <w:rPr>
          <w:rFonts w:ascii="Verdana" w:eastAsia="Calibri" w:hAnsi="Verdana" w:cs="Arial"/>
          <w:sz w:val="20"/>
          <w:szCs w:val="20"/>
        </w:rPr>
      </w:pPr>
    </w:p>
    <w:p w14:paraId="720C2E0B" w14:textId="77777777" w:rsidR="00DB3E83" w:rsidRPr="00C628F9" w:rsidRDefault="00DB3E83" w:rsidP="001B3702">
      <w:pPr>
        <w:spacing w:after="0" w:line="278" w:lineRule="auto"/>
        <w:jc w:val="both"/>
        <w:rPr>
          <w:rFonts w:ascii="Verdana" w:eastAsia="Calibri" w:hAnsi="Verdana" w:cs="Arial"/>
          <w:sz w:val="20"/>
          <w:szCs w:val="20"/>
        </w:rPr>
      </w:pPr>
    </w:p>
    <w:p w14:paraId="7327352C" w14:textId="77777777" w:rsidR="00DB3E83" w:rsidRPr="00C628F9" w:rsidRDefault="00DB3E83" w:rsidP="001B3702">
      <w:pPr>
        <w:spacing w:after="0" w:line="278" w:lineRule="auto"/>
        <w:jc w:val="both"/>
        <w:rPr>
          <w:rFonts w:ascii="Verdana" w:eastAsia="Calibri" w:hAnsi="Verdana" w:cs="Arial"/>
          <w:sz w:val="20"/>
          <w:szCs w:val="20"/>
        </w:rPr>
      </w:pPr>
    </w:p>
    <w:p w14:paraId="22C132DC" w14:textId="77777777" w:rsidR="00DB3E83" w:rsidRPr="00C628F9" w:rsidRDefault="00DB3E83" w:rsidP="001B3702">
      <w:pPr>
        <w:spacing w:after="0" w:line="278" w:lineRule="auto"/>
        <w:jc w:val="both"/>
        <w:rPr>
          <w:rFonts w:ascii="Verdana" w:eastAsia="Calibri" w:hAnsi="Verdana" w:cs="Arial"/>
          <w:sz w:val="20"/>
          <w:szCs w:val="20"/>
        </w:rPr>
      </w:pPr>
    </w:p>
    <w:p w14:paraId="6D87331F" w14:textId="77777777" w:rsidR="006B186E" w:rsidRPr="00C628F9" w:rsidRDefault="006B186E" w:rsidP="001B3702">
      <w:pPr>
        <w:spacing w:after="0" w:line="278" w:lineRule="auto"/>
        <w:jc w:val="both"/>
        <w:rPr>
          <w:rFonts w:ascii="Verdana" w:eastAsia="Calibri" w:hAnsi="Verdana" w:cs="Arial"/>
          <w:sz w:val="20"/>
          <w:szCs w:val="20"/>
        </w:rPr>
      </w:pPr>
    </w:p>
    <w:p w14:paraId="6C82FB03" w14:textId="77777777" w:rsidR="006B186E" w:rsidRPr="00C628F9" w:rsidRDefault="006B186E" w:rsidP="001B3702">
      <w:pPr>
        <w:spacing w:after="0" w:line="278" w:lineRule="auto"/>
        <w:jc w:val="both"/>
        <w:rPr>
          <w:rFonts w:ascii="Verdana" w:eastAsia="Calibri" w:hAnsi="Verdana" w:cs="Arial"/>
          <w:sz w:val="20"/>
          <w:szCs w:val="20"/>
        </w:rPr>
      </w:pPr>
    </w:p>
    <w:p w14:paraId="7D86E683" w14:textId="77777777" w:rsidR="00DB3E83" w:rsidRPr="00C628F9" w:rsidRDefault="00DB3E83" w:rsidP="001B3702">
      <w:pPr>
        <w:spacing w:after="0" w:line="278" w:lineRule="auto"/>
        <w:jc w:val="both"/>
        <w:rPr>
          <w:rFonts w:ascii="Verdana" w:eastAsia="Calibri" w:hAnsi="Verdana" w:cs="Arial"/>
          <w:sz w:val="20"/>
          <w:szCs w:val="20"/>
        </w:rPr>
      </w:pPr>
    </w:p>
    <w:p w14:paraId="10C677ED" w14:textId="77777777" w:rsidR="00DB3E83" w:rsidRPr="00C628F9" w:rsidRDefault="00DB3E83" w:rsidP="001B3702">
      <w:pPr>
        <w:spacing w:after="0" w:line="278" w:lineRule="auto"/>
        <w:jc w:val="both"/>
        <w:rPr>
          <w:rFonts w:ascii="Verdana" w:eastAsia="Calibri" w:hAnsi="Verdana" w:cs="Arial"/>
          <w:sz w:val="20"/>
          <w:szCs w:val="20"/>
        </w:rPr>
      </w:pPr>
    </w:p>
    <w:p w14:paraId="1064C31A" w14:textId="77777777" w:rsidR="000D40FC" w:rsidRPr="00C628F9" w:rsidRDefault="000D40FC" w:rsidP="00E245AB">
      <w:pPr>
        <w:spacing w:after="0"/>
        <w:rPr>
          <w:rFonts w:ascii="Verdana" w:hAnsi="Verdana"/>
          <w:sz w:val="20"/>
          <w:szCs w:val="20"/>
        </w:rPr>
      </w:pPr>
    </w:p>
    <w:p w14:paraId="43B93F95" w14:textId="77777777" w:rsidR="00BF32B8" w:rsidRPr="00C628F9" w:rsidRDefault="00BF32B8" w:rsidP="00E245AB">
      <w:pPr>
        <w:spacing w:after="0"/>
        <w:rPr>
          <w:rFonts w:ascii="Verdana" w:hAnsi="Verdana"/>
        </w:rPr>
      </w:pPr>
    </w:p>
    <w:p w14:paraId="4171FC4A" w14:textId="77777777" w:rsidR="003311B8" w:rsidRDefault="003311B8" w:rsidP="00E245AB">
      <w:pPr>
        <w:spacing w:after="0"/>
        <w:rPr>
          <w:rFonts w:ascii="Verdana" w:hAnsi="Verdana"/>
        </w:rPr>
      </w:pPr>
    </w:p>
    <w:p w14:paraId="3FE2184B" w14:textId="5A424BFC" w:rsidR="00E245AB" w:rsidRPr="00C628F9" w:rsidRDefault="00897A3A" w:rsidP="00E245AB">
      <w:pPr>
        <w:spacing w:after="0"/>
        <w:rPr>
          <w:rFonts w:ascii="Verdana" w:hAnsi="Verdana"/>
        </w:rPr>
      </w:pPr>
      <w:r w:rsidRPr="00C628F9">
        <w:rPr>
          <w:rFonts w:ascii="Verdana" w:hAnsi="Verdana"/>
        </w:rPr>
        <w:t xml:space="preserve">Bogotá D.C., </w:t>
      </w:r>
      <w:r w:rsidR="00B564BD">
        <w:rPr>
          <w:rFonts w:ascii="Verdana" w:hAnsi="Verdana"/>
        </w:rPr>
        <w:t>12 de noviembre del 2025</w:t>
      </w:r>
    </w:p>
    <w:p w14:paraId="5FCADBF9" w14:textId="27AF444D" w:rsidR="00E245AB" w:rsidRPr="00C628F9" w:rsidRDefault="00371EF9" w:rsidP="00E245AB">
      <w:pPr>
        <w:spacing w:after="0"/>
        <w:rPr>
          <w:rFonts w:ascii="Verdana" w:hAnsi="Verdana"/>
        </w:rPr>
      </w:pPr>
      <w:r w:rsidRPr="00B564BD">
        <w:rPr>
          <w:rFonts w:ascii="Verdana" w:hAnsi="Verdana"/>
          <w:noProof/>
        </w:rPr>
        <w:drawing>
          <wp:anchor distT="0" distB="0" distL="114300" distR="114300" simplePos="0" relativeHeight="251658240" behindDoc="1" locked="0" layoutInCell="1" allowOverlap="1" wp14:anchorId="56B42D4C" wp14:editId="09DBF75F">
            <wp:simplePos x="0" y="0"/>
            <wp:positionH relativeFrom="margin">
              <wp:align>right</wp:align>
            </wp:positionH>
            <wp:positionV relativeFrom="paragraph">
              <wp:posOffset>185420</wp:posOffset>
            </wp:positionV>
            <wp:extent cx="2641842" cy="752475"/>
            <wp:effectExtent l="0" t="0" r="6350" b="0"/>
            <wp:wrapNone/>
            <wp:docPr id="1523605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605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41842" cy="752475"/>
                    </a:xfrm>
                    <a:prstGeom prst="rect">
                      <a:avLst/>
                    </a:prstGeom>
                  </pic:spPr>
                </pic:pic>
              </a:graphicData>
            </a:graphic>
            <wp14:sizeRelH relativeFrom="margin">
              <wp14:pctWidth>0</wp14:pctWidth>
            </wp14:sizeRelH>
            <wp14:sizeRelV relativeFrom="margin">
              <wp14:pctHeight>0</wp14:pctHeight>
            </wp14:sizeRelV>
          </wp:anchor>
        </w:drawing>
      </w:r>
    </w:p>
    <w:p w14:paraId="0465BA6D" w14:textId="1FF8D27A" w:rsidR="00E245AB" w:rsidRDefault="00E245AB" w:rsidP="00B564BD">
      <w:pPr>
        <w:spacing w:after="0"/>
        <w:jc w:val="right"/>
        <w:rPr>
          <w:rFonts w:ascii="Verdana" w:hAnsi="Verdana"/>
        </w:rPr>
      </w:pPr>
    </w:p>
    <w:p w14:paraId="2A65B7DD" w14:textId="77777777" w:rsidR="006F7C7E" w:rsidRPr="00C628F9" w:rsidRDefault="006F7C7E" w:rsidP="006F7C7E">
      <w:pPr>
        <w:spacing w:after="0" w:line="240" w:lineRule="auto"/>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Señora:</w:t>
      </w:r>
    </w:p>
    <w:p w14:paraId="1B4B693C" w14:textId="157555FB" w:rsidR="006F7C7E" w:rsidRPr="00C628F9" w:rsidRDefault="00BB2ED4" w:rsidP="006F7C7E">
      <w:pPr>
        <w:spacing w:after="0" w:line="240" w:lineRule="auto"/>
        <w:jc w:val="both"/>
        <w:rPr>
          <w:rFonts w:ascii="Verdana" w:eastAsia="Calibri" w:hAnsi="Verdana" w:cs="Arial"/>
          <w:b/>
          <w:bCs/>
          <w:color w:val="000000" w:themeColor="text1"/>
          <w:lang w:val="es-ES" w:eastAsia="es-ES"/>
        </w:rPr>
      </w:pPr>
      <w:r w:rsidRPr="00C628F9">
        <w:rPr>
          <w:rFonts w:ascii="Verdana" w:eastAsia="Calibri" w:hAnsi="Verdana" w:cs="Arial"/>
          <w:b/>
          <w:bCs/>
          <w:color w:val="000000" w:themeColor="text1"/>
          <w:lang w:val="es-ES" w:eastAsia="es-ES"/>
        </w:rPr>
        <w:t xml:space="preserve">Natalia Andrea Rondón Quintero </w:t>
      </w:r>
    </w:p>
    <w:p w14:paraId="5FDF942A" w14:textId="7BAF6144" w:rsidR="007350D0" w:rsidRPr="00C628F9" w:rsidRDefault="007350D0" w:rsidP="006F7C7E">
      <w:pPr>
        <w:spacing w:after="0" w:line="240" w:lineRule="auto"/>
        <w:rPr>
          <w:rFonts w:ascii="Verdana" w:hAnsi="Verdana"/>
        </w:rPr>
      </w:pPr>
      <w:hyperlink r:id="rId11" w:history="1">
        <w:r w:rsidRPr="00C628F9">
          <w:rPr>
            <w:rStyle w:val="Hipervnculo"/>
            <w:rFonts w:ascii="Verdana" w:hAnsi="Verdana"/>
          </w:rPr>
          <w:t>natalia_rondonquin@hotmail.com</w:t>
        </w:r>
      </w:hyperlink>
    </w:p>
    <w:p w14:paraId="20A1F76F" w14:textId="33982E34" w:rsidR="006F7C7E" w:rsidRPr="00C628F9" w:rsidRDefault="004055B7" w:rsidP="006F7C7E">
      <w:pPr>
        <w:spacing w:after="0" w:line="240" w:lineRule="auto"/>
        <w:rPr>
          <w:rFonts w:ascii="Verdana" w:eastAsia="Calibri" w:hAnsi="Verdana" w:cs="Arial"/>
          <w:b/>
          <w:bCs/>
          <w:color w:val="000000" w:themeColor="text1"/>
          <w:lang w:val="es-ES_tradnl" w:eastAsia="es-ES"/>
        </w:rPr>
      </w:pPr>
      <w:r w:rsidRPr="00C628F9">
        <w:rPr>
          <w:rFonts w:ascii="Verdana" w:eastAsia="Calibri" w:hAnsi="Verdana" w:cs="Arial"/>
          <w:color w:val="000000" w:themeColor="text1"/>
          <w:lang w:val="es-ES_tradnl" w:eastAsia="es-ES"/>
        </w:rPr>
        <w:t>Bogotá D.C.</w:t>
      </w:r>
    </w:p>
    <w:p w14:paraId="009E2077" w14:textId="77777777" w:rsidR="006F7C7E" w:rsidRPr="00C628F9" w:rsidRDefault="006F7C7E" w:rsidP="006F7C7E">
      <w:pPr>
        <w:spacing w:after="0" w:line="240" w:lineRule="auto"/>
        <w:rPr>
          <w:rFonts w:ascii="Verdana" w:eastAsia="Calibri" w:hAnsi="Verdana" w:cs="Arial"/>
          <w:b/>
          <w:bCs/>
          <w:color w:val="000000" w:themeColor="text1"/>
          <w:lang w:val="es-ES_tradnl" w:eastAsia="es-ES_tradnl"/>
        </w:rPr>
      </w:pPr>
    </w:p>
    <w:p w14:paraId="4D501F1D" w14:textId="77777777" w:rsidR="006F7C7E" w:rsidRDefault="006F7C7E" w:rsidP="006F7C7E">
      <w:pPr>
        <w:spacing w:after="0" w:line="240" w:lineRule="auto"/>
        <w:rPr>
          <w:rFonts w:ascii="Verdana" w:eastAsia="Calibri" w:hAnsi="Verdana" w:cs="Arial"/>
          <w:b/>
          <w:bCs/>
          <w:color w:val="000000" w:themeColor="text1"/>
          <w:lang w:val="es-ES_tradnl" w:eastAsia="es-ES_tradnl"/>
        </w:rPr>
      </w:pPr>
    </w:p>
    <w:p w14:paraId="54F8754F" w14:textId="77777777" w:rsidR="007F0CC1" w:rsidRPr="00C628F9" w:rsidRDefault="007F0CC1" w:rsidP="006F7C7E">
      <w:pPr>
        <w:spacing w:after="0" w:line="240" w:lineRule="auto"/>
        <w:rPr>
          <w:rFonts w:ascii="Verdana" w:eastAsia="Calibri" w:hAnsi="Verdana" w:cs="Arial"/>
          <w:b/>
          <w:bCs/>
          <w:color w:val="000000" w:themeColor="text1"/>
          <w:lang w:val="es-ES_tradnl" w:eastAsia="es-ES_tradnl"/>
        </w:rPr>
      </w:pPr>
    </w:p>
    <w:p w14:paraId="15C689FC" w14:textId="0ABF31C0" w:rsidR="006F7C7E" w:rsidRPr="00C628F9" w:rsidRDefault="006F7C7E" w:rsidP="006F7C7E">
      <w:pPr>
        <w:spacing w:after="0" w:line="240" w:lineRule="auto"/>
        <w:rPr>
          <w:rFonts w:ascii="Verdana" w:eastAsia="Calibri" w:hAnsi="Verdana" w:cs="Arial"/>
          <w:b/>
          <w:bCs/>
          <w:color w:val="000000" w:themeColor="text1"/>
          <w:lang w:val="es-ES_tradnl" w:eastAsia="es-ES_tradnl"/>
        </w:rPr>
      </w:pPr>
      <w:r w:rsidRPr="00C628F9">
        <w:rPr>
          <w:rFonts w:ascii="Verdana" w:eastAsia="Calibri" w:hAnsi="Verdana" w:cs="Arial"/>
          <w:b/>
          <w:bCs/>
          <w:color w:val="000000" w:themeColor="text1"/>
          <w:lang w:val="es-ES_tradnl" w:eastAsia="es-ES_tradnl"/>
        </w:rPr>
        <w:t xml:space="preserve">                                   Concepto C-</w:t>
      </w:r>
      <w:r w:rsidR="002E572B" w:rsidRPr="00C628F9">
        <w:rPr>
          <w:rFonts w:ascii="Verdana" w:eastAsia="Calibri" w:hAnsi="Verdana" w:cs="Arial"/>
          <w:b/>
          <w:bCs/>
          <w:color w:val="000000" w:themeColor="text1"/>
          <w:lang w:val="es-ES_tradnl" w:eastAsia="es-ES_tradnl"/>
        </w:rPr>
        <w:t>1421</w:t>
      </w:r>
      <w:r w:rsidRPr="00C628F9">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F7C7E" w:rsidRPr="00C628F9" w14:paraId="5D4A2165" w14:textId="77777777" w:rsidTr="00B63D82">
        <w:trPr>
          <w:gridAfter w:val="1"/>
          <w:wAfter w:w="6100" w:type="dxa"/>
          <w:trHeight w:val="884"/>
        </w:trPr>
        <w:tc>
          <w:tcPr>
            <w:tcW w:w="2689" w:type="dxa"/>
          </w:tcPr>
          <w:p w14:paraId="7CA83D71" w14:textId="77777777" w:rsidR="006F7C7E" w:rsidRPr="00C628F9" w:rsidRDefault="006F7C7E" w:rsidP="00B63D82">
            <w:pPr>
              <w:jc w:val="both"/>
              <w:rPr>
                <w:rFonts w:ascii="Verdana" w:eastAsia="Calibri" w:hAnsi="Verdana" w:cs="Arial"/>
                <w:b/>
                <w:bCs/>
                <w:color w:val="000000" w:themeColor="text1"/>
                <w:lang w:val="es-ES_tradnl" w:eastAsia="es-ES_tradnl"/>
              </w:rPr>
            </w:pPr>
          </w:p>
        </w:tc>
      </w:tr>
      <w:tr w:rsidR="006F7C7E" w:rsidRPr="00C628F9" w14:paraId="062735FD" w14:textId="77777777" w:rsidTr="00B63D82">
        <w:trPr>
          <w:trHeight w:val="884"/>
        </w:trPr>
        <w:tc>
          <w:tcPr>
            <w:tcW w:w="2689" w:type="dxa"/>
          </w:tcPr>
          <w:p w14:paraId="7FEFF794" w14:textId="77777777" w:rsidR="006F7C7E" w:rsidRPr="00C628F9" w:rsidRDefault="006F7C7E" w:rsidP="00B63D82">
            <w:pPr>
              <w:jc w:val="both"/>
              <w:rPr>
                <w:rFonts w:ascii="Verdana" w:eastAsia="Calibri" w:hAnsi="Verdana" w:cs="Arial"/>
                <w:color w:val="000000" w:themeColor="text1"/>
                <w:lang w:val="es-ES_tradnl" w:eastAsia="es-ES_tradnl"/>
              </w:rPr>
            </w:pPr>
            <w:r w:rsidRPr="00C628F9">
              <w:rPr>
                <w:rFonts w:ascii="Verdana" w:eastAsia="Calibri" w:hAnsi="Verdana" w:cs="Arial"/>
                <w:b/>
                <w:color w:val="000000" w:themeColor="text1"/>
                <w:lang w:val="es-ES_tradnl" w:eastAsia="es-ES_tradnl"/>
              </w:rPr>
              <w:t>Temas:</w:t>
            </w:r>
            <w:r w:rsidRPr="00C628F9">
              <w:rPr>
                <w:rFonts w:ascii="Verdana" w:eastAsia="Calibri" w:hAnsi="Verdana" w:cs="Arial"/>
                <w:color w:val="000000" w:themeColor="text1"/>
                <w:lang w:val="es-ES_tradnl" w:eastAsia="es-ES_tradnl"/>
              </w:rPr>
              <w:t xml:space="preserve">                   </w:t>
            </w:r>
          </w:p>
        </w:tc>
        <w:tc>
          <w:tcPr>
            <w:tcW w:w="6100" w:type="dxa"/>
          </w:tcPr>
          <w:p w14:paraId="12D8D1D1" w14:textId="347A6188" w:rsidR="00DC67BF" w:rsidRPr="00371EF9" w:rsidRDefault="00E0662F" w:rsidP="00EA29DB">
            <w:pPr>
              <w:widowControl w:val="0"/>
              <w:autoSpaceDE w:val="0"/>
              <w:autoSpaceDN w:val="0"/>
              <w:jc w:val="both"/>
              <w:rPr>
                <w:rFonts w:ascii="Verdana" w:hAnsi="Verdana" w:cs="Arial"/>
              </w:rPr>
            </w:pPr>
            <w:r w:rsidRPr="00371EF9">
              <w:rPr>
                <w:rFonts w:ascii="Verdana" w:eastAsia="Calibri" w:hAnsi="Verdana" w:cs="Arial"/>
                <w:lang w:eastAsia="es-ES"/>
              </w:rPr>
              <w:t xml:space="preserve">CONTRATO DE PRESTACIÓN DE SERVICIOS – Definición / </w:t>
            </w:r>
            <w:r w:rsidR="00EA29DB" w:rsidRPr="00371EF9">
              <w:rPr>
                <w:rFonts w:ascii="Verdana" w:hAnsi="Verdana" w:cs="Arial"/>
              </w:rPr>
              <w:t xml:space="preserve">CONTRATO DE EPRESTACIÓN DE SERVICIOS – Características / </w:t>
            </w:r>
            <w:r w:rsidRPr="00371EF9">
              <w:rPr>
                <w:rFonts w:ascii="Verdana" w:eastAsia="Calibri" w:hAnsi="Verdana" w:cs="Arial"/>
                <w:lang w:eastAsia="es-ES"/>
              </w:rPr>
              <w:t xml:space="preserve">TERMINACIÓN ANTICIPADA – Mutuo acuerdo </w:t>
            </w:r>
            <w:r w:rsidR="00772E70" w:rsidRPr="00371EF9">
              <w:rPr>
                <w:rFonts w:ascii="Verdana" w:eastAsia="Calibri" w:hAnsi="Verdana" w:cs="Arial"/>
                <w:lang w:eastAsia="es-ES"/>
              </w:rPr>
              <w:t>/ TERMINACIÓN UNILATERAL – Articulo 17 de la Ley 80 de 1993 – Causales – Acto Administrativo – Motivación</w:t>
            </w:r>
          </w:p>
          <w:p w14:paraId="15CA1F80" w14:textId="1C62B6EC" w:rsidR="00E0662F" w:rsidRPr="00C628F9" w:rsidRDefault="00E0662F" w:rsidP="00B63D82">
            <w:pPr>
              <w:spacing w:line="276" w:lineRule="auto"/>
              <w:jc w:val="both"/>
              <w:rPr>
                <w:rFonts w:ascii="Verdana" w:hAnsi="Verdana" w:cs="Arial"/>
                <w:bCs/>
                <w:color w:val="000000" w:themeColor="text1"/>
              </w:rPr>
            </w:pPr>
          </w:p>
        </w:tc>
      </w:tr>
      <w:tr w:rsidR="006F7C7E" w:rsidRPr="00C628F9" w14:paraId="53090D90" w14:textId="77777777" w:rsidTr="00B63D82">
        <w:tc>
          <w:tcPr>
            <w:tcW w:w="2689" w:type="dxa"/>
          </w:tcPr>
          <w:p w14:paraId="294EDF23" w14:textId="77777777" w:rsidR="006F7C7E" w:rsidRPr="00C628F9" w:rsidRDefault="006F7C7E" w:rsidP="00B63D82">
            <w:pPr>
              <w:jc w:val="both"/>
              <w:rPr>
                <w:rFonts w:ascii="Verdana" w:eastAsia="Calibri" w:hAnsi="Verdana" w:cs="Arial"/>
                <w:b/>
                <w:color w:val="000000" w:themeColor="text1"/>
                <w:lang w:val="es-ES_tradnl" w:eastAsia="es-ES_tradnl"/>
              </w:rPr>
            </w:pPr>
            <w:r w:rsidRPr="00C628F9">
              <w:rPr>
                <w:rFonts w:ascii="Verdana" w:eastAsia="Calibri" w:hAnsi="Verdana" w:cs="Arial"/>
                <w:b/>
                <w:color w:val="000000" w:themeColor="text1"/>
                <w:lang w:val="es-ES_tradnl" w:eastAsia="es-ES_tradnl"/>
              </w:rPr>
              <w:t>Radicación:</w:t>
            </w:r>
            <w:r w:rsidRPr="00C628F9">
              <w:rPr>
                <w:rFonts w:ascii="Verdana" w:eastAsia="Calibri" w:hAnsi="Verdana" w:cs="Arial"/>
                <w:color w:val="000000" w:themeColor="text1"/>
                <w:lang w:val="es-ES_tradnl" w:eastAsia="es-ES_tradnl"/>
              </w:rPr>
              <w:t xml:space="preserve">               </w:t>
            </w:r>
          </w:p>
        </w:tc>
        <w:tc>
          <w:tcPr>
            <w:tcW w:w="6100" w:type="dxa"/>
          </w:tcPr>
          <w:p w14:paraId="51D30C58" w14:textId="7352BA73" w:rsidR="006F7C7E" w:rsidRPr="00C628F9" w:rsidRDefault="006F7C7E" w:rsidP="00B63D82">
            <w:pPr>
              <w:jc w:val="both"/>
              <w:rPr>
                <w:rFonts w:ascii="Verdana" w:hAnsi="Verdana" w:cs="Arial"/>
              </w:rPr>
            </w:pPr>
            <w:r w:rsidRPr="00C628F9">
              <w:rPr>
                <w:rFonts w:ascii="Verdana" w:eastAsia="Calibri" w:hAnsi="Verdana" w:cs="Arial"/>
                <w:color w:val="000000" w:themeColor="text1"/>
                <w:lang w:val="es-ES_tradnl" w:eastAsia="es-ES_tradnl"/>
              </w:rPr>
              <w:t xml:space="preserve">Respuesta a consulta con radicado No. </w:t>
            </w:r>
            <w:r w:rsidR="00C00F4E" w:rsidRPr="00C628F9">
              <w:rPr>
                <w:rFonts w:ascii="Verdana" w:hAnsi="Verdana"/>
                <w:color w:val="000000"/>
              </w:rPr>
              <w:t>1_2025_10_02_010959</w:t>
            </w:r>
          </w:p>
          <w:p w14:paraId="288D6283" w14:textId="77777777" w:rsidR="006F7C7E" w:rsidRPr="00C628F9" w:rsidRDefault="006F7C7E" w:rsidP="00B63D82">
            <w:pPr>
              <w:jc w:val="both"/>
              <w:rPr>
                <w:rFonts w:ascii="Verdana" w:hAnsi="Verdana"/>
                <w:color w:val="000000"/>
              </w:rPr>
            </w:pPr>
          </w:p>
        </w:tc>
      </w:tr>
    </w:tbl>
    <w:p w14:paraId="1D5A1C37" w14:textId="77777777" w:rsidR="006F7C7E" w:rsidRPr="00C628F9" w:rsidRDefault="006F7C7E" w:rsidP="006F7C7E">
      <w:pPr>
        <w:spacing w:after="0" w:line="240" w:lineRule="auto"/>
        <w:jc w:val="both"/>
        <w:rPr>
          <w:rFonts w:ascii="Verdana" w:eastAsia="Calibri" w:hAnsi="Verdana" w:cs="Arial"/>
          <w:color w:val="000000" w:themeColor="text1"/>
          <w:lang w:val="es-ES_tradnl" w:eastAsia="es-ES_tradnl"/>
        </w:rPr>
      </w:pPr>
    </w:p>
    <w:p w14:paraId="0575B176" w14:textId="5C7C47CA" w:rsidR="006F7C7E" w:rsidRPr="00C628F9" w:rsidRDefault="006F7C7E" w:rsidP="006F7C7E">
      <w:pPr>
        <w:spacing w:after="0" w:line="276" w:lineRule="auto"/>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 xml:space="preserve">Estimada señora </w:t>
      </w:r>
      <w:r w:rsidR="003957DF" w:rsidRPr="00C628F9">
        <w:rPr>
          <w:rFonts w:ascii="Verdana" w:eastAsia="Calibri" w:hAnsi="Verdana" w:cs="Arial"/>
          <w:color w:val="000000" w:themeColor="text1"/>
          <w:lang w:val="es-ES" w:eastAsia="es-ES"/>
        </w:rPr>
        <w:t>Rondón</w:t>
      </w:r>
      <w:r w:rsidRPr="00C628F9">
        <w:rPr>
          <w:rFonts w:ascii="Verdana" w:eastAsia="Calibri" w:hAnsi="Verdana" w:cs="Arial"/>
          <w:color w:val="000000" w:themeColor="text1"/>
          <w:lang w:val="es-ES" w:eastAsia="es-ES"/>
        </w:rPr>
        <w:t xml:space="preserve">: </w:t>
      </w:r>
    </w:p>
    <w:p w14:paraId="0F25B9C3" w14:textId="77777777" w:rsidR="006F7C7E" w:rsidRPr="00C628F9" w:rsidRDefault="006F7C7E" w:rsidP="006F7C7E">
      <w:pPr>
        <w:tabs>
          <w:tab w:val="left" w:pos="3768"/>
        </w:tabs>
        <w:spacing w:after="0" w:line="276" w:lineRule="auto"/>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ab/>
      </w:r>
    </w:p>
    <w:p w14:paraId="355422AA" w14:textId="1EBC2947" w:rsidR="006F7C7E" w:rsidRPr="00C628F9" w:rsidRDefault="006F7C7E" w:rsidP="006F7C7E">
      <w:pPr>
        <w:spacing w:after="0" w:line="276" w:lineRule="auto"/>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En ejercicio de la competencia otorgada por los artículos 3, numeral 5º, y 11, numeral 8º, del Decreto Ley 4170 de 2011,</w:t>
      </w:r>
      <w:r w:rsidRPr="00C628F9">
        <w:rPr>
          <w:rFonts w:ascii="Verdana" w:eastAsia="Arial MT" w:hAnsi="Verdana" w:cs="Arial MT"/>
          <w:color w:val="000000" w:themeColor="text1"/>
          <w:lang w:val="es-ES" w:eastAsia="es-ES"/>
        </w:rPr>
        <w:t xml:space="preserve"> </w:t>
      </w:r>
      <w:r w:rsidRPr="00C628F9">
        <w:rPr>
          <w:rFonts w:ascii="Verdana" w:hAnsi="Verdana" w:cs="Arial"/>
          <w:color w:val="000000" w:themeColor="text1"/>
        </w:rPr>
        <w:t xml:space="preserve">así como lo establecido en el artículo 4 de la Resolución 1707 de 2018 expedida por esta Entidad, </w:t>
      </w:r>
      <w:r w:rsidRPr="00C628F9">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7708FB" w:rsidRPr="00C628F9">
        <w:rPr>
          <w:rFonts w:ascii="Verdana" w:eastAsia="Calibri" w:hAnsi="Verdana" w:cs="Arial"/>
          <w:color w:val="000000" w:themeColor="text1"/>
          <w:lang w:val="es-ES" w:eastAsia="es-ES"/>
        </w:rPr>
        <w:t>30 de septiembre del 2025</w:t>
      </w:r>
      <w:r w:rsidRPr="00C628F9">
        <w:rPr>
          <w:rFonts w:ascii="Verdana" w:eastAsia="Calibri" w:hAnsi="Verdana" w:cs="Arial"/>
          <w:color w:val="000000" w:themeColor="text1"/>
          <w:lang w:val="es-ES" w:eastAsia="es-ES"/>
        </w:rPr>
        <w:t>,</w:t>
      </w:r>
      <w:r w:rsidR="007708FB" w:rsidRPr="00C628F9">
        <w:rPr>
          <w:rFonts w:ascii="Verdana" w:eastAsia="Calibri" w:hAnsi="Verdana" w:cs="Arial"/>
          <w:color w:val="000000" w:themeColor="text1"/>
          <w:lang w:val="es-ES" w:eastAsia="es-ES"/>
        </w:rPr>
        <w:t xml:space="preserve"> trasladada el 0</w:t>
      </w:r>
      <w:r w:rsidR="001B4AE9" w:rsidRPr="00C628F9">
        <w:rPr>
          <w:rFonts w:ascii="Verdana" w:eastAsia="Calibri" w:hAnsi="Verdana" w:cs="Arial"/>
          <w:color w:val="000000" w:themeColor="text1"/>
          <w:lang w:val="es-ES" w:eastAsia="es-ES"/>
        </w:rPr>
        <w:t>2</w:t>
      </w:r>
      <w:r w:rsidR="007708FB" w:rsidRPr="00C628F9">
        <w:rPr>
          <w:rFonts w:ascii="Verdana" w:eastAsia="Calibri" w:hAnsi="Verdana" w:cs="Arial"/>
          <w:color w:val="000000" w:themeColor="text1"/>
          <w:lang w:val="es-ES" w:eastAsia="es-ES"/>
        </w:rPr>
        <w:t xml:space="preserve"> de octubre del </w:t>
      </w:r>
      <w:r w:rsidR="001B4AE9" w:rsidRPr="00C628F9">
        <w:rPr>
          <w:rFonts w:ascii="Verdana" w:eastAsia="Calibri" w:hAnsi="Verdana" w:cs="Arial"/>
          <w:color w:val="000000" w:themeColor="text1"/>
          <w:lang w:val="es-ES" w:eastAsia="es-ES"/>
        </w:rPr>
        <w:t>2025 por el Departamento Administrativo de</w:t>
      </w:r>
      <w:r w:rsidR="006F14FE" w:rsidRPr="00C628F9">
        <w:rPr>
          <w:rFonts w:ascii="Verdana" w:eastAsia="Calibri" w:hAnsi="Verdana" w:cs="Arial"/>
          <w:color w:val="000000" w:themeColor="text1"/>
          <w:lang w:val="es-ES" w:eastAsia="es-ES"/>
        </w:rPr>
        <w:t xml:space="preserve"> la</w:t>
      </w:r>
      <w:r w:rsidR="001B4AE9" w:rsidRPr="00C628F9">
        <w:rPr>
          <w:rFonts w:ascii="Verdana" w:eastAsia="Calibri" w:hAnsi="Verdana" w:cs="Arial"/>
          <w:color w:val="000000" w:themeColor="text1"/>
          <w:lang w:val="es-ES" w:eastAsia="es-ES"/>
        </w:rPr>
        <w:t xml:space="preserve"> Función Pública, </w:t>
      </w:r>
      <w:r w:rsidRPr="00C628F9">
        <w:rPr>
          <w:rFonts w:ascii="Verdana" w:eastAsia="Calibri" w:hAnsi="Verdana" w:cs="Arial"/>
          <w:color w:val="000000" w:themeColor="text1"/>
          <w:lang w:val="es-ES" w:eastAsia="es-ES"/>
        </w:rPr>
        <w:t xml:space="preserve">en la cual manifiesta lo siguiente: </w:t>
      </w:r>
    </w:p>
    <w:p w14:paraId="77C2AFC4" w14:textId="77777777" w:rsidR="006F7C7E" w:rsidRPr="00C628F9" w:rsidRDefault="006F7C7E" w:rsidP="006F7C7E">
      <w:pPr>
        <w:spacing w:after="0" w:line="276" w:lineRule="auto"/>
        <w:jc w:val="both"/>
        <w:rPr>
          <w:rFonts w:ascii="Verdana" w:eastAsia="Calibri" w:hAnsi="Verdana" w:cs="Arial"/>
          <w:color w:val="000000" w:themeColor="text1"/>
          <w:lang w:val="es-ES" w:eastAsia="es-ES"/>
        </w:rPr>
      </w:pPr>
    </w:p>
    <w:p w14:paraId="415ED5BF" w14:textId="0636C39E" w:rsidR="00BD4D31" w:rsidRPr="00C628F9" w:rsidRDefault="006F7C7E" w:rsidP="002E53C0">
      <w:pPr>
        <w:spacing w:after="0" w:line="240" w:lineRule="auto"/>
        <w:ind w:left="709" w:right="709"/>
        <w:jc w:val="both"/>
        <w:rPr>
          <w:rFonts w:ascii="Verdana" w:hAnsi="Verdana"/>
          <w:i/>
          <w:iCs/>
          <w:sz w:val="20"/>
          <w:szCs w:val="20"/>
        </w:rPr>
      </w:pPr>
      <w:bookmarkStart w:id="1" w:name="_Hlk95313578"/>
      <w:r w:rsidRPr="00C628F9">
        <w:rPr>
          <w:rFonts w:ascii="Verdana" w:eastAsia="Century Gothic" w:hAnsi="Verdana" w:cs="Century Gothic"/>
          <w:i/>
          <w:iCs/>
          <w:color w:val="000000" w:themeColor="text1"/>
          <w:sz w:val="20"/>
          <w:szCs w:val="20"/>
          <w:lang w:val="es-ES"/>
        </w:rPr>
        <w:t>“</w:t>
      </w:r>
      <w:bookmarkEnd w:id="1"/>
      <w:r w:rsidRPr="00C628F9">
        <w:rPr>
          <w:rFonts w:ascii="Verdana" w:eastAsia="Century Gothic" w:hAnsi="Verdana" w:cs="Century Gothic"/>
          <w:i/>
          <w:iCs/>
          <w:color w:val="000000" w:themeColor="text1"/>
          <w:sz w:val="20"/>
          <w:szCs w:val="20"/>
          <w:lang w:val="es-ES"/>
        </w:rPr>
        <w:t xml:space="preserve">[…] </w:t>
      </w:r>
      <w:r w:rsidR="00BD4D31" w:rsidRPr="00C628F9">
        <w:rPr>
          <w:rFonts w:ascii="Verdana" w:hAnsi="Verdana"/>
          <w:i/>
          <w:iCs/>
          <w:sz w:val="20"/>
          <w:szCs w:val="20"/>
        </w:rPr>
        <w:t>la solicitud de renuncia al contrato es procedente en los términos de la normativa vigente, teniendo en</w:t>
      </w:r>
      <w:r w:rsidR="002E53C0" w:rsidRPr="00C628F9">
        <w:rPr>
          <w:rFonts w:ascii="Verdana" w:hAnsi="Verdana"/>
          <w:i/>
          <w:iCs/>
          <w:sz w:val="20"/>
          <w:szCs w:val="20"/>
        </w:rPr>
        <w:t xml:space="preserve"> </w:t>
      </w:r>
      <w:r w:rsidR="00BD4D31" w:rsidRPr="00C628F9">
        <w:rPr>
          <w:rFonts w:ascii="Verdana" w:hAnsi="Verdana"/>
          <w:i/>
          <w:iCs/>
          <w:sz w:val="20"/>
          <w:szCs w:val="20"/>
        </w:rPr>
        <w:t>cuenta que los contratos estatales se rigen por el principio de legalidad, buena fe y el respeto por las</w:t>
      </w:r>
      <w:r w:rsidR="0076720F" w:rsidRPr="00C628F9">
        <w:rPr>
          <w:rFonts w:ascii="Verdana" w:hAnsi="Verdana"/>
          <w:i/>
          <w:iCs/>
          <w:sz w:val="20"/>
          <w:szCs w:val="20"/>
        </w:rPr>
        <w:t xml:space="preserve"> </w:t>
      </w:r>
      <w:r w:rsidR="00BD4D31" w:rsidRPr="00C628F9">
        <w:rPr>
          <w:rFonts w:ascii="Verdana" w:hAnsi="Verdana"/>
          <w:i/>
          <w:iCs/>
          <w:sz w:val="20"/>
          <w:szCs w:val="20"/>
        </w:rPr>
        <w:t>cláusulas pactadas</w:t>
      </w:r>
      <w:r w:rsidR="00BD4D31" w:rsidRPr="00C628F9">
        <w:rPr>
          <w:rFonts w:ascii="Verdana" w:eastAsia="Century Gothic" w:hAnsi="Verdana" w:cs="Century Gothic"/>
          <w:i/>
          <w:iCs/>
          <w:color w:val="000000" w:themeColor="text1"/>
          <w:sz w:val="20"/>
          <w:szCs w:val="20"/>
          <w:lang w:val="es-ES"/>
        </w:rPr>
        <w:t>.</w:t>
      </w:r>
    </w:p>
    <w:p w14:paraId="6470A21E" w14:textId="77777777" w:rsidR="00BD4D31" w:rsidRPr="00C628F9" w:rsidRDefault="00BD4D31" w:rsidP="00BD4D31">
      <w:pPr>
        <w:spacing w:after="0" w:line="240" w:lineRule="auto"/>
        <w:ind w:left="709" w:right="709"/>
        <w:jc w:val="both"/>
        <w:rPr>
          <w:rFonts w:ascii="Verdana" w:eastAsia="Century Gothic" w:hAnsi="Verdana" w:cs="Century Gothic"/>
          <w:i/>
          <w:iCs/>
          <w:color w:val="000000" w:themeColor="text1"/>
          <w:sz w:val="20"/>
          <w:szCs w:val="20"/>
          <w:lang w:val="es-ES"/>
        </w:rPr>
      </w:pPr>
    </w:p>
    <w:p w14:paraId="47B21DF7" w14:textId="77777777" w:rsidR="00BD4D31" w:rsidRPr="00C628F9" w:rsidRDefault="00BD4D31" w:rsidP="00BD4D31">
      <w:pPr>
        <w:spacing w:after="0" w:line="240" w:lineRule="auto"/>
        <w:ind w:left="709" w:right="709"/>
        <w:jc w:val="both"/>
        <w:rPr>
          <w:rFonts w:ascii="Verdana" w:eastAsia="Century Gothic" w:hAnsi="Verdana" w:cs="Century Gothic"/>
          <w:i/>
          <w:iCs/>
          <w:color w:val="000000" w:themeColor="text1"/>
          <w:sz w:val="20"/>
          <w:szCs w:val="20"/>
          <w:lang w:val="es-ES"/>
        </w:rPr>
      </w:pPr>
      <w:r w:rsidRPr="00C628F9">
        <w:rPr>
          <w:rFonts w:ascii="Verdana" w:eastAsia="Century Gothic" w:hAnsi="Verdana" w:cs="Century Gothic"/>
          <w:i/>
          <w:iCs/>
          <w:color w:val="000000" w:themeColor="text1"/>
          <w:sz w:val="20"/>
          <w:szCs w:val="20"/>
          <w:lang w:val="es-ES"/>
        </w:rPr>
        <w:lastRenderedPageBreak/>
        <w:t>Qué alternativas jurídicas tiene el contratista cuando la administración pretende inducir una terminación anticipada sin el cumplimiento de los presupuestos legales ni contractuales.</w:t>
      </w:r>
    </w:p>
    <w:p w14:paraId="4F80CA06" w14:textId="77777777" w:rsidR="00BD4D31" w:rsidRPr="00C628F9" w:rsidRDefault="00BD4D31" w:rsidP="00BD4D31">
      <w:pPr>
        <w:spacing w:after="0" w:line="240" w:lineRule="auto"/>
        <w:ind w:left="709" w:right="709"/>
        <w:jc w:val="both"/>
        <w:rPr>
          <w:rFonts w:ascii="Verdana" w:eastAsia="Century Gothic" w:hAnsi="Verdana" w:cs="Century Gothic"/>
          <w:i/>
          <w:iCs/>
          <w:color w:val="000000" w:themeColor="text1"/>
          <w:sz w:val="20"/>
          <w:szCs w:val="20"/>
          <w:lang w:val="es-ES"/>
        </w:rPr>
      </w:pPr>
    </w:p>
    <w:p w14:paraId="1871763E" w14:textId="7C3686A3" w:rsidR="007B3C4A" w:rsidRPr="00C628F9" w:rsidRDefault="007B3C4A" w:rsidP="007B3C4A">
      <w:pPr>
        <w:spacing w:after="0" w:line="240" w:lineRule="auto"/>
        <w:ind w:left="709" w:right="709"/>
        <w:jc w:val="both"/>
        <w:rPr>
          <w:rFonts w:ascii="Verdana" w:eastAsia="Century Gothic" w:hAnsi="Verdana" w:cs="Century Gothic"/>
          <w:i/>
          <w:iCs/>
          <w:color w:val="000000" w:themeColor="text1"/>
          <w:sz w:val="20"/>
          <w:szCs w:val="20"/>
          <w:lang w:val="es-ES"/>
        </w:rPr>
      </w:pPr>
      <w:r w:rsidRPr="00C628F9">
        <w:rPr>
          <w:rFonts w:ascii="Verdana" w:eastAsia="Century Gothic" w:hAnsi="Verdana" w:cs="Century Gothic"/>
          <w:i/>
          <w:iCs/>
          <w:color w:val="000000" w:themeColor="text1"/>
          <w:sz w:val="20"/>
          <w:szCs w:val="20"/>
          <w:lang w:val="es-ES"/>
        </w:rPr>
        <w:t>Cuál sería el procedimiento correcto en caso de que la Entidad considere necesaria la terminación del contrato, de conformidad con lo previsto en las normas aplicables.</w:t>
      </w:r>
    </w:p>
    <w:p w14:paraId="46B21447" w14:textId="77777777" w:rsidR="007B3C4A" w:rsidRPr="00C628F9" w:rsidRDefault="007B3C4A" w:rsidP="007B3C4A">
      <w:pPr>
        <w:spacing w:after="0" w:line="240" w:lineRule="auto"/>
        <w:ind w:left="709" w:right="709"/>
        <w:jc w:val="both"/>
        <w:rPr>
          <w:rFonts w:ascii="Verdana" w:eastAsia="Century Gothic" w:hAnsi="Verdana" w:cs="Century Gothic"/>
          <w:i/>
          <w:iCs/>
          <w:color w:val="000000" w:themeColor="text1"/>
          <w:sz w:val="20"/>
          <w:szCs w:val="20"/>
          <w:lang w:val="es-ES"/>
        </w:rPr>
      </w:pPr>
    </w:p>
    <w:p w14:paraId="02DDF482" w14:textId="4AB7D1BE" w:rsidR="006F7C7E" w:rsidRPr="00C628F9" w:rsidRDefault="007B3C4A" w:rsidP="007B3C4A">
      <w:pPr>
        <w:spacing w:after="0" w:line="240" w:lineRule="auto"/>
        <w:ind w:left="709" w:right="709"/>
        <w:jc w:val="both"/>
        <w:rPr>
          <w:rFonts w:ascii="Verdana" w:eastAsia="Century Gothic" w:hAnsi="Verdana" w:cs="Century Gothic"/>
          <w:i/>
          <w:iCs/>
          <w:color w:val="000000" w:themeColor="text1"/>
          <w:sz w:val="20"/>
          <w:szCs w:val="20"/>
          <w:lang w:val="es-ES"/>
        </w:rPr>
      </w:pPr>
      <w:r w:rsidRPr="00C628F9">
        <w:rPr>
          <w:rFonts w:ascii="Verdana" w:eastAsia="Century Gothic" w:hAnsi="Verdana" w:cs="Century Gothic"/>
          <w:i/>
          <w:iCs/>
          <w:color w:val="000000" w:themeColor="text1"/>
          <w:sz w:val="20"/>
          <w:szCs w:val="20"/>
          <w:lang w:val="es-ES"/>
        </w:rPr>
        <w:t xml:space="preserve">Si existe algún mecanismo de protección contractual frente a presiones que no derivan de incumplimiento ni de causales expresas de terminación, toda vez que la ejecución del contrato se ha desarrollado conforme a lo pactado. </w:t>
      </w:r>
      <w:r w:rsidR="006F7C7E" w:rsidRPr="00C628F9">
        <w:rPr>
          <w:rFonts w:ascii="Verdana" w:eastAsia="Century Gothic" w:hAnsi="Verdana" w:cs="Century Gothic"/>
          <w:i/>
          <w:iCs/>
          <w:color w:val="000000" w:themeColor="text1"/>
          <w:sz w:val="20"/>
          <w:szCs w:val="20"/>
          <w:lang w:val="es-ES"/>
        </w:rPr>
        <w:t>[…]”</w:t>
      </w:r>
    </w:p>
    <w:p w14:paraId="17F9CDE9" w14:textId="77777777" w:rsidR="006F7C7E" w:rsidRPr="00C628F9" w:rsidRDefault="006F7C7E" w:rsidP="006F7C7E">
      <w:pPr>
        <w:spacing w:after="0" w:line="240" w:lineRule="auto"/>
        <w:ind w:left="709" w:right="709"/>
        <w:jc w:val="both"/>
        <w:rPr>
          <w:rFonts w:ascii="Verdana" w:eastAsia="Times New Roman" w:hAnsi="Verdana" w:cs="Arial"/>
          <w:i/>
          <w:iCs/>
          <w:sz w:val="20"/>
          <w:szCs w:val="20"/>
          <w:lang w:eastAsia="es-ES_tradnl"/>
        </w:rPr>
      </w:pPr>
    </w:p>
    <w:p w14:paraId="655D1D57" w14:textId="77777777" w:rsidR="006F7C7E" w:rsidRPr="00C628F9" w:rsidRDefault="006F7C7E" w:rsidP="006F7C7E">
      <w:pPr>
        <w:spacing w:after="120" w:line="276" w:lineRule="auto"/>
        <w:ind w:firstLine="709"/>
        <w:jc w:val="both"/>
        <w:rPr>
          <w:rFonts w:ascii="Verdana" w:eastAsia="Calibri" w:hAnsi="Verdana" w:cs="Arial"/>
          <w:color w:val="000000" w:themeColor="text1"/>
          <w:szCs w:val="24"/>
          <w:lang w:val="es-ES_tradnl" w:eastAsia="es-ES_tradnl"/>
        </w:rPr>
      </w:pPr>
      <w:r w:rsidRPr="00C628F9">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628F9">
        <w:rPr>
          <w:rFonts w:ascii="Verdana" w:eastAsia="Calibri" w:hAnsi="Verdana" w:cs="Arial"/>
          <w:color w:val="000000" w:themeColor="text1"/>
          <w:szCs w:val="24"/>
          <w:lang w:val="es-ES_tradnl" w:eastAsia="es-ES_tradnl"/>
        </w:rPr>
        <w:tab/>
      </w:r>
    </w:p>
    <w:p w14:paraId="403B7E34" w14:textId="77777777" w:rsidR="006F7C7E" w:rsidRPr="00C628F9" w:rsidRDefault="006F7C7E" w:rsidP="006F7C7E">
      <w:pPr>
        <w:spacing w:after="0" w:line="276" w:lineRule="auto"/>
        <w:ind w:firstLine="709"/>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5656470" w14:textId="77777777" w:rsidR="006F7C7E" w:rsidRPr="00C628F9" w:rsidRDefault="006F7C7E" w:rsidP="006F7C7E">
      <w:pPr>
        <w:spacing w:after="0" w:line="276" w:lineRule="auto"/>
        <w:ind w:firstLine="709"/>
        <w:jc w:val="both"/>
        <w:rPr>
          <w:rFonts w:ascii="Verdana" w:eastAsia="Calibri" w:hAnsi="Verdana" w:cs="Arial"/>
          <w:color w:val="000000" w:themeColor="text1"/>
          <w:lang w:val="es-ES" w:eastAsia="es-ES"/>
        </w:rPr>
      </w:pPr>
    </w:p>
    <w:p w14:paraId="5DCAE478" w14:textId="77777777" w:rsidR="006F7C7E" w:rsidRPr="00C628F9" w:rsidRDefault="006F7C7E" w:rsidP="006F7C7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628F9">
        <w:rPr>
          <w:rFonts w:ascii="Verdana" w:eastAsia="Century Gothic" w:hAnsi="Verdana" w:cs="Century Gothic"/>
          <w:b/>
          <w:bCs/>
          <w:color w:val="000000" w:themeColor="text1"/>
        </w:rPr>
        <w:t>Problema planteado:</w:t>
      </w:r>
    </w:p>
    <w:p w14:paraId="4BABA9E2" w14:textId="77777777" w:rsidR="006F7C7E" w:rsidRPr="00C628F9" w:rsidRDefault="006F7C7E" w:rsidP="006F7C7E">
      <w:pPr>
        <w:tabs>
          <w:tab w:val="left" w:pos="426"/>
        </w:tabs>
        <w:spacing w:after="0" w:line="276" w:lineRule="auto"/>
        <w:jc w:val="both"/>
        <w:rPr>
          <w:rFonts w:ascii="Verdana" w:eastAsia="Century Gothic" w:hAnsi="Verdana" w:cs="Century Gothic"/>
          <w:color w:val="000000" w:themeColor="text1"/>
          <w:lang w:val="es-ES"/>
        </w:rPr>
      </w:pPr>
    </w:p>
    <w:p w14:paraId="13A11839" w14:textId="04669CB0" w:rsidR="006F7C7E" w:rsidRPr="00C628F9" w:rsidRDefault="006F7C7E" w:rsidP="006F7C7E">
      <w:pPr>
        <w:spacing w:after="0" w:line="276" w:lineRule="auto"/>
        <w:jc w:val="both"/>
        <w:rPr>
          <w:rFonts w:ascii="Verdana" w:eastAsia="Century Gothic" w:hAnsi="Verdana" w:cs="Century Gothic"/>
          <w:color w:val="000000" w:themeColor="text1"/>
        </w:rPr>
      </w:pPr>
      <w:r w:rsidRPr="00C628F9">
        <w:rPr>
          <w:rFonts w:ascii="Verdana" w:eastAsia="Century Gothic" w:hAnsi="Verdana" w:cs="Century Gothic"/>
          <w:color w:val="000000" w:themeColor="text1"/>
        </w:rPr>
        <w:t>De acuerdo con el contenido de su solicitud, esta Agencia resolverá el siguiente problema jurídico: ¿</w:t>
      </w:r>
      <w:r w:rsidR="009A7200" w:rsidRPr="00C628F9">
        <w:rPr>
          <w:rFonts w:ascii="Verdana" w:eastAsia="Century Gothic" w:hAnsi="Verdana" w:cs="Century Gothic"/>
          <w:color w:val="000000" w:themeColor="text1"/>
        </w:rPr>
        <w:t>Es</w:t>
      </w:r>
      <w:r w:rsidR="00C335D3" w:rsidRPr="00C628F9">
        <w:rPr>
          <w:rFonts w:ascii="Verdana" w:eastAsia="Century Gothic" w:hAnsi="Verdana" w:cs="Century Gothic"/>
          <w:color w:val="000000" w:themeColor="text1"/>
        </w:rPr>
        <w:t xml:space="preserve"> jurídicamente viable dar por terminado </w:t>
      </w:r>
      <w:r w:rsidR="007E6E09" w:rsidRPr="00C628F9">
        <w:rPr>
          <w:rFonts w:ascii="Verdana" w:eastAsia="Century Gothic" w:hAnsi="Verdana" w:cs="Century Gothic"/>
          <w:color w:val="000000" w:themeColor="text1"/>
        </w:rPr>
        <w:t xml:space="preserve">un contrato de prestación de servicios antes de cumplir </w:t>
      </w:r>
      <w:r w:rsidR="008A7C20" w:rsidRPr="00C628F9">
        <w:rPr>
          <w:rFonts w:ascii="Verdana" w:eastAsia="Century Gothic" w:hAnsi="Verdana" w:cs="Century Gothic"/>
          <w:color w:val="000000" w:themeColor="text1"/>
        </w:rPr>
        <w:t>con el t</w:t>
      </w:r>
      <w:r w:rsidR="0016628E" w:rsidRPr="00C628F9">
        <w:rPr>
          <w:rFonts w:ascii="Verdana" w:eastAsia="Century Gothic" w:hAnsi="Verdana" w:cs="Century Gothic"/>
          <w:color w:val="000000" w:themeColor="text1"/>
        </w:rPr>
        <w:t>é</w:t>
      </w:r>
      <w:r w:rsidR="008A7C20" w:rsidRPr="00C628F9">
        <w:rPr>
          <w:rFonts w:ascii="Verdana" w:eastAsia="Century Gothic" w:hAnsi="Verdana" w:cs="Century Gothic"/>
          <w:color w:val="000000" w:themeColor="text1"/>
        </w:rPr>
        <w:t>rmino de ejecución inicialmente pactado</w:t>
      </w:r>
      <w:r w:rsidRPr="00C628F9">
        <w:rPr>
          <w:rFonts w:ascii="Verdana" w:eastAsia="Century Gothic" w:hAnsi="Verdana" w:cs="Century Gothic"/>
          <w:color w:val="000000" w:themeColor="text1"/>
        </w:rPr>
        <w:t>?</w:t>
      </w:r>
    </w:p>
    <w:p w14:paraId="262B035F" w14:textId="77777777" w:rsidR="006F7C7E" w:rsidRPr="00C628F9" w:rsidRDefault="006F7C7E" w:rsidP="006F7C7E">
      <w:pPr>
        <w:spacing w:after="0" w:line="276" w:lineRule="auto"/>
        <w:jc w:val="both"/>
        <w:rPr>
          <w:rFonts w:ascii="Verdana" w:eastAsia="Calibri" w:hAnsi="Verdana" w:cs="Arial"/>
          <w:color w:val="000000" w:themeColor="text1"/>
          <w:lang w:val="es-ES"/>
        </w:rPr>
      </w:pPr>
    </w:p>
    <w:p w14:paraId="5B2D23FC" w14:textId="77777777" w:rsidR="006F7C7E" w:rsidRPr="00C628F9" w:rsidRDefault="006F7C7E" w:rsidP="006F7C7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628F9">
        <w:rPr>
          <w:rFonts w:ascii="Verdana" w:eastAsia="Century Gothic" w:hAnsi="Verdana" w:cs="Century Gothic"/>
          <w:b/>
          <w:bCs/>
          <w:color w:val="000000" w:themeColor="text1"/>
        </w:rPr>
        <w:t xml:space="preserve">Respuesta: </w:t>
      </w:r>
    </w:p>
    <w:p w14:paraId="6DCA5788" w14:textId="77777777" w:rsidR="006F7C7E" w:rsidRPr="00C628F9" w:rsidRDefault="006F7C7E" w:rsidP="006F7C7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F7C7E" w:rsidRPr="00C628F9" w14:paraId="76B5C2B9" w14:textId="77777777" w:rsidTr="00B63D82">
        <w:tc>
          <w:tcPr>
            <w:tcW w:w="8828" w:type="dxa"/>
          </w:tcPr>
          <w:p w14:paraId="068CE635" w14:textId="77777777" w:rsidR="006F7C7E" w:rsidRPr="00C628F9" w:rsidRDefault="006F7C7E" w:rsidP="00B63D82">
            <w:pPr>
              <w:spacing w:before="120" w:after="120" w:line="276" w:lineRule="auto"/>
              <w:jc w:val="both"/>
              <w:rPr>
                <w:rFonts w:ascii="Verdana" w:hAnsi="Verdana" w:cs="Arial"/>
                <w:color w:val="000000" w:themeColor="text1"/>
              </w:rPr>
            </w:pPr>
            <w:r w:rsidRPr="00C628F9">
              <w:rPr>
                <w:rFonts w:ascii="Verdana" w:hAnsi="Verdana" w:cs="Arial"/>
                <w:color w:val="000000" w:themeColor="text1"/>
              </w:rPr>
              <w:t>En respuesta al problema antes planteado esta Subdirección manifiesta lo siguiente:</w:t>
            </w:r>
          </w:p>
          <w:p w14:paraId="46BA5E05" w14:textId="59AB51AF" w:rsidR="00DB3E83" w:rsidRPr="00C628F9" w:rsidRDefault="00EC6F09" w:rsidP="00D76FCA">
            <w:pPr>
              <w:spacing w:before="120" w:after="120" w:line="276" w:lineRule="auto"/>
              <w:ind w:firstLine="709"/>
              <w:jc w:val="both"/>
              <w:rPr>
                <w:rFonts w:ascii="Verdana" w:eastAsia="Calibri" w:hAnsi="Verdana" w:cs="Arial"/>
                <w:bCs/>
                <w:i/>
                <w:iCs/>
                <w:color w:val="000000" w:themeColor="text1"/>
                <w:lang w:val="es-ES_tradnl"/>
              </w:rPr>
            </w:pPr>
            <w:r w:rsidRPr="00C628F9">
              <w:rPr>
                <w:rFonts w:ascii="Verdana" w:eastAsia="Calibri" w:hAnsi="Verdana" w:cs="Arial"/>
                <w:color w:val="000000" w:themeColor="text1"/>
              </w:rPr>
              <w:t>En primer lugar</w:t>
            </w:r>
            <w:r w:rsidR="0013665E" w:rsidRPr="00C628F9">
              <w:rPr>
                <w:rFonts w:ascii="Verdana" w:hAnsi="Verdana" w:cs="Arial"/>
              </w:rPr>
              <w:t>, debe indicarse</w:t>
            </w:r>
            <w:r w:rsidR="0074223F" w:rsidRPr="00C628F9">
              <w:rPr>
                <w:rFonts w:ascii="Verdana" w:hAnsi="Verdana" w:cs="Arial"/>
              </w:rPr>
              <w:t xml:space="preserve"> que</w:t>
            </w:r>
            <w:r w:rsidR="00A9381E" w:rsidRPr="00C628F9">
              <w:rPr>
                <w:rFonts w:ascii="Verdana" w:hAnsi="Verdana" w:cs="Arial"/>
              </w:rPr>
              <w:t xml:space="preserve">, </w:t>
            </w:r>
            <w:r w:rsidR="0013665E" w:rsidRPr="00C628F9">
              <w:rPr>
                <w:rFonts w:ascii="Verdana" w:hAnsi="Verdana" w:cs="Arial"/>
              </w:rPr>
              <w:t>es jurídicamente viable dar por terminado un contrato</w:t>
            </w:r>
            <w:r w:rsidR="00A9381E" w:rsidRPr="00C628F9">
              <w:rPr>
                <w:rFonts w:ascii="Verdana" w:hAnsi="Verdana" w:cs="Arial"/>
              </w:rPr>
              <w:t xml:space="preserve"> de prestación de servicios</w:t>
            </w:r>
            <w:r w:rsidR="00673B35" w:rsidRPr="00C628F9">
              <w:rPr>
                <w:rFonts w:ascii="Verdana" w:hAnsi="Verdana" w:cs="Arial"/>
              </w:rPr>
              <w:t>,</w:t>
            </w:r>
            <w:r w:rsidR="0013665E" w:rsidRPr="00C628F9">
              <w:rPr>
                <w:rFonts w:ascii="Verdana" w:hAnsi="Verdana" w:cs="Arial"/>
              </w:rPr>
              <w:t xml:space="preserve"> sin que se cumpla el plazo de ejecución inicialmente pactado, sobre el particular es preciso </w:t>
            </w:r>
            <w:r w:rsidR="0038671E" w:rsidRPr="00C628F9">
              <w:rPr>
                <w:rFonts w:ascii="Verdana" w:hAnsi="Verdana" w:cs="Arial"/>
              </w:rPr>
              <w:t>manifestar</w:t>
            </w:r>
            <w:r w:rsidR="0013665E" w:rsidRPr="00C628F9">
              <w:rPr>
                <w:rFonts w:ascii="Verdana" w:hAnsi="Verdana" w:cs="Arial"/>
              </w:rPr>
              <w:t xml:space="preserve"> que</w:t>
            </w:r>
            <w:r w:rsidR="0002405E" w:rsidRPr="00C628F9">
              <w:rPr>
                <w:rFonts w:ascii="Verdana" w:hAnsi="Verdana" w:cs="Arial"/>
              </w:rPr>
              <w:t xml:space="preserve">, </w:t>
            </w:r>
            <w:r w:rsidR="0013665E" w:rsidRPr="00C628F9">
              <w:rPr>
                <w:rFonts w:ascii="Verdana" w:hAnsi="Verdana" w:cs="Arial"/>
              </w:rPr>
              <w:t xml:space="preserve">por un lado se encuentra la figura de </w:t>
            </w:r>
            <w:r w:rsidR="0013665E" w:rsidRPr="00C628F9">
              <w:rPr>
                <w:rFonts w:ascii="Verdana" w:hAnsi="Verdana" w:cs="Arial"/>
                <w:i/>
                <w:iCs/>
              </w:rPr>
              <w:t>terminación anticipada</w:t>
            </w:r>
            <w:r w:rsidR="0013665E" w:rsidRPr="00C628F9">
              <w:rPr>
                <w:rFonts w:ascii="Verdana" w:hAnsi="Verdana" w:cs="Arial"/>
              </w:rPr>
              <w:t xml:space="preserve">, entendida esta, como la manifestación de la voluntad del contratista de no continuar con la ejecución del contrato, seguido de la autorización de la Entidad Estatal contratante, </w:t>
            </w:r>
            <w:r w:rsidR="0013665E" w:rsidRPr="00C628F9">
              <w:rPr>
                <w:rFonts w:ascii="Verdana" w:eastAsia="Calibri" w:hAnsi="Verdana" w:cs="Arial"/>
              </w:rPr>
              <w:t>a efectos de que no se consoliden incumplimientos que den lugar a la</w:t>
            </w:r>
            <w:r w:rsidR="007F0402" w:rsidRPr="00C628F9">
              <w:rPr>
                <w:rFonts w:ascii="Verdana" w:eastAsia="Calibri" w:hAnsi="Verdana" w:cs="Arial"/>
              </w:rPr>
              <w:t>s</w:t>
            </w:r>
            <w:r w:rsidR="0013665E" w:rsidRPr="00C628F9">
              <w:rPr>
                <w:rFonts w:ascii="Verdana" w:eastAsia="Calibri" w:hAnsi="Verdana" w:cs="Arial"/>
              </w:rPr>
              <w:t xml:space="preserve"> imposiciones de las sanciones contractuales que se hayan pactado en el contrato. Y por otro, la</w:t>
            </w:r>
            <w:r w:rsidR="007F0402" w:rsidRPr="00C628F9">
              <w:rPr>
                <w:rFonts w:ascii="Verdana" w:eastAsia="Calibri" w:hAnsi="Verdana" w:cs="Arial"/>
              </w:rPr>
              <w:t xml:space="preserve"> facultad excepcional de </w:t>
            </w:r>
            <w:r w:rsidR="0013665E" w:rsidRPr="00C628F9">
              <w:rPr>
                <w:rFonts w:ascii="Verdana" w:eastAsia="Calibri" w:hAnsi="Verdana" w:cs="Arial"/>
                <w:i/>
                <w:iCs/>
              </w:rPr>
              <w:t>terminación unilateral</w:t>
            </w:r>
            <w:r w:rsidR="0013665E" w:rsidRPr="00C628F9">
              <w:rPr>
                <w:rFonts w:ascii="Verdana" w:eastAsia="Calibri" w:hAnsi="Verdana" w:cs="Arial"/>
              </w:rPr>
              <w:t xml:space="preserve">, </w:t>
            </w:r>
            <w:r w:rsidR="00F757F9">
              <w:rPr>
                <w:rFonts w:ascii="Verdana" w:eastAsia="Calibri" w:hAnsi="Verdana" w:cs="Arial"/>
              </w:rPr>
              <w:t xml:space="preserve">esta aplica a contratos de prestación de servicios, </w:t>
            </w:r>
            <w:r w:rsidR="0013665E" w:rsidRPr="00C628F9">
              <w:rPr>
                <w:rFonts w:ascii="Verdana" w:eastAsia="Calibri" w:hAnsi="Verdana" w:cs="Arial"/>
              </w:rPr>
              <w:t>siempre que se haya</w:t>
            </w:r>
            <w:r w:rsidR="00F763CF" w:rsidRPr="00C628F9">
              <w:rPr>
                <w:rFonts w:ascii="Verdana" w:eastAsia="Calibri" w:hAnsi="Verdana" w:cs="Arial"/>
              </w:rPr>
              <w:t xml:space="preserve"> </w:t>
            </w:r>
            <w:r w:rsidR="0013665E" w:rsidRPr="00C628F9">
              <w:rPr>
                <w:rFonts w:ascii="Verdana" w:eastAsia="Calibri" w:hAnsi="Verdana" w:cs="Arial"/>
              </w:rPr>
              <w:t xml:space="preserve">pactado </w:t>
            </w:r>
            <w:r w:rsidR="00A83808" w:rsidRPr="00C628F9">
              <w:rPr>
                <w:rFonts w:ascii="Verdana" w:eastAsia="Calibri" w:hAnsi="Verdana" w:cs="Arial"/>
              </w:rPr>
              <w:t xml:space="preserve">expresamente </w:t>
            </w:r>
            <w:r w:rsidR="008463E1" w:rsidRPr="00C628F9">
              <w:rPr>
                <w:rFonts w:ascii="Verdana" w:eastAsia="Calibri" w:hAnsi="Verdana" w:cs="Arial"/>
              </w:rPr>
              <w:t xml:space="preserve">en el contrato </w:t>
            </w:r>
            <w:r w:rsidR="0013665E" w:rsidRPr="00C628F9">
              <w:rPr>
                <w:rFonts w:ascii="Verdana" w:eastAsia="Calibri" w:hAnsi="Verdana" w:cs="Arial"/>
              </w:rPr>
              <w:t xml:space="preserve">por las partes, en este evento la Entidad Estatal podrá </w:t>
            </w:r>
            <w:r w:rsidR="0013665E" w:rsidRPr="00C628F9">
              <w:rPr>
                <w:rFonts w:ascii="Verdana" w:hAnsi="Verdana" w:cs="Arial"/>
                <w:color w:val="000000" w:themeColor="text1"/>
                <w:lang w:val="es-MX"/>
              </w:rPr>
              <w:t>declarar la terminación unilateral</w:t>
            </w:r>
            <w:r w:rsidR="002725B5">
              <w:rPr>
                <w:rFonts w:ascii="Verdana" w:hAnsi="Verdana" w:cs="Arial"/>
                <w:color w:val="000000" w:themeColor="text1"/>
                <w:lang w:val="es-MX"/>
              </w:rPr>
              <w:t>, la cual deberá</w:t>
            </w:r>
            <w:r w:rsidR="00CD6A9B" w:rsidRPr="00C628F9">
              <w:rPr>
                <w:rFonts w:ascii="Verdana" w:hAnsi="Verdana" w:cs="Arial"/>
                <w:color w:val="000000" w:themeColor="text1"/>
                <w:lang w:val="es-MX"/>
              </w:rPr>
              <w:t xml:space="preserve"> materializarse con</w:t>
            </w:r>
            <w:r w:rsidR="00895C65" w:rsidRPr="00C628F9">
              <w:rPr>
                <w:rFonts w:ascii="Verdana" w:hAnsi="Verdana" w:cs="Arial"/>
                <w:color w:val="000000" w:themeColor="text1"/>
                <w:lang w:val="es-MX"/>
              </w:rPr>
              <w:t xml:space="preserve"> la </w:t>
            </w:r>
            <w:r w:rsidRPr="00C628F9">
              <w:rPr>
                <w:rFonts w:ascii="Verdana" w:hAnsi="Verdana" w:cs="Arial"/>
                <w:color w:val="000000" w:themeColor="text1"/>
                <w:lang w:val="es-MX"/>
              </w:rPr>
              <w:t>expedición de</w:t>
            </w:r>
            <w:r w:rsidR="0013665E" w:rsidRPr="00C628F9">
              <w:rPr>
                <w:rFonts w:ascii="Verdana" w:hAnsi="Verdana" w:cs="Arial"/>
                <w:color w:val="000000" w:themeColor="text1"/>
                <w:lang w:val="es-MX"/>
              </w:rPr>
              <w:t xml:space="preserve"> un acto administrativo debidamente motivado y enmarcado en </w:t>
            </w:r>
            <w:r w:rsidR="008737A1">
              <w:rPr>
                <w:rFonts w:ascii="Verdana" w:hAnsi="Verdana" w:cs="Arial"/>
                <w:color w:val="000000" w:themeColor="text1"/>
                <w:lang w:val="es-MX"/>
              </w:rPr>
              <w:t>disposiciones</w:t>
            </w:r>
            <w:r w:rsidR="0013665E" w:rsidRPr="00C628F9">
              <w:rPr>
                <w:rFonts w:ascii="Verdana" w:hAnsi="Verdana" w:cs="Arial"/>
                <w:color w:val="000000" w:themeColor="text1"/>
                <w:lang w:val="es-MX"/>
              </w:rPr>
              <w:t xml:space="preserve"> legales</w:t>
            </w:r>
            <w:r w:rsidR="00FC7D99" w:rsidRPr="00C628F9">
              <w:rPr>
                <w:rFonts w:ascii="Verdana" w:hAnsi="Verdana" w:cs="Arial"/>
                <w:color w:val="000000" w:themeColor="text1"/>
                <w:lang w:val="es-MX"/>
              </w:rPr>
              <w:t>.</w:t>
            </w:r>
          </w:p>
        </w:tc>
      </w:tr>
    </w:tbl>
    <w:p w14:paraId="35FC3C67" w14:textId="77777777" w:rsidR="006F7C7E" w:rsidRPr="00C628F9" w:rsidRDefault="006F7C7E" w:rsidP="006F7C7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8A60560" w14:textId="77777777" w:rsidR="006F7C7E" w:rsidRPr="00C628F9" w:rsidRDefault="006F7C7E" w:rsidP="006F7C7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628F9">
        <w:rPr>
          <w:rFonts w:ascii="Verdana" w:eastAsia="Century Gothic" w:hAnsi="Verdana" w:cs="Century Gothic"/>
          <w:b/>
          <w:bCs/>
          <w:color w:val="000000" w:themeColor="text1"/>
        </w:rPr>
        <w:t>Razones de la respuesta:</w:t>
      </w:r>
    </w:p>
    <w:p w14:paraId="0428F212" w14:textId="77777777" w:rsidR="006F7C7E" w:rsidRPr="00C628F9" w:rsidRDefault="006F7C7E" w:rsidP="006F7C7E">
      <w:pPr>
        <w:spacing w:after="0" w:line="276" w:lineRule="auto"/>
        <w:jc w:val="both"/>
        <w:rPr>
          <w:rFonts w:ascii="Verdana" w:eastAsia="Calibri" w:hAnsi="Verdana" w:cs="Arial"/>
          <w:color w:val="000000" w:themeColor="text1"/>
          <w:lang w:val="es-ES"/>
        </w:rPr>
      </w:pPr>
    </w:p>
    <w:p w14:paraId="31DB46E0" w14:textId="77777777" w:rsidR="006F7C7E" w:rsidRPr="00C628F9" w:rsidRDefault="006F7C7E" w:rsidP="006F7C7E">
      <w:pPr>
        <w:spacing w:after="0" w:line="276" w:lineRule="auto"/>
        <w:jc w:val="both"/>
        <w:rPr>
          <w:rFonts w:ascii="Verdana" w:eastAsia="Calibri" w:hAnsi="Verdana" w:cs="Arial"/>
          <w:color w:val="000000" w:themeColor="text1"/>
          <w:lang w:val="es-ES"/>
        </w:rPr>
      </w:pPr>
      <w:r w:rsidRPr="00C628F9">
        <w:rPr>
          <w:rFonts w:ascii="Verdana" w:eastAsia="Calibri" w:hAnsi="Verdana" w:cs="Arial"/>
          <w:color w:val="000000" w:themeColor="text1"/>
          <w:lang w:val="es-ES"/>
        </w:rPr>
        <w:t xml:space="preserve">Lo anterior se sustenta en las siguientes consideraciones: </w:t>
      </w:r>
    </w:p>
    <w:p w14:paraId="294F0560" w14:textId="77777777" w:rsidR="00B7684E" w:rsidRPr="00C628F9" w:rsidRDefault="00B7684E" w:rsidP="00B7684E">
      <w:pPr>
        <w:widowControl w:val="0"/>
        <w:autoSpaceDE w:val="0"/>
        <w:autoSpaceDN w:val="0"/>
        <w:spacing w:before="120" w:after="120" w:line="276" w:lineRule="auto"/>
        <w:jc w:val="both"/>
        <w:rPr>
          <w:rFonts w:ascii="Verdana" w:hAnsi="Verdana" w:cs="Arial"/>
        </w:rPr>
      </w:pPr>
      <w:r w:rsidRPr="00C628F9">
        <w:rPr>
          <w:rFonts w:ascii="Verdana" w:hAnsi="Verdana" w:cs="Arial"/>
        </w:rPr>
        <w:t xml:space="preserve">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w:t>
      </w:r>
    </w:p>
    <w:p w14:paraId="578E08FE" w14:textId="77777777" w:rsidR="00B7684E" w:rsidRPr="00C628F9" w:rsidRDefault="00B7684E" w:rsidP="00B7684E">
      <w:pPr>
        <w:widowControl w:val="0"/>
        <w:autoSpaceDE w:val="0"/>
        <w:autoSpaceDN w:val="0"/>
        <w:spacing w:after="0" w:line="240" w:lineRule="auto"/>
        <w:jc w:val="both"/>
        <w:rPr>
          <w:rFonts w:ascii="Verdana" w:hAnsi="Verdana" w:cs="Arial"/>
        </w:rPr>
      </w:pPr>
    </w:p>
    <w:p w14:paraId="7EFBDF4C"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FB25D73"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p>
    <w:p w14:paraId="18B7BB8D"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En ningún caso estos contratos generan relación laboral ni prestaciones sociales y se celebrarán por el término estrictamente indispensable”.</w:t>
      </w:r>
    </w:p>
    <w:p w14:paraId="5BA2E198" w14:textId="77777777" w:rsidR="00B7684E" w:rsidRPr="00C628F9" w:rsidRDefault="00B7684E" w:rsidP="00B7684E">
      <w:pPr>
        <w:widowControl w:val="0"/>
        <w:autoSpaceDE w:val="0"/>
        <w:autoSpaceDN w:val="0"/>
        <w:spacing w:after="0" w:line="276" w:lineRule="auto"/>
        <w:jc w:val="both"/>
        <w:rPr>
          <w:rFonts w:ascii="Verdana" w:hAnsi="Verdana" w:cs="Arial"/>
        </w:rPr>
      </w:pPr>
    </w:p>
    <w:p w14:paraId="12B5681A"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 xml:space="preserve">De otro lado, la celebración de dicho contrato se debe efectuar a través </w:t>
      </w:r>
      <w:r w:rsidRPr="00C628F9">
        <w:rPr>
          <w:rFonts w:ascii="Verdana" w:hAnsi="Verdana" w:cs="Arial"/>
        </w:rPr>
        <w:lastRenderedPageBreak/>
        <w:t>de la modalidad de la contratación directa. Así lo prevé el artículo 2, numeral 4º, literal h), de la Ley 1150 de 2007, que dispone:</w:t>
      </w:r>
    </w:p>
    <w:p w14:paraId="546765CA" w14:textId="77777777" w:rsidR="00B7684E" w:rsidRPr="00C628F9" w:rsidRDefault="00B7684E" w:rsidP="00B7684E">
      <w:pPr>
        <w:widowControl w:val="0"/>
        <w:autoSpaceDE w:val="0"/>
        <w:autoSpaceDN w:val="0"/>
        <w:spacing w:after="0" w:line="240" w:lineRule="auto"/>
        <w:ind w:firstLine="709"/>
        <w:jc w:val="both"/>
        <w:rPr>
          <w:rFonts w:ascii="Verdana" w:hAnsi="Verdana" w:cs="Arial"/>
        </w:rPr>
      </w:pPr>
    </w:p>
    <w:p w14:paraId="1DB8E701"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 xml:space="preserve">“[…] Contratación directa. La modalidad de selección de contratación </w:t>
      </w:r>
      <w:proofErr w:type="gramStart"/>
      <w:r w:rsidRPr="00C628F9">
        <w:rPr>
          <w:rFonts w:ascii="Verdana" w:hAnsi="Verdana" w:cs="Arial"/>
          <w:sz w:val="20"/>
          <w:szCs w:val="20"/>
        </w:rPr>
        <w:t>directa,</w:t>
      </w:r>
      <w:proofErr w:type="gramEnd"/>
      <w:r w:rsidRPr="00C628F9">
        <w:rPr>
          <w:rFonts w:ascii="Verdana" w:hAnsi="Verdana" w:cs="Arial"/>
          <w:sz w:val="20"/>
          <w:szCs w:val="20"/>
        </w:rPr>
        <w:t xml:space="preserve"> solamente procederá en los siguientes casos:</w:t>
      </w:r>
    </w:p>
    <w:p w14:paraId="5982C510"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p>
    <w:p w14:paraId="08CEDD65"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w:t>
      </w:r>
    </w:p>
    <w:p w14:paraId="0310125C"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h) Para la prestación de servicios profesionales y de apoyo a la gestión, o para la ejecución de trabajos artísticos que sólo puedan encomendarse a determinadas personas naturales; […]”.</w:t>
      </w:r>
    </w:p>
    <w:p w14:paraId="1A9CFC69" w14:textId="77777777" w:rsidR="00B7684E" w:rsidRPr="00C628F9" w:rsidRDefault="00B7684E" w:rsidP="00B7684E">
      <w:pPr>
        <w:widowControl w:val="0"/>
        <w:autoSpaceDE w:val="0"/>
        <w:autoSpaceDN w:val="0"/>
        <w:spacing w:after="0" w:line="240" w:lineRule="auto"/>
        <w:jc w:val="both"/>
        <w:rPr>
          <w:rFonts w:ascii="Verdana" w:hAnsi="Verdana" w:cs="Arial"/>
        </w:rPr>
      </w:pPr>
    </w:p>
    <w:p w14:paraId="138C0956"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E4EF3C4"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i) Solo puede celebrarse para realizar “actividades relacionadas con la administración o funcionamiento de la entidad”, es decir, que hagan parte de su giro ordinario o quehacer cotidiano.</w:t>
      </w:r>
    </w:p>
    <w:p w14:paraId="35EAAA01"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proofErr w:type="spellStart"/>
      <w:r w:rsidRPr="00C628F9">
        <w:rPr>
          <w:rFonts w:ascii="Verdana" w:hAnsi="Verdana" w:cs="Arial"/>
        </w:rPr>
        <w:t>ii</w:t>
      </w:r>
      <w:proofErr w:type="spellEnd"/>
      <w:r w:rsidRPr="00C628F9">
        <w:rPr>
          <w:rFonts w:ascii="Verdana" w:hAnsi="Verdana" w:cs="Arial"/>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C628F9">
        <w:rPr>
          <w:rStyle w:val="Refdenotaalpie"/>
          <w:rFonts w:ascii="Verdana" w:hAnsi="Verdana" w:cs="Arial"/>
        </w:rPr>
        <w:footnoteReference w:id="1"/>
      </w:r>
      <w:r w:rsidRPr="00C628F9">
        <w:rPr>
          <w:rFonts w:ascii="Verdana" w:hAnsi="Verdana" w:cs="Arial"/>
        </w:rPr>
        <w:t xml:space="preserve">. Esto puede suceder en varios eventos, como, por ejemplo, que, efectivamente, no exista el personal de planta para encargarse de dichas labores; que exista, </w:t>
      </w:r>
      <w:r w:rsidRPr="00C628F9">
        <w:rPr>
          <w:rFonts w:ascii="Verdana" w:hAnsi="Verdana" w:cs="Arial"/>
        </w:rPr>
        <w:lastRenderedPageBreak/>
        <w:t>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688AF53"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proofErr w:type="spellStart"/>
      <w:r w:rsidRPr="00C628F9">
        <w:rPr>
          <w:rFonts w:ascii="Verdana" w:hAnsi="Verdana" w:cs="Arial"/>
        </w:rPr>
        <w:t>iii</w:t>
      </w:r>
      <w:proofErr w:type="spellEnd"/>
      <w:r w:rsidRPr="00C628F9">
        <w:rPr>
          <w:rFonts w:ascii="Verdana" w:hAnsi="Verdana" w:cs="Arial"/>
        </w:rPr>
        <w:t>) Si bien se celebran para obtener la prestación personal de un servicio, se diferencian del contrato de trabajo</w:t>
      </w:r>
      <w:r w:rsidRPr="00C628F9">
        <w:rPr>
          <w:rStyle w:val="Refdenotaalpie"/>
          <w:rFonts w:ascii="Verdana" w:hAnsi="Verdana" w:cs="Arial"/>
        </w:rPr>
        <w:footnoteReference w:id="2"/>
      </w:r>
      <w:r w:rsidRPr="00C628F9">
        <w:rPr>
          <w:rFonts w:ascii="Verdana" w:hAnsi="Verdana" w:cs="Arial"/>
        </w:rPr>
        <w:t xml:space="preserve"> en que quien celebra el contrato de prestación de servicios debe mantener autonomía e independencia en la ejecución de la labor, lo que significa que no puede existir la </w:t>
      </w:r>
      <w:r w:rsidRPr="00C628F9">
        <w:rPr>
          <w:rFonts w:ascii="Verdana" w:hAnsi="Verdana" w:cs="Arial"/>
          <w:i/>
          <w:iCs/>
        </w:rPr>
        <w:t>subordinación y dependencia</w:t>
      </w:r>
      <w:r w:rsidRPr="00C628F9">
        <w:rPr>
          <w:rFonts w:ascii="Verdana" w:hAnsi="Verdana" w:cs="Arial"/>
        </w:rPr>
        <w:t xml:space="preserve">, que es uno de los elementos constitutivos del vínculo laboral. </w:t>
      </w:r>
    </w:p>
    <w:p w14:paraId="44BAB727"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4A112F41"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 xml:space="preserve">Pero es posible que, a pesar de este mandato deontológico, en la práctica surja la relación laboral, pues, como se sabe, el contrato de trabajo es un </w:t>
      </w:r>
      <w:r w:rsidRPr="00C628F9">
        <w:rPr>
          <w:rFonts w:ascii="Verdana" w:hAnsi="Verdana" w:cs="Arial"/>
          <w:i/>
          <w:iCs/>
        </w:rPr>
        <w:t>contrato realidad</w:t>
      </w:r>
      <w:r w:rsidRPr="00C628F9">
        <w:rPr>
          <w:rFonts w:ascii="Verdana" w:hAnsi="Verdana" w:cs="Arial"/>
        </w:rPr>
        <w:t xml:space="preserve">,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w:t>
      </w:r>
      <w:r w:rsidRPr="00C628F9">
        <w:rPr>
          <w:rFonts w:ascii="Verdana" w:hAnsi="Verdana" w:cs="Arial"/>
        </w:rPr>
        <w:lastRenderedPageBreak/>
        <w:t>contratista la existencia de una relación laboral subordinada”</w:t>
      </w:r>
      <w:r w:rsidRPr="00C628F9">
        <w:rPr>
          <w:rStyle w:val="Refdenotaalpie"/>
          <w:rFonts w:ascii="Verdana" w:hAnsi="Verdana" w:cs="Arial"/>
        </w:rPr>
        <w:footnoteReference w:id="3"/>
      </w:r>
      <w:r w:rsidRPr="00C628F9">
        <w:rPr>
          <w:rFonts w:ascii="Verdana" w:hAnsi="Verdana" w:cs="Arial"/>
        </w:rPr>
        <w:t>.</w:t>
      </w:r>
    </w:p>
    <w:p w14:paraId="104EB386" w14:textId="77777777" w:rsidR="00B7684E" w:rsidRPr="00C628F9" w:rsidRDefault="00B7684E" w:rsidP="00B7684E">
      <w:pPr>
        <w:widowControl w:val="0"/>
        <w:autoSpaceDE w:val="0"/>
        <w:autoSpaceDN w:val="0"/>
        <w:spacing w:before="120" w:after="0" w:line="276" w:lineRule="auto"/>
        <w:ind w:firstLine="708"/>
        <w:jc w:val="both"/>
        <w:rPr>
          <w:rFonts w:ascii="Verdana" w:hAnsi="Verdana" w:cs="Arial"/>
        </w:rPr>
      </w:pPr>
      <w:proofErr w:type="spellStart"/>
      <w:r w:rsidRPr="00C628F9">
        <w:rPr>
          <w:rFonts w:ascii="Verdana" w:hAnsi="Verdana" w:cs="Arial"/>
        </w:rPr>
        <w:t>iv</w:t>
      </w:r>
      <w:proofErr w:type="spellEnd"/>
      <w:r w:rsidRPr="00C628F9">
        <w:rPr>
          <w:rFonts w:ascii="Verdana" w:hAnsi="Verdana" w:cs="Arial"/>
        </w:rPr>
        <w:t>) Deben ser temporales. Así lo señaló la Corte Constitucional en la misma providencia a la que se aludió previamente, expresando que:</w:t>
      </w:r>
    </w:p>
    <w:p w14:paraId="3649C62A" w14:textId="77777777" w:rsidR="00B7684E" w:rsidRPr="00C628F9" w:rsidRDefault="00B7684E" w:rsidP="00B7684E">
      <w:pPr>
        <w:widowControl w:val="0"/>
        <w:autoSpaceDE w:val="0"/>
        <w:autoSpaceDN w:val="0"/>
        <w:spacing w:after="0" w:line="276" w:lineRule="auto"/>
        <w:ind w:firstLine="708"/>
        <w:jc w:val="both"/>
        <w:rPr>
          <w:rFonts w:ascii="Verdana" w:hAnsi="Verdana" w:cs="Arial"/>
        </w:rPr>
      </w:pPr>
    </w:p>
    <w:p w14:paraId="474412B9"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C628F9">
        <w:rPr>
          <w:rStyle w:val="Refdenotaalpie"/>
          <w:rFonts w:ascii="Verdana" w:hAnsi="Verdana" w:cs="Arial"/>
          <w:sz w:val="20"/>
          <w:szCs w:val="20"/>
        </w:rPr>
        <w:footnoteReference w:id="4"/>
      </w:r>
      <w:r w:rsidRPr="00C628F9">
        <w:rPr>
          <w:rFonts w:ascii="Verdana" w:hAnsi="Verdana" w:cs="Arial"/>
          <w:sz w:val="20"/>
          <w:szCs w:val="20"/>
        </w:rPr>
        <w:t>.</w:t>
      </w:r>
    </w:p>
    <w:p w14:paraId="198F1867" w14:textId="77777777" w:rsidR="00B7684E" w:rsidRPr="00C628F9" w:rsidRDefault="00B7684E" w:rsidP="00B7684E">
      <w:pPr>
        <w:widowControl w:val="0"/>
        <w:autoSpaceDE w:val="0"/>
        <w:autoSpaceDN w:val="0"/>
        <w:spacing w:after="0" w:line="240" w:lineRule="auto"/>
        <w:jc w:val="both"/>
        <w:rPr>
          <w:rFonts w:ascii="Verdana" w:hAnsi="Verdana" w:cs="Arial"/>
        </w:rPr>
      </w:pPr>
    </w:p>
    <w:p w14:paraId="21A7EF0D" w14:textId="77777777" w:rsidR="00B7684E" w:rsidRPr="00C628F9" w:rsidRDefault="00B7684E" w:rsidP="00B7684E">
      <w:pPr>
        <w:widowControl w:val="0"/>
        <w:autoSpaceDE w:val="0"/>
        <w:autoSpaceDN w:val="0"/>
        <w:spacing w:after="0" w:line="276" w:lineRule="auto"/>
        <w:ind w:firstLine="708"/>
        <w:jc w:val="both"/>
        <w:rPr>
          <w:rFonts w:ascii="Verdana" w:hAnsi="Verdana" w:cs="Arial"/>
        </w:rPr>
      </w:pPr>
      <w:r w:rsidRPr="00C628F9">
        <w:rPr>
          <w:rFonts w:ascii="Verdana" w:hAnsi="Verdana" w:cs="Arial"/>
        </w:rPr>
        <w:t xml:space="preserve">v) Los contratos de prestación de servicios constituyen un </w:t>
      </w:r>
      <w:r w:rsidRPr="00C628F9">
        <w:rPr>
          <w:rFonts w:ascii="Verdana" w:hAnsi="Verdana" w:cs="Arial"/>
          <w:i/>
          <w:iCs/>
        </w:rPr>
        <w:t>género</w:t>
      </w:r>
      <w:r w:rsidRPr="00C628F9">
        <w:rPr>
          <w:rFonts w:ascii="Verdana" w:hAnsi="Verdana" w:cs="Arial"/>
        </w:rPr>
        <w:t xml:space="preserve"> que incluye, como </w:t>
      </w:r>
      <w:r w:rsidRPr="00C628F9">
        <w:rPr>
          <w:rFonts w:ascii="Verdana" w:hAnsi="Verdana" w:cs="Arial"/>
          <w:i/>
          <w:iCs/>
        </w:rPr>
        <w:t>especies</w:t>
      </w:r>
      <w:r w:rsidRPr="00C628F9">
        <w:rPr>
          <w:rFonts w:ascii="Verdana" w:hAnsi="Verdana" w:cs="Arial"/>
        </w:rPr>
        <w:t>, los contratos de prestación de servicios profesionales, los contratos de prestación de servicios de apoyo a la gestión y los contratos de prestación de servicios artísticos que solo pueden encomendarse a determinadas personas naturales</w:t>
      </w:r>
      <w:r w:rsidRPr="00C628F9">
        <w:rPr>
          <w:rStyle w:val="Refdenotaalpie"/>
          <w:rFonts w:ascii="Verdana" w:hAnsi="Verdana" w:cs="Arial"/>
        </w:rPr>
        <w:footnoteReference w:id="5"/>
      </w:r>
      <w:r w:rsidRPr="00C628F9">
        <w:rPr>
          <w:rFonts w:ascii="Verdana" w:hAnsi="Verdana" w:cs="Arial"/>
        </w:rPr>
        <w:t xml:space="preserve">. La diferencia entre el contrato de prestación de servicios </w:t>
      </w:r>
      <w:r w:rsidRPr="00C628F9">
        <w:rPr>
          <w:rFonts w:ascii="Verdana" w:hAnsi="Verdana" w:cs="Arial"/>
          <w:i/>
          <w:iCs/>
        </w:rPr>
        <w:t>profesionales</w:t>
      </w:r>
      <w:r w:rsidRPr="00C628F9">
        <w:rPr>
          <w:rFonts w:ascii="Verdana" w:hAnsi="Verdana" w:cs="Arial"/>
        </w:rPr>
        <w:t xml:space="preserve"> con las otras dos especies del género en el cual se ubican radica en su contenido intelectual intangible y, al mismo tiempo, en la formación profesional que se exige para desempeñar la labor. Así lo consideró el Consejo </w:t>
      </w:r>
      <w:r w:rsidRPr="00C628F9">
        <w:rPr>
          <w:rFonts w:ascii="Verdana" w:hAnsi="Verdana" w:cs="Arial"/>
        </w:rPr>
        <w:lastRenderedPageBreak/>
        <w:t>de Estado en sentencia de unificación jurisprudencial del 2 de diciembre de 2013, al indicar, respecto del contrato de prestación de servicios profesionales, que:</w:t>
      </w:r>
    </w:p>
    <w:p w14:paraId="428A9213" w14:textId="77777777" w:rsidR="00B7684E" w:rsidRPr="00C628F9" w:rsidRDefault="00B7684E" w:rsidP="00B7684E">
      <w:pPr>
        <w:widowControl w:val="0"/>
        <w:autoSpaceDE w:val="0"/>
        <w:autoSpaceDN w:val="0"/>
        <w:spacing w:after="0" w:line="276" w:lineRule="auto"/>
        <w:ind w:firstLine="708"/>
        <w:jc w:val="both"/>
        <w:rPr>
          <w:rFonts w:ascii="Verdana" w:hAnsi="Verdana" w:cs="Arial"/>
        </w:rPr>
      </w:pPr>
    </w:p>
    <w:p w14:paraId="5912C043"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C628F9">
        <w:rPr>
          <w:rStyle w:val="Refdenotaalpie"/>
          <w:rFonts w:ascii="Verdana" w:hAnsi="Verdana" w:cs="Arial"/>
          <w:sz w:val="20"/>
          <w:szCs w:val="20"/>
        </w:rPr>
        <w:footnoteReference w:id="6"/>
      </w:r>
      <w:r w:rsidRPr="00C628F9">
        <w:rPr>
          <w:rFonts w:ascii="Verdana" w:hAnsi="Verdana" w:cs="Arial"/>
          <w:sz w:val="20"/>
          <w:szCs w:val="20"/>
        </w:rPr>
        <w:t>.</w:t>
      </w:r>
    </w:p>
    <w:p w14:paraId="3F66B09E" w14:textId="77777777" w:rsidR="00B7684E" w:rsidRPr="00C628F9" w:rsidRDefault="00B7684E" w:rsidP="00B7684E">
      <w:pPr>
        <w:widowControl w:val="0"/>
        <w:autoSpaceDE w:val="0"/>
        <w:autoSpaceDN w:val="0"/>
        <w:spacing w:after="0" w:line="240" w:lineRule="auto"/>
        <w:ind w:left="709" w:right="709"/>
        <w:jc w:val="both"/>
        <w:rPr>
          <w:rFonts w:ascii="Verdana" w:hAnsi="Verdana" w:cs="Arial"/>
        </w:rPr>
      </w:pPr>
    </w:p>
    <w:p w14:paraId="619274EA" w14:textId="77777777" w:rsidR="00B7684E" w:rsidRPr="00C628F9" w:rsidRDefault="00B7684E" w:rsidP="00B7684E">
      <w:pPr>
        <w:widowControl w:val="0"/>
        <w:autoSpaceDE w:val="0"/>
        <w:autoSpaceDN w:val="0"/>
        <w:spacing w:after="0" w:line="276" w:lineRule="auto"/>
        <w:ind w:firstLine="708"/>
        <w:jc w:val="both"/>
        <w:rPr>
          <w:rFonts w:ascii="Verdana" w:hAnsi="Verdana" w:cs="Arial"/>
        </w:rPr>
      </w:pPr>
      <w:r w:rsidRPr="00C628F9">
        <w:rPr>
          <w:rFonts w:ascii="Verdana" w:hAnsi="Verdana" w:cs="Arial"/>
        </w:rPr>
        <w:t>Objeto que, según la sentencia que se cita, se diferencia del objeto del contrato de prestación de servicios de apoyo a la gestión, porque en este:</w:t>
      </w:r>
    </w:p>
    <w:p w14:paraId="4A9C14D7" w14:textId="77777777" w:rsidR="00B7684E" w:rsidRPr="00C628F9" w:rsidRDefault="00B7684E" w:rsidP="00B7684E">
      <w:pPr>
        <w:widowControl w:val="0"/>
        <w:autoSpaceDE w:val="0"/>
        <w:autoSpaceDN w:val="0"/>
        <w:spacing w:after="0" w:line="276" w:lineRule="auto"/>
        <w:ind w:firstLine="708"/>
        <w:jc w:val="both"/>
        <w:rPr>
          <w:rFonts w:ascii="Verdana" w:hAnsi="Verdana" w:cs="Arial"/>
        </w:rPr>
      </w:pPr>
    </w:p>
    <w:p w14:paraId="60D86228"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683A8181"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p>
    <w:p w14:paraId="27871E10"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 xml:space="preserve">Aunque también se caracteriza por el desempeño de actividad intelectiva, ésta </w:t>
      </w:r>
      <w:proofErr w:type="gramStart"/>
      <w:r w:rsidRPr="00C628F9">
        <w:rPr>
          <w:rFonts w:ascii="Verdana" w:hAnsi="Verdana" w:cs="Arial"/>
          <w:sz w:val="20"/>
          <w:szCs w:val="20"/>
        </w:rPr>
        <w:t>se enmarca dentro de</w:t>
      </w:r>
      <w:proofErr w:type="gramEnd"/>
      <w:r w:rsidRPr="00C628F9">
        <w:rPr>
          <w:rFonts w:ascii="Verdana" w:hAnsi="Verdana" w:cs="Arial"/>
          <w:sz w:val="20"/>
          <w:szCs w:val="20"/>
        </w:rPr>
        <w:t xml:space="preserve"> un saber propiamente técnico; igualmente involucra actividades en donde prima el esfuerzo físico o mecánico, en donde no se requiere de personal profesional.</w:t>
      </w:r>
    </w:p>
    <w:p w14:paraId="05990A62"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p>
    <w:p w14:paraId="5B2FF86A" w14:textId="77777777" w:rsidR="00B7684E" w:rsidRPr="00C628F9" w:rsidRDefault="00B7684E" w:rsidP="00B7684E">
      <w:pPr>
        <w:widowControl w:val="0"/>
        <w:autoSpaceDE w:val="0"/>
        <w:autoSpaceDN w:val="0"/>
        <w:spacing w:after="0" w:line="240" w:lineRule="auto"/>
        <w:ind w:left="709" w:right="709"/>
        <w:jc w:val="both"/>
        <w:rPr>
          <w:rFonts w:ascii="Verdana" w:hAnsi="Verdana" w:cs="Arial"/>
          <w:sz w:val="20"/>
          <w:szCs w:val="20"/>
        </w:rPr>
      </w:pPr>
      <w:r w:rsidRPr="00C628F9">
        <w:rPr>
          <w:rFonts w:ascii="Verdana" w:hAnsi="Verdana" w:cs="Arial"/>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C628F9">
        <w:rPr>
          <w:rStyle w:val="Refdenotaalpie"/>
          <w:rFonts w:ascii="Verdana" w:hAnsi="Verdana" w:cs="Arial"/>
          <w:sz w:val="20"/>
          <w:szCs w:val="20"/>
        </w:rPr>
        <w:footnoteReference w:id="7"/>
      </w:r>
      <w:r w:rsidRPr="00C628F9">
        <w:rPr>
          <w:rFonts w:ascii="Verdana" w:hAnsi="Verdana" w:cs="Arial"/>
          <w:sz w:val="20"/>
          <w:szCs w:val="20"/>
        </w:rPr>
        <w:t>.</w:t>
      </w:r>
    </w:p>
    <w:p w14:paraId="5A59D7CB" w14:textId="77777777" w:rsidR="00B7684E" w:rsidRPr="00C628F9" w:rsidRDefault="00B7684E" w:rsidP="00B7684E">
      <w:pPr>
        <w:widowControl w:val="0"/>
        <w:autoSpaceDE w:val="0"/>
        <w:autoSpaceDN w:val="0"/>
        <w:spacing w:after="0" w:line="240" w:lineRule="auto"/>
        <w:ind w:left="709" w:right="709"/>
        <w:jc w:val="both"/>
        <w:rPr>
          <w:rFonts w:ascii="Verdana" w:hAnsi="Verdana" w:cs="Arial"/>
        </w:rPr>
      </w:pPr>
    </w:p>
    <w:p w14:paraId="43B8660E" w14:textId="77777777" w:rsidR="00B7684E" w:rsidRPr="00C628F9" w:rsidRDefault="00B7684E" w:rsidP="00B7684E">
      <w:pPr>
        <w:widowControl w:val="0"/>
        <w:autoSpaceDE w:val="0"/>
        <w:autoSpaceDN w:val="0"/>
        <w:spacing w:after="0" w:line="276" w:lineRule="auto"/>
        <w:ind w:firstLine="709"/>
        <w:jc w:val="both"/>
        <w:rPr>
          <w:rFonts w:ascii="Verdana" w:hAnsi="Verdana" w:cs="Arial"/>
        </w:rPr>
      </w:pPr>
      <w:r w:rsidRPr="00C628F9">
        <w:rPr>
          <w:rFonts w:ascii="Verdana" w:hAnsi="Verdana" w:cs="Arial"/>
        </w:rPr>
        <w:t>En relación con el contrato de prestación de servicios artísticos que solo pueden encomendarse a determinadas personas naturales, señala el mencionado fallo que:</w:t>
      </w:r>
    </w:p>
    <w:p w14:paraId="143002BA" w14:textId="77777777" w:rsidR="00B7684E" w:rsidRPr="00C628F9" w:rsidRDefault="00B7684E" w:rsidP="00B7684E">
      <w:pPr>
        <w:widowControl w:val="0"/>
        <w:autoSpaceDE w:val="0"/>
        <w:autoSpaceDN w:val="0"/>
        <w:spacing w:after="0" w:line="276" w:lineRule="auto"/>
        <w:ind w:firstLine="709"/>
        <w:jc w:val="both"/>
        <w:rPr>
          <w:rFonts w:ascii="Verdana" w:hAnsi="Verdana" w:cs="Arial"/>
        </w:rPr>
      </w:pPr>
    </w:p>
    <w:p w14:paraId="10E552AB" w14:textId="77777777" w:rsidR="00B7684E" w:rsidRPr="00C628F9" w:rsidRDefault="00B7684E" w:rsidP="00B7684E">
      <w:pPr>
        <w:widowControl w:val="0"/>
        <w:autoSpaceDE w:val="0"/>
        <w:autoSpaceDN w:val="0"/>
        <w:spacing w:after="0" w:line="240" w:lineRule="auto"/>
        <w:ind w:left="709" w:right="709"/>
        <w:jc w:val="both"/>
        <w:rPr>
          <w:rFonts w:ascii="Verdana" w:hAnsi="Verdana" w:cs="Arial"/>
        </w:rPr>
      </w:pPr>
      <w:r w:rsidRPr="00C628F9">
        <w:rPr>
          <w:rFonts w:ascii="Verdana" w:hAnsi="Verdana" w:cs="Arial"/>
          <w:sz w:val="20"/>
          <w:szCs w:val="20"/>
        </w:rPr>
        <w:t xml:space="preserve">“Tienen lugar dentro de esta categoría los contratos de prestación de servicios que tengan por objeto la ejecución de trabajos artísticos, esto es, trabajos que corresponden al conjunto de creaciones humanas que </w:t>
      </w:r>
      <w:r w:rsidRPr="00C628F9">
        <w:rPr>
          <w:rFonts w:ascii="Verdana" w:hAnsi="Verdana" w:cs="Arial"/>
          <w:sz w:val="20"/>
          <w:szCs w:val="20"/>
        </w:rPr>
        <w:lastRenderedPageBreak/>
        <w:t>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C628F9">
        <w:rPr>
          <w:rStyle w:val="Refdenotaalpie"/>
          <w:rFonts w:ascii="Verdana" w:hAnsi="Verdana" w:cs="Arial"/>
          <w:sz w:val="20"/>
          <w:szCs w:val="20"/>
        </w:rPr>
        <w:footnoteReference w:id="8"/>
      </w:r>
      <w:r w:rsidRPr="00C628F9">
        <w:rPr>
          <w:rFonts w:ascii="Verdana" w:hAnsi="Verdana" w:cs="Arial"/>
        </w:rPr>
        <w:t>.</w:t>
      </w:r>
    </w:p>
    <w:p w14:paraId="48A12D55" w14:textId="77777777" w:rsidR="00B7684E" w:rsidRPr="00C628F9" w:rsidRDefault="00B7684E" w:rsidP="00B7684E">
      <w:pPr>
        <w:widowControl w:val="0"/>
        <w:autoSpaceDE w:val="0"/>
        <w:autoSpaceDN w:val="0"/>
        <w:spacing w:after="0" w:line="240" w:lineRule="auto"/>
        <w:ind w:left="709" w:right="709"/>
        <w:jc w:val="both"/>
        <w:rPr>
          <w:rFonts w:ascii="Verdana" w:hAnsi="Verdana" w:cs="Arial"/>
        </w:rPr>
      </w:pPr>
    </w:p>
    <w:p w14:paraId="6A54ED18" w14:textId="77777777" w:rsidR="00B7684E" w:rsidRPr="00C628F9" w:rsidRDefault="00B7684E" w:rsidP="00B7684E">
      <w:pPr>
        <w:widowControl w:val="0"/>
        <w:autoSpaceDE w:val="0"/>
        <w:autoSpaceDN w:val="0"/>
        <w:spacing w:after="120" w:line="276" w:lineRule="auto"/>
        <w:ind w:firstLine="708"/>
        <w:jc w:val="both"/>
        <w:rPr>
          <w:rFonts w:ascii="Verdana" w:hAnsi="Verdana" w:cs="Arial"/>
        </w:rPr>
      </w:pPr>
      <w:r w:rsidRPr="00C628F9">
        <w:rPr>
          <w:rFonts w:ascii="Verdana" w:hAnsi="Verdana" w:cs="Aria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C628F9">
        <w:rPr>
          <w:rStyle w:val="Refdenotaalpie"/>
          <w:rFonts w:ascii="Verdana" w:hAnsi="Verdana" w:cs="Arial"/>
        </w:rPr>
        <w:footnoteReference w:id="9"/>
      </w:r>
      <w:r w:rsidRPr="00C628F9">
        <w:rPr>
          <w:rFonts w:ascii="Verdana" w:hAnsi="Verdana" w:cs="Arial"/>
        </w:rPr>
        <w:t xml:space="preserve">. Pero, tampoco puede suscribirse un contrato de prestación de servicios profesionales para que el contratista ejecute labores que </w:t>
      </w:r>
      <w:proofErr w:type="gramStart"/>
      <w:r w:rsidRPr="00C628F9">
        <w:rPr>
          <w:rFonts w:ascii="Verdana" w:hAnsi="Verdana" w:cs="Arial"/>
        </w:rPr>
        <w:t>se enmarcan dentro de</w:t>
      </w:r>
      <w:proofErr w:type="gramEnd"/>
      <w:r w:rsidRPr="00C628F9">
        <w:rPr>
          <w:rFonts w:ascii="Verdana" w:hAnsi="Verdana" w:cs="Arial"/>
        </w:rPr>
        <w:t xml:space="preserve"> los otros contratos tipificados en el artículo 32 de la Ley 80 de 1993, como, por ejemplo, para que el contratista de prestación de servicios construya una obra.</w:t>
      </w:r>
    </w:p>
    <w:p w14:paraId="57189C0A"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proofErr w:type="spellStart"/>
      <w:r w:rsidRPr="00C628F9">
        <w:rPr>
          <w:rFonts w:ascii="Verdana" w:hAnsi="Verdana" w:cs="Arial"/>
        </w:rPr>
        <w:t>vii</w:t>
      </w:r>
      <w:proofErr w:type="spellEnd"/>
      <w:r w:rsidRPr="00C628F9">
        <w:rPr>
          <w:rFonts w:ascii="Verdana" w:hAnsi="Verdana" w:cs="Arial"/>
        </w:rPr>
        <w:t>) Para su celebración no se requiere en algunos casos la expedición del acto administrativo de justificación de la contratación directa</w:t>
      </w:r>
      <w:r w:rsidRPr="00C628F9">
        <w:rPr>
          <w:rStyle w:val="Refdenotaalpie"/>
          <w:rFonts w:ascii="Verdana" w:hAnsi="Verdana" w:cs="Arial"/>
        </w:rPr>
        <w:footnoteReference w:id="10"/>
      </w:r>
      <w:r w:rsidRPr="00C628F9">
        <w:rPr>
          <w:rFonts w:ascii="Verdana" w:hAnsi="Verdana" w:cs="Arial"/>
        </w:rPr>
        <w:t>.</w:t>
      </w:r>
    </w:p>
    <w:p w14:paraId="6627222B"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proofErr w:type="spellStart"/>
      <w:r w:rsidRPr="00C628F9">
        <w:rPr>
          <w:rFonts w:ascii="Verdana" w:hAnsi="Verdana" w:cs="Arial"/>
        </w:rPr>
        <w:t>viii</w:t>
      </w:r>
      <w:proofErr w:type="spellEnd"/>
      <w:r w:rsidRPr="00C628F9">
        <w:rPr>
          <w:rFonts w:ascii="Verdana" w:hAnsi="Verdana" w:cs="Arial"/>
        </w:rPr>
        <w:t xml:space="preserve">) Admiten el pacto de cláusulas excepcionales. Es decir, en los </w:t>
      </w:r>
      <w:r w:rsidRPr="00C628F9">
        <w:rPr>
          <w:rFonts w:ascii="Verdana" w:hAnsi="Verdana" w:cs="Arial"/>
        </w:rPr>
        <w:lastRenderedPageBreak/>
        <w:t>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2º, de la Ley 80 de 1993</w:t>
      </w:r>
      <w:r w:rsidRPr="00C628F9">
        <w:rPr>
          <w:rStyle w:val="Refdenotaalpie"/>
          <w:rFonts w:ascii="Verdana" w:hAnsi="Verdana" w:cs="Arial"/>
        </w:rPr>
        <w:footnoteReference w:id="11"/>
      </w:r>
      <w:r w:rsidRPr="00C628F9">
        <w:rPr>
          <w:rFonts w:ascii="Verdana" w:hAnsi="Verdana" w:cs="Arial"/>
        </w:rPr>
        <w:t>.</w:t>
      </w:r>
    </w:p>
    <w:p w14:paraId="0656B31A"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proofErr w:type="spellStart"/>
      <w:r w:rsidRPr="00C628F9">
        <w:rPr>
          <w:rFonts w:ascii="Verdana" w:hAnsi="Verdana" w:cs="Arial"/>
        </w:rPr>
        <w:t>ix</w:t>
      </w:r>
      <w:proofErr w:type="spellEnd"/>
      <w:r w:rsidRPr="00C628F9">
        <w:rPr>
          <w:rFonts w:ascii="Verdana" w:hAnsi="Verdana" w:cs="Arial"/>
        </w:rPr>
        <w:t>) En algunos casos no es obligatoria la liquidación, pues así lo estableció el artículo 217 del Decreto 019 de 2012, que modificó el artículo 60 de la Ley 80 de 1993</w:t>
      </w:r>
      <w:r w:rsidRPr="00C628F9">
        <w:rPr>
          <w:rStyle w:val="Refdenotaalpie"/>
          <w:rFonts w:ascii="Verdana" w:hAnsi="Verdana" w:cs="Arial"/>
        </w:rPr>
        <w:footnoteReference w:id="12"/>
      </w:r>
      <w:r w:rsidRPr="00C628F9">
        <w:rPr>
          <w:rFonts w:ascii="Verdana" w:hAnsi="Verdana" w:cs="Arial"/>
        </w:rPr>
        <w:t>, refiriéndose a los contratos de prestación de servicios profesionales y de apoyo a la gestión.</w:t>
      </w:r>
    </w:p>
    <w:p w14:paraId="47219A00"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x) Para su celebración no se requiere inscripción en el Registro Único de Proponentes (RUP), según lo prevé el artículo 6 de la Ley 1150 de 2007</w:t>
      </w:r>
      <w:r w:rsidRPr="00C628F9">
        <w:rPr>
          <w:rStyle w:val="Refdenotaalpie"/>
          <w:rFonts w:ascii="Verdana" w:hAnsi="Verdana" w:cs="Arial"/>
        </w:rPr>
        <w:footnoteReference w:id="13"/>
      </w:r>
      <w:r w:rsidRPr="00C628F9">
        <w:rPr>
          <w:rFonts w:ascii="Verdana" w:hAnsi="Verdana" w:cs="Arial"/>
        </w:rPr>
        <w:t>.</w:t>
      </w:r>
    </w:p>
    <w:p w14:paraId="6F1DDC9F" w14:textId="77777777" w:rsidR="00B7684E" w:rsidRPr="00C628F9" w:rsidRDefault="00B7684E" w:rsidP="00B7684E">
      <w:pPr>
        <w:widowControl w:val="0"/>
        <w:autoSpaceDE w:val="0"/>
        <w:autoSpaceDN w:val="0"/>
        <w:spacing w:before="120" w:after="120" w:line="276" w:lineRule="auto"/>
        <w:ind w:firstLine="708"/>
        <w:jc w:val="both"/>
        <w:rPr>
          <w:rFonts w:ascii="Verdana" w:hAnsi="Verdana" w:cs="Arial"/>
          <w:bCs/>
          <w:color w:val="000000" w:themeColor="text1"/>
        </w:rPr>
      </w:pPr>
      <w:r w:rsidRPr="00C628F9">
        <w:rPr>
          <w:rFonts w:ascii="Verdana" w:hAnsi="Verdana" w:cs="Arial"/>
        </w:rPr>
        <w:t>xi) En ellos no son necesarias las garantías</w:t>
      </w:r>
      <w:r w:rsidRPr="00C628F9">
        <w:rPr>
          <w:rStyle w:val="Refdenotaalpie"/>
          <w:rFonts w:ascii="Verdana" w:hAnsi="Verdana" w:cs="Arial"/>
        </w:rPr>
        <w:footnoteReference w:id="14"/>
      </w:r>
      <w:r w:rsidRPr="00C628F9">
        <w:rPr>
          <w:rFonts w:ascii="Verdana" w:hAnsi="Verdana" w:cs="Arial"/>
        </w:rPr>
        <w:t>.</w:t>
      </w:r>
    </w:p>
    <w:p w14:paraId="67A5ABCE" w14:textId="29D94D9C" w:rsidR="00B7684E" w:rsidRPr="00C628F9" w:rsidRDefault="00B7684E" w:rsidP="00B7684E">
      <w:pPr>
        <w:spacing w:after="0" w:line="276" w:lineRule="auto"/>
        <w:ind w:firstLine="709"/>
        <w:contextualSpacing/>
        <w:jc w:val="both"/>
        <w:rPr>
          <w:rFonts w:ascii="Verdana" w:eastAsia="Calibri" w:hAnsi="Verdana" w:cs="Arial"/>
          <w:bCs/>
          <w:color w:val="000000"/>
          <w:kern w:val="2"/>
          <w14:ligatures w14:val="standardContextual"/>
        </w:rPr>
      </w:pPr>
      <w:r w:rsidRPr="00C628F9">
        <w:rPr>
          <w:rFonts w:ascii="Verdana" w:eastAsia="Calibri" w:hAnsi="Verdana" w:cs="Arial"/>
          <w:bCs/>
          <w:color w:val="000000"/>
          <w:kern w:val="2"/>
          <w14:ligatures w14:val="standardContextual"/>
        </w:rPr>
        <w:lastRenderedPageBreak/>
        <w:t xml:space="preserve">Ahora bien, en virtud de la celebración de un contrato de prestación de servicios profesionales </w:t>
      </w:r>
      <w:r w:rsidR="006D7100" w:rsidRPr="00C628F9">
        <w:rPr>
          <w:rFonts w:ascii="Verdana" w:eastAsia="Calibri" w:hAnsi="Verdana" w:cs="Arial"/>
          <w:bCs/>
          <w:color w:val="000000"/>
          <w:kern w:val="2"/>
          <w14:ligatures w14:val="standardContextual"/>
        </w:rPr>
        <w:t>puede presentarse la necesidad o el evento en el cual se requiera</w:t>
      </w:r>
      <w:r w:rsidR="00E82AA8" w:rsidRPr="00C628F9">
        <w:rPr>
          <w:rFonts w:ascii="Verdana" w:eastAsia="Calibri" w:hAnsi="Verdana" w:cs="Arial"/>
          <w:bCs/>
          <w:color w:val="000000"/>
          <w:kern w:val="2"/>
          <w14:ligatures w14:val="standardContextual"/>
        </w:rPr>
        <w:t xml:space="preserve"> de</w:t>
      </w:r>
      <w:r w:rsidR="006D7100" w:rsidRPr="00C628F9">
        <w:rPr>
          <w:rFonts w:ascii="Verdana" w:eastAsia="Calibri" w:hAnsi="Verdana" w:cs="Arial"/>
          <w:bCs/>
          <w:color w:val="000000"/>
          <w:kern w:val="2"/>
          <w14:ligatures w14:val="standardContextual"/>
        </w:rPr>
        <w:t xml:space="preserve"> su terminación antes de que se cumpla </w:t>
      </w:r>
      <w:r w:rsidR="00073786" w:rsidRPr="00C628F9">
        <w:rPr>
          <w:rFonts w:ascii="Verdana" w:eastAsia="Calibri" w:hAnsi="Verdana" w:cs="Arial"/>
          <w:bCs/>
          <w:color w:val="000000"/>
          <w:kern w:val="2"/>
          <w14:ligatures w14:val="standardContextual"/>
        </w:rPr>
        <w:t xml:space="preserve">con </w:t>
      </w:r>
      <w:r w:rsidR="006D7100" w:rsidRPr="00C628F9">
        <w:rPr>
          <w:rFonts w:ascii="Verdana" w:eastAsia="Calibri" w:hAnsi="Verdana" w:cs="Arial"/>
          <w:bCs/>
          <w:color w:val="000000"/>
          <w:kern w:val="2"/>
          <w14:ligatures w14:val="standardContextual"/>
        </w:rPr>
        <w:t>el termino de ejecución inicialmente pactado.</w:t>
      </w:r>
      <w:r w:rsidR="00CC1D56" w:rsidRPr="00C628F9">
        <w:rPr>
          <w:rFonts w:ascii="Verdana" w:eastAsia="Calibri" w:hAnsi="Verdana" w:cs="Arial"/>
          <w:bCs/>
          <w:color w:val="000000"/>
          <w:kern w:val="2"/>
          <w14:ligatures w14:val="standardContextual"/>
        </w:rPr>
        <w:t xml:space="preserve"> </w:t>
      </w:r>
      <w:r w:rsidR="007C59BF" w:rsidRPr="00C628F9">
        <w:rPr>
          <w:rFonts w:ascii="Verdana" w:eastAsia="Calibri" w:hAnsi="Verdana" w:cs="Arial"/>
          <w:bCs/>
          <w:color w:val="000000"/>
          <w:kern w:val="2"/>
          <w14:ligatures w14:val="standardContextual"/>
        </w:rPr>
        <w:t>En razón a lo anterior y al objeto de la consulta elevad</w:t>
      </w:r>
      <w:r w:rsidR="00B97880" w:rsidRPr="00C628F9">
        <w:rPr>
          <w:rFonts w:ascii="Verdana" w:eastAsia="Calibri" w:hAnsi="Verdana" w:cs="Arial"/>
          <w:bCs/>
          <w:color w:val="000000"/>
          <w:kern w:val="2"/>
          <w14:ligatures w14:val="standardContextual"/>
        </w:rPr>
        <w:t xml:space="preserve">a, se </w:t>
      </w:r>
      <w:r w:rsidR="00073786" w:rsidRPr="00C628F9">
        <w:rPr>
          <w:rFonts w:ascii="Verdana" w:eastAsia="Calibri" w:hAnsi="Verdana" w:cs="Arial"/>
          <w:bCs/>
          <w:color w:val="000000"/>
          <w:kern w:val="2"/>
          <w14:ligatures w14:val="standardContextual"/>
        </w:rPr>
        <w:t>entrará</w:t>
      </w:r>
      <w:r w:rsidR="00B97880" w:rsidRPr="00C628F9">
        <w:rPr>
          <w:rFonts w:ascii="Verdana" w:eastAsia="Calibri" w:hAnsi="Verdana" w:cs="Arial"/>
          <w:bCs/>
          <w:color w:val="000000"/>
          <w:kern w:val="2"/>
          <w14:ligatures w14:val="standardContextual"/>
        </w:rPr>
        <w:t xml:space="preserve"> a estudiar </w:t>
      </w:r>
      <w:r w:rsidR="00DA36ED" w:rsidRPr="00C628F9">
        <w:rPr>
          <w:rFonts w:ascii="Verdana" w:eastAsia="Calibri" w:hAnsi="Verdana" w:cs="Arial"/>
          <w:bCs/>
          <w:color w:val="000000"/>
          <w:kern w:val="2"/>
          <w14:ligatures w14:val="standardContextual"/>
        </w:rPr>
        <w:t>la</w:t>
      </w:r>
      <w:r w:rsidR="00B97880" w:rsidRPr="00C628F9">
        <w:rPr>
          <w:rFonts w:ascii="Verdana" w:eastAsia="Calibri" w:hAnsi="Verdana" w:cs="Arial"/>
          <w:bCs/>
          <w:color w:val="000000"/>
          <w:kern w:val="2"/>
          <w14:ligatures w14:val="standardContextual"/>
        </w:rPr>
        <w:t xml:space="preserve"> figura o situaci</w:t>
      </w:r>
      <w:r w:rsidR="00DA36ED" w:rsidRPr="00C628F9">
        <w:rPr>
          <w:rFonts w:ascii="Verdana" w:eastAsia="Calibri" w:hAnsi="Verdana" w:cs="Arial"/>
          <w:bCs/>
          <w:color w:val="000000"/>
          <w:kern w:val="2"/>
          <w14:ligatures w14:val="standardContextual"/>
        </w:rPr>
        <w:t>ón</w:t>
      </w:r>
      <w:r w:rsidR="00B97880" w:rsidRPr="00C628F9">
        <w:rPr>
          <w:rFonts w:ascii="Verdana" w:eastAsia="Calibri" w:hAnsi="Verdana" w:cs="Arial"/>
          <w:bCs/>
          <w:color w:val="000000"/>
          <w:kern w:val="2"/>
          <w14:ligatures w14:val="standardContextual"/>
        </w:rPr>
        <w:t xml:space="preserve"> jurídica que se puede presentar para</w:t>
      </w:r>
      <w:r w:rsidR="00DA5F51" w:rsidRPr="00C628F9">
        <w:rPr>
          <w:rFonts w:ascii="Verdana" w:eastAsia="Calibri" w:hAnsi="Verdana" w:cs="Arial"/>
          <w:bCs/>
          <w:color w:val="000000"/>
          <w:kern w:val="2"/>
          <w14:ligatures w14:val="standardContextual"/>
        </w:rPr>
        <w:t xml:space="preserve"> dar por terminado un contrato de prestación de servicios</w:t>
      </w:r>
      <w:r w:rsidR="00073786" w:rsidRPr="00C628F9">
        <w:rPr>
          <w:rFonts w:ascii="Verdana" w:eastAsia="Calibri" w:hAnsi="Verdana" w:cs="Arial"/>
          <w:bCs/>
          <w:color w:val="000000"/>
          <w:kern w:val="2"/>
          <w14:ligatures w14:val="standardContextual"/>
        </w:rPr>
        <w:t xml:space="preserve">. </w:t>
      </w:r>
    </w:p>
    <w:p w14:paraId="1C394D83" w14:textId="6F2DEB44" w:rsidR="00E83247" w:rsidRPr="00C628F9" w:rsidRDefault="006B2443" w:rsidP="00E83247">
      <w:pPr>
        <w:widowControl w:val="0"/>
        <w:autoSpaceDE w:val="0"/>
        <w:autoSpaceDN w:val="0"/>
        <w:spacing w:before="120" w:after="120" w:line="276" w:lineRule="auto"/>
        <w:ind w:firstLine="708"/>
        <w:jc w:val="both"/>
        <w:rPr>
          <w:rFonts w:ascii="Verdana" w:hAnsi="Verdana" w:cs="Arial"/>
        </w:rPr>
      </w:pPr>
      <w:r w:rsidRPr="00C628F9">
        <w:rPr>
          <w:rFonts w:ascii="Verdana" w:eastAsia="Calibri" w:hAnsi="Verdana" w:cs="Arial"/>
          <w:bCs/>
          <w:color w:val="000000"/>
          <w:kern w:val="2"/>
          <w14:ligatures w14:val="standardContextual"/>
        </w:rPr>
        <w:t xml:space="preserve">Así las cosas, </w:t>
      </w:r>
      <w:r w:rsidR="0074581C" w:rsidRPr="00C628F9">
        <w:rPr>
          <w:rFonts w:ascii="Verdana" w:eastAsia="Calibri" w:hAnsi="Verdana" w:cs="Arial"/>
          <w:bCs/>
          <w:color w:val="000000"/>
          <w:kern w:val="2"/>
          <w14:ligatures w14:val="standardContextual"/>
        </w:rPr>
        <w:t xml:space="preserve">es </w:t>
      </w:r>
      <w:r w:rsidR="00E83247" w:rsidRPr="00C628F9">
        <w:rPr>
          <w:rFonts w:ascii="Verdana" w:hAnsi="Verdana" w:cs="Arial"/>
        </w:rPr>
        <w:t>importante precisar que la autonomía de la voluntad privada, como potestad de las personas para autorregular sus propios intereses y determinar el contenido de los negocios jurídicos celebrados, implican también la posibilidad de que estos modifiquen su alcance introduciendo modificaciones al mismo. Esto significa que, así como las partes tienen la potestad de acordar el plazo del contrato, también tienen la potestad de modificarlo o darlo por terminado, en caso de que alguna de las partes no pueda seguir ejecutando el contrato.</w:t>
      </w:r>
    </w:p>
    <w:p w14:paraId="48211246" w14:textId="77777777" w:rsidR="00F13FA2" w:rsidRPr="00C628F9" w:rsidRDefault="00F13FA2" w:rsidP="00F13FA2">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De hecho, la terminación anticipada de mutuo acuerdo es una práctica común en la contratación estatal a la que se acude cuando el contratista manifiesta a la Entidad Estatal contratante su voluntad de no continuar con la ejecución del contrato. Esto implica que, en ejercicio de la autonomía de la voluntad la entidad estatal contratante y el contratista convengan la terminación anticipada del contrato y lo eleven a escrito, de manera que la primera libera recursos asociados al contrato terminado, los cuales pueden ser destinados a la celebración de un nuevo contrato con otro contratista, en caso de que persista la necesidad que motivó la contratación. De esta manera, las partes además evitan que se consolide el incumplimiento del contrato, evitando la imposición de multas o cláusulas penales, siempre que se hayan cumplido a satisfacción durante el periodo que estuvo vigente el contrato.</w:t>
      </w:r>
    </w:p>
    <w:p w14:paraId="3D39671D" w14:textId="066A61BC" w:rsidR="00E641D4" w:rsidRPr="00C628F9" w:rsidRDefault="00E641D4" w:rsidP="00E641D4">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rPr>
        <w:t>Conforme a lo anterior, un contratista de</w:t>
      </w:r>
      <w:r w:rsidR="006B24C7" w:rsidRPr="00C628F9">
        <w:rPr>
          <w:rFonts w:ascii="Verdana" w:hAnsi="Verdana" w:cs="Arial"/>
        </w:rPr>
        <w:t xml:space="preserve"> un contrato de</w:t>
      </w:r>
      <w:r w:rsidRPr="00C628F9">
        <w:rPr>
          <w:rFonts w:ascii="Verdana" w:hAnsi="Verdana" w:cs="Arial"/>
        </w:rPr>
        <w:t xml:space="preserve"> prestación de servicios tiene distintas posibilidades negociales, en caso de que no sea su voluntad continuar con la ejecución del contrato, dentro de las que se destaca la solicitud de terminación </w:t>
      </w:r>
      <w:r w:rsidR="008D4EBE" w:rsidRPr="00C628F9">
        <w:rPr>
          <w:rFonts w:ascii="Verdana" w:hAnsi="Verdana" w:cs="Arial"/>
        </w:rPr>
        <w:t>anticipada</w:t>
      </w:r>
      <w:r w:rsidRPr="00C628F9">
        <w:rPr>
          <w:rFonts w:ascii="Verdana" w:hAnsi="Verdana" w:cs="Arial"/>
        </w:rPr>
        <w:t xml:space="preserve">. </w:t>
      </w:r>
      <w:r w:rsidR="00EC5351" w:rsidRPr="00C628F9">
        <w:rPr>
          <w:rFonts w:ascii="Verdana" w:hAnsi="Verdana" w:cs="Arial"/>
        </w:rPr>
        <w:t>Ahora</w:t>
      </w:r>
      <w:r w:rsidRPr="00C628F9">
        <w:rPr>
          <w:rFonts w:ascii="Verdana" w:hAnsi="Verdana" w:cs="Arial"/>
        </w:rPr>
        <w:t xml:space="preserve">, es claro que este mecanismo debe estar precedido del acuerdo o autorización </w:t>
      </w:r>
      <w:r w:rsidR="000A7DAD" w:rsidRPr="00C628F9">
        <w:rPr>
          <w:rFonts w:ascii="Verdana" w:hAnsi="Verdana" w:cs="Arial"/>
        </w:rPr>
        <w:t>de</w:t>
      </w:r>
      <w:r w:rsidRPr="00C628F9">
        <w:rPr>
          <w:rFonts w:ascii="Verdana" w:hAnsi="Verdana" w:cs="Arial"/>
        </w:rPr>
        <w:t xml:space="preserve"> la Entidad Estatal contratante, a efectos de que se consoliden incumplimientos que den lugar a la imposición de las sanciones contractuales que se hayan pactado en la minuta del contrato.</w:t>
      </w:r>
    </w:p>
    <w:p w14:paraId="07F70014" w14:textId="50AA0832" w:rsidR="00156255" w:rsidRDefault="007806A2" w:rsidP="00156255">
      <w:pPr>
        <w:widowControl w:val="0"/>
        <w:autoSpaceDE w:val="0"/>
        <w:autoSpaceDN w:val="0"/>
        <w:spacing w:before="120" w:after="120" w:line="276" w:lineRule="auto"/>
        <w:ind w:firstLine="708"/>
        <w:jc w:val="both"/>
        <w:rPr>
          <w:rFonts w:ascii="Verdana" w:hAnsi="Verdana" w:cs="Arial"/>
        </w:rPr>
      </w:pPr>
      <w:r>
        <w:rPr>
          <w:rFonts w:ascii="Verdana" w:hAnsi="Verdana" w:cs="Arial"/>
        </w:rPr>
        <w:lastRenderedPageBreak/>
        <w:t>Por otro lado</w:t>
      </w:r>
      <w:r w:rsidR="00091F46" w:rsidRPr="00C628F9">
        <w:rPr>
          <w:rFonts w:ascii="Verdana" w:hAnsi="Verdana" w:cs="Arial"/>
        </w:rPr>
        <w:t xml:space="preserve">, </w:t>
      </w:r>
      <w:r w:rsidR="00A16C3D" w:rsidRPr="00C628F9">
        <w:rPr>
          <w:rFonts w:ascii="Verdana" w:hAnsi="Verdana" w:cs="Arial"/>
        </w:rPr>
        <w:t>también existe la posibilidad</w:t>
      </w:r>
      <w:r w:rsidR="00BD3251" w:rsidRPr="00C628F9">
        <w:rPr>
          <w:rFonts w:ascii="Verdana" w:hAnsi="Verdana" w:cs="Arial"/>
        </w:rPr>
        <w:t xml:space="preserve"> que en </w:t>
      </w:r>
      <w:r w:rsidR="005E5E01" w:rsidRPr="00C628F9">
        <w:rPr>
          <w:rFonts w:ascii="Verdana" w:hAnsi="Verdana" w:cs="Arial"/>
        </w:rPr>
        <w:t xml:space="preserve">los </w:t>
      </w:r>
      <w:r w:rsidR="00BD3251" w:rsidRPr="00C628F9">
        <w:rPr>
          <w:rFonts w:ascii="Verdana" w:hAnsi="Verdana" w:cs="Arial"/>
        </w:rPr>
        <w:t xml:space="preserve">contratos de prestación de servicios se hayan pactado las denominas clausulas </w:t>
      </w:r>
      <w:r w:rsidR="005E5E01" w:rsidRPr="00C628F9">
        <w:rPr>
          <w:rFonts w:ascii="Verdana" w:hAnsi="Verdana" w:cs="Arial"/>
        </w:rPr>
        <w:t>excepcionales</w:t>
      </w:r>
      <w:r w:rsidR="00BD3251" w:rsidRPr="00C628F9">
        <w:rPr>
          <w:rFonts w:ascii="Verdana" w:hAnsi="Verdana" w:cs="Arial"/>
        </w:rPr>
        <w:t xml:space="preserve">, dentro de las cuales se faculta a la Entidad Estatal para </w:t>
      </w:r>
      <w:r w:rsidR="00735844" w:rsidRPr="00C628F9">
        <w:rPr>
          <w:rFonts w:ascii="Verdana" w:hAnsi="Verdana" w:cs="Arial"/>
        </w:rPr>
        <w:t xml:space="preserve">dar por terminado de manera unilateral un contrato. Sobre el asunto, debe tenerse en cuenta que </w:t>
      </w:r>
      <w:r w:rsidR="00735844" w:rsidRPr="00C628F9">
        <w:rPr>
          <w:rFonts w:ascii="Verdana" w:hAnsi="Verdana" w:cs="Arial"/>
          <w:color w:val="000000" w:themeColor="text1"/>
          <w:lang w:val="es-MX"/>
        </w:rPr>
        <w:t>p</w:t>
      </w:r>
      <w:r w:rsidR="00E9795D" w:rsidRPr="00C628F9">
        <w:rPr>
          <w:rFonts w:ascii="Verdana" w:hAnsi="Verdana" w:cs="Arial"/>
          <w:color w:val="000000" w:themeColor="text1"/>
          <w:lang w:val="es-MX"/>
        </w:rPr>
        <w:t xml:space="preserve">ara el cumplimiento de los fines de la contratación, las </w:t>
      </w:r>
      <w:r w:rsidR="00735844" w:rsidRPr="00C628F9">
        <w:rPr>
          <w:rFonts w:ascii="Verdana" w:hAnsi="Verdana" w:cs="Arial"/>
          <w:color w:val="000000" w:themeColor="text1"/>
          <w:lang w:val="es-MX"/>
        </w:rPr>
        <w:t>E</w:t>
      </w:r>
      <w:r w:rsidR="00E9795D" w:rsidRPr="00C628F9">
        <w:rPr>
          <w:rFonts w:ascii="Verdana" w:hAnsi="Verdana" w:cs="Arial"/>
          <w:color w:val="000000" w:themeColor="text1"/>
          <w:lang w:val="es-MX"/>
        </w:rPr>
        <w:t xml:space="preserve">ntidades </w:t>
      </w:r>
      <w:r w:rsidR="00735844" w:rsidRPr="00C628F9">
        <w:rPr>
          <w:rFonts w:ascii="Verdana" w:hAnsi="Verdana" w:cs="Arial"/>
          <w:color w:val="000000" w:themeColor="text1"/>
          <w:lang w:val="es-MX"/>
        </w:rPr>
        <w:t>E</w:t>
      </w:r>
      <w:r w:rsidR="00E9795D" w:rsidRPr="00C628F9">
        <w:rPr>
          <w:rFonts w:ascii="Verdana" w:hAnsi="Verdana" w:cs="Arial"/>
          <w:color w:val="000000" w:themeColor="text1"/>
          <w:lang w:val="es-MX"/>
        </w:rPr>
        <w:t xml:space="preserve">statales tendrán la dirección general y la responsabilidad de ejercer el control y vigilancia de la ejecución del contrato. En consecuencia, en el marco de lo señalado en el artículo 14 de la Ley 80 de 1993 y con el único objeto de evitar la paralización o la afectación grave de los servicios públicos y asegurar la inmediata, continua y adecuada prestación de los mismos, dichas entidades podrán interpretar los documentos contractuales y las estipulaciones en ellos contenidas, introducir modificaciones a lo pactado y, cuando las condiciones particulares de la prestación así lo exijan, terminar unilateralmente el contrato celebrado. Es decir, las entidades estatales pueden usar estas potestades “[…] como manifestación de su </w:t>
      </w:r>
      <w:proofErr w:type="spellStart"/>
      <w:r w:rsidR="00E9795D" w:rsidRPr="00C628F9">
        <w:rPr>
          <w:rFonts w:ascii="Verdana" w:hAnsi="Verdana" w:cs="Arial"/>
          <w:i/>
          <w:iCs/>
          <w:color w:val="000000" w:themeColor="text1"/>
          <w:lang w:val="es-MX"/>
        </w:rPr>
        <w:t>imperium</w:t>
      </w:r>
      <w:proofErr w:type="spellEnd"/>
      <w:r w:rsidR="00E9795D" w:rsidRPr="00C628F9">
        <w:rPr>
          <w:rFonts w:ascii="Verdana" w:hAnsi="Verdana" w:cs="Arial"/>
          <w:i/>
          <w:iCs/>
          <w:color w:val="000000" w:themeColor="text1"/>
          <w:lang w:val="es-MX"/>
        </w:rPr>
        <w:t xml:space="preserve"> </w:t>
      </w:r>
      <w:r w:rsidR="00E9795D" w:rsidRPr="00C628F9">
        <w:rPr>
          <w:rFonts w:ascii="Verdana" w:hAnsi="Verdana" w:cs="Arial"/>
          <w:color w:val="000000" w:themeColor="text1"/>
          <w:lang w:val="es-MX"/>
        </w:rPr>
        <w:t>o poder de Estado, que se concreta en el poder jurídico para imponer coactivamente su voluntad, lo cual debe matizarse, dado que estás prerrogativas solo podrán ser ejercidas en las situaciones en las situaciones de hecho previamente establecidas por la ley y dentro de los limites señalados por la misma”</w:t>
      </w:r>
      <w:r w:rsidR="00E9795D" w:rsidRPr="00C628F9">
        <w:rPr>
          <w:rFonts w:ascii="Verdana" w:hAnsi="Verdana"/>
          <w:vertAlign w:val="superscript"/>
          <w:lang w:val="es-MX"/>
        </w:rPr>
        <w:footnoteReference w:id="15"/>
      </w:r>
      <w:r w:rsidR="00E9795D" w:rsidRPr="00C628F9">
        <w:rPr>
          <w:rFonts w:ascii="Verdana" w:hAnsi="Verdana" w:cs="Arial"/>
          <w:color w:val="000000" w:themeColor="text1"/>
          <w:lang w:val="es-MX"/>
        </w:rPr>
        <w:t xml:space="preserve">.  </w:t>
      </w:r>
    </w:p>
    <w:p w14:paraId="5DFC2C26" w14:textId="722B7366" w:rsidR="00E9795D" w:rsidRPr="00156255" w:rsidRDefault="00E9795D" w:rsidP="00156255">
      <w:pPr>
        <w:widowControl w:val="0"/>
        <w:autoSpaceDE w:val="0"/>
        <w:autoSpaceDN w:val="0"/>
        <w:spacing w:before="120" w:after="120" w:line="276" w:lineRule="auto"/>
        <w:ind w:firstLine="708"/>
        <w:jc w:val="both"/>
        <w:rPr>
          <w:rFonts w:ascii="Verdana" w:hAnsi="Verdana" w:cs="Arial"/>
        </w:rPr>
      </w:pPr>
      <w:r w:rsidRPr="00C628F9">
        <w:rPr>
          <w:rFonts w:ascii="Verdana" w:hAnsi="Verdana" w:cs="Arial"/>
          <w:color w:val="000000" w:themeColor="text1"/>
          <w:lang w:val="es-MX"/>
        </w:rPr>
        <w:t>En lo relacionado con las cláusulas excepcionales al derecho común de terminación, interpretación y modificación unilaterales, el numeral 2 del mencionado artículo 14 regula su ejercicio en atención al tipo de contrato de que se trate. En la exposición de motivos de la Ley 80 de 1993</w:t>
      </w:r>
      <w:r w:rsidRPr="00C628F9">
        <w:rPr>
          <w:rFonts w:ascii="Verdana" w:hAnsi="Verdana"/>
          <w:vertAlign w:val="superscript"/>
          <w:lang w:val="es-MX"/>
        </w:rPr>
        <w:footnoteReference w:id="16"/>
      </w:r>
      <w:r w:rsidRPr="00C628F9">
        <w:rPr>
          <w:rFonts w:ascii="Verdana" w:hAnsi="Verdana" w:cs="Arial"/>
          <w:color w:val="000000" w:themeColor="text1"/>
          <w:lang w:val="es-MX"/>
        </w:rPr>
        <w:t xml:space="preserve"> se establece que la administración debe estar dotada de mecanismos eficaces, así fueren excepcionales, que contribuyan a la adecuada realización de la finalidad contractual y de los fines estatales. Es por eso por lo que, cuando se presenten circunstancias que amenacen la paralización de los servicios, las entidades públicas pueden tomar medidas que conduzcan a garantizar la continua y adecuada prestación del servicio, con fundamento en la prevalencia del interés público sobre el particular.</w:t>
      </w:r>
    </w:p>
    <w:p w14:paraId="2E36A671" w14:textId="77777777" w:rsidR="00E9795D" w:rsidRPr="00C628F9" w:rsidRDefault="00E9795D" w:rsidP="00E9795D">
      <w:pPr>
        <w:spacing w:before="120" w:after="120" w:line="276" w:lineRule="auto"/>
        <w:ind w:firstLine="360"/>
        <w:jc w:val="both"/>
        <w:rPr>
          <w:rFonts w:ascii="Verdana" w:hAnsi="Verdana" w:cs="Arial"/>
          <w:color w:val="000000" w:themeColor="text1"/>
          <w:lang w:val="es-MX"/>
        </w:rPr>
      </w:pPr>
      <w:r w:rsidRPr="00C628F9">
        <w:rPr>
          <w:rFonts w:ascii="Verdana" w:hAnsi="Verdana" w:cs="Arial"/>
          <w:color w:val="000000" w:themeColor="text1"/>
          <w:lang w:val="es-MX"/>
        </w:rPr>
        <w:t xml:space="preserve">En este sentido, los motivos aducidos por la entidad estatal para ejercer las cláusulas excepcionales deben ser graves, ya que no cualquier hecho puede </w:t>
      </w:r>
      <w:r w:rsidRPr="00C628F9">
        <w:rPr>
          <w:rFonts w:ascii="Verdana" w:hAnsi="Verdana" w:cs="Arial"/>
          <w:color w:val="000000" w:themeColor="text1"/>
          <w:lang w:val="es-MX"/>
        </w:rPr>
        <w:lastRenderedPageBreak/>
        <w:t>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019C0177" w14:textId="77777777" w:rsidR="00E9795D" w:rsidRPr="00C628F9" w:rsidRDefault="00E9795D" w:rsidP="00E9795D">
      <w:pPr>
        <w:spacing w:before="120" w:after="120" w:line="276" w:lineRule="auto"/>
        <w:ind w:firstLine="360"/>
        <w:jc w:val="both"/>
        <w:rPr>
          <w:rFonts w:ascii="Verdana" w:hAnsi="Verdana" w:cs="Arial"/>
          <w:color w:val="000000" w:themeColor="text1"/>
          <w:lang w:val="es-MX"/>
        </w:rPr>
      </w:pPr>
      <w:r w:rsidRPr="00C628F9">
        <w:rPr>
          <w:rFonts w:ascii="Verdana" w:hAnsi="Verdana" w:cs="Arial"/>
          <w:color w:val="000000" w:themeColor="text1"/>
          <w:lang w:val="es-MX"/>
        </w:rPr>
        <w:t xml:space="preserve">En lo atinente a la terminación unilateral del contrato, si bien la ley otorga a las entidades públicas la potestad de actuar en ejercicio de una facultad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C628F9">
        <w:rPr>
          <w:rFonts w:ascii="Verdana" w:hAnsi="Verdana" w:cs="Arial"/>
          <w:color w:val="000000" w:themeColor="text1"/>
          <w:lang w:val="es-MX"/>
        </w:rPr>
        <w:t>ii</w:t>
      </w:r>
      <w:proofErr w:type="spellEnd"/>
      <w:r w:rsidRPr="00C628F9">
        <w:rPr>
          <w:rFonts w:ascii="Verdana" w:hAnsi="Verdana" w:cs="Arial"/>
          <w:color w:val="000000" w:themeColor="text1"/>
          <w:lang w:val="es-MX"/>
        </w:rPr>
        <w:t xml:space="preserve">) que dicho acto debe ser el resultado de un análisis soportado en la realidad del contrato, es decir, debe estar debidamente motivado y </w:t>
      </w:r>
      <w:proofErr w:type="spellStart"/>
      <w:r w:rsidRPr="00C628F9">
        <w:rPr>
          <w:rFonts w:ascii="Verdana" w:hAnsi="Verdana" w:cs="Arial"/>
          <w:color w:val="000000" w:themeColor="text1"/>
          <w:lang w:val="es-MX"/>
        </w:rPr>
        <w:t>iii</w:t>
      </w:r>
      <w:proofErr w:type="spellEnd"/>
      <w:r w:rsidRPr="00C628F9">
        <w:rPr>
          <w:rFonts w:ascii="Verdana" w:hAnsi="Verdana" w:cs="Arial"/>
          <w:color w:val="000000" w:themeColor="text1"/>
          <w:lang w:val="es-MX"/>
        </w:rPr>
        <w:t>) que la causal que se alegue en la decisión se encuentre enmarcada en los eventos que la ley ha dispuesto.</w:t>
      </w:r>
    </w:p>
    <w:p w14:paraId="6B9B5E53" w14:textId="19413E95" w:rsidR="00C377D1" w:rsidRPr="00C628F9" w:rsidRDefault="00E9795D" w:rsidP="00C377D1">
      <w:pPr>
        <w:spacing w:before="120" w:after="200" w:line="276" w:lineRule="auto"/>
        <w:ind w:firstLine="360"/>
        <w:jc w:val="both"/>
        <w:rPr>
          <w:rFonts w:ascii="Verdana" w:eastAsia="Times New Roman" w:hAnsi="Verdana" w:cs="Arial"/>
          <w:sz w:val="20"/>
          <w:szCs w:val="20"/>
          <w:lang w:val="es-MX" w:eastAsia="es-CO"/>
        </w:rPr>
      </w:pPr>
      <w:r w:rsidRPr="00C628F9">
        <w:rPr>
          <w:rFonts w:ascii="Verdana" w:hAnsi="Verdana" w:cs="Arial"/>
          <w:color w:val="000000" w:themeColor="text1"/>
          <w:lang w:val="es-MX"/>
        </w:rPr>
        <w:t>El artículo 17 de la Ley 80 de 1993 establece expresamente en que eventos procede la terminación unilateral del contrato.</w:t>
      </w:r>
      <w:r w:rsidR="00CF0452" w:rsidRPr="00C628F9">
        <w:rPr>
          <w:rFonts w:ascii="Verdana" w:hAnsi="Verdana" w:cs="Arial"/>
          <w:color w:val="000000" w:themeColor="text1"/>
          <w:lang w:val="es-MX"/>
        </w:rPr>
        <w:t xml:space="preserve"> </w:t>
      </w:r>
      <w:r w:rsidRPr="00C628F9">
        <w:rPr>
          <w:rFonts w:ascii="Verdana" w:hAnsi="Verdana" w:cs="Arial"/>
          <w:color w:val="000000" w:themeColor="text1"/>
          <w:lang w:val="es-MX"/>
        </w:rPr>
        <w:t xml:space="preserve">Esta figura no tiene como finalidad sancionar al contratista, sino que se encuentra dirigida a evitar la paralización del contrato estatal y garantizar su correcta ejecución. La doctrina ha considerado que “[…] el artículo 17 de la Ley 80 de 1993 consagra, en virtud del principio de legalidad regente para toda la actividad administrativa, la potestad de las </w:t>
      </w:r>
      <w:r w:rsidR="0011134F" w:rsidRPr="00C628F9">
        <w:rPr>
          <w:rFonts w:ascii="Verdana" w:hAnsi="Verdana" w:cs="Arial"/>
          <w:color w:val="000000" w:themeColor="text1"/>
          <w:lang w:val="es-MX"/>
        </w:rPr>
        <w:t>E</w:t>
      </w:r>
      <w:r w:rsidRPr="00C628F9">
        <w:rPr>
          <w:rFonts w:ascii="Verdana" w:hAnsi="Verdana" w:cs="Arial"/>
          <w:color w:val="000000" w:themeColor="text1"/>
          <w:lang w:val="es-MX"/>
        </w:rPr>
        <w:t xml:space="preserve">ntidades </w:t>
      </w:r>
      <w:r w:rsidR="0011134F" w:rsidRPr="00C628F9">
        <w:rPr>
          <w:rFonts w:ascii="Verdana" w:hAnsi="Verdana" w:cs="Arial"/>
          <w:color w:val="000000" w:themeColor="text1"/>
          <w:lang w:val="es-MX"/>
        </w:rPr>
        <w:t>E</w:t>
      </w:r>
      <w:r w:rsidRPr="00C628F9">
        <w:rPr>
          <w:rFonts w:ascii="Verdana" w:hAnsi="Verdana" w:cs="Arial"/>
          <w:color w:val="000000" w:themeColor="text1"/>
          <w:lang w:val="es-MX"/>
        </w:rPr>
        <w:t>statales de finiquitar la relación contractual con su contratista a partir de la configuración de cualquiera de las causales expresadas en dicha norma […]”</w:t>
      </w:r>
      <w:r w:rsidRPr="00C628F9">
        <w:rPr>
          <w:rFonts w:ascii="Verdana" w:hAnsi="Verdana"/>
          <w:vertAlign w:val="superscript"/>
          <w:lang w:val="es-MX"/>
        </w:rPr>
        <w:footnoteReference w:id="17"/>
      </w:r>
      <w:r w:rsidRPr="00C628F9">
        <w:rPr>
          <w:rFonts w:ascii="Verdana" w:hAnsi="Verdana" w:cs="Arial"/>
          <w:color w:val="000000" w:themeColor="text1"/>
          <w:lang w:val="es-MX"/>
        </w:rPr>
        <w:t xml:space="preserve">. </w:t>
      </w:r>
    </w:p>
    <w:p w14:paraId="0260A17D" w14:textId="56830465" w:rsidR="0011134F" w:rsidRPr="00C628F9" w:rsidRDefault="00E9795D" w:rsidP="0011134F">
      <w:pPr>
        <w:spacing w:before="120" w:after="200" w:line="276" w:lineRule="auto"/>
        <w:ind w:firstLine="360"/>
        <w:jc w:val="both"/>
        <w:rPr>
          <w:rFonts w:ascii="Verdana" w:eastAsia="Times New Roman" w:hAnsi="Verdana" w:cs="Arial"/>
          <w:sz w:val="20"/>
          <w:szCs w:val="20"/>
          <w:lang w:eastAsia="es-CO"/>
        </w:rPr>
      </w:pPr>
      <w:r w:rsidRPr="00C628F9">
        <w:rPr>
          <w:rFonts w:ascii="Verdana" w:hAnsi="Verdana" w:cs="Arial"/>
          <w:lang w:val="es-MX"/>
        </w:rPr>
        <w:t xml:space="preserve">Conforme a lo </w:t>
      </w:r>
      <w:r w:rsidR="00E85526">
        <w:rPr>
          <w:rFonts w:ascii="Verdana" w:hAnsi="Verdana" w:cs="Arial"/>
          <w:lang w:val="es-MX"/>
        </w:rPr>
        <w:t>expuesto</w:t>
      </w:r>
      <w:r w:rsidRPr="00C628F9">
        <w:rPr>
          <w:rFonts w:ascii="Verdana" w:hAnsi="Verdana" w:cs="Arial"/>
          <w:lang w:val="es-MX"/>
        </w:rPr>
        <w:t xml:space="preserve">, la terminación unilateral del contrato </w:t>
      </w:r>
      <w:r w:rsidRPr="00C628F9">
        <w:rPr>
          <w:rFonts w:ascii="Verdana" w:hAnsi="Verdana" w:cs="Arial"/>
          <w:color w:val="000000"/>
          <w:shd w:val="clear" w:color="auto" w:fill="FFFFFF"/>
          <w:lang w:val="es-MX"/>
        </w:rPr>
        <w:t xml:space="preserve">es una prerrogativa excepcional que, lejos de fungir como un acto represivo contra el contratista o en contra de la ejecución del contrato mismo, constituye una herramienta cuyo fin exclusivo es el de lograr el cabal cumplimiento de los cometidos estatales. En todo caso, el ejercicio de esta potestad supone el reconocimiento y pago de las compensaciones e indemnizaciones a las que haya lugar, así como la aplicación de los mecanismos de reajuste. </w:t>
      </w:r>
      <w:r w:rsidRPr="00C628F9">
        <w:rPr>
          <w:rFonts w:ascii="Verdana" w:hAnsi="Verdana" w:cs="Arial"/>
          <w:color w:val="000000"/>
          <w:shd w:val="clear" w:color="auto" w:fill="FFFFFF"/>
          <w:lang w:val="es-MX" w:eastAsia="es-CO"/>
        </w:rPr>
        <w:t xml:space="preserve">Lo anterior indica que la terminación unilateral del contrato estatal no entraña una sanción, por lo que, a partir de su ejecutoria no se genera inhabilidad para el contratista por este solo hecho. </w:t>
      </w:r>
    </w:p>
    <w:p w14:paraId="7527460D" w14:textId="2A447069" w:rsidR="00C540C0" w:rsidRPr="00C628F9" w:rsidRDefault="00A51DA4" w:rsidP="0011134F">
      <w:pPr>
        <w:spacing w:before="120" w:after="200" w:line="276" w:lineRule="auto"/>
        <w:ind w:firstLine="360"/>
        <w:jc w:val="both"/>
        <w:rPr>
          <w:rFonts w:ascii="Verdana" w:eastAsia="Times New Roman" w:hAnsi="Verdana" w:cs="Arial"/>
          <w:sz w:val="20"/>
          <w:szCs w:val="20"/>
          <w:lang w:eastAsia="es-CO"/>
        </w:rPr>
      </w:pPr>
      <w:r>
        <w:rPr>
          <w:rFonts w:ascii="Verdana" w:hAnsi="Verdana" w:cs="Arial"/>
        </w:rPr>
        <w:lastRenderedPageBreak/>
        <w:t>De acuerdo a lo anterior</w:t>
      </w:r>
      <w:r w:rsidR="002044A2" w:rsidRPr="00C628F9">
        <w:rPr>
          <w:rFonts w:ascii="Verdana" w:hAnsi="Verdana" w:cs="Arial"/>
        </w:rPr>
        <w:t xml:space="preserve">, se </w:t>
      </w:r>
      <w:r w:rsidR="0074747D" w:rsidRPr="00C628F9">
        <w:rPr>
          <w:rFonts w:ascii="Verdana" w:hAnsi="Verdana" w:cs="Arial"/>
        </w:rPr>
        <w:t>concluye que, tratándose de contratos de prestación de servicios</w:t>
      </w:r>
      <w:r w:rsidR="003E4A86" w:rsidRPr="00C628F9">
        <w:rPr>
          <w:rFonts w:ascii="Verdana" w:hAnsi="Verdana" w:cs="Arial"/>
        </w:rPr>
        <w:t>,</w:t>
      </w:r>
      <w:r w:rsidR="0074747D" w:rsidRPr="00C628F9">
        <w:rPr>
          <w:rFonts w:ascii="Verdana" w:hAnsi="Verdana" w:cs="Arial"/>
        </w:rPr>
        <w:t xml:space="preserve"> es jurídicamente viable dar por terminado un contrato </w:t>
      </w:r>
      <w:r w:rsidR="00C37C77" w:rsidRPr="00C628F9">
        <w:rPr>
          <w:rFonts w:ascii="Verdana" w:hAnsi="Verdana" w:cs="Arial"/>
        </w:rPr>
        <w:t>sin que se</w:t>
      </w:r>
      <w:r w:rsidR="0074747D" w:rsidRPr="00C628F9">
        <w:rPr>
          <w:rFonts w:ascii="Verdana" w:hAnsi="Verdana" w:cs="Arial"/>
        </w:rPr>
        <w:t xml:space="preserve"> </w:t>
      </w:r>
      <w:r w:rsidR="00C37C77" w:rsidRPr="00C628F9">
        <w:rPr>
          <w:rFonts w:ascii="Verdana" w:hAnsi="Verdana" w:cs="Arial"/>
        </w:rPr>
        <w:t>cumpla</w:t>
      </w:r>
      <w:r w:rsidR="0074747D" w:rsidRPr="00C628F9">
        <w:rPr>
          <w:rFonts w:ascii="Verdana" w:hAnsi="Verdana" w:cs="Arial"/>
        </w:rPr>
        <w:t xml:space="preserve"> </w:t>
      </w:r>
      <w:r w:rsidR="00C37C77" w:rsidRPr="00C628F9">
        <w:rPr>
          <w:rFonts w:ascii="Verdana" w:hAnsi="Verdana" w:cs="Arial"/>
        </w:rPr>
        <w:t>el</w:t>
      </w:r>
      <w:r w:rsidR="0074747D" w:rsidRPr="00C628F9">
        <w:rPr>
          <w:rFonts w:ascii="Verdana" w:hAnsi="Verdana" w:cs="Arial"/>
        </w:rPr>
        <w:t xml:space="preserve"> plazo </w:t>
      </w:r>
      <w:r w:rsidR="00811DF3" w:rsidRPr="00C628F9">
        <w:rPr>
          <w:rFonts w:ascii="Verdana" w:hAnsi="Verdana" w:cs="Arial"/>
        </w:rPr>
        <w:t>de</w:t>
      </w:r>
      <w:r w:rsidR="001135B2" w:rsidRPr="00C628F9">
        <w:rPr>
          <w:rFonts w:ascii="Verdana" w:hAnsi="Verdana" w:cs="Arial"/>
        </w:rPr>
        <w:t xml:space="preserve"> </w:t>
      </w:r>
      <w:r w:rsidR="00AC11CD" w:rsidRPr="00C628F9">
        <w:rPr>
          <w:rFonts w:ascii="Verdana" w:hAnsi="Verdana" w:cs="Arial"/>
        </w:rPr>
        <w:t>ejecución inicialmente pactad</w:t>
      </w:r>
      <w:r w:rsidR="00811DF3" w:rsidRPr="00C628F9">
        <w:rPr>
          <w:rFonts w:ascii="Verdana" w:hAnsi="Verdana" w:cs="Arial"/>
        </w:rPr>
        <w:t>o</w:t>
      </w:r>
      <w:r w:rsidR="00C37C77" w:rsidRPr="00C628F9">
        <w:rPr>
          <w:rFonts w:ascii="Verdana" w:hAnsi="Verdana" w:cs="Arial"/>
        </w:rPr>
        <w:t>, sobre el particular es preciso indicar que</w:t>
      </w:r>
      <w:r w:rsidR="00C377D1" w:rsidRPr="00C628F9">
        <w:rPr>
          <w:rFonts w:ascii="Verdana" w:hAnsi="Verdana" w:cs="Arial"/>
        </w:rPr>
        <w:t xml:space="preserve"> por un lado se encuentra la figura de terminación </w:t>
      </w:r>
      <w:r w:rsidR="008309E2" w:rsidRPr="00C628F9">
        <w:rPr>
          <w:rFonts w:ascii="Verdana" w:hAnsi="Verdana" w:cs="Arial"/>
        </w:rPr>
        <w:t xml:space="preserve">anticipada, entendida </w:t>
      </w:r>
      <w:r w:rsidR="00FB0485" w:rsidRPr="00C628F9">
        <w:rPr>
          <w:rFonts w:ascii="Verdana" w:hAnsi="Verdana" w:cs="Arial"/>
        </w:rPr>
        <w:t xml:space="preserve">esta, </w:t>
      </w:r>
      <w:r w:rsidR="008309E2" w:rsidRPr="00C628F9">
        <w:rPr>
          <w:rFonts w:ascii="Verdana" w:hAnsi="Verdana" w:cs="Arial"/>
        </w:rPr>
        <w:t xml:space="preserve">como la manifestación de la voluntad </w:t>
      </w:r>
      <w:r w:rsidR="00DB6AD3" w:rsidRPr="00C628F9">
        <w:rPr>
          <w:rFonts w:ascii="Verdana" w:hAnsi="Verdana" w:cs="Arial"/>
        </w:rPr>
        <w:t xml:space="preserve">del contratista </w:t>
      </w:r>
      <w:r w:rsidR="00A225F7" w:rsidRPr="00C628F9">
        <w:rPr>
          <w:rFonts w:ascii="Verdana" w:hAnsi="Verdana" w:cs="Arial"/>
        </w:rPr>
        <w:t>de no continuar con la ejecución del contrato</w:t>
      </w:r>
      <w:r w:rsidR="005F5E3F" w:rsidRPr="00C628F9">
        <w:rPr>
          <w:rFonts w:ascii="Verdana" w:hAnsi="Verdana" w:cs="Arial"/>
        </w:rPr>
        <w:t xml:space="preserve">, </w:t>
      </w:r>
      <w:r w:rsidR="0072134C" w:rsidRPr="00C628F9">
        <w:rPr>
          <w:rFonts w:ascii="Verdana" w:hAnsi="Verdana" w:cs="Arial"/>
        </w:rPr>
        <w:t xml:space="preserve">seguido de la autorización de la Entidad Estatal contratante, </w:t>
      </w:r>
      <w:r w:rsidR="000228F5" w:rsidRPr="00C628F9">
        <w:rPr>
          <w:rFonts w:ascii="Verdana" w:eastAsia="Calibri" w:hAnsi="Verdana" w:cs="Arial"/>
        </w:rPr>
        <w:t xml:space="preserve">a efectos de que no se consoliden incumplimientos que den lugar a la imposiciones de las sanciones contractuales que se hayan pactado en el contrato. </w:t>
      </w:r>
    </w:p>
    <w:p w14:paraId="11870396" w14:textId="77777777" w:rsidR="0013665E" w:rsidRPr="00C628F9" w:rsidRDefault="008309E2" w:rsidP="0013665E">
      <w:pPr>
        <w:spacing w:line="276" w:lineRule="auto"/>
        <w:ind w:firstLine="708"/>
        <w:jc w:val="both"/>
        <w:rPr>
          <w:rFonts w:ascii="Verdana" w:hAnsi="Verdana" w:cs="Arial"/>
          <w:color w:val="000000" w:themeColor="text1"/>
          <w:lang w:val="es-MX"/>
        </w:rPr>
      </w:pPr>
      <w:r w:rsidRPr="00C628F9">
        <w:rPr>
          <w:rFonts w:ascii="Verdana" w:eastAsia="Calibri" w:hAnsi="Verdana" w:cs="Arial"/>
        </w:rPr>
        <w:t>Y por otro, el de la terminación unilateral,</w:t>
      </w:r>
      <w:r w:rsidR="00BD3251" w:rsidRPr="00C628F9">
        <w:rPr>
          <w:rFonts w:ascii="Verdana" w:eastAsia="Calibri" w:hAnsi="Verdana" w:cs="Arial"/>
        </w:rPr>
        <w:t xml:space="preserve"> </w:t>
      </w:r>
      <w:r w:rsidR="00FB0485" w:rsidRPr="00C628F9">
        <w:rPr>
          <w:rFonts w:ascii="Verdana" w:eastAsia="Calibri" w:hAnsi="Verdana" w:cs="Arial"/>
        </w:rPr>
        <w:t xml:space="preserve">siempre que se hayan pactado por las partes, en este evento la Entidad Estatal </w:t>
      </w:r>
      <w:r w:rsidR="00C145B0" w:rsidRPr="00C628F9">
        <w:rPr>
          <w:rFonts w:ascii="Verdana" w:eastAsia="Calibri" w:hAnsi="Verdana" w:cs="Arial"/>
        </w:rPr>
        <w:t xml:space="preserve">podrá </w:t>
      </w:r>
      <w:r w:rsidR="00C145B0" w:rsidRPr="00C628F9">
        <w:rPr>
          <w:rFonts w:ascii="Verdana" w:hAnsi="Verdana" w:cs="Arial"/>
          <w:color w:val="000000" w:themeColor="text1"/>
          <w:lang w:val="es-MX"/>
        </w:rPr>
        <w:t xml:space="preserve">declarar la terminación unilateral </w:t>
      </w:r>
      <w:r w:rsidR="0024392A" w:rsidRPr="00C628F9">
        <w:rPr>
          <w:rFonts w:ascii="Verdana" w:hAnsi="Verdana" w:cs="Arial"/>
          <w:color w:val="000000" w:themeColor="text1"/>
          <w:lang w:val="es-MX"/>
        </w:rPr>
        <w:t xml:space="preserve">la cual </w:t>
      </w:r>
      <w:r w:rsidR="00CE39EC" w:rsidRPr="00C628F9">
        <w:rPr>
          <w:rFonts w:ascii="Verdana" w:hAnsi="Verdana" w:cs="Arial"/>
          <w:color w:val="000000" w:themeColor="text1"/>
          <w:lang w:val="es-MX"/>
        </w:rPr>
        <w:t>deberá materializarse con la expedición de un acto administrativo debidamente motivado y enmarcado en supuestos legales, puesto que esta figura no tiene como finalidad sancionar al contratista, sino que se encuentra dirigida a evitar la paralización del contrato estatal y garantizar su correcta ejecución.</w:t>
      </w:r>
    </w:p>
    <w:p w14:paraId="002D42E5" w14:textId="63355EE9" w:rsidR="0074581C" w:rsidRPr="00C628F9" w:rsidRDefault="00C43551" w:rsidP="0013665E">
      <w:pPr>
        <w:spacing w:line="276" w:lineRule="auto"/>
        <w:ind w:firstLine="708"/>
        <w:jc w:val="both"/>
        <w:rPr>
          <w:rFonts w:ascii="Verdana" w:hAnsi="Verdana" w:cs="Arial"/>
          <w:color w:val="000000" w:themeColor="text1"/>
          <w:lang w:val="es-MX"/>
        </w:rPr>
      </w:pPr>
      <w:r w:rsidRPr="00C628F9">
        <w:rPr>
          <w:rFonts w:ascii="Verdana" w:eastAsia="Times New Roman" w:hAnsi="Verdana" w:cs="Arial"/>
          <w:lang w:val="es-MX" w:eastAsia="es-ES_tradnl"/>
        </w:rPr>
        <w:t xml:space="preserve">Por último, </w:t>
      </w:r>
      <w:r w:rsidRPr="00C628F9">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4C96C93" w14:textId="77777777" w:rsidR="00F063A5" w:rsidRPr="00C628F9" w:rsidRDefault="00F063A5" w:rsidP="00F063A5">
      <w:pPr>
        <w:tabs>
          <w:tab w:val="left" w:pos="142"/>
          <w:tab w:val="left" w:pos="284"/>
        </w:tabs>
        <w:spacing w:after="0" w:line="276" w:lineRule="auto"/>
        <w:jc w:val="both"/>
        <w:rPr>
          <w:rFonts w:ascii="Verdana" w:eastAsia="Century Gothic" w:hAnsi="Verdana" w:cs="Century Gothic"/>
          <w:b/>
          <w:bCs/>
        </w:rPr>
      </w:pPr>
      <w:r w:rsidRPr="00C628F9">
        <w:rPr>
          <w:rFonts w:ascii="Verdana" w:eastAsia="Century Gothic" w:hAnsi="Verdana" w:cs="Century Gothic"/>
          <w:b/>
          <w:bCs/>
        </w:rPr>
        <w:t>4. Referencias normativas, jurisprudenciales y otras fuentes:</w:t>
      </w:r>
    </w:p>
    <w:p w14:paraId="7E571080" w14:textId="77777777" w:rsidR="00F063A5" w:rsidRPr="00C628F9" w:rsidRDefault="00F063A5" w:rsidP="00F063A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063A5" w:rsidRPr="00C628F9" w14:paraId="5453CEEF" w14:textId="77777777" w:rsidTr="00B63D82">
        <w:trPr>
          <w:trHeight w:val="870"/>
        </w:trPr>
        <w:tc>
          <w:tcPr>
            <w:tcW w:w="8647" w:type="dxa"/>
          </w:tcPr>
          <w:p w14:paraId="735385E4" w14:textId="77777777" w:rsidR="006006CB" w:rsidRPr="00C628F9" w:rsidRDefault="00240D98" w:rsidP="006006CB">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lang w:val="es-CO"/>
              </w:rPr>
              <w:t>Ley 80 de 1993. Artículo 32</w:t>
            </w:r>
            <w:r w:rsidR="00521B7E" w:rsidRPr="00C628F9">
              <w:rPr>
                <w:rFonts w:ascii="Verdana" w:hAnsi="Verdana" w:cs="Arial"/>
                <w:lang w:val="es-CO"/>
              </w:rPr>
              <w:t>, 14 y 17</w:t>
            </w:r>
          </w:p>
          <w:p w14:paraId="66455125" w14:textId="77777777" w:rsidR="006006CB" w:rsidRPr="00C628F9" w:rsidRDefault="00521B7E" w:rsidP="006006CB">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rPr>
              <w:t>Ley 1150 de 2007. Artículo 2, numeral 4º, literal h; Artículo 6</w:t>
            </w:r>
          </w:p>
          <w:p w14:paraId="3235C19A" w14:textId="77777777" w:rsidR="006006CB" w:rsidRPr="00C628F9" w:rsidRDefault="00A44162" w:rsidP="006006CB">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lang w:val="es-ES_tradnl"/>
              </w:rPr>
              <w:t>Decreto 019 de 2012. Artículo 2017</w:t>
            </w:r>
          </w:p>
          <w:p w14:paraId="660F1E96" w14:textId="50B0CDD6" w:rsidR="006006CB" w:rsidRPr="00C628F9" w:rsidRDefault="00BA4A88" w:rsidP="006006CB">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rPr>
              <w:t xml:space="preserve">Decreto 1068 de 2015. Artículo </w:t>
            </w:r>
            <w:r w:rsidR="00A6198A" w:rsidRPr="00C628F9">
              <w:rPr>
                <w:rFonts w:ascii="Verdana" w:hAnsi="Verdana" w:cs="Arial"/>
              </w:rPr>
              <w:t>2.8.4.4.5</w:t>
            </w:r>
          </w:p>
          <w:p w14:paraId="47B7852B" w14:textId="77777777" w:rsidR="00134B45" w:rsidRPr="00C628F9" w:rsidRDefault="006006CB" w:rsidP="006006CB">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rPr>
              <w:t>Código Sustantivo del Trabajo. Artículo 22</w:t>
            </w:r>
          </w:p>
          <w:p w14:paraId="6AB8B982" w14:textId="77777777" w:rsidR="00C628F9" w:rsidRPr="00C628F9" w:rsidRDefault="00211A94" w:rsidP="00C628F9">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lang w:val="es-CO"/>
              </w:rPr>
              <w:t xml:space="preserve">Decreto 1082 de 2015. Artículos </w:t>
            </w:r>
            <w:r w:rsidR="0024280B" w:rsidRPr="00C628F9">
              <w:rPr>
                <w:rFonts w:ascii="Verdana" w:hAnsi="Verdana" w:cs="Arial"/>
                <w:lang w:val="es-CO"/>
              </w:rPr>
              <w:t xml:space="preserve">2.2.1.2.1.4.1, </w:t>
            </w:r>
            <w:r w:rsidR="00C55C2F" w:rsidRPr="00C628F9">
              <w:rPr>
                <w:rFonts w:ascii="Verdana" w:hAnsi="Verdana" w:cs="Arial"/>
                <w:lang w:val="es-CO"/>
              </w:rPr>
              <w:t>2.2.1.2.1.4.3</w:t>
            </w:r>
            <w:r w:rsidR="00C628F9" w:rsidRPr="00C628F9">
              <w:rPr>
                <w:rFonts w:ascii="Verdana" w:hAnsi="Verdana"/>
              </w:rPr>
              <w:t xml:space="preserve"> </w:t>
            </w:r>
          </w:p>
          <w:p w14:paraId="4A01B0E2" w14:textId="3BD4B88C" w:rsidR="00C628F9" w:rsidRPr="00C628F9" w:rsidRDefault="00C628F9" w:rsidP="00C628F9">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lang w:val="es-CO"/>
              </w:rPr>
              <w:lastRenderedPageBreak/>
              <w:t xml:space="preserve">Consejo de Estado. Sala de lo Contencioso Administrativo. Sección Tercera. Subsección C. Sentencia del 2 de diciembre de 2013. </w:t>
            </w:r>
            <w:proofErr w:type="spellStart"/>
            <w:r w:rsidRPr="00C628F9">
              <w:rPr>
                <w:rFonts w:ascii="Verdana" w:hAnsi="Verdana" w:cs="Arial"/>
                <w:lang w:val="es-CO"/>
              </w:rPr>
              <w:t>Exp</w:t>
            </w:r>
            <w:proofErr w:type="spellEnd"/>
            <w:r w:rsidRPr="00C628F9">
              <w:rPr>
                <w:rFonts w:ascii="Verdana" w:hAnsi="Verdana" w:cs="Arial"/>
                <w:lang w:val="es-CO"/>
              </w:rPr>
              <w:t>. 41719. Consejero Ponente: Jaime Orlando Santofimio Gamboa.</w:t>
            </w:r>
          </w:p>
          <w:p w14:paraId="2AD1F940" w14:textId="0ADCA674" w:rsidR="00F063A5" w:rsidRPr="00C628F9" w:rsidRDefault="00134B45" w:rsidP="00134B45">
            <w:pPr>
              <w:pStyle w:val="Prrafodelista"/>
              <w:numPr>
                <w:ilvl w:val="0"/>
                <w:numId w:val="17"/>
              </w:numPr>
              <w:spacing w:after="120" w:line="259" w:lineRule="auto"/>
              <w:contextualSpacing w:val="0"/>
              <w:jc w:val="both"/>
              <w:rPr>
                <w:rFonts w:ascii="Verdana" w:hAnsi="Verdana" w:cs="Arial"/>
                <w:lang w:val="es-CO"/>
              </w:rPr>
            </w:pPr>
            <w:r w:rsidRPr="00C628F9">
              <w:rPr>
                <w:rFonts w:ascii="Verdana" w:hAnsi="Verdana" w:cs="Arial"/>
              </w:rPr>
              <w:t>Corte Constitucional. Sentencia C-154 de 1997. Magistrado Ponente: Hernando Herrera Vergara.</w:t>
            </w:r>
            <w:r w:rsidR="00F063A5" w:rsidRPr="00C628F9">
              <w:rPr>
                <w:rFonts w:ascii="Verdana" w:hAnsi="Verdana" w:cs="Arial"/>
              </w:rPr>
              <w:t xml:space="preserve"> </w:t>
            </w:r>
          </w:p>
        </w:tc>
      </w:tr>
    </w:tbl>
    <w:p w14:paraId="2E3699FE" w14:textId="77777777" w:rsidR="00F063A5" w:rsidRPr="00C628F9" w:rsidRDefault="00F063A5" w:rsidP="00F063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FBE5FB7" w14:textId="77777777" w:rsidR="00F063A5" w:rsidRPr="00C628F9" w:rsidRDefault="00F063A5" w:rsidP="00F063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628F9">
        <w:rPr>
          <w:rFonts w:ascii="Verdana" w:eastAsia="Century Gothic" w:hAnsi="Verdana" w:cs="Century Gothic"/>
          <w:b/>
          <w:bCs/>
        </w:rPr>
        <w:t>5. Doctrina de la Agencia Nacional de Contratación Pública:</w:t>
      </w:r>
    </w:p>
    <w:p w14:paraId="456AE365" w14:textId="77777777" w:rsidR="00F063A5" w:rsidRPr="00C628F9" w:rsidRDefault="00F063A5" w:rsidP="00F063A5">
      <w:pPr>
        <w:spacing w:after="0" w:line="276" w:lineRule="auto"/>
        <w:ind w:firstLine="709"/>
        <w:jc w:val="both"/>
        <w:rPr>
          <w:rFonts w:ascii="Verdana" w:eastAsia="Times New Roman" w:hAnsi="Verdana" w:cs="Arial"/>
          <w:lang w:eastAsia="es-ES_tradnl"/>
        </w:rPr>
      </w:pPr>
    </w:p>
    <w:p w14:paraId="30A27388" w14:textId="4892D27E" w:rsidR="00F063A5" w:rsidRPr="00C628F9" w:rsidRDefault="00F063A5" w:rsidP="00F063A5">
      <w:pPr>
        <w:widowControl w:val="0"/>
        <w:autoSpaceDE w:val="0"/>
        <w:autoSpaceDN w:val="0"/>
        <w:spacing w:after="0" w:line="276" w:lineRule="auto"/>
        <w:jc w:val="both"/>
        <w:rPr>
          <w:rFonts w:ascii="Verdana" w:hAnsi="Verdana" w:cs="Arial"/>
          <w:lang w:val="es-ES"/>
        </w:rPr>
      </w:pPr>
      <w:r w:rsidRPr="00C628F9">
        <w:rPr>
          <w:rFonts w:ascii="Verdana" w:hAnsi="Verdana" w:cs="Arial"/>
          <w:shd w:val="clear" w:color="auto" w:fill="FFFFFF"/>
          <w:lang w:val="es-ES"/>
        </w:rPr>
        <w:t xml:space="preserve">Sobre </w:t>
      </w:r>
      <w:r w:rsidR="006B2AE5" w:rsidRPr="00C628F9">
        <w:rPr>
          <w:rFonts w:ascii="Verdana" w:hAnsi="Verdana" w:cs="Arial"/>
          <w:shd w:val="clear" w:color="auto" w:fill="FFFFFF"/>
          <w:lang w:val="es-ES"/>
        </w:rPr>
        <w:t>los contratos de prestación de servicios</w:t>
      </w:r>
      <w:r w:rsidRPr="00C628F9">
        <w:rPr>
          <w:rFonts w:ascii="Verdana" w:hAnsi="Verdana" w:cs="Arial"/>
          <w:shd w:val="clear" w:color="auto" w:fill="FFFFFF"/>
          <w:lang w:val="es-ES"/>
        </w:rPr>
        <w:t xml:space="preserve">, esta Subdirección se ha referido en los Conceptos Nro. </w:t>
      </w:r>
      <w:r w:rsidR="00A63D54" w:rsidRPr="00C628F9">
        <w:rPr>
          <w:rFonts w:ascii="Verdana" w:hAnsi="Verdana" w:cs="Arial"/>
          <w:shd w:val="clear" w:color="auto" w:fill="FFFFFF"/>
          <w:lang w:val="es-ES"/>
        </w:rPr>
        <w:t>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00A63D54" w:rsidRPr="00C628F9">
        <w:rPr>
          <w:rFonts w:ascii="Verdana" w:hAnsi="Verdana" w:cs="Arial"/>
          <w:lang w:val="es-ES"/>
        </w:rPr>
        <w:t xml:space="preserve">, C-441 del 16 de mayo de 2025, C-517 del 27 de mayo de 2025 y C- </w:t>
      </w:r>
      <w:r w:rsidR="002D62AF" w:rsidRPr="00C628F9">
        <w:rPr>
          <w:rFonts w:ascii="Verdana" w:hAnsi="Verdana" w:cs="Arial"/>
          <w:lang w:val="es-ES"/>
        </w:rPr>
        <w:t>578 del 24 de junio del 2025</w:t>
      </w:r>
      <w:r w:rsidRPr="00C628F9">
        <w:rPr>
          <w:rFonts w:ascii="Verdana" w:hAnsi="Verdana" w:cs="Arial"/>
        </w:rPr>
        <w:t xml:space="preserve">. </w:t>
      </w:r>
      <w:r w:rsidRPr="00C628F9">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C628F9">
          <w:rPr>
            <w:rStyle w:val="Hipervnculo"/>
            <w:rFonts w:ascii="Verdana" w:eastAsia="Calibri" w:hAnsi="Verdana" w:cs="Arial"/>
            <w:lang w:eastAsia="es-ES_tradnl"/>
          </w:rPr>
          <w:t>https://relatoria.colombiacompra.gov.co/</w:t>
        </w:r>
      </w:hyperlink>
      <w:r w:rsidRPr="00C628F9">
        <w:rPr>
          <w:rFonts w:ascii="Verdana" w:eastAsia="Calibri" w:hAnsi="Verdana" w:cs="Arial"/>
          <w:lang w:eastAsia="es-ES_tradnl"/>
        </w:rPr>
        <w:t> </w:t>
      </w:r>
    </w:p>
    <w:p w14:paraId="4CB3BD42" w14:textId="77777777" w:rsidR="00F063A5" w:rsidRPr="00C628F9" w:rsidRDefault="00F063A5" w:rsidP="00F063A5">
      <w:pPr>
        <w:widowControl w:val="0"/>
        <w:autoSpaceDE w:val="0"/>
        <w:autoSpaceDN w:val="0"/>
        <w:spacing w:after="0" w:line="276" w:lineRule="auto"/>
        <w:jc w:val="both"/>
        <w:rPr>
          <w:rFonts w:ascii="Verdana" w:hAnsi="Verdana" w:cs="Arial"/>
        </w:rPr>
      </w:pPr>
    </w:p>
    <w:p w14:paraId="267058BB" w14:textId="77777777" w:rsidR="00F063A5" w:rsidRPr="00C628F9" w:rsidRDefault="00F063A5" w:rsidP="00F063A5">
      <w:pPr>
        <w:spacing w:after="0" w:line="276" w:lineRule="auto"/>
        <w:jc w:val="both"/>
        <w:rPr>
          <w:rFonts w:ascii="Verdana" w:hAnsi="Verdana"/>
        </w:rPr>
      </w:pPr>
      <w:r w:rsidRPr="00C628F9">
        <w:rPr>
          <w:rFonts w:ascii="Verdana" w:hAnsi="Verdana"/>
        </w:rPr>
        <w:t xml:space="preserve">Por último, lo invitamos a seguirnos en las redes sociales en las cuales se difunde información institucional: </w:t>
      </w:r>
    </w:p>
    <w:p w14:paraId="3F08C9E9" w14:textId="77777777" w:rsidR="00F063A5" w:rsidRPr="00C628F9" w:rsidRDefault="00F063A5" w:rsidP="00F063A5">
      <w:pPr>
        <w:spacing w:after="0" w:line="276" w:lineRule="auto"/>
        <w:jc w:val="both"/>
        <w:rPr>
          <w:rFonts w:ascii="Verdana" w:hAnsi="Verdana"/>
        </w:rPr>
      </w:pPr>
    </w:p>
    <w:p w14:paraId="4F36D087" w14:textId="77777777" w:rsidR="00F063A5" w:rsidRPr="00C628F9" w:rsidRDefault="00F063A5" w:rsidP="00F063A5">
      <w:pPr>
        <w:spacing w:after="0" w:line="276" w:lineRule="auto"/>
        <w:jc w:val="both"/>
        <w:rPr>
          <w:rFonts w:ascii="Verdana" w:hAnsi="Verdana"/>
        </w:rPr>
      </w:pPr>
      <w:r w:rsidRPr="00C628F9">
        <w:rPr>
          <w:rFonts w:ascii="Verdana" w:hAnsi="Verdana"/>
        </w:rPr>
        <w:t xml:space="preserve">Twitter: </w:t>
      </w:r>
      <w:r w:rsidRPr="00C628F9">
        <w:rPr>
          <w:rStyle w:val="Hipervnculo"/>
          <w:rFonts w:ascii="Verdana" w:hAnsi="Verdana"/>
          <w:color w:val="4472C4" w:themeColor="accent1"/>
        </w:rPr>
        <w:t>@colombiacompra</w:t>
      </w:r>
      <w:r w:rsidRPr="00C628F9">
        <w:rPr>
          <w:rFonts w:ascii="Verdana" w:hAnsi="Verdana"/>
          <w:color w:val="4472C4" w:themeColor="accent1"/>
        </w:rPr>
        <w:t xml:space="preserve"> </w:t>
      </w:r>
    </w:p>
    <w:p w14:paraId="04EA9F91" w14:textId="77777777" w:rsidR="00F063A5" w:rsidRPr="00C628F9" w:rsidRDefault="00F063A5" w:rsidP="00F063A5">
      <w:pPr>
        <w:spacing w:after="0" w:line="276" w:lineRule="auto"/>
        <w:jc w:val="both"/>
        <w:rPr>
          <w:rFonts w:ascii="Verdana" w:hAnsi="Verdana"/>
        </w:rPr>
      </w:pPr>
      <w:r w:rsidRPr="00C628F9">
        <w:rPr>
          <w:rFonts w:ascii="Verdana" w:hAnsi="Verdana"/>
        </w:rPr>
        <w:t xml:space="preserve">Facebook: </w:t>
      </w:r>
      <w:proofErr w:type="spellStart"/>
      <w:r w:rsidRPr="00C628F9">
        <w:rPr>
          <w:rStyle w:val="Hipervnculo"/>
          <w:rFonts w:ascii="Verdana" w:hAnsi="Verdana"/>
          <w:color w:val="4472C4" w:themeColor="accent1"/>
        </w:rPr>
        <w:t>ColombiaCompraEficiente</w:t>
      </w:r>
      <w:proofErr w:type="spellEnd"/>
    </w:p>
    <w:p w14:paraId="37F82CF5" w14:textId="77777777" w:rsidR="00F063A5" w:rsidRPr="00C628F9" w:rsidRDefault="00F063A5" w:rsidP="00F063A5">
      <w:pPr>
        <w:spacing w:after="0" w:line="276" w:lineRule="auto"/>
        <w:jc w:val="both"/>
        <w:rPr>
          <w:rFonts w:ascii="Verdana" w:hAnsi="Verdana"/>
        </w:rPr>
      </w:pPr>
      <w:r w:rsidRPr="00C628F9">
        <w:rPr>
          <w:rFonts w:ascii="Verdana" w:hAnsi="Verdana"/>
        </w:rPr>
        <w:t xml:space="preserve">LinkedIn: </w:t>
      </w:r>
      <w:r w:rsidRPr="00C628F9">
        <w:rPr>
          <w:rStyle w:val="Hipervnculo"/>
          <w:rFonts w:ascii="Verdana" w:hAnsi="Verdana"/>
          <w:color w:val="4472C4" w:themeColor="accent1"/>
        </w:rPr>
        <w:t>Agencia Nacional de Contratación Pública - Colombia Compra Eficiente</w:t>
      </w:r>
      <w:r w:rsidRPr="00C628F9">
        <w:rPr>
          <w:rFonts w:ascii="Verdana" w:hAnsi="Verdana"/>
          <w:color w:val="4472C4" w:themeColor="accent1"/>
        </w:rPr>
        <w:t xml:space="preserve"> </w:t>
      </w:r>
      <w:r w:rsidRPr="00C628F9">
        <w:rPr>
          <w:rFonts w:ascii="Verdana" w:hAnsi="Verdana"/>
        </w:rPr>
        <w:t xml:space="preserve">Instagram: </w:t>
      </w:r>
      <w:r w:rsidRPr="00C628F9">
        <w:rPr>
          <w:rStyle w:val="Hipervnculo"/>
          <w:rFonts w:ascii="Verdana" w:hAnsi="Verdana"/>
          <w:color w:val="4472C4" w:themeColor="accent1"/>
        </w:rPr>
        <w:t>@colombiacompraeficiente_cce</w:t>
      </w:r>
    </w:p>
    <w:p w14:paraId="46E17E15" w14:textId="77777777" w:rsidR="00F063A5" w:rsidRPr="00C628F9" w:rsidRDefault="00F063A5" w:rsidP="00F063A5">
      <w:pPr>
        <w:widowControl w:val="0"/>
        <w:autoSpaceDE w:val="0"/>
        <w:autoSpaceDN w:val="0"/>
        <w:spacing w:after="0" w:line="276" w:lineRule="auto"/>
        <w:jc w:val="both"/>
        <w:rPr>
          <w:rFonts w:ascii="Verdana" w:hAnsi="Verdana"/>
        </w:rPr>
      </w:pPr>
    </w:p>
    <w:p w14:paraId="53AEC59E" w14:textId="77777777" w:rsidR="00F063A5" w:rsidRPr="00C628F9" w:rsidRDefault="00F063A5" w:rsidP="00F063A5">
      <w:pPr>
        <w:widowControl w:val="0"/>
        <w:autoSpaceDE w:val="0"/>
        <w:autoSpaceDN w:val="0"/>
        <w:spacing w:after="0" w:line="276" w:lineRule="auto"/>
        <w:jc w:val="both"/>
        <w:rPr>
          <w:rFonts w:ascii="Verdana" w:hAnsi="Verdana" w:cs="Arial"/>
        </w:rPr>
      </w:pPr>
      <w:r w:rsidRPr="00C628F9">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w:t>
      </w:r>
      <w:r w:rsidRPr="00C628F9">
        <w:rPr>
          <w:rFonts w:ascii="Verdana" w:hAnsi="Verdana" w:cs="Arial"/>
        </w:rPr>
        <w:lastRenderedPageBreak/>
        <w:t>significado que les otorga el artículo 2.2.1.1.1.3.1. del Decreto 1082 de 2015.</w:t>
      </w:r>
    </w:p>
    <w:p w14:paraId="72E01E01" w14:textId="77777777" w:rsidR="00F063A5" w:rsidRPr="00C628F9" w:rsidRDefault="00F063A5" w:rsidP="00F063A5">
      <w:pPr>
        <w:spacing w:after="0" w:line="276" w:lineRule="auto"/>
        <w:ind w:firstLine="709"/>
        <w:jc w:val="both"/>
        <w:rPr>
          <w:rFonts w:ascii="Verdana" w:eastAsia="Times New Roman" w:hAnsi="Verdana" w:cs="Arial"/>
          <w:lang w:eastAsia="es-ES_tradnl"/>
        </w:rPr>
      </w:pPr>
    </w:p>
    <w:p w14:paraId="1AEC03E0" w14:textId="77777777" w:rsidR="00F063A5" w:rsidRPr="00C628F9" w:rsidRDefault="00F063A5" w:rsidP="00F063A5">
      <w:pPr>
        <w:spacing w:after="0" w:line="276" w:lineRule="auto"/>
        <w:jc w:val="both"/>
        <w:rPr>
          <w:rFonts w:ascii="Verdana" w:eastAsia="Times New Roman" w:hAnsi="Verdana" w:cs="Arial"/>
          <w:lang w:eastAsia="es-CO"/>
        </w:rPr>
      </w:pPr>
      <w:bookmarkStart w:id="2" w:name="_Hlk117695077"/>
      <w:r w:rsidRPr="00C628F9">
        <w:rPr>
          <w:rFonts w:ascii="Verdana" w:eastAsia="Times New Roman" w:hAnsi="Verdana" w:cs="Arial"/>
          <w:lang w:eastAsia="es-CO"/>
        </w:rPr>
        <w:t>Atentamente,</w:t>
      </w:r>
      <w:bookmarkEnd w:id="2"/>
    </w:p>
    <w:p w14:paraId="6B5D776C" w14:textId="75F5B621" w:rsidR="00F063A5" w:rsidRPr="00C628F9" w:rsidRDefault="00AE3BF9" w:rsidP="00F063A5">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6E59034D" wp14:editId="67E08FC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p w14:paraId="7BBB5C46" w14:textId="77777777" w:rsidR="00F063A5" w:rsidRPr="00C628F9" w:rsidRDefault="00F063A5" w:rsidP="00F063A5">
      <w:pPr>
        <w:spacing w:after="18" w:line="240" w:lineRule="auto"/>
        <w:jc w:val="center"/>
        <w:rPr>
          <w:rFonts w:ascii="Verdana" w:eastAsia="Times New Roman" w:hAnsi="Verdana" w:cs="Arial"/>
          <w:sz w:val="24"/>
          <w:szCs w:val="24"/>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063A5" w:rsidRPr="00C628F9" w14:paraId="22494DB2" w14:textId="77777777" w:rsidTr="00B63D82">
        <w:trPr>
          <w:trHeight w:val="315"/>
        </w:trPr>
        <w:tc>
          <w:tcPr>
            <w:tcW w:w="893" w:type="dxa"/>
            <w:vAlign w:val="center"/>
            <w:hideMark/>
          </w:tcPr>
          <w:p w14:paraId="5DCFD4F3" w14:textId="77777777" w:rsidR="00F063A5" w:rsidRPr="00C628F9" w:rsidRDefault="00F063A5" w:rsidP="00B63D82">
            <w:pPr>
              <w:contextualSpacing/>
              <w:rPr>
                <w:rFonts w:ascii="Verdana" w:hAnsi="Verdana" w:cs="Arial"/>
                <w:sz w:val="16"/>
                <w:szCs w:val="16"/>
                <w:lang w:eastAsia="es-ES"/>
              </w:rPr>
            </w:pPr>
            <w:r w:rsidRPr="00C628F9">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929614C" w14:textId="77777777" w:rsidR="00F063A5" w:rsidRPr="00C628F9" w:rsidRDefault="00F063A5" w:rsidP="00B63D82">
            <w:pPr>
              <w:contextualSpacing/>
              <w:rPr>
                <w:rFonts w:ascii="Verdana" w:hAnsi="Verdana"/>
                <w:sz w:val="16"/>
                <w:szCs w:val="16"/>
              </w:rPr>
            </w:pPr>
            <w:r w:rsidRPr="00C628F9">
              <w:rPr>
                <w:rFonts w:ascii="Verdana" w:hAnsi="Verdana"/>
                <w:sz w:val="16"/>
                <w:szCs w:val="16"/>
              </w:rPr>
              <w:t>Ana María Ortiz Ballesteros</w:t>
            </w:r>
          </w:p>
          <w:p w14:paraId="13864D1F" w14:textId="77777777" w:rsidR="00F063A5" w:rsidRPr="00C628F9" w:rsidRDefault="00F063A5" w:rsidP="00B63D82">
            <w:pPr>
              <w:contextualSpacing/>
              <w:rPr>
                <w:rFonts w:ascii="Verdana" w:eastAsia="Arial" w:hAnsi="Verdana" w:cs="Arial"/>
                <w:sz w:val="16"/>
                <w:szCs w:val="16"/>
              </w:rPr>
            </w:pPr>
            <w:r w:rsidRPr="00C628F9">
              <w:rPr>
                <w:rStyle w:val="normaltextrun"/>
                <w:rFonts w:ascii="Verdana" w:hAnsi="Verdana" w:cs="Arial"/>
                <w:sz w:val="16"/>
                <w:szCs w:val="16"/>
              </w:rPr>
              <w:t>Contratista de la Subdirección de Gestión Contractual</w:t>
            </w:r>
            <w:r w:rsidRPr="00C628F9">
              <w:rPr>
                <w:rStyle w:val="eop"/>
                <w:rFonts w:ascii="Verdana" w:eastAsiaTheme="majorEastAsia" w:hAnsi="Verdana" w:cs="Arial"/>
                <w:sz w:val="16"/>
                <w:szCs w:val="16"/>
              </w:rPr>
              <w:t> </w:t>
            </w:r>
          </w:p>
        </w:tc>
      </w:tr>
      <w:tr w:rsidR="00F063A5" w:rsidRPr="00C628F9" w14:paraId="064886F3" w14:textId="77777777" w:rsidTr="00B63D82">
        <w:trPr>
          <w:trHeight w:val="330"/>
        </w:trPr>
        <w:tc>
          <w:tcPr>
            <w:tcW w:w="893" w:type="dxa"/>
            <w:vAlign w:val="center"/>
            <w:hideMark/>
          </w:tcPr>
          <w:p w14:paraId="71365850" w14:textId="77777777" w:rsidR="00F063A5" w:rsidRPr="00C628F9" w:rsidRDefault="00F063A5" w:rsidP="00B63D82">
            <w:pPr>
              <w:contextualSpacing/>
              <w:rPr>
                <w:rFonts w:ascii="Verdana" w:hAnsi="Verdana" w:cs="Arial"/>
                <w:sz w:val="16"/>
                <w:szCs w:val="16"/>
                <w:lang w:eastAsia="es-ES"/>
              </w:rPr>
            </w:pPr>
            <w:r w:rsidRPr="00C628F9">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C762372" w14:textId="2A97ADBA" w:rsidR="002260E6" w:rsidRPr="00C628F9" w:rsidRDefault="002260E6" w:rsidP="00B63D82">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sidRPr="00C628F9">
              <w:rPr>
                <w:rFonts w:ascii="Verdana" w:eastAsiaTheme="minorHAnsi" w:hAnsi="Verdana" w:cstheme="minorBidi"/>
                <w:sz w:val="16"/>
                <w:szCs w:val="16"/>
                <w:lang w:eastAsia="en-US"/>
              </w:rPr>
              <w:t>Diana Lucia Saavedra</w:t>
            </w:r>
            <w:r w:rsidR="00754854" w:rsidRPr="00C628F9">
              <w:rPr>
                <w:rFonts w:ascii="Verdana" w:eastAsiaTheme="minorHAnsi" w:hAnsi="Verdana" w:cstheme="minorBidi"/>
                <w:sz w:val="16"/>
                <w:szCs w:val="16"/>
                <w:lang w:eastAsia="en-US"/>
              </w:rPr>
              <w:t xml:space="preserve"> Castañeda </w:t>
            </w:r>
          </w:p>
          <w:p w14:paraId="5225916B" w14:textId="0E00B6EC" w:rsidR="00F063A5" w:rsidRPr="00C628F9" w:rsidRDefault="00F063A5" w:rsidP="00B63D82">
            <w:pPr>
              <w:pStyle w:val="paragraph"/>
              <w:spacing w:before="0" w:beforeAutospacing="0" w:after="0" w:afterAutospacing="0"/>
              <w:contextualSpacing/>
              <w:textAlignment w:val="baseline"/>
              <w:rPr>
                <w:rFonts w:ascii="Verdana" w:hAnsi="Verdana" w:cs="Segoe UI"/>
                <w:sz w:val="16"/>
                <w:szCs w:val="16"/>
              </w:rPr>
            </w:pPr>
            <w:r w:rsidRPr="00C628F9">
              <w:rPr>
                <w:rStyle w:val="normaltextrun"/>
                <w:rFonts w:ascii="Verdana" w:hAnsi="Verdana" w:cs="Arial"/>
                <w:sz w:val="16"/>
                <w:szCs w:val="16"/>
              </w:rPr>
              <w:t>Contratista de la Subdirección de Gestión Contractual</w:t>
            </w:r>
            <w:r w:rsidRPr="00C628F9">
              <w:rPr>
                <w:rStyle w:val="eop"/>
                <w:rFonts w:ascii="Verdana" w:eastAsiaTheme="majorEastAsia" w:hAnsi="Verdana" w:cs="Arial"/>
                <w:sz w:val="16"/>
                <w:szCs w:val="16"/>
              </w:rPr>
              <w:t> </w:t>
            </w:r>
          </w:p>
        </w:tc>
      </w:tr>
      <w:tr w:rsidR="00F063A5" w:rsidRPr="00C628F9" w14:paraId="4DA16E1C" w14:textId="77777777" w:rsidTr="00B63D82">
        <w:trPr>
          <w:trHeight w:val="300"/>
        </w:trPr>
        <w:tc>
          <w:tcPr>
            <w:tcW w:w="893" w:type="dxa"/>
            <w:vAlign w:val="center"/>
          </w:tcPr>
          <w:p w14:paraId="276DB9EC" w14:textId="77777777" w:rsidR="00F063A5" w:rsidRPr="00C628F9" w:rsidRDefault="00F063A5" w:rsidP="00B63D82">
            <w:pPr>
              <w:contextualSpacing/>
              <w:rPr>
                <w:rFonts w:ascii="Verdana" w:hAnsi="Verdana" w:cs="Arial"/>
                <w:sz w:val="16"/>
                <w:szCs w:val="16"/>
                <w:lang w:eastAsia="es-ES"/>
              </w:rPr>
            </w:pPr>
            <w:r w:rsidRPr="00C628F9">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825B91" w14:textId="77777777" w:rsidR="00F063A5" w:rsidRPr="00C628F9" w:rsidRDefault="00F063A5" w:rsidP="00B63D82">
            <w:pPr>
              <w:rPr>
                <w:rFonts w:ascii="Verdana" w:hAnsi="Verdana"/>
                <w:sz w:val="16"/>
                <w:szCs w:val="16"/>
              </w:rPr>
            </w:pPr>
            <w:r w:rsidRPr="00C628F9">
              <w:rPr>
                <w:rFonts w:ascii="Verdana" w:eastAsia="Calibri" w:hAnsi="Verdana" w:cs="Arial"/>
                <w:sz w:val="16"/>
                <w:szCs w:val="16"/>
                <w:lang w:eastAsia="es-ES"/>
              </w:rPr>
              <w:t xml:space="preserve">Carolina Quintero </w:t>
            </w:r>
            <w:proofErr w:type="spellStart"/>
            <w:r w:rsidRPr="00C628F9">
              <w:rPr>
                <w:rFonts w:ascii="Verdana" w:eastAsia="Calibri" w:hAnsi="Verdana" w:cs="Arial"/>
                <w:sz w:val="16"/>
                <w:szCs w:val="16"/>
                <w:lang w:eastAsia="es-ES"/>
              </w:rPr>
              <w:t>Gacharná</w:t>
            </w:r>
            <w:proofErr w:type="spellEnd"/>
          </w:p>
          <w:p w14:paraId="1EFF926F" w14:textId="77777777" w:rsidR="00F063A5" w:rsidRPr="00C628F9" w:rsidRDefault="00F063A5" w:rsidP="00B63D82">
            <w:pPr>
              <w:contextualSpacing/>
              <w:rPr>
                <w:rFonts w:ascii="Verdana" w:eastAsia="Calibri" w:hAnsi="Verdana" w:cs="Arial"/>
                <w:sz w:val="16"/>
                <w:szCs w:val="16"/>
                <w:lang w:eastAsia="es-ES"/>
              </w:rPr>
            </w:pPr>
            <w:r w:rsidRPr="00C628F9">
              <w:rPr>
                <w:rFonts w:ascii="Verdana" w:eastAsia="Calibri" w:hAnsi="Verdana" w:cs="Arial"/>
                <w:sz w:val="16"/>
                <w:szCs w:val="16"/>
                <w:lang w:eastAsia="es-ES"/>
              </w:rPr>
              <w:t xml:space="preserve">Subdirectora de Gestión Contractual ANCP – CCE </w:t>
            </w:r>
          </w:p>
        </w:tc>
      </w:tr>
      <w:bookmarkEnd w:id="0"/>
    </w:tbl>
    <w:p w14:paraId="6FAF0BCA" w14:textId="77777777" w:rsidR="002707A2" w:rsidRPr="00674DED" w:rsidRDefault="002707A2" w:rsidP="00E245AB">
      <w:pPr>
        <w:spacing w:after="0"/>
        <w:jc w:val="both"/>
        <w:rPr>
          <w:rStyle w:val="Hipervnculo"/>
          <w:rFonts w:ascii="Verdana" w:hAnsi="Verdana"/>
        </w:rPr>
      </w:pPr>
    </w:p>
    <w:sectPr w:rsidR="002707A2" w:rsidRPr="00674DE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48C06" w14:textId="77777777" w:rsidR="002A5CE0" w:rsidRDefault="002A5CE0" w:rsidP="004A1847">
      <w:pPr>
        <w:spacing w:after="0" w:line="240" w:lineRule="auto"/>
      </w:pPr>
      <w:r>
        <w:separator/>
      </w:r>
    </w:p>
  </w:endnote>
  <w:endnote w:type="continuationSeparator" w:id="0">
    <w:p w14:paraId="2FF0C013" w14:textId="77777777" w:rsidR="002A5CE0" w:rsidRDefault="002A5CE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F918D" w14:textId="77777777" w:rsidR="002A5CE0" w:rsidRDefault="002A5CE0" w:rsidP="004A1847">
      <w:pPr>
        <w:spacing w:after="0" w:line="240" w:lineRule="auto"/>
      </w:pPr>
      <w:r>
        <w:separator/>
      </w:r>
    </w:p>
  </w:footnote>
  <w:footnote w:type="continuationSeparator" w:id="0">
    <w:p w14:paraId="44F23A50" w14:textId="77777777" w:rsidR="002A5CE0" w:rsidRDefault="002A5CE0" w:rsidP="004A1847">
      <w:pPr>
        <w:spacing w:after="0" w:line="240" w:lineRule="auto"/>
      </w:pPr>
      <w:r>
        <w:continuationSeparator/>
      </w:r>
    </w:p>
  </w:footnote>
  <w:footnote w:id="1">
    <w:p w14:paraId="20D8BA80" w14:textId="77777777" w:rsidR="00B7684E" w:rsidRPr="00431B45" w:rsidRDefault="00B7684E" w:rsidP="00B7684E">
      <w:pPr>
        <w:pStyle w:val="Textonotapie"/>
        <w:ind w:firstLine="708"/>
        <w:jc w:val="both"/>
        <w:rPr>
          <w:rFonts w:ascii="Verdana" w:hAnsi="Verdana"/>
          <w:sz w:val="18"/>
          <w:szCs w:val="18"/>
          <w:lang w:val="es-CO"/>
        </w:rPr>
      </w:pPr>
      <w:r w:rsidRPr="009111AB">
        <w:rPr>
          <w:rStyle w:val="Refdenotaalpie"/>
          <w:rFonts w:ascii="Verdana" w:hAnsi="Verdana"/>
          <w:sz w:val="18"/>
          <w:szCs w:val="18"/>
        </w:rPr>
        <w:footnoteRef/>
      </w:r>
      <w:r w:rsidRPr="009111AB">
        <w:rPr>
          <w:rFonts w:ascii="Verdana" w:hAnsi="Verdana"/>
          <w:sz w:val="18"/>
          <w:szCs w:val="18"/>
        </w:rPr>
        <w:t xml:space="preserve"> </w:t>
      </w:r>
      <w:r w:rsidRPr="00431B45">
        <w:rPr>
          <w:rFonts w:ascii="Verdana" w:hAnsi="Verdana"/>
          <w:sz w:val="18"/>
          <w:szCs w:val="18"/>
          <w:lang w:val="es-CO"/>
        </w:rPr>
        <w:t xml:space="preserve">Decreto 1068 de 2015: “Artículo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35777194"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24D13A1"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21F6F1AA" w14:textId="77777777" w:rsidR="00B7684E" w:rsidRPr="00431B45" w:rsidRDefault="00B7684E" w:rsidP="00B7684E">
      <w:pPr>
        <w:pStyle w:val="Textonotapie"/>
        <w:ind w:firstLine="708"/>
        <w:jc w:val="both"/>
        <w:rPr>
          <w:rFonts w:ascii="Verdana" w:hAnsi="Verdana"/>
          <w:sz w:val="18"/>
          <w:szCs w:val="18"/>
          <w:lang w:val="es-CO"/>
        </w:rPr>
      </w:pPr>
    </w:p>
  </w:footnote>
  <w:footnote w:id="2">
    <w:p w14:paraId="19A1C8FF" w14:textId="77777777" w:rsidR="00B7684E" w:rsidRPr="00431B45" w:rsidRDefault="00B7684E" w:rsidP="00B7684E">
      <w:pPr>
        <w:pStyle w:val="Textonotapie"/>
        <w:ind w:firstLine="708"/>
        <w:jc w:val="both"/>
        <w:rPr>
          <w:rFonts w:ascii="Verdana" w:hAnsi="Verdana"/>
          <w:sz w:val="18"/>
          <w:szCs w:val="18"/>
        </w:rPr>
      </w:pPr>
      <w:r w:rsidRPr="00431B45">
        <w:rPr>
          <w:rStyle w:val="Refdenotaalpie"/>
          <w:rFonts w:ascii="Verdana" w:hAnsi="Verdana"/>
          <w:sz w:val="18"/>
          <w:szCs w:val="18"/>
        </w:rPr>
        <w:footnoteRef/>
      </w:r>
      <w:r w:rsidRPr="00431B45">
        <w:rPr>
          <w:rFonts w:ascii="Verdana" w:hAnsi="Verdana"/>
          <w:sz w:val="18"/>
          <w:szCs w:val="18"/>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6EA8A7FD"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2. Quien presta el servicio se denomina trabajador, quien lo recibe y remunera, empleador, y la remuneración, cualquiera que sea su forma, salario”.</w:t>
      </w:r>
    </w:p>
    <w:p w14:paraId="4D07E689" w14:textId="77777777" w:rsidR="00D20D4E" w:rsidRPr="00431B45" w:rsidRDefault="00D20D4E" w:rsidP="00B7684E">
      <w:pPr>
        <w:pStyle w:val="Textonotapie"/>
        <w:ind w:firstLine="708"/>
        <w:jc w:val="both"/>
        <w:rPr>
          <w:rFonts w:ascii="Verdana" w:hAnsi="Verdana"/>
          <w:sz w:val="18"/>
          <w:szCs w:val="18"/>
          <w:lang w:val="es-CO"/>
        </w:rPr>
      </w:pPr>
    </w:p>
  </w:footnote>
  <w:footnote w:id="3">
    <w:p w14:paraId="57418E71"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Corte Constitucional. Sentencia C-154 de 1997. Magistrado Ponente: Hernando Herrera Vergara.</w:t>
      </w:r>
    </w:p>
    <w:p w14:paraId="090276DF" w14:textId="77777777" w:rsidR="00B7684E" w:rsidRPr="00431B45" w:rsidRDefault="00B7684E" w:rsidP="00B7684E">
      <w:pPr>
        <w:pStyle w:val="Textonotapie"/>
        <w:ind w:firstLine="708"/>
        <w:jc w:val="both"/>
        <w:rPr>
          <w:rFonts w:ascii="Verdana" w:hAnsi="Verdana"/>
          <w:sz w:val="18"/>
          <w:szCs w:val="18"/>
          <w:lang w:val="es-CO"/>
        </w:rPr>
      </w:pPr>
    </w:p>
  </w:footnote>
  <w:footnote w:id="4">
    <w:p w14:paraId="3E96F91E" w14:textId="783688ED" w:rsidR="00B7684E" w:rsidRPr="00431B45" w:rsidRDefault="00B7684E" w:rsidP="00B7684E">
      <w:pPr>
        <w:pStyle w:val="Textonotapie"/>
        <w:ind w:firstLine="708"/>
        <w:jc w:val="both"/>
        <w:rPr>
          <w:rFonts w:ascii="Verdana" w:hAnsi="Verdana"/>
          <w:sz w:val="18"/>
          <w:szCs w:val="18"/>
        </w:rPr>
      </w:pPr>
      <w:r w:rsidRPr="00431B45">
        <w:rPr>
          <w:rStyle w:val="Refdenotaalpie"/>
          <w:rFonts w:ascii="Verdana" w:hAnsi="Verdana"/>
          <w:sz w:val="18"/>
          <w:szCs w:val="18"/>
        </w:rPr>
        <w:footnoteRef/>
      </w:r>
      <w:r w:rsidRPr="00431B45">
        <w:rPr>
          <w:rFonts w:ascii="Verdana" w:hAnsi="Verdana"/>
          <w:sz w:val="18"/>
          <w:szCs w:val="18"/>
        </w:rPr>
        <w:t xml:space="preserve"> </w:t>
      </w:r>
      <w:r w:rsidR="00442C50" w:rsidRPr="00431B45">
        <w:rPr>
          <w:rFonts w:ascii="Verdana" w:hAnsi="Verdana"/>
          <w:sz w:val="18"/>
          <w:szCs w:val="18"/>
        </w:rPr>
        <w:t xml:space="preserve">Ibid. </w:t>
      </w:r>
    </w:p>
    <w:p w14:paraId="40DFBEE7" w14:textId="77777777" w:rsidR="00B7684E" w:rsidRPr="00431B45" w:rsidRDefault="00B7684E" w:rsidP="00B7684E">
      <w:pPr>
        <w:pStyle w:val="Textonotapie"/>
        <w:ind w:firstLine="708"/>
        <w:jc w:val="both"/>
        <w:rPr>
          <w:rFonts w:ascii="Verdana" w:hAnsi="Verdana"/>
          <w:sz w:val="18"/>
          <w:szCs w:val="18"/>
          <w:lang w:val="es-CO"/>
        </w:rPr>
      </w:pPr>
    </w:p>
  </w:footnote>
  <w:footnote w:id="5">
    <w:p w14:paraId="62AB76F0"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66FEB8EA"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5508E025"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La Entidad Estatal, para la contratación de trabajos artísticos que solamente puedan en-comendarse a determinadas personas naturales, debe justificar esta situación en los estudios y documentos previos”.</w:t>
      </w:r>
    </w:p>
    <w:p w14:paraId="508BBDF0" w14:textId="77777777" w:rsidR="00B7684E" w:rsidRPr="00431B45" w:rsidRDefault="00B7684E" w:rsidP="00B7684E">
      <w:pPr>
        <w:pStyle w:val="Textonotapie"/>
        <w:ind w:firstLine="708"/>
        <w:jc w:val="both"/>
        <w:rPr>
          <w:rFonts w:ascii="Verdana" w:hAnsi="Verdana"/>
          <w:sz w:val="18"/>
          <w:szCs w:val="18"/>
          <w:lang w:val="es-CO"/>
        </w:rPr>
      </w:pPr>
    </w:p>
  </w:footnote>
  <w:footnote w:id="6">
    <w:p w14:paraId="1C027981"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 xml:space="preserve">Consejo de Estado. Sala de lo Contencioso Administrativo. Sección Tercera. Subsección C. Sentencia del 2 de diciembre de 2013. </w:t>
      </w:r>
      <w:r w:rsidRPr="00431B45">
        <w:rPr>
          <w:rFonts w:ascii="Verdana" w:hAnsi="Verdana"/>
          <w:sz w:val="18"/>
          <w:szCs w:val="18"/>
          <w:lang w:val="es-CO"/>
        </w:rPr>
        <w:t>Exp. 41719. Consejero Ponente: Jaime Orlando Santofimio Gamboa.</w:t>
      </w:r>
    </w:p>
    <w:p w14:paraId="25FC111F" w14:textId="77777777" w:rsidR="00B7684E" w:rsidRPr="00431B45" w:rsidRDefault="00B7684E" w:rsidP="00B7684E">
      <w:pPr>
        <w:pStyle w:val="Textonotapie"/>
        <w:ind w:firstLine="708"/>
        <w:jc w:val="both"/>
        <w:rPr>
          <w:rFonts w:ascii="Verdana" w:hAnsi="Verdana"/>
          <w:sz w:val="18"/>
          <w:szCs w:val="18"/>
          <w:lang w:val="es-CO"/>
        </w:rPr>
      </w:pPr>
    </w:p>
  </w:footnote>
  <w:footnote w:id="7">
    <w:p w14:paraId="5229A222" w14:textId="19A85BDA" w:rsidR="00B7684E" w:rsidRPr="00431B45" w:rsidRDefault="00B7684E" w:rsidP="00B7684E">
      <w:pPr>
        <w:pStyle w:val="Textonotapie"/>
        <w:ind w:firstLine="708"/>
        <w:jc w:val="both"/>
        <w:rPr>
          <w:rFonts w:ascii="Verdana" w:hAnsi="Verdana"/>
          <w:sz w:val="18"/>
          <w:szCs w:val="18"/>
        </w:rPr>
      </w:pPr>
      <w:r w:rsidRPr="00431B45">
        <w:rPr>
          <w:rStyle w:val="Refdenotaalpie"/>
          <w:rFonts w:ascii="Verdana" w:hAnsi="Verdana"/>
          <w:sz w:val="18"/>
          <w:szCs w:val="18"/>
        </w:rPr>
        <w:footnoteRef/>
      </w:r>
      <w:r w:rsidRPr="00431B45">
        <w:rPr>
          <w:rFonts w:ascii="Verdana" w:hAnsi="Verdana"/>
          <w:sz w:val="18"/>
          <w:szCs w:val="18"/>
        </w:rPr>
        <w:t xml:space="preserve"> </w:t>
      </w:r>
      <w:r w:rsidR="00D20D4E" w:rsidRPr="00431B45">
        <w:rPr>
          <w:rFonts w:ascii="Verdana" w:hAnsi="Verdana"/>
          <w:sz w:val="18"/>
          <w:szCs w:val="18"/>
        </w:rPr>
        <w:t>Ibid.</w:t>
      </w:r>
    </w:p>
    <w:p w14:paraId="5829FD1F" w14:textId="77777777" w:rsidR="00D20D4E" w:rsidRPr="00431B45" w:rsidRDefault="00D20D4E" w:rsidP="00B7684E">
      <w:pPr>
        <w:pStyle w:val="Textonotapie"/>
        <w:ind w:firstLine="708"/>
        <w:jc w:val="both"/>
        <w:rPr>
          <w:rFonts w:ascii="Verdana" w:hAnsi="Verdana"/>
          <w:sz w:val="18"/>
          <w:szCs w:val="18"/>
          <w:lang w:val="es-CO"/>
        </w:rPr>
      </w:pPr>
    </w:p>
  </w:footnote>
  <w:footnote w:id="8">
    <w:p w14:paraId="223DE452" w14:textId="0FABA65A" w:rsidR="00B7684E" w:rsidRPr="00431B45" w:rsidRDefault="00B7684E" w:rsidP="00B7684E">
      <w:pPr>
        <w:pStyle w:val="Textonotapie"/>
        <w:ind w:firstLine="708"/>
        <w:jc w:val="both"/>
        <w:rPr>
          <w:rFonts w:ascii="Verdana" w:hAnsi="Verdana"/>
          <w:sz w:val="18"/>
          <w:szCs w:val="18"/>
        </w:rPr>
      </w:pPr>
      <w:r w:rsidRPr="00431B45">
        <w:rPr>
          <w:rStyle w:val="Refdenotaalpie"/>
          <w:rFonts w:ascii="Verdana" w:hAnsi="Verdana"/>
          <w:sz w:val="18"/>
          <w:szCs w:val="18"/>
        </w:rPr>
        <w:footnoteRef/>
      </w:r>
      <w:r w:rsidRPr="00431B45">
        <w:rPr>
          <w:rFonts w:ascii="Verdana" w:hAnsi="Verdana"/>
          <w:sz w:val="18"/>
          <w:szCs w:val="18"/>
        </w:rPr>
        <w:t xml:space="preserve"> </w:t>
      </w:r>
      <w:r w:rsidR="00D20D4E" w:rsidRPr="00431B45">
        <w:rPr>
          <w:rFonts w:ascii="Verdana" w:hAnsi="Verdana"/>
          <w:sz w:val="18"/>
          <w:szCs w:val="18"/>
        </w:rPr>
        <w:t>Ibid.</w:t>
      </w:r>
    </w:p>
    <w:p w14:paraId="3B6CDBD5" w14:textId="77777777" w:rsidR="00B7684E" w:rsidRPr="00431B45" w:rsidRDefault="00B7684E" w:rsidP="00B7684E">
      <w:pPr>
        <w:pStyle w:val="Textonotapie"/>
        <w:ind w:firstLine="708"/>
        <w:jc w:val="both"/>
        <w:rPr>
          <w:rFonts w:ascii="Verdana" w:hAnsi="Verdana"/>
          <w:sz w:val="18"/>
          <w:szCs w:val="18"/>
          <w:lang w:val="es-CO"/>
        </w:rPr>
      </w:pPr>
    </w:p>
  </w:footnote>
  <w:footnote w:id="9">
    <w:p w14:paraId="5A3A3D24"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74861DA"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Son también contratos de consultoría los que tienen por objeto la interventoría, asesoría, gerencia de obra o de proyectos, dirección, programación y la ejecución de diseños, planos, anteproyectos y proyectos.</w:t>
      </w:r>
    </w:p>
    <w:p w14:paraId="7EDE9E84"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 xml:space="preserve">Ninguna orden del interventor de una obra podrá darse verbalmente. Es obligatorio para el interventor entregar por escrito sus órdenes o sugerencias y ellas deben </w:t>
      </w:r>
      <w:r w:rsidRPr="00431B45">
        <w:rPr>
          <w:rFonts w:ascii="Verdana" w:hAnsi="Verdana"/>
          <w:sz w:val="18"/>
          <w:szCs w:val="18"/>
          <w:lang w:val="es-CO"/>
        </w:rPr>
        <w:t>enmarcarse dentro de los términos del respectivo contrato”.</w:t>
      </w:r>
    </w:p>
    <w:p w14:paraId="3D74223E" w14:textId="77777777" w:rsidR="00B7684E" w:rsidRPr="00431B45" w:rsidRDefault="00B7684E" w:rsidP="00B7684E">
      <w:pPr>
        <w:pStyle w:val="Textonotapie"/>
        <w:ind w:firstLine="708"/>
        <w:jc w:val="both"/>
        <w:rPr>
          <w:rFonts w:ascii="Verdana" w:hAnsi="Verdana"/>
          <w:sz w:val="18"/>
          <w:szCs w:val="18"/>
          <w:lang w:val="es-CO"/>
        </w:rPr>
      </w:pPr>
    </w:p>
  </w:footnote>
  <w:footnote w:id="10">
    <w:p w14:paraId="2B527AC4"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 xml:space="preserve">Así lo prevé el artículo 2.2.1.2.1.4.1. del Decreto 1082 de 2015: “La Entidad Estatal debe señalar en un acto administrativo la justificación para contratar bajo la modalidad de contratación directa, el cual debe contener: </w:t>
      </w:r>
    </w:p>
    <w:p w14:paraId="163C8DAB"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1. La causal que invoca para contratar directamente.</w:t>
      </w:r>
    </w:p>
    <w:p w14:paraId="2C139225"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2. El objeto del contrato.</w:t>
      </w:r>
    </w:p>
    <w:p w14:paraId="05DA51B0"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3. El presupuesto para la contratación y las condiciones que exigirá al contratista.</w:t>
      </w:r>
    </w:p>
    <w:p w14:paraId="237C81EA"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4. El lugar en el cual los interesados pueden consultar los estudios y documentos previos.</w:t>
      </w:r>
    </w:p>
    <w:p w14:paraId="7A90B197"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1BF9E7EB"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Esta norma expresa: “Para el cumplimiento de los fines de la contratación, las entidades estatales al celebrar un contrato:</w:t>
      </w:r>
    </w:p>
    <w:p w14:paraId="5D42D1CD"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w:t>
      </w:r>
    </w:p>
    <w:p w14:paraId="67777E7C"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p w14:paraId="6E3C5328" w14:textId="77777777" w:rsidR="00B7684E" w:rsidRPr="00431B45" w:rsidRDefault="00B7684E" w:rsidP="00B7684E">
      <w:pPr>
        <w:pStyle w:val="Textonotapie"/>
        <w:ind w:firstLine="708"/>
        <w:jc w:val="both"/>
        <w:rPr>
          <w:rFonts w:ascii="Verdana" w:hAnsi="Verdana"/>
          <w:sz w:val="18"/>
          <w:szCs w:val="18"/>
          <w:lang w:val="es-CO"/>
        </w:rPr>
      </w:pPr>
    </w:p>
  </w:footnote>
  <w:footnote w:id="12">
    <w:p w14:paraId="1B4F05E4"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L</w:t>
      </w:r>
      <w:r w:rsidRPr="00431B45">
        <w:rPr>
          <w:rFonts w:ascii="Verdana" w:hAnsi="Verdana"/>
          <w:sz w:val="18"/>
          <w:szCs w:val="18"/>
          <w:lang w:val="es-CO"/>
        </w:rPr>
        <w:t>a norma dispone: “La liquidación a que se refiere el presente artículo no será obligatoria en los contratos de prestación de servicios profesionales y de apoyo a la gestión”.</w:t>
      </w:r>
    </w:p>
    <w:p w14:paraId="41A1C615" w14:textId="77777777" w:rsidR="00B7684E" w:rsidRPr="00431B45" w:rsidRDefault="00B7684E" w:rsidP="00B7684E">
      <w:pPr>
        <w:pStyle w:val="Textonotapie"/>
        <w:ind w:firstLine="708"/>
        <w:jc w:val="both"/>
        <w:rPr>
          <w:rFonts w:ascii="Verdana" w:hAnsi="Verdana"/>
          <w:sz w:val="18"/>
          <w:szCs w:val="18"/>
          <w:lang w:val="es-CO"/>
        </w:rPr>
      </w:pPr>
    </w:p>
  </w:footnote>
  <w:footnote w:id="13">
    <w:p w14:paraId="7638EDB1"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10385E2"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F33D5D6" w14:textId="77777777" w:rsidR="00B7684E" w:rsidRPr="00431B45" w:rsidRDefault="00B7684E" w:rsidP="00B7684E">
      <w:pPr>
        <w:pStyle w:val="Textonotapie"/>
        <w:ind w:firstLine="708"/>
        <w:jc w:val="both"/>
        <w:rPr>
          <w:rFonts w:ascii="Verdana" w:hAnsi="Verdana"/>
          <w:sz w:val="18"/>
          <w:szCs w:val="18"/>
          <w:lang w:val="es-CO"/>
        </w:rPr>
      </w:pPr>
      <w:r w:rsidRPr="00431B45">
        <w:rPr>
          <w:rFonts w:ascii="Verdana" w:hAnsi="Verdana"/>
          <w:sz w:val="18"/>
          <w:szCs w:val="18"/>
          <w:lang w:val="es-CO"/>
        </w:rPr>
        <w:t>[…]”.</w:t>
      </w:r>
    </w:p>
    <w:p w14:paraId="029F6F6E" w14:textId="77777777" w:rsidR="00B7684E" w:rsidRPr="00431B45" w:rsidRDefault="00B7684E" w:rsidP="00B7684E">
      <w:pPr>
        <w:pStyle w:val="Textonotapie"/>
        <w:ind w:firstLine="708"/>
        <w:jc w:val="both"/>
        <w:rPr>
          <w:rFonts w:ascii="Verdana" w:hAnsi="Verdana"/>
          <w:sz w:val="18"/>
          <w:szCs w:val="18"/>
          <w:lang w:val="es-CO"/>
        </w:rPr>
      </w:pPr>
    </w:p>
  </w:footnote>
  <w:footnote w:id="14">
    <w:p w14:paraId="39827134" w14:textId="77777777" w:rsidR="00B7684E" w:rsidRPr="00431B45" w:rsidRDefault="00B7684E" w:rsidP="00B7684E">
      <w:pPr>
        <w:pStyle w:val="Textonotapie"/>
        <w:ind w:firstLine="708"/>
        <w:jc w:val="both"/>
        <w:rPr>
          <w:rFonts w:ascii="Verdana" w:hAnsi="Verdana"/>
          <w:sz w:val="18"/>
          <w:szCs w:val="18"/>
          <w:lang w:val="es-CO"/>
        </w:rPr>
      </w:pPr>
      <w:r w:rsidRPr="00431B45">
        <w:rPr>
          <w:rStyle w:val="Refdenotaalpie"/>
          <w:rFonts w:ascii="Verdana" w:hAnsi="Verdana"/>
          <w:sz w:val="18"/>
          <w:szCs w:val="18"/>
        </w:rPr>
        <w:footnoteRef/>
      </w:r>
      <w:r w:rsidRPr="00431B45">
        <w:rPr>
          <w:rFonts w:ascii="Verdana" w:hAnsi="Verdana"/>
          <w:sz w:val="18"/>
          <w:szCs w:val="18"/>
        </w:rPr>
        <w:t xml:space="preserve"> </w:t>
      </w:r>
      <w:r w:rsidRPr="00431B45">
        <w:rPr>
          <w:rFonts w:ascii="Verdana" w:hAnsi="Verdana"/>
          <w:sz w:val="18"/>
          <w:szCs w:val="18"/>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5">
    <w:p w14:paraId="1D134097" w14:textId="77777777" w:rsidR="00E9795D" w:rsidRPr="00431B45" w:rsidRDefault="00E9795D" w:rsidP="00E9795D">
      <w:pPr>
        <w:pStyle w:val="Textonotapie"/>
        <w:ind w:firstLine="708"/>
        <w:jc w:val="both"/>
        <w:rPr>
          <w:rFonts w:ascii="Verdana" w:hAnsi="Verdana" w:cs="Arial"/>
          <w:sz w:val="18"/>
          <w:szCs w:val="18"/>
        </w:rPr>
      </w:pPr>
      <w:r w:rsidRPr="00431B45">
        <w:rPr>
          <w:rStyle w:val="Refdenotaalpie"/>
          <w:rFonts w:ascii="Verdana" w:hAnsi="Verdana" w:cs="Arial"/>
          <w:sz w:val="18"/>
          <w:szCs w:val="18"/>
        </w:rPr>
        <w:footnoteRef/>
      </w:r>
      <w:r w:rsidRPr="00431B45">
        <w:rPr>
          <w:rFonts w:ascii="Verdana" w:hAnsi="Verdana" w:cs="Arial"/>
          <w:sz w:val="18"/>
          <w:szCs w:val="18"/>
        </w:rPr>
        <w:t xml:space="preserve"> EXPÓSITO VÉLEZ, Juan Carlos. Forma y contenido del contrato estatal, Bogotá: Universidad Externado de Colombia, 2013, p. 190. </w:t>
      </w:r>
    </w:p>
    <w:p w14:paraId="06A1ACD6" w14:textId="77777777" w:rsidR="00E9795D" w:rsidRPr="00431B45" w:rsidRDefault="00E9795D" w:rsidP="00E9795D">
      <w:pPr>
        <w:pStyle w:val="Textonotapie"/>
        <w:ind w:firstLine="708"/>
        <w:jc w:val="both"/>
        <w:rPr>
          <w:rFonts w:ascii="Verdana" w:hAnsi="Verdana" w:cs="Arial"/>
          <w:sz w:val="18"/>
          <w:szCs w:val="18"/>
        </w:rPr>
      </w:pPr>
    </w:p>
  </w:footnote>
  <w:footnote w:id="16">
    <w:p w14:paraId="03704844" w14:textId="77777777" w:rsidR="00E9795D" w:rsidRPr="00431B45" w:rsidRDefault="00E9795D" w:rsidP="00E9795D">
      <w:pPr>
        <w:spacing w:after="0"/>
        <w:ind w:firstLine="708"/>
        <w:jc w:val="both"/>
        <w:rPr>
          <w:rFonts w:ascii="Verdana" w:hAnsi="Verdana" w:cs="Arial"/>
          <w:color w:val="000000" w:themeColor="text1"/>
          <w:sz w:val="18"/>
          <w:szCs w:val="18"/>
        </w:rPr>
      </w:pPr>
      <w:r w:rsidRPr="00431B45">
        <w:rPr>
          <w:rStyle w:val="Refdenotaalpie"/>
          <w:rFonts w:ascii="Verdana" w:hAnsi="Verdana" w:cs="Arial"/>
          <w:color w:val="000000" w:themeColor="text1"/>
          <w:sz w:val="18"/>
          <w:szCs w:val="18"/>
        </w:rPr>
        <w:footnoteRef/>
      </w:r>
      <w:r w:rsidRPr="00431B45">
        <w:rPr>
          <w:rFonts w:ascii="Verdana" w:hAnsi="Verdana" w:cs="Arial"/>
          <w:color w:val="000000" w:themeColor="text1"/>
          <w:sz w:val="18"/>
          <w:szCs w:val="18"/>
        </w:rPr>
        <w:t xml:space="preserve"> Diario Oficial No. 41.094 de 28 de octubre de 1993</w:t>
      </w:r>
    </w:p>
  </w:footnote>
  <w:footnote w:id="17">
    <w:p w14:paraId="059106DD" w14:textId="77777777" w:rsidR="00E9795D" w:rsidRPr="00431B45" w:rsidRDefault="00E9795D" w:rsidP="00E9795D">
      <w:pPr>
        <w:pStyle w:val="Textonotapie"/>
        <w:ind w:firstLine="708"/>
        <w:jc w:val="both"/>
        <w:rPr>
          <w:rFonts w:ascii="Verdana" w:hAnsi="Verdana" w:cs="Arial"/>
          <w:sz w:val="18"/>
          <w:szCs w:val="18"/>
        </w:rPr>
      </w:pPr>
      <w:r w:rsidRPr="00431B45">
        <w:rPr>
          <w:rStyle w:val="Refdenotaalpie"/>
          <w:rFonts w:ascii="Verdana" w:hAnsi="Verdana" w:cs="Arial"/>
          <w:sz w:val="18"/>
          <w:szCs w:val="18"/>
        </w:rPr>
        <w:footnoteRef/>
      </w:r>
      <w:r w:rsidRPr="00431B45">
        <w:rPr>
          <w:rFonts w:ascii="Verdana" w:hAnsi="Verdana" w:cs="Arial"/>
          <w:sz w:val="18"/>
          <w:szCs w:val="18"/>
        </w:rPr>
        <w:t xml:space="preserve"> EXPÓSITO VÉLEZ, Juan Carlos. Forma y contenido del contrato estatal, Bogotá: Universidad Externado de Colombia, 2013, p. 202 y 203.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0B6"/>
    <w:rsid w:val="000027E0"/>
    <w:rsid w:val="00016F78"/>
    <w:rsid w:val="000228F5"/>
    <w:rsid w:val="0002405E"/>
    <w:rsid w:val="00046945"/>
    <w:rsid w:val="00061B2A"/>
    <w:rsid w:val="00073786"/>
    <w:rsid w:val="00082362"/>
    <w:rsid w:val="00091F46"/>
    <w:rsid w:val="00096A5A"/>
    <w:rsid w:val="000A5031"/>
    <w:rsid w:val="000A683E"/>
    <w:rsid w:val="000A7DAD"/>
    <w:rsid w:val="000B19B9"/>
    <w:rsid w:val="000D0334"/>
    <w:rsid w:val="000D40FC"/>
    <w:rsid w:val="000F6486"/>
    <w:rsid w:val="0011134F"/>
    <w:rsid w:val="00112504"/>
    <w:rsid w:val="001135B2"/>
    <w:rsid w:val="00125105"/>
    <w:rsid w:val="00127233"/>
    <w:rsid w:val="00130B49"/>
    <w:rsid w:val="001347C8"/>
    <w:rsid w:val="00134B45"/>
    <w:rsid w:val="0013665E"/>
    <w:rsid w:val="00140CD4"/>
    <w:rsid w:val="00145285"/>
    <w:rsid w:val="00156255"/>
    <w:rsid w:val="00165491"/>
    <w:rsid w:val="0016628E"/>
    <w:rsid w:val="00166EAF"/>
    <w:rsid w:val="00174321"/>
    <w:rsid w:val="001829FB"/>
    <w:rsid w:val="00191496"/>
    <w:rsid w:val="001B3702"/>
    <w:rsid w:val="001B4AE9"/>
    <w:rsid w:val="001C0BEE"/>
    <w:rsid w:val="001C62BF"/>
    <w:rsid w:val="001E4177"/>
    <w:rsid w:val="001F7DC6"/>
    <w:rsid w:val="002044A2"/>
    <w:rsid w:val="00211A94"/>
    <w:rsid w:val="00224B8D"/>
    <w:rsid w:val="002260E6"/>
    <w:rsid w:val="00240D98"/>
    <w:rsid w:val="002421BB"/>
    <w:rsid w:val="0024280B"/>
    <w:rsid w:val="0024392A"/>
    <w:rsid w:val="00247488"/>
    <w:rsid w:val="0025796E"/>
    <w:rsid w:val="002707A2"/>
    <w:rsid w:val="002725B5"/>
    <w:rsid w:val="002951A0"/>
    <w:rsid w:val="002962BC"/>
    <w:rsid w:val="002A093D"/>
    <w:rsid w:val="002A0DD0"/>
    <w:rsid w:val="002A29EF"/>
    <w:rsid w:val="002A49AC"/>
    <w:rsid w:val="002A5CE0"/>
    <w:rsid w:val="002A64FD"/>
    <w:rsid w:val="002B4162"/>
    <w:rsid w:val="002B46A3"/>
    <w:rsid w:val="002C34D7"/>
    <w:rsid w:val="002C7A84"/>
    <w:rsid w:val="002D33A3"/>
    <w:rsid w:val="002D62AF"/>
    <w:rsid w:val="002E4FD9"/>
    <w:rsid w:val="002E53C0"/>
    <w:rsid w:val="002E572B"/>
    <w:rsid w:val="00315B48"/>
    <w:rsid w:val="00322A85"/>
    <w:rsid w:val="00324168"/>
    <w:rsid w:val="003311B8"/>
    <w:rsid w:val="003448F4"/>
    <w:rsid w:val="00361C05"/>
    <w:rsid w:val="00371EF9"/>
    <w:rsid w:val="00372484"/>
    <w:rsid w:val="00374F5E"/>
    <w:rsid w:val="00377E3E"/>
    <w:rsid w:val="0038671E"/>
    <w:rsid w:val="003957DF"/>
    <w:rsid w:val="003A779E"/>
    <w:rsid w:val="003A7DAB"/>
    <w:rsid w:val="003D0F4D"/>
    <w:rsid w:val="003D22C2"/>
    <w:rsid w:val="003D5B0D"/>
    <w:rsid w:val="003E0499"/>
    <w:rsid w:val="003E0F21"/>
    <w:rsid w:val="003E4A86"/>
    <w:rsid w:val="003F3941"/>
    <w:rsid w:val="003F50F6"/>
    <w:rsid w:val="004055B7"/>
    <w:rsid w:val="00406575"/>
    <w:rsid w:val="00407ADA"/>
    <w:rsid w:val="00414C74"/>
    <w:rsid w:val="00420119"/>
    <w:rsid w:val="0042722E"/>
    <w:rsid w:val="00431B45"/>
    <w:rsid w:val="004340D0"/>
    <w:rsid w:val="00442C50"/>
    <w:rsid w:val="0044528D"/>
    <w:rsid w:val="0047679D"/>
    <w:rsid w:val="004A1847"/>
    <w:rsid w:val="004A305D"/>
    <w:rsid w:val="004C2602"/>
    <w:rsid w:val="004E23B3"/>
    <w:rsid w:val="004F21C4"/>
    <w:rsid w:val="004F2343"/>
    <w:rsid w:val="004F685F"/>
    <w:rsid w:val="00513BD9"/>
    <w:rsid w:val="00521B7E"/>
    <w:rsid w:val="005566E8"/>
    <w:rsid w:val="005633BD"/>
    <w:rsid w:val="00574867"/>
    <w:rsid w:val="00591460"/>
    <w:rsid w:val="005943E9"/>
    <w:rsid w:val="005955F6"/>
    <w:rsid w:val="005A3961"/>
    <w:rsid w:val="005C331B"/>
    <w:rsid w:val="005C3777"/>
    <w:rsid w:val="005C45F3"/>
    <w:rsid w:val="005C5CDC"/>
    <w:rsid w:val="005D476C"/>
    <w:rsid w:val="005E33B6"/>
    <w:rsid w:val="005E5E01"/>
    <w:rsid w:val="005F5E3F"/>
    <w:rsid w:val="006006CB"/>
    <w:rsid w:val="006159AB"/>
    <w:rsid w:val="006219F8"/>
    <w:rsid w:val="006302F7"/>
    <w:rsid w:val="006456C8"/>
    <w:rsid w:val="00646117"/>
    <w:rsid w:val="00651A65"/>
    <w:rsid w:val="006626AD"/>
    <w:rsid w:val="00665D70"/>
    <w:rsid w:val="00671385"/>
    <w:rsid w:val="00673B35"/>
    <w:rsid w:val="00674DED"/>
    <w:rsid w:val="006900D9"/>
    <w:rsid w:val="006907F9"/>
    <w:rsid w:val="0069343C"/>
    <w:rsid w:val="006A760C"/>
    <w:rsid w:val="006B186E"/>
    <w:rsid w:val="006B2443"/>
    <w:rsid w:val="006B24C7"/>
    <w:rsid w:val="006B2AE5"/>
    <w:rsid w:val="006C4FD6"/>
    <w:rsid w:val="006D1676"/>
    <w:rsid w:val="006D7100"/>
    <w:rsid w:val="006F14FE"/>
    <w:rsid w:val="006F7C7E"/>
    <w:rsid w:val="00702C08"/>
    <w:rsid w:val="00702DB6"/>
    <w:rsid w:val="00706C16"/>
    <w:rsid w:val="0072134C"/>
    <w:rsid w:val="007350D0"/>
    <w:rsid w:val="00735844"/>
    <w:rsid w:val="00736C0D"/>
    <w:rsid w:val="0074223F"/>
    <w:rsid w:val="0074581C"/>
    <w:rsid w:val="0074747D"/>
    <w:rsid w:val="007525D9"/>
    <w:rsid w:val="00754854"/>
    <w:rsid w:val="00756841"/>
    <w:rsid w:val="007649AB"/>
    <w:rsid w:val="0076720F"/>
    <w:rsid w:val="007708FB"/>
    <w:rsid w:val="00771D0C"/>
    <w:rsid w:val="00772E70"/>
    <w:rsid w:val="007806A2"/>
    <w:rsid w:val="007833AC"/>
    <w:rsid w:val="00787796"/>
    <w:rsid w:val="007B268C"/>
    <w:rsid w:val="007B3C4A"/>
    <w:rsid w:val="007B7171"/>
    <w:rsid w:val="007C0C0F"/>
    <w:rsid w:val="007C16B4"/>
    <w:rsid w:val="007C3DC2"/>
    <w:rsid w:val="007C59BF"/>
    <w:rsid w:val="007E0513"/>
    <w:rsid w:val="007E33E4"/>
    <w:rsid w:val="007E5497"/>
    <w:rsid w:val="007E6E09"/>
    <w:rsid w:val="007F0402"/>
    <w:rsid w:val="007F0CC1"/>
    <w:rsid w:val="007F4D75"/>
    <w:rsid w:val="00806F5F"/>
    <w:rsid w:val="00811DF3"/>
    <w:rsid w:val="00820278"/>
    <w:rsid w:val="00824C3A"/>
    <w:rsid w:val="008309E2"/>
    <w:rsid w:val="008463E1"/>
    <w:rsid w:val="00867F95"/>
    <w:rsid w:val="008737A1"/>
    <w:rsid w:val="008843B6"/>
    <w:rsid w:val="0089130B"/>
    <w:rsid w:val="00891928"/>
    <w:rsid w:val="00895C65"/>
    <w:rsid w:val="00897A3A"/>
    <w:rsid w:val="008A446D"/>
    <w:rsid w:val="008A7C20"/>
    <w:rsid w:val="008C6C37"/>
    <w:rsid w:val="008D180B"/>
    <w:rsid w:val="008D4EBE"/>
    <w:rsid w:val="008D7AEE"/>
    <w:rsid w:val="008F0EA7"/>
    <w:rsid w:val="008F7319"/>
    <w:rsid w:val="009111AB"/>
    <w:rsid w:val="00913E3E"/>
    <w:rsid w:val="00923EEF"/>
    <w:rsid w:val="009419F9"/>
    <w:rsid w:val="0095521C"/>
    <w:rsid w:val="0095685E"/>
    <w:rsid w:val="00961B09"/>
    <w:rsid w:val="0096359D"/>
    <w:rsid w:val="009642C8"/>
    <w:rsid w:val="00965334"/>
    <w:rsid w:val="0097093E"/>
    <w:rsid w:val="00980631"/>
    <w:rsid w:val="009A0DFA"/>
    <w:rsid w:val="009A7200"/>
    <w:rsid w:val="009B25A8"/>
    <w:rsid w:val="009B2D26"/>
    <w:rsid w:val="009C71FA"/>
    <w:rsid w:val="009C72E7"/>
    <w:rsid w:val="009D3058"/>
    <w:rsid w:val="009F028D"/>
    <w:rsid w:val="009F3A13"/>
    <w:rsid w:val="00A122D3"/>
    <w:rsid w:val="00A16C3D"/>
    <w:rsid w:val="00A17F13"/>
    <w:rsid w:val="00A20739"/>
    <w:rsid w:val="00A225F7"/>
    <w:rsid w:val="00A33C78"/>
    <w:rsid w:val="00A44162"/>
    <w:rsid w:val="00A44929"/>
    <w:rsid w:val="00A51DA4"/>
    <w:rsid w:val="00A536AE"/>
    <w:rsid w:val="00A561D1"/>
    <w:rsid w:val="00A6198A"/>
    <w:rsid w:val="00A63D54"/>
    <w:rsid w:val="00A65D1F"/>
    <w:rsid w:val="00A67572"/>
    <w:rsid w:val="00A67AB0"/>
    <w:rsid w:val="00A80D11"/>
    <w:rsid w:val="00A83808"/>
    <w:rsid w:val="00A9381E"/>
    <w:rsid w:val="00A954D2"/>
    <w:rsid w:val="00AA3A93"/>
    <w:rsid w:val="00AA7C6E"/>
    <w:rsid w:val="00AB0ADB"/>
    <w:rsid w:val="00AB5623"/>
    <w:rsid w:val="00AC11CD"/>
    <w:rsid w:val="00AD1DC1"/>
    <w:rsid w:val="00AD20F0"/>
    <w:rsid w:val="00AD29D6"/>
    <w:rsid w:val="00AE3BF9"/>
    <w:rsid w:val="00AE468E"/>
    <w:rsid w:val="00AF429A"/>
    <w:rsid w:val="00B00C0E"/>
    <w:rsid w:val="00B01488"/>
    <w:rsid w:val="00B01B1A"/>
    <w:rsid w:val="00B44A47"/>
    <w:rsid w:val="00B564BD"/>
    <w:rsid w:val="00B72CD3"/>
    <w:rsid w:val="00B72FFF"/>
    <w:rsid w:val="00B7684E"/>
    <w:rsid w:val="00B97880"/>
    <w:rsid w:val="00BA0B5D"/>
    <w:rsid w:val="00BA4A88"/>
    <w:rsid w:val="00BB1A72"/>
    <w:rsid w:val="00BB2ED4"/>
    <w:rsid w:val="00BC3D36"/>
    <w:rsid w:val="00BD3251"/>
    <w:rsid w:val="00BD4D31"/>
    <w:rsid w:val="00BD7F72"/>
    <w:rsid w:val="00BF32B8"/>
    <w:rsid w:val="00C00238"/>
    <w:rsid w:val="00C00F4E"/>
    <w:rsid w:val="00C04FB3"/>
    <w:rsid w:val="00C145B0"/>
    <w:rsid w:val="00C24892"/>
    <w:rsid w:val="00C265A4"/>
    <w:rsid w:val="00C330EB"/>
    <w:rsid w:val="00C335D3"/>
    <w:rsid w:val="00C377D1"/>
    <w:rsid w:val="00C37C77"/>
    <w:rsid w:val="00C43551"/>
    <w:rsid w:val="00C474F8"/>
    <w:rsid w:val="00C540C0"/>
    <w:rsid w:val="00C55C2F"/>
    <w:rsid w:val="00C56155"/>
    <w:rsid w:val="00C628F9"/>
    <w:rsid w:val="00C64A14"/>
    <w:rsid w:val="00C71077"/>
    <w:rsid w:val="00C726ED"/>
    <w:rsid w:val="00C73832"/>
    <w:rsid w:val="00C753DF"/>
    <w:rsid w:val="00C754BE"/>
    <w:rsid w:val="00C76B1C"/>
    <w:rsid w:val="00C82BE8"/>
    <w:rsid w:val="00C91719"/>
    <w:rsid w:val="00C958AD"/>
    <w:rsid w:val="00CA75D7"/>
    <w:rsid w:val="00CB6357"/>
    <w:rsid w:val="00CC1B26"/>
    <w:rsid w:val="00CC1D56"/>
    <w:rsid w:val="00CD2279"/>
    <w:rsid w:val="00CD6A9B"/>
    <w:rsid w:val="00CE39EC"/>
    <w:rsid w:val="00CF0452"/>
    <w:rsid w:val="00D02C50"/>
    <w:rsid w:val="00D063A8"/>
    <w:rsid w:val="00D20D4E"/>
    <w:rsid w:val="00D423A2"/>
    <w:rsid w:val="00D51A92"/>
    <w:rsid w:val="00D520D8"/>
    <w:rsid w:val="00D54E07"/>
    <w:rsid w:val="00D63AC2"/>
    <w:rsid w:val="00D7383B"/>
    <w:rsid w:val="00D76FCA"/>
    <w:rsid w:val="00D962A7"/>
    <w:rsid w:val="00DA231B"/>
    <w:rsid w:val="00DA36ED"/>
    <w:rsid w:val="00DA5F51"/>
    <w:rsid w:val="00DB3E83"/>
    <w:rsid w:val="00DB6779"/>
    <w:rsid w:val="00DB6AD3"/>
    <w:rsid w:val="00DC39FC"/>
    <w:rsid w:val="00DC67BF"/>
    <w:rsid w:val="00DC72E6"/>
    <w:rsid w:val="00DD500F"/>
    <w:rsid w:val="00DF5254"/>
    <w:rsid w:val="00DF7BEB"/>
    <w:rsid w:val="00E0662F"/>
    <w:rsid w:val="00E16408"/>
    <w:rsid w:val="00E20894"/>
    <w:rsid w:val="00E245AB"/>
    <w:rsid w:val="00E2764C"/>
    <w:rsid w:val="00E27F2E"/>
    <w:rsid w:val="00E37882"/>
    <w:rsid w:val="00E50AFE"/>
    <w:rsid w:val="00E641D4"/>
    <w:rsid w:val="00E6702E"/>
    <w:rsid w:val="00E75C92"/>
    <w:rsid w:val="00E771DC"/>
    <w:rsid w:val="00E82AA8"/>
    <w:rsid w:val="00E83247"/>
    <w:rsid w:val="00E85526"/>
    <w:rsid w:val="00E8772A"/>
    <w:rsid w:val="00E90F6B"/>
    <w:rsid w:val="00E92C27"/>
    <w:rsid w:val="00E943FB"/>
    <w:rsid w:val="00E9795D"/>
    <w:rsid w:val="00EA0E3D"/>
    <w:rsid w:val="00EA29DB"/>
    <w:rsid w:val="00EC05F4"/>
    <w:rsid w:val="00EC38A7"/>
    <w:rsid w:val="00EC5351"/>
    <w:rsid w:val="00EC6F09"/>
    <w:rsid w:val="00EE1AA8"/>
    <w:rsid w:val="00EE5AC0"/>
    <w:rsid w:val="00EF40FD"/>
    <w:rsid w:val="00F063A5"/>
    <w:rsid w:val="00F13FA2"/>
    <w:rsid w:val="00F209B5"/>
    <w:rsid w:val="00F247A5"/>
    <w:rsid w:val="00F247AF"/>
    <w:rsid w:val="00F31EDC"/>
    <w:rsid w:val="00F462B3"/>
    <w:rsid w:val="00F5664F"/>
    <w:rsid w:val="00F62691"/>
    <w:rsid w:val="00F666C4"/>
    <w:rsid w:val="00F70734"/>
    <w:rsid w:val="00F757F9"/>
    <w:rsid w:val="00F763CF"/>
    <w:rsid w:val="00F76AFC"/>
    <w:rsid w:val="00F9716F"/>
    <w:rsid w:val="00F97B7F"/>
    <w:rsid w:val="00FA47C0"/>
    <w:rsid w:val="00FB0485"/>
    <w:rsid w:val="00FB5DD1"/>
    <w:rsid w:val="00FC2B5D"/>
    <w:rsid w:val="00FC2F77"/>
    <w:rsid w:val="00FC7D99"/>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F7C7E"/>
    <w:rPr>
      <w:rFonts w:ascii="Geomanist Light" w:hAnsi="Geomanist Light"/>
      <w:lang w:val="es-ES"/>
    </w:rPr>
  </w:style>
  <w:style w:type="paragraph" w:customStyle="1" w:styleId="Appelnotedebasde">
    <w:name w:val="Appel note de bas de..."/>
    <w:basedOn w:val="Normal"/>
    <w:link w:val="Refdenotaalpie"/>
    <w:uiPriority w:val="99"/>
    <w:rsid w:val="00B7684E"/>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atalia_rondonquin@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5AAC6B4-FA66-4FA3-B6EA-D479699D3E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17</Pages>
  <Words>4689</Words>
  <Characters>25792</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11</cp:revision>
  <cp:lastPrinted>2023-01-10T21:18:00Z</cp:lastPrinted>
  <dcterms:created xsi:type="dcterms:W3CDTF">2025-11-12T17:18:00Z</dcterms:created>
  <dcterms:modified xsi:type="dcterms:W3CDTF">2025-11-13T19:50:00Z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