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6D3FD" w14:textId="77777777" w:rsidR="00AD755F" w:rsidRPr="00185A06" w:rsidRDefault="00AD755F" w:rsidP="00185A06">
      <w:pPr>
        <w:spacing w:after="0" w:line="240" w:lineRule="auto"/>
        <w:jc w:val="both"/>
        <w:rPr>
          <w:rFonts w:ascii="Verdana" w:eastAsia="Calibri" w:hAnsi="Verdana" w:cs="Arial"/>
          <w:b/>
          <w:bCs/>
          <w:color w:val="000000" w:themeColor="text1"/>
          <w:lang w:eastAsia="es-ES"/>
        </w:rPr>
      </w:pPr>
      <w:bookmarkStart w:id="0" w:name="_Hlk186494164"/>
      <w:r w:rsidRPr="00185A06">
        <w:rPr>
          <w:rFonts w:ascii="Verdana" w:eastAsia="Calibri" w:hAnsi="Verdana" w:cs="Arial"/>
          <w:b/>
          <w:bCs/>
          <w:color w:val="000000" w:themeColor="text1"/>
          <w:lang w:eastAsia="es-ES"/>
        </w:rPr>
        <w:t xml:space="preserve">MEMORANDO DE ENTENDIMIENTO – </w:t>
      </w:r>
      <w:r w:rsidRPr="00185A06">
        <w:rPr>
          <w:rFonts w:ascii="Verdana" w:eastAsia="Calibri" w:hAnsi="Verdana" w:cs="Arial"/>
          <w:b/>
          <w:bCs/>
          <w:color w:val="000000" w:themeColor="text1"/>
          <w:lang w:val="es-ES" w:eastAsia="es-ES"/>
        </w:rPr>
        <w:t xml:space="preserve">Definición </w:t>
      </w:r>
      <w:r w:rsidRPr="00185A06">
        <w:rPr>
          <w:rFonts w:ascii="Verdana" w:eastAsia="Calibri" w:hAnsi="Verdana" w:cs="Arial"/>
          <w:b/>
          <w:bCs/>
          <w:color w:val="000000" w:themeColor="text1"/>
          <w:lang w:eastAsia="es-ES"/>
        </w:rPr>
        <w:t>– Normativa</w:t>
      </w:r>
    </w:p>
    <w:p w14:paraId="4050FCA1" w14:textId="77777777" w:rsidR="00185A06" w:rsidRPr="00185A06" w:rsidRDefault="00185A06" w:rsidP="00185A06">
      <w:pPr>
        <w:spacing w:after="0" w:line="240" w:lineRule="auto"/>
        <w:jc w:val="both"/>
        <w:rPr>
          <w:rFonts w:ascii="Verdana" w:eastAsia="Calibri" w:hAnsi="Verdana" w:cs="Arial"/>
          <w:b/>
          <w:bCs/>
          <w:color w:val="000000" w:themeColor="text1"/>
          <w:sz w:val="20"/>
          <w:szCs w:val="20"/>
          <w:lang w:eastAsia="es-ES"/>
        </w:rPr>
      </w:pPr>
    </w:p>
    <w:p w14:paraId="2EBF7444" w14:textId="77777777" w:rsidR="00AD755F" w:rsidRPr="00185A06" w:rsidRDefault="00AD755F" w:rsidP="00185A06">
      <w:pPr>
        <w:spacing w:after="0" w:line="240" w:lineRule="auto"/>
        <w:jc w:val="both"/>
        <w:rPr>
          <w:sz w:val="20"/>
          <w:szCs w:val="20"/>
        </w:rPr>
      </w:pPr>
      <w:r w:rsidRPr="00185A06">
        <w:rPr>
          <w:rFonts w:ascii="Verdana" w:eastAsia="Geomanist Light" w:hAnsi="Verdana" w:cs="Arial"/>
          <w:color w:val="000000" w:themeColor="text1"/>
          <w:sz w:val="20"/>
          <w:szCs w:val="20"/>
        </w:rPr>
        <w:t>Los memorandos de entendimientos son instrumentos simplificados en los cuales se incluyen intenciones, compromisos, aspiraciones, propósitos o se desarrollan instrumentos preexistentes. En los mismos no se contemplan obligaciones de comportamiento reales, ni términos imperativos u obligacionales, sino más bien clausulas programáticas que suelen contener simples exhortaciones o declaraciones de intención. Las normas que regulan los memorandos de entendimiento o cartas de intención corresponden a aquellas que de manera general le asignan las funciones a las Entidades Estatales. En este orden de ideas, este tipo de acuerdos no tienen el alcance de contrato estatal, en la medida en que no generan obligaciones para quienes lo suscriben, en consecuencia, no están sujetos a la normativa del Sistema de Compra Pública.</w:t>
      </w:r>
    </w:p>
    <w:p w14:paraId="01DC2900" w14:textId="77777777" w:rsidR="00AD755F" w:rsidRPr="00185A06" w:rsidRDefault="00AD755F" w:rsidP="00185A06">
      <w:pPr>
        <w:spacing w:after="0" w:line="240" w:lineRule="auto"/>
        <w:jc w:val="both"/>
        <w:rPr>
          <w:rFonts w:ascii="Verdana" w:eastAsia="Aptos" w:hAnsi="Verdana" w:cs="Times New Roman"/>
          <w:sz w:val="20"/>
          <w:szCs w:val="20"/>
          <w:shd w:val="clear" w:color="auto" w:fill="FFFFFF"/>
        </w:rPr>
      </w:pPr>
    </w:p>
    <w:p w14:paraId="761DA5BC" w14:textId="77777777" w:rsidR="00AD755F" w:rsidRPr="00185A06" w:rsidRDefault="00AD755F" w:rsidP="00185A06">
      <w:pPr>
        <w:spacing w:after="0" w:line="240" w:lineRule="auto"/>
        <w:jc w:val="both"/>
        <w:rPr>
          <w:rFonts w:ascii="Verdana" w:eastAsia="Aptos" w:hAnsi="Verdana" w:cs="Times New Roman"/>
          <w:shd w:val="clear" w:color="auto" w:fill="FFFFFF"/>
        </w:rPr>
      </w:pPr>
      <w:r w:rsidRPr="00185A06">
        <w:rPr>
          <w:rFonts w:ascii="Verdana" w:eastAsia="Calibri" w:hAnsi="Verdana" w:cs="Arial"/>
          <w:b/>
          <w:bCs/>
          <w:color w:val="000000" w:themeColor="text1"/>
          <w:lang w:eastAsia="es-ES"/>
        </w:rPr>
        <w:t xml:space="preserve">MEMORANDO DE ENTENDIMIENTO – </w:t>
      </w:r>
      <w:r w:rsidRPr="00185A06">
        <w:rPr>
          <w:rFonts w:ascii="Verdana" w:eastAsia="Calibri" w:hAnsi="Verdana" w:cs="Arial"/>
          <w:b/>
          <w:bCs/>
          <w:color w:val="000000" w:themeColor="text1"/>
          <w:lang w:val="es-ES" w:eastAsia="es-ES"/>
        </w:rPr>
        <w:t>Partes</w:t>
      </w:r>
    </w:p>
    <w:p w14:paraId="6A6C1B1A" w14:textId="77777777" w:rsidR="00AD755F" w:rsidRPr="00185A06" w:rsidRDefault="00AD755F" w:rsidP="00185A06">
      <w:pPr>
        <w:spacing w:after="0" w:line="240" w:lineRule="auto"/>
        <w:jc w:val="both"/>
        <w:rPr>
          <w:rFonts w:ascii="Verdana" w:eastAsia="Aptos" w:hAnsi="Verdana" w:cs="Times New Roman"/>
          <w:sz w:val="20"/>
          <w:szCs w:val="20"/>
          <w:shd w:val="clear" w:color="auto" w:fill="FFFFFF"/>
        </w:rPr>
      </w:pPr>
    </w:p>
    <w:p w14:paraId="5C943341" w14:textId="785C7E54" w:rsidR="009829AA" w:rsidRPr="009829AA" w:rsidRDefault="009829AA" w:rsidP="009829AA">
      <w:pPr>
        <w:spacing w:after="0" w:line="240" w:lineRule="auto"/>
        <w:jc w:val="both"/>
        <w:rPr>
          <w:rFonts w:ascii="Verdana" w:eastAsia="Calibri" w:hAnsi="Verdana" w:cs="Arial"/>
          <w:sz w:val="20"/>
          <w:szCs w:val="20"/>
          <w:lang w:val="es-ES" w:eastAsia="es-ES" w:bidi="es-ES"/>
        </w:rPr>
      </w:pPr>
      <w:r>
        <w:rPr>
          <w:rFonts w:ascii="Verdana" w:eastAsia="Calibri" w:hAnsi="Verdana" w:cs="Arial"/>
          <w:sz w:val="20"/>
          <w:szCs w:val="20"/>
          <w:lang w:val="es-ES" w:eastAsia="es-ES" w:bidi="es-ES"/>
        </w:rPr>
        <w:t>L</w:t>
      </w:r>
      <w:r w:rsidRPr="009829AA">
        <w:rPr>
          <w:rFonts w:ascii="Verdana" w:eastAsia="Calibri" w:hAnsi="Verdana" w:cs="Arial"/>
          <w:sz w:val="20"/>
          <w:szCs w:val="20"/>
          <w:lang w:val="es-ES" w:eastAsia="es-ES" w:bidi="es-ES"/>
        </w:rPr>
        <w:t xml:space="preserve">os memorandos de entendimiento no tienen el alcance de contrato estatal, debido a que no generan obligaciones para las partes y no están contemplados en la normativa del Sistema de Compra Pública. </w:t>
      </w:r>
      <w:r w:rsidRPr="009829AA">
        <w:rPr>
          <w:rFonts w:ascii="Verdana" w:eastAsia="Calibri" w:hAnsi="Verdana" w:cs="Arial"/>
          <w:sz w:val="20"/>
          <w:szCs w:val="20"/>
          <w:lang w:eastAsia="es-ES"/>
        </w:rPr>
        <w:t>De esta forma, como acuerdos suscritos entre entidades estatales, al no generar obligaciones entre los suscribientes, sino lineamientos generales dirigidos a ser concretados en un acuerdo final, no se encuentran sometidos al Estatuto General de Contratación de la Administración Pública, por lo que no les resulta aplicables las solemnidades requeridas para la celebración y ejecución de contratos estatales.</w:t>
      </w:r>
    </w:p>
    <w:p w14:paraId="417E4FA8" w14:textId="77777777" w:rsidR="00C8424F" w:rsidRPr="00BC0ABD" w:rsidRDefault="00C8424F" w:rsidP="00185A06">
      <w:pPr>
        <w:spacing w:after="0" w:line="240" w:lineRule="auto"/>
        <w:jc w:val="both"/>
        <w:rPr>
          <w:rFonts w:ascii="Verdana" w:eastAsia="Calibri" w:hAnsi="Verdana" w:cs="Arial"/>
          <w:b/>
          <w:bCs/>
          <w:lang w:val="es-ES" w:eastAsia="es-ES"/>
        </w:rPr>
      </w:pPr>
    </w:p>
    <w:p w14:paraId="7729C593" w14:textId="69E99822" w:rsidR="00C8424F" w:rsidRPr="00BC0ABD" w:rsidRDefault="00C8424F" w:rsidP="00185A06">
      <w:pPr>
        <w:spacing w:after="0" w:line="240" w:lineRule="auto"/>
        <w:jc w:val="both"/>
        <w:rPr>
          <w:rFonts w:ascii="Verdana" w:eastAsia="Calibri" w:hAnsi="Verdana" w:cs="Arial"/>
          <w:b/>
          <w:bCs/>
          <w:lang w:val="es-ES" w:eastAsia="es-ES"/>
        </w:rPr>
      </w:pPr>
      <w:r w:rsidRPr="00BC0ABD">
        <w:rPr>
          <w:rFonts w:ascii="Verdana" w:eastAsia="Calibri" w:hAnsi="Verdana" w:cs="Arial"/>
          <w:b/>
          <w:bCs/>
          <w:lang w:val="es-ES" w:eastAsia="es-ES"/>
        </w:rPr>
        <w:t xml:space="preserve">PRINCIPIO DE PUBLICIDAD – SECOP – Documentos del proceso – Deber de publicación </w:t>
      </w:r>
    </w:p>
    <w:p w14:paraId="1D212F95" w14:textId="77777777" w:rsidR="00185A06" w:rsidRPr="00185A06" w:rsidRDefault="00185A06" w:rsidP="00185A06">
      <w:pPr>
        <w:spacing w:after="0" w:line="240" w:lineRule="auto"/>
        <w:jc w:val="both"/>
        <w:rPr>
          <w:rFonts w:ascii="Verdana" w:eastAsia="Calibri" w:hAnsi="Verdana" w:cs="Arial"/>
          <w:b/>
          <w:bCs/>
          <w:sz w:val="20"/>
          <w:szCs w:val="20"/>
          <w:lang w:val="es-ES" w:eastAsia="es-ES"/>
        </w:rPr>
      </w:pPr>
    </w:p>
    <w:p w14:paraId="188D8B45" w14:textId="3E71B70C" w:rsidR="00C8424F" w:rsidRDefault="009829AA" w:rsidP="00185A06">
      <w:pPr>
        <w:spacing w:after="0" w:line="240" w:lineRule="auto"/>
        <w:jc w:val="both"/>
        <w:rPr>
          <w:rFonts w:ascii="Verdana" w:eastAsia="Arial" w:hAnsi="Verdana" w:cs="Arial"/>
          <w:sz w:val="20"/>
          <w:szCs w:val="20"/>
          <w:lang w:val="es-ES"/>
        </w:rPr>
      </w:pPr>
      <w:r>
        <w:rPr>
          <w:rFonts w:ascii="Verdana" w:hAnsi="Verdana" w:cs="Arial"/>
          <w:sz w:val="20"/>
          <w:szCs w:val="20"/>
          <w:lang w:val="es-ES"/>
        </w:rPr>
        <w:t>L</w:t>
      </w:r>
      <w:r w:rsidR="00C8424F" w:rsidRPr="00185A06">
        <w:rPr>
          <w:rFonts w:ascii="Verdana" w:hAnsi="Verdana" w:cs="Arial"/>
          <w:sz w:val="20"/>
          <w:szCs w:val="20"/>
          <w:lang w:val="es-ES"/>
        </w:rPr>
        <w:t>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00C8424F" w:rsidRPr="00185A06">
        <w:rPr>
          <w:rFonts w:ascii="Verdana" w:eastAsia="Arial" w:hAnsi="Verdana" w:cs="Arial"/>
          <w:sz w:val="20"/>
          <w:szCs w:val="20"/>
          <w:lang w:val="es-ES"/>
        </w:rPr>
        <w:t xml:space="preserve"> </w:t>
      </w:r>
    </w:p>
    <w:p w14:paraId="50EAA094" w14:textId="77777777" w:rsidR="00960F98" w:rsidRPr="00185A06" w:rsidRDefault="00960F98" w:rsidP="00185A06">
      <w:pPr>
        <w:spacing w:after="0" w:line="240" w:lineRule="auto"/>
        <w:jc w:val="both"/>
        <w:rPr>
          <w:rFonts w:ascii="Verdana" w:eastAsia="Calibri" w:hAnsi="Verdana" w:cs="Arial"/>
          <w:sz w:val="20"/>
          <w:szCs w:val="20"/>
          <w:lang w:val="es-ES" w:eastAsia="es-ES"/>
        </w:rPr>
      </w:pPr>
    </w:p>
    <w:p w14:paraId="12AB5DC1" w14:textId="46BEF2BC" w:rsidR="00FD2282" w:rsidRPr="00185A06" w:rsidRDefault="00C8424F" w:rsidP="00185A06">
      <w:pPr>
        <w:spacing w:after="0" w:line="240" w:lineRule="auto"/>
        <w:jc w:val="both"/>
        <w:rPr>
          <w:rFonts w:ascii="Verdana" w:eastAsia="Calibri" w:hAnsi="Verdana" w:cs="Arial"/>
          <w:sz w:val="20"/>
          <w:szCs w:val="20"/>
          <w:lang w:val="es-ES" w:eastAsia="es-ES"/>
        </w:rPr>
      </w:pPr>
      <w:r w:rsidRPr="00185A06">
        <w:rPr>
          <w:rFonts w:ascii="Verdana" w:eastAsia="Arial" w:hAnsi="Verdana" w:cs="Arial"/>
          <w:sz w:val="20"/>
          <w:szCs w:val="20"/>
          <w:lang w:val="es-ES"/>
        </w:rPr>
        <w:t xml:space="preserve">No obstante, para identificar los documentos que deben publicarse, es necesario realizar una interpretación sistemática de las disposiciones del Decreto 1082 del 2015, comoquiera que el anterior no es un listado taxativo, sino enunciativo. </w:t>
      </w:r>
    </w:p>
    <w:p w14:paraId="383C0191" w14:textId="77777777" w:rsidR="00FD2282" w:rsidRPr="00185A06" w:rsidRDefault="00FD2282" w:rsidP="00185A06">
      <w:pPr>
        <w:spacing w:after="0" w:line="240" w:lineRule="auto"/>
        <w:rPr>
          <w:rFonts w:ascii="Verdana" w:eastAsia="Geomanist Light" w:hAnsi="Verdana" w:cs="Arial"/>
          <w:color w:val="000000" w:themeColor="text1"/>
          <w:sz w:val="20"/>
          <w:szCs w:val="20"/>
        </w:rPr>
      </w:pPr>
    </w:p>
    <w:p w14:paraId="4CFAB5AF" w14:textId="77777777" w:rsidR="00FD2282" w:rsidRPr="00185A06" w:rsidRDefault="00FD2282" w:rsidP="00185A06">
      <w:pPr>
        <w:spacing w:after="0" w:line="240" w:lineRule="auto"/>
        <w:rPr>
          <w:rFonts w:ascii="Verdana" w:eastAsia="Geomanist Light" w:hAnsi="Verdana" w:cs="Arial"/>
          <w:color w:val="000000" w:themeColor="text1"/>
          <w:sz w:val="20"/>
          <w:szCs w:val="20"/>
        </w:rPr>
      </w:pPr>
    </w:p>
    <w:p w14:paraId="5820FD9C" w14:textId="77777777" w:rsidR="00FD2282" w:rsidRDefault="00FD2282" w:rsidP="00AD4F6A">
      <w:pPr>
        <w:spacing w:after="0" w:line="240" w:lineRule="auto"/>
        <w:rPr>
          <w:rFonts w:ascii="Verdana" w:eastAsia="Geomanist Light" w:hAnsi="Verdana" w:cs="Arial"/>
          <w:color w:val="000000" w:themeColor="text1"/>
        </w:rPr>
      </w:pPr>
    </w:p>
    <w:p w14:paraId="2A750928" w14:textId="77777777" w:rsidR="00FD2282" w:rsidRDefault="00FD2282" w:rsidP="00AD4F6A">
      <w:pPr>
        <w:spacing w:after="0" w:line="240" w:lineRule="auto"/>
        <w:rPr>
          <w:rFonts w:ascii="Verdana" w:eastAsia="Geomanist Light" w:hAnsi="Verdana" w:cs="Arial"/>
          <w:color w:val="000000" w:themeColor="text1"/>
        </w:rPr>
      </w:pPr>
    </w:p>
    <w:p w14:paraId="67C3384D" w14:textId="77777777" w:rsidR="00BC0ABD" w:rsidRDefault="00BC0ABD" w:rsidP="00AD4F6A">
      <w:pPr>
        <w:spacing w:after="0" w:line="240" w:lineRule="auto"/>
        <w:rPr>
          <w:rFonts w:ascii="Verdana" w:eastAsia="Geomanist Light" w:hAnsi="Verdana" w:cs="Arial"/>
          <w:color w:val="000000" w:themeColor="text1"/>
        </w:rPr>
      </w:pPr>
    </w:p>
    <w:p w14:paraId="775812AE" w14:textId="77777777" w:rsidR="00BC0ABD" w:rsidRDefault="00BC0ABD" w:rsidP="00AD4F6A">
      <w:pPr>
        <w:spacing w:after="0" w:line="240" w:lineRule="auto"/>
        <w:rPr>
          <w:rFonts w:ascii="Verdana" w:eastAsia="Geomanist Light" w:hAnsi="Verdana" w:cs="Arial"/>
          <w:color w:val="000000" w:themeColor="text1"/>
        </w:rPr>
      </w:pPr>
    </w:p>
    <w:p w14:paraId="763DC3AE" w14:textId="5B1E93A7" w:rsidR="0087782C" w:rsidRPr="001B26EC" w:rsidRDefault="00634278" w:rsidP="00634278">
      <w:pPr>
        <w:spacing w:after="0" w:line="240" w:lineRule="auto"/>
        <w:rPr>
          <w:rFonts w:ascii="Verdana" w:eastAsia="Geomanist Light" w:hAnsi="Verdana" w:cs="Arial"/>
          <w:color w:val="201F1E"/>
        </w:rPr>
      </w:pPr>
      <w:r w:rsidRPr="001B26EC">
        <w:rPr>
          <w:rFonts w:ascii="Verdana" w:eastAsia="Geomanist Light" w:hAnsi="Verdana" w:cs="Arial"/>
          <w:color w:val="000000" w:themeColor="text1"/>
        </w:rPr>
        <w:lastRenderedPageBreak/>
        <w:t>Bogotá D.C.,</w:t>
      </w:r>
      <w:r w:rsidR="0087782C">
        <w:rPr>
          <w:rFonts w:ascii="Verdana" w:eastAsia="Geomanist Light" w:hAnsi="Verdana" w:cs="Arial"/>
          <w:color w:val="000000" w:themeColor="text1"/>
        </w:rPr>
        <w:t xml:space="preserve"> 10 de noviembre de 2025</w:t>
      </w:r>
    </w:p>
    <w:p w14:paraId="5622F0CE" w14:textId="77777777" w:rsidR="00634278" w:rsidRPr="001B26EC" w:rsidRDefault="00634278" w:rsidP="00634278">
      <w:pPr>
        <w:spacing w:after="0" w:line="240" w:lineRule="auto"/>
        <w:jc w:val="both"/>
        <w:rPr>
          <w:rFonts w:ascii="Verdana" w:eastAsia="Calibri" w:hAnsi="Verdana" w:cs="Arial"/>
          <w:color w:val="000000"/>
        </w:rPr>
      </w:pPr>
    </w:p>
    <w:p w14:paraId="157CE010" w14:textId="134CD3E4" w:rsidR="00634278" w:rsidRPr="001B26EC" w:rsidRDefault="0087782C" w:rsidP="0087782C">
      <w:pPr>
        <w:spacing w:after="0" w:line="240" w:lineRule="auto"/>
        <w:jc w:val="right"/>
        <w:rPr>
          <w:rFonts w:ascii="Verdana" w:eastAsia="Calibri" w:hAnsi="Verdana" w:cs="Arial"/>
          <w:color w:val="000000"/>
        </w:rPr>
      </w:pPr>
      <w:r w:rsidRPr="0087782C">
        <w:rPr>
          <w:rFonts w:ascii="Verdana" w:eastAsia="Calibri" w:hAnsi="Verdana" w:cs="Arial"/>
          <w:noProof/>
          <w:color w:val="000000"/>
        </w:rPr>
        <w:drawing>
          <wp:inline distT="0" distB="0" distL="0" distR="0" wp14:anchorId="08CAAC90" wp14:editId="360E2F54">
            <wp:extent cx="2491740" cy="914400"/>
            <wp:effectExtent l="0" t="0" r="3810" b="0"/>
            <wp:docPr id="20078000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1740" cy="914400"/>
                    </a:xfrm>
                    <a:prstGeom prst="rect">
                      <a:avLst/>
                    </a:prstGeom>
                    <a:noFill/>
                    <a:ln>
                      <a:noFill/>
                    </a:ln>
                  </pic:spPr>
                </pic:pic>
              </a:graphicData>
            </a:graphic>
          </wp:inline>
        </w:drawing>
      </w:r>
    </w:p>
    <w:p w14:paraId="72AC7564" w14:textId="77777777" w:rsidR="00634278" w:rsidRPr="001B26EC" w:rsidRDefault="00634278" w:rsidP="00634278">
      <w:pPr>
        <w:spacing w:after="0" w:line="240" w:lineRule="auto"/>
        <w:jc w:val="both"/>
        <w:rPr>
          <w:rFonts w:ascii="Verdana" w:eastAsia="Calibri" w:hAnsi="Verdana" w:cs="Arial"/>
          <w:lang w:eastAsia="es-ES"/>
        </w:rPr>
      </w:pPr>
      <w:r w:rsidRPr="001B26EC">
        <w:rPr>
          <w:rFonts w:ascii="Verdana" w:eastAsia="Calibri" w:hAnsi="Verdana" w:cs="Arial"/>
          <w:lang w:eastAsia="es-ES"/>
        </w:rPr>
        <w:t>Señor</w:t>
      </w:r>
    </w:p>
    <w:p w14:paraId="5D206447" w14:textId="237031D1" w:rsidR="00634278" w:rsidRPr="001B26EC" w:rsidRDefault="00A15343" w:rsidP="00634278">
      <w:pPr>
        <w:spacing w:after="0" w:line="240" w:lineRule="auto"/>
        <w:jc w:val="both"/>
        <w:rPr>
          <w:rFonts w:ascii="Verdana" w:eastAsia="Calibri" w:hAnsi="Verdana" w:cs="Arial"/>
          <w:b/>
          <w:bCs/>
          <w:lang w:eastAsia="es-ES"/>
        </w:rPr>
      </w:pPr>
      <w:r w:rsidRPr="001B26EC">
        <w:rPr>
          <w:rFonts w:ascii="Verdana" w:eastAsia="Calibri" w:hAnsi="Verdana" w:cs="Arial"/>
          <w:b/>
          <w:bCs/>
          <w:lang w:eastAsia="es-ES"/>
        </w:rPr>
        <w:t>José</w:t>
      </w:r>
      <w:r w:rsidR="00634278" w:rsidRPr="001B26EC">
        <w:rPr>
          <w:rFonts w:ascii="Verdana" w:eastAsia="Calibri" w:hAnsi="Verdana" w:cs="Arial"/>
          <w:b/>
          <w:bCs/>
          <w:lang w:eastAsia="es-ES"/>
        </w:rPr>
        <w:t xml:space="preserve"> Alirio Chocontá </w:t>
      </w:r>
      <w:proofErr w:type="spellStart"/>
      <w:r w:rsidR="00634278" w:rsidRPr="001B26EC">
        <w:rPr>
          <w:rFonts w:ascii="Verdana" w:eastAsia="Calibri" w:hAnsi="Verdana" w:cs="Arial"/>
          <w:b/>
          <w:bCs/>
          <w:lang w:eastAsia="es-ES"/>
        </w:rPr>
        <w:t>Chocontá</w:t>
      </w:r>
      <w:proofErr w:type="spellEnd"/>
    </w:p>
    <w:p w14:paraId="3EB3E7D0" w14:textId="77777777" w:rsidR="00634278" w:rsidRPr="001B26EC" w:rsidRDefault="00634278" w:rsidP="00634278">
      <w:pPr>
        <w:spacing w:after="0" w:line="240" w:lineRule="auto"/>
        <w:jc w:val="both"/>
        <w:rPr>
          <w:rFonts w:ascii="Verdana" w:eastAsia="Calibri" w:hAnsi="Verdana" w:cs="Arial"/>
          <w:b/>
          <w:bCs/>
          <w:lang w:eastAsia="es-ES"/>
        </w:rPr>
      </w:pPr>
      <w:r w:rsidRPr="001B26EC">
        <w:rPr>
          <w:rFonts w:ascii="Verdana" w:eastAsia="Calibri" w:hAnsi="Verdana" w:cs="Arial"/>
          <w:b/>
          <w:bCs/>
          <w:lang w:eastAsia="es-ES"/>
        </w:rPr>
        <w:t xml:space="preserve">Subdirector de Prestaciones Sociales </w:t>
      </w:r>
    </w:p>
    <w:p w14:paraId="16D0DF3F" w14:textId="77777777" w:rsidR="00634278" w:rsidRPr="001B26EC" w:rsidRDefault="00634278" w:rsidP="00634278">
      <w:pPr>
        <w:spacing w:after="0" w:line="240" w:lineRule="auto"/>
        <w:rPr>
          <w:rFonts w:ascii="Verdana" w:hAnsi="Verdana"/>
          <w:b/>
          <w:bCs/>
        </w:rPr>
      </w:pPr>
      <w:r w:rsidRPr="001B26EC">
        <w:rPr>
          <w:rFonts w:ascii="Verdana" w:hAnsi="Verdana"/>
          <w:b/>
          <w:bCs/>
        </w:rPr>
        <w:t>Caja de Sueldos de Retiro de la Policía Nacional</w:t>
      </w:r>
    </w:p>
    <w:p w14:paraId="66112EB4" w14:textId="77777777" w:rsidR="00634278" w:rsidRPr="001B26EC" w:rsidRDefault="00634278" w:rsidP="00634278">
      <w:pPr>
        <w:spacing w:after="0" w:line="240" w:lineRule="auto"/>
        <w:rPr>
          <w:rFonts w:ascii="Verdana" w:hAnsi="Verdana"/>
          <w:color w:val="0000FF"/>
          <w:u w:val="single"/>
        </w:rPr>
      </w:pPr>
      <w:hyperlink r:id="rId12" w:history="1">
        <w:r w:rsidRPr="001B26EC">
          <w:rPr>
            <w:rFonts w:ascii="Verdana" w:hAnsi="Verdana"/>
            <w:color w:val="0563C1" w:themeColor="hyperlink"/>
            <w:u w:val="single"/>
          </w:rPr>
          <w:t>veteranopolicial@casur.gov.co</w:t>
        </w:r>
      </w:hyperlink>
      <w:r w:rsidRPr="001B26EC">
        <w:rPr>
          <w:rFonts w:ascii="Verdana" w:hAnsi="Verdana"/>
          <w:color w:val="0000FF"/>
          <w:u w:val="single"/>
        </w:rPr>
        <w:t xml:space="preserve"> </w:t>
      </w:r>
    </w:p>
    <w:p w14:paraId="3C399FC9" w14:textId="77777777" w:rsidR="00634278" w:rsidRPr="001B26EC" w:rsidRDefault="00634278" w:rsidP="00634278">
      <w:pPr>
        <w:spacing w:after="0" w:line="240" w:lineRule="auto"/>
        <w:rPr>
          <w:rFonts w:ascii="Verdana" w:hAnsi="Verdana"/>
        </w:rPr>
      </w:pPr>
      <w:r w:rsidRPr="001B26EC">
        <w:rPr>
          <w:rFonts w:ascii="Verdana" w:hAnsi="Verdana"/>
        </w:rPr>
        <w:t xml:space="preserve">Bogotá </w:t>
      </w:r>
    </w:p>
    <w:p w14:paraId="09B3A72F" w14:textId="77777777" w:rsidR="00634278" w:rsidRPr="001B26EC" w:rsidRDefault="00634278" w:rsidP="00634278">
      <w:pPr>
        <w:spacing w:after="0" w:line="240" w:lineRule="auto"/>
        <w:rPr>
          <w:rFonts w:ascii="Verdana" w:eastAsia="Calibri" w:hAnsi="Verdana" w:cs="Arial"/>
          <w:lang w:eastAsia="es-ES"/>
        </w:rPr>
      </w:pPr>
    </w:p>
    <w:p w14:paraId="4C215C4A" w14:textId="77777777" w:rsidR="00634278" w:rsidRPr="001B26EC" w:rsidRDefault="00634278" w:rsidP="00634278">
      <w:pPr>
        <w:spacing w:after="0" w:line="240" w:lineRule="auto"/>
        <w:rPr>
          <w:rFonts w:ascii="Verdana" w:eastAsia="Calibri" w:hAnsi="Verdana" w:cs="Arial"/>
          <w:b/>
          <w:bCs/>
          <w:color w:val="000000"/>
          <w:lang w:eastAsia="es-ES_tradnl"/>
        </w:rPr>
      </w:pPr>
    </w:p>
    <w:p w14:paraId="36DE4EC9" w14:textId="77777777" w:rsidR="00634278" w:rsidRPr="001B26EC" w:rsidRDefault="00634278" w:rsidP="00634278">
      <w:pPr>
        <w:spacing w:after="0" w:line="240" w:lineRule="auto"/>
        <w:jc w:val="center"/>
        <w:rPr>
          <w:rFonts w:ascii="Verdana" w:eastAsia="Calibri" w:hAnsi="Verdana" w:cs="Arial"/>
          <w:b/>
          <w:bCs/>
          <w:lang w:eastAsia="es-ES"/>
        </w:rPr>
      </w:pPr>
      <w:r w:rsidRPr="001B26EC">
        <w:rPr>
          <w:rFonts w:ascii="Verdana" w:eastAsia="Calibri" w:hAnsi="Verdana" w:cs="Arial"/>
          <w:b/>
          <w:bCs/>
          <w:lang w:eastAsia="es-ES"/>
        </w:rPr>
        <w:t>Concepto C – 1422 de 2025</w:t>
      </w:r>
    </w:p>
    <w:p w14:paraId="09814EF0" w14:textId="77777777" w:rsidR="00634278" w:rsidRPr="001B26EC" w:rsidRDefault="00634278" w:rsidP="00634278">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34278" w:rsidRPr="001B26EC" w14:paraId="59C10BAD" w14:textId="77777777" w:rsidTr="003B02A7">
        <w:trPr>
          <w:trHeight w:val="884"/>
        </w:trPr>
        <w:tc>
          <w:tcPr>
            <w:tcW w:w="2689" w:type="dxa"/>
          </w:tcPr>
          <w:p w14:paraId="40BDFF77" w14:textId="77777777" w:rsidR="00634278" w:rsidRPr="001B26EC" w:rsidRDefault="00634278" w:rsidP="003B02A7">
            <w:pPr>
              <w:jc w:val="both"/>
              <w:rPr>
                <w:rFonts w:ascii="Verdana" w:eastAsia="Calibri" w:hAnsi="Verdana" w:cs="Arial"/>
                <w:color w:val="000000"/>
                <w:lang w:eastAsia="es-ES_tradnl"/>
              </w:rPr>
            </w:pPr>
            <w:r w:rsidRPr="001B26EC">
              <w:rPr>
                <w:rFonts w:ascii="Verdana" w:eastAsia="Calibri" w:hAnsi="Verdana" w:cs="Arial"/>
                <w:b/>
                <w:color w:val="000000"/>
                <w:lang w:eastAsia="es-ES_tradnl"/>
              </w:rPr>
              <w:t>Temas:</w:t>
            </w:r>
            <w:r w:rsidRPr="001B26EC">
              <w:rPr>
                <w:rFonts w:ascii="Verdana" w:eastAsia="Calibri" w:hAnsi="Verdana" w:cs="Arial"/>
                <w:color w:val="000000"/>
                <w:lang w:eastAsia="es-ES_tradnl"/>
              </w:rPr>
              <w:t xml:space="preserve">                   </w:t>
            </w:r>
          </w:p>
        </w:tc>
        <w:tc>
          <w:tcPr>
            <w:tcW w:w="6100" w:type="dxa"/>
          </w:tcPr>
          <w:p w14:paraId="53FE4D7F" w14:textId="77777777" w:rsidR="00634278" w:rsidRPr="001B26EC" w:rsidRDefault="00634278" w:rsidP="003B02A7">
            <w:pPr>
              <w:jc w:val="both"/>
              <w:rPr>
                <w:rFonts w:ascii="Verdana" w:eastAsia="Calibri" w:hAnsi="Verdana" w:cs="Arial"/>
                <w:lang w:val="es-ES" w:eastAsia="es-ES"/>
              </w:rPr>
            </w:pPr>
            <w:r w:rsidRPr="001B26EC">
              <w:rPr>
                <w:rFonts w:ascii="Verdana" w:eastAsia="Calibri" w:hAnsi="Verdana" w:cs="Arial"/>
                <w:lang w:val="es-ES" w:eastAsia="es-ES"/>
              </w:rPr>
              <w:t>MEMORANDO DE ENTENDIMIENTO – Definición – Normativa / MEMORANDO DE ENTENDIMIENTO – Partes / PRINCIPIO DE PUBLICIDAD – SECOP – Documentos del proceso – Deber de publicación</w:t>
            </w:r>
          </w:p>
          <w:p w14:paraId="5DEFF619" w14:textId="77777777" w:rsidR="00634278" w:rsidRPr="001B26EC" w:rsidRDefault="00634278" w:rsidP="003B02A7">
            <w:pPr>
              <w:spacing w:line="276" w:lineRule="auto"/>
              <w:jc w:val="both"/>
              <w:rPr>
                <w:rFonts w:ascii="Verdana" w:eastAsia="Calibri" w:hAnsi="Verdana" w:cs="Arial"/>
                <w:lang w:eastAsia="es-ES"/>
              </w:rPr>
            </w:pPr>
          </w:p>
        </w:tc>
      </w:tr>
      <w:tr w:rsidR="00634278" w:rsidRPr="001B26EC" w14:paraId="7DF1365F" w14:textId="77777777" w:rsidTr="003B02A7">
        <w:tc>
          <w:tcPr>
            <w:tcW w:w="2689" w:type="dxa"/>
          </w:tcPr>
          <w:p w14:paraId="5DE9C995" w14:textId="77777777" w:rsidR="00634278" w:rsidRPr="001B26EC" w:rsidRDefault="00634278" w:rsidP="003B02A7">
            <w:pPr>
              <w:jc w:val="both"/>
              <w:rPr>
                <w:rFonts w:ascii="Verdana" w:eastAsia="Calibri" w:hAnsi="Verdana" w:cs="Arial"/>
                <w:b/>
                <w:lang w:eastAsia="es-ES_tradnl"/>
              </w:rPr>
            </w:pPr>
            <w:r w:rsidRPr="001B26EC">
              <w:rPr>
                <w:rFonts w:ascii="Verdana" w:eastAsia="Calibri" w:hAnsi="Verdana" w:cs="Arial"/>
                <w:b/>
                <w:lang w:eastAsia="es-ES_tradnl"/>
              </w:rPr>
              <w:t>Radicación:</w:t>
            </w:r>
            <w:r w:rsidRPr="001B26EC">
              <w:rPr>
                <w:rFonts w:ascii="Verdana" w:eastAsia="Calibri" w:hAnsi="Verdana" w:cs="Arial"/>
                <w:lang w:eastAsia="es-ES_tradnl"/>
              </w:rPr>
              <w:t xml:space="preserve">               </w:t>
            </w:r>
          </w:p>
        </w:tc>
        <w:tc>
          <w:tcPr>
            <w:tcW w:w="6100" w:type="dxa"/>
          </w:tcPr>
          <w:p w14:paraId="6CE73BE2" w14:textId="77777777" w:rsidR="00634278" w:rsidRPr="001B26EC" w:rsidRDefault="00634278" w:rsidP="003B02A7">
            <w:pPr>
              <w:jc w:val="both"/>
              <w:rPr>
                <w:rFonts w:ascii="Verdana" w:eastAsia="Calibri" w:hAnsi="Verdana" w:cs="Arial"/>
                <w:lang w:eastAsia="es-ES_tradnl"/>
              </w:rPr>
            </w:pPr>
            <w:r w:rsidRPr="001B26EC">
              <w:rPr>
                <w:rFonts w:ascii="Verdana" w:eastAsia="Calibri" w:hAnsi="Verdana" w:cs="Arial"/>
                <w:lang w:eastAsia="es-ES_tradnl"/>
              </w:rPr>
              <w:t>Respuesta a la consulta con radicado No. 1_2025_10_02_010944</w:t>
            </w:r>
          </w:p>
        </w:tc>
      </w:tr>
    </w:tbl>
    <w:p w14:paraId="29BFE2A8" w14:textId="77777777" w:rsidR="00634278" w:rsidRPr="001B26EC" w:rsidRDefault="00634278" w:rsidP="00634278">
      <w:pPr>
        <w:spacing w:after="0" w:line="240" w:lineRule="auto"/>
        <w:jc w:val="both"/>
        <w:rPr>
          <w:rFonts w:ascii="Verdana" w:eastAsia="Calibri" w:hAnsi="Verdana" w:cs="Arial"/>
          <w:color w:val="000000"/>
          <w:lang w:eastAsia="es-ES_tradnl"/>
        </w:rPr>
      </w:pPr>
    </w:p>
    <w:p w14:paraId="41672285" w14:textId="77777777" w:rsidR="00634278" w:rsidRPr="001B26EC" w:rsidRDefault="00634278" w:rsidP="00634278">
      <w:pPr>
        <w:spacing w:after="0" w:line="240" w:lineRule="auto"/>
        <w:jc w:val="both"/>
        <w:rPr>
          <w:rFonts w:ascii="Verdana" w:eastAsia="Calibri" w:hAnsi="Verdana" w:cs="Arial"/>
          <w:color w:val="000000"/>
          <w:lang w:eastAsia="es-ES_tradnl"/>
        </w:rPr>
      </w:pPr>
    </w:p>
    <w:p w14:paraId="2CA419D7" w14:textId="77777777" w:rsidR="00634278" w:rsidRPr="001B26EC" w:rsidRDefault="00634278" w:rsidP="00634278">
      <w:pPr>
        <w:spacing w:after="0" w:line="276" w:lineRule="auto"/>
        <w:jc w:val="both"/>
        <w:rPr>
          <w:rFonts w:ascii="Verdana" w:eastAsia="Calibri" w:hAnsi="Verdana" w:cs="Arial"/>
          <w:lang w:eastAsia="es-ES"/>
        </w:rPr>
      </w:pPr>
      <w:r w:rsidRPr="001B26EC">
        <w:rPr>
          <w:rFonts w:ascii="Verdana" w:eastAsia="Calibri" w:hAnsi="Verdana" w:cs="Arial"/>
          <w:lang w:eastAsia="es-ES"/>
        </w:rPr>
        <w:t xml:space="preserve">Estimado señor Chocontá: </w:t>
      </w:r>
    </w:p>
    <w:p w14:paraId="2E80188F" w14:textId="77777777" w:rsidR="00634278" w:rsidRPr="001B26EC" w:rsidRDefault="00634278" w:rsidP="00634278">
      <w:pPr>
        <w:tabs>
          <w:tab w:val="left" w:pos="3768"/>
        </w:tabs>
        <w:spacing w:after="0" w:line="276" w:lineRule="auto"/>
        <w:jc w:val="both"/>
        <w:rPr>
          <w:rFonts w:ascii="Verdana" w:eastAsia="Calibri" w:hAnsi="Verdana" w:cs="Arial"/>
          <w:color w:val="000000" w:themeColor="text1"/>
          <w:lang w:eastAsia="es-ES"/>
        </w:rPr>
      </w:pPr>
      <w:r w:rsidRPr="001B26EC">
        <w:rPr>
          <w:rFonts w:ascii="Verdana" w:eastAsia="Calibri" w:hAnsi="Verdana" w:cs="Arial"/>
          <w:color w:val="000000" w:themeColor="text1"/>
          <w:lang w:eastAsia="es-ES"/>
        </w:rPr>
        <w:tab/>
      </w:r>
    </w:p>
    <w:p w14:paraId="033AFC6C" w14:textId="77777777" w:rsidR="00634278" w:rsidRPr="001B26EC" w:rsidRDefault="00634278" w:rsidP="00634278">
      <w:pPr>
        <w:spacing w:after="0" w:line="276" w:lineRule="auto"/>
        <w:jc w:val="both"/>
        <w:rPr>
          <w:rFonts w:ascii="Verdana" w:eastAsia="Calibri" w:hAnsi="Verdana" w:cs="Arial"/>
          <w:i/>
          <w:iCs/>
          <w:lang w:eastAsia="es-ES"/>
        </w:rPr>
      </w:pPr>
      <w:r w:rsidRPr="001B26EC">
        <w:rPr>
          <w:rFonts w:ascii="Verdana" w:eastAsia="Calibri" w:hAnsi="Verdana" w:cs="Arial"/>
          <w:color w:val="000000" w:themeColor="text1"/>
          <w:lang w:eastAsia="es-ES"/>
        </w:rPr>
        <w:t>En ejercicio de la competencia otorgada por los artículos 3, numeral 5º, y 11, numeral 8º, del Decreto Ley 4170 de 2011,</w:t>
      </w:r>
      <w:r w:rsidRPr="001B26EC">
        <w:rPr>
          <w:rFonts w:ascii="Verdana" w:eastAsia="Arial MT" w:hAnsi="Verdana" w:cs="Arial MT"/>
          <w:lang w:eastAsia="es-ES"/>
        </w:rPr>
        <w:t xml:space="preserve"> </w:t>
      </w:r>
      <w:r w:rsidRPr="001B26EC">
        <w:rPr>
          <w:rFonts w:ascii="Verdana" w:hAnsi="Verdana" w:cs="Arial"/>
        </w:rPr>
        <w:t xml:space="preserve">así como lo establecido </w:t>
      </w:r>
      <w:r w:rsidRPr="001B26EC">
        <w:rPr>
          <w:rFonts w:ascii="Verdana" w:eastAsia="Calibri" w:hAnsi="Verdana" w:cs="Times New Roman"/>
          <w:bCs/>
        </w:rPr>
        <w:t xml:space="preserve">por la Resolución 469 de 2025 </w:t>
      </w:r>
      <w:r w:rsidRPr="001B26EC">
        <w:rPr>
          <w:rFonts w:ascii="Verdana" w:hAnsi="Verdana" w:cs="Arial"/>
        </w:rPr>
        <w:t xml:space="preserve">expedida por esta Entidad, </w:t>
      </w:r>
      <w:r w:rsidRPr="001B26EC">
        <w:rPr>
          <w:rFonts w:ascii="Verdana" w:eastAsia="Calibri" w:hAnsi="Verdana" w:cs="Arial"/>
          <w:color w:val="000000" w:themeColor="text1"/>
          <w:lang w:eastAsia="es-ES"/>
        </w:rPr>
        <w:t>la Agencia Nacional de Contratación Pública – Colombia Compra Eficiente responde su solicitud de concepto del 2 de octubre de 2025,</w:t>
      </w:r>
      <w:r w:rsidRPr="001B26EC">
        <w:rPr>
          <w:rFonts w:ascii="Verdana" w:eastAsia="Calibri" w:hAnsi="Verdana" w:cs="Arial"/>
          <w:lang w:eastAsia="es-ES"/>
        </w:rPr>
        <w:t xml:space="preserve"> en la cual consulta sobre lo siguiente:</w:t>
      </w:r>
      <w:r w:rsidRPr="001B26EC">
        <w:rPr>
          <w:rFonts w:ascii="Verdana" w:eastAsia="Calibri" w:hAnsi="Verdana" w:cs="Arial"/>
          <w:i/>
          <w:iCs/>
          <w:lang w:eastAsia="es-ES"/>
        </w:rPr>
        <w:t xml:space="preserve"> </w:t>
      </w:r>
      <w:bookmarkStart w:id="1" w:name="_Hlk95313578"/>
    </w:p>
    <w:p w14:paraId="08F25FE1" w14:textId="77777777" w:rsidR="00634278" w:rsidRPr="001B26EC" w:rsidRDefault="00634278" w:rsidP="00634278">
      <w:pPr>
        <w:spacing w:after="0" w:line="276" w:lineRule="auto"/>
        <w:jc w:val="both"/>
        <w:rPr>
          <w:rFonts w:ascii="Verdana" w:eastAsia="Calibri" w:hAnsi="Verdana" w:cs="Arial"/>
          <w:i/>
          <w:iCs/>
          <w:sz w:val="20"/>
          <w:szCs w:val="20"/>
          <w:lang w:eastAsia="es-ES"/>
        </w:rPr>
      </w:pPr>
    </w:p>
    <w:p w14:paraId="5554E766" w14:textId="77777777" w:rsidR="00634278" w:rsidRPr="001B26EC" w:rsidRDefault="00634278" w:rsidP="00634278">
      <w:pPr>
        <w:spacing w:after="0" w:line="240" w:lineRule="auto"/>
        <w:ind w:left="709" w:right="709"/>
        <w:jc w:val="both"/>
        <w:rPr>
          <w:rFonts w:ascii="Verdana" w:eastAsia="Arial" w:hAnsi="Verdana" w:cs="Arial"/>
          <w:iCs/>
          <w:color w:val="000000"/>
          <w:sz w:val="20"/>
          <w:szCs w:val="20"/>
        </w:rPr>
      </w:pPr>
      <w:r w:rsidRPr="001B26EC">
        <w:rPr>
          <w:rFonts w:ascii="Verdana" w:eastAsia="Arial" w:hAnsi="Verdana" w:cs="Arial"/>
          <w:iCs/>
          <w:color w:val="000000"/>
          <w:sz w:val="20"/>
          <w:szCs w:val="20"/>
        </w:rPr>
        <w:t>“</w:t>
      </w:r>
      <w:bookmarkEnd w:id="1"/>
      <w:r w:rsidRPr="001B26EC">
        <w:rPr>
          <w:rFonts w:ascii="Verdana" w:eastAsia="Arial" w:hAnsi="Verdana" w:cs="Arial"/>
          <w:iCs/>
          <w:color w:val="000000"/>
          <w:sz w:val="20"/>
          <w:szCs w:val="20"/>
        </w:rPr>
        <w:t xml:space="preserve">(…) de forma respetuosa, me permito solicitar su concepto jurídico especializado, relacionado con el procedimiento para la carga o publicación del documento denominado “Carta de Entendimiento” en el SECOP. </w:t>
      </w:r>
    </w:p>
    <w:p w14:paraId="353E086A" w14:textId="77777777" w:rsidR="00634278" w:rsidRPr="001B26EC" w:rsidRDefault="00634278" w:rsidP="00634278">
      <w:pPr>
        <w:spacing w:after="0" w:line="240" w:lineRule="auto"/>
        <w:ind w:left="709" w:right="709"/>
        <w:jc w:val="both"/>
        <w:rPr>
          <w:rFonts w:ascii="Verdana" w:eastAsia="Arial" w:hAnsi="Verdana" w:cs="Arial"/>
          <w:iCs/>
          <w:color w:val="000000"/>
          <w:sz w:val="20"/>
          <w:szCs w:val="20"/>
        </w:rPr>
      </w:pPr>
    </w:p>
    <w:p w14:paraId="27D5A94B" w14:textId="77777777" w:rsidR="00634278" w:rsidRPr="001B26EC" w:rsidRDefault="00634278" w:rsidP="00634278">
      <w:pPr>
        <w:spacing w:after="0" w:line="240" w:lineRule="auto"/>
        <w:ind w:left="709" w:right="709"/>
        <w:jc w:val="both"/>
        <w:rPr>
          <w:rFonts w:ascii="Verdana" w:eastAsia="Arial" w:hAnsi="Verdana" w:cs="Arial"/>
          <w:iCs/>
          <w:color w:val="000000"/>
          <w:sz w:val="20"/>
          <w:szCs w:val="20"/>
        </w:rPr>
      </w:pPr>
      <w:r w:rsidRPr="001B26EC">
        <w:rPr>
          <w:rFonts w:ascii="Verdana" w:eastAsia="Arial" w:hAnsi="Verdana" w:cs="Arial"/>
          <w:iCs/>
          <w:color w:val="000000"/>
          <w:sz w:val="20"/>
          <w:szCs w:val="20"/>
        </w:rPr>
        <w:t xml:space="preserve">En particular, se requiere precisar el alcance normativo y las responsabilidades institucionales frente a la oportunidad, contenido y tipo de documentos que deben ser publicados en dicho sistema, con el fin de </w:t>
      </w:r>
      <w:r w:rsidRPr="001B26EC">
        <w:rPr>
          <w:rFonts w:ascii="Verdana" w:eastAsia="Arial" w:hAnsi="Verdana" w:cs="Arial"/>
          <w:iCs/>
          <w:color w:val="000000"/>
          <w:sz w:val="20"/>
          <w:szCs w:val="20"/>
        </w:rPr>
        <w:lastRenderedPageBreak/>
        <w:t xml:space="preserve">garantizar el cumplimiento de los principios de transparencia, publicidad y eficiencia, en el marco de la misionalidad de la Entidad.”. </w:t>
      </w:r>
    </w:p>
    <w:p w14:paraId="4ACC7378" w14:textId="77777777" w:rsidR="00634278" w:rsidRPr="001B26EC" w:rsidRDefault="00634278" w:rsidP="00634278">
      <w:pPr>
        <w:spacing w:after="0" w:line="240" w:lineRule="auto"/>
        <w:ind w:left="709" w:right="709"/>
        <w:jc w:val="both"/>
      </w:pPr>
    </w:p>
    <w:p w14:paraId="2076988A" w14:textId="77777777" w:rsidR="00634278" w:rsidRPr="001B26EC" w:rsidRDefault="00634278" w:rsidP="00634278">
      <w:pPr>
        <w:spacing w:after="120" w:line="276" w:lineRule="auto"/>
        <w:ind w:firstLine="709"/>
        <w:jc w:val="both"/>
        <w:rPr>
          <w:rFonts w:ascii="Verdana" w:eastAsia="Calibri" w:hAnsi="Verdana" w:cs="Arial"/>
          <w:color w:val="000000"/>
          <w:lang w:eastAsia="es-ES"/>
        </w:rPr>
      </w:pPr>
      <w:r w:rsidRPr="001B26EC">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B26EC">
        <w:rPr>
          <w:rFonts w:ascii="Verdana" w:eastAsia="Calibri" w:hAnsi="Verdana" w:cs="Arial"/>
          <w:color w:val="000000"/>
          <w:szCs w:val="24"/>
          <w:lang w:eastAsia="es-ES_tradnl"/>
        </w:rPr>
        <w:tab/>
      </w:r>
    </w:p>
    <w:p w14:paraId="00C6A6BA" w14:textId="77777777" w:rsidR="00634278" w:rsidRPr="001B26EC" w:rsidRDefault="00634278" w:rsidP="00634278">
      <w:pPr>
        <w:spacing w:after="0" w:line="276" w:lineRule="auto"/>
        <w:ind w:firstLine="709"/>
        <w:jc w:val="both"/>
        <w:rPr>
          <w:rFonts w:ascii="Verdana" w:eastAsia="Calibri" w:hAnsi="Verdana" w:cs="Arial"/>
          <w:b/>
          <w:bCs/>
          <w:color w:val="000000"/>
          <w:lang w:eastAsia="es-ES"/>
        </w:rPr>
      </w:pPr>
      <w:r w:rsidRPr="001B26EC">
        <w:rPr>
          <w:rFonts w:ascii="Verdana" w:eastAsia="Calibri" w:hAnsi="Verdana" w:cs="Arial"/>
          <w:color w:val="000000"/>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w:t>
      </w:r>
      <w:r w:rsidRPr="001B26EC">
        <w:rPr>
          <w:rFonts w:ascii="Verdana" w:eastAsia="Calibri" w:hAnsi="Verdana" w:cs="Arial"/>
          <w:lang w:val="es-ES" w:eastAsia="es-ES"/>
        </w:rPr>
        <w:t>pero haciendo unas consideraciones sobre las normas generales relacionadas con el (los) problema(s) jurídico(s) de su consulta.</w:t>
      </w:r>
    </w:p>
    <w:p w14:paraId="5FF6D0B6" w14:textId="77777777" w:rsidR="00634278" w:rsidRPr="001B26EC" w:rsidRDefault="00634278" w:rsidP="00634278">
      <w:pPr>
        <w:spacing w:after="0" w:line="276" w:lineRule="auto"/>
        <w:jc w:val="both"/>
        <w:rPr>
          <w:rFonts w:ascii="Verdana" w:eastAsia="Calibri" w:hAnsi="Verdana" w:cs="Arial"/>
          <w:color w:val="000000"/>
          <w:lang w:eastAsia="es-ES"/>
        </w:rPr>
      </w:pPr>
    </w:p>
    <w:p w14:paraId="1AB1B73A" w14:textId="77777777" w:rsidR="00634278" w:rsidRPr="001B26EC" w:rsidRDefault="00634278" w:rsidP="00634278">
      <w:pPr>
        <w:numPr>
          <w:ilvl w:val="0"/>
          <w:numId w:val="1"/>
        </w:numPr>
        <w:tabs>
          <w:tab w:val="left" w:pos="142"/>
          <w:tab w:val="left" w:pos="284"/>
        </w:tabs>
        <w:spacing w:after="0" w:line="276" w:lineRule="auto"/>
        <w:jc w:val="both"/>
        <w:rPr>
          <w:rFonts w:ascii="Verdana" w:eastAsia="Century Gothic" w:hAnsi="Verdana" w:cs="Century Gothic"/>
          <w:b/>
          <w:bCs/>
        </w:rPr>
      </w:pPr>
      <w:r w:rsidRPr="001B26EC">
        <w:rPr>
          <w:rFonts w:ascii="Verdana" w:eastAsia="Century Gothic" w:hAnsi="Verdana" w:cs="Century Gothic"/>
          <w:b/>
          <w:bCs/>
        </w:rPr>
        <w:t>Problemas planteados:</w:t>
      </w:r>
    </w:p>
    <w:p w14:paraId="2ECEFA99" w14:textId="77777777" w:rsidR="00634278" w:rsidRPr="001B26EC" w:rsidRDefault="00634278" w:rsidP="00634278">
      <w:pPr>
        <w:tabs>
          <w:tab w:val="left" w:pos="426"/>
        </w:tabs>
        <w:spacing w:after="0" w:line="276" w:lineRule="auto"/>
        <w:jc w:val="both"/>
        <w:rPr>
          <w:rFonts w:ascii="Verdana" w:eastAsia="Century Gothic" w:hAnsi="Verdana" w:cs="Century Gothic"/>
        </w:rPr>
      </w:pPr>
    </w:p>
    <w:p w14:paraId="557080D8" w14:textId="77777777" w:rsidR="00634278" w:rsidRPr="001B26EC" w:rsidRDefault="00634278" w:rsidP="00634278">
      <w:pPr>
        <w:spacing w:after="0" w:line="276" w:lineRule="auto"/>
        <w:jc w:val="both"/>
        <w:rPr>
          <w:rFonts w:ascii="Verdana" w:eastAsia="Century Gothic" w:hAnsi="Verdana" w:cs="Century Gothic"/>
        </w:rPr>
      </w:pPr>
      <w:r w:rsidRPr="001B26EC">
        <w:rPr>
          <w:rFonts w:ascii="Verdana" w:eastAsia="Century Gothic" w:hAnsi="Verdana" w:cs="Century Gothic"/>
        </w:rPr>
        <w:t>De acuerdo con el contenido de su solicitud, esta Agencia resolverá el siguiente problema jurídico: ¿Deben publicarse en el SECOP los memorandos de entendimiento?</w:t>
      </w:r>
    </w:p>
    <w:p w14:paraId="580BC053" w14:textId="77777777" w:rsidR="00634278" w:rsidRPr="001B26EC" w:rsidRDefault="00634278" w:rsidP="00634278">
      <w:pPr>
        <w:spacing w:after="0" w:line="276" w:lineRule="auto"/>
        <w:jc w:val="both"/>
        <w:rPr>
          <w:rFonts w:ascii="Verdana" w:eastAsia="Century Gothic" w:hAnsi="Verdana" w:cs="Century Gothic"/>
        </w:rPr>
      </w:pPr>
    </w:p>
    <w:p w14:paraId="55DE1288" w14:textId="77777777" w:rsidR="00634278" w:rsidRPr="001B26EC" w:rsidRDefault="00634278" w:rsidP="00634278">
      <w:pPr>
        <w:numPr>
          <w:ilvl w:val="0"/>
          <w:numId w:val="1"/>
        </w:numPr>
        <w:tabs>
          <w:tab w:val="left" w:pos="142"/>
          <w:tab w:val="left" w:pos="284"/>
        </w:tabs>
        <w:spacing w:after="0" w:line="276" w:lineRule="auto"/>
        <w:jc w:val="both"/>
        <w:rPr>
          <w:rFonts w:ascii="Verdana" w:eastAsia="Century Gothic" w:hAnsi="Verdana" w:cs="Century Gothic"/>
          <w:b/>
          <w:bCs/>
        </w:rPr>
      </w:pPr>
      <w:r w:rsidRPr="001B26EC">
        <w:rPr>
          <w:rFonts w:ascii="Verdana" w:eastAsia="Century Gothic" w:hAnsi="Verdana" w:cs="Century Gothic"/>
          <w:b/>
          <w:bCs/>
        </w:rPr>
        <w:t>Respuestas:</w:t>
      </w:r>
    </w:p>
    <w:p w14:paraId="4379D834" w14:textId="77777777" w:rsidR="00634278" w:rsidRPr="001B26EC" w:rsidRDefault="00634278" w:rsidP="0063427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34278" w:rsidRPr="001B26EC" w14:paraId="0437628E" w14:textId="77777777" w:rsidTr="003B02A7">
        <w:trPr>
          <w:trHeight w:val="694"/>
          <w:jc w:val="center"/>
        </w:trPr>
        <w:tc>
          <w:tcPr>
            <w:tcW w:w="8828" w:type="dxa"/>
          </w:tcPr>
          <w:p w14:paraId="346812D7" w14:textId="77777777" w:rsidR="00634278" w:rsidRPr="001B26EC" w:rsidRDefault="00634278" w:rsidP="003B02A7">
            <w:pPr>
              <w:widowControl w:val="0"/>
              <w:autoSpaceDE w:val="0"/>
              <w:autoSpaceDN w:val="0"/>
              <w:spacing w:after="120" w:line="276" w:lineRule="auto"/>
              <w:jc w:val="both"/>
              <w:rPr>
                <w:rFonts w:ascii="Verdana" w:eastAsia="Arial" w:hAnsi="Verdana" w:cs="Arial"/>
                <w:lang w:val="es-ES" w:eastAsia="es-ES" w:bidi="es-ES"/>
              </w:rPr>
            </w:pPr>
            <w:bookmarkStart w:id="2" w:name="_Hlk98867155"/>
            <w:bookmarkStart w:id="3" w:name="_Hlk171694685"/>
            <w:r w:rsidRPr="001B26EC">
              <w:rPr>
                <w:rFonts w:ascii="Verdana" w:eastAsia="Arial" w:hAnsi="Verdana" w:cs="Arial"/>
                <w:lang w:val="es-ES" w:eastAsia="es-ES" w:bidi="es-ES"/>
              </w:rPr>
              <w:t xml:space="preserve">Los memorandos de entendimientos son instrumentos simplificados en los cuales se incluyen intenciones, compromisos, aspiraciones, propósitos o se desarrollan instrumentos preexistentes. En los mismos no se contemplan obligaciones de comportamiento reales, ni términos imperativos u obligacionales, sino más bien </w:t>
            </w:r>
            <w:r>
              <w:rPr>
                <w:rFonts w:ascii="Verdana" w:eastAsia="Arial" w:hAnsi="Verdana" w:cs="Arial"/>
                <w:lang w:val="es-ES" w:eastAsia="es-ES" w:bidi="es-ES"/>
              </w:rPr>
              <w:t>compromisos</w:t>
            </w:r>
            <w:r w:rsidRPr="001B26EC">
              <w:rPr>
                <w:rFonts w:ascii="Verdana" w:eastAsia="Arial" w:hAnsi="Verdana" w:cs="Arial"/>
                <w:lang w:val="es-ES" w:eastAsia="es-ES" w:bidi="es-ES"/>
              </w:rPr>
              <w:t xml:space="preserve"> programáticos que suelen contener simples exhortaciones o declaraciones de intención</w:t>
            </w:r>
            <w:bookmarkEnd w:id="2"/>
            <w:r w:rsidRPr="001B26EC">
              <w:rPr>
                <w:rFonts w:ascii="Verdana" w:eastAsia="Arial" w:hAnsi="Verdana" w:cs="Arial"/>
                <w:lang w:val="es-ES" w:eastAsia="es-ES" w:bidi="es-ES"/>
              </w:rPr>
              <w:t xml:space="preserve">. Las normas que regulan </w:t>
            </w:r>
            <w:r w:rsidRPr="001B26EC">
              <w:rPr>
                <w:rFonts w:ascii="Verdana" w:eastAsia="Arial" w:hAnsi="Verdana" w:cs="Arial"/>
                <w:lang w:val="es-ES" w:eastAsia="es-ES" w:bidi="es-ES"/>
              </w:rPr>
              <w:lastRenderedPageBreak/>
              <w:t xml:space="preserve">los memorandos de entendimiento o cartas de intención corresponden a aquellas que de manera general le asignan las funciones a las Entidades Estatales. </w:t>
            </w:r>
            <w:bookmarkStart w:id="4" w:name="_Hlk98867197"/>
            <w:r w:rsidRPr="001B26EC">
              <w:rPr>
                <w:rFonts w:ascii="Verdana" w:eastAsia="Arial" w:hAnsi="Verdana" w:cs="Arial"/>
                <w:lang w:val="es-ES" w:eastAsia="es-ES" w:bidi="es-ES"/>
              </w:rPr>
              <w:t>En este orden de ideas, este tipo de acuerdos no tienen el alcance de contrato estatal, en la medida en que no generan obligaciones para quienes lo suscriben, en consecuencia, no están sujetos a la normativa del Sistema de Compra Pública</w:t>
            </w:r>
            <w:bookmarkEnd w:id="4"/>
            <w:r w:rsidRPr="001B26EC">
              <w:rPr>
                <w:rFonts w:ascii="Verdana" w:eastAsia="Arial" w:hAnsi="Verdana" w:cs="Arial"/>
                <w:lang w:val="es-ES" w:eastAsia="es-ES" w:bidi="es-ES"/>
              </w:rPr>
              <w:t xml:space="preserve">. </w:t>
            </w:r>
          </w:p>
          <w:p w14:paraId="17A794AE" w14:textId="77777777" w:rsidR="00634278" w:rsidRPr="001B26EC" w:rsidRDefault="00634278" w:rsidP="003B02A7">
            <w:pPr>
              <w:widowControl w:val="0"/>
              <w:autoSpaceDE w:val="0"/>
              <w:autoSpaceDN w:val="0"/>
              <w:spacing w:after="120" w:line="276" w:lineRule="auto"/>
              <w:ind w:firstLine="726"/>
              <w:jc w:val="both"/>
              <w:rPr>
                <w:rFonts w:ascii="Verdana" w:eastAsia="Arial" w:hAnsi="Verdana" w:cs="Arial"/>
              </w:rPr>
            </w:pPr>
            <w:r w:rsidRPr="001B26EC">
              <w:rPr>
                <w:rFonts w:ascii="Verdana" w:eastAsia="Arial" w:hAnsi="Verdana" w:cs="Arial"/>
              </w:rPr>
              <w:t>Bajo estas consideraciones, se puede colegir que los memorandos de entendimiento o cartas de intención, al no poseer la naturaleza jurídica de contratos estatales, no se encuentran comprendidos dentro del ámbito de aplicación de las disposiciones señaladas referentes a la publicación obligatoria en el SECOP relativa a la información contractual. Como se explicó, estos instrumentos, como compromisos programáticos basados en declaraciones de intención, reflejan la manifestación de voluntad y el interés común de las partes en avanzar hacia una eventual cooperación sin que de ello se derive la creación de obligaciones contractuales exigibles.</w:t>
            </w:r>
          </w:p>
          <w:p w14:paraId="12FF9122" w14:textId="77777777" w:rsidR="00634278" w:rsidRPr="001B26EC" w:rsidRDefault="00634278" w:rsidP="003B02A7">
            <w:pPr>
              <w:widowControl w:val="0"/>
              <w:autoSpaceDE w:val="0"/>
              <w:autoSpaceDN w:val="0"/>
              <w:spacing w:after="120" w:line="276" w:lineRule="auto"/>
              <w:ind w:firstLine="726"/>
              <w:jc w:val="both"/>
              <w:rPr>
                <w:rFonts w:ascii="Verdana" w:eastAsia="Arial" w:hAnsi="Verdana" w:cs="Arial"/>
              </w:rPr>
            </w:pPr>
            <w:r w:rsidRPr="001B26EC">
              <w:rPr>
                <w:rFonts w:ascii="Verdana" w:eastAsia="Arial" w:hAnsi="Verdana" w:cs="Arial"/>
              </w:rPr>
              <w:t xml:space="preserve">En ese orden de ideas, dado que la obligación de publicar en el SECOP la información contractual comprende los documentos expedidos por la entidad estatal durante las etapas precontractual, contractual y </w:t>
            </w:r>
            <w:proofErr w:type="spellStart"/>
            <w:r w:rsidRPr="001B26EC">
              <w:rPr>
                <w:rFonts w:ascii="Verdana" w:eastAsia="Arial" w:hAnsi="Verdana" w:cs="Arial"/>
              </w:rPr>
              <w:t>postcontractual</w:t>
            </w:r>
            <w:proofErr w:type="spellEnd"/>
            <w:r w:rsidRPr="001B26EC">
              <w:rPr>
                <w:rFonts w:ascii="Verdana" w:eastAsia="Arial" w:hAnsi="Verdana" w:cs="Arial"/>
              </w:rPr>
              <w:t>, en el marco de un proceso de contratación, la publicación en dicha plataforma de los memorandos de entendimiento o cartas de intención no resulta obligatoria. Ello, por cuanto estos instrumentos no se enmarcan dentro de un proceso de contratación ni generan las obligaciones jurídicas propias de un contrato estatal o de un convenio.</w:t>
            </w:r>
          </w:p>
          <w:p w14:paraId="716F887C" w14:textId="77777777" w:rsidR="00634278" w:rsidRPr="001B26EC" w:rsidRDefault="00634278" w:rsidP="003B02A7">
            <w:pPr>
              <w:spacing w:after="120" w:line="276" w:lineRule="auto"/>
              <w:ind w:firstLine="708"/>
              <w:jc w:val="both"/>
              <w:rPr>
                <w:rFonts w:ascii="Verdana" w:eastAsia="Arial" w:hAnsi="Verdana" w:cs="Arial"/>
              </w:rPr>
            </w:pPr>
            <w:r w:rsidRPr="001B26EC">
              <w:rPr>
                <w:rFonts w:ascii="Verdana" w:eastAsia="Arial" w:hAnsi="Verdana" w:cs="Arial"/>
              </w:rPr>
              <w:t>No obstante, lo anterior, y en atención al principio de máxima publicidad, conforme al cual “toda información en posesión, bajo control o custodia de un sujeto obligado es pública y no podrá ser reservada o limitada sino por disposición constitucional o legal”, le corresponde a la entidad estatal divulgar este tipo de instrumentos a través de otros medios, como su página web oficial u otras plataformas de transparencia activa. Ello contribuiría a la promoción de la transparencia en la gestión pública, sin perjuicio de la publicación de los documentos sujetos a reserva legal.</w:t>
            </w:r>
          </w:p>
          <w:p w14:paraId="5ED3F3A8" w14:textId="77777777" w:rsidR="00634278" w:rsidRPr="001B26EC" w:rsidRDefault="00634278" w:rsidP="003B02A7">
            <w:pPr>
              <w:spacing w:after="120" w:line="276" w:lineRule="auto"/>
              <w:ind w:firstLine="709"/>
              <w:jc w:val="both"/>
              <w:rPr>
                <w:rFonts w:ascii="Verdana" w:eastAsia="Arial" w:hAnsi="Verdana" w:cs="Arial"/>
              </w:rPr>
            </w:pPr>
            <w:r w:rsidRPr="001B26EC">
              <w:rPr>
                <w:rFonts w:ascii="Verdana" w:eastAsia="Arial" w:hAnsi="Verdana" w:cs="Arial"/>
              </w:rPr>
              <w:t xml:space="preserve">En todo caso, en el evento en que el memorando de entendimiento conlleve el cumplimiento de obligaciones exigibles que trasciendan la mera manifestación de intención o implique que la entidad estatal reciba bienes, </w:t>
            </w:r>
            <w:r w:rsidRPr="001B26EC">
              <w:rPr>
                <w:rFonts w:ascii="Verdana" w:eastAsia="Arial" w:hAnsi="Verdana" w:cs="Arial"/>
              </w:rPr>
              <w:lastRenderedPageBreak/>
              <w:t>obras o servicios o ejecución de recursos públicos, dicho instrumento adquirirá la naturaleza jurídica de contrato. En consecuencia, deberá ser publicado en la plataforma SECOP, conforme a las disposiciones que regulan la publicidad de la contratación estatal.</w:t>
            </w:r>
          </w:p>
        </w:tc>
      </w:tr>
    </w:tbl>
    <w:p w14:paraId="5BCC91FD" w14:textId="77777777" w:rsidR="00634278" w:rsidRPr="001B26EC" w:rsidRDefault="00634278" w:rsidP="00634278">
      <w:pPr>
        <w:tabs>
          <w:tab w:val="left" w:pos="142"/>
          <w:tab w:val="left" w:pos="284"/>
        </w:tabs>
        <w:spacing w:after="0" w:line="276" w:lineRule="auto"/>
        <w:jc w:val="both"/>
        <w:rPr>
          <w:rFonts w:ascii="Verdana" w:eastAsia="Century Gothic" w:hAnsi="Verdana" w:cs="Century Gothic"/>
          <w:b/>
          <w:bCs/>
        </w:rPr>
      </w:pPr>
    </w:p>
    <w:bookmarkEnd w:id="3"/>
    <w:p w14:paraId="52097DC9" w14:textId="77777777" w:rsidR="00634278" w:rsidRPr="001B26EC" w:rsidRDefault="00634278" w:rsidP="00634278">
      <w:pPr>
        <w:numPr>
          <w:ilvl w:val="0"/>
          <w:numId w:val="1"/>
        </w:numPr>
        <w:tabs>
          <w:tab w:val="left" w:pos="142"/>
          <w:tab w:val="left" w:pos="284"/>
        </w:tabs>
        <w:spacing w:after="0" w:line="276" w:lineRule="auto"/>
        <w:jc w:val="both"/>
        <w:rPr>
          <w:rFonts w:ascii="Verdana" w:eastAsia="Century Gothic" w:hAnsi="Verdana" w:cs="Century Gothic"/>
          <w:b/>
          <w:bCs/>
        </w:rPr>
      </w:pPr>
      <w:r w:rsidRPr="001B26EC">
        <w:rPr>
          <w:rFonts w:ascii="Verdana" w:eastAsia="Century Gothic" w:hAnsi="Verdana" w:cs="Century Gothic"/>
          <w:b/>
          <w:bCs/>
        </w:rPr>
        <w:t>Razones de las respuestas:</w:t>
      </w:r>
    </w:p>
    <w:p w14:paraId="512B70EB" w14:textId="77777777" w:rsidR="00634278" w:rsidRPr="001B26EC" w:rsidRDefault="00634278" w:rsidP="00634278">
      <w:pPr>
        <w:spacing w:after="0" w:line="276" w:lineRule="auto"/>
        <w:jc w:val="both"/>
        <w:rPr>
          <w:rFonts w:ascii="Verdana" w:eastAsia="Calibri" w:hAnsi="Verdana" w:cs="Arial"/>
          <w:color w:val="7030A0"/>
        </w:rPr>
      </w:pPr>
    </w:p>
    <w:p w14:paraId="0A97CC9A" w14:textId="77777777" w:rsidR="00634278" w:rsidRPr="001B26EC" w:rsidRDefault="00634278" w:rsidP="00634278">
      <w:pPr>
        <w:spacing w:after="0" w:line="276" w:lineRule="auto"/>
        <w:jc w:val="both"/>
        <w:rPr>
          <w:rFonts w:ascii="Verdana" w:eastAsia="Calibri" w:hAnsi="Verdana" w:cs="Arial"/>
        </w:rPr>
      </w:pPr>
      <w:r w:rsidRPr="001B26EC">
        <w:rPr>
          <w:rFonts w:ascii="Verdana" w:eastAsia="Calibri" w:hAnsi="Verdana" w:cs="Arial"/>
        </w:rPr>
        <w:t>Lo anterior se sustenta en las siguientes consideraciones:</w:t>
      </w:r>
    </w:p>
    <w:p w14:paraId="7C90F2A1" w14:textId="77777777" w:rsidR="00634278" w:rsidRPr="001B26EC" w:rsidRDefault="00634278" w:rsidP="00634278">
      <w:pPr>
        <w:spacing w:after="0" w:line="276" w:lineRule="auto"/>
        <w:jc w:val="both"/>
        <w:rPr>
          <w:rFonts w:ascii="Verdana" w:eastAsia="Calibri" w:hAnsi="Verdana" w:cs="Arial"/>
        </w:rPr>
      </w:pPr>
    </w:p>
    <w:p w14:paraId="5FB8FDA7" w14:textId="77777777" w:rsidR="00634278" w:rsidRPr="001B26EC" w:rsidRDefault="00634278" w:rsidP="00634278">
      <w:pPr>
        <w:widowControl w:val="0"/>
        <w:autoSpaceDE w:val="0"/>
        <w:autoSpaceDN w:val="0"/>
        <w:spacing w:after="120" w:line="276" w:lineRule="auto"/>
        <w:jc w:val="both"/>
        <w:rPr>
          <w:rFonts w:ascii="Verdana" w:eastAsia="Arial" w:hAnsi="Verdana" w:cs="Arial"/>
          <w:lang w:val="es-ES" w:eastAsia="es-ES" w:bidi="es-ES"/>
        </w:rPr>
      </w:pPr>
      <w:r w:rsidRPr="001B26EC">
        <w:rPr>
          <w:rFonts w:ascii="Verdana" w:eastAsia="Arial" w:hAnsi="Verdana" w:cs="Arial"/>
          <w:lang w:val="es-ES" w:eastAsia="es-ES" w:bidi="es-ES"/>
        </w:rPr>
        <w:t>i. Para efectos de dar respuesta al problema jurídico resulte pertinente, de manera preliminar, revisar la naturaleza jurídica de los denominados memorandos de entendimiento o “cartas de intención”. Conforme lo ha señalado esta Agencia, estos son instrumentos simplificados en los cuales se incluyen intenciones, compromisos, aspiraciones, propósitos o se desarrollan instrumentos preexistentes. Constituyen una manifestación de acuerdo entre las partes, que por sí solos no contemplan obligaciones de comportamientos reales, ni términos imperativos u obligacionales, sino compromisos programáticos que suelen contener simples exhortaciones o declaraciones de intención</w:t>
      </w:r>
      <w:r w:rsidRPr="001B26EC">
        <w:rPr>
          <w:rFonts w:ascii="Verdana" w:eastAsia="Arial" w:hAnsi="Verdana" w:cs="Arial"/>
          <w:vertAlign w:val="superscript"/>
          <w:lang w:val="es-ES" w:eastAsia="es-ES" w:bidi="es-ES"/>
        </w:rPr>
        <w:footnoteReference w:id="2"/>
      </w:r>
      <w:r w:rsidRPr="001B26EC">
        <w:rPr>
          <w:rFonts w:ascii="Verdana" w:eastAsia="Arial" w:hAnsi="Verdana" w:cs="Arial"/>
          <w:lang w:val="es-ES" w:eastAsia="es-ES" w:bidi="es-ES"/>
        </w:rPr>
        <w:t>. En este orden de ideas, su manifestación no se da a través del perfeccionamiento de un contrato, sino que se materializa a través de la expedición de actos unilaterales de la administración.</w:t>
      </w:r>
    </w:p>
    <w:p w14:paraId="56E7D08D" w14:textId="77777777" w:rsidR="00634278" w:rsidRPr="001B26EC" w:rsidRDefault="00634278" w:rsidP="00634278">
      <w:pPr>
        <w:widowControl w:val="0"/>
        <w:autoSpaceDE w:val="0"/>
        <w:autoSpaceDN w:val="0"/>
        <w:spacing w:after="120" w:line="276" w:lineRule="auto"/>
        <w:ind w:firstLine="708"/>
        <w:jc w:val="both"/>
        <w:rPr>
          <w:rFonts w:ascii="Verdana" w:eastAsia="Arial" w:hAnsi="Verdana" w:cs="Arial"/>
          <w:lang w:val="es-ES" w:eastAsia="es-ES" w:bidi="es-ES"/>
        </w:rPr>
      </w:pPr>
      <w:r w:rsidRPr="001B26EC">
        <w:rPr>
          <w:rFonts w:ascii="Verdana" w:eastAsia="Arial" w:hAnsi="Verdana" w:cs="Arial"/>
          <w:lang w:val="es-ES" w:eastAsia="es-ES" w:bidi="es-ES"/>
        </w:rPr>
        <w:t>El memorando de entendimiento, al ser un documento a través del cual se materializan lineamientos o acuerdos puntales con el ánimo de culminar en un futuro y eventual un acuerdo final, su celebración, condiciones y reglas dependen de las necesidades particulares de cada uno de sus firmantes. Por lo anterior, las normas que regulan los memorandos de entendimiento o cartas de intención corresponden a aquellas que de manera general le asignan las funciones a las Entidades Estatales.</w:t>
      </w:r>
    </w:p>
    <w:p w14:paraId="163885BF" w14:textId="77777777" w:rsidR="00634278" w:rsidRPr="001B26EC" w:rsidRDefault="00634278" w:rsidP="00634278">
      <w:pPr>
        <w:widowControl w:val="0"/>
        <w:autoSpaceDE w:val="0"/>
        <w:autoSpaceDN w:val="0"/>
        <w:spacing w:after="120" w:line="276" w:lineRule="auto"/>
        <w:ind w:firstLine="709"/>
        <w:jc w:val="both"/>
        <w:rPr>
          <w:rFonts w:ascii="Verdana" w:eastAsia="Arial" w:hAnsi="Verdana" w:cs="Arial"/>
          <w:lang w:val="es-ES" w:eastAsia="es-ES" w:bidi="es-ES"/>
        </w:rPr>
      </w:pPr>
      <w:bookmarkStart w:id="5" w:name="_Hlk98867245"/>
      <w:r w:rsidRPr="001B26EC">
        <w:rPr>
          <w:rFonts w:ascii="Verdana" w:eastAsia="Arial" w:hAnsi="Verdana" w:cs="Arial"/>
          <w:lang w:val="es-ES" w:eastAsia="es-ES" w:bidi="es-ES"/>
        </w:rPr>
        <w:t xml:space="preserve">En este contexto, los memorandos de entendimiento no tienen el alcance de contrato estatal, debido a que no generan obligaciones para las partes y no están contemplados en la normativa del Sistema de Compra Pública. </w:t>
      </w:r>
      <w:r w:rsidRPr="001B26EC">
        <w:rPr>
          <w:rFonts w:ascii="Verdana" w:eastAsia="Calibri" w:hAnsi="Verdana" w:cs="Arial"/>
        </w:rPr>
        <w:t xml:space="preserve">De esta forma, como acuerdos suscritos entre entidades estatales, al no generar </w:t>
      </w:r>
      <w:r w:rsidRPr="001B26EC">
        <w:rPr>
          <w:rFonts w:ascii="Verdana" w:eastAsia="Calibri" w:hAnsi="Verdana" w:cs="Arial"/>
        </w:rPr>
        <w:lastRenderedPageBreak/>
        <w:t>obligaciones entre los suscribientes, sino lineamientos generales dirigidos a ser concretados en un acuerdo final, no se encuentran sometidos al Estatuto General de Contratación de la Administración Pública, por lo que no les resulta aplicables las solemnidades requeridas para la celebración y ejecución de contratos estatales.</w:t>
      </w:r>
    </w:p>
    <w:bookmarkEnd w:id="5"/>
    <w:p w14:paraId="116F9FAB" w14:textId="77777777" w:rsidR="00634278" w:rsidRPr="001B26EC" w:rsidRDefault="00634278" w:rsidP="00634278">
      <w:pPr>
        <w:widowControl w:val="0"/>
        <w:autoSpaceDE w:val="0"/>
        <w:autoSpaceDN w:val="0"/>
        <w:spacing w:after="120" w:line="276" w:lineRule="auto"/>
        <w:ind w:firstLine="709"/>
        <w:jc w:val="both"/>
        <w:rPr>
          <w:rFonts w:ascii="Verdana" w:eastAsia="Arial" w:hAnsi="Verdana" w:cs="Arial"/>
          <w:lang w:val="es-ES" w:eastAsia="es-ES" w:bidi="es-ES"/>
        </w:rPr>
      </w:pPr>
      <w:r w:rsidRPr="001B26EC">
        <w:rPr>
          <w:rFonts w:ascii="Verdana" w:eastAsia="Arial" w:hAnsi="Verdana" w:cs="Arial"/>
          <w:lang w:val="es-ES" w:eastAsia="es-ES" w:bidi="es-ES"/>
        </w:rPr>
        <w:t xml:space="preserve">No obstante, se debe tener presente que lo que determina la naturaleza jurídica de un documento suscrito por dos partes es el contenido de este y no la denominación que se le dé. Así las cosas, si un acuerdo de voluntades denominado memorando de entendimiento, implica el cumplimiento de obligaciones reales para las partes que van más allá de la intención de llevar a cabo un propósito común o implica que la entidad estatal recibe bienes, obras o servicios, ese documento tendrá carácter de contrato, entendido como un acto mediante el cual una parte se obliga con otra a dar, hacer o no hacer algo y, en ese sentido, se deberán aplicar las normas del Sistema de Compra Pública que regulan los contratos estatales. </w:t>
      </w:r>
    </w:p>
    <w:p w14:paraId="024D2E34" w14:textId="77777777" w:rsidR="00634278" w:rsidRPr="001B26EC" w:rsidRDefault="00634278" w:rsidP="00634278">
      <w:pPr>
        <w:spacing w:before="120" w:after="120" w:line="276" w:lineRule="auto"/>
        <w:ind w:firstLine="709"/>
        <w:jc w:val="both"/>
        <w:rPr>
          <w:rFonts w:ascii="Verdana" w:hAnsi="Verdana" w:cs="Arial"/>
          <w:bCs/>
          <w:color w:val="000000"/>
          <w:lang w:eastAsia="es-CO"/>
        </w:rPr>
      </w:pPr>
      <w:r w:rsidRPr="001B26EC">
        <w:rPr>
          <w:rFonts w:ascii="Verdana" w:hAnsi="Verdana" w:cs="Arial"/>
          <w:bCs/>
          <w:color w:val="000000"/>
          <w:lang w:eastAsia="es-CO"/>
        </w:rPr>
        <w:t>Bajo estas consideraciones, es importante aclarar que una “carta de entendimiento” o “memorando de entendimiento”, partiendo de que no existe en el ordenamiento jurídico una disposición que los defina, debe considerarse como un contrato si reúne los elementos del artículo 1495 del Código Civil –aplicable tanto a las entidades estatales sometidas al Estatuto General de Contratación de la Administración Pública</w:t>
      </w:r>
      <w:r w:rsidRPr="001B26EC">
        <w:rPr>
          <w:rFonts w:ascii="Verdana" w:hAnsi="Verdana" w:cs="Arial"/>
          <w:bCs/>
          <w:color w:val="000000"/>
          <w:vertAlign w:val="superscript"/>
          <w:lang w:eastAsia="es-CO"/>
        </w:rPr>
        <w:footnoteReference w:id="3"/>
      </w:r>
      <w:r w:rsidRPr="001B26EC">
        <w:rPr>
          <w:rFonts w:ascii="Verdana" w:hAnsi="Verdana" w:cs="Arial"/>
          <w:bCs/>
          <w:color w:val="000000"/>
          <w:lang w:eastAsia="es-CO"/>
        </w:rPr>
        <w:t xml:space="preserve"> como a las exceptuadas de este–. Tal disposición normativa establece que “Contrato o convención es un acto por el cual una parte se obliga para con otra a dar, hacer o no hacer alguna cosa”. Por tanto, si una carta, memorando, acta u otro instrumento jurídico contiene un acuerdo de voluntades para crear obligaciones, será considerado un contrato, con independencia de su denominación. </w:t>
      </w:r>
    </w:p>
    <w:p w14:paraId="65F23484" w14:textId="77777777" w:rsidR="00634278" w:rsidRPr="001B26EC" w:rsidRDefault="00634278" w:rsidP="00634278">
      <w:pPr>
        <w:tabs>
          <w:tab w:val="left" w:pos="709"/>
        </w:tabs>
        <w:spacing w:after="120" w:line="276" w:lineRule="auto"/>
        <w:jc w:val="both"/>
        <w:rPr>
          <w:rFonts w:ascii="Verdana" w:hAnsi="Verdana" w:cs="Arial"/>
          <w:shd w:val="clear" w:color="auto" w:fill="FFFFFF"/>
        </w:rPr>
      </w:pPr>
      <w:proofErr w:type="spellStart"/>
      <w:r w:rsidRPr="001B26EC">
        <w:rPr>
          <w:rFonts w:ascii="Verdana" w:eastAsia="Calibri" w:hAnsi="Verdana" w:cs="Arial"/>
        </w:rPr>
        <w:t>ii</w:t>
      </w:r>
      <w:proofErr w:type="spellEnd"/>
      <w:r w:rsidRPr="001B26EC">
        <w:rPr>
          <w:rFonts w:ascii="Verdana" w:eastAsia="Calibri" w:hAnsi="Verdana" w:cs="Arial"/>
        </w:rPr>
        <w:t xml:space="preserve">. Ahora bien, respecto a la documentación que debe ser publicada en el SECOP resulta procedente indicar que </w:t>
      </w:r>
      <w:r w:rsidRPr="001B26EC">
        <w:rPr>
          <w:rFonts w:ascii="Verdana" w:hAnsi="Verdana" w:cs="Arial"/>
          <w:shd w:val="clear" w:color="auto" w:fill="FFFFFF"/>
        </w:rPr>
        <w:t xml:space="preserve">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SECOP como un mecanismo que “contará con la información oficial de la </w:t>
      </w:r>
      <w:r w:rsidRPr="001B26EC">
        <w:rPr>
          <w:rFonts w:ascii="Verdana" w:hAnsi="Verdana" w:cs="Arial"/>
          <w:shd w:val="clear" w:color="auto" w:fill="FFFFFF"/>
        </w:rPr>
        <w:lastRenderedPageBreak/>
        <w:t>contratación realizada con dineros públicos, para lo cual establecerá los patrones a que haya lugar y se encargará de su difusión a través de canales electrónicos</w:t>
      </w:r>
      <w:r w:rsidRPr="001B26EC">
        <w:rPr>
          <w:rFonts w:ascii="Verdana" w:eastAsia="Calibri" w:hAnsi="Verdana" w:cs="Arial"/>
          <w:color w:val="000000" w:themeColor="text1"/>
          <w:vertAlign w:val="superscript"/>
          <w:lang w:val="es-ES_tradnl"/>
        </w:rPr>
        <w:footnoteReference w:id="4"/>
      </w:r>
      <w:r w:rsidRPr="001B26EC">
        <w:rPr>
          <w:rFonts w:ascii="Verdana" w:hAnsi="Verdana" w:cs="Arial"/>
          <w:shd w:val="clear" w:color="auto" w:fill="FFFFFF"/>
        </w:rPr>
        <w:t>”</w:t>
      </w:r>
      <w:r w:rsidRPr="001B26EC">
        <w:rPr>
          <w:rFonts w:ascii="Verdana" w:eastAsia="Calibri" w:hAnsi="Verdana" w:cs="Arial"/>
          <w:color w:val="000000" w:themeColor="text1"/>
          <w:lang w:val="es-ES_tradnl"/>
        </w:rPr>
        <w:t>.</w:t>
      </w:r>
    </w:p>
    <w:p w14:paraId="17D58B91" w14:textId="77777777" w:rsidR="00634278" w:rsidRPr="001B26EC" w:rsidRDefault="00634278" w:rsidP="00634278">
      <w:pPr>
        <w:spacing w:after="120" w:line="276" w:lineRule="auto"/>
        <w:ind w:firstLine="709"/>
        <w:jc w:val="both"/>
        <w:rPr>
          <w:rFonts w:ascii="Verdana" w:hAnsi="Verdana" w:cs="Arial"/>
          <w:color w:val="000000" w:themeColor="text1"/>
          <w:lang w:val="es-ES_tradnl"/>
        </w:rPr>
      </w:pPr>
      <w:r w:rsidRPr="001B26EC">
        <w:rPr>
          <w:rFonts w:ascii="Verdana" w:hAnsi="Verdana" w:cs="Arial"/>
          <w:shd w:val="clear" w:color="auto" w:fill="FFFFFF"/>
        </w:rPr>
        <w:t>De otra parte, la Ley 1712 de 2014 –ley estatutaria que regula la transparencia y el derecho de acceso a la información y a los documentos públicos–; identifica como principios que orientan el derecho de acceso a la información pública, el</w:t>
      </w:r>
      <w:r w:rsidRPr="001B26EC">
        <w:rPr>
          <w:rFonts w:ascii="Verdana" w:hAnsi="Verdana" w:cs="Arial"/>
          <w:color w:val="000000" w:themeColor="text1"/>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1B26EC">
        <w:rPr>
          <w:rFonts w:ascii="Verdana" w:hAnsi="Verdana" w:cs="Arial"/>
          <w:color w:val="000000" w:themeColor="text1"/>
          <w:vertAlign w:val="superscript"/>
          <w:lang w:val="es-ES_tradnl"/>
        </w:rPr>
        <w:footnoteReference w:id="5"/>
      </w:r>
      <w:r w:rsidRPr="001B26EC">
        <w:rPr>
          <w:rFonts w:ascii="Verdana" w:hAnsi="Verdana" w:cs="Arial"/>
          <w:color w:val="000000" w:themeColor="text1"/>
          <w:lang w:val="es-ES_tradnl"/>
        </w:rPr>
        <w:t>. El principio de transparencia en la información alude al deber de los sujetos de proporcionar y facilitar el acceso a la misma en los términos más amplios posibles, y a través de los medios y procedimientos legales. La Ley estatutaria citada establece, en el literal e) del artículo 9, que los sujetos obligados, que son todas las entidades públicas</w:t>
      </w:r>
      <w:r w:rsidRPr="001B26EC">
        <w:rPr>
          <w:rFonts w:ascii="Verdana" w:hAnsi="Verdana" w:cs="Arial"/>
          <w:color w:val="000000" w:themeColor="text1"/>
          <w:vertAlign w:val="superscript"/>
          <w:lang w:val="es-ES_tradnl"/>
        </w:rPr>
        <w:footnoteReference w:id="6"/>
      </w:r>
      <w:r w:rsidRPr="001B26EC">
        <w:rPr>
          <w:rFonts w:ascii="Verdana" w:hAnsi="Verdana" w:cs="Arial"/>
          <w:color w:val="000000" w:themeColor="text1"/>
          <w:lang w:val="es-ES_tradnl"/>
        </w:rPr>
        <w:t xml:space="preserve">, deben publicar la información relativa a su contratación. </w:t>
      </w:r>
    </w:p>
    <w:p w14:paraId="7657FB76" w14:textId="77777777" w:rsidR="00634278" w:rsidRPr="001B26EC" w:rsidRDefault="00634278" w:rsidP="00634278">
      <w:pPr>
        <w:spacing w:after="120" w:line="276" w:lineRule="auto"/>
        <w:ind w:firstLine="709"/>
        <w:jc w:val="both"/>
        <w:rPr>
          <w:rFonts w:ascii="Verdana" w:eastAsia="Calibri" w:hAnsi="Verdana" w:cs="Arial"/>
          <w:color w:val="000000"/>
          <w:szCs w:val="24"/>
          <w:lang w:val="es-ES_tradnl" w:eastAsia="es-ES_tradnl"/>
        </w:rPr>
      </w:pPr>
      <w:r w:rsidRPr="001B26EC">
        <w:rPr>
          <w:rFonts w:ascii="Verdana" w:hAnsi="Verdana" w:cs="Arial"/>
          <w:color w:val="000000" w:themeColor="text1"/>
          <w:lang w:val="es-ES_tradnl"/>
        </w:rPr>
        <w:t xml:space="preserve">Esta obligación fue </w:t>
      </w:r>
      <w:r w:rsidRPr="001B26EC">
        <w:rPr>
          <w:rFonts w:ascii="Verdana" w:eastAsia="Calibri" w:hAnsi="Verdana" w:cs="Arial"/>
          <w:color w:val="000000"/>
          <w:lang w:val="es-ES_tradnl"/>
        </w:rPr>
        <w:t>desarrollada por el Decreto Único Reglamentario 1082 de 2015</w:t>
      </w:r>
      <w:r w:rsidRPr="001B26EC">
        <w:rPr>
          <w:rFonts w:ascii="Verdana" w:eastAsia="Calibri" w:hAnsi="Verdana" w:cs="Arial"/>
          <w:color w:val="000000"/>
          <w:vertAlign w:val="superscript"/>
          <w:lang w:val="es-ES_tradnl"/>
        </w:rPr>
        <w:footnoteReference w:id="7"/>
      </w:r>
      <w:r w:rsidRPr="001B26EC">
        <w:rPr>
          <w:rFonts w:ascii="Verdana" w:eastAsia="Calibri" w:hAnsi="Verdana" w:cs="Arial"/>
          <w:color w:val="000000"/>
          <w:lang w:val="es-ES_tradnl"/>
        </w:rPr>
        <w:t xml:space="preserve">, el cual dispuso que la publicación de la información contractual de los </w:t>
      </w:r>
      <w:r w:rsidRPr="001B26EC">
        <w:rPr>
          <w:rFonts w:ascii="Verdana" w:eastAsia="Calibri" w:hAnsi="Verdana" w:cs="Arial"/>
          <w:color w:val="000000"/>
          <w:lang w:val="es-ES_tradnl"/>
        </w:rPr>
        <w:lastRenderedPageBreak/>
        <w:t>sujetos obligados, que contratan con cargo a recursos públicos, debe hacerse en el SECOP</w:t>
      </w:r>
      <w:r w:rsidRPr="001B26EC">
        <w:rPr>
          <w:rFonts w:ascii="Verdana" w:eastAsia="Calibri" w:hAnsi="Verdana" w:cs="Arial"/>
          <w:color w:val="000000"/>
          <w:szCs w:val="24"/>
          <w:lang w:val="es-ES_tradnl" w:eastAsia="es-ES_tradnl"/>
        </w:rPr>
        <w:t xml:space="preserve">. </w:t>
      </w:r>
      <w:r w:rsidRPr="001B26EC">
        <w:rPr>
          <w:rFonts w:ascii="Verdana" w:hAnsi="Verdana" w:cs="Arial"/>
          <w:shd w:val="clear" w:color="auto" w:fill="FFFFFF"/>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2856CA24" w14:textId="77777777" w:rsidR="00634278" w:rsidRPr="001B26EC" w:rsidRDefault="00634278" w:rsidP="00634278">
      <w:pPr>
        <w:spacing w:before="120" w:after="0" w:line="276" w:lineRule="auto"/>
        <w:ind w:firstLine="708"/>
        <w:contextualSpacing/>
        <w:jc w:val="both"/>
        <w:rPr>
          <w:rFonts w:ascii="Verdana" w:eastAsia="Calibri" w:hAnsi="Verdana" w:cs="Arial"/>
          <w:color w:val="000000"/>
          <w:szCs w:val="24"/>
          <w:lang w:val="es-ES_tradnl" w:eastAsia="es-ES_tradnl"/>
        </w:rPr>
      </w:pPr>
      <w:r w:rsidRPr="001B26EC">
        <w:rPr>
          <w:rFonts w:ascii="Verdana" w:eastAsia="Times New Roman" w:hAnsi="Verdana" w:cs="Arial"/>
          <w:color w:val="000000"/>
          <w:szCs w:val="24"/>
          <w:lang w:val="es-ES_tradnl" w:eastAsia="es-ES_tradnl"/>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24958CB0" w14:textId="77777777" w:rsidR="00634278" w:rsidRPr="001B26EC" w:rsidRDefault="00634278" w:rsidP="00634278">
      <w:pPr>
        <w:widowControl w:val="0"/>
        <w:tabs>
          <w:tab w:val="left" w:pos="728"/>
        </w:tabs>
        <w:autoSpaceDE w:val="0"/>
        <w:autoSpaceDN w:val="0"/>
        <w:spacing w:after="120" w:line="276" w:lineRule="auto"/>
        <w:ind w:firstLine="726"/>
        <w:jc w:val="both"/>
        <w:rPr>
          <w:rFonts w:ascii="Verdana" w:hAnsi="Verdana" w:cs="Arial"/>
          <w:lang w:val="es-ES"/>
        </w:rPr>
      </w:pPr>
      <w:r w:rsidRPr="001B26EC">
        <w:rPr>
          <w:rFonts w:ascii="Verdana" w:hAnsi="Verdana" w:cs="Arial"/>
          <w:lang w:val="es-ES"/>
        </w:rPr>
        <w:t>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18430BF7" w14:textId="77777777" w:rsidR="00634278" w:rsidRPr="001B26EC" w:rsidRDefault="00634278" w:rsidP="00634278">
      <w:pPr>
        <w:widowControl w:val="0"/>
        <w:autoSpaceDE w:val="0"/>
        <w:autoSpaceDN w:val="0"/>
        <w:spacing w:after="120" w:line="276" w:lineRule="auto"/>
        <w:ind w:firstLine="726"/>
        <w:jc w:val="both"/>
        <w:rPr>
          <w:rFonts w:ascii="Verdana" w:eastAsia="Arial" w:hAnsi="Verdana" w:cs="Arial"/>
          <w:lang w:val="es-ES"/>
        </w:rPr>
      </w:pPr>
      <w:r w:rsidRPr="001B26EC">
        <w:rPr>
          <w:rFonts w:ascii="Verdana" w:hAnsi="Verdana" w:cs="Arial"/>
          <w:lang w:val="es-ES"/>
        </w:rPr>
        <w:t>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1B26EC">
        <w:rPr>
          <w:rFonts w:ascii="Verdana" w:eastAsia="Arial" w:hAnsi="Verdana" w:cs="Arial"/>
          <w:lang w:val="es-ES"/>
        </w:rPr>
        <w:t xml:space="preserve"> </w:t>
      </w:r>
    </w:p>
    <w:p w14:paraId="5F2EB5E8" w14:textId="77777777" w:rsidR="00634278" w:rsidRPr="001B26EC" w:rsidRDefault="00634278" w:rsidP="00634278">
      <w:pPr>
        <w:widowControl w:val="0"/>
        <w:autoSpaceDE w:val="0"/>
        <w:autoSpaceDN w:val="0"/>
        <w:spacing w:after="120" w:line="276" w:lineRule="auto"/>
        <w:ind w:firstLine="726"/>
        <w:jc w:val="both"/>
        <w:rPr>
          <w:rFonts w:ascii="Verdana" w:eastAsia="Arial" w:hAnsi="Verdana" w:cs="Arial"/>
          <w:lang w:val="es-ES"/>
        </w:rPr>
      </w:pPr>
      <w:r w:rsidRPr="001B26EC">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proofErr w:type="spellStart"/>
      <w:r w:rsidRPr="001B26EC">
        <w:rPr>
          <w:rFonts w:ascii="Verdana" w:eastAsia="Arial" w:hAnsi="Verdana" w:cs="Arial"/>
          <w:i/>
          <w:iCs/>
          <w:lang w:val="es-ES"/>
        </w:rPr>
        <w:t>Ibídem</w:t>
      </w:r>
      <w:proofErr w:type="spellEnd"/>
      <w:r w:rsidRPr="001B26EC">
        <w:rPr>
          <w:rFonts w:ascii="Verdana" w:eastAsia="Arial" w:hAnsi="Verdana" w:cs="Arial"/>
          <w:lang w:val="es-ES"/>
        </w:rPr>
        <w:t xml:space="preserve"> recoge en la noción de </w:t>
      </w:r>
      <w:r w:rsidRPr="001B26EC">
        <w:rPr>
          <w:rFonts w:ascii="Verdana" w:eastAsia="Arial" w:hAnsi="Verdana" w:cs="Arial"/>
          <w:i/>
          <w:iCs/>
          <w:lang w:val="es-ES"/>
        </w:rPr>
        <w:t>Documentos del Proceso</w:t>
      </w:r>
      <w:r w:rsidRPr="001B26EC">
        <w:rPr>
          <w:rFonts w:ascii="Verdana" w:eastAsia="Arial" w:hAnsi="Verdana" w:cs="Arial"/>
          <w:lang w:val="es-ES"/>
        </w:rPr>
        <w:t xml:space="preserve"> “cualquier otro documento expedido por la Entidad Estatal durante el </w:t>
      </w:r>
      <w:r w:rsidRPr="001B26EC">
        <w:rPr>
          <w:rFonts w:ascii="Verdana" w:eastAsia="Arial" w:hAnsi="Verdana" w:cs="Arial"/>
          <w:i/>
          <w:iCs/>
          <w:lang w:val="es-ES"/>
        </w:rPr>
        <w:t>Proceso de Contratación”</w:t>
      </w:r>
      <w:r w:rsidRPr="001B26EC">
        <w:rPr>
          <w:rFonts w:ascii="Verdana" w:eastAsia="Arial" w:hAnsi="Verdana" w:cs="Arial"/>
          <w:lang w:val="es-ES"/>
        </w:rPr>
        <w:t xml:space="preserve">. Este mismo artículo define la expresión </w:t>
      </w:r>
      <w:r w:rsidRPr="001B26EC">
        <w:rPr>
          <w:rFonts w:ascii="Verdana" w:eastAsia="Arial" w:hAnsi="Verdana" w:cs="Arial"/>
          <w:i/>
          <w:iCs/>
          <w:lang w:val="es-ES"/>
        </w:rPr>
        <w:t>Proceso de Contratación</w:t>
      </w:r>
      <w:r w:rsidRPr="001B26EC">
        <w:rPr>
          <w:rFonts w:ascii="Verdana" w:eastAsia="Arial" w:hAnsi="Verdana" w:cs="Arial"/>
          <w:lang w:val="es-ES"/>
        </w:rPr>
        <w:t xml:space="preserve"> </w:t>
      </w:r>
      <w:r w:rsidRPr="001B26EC">
        <w:rPr>
          <w:rFonts w:ascii="Verdana" w:eastAsia="Arial" w:hAnsi="Verdana" w:cs="Arial"/>
          <w:lang w:val="es-ES"/>
        </w:rPr>
        <w:lastRenderedPageBreak/>
        <w:t>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1E056172" w14:textId="77777777" w:rsidR="00634278" w:rsidRPr="001B26EC" w:rsidRDefault="00634278" w:rsidP="00634278">
      <w:pPr>
        <w:widowControl w:val="0"/>
        <w:autoSpaceDE w:val="0"/>
        <w:autoSpaceDN w:val="0"/>
        <w:spacing w:after="120" w:line="276" w:lineRule="auto"/>
        <w:ind w:firstLine="708"/>
        <w:jc w:val="both"/>
        <w:rPr>
          <w:rFonts w:ascii="Verdana" w:eastAsia="Arial" w:hAnsi="Verdana" w:cs="Arial"/>
          <w:lang w:val="es-ES"/>
        </w:rPr>
      </w:pPr>
      <w:r w:rsidRPr="001B26EC">
        <w:rPr>
          <w:rFonts w:ascii="Verdana" w:eastAsia="Arial" w:hAnsi="Verdana" w:cs="Arial"/>
          <w:lang w:val="es-ES"/>
        </w:rPr>
        <w:t xml:space="preserve">En todo caso, de conformidad con la segunda parte del inciso primero del artículo 2.2.1.1.1.7.1 </w:t>
      </w:r>
      <w:r w:rsidRPr="001B26EC">
        <w:rPr>
          <w:rFonts w:ascii="Verdana" w:eastAsia="Arial" w:hAnsi="Verdana" w:cs="Arial"/>
          <w:i/>
          <w:iCs/>
          <w:lang w:val="es-ES"/>
        </w:rPr>
        <w:t>Ibidem</w:t>
      </w:r>
      <w:r w:rsidRPr="001B26EC">
        <w:rPr>
          <w:rFonts w:ascii="Verdana" w:eastAsia="Arial" w:hAnsi="Verdana"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1B26EC">
        <w:rPr>
          <w:rFonts w:ascii="Verdana" w:eastAsia="Arial" w:hAnsi="Verdana" w:cs="Arial"/>
          <w:i/>
          <w:iCs/>
          <w:lang w:val="es-ES"/>
        </w:rPr>
        <w:t xml:space="preserve"> </w:t>
      </w:r>
      <w:r w:rsidRPr="001B26EC">
        <w:rPr>
          <w:rFonts w:ascii="Verdana" w:eastAsia="Arial" w:hAnsi="Verdana" w:cs="Arial"/>
          <w:lang w:val="es-ES"/>
        </w:rPr>
        <w:t>Del deber de publicidad, de conformidad con la tercera parte del inciso primero de la referida norma, también se encuentran exentos los documentos de las operaciones que se realicen en bolsa de productos.</w:t>
      </w:r>
    </w:p>
    <w:p w14:paraId="4F7815ED" w14:textId="77777777" w:rsidR="00634278" w:rsidRPr="001B26EC" w:rsidRDefault="00634278" w:rsidP="00634278">
      <w:pPr>
        <w:widowControl w:val="0"/>
        <w:autoSpaceDE w:val="0"/>
        <w:autoSpaceDN w:val="0"/>
        <w:spacing w:after="120" w:line="276" w:lineRule="auto"/>
        <w:ind w:firstLine="726"/>
        <w:jc w:val="both"/>
        <w:rPr>
          <w:rFonts w:ascii="Verdana" w:eastAsia="Arial" w:hAnsi="Verdana" w:cs="Arial"/>
          <w:lang w:val="es-ES"/>
        </w:rPr>
      </w:pPr>
      <w:r w:rsidRPr="001B26EC">
        <w:rPr>
          <w:rFonts w:ascii="Verdana" w:eastAsia="Arial" w:hAnsi="Verdana" w:cs="Arial"/>
          <w:lang w:val="es-ES"/>
        </w:rPr>
        <w:t xml:space="preserve">Así, en virtud de lo dispuesto en el artículo 3 de la Ley 1150 de 2007, desarrollado por el artículo 2.2.1.1.1.7.1. del Decreto 1082 de 2015, las entidades están obligadas a publicar en el SECOP todos los documentos relacionados con el </w:t>
      </w:r>
      <w:r w:rsidRPr="001B26EC">
        <w:rPr>
          <w:rFonts w:ascii="Verdana" w:eastAsia="Arial" w:hAnsi="Verdana" w:cs="Arial"/>
          <w:i/>
          <w:iCs/>
          <w:lang w:val="es-ES"/>
        </w:rPr>
        <w:t>Proceso de Contratación</w:t>
      </w:r>
      <w:r w:rsidRPr="001B26EC">
        <w:rPr>
          <w:rFonts w:ascii="Verdana" w:eastAsia="Arial" w:hAnsi="Verdana" w:cs="Arial"/>
          <w:lang w:val="es-ES"/>
        </w:rPr>
        <w:t xml:space="preserve"> expedidos durante las etapas precontractual, de ejecución y </w:t>
      </w:r>
      <w:proofErr w:type="spellStart"/>
      <w:r w:rsidRPr="001B26EC">
        <w:rPr>
          <w:rFonts w:ascii="Verdana" w:eastAsia="Arial" w:hAnsi="Verdana" w:cs="Arial"/>
          <w:lang w:val="es-ES"/>
        </w:rPr>
        <w:t>postcontractual</w:t>
      </w:r>
      <w:proofErr w:type="spellEnd"/>
      <w:r w:rsidRPr="001B26EC">
        <w:rPr>
          <w:rFonts w:ascii="Verdana" w:eastAsia="Arial" w:hAnsi="Verdana" w:cs="Arial"/>
          <w:lang w:val="es-ES"/>
        </w:rPr>
        <w:t xml:space="preserve">. Este deber aplica a todas las modalidades de selección y entidades regidas por el Estatuto General de Contratación de la Administración Pública, así como las exceptuadas de este, y solo se encuentran excluidas las ofertas perdedoras y los documentos expedidos en el marco de operaciones de bolsa de productos. </w:t>
      </w:r>
    </w:p>
    <w:p w14:paraId="4CEDF1D3" w14:textId="77777777" w:rsidR="00634278" w:rsidRPr="001B26EC" w:rsidRDefault="00634278" w:rsidP="00634278">
      <w:pPr>
        <w:widowControl w:val="0"/>
        <w:autoSpaceDE w:val="0"/>
        <w:autoSpaceDN w:val="0"/>
        <w:spacing w:after="120" w:line="276" w:lineRule="auto"/>
        <w:ind w:firstLine="726"/>
        <w:jc w:val="both"/>
        <w:rPr>
          <w:rFonts w:ascii="Verdana" w:eastAsia="Arial" w:hAnsi="Verdana" w:cs="Arial"/>
        </w:rPr>
      </w:pPr>
      <w:r w:rsidRPr="001B26EC">
        <w:rPr>
          <w:rFonts w:ascii="Verdana" w:eastAsia="Arial" w:hAnsi="Verdana" w:cs="Arial"/>
        </w:rPr>
        <w:t>Bajo estas consideraciones, de acuerdo con la consulta planteada, se puede colegir que los memorandos de entendimiento o cartas de intención, al no poseer la naturaleza jurídica de contratos estatales, no se encuentran comprendidos dentro del ámbito de aplicación de las disposiciones señaladas referentes a la publicación obligatoria en el SECOP. Como se explicó, estos instrumentos, como compromisos programáticos basados en declaraciones de intención, reflejan la manifestación de voluntad y el interés común de las partes en avanzar hacia una eventual cooperación sin que de ello se derive la creación de obligaciones contractuales exigibles.</w:t>
      </w:r>
    </w:p>
    <w:p w14:paraId="5F63057D" w14:textId="77777777" w:rsidR="00634278" w:rsidRPr="001B26EC" w:rsidRDefault="00634278" w:rsidP="00634278">
      <w:pPr>
        <w:widowControl w:val="0"/>
        <w:autoSpaceDE w:val="0"/>
        <w:autoSpaceDN w:val="0"/>
        <w:spacing w:after="120" w:line="276" w:lineRule="auto"/>
        <w:ind w:firstLine="726"/>
        <w:jc w:val="both"/>
        <w:rPr>
          <w:rFonts w:ascii="Verdana" w:eastAsia="Arial" w:hAnsi="Verdana" w:cs="Arial"/>
        </w:rPr>
      </w:pPr>
      <w:r w:rsidRPr="001B26EC">
        <w:rPr>
          <w:rFonts w:ascii="Verdana" w:eastAsia="Arial" w:hAnsi="Verdana" w:cs="Arial"/>
        </w:rPr>
        <w:t xml:space="preserve">En ese orden de ideas, dado que la obligación de publicar en el SECOP la información contractual comprende los documentos expedidos por la entidad estatal durante las etapas precontractual, contractual y </w:t>
      </w:r>
      <w:proofErr w:type="spellStart"/>
      <w:r w:rsidRPr="001B26EC">
        <w:rPr>
          <w:rFonts w:ascii="Verdana" w:eastAsia="Arial" w:hAnsi="Verdana" w:cs="Arial"/>
        </w:rPr>
        <w:t>postcontractual</w:t>
      </w:r>
      <w:proofErr w:type="spellEnd"/>
      <w:r w:rsidRPr="001B26EC">
        <w:rPr>
          <w:rFonts w:ascii="Verdana" w:eastAsia="Arial" w:hAnsi="Verdana" w:cs="Arial"/>
        </w:rPr>
        <w:t xml:space="preserve">, en el marco de un proceso de contratación, la publicación en dicha plataforma de los memorandos de entendimiento o cartas de intención no resulta obligatoria. Ello, </w:t>
      </w:r>
      <w:r w:rsidRPr="001B26EC">
        <w:rPr>
          <w:rFonts w:ascii="Verdana" w:eastAsia="Arial" w:hAnsi="Verdana" w:cs="Arial"/>
        </w:rPr>
        <w:lastRenderedPageBreak/>
        <w:t>por cuanto estos instrumentos no se enmarcan dentro de un proceso de contratación ni generan las obligaciones jurídicas propias de un contrato estatal o de un convenio.</w:t>
      </w:r>
    </w:p>
    <w:p w14:paraId="74D68471" w14:textId="77777777" w:rsidR="00634278" w:rsidRPr="001B26EC" w:rsidRDefault="00634278" w:rsidP="00634278">
      <w:pPr>
        <w:widowControl w:val="0"/>
        <w:autoSpaceDE w:val="0"/>
        <w:autoSpaceDN w:val="0"/>
        <w:spacing w:after="120" w:line="276" w:lineRule="auto"/>
        <w:ind w:firstLine="726"/>
        <w:jc w:val="both"/>
        <w:rPr>
          <w:rFonts w:ascii="Verdana" w:eastAsia="Arial" w:hAnsi="Verdana" w:cs="Arial"/>
        </w:rPr>
      </w:pPr>
      <w:r w:rsidRPr="001B26EC">
        <w:rPr>
          <w:rFonts w:ascii="Verdana" w:eastAsia="Arial" w:hAnsi="Verdana" w:cs="Arial"/>
        </w:rPr>
        <w:t>No obstante lo anterior, y en atención al principio de máxima publicidad, conforme al cual “toda información en posesión, bajo control o custodia de un sujeto obligado es pública y no podrá ser reservada o limitada sino por disposición constitucional o legal”, le corresponde a la entidad estatal divulgar este tipo de instrumentos a través de otros medios, como su página web oficial u otras plataformas de transparencia activa. Ello contribuiría a la promoción de la transparencia en la gestión pública, sin perjuicio de la publicación de los documentos sujetos a reserva legal</w:t>
      </w:r>
      <w:r w:rsidRPr="001B26EC">
        <w:rPr>
          <w:rFonts w:ascii="Verdana" w:eastAsia="Arial" w:hAnsi="Verdana" w:cs="Arial"/>
          <w:vertAlign w:val="superscript"/>
        </w:rPr>
        <w:footnoteReference w:id="8"/>
      </w:r>
      <w:r w:rsidRPr="001B26EC">
        <w:rPr>
          <w:rFonts w:ascii="Verdana" w:eastAsia="Arial" w:hAnsi="Verdana" w:cs="Arial"/>
        </w:rPr>
        <w:t xml:space="preserve">. </w:t>
      </w:r>
    </w:p>
    <w:p w14:paraId="64A3E2CD" w14:textId="77777777" w:rsidR="00634278" w:rsidRPr="001B26EC" w:rsidRDefault="00634278" w:rsidP="00634278">
      <w:pPr>
        <w:spacing w:after="120" w:line="276" w:lineRule="auto"/>
        <w:ind w:firstLine="709"/>
        <w:jc w:val="both"/>
        <w:rPr>
          <w:rFonts w:ascii="Verdana" w:eastAsia="Arial" w:hAnsi="Verdana" w:cs="Arial"/>
        </w:rPr>
      </w:pPr>
      <w:r w:rsidRPr="001B26EC">
        <w:rPr>
          <w:rFonts w:ascii="Verdana" w:eastAsia="Arial" w:hAnsi="Verdana" w:cs="Arial"/>
        </w:rPr>
        <w:t>En todo caso, en el evento en que el memorando de entendimiento conlleve el cumplimiento de obligaciones exigibles que trasciendan la mera manifestación de intención o implique que la entidad estatal reciba bienes, obras o servicios o ejecución de recursos públicos, dicho instrumento adquirirá la naturaleza jurídica de contrato. En consecuencia, deberá ser publicado en la plataforma SECOP, conforme a las disposiciones que regulan la publicidad de la contratación estatal.</w:t>
      </w:r>
    </w:p>
    <w:p w14:paraId="7E40C722" w14:textId="77777777" w:rsidR="00634278" w:rsidRPr="001B26EC" w:rsidRDefault="00634278" w:rsidP="00634278">
      <w:pPr>
        <w:spacing w:after="120" w:line="276" w:lineRule="auto"/>
        <w:ind w:firstLine="709"/>
        <w:jc w:val="both"/>
        <w:rPr>
          <w:rFonts w:ascii="Verdana" w:eastAsia="Calibri" w:hAnsi="Verdana" w:cs="Arial"/>
          <w:bCs/>
          <w:color w:val="000000" w:themeColor="text1"/>
        </w:rPr>
      </w:pPr>
      <w:r w:rsidRPr="001B26EC">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6245C70" w14:textId="77777777" w:rsidR="00634278" w:rsidRPr="001B26EC" w:rsidRDefault="00634278" w:rsidP="00634278">
      <w:pPr>
        <w:spacing w:after="0" w:line="276" w:lineRule="auto"/>
        <w:ind w:firstLine="708"/>
        <w:jc w:val="both"/>
        <w:rPr>
          <w:rFonts w:ascii="Verdana" w:eastAsia="Calibri" w:hAnsi="Verdana" w:cs="Arial"/>
          <w:bCs/>
          <w:color w:val="000000" w:themeColor="text1"/>
        </w:rPr>
      </w:pPr>
      <w:r w:rsidRPr="001B26EC">
        <w:rPr>
          <w:rFonts w:ascii="Verdana" w:eastAsia="Calibri"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BFAFC8C" w14:textId="77777777" w:rsidR="00634278" w:rsidRPr="001B26EC" w:rsidRDefault="00634278" w:rsidP="00634278">
      <w:pPr>
        <w:spacing w:after="0" w:line="276" w:lineRule="auto"/>
        <w:jc w:val="both"/>
        <w:rPr>
          <w:rFonts w:ascii="Verdana" w:hAnsi="Verdana"/>
        </w:rPr>
      </w:pPr>
      <w:bookmarkStart w:id="6" w:name="_Hlk91231640"/>
      <w:r w:rsidRPr="001B26EC">
        <w:rPr>
          <w:rFonts w:ascii="Verdana" w:hAnsi="Verdana"/>
        </w:rPr>
        <w:tab/>
        <w:t xml:space="preserve"> </w:t>
      </w:r>
      <w:bookmarkEnd w:id="6"/>
    </w:p>
    <w:p w14:paraId="36B741C1" w14:textId="77777777" w:rsidR="00634278" w:rsidRPr="001B26EC" w:rsidRDefault="00634278" w:rsidP="00634278">
      <w:pPr>
        <w:numPr>
          <w:ilvl w:val="0"/>
          <w:numId w:val="1"/>
        </w:numPr>
        <w:tabs>
          <w:tab w:val="left" w:pos="142"/>
          <w:tab w:val="left" w:pos="284"/>
        </w:tabs>
        <w:spacing w:after="0" w:line="276" w:lineRule="auto"/>
        <w:jc w:val="both"/>
        <w:rPr>
          <w:rFonts w:ascii="Verdana" w:eastAsia="Century Gothic" w:hAnsi="Verdana" w:cs="Century Gothic"/>
          <w:b/>
          <w:bCs/>
        </w:rPr>
      </w:pPr>
      <w:r w:rsidRPr="001B26EC">
        <w:rPr>
          <w:rFonts w:ascii="Verdana" w:eastAsia="Century Gothic" w:hAnsi="Verdana" w:cs="Century Gothic"/>
          <w:b/>
          <w:bCs/>
        </w:rPr>
        <w:t>Referencias normativas y jurisprudenciales:</w:t>
      </w:r>
    </w:p>
    <w:p w14:paraId="2F625A1D" w14:textId="77777777" w:rsidR="00634278" w:rsidRPr="001B26EC" w:rsidRDefault="00634278" w:rsidP="0063427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34278" w:rsidRPr="001B26EC" w14:paraId="183F0A12" w14:textId="77777777" w:rsidTr="003B02A7">
        <w:trPr>
          <w:trHeight w:val="977"/>
          <w:jc w:val="center"/>
        </w:trPr>
        <w:tc>
          <w:tcPr>
            <w:tcW w:w="8647" w:type="dxa"/>
          </w:tcPr>
          <w:p w14:paraId="6B27CB92" w14:textId="77777777" w:rsidR="00634278" w:rsidRPr="001B26EC" w:rsidRDefault="00634278" w:rsidP="00634278">
            <w:pPr>
              <w:numPr>
                <w:ilvl w:val="0"/>
                <w:numId w:val="3"/>
              </w:numPr>
              <w:spacing w:after="120" w:line="276" w:lineRule="auto"/>
              <w:ind w:left="318" w:hanging="284"/>
              <w:contextualSpacing/>
              <w:jc w:val="both"/>
              <w:rPr>
                <w:rFonts w:ascii="Verdana" w:hAnsi="Verdana"/>
              </w:rPr>
            </w:pPr>
            <w:r w:rsidRPr="001B26EC">
              <w:rPr>
                <w:rFonts w:ascii="Verdana" w:hAnsi="Verdana"/>
              </w:rPr>
              <w:t>Ley 80 de 1993, artículos 13, 32 y 40.</w:t>
            </w:r>
          </w:p>
          <w:p w14:paraId="70B9935A" w14:textId="77777777" w:rsidR="00634278" w:rsidRPr="001B26EC" w:rsidRDefault="00634278" w:rsidP="00634278">
            <w:pPr>
              <w:numPr>
                <w:ilvl w:val="0"/>
                <w:numId w:val="3"/>
              </w:numPr>
              <w:spacing w:after="120" w:line="276" w:lineRule="auto"/>
              <w:ind w:left="318" w:hanging="284"/>
              <w:contextualSpacing/>
              <w:jc w:val="both"/>
              <w:rPr>
                <w:rFonts w:ascii="Verdana" w:hAnsi="Verdana"/>
              </w:rPr>
            </w:pPr>
            <w:r w:rsidRPr="001B26EC">
              <w:rPr>
                <w:rFonts w:ascii="Verdana" w:hAnsi="Verdana"/>
              </w:rPr>
              <w:t>Código Civil, artículo 1495</w:t>
            </w:r>
          </w:p>
          <w:p w14:paraId="1A56D284" w14:textId="77777777" w:rsidR="00634278" w:rsidRPr="001B26EC" w:rsidRDefault="00634278" w:rsidP="00634278">
            <w:pPr>
              <w:numPr>
                <w:ilvl w:val="0"/>
                <w:numId w:val="3"/>
              </w:numPr>
              <w:spacing w:after="120" w:line="276" w:lineRule="auto"/>
              <w:ind w:left="318" w:hanging="284"/>
              <w:contextualSpacing/>
              <w:jc w:val="both"/>
              <w:rPr>
                <w:rFonts w:ascii="Verdana" w:hAnsi="Verdana"/>
              </w:rPr>
            </w:pPr>
            <w:r w:rsidRPr="001B26EC">
              <w:rPr>
                <w:rFonts w:ascii="Verdana" w:hAnsi="Verdana" w:cs="Arial"/>
              </w:rPr>
              <w:t>Ley 1150 de 2007, artículo 3</w:t>
            </w:r>
          </w:p>
          <w:p w14:paraId="0FD6DE4F" w14:textId="77777777" w:rsidR="00634278" w:rsidRPr="001B26EC" w:rsidRDefault="00634278" w:rsidP="00634278">
            <w:pPr>
              <w:numPr>
                <w:ilvl w:val="0"/>
                <w:numId w:val="3"/>
              </w:numPr>
              <w:spacing w:after="120" w:line="276" w:lineRule="auto"/>
              <w:ind w:left="318" w:hanging="284"/>
              <w:contextualSpacing/>
              <w:jc w:val="both"/>
              <w:rPr>
                <w:rFonts w:ascii="Verdana" w:hAnsi="Verdana"/>
              </w:rPr>
            </w:pPr>
            <w:r w:rsidRPr="001B26EC">
              <w:rPr>
                <w:rFonts w:ascii="Verdana" w:hAnsi="Verdana" w:cs="Arial"/>
              </w:rPr>
              <w:t>Ley 1437 de 2011, artículos 24, 25 y 36</w:t>
            </w:r>
          </w:p>
          <w:p w14:paraId="411B33B2" w14:textId="77777777" w:rsidR="00634278" w:rsidRPr="001B26EC" w:rsidRDefault="00634278" w:rsidP="00634278">
            <w:pPr>
              <w:numPr>
                <w:ilvl w:val="0"/>
                <w:numId w:val="3"/>
              </w:numPr>
              <w:spacing w:after="120" w:line="276" w:lineRule="auto"/>
              <w:ind w:left="318" w:hanging="284"/>
              <w:contextualSpacing/>
              <w:jc w:val="both"/>
              <w:rPr>
                <w:rFonts w:ascii="Verdana" w:hAnsi="Verdana"/>
              </w:rPr>
            </w:pPr>
            <w:r w:rsidRPr="001B26EC">
              <w:rPr>
                <w:rFonts w:ascii="Verdana" w:hAnsi="Verdana" w:cs="Arial"/>
              </w:rPr>
              <w:t>Ley 1712 de 2014, artículos 2, 5, 21, 6, 11, 21, 18 y 19</w:t>
            </w:r>
          </w:p>
          <w:p w14:paraId="4B9B19F1" w14:textId="77777777" w:rsidR="00634278" w:rsidRPr="001B26EC" w:rsidRDefault="00634278" w:rsidP="00634278">
            <w:pPr>
              <w:numPr>
                <w:ilvl w:val="0"/>
                <w:numId w:val="3"/>
              </w:numPr>
              <w:spacing w:after="120" w:line="276" w:lineRule="auto"/>
              <w:ind w:left="318" w:hanging="284"/>
              <w:contextualSpacing/>
              <w:jc w:val="both"/>
              <w:rPr>
                <w:rFonts w:ascii="Verdana" w:hAnsi="Verdana"/>
              </w:rPr>
            </w:pPr>
            <w:r w:rsidRPr="001B26EC">
              <w:rPr>
                <w:rFonts w:ascii="Verdana" w:hAnsi="Verdana" w:cs="Arial"/>
              </w:rPr>
              <w:t>Decreto 1081 de 2015, Artículo 2.1.1.2.1.7.</w:t>
            </w:r>
          </w:p>
        </w:tc>
      </w:tr>
    </w:tbl>
    <w:p w14:paraId="45720E02" w14:textId="77777777" w:rsidR="00634278" w:rsidRPr="001B26EC" w:rsidRDefault="00634278" w:rsidP="00634278">
      <w:pPr>
        <w:widowControl w:val="0"/>
        <w:autoSpaceDE w:val="0"/>
        <w:autoSpaceDN w:val="0"/>
        <w:spacing w:after="0" w:line="276" w:lineRule="auto"/>
        <w:jc w:val="both"/>
        <w:rPr>
          <w:rFonts w:ascii="Verdana" w:hAnsi="Verdana" w:cs="Arial"/>
        </w:rPr>
      </w:pPr>
    </w:p>
    <w:p w14:paraId="439048C7" w14:textId="77777777" w:rsidR="00634278" w:rsidRPr="001B26EC" w:rsidRDefault="00634278" w:rsidP="00634278">
      <w:pPr>
        <w:numPr>
          <w:ilvl w:val="0"/>
          <w:numId w:val="1"/>
        </w:numPr>
        <w:tabs>
          <w:tab w:val="left" w:pos="142"/>
          <w:tab w:val="left" w:pos="284"/>
        </w:tabs>
        <w:spacing w:after="0" w:line="276" w:lineRule="auto"/>
        <w:jc w:val="both"/>
        <w:rPr>
          <w:rFonts w:ascii="Verdana" w:eastAsia="Century Gothic" w:hAnsi="Verdana" w:cs="Century Gothic"/>
          <w:b/>
          <w:bCs/>
        </w:rPr>
      </w:pPr>
      <w:r w:rsidRPr="001B26EC">
        <w:rPr>
          <w:rFonts w:ascii="Verdana" w:eastAsia="Century Gothic" w:hAnsi="Verdana" w:cs="Century Gothic"/>
          <w:b/>
          <w:bCs/>
        </w:rPr>
        <w:t>Doctrina de la Agencia Nacional de Contratación Pública:</w:t>
      </w:r>
    </w:p>
    <w:p w14:paraId="1144E345" w14:textId="77777777" w:rsidR="00634278" w:rsidRPr="001B26EC" w:rsidRDefault="00634278" w:rsidP="00634278">
      <w:pPr>
        <w:widowControl w:val="0"/>
        <w:autoSpaceDE w:val="0"/>
        <w:autoSpaceDN w:val="0"/>
        <w:spacing w:after="0" w:line="276" w:lineRule="auto"/>
        <w:jc w:val="both"/>
        <w:rPr>
          <w:rFonts w:ascii="Verdana" w:hAnsi="Verdana" w:cs="Arial"/>
        </w:rPr>
      </w:pPr>
    </w:p>
    <w:p w14:paraId="1ACF93E7" w14:textId="77777777" w:rsidR="00634278" w:rsidRPr="001B26EC" w:rsidRDefault="00634278" w:rsidP="00634278">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1B26EC">
        <w:rPr>
          <w:rFonts w:ascii="Verdana" w:eastAsia="Calibri" w:hAnsi="Verdana" w:cs="Arial"/>
          <w:lang w:val="es-ES_tradnl" w:eastAsia="es-ES_tradnl"/>
        </w:rPr>
        <w:t>Sobre los memorandos de entendimiento, esta Subdirección se ha referido en los Conceptos 4201813000001079, C-575 del 27 de agosto de 2020, C-127 del 22 de marzo de 2022, C-232 del 27 de mayo de 2022, P20231122017103 del 21 de diciembre de 2023 y C-393 del 7 de mayo de 2025</w:t>
      </w:r>
      <w:r w:rsidRPr="001B26EC">
        <w:rPr>
          <w:rFonts w:ascii="Verdana" w:hAnsi="Verdana" w:cs="Arial"/>
          <w:shd w:val="clear" w:color="auto" w:fill="FFFFFF"/>
          <w:lang w:val="es-ES"/>
        </w:rPr>
        <w:t xml:space="preserve">. Sobre </w:t>
      </w:r>
      <w:r w:rsidRPr="001B26EC">
        <w:rPr>
          <w:rFonts w:ascii="Verdana" w:eastAsia="Aptos" w:hAnsi="Verdana" w:cs="Arial"/>
          <w:shd w:val="clear" w:color="auto" w:fill="FFFFFF"/>
          <w:lang w:val="es-ES"/>
        </w:rPr>
        <w:t xml:space="preserve">el principio de publicación, la obligatoriedad de publicación en la plataforma SECOP II esta Subdirección se ha pronunciado en los conceptos </w:t>
      </w:r>
      <w:r w:rsidRPr="001B26EC">
        <w:rPr>
          <w:rFonts w:ascii="Verdana" w:hAnsi="Verdana"/>
        </w:rPr>
        <w:t>CU-367 del 23 de julio de 2020, C-049 del 7 de marzo de 2022, C-120 del 22 de marzo de 2022, C-124 del 22 de marzo de 2022, C-132 del 28 de marzo de 2022,</w:t>
      </w:r>
      <w:r w:rsidRPr="001B26EC">
        <w:rPr>
          <w:rFonts w:ascii="Verdana" w:hAnsi="Verdana" w:cs="Arial"/>
          <w:shd w:val="clear" w:color="auto" w:fill="FFFFFF"/>
          <w:lang w:val="es-ES"/>
        </w:rPr>
        <w:t xml:space="preserve"> C-872 de 2024, C-941-2024, C-009 de 2025, C-073 de 2025, C-139 de 2025, C-402 de 2025, C-479 de 2025,</w:t>
      </w:r>
      <w:r w:rsidRPr="001B26EC">
        <w:rPr>
          <w:rFonts w:ascii="Verdana" w:eastAsia="Aptos" w:hAnsi="Verdana" w:cs="Arial"/>
          <w:shd w:val="clear" w:color="auto" w:fill="FFFFFF"/>
          <w:lang w:val="es-ES"/>
        </w:rPr>
        <w:t xml:space="preserve"> C-774 del 30 de julio de 2025,  C-1041 del 4 de septiembre de 2025, C-1381 del 16 de octubre de 2025. </w:t>
      </w:r>
      <w:r w:rsidRPr="001B26EC">
        <w:rPr>
          <w:rFonts w:ascii="Verdana" w:hAnsi="Verdana" w:cs="Arial"/>
          <w:shd w:val="clear" w:color="auto" w:fill="FFFFFF"/>
        </w:rPr>
        <w:t>Es</w:t>
      </w:r>
      <w:r w:rsidRPr="001B26EC">
        <w:rPr>
          <w:rFonts w:ascii="Verdana" w:hAnsi="Verdana"/>
        </w:rPr>
        <w:t>tos conceptos se encuentran disponibles para consulta en el Sistema de relatoría de la Agencia, al cual se puede acceder a través del siguiente enlace:</w:t>
      </w:r>
      <w:r w:rsidRPr="001B26EC">
        <w:rPr>
          <w:rFonts w:ascii="Verdana" w:hAnsi="Verdana" w:cs="Arial"/>
          <w:shd w:val="clear" w:color="auto" w:fill="FFFFFF"/>
        </w:rPr>
        <w:t xml:space="preserve"> </w:t>
      </w:r>
      <w:hyperlink r:id="rId13" w:history="1">
        <w:r w:rsidRPr="001B26EC">
          <w:rPr>
            <w:rFonts w:ascii="Verdana" w:hAnsi="Verdana" w:cs="Arial"/>
            <w:color w:val="0563C1" w:themeColor="hyperlink"/>
            <w:u w:val="single"/>
            <w:shd w:val="clear" w:color="auto" w:fill="FFFFFF"/>
          </w:rPr>
          <w:t>https://relatoria.colombiacompra.gov.co/busqueda/conceptos</w:t>
        </w:r>
      </w:hyperlink>
      <w:r w:rsidRPr="001B26EC">
        <w:rPr>
          <w:rFonts w:ascii="Verdana" w:hAnsi="Verdana" w:cs="Arial"/>
          <w:shd w:val="clear" w:color="auto" w:fill="FFFFFF"/>
        </w:rPr>
        <w:t>.</w:t>
      </w:r>
      <w:r w:rsidRPr="001B26EC">
        <w:rPr>
          <w:rFonts w:ascii="Verdana" w:hAnsi="Verdana" w:cs="Arial"/>
          <w:color w:val="FF0000"/>
          <w:shd w:val="clear" w:color="auto" w:fill="FFFFFF"/>
        </w:rPr>
        <w:t xml:space="preserve"> </w:t>
      </w:r>
      <w:r w:rsidRPr="001B26EC">
        <w:rPr>
          <w:rFonts w:ascii="Verdana" w:hAnsi="Verdana" w:cs="Arial"/>
          <w:color w:val="000000" w:themeColor="text1"/>
          <w:shd w:val="clear" w:color="auto" w:fill="FFFFFF"/>
        </w:rPr>
        <w:t>  </w:t>
      </w:r>
    </w:p>
    <w:p w14:paraId="2869C37C" w14:textId="77777777" w:rsidR="00634278" w:rsidRPr="001B26EC" w:rsidRDefault="00634278" w:rsidP="00634278">
      <w:pPr>
        <w:shd w:val="clear" w:color="auto" w:fill="FFFFFF"/>
        <w:spacing w:after="0" w:line="276" w:lineRule="auto"/>
        <w:jc w:val="both"/>
        <w:rPr>
          <w:rFonts w:ascii="Verdana" w:hAnsi="Verdana" w:cs="Times New Roman"/>
          <w:color w:val="467886"/>
          <w:u w:val="single"/>
        </w:rPr>
      </w:pPr>
      <w:r w:rsidRPr="001B26EC">
        <w:rPr>
          <w:rFonts w:ascii="Verdana" w:eastAsia="Calibri" w:hAnsi="Verdana" w:cs="Times New Roman"/>
          <w:color w:val="000000"/>
        </w:rPr>
        <w:lastRenderedPageBreak/>
        <w:t>Te informamos que ya se encuentra disponible la </w:t>
      </w:r>
      <w:r w:rsidRPr="001B26EC">
        <w:rPr>
          <w:rFonts w:ascii="Verdana" w:eastAsia="Calibri" w:hAnsi="Verdana" w:cs="Times New Roman"/>
          <w:b/>
          <w:bCs/>
          <w:color w:val="000000"/>
        </w:rPr>
        <w:t>Guía de lineamientos de transparencia y selección objetiva para el departamento de La Guajira – Objetivo sexto constitucional de la Sentencia T-302 del 2017. </w:t>
      </w:r>
      <w:r w:rsidRPr="001B26EC">
        <w:rPr>
          <w:rFonts w:ascii="Verdana" w:eastAsia="Calibri" w:hAnsi="Verdana" w:cs="Times New Roman"/>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B26EC">
        <w:rPr>
          <w:rFonts w:ascii="Verdana" w:eastAsia="Calibri" w:hAnsi="Verdana" w:cs="Times New Roman"/>
          <w:color w:val="000000"/>
        </w:rPr>
        <w:t>Wayúu</w:t>
      </w:r>
      <w:proofErr w:type="spellEnd"/>
      <w:r w:rsidRPr="001B26EC">
        <w:rPr>
          <w:rFonts w:ascii="Verdana" w:eastAsia="Calibri" w:hAnsi="Verdana" w:cs="Times New Roman"/>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1B26EC">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r w:rsidRPr="001B26EC">
        <w:rPr>
          <w:rFonts w:ascii="Verdana" w:eastAsia="Calibri" w:hAnsi="Verdana" w:cs="Times New Roman"/>
          <w:color w:val="000000"/>
          <w:u w:val="single"/>
        </w:rPr>
        <w:t>.</w:t>
      </w:r>
    </w:p>
    <w:p w14:paraId="7C7D3938" w14:textId="77777777" w:rsidR="00634278" w:rsidRPr="001B26EC" w:rsidRDefault="00634278" w:rsidP="00634278">
      <w:pPr>
        <w:widowControl w:val="0"/>
        <w:autoSpaceDE w:val="0"/>
        <w:autoSpaceDN w:val="0"/>
        <w:spacing w:after="0" w:line="276" w:lineRule="auto"/>
        <w:jc w:val="both"/>
        <w:rPr>
          <w:rFonts w:ascii="Verdana" w:eastAsia="Calibri" w:hAnsi="Verdana" w:cs="Arial"/>
          <w:color w:val="000000" w:themeColor="text1"/>
          <w:shd w:val="clear" w:color="auto" w:fill="FFFFFF"/>
          <w:lang w:val="es-ES_tradnl"/>
        </w:rPr>
      </w:pPr>
      <w:r w:rsidRPr="001B26EC">
        <w:rPr>
          <w:rFonts w:ascii="Verdana" w:eastAsia="Calibri" w:hAnsi="Verdana" w:cs="Arial"/>
          <w:color w:val="000000" w:themeColor="text1"/>
          <w:shd w:val="clear" w:color="auto" w:fill="FFFFFF"/>
          <w:lang w:val="es-ES_tradnl"/>
        </w:rPr>
        <w:t xml:space="preserve"> </w:t>
      </w:r>
    </w:p>
    <w:p w14:paraId="6B091CFE" w14:textId="77777777" w:rsidR="00634278" w:rsidRPr="001B26EC" w:rsidRDefault="00634278" w:rsidP="00634278">
      <w:pPr>
        <w:spacing w:after="0" w:line="256" w:lineRule="auto"/>
        <w:jc w:val="both"/>
        <w:rPr>
          <w:rFonts w:ascii="Verdana" w:eastAsia="Calibri" w:hAnsi="Verdana"/>
        </w:rPr>
      </w:pPr>
      <w:r w:rsidRPr="001B26EC">
        <w:rPr>
          <w:rFonts w:ascii="Verdana" w:eastAsia="Calibri" w:hAnsi="Verdana" w:cs="Times New Roman"/>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7AA1BA8" w14:textId="77777777" w:rsidR="00634278" w:rsidRPr="001B26EC" w:rsidRDefault="00634278" w:rsidP="00634278">
      <w:pPr>
        <w:spacing w:after="0" w:line="256" w:lineRule="auto"/>
        <w:jc w:val="both"/>
        <w:rPr>
          <w:rFonts w:ascii="Verdana" w:eastAsia="Calibri" w:hAnsi="Verdana" w:cs="Times New Roman"/>
        </w:rPr>
      </w:pPr>
    </w:p>
    <w:p w14:paraId="33F3DEB6" w14:textId="77777777" w:rsidR="00634278" w:rsidRPr="001B26EC" w:rsidRDefault="00634278" w:rsidP="00634278">
      <w:pPr>
        <w:numPr>
          <w:ilvl w:val="0"/>
          <w:numId w:val="38"/>
        </w:numPr>
        <w:spacing w:after="0" w:line="240" w:lineRule="auto"/>
        <w:contextualSpacing/>
        <w:jc w:val="both"/>
        <w:rPr>
          <w:rFonts w:ascii="Verdana" w:eastAsia="Verdana" w:hAnsi="Verdana" w:cs="Verdana"/>
          <w:color w:val="4472C4" w:themeColor="accent1"/>
          <w:u w:val="single"/>
          <w:lang w:val="es-MX"/>
        </w:rPr>
      </w:pPr>
      <w:r w:rsidRPr="001B26EC">
        <w:rPr>
          <w:rFonts w:ascii="Verdana" w:eastAsia="Verdana" w:hAnsi="Verdana" w:cs="Verdana"/>
          <w:lang w:val="es-MX"/>
        </w:rPr>
        <w:t xml:space="preserve">Línea nacional gratuita o servicio a la ciudadanía (Mesa de servicio): </w:t>
      </w:r>
      <w:r w:rsidRPr="001B26EC">
        <w:rPr>
          <w:rFonts w:ascii="Verdana" w:eastAsia="Calibri" w:hAnsi="Verdana" w:cs="Times New Roman"/>
          <w:color w:val="0000FF"/>
          <w:u w:val="single"/>
          <w:lang w:val="es-ES"/>
        </w:rPr>
        <w:t>01800 0520808</w:t>
      </w:r>
    </w:p>
    <w:p w14:paraId="2DB3CE6D" w14:textId="77777777" w:rsidR="00634278" w:rsidRPr="001B26EC" w:rsidRDefault="00634278" w:rsidP="00634278">
      <w:pPr>
        <w:numPr>
          <w:ilvl w:val="0"/>
          <w:numId w:val="38"/>
        </w:numPr>
        <w:spacing w:after="0" w:line="256" w:lineRule="auto"/>
        <w:contextualSpacing/>
        <w:rPr>
          <w:rFonts w:ascii="Verdana" w:eastAsia="Verdana" w:hAnsi="Verdana" w:cs="Verdana"/>
          <w:color w:val="4472C4" w:themeColor="accent1"/>
          <w:u w:val="single"/>
          <w:lang w:val="es-MX"/>
        </w:rPr>
      </w:pPr>
      <w:r w:rsidRPr="001B26EC">
        <w:rPr>
          <w:rFonts w:ascii="Verdana" w:eastAsia="Verdana" w:hAnsi="Verdana" w:cs="Verdana"/>
          <w:lang w:val="es-MX"/>
        </w:rPr>
        <w:t>Línea en Bogotá (Mesa de servicio):</w:t>
      </w:r>
      <w:r w:rsidRPr="001B26EC">
        <w:rPr>
          <w:rFonts w:ascii="Verdana" w:eastAsia="Calibri" w:hAnsi="Verdana" w:cs="Times New Roman"/>
          <w:color w:val="0000FF"/>
          <w:u w:val="single"/>
          <w:lang w:val="es-ES"/>
        </w:rPr>
        <w:t>+57 601 7456788</w:t>
      </w:r>
    </w:p>
    <w:p w14:paraId="6602EB0F" w14:textId="77777777" w:rsidR="00634278" w:rsidRPr="001B26EC" w:rsidRDefault="00634278" w:rsidP="00634278">
      <w:pPr>
        <w:numPr>
          <w:ilvl w:val="0"/>
          <w:numId w:val="38"/>
        </w:numPr>
        <w:spacing w:after="0" w:line="256" w:lineRule="auto"/>
        <w:contextualSpacing/>
        <w:rPr>
          <w:rFonts w:ascii="Verdana" w:eastAsia="Verdana" w:hAnsi="Verdana" w:cs="Verdana"/>
          <w:color w:val="0000FF"/>
          <w:u w:val="single"/>
          <w:lang w:val="es-MX"/>
        </w:rPr>
      </w:pPr>
      <w:r w:rsidRPr="001B26EC">
        <w:rPr>
          <w:rFonts w:ascii="Verdana" w:eastAsia="Verdana" w:hAnsi="Verdana" w:cs="Verdana"/>
          <w:lang w:val="es-MX"/>
        </w:rPr>
        <w:t xml:space="preserve">Correo de radicación de correspondencia: </w:t>
      </w:r>
      <w:hyperlink r:id="rId15" w:history="1">
        <w:r w:rsidRPr="001B26EC">
          <w:rPr>
            <w:rFonts w:ascii="Verdana" w:eastAsia="Verdana" w:hAnsi="Verdana" w:cs="Verdana"/>
            <w:color w:val="0000FF"/>
            <w:u w:val="single"/>
            <w:lang w:val="es-MX"/>
          </w:rPr>
          <w:t>ventanilladeradicacion@colombiacompra.gov.co</w:t>
        </w:r>
      </w:hyperlink>
    </w:p>
    <w:p w14:paraId="190098E2" w14:textId="77777777" w:rsidR="00634278" w:rsidRPr="001B26EC" w:rsidRDefault="00634278" w:rsidP="00634278">
      <w:pPr>
        <w:numPr>
          <w:ilvl w:val="0"/>
          <w:numId w:val="38"/>
        </w:numPr>
        <w:spacing w:after="0" w:line="256" w:lineRule="auto"/>
        <w:contextualSpacing/>
        <w:rPr>
          <w:rFonts w:ascii="Verdana" w:eastAsia="Verdana" w:hAnsi="Verdana" w:cs="Verdana"/>
          <w:color w:val="0000FF"/>
          <w:u w:val="single"/>
          <w:lang w:val="es-MX"/>
        </w:rPr>
      </w:pPr>
      <w:r w:rsidRPr="001B26EC">
        <w:rPr>
          <w:rFonts w:ascii="Verdana" w:eastAsia="Verdana" w:hAnsi="Verdana" w:cs="Verdana"/>
          <w:lang w:val="es-ES"/>
        </w:rPr>
        <w:t xml:space="preserve">Formulario web para PQRSD: </w:t>
      </w:r>
      <w:hyperlink r:id="rId16" w:history="1">
        <w:r w:rsidRPr="001B26EC">
          <w:rPr>
            <w:rFonts w:ascii="Verdana" w:eastAsia="Verdana" w:hAnsi="Verdana" w:cs="Verdana"/>
            <w:color w:val="0000FF"/>
            <w:u w:val="single"/>
            <w:lang w:val="es-MX"/>
          </w:rPr>
          <w:t>https://www.colombiacompra.gov.co/pqrsd/informacion-importante-antes-de-formular-una-pqrsd</w:t>
        </w:r>
      </w:hyperlink>
    </w:p>
    <w:p w14:paraId="46F5E84C" w14:textId="77777777" w:rsidR="00634278" w:rsidRPr="001B26EC" w:rsidRDefault="00634278" w:rsidP="00634278">
      <w:pPr>
        <w:spacing w:after="0" w:line="240" w:lineRule="auto"/>
        <w:ind w:left="720"/>
        <w:jc w:val="both"/>
        <w:rPr>
          <w:rFonts w:ascii="Verdana" w:hAnsi="Verdana"/>
        </w:rPr>
      </w:pPr>
    </w:p>
    <w:p w14:paraId="62DD8F69" w14:textId="77777777" w:rsidR="00634278" w:rsidRPr="001B26EC" w:rsidRDefault="00634278" w:rsidP="00634278">
      <w:pPr>
        <w:spacing w:after="0" w:line="240" w:lineRule="auto"/>
        <w:rPr>
          <w:rFonts w:ascii="Verdana" w:eastAsia="Calibri" w:hAnsi="Verdana" w:cs="Times New Roman"/>
        </w:rPr>
      </w:pPr>
      <w:r w:rsidRPr="001B26EC">
        <w:rPr>
          <w:rFonts w:ascii="Verdana" w:eastAsia="Calibri" w:hAnsi="Verdana" w:cs="Times New Roman"/>
        </w:rPr>
        <w:t>Evalúa el servicio que ofrece la Agencia por el canal de atención de PQRSD en el siguiente enlace :</w:t>
      </w:r>
      <w:hyperlink r:id="rId17" w:tgtFrame="_blank" w:tooltip="https://forms.office.com/r/pphywvs2sz" w:history="1">
        <w:r w:rsidRPr="001B26EC">
          <w:rPr>
            <w:rFonts w:ascii="Verdana" w:eastAsia="Calibri" w:hAnsi="Verdana" w:cs="Times New Roman"/>
            <w:color w:val="0000FF"/>
            <w:u w:val="single"/>
          </w:rPr>
          <w:t>https://forms.office.com/r/pPHyWVs2SZ</w:t>
        </w:r>
      </w:hyperlink>
      <w:r w:rsidRPr="001B26EC">
        <w:rPr>
          <w:rFonts w:ascii="Verdana" w:eastAsia="Calibri" w:hAnsi="Verdana" w:cs="Times New Roman"/>
        </w:rPr>
        <w:t xml:space="preserve"> .¡Ayúdanos a mejorar porque el compromiso es de todos!</w:t>
      </w:r>
    </w:p>
    <w:p w14:paraId="68D3AD3F" w14:textId="77777777" w:rsidR="00634278" w:rsidRPr="001B26EC" w:rsidRDefault="00634278" w:rsidP="00634278">
      <w:pPr>
        <w:spacing w:after="0" w:line="240" w:lineRule="auto"/>
        <w:rPr>
          <w:rFonts w:ascii="Verdana" w:eastAsia="Calibri" w:hAnsi="Verdana" w:cs="Times New Roman"/>
        </w:rPr>
      </w:pPr>
    </w:p>
    <w:p w14:paraId="1BAA3EA1" w14:textId="77777777" w:rsidR="00634278" w:rsidRPr="001B26EC" w:rsidRDefault="00634278" w:rsidP="00634278">
      <w:pPr>
        <w:spacing w:after="0" w:line="240" w:lineRule="auto"/>
        <w:jc w:val="both"/>
        <w:rPr>
          <w:rFonts w:ascii="Verdana" w:eastAsia="Calibri" w:hAnsi="Verdana" w:cs="Times New Roman"/>
        </w:rPr>
      </w:pPr>
      <w:r w:rsidRPr="001B26EC">
        <w:rPr>
          <w:rFonts w:ascii="Verdana" w:eastAsia="Calibri" w:hAnsi="Verdana" w:cs="Times New Roman"/>
        </w:rPr>
        <w:t xml:space="preserve">Por último, lo invitamos a seguirnos en las redes sociales en las cuales se difunde información institucional: </w:t>
      </w:r>
    </w:p>
    <w:p w14:paraId="6D3159D0" w14:textId="77777777" w:rsidR="00634278" w:rsidRPr="001B26EC" w:rsidRDefault="00634278" w:rsidP="00634278">
      <w:pPr>
        <w:spacing w:after="0" w:line="240" w:lineRule="auto"/>
        <w:jc w:val="both"/>
        <w:rPr>
          <w:rFonts w:ascii="Verdana" w:eastAsia="Calibri" w:hAnsi="Verdana" w:cs="Times New Roman"/>
        </w:rPr>
      </w:pPr>
    </w:p>
    <w:p w14:paraId="194F6AAA" w14:textId="77777777" w:rsidR="00634278" w:rsidRPr="001B26EC" w:rsidRDefault="00634278" w:rsidP="00634278">
      <w:pPr>
        <w:spacing w:after="0" w:line="240" w:lineRule="auto"/>
        <w:jc w:val="both"/>
        <w:rPr>
          <w:rFonts w:ascii="Verdana" w:eastAsia="Calibri" w:hAnsi="Verdana" w:cs="Times New Roman"/>
        </w:rPr>
      </w:pPr>
      <w:r w:rsidRPr="001B26EC">
        <w:rPr>
          <w:rFonts w:ascii="Verdana" w:eastAsia="Calibri" w:hAnsi="Verdana" w:cs="Times New Roman"/>
        </w:rPr>
        <w:t xml:space="preserve">Twitter: </w:t>
      </w:r>
      <w:r w:rsidRPr="001B26EC">
        <w:rPr>
          <w:rFonts w:ascii="Verdana" w:eastAsia="Calibri" w:hAnsi="Verdana" w:cs="Times New Roman"/>
          <w:color w:val="0000FF"/>
          <w:u w:val="single"/>
        </w:rPr>
        <w:t>@colombiacompra</w:t>
      </w:r>
      <w:r w:rsidRPr="001B26EC">
        <w:rPr>
          <w:rFonts w:ascii="Verdana" w:eastAsia="Calibri" w:hAnsi="Verdana" w:cs="Times New Roman"/>
        </w:rPr>
        <w:t xml:space="preserve"> </w:t>
      </w:r>
    </w:p>
    <w:p w14:paraId="16BBB707" w14:textId="77777777" w:rsidR="00634278" w:rsidRPr="001B26EC" w:rsidRDefault="00634278" w:rsidP="00634278">
      <w:pPr>
        <w:spacing w:after="0" w:line="240" w:lineRule="auto"/>
        <w:jc w:val="both"/>
        <w:rPr>
          <w:rFonts w:ascii="Verdana" w:eastAsia="Calibri" w:hAnsi="Verdana" w:cs="Times New Roman"/>
        </w:rPr>
      </w:pPr>
      <w:r w:rsidRPr="001B26EC">
        <w:rPr>
          <w:rFonts w:ascii="Verdana" w:eastAsia="Calibri" w:hAnsi="Verdana" w:cs="Times New Roman"/>
        </w:rPr>
        <w:t xml:space="preserve">Facebook: </w:t>
      </w:r>
      <w:proofErr w:type="spellStart"/>
      <w:r w:rsidRPr="001B26EC">
        <w:rPr>
          <w:rFonts w:ascii="Verdana" w:eastAsia="Calibri" w:hAnsi="Verdana" w:cs="Times New Roman"/>
          <w:color w:val="0000FF"/>
          <w:u w:val="single"/>
        </w:rPr>
        <w:t>ColombiaCompraEficiente</w:t>
      </w:r>
      <w:proofErr w:type="spellEnd"/>
    </w:p>
    <w:p w14:paraId="3A695505" w14:textId="77777777" w:rsidR="00634278" w:rsidRPr="001B26EC" w:rsidRDefault="00634278" w:rsidP="00634278">
      <w:pPr>
        <w:spacing w:after="0" w:line="240" w:lineRule="auto"/>
        <w:jc w:val="both"/>
        <w:rPr>
          <w:rFonts w:ascii="Verdana" w:eastAsia="Calibri" w:hAnsi="Verdana" w:cs="Times New Roman"/>
        </w:rPr>
      </w:pPr>
      <w:r w:rsidRPr="001B26EC">
        <w:rPr>
          <w:rFonts w:ascii="Verdana" w:eastAsia="Calibri" w:hAnsi="Verdana" w:cs="Times New Roman"/>
        </w:rPr>
        <w:t xml:space="preserve">LinkedIn: </w:t>
      </w:r>
      <w:r w:rsidRPr="001B26EC">
        <w:rPr>
          <w:rFonts w:ascii="Verdana" w:eastAsia="Calibri" w:hAnsi="Verdana" w:cs="Times New Roman"/>
          <w:color w:val="0000FF"/>
          <w:u w:val="single"/>
        </w:rPr>
        <w:t>Agencia Nacional de Contratación Pública - Colombia Compra Eficiente</w:t>
      </w:r>
      <w:r w:rsidRPr="001B26EC">
        <w:rPr>
          <w:rFonts w:ascii="Verdana" w:eastAsia="Calibri" w:hAnsi="Verdana" w:cs="Times New Roman"/>
        </w:rPr>
        <w:t xml:space="preserve"> Instagram: </w:t>
      </w:r>
      <w:r w:rsidRPr="001B26EC">
        <w:rPr>
          <w:rFonts w:ascii="Verdana" w:eastAsia="Calibri" w:hAnsi="Verdana" w:cs="Times New Roman"/>
          <w:color w:val="0000FF"/>
          <w:u w:val="single"/>
        </w:rPr>
        <w:t>@colombiacompraeficiente_cce</w:t>
      </w:r>
    </w:p>
    <w:p w14:paraId="75EF739C" w14:textId="77777777" w:rsidR="00634278" w:rsidRPr="001B26EC" w:rsidRDefault="00634278" w:rsidP="00634278">
      <w:pPr>
        <w:widowControl w:val="0"/>
        <w:autoSpaceDE w:val="0"/>
        <w:autoSpaceDN w:val="0"/>
        <w:spacing w:after="0" w:line="276" w:lineRule="auto"/>
        <w:jc w:val="both"/>
        <w:rPr>
          <w:rFonts w:ascii="Verdana" w:hAnsi="Verdana" w:cs="Arial"/>
        </w:rPr>
      </w:pPr>
    </w:p>
    <w:p w14:paraId="7E331CDB" w14:textId="77777777" w:rsidR="00634278" w:rsidRPr="001B26EC" w:rsidRDefault="00634278" w:rsidP="00634278">
      <w:pPr>
        <w:widowControl w:val="0"/>
        <w:autoSpaceDE w:val="0"/>
        <w:autoSpaceDN w:val="0"/>
        <w:spacing w:after="0" w:line="276" w:lineRule="auto"/>
        <w:jc w:val="both"/>
        <w:rPr>
          <w:rFonts w:ascii="Verdana" w:hAnsi="Verdana" w:cs="Arial"/>
        </w:rPr>
      </w:pPr>
      <w:r w:rsidRPr="001B26EC">
        <w:rPr>
          <w:rFonts w:ascii="Verdana" w:hAnsi="Verdana" w:cs="Arial"/>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9E70110" w14:textId="77777777" w:rsidR="00634278" w:rsidRPr="001B26EC" w:rsidRDefault="00634278" w:rsidP="00634278">
      <w:pPr>
        <w:widowControl w:val="0"/>
        <w:autoSpaceDE w:val="0"/>
        <w:autoSpaceDN w:val="0"/>
        <w:spacing w:after="0" w:line="276" w:lineRule="auto"/>
        <w:jc w:val="both"/>
        <w:rPr>
          <w:rFonts w:ascii="Verdana" w:hAnsi="Verdana" w:cs="Arial"/>
        </w:rPr>
      </w:pPr>
    </w:p>
    <w:p w14:paraId="7E206DE5" w14:textId="77777777" w:rsidR="00634278" w:rsidRPr="001B26EC" w:rsidRDefault="00634278" w:rsidP="00634278">
      <w:pPr>
        <w:spacing w:after="0" w:line="276" w:lineRule="auto"/>
        <w:rPr>
          <w:rFonts w:ascii="Verdana" w:hAnsi="Verdana" w:cs="Arial"/>
          <w:lang w:eastAsia="es-CO"/>
        </w:rPr>
      </w:pPr>
      <w:r w:rsidRPr="001B26EC">
        <w:rPr>
          <w:rFonts w:ascii="Verdana" w:eastAsia="Times New Roman" w:hAnsi="Verdana" w:cs="Arial"/>
          <w:lang w:eastAsia="es-CO"/>
        </w:rPr>
        <w:t>Atentamente,</w:t>
      </w:r>
      <w:r w:rsidRPr="001B26EC">
        <w:rPr>
          <w:rFonts w:ascii="Verdana" w:hAnsi="Verdana" w:cs="Arial"/>
          <w:lang w:eastAsia="es-CO"/>
        </w:rPr>
        <w:t xml:space="preserve"> </w:t>
      </w:r>
    </w:p>
    <w:p w14:paraId="3D24D50A" w14:textId="641EADA2" w:rsidR="00634278" w:rsidRPr="001B26EC" w:rsidRDefault="00185A06" w:rsidP="00634278">
      <w:pPr>
        <w:spacing w:line="276" w:lineRule="auto"/>
        <w:jc w:val="center"/>
        <w:rPr>
          <w:rFonts w:ascii="Verdana" w:hAnsi="Verdana" w:cs="Arial"/>
          <w:color w:val="000000"/>
          <w:lang w:eastAsia="es-CO"/>
        </w:rPr>
      </w:pPr>
      <w:r w:rsidRPr="002C3AD6">
        <w:rPr>
          <w:rFonts w:ascii="Century Gothic" w:hAnsi="Century Gothic"/>
          <w:noProof/>
        </w:rPr>
        <w:drawing>
          <wp:inline distT="0" distB="0" distL="0" distR="0" wp14:anchorId="07F81C63" wp14:editId="5465B11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34278" w:rsidRPr="001B26EC" w14:paraId="026F2A67" w14:textId="77777777" w:rsidTr="003B02A7">
        <w:trPr>
          <w:trHeight w:val="315"/>
        </w:trPr>
        <w:tc>
          <w:tcPr>
            <w:tcW w:w="893" w:type="dxa"/>
            <w:vAlign w:val="center"/>
            <w:hideMark/>
          </w:tcPr>
          <w:p w14:paraId="490DBB5F" w14:textId="77777777" w:rsidR="00634278" w:rsidRPr="001B26EC" w:rsidRDefault="00634278" w:rsidP="003B02A7">
            <w:pPr>
              <w:contextualSpacing/>
              <w:rPr>
                <w:rFonts w:ascii="Verdana" w:hAnsi="Verdana" w:cs="Arial"/>
                <w:sz w:val="16"/>
                <w:szCs w:val="16"/>
                <w:lang w:eastAsia="es-ES"/>
              </w:rPr>
            </w:pPr>
            <w:r w:rsidRPr="001B26EC">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EDA0414" w14:textId="77777777" w:rsidR="00634278" w:rsidRPr="001B26EC" w:rsidRDefault="00634278" w:rsidP="003B02A7">
            <w:pPr>
              <w:contextualSpacing/>
              <w:rPr>
                <w:rFonts w:ascii="Verdana" w:hAnsi="Verdana"/>
                <w:sz w:val="16"/>
                <w:szCs w:val="16"/>
              </w:rPr>
            </w:pPr>
            <w:r w:rsidRPr="001B26EC">
              <w:rPr>
                <w:rFonts w:ascii="Verdana" w:hAnsi="Verdana"/>
                <w:sz w:val="16"/>
                <w:szCs w:val="16"/>
              </w:rPr>
              <w:t>Tatiana Baquero Iguarán</w:t>
            </w:r>
          </w:p>
          <w:p w14:paraId="7CDB4190" w14:textId="77777777" w:rsidR="00634278" w:rsidRPr="001B26EC" w:rsidRDefault="00634278" w:rsidP="003B02A7">
            <w:pPr>
              <w:contextualSpacing/>
              <w:rPr>
                <w:rFonts w:ascii="Verdana" w:eastAsia="Arial" w:hAnsi="Verdana" w:cs="Arial"/>
                <w:sz w:val="16"/>
                <w:szCs w:val="16"/>
              </w:rPr>
            </w:pPr>
            <w:r w:rsidRPr="001B26EC">
              <w:rPr>
                <w:rFonts w:ascii="Verdana" w:hAnsi="Verdana"/>
                <w:sz w:val="16"/>
                <w:szCs w:val="16"/>
              </w:rPr>
              <w:t>Contratista de la Subdirección de Gestión Contractual</w:t>
            </w:r>
          </w:p>
        </w:tc>
      </w:tr>
      <w:tr w:rsidR="00634278" w:rsidRPr="001B26EC" w14:paraId="3A4D43A7" w14:textId="77777777" w:rsidTr="003B02A7">
        <w:trPr>
          <w:trHeight w:val="330"/>
        </w:trPr>
        <w:tc>
          <w:tcPr>
            <w:tcW w:w="893" w:type="dxa"/>
            <w:vAlign w:val="center"/>
            <w:hideMark/>
          </w:tcPr>
          <w:p w14:paraId="7DBA52E8" w14:textId="77777777" w:rsidR="00634278" w:rsidRPr="001B26EC" w:rsidRDefault="00634278" w:rsidP="003B02A7">
            <w:pPr>
              <w:contextualSpacing/>
              <w:rPr>
                <w:rFonts w:ascii="Verdana" w:hAnsi="Verdana" w:cs="Arial"/>
                <w:sz w:val="16"/>
                <w:szCs w:val="16"/>
                <w:lang w:eastAsia="es-ES"/>
              </w:rPr>
            </w:pPr>
            <w:r w:rsidRPr="001B26EC">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00B95E7" w14:textId="77777777" w:rsidR="00634278" w:rsidRPr="001B26EC" w:rsidRDefault="00634278" w:rsidP="003B02A7">
            <w:pPr>
              <w:textAlignment w:val="baseline"/>
              <w:rPr>
                <w:rFonts w:ascii="Verdana" w:eastAsia="Times New Roman" w:hAnsi="Verdana" w:cs="Arial"/>
                <w:sz w:val="16"/>
                <w:szCs w:val="16"/>
                <w:lang w:val="es-MX" w:eastAsia="es-CO"/>
              </w:rPr>
            </w:pPr>
            <w:r w:rsidRPr="001B26EC">
              <w:rPr>
                <w:rFonts w:ascii="Verdana" w:eastAsia="Times New Roman" w:hAnsi="Verdana" w:cs="Arial"/>
                <w:sz w:val="16"/>
                <w:szCs w:val="16"/>
                <w:lang w:val="es-MX" w:eastAsia="es-CO"/>
              </w:rPr>
              <w:t>Alejandro Raúl Sarmiento Cantillo</w:t>
            </w:r>
          </w:p>
          <w:p w14:paraId="0782A6FF" w14:textId="77777777" w:rsidR="00634278" w:rsidRPr="001B26EC" w:rsidRDefault="00634278" w:rsidP="003B02A7">
            <w:pPr>
              <w:spacing w:before="100" w:beforeAutospacing="1" w:after="100" w:afterAutospacing="1"/>
              <w:contextualSpacing/>
              <w:textAlignment w:val="baseline"/>
              <w:rPr>
                <w:rFonts w:ascii="Verdana" w:eastAsia="Times New Roman" w:hAnsi="Verdana" w:cs="Segoe UI"/>
                <w:sz w:val="16"/>
                <w:szCs w:val="16"/>
                <w:lang w:eastAsia="es-ES_tradnl"/>
              </w:rPr>
            </w:pPr>
            <w:r w:rsidRPr="001B26EC">
              <w:rPr>
                <w:rFonts w:ascii="Verdana" w:eastAsia="Times New Roman" w:hAnsi="Verdana" w:cs="Arial"/>
                <w:sz w:val="16"/>
                <w:szCs w:val="16"/>
                <w:lang w:val="es-MX" w:eastAsia="es-CO"/>
              </w:rPr>
              <w:t>Gestor T1-15 de la Subdirección de Gestión Contractual</w:t>
            </w:r>
          </w:p>
        </w:tc>
      </w:tr>
      <w:tr w:rsidR="00634278" w:rsidRPr="001B26EC" w14:paraId="11D45834" w14:textId="77777777" w:rsidTr="003B02A7">
        <w:trPr>
          <w:trHeight w:val="300"/>
        </w:trPr>
        <w:tc>
          <w:tcPr>
            <w:tcW w:w="893" w:type="dxa"/>
            <w:vAlign w:val="center"/>
          </w:tcPr>
          <w:p w14:paraId="41292E4B" w14:textId="77777777" w:rsidR="00634278" w:rsidRPr="001B26EC" w:rsidRDefault="00634278" w:rsidP="003B02A7">
            <w:pPr>
              <w:contextualSpacing/>
              <w:rPr>
                <w:rFonts w:ascii="Verdana" w:hAnsi="Verdana" w:cs="Arial"/>
                <w:sz w:val="16"/>
                <w:szCs w:val="16"/>
                <w:lang w:eastAsia="es-ES"/>
              </w:rPr>
            </w:pPr>
            <w:r w:rsidRPr="001B26EC">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E1B7CE" w14:textId="77777777" w:rsidR="00634278" w:rsidRPr="001B26EC" w:rsidRDefault="00634278" w:rsidP="003B02A7">
            <w:pPr>
              <w:contextualSpacing/>
              <w:rPr>
                <w:rFonts w:ascii="Verdana" w:eastAsia="Calibri" w:hAnsi="Verdana" w:cs="Arial"/>
                <w:sz w:val="16"/>
                <w:szCs w:val="16"/>
                <w:lang w:eastAsia="es-ES"/>
              </w:rPr>
            </w:pPr>
            <w:r w:rsidRPr="001B26EC">
              <w:rPr>
                <w:rFonts w:ascii="Verdana" w:eastAsia="Calibri" w:hAnsi="Verdana" w:cs="Arial"/>
                <w:sz w:val="16"/>
                <w:szCs w:val="16"/>
                <w:lang w:eastAsia="es-ES"/>
              </w:rPr>
              <w:t xml:space="preserve">Carolina Quintero </w:t>
            </w:r>
            <w:proofErr w:type="spellStart"/>
            <w:r w:rsidRPr="001B26EC">
              <w:rPr>
                <w:rFonts w:ascii="Verdana" w:eastAsia="Calibri" w:hAnsi="Verdana" w:cs="Arial"/>
                <w:sz w:val="16"/>
                <w:szCs w:val="16"/>
                <w:lang w:eastAsia="es-ES"/>
              </w:rPr>
              <w:t>Gacharná</w:t>
            </w:r>
            <w:proofErr w:type="spellEnd"/>
          </w:p>
          <w:p w14:paraId="65553B64" w14:textId="77777777" w:rsidR="00634278" w:rsidRPr="001B26EC" w:rsidRDefault="00634278" w:rsidP="003B02A7">
            <w:pPr>
              <w:contextualSpacing/>
              <w:rPr>
                <w:rFonts w:ascii="Verdana" w:eastAsia="Calibri" w:hAnsi="Verdana" w:cs="Arial"/>
                <w:sz w:val="16"/>
                <w:szCs w:val="16"/>
                <w:lang w:eastAsia="es-ES"/>
              </w:rPr>
            </w:pPr>
            <w:r w:rsidRPr="001B26EC">
              <w:rPr>
                <w:rFonts w:ascii="Verdana" w:eastAsia="Calibri" w:hAnsi="Verdana" w:cs="Arial"/>
                <w:sz w:val="16"/>
                <w:szCs w:val="16"/>
                <w:lang w:eastAsia="es-ES"/>
              </w:rPr>
              <w:t>Subdirectora de Gestión Contractual ANCP – CCE</w:t>
            </w:r>
          </w:p>
        </w:tc>
      </w:tr>
    </w:tbl>
    <w:p w14:paraId="1A487372" w14:textId="77777777" w:rsidR="00634278" w:rsidRPr="001B26EC" w:rsidRDefault="00634278" w:rsidP="00634278"/>
    <w:p w14:paraId="6881AADD" w14:textId="77777777" w:rsidR="00634278" w:rsidRPr="001B26EC" w:rsidRDefault="00634278" w:rsidP="00634278">
      <w:pPr>
        <w:spacing w:after="0" w:line="240" w:lineRule="auto"/>
        <w:rPr>
          <w:rFonts w:ascii="Verdana" w:eastAsia="Aptos" w:hAnsi="Verdana" w:cs="Times New Roman"/>
          <w:sz w:val="20"/>
          <w:szCs w:val="20"/>
        </w:rPr>
      </w:pPr>
    </w:p>
    <w:p w14:paraId="5184C0F1" w14:textId="77777777" w:rsidR="00634278" w:rsidRPr="001B26EC" w:rsidRDefault="00634278" w:rsidP="00634278">
      <w:pPr>
        <w:spacing w:after="0" w:line="240" w:lineRule="auto"/>
        <w:rPr>
          <w:rFonts w:ascii="Verdana" w:eastAsia="Aptos" w:hAnsi="Verdana" w:cs="Times New Roman"/>
          <w:sz w:val="20"/>
          <w:szCs w:val="20"/>
        </w:rPr>
      </w:pPr>
    </w:p>
    <w:p w14:paraId="6CEAC387" w14:textId="77777777" w:rsidR="00634278" w:rsidRPr="001B26EC" w:rsidRDefault="00634278" w:rsidP="00634278"/>
    <w:p w14:paraId="2E9B7911" w14:textId="77777777" w:rsidR="00FD2282" w:rsidRDefault="00FD2282" w:rsidP="00AD4F6A">
      <w:pPr>
        <w:spacing w:after="0" w:line="240" w:lineRule="auto"/>
        <w:rPr>
          <w:rFonts w:ascii="Verdana" w:eastAsia="Geomanist Light" w:hAnsi="Verdana" w:cs="Arial"/>
          <w:color w:val="000000" w:themeColor="text1"/>
        </w:rPr>
      </w:pPr>
    </w:p>
    <w:bookmarkEnd w:id="0"/>
    <w:sectPr w:rsidR="00FD2282"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BDE94" w14:textId="77777777" w:rsidR="004F26F1" w:rsidRPr="009B7987" w:rsidRDefault="004F26F1" w:rsidP="00B30448">
      <w:pPr>
        <w:spacing w:after="0" w:line="240" w:lineRule="auto"/>
      </w:pPr>
      <w:r w:rsidRPr="009B7987">
        <w:separator/>
      </w:r>
    </w:p>
  </w:endnote>
  <w:endnote w:type="continuationSeparator" w:id="0">
    <w:p w14:paraId="7C2DB64F" w14:textId="77777777" w:rsidR="004F26F1" w:rsidRPr="009B7987" w:rsidRDefault="004F26F1" w:rsidP="00B30448">
      <w:pPr>
        <w:spacing w:after="0" w:line="240" w:lineRule="auto"/>
      </w:pPr>
      <w:r w:rsidRPr="009B7987">
        <w:continuationSeparator/>
      </w:r>
    </w:p>
  </w:endnote>
  <w:endnote w:type="continuationNotice" w:id="1">
    <w:p w14:paraId="28AEBC89" w14:textId="77777777" w:rsidR="004F26F1" w:rsidRPr="009B7987" w:rsidRDefault="004F26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7F05E" w14:textId="77777777" w:rsidR="004F26F1" w:rsidRPr="009B7987" w:rsidRDefault="004F26F1" w:rsidP="00B30448">
      <w:pPr>
        <w:spacing w:after="0" w:line="240" w:lineRule="auto"/>
      </w:pPr>
      <w:r w:rsidRPr="009B7987">
        <w:separator/>
      </w:r>
    </w:p>
  </w:footnote>
  <w:footnote w:type="continuationSeparator" w:id="0">
    <w:p w14:paraId="18F58FA8" w14:textId="77777777" w:rsidR="004F26F1" w:rsidRPr="009B7987" w:rsidRDefault="004F26F1" w:rsidP="00B30448">
      <w:pPr>
        <w:spacing w:after="0" w:line="240" w:lineRule="auto"/>
      </w:pPr>
      <w:r w:rsidRPr="009B7987">
        <w:continuationSeparator/>
      </w:r>
    </w:p>
  </w:footnote>
  <w:footnote w:type="continuationNotice" w:id="1">
    <w:p w14:paraId="2C7A28C7" w14:textId="77777777" w:rsidR="004F26F1" w:rsidRPr="009B7987" w:rsidRDefault="004F26F1">
      <w:pPr>
        <w:spacing w:after="0" w:line="240" w:lineRule="auto"/>
      </w:pPr>
    </w:p>
  </w:footnote>
  <w:footnote w:id="2">
    <w:p w14:paraId="43BFB167" w14:textId="77777777" w:rsidR="00634278" w:rsidRDefault="00634278" w:rsidP="00634278">
      <w:pPr>
        <w:pStyle w:val="Textonotapie"/>
        <w:ind w:firstLine="709"/>
        <w:contextualSpacing/>
        <w:rPr>
          <w:rFonts w:ascii="Verdana" w:hAnsi="Verdana" w:cs="Arial"/>
          <w:sz w:val="16"/>
          <w:szCs w:val="16"/>
        </w:rPr>
      </w:pPr>
      <w:r w:rsidRPr="00B56297">
        <w:rPr>
          <w:rStyle w:val="Refdenotaalpie"/>
          <w:rFonts w:ascii="Verdana" w:hAnsi="Verdana" w:cs="Arial"/>
          <w:sz w:val="16"/>
          <w:szCs w:val="16"/>
        </w:rPr>
        <w:footnoteRef/>
      </w:r>
      <w:r w:rsidRPr="00B56297">
        <w:rPr>
          <w:rStyle w:val="Refdenotaalpie"/>
          <w:rFonts w:ascii="Verdana" w:hAnsi="Verdana" w:cs="Arial"/>
          <w:sz w:val="16"/>
          <w:szCs w:val="16"/>
        </w:rPr>
        <w:t xml:space="preserve"> </w:t>
      </w:r>
      <w:r w:rsidRPr="00B56297">
        <w:rPr>
          <w:rFonts w:ascii="Verdana" w:hAnsi="Verdana" w:cs="Arial"/>
          <w:sz w:val="16"/>
          <w:szCs w:val="16"/>
        </w:rPr>
        <w:t>Agencia por la Acción Social y la Cooperación Internacional. Régimen Jurídico de la Cooperación Internacional. Segunda Edición. Página. 38.</w:t>
      </w:r>
    </w:p>
    <w:p w14:paraId="2C058D1E" w14:textId="77777777" w:rsidR="00634278" w:rsidRPr="00B56297" w:rsidRDefault="00634278" w:rsidP="00634278">
      <w:pPr>
        <w:pStyle w:val="Textonotapie"/>
        <w:ind w:firstLine="709"/>
        <w:contextualSpacing/>
        <w:rPr>
          <w:rFonts w:ascii="Verdana" w:hAnsi="Verdana"/>
          <w:sz w:val="16"/>
          <w:szCs w:val="16"/>
        </w:rPr>
      </w:pPr>
    </w:p>
  </w:footnote>
  <w:footnote w:id="3">
    <w:p w14:paraId="6C03836C" w14:textId="77777777" w:rsidR="00634278" w:rsidRPr="00B2043C" w:rsidRDefault="00634278" w:rsidP="00634278">
      <w:pPr>
        <w:pStyle w:val="Textonotapie"/>
        <w:ind w:firstLine="709"/>
        <w:contextualSpacing/>
        <w:jc w:val="both"/>
        <w:rPr>
          <w:rFonts w:ascii="Verdana" w:hAnsi="Verdana" w:cs="Arial"/>
          <w:sz w:val="16"/>
          <w:szCs w:val="16"/>
          <w:lang w:val="es-ES"/>
        </w:rPr>
      </w:pPr>
      <w:r w:rsidRPr="00B2043C">
        <w:rPr>
          <w:rStyle w:val="Refdenotaalpie"/>
          <w:rFonts w:ascii="Verdana" w:hAnsi="Verdana" w:cs="Arial"/>
          <w:sz w:val="16"/>
          <w:szCs w:val="16"/>
        </w:rPr>
        <w:footnoteRef/>
      </w:r>
      <w:r w:rsidRPr="00B2043C">
        <w:rPr>
          <w:rFonts w:ascii="Verdana" w:hAnsi="Verdana" w:cs="Arial"/>
          <w:sz w:val="16"/>
          <w:szCs w:val="16"/>
        </w:rPr>
        <w:t xml:space="preserve"> </w:t>
      </w:r>
      <w:r w:rsidRPr="00B2043C">
        <w:rPr>
          <w:rFonts w:ascii="Verdana" w:hAnsi="Verdana" w:cs="Arial"/>
          <w:sz w:val="16"/>
          <w:szCs w:val="16"/>
          <w:lang w:val="es-ES"/>
        </w:rPr>
        <w:t>En virtud de la remisión efectuada por los artículos 13, 32 y 40 de la Ley 80 de 1993.</w:t>
      </w:r>
    </w:p>
    <w:p w14:paraId="5DD5CA08" w14:textId="77777777" w:rsidR="00634278" w:rsidRPr="00B2043C" w:rsidRDefault="00634278" w:rsidP="00634278">
      <w:pPr>
        <w:pStyle w:val="Textonotapie"/>
        <w:ind w:firstLine="709"/>
        <w:contextualSpacing/>
        <w:jc w:val="both"/>
        <w:rPr>
          <w:rFonts w:ascii="Verdana" w:hAnsi="Verdana" w:cs="Arial"/>
          <w:sz w:val="16"/>
          <w:szCs w:val="16"/>
          <w:lang w:val="es-ES"/>
        </w:rPr>
      </w:pPr>
    </w:p>
  </w:footnote>
  <w:footnote w:id="4">
    <w:p w14:paraId="6DB48239" w14:textId="77777777" w:rsidR="00634278" w:rsidRPr="00917C27" w:rsidRDefault="00634278" w:rsidP="00634278">
      <w:pPr>
        <w:pStyle w:val="Textonotapie"/>
        <w:ind w:firstLine="709"/>
        <w:jc w:val="both"/>
        <w:rPr>
          <w:rFonts w:ascii="Verdana" w:hAnsi="Verdana" w:cs="Arial"/>
          <w:color w:val="000000" w:themeColor="text1"/>
          <w:sz w:val="16"/>
          <w:szCs w:val="16"/>
        </w:rPr>
      </w:pPr>
      <w:r w:rsidRPr="00917C27">
        <w:rPr>
          <w:rStyle w:val="Refdenotaalpie"/>
          <w:rFonts w:ascii="Verdana" w:hAnsi="Verdana" w:cs="Arial"/>
          <w:color w:val="000000" w:themeColor="text1"/>
          <w:sz w:val="16"/>
          <w:szCs w:val="16"/>
        </w:rPr>
        <w:footnoteRef/>
      </w:r>
      <w:r w:rsidRPr="00917C27">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0F4C56F" w14:textId="77777777" w:rsidR="00634278" w:rsidRPr="00917C27" w:rsidRDefault="00634278" w:rsidP="00634278">
      <w:pPr>
        <w:pStyle w:val="Textonotapie"/>
        <w:ind w:firstLine="709"/>
        <w:jc w:val="both"/>
        <w:rPr>
          <w:rFonts w:ascii="Verdana" w:hAnsi="Verdana" w:cs="Arial"/>
          <w:color w:val="000000" w:themeColor="text1"/>
          <w:sz w:val="16"/>
          <w:szCs w:val="16"/>
        </w:rPr>
      </w:pPr>
      <w:r w:rsidRPr="00917C27">
        <w:rPr>
          <w:rFonts w:ascii="Verdana" w:hAnsi="Verdana" w:cs="Arial"/>
          <w:color w:val="000000" w:themeColor="text1"/>
          <w:sz w:val="16"/>
          <w:szCs w:val="16"/>
        </w:rPr>
        <w:t>Lo anterior, sin perjuicio de las publicaciones previstas en el numeral 3 del artículo 30 de la Ley 80 de 1993.</w:t>
      </w:r>
    </w:p>
    <w:p w14:paraId="09470F91" w14:textId="77777777" w:rsidR="00634278" w:rsidRPr="00917C27" w:rsidRDefault="00634278" w:rsidP="00634278">
      <w:pPr>
        <w:pStyle w:val="Textonotapie"/>
        <w:ind w:firstLine="709"/>
        <w:jc w:val="both"/>
        <w:rPr>
          <w:rFonts w:ascii="Verdana" w:hAnsi="Verdana" w:cs="Arial"/>
          <w:color w:val="000000" w:themeColor="text1"/>
          <w:sz w:val="16"/>
          <w:szCs w:val="16"/>
        </w:rPr>
      </w:pPr>
      <w:r w:rsidRPr="00917C27">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w:t>
      </w:r>
      <w:proofErr w:type="spellStart"/>
      <w:r w:rsidRPr="00917C27">
        <w:rPr>
          <w:rFonts w:ascii="Verdana" w:hAnsi="Verdana" w:cs="Arial"/>
          <w:color w:val="000000" w:themeColor="text1"/>
          <w:sz w:val="16"/>
          <w:szCs w:val="16"/>
        </w:rPr>
        <w:t>Secop</w:t>
      </w:r>
      <w:proofErr w:type="spellEnd"/>
      <w:r w:rsidRPr="00917C27">
        <w:rPr>
          <w:rFonts w:ascii="Verdana" w:hAnsi="Verdana" w:cs="Arial"/>
          <w:color w:val="000000" w:themeColor="text1"/>
          <w:sz w:val="16"/>
          <w:szCs w:val="16"/>
        </w:rPr>
        <w:t xml:space="preserve">, el cual: </w:t>
      </w:r>
    </w:p>
    <w:p w14:paraId="062CD1CC" w14:textId="77777777" w:rsidR="00634278" w:rsidRPr="00917C27" w:rsidRDefault="00634278" w:rsidP="00634278">
      <w:pPr>
        <w:pStyle w:val="Textonotapie"/>
        <w:ind w:firstLine="709"/>
        <w:jc w:val="both"/>
        <w:rPr>
          <w:rFonts w:ascii="Verdana" w:hAnsi="Verdana" w:cs="Arial"/>
          <w:color w:val="000000" w:themeColor="text1"/>
          <w:sz w:val="16"/>
          <w:szCs w:val="16"/>
        </w:rPr>
      </w:pPr>
      <w:r w:rsidRPr="00917C27">
        <w:rPr>
          <w:rFonts w:ascii="Verdana" w:hAnsi="Verdana" w:cs="Arial"/>
          <w:color w:val="000000" w:themeColor="text1"/>
          <w:sz w:val="16"/>
          <w:szCs w:val="16"/>
        </w:rPr>
        <w:t>[…]</w:t>
      </w:r>
    </w:p>
    <w:p w14:paraId="0079215B" w14:textId="77777777" w:rsidR="00634278" w:rsidRPr="00917C27" w:rsidRDefault="00634278" w:rsidP="00634278">
      <w:pPr>
        <w:pStyle w:val="Textonotapie"/>
        <w:ind w:firstLine="709"/>
        <w:jc w:val="both"/>
        <w:rPr>
          <w:rFonts w:ascii="Verdana" w:hAnsi="Verdana" w:cs="Arial"/>
          <w:color w:val="000000" w:themeColor="text1"/>
          <w:sz w:val="16"/>
          <w:szCs w:val="16"/>
        </w:rPr>
      </w:pPr>
      <w:r w:rsidRPr="00917C27">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420153E9" w14:textId="77777777" w:rsidR="00634278" w:rsidRPr="00917C27" w:rsidRDefault="00634278" w:rsidP="00634278">
      <w:pPr>
        <w:pStyle w:val="Textonotapie"/>
        <w:ind w:firstLine="709"/>
        <w:jc w:val="both"/>
        <w:rPr>
          <w:rFonts w:ascii="Verdana" w:hAnsi="Verdana" w:cs="Arial"/>
          <w:color w:val="000000" w:themeColor="text1"/>
          <w:sz w:val="16"/>
          <w:szCs w:val="16"/>
          <w:lang w:val="es-CO"/>
        </w:rPr>
      </w:pPr>
    </w:p>
  </w:footnote>
  <w:footnote w:id="5">
    <w:p w14:paraId="47FCDFCC" w14:textId="77777777" w:rsidR="00634278" w:rsidRPr="00917C27" w:rsidRDefault="00634278" w:rsidP="00634278">
      <w:pPr>
        <w:pStyle w:val="Textonotapie"/>
        <w:ind w:firstLine="709"/>
        <w:jc w:val="both"/>
        <w:rPr>
          <w:rFonts w:ascii="Verdana" w:hAnsi="Verdana" w:cs="Arial"/>
          <w:color w:val="000000" w:themeColor="text1"/>
          <w:sz w:val="16"/>
          <w:szCs w:val="16"/>
        </w:rPr>
      </w:pPr>
      <w:r w:rsidRPr="00917C27">
        <w:rPr>
          <w:rStyle w:val="Refdenotaalpie"/>
          <w:rFonts w:ascii="Verdana" w:hAnsi="Verdana" w:cs="Arial"/>
          <w:color w:val="000000" w:themeColor="text1"/>
          <w:sz w:val="16"/>
          <w:szCs w:val="16"/>
        </w:rPr>
        <w:footnoteRef/>
      </w:r>
      <w:r w:rsidRPr="00917C27">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4B22655B" w14:textId="77777777" w:rsidR="00634278" w:rsidRPr="00917C27" w:rsidRDefault="00634278" w:rsidP="00634278">
      <w:pPr>
        <w:pStyle w:val="Textonotapie"/>
        <w:ind w:firstLine="709"/>
        <w:jc w:val="both"/>
        <w:rPr>
          <w:rFonts w:ascii="Verdana" w:hAnsi="Verdana" w:cs="Arial"/>
          <w:color w:val="000000" w:themeColor="text1"/>
          <w:sz w:val="16"/>
          <w:szCs w:val="16"/>
          <w:lang w:val="es-CO"/>
        </w:rPr>
      </w:pPr>
    </w:p>
  </w:footnote>
  <w:footnote w:id="6">
    <w:p w14:paraId="01974282" w14:textId="77777777" w:rsidR="00634278" w:rsidRPr="00917C27" w:rsidRDefault="00634278" w:rsidP="00634278">
      <w:pPr>
        <w:pStyle w:val="Textonotapie"/>
        <w:ind w:firstLine="709"/>
        <w:jc w:val="both"/>
        <w:rPr>
          <w:rFonts w:ascii="Verdana" w:hAnsi="Verdana" w:cs="Arial"/>
          <w:color w:val="000000" w:themeColor="text1"/>
          <w:sz w:val="16"/>
          <w:szCs w:val="16"/>
        </w:rPr>
      </w:pPr>
      <w:r w:rsidRPr="00917C27">
        <w:rPr>
          <w:rStyle w:val="Refdenotaalpie"/>
          <w:rFonts w:ascii="Verdana" w:hAnsi="Verdana" w:cs="Arial"/>
          <w:color w:val="000000" w:themeColor="text1"/>
          <w:sz w:val="16"/>
          <w:szCs w:val="16"/>
        </w:rPr>
        <w:footnoteRef/>
      </w:r>
      <w:r w:rsidRPr="00917C27">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22DF1EAA" w14:textId="77777777" w:rsidR="00634278" w:rsidRPr="00917C27" w:rsidRDefault="00634278" w:rsidP="00634278">
      <w:pPr>
        <w:pStyle w:val="Textonotapie"/>
        <w:ind w:firstLine="709"/>
        <w:jc w:val="both"/>
        <w:rPr>
          <w:rFonts w:ascii="Verdana" w:hAnsi="Verdana" w:cs="Arial"/>
          <w:color w:val="000000" w:themeColor="text1"/>
          <w:sz w:val="16"/>
          <w:szCs w:val="16"/>
        </w:rPr>
      </w:pPr>
      <w:r w:rsidRPr="00917C27">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64A82464" w14:textId="77777777" w:rsidR="00634278" w:rsidRPr="00917C27" w:rsidRDefault="00634278" w:rsidP="00634278">
      <w:pPr>
        <w:pStyle w:val="Textonotapie"/>
        <w:ind w:firstLine="709"/>
        <w:jc w:val="both"/>
        <w:rPr>
          <w:rFonts w:ascii="Verdana" w:hAnsi="Verdana" w:cs="Arial"/>
          <w:color w:val="000000" w:themeColor="text1"/>
          <w:sz w:val="16"/>
          <w:szCs w:val="16"/>
          <w:lang w:val="es-CO"/>
        </w:rPr>
      </w:pPr>
    </w:p>
  </w:footnote>
  <w:footnote w:id="7">
    <w:p w14:paraId="2189045B" w14:textId="77777777" w:rsidR="00634278" w:rsidRPr="00917C27" w:rsidRDefault="00634278" w:rsidP="00634278">
      <w:pPr>
        <w:pStyle w:val="Textonotapie"/>
        <w:ind w:firstLine="709"/>
        <w:jc w:val="both"/>
        <w:rPr>
          <w:rFonts w:ascii="Verdana" w:hAnsi="Verdana" w:cs="Arial"/>
          <w:color w:val="000000"/>
          <w:sz w:val="16"/>
          <w:szCs w:val="16"/>
        </w:rPr>
      </w:pPr>
      <w:r w:rsidRPr="00917C27">
        <w:rPr>
          <w:rFonts w:ascii="Verdana" w:eastAsia="Times New Roman" w:hAnsi="Verdana" w:cs="Arial"/>
          <w:color w:val="000000"/>
          <w:sz w:val="16"/>
          <w:szCs w:val="16"/>
          <w:vertAlign w:val="superscript"/>
          <w:lang w:val="es-ES" w:eastAsia="es-ES"/>
        </w:rPr>
        <w:footnoteRef/>
      </w:r>
      <w:r w:rsidRPr="00917C27">
        <w:rPr>
          <w:rFonts w:ascii="Verdana" w:eastAsia="Times New Roman" w:hAnsi="Verdana" w:cs="Arial"/>
          <w:color w:val="000000"/>
          <w:sz w:val="16"/>
          <w:szCs w:val="16"/>
          <w:vertAlign w:val="superscript"/>
          <w:lang w:val="es-ES" w:eastAsia="es-ES"/>
        </w:rPr>
        <w:t xml:space="preserve"> </w:t>
      </w:r>
      <w:r w:rsidRPr="00917C27">
        <w:rPr>
          <w:rFonts w:ascii="Verdana" w:eastAsia="Times New Roman" w:hAnsi="Verdana" w:cs="Arial"/>
          <w:color w:val="000000"/>
          <w:sz w:val="16"/>
          <w:szCs w:val="16"/>
          <w:lang w:val="es-ES" w:eastAsia="es-ES"/>
        </w:rPr>
        <w:t>“</w:t>
      </w:r>
      <w:r w:rsidRPr="00917C27">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2078E822" w14:textId="77777777" w:rsidR="00634278" w:rsidRPr="00917C27" w:rsidRDefault="00634278" w:rsidP="00634278">
      <w:pPr>
        <w:pStyle w:val="Textonotapie"/>
        <w:ind w:firstLine="709"/>
        <w:jc w:val="both"/>
        <w:rPr>
          <w:rFonts w:ascii="Verdana" w:eastAsia="Times New Roman" w:hAnsi="Verdana" w:cs="Arial"/>
          <w:color w:val="000000"/>
          <w:sz w:val="16"/>
          <w:szCs w:val="16"/>
          <w:lang w:val="es-ES" w:eastAsia="es-ES"/>
        </w:rPr>
      </w:pPr>
      <w:r w:rsidRPr="00917C27">
        <w:rPr>
          <w:rFonts w:ascii="Verdana" w:hAnsi="Verdana" w:cs="Arial"/>
          <w:color w:val="000000"/>
          <w:sz w:val="16"/>
          <w:szCs w:val="16"/>
        </w:rPr>
        <w:t>[…].</w:t>
      </w:r>
    </w:p>
    <w:p w14:paraId="596E285B" w14:textId="77777777" w:rsidR="00634278" w:rsidRPr="00917C27" w:rsidRDefault="00634278" w:rsidP="00634278">
      <w:pPr>
        <w:pStyle w:val="Textonotapie"/>
        <w:ind w:firstLine="709"/>
        <w:jc w:val="both"/>
        <w:rPr>
          <w:rFonts w:ascii="Verdana" w:eastAsia="Times New Roman" w:hAnsi="Verdana" w:cs="Arial"/>
          <w:color w:val="000000"/>
          <w:sz w:val="16"/>
          <w:szCs w:val="16"/>
          <w:lang w:val="es-ES" w:eastAsia="es-ES"/>
        </w:rPr>
      </w:pPr>
      <w:r w:rsidRPr="00917C27">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720F1A40" w14:textId="77777777" w:rsidR="00634278" w:rsidRPr="00917C27" w:rsidRDefault="00634278" w:rsidP="00634278">
      <w:pPr>
        <w:pStyle w:val="Textonotapie"/>
        <w:ind w:firstLine="709"/>
        <w:jc w:val="both"/>
        <w:rPr>
          <w:rFonts w:ascii="Verdana" w:eastAsia="Times New Roman" w:hAnsi="Verdana" w:cs="Arial"/>
          <w:color w:val="000000"/>
          <w:sz w:val="16"/>
          <w:szCs w:val="16"/>
          <w:lang w:val="es-ES" w:eastAsia="es-ES"/>
        </w:rPr>
      </w:pPr>
    </w:p>
  </w:footnote>
  <w:footnote w:id="8">
    <w:p w14:paraId="486EF85E" w14:textId="77777777" w:rsidR="00634278" w:rsidRPr="00A71483" w:rsidRDefault="00634278" w:rsidP="00634278">
      <w:pPr>
        <w:pStyle w:val="Textonotapie"/>
        <w:jc w:val="both"/>
        <w:rPr>
          <w:rFonts w:ascii="Verdana" w:hAnsi="Verdana"/>
          <w:sz w:val="16"/>
          <w:szCs w:val="16"/>
          <w:lang w:val="es-ES_tradnl"/>
        </w:rPr>
      </w:pPr>
      <w:r>
        <w:rPr>
          <w:rStyle w:val="Refdenotaalpie"/>
        </w:rPr>
        <w:footnoteRef/>
      </w:r>
      <w:r>
        <w:t xml:space="preserve"> </w:t>
      </w:r>
      <w:r>
        <w:rPr>
          <w:rFonts w:ascii="Verdana" w:hAnsi="Verdana"/>
          <w:sz w:val="16"/>
          <w:szCs w:val="16"/>
          <w:lang w:val="es-ES_tradnl"/>
        </w:rPr>
        <w:t>E</w:t>
      </w:r>
      <w:r w:rsidRPr="00A71483">
        <w:rPr>
          <w:rFonts w:ascii="Verdana" w:hAnsi="Verdana"/>
          <w:sz w:val="16"/>
          <w:szCs w:val="16"/>
          <w:lang w:val="es-ES_tradnl"/>
        </w:rPr>
        <w:t>l artículo 74 de la Constitución, en armonía con los artículos 18 y 19 de la Ley 1712 de 2014 y los artículos 24 y 25 de la Ley 1437 de 2011 –de acuerdo con la modificación realizada por la Ley 1755 de 2015–, establecen que el derecho de acceso a la información o documentación pública no es absoluto, sino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w:t>
      </w:r>
    </w:p>
    <w:p w14:paraId="643B165F" w14:textId="77777777" w:rsidR="00634278" w:rsidRPr="00A71483" w:rsidRDefault="00634278" w:rsidP="00634278">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8" type="#_x0000_t75" style="width:11.4pt;height:11.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6"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7"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0"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1"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5"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3"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8"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6255923"/>
    <w:multiLevelType w:val="hybridMultilevel"/>
    <w:tmpl w:val="CD607488"/>
    <w:lvl w:ilvl="0" w:tplc="240A0001">
      <w:start w:val="1"/>
      <w:numFmt w:val="bullet"/>
      <w:lvlText w:val=""/>
      <w:lvlJc w:val="left"/>
      <w:pPr>
        <w:ind w:left="1287" w:hanging="360"/>
      </w:pPr>
      <w:rPr>
        <w:rFonts w:ascii="Symbol" w:hAnsi="Symbol" w:hint="default"/>
      </w:rPr>
    </w:lvl>
    <w:lvl w:ilvl="1" w:tplc="240A0003">
      <w:start w:val="1"/>
      <w:numFmt w:val="bullet"/>
      <w:lvlText w:val="o"/>
      <w:lvlJc w:val="left"/>
      <w:pPr>
        <w:ind w:left="2007" w:hanging="360"/>
      </w:pPr>
      <w:rPr>
        <w:rFonts w:ascii="Courier New" w:hAnsi="Courier New" w:cs="Courier New" w:hint="default"/>
      </w:rPr>
    </w:lvl>
    <w:lvl w:ilvl="2" w:tplc="240A0005">
      <w:start w:val="1"/>
      <w:numFmt w:val="bullet"/>
      <w:lvlText w:val=""/>
      <w:lvlJc w:val="left"/>
      <w:pPr>
        <w:ind w:left="2727" w:hanging="360"/>
      </w:pPr>
      <w:rPr>
        <w:rFonts w:ascii="Wingdings" w:hAnsi="Wingdings" w:hint="default"/>
      </w:rPr>
    </w:lvl>
    <w:lvl w:ilvl="3" w:tplc="240A0001">
      <w:start w:val="1"/>
      <w:numFmt w:val="bullet"/>
      <w:lvlText w:val=""/>
      <w:lvlJc w:val="left"/>
      <w:pPr>
        <w:ind w:left="3447" w:hanging="360"/>
      </w:pPr>
      <w:rPr>
        <w:rFonts w:ascii="Symbol" w:hAnsi="Symbol" w:hint="default"/>
      </w:rPr>
    </w:lvl>
    <w:lvl w:ilvl="4" w:tplc="240A0003">
      <w:start w:val="1"/>
      <w:numFmt w:val="bullet"/>
      <w:lvlText w:val="o"/>
      <w:lvlJc w:val="left"/>
      <w:pPr>
        <w:ind w:left="4167" w:hanging="360"/>
      </w:pPr>
      <w:rPr>
        <w:rFonts w:ascii="Courier New" w:hAnsi="Courier New" w:cs="Courier New" w:hint="default"/>
      </w:rPr>
    </w:lvl>
    <w:lvl w:ilvl="5" w:tplc="240A0005">
      <w:start w:val="1"/>
      <w:numFmt w:val="bullet"/>
      <w:lvlText w:val=""/>
      <w:lvlJc w:val="left"/>
      <w:pPr>
        <w:ind w:left="4887" w:hanging="360"/>
      </w:pPr>
      <w:rPr>
        <w:rFonts w:ascii="Wingdings" w:hAnsi="Wingdings" w:hint="default"/>
      </w:rPr>
    </w:lvl>
    <w:lvl w:ilvl="6" w:tplc="240A0001">
      <w:start w:val="1"/>
      <w:numFmt w:val="bullet"/>
      <w:lvlText w:val=""/>
      <w:lvlJc w:val="left"/>
      <w:pPr>
        <w:ind w:left="5607" w:hanging="360"/>
      </w:pPr>
      <w:rPr>
        <w:rFonts w:ascii="Symbol" w:hAnsi="Symbol" w:hint="default"/>
      </w:rPr>
    </w:lvl>
    <w:lvl w:ilvl="7" w:tplc="240A0003">
      <w:start w:val="1"/>
      <w:numFmt w:val="bullet"/>
      <w:lvlText w:val="o"/>
      <w:lvlJc w:val="left"/>
      <w:pPr>
        <w:ind w:left="6327" w:hanging="360"/>
      </w:pPr>
      <w:rPr>
        <w:rFonts w:ascii="Courier New" w:hAnsi="Courier New" w:cs="Courier New" w:hint="default"/>
      </w:rPr>
    </w:lvl>
    <w:lvl w:ilvl="8" w:tplc="240A0005">
      <w:start w:val="1"/>
      <w:numFmt w:val="bullet"/>
      <w:lvlText w:val=""/>
      <w:lvlJc w:val="left"/>
      <w:pPr>
        <w:ind w:left="7047" w:hanging="360"/>
      </w:pPr>
      <w:rPr>
        <w:rFonts w:ascii="Wingdings" w:hAnsi="Wingdings" w:hint="default"/>
      </w:rPr>
    </w:lvl>
  </w:abstractNum>
  <w:abstractNum w:abstractNumId="30"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BCD33FF"/>
    <w:multiLevelType w:val="hybridMultilevel"/>
    <w:tmpl w:val="AAAABEC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6"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3"/>
  </w:num>
  <w:num w:numId="3" w16cid:durableId="679089576">
    <w:abstractNumId w:val="17"/>
  </w:num>
  <w:num w:numId="4" w16cid:durableId="893472101">
    <w:abstractNumId w:val="9"/>
  </w:num>
  <w:num w:numId="5" w16cid:durableId="1982299905">
    <w:abstractNumId w:val="36"/>
  </w:num>
  <w:num w:numId="6" w16cid:durableId="130758360">
    <w:abstractNumId w:val="20"/>
  </w:num>
  <w:num w:numId="7" w16cid:durableId="262541512">
    <w:abstractNumId w:val="32"/>
  </w:num>
  <w:num w:numId="8" w16cid:durableId="1947226218">
    <w:abstractNumId w:val="16"/>
  </w:num>
  <w:num w:numId="9" w16cid:durableId="1180706126">
    <w:abstractNumId w:val="19"/>
  </w:num>
  <w:num w:numId="10" w16cid:durableId="2097506960">
    <w:abstractNumId w:val="25"/>
  </w:num>
  <w:num w:numId="11" w16cid:durableId="1977490869">
    <w:abstractNumId w:val="23"/>
  </w:num>
  <w:num w:numId="12" w16cid:durableId="158663248">
    <w:abstractNumId w:val="22"/>
  </w:num>
  <w:num w:numId="13" w16cid:durableId="2024085788">
    <w:abstractNumId w:val="2"/>
  </w:num>
  <w:num w:numId="14" w16cid:durableId="1885099950">
    <w:abstractNumId w:val="15"/>
  </w:num>
  <w:num w:numId="15" w16cid:durableId="32047459">
    <w:abstractNumId w:val="10"/>
  </w:num>
  <w:num w:numId="16" w16cid:durableId="1192261824">
    <w:abstractNumId w:val="11"/>
  </w:num>
  <w:num w:numId="17" w16cid:durableId="375933272">
    <w:abstractNumId w:val="18"/>
  </w:num>
  <w:num w:numId="18" w16cid:durableId="610939998">
    <w:abstractNumId w:val="26"/>
  </w:num>
  <w:num w:numId="19" w16cid:durableId="1910656144">
    <w:abstractNumId w:val="3"/>
  </w:num>
  <w:num w:numId="20" w16cid:durableId="947545103">
    <w:abstractNumId w:val="14"/>
  </w:num>
  <w:num w:numId="21" w16cid:durableId="1851335222">
    <w:abstractNumId w:val="35"/>
  </w:num>
  <w:num w:numId="22" w16cid:durableId="578707994">
    <w:abstractNumId w:val="5"/>
  </w:num>
  <w:num w:numId="23" w16cid:durableId="876742304">
    <w:abstractNumId w:val="12"/>
  </w:num>
  <w:num w:numId="24" w16cid:durableId="1994095851">
    <w:abstractNumId w:val="7"/>
  </w:num>
  <w:num w:numId="25" w16cid:durableId="1567109325">
    <w:abstractNumId w:val="28"/>
  </w:num>
  <w:num w:numId="26" w16cid:durableId="1116487847">
    <w:abstractNumId w:val="21"/>
  </w:num>
  <w:num w:numId="27" w16cid:durableId="611326471">
    <w:abstractNumId w:val="30"/>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3"/>
  </w:num>
  <w:num w:numId="30" w16cid:durableId="363991975">
    <w:abstractNumId w:val="31"/>
  </w:num>
  <w:num w:numId="31" w16cid:durableId="1509440290">
    <w:abstractNumId w:val="24"/>
  </w:num>
  <w:num w:numId="32" w16cid:durableId="1601723362">
    <w:abstractNumId w:val="8"/>
  </w:num>
  <w:num w:numId="33" w16cid:durableId="1484539021">
    <w:abstractNumId w:val="4"/>
  </w:num>
  <w:num w:numId="34" w16cid:durableId="184291797">
    <w:abstractNumId w:val="34"/>
  </w:num>
  <w:num w:numId="35" w16cid:durableId="2005234405">
    <w:abstractNumId w:val="13"/>
  </w:num>
  <w:num w:numId="36" w16cid:durableId="1749619285">
    <w:abstractNumId w:val="29"/>
  </w:num>
  <w:num w:numId="37" w16cid:durableId="1700423634">
    <w:abstractNumId w:val="6"/>
  </w:num>
  <w:num w:numId="38" w16cid:durableId="90715647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0ACF"/>
    <w:rsid w:val="00000C6F"/>
    <w:rsid w:val="00001B12"/>
    <w:rsid w:val="00001B99"/>
    <w:rsid w:val="00001E39"/>
    <w:rsid w:val="000023DA"/>
    <w:rsid w:val="00002920"/>
    <w:rsid w:val="00002D55"/>
    <w:rsid w:val="0000399A"/>
    <w:rsid w:val="00005225"/>
    <w:rsid w:val="000054DB"/>
    <w:rsid w:val="0000587D"/>
    <w:rsid w:val="000059AE"/>
    <w:rsid w:val="00005BB0"/>
    <w:rsid w:val="00006F59"/>
    <w:rsid w:val="00007086"/>
    <w:rsid w:val="00007382"/>
    <w:rsid w:val="00007576"/>
    <w:rsid w:val="0001025F"/>
    <w:rsid w:val="0001155E"/>
    <w:rsid w:val="00011613"/>
    <w:rsid w:val="00011D3C"/>
    <w:rsid w:val="0001222D"/>
    <w:rsid w:val="00012679"/>
    <w:rsid w:val="00012EDA"/>
    <w:rsid w:val="00013B3F"/>
    <w:rsid w:val="00014981"/>
    <w:rsid w:val="00014B0D"/>
    <w:rsid w:val="00014E7B"/>
    <w:rsid w:val="00016280"/>
    <w:rsid w:val="0001672C"/>
    <w:rsid w:val="00016F04"/>
    <w:rsid w:val="00017870"/>
    <w:rsid w:val="00021068"/>
    <w:rsid w:val="00021161"/>
    <w:rsid w:val="00021595"/>
    <w:rsid w:val="000219D1"/>
    <w:rsid w:val="00021C3A"/>
    <w:rsid w:val="0002202D"/>
    <w:rsid w:val="00022C23"/>
    <w:rsid w:val="00023DF7"/>
    <w:rsid w:val="000267DD"/>
    <w:rsid w:val="000273EA"/>
    <w:rsid w:val="00027923"/>
    <w:rsid w:val="00027B63"/>
    <w:rsid w:val="00027CA9"/>
    <w:rsid w:val="00030B3D"/>
    <w:rsid w:val="00030BC5"/>
    <w:rsid w:val="00030BFB"/>
    <w:rsid w:val="00031DA1"/>
    <w:rsid w:val="00031EAF"/>
    <w:rsid w:val="00033390"/>
    <w:rsid w:val="000361EA"/>
    <w:rsid w:val="0003699E"/>
    <w:rsid w:val="000369C0"/>
    <w:rsid w:val="0003731A"/>
    <w:rsid w:val="00037A8B"/>
    <w:rsid w:val="00040372"/>
    <w:rsid w:val="000408AD"/>
    <w:rsid w:val="00041469"/>
    <w:rsid w:val="00041788"/>
    <w:rsid w:val="0004180C"/>
    <w:rsid w:val="000419D7"/>
    <w:rsid w:val="00042DD7"/>
    <w:rsid w:val="00043EE5"/>
    <w:rsid w:val="000442CC"/>
    <w:rsid w:val="000442DE"/>
    <w:rsid w:val="00044B24"/>
    <w:rsid w:val="0004508D"/>
    <w:rsid w:val="0004526E"/>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6598"/>
    <w:rsid w:val="00057392"/>
    <w:rsid w:val="000577A2"/>
    <w:rsid w:val="000577D3"/>
    <w:rsid w:val="00057963"/>
    <w:rsid w:val="000579AB"/>
    <w:rsid w:val="00060AE4"/>
    <w:rsid w:val="000622B9"/>
    <w:rsid w:val="000631E9"/>
    <w:rsid w:val="00063B4B"/>
    <w:rsid w:val="00064721"/>
    <w:rsid w:val="00064D60"/>
    <w:rsid w:val="00065973"/>
    <w:rsid w:val="00065C6D"/>
    <w:rsid w:val="000665D3"/>
    <w:rsid w:val="00066646"/>
    <w:rsid w:val="00066C7A"/>
    <w:rsid w:val="00066CF1"/>
    <w:rsid w:val="0007144A"/>
    <w:rsid w:val="000716AB"/>
    <w:rsid w:val="00071AB8"/>
    <w:rsid w:val="0007243A"/>
    <w:rsid w:val="00072DBE"/>
    <w:rsid w:val="000734CB"/>
    <w:rsid w:val="000762C0"/>
    <w:rsid w:val="00076737"/>
    <w:rsid w:val="00076C2B"/>
    <w:rsid w:val="00076C73"/>
    <w:rsid w:val="00076F81"/>
    <w:rsid w:val="000772B1"/>
    <w:rsid w:val="000779DE"/>
    <w:rsid w:val="000800B6"/>
    <w:rsid w:val="00080D15"/>
    <w:rsid w:val="00081B03"/>
    <w:rsid w:val="00082A06"/>
    <w:rsid w:val="000847A0"/>
    <w:rsid w:val="00084BFD"/>
    <w:rsid w:val="00084D6C"/>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0B0"/>
    <w:rsid w:val="00096637"/>
    <w:rsid w:val="0009726B"/>
    <w:rsid w:val="00097285"/>
    <w:rsid w:val="000975EA"/>
    <w:rsid w:val="000A021A"/>
    <w:rsid w:val="000A0627"/>
    <w:rsid w:val="000A1828"/>
    <w:rsid w:val="000A1D06"/>
    <w:rsid w:val="000A1F38"/>
    <w:rsid w:val="000A2030"/>
    <w:rsid w:val="000A37F5"/>
    <w:rsid w:val="000A413A"/>
    <w:rsid w:val="000A4F1E"/>
    <w:rsid w:val="000A5881"/>
    <w:rsid w:val="000A66A1"/>
    <w:rsid w:val="000A69FB"/>
    <w:rsid w:val="000B1087"/>
    <w:rsid w:val="000B1614"/>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6FC1"/>
    <w:rsid w:val="000C7FF8"/>
    <w:rsid w:val="000D0372"/>
    <w:rsid w:val="000D0ADE"/>
    <w:rsid w:val="000D1A30"/>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0C66"/>
    <w:rsid w:val="000E1C03"/>
    <w:rsid w:val="000E1D6F"/>
    <w:rsid w:val="000E2D0D"/>
    <w:rsid w:val="000E3381"/>
    <w:rsid w:val="000E3744"/>
    <w:rsid w:val="000E3CD9"/>
    <w:rsid w:val="000E481D"/>
    <w:rsid w:val="000E4DBF"/>
    <w:rsid w:val="000E4DF2"/>
    <w:rsid w:val="000E5844"/>
    <w:rsid w:val="000E7349"/>
    <w:rsid w:val="000E762D"/>
    <w:rsid w:val="000E77CC"/>
    <w:rsid w:val="000F0144"/>
    <w:rsid w:val="000F0783"/>
    <w:rsid w:val="000F0807"/>
    <w:rsid w:val="000F080D"/>
    <w:rsid w:val="000F0B3C"/>
    <w:rsid w:val="000F13D5"/>
    <w:rsid w:val="000F175F"/>
    <w:rsid w:val="000F1AD8"/>
    <w:rsid w:val="000F2F4C"/>
    <w:rsid w:val="000F344B"/>
    <w:rsid w:val="000F3748"/>
    <w:rsid w:val="000F38D9"/>
    <w:rsid w:val="000F3CED"/>
    <w:rsid w:val="000F414C"/>
    <w:rsid w:val="000F613F"/>
    <w:rsid w:val="000F6320"/>
    <w:rsid w:val="000F64FC"/>
    <w:rsid w:val="000F696E"/>
    <w:rsid w:val="000F6C10"/>
    <w:rsid w:val="000F718E"/>
    <w:rsid w:val="001001F2"/>
    <w:rsid w:val="00100207"/>
    <w:rsid w:val="001003C0"/>
    <w:rsid w:val="001003C6"/>
    <w:rsid w:val="00100682"/>
    <w:rsid w:val="001010D3"/>
    <w:rsid w:val="0010144A"/>
    <w:rsid w:val="00101C11"/>
    <w:rsid w:val="00102F4F"/>
    <w:rsid w:val="001034DD"/>
    <w:rsid w:val="00104425"/>
    <w:rsid w:val="00104B4C"/>
    <w:rsid w:val="00104F88"/>
    <w:rsid w:val="00105135"/>
    <w:rsid w:val="001055A2"/>
    <w:rsid w:val="00105DC2"/>
    <w:rsid w:val="0010682A"/>
    <w:rsid w:val="00106C4C"/>
    <w:rsid w:val="00107DEF"/>
    <w:rsid w:val="0011037E"/>
    <w:rsid w:val="00110404"/>
    <w:rsid w:val="001109E8"/>
    <w:rsid w:val="00110F73"/>
    <w:rsid w:val="00111E35"/>
    <w:rsid w:val="001128B4"/>
    <w:rsid w:val="00112EBD"/>
    <w:rsid w:val="001132C2"/>
    <w:rsid w:val="0011382D"/>
    <w:rsid w:val="00113AF2"/>
    <w:rsid w:val="00113C17"/>
    <w:rsid w:val="00113FDD"/>
    <w:rsid w:val="00114051"/>
    <w:rsid w:val="00114159"/>
    <w:rsid w:val="00114973"/>
    <w:rsid w:val="00114CFF"/>
    <w:rsid w:val="00114FDF"/>
    <w:rsid w:val="0011650B"/>
    <w:rsid w:val="00116616"/>
    <w:rsid w:val="00116FC5"/>
    <w:rsid w:val="00117163"/>
    <w:rsid w:val="00117BBD"/>
    <w:rsid w:val="001202DF"/>
    <w:rsid w:val="00120F1B"/>
    <w:rsid w:val="001213E7"/>
    <w:rsid w:val="001224BA"/>
    <w:rsid w:val="0012357C"/>
    <w:rsid w:val="001238BC"/>
    <w:rsid w:val="00124518"/>
    <w:rsid w:val="001248AB"/>
    <w:rsid w:val="00124981"/>
    <w:rsid w:val="00124B2E"/>
    <w:rsid w:val="001256A1"/>
    <w:rsid w:val="00125D81"/>
    <w:rsid w:val="00126301"/>
    <w:rsid w:val="0012661F"/>
    <w:rsid w:val="0012667C"/>
    <w:rsid w:val="00126966"/>
    <w:rsid w:val="001269B0"/>
    <w:rsid w:val="00126B24"/>
    <w:rsid w:val="00127234"/>
    <w:rsid w:val="001276C4"/>
    <w:rsid w:val="00127C68"/>
    <w:rsid w:val="00127D5B"/>
    <w:rsid w:val="00131373"/>
    <w:rsid w:val="001314A0"/>
    <w:rsid w:val="00131A1F"/>
    <w:rsid w:val="00131A66"/>
    <w:rsid w:val="00131F9C"/>
    <w:rsid w:val="00132336"/>
    <w:rsid w:val="00132425"/>
    <w:rsid w:val="0013280A"/>
    <w:rsid w:val="00132875"/>
    <w:rsid w:val="001332B3"/>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61A7"/>
    <w:rsid w:val="00146946"/>
    <w:rsid w:val="00146E7C"/>
    <w:rsid w:val="00147F8C"/>
    <w:rsid w:val="00150492"/>
    <w:rsid w:val="001513CE"/>
    <w:rsid w:val="00151465"/>
    <w:rsid w:val="00151AD8"/>
    <w:rsid w:val="00151E77"/>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3EB1"/>
    <w:rsid w:val="00164803"/>
    <w:rsid w:val="00164AE0"/>
    <w:rsid w:val="00165BF5"/>
    <w:rsid w:val="00165F2E"/>
    <w:rsid w:val="0016646A"/>
    <w:rsid w:val="0016793B"/>
    <w:rsid w:val="00167C43"/>
    <w:rsid w:val="001706C9"/>
    <w:rsid w:val="0017120C"/>
    <w:rsid w:val="0017150D"/>
    <w:rsid w:val="00171D3A"/>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F50"/>
    <w:rsid w:val="00184BD9"/>
    <w:rsid w:val="00184ED6"/>
    <w:rsid w:val="00184F13"/>
    <w:rsid w:val="00184FD9"/>
    <w:rsid w:val="00185361"/>
    <w:rsid w:val="00185A06"/>
    <w:rsid w:val="00186037"/>
    <w:rsid w:val="00186AE4"/>
    <w:rsid w:val="00186D14"/>
    <w:rsid w:val="001876D8"/>
    <w:rsid w:val="00187F6A"/>
    <w:rsid w:val="00190325"/>
    <w:rsid w:val="00190391"/>
    <w:rsid w:val="0019151E"/>
    <w:rsid w:val="00191593"/>
    <w:rsid w:val="001918F1"/>
    <w:rsid w:val="0019196E"/>
    <w:rsid w:val="00191FF5"/>
    <w:rsid w:val="001926D7"/>
    <w:rsid w:val="00192CCE"/>
    <w:rsid w:val="0019385B"/>
    <w:rsid w:val="00193F1C"/>
    <w:rsid w:val="001948F5"/>
    <w:rsid w:val="00194958"/>
    <w:rsid w:val="00195ED0"/>
    <w:rsid w:val="00196359"/>
    <w:rsid w:val="00197119"/>
    <w:rsid w:val="00197205"/>
    <w:rsid w:val="00197632"/>
    <w:rsid w:val="0019793F"/>
    <w:rsid w:val="00197A9D"/>
    <w:rsid w:val="001A08E7"/>
    <w:rsid w:val="001A17D7"/>
    <w:rsid w:val="001A1A67"/>
    <w:rsid w:val="001A1FDD"/>
    <w:rsid w:val="001A2D8F"/>
    <w:rsid w:val="001A33C2"/>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810"/>
    <w:rsid w:val="001B6E89"/>
    <w:rsid w:val="001B791C"/>
    <w:rsid w:val="001B7D70"/>
    <w:rsid w:val="001C0125"/>
    <w:rsid w:val="001C1074"/>
    <w:rsid w:val="001C21C8"/>
    <w:rsid w:val="001C25F5"/>
    <w:rsid w:val="001C2DFD"/>
    <w:rsid w:val="001C34D0"/>
    <w:rsid w:val="001C4249"/>
    <w:rsid w:val="001C4382"/>
    <w:rsid w:val="001C46E3"/>
    <w:rsid w:val="001C4F27"/>
    <w:rsid w:val="001C51FE"/>
    <w:rsid w:val="001C6573"/>
    <w:rsid w:val="001C79FF"/>
    <w:rsid w:val="001C7D03"/>
    <w:rsid w:val="001D00BE"/>
    <w:rsid w:val="001D079B"/>
    <w:rsid w:val="001D0D32"/>
    <w:rsid w:val="001D17C9"/>
    <w:rsid w:val="001D1AB9"/>
    <w:rsid w:val="001D1F20"/>
    <w:rsid w:val="001D3795"/>
    <w:rsid w:val="001D4006"/>
    <w:rsid w:val="001D424C"/>
    <w:rsid w:val="001D54BD"/>
    <w:rsid w:val="001D5731"/>
    <w:rsid w:val="001D5C72"/>
    <w:rsid w:val="001D626E"/>
    <w:rsid w:val="001D733B"/>
    <w:rsid w:val="001D73CF"/>
    <w:rsid w:val="001D7E8C"/>
    <w:rsid w:val="001E0902"/>
    <w:rsid w:val="001E1801"/>
    <w:rsid w:val="001E1C73"/>
    <w:rsid w:val="001E1E05"/>
    <w:rsid w:val="001E2254"/>
    <w:rsid w:val="001E22D2"/>
    <w:rsid w:val="001E2343"/>
    <w:rsid w:val="001E3A17"/>
    <w:rsid w:val="001E3FCB"/>
    <w:rsid w:val="001E4FB2"/>
    <w:rsid w:val="001E52DF"/>
    <w:rsid w:val="001E5500"/>
    <w:rsid w:val="001E6BCB"/>
    <w:rsid w:val="001E783B"/>
    <w:rsid w:val="001E7FBC"/>
    <w:rsid w:val="001F0822"/>
    <w:rsid w:val="001F08CB"/>
    <w:rsid w:val="001F105B"/>
    <w:rsid w:val="001F15F6"/>
    <w:rsid w:val="001F179C"/>
    <w:rsid w:val="001F24B7"/>
    <w:rsid w:val="001F2649"/>
    <w:rsid w:val="001F3496"/>
    <w:rsid w:val="001F41CA"/>
    <w:rsid w:val="001F4355"/>
    <w:rsid w:val="001F4819"/>
    <w:rsid w:val="001F48BD"/>
    <w:rsid w:val="001F4FAB"/>
    <w:rsid w:val="001F5034"/>
    <w:rsid w:val="001F55D6"/>
    <w:rsid w:val="001F61DE"/>
    <w:rsid w:val="001F63AA"/>
    <w:rsid w:val="001F69C8"/>
    <w:rsid w:val="001F7054"/>
    <w:rsid w:val="001F77E5"/>
    <w:rsid w:val="001F7DB7"/>
    <w:rsid w:val="002000AA"/>
    <w:rsid w:val="0020125F"/>
    <w:rsid w:val="00201502"/>
    <w:rsid w:val="0020302A"/>
    <w:rsid w:val="002032A0"/>
    <w:rsid w:val="00203532"/>
    <w:rsid w:val="00203AE0"/>
    <w:rsid w:val="00204106"/>
    <w:rsid w:val="00204109"/>
    <w:rsid w:val="0020503A"/>
    <w:rsid w:val="00205041"/>
    <w:rsid w:val="0020524C"/>
    <w:rsid w:val="002059E3"/>
    <w:rsid w:val="002100FF"/>
    <w:rsid w:val="00210543"/>
    <w:rsid w:val="00210B9B"/>
    <w:rsid w:val="0021102F"/>
    <w:rsid w:val="002118D1"/>
    <w:rsid w:val="00211DCE"/>
    <w:rsid w:val="0021229D"/>
    <w:rsid w:val="0021238E"/>
    <w:rsid w:val="00212390"/>
    <w:rsid w:val="00212897"/>
    <w:rsid w:val="0021386A"/>
    <w:rsid w:val="00213C44"/>
    <w:rsid w:val="002147EE"/>
    <w:rsid w:val="00214E58"/>
    <w:rsid w:val="00215516"/>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50D1"/>
    <w:rsid w:val="002267D2"/>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353"/>
    <w:rsid w:val="002407CE"/>
    <w:rsid w:val="00242325"/>
    <w:rsid w:val="00243A38"/>
    <w:rsid w:val="0024474F"/>
    <w:rsid w:val="00244761"/>
    <w:rsid w:val="002450F2"/>
    <w:rsid w:val="00245B7F"/>
    <w:rsid w:val="00246383"/>
    <w:rsid w:val="002469C2"/>
    <w:rsid w:val="00247BDE"/>
    <w:rsid w:val="00247DE2"/>
    <w:rsid w:val="002505DE"/>
    <w:rsid w:val="002514FA"/>
    <w:rsid w:val="00251DAF"/>
    <w:rsid w:val="00252503"/>
    <w:rsid w:val="0025265C"/>
    <w:rsid w:val="00252ED7"/>
    <w:rsid w:val="0025393C"/>
    <w:rsid w:val="002549E7"/>
    <w:rsid w:val="00254A7A"/>
    <w:rsid w:val="00254EA4"/>
    <w:rsid w:val="0025509C"/>
    <w:rsid w:val="002552F8"/>
    <w:rsid w:val="0025575F"/>
    <w:rsid w:val="002571E3"/>
    <w:rsid w:val="002573DA"/>
    <w:rsid w:val="00260496"/>
    <w:rsid w:val="00260542"/>
    <w:rsid w:val="00260BAD"/>
    <w:rsid w:val="0026224C"/>
    <w:rsid w:val="00264C7C"/>
    <w:rsid w:val="0026650F"/>
    <w:rsid w:val="00266DC3"/>
    <w:rsid w:val="0027029D"/>
    <w:rsid w:val="00270443"/>
    <w:rsid w:val="00270EE2"/>
    <w:rsid w:val="0027138C"/>
    <w:rsid w:val="0027165A"/>
    <w:rsid w:val="00272787"/>
    <w:rsid w:val="00272826"/>
    <w:rsid w:val="00272A7B"/>
    <w:rsid w:val="00272B9E"/>
    <w:rsid w:val="00272C44"/>
    <w:rsid w:val="00272F05"/>
    <w:rsid w:val="00273527"/>
    <w:rsid w:val="00273F6B"/>
    <w:rsid w:val="002747EF"/>
    <w:rsid w:val="00274B06"/>
    <w:rsid w:val="002751D6"/>
    <w:rsid w:val="002754D3"/>
    <w:rsid w:val="00276261"/>
    <w:rsid w:val="00276944"/>
    <w:rsid w:val="00276964"/>
    <w:rsid w:val="002769AE"/>
    <w:rsid w:val="00276CA7"/>
    <w:rsid w:val="002816DD"/>
    <w:rsid w:val="002817A6"/>
    <w:rsid w:val="002821E8"/>
    <w:rsid w:val="00282F1D"/>
    <w:rsid w:val="00283215"/>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1C7"/>
    <w:rsid w:val="00293254"/>
    <w:rsid w:val="00295002"/>
    <w:rsid w:val="0029568E"/>
    <w:rsid w:val="00295E8C"/>
    <w:rsid w:val="002971C7"/>
    <w:rsid w:val="002971F2"/>
    <w:rsid w:val="00297785"/>
    <w:rsid w:val="00297E05"/>
    <w:rsid w:val="002A0444"/>
    <w:rsid w:val="002A0F8D"/>
    <w:rsid w:val="002A1311"/>
    <w:rsid w:val="002A1377"/>
    <w:rsid w:val="002A211A"/>
    <w:rsid w:val="002A264B"/>
    <w:rsid w:val="002A4A82"/>
    <w:rsid w:val="002A4B33"/>
    <w:rsid w:val="002A4C00"/>
    <w:rsid w:val="002A5311"/>
    <w:rsid w:val="002A5863"/>
    <w:rsid w:val="002A6E9B"/>
    <w:rsid w:val="002A6FBB"/>
    <w:rsid w:val="002B05D1"/>
    <w:rsid w:val="002B0EC5"/>
    <w:rsid w:val="002B1933"/>
    <w:rsid w:val="002B1DBB"/>
    <w:rsid w:val="002B20BD"/>
    <w:rsid w:val="002B22DB"/>
    <w:rsid w:val="002B2611"/>
    <w:rsid w:val="002B27D8"/>
    <w:rsid w:val="002B35B9"/>
    <w:rsid w:val="002B38D2"/>
    <w:rsid w:val="002B3A46"/>
    <w:rsid w:val="002B3F1C"/>
    <w:rsid w:val="002B3F60"/>
    <w:rsid w:val="002B401B"/>
    <w:rsid w:val="002B48C5"/>
    <w:rsid w:val="002B4ED9"/>
    <w:rsid w:val="002B4EF4"/>
    <w:rsid w:val="002B51BB"/>
    <w:rsid w:val="002B52F3"/>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3214"/>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FD5"/>
    <w:rsid w:val="002D68F4"/>
    <w:rsid w:val="002D7395"/>
    <w:rsid w:val="002D7417"/>
    <w:rsid w:val="002D782B"/>
    <w:rsid w:val="002D7C86"/>
    <w:rsid w:val="002E0D9C"/>
    <w:rsid w:val="002E1247"/>
    <w:rsid w:val="002E26E8"/>
    <w:rsid w:val="002E3DD8"/>
    <w:rsid w:val="002E3ED8"/>
    <w:rsid w:val="002E5A01"/>
    <w:rsid w:val="002E5AF4"/>
    <w:rsid w:val="002E5EA3"/>
    <w:rsid w:val="002E717C"/>
    <w:rsid w:val="002E71C7"/>
    <w:rsid w:val="002E7533"/>
    <w:rsid w:val="002E7A61"/>
    <w:rsid w:val="002F00B8"/>
    <w:rsid w:val="002F0106"/>
    <w:rsid w:val="002F03C8"/>
    <w:rsid w:val="002F188D"/>
    <w:rsid w:val="002F18A5"/>
    <w:rsid w:val="002F26F3"/>
    <w:rsid w:val="002F2BA9"/>
    <w:rsid w:val="002F317F"/>
    <w:rsid w:val="002F51A2"/>
    <w:rsid w:val="002F5BA8"/>
    <w:rsid w:val="002F5E95"/>
    <w:rsid w:val="002F5F68"/>
    <w:rsid w:val="002F63CA"/>
    <w:rsid w:val="002F67B4"/>
    <w:rsid w:val="002F6F73"/>
    <w:rsid w:val="002F7AA9"/>
    <w:rsid w:val="003004E3"/>
    <w:rsid w:val="00300FF1"/>
    <w:rsid w:val="00301775"/>
    <w:rsid w:val="00301C0D"/>
    <w:rsid w:val="00301D7B"/>
    <w:rsid w:val="00301E19"/>
    <w:rsid w:val="003023DE"/>
    <w:rsid w:val="00302998"/>
    <w:rsid w:val="003036E9"/>
    <w:rsid w:val="00303DC4"/>
    <w:rsid w:val="00304676"/>
    <w:rsid w:val="003059A3"/>
    <w:rsid w:val="00306BE7"/>
    <w:rsid w:val="00306D4A"/>
    <w:rsid w:val="003110A2"/>
    <w:rsid w:val="00311655"/>
    <w:rsid w:val="00311B66"/>
    <w:rsid w:val="00311F29"/>
    <w:rsid w:val="00312518"/>
    <w:rsid w:val="00314036"/>
    <w:rsid w:val="00314347"/>
    <w:rsid w:val="00314C4F"/>
    <w:rsid w:val="00314FAF"/>
    <w:rsid w:val="003162A5"/>
    <w:rsid w:val="00316591"/>
    <w:rsid w:val="00316D3E"/>
    <w:rsid w:val="00320553"/>
    <w:rsid w:val="00320C6D"/>
    <w:rsid w:val="003213A8"/>
    <w:rsid w:val="00321FA8"/>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1894"/>
    <w:rsid w:val="00332CB8"/>
    <w:rsid w:val="00333428"/>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924"/>
    <w:rsid w:val="00341941"/>
    <w:rsid w:val="0034207A"/>
    <w:rsid w:val="0034278F"/>
    <w:rsid w:val="003427D7"/>
    <w:rsid w:val="0034281F"/>
    <w:rsid w:val="00343B47"/>
    <w:rsid w:val="0034404F"/>
    <w:rsid w:val="00344ACC"/>
    <w:rsid w:val="00345CC2"/>
    <w:rsid w:val="00345F01"/>
    <w:rsid w:val="0034654F"/>
    <w:rsid w:val="00346B28"/>
    <w:rsid w:val="00347685"/>
    <w:rsid w:val="003509A5"/>
    <w:rsid w:val="003515FD"/>
    <w:rsid w:val="003518A4"/>
    <w:rsid w:val="00351E21"/>
    <w:rsid w:val="00352327"/>
    <w:rsid w:val="003526A9"/>
    <w:rsid w:val="00354062"/>
    <w:rsid w:val="00354405"/>
    <w:rsid w:val="00355A76"/>
    <w:rsid w:val="00355DEC"/>
    <w:rsid w:val="0035635F"/>
    <w:rsid w:val="00356E0F"/>
    <w:rsid w:val="0035700C"/>
    <w:rsid w:val="003607EE"/>
    <w:rsid w:val="00360BC8"/>
    <w:rsid w:val="00360E35"/>
    <w:rsid w:val="00360F1F"/>
    <w:rsid w:val="00361106"/>
    <w:rsid w:val="003617AE"/>
    <w:rsid w:val="00361BCD"/>
    <w:rsid w:val="00361F64"/>
    <w:rsid w:val="0036215C"/>
    <w:rsid w:val="003630F7"/>
    <w:rsid w:val="0036332B"/>
    <w:rsid w:val="00363589"/>
    <w:rsid w:val="00363636"/>
    <w:rsid w:val="003637C2"/>
    <w:rsid w:val="00364DFD"/>
    <w:rsid w:val="003651AC"/>
    <w:rsid w:val="003653AA"/>
    <w:rsid w:val="00366120"/>
    <w:rsid w:val="003661FF"/>
    <w:rsid w:val="003665A5"/>
    <w:rsid w:val="003668B4"/>
    <w:rsid w:val="00366A0C"/>
    <w:rsid w:val="00367238"/>
    <w:rsid w:val="00367462"/>
    <w:rsid w:val="003677D5"/>
    <w:rsid w:val="0037034B"/>
    <w:rsid w:val="00370507"/>
    <w:rsid w:val="00370682"/>
    <w:rsid w:val="00370F0B"/>
    <w:rsid w:val="003718D8"/>
    <w:rsid w:val="00372A01"/>
    <w:rsid w:val="00372CFC"/>
    <w:rsid w:val="003733DF"/>
    <w:rsid w:val="00373865"/>
    <w:rsid w:val="003739DA"/>
    <w:rsid w:val="00373CE8"/>
    <w:rsid w:val="00374DB0"/>
    <w:rsid w:val="003751C7"/>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4C0A"/>
    <w:rsid w:val="003853B1"/>
    <w:rsid w:val="003853ED"/>
    <w:rsid w:val="0038628F"/>
    <w:rsid w:val="00386421"/>
    <w:rsid w:val="0038704C"/>
    <w:rsid w:val="00387AA1"/>
    <w:rsid w:val="0039082A"/>
    <w:rsid w:val="0039101F"/>
    <w:rsid w:val="00392E7C"/>
    <w:rsid w:val="00392EDB"/>
    <w:rsid w:val="00392FAE"/>
    <w:rsid w:val="003931AA"/>
    <w:rsid w:val="00393BA4"/>
    <w:rsid w:val="00393EEE"/>
    <w:rsid w:val="003941C0"/>
    <w:rsid w:val="00394D45"/>
    <w:rsid w:val="00395132"/>
    <w:rsid w:val="00395CB9"/>
    <w:rsid w:val="00395D99"/>
    <w:rsid w:val="00396682"/>
    <w:rsid w:val="003968DF"/>
    <w:rsid w:val="003976C3"/>
    <w:rsid w:val="00397A03"/>
    <w:rsid w:val="00397A64"/>
    <w:rsid w:val="003A099A"/>
    <w:rsid w:val="003A1372"/>
    <w:rsid w:val="003A1D46"/>
    <w:rsid w:val="003A2447"/>
    <w:rsid w:val="003A2B82"/>
    <w:rsid w:val="003A2EF0"/>
    <w:rsid w:val="003A36D3"/>
    <w:rsid w:val="003A3927"/>
    <w:rsid w:val="003A3D2E"/>
    <w:rsid w:val="003A3FF7"/>
    <w:rsid w:val="003A43D1"/>
    <w:rsid w:val="003A5B15"/>
    <w:rsid w:val="003A68F5"/>
    <w:rsid w:val="003A6A51"/>
    <w:rsid w:val="003A6E29"/>
    <w:rsid w:val="003A7308"/>
    <w:rsid w:val="003A7C5F"/>
    <w:rsid w:val="003A7FEA"/>
    <w:rsid w:val="003B0464"/>
    <w:rsid w:val="003B0BDB"/>
    <w:rsid w:val="003B0E88"/>
    <w:rsid w:val="003B106E"/>
    <w:rsid w:val="003B153F"/>
    <w:rsid w:val="003B17B0"/>
    <w:rsid w:val="003B1819"/>
    <w:rsid w:val="003B1844"/>
    <w:rsid w:val="003B1A5C"/>
    <w:rsid w:val="003B211E"/>
    <w:rsid w:val="003B24EA"/>
    <w:rsid w:val="003B2DA7"/>
    <w:rsid w:val="003B3AB7"/>
    <w:rsid w:val="003B3ABC"/>
    <w:rsid w:val="003B3CDD"/>
    <w:rsid w:val="003B3D8E"/>
    <w:rsid w:val="003B3FED"/>
    <w:rsid w:val="003B3FF1"/>
    <w:rsid w:val="003B4217"/>
    <w:rsid w:val="003B59A1"/>
    <w:rsid w:val="003B6D11"/>
    <w:rsid w:val="003B74F1"/>
    <w:rsid w:val="003B7541"/>
    <w:rsid w:val="003B7966"/>
    <w:rsid w:val="003B7F07"/>
    <w:rsid w:val="003B7FCE"/>
    <w:rsid w:val="003C0A32"/>
    <w:rsid w:val="003C0F87"/>
    <w:rsid w:val="003C141E"/>
    <w:rsid w:val="003C192B"/>
    <w:rsid w:val="003C1B83"/>
    <w:rsid w:val="003C210E"/>
    <w:rsid w:val="003C21B3"/>
    <w:rsid w:val="003C30AD"/>
    <w:rsid w:val="003C3503"/>
    <w:rsid w:val="003C40DE"/>
    <w:rsid w:val="003C4851"/>
    <w:rsid w:val="003C4C96"/>
    <w:rsid w:val="003C55E0"/>
    <w:rsid w:val="003C5E39"/>
    <w:rsid w:val="003C6836"/>
    <w:rsid w:val="003C683A"/>
    <w:rsid w:val="003D0079"/>
    <w:rsid w:val="003D017D"/>
    <w:rsid w:val="003D04D6"/>
    <w:rsid w:val="003D10EC"/>
    <w:rsid w:val="003D28DE"/>
    <w:rsid w:val="003D29B9"/>
    <w:rsid w:val="003D3500"/>
    <w:rsid w:val="003D37B6"/>
    <w:rsid w:val="003D3C68"/>
    <w:rsid w:val="003D450D"/>
    <w:rsid w:val="003D4BA9"/>
    <w:rsid w:val="003D4F8F"/>
    <w:rsid w:val="003D503A"/>
    <w:rsid w:val="003D6505"/>
    <w:rsid w:val="003D71A6"/>
    <w:rsid w:val="003D7709"/>
    <w:rsid w:val="003E004C"/>
    <w:rsid w:val="003E0BAF"/>
    <w:rsid w:val="003E0E25"/>
    <w:rsid w:val="003E1409"/>
    <w:rsid w:val="003E16F2"/>
    <w:rsid w:val="003E2195"/>
    <w:rsid w:val="003E2C25"/>
    <w:rsid w:val="003E36A5"/>
    <w:rsid w:val="003E3F60"/>
    <w:rsid w:val="003E4052"/>
    <w:rsid w:val="003E4A52"/>
    <w:rsid w:val="003E5CBA"/>
    <w:rsid w:val="003E78A9"/>
    <w:rsid w:val="003E7912"/>
    <w:rsid w:val="003F04E6"/>
    <w:rsid w:val="003F2CDD"/>
    <w:rsid w:val="003F3218"/>
    <w:rsid w:val="003F3FB3"/>
    <w:rsid w:val="003F45D7"/>
    <w:rsid w:val="003F4885"/>
    <w:rsid w:val="003F4C1B"/>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592"/>
    <w:rsid w:val="0040496E"/>
    <w:rsid w:val="00404B58"/>
    <w:rsid w:val="0040544F"/>
    <w:rsid w:val="00405537"/>
    <w:rsid w:val="0040625C"/>
    <w:rsid w:val="004069D2"/>
    <w:rsid w:val="004076FF"/>
    <w:rsid w:val="00411B17"/>
    <w:rsid w:val="00411FFF"/>
    <w:rsid w:val="0041222D"/>
    <w:rsid w:val="004124F2"/>
    <w:rsid w:val="00412C2A"/>
    <w:rsid w:val="00412E6F"/>
    <w:rsid w:val="00413C5C"/>
    <w:rsid w:val="0041413F"/>
    <w:rsid w:val="0041567A"/>
    <w:rsid w:val="00415BAB"/>
    <w:rsid w:val="00415BCF"/>
    <w:rsid w:val="00416297"/>
    <w:rsid w:val="00417083"/>
    <w:rsid w:val="00417E36"/>
    <w:rsid w:val="0042057C"/>
    <w:rsid w:val="00420BDF"/>
    <w:rsid w:val="00421608"/>
    <w:rsid w:val="00421849"/>
    <w:rsid w:val="00421C23"/>
    <w:rsid w:val="0042261E"/>
    <w:rsid w:val="00422749"/>
    <w:rsid w:val="004228F2"/>
    <w:rsid w:val="004233DC"/>
    <w:rsid w:val="00424888"/>
    <w:rsid w:val="004255D9"/>
    <w:rsid w:val="00425763"/>
    <w:rsid w:val="00425C3C"/>
    <w:rsid w:val="00426F8D"/>
    <w:rsid w:val="00427D1B"/>
    <w:rsid w:val="00427E40"/>
    <w:rsid w:val="004306AB"/>
    <w:rsid w:val="0043159D"/>
    <w:rsid w:val="0043171D"/>
    <w:rsid w:val="00432F78"/>
    <w:rsid w:val="004334A2"/>
    <w:rsid w:val="004335BC"/>
    <w:rsid w:val="00433972"/>
    <w:rsid w:val="004339E6"/>
    <w:rsid w:val="00434723"/>
    <w:rsid w:val="00434729"/>
    <w:rsid w:val="0043617B"/>
    <w:rsid w:val="00436235"/>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213"/>
    <w:rsid w:val="00447C23"/>
    <w:rsid w:val="00450744"/>
    <w:rsid w:val="00450BE7"/>
    <w:rsid w:val="00450FE8"/>
    <w:rsid w:val="004518D0"/>
    <w:rsid w:val="00451CFA"/>
    <w:rsid w:val="0045213A"/>
    <w:rsid w:val="0045227C"/>
    <w:rsid w:val="0045230E"/>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16D"/>
    <w:rsid w:val="004612A4"/>
    <w:rsid w:val="0046153C"/>
    <w:rsid w:val="004624D2"/>
    <w:rsid w:val="004625C8"/>
    <w:rsid w:val="00462DCE"/>
    <w:rsid w:val="0046442A"/>
    <w:rsid w:val="00464BF1"/>
    <w:rsid w:val="00465D73"/>
    <w:rsid w:val="00466078"/>
    <w:rsid w:val="0046626B"/>
    <w:rsid w:val="004676E4"/>
    <w:rsid w:val="00467AFF"/>
    <w:rsid w:val="00470183"/>
    <w:rsid w:val="004708C9"/>
    <w:rsid w:val="00470C48"/>
    <w:rsid w:val="0047139F"/>
    <w:rsid w:val="00471429"/>
    <w:rsid w:val="004722B1"/>
    <w:rsid w:val="00473A47"/>
    <w:rsid w:val="00473A4F"/>
    <w:rsid w:val="00473C0A"/>
    <w:rsid w:val="00473EEF"/>
    <w:rsid w:val="00473F5E"/>
    <w:rsid w:val="00474415"/>
    <w:rsid w:val="00474BC1"/>
    <w:rsid w:val="004763EC"/>
    <w:rsid w:val="0047722F"/>
    <w:rsid w:val="00477459"/>
    <w:rsid w:val="00477CC9"/>
    <w:rsid w:val="0048026E"/>
    <w:rsid w:val="00480303"/>
    <w:rsid w:val="004807A9"/>
    <w:rsid w:val="0048089E"/>
    <w:rsid w:val="00480A8A"/>
    <w:rsid w:val="00480C2D"/>
    <w:rsid w:val="00480F76"/>
    <w:rsid w:val="004810A5"/>
    <w:rsid w:val="004810E0"/>
    <w:rsid w:val="00481318"/>
    <w:rsid w:val="00481363"/>
    <w:rsid w:val="004813EE"/>
    <w:rsid w:val="00481835"/>
    <w:rsid w:val="00481ED2"/>
    <w:rsid w:val="00482CDC"/>
    <w:rsid w:val="00482FB0"/>
    <w:rsid w:val="00483B03"/>
    <w:rsid w:val="0048444C"/>
    <w:rsid w:val="004845C6"/>
    <w:rsid w:val="00485058"/>
    <w:rsid w:val="00485106"/>
    <w:rsid w:val="00485702"/>
    <w:rsid w:val="00485C2D"/>
    <w:rsid w:val="004867EC"/>
    <w:rsid w:val="00486A37"/>
    <w:rsid w:val="00487662"/>
    <w:rsid w:val="004876C6"/>
    <w:rsid w:val="004877BA"/>
    <w:rsid w:val="00487D7B"/>
    <w:rsid w:val="00490F7A"/>
    <w:rsid w:val="00490FD5"/>
    <w:rsid w:val="00491241"/>
    <w:rsid w:val="00491813"/>
    <w:rsid w:val="00493278"/>
    <w:rsid w:val="00493855"/>
    <w:rsid w:val="004951D8"/>
    <w:rsid w:val="004952C1"/>
    <w:rsid w:val="00496543"/>
    <w:rsid w:val="00497575"/>
    <w:rsid w:val="004A078B"/>
    <w:rsid w:val="004A0E8B"/>
    <w:rsid w:val="004A12C0"/>
    <w:rsid w:val="004A169A"/>
    <w:rsid w:val="004A18C9"/>
    <w:rsid w:val="004A191A"/>
    <w:rsid w:val="004A1A70"/>
    <w:rsid w:val="004A2377"/>
    <w:rsid w:val="004A2D5A"/>
    <w:rsid w:val="004A3658"/>
    <w:rsid w:val="004A3988"/>
    <w:rsid w:val="004A4027"/>
    <w:rsid w:val="004A419E"/>
    <w:rsid w:val="004A4688"/>
    <w:rsid w:val="004A6463"/>
    <w:rsid w:val="004A6B58"/>
    <w:rsid w:val="004A6BA2"/>
    <w:rsid w:val="004B06C3"/>
    <w:rsid w:val="004B0917"/>
    <w:rsid w:val="004B0B09"/>
    <w:rsid w:val="004B140F"/>
    <w:rsid w:val="004B14EB"/>
    <w:rsid w:val="004B21CF"/>
    <w:rsid w:val="004B2DE3"/>
    <w:rsid w:val="004B34DF"/>
    <w:rsid w:val="004B3FEA"/>
    <w:rsid w:val="004B4E68"/>
    <w:rsid w:val="004B53F1"/>
    <w:rsid w:val="004B5D6E"/>
    <w:rsid w:val="004B60BA"/>
    <w:rsid w:val="004B6946"/>
    <w:rsid w:val="004B6D89"/>
    <w:rsid w:val="004B6E81"/>
    <w:rsid w:val="004C0FFE"/>
    <w:rsid w:val="004C136D"/>
    <w:rsid w:val="004C1407"/>
    <w:rsid w:val="004C1619"/>
    <w:rsid w:val="004C177F"/>
    <w:rsid w:val="004C19E4"/>
    <w:rsid w:val="004C1B59"/>
    <w:rsid w:val="004C3BA4"/>
    <w:rsid w:val="004C3C25"/>
    <w:rsid w:val="004C3EEA"/>
    <w:rsid w:val="004C4EA2"/>
    <w:rsid w:val="004C596B"/>
    <w:rsid w:val="004C5E41"/>
    <w:rsid w:val="004C60E7"/>
    <w:rsid w:val="004C6475"/>
    <w:rsid w:val="004C664D"/>
    <w:rsid w:val="004C7BDE"/>
    <w:rsid w:val="004D0090"/>
    <w:rsid w:val="004D020F"/>
    <w:rsid w:val="004D03D1"/>
    <w:rsid w:val="004D10B0"/>
    <w:rsid w:val="004D11AF"/>
    <w:rsid w:val="004D2E58"/>
    <w:rsid w:val="004D37D9"/>
    <w:rsid w:val="004D41A2"/>
    <w:rsid w:val="004D502C"/>
    <w:rsid w:val="004D5358"/>
    <w:rsid w:val="004D55F0"/>
    <w:rsid w:val="004D5FB2"/>
    <w:rsid w:val="004D60A3"/>
    <w:rsid w:val="004D6DC3"/>
    <w:rsid w:val="004D71CA"/>
    <w:rsid w:val="004E016A"/>
    <w:rsid w:val="004E0461"/>
    <w:rsid w:val="004E1CC8"/>
    <w:rsid w:val="004E29B1"/>
    <w:rsid w:val="004E3F87"/>
    <w:rsid w:val="004E461B"/>
    <w:rsid w:val="004E477D"/>
    <w:rsid w:val="004E5890"/>
    <w:rsid w:val="004E745C"/>
    <w:rsid w:val="004E79EF"/>
    <w:rsid w:val="004E7B33"/>
    <w:rsid w:val="004F0368"/>
    <w:rsid w:val="004F0D19"/>
    <w:rsid w:val="004F121B"/>
    <w:rsid w:val="004F140F"/>
    <w:rsid w:val="004F185F"/>
    <w:rsid w:val="004F26F1"/>
    <w:rsid w:val="004F2811"/>
    <w:rsid w:val="004F3326"/>
    <w:rsid w:val="004F4D22"/>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B3B"/>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17667"/>
    <w:rsid w:val="00520BBA"/>
    <w:rsid w:val="005225AC"/>
    <w:rsid w:val="005226FA"/>
    <w:rsid w:val="005233F3"/>
    <w:rsid w:val="0052365C"/>
    <w:rsid w:val="005245D2"/>
    <w:rsid w:val="0052488B"/>
    <w:rsid w:val="00524C98"/>
    <w:rsid w:val="00524C9C"/>
    <w:rsid w:val="00524EDD"/>
    <w:rsid w:val="00524FEB"/>
    <w:rsid w:val="00525B59"/>
    <w:rsid w:val="00525BCC"/>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47A00"/>
    <w:rsid w:val="00550113"/>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51E9"/>
    <w:rsid w:val="0055680D"/>
    <w:rsid w:val="0055681D"/>
    <w:rsid w:val="00557670"/>
    <w:rsid w:val="00557C2D"/>
    <w:rsid w:val="00560094"/>
    <w:rsid w:val="00560C62"/>
    <w:rsid w:val="00562A61"/>
    <w:rsid w:val="00562E78"/>
    <w:rsid w:val="0056311D"/>
    <w:rsid w:val="005638A2"/>
    <w:rsid w:val="00564E45"/>
    <w:rsid w:val="005652D5"/>
    <w:rsid w:val="00565E52"/>
    <w:rsid w:val="00567227"/>
    <w:rsid w:val="00567CD0"/>
    <w:rsid w:val="00570C7B"/>
    <w:rsid w:val="00571C77"/>
    <w:rsid w:val="00572D5B"/>
    <w:rsid w:val="00574614"/>
    <w:rsid w:val="00574A70"/>
    <w:rsid w:val="00574D35"/>
    <w:rsid w:val="005755EB"/>
    <w:rsid w:val="00575C75"/>
    <w:rsid w:val="005762CA"/>
    <w:rsid w:val="005770CF"/>
    <w:rsid w:val="00577904"/>
    <w:rsid w:val="00577922"/>
    <w:rsid w:val="00577AC3"/>
    <w:rsid w:val="00580577"/>
    <w:rsid w:val="005815A8"/>
    <w:rsid w:val="00581915"/>
    <w:rsid w:val="00583431"/>
    <w:rsid w:val="005846C0"/>
    <w:rsid w:val="00584D04"/>
    <w:rsid w:val="005853F5"/>
    <w:rsid w:val="0058567E"/>
    <w:rsid w:val="00585DE1"/>
    <w:rsid w:val="0058659E"/>
    <w:rsid w:val="00586703"/>
    <w:rsid w:val="005869EE"/>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7108"/>
    <w:rsid w:val="005976DB"/>
    <w:rsid w:val="00597904"/>
    <w:rsid w:val="005A13D8"/>
    <w:rsid w:val="005A1A84"/>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526C"/>
    <w:rsid w:val="005B541E"/>
    <w:rsid w:val="005B6551"/>
    <w:rsid w:val="005B71A8"/>
    <w:rsid w:val="005B744B"/>
    <w:rsid w:val="005C0A6F"/>
    <w:rsid w:val="005C0FA7"/>
    <w:rsid w:val="005C155F"/>
    <w:rsid w:val="005C1C0E"/>
    <w:rsid w:val="005C2EEB"/>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0BAD"/>
    <w:rsid w:val="005D0C0A"/>
    <w:rsid w:val="005D107D"/>
    <w:rsid w:val="005D123A"/>
    <w:rsid w:val="005D1937"/>
    <w:rsid w:val="005D2506"/>
    <w:rsid w:val="005D2BB5"/>
    <w:rsid w:val="005D3677"/>
    <w:rsid w:val="005D4E4C"/>
    <w:rsid w:val="005D5B5E"/>
    <w:rsid w:val="005D5C85"/>
    <w:rsid w:val="005D5CA0"/>
    <w:rsid w:val="005D69AB"/>
    <w:rsid w:val="005D72FC"/>
    <w:rsid w:val="005D76E4"/>
    <w:rsid w:val="005D7DFC"/>
    <w:rsid w:val="005E035A"/>
    <w:rsid w:val="005E0464"/>
    <w:rsid w:val="005E0681"/>
    <w:rsid w:val="005E1218"/>
    <w:rsid w:val="005E18EC"/>
    <w:rsid w:val="005E1A55"/>
    <w:rsid w:val="005E1B6B"/>
    <w:rsid w:val="005E1F61"/>
    <w:rsid w:val="005E2127"/>
    <w:rsid w:val="005E2281"/>
    <w:rsid w:val="005E236C"/>
    <w:rsid w:val="005E2FAE"/>
    <w:rsid w:val="005E32C9"/>
    <w:rsid w:val="005E351B"/>
    <w:rsid w:val="005E38A8"/>
    <w:rsid w:val="005E39F9"/>
    <w:rsid w:val="005E3D9B"/>
    <w:rsid w:val="005E44B6"/>
    <w:rsid w:val="005E4828"/>
    <w:rsid w:val="005E4887"/>
    <w:rsid w:val="005E5016"/>
    <w:rsid w:val="005E5231"/>
    <w:rsid w:val="005E55BB"/>
    <w:rsid w:val="005E5D11"/>
    <w:rsid w:val="005E667C"/>
    <w:rsid w:val="005E6A1D"/>
    <w:rsid w:val="005E6F12"/>
    <w:rsid w:val="005E708D"/>
    <w:rsid w:val="005E733E"/>
    <w:rsid w:val="005E7428"/>
    <w:rsid w:val="005F0694"/>
    <w:rsid w:val="005F06E1"/>
    <w:rsid w:val="005F077C"/>
    <w:rsid w:val="005F0B88"/>
    <w:rsid w:val="005F1735"/>
    <w:rsid w:val="005F187E"/>
    <w:rsid w:val="005F252A"/>
    <w:rsid w:val="005F3CE8"/>
    <w:rsid w:val="005F4F41"/>
    <w:rsid w:val="005F4F70"/>
    <w:rsid w:val="005F566D"/>
    <w:rsid w:val="005F648F"/>
    <w:rsid w:val="005F68C3"/>
    <w:rsid w:val="005F7D87"/>
    <w:rsid w:val="00601794"/>
    <w:rsid w:val="00601E94"/>
    <w:rsid w:val="006021B1"/>
    <w:rsid w:val="006029A7"/>
    <w:rsid w:val="006037C5"/>
    <w:rsid w:val="006040CE"/>
    <w:rsid w:val="0060467D"/>
    <w:rsid w:val="00604DF3"/>
    <w:rsid w:val="0060585E"/>
    <w:rsid w:val="00605B9D"/>
    <w:rsid w:val="00605BAD"/>
    <w:rsid w:val="00606213"/>
    <w:rsid w:val="00606B57"/>
    <w:rsid w:val="00606B85"/>
    <w:rsid w:val="00607390"/>
    <w:rsid w:val="006076D8"/>
    <w:rsid w:val="00607BF1"/>
    <w:rsid w:val="00607E6D"/>
    <w:rsid w:val="0061061D"/>
    <w:rsid w:val="00611816"/>
    <w:rsid w:val="00611A3B"/>
    <w:rsid w:val="006120CA"/>
    <w:rsid w:val="00612389"/>
    <w:rsid w:val="00612570"/>
    <w:rsid w:val="006127BD"/>
    <w:rsid w:val="00612871"/>
    <w:rsid w:val="00612929"/>
    <w:rsid w:val="00612A44"/>
    <w:rsid w:val="00612A8E"/>
    <w:rsid w:val="00613098"/>
    <w:rsid w:val="006134D9"/>
    <w:rsid w:val="00613513"/>
    <w:rsid w:val="006135DA"/>
    <w:rsid w:val="00613BDC"/>
    <w:rsid w:val="00614921"/>
    <w:rsid w:val="00615564"/>
    <w:rsid w:val="006155E2"/>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BC7"/>
    <w:rsid w:val="00623E70"/>
    <w:rsid w:val="006241D0"/>
    <w:rsid w:val="00624425"/>
    <w:rsid w:val="00624665"/>
    <w:rsid w:val="00625434"/>
    <w:rsid w:val="0062576B"/>
    <w:rsid w:val="00625C5F"/>
    <w:rsid w:val="00625FF2"/>
    <w:rsid w:val="00626032"/>
    <w:rsid w:val="00627643"/>
    <w:rsid w:val="00627788"/>
    <w:rsid w:val="006300CD"/>
    <w:rsid w:val="0063017E"/>
    <w:rsid w:val="0063030D"/>
    <w:rsid w:val="00630723"/>
    <w:rsid w:val="00630EAE"/>
    <w:rsid w:val="006312D0"/>
    <w:rsid w:val="00631866"/>
    <w:rsid w:val="006318A4"/>
    <w:rsid w:val="00631A11"/>
    <w:rsid w:val="00631D4F"/>
    <w:rsid w:val="006321B6"/>
    <w:rsid w:val="006327C6"/>
    <w:rsid w:val="00633496"/>
    <w:rsid w:val="006338D2"/>
    <w:rsid w:val="00633F92"/>
    <w:rsid w:val="00634278"/>
    <w:rsid w:val="0063435E"/>
    <w:rsid w:val="00634CB2"/>
    <w:rsid w:val="006357E2"/>
    <w:rsid w:val="00635FD8"/>
    <w:rsid w:val="00636651"/>
    <w:rsid w:val="006368E4"/>
    <w:rsid w:val="00636F7B"/>
    <w:rsid w:val="00640140"/>
    <w:rsid w:val="0064019C"/>
    <w:rsid w:val="00640288"/>
    <w:rsid w:val="006405AC"/>
    <w:rsid w:val="0064099D"/>
    <w:rsid w:val="00640E9A"/>
    <w:rsid w:val="006412CD"/>
    <w:rsid w:val="006413D8"/>
    <w:rsid w:val="00641610"/>
    <w:rsid w:val="00641B7B"/>
    <w:rsid w:val="00641C55"/>
    <w:rsid w:val="00642405"/>
    <w:rsid w:val="0064259A"/>
    <w:rsid w:val="00642645"/>
    <w:rsid w:val="006437E8"/>
    <w:rsid w:val="006438E0"/>
    <w:rsid w:val="00644BED"/>
    <w:rsid w:val="006455CB"/>
    <w:rsid w:val="00646FD5"/>
    <w:rsid w:val="006472F8"/>
    <w:rsid w:val="00647680"/>
    <w:rsid w:val="00647743"/>
    <w:rsid w:val="006510C0"/>
    <w:rsid w:val="00651DC7"/>
    <w:rsid w:val="00652092"/>
    <w:rsid w:val="00652472"/>
    <w:rsid w:val="00652F31"/>
    <w:rsid w:val="006535E5"/>
    <w:rsid w:val="0065394E"/>
    <w:rsid w:val="00653B2B"/>
    <w:rsid w:val="00653B38"/>
    <w:rsid w:val="00654D37"/>
    <w:rsid w:val="00654F06"/>
    <w:rsid w:val="00656385"/>
    <w:rsid w:val="00656F19"/>
    <w:rsid w:val="00657BB7"/>
    <w:rsid w:val="00660299"/>
    <w:rsid w:val="00660552"/>
    <w:rsid w:val="00660DBE"/>
    <w:rsid w:val="00661113"/>
    <w:rsid w:val="0066127D"/>
    <w:rsid w:val="00661AB0"/>
    <w:rsid w:val="006623A4"/>
    <w:rsid w:val="006627B5"/>
    <w:rsid w:val="0066351C"/>
    <w:rsid w:val="006635BF"/>
    <w:rsid w:val="00663CBA"/>
    <w:rsid w:val="00664498"/>
    <w:rsid w:val="00664693"/>
    <w:rsid w:val="00664DC0"/>
    <w:rsid w:val="006651CC"/>
    <w:rsid w:val="0066582B"/>
    <w:rsid w:val="006658DA"/>
    <w:rsid w:val="00665B9B"/>
    <w:rsid w:val="00665CA1"/>
    <w:rsid w:val="00667421"/>
    <w:rsid w:val="0066780E"/>
    <w:rsid w:val="00667A31"/>
    <w:rsid w:val="00670702"/>
    <w:rsid w:val="006708EB"/>
    <w:rsid w:val="0067147C"/>
    <w:rsid w:val="00672895"/>
    <w:rsid w:val="00672A8A"/>
    <w:rsid w:val="00673524"/>
    <w:rsid w:val="00673F50"/>
    <w:rsid w:val="00674EEA"/>
    <w:rsid w:val="0067549D"/>
    <w:rsid w:val="006759B0"/>
    <w:rsid w:val="00675A4B"/>
    <w:rsid w:val="00677012"/>
    <w:rsid w:val="006771EA"/>
    <w:rsid w:val="00680D0E"/>
    <w:rsid w:val="00680F00"/>
    <w:rsid w:val="006825A6"/>
    <w:rsid w:val="006825B4"/>
    <w:rsid w:val="006829BA"/>
    <w:rsid w:val="00682AF2"/>
    <w:rsid w:val="00682C1D"/>
    <w:rsid w:val="00682E8A"/>
    <w:rsid w:val="00682FB7"/>
    <w:rsid w:val="006837DE"/>
    <w:rsid w:val="00683CE0"/>
    <w:rsid w:val="0068537F"/>
    <w:rsid w:val="006856E5"/>
    <w:rsid w:val="00686104"/>
    <w:rsid w:val="00686334"/>
    <w:rsid w:val="00686C3A"/>
    <w:rsid w:val="00686EEB"/>
    <w:rsid w:val="00687628"/>
    <w:rsid w:val="00687CFE"/>
    <w:rsid w:val="00690296"/>
    <w:rsid w:val="0069035A"/>
    <w:rsid w:val="00690EB8"/>
    <w:rsid w:val="0069109D"/>
    <w:rsid w:val="006915E5"/>
    <w:rsid w:val="00692401"/>
    <w:rsid w:val="00693B7A"/>
    <w:rsid w:val="00694119"/>
    <w:rsid w:val="006941CC"/>
    <w:rsid w:val="006942BA"/>
    <w:rsid w:val="006945D4"/>
    <w:rsid w:val="00694EC0"/>
    <w:rsid w:val="00695852"/>
    <w:rsid w:val="00695F56"/>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45F7"/>
    <w:rsid w:val="006A5213"/>
    <w:rsid w:val="006A6003"/>
    <w:rsid w:val="006A6737"/>
    <w:rsid w:val="006B0AE6"/>
    <w:rsid w:val="006B11AB"/>
    <w:rsid w:val="006B1E08"/>
    <w:rsid w:val="006B2099"/>
    <w:rsid w:val="006B26B1"/>
    <w:rsid w:val="006B2E45"/>
    <w:rsid w:val="006B341B"/>
    <w:rsid w:val="006B3875"/>
    <w:rsid w:val="006B425B"/>
    <w:rsid w:val="006B545C"/>
    <w:rsid w:val="006B5AC8"/>
    <w:rsid w:val="006B5D32"/>
    <w:rsid w:val="006B758B"/>
    <w:rsid w:val="006B7BF8"/>
    <w:rsid w:val="006C0E54"/>
    <w:rsid w:val="006C0F11"/>
    <w:rsid w:val="006C23E1"/>
    <w:rsid w:val="006C25D5"/>
    <w:rsid w:val="006C25F9"/>
    <w:rsid w:val="006C262B"/>
    <w:rsid w:val="006C2866"/>
    <w:rsid w:val="006C2ACF"/>
    <w:rsid w:val="006C31C6"/>
    <w:rsid w:val="006C32BE"/>
    <w:rsid w:val="006C3A2D"/>
    <w:rsid w:val="006C4666"/>
    <w:rsid w:val="006C49BF"/>
    <w:rsid w:val="006C5291"/>
    <w:rsid w:val="006C63D7"/>
    <w:rsid w:val="006C6894"/>
    <w:rsid w:val="006C69D9"/>
    <w:rsid w:val="006C7535"/>
    <w:rsid w:val="006C76A6"/>
    <w:rsid w:val="006C796D"/>
    <w:rsid w:val="006D0525"/>
    <w:rsid w:val="006D08DC"/>
    <w:rsid w:val="006D09D1"/>
    <w:rsid w:val="006D21BC"/>
    <w:rsid w:val="006D23FF"/>
    <w:rsid w:val="006D2F09"/>
    <w:rsid w:val="006D2FD2"/>
    <w:rsid w:val="006D33E6"/>
    <w:rsid w:val="006D3783"/>
    <w:rsid w:val="006D3DC0"/>
    <w:rsid w:val="006D40C4"/>
    <w:rsid w:val="006D4162"/>
    <w:rsid w:val="006D453E"/>
    <w:rsid w:val="006D5303"/>
    <w:rsid w:val="006D5E84"/>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E4"/>
    <w:rsid w:val="006E6F30"/>
    <w:rsid w:val="006E6FE9"/>
    <w:rsid w:val="006E7082"/>
    <w:rsid w:val="006E709F"/>
    <w:rsid w:val="006E7F73"/>
    <w:rsid w:val="006F030F"/>
    <w:rsid w:val="006F193C"/>
    <w:rsid w:val="006F1B58"/>
    <w:rsid w:val="006F27DC"/>
    <w:rsid w:val="006F2B89"/>
    <w:rsid w:val="006F36F1"/>
    <w:rsid w:val="006F3B81"/>
    <w:rsid w:val="006F4860"/>
    <w:rsid w:val="006F4D59"/>
    <w:rsid w:val="006F4F79"/>
    <w:rsid w:val="006F4F80"/>
    <w:rsid w:val="006F5532"/>
    <w:rsid w:val="006F5ADA"/>
    <w:rsid w:val="006F62CC"/>
    <w:rsid w:val="006F644B"/>
    <w:rsid w:val="006F66C1"/>
    <w:rsid w:val="006F681D"/>
    <w:rsid w:val="006F731E"/>
    <w:rsid w:val="006F78E9"/>
    <w:rsid w:val="0070235F"/>
    <w:rsid w:val="00702BC3"/>
    <w:rsid w:val="00702FF3"/>
    <w:rsid w:val="007032AC"/>
    <w:rsid w:val="00703496"/>
    <w:rsid w:val="007036FE"/>
    <w:rsid w:val="00703AB1"/>
    <w:rsid w:val="00704614"/>
    <w:rsid w:val="00704C5F"/>
    <w:rsid w:val="00704D55"/>
    <w:rsid w:val="00704DEB"/>
    <w:rsid w:val="00705623"/>
    <w:rsid w:val="00705B37"/>
    <w:rsid w:val="0070658A"/>
    <w:rsid w:val="00706B65"/>
    <w:rsid w:val="007071AF"/>
    <w:rsid w:val="00707C1A"/>
    <w:rsid w:val="00710023"/>
    <w:rsid w:val="00710207"/>
    <w:rsid w:val="0071023D"/>
    <w:rsid w:val="007103CD"/>
    <w:rsid w:val="007104CB"/>
    <w:rsid w:val="00710530"/>
    <w:rsid w:val="007107BD"/>
    <w:rsid w:val="00711E77"/>
    <w:rsid w:val="00712230"/>
    <w:rsid w:val="00712912"/>
    <w:rsid w:val="00713AAC"/>
    <w:rsid w:val="007141DC"/>
    <w:rsid w:val="007148FB"/>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5BB8"/>
    <w:rsid w:val="0072630D"/>
    <w:rsid w:val="00726A2A"/>
    <w:rsid w:val="007271E9"/>
    <w:rsid w:val="007273BC"/>
    <w:rsid w:val="007275D7"/>
    <w:rsid w:val="007275FD"/>
    <w:rsid w:val="007276E5"/>
    <w:rsid w:val="00727EB2"/>
    <w:rsid w:val="00730943"/>
    <w:rsid w:val="00731492"/>
    <w:rsid w:val="00731D5E"/>
    <w:rsid w:val="00732492"/>
    <w:rsid w:val="00733E5A"/>
    <w:rsid w:val="00733F25"/>
    <w:rsid w:val="00736395"/>
    <w:rsid w:val="00736459"/>
    <w:rsid w:val="0073685F"/>
    <w:rsid w:val="00737821"/>
    <w:rsid w:val="0074058F"/>
    <w:rsid w:val="00740E86"/>
    <w:rsid w:val="00741175"/>
    <w:rsid w:val="007419FB"/>
    <w:rsid w:val="0074212E"/>
    <w:rsid w:val="00742606"/>
    <w:rsid w:val="007441FF"/>
    <w:rsid w:val="007448A7"/>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2AE5"/>
    <w:rsid w:val="007531CA"/>
    <w:rsid w:val="00754054"/>
    <w:rsid w:val="00754252"/>
    <w:rsid w:val="00756954"/>
    <w:rsid w:val="007577B1"/>
    <w:rsid w:val="00757CB3"/>
    <w:rsid w:val="00757D87"/>
    <w:rsid w:val="00757E79"/>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D18"/>
    <w:rsid w:val="0076640B"/>
    <w:rsid w:val="007673DE"/>
    <w:rsid w:val="0077029D"/>
    <w:rsid w:val="00770C54"/>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08D"/>
    <w:rsid w:val="00786448"/>
    <w:rsid w:val="007875D7"/>
    <w:rsid w:val="007906B2"/>
    <w:rsid w:val="0079134E"/>
    <w:rsid w:val="007925F0"/>
    <w:rsid w:val="0079278E"/>
    <w:rsid w:val="00792DCA"/>
    <w:rsid w:val="00792E3C"/>
    <w:rsid w:val="00793040"/>
    <w:rsid w:val="007930C1"/>
    <w:rsid w:val="0079315D"/>
    <w:rsid w:val="007938B2"/>
    <w:rsid w:val="00793B45"/>
    <w:rsid w:val="0079477A"/>
    <w:rsid w:val="007956CD"/>
    <w:rsid w:val="00795706"/>
    <w:rsid w:val="007960E3"/>
    <w:rsid w:val="00796545"/>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D7"/>
    <w:rsid w:val="007B18C6"/>
    <w:rsid w:val="007B20C2"/>
    <w:rsid w:val="007B25D5"/>
    <w:rsid w:val="007B27E4"/>
    <w:rsid w:val="007B2910"/>
    <w:rsid w:val="007B301D"/>
    <w:rsid w:val="007B3264"/>
    <w:rsid w:val="007B35F6"/>
    <w:rsid w:val="007B3F87"/>
    <w:rsid w:val="007B404F"/>
    <w:rsid w:val="007B44A6"/>
    <w:rsid w:val="007B494E"/>
    <w:rsid w:val="007B4C5E"/>
    <w:rsid w:val="007B6314"/>
    <w:rsid w:val="007B7462"/>
    <w:rsid w:val="007B7B52"/>
    <w:rsid w:val="007C02A3"/>
    <w:rsid w:val="007C0C55"/>
    <w:rsid w:val="007C1507"/>
    <w:rsid w:val="007C2F60"/>
    <w:rsid w:val="007C3639"/>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1BC9"/>
    <w:rsid w:val="007D267F"/>
    <w:rsid w:val="007D3341"/>
    <w:rsid w:val="007D3A3E"/>
    <w:rsid w:val="007D400A"/>
    <w:rsid w:val="007D4B0E"/>
    <w:rsid w:val="007D4DD2"/>
    <w:rsid w:val="007D5D0F"/>
    <w:rsid w:val="007D6EA8"/>
    <w:rsid w:val="007D7B3C"/>
    <w:rsid w:val="007E042B"/>
    <w:rsid w:val="007E05DB"/>
    <w:rsid w:val="007E1247"/>
    <w:rsid w:val="007E1A44"/>
    <w:rsid w:val="007E2419"/>
    <w:rsid w:val="007E2ECD"/>
    <w:rsid w:val="007E3FF5"/>
    <w:rsid w:val="007E4219"/>
    <w:rsid w:val="007E4292"/>
    <w:rsid w:val="007E4D7C"/>
    <w:rsid w:val="007E577E"/>
    <w:rsid w:val="007E635E"/>
    <w:rsid w:val="007E6A9C"/>
    <w:rsid w:val="007E6C0C"/>
    <w:rsid w:val="007E7300"/>
    <w:rsid w:val="007E767B"/>
    <w:rsid w:val="007E7B54"/>
    <w:rsid w:val="007F0376"/>
    <w:rsid w:val="007F038C"/>
    <w:rsid w:val="007F0428"/>
    <w:rsid w:val="007F0F24"/>
    <w:rsid w:val="007F137C"/>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5390"/>
    <w:rsid w:val="0080662C"/>
    <w:rsid w:val="008070B2"/>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724D"/>
    <w:rsid w:val="0081788A"/>
    <w:rsid w:val="00817927"/>
    <w:rsid w:val="00817CFC"/>
    <w:rsid w:val="00817E82"/>
    <w:rsid w:val="00820A3F"/>
    <w:rsid w:val="00821D81"/>
    <w:rsid w:val="00822A52"/>
    <w:rsid w:val="00823654"/>
    <w:rsid w:val="0082374A"/>
    <w:rsid w:val="008237F3"/>
    <w:rsid w:val="00823A0A"/>
    <w:rsid w:val="00823A36"/>
    <w:rsid w:val="00823A90"/>
    <w:rsid w:val="00825C68"/>
    <w:rsid w:val="0082757E"/>
    <w:rsid w:val="0082769C"/>
    <w:rsid w:val="00827B6C"/>
    <w:rsid w:val="00827D77"/>
    <w:rsid w:val="00830259"/>
    <w:rsid w:val="00830561"/>
    <w:rsid w:val="00831115"/>
    <w:rsid w:val="0083249C"/>
    <w:rsid w:val="00832D42"/>
    <w:rsid w:val="008333A9"/>
    <w:rsid w:val="00833419"/>
    <w:rsid w:val="00833AD8"/>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9CF"/>
    <w:rsid w:val="0084324C"/>
    <w:rsid w:val="00843910"/>
    <w:rsid w:val="00843B9B"/>
    <w:rsid w:val="008451F8"/>
    <w:rsid w:val="008457D2"/>
    <w:rsid w:val="00846212"/>
    <w:rsid w:val="008468E0"/>
    <w:rsid w:val="00846ABA"/>
    <w:rsid w:val="0084767E"/>
    <w:rsid w:val="0084790F"/>
    <w:rsid w:val="00847BE7"/>
    <w:rsid w:val="00850EAB"/>
    <w:rsid w:val="00851C80"/>
    <w:rsid w:val="00851D70"/>
    <w:rsid w:val="008529B3"/>
    <w:rsid w:val="00852ADD"/>
    <w:rsid w:val="00853883"/>
    <w:rsid w:val="00853EB9"/>
    <w:rsid w:val="00854CF7"/>
    <w:rsid w:val="00854DA7"/>
    <w:rsid w:val="008557A0"/>
    <w:rsid w:val="00856607"/>
    <w:rsid w:val="008604A8"/>
    <w:rsid w:val="00860ADD"/>
    <w:rsid w:val="008616A2"/>
    <w:rsid w:val="00861C6C"/>
    <w:rsid w:val="008636AC"/>
    <w:rsid w:val="00863862"/>
    <w:rsid w:val="00863AAD"/>
    <w:rsid w:val="00864644"/>
    <w:rsid w:val="008658DE"/>
    <w:rsid w:val="00865BD7"/>
    <w:rsid w:val="00866296"/>
    <w:rsid w:val="0086655A"/>
    <w:rsid w:val="008665C7"/>
    <w:rsid w:val="00866DC1"/>
    <w:rsid w:val="008707A3"/>
    <w:rsid w:val="00870A36"/>
    <w:rsid w:val="008711AE"/>
    <w:rsid w:val="0087143E"/>
    <w:rsid w:val="00871A36"/>
    <w:rsid w:val="00872F21"/>
    <w:rsid w:val="00873736"/>
    <w:rsid w:val="0087378E"/>
    <w:rsid w:val="008737DF"/>
    <w:rsid w:val="008755E7"/>
    <w:rsid w:val="00875A46"/>
    <w:rsid w:val="00875E16"/>
    <w:rsid w:val="00876DE6"/>
    <w:rsid w:val="0087782C"/>
    <w:rsid w:val="00877D03"/>
    <w:rsid w:val="00877E96"/>
    <w:rsid w:val="0088023D"/>
    <w:rsid w:val="008803CE"/>
    <w:rsid w:val="00882077"/>
    <w:rsid w:val="008820D9"/>
    <w:rsid w:val="00883613"/>
    <w:rsid w:val="0088557F"/>
    <w:rsid w:val="00886393"/>
    <w:rsid w:val="00886579"/>
    <w:rsid w:val="00886F19"/>
    <w:rsid w:val="00887865"/>
    <w:rsid w:val="00887B37"/>
    <w:rsid w:val="00887D0F"/>
    <w:rsid w:val="00890598"/>
    <w:rsid w:val="0089065A"/>
    <w:rsid w:val="00890DEB"/>
    <w:rsid w:val="0089177A"/>
    <w:rsid w:val="00891D7A"/>
    <w:rsid w:val="00891DFC"/>
    <w:rsid w:val="00892B98"/>
    <w:rsid w:val="008945D2"/>
    <w:rsid w:val="008949A3"/>
    <w:rsid w:val="008959FC"/>
    <w:rsid w:val="0089605E"/>
    <w:rsid w:val="00896668"/>
    <w:rsid w:val="00896E9A"/>
    <w:rsid w:val="008A0CCC"/>
    <w:rsid w:val="008A1D0E"/>
    <w:rsid w:val="008A25EA"/>
    <w:rsid w:val="008A276E"/>
    <w:rsid w:val="008A31C7"/>
    <w:rsid w:val="008A3215"/>
    <w:rsid w:val="008A3630"/>
    <w:rsid w:val="008A3E8B"/>
    <w:rsid w:val="008A47BE"/>
    <w:rsid w:val="008A4AEC"/>
    <w:rsid w:val="008A5609"/>
    <w:rsid w:val="008A5697"/>
    <w:rsid w:val="008A5852"/>
    <w:rsid w:val="008A6DD5"/>
    <w:rsid w:val="008A6DF0"/>
    <w:rsid w:val="008A6FA0"/>
    <w:rsid w:val="008B0188"/>
    <w:rsid w:val="008B0385"/>
    <w:rsid w:val="008B05E6"/>
    <w:rsid w:val="008B105C"/>
    <w:rsid w:val="008B15CE"/>
    <w:rsid w:val="008B1C8F"/>
    <w:rsid w:val="008B21F8"/>
    <w:rsid w:val="008B2570"/>
    <w:rsid w:val="008B2B19"/>
    <w:rsid w:val="008B2F40"/>
    <w:rsid w:val="008B2FCD"/>
    <w:rsid w:val="008B3627"/>
    <w:rsid w:val="008B3EAD"/>
    <w:rsid w:val="008B49B6"/>
    <w:rsid w:val="008B56A0"/>
    <w:rsid w:val="008B5AA1"/>
    <w:rsid w:val="008B5E61"/>
    <w:rsid w:val="008B64CE"/>
    <w:rsid w:val="008B68B4"/>
    <w:rsid w:val="008B756F"/>
    <w:rsid w:val="008B7914"/>
    <w:rsid w:val="008C0D0C"/>
    <w:rsid w:val="008C127A"/>
    <w:rsid w:val="008C18BD"/>
    <w:rsid w:val="008C1932"/>
    <w:rsid w:val="008C1CC8"/>
    <w:rsid w:val="008C2C7F"/>
    <w:rsid w:val="008C2F0D"/>
    <w:rsid w:val="008C364D"/>
    <w:rsid w:val="008C500C"/>
    <w:rsid w:val="008C5D2A"/>
    <w:rsid w:val="008C6754"/>
    <w:rsid w:val="008C6C16"/>
    <w:rsid w:val="008C74FB"/>
    <w:rsid w:val="008C7AF4"/>
    <w:rsid w:val="008C7DA4"/>
    <w:rsid w:val="008C7F6E"/>
    <w:rsid w:val="008C7FAE"/>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92"/>
    <w:rsid w:val="008D4DB6"/>
    <w:rsid w:val="008D5143"/>
    <w:rsid w:val="008D534E"/>
    <w:rsid w:val="008D619B"/>
    <w:rsid w:val="008D6E81"/>
    <w:rsid w:val="008D7739"/>
    <w:rsid w:val="008D7A64"/>
    <w:rsid w:val="008D7A92"/>
    <w:rsid w:val="008E0302"/>
    <w:rsid w:val="008E03F3"/>
    <w:rsid w:val="008E1267"/>
    <w:rsid w:val="008E19FD"/>
    <w:rsid w:val="008E22F8"/>
    <w:rsid w:val="008E25EC"/>
    <w:rsid w:val="008E39D8"/>
    <w:rsid w:val="008E5313"/>
    <w:rsid w:val="008E5D73"/>
    <w:rsid w:val="008E606F"/>
    <w:rsid w:val="008E6AD9"/>
    <w:rsid w:val="008E7678"/>
    <w:rsid w:val="008F022A"/>
    <w:rsid w:val="008F06FD"/>
    <w:rsid w:val="008F1172"/>
    <w:rsid w:val="008F27E3"/>
    <w:rsid w:val="008F3485"/>
    <w:rsid w:val="008F3AC3"/>
    <w:rsid w:val="008F42C1"/>
    <w:rsid w:val="008F5047"/>
    <w:rsid w:val="008F51FF"/>
    <w:rsid w:val="008F52FC"/>
    <w:rsid w:val="008F5DEF"/>
    <w:rsid w:val="008F61F2"/>
    <w:rsid w:val="008F636D"/>
    <w:rsid w:val="008F7C0A"/>
    <w:rsid w:val="00900A40"/>
    <w:rsid w:val="00901140"/>
    <w:rsid w:val="00901DBB"/>
    <w:rsid w:val="009026CB"/>
    <w:rsid w:val="00902876"/>
    <w:rsid w:val="009030FF"/>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07C53"/>
    <w:rsid w:val="009130CC"/>
    <w:rsid w:val="009133EC"/>
    <w:rsid w:val="00913AF7"/>
    <w:rsid w:val="00913B37"/>
    <w:rsid w:val="00914683"/>
    <w:rsid w:val="00914861"/>
    <w:rsid w:val="009148D8"/>
    <w:rsid w:val="00914B5F"/>
    <w:rsid w:val="00914E71"/>
    <w:rsid w:val="0091504C"/>
    <w:rsid w:val="0091573F"/>
    <w:rsid w:val="00915897"/>
    <w:rsid w:val="00915B44"/>
    <w:rsid w:val="00915CD5"/>
    <w:rsid w:val="00916093"/>
    <w:rsid w:val="009160E3"/>
    <w:rsid w:val="0091639C"/>
    <w:rsid w:val="00916E99"/>
    <w:rsid w:val="00917655"/>
    <w:rsid w:val="0092002E"/>
    <w:rsid w:val="0092050A"/>
    <w:rsid w:val="00920EC6"/>
    <w:rsid w:val="0092101E"/>
    <w:rsid w:val="00923241"/>
    <w:rsid w:val="0092383B"/>
    <w:rsid w:val="00923DCE"/>
    <w:rsid w:val="00924119"/>
    <w:rsid w:val="00925120"/>
    <w:rsid w:val="009255FA"/>
    <w:rsid w:val="009262E4"/>
    <w:rsid w:val="009266D2"/>
    <w:rsid w:val="00927D4E"/>
    <w:rsid w:val="00927F89"/>
    <w:rsid w:val="00930AC2"/>
    <w:rsid w:val="00930D2A"/>
    <w:rsid w:val="00930E59"/>
    <w:rsid w:val="00930EEA"/>
    <w:rsid w:val="009312BF"/>
    <w:rsid w:val="00931680"/>
    <w:rsid w:val="00931B84"/>
    <w:rsid w:val="009322B2"/>
    <w:rsid w:val="009328DA"/>
    <w:rsid w:val="00932E7E"/>
    <w:rsid w:val="0093442D"/>
    <w:rsid w:val="00934CD2"/>
    <w:rsid w:val="00935A35"/>
    <w:rsid w:val="009375E5"/>
    <w:rsid w:val="0093785F"/>
    <w:rsid w:val="00937BC5"/>
    <w:rsid w:val="00937D30"/>
    <w:rsid w:val="00941848"/>
    <w:rsid w:val="009428EF"/>
    <w:rsid w:val="0094337A"/>
    <w:rsid w:val="009437F2"/>
    <w:rsid w:val="0094429E"/>
    <w:rsid w:val="009442E8"/>
    <w:rsid w:val="0094464F"/>
    <w:rsid w:val="00944BA7"/>
    <w:rsid w:val="00945E0A"/>
    <w:rsid w:val="0094636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2AF"/>
    <w:rsid w:val="0095654A"/>
    <w:rsid w:val="00956BF5"/>
    <w:rsid w:val="009570CF"/>
    <w:rsid w:val="009571C2"/>
    <w:rsid w:val="009575C3"/>
    <w:rsid w:val="0095770C"/>
    <w:rsid w:val="009579AF"/>
    <w:rsid w:val="00957CC8"/>
    <w:rsid w:val="00957EE7"/>
    <w:rsid w:val="0096086A"/>
    <w:rsid w:val="00960F98"/>
    <w:rsid w:val="00961453"/>
    <w:rsid w:val="009616D4"/>
    <w:rsid w:val="0096182D"/>
    <w:rsid w:val="00962150"/>
    <w:rsid w:val="00962CA9"/>
    <w:rsid w:val="00962CCD"/>
    <w:rsid w:val="00963DB1"/>
    <w:rsid w:val="00964166"/>
    <w:rsid w:val="009645AD"/>
    <w:rsid w:val="0096475C"/>
    <w:rsid w:val="0096546E"/>
    <w:rsid w:val="0096562A"/>
    <w:rsid w:val="00965865"/>
    <w:rsid w:val="00966096"/>
    <w:rsid w:val="00966A13"/>
    <w:rsid w:val="00966BAF"/>
    <w:rsid w:val="00967473"/>
    <w:rsid w:val="00967730"/>
    <w:rsid w:val="00970D56"/>
    <w:rsid w:val="00970E50"/>
    <w:rsid w:val="00971074"/>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E09"/>
    <w:rsid w:val="009829AA"/>
    <w:rsid w:val="00983094"/>
    <w:rsid w:val="00983599"/>
    <w:rsid w:val="009843DE"/>
    <w:rsid w:val="00985432"/>
    <w:rsid w:val="0098544F"/>
    <w:rsid w:val="00985B04"/>
    <w:rsid w:val="0098661B"/>
    <w:rsid w:val="00986A6D"/>
    <w:rsid w:val="00986BEF"/>
    <w:rsid w:val="0098703E"/>
    <w:rsid w:val="00987298"/>
    <w:rsid w:val="00987B34"/>
    <w:rsid w:val="00990282"/>
    <w:rsid w:val="00990769"/>
    <w:rsid w:val="00991DF8"/>
    <w:rsid w:val="00992499"/>
    <w:rsid w:val="00992986"/>
    <w:rsid w:val="009936E2"/>
    <w:rsid w:val="00994B55"/>
    <w:rsid w:val="00995D86"/>
    <w:rsid w:val="00995FB2"/>
    <w:rsid w:val="00996E62"/>
    <w:rsid w:val="0099781E"/>
    <w:rsid w:val="00997A68"/>
    <w:rsid w:val="009A0071"/>
    <w:rsid w:val="009A00EA"/>
    <w:rsid w:val="009A0587"/>
    <w:rsid w:val="009A0DA2"/>
    <w:rsid w:val="009A1F6B"/>
    <w:rsid w:val="009A2534"/>
    <w:rsid w:val="009A2616"/>
    <w:rsid w:val="009A2C4C"/>
    <w:rsid w:val="009A2DD8"/>
    <w:rsid w:val="009A30DE"/>
    <w:rsid w:val="009A3D29"/>
    <w:rsid w:val="009A509F"/>
    <w:rsid w:val="009A5453"/>
    <w:rsid w:val="009A6A7B"/>
    <w:rsid w:val="009A7532"/>
    <w:rsid w:val="009A7883"/>
    <w:rsid w:val="009B04B7"/>
    <w:rsid w:val="009B0596"/>
    <w:rsid w:val="009B1D50"/>
    <w:rsid w:val="009B237F"/>
    <w:rsid w:val="009B2760"/>
    <w:rsid w:val="009B308D"/>
    <w:rsid w:val="009B31D6"/>
    <w:rsid w:val="009B38D5"/>
    <w:rsid w:val="009B3B62"/>
    <w:rsid w:val="009B3C8D"/>
    <w:rsid w:val="009B3DE3"/>
    <w:rsid w:val="009B4FFB"/>
    <w:rsid w:val="009B519C"/>
    <w:rsid w:val="009B53C7"/>
    <w:rsid w:val="009B7489"/>
    <w:rsid w:val="009B7987"/>
    <w:rsid w:val="009B7B0A"/>
    <w:rsid w:val="009C07C9"/>
    <w:rsid w:val="009C08D7"/>
    <w:rsid w:val="009C0DC5"/>
    <w:rsid w:val="009C1866"/>
    <w:rsid w:val="009C1FDE"/>
    <w:rsid w:val="009C23FE"/>
    <w:rsid w:val="009C24C8"/>
    <w:rsid w:val="009C375C"/>
    <w:rsid w:val="009C3C36"/>
    <w:rsid w:val="009C4E0D"/>
    <w:rsid w:val="009C4F1B"/>
    <w:rsid w:val="009C503B"/>
    <w:rsid w:val="009C5793"/>
    <w:rsid w:val="009C5816"/>
    <w:rsid w:val="009C61EA"/>
    <w:rsid w:val="009C63EC"/>
    <w:rsid w:val="009C7DAC"/>
    <w:rsid w:val="009D077D"/>
    <w:rsid w:val="009D08A6"/>
    <w:rsid w:val="009D184B"/>
    <w:rsid w:val="009D1915"/>
    <w:rsid w:val="009D1B69"/>
    <w:rsid w:val="009D1EB3"/>
    <w:rsid w:val="009D25DE"/>
    <w:rsid w:val="009D2ABF"/>
    <w:rsid w:val="009D3AD2"/>
    <w:rsid w:val="009D3E06"/>
    <w:rsid w:val="009D5843"/>
    <w:rsid w:val="009D638D"/>
    <w:rsid w:val="009D6393"/>
    <w:rsid w:val="009D6B6C"/>
    <w:rsid w:val="009E0885"/>
    <w:rsid w:val="009E1CC8"/>
    <w:rsid w:val="009E2827"/>
    <w:rsid w:val="009E2863"/>
    <w:rsid w:val="009E30D2"/>
    <w:rsid w:val="009E4885"/>
    <w:rsid w:val="009E508B"/>
    <w:rsid w:val="009E5EDF"/>
    <w:rsid w:val="009E5FBE"/>
    <w:rsid w:val="009E6A00"/>
    <w:rsid w:val="009F0086"/>
    <w:rsid w:val="009F03AB"/>
    <w:rsid w:val="009F0619"/>
    <w:rsid w:val="009F068A"/>
    <w:rsid w:val="009F08C5"/>
    <w:rsid w:val="009F0A85"/>
    <w:rsid w:val="009F1260"/>
    <w:rsid w:val="009F15CA"/>
    <w:rsid w:val="009F1B71"/>
    <w:rsid w:val="009F220A"/>
    <w:rsid w:val="009F2B60"/>
    <w:rsid w:val="009F36D6"/>
    <w:rsid w:val="009F6575"/>
    <w:rsid w:val="009F7ADC"/>
    <w:rsid w:val="00A0002A"/>
    <w:rsid w:val="00A01629"/>
    <w:rsid w:val="00A018F3"/>
    <w:rsid w:val="00A01F3A"/>
    <w:rsid w:val="00A0236D"/>
    <w:rsid w:val="00A02985"/>
    <w:rsid w:val="00A02B2B"/>
    <w:rsid w:val="00A02FA8"/>
    <w:rsid w:val="00A03F1A"/>
    <w:rsid w:val="00A03F74"/>
    <w:rsid w:val="00A03F88"/>
    <w:rsid w:val="00A046BF"/>
    <w:rsid w:val="00A05A37"/>
    <w:rsid w:val="00A05B25"/>
    <w:rsid w:val="00A05C04"/>
    <w:rsid w:val="00A05EC0"/>
    <w:rsid w:val="00A06254"/>
    <w:rsid w:val="00A06842"/>
    <w:rsid w:val="00A07459"/>
    <w:rsid w:val="00A07D78"/>
    <w:rsid w:val="00A07DB6"/>
    <w:rsid w:val="00A10573"/>
    <w:rsid w:val="00A10972"/>
    <w:rsid w:val="00A11406"/>
    <w:rsid w:val="00A13205"/>
    <w:rsid w:val="00A132A1"/>
    <w:rsid w:val="00A13422"/>
    <w:rsid w:val="00A148F0"/>
    <w:rsid w:val="00A15132"/>
    <w:rsid w:val="00A15343"/>
    <w:rsid w:val="00A1554D"/>
    <w:rsid w:val="00A15792"/>
    <w:rsid w:val="00A158E3"/>
    <w:rsid w:val="00A1591A"/>
    <w:rsid w:val="00A172E0"/>
    <w:rsid w:val="00A17527"/>
    <w:rsid w:val="00A17862"/>
    <w:rsid w:val="00A202F5"/>
    <w:rsid w:val="00A211C5"/>
    <w:rsid w:val="00A21F44"/>
    <w:rsid w:val="00A221A3"/>
    <w:rsid w:val="00A223D5"/>
    <w:rsid w:val="00A235E4"/>
    <w:rsid w:val="00A23F41"/>
    <w:rsid w:val="00A25547"/>
    <w:rsid w:val="00A25F6A"/>
    <w:rsid w:val="00A25F76"/>
    <w:rsid w:val="00A3003E"/>
    <w:rsid w:val="00A3111D"/>
    <w:rsid w:val="00A31E14"/>
    <w:rsid w:val="00A3325E"/>
    <w:rsid w:val="00A34276"/>
    <w:rsid w:val="00A34524"/>
    <w:rsid w:val="00A345B6"/>
    <w:rsid w:val="00A3502D"/>
    <w:rsid w:val="00A357A4"/>
    <w:rsid w:val="00A35AF5"/>
    <w:rsid w:val="00A35CDF"/>
    <w:rsid w:val="00A36453"/>
    <w:rsid w:val="00A37970"/>
    <w:rsid w:val="00A37A68"/>
    <w:rsid w:val="00A37B0C"/>
    <w:rsid w:val="00A37CE6"/>
    <w:rsid w:val="00A37D1C"/>
    <w:rsid w:val="00A37FFE"/>
    <w:rsid w:val="00A404BE"/>
    <w:rsid w:val="00A40ECF"/>
    <w:rsid w:val="00A411C9"/>
    <w:rsid w:val="00A41FEF"/>
    <w:rsid w:val="00A42476"/>
    <w:rsid w:val="00A433CA"/>
    <w:rsid w:val="00A43A1A"/>
    <w:rsid w:val="00A43D48"/>
    <w:rsid w:val="00A43F3C"/>
    <w:rsid w:val="00A447A5"/>
    <w:rsid w:val="00A44FEF"/>
    <w:rsid w:val="00A4521D"/>
    <w:rsid w:val="00A45B83"/>
    <w:rsid w:val="00A4646E"/>
    <w:rsid w:val="00A468FD"/>
    <w:rsid w:val="00A46921"/>
    <w:rsid w:val="00A47249"/>
    <w:rsid w:val="00A47E3B"/>
    <w:rsid w:val="00A501C7"/>
    <w:rsid w:val="00A5058A"/>
    <w:rsid w:val="00A50905"/>
    <w:rsid w:val="00A513FD"/>
    <w:rsid w:val="00A517D0"/>
    <w:rsid w:val="00A51F3D"/>
    <w:rsid w:val="00A5254B"/>
    <w:rsid w:val="00A52BC1"/>
    <w:rsid w:val="00A52D47"/>
    <w:rsid w:val="00A5347F"/>
    <w:rsid w:val="00A534A0"/>
    <w:rsid w:val="00A537EA"/>
    <w:rsid w:val="00A539AD"/>
    <w:rsid w:val="00A53E3E"/>
    <w:rsid w:val="00A540B2"/>
    <w:rsid w:val="00A5414D"/>
    <w:rsid w:val="00A54A3E"/>
    <w:rsid w:val="00A556B7"/>
    <w:rsid w:val="00A564A6"/>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98D"/>
    <w:rsid w:val="00A65A0D"/>
    <w:rsid w:val="00A65C27"/>
    <w:rsid w:val="00A65F3C"/>
    <w:rsid w:val="00A661FD"/>
    <w:rsid w:val="00A66DFF"/>
    <w:rsid w:val="00A66FB3"/>
    <w:rsid w:val="00A67D73"/>
    <w:rsid w:val="00A67DF5"/>
    <w:rsid w:val="00A709A3"/>
    <w:rsid w:val="00A71216"/>
    <w:rsid w:val="00A71483"/>
    <w:rsid w:val="00A714A3"/>
    <w:rsid w:val="00A71B8B"/>
    <w:rsid w:val="00A74456"/>
    <w:rsid w:val="00A75089"/>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902AD"/>
    <w:rsid w:val="00A90302"/>
    <w:rsid w:val="00A9099E"/>
    <w:rsid w:val="00A91FB7"/>
    <w:rsid w:val="00A921CE"/>
    <w:rsid w:val="00A92967"/>
    <w:rsid w:val="00A9298F"/>
    <w:rsid w:val="00A92F58"/>
    <w:rsid w:val="00A9301E"/>
    <w:rsid w:val="00A93E3A"/>
    <w:rsid w:val="00A95186"/>
    <w:rsid w:val="00A951AD"/>
    <w:rsid w:val="00A9561B"/>
    <w:rsid w:val="00A961BD"/>
    <w:rsid w:val="00A9652F"/>
    <w:rsid w:val="00A973B1"/>
    <w:rsid w:val="00A974D9"/>
    <w:rsid w:val="00AA027E"/>
    <w:rsid w:val="00AA1224"/>
    <w:rsid w:val="00AA14F2"/>
    <w:rsid w:val="00AA180B"/>
    <w:rsid w:val="00AA1D43"/>
    <w:rsid w:val="00AA2358"/>
    <w:rsid w:val="00AA2469"/>
    <w:rsid w:val="00AA27D8"/>
    <w:rsid w:val="00AA2CD7"/>
    <w:rsid w:val="00AA2FA4"/>
    <w:rsid w:val="00AA3301"/>
    <w:rsid w:val="00AA3360"/>
    <w:rsid w:val="00AA386B"/>
    <w:rsid w:val="00AA4C2E"/>
    <w:rsid w:val="00AA6384"/>
    <w:rsid w:val="00AA6B93"/>
    <w:rsid w:val="00AA7A06"/>
    <w:rsid w:val="00AA7A7F"/>
    <w:rsid w:val="00AA7F56"/>
    <w:rsid w:val="00AB147A"/>
    <w:rsid w:val="00AB1984"/>
    <w:rsid w:val="00AB1CBB"/>
    <w:rsid w:val="00AB215B"/>
    <w:rsid w:val="00AB266D"/>
    <w:rsid w:val="00AB2E7D"/>
    <w:rsid w:val="00AB3146"/>
    <w:rsid w:val="00AB333E"/>
    <w:rsid w:val="00AB37DB"/>
    <w:rsid w:val="00AB3ECC"/>
    <w:rsid w:val="00AB54B5"/>
    <w:rsid w:val="00AB5A73"/>
    <w:rsid w:val="00AB5F48"/>
    <w:rsid w:val="00AB7156"/>
    <w:rsid w:val="00AB716D"/>
    <w:rsid w:val="00AB72BB"/>
    <w:rsid w:val="00AB7472"/>
    <w:rsid w:val="00AB7BF3"/>
    <w:rsid w:val="00AC09D5"/>
    <w:rsid w:val="00AC0D8E"/>
    <w:rsid w:val="00AC175B"/>
    <w:rsid w:val="00AC1AA3"/>
    <w:rsid w:val="00AC1F8E"/>
    <w:rsid w:val="00AC2059"/>
    <w:rsid w:val="00AC22C1"/>
    <w:rsid w:val="00AC33A2"/>
    <w:rsid w:val="00AC374B"/>
    <w:rsid w:val="00AC3798"/>
    <w:rsid w:val="00AC3ED5"/>
    <w:rsid w:val="00AC4CB3"/>
    <w:rsid w:val="00AC4D7C"/>
    <w:rsid w:val="00AC53B0"/>
    <w:rsid w:val="00AC6EF2"/>
    <w:rsid w:val="00AC71A6"/>
    <w:rsid w:val="00AC742F"/>
    <w:rsid w:val="00AC7664"/>
    <w:rsid w:val="00AC774F"/>
    <w:rsid w:val="00AC780D"/>
    <w:rsid w:val="00AC787B"/>
    <w:rsid w:val="00AC78A0"/>
    <w:rsid w:val="00AC7956"/>
    <w:rsid w:val="00AC7E18"/>
    <w:rsid w:val="00AD1B79"/>
    <w:rsid w:val="00AD3208"/>
    <w:rsid w:val="00AD3C00"/>
    <w:rsid w:val="00AD4F6A"/>
    <w:rsid w:val="00AD50F8"/>
    <w:rsid w:val="00AD719F"/>
    <w:rsid w:val="00AD7447"/>
    <w:rsid w:val="00AD752A"/>
    <w:rsid w:val="00AD755F"/>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D8F"/>
    <w:rsid w:val="00AE6431"/>
    <w:rsid w:val="00AE65D3"/>
    <w:rsid w:val="00AE67D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5C45"/>
    <w:rsid w:val="00AF62A7"/>
    <w:rsid w:val="00AF6AC5"/>
    <w:rsid w:val="00AF7809"/>
    <w:rsid w:val="00AF7857"/>
    <w:rsid w:val="00AF7CA7"/>
    <w:rsid w:val="00AF7F7B"/>
    <w:rsid w:val="00B003CA"/>
    <w:rsid w:val="00B00BDE"/>
    <w:rsid w:val="00B0104B"/>
    <w:rsid w:val="00B021E0"/>
    <w:rsid w:val="00B03A30"/>
    <w:rsid w:val="00B03A35"/>
    <w:rsid w:val="00B0430C"/>
    <w:rsid w:val="00B04F99"/>
    <w:rsid w:val="00B0554C"/>
    <w:rsid w:val="00B057B6"/>
    <w:rsid w:val="00B05A7C"/>
    <w:rsid w:val="00B06361"/>
    <w:rsid w:val="00B0651D"/>
    <w:rsid w:val="00B06955"/>
    <w:rsid w:val="00B07BEA"/>
    <w:rsid w:val="00B07F41"/>
    <w:rsid w:val="00B102F9"/>
    <w:rsid w:val="00B11C80"/>
    <w:rsid w:val="00B11F33"/>
    <w:rsid w:val="00B12152"/>
    <w:rsid w:val="00B12DCA"/>
    <w:rsid w:val="00B133C6"/>
    <w:rsid w:val="00B13ECB"/>
    <w:rsid w:val="00B1524F"/>
    <w:rsid w:val="00B15A54"/>
    <w:rsid w:val="00B15D08"/>
    <w:rsid w:val="00B15ECF"/>
    <w:rsid w:val="00B169CD"/>
    <w:rsid w:val="00B16C0A"/>
    <w:rsid w:val="00B1785C"/>
    <w:rsid w:val="00B17F60"/>
    <w:rsid w:val="00B2039A"/>
    <w:rsid w:val="00B20AC8"/>
    <w:rsid w:val="00B215D5"/>
    <w:rsid w:val="00B21D55"/>
    <w:rsid w:val="00B225CB"/>
    <w:rsid w:val="00B22615"/>
    <w:rsid w:val="00B22870"/>
    <w:rsid w:val="00B22A22"/>
    <w:rsid w:val="00B22AA6"/>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343"/>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5528"/>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479E"/>
    <w:rsid w:val="00B65295"/>
    <w:rsid w:val="00B65D9B"/>
    <w:rsid w:val="00B66E51"/>
    <w:rsid w:val="00B66E68"/>
    <w:rsid w:val="00B672CB"/>
    <w:rsid w:val="00B67346"/>
    <w:rsid w:val="00B6793A"/>
    <w:rsid w:val="00B67AC3"/>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90351"/>
    <w:rsid w:val="00B90532"/>
    <w:rsid w:val="00B906F2"/>
    <w:rsid w:val="00B90D9B"/>
    <w:rsid w:val="00B91259"/>
    <w:rsid w:val="00B91AD5"/>
    <w:rsid w:val="00B91B81"/>
    <w:rsid w:val="00B91FF0"/>
    <w:rsid w:val="00B926A8"/>
    <w:rsid w:val="00B92FFF"/>
    <w:rsid w:val="00B93538"/>
    <w:rsid w:val="00B936F8"/>
    <w:rsid w:val="00B9492E"/>
    <w:rsid w:val="00B960DB"/>
    <w:rsid w:val="00B96799"/>
    <w:rsid w:val="00B96DE5"/>
    <w:rsid w:val="00B97A76"/>
    <w:rsid w:val="00BA0166"/>
    <w:rsid w:val="00BA0584"/>
    <w:rsid w:val="00BA0755"/>
    <w:rsid w:val="00BA1E9D"/>
    <w:rsid w:val="00BA249D"/>
    <w:rsid w:val="00BA3C66"/>
    <w:rsid w:val="00BA4D00"/>
    <w:rsid w:val="00BA4F9B"/>
    <w:rsid w:val="00BA5665"/>
    <w:rsid w:val="00BA6825"/>
    <w:rsid w:val="00BA72D9"/>
    <w:rsid w:val="00BB02DB"/>
    <w:rsid w:val="00BB0AB5"/>
    <w:rsid w:val="00BB195B"/>
    <w:rsid w:val="00BB1BBA"/>
    <w:rsid w:val="00BB1DB7"/>
    <w:rsid w:val="00BB204A"/>
    <w:rsid w:val="00BB22F2"/>
    <w:rsid w:val="00BB2907"/>
    <w:rsid w:val="00BB2BD1"/>
    <w:rsid w:val="00BB31DF"/>
    <w:rsid w:val="00BB33E9"/>
    <w:rsid w:val="00BB34B7"/>
    <w:rsid w:val="00BB37AF"/>
    <w:rsid w:val="00BB3BE4"/>
    <w:rsid w:val="00BB44DB"/>
    <w:rsid w:val="00BB57D3"/>
    <w:rsid w:val="00BB58EE"/>
    <w:rsid w:val="00BB64EC"/>
    <w:rsid w:val="00BB7589"/>
    <w:rsid w:val="00BB7668"/>
    <w:rsid w:val="00BB7E42"/>
    <w:rsid w:val="00BC077E"/>
    <w:rsid w:val="00BC0ABD"/>
    <w:rsid w:val="00BC0DE5"/>
    <w:rsid w:val="00BC0E57"/>
    <w:rsid w:val="00BC1F5F"/>
    <w:rsid w:val="00BC21BE"/>
    <w:rsid w:val="00BC2465"/>
    <w:rsid w:val="00BC2A8A"/>
    <w:rsid w:val="00BC351F"/>
    <w:rsid w:val="00BC3E36"/>
    <w:rsid w:val="00BC4B2D"/>
    <w:rsid w:val="00BC4CE8"/>
    <w:rsid w:val="00BC4D54"/>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3E8A"/>
    <w:rsid w:val="00BD46DF"/>
    <w:rsid w:val="00BD4871"/>
    <w:rsid w:val="00BD48A9"/>
    <w:rsid w:val="00BD4959"/>
    <w:rsid w:val="00BD4B47"/>
    <w:rsid w:val="00BD5712"/>
    <w:rsid w:val="00BD581A"/>
    <w:rsid w:val="00BD5C02"/>
    <w:rsid w:val="00BD658C"/>
    <w:rsid w:val="00BD678A"/>
    <w:rsid w:val="00BD6819"/>
    <w:rsid w:val="00BD7EC6"/>
    <w:rsid w:val="00BE063A"/>
    <w:rsid w:val="00BE07AF"/>
    <w:rsid w:val="00BE0FF2"/>
    <w:rsid w:val="00BE1345"/>
    <w:rsid w:val="00BE18BC"/>
    <w:rsid w:val="00BE2147"/>
    <w:rsid w:val="00BE239E"/>
    <w:rsid w:val="00BE3B83"/>
    <w:rsid w:val="00BE3C67"/>
    <w:rsid w:val="00BE3CF7"/>
    <w:rsid w:val="00BE42FC"/>
    <w:rsid w:val="00BE6085"/>
    <w:rsid w:val="00BE66FC"/>
    <w:rsid w:val="00BE73FA"/>
    <w:rsid w:val="00BF00D1"/>
    <w:rsid w:val="00BF0353"/>
    <w:rsid w:val="00BF090A"/>
    <w:rsid w:val="00BF0918"/>
    <w:rsid w:val="00BF2001"/>
    <w:rsid w:val="00BF2575"/>
    <w:rsid w:val="00BF2EAC"/>
    <w:rsid w:val="00BF31A0"/>
    <w:rsid w:val="00BF323A"/>
    <w:rsid w:val="00BF36C0"/>
    <w:rsid w:val="00BF3F0A"/>
    <w:rsid w:val="00BF4E35"/>
    <w:rsid w:val="00BF5FB3"/>
    <w:rsid w:val="00BF6524"/>
    <w:rsid w:val="00BF6DFB"/>
    <w:rsid w:val="00BF6F82"/>
    <w:rsid w:val="00BF7B9B"/>
    <w:rsid w:val="00C0083F"/>
    <w:rsid w:val="00C00976"/>
    <w:rsid w:val="00C020CD"/>
    <w:rsid w:val="00C02D23"/>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908"/>
    <w:rsid w:val="00C250E8"/>
    <w:rsid w:val="00C25150"/>
    <w:rsid w:val="00C2515F"/>
    <w:rsid w:val="00C25B30"/>
    <w:rsid w:val="00C25DCF"/>
    <w:rsid w:val="00C26AEA"/>
    <w:rsid w:val="00C276EC"/>
    <w:rsid w:val="00C27C0A"/>
    <w:rsid w:val="00C305D9"/>
    <w:rsid w:val="00C31AD4"/>
    <w:rsid w:val="00C31C63"/>
    <w:rsid w:val="00C31C8C"/>
    <w:rsid w:val="00C31CD9"/>
    <w:rsid w:val="00C32481"/>
    <w:rsid w:val="00C3394C"/>
    <w:rsid w:val="00C34581"/>
    <w:rsid w:val="00C34AD7"/>
    <w:rsid w:val="00C3516D"/>
    <w:rsid w:val="00C351E4"/>
    <w:rsid w:val="00C353D8"/>
    <w:rsid w:val="00C361A6"/>
    <w:rsid w:val="00C365C5"/>
    <w:rsid w:val="00C3670F"/>
    <w:rsid w:val="00C36E1A"/>
    <w:rsid w:val="00C36E26"/>
    <w:rsid w:val="00C371DF"/>
    <w:rsid w:val="00C37818"/>
    <w:rsid w:val="00C37EFC"/>
    <w:rsid w:val="00C37FF9"/>
    <w:rsid w:val="00C40126"/>
    <w:rsid w:val="00C41099"/>
    <w:rsid w:val="00C41425"/>
    <w:rsid w:val="00C41829"/>
    <w:rsid w:val="00C41B4A"/>
    <w:rsid w:val="00C4213A"/>
    <w:rsid w:val="00C42C11"/>
    <w:rsid w:val="00C43344"/>
    <w:rsid w:val="00C43ADB"/>
    <w:rsid w:val="00C44853"/>
    <w:rsid w:val="00C44949"/>
    <w:rsid w:val="00C44AFF"/>
    <w:rsid w:val="00C44B4C"/>
    <w:rsid w:val="00C450E3"/>
    <w:rsid w:val="00C456CC"/>
    <w:rsid w:val="00C45830"/>
    <w:rsid w:val="00C45C56"/>
    <w:rsid w:val="00C45CCD"/>
    <w:rsid w:val="00C46734"/>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DF"/>
    <w:rsid w:val="00C64F8E"/>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24F"/>
    <w:rsid w:val="00C84BBF"/>
    <w:rsid w:val="00C84BE9"/>
    <w:rsid w:val="00C85DEF"/>
    <w:rsid w:val="00C85E40"/>
    <w:rsid w:val="00C86D76"/>
    <w:rsid w:val="00C8771E"/>
    <w:rsid w:val="00C87A64"/>
    <w:rsid w:val="00C90D8E"/>
    <w:rsid w:val="00C910F8"/>
    <w:rsid w:val="00C91106"/>
    <w:rsid w:val="00C9117B"/>
    <w:rsid w:val="00C91D19"/>
    <w:rsid w:val="00C93B58"/>
    <w:rsid w:val="00C93C2F"/>
    <w:rsid w:val="00C942F3"/>
    <w:rsid w:val="00C9437C"/>
    <w:rsid w:val="00C946E4"/>
    <w:rsid w:val="00C946FF"/>
    <w:rsid w:val="00C94A14"/>
    <w:rsid w:val="00C94CDA"/>
    <w:rsid w:val="00C95BED"/>
    <w:rsid w:val="00C96725"/>
    <w:rsid w:val="00C97A66"/>
    <w:rsid w:val="00CA007B"/>
    <w:rsid w:val="00CA01BB"/>
    <w:rsid w:val="00CA0AA4"/>
    <w:rsid w:val="00CA0C1E"/>
    <w:rsid w:val="00CA15B0"/>
    <w:rsid w:val="00CA1C71"/>
    <w:rsid w:val="00CA1D4C"/>
    <w:rsid w:val="00CA1D50"/>
    <w:rsid w:val="00CA1DAB"/>
    <w:rsid w:val="00CA20E0"/>
    <w:rsid w:val="00CA2598"/>
    <w:rsid w:val="00CA3037"/>
    <w:rsid w:val="00CA3347"/>
    <w:rsid w:val="00CA483C"/>
    <w:rsid w:val="00CA523D"/>
    <w:rsid w:val="00CA6FDA"/>
    <w:rsid w:val="00CA77CF"/>
    <w:rsid w:val="00CA7B58"/>
    <w:rsid w:val="00CB0836"/>
    <w:rsid w:val="00CB09A7"/>
    <w:rsid w:val="00CB0CB9"/>
    <w:rsid w:val="00CB1413"/>
    <w:rsid w:val="00CB18D4"/>
    <w:rsid w:val="00CB2518"/>
    <w:rsid w:val="00CB3920"/>
    <w:rsid w:val="00CB413D"/>
    <w:rsid w:val="00CB4C4C"/>
    <w:rsid w:val="00CB6413"/>
    <w:rsid w:val="00CB696F"/>
    <w:rsid w:val="00CB6A00"/>
    <w:rsid w:val="00CB7097"/>
    <w:rsid w:val="00CB77F4"/>
    <w:rsid w:val="00CB780D"/>
    <w:rsid w:val="00CC0F1C"/>
    <w:rsid w:val="00CC1983"/>
    <w:rsid w:val="00CC1BBB"/>
    <w:rsid w:val="00CC259D"/>
    <w:rsid w:val="00CC299A"/>
    <w:rsid w:val="00CC3039"/>
    <w:rsid w:val="00CC32B7"/>
    <w:rsid w:val="00CC36DE"/>
    <w:rsid w:val="00CC4498"/>
    <w:rsid w:val="00CC4F99"/>
    <w:rsid w:val="00CC5CDC"/>
    <w:rsid w:val="00CC5FC3"/>
    <w:rsid w:val="00CC6369"/>
    <w:rsid w:val="00CC6576"/>
    <w:rsid w:val="00CC65D6"/>
    <w:rsid w:val="00CC6B61"/>
    <w:rsid w:val="00CC73F3"/>
    <w:rsid w:val="00CC7B85"/>
    <w:rsid w:val="00CD081C"/>
    <w:rsid w:val="00CD14DA"/>
    <w:rsid w:val="00CD1B5A"/>
    <w:rsid w:val="00CD1CAD"/>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3FC0"/>
    <w:rsid w:val="00CE4707"/>
    <w:rsid w:val="00CE4AC7"/>
    <w:rsid w:val="00CE56B7"/>
    <w:rsid w:val="00CE5840"/>
    <w:rsid w:val="00CE6660"/>
    <w:rsid w:val="00CE6855"/>
    <w:rsid w:val="00CE6B6F"/>
    <w:rsid w:val="00CE7033"/>
    <w:rsid w:val="00CE7075"/>
    <w:rsid w:val="00CE770A"/>
    <w:rsid w:val="00CF02A6"/>
    <w:rsid w:val="00CF05A6"/>
    <w:rsid w:val="00CF06CF"/>
    <w:rsid w:val="00CF101C"/>
    <w:rsid w:val="00CF15C5"/>
    <w:rsid w:val="00CF1EFE"/>
    <w:rsid w:val="00CF2995"/>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CF76FB"/>
    <w:rsid w:val="00D00175"/>
    <w:rsid w:val="00D00223"/>
    <w:rsid w:val="00D00312"/>
    <w:rsid w:val="00D0045E"/>
    <w:rsid w:val="00D008D8"/>
    <w:rsid w:val="00D00DBF"/>
    <w:rsid w:val="00D0149B"/>
    <w:rsid w:val="00D01F5D"/>
    <w:rsid w:val="00D01FA9"/>
    <w:rsid w:val="00D02D17"/>
    <w:rsid w:val="00D03DBE"/>
    <w:rsid w:val="00D03EED"/>
    <w:rsid w:val="00D0597D"/>
    <w:rsid w:val="00D05D73"/>
    <w:rsid w:val="00D06274"/>
    <w:rsid w:val="00D066D8"/>
    <w:rsid w:val="00D07044"/>
    <w:rsid w:val="00D07FB9"/>
    <w:rsid w:val="00D11949"/>
    <w:rsid w:val="00D11A69"/>
    <w:rsid w:val="00D11CB2"/>
    <w:rsid w:val="00D12C98"/>
    <w:rsid w:val="00D12E5E"/>
    <w:rsid w:val="00D12FFC"/>
    <w:rsid w:val="00D13460"/>
    <w:rsid w:val="00D13CA3"/>
    <w:rsid w:val="00D1484F"/>
    <w:rsid w:val="00D14BA0"/>
    <w:rsid w:val="00D14D7B"/>
    <w:rsid w:val="00D1516D"/>
    <w:rsid w:val="00D158B0"/>
    <w:rsid w:val="00D1707A"/>
    <w:rsid w:val="00D17CC2"/>
    <w:rsid w:val="00D209B5"/>
    <w:rsid w:val="00D20EED"/>
    <w:rsid w:val="00D21435"/>
    <w:rsid w:val="00D2242C"/>
    <w:rsid w:val="00D224FA"/>
    <w:rsid w:val="00D23033"/>
    <w:rsid w:val="00D2402F"/>
    <w:rsid w:val="00D245C2"/>
    <w:rsid w:val="00D25660"/>
    <w:rsid w:val="00D2569B"/>
    <w:rsid w:val="00D258EB"/>
    <w:rsid w:val="00D25AEB"/>
    <w:rsid w:val="00D26958"/>
    <w:rsid w:val="00D271CD"/>
    <w:rsid w:val="00D3064E"/>
    <w:rsid w:val="00D30BD4"/>
    <w:rsid w:val="00D315CC"/>
    <w:rsid w:val="00D318D0"/>
    <w:rsid w:val="00D31DDA"/>
    <w:rsid w:val="00D31F05"/>
    <w:rsid w:val="00D32067"/>
    <w:rsid w:val="00D327A3"/>
    <w:rsid w:val="00D33AE9"/>
    <w:rsid w:val="00D3400C"/>
    <w:rsid w:val="00D3447F"/>
    <w:rsid w:val="00D34C82"/>
    <w:rsid w:val="00D36550"/>
    <w:rsid w:val="00D379EC"/>
    <w:rsid w:val="00D37C94"/>
    <w:rsid w:val="00D40D88"/>
    <w:rsid w:val="00D41E42"/>
    <w:rsid w:val="00D41F6B"/>
    <w:rsid w:val="00D42380"/>
    <w:rsid w:val="00D42C9B"/>
    <w:rsid w:val="00D4348D"/>
    <w:rsid w:val="00D436D7"/>
    <w:rsid w:val="00D44E42"/>
    <w:rsid w:val="00D44FC3"/>
    <w:rsid w:val="00D450E2"/>
    <w:rsid w:val="00D453D7"/>
    <w:rsid w:val="00D4552D"/>
    <w:rsid w:val="00D462D6"/>
    <w:rsid w:val="00D4714D"/>
    <w:rsid w:val="00D474AB"/>
    <w:rsid w:val="00D4754E"/>
    <w:rsid w:val="00D50460"/>
    <w:rsid w:val="00D50961"/>
    <w:rsid w:val="00D50A02"/>
    <w:rsid w:val="00D512A1"/>
    <w:rsid w:val="00D518D6"/>
    <w:rsid w:val="00D52AB4"/>
    <w:rsid w:val="00D52F26"/>
    <w:rsid w:val="00D531F5"/>
    <w:rsid w:val="00D538C1"/>
    <w:rsid w:val="00D538D5"/>
    <w:rsid w:val="00D53B5C"/>
    <w:rsid w:val="00D54640"/>
    <w:rsid w:val="00D55455"/>
    <w:rsid w:val="00D559B5"/>
    <w:rsid w:val="00D56420"/>
    <w:rsid w:val="00D5658A"/>
    <w:rsid w:val="00D56A94"/>
    <w:rsid w:val="00D56C0C"/>
    <w:rsid w:val="00D56F9E"/>
    <w:rsid w:val="00D570B4"/>
    <w:rsid w:val="00D5798B"/>
    <w:rsid w:val="00D60736"/>
    <w:rsid w:val="00D6170E"/>
    <w:rsid w:val="00D61972"/>
    <w:rsid w:val="00D61B58"/>
    <w:rsid w:val="00D61ECE"/>
    <w:rsid w:val="00D6307D"/>
    <w:rsid w:val="00D63632"/>
    <w:rsid w:val="00D63732"/>
    <w:rsid w:val="00D63925"/>
    <w:rsid w:val="00D63EB7"/>
    <w:rsid w:val="00D6405D"/>
    <w:rsid w:val="00D6568E"/>
    <w:rsid w:val="00D65893"/>
    <w:rsid w:val="00D658EC"/>
    <w:rsid w:val="00D66816"/>
    <w:rsid w:val="00D6684E"/>
    <w:rsid w:val="00D6742A"/>
    <w:rsid w:val="00D67B9B"/>
    <w:rsid w:val="00D71733"/>
    <w:rsid w:val="00D718AC"/>
    <w:rsid w:val="00D719A3"/>
    <w:rsid w:val="00D71E7A"/>
    <w:rsid w:val="00D72DE7"/>
    <w:rsid w:val="00D7302F"/>
    <w:rsid w:val="00D73449"/>
    <w:rsid w:val="00D73870"/>
    <w:rsid w:val="00D73BB2"/>
    <w:rsid w:val="00D74575"/>
    <w:rsid w:val="00D74D14"/>
    <w:rsid w:val="00D74F3B"/>
    <w:rsid w:val="00D752E7"/>
    <w:rsid w:val="00D7574B"/>
    <w:rsid w:val="00D75913"/>
    <w:rsid w:val="00D75E82"/>
    <w:rsid w:val="00D76270"/>
    <w:rsid w:val="00D767C6"/>
    <w:rsid w:val="00D769C5"/>
    <w:rsid w:val="00D76E76"/>
    <w:rsid w:val="00D80631"/>
    <w:rsid w:val="00D818EC"/>
    <w:rsid w:val="00D81A20"/>
    <w:rsid w:val="00D81F55"/>
    <w:rsid w:val="00D8321A"/>
    <w:rsid w:val="00D83F57"/>
    <w:rsid w:val="00D84A86"/>
    <w:rsid w:val="00D85152"/>
    <w:rsid w:val="00D85F2C"/>
    <w:rsid w:val="00D86030"/>
    <w:rsid w:val="00D861BD"/>
    <w:rsid w:val="00D86D55"/>
    <w:rsid w:val="00D8789C"/>
    <w:rsid w:val="00D8789D"/>
    <w:rsid w:val="00D87B3F"/>
    <w:rsid w:val="00D9003D"/>
    <w:rsid w:val="00D90558"/>
    <w:rsid w:val="00D9082F"/>
    <w:rsid w:val="00D90C79"/>
    <w:rsid w:val="00D914EB"/>
    <w:rsid w:val="00D91B36"/>
    <w:rsid w:val="00D922B0"/>
    <w:rsid w:val="00D9305B"/>
    <w:rsid w:val="00D94085"/>
    <w:rsid w:val="00D944D2"/>
    <w:rsid w:val="00D96D4F"/>
    <w:rsid w:val="00DA1806"/>
    <w:rsid w:val="00DA1BD1"/>
    <w:rsid w:val="00DA212B"/>
    <w:rsid w:val="00DA3A76"/>
    <w:rsid w:val="00DA4534"/>
    <w:rsid w:val="00DA5713"/>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089"/>
    <w:rsid w:val="00DB41CB"/>
    <w:rsid w:val="00DB5114"/>
    <w:rsid w:val="00DB681B"/>
    <w:rsid w:val="00DB7E24"/>
    <w:rsid w:val="00DC0445"/>
    <w:rsid w:val="00DC115F"/>
    <w:rsid w:val="00DC2082"/>
    <w:rsid w:val="00DC225F"/>
    <w:rsid w:val="00DC2883"/>
    <w:rsid w:val="00DC2C48"/>
    <w:rsid w:val="00DC46B5"/>
    <w:rsid w:val="00DC4B28"/>
    <w:rsid w:val="00DC4B5D"/>
    <w:rsid w:val="00DC525E"/>
    <w:rsid w:val="00DC535C"/>
    <w:rsid w:val="00DC5924"/>
    <w:rsid w:val="00DC5DCB"/>
    <w:rsid w:val="00DC6C0D"/>
    <w:rsid w:val="00DC75E7"/>
    <w:rsid w:val="00DD074A"/>
    <w:rsid w:val="00DD0D70"/>
    <w:rsid w:val="00DD1941"/>
    <w:rsid w:val="00DD26A5"/>
    <w:rsid w:val="00DD2812"/>
    <w:rsid w:val="00DD2CE3"/>
    <w:rsid w:val="00DD34F2"/>
    <w:rsid w:val="00DD3C6B"/>
    <w:rsid w:val="00DD4A56"/>
    <w:rsid w:val="00DD54ED"/>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981"/>
    <w:rsid w:val="00DF1D07"/>
    <w:rsid w:val="00DF1D7C"/>
    <w:rsid w:val="00DF1E89"/>
    <w:rsid w:val="00DF1EC8"/>
    <w:rsid w:val="00DF2144"/>
    <w:rsid w:val="00DF24D9"/>
    <w:rsid w:val="00DF2EA5"/>
    <w:rsid w:val="00DF310B"/>
    <w:rsid w:val="00DF3E47"/>
    <w:rsid w:val="00DF5362"/>
    <w:rsid w:val="00DF56E8"/>
    <w:rsid w:val="00DF5C01"/>
    <w:rsid w:val="00DF5FF5"/>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1C0C"/>
    <w:rsid w:val="00E126B2"/>
    <w:rsid w:val="00E127E3"/>
    <w:rsid w:val="00E13E8F"/>
    <w:rsid w:val="00E14818"/>
    <w:rsid w:val="00E148E8"/>
    <w:rsid w:val="00E15EB2"/>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C63"/>
    <w:rsid w:val="00E23E84"/>
    <w:rsid w:val="00E23F9B"/>
    <w:rsid w:val="00E24D23"/>
    <w:rsid w:val="00E2546F"/>
    <w:rsid w:val="00E26285"/>
    <w:rsid w:val="00E26649"/>
    <w:rsid w:val="00E2703D"/>
    <w:rsid w:val="00E271F9"/>
    <w:rsid w:val="00E27F0A"/>
    <w:rsid w:val="00E30712"/>
    <w:rsid w:val="00E309B0"/>
    <w:rsid w:val="00E30E67"/>
    <w:rsid w:val="00E32143"/>
    <w:rsid w:val="00E325F3"/>
    <w:rsid w:val="00E326E9"/>
    <w:rsid w:val="00E32B61"/>
    <w:rsid w:val="00E33106"/>
    <w:rsid w:val="00E33427"/>
    <w:rsid w:val="00E33991"/>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B2D"/>
    <w:rsid w:val="00E468F2"/>
    <w:rsid w:val="00E47A20"/>
    <w:rsid w:val="00E5084C"/>
    <w:rsid w:val="00E50871"/>
    <w:rsid w:val="00E50AD9"/>
    <w:rsid w:val="00E50B4C"/>
    <w:rsid w:val="00E512FE"/>
    <w:rsid w:val="00E5198D"/>
    <w:rsid w:val="00E52063"/>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6F4"/>
    <w:rsid w:val="00E607E5"/>
    <w:rsid w:val="00E60A16"/>
    <w:rsid w:val="00E610CB"/>
    <w:rsid w:val="00E6125B"/>
    <w:rsid w:val="00E6170A"/>
    <w:rsid w:val="00E62816"/>
    <w:rsid w:val="00E62ADF"/>
    <w:rsid w:val="00E62FA7"/>
    <w:rsid w:val="00E637A3"/>
    <w:rsid w:val="00E659FD"/>
    <w:rsid w:val="00E65B0C"/>
    <w:rsid w:val="00E66B16"/>
    <w:rsid w:val="00E66BA2"/>
    <w:rsid w:val="00E677DB"/>
    <w:rsid w:val="00E700F8"/>
    <w:rsid w:val="00E71C2D"/>
    <w:rsid w:val="00E72187"/>
    <w:rsid w:val="00E7266C"/>
    <w:rsid w:val="00E72BB6"/>
    <w:rsid w:val="00E72CD0"/>
    <w:rsid w:val="00E730AC"/>
    <w:rsid w:val="00E7310C"/>
    <w:rsid w:val="00E733ED"/>
    <w:rsid w:val="00E734CE"/>
    <w:rsid w:val="00E73A2F"/>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950"/>
    <w:rsid w:val="00E83ACD"/>
    <w:rsid w:val="00E83BED"/>
    <w:rsid w:val="00E83D4B"/>
    <w:rsid w:val="00E848F0"/>
    <w:rsid w:val="00E84D1C"/>
    <w:rsid w:val="00E84D9C"/>
    <w:rsid w:val="00E85069"/>
    <w:rsid w:val="00E8628F"/>
    <w:rsid w:val="00E86888"/>
    <w:rsid w:val="00E8695C"/>
    <w:rsid w:val="00E92C96"/>
    <w:rsid w:val="00E942B8"/>
    <w:rsid w:val="00E944ED"/>
    <w:rsid w:val="00E945AF"/>
    <w:rsid w:val="00E9472E"/>
    <w:rsid w:val="00E94A0B"/>
    <w:rsid w:val="00E94A2C"/>
    <w:rsid w:val="00E9544C"/>
    <w:rsid w:val="00E95799"/>
    <w:rsid w:val="00E95D93"/>
    <w:rsid w:val="00E9683D"/>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697"/>
    <w:rsid w:val="00EA5AB6"/>
    <w:rsid w:val="00EA5FB0"/>
    <w:rsid w:val="00EA612E"/>
    <w:rsid w:val="00EA6F91"/>
    <w:rsid w:val="00EA761C"/>
    <w:rsid w:val="00EA7D7F"/>
    <w:rsid w:val="00EB0810"/>
    <w:rsid w:val="00EB0B5F"/>
    <w:rsid w:val="00EB1CF7"/>
    <w:rsid w:val="00EB25C2"/>
    <w:rsid w:val="00EB2B6F"/>
    <w:rsid w:val="00EB2CAD"/>
    <w:rsid w:val="00EB2FA2"/>
    <w:rsid w:val="00EB3272"/>
    <w:rsid w:val="00EB37B2"/>
    <w:rsid w:val="00EB3FF9"/>
    <w:rsid w:val="00EB541F"/>
    <w:rsid w:val="00EB5F0B"/>
    <w:rsid w:val="00EB7352"/>
    <w:rsid w:val="00EB769A"/>
    <w:rsid w:val="00EB7DAD"/>
    <w:rsid w:val="00EC11E4"/>
    <w:rsid w:val="00EC14E1"/>
    <w:rsid w:val="00EC183C"/>
    <w:rsid w:val="00EC2A3F"/>
    <w:rsid w:val="00EC2E64"/>
    <w:rsid w:val="00EC3A35"/>
    <w:rsid w:val="00EC3BFD"/>
    <w:rsid w:val="00EC3C52"/>
    <w:rsid w:val="00EC3E5B"/>
    <w:rsid w:val="00EC3E69"/>
    <w:rsid w:val="00EC41A7"/>
    <w:rsid w:val="00EC4257"/>
    <w:rsid w:val="00EC46CE"/>
    <w:rsid w:val="00EC4F94"/>
    <w:rsid w:val="00EC5554"/>
    <w:rsid w:val="00EC572B"/>
    <w:rsid w:val="00EC5B8E"/>
    <w:rsid w:val="00EC7356"/>
    <w:rsid w:val="00EC75F6"/>
    <w:rsid w:val="00ED0065"/>
    <w:rsid w:val="00ED17B5"/>
    <w:rsid w:val="00ED1BA0"/>
    <w:rsid w:val="00ED1D2D"/>
    <w:rsid w:val="00ED353D"/>
    <w:rsid w:val="00ED4C59"/>
    <w:rsid w:val="00ED588C"/>
    <w:rsid w:val="00ED6E7A"/>
    <w:rsid w:val="00ED6EA1"/>
    <w:rsid w:val="00ED7A7F"/>
    <w:rsid w:val="00EE060B"/>
    <w:rsid w:val="00EE07AC"/>
    <w:rsid w:val="00EE0891"/>
    <w:rsid w:val="00EE0C94"/>
    <w:rsid w:val="00EE1062"/>
    <w:rsid w:val="00EE17F2"/>
    <w:rsid w:val="00EE188A"/>
    <w:rsid w:val="00EE1B01"/>
    <w:rsid w:val="00EE1C62"/>
    <w:rsid w:val="00EE1DB8"/>
    <w:rsid w:val="00EE210D"/>
    <w:rsid w:val="00EE2746"/>
    <w:rsid w:val="00EE3256"/>
    <w:rsid w:val="00EE4759"/>
    <w:rsid w:val="00EE4C20"/>
    <w:rsid w:val="00EE4F2D"/>
    <w:rsid w:val="00EE524C"/>
    <w:rsid w:val="00EE589E"/>
    <w:rsid w:val="00EE6755"/>
    <w:rsid w:val="00EE78D6"/>
    <w:rsid w:val="00EF03DC"/>
    <w:rsid w:val="00EF0437"/>
    <w:rsid w:val="00EF0BFE"/>
    <w:rsid w:val="00EF1878"/>
    <w:rsid w:val="00EF1DE8"/>
    <w:rsid w:val="00EF2AC7"/>
    <w:rsid w:val="00EF3397"/>
    <w:rsid w:val="00EF40BF"/>
    <w:rsid w:val="00EF4557"/>
    <w:rsid w:val="00EF493F"/>
    <w:rsid w:val="00EF5947"/>
    <w:rsid w:val="00EF5E22"/>
    <w:rsid w:val="00EF60CA"/>
    <w:rsid w:val="00EF63C1"/>
    <w:rsid w:val="00EF6557"/>
    <w:rsid w:val="00EF69B7"/>
    <w:rsid w:val="00EF6C2B"/>
    <w:rsid w:val="00F00059"/>
    <w:rsid w:val="00F008BD"/>
    <w:rsid w:val="00F021A9"/>
    <w:rsid w:val="00F02C54"/>
    <w:rsid w:val="00F02CD0"/>
    <w:rsid w:val="00F02D03"/>
    <w:rsid w:val="00F035DB"/>
    <w:rsid w:val="00F0448C"/>
    <w:rsid w:val="00F0553C"/>
    <w:rsid w:val="00F06BA7"/>
    <w:rsid w:val="00F06C50"/>
    <w:rsid w:val="00F071BA"/>
    <w:rsid w:val="00F1091E"/>
    <w:rsid w:val="00F11D2E"/>
    <w:rsid w:val="00F1284F"/>
    <w:rsid w:val="00F12D54"/>
    <w:rsid w:val="00F136A4"/>
    <w:rsid w:val="00F1377B"/>
    <w:rsid w:val="00F13C5E"/>
    <w:rsid w:val="00F14108"/>
    <w:rsid w:val="00F148D5"/>
    <w:rsid w:val="00F1601A"/>
    <w:rsid w:val="00F160BF"/>
    <w:rsid w:val="00F16173"/>
    <w:rsid w:val="00F1675C"/>
    <w:rsid w:val="00F16A3C"/>
    <w:rsid w:val="00F17428"/>
    <w:rsid w:val="00F17EAC"/>
    <w:rsid w:val="00F20046"/>
    <w:rsid w:val="00F20CC1"/>
    <w:rsid w:val="00F20D22"/>
    <w:rsid w:val="00F21A58"/>
    <w:rsid w:val="00F2302A"/>
    <w:rsid w:val="00F23048"/>
    <w:rsid w:val="00F239CD"/>
    <w:rsid w:val="00F23DCC"/>
    <w:rsid w:val="00F24158"/>
    <w:rsid w:val="00F24294"/>
    <w:rsid w:val="00F2477C"/>
    <w:rsid w:val="00F24E5D"/>
    <w:rsid w:val="00F24EBB"/>
    <w:rsid w:val="00F26C93"/>
    <w:rsid w:val="00F27696"/>
    <w:rsid w:val="00F2777F"/>
    <w:rsid w:val="00F27F06"/>
    <w:rsid w:val="00F314E8"/>
    <w:rsid w:val="00F316A2"/>
    <w:rsid w:val="00F323A2"/>
    <w:rsid w:val="00F332D4"/>
    <w:rsid w:val="00F33B57"/>
    <w:rsid w:val="00F33CA8"/>
    <w:rsid w:val="00F33D5C"/>
    <w:rsid w:val="00F35491"/>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47CF6"/>
    <w:rsid w:val="00F50039"/>
    <w:rsid w:val="00F50675"/>
    <w:rsid w:val="00F5071D"/>
    <w:rsid w:val="00F50BD6"/>
    <w:rsid w:val="00F50E16"/>
    <w:rsid w:val="00F5115C"/>
    <w:rsid w:val="00F513B2"/>
    <w:rsid w:val="00F51520"/>
    <w:rsid w:val="00F515B5"/>
    <w:rsid w:val="00F51DA5"/>
    <w:rsid w:val="00F52140"/>
    <w:rsid w:val="00F521E4"/>
    <w:rsid w:val="00F52CCE"/>
    <w:rsid w:val="00F53151"/>
    <w:rsid w:val="00F535A9"/>
    <w:rsid w:val="00F53C12"/>
    <w:rsid w:val="00F53F92"/>
    <w:rsid w:val="00F5480F"/>
    <w:rsid w:val="00F54AA5"/>
    <w:rsid w:val="00F552F7"/>
    <w:rsid w:val="00F553A7"/>
    <w:rsid w:val="00F554EB"/>
    <w:rsid w:val="00F5562D"/>
    <w:rsid w:val="00F55BC7"/>
    <w:rsid w:val="00F566EA"/>
    <w:rsid w:val="00F567A4"/>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102"/>
    <w:rsid w:val="00F66CB1"/>
    <w:rsid w:val="00F672BD"/>
    <w:rsid w:val="00F677CB"/>
    <w:rsid w:val="00F67E15"/>
    <w:rsid w:val="00F67FCA"/>
    <w:rsid w:val="00F70815"/>
    <w:rsid w:val="00F709F4"/>
    <w:rsid w:val="00F71019"/>
    <w:rsid w:val="00F710A9"/>
    <w:rsid w:val="00F7284D"/>
    <w:rsid w:val="00F72CFE"/>
    <w:rsid w:val="00F72FB0"/>
    <w:rsid w:val="00F732ED"/>
    <w:rsid w:val="00F73423"/>
    <w:rsid w:val="00F7365E"/>
    <w:rsid w:val="00F737A4"/>
    <w:rsid w:val="00F73950"/>
    <w:rsid w:val="00F75481"/>
    <w:rsid w:val="00F75EC9"/>
    <w:rsid w:val="00F76664"/>
    <w:rsid w:val="00F76A4C"/>
    <w:rsid w:val="00F76AB3"/>
    <w:rsid w:val="00F77270"/>
    <w:rsid w:val="00F77CDD"/>
    <w:rsid w:val="00F816A4"/>
    <w:rsid w:val="00F81AE9"/>
    <w:rsid w:val="00F827D0"/>
    <w:rsid w:val="00F82C78"/>
    <w:rsid w:val="00F82E2E"/>
    <w:rsid w:val="00F83020"/>
    <w:rsid w:val="00F83186"/>
    <w:rsid w:val="00F8357B"/>
    <w:rsid w:val="00F83601"/>
    <w:rsid w:val="00F837E6"/>
    <w:rsid w:val="00F8389A"/>
    <w:rsid w:val="00F83AE9"/>
    <w:rsid w:val="00F83EC8"/>
    <w:rsid w:val="00F843D4"/>
    <w:rsid w:val="00F84A40"/>
    <w:rsid w:val="00F84B50"/>
    <w:rsid w:val="00F84DBD"/>
    <w:rsid w:val="00F8516E"/>
    <w:rsid w:val="00F852E5"/>
    <w:rsid w:val="00F85C0D"/>
    <w:rsid w:val="00F85E6F"/>
    <w:rsid w:val="00F86741"/>
    <w:rsid w:val="00F86796"/>
    <w:rsid w:val="00F87C3F"/>
    <w:rsid w:val="00F87C5B"/>
    <w:rsid w:val="00F87FEA"/>
    <w:rsid w:val="00F90613"/>
    <w:rsid w:val="00F906F4"/>
    <w:rsid w:val="00F915F3"/>
    <w:rsid w:val="00F91800"/>
    <w:rsid w:val="00F91853"/>
    <w:rsid w:val="00F918B6"/>
    <w:rsid w:val="00F91987"/>
    <w:rsid w:val="00F9208E"/>
    <w:rsid w:val="00F92571"/>
    <w:rsid w:val="00F93B2F"/>
    <w:rsid w:val="00F93CAE"/>
    <w:rsid w:val="00F9453D"/>
    <w:rsid w:val="00F954E4"/>
    <w:rsid w:val="00F95CCE"/>
    <w:rsid w:val="00F9692D"/>
    <w:rsid w:val="00F978BE"/>
    <w:rsid w:val="00F97D7B"/>
    <w:rsid w:val="00FA0013"/>
    <w:rsid w:val="00FA0154"/>
    <w:rsid w:val="00FA0288"/>
    <w:rsid w:val="00FA0C62"/>
    <w:rsid w:val="00FA0F71"/>
    <w:rsid w:val="00FA23E2"/>
    <w:rsid w:val="00FA26BC"/>
    <w:rsid w:val="00FA3872"/>
    <w:rsid w:val="00FA3A97"/>
    <w:rsid w:val="00FA3AEA"/>
    <w:rsid w:val="00FA4219"/>
    <w:rsid w:val="00FA48C7"/>
    <w:rsid w:val="00FA54FF"/>
    <w:rsid w:val="00FA5570"/>
    <w:rsid w:val="00FA59E0"/>
    <w:rsid w:val="00FA5C0B"/>
    <w:rsid w:val="00FA70F5"/>
    <w:rsid w:val="00FA7902"/>
    <w:rsid w:val="00FB005D"/>
    <w:rsid w:val="00FB03C0"/>
    <w:rsid w:val="00FB0EA9"/>
    <w:rsid w:val="00FB183E"/>
    <w:rsid w:val="00FB1CD3"/>
    <w:rsid w:val="00FB1D54"/>
    <w:rsid w:val="00FB1D57"/>
    <w:rsid w:val="00FB24C9"/>
    <w:rsid w:val="00FB273D"/>
    <w:rsid w:val="00FB3363"/>
    <w:rsid w:val="00FB4048"/>
    <w:rsid w:val="00FB446E"/>
    <w:rsid w:val="00FB4629"/>
    <w:rsid w:val="00FB577F"/>
    <w:rsid w:val="00FB5E5D"/>
    <w:rsid w:val="00FB5FC4"/>
    <w:rsid w:val="00FB6A07"/>
    <w:rsid w:val="00FB6FB1"/>
    <w:rsid w:val="00FB7460"/>
    <w:rsid w:val="00FB7747"/>
    <w:rsid w:val="00FB7A10"/>
    <w:rsid w:val="00FC0F81"/>
    <w:rsid w:val="00FC3798"/>
    <w:rsid w:val="00FC577C"/>
    <w:rsid w:val="00FC59AF"/>
    <w:rsid w:val="00FC5C43"/>
    <w:rsid w:val="00FC5F72"/>
    <w:rsid w:val="00FC62B5"/>
    <w:rsid w:val="00FC6D4E"/>
    <w:rsid w:val="00FC7073"/>
    <w:rsid w:val="00FC736F"/>
    <w:rsid w:val="00FD0CDB"/>
    <w:rsid w:val="00FD1FA7"/>
    <w:rsid w:val="00FD2282"/>
    <w:rsid w:val="00FD2D42"/>
    <w:rsid w:val="00FD30B5"/>
    <w:rsid w:val="00FD3453"/>
    <w:rsid w:val="00FD39CF"/>
    <w:rsid w:val="00FD4B7B"/>
    <w:rsid w:val="00FD4D84"/>
    <w:rsid w:val="00FD5468"/>
    <w:rsid w:val="00FD58F5"/>
    <w:rsid w:val="00FD6287"/>
    <w:rsid w:val="00FD754C"/>
    <w:rsid w:val="00FD7696"/>
    <w:rsid w:val="00FE0DAE"/>
    <w:rsid w:val="00FE0E6B"/>
    <w:rsid w:val="00FE1370"/>
    <w:rsid w:val="00FE1510"/>
    <w:rsid w:val="00FE2121"/>
    <w:rsid w:val="00FE254A"/>
    <w:rsid w:val="00FE321B"/>
    <w:rsid w:val="00FE3D07"/>
    <w:rsid w:val="00FE4411"/>
    <w:rsid w:val="00FE4B6F"/>
    <w:rsid w:val="00FE6818"/>
    <w:rsid w:val="00FE68CA"/>
    <w:rsid w:val="00FE6A9E"/>
    <w:rsid w:val="00FE6BFB"/>
    <w:rsid w:val="00FF0CF5"/>
    <w:rsid w:val="00FF0D6F"/>
    <w:rsid w:val="00FF0E9E"/>
    <w:rsid w:val="00FF1103"/>
    <w:rsid w:val="00FF1712"/>
    <w:rsid w:val="00FF213D"/>
    <w:rsid w:val="00FF251D"/>
    <w:rsid w:val="00FF37DC"/>
    <w:rsid w:val="00FF37F2"/>
    <w:rsid w:val="00FF43D9"/>
    <w:rsid w:val="00FF51F8"/>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paragraph" w:styleId="Ttulo2">
    <w:name w:val="heading 2"/>
    <w:basedOn w:val="Normal"/>
    <w:next w:val="Normal"/>
    <w:link w:val="Ttulo2Car"/>
    <w:uiPriority w:val="9"/>
    <w:semiHidden/>
    <w:unhideWhenUsed/>
    <w:qFormat/>
    <w:rsid w:val="003C0A3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character" w:customStyle="1" w:styleId="Ttulo2Car">
    <w:name w:val="Título 2 Car"/>
    <w:basedOn w:val="Fuentedeprrafopredeter"/>
    <w:link w:val="Ttulo2"/>
    <w:uiPriority w:val="9"/>
    <w:semiHidden/>
    <w:rsid w:val="003C0A32"/>
    <w:rPr>
      <w:rFonts w:asciiTheme="majorHAnsi" w:eastAsiaTheme="majorEastAsia" w:hAnsiTheme="majorHAnsi" w:cstheme="majorBidi"/>
      <w:color w:val="2F5496" w:themeColor="accent1" w:themeShade="BF"/>
      <w:sz w:val="26"/>
      <w:szCs w:val="26"/>
    </w:rPr>
  </w:style>
  <w:style w:type="paragraph" w:styleId="Sinespaciado">
    <w:name w:val="No Spacing"/>
    <w:aliases w:val="No Indent"/>
    <w:uiPriority w:val="3"/>
    <w:qFormat/>
    <w:rsid w:val="0064259A"/>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veteranopolicial@casur.gov.c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D1081400-236F-4D10-A732-521DA0570978}"/>
</file>

<file path=docProps/app.xml><?xml version="1.0" encoding="utf-8"?>
<Properties xmlns="http://schemas.openxmlformats.org/officeDocument/2006/extended-properties" xmlns:vt="http://schemas.openxmlformats.org/officeDocument/2006/docPropsVTypes">
  <Template>Normal</Template>
  <TotalTime>5</TotalTime>
  <Pages>13</Pages>
  <Words>4061</Words>
  <Characters>22337</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26346</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ANCP - CCE </cp:lastModifiedBy>
  <cp:revision>8</cp:revision>
  <dcterms:created xsi:type="dcterms:W3CDTF">2025-11-12T03:43:00Z</dcterms:created>
  <dcterms:modified xsi:type="dcterms:W3CDTF">2025-11-12T03:47:00Z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