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1021E0" w14:textId="77777777" w:rsidR="00514983" w:rsidRPr="007E4FEC" w:rsidRDefault="00514983" w:rsidP="00514983">
      <w:pPr>
        <w:jc w:val="both"/>
        <w:rPr>
          <w:rFonts w:ascii="Verdana" w:hAnsi="Verdana" w:cs="Arial"/>
          <w:b/>
          <w:color w:val="000000" w:themeColor="text1"/>
          <w:lang w:val="es-ES_tradnl"/>
        </w:rPr>
      </w:pPr>
      <w:r w:rsidRPr="007E4FEC">
        <w:rPr>
          <w:rFonts w:ascii="Verdana" w:hAnsi="Verdana" w:cs="Arial"/>
          <w:b/>
          <w:color w:val="000000" w:themeColor="text1"/>
          <w:lang w:val="es-ES_tradnl"/>
        </w:rPr>
        <w:t xml:space="preserve">LEY DE GARANTÍAS ELECTORALES ‒ Finalidad </w:t>
      </w:r>
    </w:p>
    <w:p w14:paraId="17F055DC" w14:textId="77777777" w:rsidR="00514983" w:rsidRPr="002D0C91" w:rsidRDefault="00514983" w:rsidP="00514983">
      <w:pPr>
        <w:tabs>
          <w:tab w:val="left" w:pos="426"/>
        </w:tabs>
        <w:spacing w:after="120" w:line="276" w:lineRule="auto"/>
        <w:jc w:val="both"/>
        <w:rPr>
          <w:rFonts w:ascii="Verdana" w:eastAsia="Calibri" w:hAnsi="Verdana" w:cs="Arial"/>
          <w:sz w:val="20"/>
          <w:szCs w:val="20"/>
          <w:lang w:val="es-ES_tradnl"/>
        </w:rPr>
      </w:pPr>
      <w:r w:rsidRPr="002D0C91">
        <w:rPr>
          <w:rFonts w:ascii="Verdana" w:eastAsia="Times New Roman" w:hAnsi="Verdana" w:cs="Arial"/>
          <w:sz w:val="20"/>
          <w:szCs w:val="20"/>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2D0C91">
        <w:rPr>
          <w:rFonts w:ascii="Verdana" w:eastAsia="Calibri" w:hAnsi="Verdana" w:cs="Arial"/>
          <w:sz w:val="20"/>
          <w:szCs w:val="20"/>
          <w:lang w:val="es-ES_tradnl"/>
        </w:rPr>
        <w:t xml:space="preserve"> </w:t>
      </w:r>
    </w:p>
    <w:p w14:paraId="7A1A9755" w14:textId="77777777" w:rsidR="00514983" w:rsidRPr="007E4FEC" w:rsidRDefault="00514983" w:rsidP="00514983">
      <w:pPr>
        <w:jc w:val="both"/>
        <w:rPr>
          <w:rFonts w:ascii="Verdana" w:hAnsi="Verdana" w:cs="Arial"/>
          <w:b/>
          <w:color w:val="000000" w:themeColor="text1"/>
          <w:lang w:val="es-ES_tradnl"/>
        </w:rPr>
      </w:pPr>
      <w:r w:rsidRPr="007E4FEC">
        <w:rPr>
          <w:rFonts w:ascii="Verdana" w:hAnsi="Verdana" w:cs="Arial"/>
          <w:b/>
          <w:color w:val="000000" w:themeColor="text1"/>
          <w:lang w:val="es-ES_tradnl"/>
        </w:rPr>
        <w:t>LEY DE GARANTÍAS ELECTORALES ‒ Tipos de restricciones – Excepciones</w:t>
      </w:r>
    </w:p>
    <w:p w14:paraId="692CA3D8" w14:textId="77777777" w:rsidR="00514983" w:rsidRPr="002D0C91" w:rsidRDefault="00514983" w:rsidP="00514983">
      <w:pPr>
        <w:spacing w:after="0" w:line="276" w:lineRule="auto"/>
        <w:jc w:val="both"/>
        <w:rPr>
          <w:rFonts w:ascii="Verdana" w:hAnsi="Verdana"/>
          <w:sz w:val="20"/>
          <w:szCs w:val="20"/>
        </w:rPr>
      </w:pPr>
      <w:r w:rsidRPr="002D0C91">
        <w:rPr>
          <w:rFonts w:ascii="Verdana" w:hAnsi="Verdana"/>
          <w:sz w:val="20"/>
          <w:szCs w:val="20"/>
        </w:rPr>
        <w:t xml:space="preserve">[…]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2D0C91">
        <w:rPr>
          <w:rFonts w:ascii="Verdana" w:hAnsi="Verdana"/>
          <w:sz w:val="20"/>
          <w:szCs w:val="20"/>
        </w:rPr>
        <w:t>ii</w:t>
      </w:r>
      <w:proofErr w:type="spellEnd"/>
      <w:r w:rsidRPr="002D0C91">
        <w:rPr>
          <w:rFonts w:ascii="Verdana" w:hAnsi="Verdana"/>
          <w:sz w:val="20"/>
          <w:szCs w:val="20"/>
        </w:rPr>
        <w:t xml:space="preserve">) los contratos de crédito público; </w:t>
      </w:r>
      <w:proofErr w:type="spellStart"/>
      <w:r w:rsidRPr="002D0C91">
        <w:rPr>
          <w:rFonts w:ascii="Verdana" w:hAnsi="Verdana"/>
          <w:sz w:val="20"/>
          <w:szCs w:val="20"/>
        </w:rPr>
        <w:t>iii</w:t>
      </w:r>
      <w:proofErr w:type="spellEnd"/>
      <w:r w:rsidRPr="002D0C91">
        <w:rPr>
          <w:rFonts w:ascii="Verdana" w:hAnsi="Verdana"/>
          <w:sz w:val="20"/>
          <w:szCs w:val="20"/>
        </w:rPr>
        <w:t xml:space="preserve">) los requeridos para cubrir las emergencias educativas, sanitarias y desastres; </w:t>
      </w:r>
      <w:proofErr w:type="spellStart"/>
      <w:r w:rsidRPr="002D0C91">
        <w:rPr>
          <w:rFonts w:ascii="Verdana" w:hAnsi="Verdana"/>
          <w:sz w:val="20"/>
          <w:szCs w:val="20"/>
        </w:rPr>
        <w:t>iv</w:t>
      </w:r>
      <w:proofErr w:type="spellEnd"/>
      <w:r w:rsidRPr="002D0C91">
        <w:rPr>
          <w:rFonts w:ascii="Verdana" w:hAnsi="Verdana"/>
          <w:sz w:val="20"/>
          <w:szCs w:val="20"/>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p>
    <w:p w14:paraId="70967AFE" w14:textId="77777777" w:rsidR="00514983" w:rsidRDefault="00514983" w:rsidP="00514983">
      <w:pPr>
        <w:spacing w:after="0"/>
        <w:rPr>
          <w:rFonts w:ascii="Verdana" w:hAnsi="Verdana"/>
        </w:rPr>
      </w:pPr>
    </w:p>
    <w:p w14:paraId="57F96732" w14:textId="77777777" w:rsidR="00514983" w:rsidRDefault="00514983" w:rsidP="00514983">
      <w:pPr>
        <w:spacing w:after="0"/>
        <w:rPr>
          <w:rFonts w:ascii="Verdana" w:hAnsi="Verdana"/>
        </w:rPr>
      </w:pPr>
    </w:p>
    <w:p w14:paraId="15F8CBFF" w14:textId="77777777" w:rsidR="00514983" w:rsidRDefault="00514983" w:rsidP="00514983">
      <w:pPr>
        <w:spacing w:after="0"/>
        <w:rPr>
          <w:rFonts w:ascii="Verdana" w:hAnsi="Verdana"/>
        </w:rPr>
      </w:pPr>
    </w:p>
    <w:p w14:paraId="04B6BF85" w14:textId="77777777" w:rsidR="00514983" w:rsidRDefault="00514983" w:rsidP="00514983">
      <w:pPr>
        <w:spacing w:after="0"/>
        <w:rPr>
          <w:rFonts w:ascii="Verdana" w:hAnsi="Verdana"/>
        </w:rPr>
      </w:pPr>
    </w:p>
    <w:p w14:paraId="71DE0889" w14:textId="77777777" w:rsidR="00514983" w:rsidRDefault="00514983" w:rsidP="00514983">
      <w:pPr>
        <w:spacing w:after="0"/>
        <w:rPr>
          <w:rFonts w:ascii="Verdana" w:hAnsi="Verdana"/>
        </w:rPr>
      </w:pPr>
    </w:p>
    <w:p w14:paraId="6DFA6AF3" w14:textId="77777777" w:rsidR="00514983" w:rsidRDefault="00514983" w:rsidP="00514983">
      <w:pPr>
        <w:spacing w:after="0"/>
        <w:rPr>
          <w:rFonts w:ascii="Verdana" w:hAnsi="Verdana"/>
        </w:rPr>
      </w:pPr>
    </w:p>
    <w:p w14:paraId="3AE5DDCB" w14:textId="77777777" w:rsidR="00514983" w:rsidRDefault="00514983" w:rsidP="00514983">
      <w:pPr>
        <w:spacing w:after="0"/>
        <w:rPr>
          <w:rFonts w:ascii="Verdana" w:hAnsi="Verdana"/>
        </w:rPr>
      </w:pPr>
    </w:p>
    <w:p w14:paraId="1F7A95C8" w14:textId="77777777" w:rsidR="00514983" w:rsidRDefault="00514983" w:rsidP="00514983">
      <w:pPr>
        <w:spacing w:after="0" w:line="240" w:lineRule="auto"/>
        <w:jc w:val="both"/>
        <w:rPr>
          <w:rFonts w:ascii="Verdana" w:eastAsia="Calibri" w:hAnsi="Verdana" w:cs="Arial"/>
          <w:color w:val="000000" w:themeColor="text1"/>
          <w:sz w:val="20"/>
          <w:szCs w:val="20"/>
          <w:lang w:val="es-ES"/>
        </w:rPr>
      </w:pPr>
    </w:p>
    <w:p w14:paraId="3CD0D5C0" w14:textId="77777777" w:rsidR="00514983" w:rsidRDefault="00514983" w:rsidP="00514983">
      <w:pPr>
        <w:spacing w:after="0" w:line="240" w:lineRule="auto"/>
        <w:jc w:val="both"/>
        <w:rPr>
          <w:rFonts w:ascii="Verdana" w:eastAsia="Calibri" w:hAnsi="Verdana" w:cs="Arial"/>
          <w:color w:val="000000" w:themeColor="text1"/>
          <w:sz w:val="20"/>
          <w:szCs w:val="20"/>
          <w:lang w:val="es-ES"/>
        </w:rPr>
      </w:pPr>
    </w:p>
    <w:p w14:paraId="32A4F427" w14:textId="77777777" w:rsidR="00514983" w:rsidRPr="00A51781" w:rsidRDefault="00514983" w:rsidP="00514983">
      <w:pPr>
        <w:spacing w:after="0" w:line="240" w:lineRule="auto"/>
        <w:jc w:val="both"/>
        <w:rPr>
          <w:rFonts w:ascii="Verdana" w:eastAsia="Calibri" w:hAnsi="Verdana" w:cs="Arial"/>
          <w:color w:val="000000" w:themeColor="text1"/>
          <w:sz w:val="20"/>
          <w:szCs w:val="20"/>
          <w:lang w:val="es-ES"/>
        </w:rPr>
      </w:pPr>
    </w:p>
    <w:p w14:paraId="7D3747FE" w14:textId="77777777" w:rsidR="00514983" w:rsidRDefault="00514983" w:rsidP="00514983">
      <w:pPr>
        <w:spacing w:after="0" w:line="240" w:lineRule="auto"/>
        <w:rPr>
          <w:rFonts w:ascii="Verdana" w:hAnsi="Verdana"/>
        </w:rPr>
      </w:pPr>
    </w:p>
    <w:p w14:paraId="4CD1D495" w14:textId="77777777" w:rsidR="00514983" w:rsidRDefault="00514983" w:rsidP="00514983">
      <w:pPr>
        <w:spacing w:after="0" w:line="240" w:lineRule="auto"/>
        <w:rPr>
          <w:rFonts w:ascii="Verdana" w:hAnsi="Verdana"/>
        </w:rPr>
      </w:pPr>
    </w:p>
    <w:p w14:paraId="358C247F" w14:textId="77777777" w:rsidR="004327EB" w:rsidRDefault="004327EB" w:rsidP="00514983">
      <w:pPr>
        <w:spacing w:after="0" w:line="240" w:lineRule="auto"/>
        <w:rPr>
          <w:rFonts w:ascii="Verdana" w:eastAsia="Geomanist Light" w:hAnsi="Verdana" w:cs="Arial"/>
        </w:rPr>
      </w:pPr>
    </w:p>
    <w:p w14:paraId="0DD4F47D" w14:textId="77777777" w:rsidR="004327EB" w:rsidRDefault="004327EB" w:rsidP="00514983">
      <w:pPr>
        <w:spacing w:after="0" w:line="240" w:lineRule="auto"/>
        <w:rPr>
          <w:rFonts w:ascii="Verdana" w:eastAsia="Geomanist Light" w:hAnsi="Verdana" w:cs="Arial"/>
        </w:rPr>
      </w:pPr>
    </w:p>
    <w:p w14:paraId="40F4B840" w14:textId="77777777" w:rsidR="004327EB" w:rsidRDefault="004327EB" w:rsidP="00514983">
      <w:pPr>
        <w:spacing w:after="0" w:line="240" w:lineRule="auto"/>
        <w:rPr>
          <w:rFonts w:ascii="Verdana" w:eastAsia="Geomanist Light" w:hAnsi="Verdana" w:cs="Arial"/>
        </w:rPr>
      </w:pPr>
    </w:p>
    <w:p w14:paraId="37BB0E67" w14:textId="77777777" w:rsidR="004327EB" w:rsidRDefault="004327EB" w:rsidP="00514983">
      <w:pPr>
        <w:spacing w:after="0" w:line="240" w:lineRule="auto"/>
        <w:rPr>
          <w:rFonts w:ascii="Verdana" w:eastAsia="Geomanist Light" w:hAnsi="Verdana" w:cs="Arial"/>
        </w:rPr>
      </w:pPr>
    </w:p>
    <w:p w14:paraId="74981672" w14:textId="77777777" w:rsidR="004327EB" w:rsidRDefault="004327EB" w:rsidP="00514983">
      <w:pPr>
        <w:spacing w:after="0" w:line="240" w:lineRule="auto"/>
        <w:rPr>
          <w:rFonts w:ascii="Verdana" w:eastAsia="Geomanist Light" w:hAnsi="Verdana" w:cs="Arial"/>
        </w:rPr>
      </w:pPr>
    </w:p>
    <w:p w14:paraId="2AC5FB7D" w14:textId="77777777" w:rsidR="004327EB" w:rsidRDefault="004327EB" w:rsidP="00514983">
      <w:pPr>
        <w:spacing w:after="0" w:line="240" w:lineRule="auto"/>
        <w:rPr>
          <w:rFonts w:ascii="Verdana" w:eastAsia="Geomanist Light" w:hAnsi="Verdana" w:cs="Arial"/>
        </w:rPr>
      </w:pPr>
    </w:p>
    <w:p w14:paraId="26256C39" w14:textId="09A219D7" w:rsidR="00514983" w:rsidRPr="00960F72" w:rsidRDefault="00514983" w:rsidP="00514983">
      <w:pPr>
        <w:spacing w:after="0" w:line="240" w:lineRule="auto"/>
        <w:rPr>
          <w:rFonts w:ascii="Verdana" w:eastAsia="Calibri" w:hAnsi="Verdana" w:cs="Arial"/>
          <w:bCs/>
          <w:sz w:val="20"/>
          <w:szCs w:val="20"/>
          <w:lang w:eastAsia="es-ES_tradnl"/>
        </w:rPr>
      </w:pPr>
      <w:r w:rsidRPr="00960F72">
        <w:rPr>
          <w:rFonts w:ascii="Verdana" w:eastAsia="Geomanist Light" w:hAnsi="Verdana" w:cs="Arial"/>
        </w:rPr>
        <w:lastRenderedPageBreak/>
        <w:t>Bogotá D.C., [Día] de [</w:t>
      </w:r>
      <w:proofErr w:type="spellStart"/>
      <w:r w:rsidRPr="00960F72">
        <w:rPr>
          <w:rFonts w:ascii="Verdana" w:eastAsia="Geomanist Light" w:hAnsi="Verdana" w:cs="Arial"/>
        </w:rPr>
        <w:t>Mes.NombreCapitalizado</w:t>
      </w:r>
      <w:proofErr w:type="spellEnd"/>
      <w:r w:rsidRPr="00960F72">
        <w:rPr>
          <w:rFonts w:ascii="Verdana" w:eastAsia="Geomanist Light" w:hAnsi="Verdana" w:cs="Arial"/>
        </w:rPr>
        <w:t>] de [Año]</w:t>
      </w:r>
    </w:p>
    <w:p w14:paraId="419E88ED" w14:textId="77777777" w:rsidR="00514983" w:rsidRDefault="00514983" w:rsidP="00514983">
      <w:pPr>
        <w:spacing w:after="0" w:line="240" w:lineRule="auto"/>
        <w:rPr>
          <w:rFonts w:ascii="Verdana" w:eastAsia="Calibri" w:hAnsi="Verdana" w:cs="Arial"/>
          <w:b/>
          <w:bCs/>
          <w:lang w:eastAsia="es-ES_tradnl"/>
        </w:rPr>
      </w:pPr>
    </w:p>
    <w:p w14:paraId="79F7CBDA" w14:textId="26ED9B06" w:rsidR="00514983" w:rsidRPr="00C97DE5" w:rsidRDefault="005519A7" w:rsidP="00514983">
      <w:pPr>
        <w:spacing w:after="0" w:line="240" w:lineRule="auto"/>
        <w:rPr>
          <w:rFonts w:ascii="Verdana" w:eastAsia="Calibri" w:hAnsi="Verdana" w:cs="Arial"/>
          <w:lang w:eastAsia="es-ES_tradnl"/>
        </w:rPr>
      </w:pPr>
      <w:r w:rsidRPr="005519A7">
        <w:rPr>
          <w:rFonts w:ascii="Verdana" w:eastAsia="Calibri" w:hAnsi="Verdana" w:cs="Arial"/>
          <w:b/>
          <w:bCs/>
          <w:noProof/>
          <w:lang w:eastAsia="es-ES_tradnl"/>
        </w:rPr>
        <w:drawing>
          <wp:anchor distT="0" distB="0" distL="114300" distR="114300" simplePos="0" relativeHeight="251660288" behindDoc="1" locked="0" layoutInCell="1" allowOverlap="1" wp14:anchorId="26938C4F" wp14:editId="184295BF">
            <wp:simplePos x="0" y="0"/>
            <wp:positionH relativeFrom="column">
              <wp:posOffset>3828415</wp:posOffset>
            </wp:positionH>
            <wp:positionV relativeFrom="paragraph">
              <wp:posOffset>62865</wp:posOffset>
            </wp:positionV>
            <wp:extent cx="2487930" cy="952500"/>
            <wp:effectExtent l="0" t="0" r="7620" b="0"/>
            <wp:wrapTight wrapText="bothSides">
              <wp:wrapPolygon edited="0">
                <wp:start x="0" y="0"/>
                <wp:lineTo x="0" y="21168"/>
                <wp:lineTo x="21501" y="21168"/>
                <wp:lineTo x="21501" y="0"/>
                <wp:lineTo x="0" y="0"/>
              </wp:wrapPolygon>
            </wp:wrapTight>
            <wp:docPr id="201322964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839138" name=""/>
                    <pic:cNvPicPr/>
                  </pic:nvPicPr>
                  <pic:blipFill>
                    <a:blip r:embed="rId10">
                      <a:extLst>
                        <a:ext uri="{28A0092B-C50C-407E-A947-70E740481C1C}">
                          <a14:useLocalDpi xmlns:a14="http://schemas.microsoft.com/office/drawing/2010/main" val="0"/>
                        </a:ext>
                      </a:extLst>
                    </a:blip>
                    <a:stretch>
                      <a:fillRect/>
                    </a:stretch>
                  </pic:blipFill>
                  <pic:spPr>
                    <a:xfrm>
                      <a:off x="0" y="0"/>
                      <a:ext cx="2487930" cy="952500"/>
                    </a:xfrm>
                    <a:prstGeom prst="rect">
                      <a:avLst/>
                    </a:prstGeom>
                  </pic:spPr>
                </pic:pic>
              </a:graphicData>
            </a:graphic>
            <wp14:sizeRelH relativeFrom="page">
              <wp14:pctWidth>0</wp14:pctWidth>
            </wp14:sizeRelH>
            <wp14:sizeRelV relativeFrom="page">
              <wp14:pctHeight>0</wp14:pctHeight>
            </wp14:sizeRelV>
          </wp:anchor>
        </w:drawing>
      </w:r>
      <w:r w:rsidR="00514983">
        <w:rPr>
          <w:rFonts w:ascii="Verdana" w:eastAsia="Calibri" w:hAnsi="Verdana" w:cs="Arial"/>
          <w:lang w:eastAsia="es-ES_tradnl"/>
        </w:rPr>
        <w:t>Señor(a)</w:t>
      </w:r>
    </w:p>
    <w:p w14:paraId="32546FA5" w14:textId="2646D8E3" w:rsidR="00514983" w:rsidRDefault="00514983" w:rsidP="00514983">
      <w:pPr>
        <w:spacing w:after="0" w:line="240" w:lineRule="auto"/>
        <w:rPr>
          <w:rFonts w:ascii="Verdana" w:eastAsia="Calibri" w:hAnsi="Verdana" w:cs="Arial"/>
          <w:b/>
          <w:bCs/>
          <w:lang w:eastAsia="es-ES_tradnl"/>
        </w:rPr>
      </w:pPr>
      <w:r>
        <w:rPr>
          <w:rFonts w:ascii="Verdana" w:eastAsia="Calibri" w:hAnsi="Verdana" w:cs="Arial"/>
          <w:b/>
          <w:bCs/>
          <w:lang w:eastAsia="es-ES_tradnl"/>
        </w:rPr>
        <w:t>Anónimo</w:t>
      </w:r>
      <w:r w:rsidR="005519A7" w:rsidRPr="005519A7">
        <w:rPr>
          <w:noProof/>
        </w:rPr>
        <w:t xml:space="preserve"> </w:t>
      </w:r>
    </w:p>
    <w:p w14:paraId="3407392E" w14:textId="3D1596C7" w:rsidR="00514983" w:rsidRDefault="00514983" w:rsidP="00514983">
      <w:pPr>
        <w:spacing w:after="0" w:line="240" w:lineRule="auto"/>
        <w:rPr>
          <w:rFonts w:ascii="Verdana" w:eastAsia="Calibri" w:hAnsi="Verdana" w:cs="Arial"/>
          <w:lang w:eastAsia="es-ES_tradnl"/>
        </w:rPr>
      </w:pPr>
      <w:hyperlink r:id="rId11" w:history="1">
        <w:r w:rsidRPr="00A51524">
          <w:rPr>
            <w:rStyle w:val="Hipervnculo"/>
            <w:rFonts w:ascii="Verdana" w:eastAsia="Calibri" w:hAnsi="Verdana" w:cs="Arial"/>
            <w:lang w:eastAsia="es-ES_tradnl"/>
          </w:rPr>
          <w:t>Mpalmeramoreno@gmail.com</w:t>
        </w:r>
      </w:hyperlink>
    </w:p>
    <w:p w14:paraId="76661416" w14:textId="77777777" w:rsidR="00514983" w:rsidRPr="00514983" w:rsidRDefault="00514983" w:rsidP="00514983">
      <w:pPr>
        <w:spacing w:after="0" w:line="240" w:lineRule="auto"/>
        <w:rPr>
          <w:rFonts w:ascii="Verdana" w:eastAsia="Calibri" w:hAnsi="Verdana" w:cs="Arial"/>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514983" w:rsidRPr="00960F72" w14:paraId="2B9519ED" w14:textId="77777777" w:rsidTr="00733290">
        <w:trPr>
          <w:trHeight w:val="190"/>
        </w:trPr>
        <w:tc>
          <w:tcPr>
            <w:tcW w:w="2689" w:type="dxa"/>
          </w:tcPr>
          <w:p w14:paraId="142957AE" w14:textId="77777777" w:rsidR="00514983" w:rsidRPr="00960F72" w:rsidRDefault="00514983" w:rsidP="00733290">
            <w:pPr>
              <w:jc w:val="both"/>
              <w:rPr>
                <w:rFonts w:ascii="Verdana" w:eastAsia="Calibri" w:hAnsi="Verdana" w:cs="Arial"/>
                <w:b/>
                <w:bCs/>
                <w:lang w:eastAsia="es-ES_tradnl"/>
              </w:rPr>
            </w:pPr>
          </w:p>
        </w:tc>
        <w:tc>
          <w:tcPr>
            <w:tcW w:w="6100" w:type="dxa"/>
          </w:tcPr>
          <w:p w14:paraId="11156A02" w14:textId="77777777" w:rsidR="00514983" w:rsidRPr="00960F72" w:rsidRDefault="00514983" w:rsidP="00733290">
            <w:pPr>
              <w:jc w:val="both"/>
              <w:rPr>
                <w:rFonts w:ascii="Verdana" w:eastAsia="Calibri" w:hAnsi="Verdana" w:cs="Arial"/>
                <w:b/>
                <w:bCs/>
                <w:lang w:eastAsia="es-ES"/>
              </w:rPr>
            </w:pPr>
            <w:r w:rsidRPr="00960F72">
              <w:rPr>
                <w:rFonts w:ascii="Verdana" w:eastAsia="Calibri" w:hAnsi="Verdana" w:cs="Arial"/>
                <w:b/>
                <w:bCs/>
                <w:lang w:eastAsia="es-ES"/>
              </w:rPr>
              <w:t>Concepto C- 1</w:t>
            </w:r>
            <w:r>
              <w:rPr>
                <w:rFonts w:ascii="Verdana" w:eastAsia="Calibri" w:hAnsi="Verdana" w:cs="Arial"/>
                <w:b/>
                <w:bCs/>
                <w:lang w:eastAsia="es-ES"/>
              </w:rPr>
              <w:t>424</w:t>
            </w:r>
            <w:r w:rsidRPr="00960F72">
              <w:rPr>
                <w:rFonts w:ascii="Verdana" w:eastAsia="Calibri" w:hAnsi="Verdana" w:cs="Arial"/>
                <w:b/>
                <w:bCs/>
                <w:lang w:eastAsia="es-ES"/>
              </w:rPr>
              <w:t xml:space="preserve"> de 2025</w:t>
            </w:r>
          </w:p>
          <w:p w14:paraId="7D908040" w14:textId="77777777" w:rsidR="00514983" w:rsidRPr="00960F72" w:rsidRDefault="00514983" w:rsidP="00733290">
            <w:pPr>
              <w:jc w:val="both"/>
              <w:rPr>
                <w:rFonts w:ascii="Verdana" w:eastAsia="Calibri" w:hAnsi="Verdana" w:cs="Arial"/>
                <w:b/>
                <w:bCs/>
                <w:lang w:eastAsia="es-ES"/>
              </w:rPr>
            </w:pPr>
          </w:p>
        </w:tc>
      </w:tr>
      <w:tr w:rsidR="00514983" w:rsidRPr="00960F72" w14:paraId="14B7E395" w14:textId="77777777" w:rsidTr="00733290">
        <w:trPr>
          <w:trHeight w:val="884"/>
        </w:trPr>
        <w:tc>
          <w:tcPr>
            <w:tcW w:w="2689" w:type="dxa"/>
          </w:tcPr>
          <w:p w14:paraId="12106A8C" w14:textId="77777777" w:rsidR="00514983" w:rsidRPr="00960F72" w:rsidRDefault="00514983" w:rsidP="00733290">
            <w:pPr>
              <w:jc w:val="both"/>
              <w:rPr>
                <w:rFonts w:ascii="Verdana" w:eastAsia="Calibri" w:hAnsi="Verdana" w:cs="Arial"/>
                <w:lang w:eastAsia="es-ES_tradnl"/>
              </w:rPr>
            </w:pPr>
            <w:r w:rsidRPr="00960F72">
              <w:rPr>
                <w:rFonts w:ascii="Verdana" w:eastAsia="Calibri" w:hAnsi="Verdana" w:cs="Arial"/>
                <w:b/>
                <w:lang w:eastAsia="es-ES_tradnl"/>
              </w:rPr>
              <w:t>Tema:</w:t>
            </w:r>
            <w:r w:rsidRPr="00960F72">
              <w:rPr>
                <w:rFonts w:ascii="Verdana" w:eastAsia="Calibri" w:hAnsi="Verdana" w:cs="Arial"/>
                <w:lang w:eastAsia="es-ES_tradnl"/>
              </w:rPr>
              <w:t xml:space="preserve">                   </w:t>
            </w:r>
          </w:p>
        </w:tc>
        <w:tc>
          <w:tcPr>
            <w:tcW w:w="6100" w:type="dxa"/>
          </w:tcPr>
          <w:p w14:paraId="1AD44159" w14:textId="77777777" w:rsidR="00514983" w:rsidRDefault="00514983" w:rsidP="00733290">
            <w:pPr>
              <w:jc w:val="both"/>
              <w:rPr>
                <w:rFonts w:ascii="Verdana" w:hAnsi="Verdana" w:cs="Arial"/>
                <w:bCs/>
                <w:color w:val="000000" w:themeColor="text1"/>
                <w:lang w:val="es-ES_tradnl"/>
              </w:rPr>
            </w:pPr>
            <w:r w:rsidRPr="00C53B42">
              <w:rPr>
                <w:rFonts w:ascii="Verdana" w:hAnsi="Verdana" w:cs="Arial"/>
                <w:bCs/>
                <w:color w:val="000000" w:themeColor="text1"/>
                <w:lang w:val="es-ES_tradnl"/>
              </w:rPr>
              <w:t xml:space="preserve">LEY DE GARANTÍAS ELECTORALES ‒ Finalidad / LEY DE GARANTÍAS ELECTORALES ‒ Tipos de restricciones </w:t>
            </w:r>
            <w:r>
              <w:rPr>
                <w:rFonts w:ascii="Verdana" w:hAnsi="Verdana" w:cs="Arial"/>
                <w:bCs/>
                <w:color w:val="000000" w:themeColor="text1"/>
                <w:lang w:val="es-ES_tradnl"/>
              </w:rPr>
              <w:t>– Excepciones</w:t>
            </w:r>
          </w:p>
          <w:p w14:paraId="5BDBA78E" w14:textId="77777777" w:rsidR="00514983" w:rsidRPr="00960F72" w:rsidRDefault="00514983" w:rsidP="00733290">
            <w:pPr>
              <w:jc w:val="both"/>
              <w:rPr>
                <w:rFonts w:ascii="Verdana" w:eastAsia="Calibri" w:hAnsi="Verdana" w:cs="Arial"/>
                <w:lang w:eastAsia="es-ES"/>
              </w:rPr>
            </w:pPr>
          </w:p>
        </w:tc>
      </w:tr>
      <w:tr w:rsidR="00514983" w:rsidRPr="00960F72" w14:paraId="6A6D3088" w14:textId="77777777" w:rsidTr="00733290">
        <w:tc>
          <w:tcPr>
            <w:tcW w:w="2689" w:type="dxa"/>
          </w:tcPr>
          <w:p w14:paraId="6DA27B4E" w14:textId="77777777" w:rsidR="00514983" w:rsidRPr="00960F72" w:rsidRDefault="00514983" w:rsidP="00733290">
            <w:pPr>
              <w:jc w:val="both"/>
              <w:rPr>
                <w:rFonts w:ascii="Verdana" w:eastAsia="Calibri" w:hAnsi="Verdana" w:cs="Arial"/>
                <w:b/>
                <w:lang w:eastAsia="es-ES_tradnl"/>
              </w:rPr>
            </w:pPr>
            <w:r w:rsidRPr="00960F72">
              <w:rPr>
                <w:rFonts w:ascii="Verdana" w:eastAsia="Calibri" w:hAnsi="Verdana" w:cs="Arial"/>
                <w:b/>
                <w:lang w:eastAsia="es-ES_tradnl"/>
              </w:rPr>
              <w:t>Radicación:</w:t>
            </w:r>
            <w:r w:rsidRPr="00960F72">
              <w:rPr>
                <w:rFonts w:ascii="Verdana" w:eastAsia="Calibri" w:hAnsi="Verdana" w:cs="Arial"/>
                <w:lang w:eastAsia="es-ES_tradnl"/>
              </w:rPr>
              <w:t xml:space="preserve">               </w:t>
            </w:r>
          </w:p>
        </w:tc>
        <w:tc>
          <w:tcPr>
            <w:tcW w:w="6100" w:type="dxa"/>
          </w:tcPr>
          <w:p w14:paraId="0D6157AD" w14:textId="77777777" w:rsidR="00514983" w:rsidRPr="00960F72" w:rsidRDefault="00514983" w:rsidP="00733290">
            <w:pPr>
              <w:jc w:val="both"/>
              <w:rPr>
                <w:rFonts w:ascii="Verdana" w:eastAsia="Calibri" w:hAnsi="Verdana" w:cs="Arial"/>
                <w:lang w:eastAsia="es-ES_tradnl"/>
              </w:rPr>
            </w:pPr>
            <w:r w:rsidRPr="00960F72">
              <w:rPr>
                <w:rFonts w:ascii="Verdana" w:eastAsia="Calibri" w:hAnsi="Verdana" w:cs="Arial"/>
                <w:lang w:eastAsia="es-ES_tradnl"/>
              </w:rPr>
              <w:t xml:space="preserve">Respuesta a consulta con radicado No. </w:t>
            </w:r>
            <w:r w:rsidRPr="008F120A">
              <w:rPr>
                <w:rFonts w:ascii="Verdana" w:eastAsia="Calibri" w:hAnsi="Verdana" w:cs="Arial"/>
                <w:lang w:eastAsia="es-ES_tradnl"/>
              </w:rPr>
              <w:t>1_2025_10_02_010967</w:t>
            </w:r>
          </w:p>
        </w:tc>
      </w:tr>
    </w:tbl>
    <w:p w14:paraId="64B5D7C9" w14:textId="77777777" w:rsidR="00514983" w:rsidRPr="00960F72" w:rsidRDefault="00514983" w:rsidP="00514983">
      <w:pPr>
        <w:spacing w:after="0" w:line="240" w:lineRule="auto"/>
        <w:jc w:val="both"/>
        <w:rPr>
          <w:rFonts w:ascii="Verdana" w:eastAsia="Calibri" w:hAnsi="Verdana" w:cs="Arial"/>
          <w:lang w:eastAsia="es-ES_tradnl"/>
        </w:rPr>
      </w:pPr>
    </w:p>
    <w:p w14:paraId="2F241F19" w14:textId="77777777" w:rsidR="00514983" w:rsidRPr="00960F72" w:rsidRDefault="00514983" w:rsidP="00514983">
      <w:pPr>
        <w:spacing w:after="0" w:line="276" w:lineRule="auto"/>
        <w:jc w:val="both"/>
        <w:rPr>
          <w:rFonts w:ascii="Verdana" w:eastAsia="Calibri" w:hAnsi="Verdana" w:cs="Arial"/>
          <w:lang w:eastAsia="es-ES"/>
        </w:rPr>
      </w:pPr>
      <w:r>
        <w:rPr>
          <w:rFonts w:ascii="Verdana" w:eastAsia="Calibri" w:hAnsi="Verdana" w:cs="Arial"/>
          <w:lang w:eastAsia="es-ES"/>
        </w:rPr>
        <w:t>Estimado(a):</w:t>
      </w:r>
    </w:p>
    <w:p w14:paraId="17C9DD33" w14:textId="77777777" w:rsidR="00514983" w:rsidRPr="00960F72" w:rsidRDefault="00514983" w:rsidP="00514983">
      <w:pPr>
        <w:tabs>
          <w:tab w:val="left" w:pos="3768"/>
        </w:tabs>
        <w:spacing w:after="0" w:line="276" w:lineRule="auto"/>
        <w:jc w:val="both"/>
        <w:rPr>
          <w:rFonts w:ascii="Verdana" w:eastAsia="Calibri" w:hAnsi="Verdana" w:cs="Arial"/>
          <w:lang w:eastAsia="es-ES"/>
        </w:rPr>
      </w:pPr>
    </w:p>
    <w:p w14:paraId="36379C35" w14:textId="77777777" w:rsidR="00514983" w:rsidRPr="00960F72" w:rsidRDefault="00514983" w:rsidP="00514983">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 xml:space="preserve">la Agencia Nacional de Contratación Pública – Colombia Compra Eficiente– responde su solicitud de consulta de fecha del </w:t>
      </w:r>
      <w:r>
        <w:rPr>
          <w:rFonts w:ascii="Verdana" w:eastAsia="Calibri" w:hAnsi="Verdana" w:cs="Arial"/>
          <w:lang w:eastAsia="es-ES"/>
        </w:rPr>
        <w:t>02</w:t>
      </w:r>
      <w:r w:rsidRPr="00960F72">
        <w:rPr>
          <w:rFonts w:ascii="Verdana" w:eastAsia="Calibri" w:hAnsi="Verdana" w:cs="Arial"/>
          <w:lang w:eastAsia="es-ES"/>
        </w:rPr>
        <w:t xml:space="preserve"> de </w:t>
      </w:r>
      <w:r>
        <w:rPr>
          <w:rFonts w:ascii="Verdana" w:eastAsia="Calibri" w:hAnsi="Verdana" w:cs="Arial"/>
          <w:lang w:eastAsia="es-ES"/>
        </w:rPr>
        <w:t>octubre</w:t>
      </w:r>
      <w:r w:rsidRPr="00960F72">
        <w:rPr>
          <w:rFonts w:ascii="Verdana" w:eastAsia="Calibri" w:hAnsi="Verdana" w:cs="Arial"/>
          <w:lang w:eastAsia="es-ES"/>
        </w:rPr>
        <w:t xml:space="preserve"> de 2025, en la cual manifiesta lo siguiente: </w:t>
      </w:r>
    </w:p>
    <w:p w14:paraId="0E707D51" w14:textId="77777777" w:rsidR="00514983" w:rsidRPr="00960F72" w:rsidRDefault="00514983" w:rsidP="00514983">
      <w:pPr>
        <w:spacing w:after="0" w:line="276" w:lineRule="auto"/>
        <w:jc w:val="both"/>
        <w:rPr>
          <w:rFonts w:ascii="Verdana" w:eastAsia="Calibri" w:hAnsi="Verdana" w:cs="Arial"/>
          <w:lang w:eastAsia="es-ES"/>
        </w:rPr>
      </w:pPr>
    </w:p>
    <w:p w14:paraId="0C843AA9" w14:textId="77777777" w:rsidR="00514983" w:rsidRDefault="00514983" w:rsidP="00514983">
      <w:pPr>
        <w:spacing w:after="0" w:line="240"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w:t>
      </w:r>
      <w:r w:rsidRPr="008F120A">
        <w:rPr>
          <w:rFonts w:ascii="Verdana" w:eastAsia="Calibri" w:hAnsi="Verdana" w:cs="Arial"/>
          <w:sz w:val="20"/>
          <w:szCs w:val="20"/>
          <w:lang w:eastAsia="es-ES"/>
        </w:rPr>
        <w:t xml:space="preserve">Buen día, teniendo en cuenta que actualmente en el Magdalena debido a las elecciones atípicas nos encontramos inmersos en Ley de Garantías, es necesario consultar acerca de las excepciones previstas en la Ley 996 de 2005, todo ello en base a que se busca la suscripción de un convenio interadministrativo con el INPEC para el traslado de PPL recluidos en los </w:t>
      </w:r>
      <w:proofErr w:type="gramStart"/>
      <w:r w:rsidRPr="008F120A">
        <w:rPr>
          <w:rFonts w:ascii="Verdana" w:eastAsia="Calibri" w:hAnsi="Verdana" w:cs="Arial"/>
          <w:sz w:val="20"/>
          <w:szCs w:val="20"/>
          <w:lang w:eastAsia="es-ES"/>
        </w:rPr>
        <w:t>centro transitorios</w:t>
      </w:r>
      <w:proofErr w:type="gramEnd"/>
      <w:r w:rsidRPr="008F120A">
        <w:rPr>
          <w:rFonts w:ascii="Verdana" w:eastAsia="Calibri" w:hAnsi="Verdana" w:cs="Arial"/>
          <w:sz w:val="20"/>
          <w:szCs w:val="20"/>
          <w:lang w:eastAsia="es-ES"/>
        </w:rPr>
        <w:t xml:space="preserve"> hacia el Establecimiento Penitenciario de la ciudad. La duda puntual es si la excepción de Seguridad y Justicia se enmarca para la suscripción del convenio antes mencionado, y, en caso de existir concepto por parte de su entidad agradecería me alleguen el mismo para el respectivo sustento</w:t>
      </w:r>
      <w:r w:rsidRPr="002762D2">
        <w:rPr>
          <w:rFonts w:ascii="Verdana" w:eastAsia="Calibri" w:hAnsi="Verdana" w:cs="Arial"/>
          <w:sz w:val="20"/>
          <w:szCs w:val="20"/>
          <w:lang w:eastAsia="es-ES"/>
        </w:rPr>
        <w:t>.</w:t>
      </w:r>
      <w:r>
        <w:rPr>
          <w:rFonts w:ascii="Verdana" w:eastAsia="Calibri" w:hAnsi="Verdana" w:cs="Arial"/>
          <w:sz w:val="20"/>
          <w:szCs w:val="20"/>
          <w:lang w:eastAsia="es-ES"/>
        </w:rPr>
        <w:t>”</w:t>
      </w:r>
    </w:p>
    <w:p w14:paraId="47CB1BA4" w14:textId="77777777" w:rsidR="00514983" w:rsidRPr="00755387" w:rsidRDefault="00514983" w:rsidP="00514983">
      <w:pPr>
        <w:spacing w:after="0" w:line="276" w:lineRule="auto"/>
        <w:ind w:left="709" w:right="709"/>
        <w:jc w:val="both"/>
        <w:rPr>
          <w:rFonts w:ascii="Verdana" w:eastAsia="Calibri" w:hAnsi="Verdana" w:cs="Arial"/>
          <w:lang w:eastAsia="es-ES"/>
        </w:rPr>
      </w:pPr>
    </w:p>
    <w:p w14:paraId="55F04FE6" w14:textId="77777777" w:rsidR="00514983" w:rsidRPr="00960F72" w:rsidRDefault="00514983" w:rsidP="00514983">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w:t>
      </w:r>
      <w:r w:rsidRPr="00960F72">
        <w:rPr>
          <w:rFonts w:ascii="Verdana" w:eastAsia="Calibri" w:hAnsi="Verdana" w:cs="Arial"/>
          <w:lang w:eastAsia="es-ES"/>
        </w:rPr>
        <w:lastRenderedPageBreak/>
        <w:t xml:space="preserve">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7F3604EA" w14:textId="77777777" w:rsidR="00514983" w:rsidRPr="00960F72" w:rsidRDefault="00514983" w:rsidP="00514983">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Conforme lo expuesto, en aras de satisfacer el derecho fundamental de petición</w:t>
      </w:r>
      <w:r>
        <w:rPr>
          <w:rFonts w:ascii="Verdana" w:eastAsia="Calibri" w:hAnsi="Verdana" w:cs="Arial"/>
          <w:lang w:eastAsia="es-ES"/>
        </w:rPr>
        <w:t>,</w:t>
      </w:r>
      <w:r w:rsidRPr="00960F72">
        <w:rPr>
          <w:rFonts w:ascii="Verdana" w:eastAsia="Calibri" w:hAnsi="Verdana" w:cs="Arial"/>
          <w:lang w:eastAsia="es-ES"/>
        </w:rPr>
        <w:t xml:space="preserve">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eastAsia="es-ES"/>
        </w:rPr>
        <w:t>señalando</w:t>
      </w:r>
      <w:r w:rsidRPr="00960F72">
        <w:rPr>
          <w:rFonts w:ascii="Verdana" w:eastAsia="Calibri" w:hAnsi="Verdana" w:cs="Arial"/>
          <w:lang w:eastAsia="es-ES"/>
        </w:rPr>
        <w:t xml:space="preserve"> </w:t>
      </w:r>
      <w:r>
        <w:rPr>
          <w:rFonts w:ascii="Verdana" w:eastAsia="Calibri" w:hAnsi="Verdana" w:cs="Arial"/>
          <w:lang w:eastAsia="es-ES"/>
        </w:rPr>
        <w:t>alg</w:t>
      </w:r>
      <w:r w:rsidRPr="00960F72">
        <w:rPr>
          <w:rFonts w:ascii="Verdana" w:eastAsia="Calibri" w:hAnsi="Verdana" w:cs="Arial"/>
          <w:lang w:eastAsia="es-ES"/>
        </w:rPr>
        <w:t xml:space="preserve">unas consideraciones sobre las normas generales relacionadas con el problema jurídico de su consulta. </w:t>
      </w:r>
    </w:p>
    <w:p w14:paraId="56678775" w14:textId="77777777" w:rsidR="00514983" w:rsidRPr="00960F72" w:rsidRDefault="00514983" w:rsidP="00514983">
      <w:pPr>
        <w:spacing w:after="0" w:line="276" w:lineRule="auto"/>
        <w:ind w:firstLine="709"/>
        <w:jc w:val="both"/>
        <w:rPr>
          <w:rFonts w:ascii="Verdana" w:eastAsia="Calibri" w:hAnsi="Verdana" w:cs="Arial"/>
          <w:lang w:eastAsia="es-ES"/>
        </w:rPr>
      </w:pPr>
    </w:p>
    <w:p w14:paraId="5CC4767C" w14:textId="77777777" w:rsidR="00514983" w:rsidRPr="00960F72" w:rsidRDefault="00514983" w:rsidP="0051498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Problema planteado:</w:t>
      </w:r>
    </w:p>
    <w:p w14:paraId="78024ADC" w14:textId="77777777" w:rsidR="00514983" w:rsidRPr="00960F72" w:rsidRDefault="00514983" w:rsidP="00514983">
      <w:pPr>
        <w:tabs>
          <w:tab w:val="left" w:pos="426"/>
        </w:tabs>
        <w:spacing w:after="0" w:line="276" w:lineRule="auto"/>
        <w:jc w:val="both"/>
        <w:rPr>
          <w:rFonts w:ascii="Verdana" w:eastAsia="Century Gothic" w:hAnsi="Verdana" w:cs="Century Gothic"/>
        </w:rPr>
      </w:pPr>
    </w:p>
    <w:p w14:paraId="0AFED5A2" w14:textId="77777777" w:rsidR="00514983" w:rsidRPr="00BE7F01" w:rsidRDefault="00514983" w:rsidP="00514983">
      <w:pPr>
        <w:spacing w:after="0" w:line="276" w:lineRule="auto"/>
        <w:jc w:val="both"/>
        <w:rPr>
          <w:rFonts w:ascii="Verdana" w:eastAsia="Century Gothic" w:hAnsi="Verdana" w:cs="Century Gothic"/>
        </w:rPr>
      </w:pPr>
      <w:r w:rsidRPr="00960F72">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Pr="00BE7F01">
        <w:rPr>
          <w:rFonts w:ascii="Verdana" w:eastAsia="Century Gothic" w:hAnsi="Verdana" w:cs="Century Gothic"/>
        </w:rPr>
        <w:t>¿</w:t>
      </w:r>
      <w:r w:rsidRPr="00FB68F0">
        <w:rPr>
          <w:rFonts w:ascii="Verdana" w:eastAsia="Century Gothic" w:hAnsi="Verdana" w:cs="Century Gothic"/>
        </w:rPr>
        <w:t>Es procedente la celebración de un convenio interadministrativo con el Instituto Nacional Penitenciario y Carcelario –INPEC– durante la vigencia de la Ley de Garantías Electorales, cuando su objeto está relacionado con actividades propias del sector de seguridad y justicia, como el traslado de personas privadas de la libertad?</w:t>
      </w:r>
    </w:p>
    <w:p w14:paraId="6D565721" w14:textId="77777777" w:rsidR="00514983" w:rsidRPr="00960F72" w:rsidRDefault="00514983" w:rsidP="00514983">
      <w:pPr>
        <w:spacing w:after="0" w:line="276" w:lineRule="auto"/>
        <w:jc w:val="both"/>
        <w:rPr>
          <w:rFonts w:ascii="Verdana" w:eastAsia="Century Gothic" w:hAnsi="Verdana" w:cs="Century Gothic"/>
        </w:rPr>
      </w:pPr>
    </w:p>
    <w:p w14:paraId="24597E6F" w14:textId="77777777" w:rsidR="00514983" w:rsidRPr="00960F72" w:rsidRDefault="00514983" w:rsidP="0051498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Respuesta:</w:t>
      </w:r>
    </w:p>
    <w:p w14:paraId="18541C1A" w14:textId="77777777" w:rsidR="00514983" w:rsidRPr="00960F72" w:rsidRDefault="00514983" w:rsidP="00514983">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14983" w:rsidRPr="00960F72" w14:paraId="5B02C180" w14:textId="77777777" w:rsidTr="00733290">
        <w:tc>
          <w:tcPr>
            <w:tcW w:w="8828" w:type="dxa"/>
          </w:tcPr>
          <w:p w14:paraId="6DC6D8A0" w14:textId="77777777" w:rsidR="00514983" w:rsidRDefault="00514983" w:rsidP="00733290">
            <w:pPr>
              <w:spacing w:after="120" w:line="276" w:lineRule="auto"/>
              <w:jc w:val="both"/>
              <w:rPr>
                <w:rFonts w:ascii="Verdana" w:eastAsia="Times New Roman" w:hAnsi="Verdana" w:cs="Open Sans"/>
                <w:lang w:eastAsia="es-CO"/>
              </w:rPr>
            </w:pPr>
            <w:r w:rsidRPr="00DE5508">
              <w:rPr>
                <w:rFonts w:ascii="Verdana" w:eastAsia="Times New Roman" w:hAnsi="Verdana" w:cs="Open Sans"/>
                <w:lang w:eastAsia="es-CO"/>
              </w:rPr>
              <w:t xml:space="preserve">El artículo 33 de la Ley 996 de 2205 prohíbe la contratación directa por parte de todos los entes estatales durante los cuatro meses anteriores a las elecciones presidenciales y dispone las excepciones a dicha prohibición. Así, su ámbito de prohibición está delimitado por la expresión “queda prohibida la contratación directa” y para los efectos de la Ley de Garantías Electorales y, en particular, para la prohibición o restricción temporal contenida en su artículo 33, “contratación directa” </w:t>
            </w:r>
            <w:r w:rsidRPr="485EFC16">
              <w:rPr>
                <w:rFonts w:ascii="Verdana" w:eastAsia="Times New Roman" w:hAnsi="Verdana" w:cs="Open Sans"/>
                <w:lang w:eastAsia="es-CO"/>
              </w:rPr>
              <w:t>se refiere a</w:t>
            </w:r>
            <w:r w:rsidRPr="00DE5508">
              <w:rPr>
                <w:rFonts w:ascii="Verdana" w:eastAsia="Times New Roman" w:hAnsi="Verdana" w:cs="Open Sans"/>
                <w:lang w:eastAsia="es-CO"/>
              </w:rPr>
              <w:t xml:space="preserve"> cualquier sistema de selección o procedimiento de contratación utilizado por las entidades estatales que no incluya la convocatoria pública en alguna de sus etapas, ni permita la participación de una pluralidad de oferentes. </w:t>
            </w:r>
          </w:p>
          <w:p w14:paraId="00716166" w14:textId="77777777" w:rsidR="00514983" w:rsidRDefault="00514983" w:rsidP="00733290">
            <w:pPr>
              <w:spacing w:after="120" w:line="276" w:lineRule="auto"/>
              <w:ind w:firstLine="708"/>
              <w:jc w:val="both"/>
              <w:rPr>
                <w:rFonts w:ascii="Verdana" w:hAnsi="Verdana"/>
              </w:rPr>
            </w:pPr>
            <w:r>
              <w:rPr>
                <w:rFonts w:ascii="Verdana" w:eastAsia="Times New Roman" w:hAnsi="Verdana" w:cs="Open Sans"/>
                <w:lang w:eastAsia="es-CO"/>
              </w:rPr>
              <w:lastRenderedPageBreak/>
              <w:t>Por s</w:t>
            </w:r>
            <w:r w:rsidRPr="00D44FF2">
              <w:rPr>
                <w:rFonts w:ascii="Verdana" w:eastAsia="Times New Roman" w:hAnsi="Verdana" w:cs="Open Sans"/>
                <w:lang w:eastAsia="es-CO"/>
              </w:rPr>
              <w:t xml:space="preserve">u parte, </w:t>
            </w:r>
            <w:r w:rsidRPr="00D44FF2">
              <w:rPr>
                <w:rFonts w:ascii="Verdana" w:hAnsi="Verdana"/>
              </w:rPr>
              <w:t xml:space="preserve">los destinatarios de la prohibición están expresamente señalados como </w:t>
            </w:r>
            <w:r>
              <w:rPr>
                <w:rFonts w:ascii="Verdana" w:hAnsi="Verdana"/>
              </w:rPr>
              <w:t>“</w:t>
            </w:r>
            <w:r w:rsidRPr="00D44FF2">
              <w:rPr>
                <w:rFonts w:ascii="Verdana" w:hAnsi="Verdana"/>
              </w:rPr>
              <w:t>todos los entes del Estado</w:t>
            </w:r>
            <w:r>
              <w:rPr>
                <w:rFonts w:ascii="Verdana" w:hAnsi="Verdana"/>
              </w:rPr>
              <w:t>”</w:t>
            </w:r>
            <w:r w:rsidRPr="00D44FF2">
              <w:rPr>
                <w:rFonts w:ascii="Verdana" w:hAnsi="Verdana"/>
              </w:rPr>
              <w:t xml:space="preserve">, expresión que contempla a los diferentes organismos o entidades autorizadas por la ley para suscribir contratos. En efecto, tal como lo ha sostenido el Consejo de Estado, el vocablo </w:t>
            </w:r>
            <w:r>
              <w:rPr>
                <w:rFonts w:ascii="Verdana" w:hAnsi="Verdana"/>
              </w:rPr>
              <w:t>“</w:t>
            </w:r>
            <w:r w:rsidRPr="00D44FF2">
              <w:rPr>
                <w:rFonts w:ascii="Verdana" w:hAnsi="Verdana"/>
              </w:rPr>
              <w:t>todos</w:t>
            </w:r>
            <w:r>
              <w:rPr>
                <w:rFonts w:ascii="Verdana" w:hAnsi="Verdana"/>
              </w:rPr>
              <w:t>”</w:t>
            </w:r>
            <w:r w:rsidRPr="00D44FF2">
              <w:rPr>
                <w:rFonts w:ascii="Verdana" w:hAnsi="Verdana"/>
              </w:rPr>
              <w:t xml:space="preserve">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Pr>
                <w:rFonts w:ascii="Verdana" w:hAnsi="Verdana"/>
              </w:rPr>
              <w:t xml:space="preserve"> </w:t>
            </w:r>
          </w:p>
          <w:p w14:paraId="18B22F7E" w14:textId="77777777" w:rsidR="00514983" w:rsidRDefault="00514983" w:rsidP="00733290">
            <w:pPr>
              <w:spacing w:after="120" w:line="276" w:lineRule="auto"/>
              <w:ind w:firstLine="708"/>
              <w:jc w:val="both"/>
              <w:rPr>
                <w:rFonts w:ascii="Verdana" w:hAnsi="Verdana"/>
              </w:rPr>
            </w:pPr>
            <w:r>
              <w:rPr>
                <w:rFonts w:ascii="Verdana" w:hAnsi="Verdana"/>
              </w:rPr>
              <w:t xml:space="preserve">No obstante lo anterior, </w:t>
            </w:r>
            <w:r w:rsidRPr="006A640E">
              <w:rPr>
                <w:rFonts w:ascii="Verdana" w:hAnsi="Verdana"/>
              </w:rPr>
              <w:t xml:space="preserve">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6A640E">
              <w:rPr>
                <w:rFonts w:ascii="Verdana" w:hAnsi="Verdana"/>
              </w:rPr>
              <w:t>ii</w:t>
            </w:r>
            <w:proofErr w:type="spellEnd"/>
            <w:r w:rsidRPr="006A640E">
              <w:rPr>
                <w:rFonts w:ascii="Verdana" w:hAnsi="Verdana"/>
              </w:rPr>
              <w:t xml:space="preserve">) los contratos de crédito público; </w:t>
            </w:r>
            <w:proofErr w:type="spellStart"/>
            <w:r w:rsidRPr="006A640E">
              <w:rPr>
                <w:rFonts w:ascii="Verdana" w:hAnsi="Verdana"/>
              </w:rPr>
              <w:t>iii</w:t>
            </w:r>
            <w:proofErr w:type="spellEnd"/>
            <w:r w:rsidRPr="006A640E">
              <w:rPr>
                <w:rFonts w:ascii="Verdana" w:hAnsi="Verdana"/>
              </w:rPr>
              <w:t xml:space="preserve">) los requeridos para cubrir las emergencias educativas, sanitarias y desastres; </w:t>
            </w:r>
            <w:proofErr w:type="spellStart"/>
            <w:r w:rsidRPr="006A640E">
              <w:rPr>
                <w:rFonts w:ascii="Verdana" w:hAnsi="Verdana"/>
              </w:rPr>
              <w:t>iv</w:t>
            </w:r>
            <w:proofErr w:type="spellEnd"/>
            <w:r w:rsidRPr="006A640E">
              <w:rPr>
                <w:rFonts w:ascii="Verdana" w:hAnsi="Verdana"/>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p>
          <w:p w14:paraId="06D4B96A" w14:textId="755183CB" w:rsidR="00514983" w:rsidRDefault="00514983" w:rsidP="00584F44">
            <w:pPr>
              <w:spacing w:after="120" w:line="276" w:lineRule="auto"/>
              <w:ind w:firstLine="708"/>
              <w:jc w:val="both"/>
              <w:rPr>
                <w:rFonts w:ascii="Verdana" w:hAnsi="Verdana"/>
              </w:rPr>
            </w:pPr>
            <w:r w:rsidRPr="0060146E">
              <w:rPr>
                <w:rFonts w:ascii="Verdana" w:hAnsi="Verdana"/>
              </w:rPr>
              <w:t xml:space="preserve">Así, en virtud del </w:t>
            </w:r>
            <w:r>
              <w:rPr>
                <w:rFonts w:ascii="Verdana" w:hAnsi="Verdana"/>
              </w:rPr>
              <w:t xml:space="preserve">primer </w:t>
            </w:r>
            <w:r w:rsidRPr="0060146E">
              <w:rPr>
                <w:rFonts w:ascii="Verdana" w:hAnsi="Verdana"/>
              </w:rPr>
              <w:t xml:space="preserve">evento mencionado como excepción en la norma, </w:t>
            </w:r>
            <w:r w:rsidRPr="24990E93">
              <w:rPr>
                <w:rFonts w:ascii="Verdana" w:hAnsi="Verdana"/>
              </w:rPr>
              <w:t xml:space="preserve">es deber </w:t>
            </w:r>
            <w:r>
              <w:rPr>
                <w:rFonts w:ascii="Verdana" w:hAnsi="Verdana"/>
              </w:rPr>
              <w:t xml:space="preserve">de las Entidades </w:t>
            </w:r>
            <w:r w:rsidRPr="24990E93">
              <w:rPr>
                <w:rFonts w:ascii="Verdana" w:hAnsi="Verdana"/>
              </w:rPr>
              <w:t xml:space="preserve">verificar si </w:t>
            </w:r>
            <w:proofErr w:type="gramStart"/>
            <w:r w:rsidRPr="0060146E">
              <w:rPr>
                <w:rFonts w:ascii="Verdana" w:hAnsi="Verdana"/>
              </w:rPr>
              <w:t>podrían</w:t>
            </w:r>
            <w:proofErr w:type="gramEnd"/>
            <w:r w:rsidRPr="0060146E">
              <w:rPr>
                <w:rFonts w:ascii="Verdana" w:hAnsi="Verdana"/>
              </w:rPr>
              <w:t xml:space="preserve"> suscribir contratos bajo la modalidad de contratación directa bajo la mencionada excepción al considerarse </w:t>
            </w:r>
            <w:r>
              <w:rPr>
                <w:rFonts w:ascii="Verdana" w:hAnsi="Verdana"/>
              </w:rPr>
              <w:t>de defensa y seguridad del Estado</w:t>
            </w:r>
            <w:r w:rsidRPr="0060146E">
              <w:rPr>
                <w:rFonts w:ascii="Verdana" w:hAnsi="Verdana"/>
              </w:rPr>
              <w:t>. En todo</w:t>
            </w:r>
            <w:r>
              <w:rPr>
                <w:rFonts w:ascii="Verdana" w:hAnsi="Verdana"/>
              </w:rPr>
              <w:t xml:space="preserve"> caso, e</w:t>
            </w:r>
            <w:r w:rsidRPr="006A640E">
              <w:rPr>
                <w:rFonts w:ascii="Verdana" w:hAnsi="Verdana"/>
              </w:rPr>
              <w:t>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29D9BECF" w14:textId="01CF3330" w:rsidR="00514983" w:rsidRPr="00584F44" w:rsidRDefault="009E340E" w:rsidP="00584F44">
            <w:pPr>
              <w:spacing w:after="120" w:line="276" w:lineRule="auto"/>
              <w:ind w:firstLine="708"/>
              <w:jc w:val="both"/>
              <w:rPr>
                <w:rFonts w:ascii="Verdana" w:hAnsi="Verdana"/>
              </w:rPr>
            </w:pPr>
            <w:r>
              <w:rPr>
                <w:rFonts w:ascii="Verdana" w:hAnsi="Verdana"/>
              </w:rPr>
              <w:t xml:space="preserve">Es importante precisar que, la prohibición contenida en el parágrafo del artículo 38 no consagra excepciones, contrario a la prohibición del artículo 33. En ese sentido, las excepciones contempladas frente a la restricción de contratación directa no puede extenderse a la restricción de celebrar convenios interadministrativos previo a las elecciones. </w:t>
            </w:r>
            <w:r w:rsidR="00414848">
              <w:rPr>
                <w:rFonts w:ascii="Verdana" w:hAnsi="Verdana"/>
              </w:rPr>
              <w:t xml:space="preserve">Es menester indicar que al ser </w:t>
            </w:r>
            <w:r w:rsidR="00414848">
              <w:rPr>
                <w:rFonts w:ascii="Verdana" w:hAnsi="Verdana"/>
              </w:rPr>
              <w:lastRenderedPageBreak/>
              <w:t>excepciones a una prohibición su interpretación es restrictiva, por lo cual no se puede extender a casos no contemplados en la norma.</w:t>
            </w:r>
          </w:p>
          <w:p w14:paraId="2179DC3D" w14:textId="77777777" w:rsidR="00514983" w:rsidRPr="000521F4" w:rsidRDefault="00514983" w:rsidP="00584F44">
            <w:pPr>
              <w:pStyle w:val="Prrafodelista"/>
              <w:spacing w:line="276" w:lineRule="auto"/>
              <w:ind w:left="0" w:firstLine="709"/>
              <w:contextualSpacing w:val="0"/>
              <w:jc w:val="both"/>
              <w:rPr>
                <w:rFonts w:ascii="Verdana" w:eastAsia="Aptos" w:hAnsi="Verdana" w:cs="Arial"/>
                <w:shd w:val="clear" w:color="auto" w:fill="FFFFFF"/>
              </w:rPr>
            </w:pPr>
            <w:r w:rsidRPr="00DE5508">
              <w:rPr>
                <w:rFonts w:ascii="Verdana" w:hAnsi="Verdana"/>
              </w:rPr>
              <w:t>Dentro de este marco, corresponde a cada entidad pública, en ejercicio de su competencia y previa valoración de los elementos fácticos y jurídicos, así como de las disposiciones legales mencionadas, determinar su gestión contractual durante la aplicación de las restricciones de la Ley de Garantías Electorales.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3D0447">
              <w:rPr>
                <w:rFonts w:ascii="Verdana" w:hAnsi="Verdana"/>
              </w:rPr>
              <w:t xml:space="preserve"> </w:t>
            </w:r>
          </w:p>
        </w:tc>
      </w:tr>
    </w:tbl>
    <w:p w14:paraId="3435B4EF" w14:textId="77777777" w:rsidR="00514983" w:rsidRPr="00960F72" w:rsidRDefault="00514983" w:rsidP="00514983">
      <w:pPr>
        <w:tabs>
          <w:tab w:val="left" w:pos="142"/>
          <w:tab w:val="left" w:pos="284"/>
        </w:tabs>
        <w:spacing w:after="0" w:line="276" w:lineRule="auto"/>
        <w:jc w:val="both"/>
        <w:rPr>
          <w:rFonts w:ascii="Verdana" w:eastAsia="Century Gothic" w:hAnsi="Verdana" w:cs="Century Gothic"/>
          <w:b/>
          <w:bCs/>
        </w:rPr>
      </w:pPr>
    </w:p>
    <w:p w14:paraId="0B6B0813" w14:textId="77777777" w:rsidR="00514983" w:rsidRDefault="00514983" w:rsidP="0051498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Razones de la respuesta:</w:t>
      </w:r>
    </w:p>
    <w:p w14:paraId="24216CD0" w14:textId="77777777" w:rsidR="00514983" w:rsidRDefault="00514983" w:rsidP="00514983">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31582BF9" w14:textId="77777777" w:rsidR="00514983" w:rsidRDefault="00514983" w:rsidP="00514983">
      <w:pPr>
        <w:spacing w:after="0" w:line="276" w:lineRule="auto"/>
        <w:jc w:val="both"/>
        <w:rPr>
          <w:rFonts w:ascii="Verdana" w:eastAsia="Calibri" w:hAnsi="Verdana" w:cs="Arial"/>
          <w:lang w:val="es-ES"/>
        </w:rPr>
      </w:pPr>
      <w:r w:rsidRPr="00045AE0">
        <w:rPr>
          <w:rFonts w:ascii="Verdana" w:eastAsia="Calibri" w:hAnsi="Verdana" w:cs="Arial"/>
          <w:lang w:val="es-ES"/>
        </w:rPr>
        <w:t xml:space="preserve">Lo anterior se sustenta en las siguientes consideraciones: </w:t>
      </w:r>
    </w:p>
    <w:p w14:paraId="1E9BC314" w14:textId="77777777" w:rsidR="00514983" w:rsidRDefault="00514983" w:rsidP="00514983">
      <w:pPr>
        <w:spacing w:after="0" w:line="276" w:lineRule="auto"/>
        <w:jc w:val="both"/>
        <w:rPr>
          <w:rFonts w:ascii="Verdana" w:eastAsia="Calibri" w:hAnsi="Verdana" w:cs="Arial"/>
          <w:lang w:val="es-ES"/>
        </w:rPr>
      </w:pPr>
    </w:p>
    <w:p w14:paraId="5897A504" w14:textId="77777777" w:rsidR="00514983" w:rsidRDefault="00514983" w:rsidP="00514983">
      <w:pPr>
        <w:tabs>
          <w:tab w:val="left" w:pos="426"/>
        </w:tabs>
        <w:spacing w:after="120" w:line="276" w:lineRule="auto"/>
        <w:jc w:val="both"/>
        <w:rPr>
          <w:rFonts w:ascii="Verdana" w:eastAsia="Calibri" w:hAnsi="Verdana" w:cs="Arial"/>
          <w:lang w:val="es-ES_tradnl"/>
        </w:rPr>
      </w:pPr>
      <w:r>
        <w:rPr>
          <w:rFonts w:ascii="Verdana" w:eastAsia="Times New Roman" w:hAnsi="Verdana" w:cs="Arial"/>
          <w:lang w:val="es-MX" w:eastAsia="es-CO"/>
        </w:rPr>
        <w:t>L</w:t>
      </w:r>
      <w:r w:rsidRPr="00E2397D">
        <w:rPr>
          <w:rFonts w:ascii="Verdana" w:eastAsia="Times New Roman" w:hAnsi="Verdana" w:cs="Arial"/>
          <w:lang w:val="es-MX" w:eastAsia="es-CO"/>
        </w:rPr>
        <w:t>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2"/>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p>
    <w:p w14:paraId="4CA2609F" w14:textId="77777777" w:rsidR="00514983" w:rsidRPr="006B14B5" w:rsidRDefault="00514983" w:rsidP="00514983">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0C618942" w14:textId="77777777" w:rsidR="00514983" w:rsidRPr="00E2397D" w:rsidRDefault="00514983" w:rsidP="00514983">
      <w:pPr>
        <w:spacing w:after="0" w:line="276" w:lineRule="auto"/>
        <w:ind w:right="709"/>
        <w:contextualSpacing/>
        <w:jc w:val="both"/>
        <w:rPr>
          <w:rFonts w:ascii="Verdana" w:eastAsia="Times New Roman" w:hAnsi="Verdana" w:cs="Arial"/>
          <w:lang w:val="es-ES" w:eastAsia="es-CO"/>
        </w:rPr>
      </w:pPr>
    </w:p>
    <w:p w14:paraId="14DB661F" w14:textId="77777777" w:rsidR="00514983" w:rsidRPr="00E2397D" w:rsidRDefault="00514983" w:rsidP="00514983">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lastRenderedPageBreak/>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3FE96F21" w14:textId="77777777" w:rsidR="00514983" w:rsidRPr="00E2397D" w:rsidRDefault="00514983" w:rsidP="00514983">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795923D8" w14:textId="77777777" w:rsidR="00514983" w:rsidRPr="00E2397D" w:rsidRDefault="00514983" w:rsidP="00514983">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3"/>
      </w:r>
    </w:p>
    <w:p w14:paraId="6BC11405" w14:textId="77777777" w:rsidR="00514983" w:rsidRPr="00E2397D" w:rsidRDefault="00514983" w:rsidP="00514983">
      <w:pPr>
        <w:spacing w:after="0" w:line="276" w:lineRule="auto"/>
        <w:ind w:firstLine="709"/>
        <w:jc w:val="both"/>
        <w:rPr>
          <w:rFonts w:ascii="Verdana" w:eastAsia="Times New Roman" w:hAnsi="Verdana" w:cs="Arial"/>
          <w:lang w:val="es-MX" w:eastAsia="es-CO"/>
        </w:rPr>
      </w:pPr>
    </w:p>
    <w:p w14:paraId="6929FC13" w14:textId="77777777" w:rsidR="00514983" w:rsidRPr="00E2397D" w:rsidRDefault="00514983" w:rsidP="00514983">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0AB85346" w14:textId="77777777" w:rsidR="00514983" w:rsidRPr="00886C02" w:rsidRDefault="00514983" w:rsidP="00514983">
      <w:pPr>
        <w:spacing w:after="0" w:line="276" w:lineRule="auto"/>
        <w:ind w:firstLine="709"/>
        <w:jc w:val="both"/>
        <w:rPr>
          <w:rFonts w:ascii="Verdana" w:eastAsia="Times New Roman" w:hAnsi="Verdana" w:cs="Arial"/>
          <w:lang w:val="es-MX" w:eastAsia="es-CO"/>
        </w:rPr>
      </w:pPr>
    </w:p>
    <w:p w14:paraId="5C5F6D42" w14:textId="77777777" w:rsidR="00514983" w:rsidRPr="00E2397D" w:rsidRDefault="00514983" w:rsidP="00514983">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E2397D">
        <w:rPr>
          <w:rFonts w:ascii="Verdana" w:eastAsia="Times New Roman" w:hAnsi="Verdana" w:cs="Arial"/>
          <w:sz w:val="20"/>
          <w:szCs w:val="20"/>
          <w:lang w:val="es-MX" w:eastAsia="es-CO"/>
        </w:rPr>
        <w:t>legis</w:t>
      </w:r>
      <w:proofErr w:type="spellEnd"/>
      <w:r w:rsidRPr="00E2397D">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53EF6C18" w14:textId="77777777" w:rsidR="00514983" w:rsidRPr="00E2397D" w:rsidRDefault="00514983" w:rsidP="00514983">
      <w:pPr>
        <w:spacing w:after="0" w:line="240" w:lineRule="auto"/>
        <w:ind w:right="709"/>
        <w:contextualSpacing/>
        <w:jc w:val="both"/>
        <w:rPr>
          <w:rFonts w:ascii="Verdana" w:eastAsia="Times New Roman" w:hAnsi="Verdana" w:cs="Arial"/>
          <w:lang w:val="es-MX" w:eastAsia="es-CO"/>
        </w:rPr>
      </w:pPr>
    </w:p>
    <w:p w14:paraId="2312BCDF" w14:textId="77777777" w:rsidR="00514983" w:rsidRPr="00E2397D" w:rsidRDefault="00514983" w:rsidP="00514983">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lastRenderedPageBreak/>
        <w:t>La jurisprudencia de la Corte Constitucional</w:t>
      </w:r>
      <w:r w:rsidRPr="00E2397D">
        <w:rPr>
          <w:rFonts w:ascii="Verdana" w:eastAsia="Times New Roman" w:hAnsi="Verdana" w:cs="Arial"/>
          <w:sz w:val="20"/>
          <w:szCs w:val="20"/>
          <w:vertAlign w:val="superscript"/>
          <w:lang w:val="es-MX" w:eastAsia="es-CO"/>
        </w:rPr>
        <w:footnoteReference w:id="4"/>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w:t>
      </w:r>
    </w:p>
    <w:p w14:paraId="20E47CEC" w14:textId="77777777" w:rsidR="00514983" w:rsidRPr="00E2397D" w:rsidRDefault="00514983" w:rsidP="00514983">
      <w:pPr>
        <w:spacing w:after="0" w:line="276" w:lineRule="auto"/>
        <w:jc w:val="both"/>
        <w:rPr>
          <w:rFonts w:ascii="Verdana" w:eastAsia="Calibri" w:hAnsi="Verdana" w:cs="Arial"/>
          <w:bCs/>
          <w:lang w:val="es-ES_tradnl"/>
        </w:rPr>
      </w:pPr>
    </w:p>
    <w:p w14:paraId="78992F44" w14:textId="77777777" w:rsidR="00514983" w:rsidRPr="00B3605D" w:rsidRDefault="00514983" w:rsidP="00514983">
      <w:pPr>
        <w:spacing w:after="120" w:line="276" w:lineRule="auto"/>
        <w:ind w:firstLine="709"/>
        <w:jc w:val="both"/>
        <w:rPr>
          <w:rFonts w:ascii="Verdana" w:eastAsia="Arial" w:hAnsi="Verdana" w:cs="Arial"/>
          <w:lang w:val="es-ES" w:eastAsia="es-ES" w:bidi="es-ES"/>
        </w:rPr>
      </w:pPr>
      <w:r w:rsidRPr="00B3605D">
        <w:rPr>
          <w:rFonts w:ascii="Verdana" w:eastAsia="Times New Roman" w:hAnsi="Verdana" w:cs="Arial"/>
          <w:lang w:val="es-MX" w:eastAsia="es-CO"/>
        </w:rPr>
        <w:t>De</w:t>
      </w:r>
      <w:r w:rsidRPr="00B3605D">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27B73320" w14:textId="77777777" w:rsidR="00514983" w:rsidRDefault="00514983" w:rsidP="00514983">
      <w:pPr>
        <w:spacing w:after="0" w:line="276" w:lineRule="auto"/>
        <w:ind w:firstLine="709"/>
        <w:jc w:val="both"/>
        <w:rPr>
          <w:rFonts w:ascii="Verdana" w:eastAsia="Arial" w:hAnsi="Verdana" w:cs="Arial"/>
          <w:lang w:val="es-ES" w:eastAsia="es-ES" w:bidi="es-ES"/>
        </w:rPr>
      </w:pPr>
      <w:r w:rsidRPr="00B3605D">
        <w:rPr>
          <w:rFonts w:ascii="Verdana" w:eastAsia="Calibri" w:hAnsi="Verdana" w:cs="Arial"/>
          <w:lang w:val="es-ES"/>
        </w:rPr>
        <w:t xml:space="preserve">Las restricciones consagradas en la mencionada Ley se dirigen a dos tipos de campañas electorales: </w:t>
      </w:r>
      <w:r w:rsidRPr="00B3605D">
        <w:rPr>
          <w:rFonts w:ascii="Verdana" w:eastAsia="Arial" w:hAnsi="Verdana" w:cs="Arial"/>
          <w:lang w:val="es-ES" w:eastAsia="es-ES" w:bidi="es-ES"/>
        </w:rPr>
        <w:t>las presidenciales y las demás que se adelanten para la elección de los demás cargos de elección popular, tanto a nivel nacional como territorial:</w:t>
      </w:r>
    </w:p>
    <w:p w14:paraId="3A3109FF" w14:textId="77777777" w:rsidR="00514983" w:rsidRDefault="00514983" w:rsidP="00514983">
      <w:pPr>
        <w:spacing w:after="0" w:line="276" w:lineRule="auto"/>
        <w:ind w:firstLine="709"/>
        <w:jc w:val="both"/>
        <w:rPr>
          <w:rFonts w:ascii="Verdana" w:eastAsia="Arial" w:hAnsi="Verdana" w:cs="Arial"/>
          <w:lang w:val="es-ES" w:eastAsia="es-ES" w:bidi="es-ES"/>
        </w:rPr>
      </w:pPr>
    </w:p>
    <w:p w14:paraId="06595E65" w14:textId="77777777" w:rsidR="00514983" w:rsidRPr="00A545DE" w:rsidRDefault="00514983" w:rsidP="00514983">
      <w:pPr>
        <w:pStyle w:val="Prrafodelista"/>
        <w:numPr>
          <w:ilvl w:val="0"/>
          <w:numId w:val="19"/>
        </w:numPr>
        <w:spacing w:after="0" w:line="276" w:lineRule="auto"/>
        <w:jc w:val="both"/>
        <w:rPr>
          <w:rFonts w:ascii="Verdana" w:eastAsia="Arial" w:hAnsi="Verdana" w:cs="Arial"/>
          <w:lang w:eastAsia="es-ES" w:bidi="es-ES"/>
        </w:rPr>
      </w:pPr>
      <w:r>
        <w:rPr>
          <w:rFonts w:ascii="Verdana" w:eastAsia="Arial" w:hAnsi="Verdana" w:cs="Arial"/>
          <w:lang w:eastAsia="es-ES" w:bidi="es-ES"/>
        </w:rPr>
        <w:t xml:space="preserve">Restricciones elecciones presidenciales </w:t>
      </w:r>
    </w:p>
    <w:p w14:paraId="2D870B9B" w14:textId="77777777" w:rsidR="00514983" w:rsidRPr="00A545DE" w:rsidRDefault="00514983" w:rsidP="00514983">
      <w:pPr>
        <w:pStyle w:val="Prrafodelista"/>
        <w:spacing w:after="0" w:line="276" w:lineRule="auto"/>
        <w:ind w:left="1080"/>
        <w:jc w:val="both"/>
        <w:rPr>
          <w:rFonts w:ascii="Verdana" w:eastAsia="Arial" w:hAnsi="Verdana" w:cs="Arial"/>
          <w:lang w:eastAsia="es-ES" w:bidi="es-ES"/>
        </w:rPr>
      </w:pPr>
    </w:p>
    <w:p w14:paraId="30D4F4A7" w14:textId="77777777" w:rsidR="00514983" w:rsidRPr="00FC54ED" w:rsidRDefault="00514983" w:rsidP="00514983">
      <w:pPr>
        <w:spacing w:after="0" w:line="240" w:lineRule="auto"/>
        <w:ind w:left="708" w:right="703"/>
        <w:jc w:val="both"/>
        <w:rPr>
          <w:rFonts w:ascii="Verdana" w:eastAsia="Times New Roman" w:hAnsi="Verdana" w:cs="Open Sans"/>
          <w:sz w:val="20"/>
          <w:szCs w:val="20"/>
          <w:lang w:eastAsia="es-CO"/>
        </w:rPr>
      </w:pPr>
      <w:bookmarkStart w:id="0" w:name="33"/>
      <w:r>
        <w:rPr>
          <w:rFonts w:ascii="Verdana" w:eastAsia="Times New Roman" w:hAnsi="Verdana" w:cs="Open Sans"/>
          <w:b/>
          <w:bCs/>
          <w:sz w:val="20"/>
          <w:szCs w:val="20"/>
          <w:lang w:eastAsia="es-CO"/>
        </w:rPr>
        <w:t>“</w:t>
      </w:r>
      <w:r w:rsidRPr="00FC54ED">
        <w:rPr>
          <w:rFonts w:ascii="Verdana" w:eastAsia="Times New Roman" w:hAnsi="Verdana" w:cs="Open Sans"/>
          <w:b/>
          <w:bCs/>
          <w:sz w:val="20"/>
          <w:szCs w:val="20"/>
          <w:lang w:eastAsia="es-CO"/>
        </w:rPr>
        <w:t>ARTÍCULO 33. RESTRICCIONES A LA CONTRATACIÓN PÚBLICA.</w:t>
      </w:r>
      <w:bookmarkEnd w:id="0"/>
      <w:r w:rsidRPr="00FC54ED">
        <w:rPr>
          <w:rFonts w:ascii="Verdana" w:eastAsia="Times New Roman" w:hAnsi="Verdana" w:cs="Open Sans"/>
          <w:sz w:val="20"/>
          <w:szCs w:val="20"/>
          <w:lang w:eastAsia="es-CO"/>
        </w:rPr>
        <w:t>  Durante los cuatro (4) meses anteriores a la elección presidencial y hasta la realización de la elección en la segunda vuelta, si fuere el caso, queda prohibida la contratación directa por parte de todos los entes del Estado.</w:t>
      </w:r>
    </w:p>
    <w:p w14:paraId="74BA7F1C" w14:textId="77777777" w:rsidR="00514983" w:rsidRPr="00FC54ED" w:rsidRDefault="00514983" w:rsidP="00514983">
      <w:pPr>
        <w:spacing w:after="0" w:line="240" w:lineRule="auto"/>
        <w:ind w:left="708" w:right="703"/>
        <w:jc w:val="both"/>
        <w:rPr>
          <w:rFonts w:ascii="Verdana" w:eastAsia="Times New Roman" w:hAnsi="Verdana" w:cs="Open Sans"/>
          <w:sz w:val="20"/>
          <w:szCs w:val="20"/>
          <w:lang w:eastAsia="es-CO"/>
        </w:rPr>
      </w:pPr>
    </w:p>
    <w:p w14:paraId="31AB4A36" w14:textId="77777777" w:rsidR="00514983" w:rsidRPr="00B3605D" w:rsidRDefault="00514983" w:rsidP="00514983">
      <w:pPr>
        <w:spacing w:after="0" w:line="240" w:lineRule="auto"/>
        <w:ind w:left="708" w:right="703"/>
        <w:jc w:val="both"/>
        <w:rPr>
          <w:rFonts w:ascii="Verdana" w:eastAsia="Times New Roman" w:hAnsi="Verdana" w:cs="Open Sans"/>
          <w:sz w:val="20"/>
          <w:szCs w:val="20"/>
          <w:lang w:eastAsia="es-CO"/>
        </w:rPr>
      </w:pPr>
      <w:r w:rsidRPr="00FC54ED">
        <w:rPr>
          <w:rFonts w:ascii="Verdana" w:eastAsia="Times New Roman" w:hAnsi="Verdana" w:cs="Open Sans"/>
          <w:sz w:val="20"/>
          <w:szCs w:val="20"/>
          <w:lang w:eastAsia="es-CO"/>
        </w:rPr>
        <w:lastRenderedPageBreak/>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Times New Roman" w:hAnsi="Verdana" w:cs="Open Sans"/>
          <w:sz w:val="20"/>
          <w:szCs w:val="20"/>
          <w:lang w:eastAsia="es-CO"/>
        </w:rPr>
        <w:t>”</w:t>
      </w:r>
      <w:r w:rsidRPr="00FC54ED">
        <w:rPr>
          <w:rFonts w:ascii="Verdana" w:eastAsia="Times New Roman" w:hAnsi="Verdana" w:cs="Open Sans"/>
          <w:sz w:val="20"/>
          <w:szCs w:val="20"/>
          <w:lang w:eastAsia="es-CO"/>
        </w:rPr>
        <w:t>.</w:t>
      </w:r>
    </w:p>
    <w:p w14:paraId="134AC8F8" w14:textId="77777777" w:rsidR="00514983" w:rsidRDefault="00514983" w:rsidP="00514983">
      <w:pPr>
        <w:spacing w:after="0" w:line="276" w:lineRule="auto"/>
        <w:ind w:right="618" w:firstLine="708"/>
        <w:jc w:val="both"/>
        <w:rPr>
          <w:rFonts w:ascii="Verdana" w:eastAsia="Times New Roman" w:hAnsi="Verdana" w:cs="Open Sans"/>
          <w:lang w:eastAsia="es-CO"/>
        </w:rPr>
      </w:pPr>
    </w:p>
    <w:p w14:paraId="370C9348" w14:textId="77777777" w:rsidR="00514983" w:rsidRDefault="00514983" w:rsidP="00514983">
      <w:pPr>
        <w:spacing w:after="120" w:line="276" w:lineRule="auto"/>
        <w:ind w:firstLine="708"/>
        <w:jc w:val="both"/>
        <w:rPr>
          <w:rFonts w:ascii="Verdana" w:eastAsia="Times New Roman" w:hAnsi="Verdana" w:cs="Open Sans"/>
          <w:lang w:eastAsia="es-CO"/>
        </w:rPr>
      </w:pPr>
      <w:r w:rsidRPr="00B3605D">
        <w:rPr>
          <w:rFonts w:ascii="Verdana" w:eastAsia="Times New Roman" w:hAnsi="Verdana" w:cs="Open Sans"/>
          <w:lang w:eastAsia="es-CO"/>
        </w:rPr>
        <w:t xml:space="preserve">Como se puede observar, el artículo 33 de la Ley 996 de 2205 prohíbe la contratación directa por parte de todos los entes estatales durante los cuatro </w:t>
      </w:r>
      <w:r>
        <w:rPr>
          <w:rFonts w:ascii="Verdana" w:eastAsia="Times New Roman" w:hAnsi="Verdana" w:cs="Open Sans"/>
          <w:lang w:eastAsia="es-CO"/>
        </w:rPr>
        <w:t>(4)</w:t>
      </w:r>
      <w:r w:rsidRPr="00B3605D">
        <w:rPr>
          <w:rFonts w:ascii="Verdana" w:eastAsia="Times New Roman" w:hAnsi="Verdana" w:cs="Open Sans"/>
          <w:lang w:eastAsia="es-CO"/>
        </w:rPr>
        <w:t xml:space="preserve"> meses anteriores a las elecciones presidenciales y dispone las excepciones a dicha prohibición. </w:t>
      </w:r>
      <w:r>
        <w:rPr>
          <w:rFonts w:ascii="Verdana" w:eastAsia="Times New Roman" w:hAnsi="Verdana" w:cs="Open Sans"/>
          <w:lang w:eastAsia="es-CO"/>
        </w:rPr>
        <w:t>Así, su ámbito de prohibición está delimitado por la expresión “</w:t>
      </w:r>
      <w:r w:rsidRPr="006A640E">
        <w:rPr>
          <w:rFonts w:ascii="Verdana" w:eastAsia="Times New Roman" w:hAnsi="Verdana" w:cs="Open Sans"/>
          <w:lang w:eastAsia="es-CO"/>
        </w:rPr>
        <w:t>queda prohibida la contratación directa</w:t>
      </w:r>
      <w:r>
        <w:rPr>
          <w:rFonts w:ascii="Verdana" w:eastAsia="Times New Roman" w:hAnsi="Verdana" w:cs="Open Sans"/>
          <w:lang w:eastAsia="es-CO"/>
        </w:rPr>
        <w:t xml:space="preserve">” y </w:t>
      </w:r>
      <w:r w:rsidRPr="006A640E">
        <w:rPr>
          <w:rFonts w:ascii="Verdana" w:eastAsia="Times New Roman" w:hAnsi="Verdana" w:cs="Open Sans"/>
          <w:lang w:eastAsia="es-CO"/>
        </w:rPr>
        <w:t>para los efectos de la Ley de Garantías</w:t>
      </w:r>
      <w:r>
        <w:rPr>
          <w:rFonts w:ascii="Verdana" w:eastAsia="Times New Roman" w:hAnsi="Verdana" w:cs="Open Sans"/>
          <w:lang w:eastAsia="es-CO"/>
        </w:rPr>
        <w:t xml:space="preserve"> </w:t>
      </w:r>
      <w:r w:rsidRPr="006A640E">
        <w:rPr>
          <w:rFonts w:ascii="Verdana" w:eastAsia="Times New Roman" w:hAnsi="Verdana" w:cs="Open Sans"/>
          <w:lang w:eastAsia="es-CO"/>
        </w:rPr>
        <w:t>Electorales y, en particular, para la prohibición o restricción temporal contenida en su</w:t>
      </w:r>
      <w:r>
        <w:rPr>
          <w:rFonts w:ascii="Verdana" w:eastAsia="Times New Roman" w:hAnsi="Verdana" w:cs="Open Sans"/>
          <w:lang w:eastAsia="es-CO"/>
        </w:rPr>
        <w:t xml:space="preserve"> </w:t>
      </w:r>
      <w:r w:rsidRPr="006A640E">
        <w:rPr>
          <w:rFonts w:ascii="Verdana" w:eastAsia="Times New Roman" w:hAnsi="Verdana" w:cs="Open Sans"/>
          <w:lang w:eastAsia="es-CO"/>
        </w:rPr>
        <w:t xml:space="preserve">artículo 33, </w:t>
      </w:r>
      <w:r>
        <w:rPr>
          <w:rFonts w:ascii="Verdana" w:eastAsia="Times New Roman" w:hAnsi="Verdana" w:cs="Open Sans"/>
          <w:lang w:eastAsia="es-CO"/>
        </w:rPr>
        <w:t>“</w:t>
      </w:r>
      <w:r w:rsidRPr="006A640E">
        <w:rPr>
          <w:rFonts w:ascii="Verdana" w:eastAsia="Times New Roman" w:hAnsi="Verdana" w:cs="Open Sans"/>
          <w:lang w:eastAsia="es-CO"/>
        </w:rPr>
        <w:t>contratación directa</w:t>
      </w:r>
      <w:r>
        <w:rPr>
          <w:rFonts w:ascii="Verdana" w:eastAsia="Times New Roman" w:hAnsi="Verdana" w:cs="Open Sans"/>
          <w:lang w:eastAsia="es-CO"/>
        </w:rPr>
        <w:t>”</w:t>
      </w:r>
      <w:r w:rsidRPr="006A640E">
        <w:rPr>
          <w:rFonts w:ascii="Verdana" w:eastAsia="Times New Roman" w:hAnsi="Verdana" w:cs="Open Sans"/>
          <w:lang w:eastAsia="es-CO"/>
        </w:rPr>
        <w:t xml:space="preserve"> es cualquier sistema de selección o procedimiento</w:t>
      </w:r>
      <w:r>
        <w:rPr>
          <w:rFonts w:ascii="Verdana" w:eastAsia="Times New Roman" w:hAnsi="Verdana" w:cs="Open Sans"/>
          <w:lang w:eastAsia="es-CO"/>
        </w:rPr>
        <w:t xml:space="preserve"> </w:t>
      </w:r>
      <w:r w:rsidRPr="006A640E">
        <w:rPr>
          <w:rFonts w:ascii="Verdana" w:eastAsia="Times New Roman" w:hAnsi="Verdana" w:cs="Open Sans"/>
          <w:lang w:eastAsia="es-CO"/>
        </w:rPr>
        <w:t>de contratación utilizado por las entidades estatales que no incluya la convocatoria</w:t>
      </w:r>
      <w:r>
        <w:rPr>
          <w:rFonts w:ascii="Verdana" w:eastAsia="Times New Roman" w:hAnsi="Verdana" w:cs="Open Sans"/>
          <w:lang w:eastAsia="es-CO"/>
        </w:rPr>
        <w:t xml:space="preserve"> </w:t>
      </w:r>
      <w:r w:rsidRPr="006A640E">
        <w:rPr>
          <w:rFonts w:ascii="Verdana" w:eastAsia="Times New Roman" w:hAnsi="Verdana" w:cs="Open Sans"/>
          <w:lang w:eastAsia="es-CO"/>
        </w:rPr>
        <w:t>pública en alguna de sus etapas, ni permita la participación de una pluralidad de</w:t>
      </w:r>
      <w:r>
        <w:rPr>
          <w:rFonts w:ascii="Verdana" w:eastAsia="Times New Roman" w:hAnsi="Verdana" w:cs="Open Sans"/>
          <w:lang w:eastAsia="es-CO"/>
        </w:rPr>
        <w:t xml:space="preserve"> </w:t>
      </w:r>
      <w:r w:rsidRPr="006A640E">
        <w:rPr>
          <w:rFonts w:ascii="Verdana" w:eastAsia="Times New Roman" w:hAnsi="Verdana" w:cs="Open Sans"/>
          <w:lang w:eastAsia="es-CO"/>
        </w:rPr>
        <w:t>oferentes</w:t>
      </w:r>
      <w:r>
        <w:rPr>
          <w:rStyle w:val="Refdenotaalpie"/>
          <w:rFonts w:ascii="Verdana" w:eastAsia="Times New Roman" w:hAnsi="Verdana" w:cs="Open Sans"/>
          <w:lang w:eastAsia="es-CO"/>
        </w:rPr>
        <w:footnoteReference w:id="7"/>
      </w:r>
      <w:r>
        <w:rPr>
          <w:rFonts w:ascii="Verdana" w:eastAsia="Times New Roman" w:hAnsi="Verdana" w:cs="Open Sans"/>
          <w:lang w:eastAsia="es-CO"/>
        </w:rPr>
        <w:t>.</w:t>
      </w:r>
    </w:p>
    <w:p w14:paraId="787B0C0B" w14:textId="77777777" w:rsidR="00514983" w:rsidRDefault="00514983" w:rsidP="00514983">
      <w:pPr>
        <w:spacing w:after="120" w:line="276" w:lineRule="auto"/>
        <w:ind w:firstLine="708"/>
        <w:jc w:val="both"/>
        <w:rPr>
          <w:rFonts w:ascii="Verdana" w:hAnsi="Verdana"/>
        </w:rPr>
      </w:pPr>
      <w:r>
        <w:rPr>
          <w:rFonts w:ascii="Verdana" w:eastAsia="Times New Roman" w:hAnsi="Verdana" w:cs="Open Sans"/>
          <w:lang w:eastAsia="es-CO"/>
        </w:rPr>
        <w:t>Por s</w:t>
      </w:r>
      <w:r w:rsidRPr="00D44FF2">
        <w:rPr>
          <w:rFonts w:ascii="Verdana" w:eastAsia="Times New Roman" w:hAnsi="Verdana" w:cs="Open Sans"/>
          <w:lang w:eastAsia="es-CO"/>
        </w:rPr>
        <w:t xml:space="preserve">u parte, </w:t>
      </w:r>
      <w:r w:rsidRPr="00D44FF2">
        <w:rPr>
          <w:rFonts w:ascii="Verdana" w:hAnsi="Verdana"/>
        </w:rPr>
        <w:t xml:space="preserve">los destinatarios de la prohibición están expresamente señalados como </w:t>
      </w:r>
      <w:r>
        <w:rPr>
          <w:rFonts w:ascii="Verdana" w:hAnsi="Verdana"/>
        </w:rPr>
        <w:t>“</w:t>
      </w:r>
      <w:r w:rsidRPr="00D44FF2">
        <w:rPr>
          <w:rFonts w:ascii="Verdana" w:hAnsi="Verdana"/>
        </w:rPr>
        <w:t>todos los entes del Estado</w:t>
      </w:r>
      <w:r>
        <w:rPr>
          <w:rFonts w:ascii="Verdana" w:hAnsi="Verdana"/>
        </w:rPr>
        <w:t>”</w:t>
      </w:r>
      <w:r w:rsidRPr="00D44FF2">
        <w:rPr>
          <w:rFonts w:ascii="Verdana" w:hAnsi="Verdana"/>
        </w:rPr>
        <w:t xml:space="preserve">, expresión que contempla a los diferentes organismos o entidades autorizadas por la ley para suscribir contratos. En efecto, tal como lo ha sostenido el Consejo de Estado, el vocablo </w:t>
      </w:r>
      <w:r>
        <w:rPr>
          <w:rFonts w:ascii="Verdana" w:hAnsi="Verdana"/>
        </w:rPr>
        <w:t>“</w:t>
      </w:r>
      <w:r w:rsidRPr="00D44FF2">
        <w:rPr>
          <w:rFonts w:ascii="Verdana" w:hAnsi="Verdana"/>
        </w:rPr>
        <w:t>todos</w:t>
      </w:r>
      <w:r>
        <w:rPr>
          <w:rFonts w:ascii="Verdana" w:hAnsi="Verdana"/>
        </w:rPr>
        <w:t>”</w:t>
      </w:r>
      <w:r w:rsidRPr="00D44FF2">
        <w:rPr>
          <w:rFonts w:ascii="Verdana" w:hAnsi="Verdana"/>
        </w:rPr>
        <w:t xml:space="preserve">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Pr>
          <w:rFonts w:ascii="Verdana" w:hAnsi="Verdana"/>
        </w:rPr>
        <w:t xml:space="preserve"> </w:t>
      </w:r>
    </w:p>
    <w:p w14:paraId="2389E880" w14:textId="77777777" w:rsidR="00514983" w:rsidRDefault="00514983" w:rsidP="00514983">
      <w:pPr>
        <w:spacing w:after="120" w:line="276" w:lineRule="auto"/>
        <w:ind w:firstLine="708"/>
        <w:jc w:val="both"/>
        <w:rPr>
          <w:rFonts w:ascii="Verdana" w:eastAsia="Times New Roman" w:hAnsi="Verdana" w:cs="Open Sans"/>
          <w:lang w:eastAsia="es-CO"/>
        </w:rPr>
      </w:pPr>
      <w:r w:rsidRPr="00A545DE">
        <w:rPr>
          <w:rFonts w:ascii="Verdana" w:eastAsia="Times New Roman" w:hAnsi="Verdana" w:cs="Open Sans"/>
          <w:lang w:eastAsia="es-CO"/>
        </w:rPr>
        <w:t>De lo anterior se desprende que la restricción aplica, sin perjuicio de las excepciones establecidas en la misma ley, para celebrar cualquier contrato de</w:t>
      </w:r>
      <w:r w:rsidRPr="006A640E">
        <w:rPr>
          <w:rFonts w:ascii="Verdana" w:eastAsia="Times New Roman" w:hAnsi="Verdana" w:cs="Open Sans"/>
          <w:lang w:eastAsia="es-CO"/>
        </w:rPr>
        <w:t xml:space="preserve"> forma</w:t>
      </w:r>
      <w:r>
        <w:rPr>
          <w:rFonts w:ascii="Verdana" w:eastAsia="Times New Roman" w:hAnsi="Verdana" w:cs="Open Sans"/>
          <w:lang w:eastAsia="es-CO"/>
        </w:rPr>
        <w:t xml:space="preserve"> </w:t>
      </w:r>
      <w:r w:rsidRPr="006A640E">
        <w:rPr>
          <w:rFonts w:ascii="Verdana" w:eastAsia="Times New Roman" w:hAnsi="Verdana" w:cs="Open Sans"/>
          <w:lang w:eastAsia="es-CO"/>
        </w:rPr>
        <w:t>directa</w:t>
      </w:r>
      <w:r>
        <w:rPr>
          <w:rFonts w:ascii="Verdana" w:eastAsia="Times New Roman" w:hAnsi="Verdana" w:cs="Open Sans"/>
          <w:lang w:eastAsia="es-CO"/>
        </w:rPr>
        <w:t xml:space="preserve">, esto es, </w:t>
      </w:r>
      <w:r w:rsidRPr="006A640E">
        <w:rPr>
          <w:rFonts w:ascii="Verdana" w:eastAsia="Times New Roman" w:hAnsi="Verdana" w:cs="Open Sans"/>
          <w:lang w:eastAsia="es-CO"/>
        </w:rPr>
        <w:t>sin que exista un proceso abierto y competitivo. Por tanto, no son</w:t>
      </w:r>
      <w:r>
        <w:rPr>
          <w:rFonts w:ascii="Verdana" w:eastAsia="Times New Roman" w:hAnsi="Verdana" w:cs="Open Sans"/>
          <w:lang w:eastAsia="es-CO"/>
        </w:rPr>
        <w:t xml:space="preserve"> </w:t>
      </w:r>
      <w:r w:rsidRPr="006A640E">
        <w:rPr>
          <w:rFonts w:ascii="Verdana" w:eastAsia="Times New Roman" w:hAnsi="Verdana" w:cs="Open Sans"/>
          <w:lang w:eastAsia="es-CO"/>
        </w:rPr>
        <w:t>materia de la prohibición las demás modalidades de selección previstas en la Ley</w:t>
      </w:r>
      <w:r>
        <w:rPr>
          <w:rFonts w:ascii="Verdana" w:eastAsia="Times New Roman" w:hAnsi="Verdana" w:cs="Open Sans"/>
          <w:lang w:eastAsia="es-CO"/>
        </w:rPr>
        <w:t xml:space="preserve"> </w:t>
      </w:r>
      <w:r w:rsidRPr="006A640E">
        <w:rPr>
          <w:rFonts w:ascii="Verdana" w:eastAsia="Times New Roman" w:hAnsi="Verdana" w:cs="Open Sans"/>
          <w:lang w:eastAsia="es-CO"/>
        </w:rPr>
        <w:t>1150 de 2007, es decir, la licitación pública, el concurso de méritos, la selección</w:t>
      </w:r>
      <w:r>
        <w:rPr>
          <w:rFonts w:ascii="Verdana" w:eastAsia="Times New Roman" w:hAnsi="Verdana" w:cs="Open Sans"/>
          <w:lang w:eastAsia="es-CO"/>
        </w:rPr>
        <w:t xml:space="preserve"> </w:t>
      </w:r>
      <w:r w:rsidRPr="006A640E">
        <w:rPr>
          <w:rFonts w:ascii="Verdana" w:eastAsia="Times New Roman" w:hAnsi="Verdana" w:cs="Open Sans"/>
          <w:lang w:eastAsia="es-CO"/>
        </w:rPr>
        <w:t xml:space="preserve">abreviada y la contratación de mínima cuantía, razón por la cual en el </w:t>
      </w:r>
      <w:r w:rsidRPr="006A640E">
        <w:rPr>
          <w:rFonts w:ascii="Verdana" w:eastAsia="Times New Roman" w:hAnsi="Verdana" w:cs="Open Sans"/>
          <w:lang w:eastAsia="es-CO"/>
        </w:rPr>
        <w:lastRenderedPageBreak/>
        <w:t>período</w:t>
      </w:r>
      <w:r>
        <w:rPr>
          <w:rFonts w:ascii="Verdana" w:eastAsia="Times New Roman" w:hAnsi="Verdana" w:cs="Open Sans"/>
          <w:lang w:eastAsia="es-CO"/>
        </w:rPr>
        <w:t xml:space="preserve"> </w:t>
      </w:r>
      <w:r w:rsidRPr="006A640E">
        <w:rPr>
          <w:rFonts w:ascii="Verdana" w:eastAsia="Times New Roman" w:hAnsi="Verdana" w:cs="Open Sans"/>
          <w:lang w:eastAsia="es-CO"/>
        </w:rPr>
        <w:t>preelectoral de que trata la disposición las entidades públicas pueden seguir</w:t>
      </w:r>
      <w:r>
        <w:rPr>
          <w:rFonts w:ascii="Verdana" w:eastAsia="Times New Roman" w:hAnsi="Verdana" w:cs="Open Sans"/>
          <w:lang w:eastAsia="es-CO"/>
        </w:rPr>
        <w:t xml:space="preserve"> </w:t>
      </w:r>
      <w:r w:rsidRPr="006A640E">
        <w:rPr>
          <w:rFonts w:ascii="Verdana" w:eastAsia="Times New Roman" w:hAnsi="Verdana" w:cs="Open Sans"/>
          <w:lang w:eastAsia="es-CO"/>
        </w:rPr>
        <w:t>contratando bajo estos sistemas.</w:t>
      </w:r>
    </w:p>
    <w:p w14:paraId="03850D6C" w14:textId="08CDFB26" w:rsidR="00514983" w:rsidRDefault="00514983" w:rsidP="00584F44">
      <w:pPr>
        <w:spacing w:after="120" w:line="276" w:lineRule="auto"/>
        <w:ind w:firstLine="708"/>
        <w:jc w:val="both"/>
        <w:rPr>
          <w:rFonts w:ascii="Verdana" w:hAnsi="Verdana"/>
        </w:rPr>
      </w:pPr>
      <w:r w:rsidRPr="006A640E">
        <w:rPr>
          <w:rFonts w:ascii="Verdana" w:hAnsi="Verdana"/>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6A640E">
        <w:rPr>
          <w:rFonts w:ascii="Verdana" w:hAnsi="Verdana"/>
        </w:rPr>
        <w:t>ii</w:t>
      </w:r>
      <w:proofErr w:type="spellEnd"/>
      <w:r w:rsidRPr="006A640E">
        <w:rPr>
          <w:rFonts w:ascii="Verdana" w:hAnsi="Verdana"/>
        </w:rPr>
        <w:t xml:space="preserve">) los contratos de crédito público; </w:t>
      </w:r>
      <w:proofErr w:type="spellStart"/>
      <w:r w:rsidRPr="006A640E">
        <w:rPr>
          <w:rFonts w:ascii="Verdana" w:hAnsi="Verdana"/>
        </w:rPr>
        <w:t>iii</w:t>
      </w:r>
      <w:proofErr w:type="spellEnd"/>
      <w:r w:rsidRPr="006A640E">
        <w:rPr>
          <w:rFonts w:ascii="Verdana" w:hAnsi="Verdana"/>
        </w:rPr>
        <w:t xml:space="preserve">) los requeridos para cubrir las emergencias educativas, sanitarias y desastres; </w:t>
      </w:r>
      <w:proofErr w:type="spellStart"/>
      <w:r w:rsidRPr="006A640E">
        <w:rPr>
          <w:rFonts w:ascii="Verdana" w:hAnsi="Verdana"/>
        </w:rPr>
        <w:t>iv</w:t>
      </w:r>
      <w:proofErr w:type="spellEnd"/>
      <w:r w:rsidRPr="006A640E">
        <w:rPr>
          <w:rFonts w:ascii="Verdana" w:hAnsi="Verdana"/>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Pr>
          <w:rFonts w:ascii="Verdana" w:hAnsi="Verdana"/>
        </w:rPr>
        <w:t>.</w:t>
      </w:r>
    </w:p>
    <w:p w14:paraId="7147CF82" w14:textId="35ADBB07" w:rsidR="00514983" w:rsidRDefault="00514983" w:rsidP="00584F44">
      <w:pPr>
        <w:spacing w:after="120" w:line="276" w:lineRule="auto"/>
        <w:ind w:firstLine="708"/>
        <w:jc w:val="both"/>
        <w:rPr>
          <w:rFonts w:ascii="Verdana" w:hAnsi="Verdana"/>
        </w:rPr>
      </w:pPr>
      <w:r>
        <w:rPr>
          <w:rFonts w:ascii="Verdana" w:hAnsi="Verdana"/>
        </w:rPr>
        <w:t xml:space="preserve">En relación con las mencionadas excepciones, el Consejo de Estado ha aclarado que con ellas la Ley </w:t>
      </w:r>
      <w:r w:rsidRPr="00EC4A33">
        <w:rPr>
          <w:rFonts w:ascii="Verdana" w:hAnsi="Verdana"/>
        </w:rPr>
        <w:t>“</w:t>
      </w:r>
      <w:r w:rsidRPr="0060146E">
        <w:rPr>
          <w:rFonts w:ascii="Verdana" w:hAnsi="Verdana"/>
        </w:rPr>
        <w:t>pretende evitar la inactividad o paralización de los servicios que presta el Estado para cumplir con sus cometidos. En este punto debe destacarse que la Sala ha puntualizado que las excepciones que contiene el inciso segundo del artículo 33 son taxativas y su interpretación debe ser de carácter restrictivo.</w:t>
      </w:r>
      <w:r w:rsidRPr="00EC4A33">
        <w:rPr>
          <w:rFonts w:ascii="Verdana" w:hAnsi="Verdana"/>
        </w:rPr>
        <w:t>”</w:t>
      </w:r>
      <w:r w:rsidRPr="00EC4A33">
        <w:rPr>
          <w:rStyle w:val="Refdenotaalpie"/>
          <w:rFonts w:ascii="Verdana" w:hAnsi="Verdana"/>
        </w:rPr>
        <w:footnoteReference w:id="8"/>
      </w:r>
    </w:p>
    <w:p w14:paraId="6AF0A117" w14:textId="6BD72CE0" w:rsidR="00514983" w:rsidRDefault="00514983" w:rsidP="00514983">
      <w:pPr>
        <w:spacing w:after="0" w:line="276" w:lineRule="auto"/>
        <w:ind w:firstLine="708"/>
        <w:jc w:val="both"/>
        <w:rPr>
          <w:rFonts w:ascii="Verdana" w:hAnsi="Verdana"/>
        </w:rPr>
      </w:pPr>
      <w:r w:rsidRPr="004B0BDE">
        <w:rPr>
          <w:rFonts w:ascii="Verdana" w:eastAsia="Calibri" w:hAnsi="Verdana" w:cs="Arial"/>
        </w:rPr>
        <w:t xml:space="preserve">Precisado lo anterior, en relación con el problema jurídico planteado </w:t>
      </w:r>
      <w:r>
        <w:rPr>
          <w:rFonts w:ascii="Verdana" w:eastAsia="Calibri" w:hAnsi="Verdana" w:cs="Arial"/>
        </w:rPr>
        <w:t xml:space="preserve">es pertinente analizar la excepción contenida en el numeral primero, relacionado con la </w:t>
      </w:r>
      <w:r w:rsidRPr="006A640E">
        <w:rPr>
          <w:rFonts w:ascii="Verdana" w:hAnsi="Verdana"/>
        </w:rPr>
        <w:t>defensa y seguridad del Estado</w:t>
      </w:r>
      <w:r>
        <w:rPr>
          <w:rFonts w:ascii="Verdana" w:eastAsia="Calibri" w:hAnsi="Verdana" w:cs="Arial"/>
        </w:rPr>
        <w:t xml:space="preserve">, para determinar si la excepción a la restricción de contratación directa es aplicable a los contratos suscritos con </w:t>
      </w:r>
      <w:r w:rsidRPr="00895BB0">
        <w:rPr>
          <w:rFonts w:ascii="Verdana" w:eastAsia="Calibri" w:hAnsi="Verdana" w:cs="Arial"/>
        </w:rPr>
        <w:t>el Instituto Nacional Penitenciario y Carcelario –INPEC</w:t>
      </w:r>
      <w:r>
        <w:rPr>
          <w:rFonts w:ascii="Verdana" w:eastAsia="Calibri" w:hAnsi="Verdana" w:cs="Arial"/>
        </w:rPr>
        <w:t xml:space="preserve">, </w:t>
      </w:r>
      <w:r w:rsidRPr="0060146E">
        <w:rPr>
          <w:rFonts w:ascii="Verdana" w:eastAsia="Calibri" w:hAnsi="Verdana" w:cs="Arial"/>
        </w:rPr>
        <w:t xml:space="preserve"> </w:t>
      </w:r>
      <w:r>
        <w:rPr>
          <w:rFonts w:ascii="Verdana" w:hAnsi="Verdana"/>
        </w:rPr>
        <w:t>e</w:t>
      </w:r>
      <w:r w:rsidRPr="0060146E">
        <w:rPr>
          <w:rFonts w:ascii="Verdana" w:hAnsi="Verdana"/>
        </w:rPr>
        <w:t xml:space="preserve">n este sentido, el artículo 94 de la Ley 100 de 1993 señaló que, </w:t>
      </w:r>
      <w:r w:rsidR="00414848">
        <w:rPr>
          <w:rFonts w:ascii="Verdana" w:hAnsi="Verdana"/>
        </w:rPr>
        <w:t>“</w:t>
      </w:r>
      <w:r w:rsidRPr="0060146E">
        <w:rPr>
          <w:rFonts w:ascii="Verdana" w:hAnsi="Verdana"/>
        </w:rPr>
        <w:t>la prestación de servicios de salud en forma directa por la nación o por las entidades territoriales, se hará principalmente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w:t>
      </w:r>
      <w:r w:rsidR="00414848">
        <w:rPr>
          <w:rFonts w:ascii="Verdana" w:hAnsi="Verdana"/>
        </w:rPr>
        <w:t>”</w:t>
      </w:r>
      <w:r w:rsidRPr="0060146E">
        <w:rPr>
          <w:rFonts w:ascii="Verdana" w:hAnsi="Verdana"/>
        </w:rPr>
        <w:t>.</w:t>
      </w:r>
    </w:p>
    <w:p w14:paraId="2C60DABB" w14:textId="77777777" w:rsidR="00514983" w:rsidRDefault="00514983" w:rsidP="00514983">
      <w:pPr>
        <w:spacing w:after="0" w:line="276" w:lineRule="auto"/>
        <w:jc w:val="both"/>
        <w:rPr>
          <w:rFonts w:ascii="Verdana" w:hAnsi="Verdana"/>
        </w:rPr>
      </w:pPr>
    </w:p>
    <w:p w14:paraId="1AB3F6A7" w14:textId="77777777" w:rsidR="00514983" w:rsidRDefault="00514983" w:rsidP="00514983">
      <w:pPr>
        <w:spacing w:after="0" w:line="276" w:lineRule="auto"/>
        <w:ind w:firstLine="708"/>
        <w:jc w:val="both"/>
        <w:rPr>
          <w:rFonts w:ascii="Verdana" w:hAnsi="Verdana"/>
        </w:rPr>
      </w:pPr>
      <w:r w:rsidRPr="0060146E">
        <w:rPr>
          <w:rFonts w:ascii="Verdana" w:hAnsi="Verdana"/>
        </w:rPr>
        <w:lastRenderedPageBreak/>
        <w:t xml:space="preserve">Por tanto, </w:t>
      </w:r>
      <w:r w:rsidRPr="24990E93">
        <w:rPr>
          <w:rFonts w:ascii="Verdana" w:hAnsi="Verdana"/>
        </w:rPr>
        <w:t xml:space="preserve">es deber de </w:t>
      </w:r>
      <w:r w:rsidRPr="0060146E">
        <w:rPr>
          <w:rFonts w:ascii="Verdana" w:hAnsi="Verdana"/>
        </w:rPr>
        <w:t xml:space="preserve">las Empresas Sociales del Estado </w:t>
      </w:r>
      <w:r w:rsidRPr="24990E93">
        <w:rPr>
          <w:rFonts w:ascii="Verdana" w:hAnsi="Verdana"/>
        </w:rPr>
        <w:t xml:space="preserve">verificar si </w:t>
      </w:r>
      <w:proofErr w:type="gramStart"/>
      <w:r w:rsidRPr="0060146E">
        <w:rPr>
          <w:rFonts w:ascii="Verdana" w:hAnsi="Verdana"/>
        </w:rPr>
        <w:t>podrían</w:t>
      </w:r>
      <w:proofErr w:type="gramEnd"/>
      <w:r w:rsidRPr="0060146E">
        <w:rPr>
          <w:rFonts w:ascii="Verdana" w:hAnsi="Verdana"/>
        </w:rPr>
        <w:t xml:space="preserve"> suscribir contratos bajo la modalidad de contratación directa bajo la mencionada excepción al considerarse entidades hospitalarias y sanitarias. En todo caso, es responsabilidad del respectivo ente del Estado examinar en cada</w:t>
      </w:r>
      <w:r w:rsidRPr="006A640E">
        <w:rPr>
          <w:rFonts w:ascii="Verdana" w:hAnsi="Verdana"/>
        </w:rPr>
        <w:t xml:space="preserve"> caso la naturaleza de las actividades que adelanta y determinar si las mismas se enmarcan en alguna de las mencionadas excepciones, de manera que se le permita realizar la contratación que necesite en forma directa.</w:t>
      </w:r>
    </w:p>
    <w:p w14:paraId="050A196C" w14:textId="77777777" w:rsidR="00514983" w:rsidRDefault="00514983" w:rsidP="00514983">
      <w:pPr>
        <w:spacing w:after="0" w:line="276" w:lineRule="auto"/>
        <w:jc w:val="both"/>
        <w:rPr>
          <w:rFonts w:ascii="Verdana" w:hAnsi="Verdana"/>
        </w:rPr>
      </w:pPr>
    </w:p>
    <w:p w14:paraId="6F7DF2EA" w14:textId="77777777" w:rsidR="00514983" w:rsidRPr="00A545DE" w:rsidRDefault="00514983" w:rsidP="00514983">
      <w:pPr>
        <w:pStyle w:val="Prrafodelista"/>
        <w:numPr>
          <w:ilvl w:val="0"/>
          <w:numId w:val="19"/>
        </w:numPr>
        <w:spacing w:after="0" w:line="276" w:lineRule="auto"/>
        <w:contextualSpacing w:val="0"/>
        <w:jc w:val="both"/>
        <w:rPr>
          <w:rFonts w:ascii="Verdana" w:eastAsia="Times New Roman" w:hAnsi="Verdana" w:cs="Open Sans"/>
          <w:lang w:eastAsia="es-CO"/>
        </w:rPr>
      </w:pPr>
      <w:r>
        <w:rPr>
          <w:rFonts w:ascii="Verdana" w:eastAsia="Times New Roman" w:hAnsi="Verdana" w:cs="Open Sans"/>
          <w:lang w:eastAsia="es-CO"/>
        </w:rPr>
        <w:t xml:space="preserve">Restricciones demás elecciones </w:t>
      </w:r>
    </w:p>
    <w:p w14:paraId="4DDCDB11" w14:textId="77777777" w:rsidR="00514983" w:rsidRDefault="00514983" w:rsidP="00514983">
      <w:pPr>
        <w:spacing w:after="0" w:line="270" w:lineRule="atLeast"/>
        <w:jc w:val="both"/>
        <w:rPr>
          <w:rFonts w:ascii="Verdana" w:eastAsia="Times New Roman" w:hAnsi="Verdana" w:cs="Open Sans"/>
          <w:lang w:eastAsia="es-CO"/>
        </w:rPr>
      </w:pPr>
    </w:p>
    <w:p w14:paraId="2CCCEFEC" w14:textId="77777777" w:rsidR="00514983" w:rsidRPr="00D61E29" w:rsidRDefault="00514983" w:rsidP="00514983">
      <w:pPr>
        <w:spacing w:after="0" w:line="270" w:lineRule="atLeast"/>
        <w:jc w:val="both"/>
        <w:rPr>
          <w:rFonts w:ascii="Verdana" w:eastAsia="Times New Roman" w:hAnsi="Verdana" w:cs="Open Sans"/>
          <w:lang w:eastAsia="es-CO"/>
        </w:rPr>
      </w:pPr>
      <w:r w:rsidRPr="00D61E29">
        <w:rPr>
          <w:rFonts w:ascii="Verdana" w:eastAsia="Times New Roman" w:hAnsi="Verdana" w:cs="Open Sans"/>
          <w:lang w:eastAsia="es-CO"/>
        </w:rPr>
        <w:t xml:space="preserve">Adicionalmente, el parágrafo del artículo 38 </w:t>
      </w:r>
      <w:r w:rsidRPr="00D61E29">
        <w:rPr>
          <w:rFonts w:ascii="Verdana" w:eastAsia="Calibri" w:hAnsi="Verdana" w:cs="Arial"/>
        </w:rPr>
        <w:t>prevé una restricción, aplicable respecto de cualquier tipo de contienda electoral, como sigue:</w:t>
      </w:r>
    </w:p>
    <w:p w14:paraId="4D1CF4EB" w14:textId="77777777" w:rsidR="00514983" w:rsidRDefault="00514983" w:rsidP="00514983">
      <w:pPr>
        <w:pStyle w:val="NormalWeb"/>
        <w:spacing w:before="0" w:beforeAutospacing="0" w:after="0" w:afterAutospacing="0" w:line="270" w:lineRule="atLeast"/>
        <w:ind w:left="709" w:right="616"/>
        <w:jc w:val="both"/>
        <w:rPr>
          <w:rStyle w:val="baj"/>
          <w:rFonts w:ascii="Verdana" w:hAnsi="Verdana" w:cs="Open Sans"/>
          <w:b/>
          <w:bCs/>
          <w:sz w:val="20"/>
          <w:szCs w:val="20"/>
        </w:rPr>
      </w:pPr>
    </w:p>
    <w:p w14:paraId="6AECC072" w14:textId="4779B911" w:rsidR="00514983" w:rsidRPr="00D61E29" w:rsidRDefault="00514983" w:rsidP="00514983">
      <w:pPr>
        <w:pStyle w:val="NormalWeb"/>
        <w:spacing w:before="0" w:beforeAutospacing="0" w:after="0" w:afterAutospacing="0"/>
        <w:ind w:left="709" w:right="709"/>
        <w:jc w:val="both"/>
        <w:rPr>
          <w:rFonts w:ascii="Verdana" w:hAnsi="Verdana" w:cs="Open Sans"/>
          <w:sz w:val="20"/>
          <w:szCs w:val="20"/>
        </w:rPr>
      </w:pPr>
      <w:r>
        <w:rPr>
          <w:rStyle w:val="baj"/>
          <w:rFonts w:ascii="Verdana" w:hAnsi="Verdana" w:cs="Open Sans"/>
          <w:b/>
          <w:bCs/>
          <w:sz w:val="20"/>
          <w:szCs w:val="20"/>
        </w:rPr>
        <w:t>“</w:t>
      </w:r>
      <w:r w:rsidRPr="00D61E29">
        <w:rPr>
          <w:rStyle w:val="baj"/>
          <w:rFonts w:ascii="Verdana" w:hAnsi="Verdana" w:cs="Open Sans"/>
          <w:b/>
          <w:bCs/>
          <w:sz w:val="20"/>
          <w:szCs w:val="20"/>
        </w:rPr>
        <w:t>PARÁGRAFO.</w:t>
      </w:r>
      <w:r w:rsidRPr="00D61E29">
        <w:rPr>
          <w:rFonts w:ascii="Verdana" w:hAnsi="Verdana" w:cs="Open Sans"/>
          <w:sz w:val="20"/>
          <w:szCs w:val="20"/>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23BD96F9" w14:textId="77777777" w:rsidR="00414848" w:rsidRPr="00D61E29" w:rsidRDefault="00414848" w:rsidP="00514983">
      <w:pPr>
        <w:pStyle w:val="NormalWeb"/>
        <w:spacing w:before="0" w:beforeAutospacing="0" w:after="0" w:afterAutospacing="0"/>
        <w:ind w:left="709" w:right="709"/>
        <w:jc w:val="both"/>
        <w:rPr>
          <w:rFonts w:ascii="Verdana" w:hAnsi="Verdana" w:cs="Open Sans"/>
          <w:sz w:val="20"/>
          <w:szCs w:val="20"/>
        </w:rPr>
      </w:pPr>
    </w:p>
    <w:p w14:paraId="179FD6E5" w14:textId="77777777" w:rsidR="00514983" w:rsidRPr="00D61E29" w:rsidRDefault="00514983" w:rsidP="00514983">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 xml:space="preserve">Tampoco podrán inaugurar obras públicas o </w:t>
      </w:r>
      <w:proofErr w:type="gramStart"/>
      <w:r w:rsidRPr="00D61E29">
        <w:rPr>
          <w:rFonts w:ascii="Verdana" w:hAnsi="Verdana" w:cs="Open Sans"/>
          <w:sz w:val="20"/>
          <w:szCs w:val="20"/>
        </w:rPr>
        <w:t>dar inicio a</w:t>
      </w:r>
      <w:proofErr w:type="gramEnd"/>
      <w:r w:rsidRPr="00D61E29">
        <w:rPr>
          <w:rFonts w:ascii="Verdana" w:hAnsi="Verdana" w:cs="Open Sans"/>
          <w:sz w:val="20"/>
          <w:szCs w:val="20"/>
        </w:rPr>
        <w:t xml:space="preserve"> programas de carácter social en reuniones o eventos en los que participen candidatos a la Presidencia y Vicepresidencia de la República, el Congreso de la República, gobernaciones departamentales, asambleas departamentales, alcaldías y concejos municipales o distritales. Tampoco podrán hacerlo cuando participen voceros de los candidatos.</w:t>
      </w:r>
    </w:p>
    <w:p w14:paraId="5A46E0EB" w14:textId="77777777" w:rsidR="00414848" w:rsidRDefault="00414848" w:rsidP="00514983">
      <w:pPr>
        <w:pStyle w:val="NormalWeb"/>
        <w:spacing w:before="0" w:beforeAutospacing="0" w:after="0" w:afterAutospacing="0"/>
        <w:ind w:left="709" w:right="709"/>
        <w:jc w:val="both"/>
        <w:rPr>
          <w:rFonts w:ascii="Verdana" w:hAnsi="Verdana" w:cs="Open Sans"/>
          <w:sz w:val="20"/>
          <w:szCs w:val="20"/>
        </w:rPr>
      </w:pPr>
    </w:p>
    <w:p w14:paraId="6A03BDDF" w14:textId="3B55811C" w:rsidR="00514983" w:rsidRPr="00D61E29" w:rsidRDefault="00514983" w:rsidP="00514983">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No podrán autorizar la utilización de inmuebles o bienes muebles de carácter público para actividades proselitistas, ni para facilitar el alojamiento, ni el transporte de electores de candidatos a cargos de elección popular. Tampoco podrán hacerlo cuando participen voceros de los candidatos.</w:t>
      </w:r>
    </w:p>
    <w:p w14:paraId="74110B09" w14:textId="77777777" w:rsidR="00414848" w:rsidRDefault="00414848" w:rsidP="00514983">
      <w:pPr>
        <w:pStyle w:val="NormalWeb"/>
        <w:spacing w:before="0" w:beforeAutospacing="0" w:after="0" w:afterAutospacing="0"/>
        <w:ind w:left="709" w:right="709"/>
        <w:jc w:val="both"/>
        <w:rPr>
          <w:rFonts w:ascii="Verdana" w:hAnsi="Verdana" w:cs="Open Sans"/>
          <w:sz w:val="20"/>
          <w:szCs w:val="20"/>
        </w:rPr>
      </w:pPr>
    </w:p>
    <w:p w14:paraId="2C97F412" w14:textId="0A4EF0A7" w:rsidR="00514983" w:rsidRPr="00D61E29" w:rsidRDefault="00514983" w:rsidP="00514983">
      <w:pPr>
        <w:pStyle w:val="NormalWeb"/>
        <w:spacing w:before="0" w:beforeAutospacing="0" w:after="0" w:afterAutospacing="0"/>
        <w:ind w:left="709" w:right="709"/>
        <w:jc w:val="both"/>
        <w:rPr>
          <w:rFonts w:ascii="Verdana" w:hAnsi="Verdana" w:cs="Open Sans"/>
          <w:sz w:val="20"/>
          <w:szCs w:val="20"/>
        </w:rPr>
      </w:pPr>
      <w:r w:rsidRPr="00D61E29">
        <w:rPr>
          <w:rFonts w:ascii="Verdana" w:hAnsi="Verdana" w:cs="Open Sans"/>
          <w:sz w:val="20"/>
          <w:szCs w:val="20"/>
        </w:rPr>
        <w:t>La nómina del respectivo ente territorial o entidad no se podrá modificar dentro de los cuatro (4) meses anteriores a las elecciones a cargos de elección popular, salvo que se trate de provisión de cargos por faltas definitivas, con ocasión de muerte o renuncia irrevocable del cargo correspondiente debidamente aceptada, y en los casos de aplicación de las normas de carrera administrativa</w:t>
      </w:r>
      <w:r w:rsidR="00414848">
        <w:rPr>
          <w:rFonts w:ascii="Verdana" w:hAnsi="Verdana" w:cs="Open Sans"/>
          <w:sz w:val="20"/>
          <w:szCs w:val="20"/>
        </w:rPr>
        <w:t>”</w:t>
      </w:r>
      <w:r w:rsidRPr="00D61E29">
        <w:rPr>
          <w:rFonts w:ascii="Verdana" w:hAnsi="Verdana" w:cs="Open Sans"/>
          <w:sz w:val="20"/>
          <w:szCs w:val="20"/>
        </w:rPr>
        <w:t>.</w:t>
      </w:r>
    </w:p>
    <w:p w14:paraId="5C7B2B22" w14:textId="77777777" w:rsidR="00514983" w:rsidRDefault="00514983" w:rsidP="00514983">
      <w:pPr>
        <w:widowControl w:val="0"/>
        <w:autoSpaceDE w:val="0"/>
        <w:autoSpaceDN w:val="0"/>
        <w:spacing w:after="0" w:line="276" w:lineRule="auto"/>
        <w:ind w:right="113"/>
        <w:contextualSpacing/>
        <w:jc w:val="both"/>
      </w:pPr>
    </w:p>
    <w:p w14:paraId="7C3293F6" w14:textId="1172E2F4" w:rsidR="00514983" w:rsidRPr="00775AB1" w:rsidRDefault="00514983" w:rsidP="00514983">
      <w:pPr>
        <w:spacing w:after="120" w:line="276" w:lineRule="auto"/>
        <w:ind w:firstLine="709"/>
        <w:jc w:val="both"/>
        <w:rPr>
          <w:rFonts w:ascii="Verdana" w:eastAsia="Times New Roman" w:hAnsi="Verdana" w:cs="Arial"/>
          <w:lang w:val="es-MX" w:eastAsia="es-CO"/>
        </w:rPr>
      </w:pPr>
      <w:r w:rsidRPr="00E2397D">
        <w:rPr>
          <w:rFonts w:ascii="Verdana" w:eastAsia="Arial" w:hAnsi="Verdana" w:cs="Arial"/>
          <w:lang w:val="es-MX" w:eastAsia="es-ES" w:bidi="es-ES"/>
        </w:rPr>
        <w:lastRenderedPageBreak/>
        <w:t>De esta manera, s</w:t>
      </w:r>
      <w:proofErr w:type="spellStart"/>
      <w:r w:rsidRPr="00E2397D">
        <w:rPr>
          <w:rFonts w:ascii="Verdana" w:eastAsia="Times New Roman" w:hAnsi="Verdana" w:cs="Arial"/>
          <w:lang w:eastAsia="es-CO"/>
        </w:rPr>
        <w:t>e</w:t>
      </w:r>
      <w:proofErr w:type="spellEnd"/>
      <w:r w:rsidRPr="00E2397D">
        <w:rPr>
          <w:rFonts w:ascii="Verdana" w:eastAsia="Times New Roman" w:hAnsi="Verdana" w:cs="Arial"/>
          <w:lang w:eastAsia="es-CO"/>
        </w:rPr>
        <w:t xml:space="preserve"> observa entonces </w:t>
      </w:r>
      <w:bookmarkStart w:id="1" w:name="_Hlk207205098"/>
      <w:r w:rsidRPr="00E2397D">
        <w:rPr>
          <w:rFonts w:ascii="Verdana" w:eastAsia="Times New Roman" w:hAnsi="Verdana" w:cs="Arial"/>
          <w:lang w:eastAsia="es-CO"/>
        </w:rPr>
        <w:t xml:space="preserve">que </w:t>
      </w:r>
      <w:r w:rsidRPr="00E2397D">
        <w:rPr>
          <w:rFonts w:ascii="Verdana" w:eastAsia="Times New Roman" w:hAnsi="Verdana" w:cs="Arial"/>
          <w:lang w:val="es-MX" w:eastAsia="es-CO"/>
        </w:rPr>
        <w:t xml:space="preserve">el parágrafo del artículo 38 de la Ley 996 de 2005 prohíbe a los </w:t>
      </w:r>
      <w:proofErr w:type="gramStart"/>
      <w:r w:rsidRPr="00E2397D">
        <w:rPr>
          <w:rFonts w:ascii="Verdana" w:eastAsia="Times New Roman" w:hAnsi="Verdana" w:cs="Arial"/>
          <w:lang w:val="es-MX" w:eastAsia="es-CO"/>
        </w:rPr>
        <w:t>Alcaldes</w:t>
      </w:r>
      <w:proofErr w:type="gramEnd"/>
      <w:r w:rsidRPr="00E2397D">
        <w:rPr>
          <w:rFonts w:ascii="Verdana" w:eastAsia="Times New Roman" w:hAnsi="Verdana" w:cs="Arial"/>
          <w:lang w:val="es-MX" w:eastAsia="es-CO"/>
        </w:rPr>
        <w:t xml:space="preserve">, Gobernadores, </w:t>
      </w:r>
      <w:proofErr w:type="gramStart"/>
      <w:r w:rsidRPr="00E2397D">
        <w:rPr>
          <w:rFonts w:ascii="Verdana" w:eastAsia="Times New Roman" w:hAnsi="Verdana" w:cs="Arial"/>
          <w:lang w:val="es-MX" w:eastAsia="es-CO"/>
        </w:rPr>
        <w:t>Secretarios</w:t>
      </w:r>
      <w:proofErr w:type="gramEnd"/>
      <w:r w:rsidRPr="00E2397D">
        <w:rPr>
          <w:rFonts w:ascii="Verdana" w:eastAsia="Times New Roman" w:hAnsi="Verdana" w:cs="Arial"/>
          <w:lang w:val="es-MX" w:eastAsia="es-CO"/>
        </w:rPr>
        <w:t xml:space="preserve">, Gerentes y </w:t>
      </w:r>
      <w:proofErr w:type="gramStart"/>
      <w:r w:rsidRPr="00E2397D">
        <w:rPr>
          <w:rFonts w:ascii="Verdana" w:eastAsia="Times New Roman" w:hAnsi="Verdana" w:cs="Arial"/>
          <w:lang w:val="es-MX" w:eastAsia="es-CO"/>
        </w:rPr>
        <w:t>Directores</w:t>
      </w:r>
      <w:proofErr w:type="gramEnd"/>
      <w:r w:rsidRPr="00E2397D">
        <w:rPr>
          <w:rFonts w:ascii="Verdana" w:eastAsia="Times New Roman" w:hAnsi="Verdana" w:cs="Arial"/>
          <w:lang w:val="es-MX" w:eastAsia="es-CO"/>
        </w:rPr>
        <w:t xml:space="preserve"> de las entidades </w:t>
      </w:r>
      <w:r>
        <w:rPr>
          <w:rFonts w:ascii="Verdana" w:eastAsia="Times New Roman" w:hAnsi="Verdana" w:cs="Arial"/>
          <w:lang w:val="es-MX" w:eastAsia="es-CO"/>
        </w:rPr>
        <w:t xml:space="preserve">descentralizadas </w:t>
      </w:r>
      <w:r w:rsidRPr="00E2397D">
        <w:rPr>
          <w:rFonts w:ascii="Verdana" w:eastAsia="Times New Roman" w:hAnsi="Verdana" w:cs="Arial"/>
          <w:lang w:val="es-MX" w:eastAsia="es-CO"/>
        </w:rPr>
        <w:t xml:space="preserve">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w:t>
      </w:r>
      <w:r>
        <w:rPr>
          <w:rFonts w:ascii="Verdana" w:eastAsia="Times New Roman" w:hAnsi="Verdana" w:cs="Arial"/>
          <w:lang w:val="es-MX" w:eastAsia="es-CO"/>
        </w:rPr>
        <w:t xml:space="preserve"> </w:t>
      </w:r>
      <w:r w:rsidRPr="00E2397D">
        <w:rPr>
          <w:rFonts w:ascii="Verdana" w:eastAsia="Times New Roman" w:hAnsi="Verdana" w:cs="Arial"/>
          <w:lang w:val="es-MX" w:eastAsia="es-CO"/>
        </w:rPr>
        <w:t xml:space="preserve">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bookmarkEnd w:id="1"/>
    </w:p>
    <w:p w14:paraId="7F796B86" w14:textId="1BE7D933" w:rsidR="00414848" w:rsidRPr="00775AB1" w:rsidRDefault="00414848" w:rsidP="00514983">
      <w:pPr>
        <w:spacing w:after="120" w:line="276" w:lineRule="auto"/>
        <w:ind w:firstLine="709"/>
        <w:jc w:val="both"/>
        <w:rPr>
          <w:rFonts w:ascii="Verdana" w:eastAsia="Times New Roman" w:hAnsi="Verdana" w:cs="Arial"/>
          <w:lang w:val="es-MX" w:eastAsia="es-CO"/>
        </w:rPr>
      </w:pPr>
      <w:r>
        <w:rPr>
          <w:rFonts w:ascii="Verdana" w:hAnsi="Verdana"/>
        </w:rPr>
        <w:t xml:space="preserve">Es importante precisar que, la prohibición contenida en el parágrafo del artículo 38 no consagra excepciones, contrario a la prohibición del artículo 33. En ese sentido, las excepciones contempladas frente a la restricción de contratación directa no puede extenderse a la restricción de celebrar convenios interadministrativos previo a las elecciones. Por lo cual, las excepción referente a la seguridad del Estado no aplicaría respecto de los convenios interadministrativos. Es menester indicar que al ser excepciones a una prohibición su interpretación es restrictiva, por lo cual no se puede </w:t>
      </w:r>
      <w:proofErr w:type="spellStart"/>
      <w:r>
        <w:rPr>
          <w:rFonts w:ascii="Verdana" w:hAnsi="Verdana"/>
        </w:rPr>
        <w:t>externder</w:t>
      </w:r>
      <w:proofErr w:type="spellEnd"/>
      <w:r>
        <w:rPr>
          <w:rFonts w:ascii="Verdana" w:hAnsi="Verdana"/>
        </w:rPr>
        <w:t xml:space="preserve"> a casos no contemplados en la norma.  </w:t>
      </w:r>
    </w:p>
    <w:p w14:paraId="3B6331B0" w14:textId="77777777" w:rsidR="00514983" w:rsidRPr="00D61E29" w:rsidRDefault="00514983" w:rsidP="00514983">
      <w:pPr>
        <w:widowControl w:val="0"/>
        <w:autoSpaceDE w:val="0"/>
        <w:autoSpaceDN w:val="0"/>
        <w:spacing w:after="0" w:line="276" w:lineRule="auto"/>
        <w:ind w:firstLine="708"/>
        <w:contextualSpacing/>
        <w:jc w:val="both"/>
        <w:rPr>
          <w:rFonts w:ascii="Verdana" w:eastAsia="Arial" w:hAnsi="Verdana" w:cs="Arial"/>
          <w:lang w:val="es-ES" w:eastAsia="es-ES" w:bidi="es-ES"/>
        </w:rPr>
      </w:pPr>
      <w:r w:rsidRPr="00D61E29">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w:t>
      </w:r>
    </w:p>
    <w:p w14:paraId="67760760" w14:textId="77777777" w:rsidR="00514983" w:rsidRPr="00D61E29" w:rsidRDefault="00514983" w:rsidP="00514983">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3605D0EE" w14:textId="77777777" w:rsidR="00514983" w:rsidRPr="00D61E29" w:rsidRDefault="00514983" w:rsidP="00514983">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D61E29">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D61E29">
        <w:rPr>
          <w:rFonts w:ascii="Verdana" w:eastAsia="Arial" w:hAnsi="Verdana" w:cs="Arial"/>
          <w:sz w:val="20"/>
          <w:szCs w:val="20"/>
          <w:lang w:eastAsia="es-ES" w:bidi="es-ES"/>
        </w:rPr>
        <w:t>Presidente</w:t>
      </w:r>
      <w:proofErr w:type="gramEnd"/>
      <w:r w:rsidRPr="00D61E29">
        <w:rPr>
          <w:rFonts w:ascii="Verdana" w:eastAsia="Arial" w:hAnsi="Verdana" w:cs="Arial"/>
          <w:sz w:val="20"/>
          <w:szCs w:val="20"/>
          <w:lang w:eastAsia="es-ES" w:bidi="es-ES"/>
        </w:rPr>
        <w:t xml:space="preserve"> de la República, a las autoridades territoriales allí mencionadas sólo se aplican las restricciones </w:t>
      </w:r>
      <w:r w:rsidRPr="00D61E29">
        <w:rPr>
          <w:rFonts w:ascii="Verdana" w:eastAsia="Arial" w:hAnsi="Verdana" w:cs="Arial"/>
          <w:sz w:val="20"/>
          <w:szCs w:val="20"/>
          <w:lang w:eastAsia="es-ES" w:bidi="es-ES"/>
        </w:rPr>
        <w:lastRenderedPageBreak/>
        <w:t>contenidas en el parágrafo del artículo 38”.</w:t>
      </w:r>
      <w:r w:rsidRPr="00D61E29">
        <w:rPr>
          <w:rFonts w:ascii="Verdana" w:eastAsia="Arial" w:hAnsi="Verdana" w:cs="Arial"/>
          <w:sz w:val="20"/>
          <w:szCs w:val="20"/>
          <w:vertAlign w:val="superscript"/>
          <w:lang w:eastAsia="es-ES" w:bidi="es-ES"/>
        </w:rPr>
        <w:footnoteReference w:id="9"/>
      </w:r>
    </w:p>
    <w:p w14:paraId="182D193F" w14:textId="77777777" w:rsidR="00514983" w:rsidRPr="00D61E29" w:rsidRDefault="00514983" w:rsidP="00514983">
      <w:pPr>
        <w:widowControl w:val="0"/>
        <w:autoSpaceDE w:val="0"/>
        <w:autoSpaceDN w:val="0"/>
        <w:spacing w:after="0" w:line="240" w:lineRule="auto"/>
        <w:ind w:left="709" w:right="709"/>
        <w:jc w:val="both"/>
        <w:rPr>
          <w:rFonts w:ascii="Verdana" w:eastAsia="Arial" w:hAnsi="Verdana" w:cs="Arial"/>
          <w:sz w:val="20"/>
          <w:szCs w:val="20"/>
          <w:lang w:eastAsia="es-ES" w:bidi="es-ES"/>
        </w:rPr>
      </w:pPr>
    </w:p>
    <w:p w14:paraId="152E571D" w14:textId="77777777" w:rsidR="00514983" w:rsidRPr="00B3605D" w:rsidRDefault="00514983" w:rsidP="00514983">
      <w:pPr>
        <w:tabs>
          <w:tab w:val="left" w:pos="8080"/>
        </w:tabs>
        <w:spacing w:after="0" w:line="276" w:lineRule="auto"/>
        <w:ind w:firstLine="709"/>
        <w:jc w:val="both"/>
        <w:rPr>
          <w:rFonts w:ascii="Verdana" w:hAnsi="Verdana"/>
        </w:rPr>
      </w:pPr>
      <w:r>
        <w:rPr>
          <w:rFonts w:ascii="Verdana" w:eastAsia="Times New Roman" w:hAnsi="Verdana" w:cs="Arial"/>
          <w:lang w:val="es-ES" w:eastAsia="es-ES_tradnl"/>
        </w:rPr>
        <w:t xml:space="preserve">Adicionalmente, en relación con las modificaciones contractuales </w:t>
      </w:r>
      <w:r w:rsidRPr="00B3605D">
        <w:rPr>
          <w:rFonts w:ascii="Verdana" w:eastAsia="Times New Roman" w:hAnsi="Verdana" w:cs="Open Sans"/>
          <w:lang w:eastAsia="es-CO"/>
        </w:rPr>
        <w:t>se resalta el numeral 16.5 de la Circular Externa Única</w:t>
      </w:r>
      <w:r w:rsidRPr="00B3605D">
        <w:rPr>
          <w:rStyle w:val="Refdenotaalpie"/>
          <w:rFonts w:ascii="Verdana" w:eastAsia="Times New Roman" w:hAnsi="Verdana" w:cs="Open Sans"/>
          <w:lang w:eastAsia="es-CO"/>
        </w:rPr>
        <w:footnoteReference w:id="10"/>
      </w:r>
      <w:r w:rsidRPr="00B3605D">
        <w:rPr>
          <w:rFonts w:ascii="Verdana" w:eastAsia="Times New Roman" w:hAnsi="Verdana" w:cs="Open Sans"/>
          <w:lang w:eastAsia="es-CO"/>
        </w:rPr>
        <w:t xml:space="preserve"> de la </w:t>
      </w:r>
      <w:r w:rsidRPr="00B3605D">
        <w:rPr>
          <w:rFonts w:ascii="Verdana" w:hAnsi="Verdana"/>
        </w:rPr>
        <w:t>Agencia Nacional de Contratación Pública -Colombia Compra Eficiente, como sigue:</w:t>
      </w:r>
    </w:p>
    <w:p w14:paraId="2DD0A31E" w14:textId="77777777" w:rsidR="00514983" w:rsidRPr="00C05384" w:rsidRDefault="00514983" w:rsidP="00514983">
      <w:pPr>
        <w:spacing w:after="0" w:line="276" w:lineRule="auto"/>
        <w:ind w:left="708" w:right="616"/>
        <w:jc w:val="both"/>
        <w:rPr>
          <w:rFonts w:ascii="Verdana" w:hAnsi="Verdana"/>
        </w:rPr>
      </w:pPr>
    </w:p>
    <w:p w14:paraId="380E767D" w14:textId="7039A2EE" w:rsidR="00514983" w:rsidRPr="00B3605D" w:rsidRDefault="00514983" w:rsidP="00514983">
      <w:pPr>
        <w:spacing w:after="0" w:line="240" w:lineRule="auto"/>
        <w:ind w:left="709" w:right="709"/>
        <w:jc w:val="both"/>
        <w:rPr>
          <w:rFonts w:ascii="Verdana" w:hAnsi="Verdana"/>
          <w:sz w:val="20"/>
          <w:szCs w:val="20"/>
        </w:rPr>
      </w:pPr>
      <w:r w:rsidRPr="00B3605D">
        <w:rPr>
          <w:rFonts w:ascii="Verdana" w:hAnsi="Verdana"/>
          <w:sz w:val="20"/>
          <w:szCs w:val="20"/>
        </w:rPr>
        <w:t xml:space="preserve">La Ley de Garantías no establece restricciones para las prórrogas, modificaciones o adiciones, y la cesión de los contratos suscritos antes del periodo electoral, siempre que tales prórrogas, modificaciones, adiciones y cesiones cumplan los principios de planeación, transparencia y responsabilidad. </w:t>
      </w:r>
    </w:p>
    <w:p w14:paraId="6E2C766D" w14:textId="77777777" w:rsidR="00414848" w:rsidRPr="00B3605D" w:rsidRDefault="00414848" w:rsidP="00514983">
      <w:pPr>
        <w:spacing w:after="0" w:line="240" w:lineRule="auto"/>
        <w:ind w:left="709" w:right="709"/>
        <w:jc w:val="both"/>
        <w:rPr>
          <w:rFonts w:ascii="Verdana" w:hAnsi="Verdana"/>
          <w:sz w:val="20"/>
          <w:szCs w:val="20"/>
        </w:rPr>
      </w:pPr>
    </w:p>
    <w:p w14:paraId="1DE462EB" w14:textId="77777777" w:rsidR="00514983" w:rsidRDefault="00514983" w:rsidP="00514983">
      <w:pPr>
        <w:spacing w:after="0" w:line="240" w:lineRule="auto"/>
        <w:ind w:left="709" w:right="709"/>
        <w:jc w:val="both"/>
        <w:rPr>
          <w:rFonts w:ascii="Verdana" w:hAnsi="Verdana"/>
          <w:sz w:val="20"/>
          <w:szCs w:val="20"/>
        </w:rPr>
      </w:pPr>
      <w:r w:rsidRPr="00B3605D">
        <w:rPr>
          <w:rFonts w:ascii="Verdana" w:hAnsi="Verdana"/>
          <w:sz w:val="20"/>
          <w:szCs w:val="20"/>
        </w:rPr>
        <w:t>En este sentido,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p w14:paraId="5DB38C1D" w14:textId="77777777" w:rsidR="00514983" w:rsidRPr="00FC54ED" w:rsidRDefault="00514983" w:rsidP="00514983">
      <w:pPr>
        <w:spacing w:after="0" w:line="240" w:lineRule="auto"/>
        <w:ind w:left="709" w:right="709"/>
        <w:jc w:val="both"/>
        <w:rPr>
          <w:rFonts w:ascii="Verdana" w:eastAsia="Times New Roman" w:hAnsi="Verdana" w:cs="Open Sans"/>
          <w:sz w:val="20"/>
          <w:szCs w:val="20"/>
          <w:lang w:eastAsia="es-CO"/>
        </w:rPr>
      </w:pPr>
    </w:p>
    <w:p w14:paraId="4C131DF5" w14:textId="77777777" w:rsidR="00514983" w:rsidRDefault="00514983" w:rsidP="00514983">
      <w:pPr>
        <w:spacing w:after="120" w:line="276" w:lineRule="auto"/>
        <w:ind w:firstLine="708"/>
        <w:jc w:val="both"/>
        <w:rPr>
          <w:rFonts w:ascii="Verdana" w:eastAsia="Times New Roman" w:hAnsi="Verdana" w:cs="Arial"/>
          <w:bCs/>
          <w:lang w:val="es-MX" w:eastAsia="es-CO"/>
        </w:rPr>
      </w:pPr>
      <w:r w:rsidRPr="00B3605D">
        <w:rPr>
          <w:rFonts w:ascii="Verdana" w:eastAsia="Arial" w:hAnsi="Verdana" w:cs="Arial"/>
          <w:lang w:val="es-ES" w:eastAsia="es-ES" w:bidi="es-ES"/>
        </w:rPr>
        <w:t xml:space="preserve">En conclusión, </w:t>
      </w:r>
      <w:r w:rsidRPr="00B3605D">
        <w:rPr>
          <w:rFonts w:ascii="Verdana" w:eastAsia="Times New Roman" w:hAnsi="Verdana" w:cs="Arial"/>
          <w:bCs/>
          <w:lang w:val="es-MX" w:eastAsia="es-CO"/>
        </w:rPr>
        <w:t xml:space="preserve">como en otras oportunidades </w:t>
      </w:r>
      <w:r w:rsidRPr="00894384">
        <w:rPr>
          <w:rFonts w:ascii="Verdana" w:eastAsia="Times New Roman" w:hAnsi="Verdana" w:cs="Arial"/>
          <w:bCs/>
          <w:lang w:val="es-MX" w:eastAsia="es-CO"/>
        </w:rPr>
        <w:t>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w:t>
      </w:r>
      <w:r>
        <w:rPr>
          <w:rFonts w:ascii="Verdana" w:eastAsia="Times New Roman" w:hAnsi="Verdana" w:cs="Arial"/>
          <w:bCs/>
          <w:lang w:val="es-MX" w:eastAsia="es-CO"/>
        </w:rPr>
        <w:t xml:space="preserve"> las disposiciones que rigen dichas actuaciones así como</w:t>
      </w:r>
      <w:r w:rsidRPr="00894384">
        <w:rPr>
          <w:rFonts w:ascii="Verdana" w:eastAsia="Times New Roman" w:hAnsi="Verdana" w:cs="Arial"/>
          <w:bCs/>
          <w:lang w:val="es-MX" w:eastAsia="es-CO"/>
        </w:rPr>
        <w:t xml:space="preserve"> los principios de planeación, transparencia y responsabilidad. </w:t>
      </w:r>
    </w:p>
    <w:p w14:paraId="553DBF81" w14:textId="6172744B" w:rsidR="00514983" w:rsidRPr="00947721" w:rsidRDefault="00514983" w:rsidP="00584F44">
      <w:pPr>
        <w:autoSpaceDE w:val="0"/>
        <w:autoSpaceDN w:val="0"/>
        <w:adjustRightInd w:val="0"/>
        <w:spacing w:after="120" w:line="276" w:lineRule="auto"/>
        <w:ind w:firstLine="708"/>
        <w:jc w:val="both"/>
        <w:rPr>
          <w:rFonts w:ascii="Verdana" w:hAnsi="Verdana" w:cs="BCDHEE+Verdana"/>
          <w:color w:val="000000"/>
        </w:rPr>
      </w:pPr>
      <w:r w:rsidRPr="00947721">
        <w:rPr>
          <w:rFonts w:ascii="Verdana" w:hAnsi="Verdana" w:cs="BCDHEE+Verdana"/>
          <w:color w:val="000000"/>
        </w:rPr>
        <w:t>Finalmente, sobre las fechas en que aplica la Ley de garantías, se debe tener en cuenta que el Consejo Nacional Electoral mediante Resolución No. 2581 del 5 de marzo de 2025 fijó el calendario electoral para las elecciones al Congreso de la República que serán el 8 de marzo de 2026</w:t>
      </w:r>
      <w:r w:rsidR="00414848">
        <w:rPr>
          <w:rFonts w:ascii="Verdana" w:hAnsi="Verdana" w:cs="BCDHEE+Verdana"/>
          <w:color w:val="000000"/>
        </w:rPr>
        <w:t>. E</w:t>
      </w:r>
      <w:r w:rsidRPr="00947721">
        <w:rPr>
          <w:rFonts w:ascii="Verdana" w:hAnsi="Verdana" w:cs="BCDHEE+Verdana"/>
          <w:color w:val="000000"/>
        </w:rPr>
        <w:t xml:space="preserve">n esa medida, de acuerdo con el artículo 38 de la Ley 996 de 2005, la restricción iniciaría el 8 de noviembre de 2025, es decir, 4 meses antes de la fecha de las elecciones, y las restricciones que se aplican son que prohíbe a los gobernadores, alcaldes municipales o distritales, secretarios, gerentes y directores de entidades descentralizadas del orden municipal, departamental o distrital celebrar </w:t>
      </w:r>
      <w:r w:rsidRPr="00947721">
        <w:rPr>
          <w:rFonts w:ascii="Verdana" w:hAnsi="Verdana" w:cs="BCDHEE+Verdana"/>
          <w:color w:val="000000"/>
        </w:rPr>
        <w:lastRenderedPageBreak/>
        <w:t xml:space="preserve">convenios interadministrativos para la ejecución de recursos públicos, ni participar, promover y destinar recursos públicos de las entidades a su cargo, como tampoco de las que participen como miembros de sus juntas directivas, en o para reuniones de carácter proselitista. </w:t>
      </w:r>
    </w:p>
    <w:p w14:paraId="3CE8ADA7" w14:textId="77777777" w:rsidR="00514983" w:rsidRDefault="00514983" w:rsidP="00514983">
      <w:pPr>
        <w:spacing w:after="120" w:line="276" w:lineRule="auto"/>
        <w:ind w:firstLine="708"/>
        <w:jc w:val="both"/>
        <w:rPr>
          <w:rFonts w:ascii="BCDHEE+Verdana" w:hAnsi="BCDHEE+Verdana" w:cs="BCDHEE+Verdana"/>
          <w:color w:val="000000"/>
        </w:rPr>
      </w:pPr>
      <w:r w:rsidRPr="00DE5508">
        <w:rPr>
          <w:rFonts w:ascii="Verdana" w:hAnsi="Verdana" w:cs="BCDHEE+Verdana"/>
          <w:color w:val="000000"/>
        </w:rPr>
        <w:t>Para las elecciones presidenciales, el Consejo Nacional Electoral mediante Resolución No. 2580 del 5 de marzo de 2025 fijó el calendario electoral para las elecciones de Presidente y Vicepresidente de la República en primera vuelta que se celebrarán el 31 de mayo de 2026, por lo que las restricciones a aplicar son las del artículo 33 de la Ley 996 de 2005 que dispone que dentro de los 4 meses anteriores a la elección presidencial, es decir desde el 31 de enero de 2026 y hasta el momento de la celebración de la segunda vuelta, si fuere el caso, queda prohibida la contratación directa por parte de todos los entes del Estado</w:t>
      </w:r>
      <w:r>
        <w:rPr>
          <w:rFonts w:ascii="BCDHEE+Verdana" w:hAnsi="BCDHEE+Verdana" w:cs="BCDHEE+Verdana"/>
          <w:color w:val="000000"/>
        </w:rPr>
        <w:t>.</w:t>
      </w:r>
    </w:p>
    <w:p w14:paraId="0E198FC0" w14:textId="77777777" w:rsidR="00514983" w:rsidRPr="00E61635" w:rsidRDefault="00514983" w:rsidP="00514983">
      <w:pPr>
        <w:widowControl w:val="0"/>
        <w:autoSpaceDE w:val="0"/>
        <w:autoSpaceDN w:val="0"/>
        <w:spacing w:after="0" w:line="276" w:lineRule="auto"/>
        <w:ind w:right="176" w:firstLine="708"/>
        <w:jc w:val="both"/>
        <w:rPr>
          <w:rFonts w:ascii="Verdana" w:hAnsi="Verdana"/>
        </w:rPr>
      </w:pPr>
      <w:r w:rsidRPr="00E61635">
        <w:rPr>
          <w:rFonts w:ascii="Verdana" w:hAnsi="Verdana"/>
        </w:rPr>
        <w:t xml:space="preserve">Dentro de este marco, corresponde a cada </w:t>
      </w:r>
      <w:r w:rsidRPr="005F3B31">
        <w:rPr>
          <w:rFonts w:ascii="Verdana" w:hAnsi="Verdana"/>
        </w:rPr>
        <w:t>entidad pública</w:t>
      </w:r>
      <w:r w:rsidRPr="00E61635">
        <w:rPr>
          <w:rFonts w:ascii="Verdana" w:hAnsi="Verdana"/>
        </w:rPr>
        <w:t>, en ejercicio de su competencia y previa valoración de los elementos fácticos y jurídicos, así como de las disposiciones legales mencionadas,</w:t>
      </w:r>
      <w:r>
        <w:rPr>
          <w:rFonts w:ascii="Verdana" w:hAnsi="Verdana"/>
        </w:rPr>
        <w:t xml:space="preserve"> determinar su gestión contractual durante la aplicación de las restricciones de la Ley de Garantías Electorales. </w:t>
      </w:r>
      <w:r w:rsidRPr="00E61635">
        <w:rPr>
          <w:rFonts w:ascii="Verdana" w:hAnsi="Verdana"/>
        </w:rPr>
        <w:t>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05AC7B4A" w14:textId="77777777" w:rsidR="00514983" w:rsidRDefault="00514983" w:rsidP="00514983">
      <w:pPr>
        <w:widowControl w:val="0"/>
        <w:autoSpaceDE w:val="0"/>
        <w:autoSpaceDN w:val="0"/>
        <w:spacing w:after="0" w:line="276" w:lineRule="auto"/>
        <w:jc w:val="both"/>
        <w:rPr>
          <w:rFonts w:ascii="Verdana" w:hAnsi="Verdana" w:cs="Arial"/>
        </w:rPr>
      </w:pPr>
    </w:p>
    <w:p w14:paraId="450284BF" w14:textId="77777777" w:rsidR="00514983" w:rsidRDefault="00514983" w:rsidP="00514983">
      <w:pPr>
        <w:pStyle w:val="Prrafodelista"/>
        <w:numPr>
          <w:ilvl w:val="0"/>
          <w:numId w:val="17"/>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Referencias normativas, jurisprudenciales y otras fuentes:</w:t>
      </w:r>
    </w:p>
    <w:p w14:paraId="0CAB7C71" w14:textId="77777777" w:rsidR="00514983" w:rsidRDefault="00514983" w:rsidP="00514983">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514983" w14:paraId="41E63244" w14:textId="77777777" w:rsidTr="00733290">
        <w:trPr>
          <w:trHeight w:val="870"/>
        </w:trPr>
        <w:tc>
          <w:tcPr>
            <w:tcW w:w="8647" w:type="dxa"/>
            <w:tcBorders>
              <w:top w:val="dotted" w:sz="4" w:space="0" w:color="auto"/>
              <w:left w:val="dotted" w:sz="4" w:space="0" w:color="auto"/>
              <w:bottom w:val="dotted" w:sz="4" w:space="0" w:color="auto"/>
              <w:right w:val="dotted" w:sz="4" w:space="0" w:color="auto"/>
            </w:tcBorders>
            <w:hideMark/>
          </w:tcPr>
          <w:p w14:paraId="29D1A17E" w14:textId="77777777" w:rsidR="00514983" w:rsidRPr="00B3605D" w:rsidRDefault="00514983" w:rsidP="00514983">
            <w:pPr>
              <w:widowControl w:val="0"/>
              <w:numPr>
                <w:ilvl w:val="0"/>
                <w:numId w:val="18"/>
              </w:numPr>
              <w:autoSpaceDE w:val="0"/>
              <w:autoSpaceDN w:val="0"/>
              <w:spacing w:line="276" w:lineRule="auto"/>
              <w:jc w:val="both"/>
              <w:rPr>
                <w:rFonts w:ascii="Verdana" w:eastAsia="Arial MT" w:hAnsi="Verdana" w:cs="Arial"/>
                <w:lang w:val="es-ES" w:eastAsia="es-ES" w:bidi="es-ES"/>
              </w:rPr>
            </w:pPr>
            <w:r w:rsidRPr="00DF1048">
              <w:rPr>
                <w:rFonts w:ascii="Verdana" w:eastAsia="Arial MT" w:hAnsi="Verdana" w:cs="Arial"/>
                <w:bCs/>
                <w:lang w:val="es-ES" w:eastAsia="es-ES" w:bidi="es-ES"/>
              </w:rPr>
              <w:t>Ley 996 de 2005: artículos 33 y 38 parágrafo.</w:t>
            </w:r>
          </w:p>
          <w:p w14:paraId="6A2D1937" w14:textId="77777777" w:rsidR="00514983" w:rsidRPr="00274DBA" w:rsidRDefault="00514983" w:rsidP="00514983">
            <w:pPr>
              <w:widowControl w:val="0"/>
              <w:numPr>
                <w:ilvl w:val="0"/>
                <w:numId w:val="18"/>
              </w:numPr>
              <w:autoSpaceDE w:val="0"/>
              <w:autoSpaceDN w:val="0"/>
              <w:spacing w:line="276" w:lineRule="auto"/>
              <w:jc w:val="both"/>
              <w:rPr>
                <w:rFonts w:ascii="Verdana" w:eastAsia="Calibri" w:hAnsi="Verdana" w:cs="Arial"/>
                <w:lang w:val="es-ES"/>
              </w:rPr>
            </w:pPr>
            <w:r w:rsidRPr="00274DBA">
              <w:rPr>
                <w:rFonts w:ascii="Verdana" w:eastAsia="Calibri" w:hAnsi="Verdana" w:cs="Arial"/>
                <w:lang w:val="pt-BR"/>
              </w:rPr>
              <w:t xml:space="preserve">Corte Constitucional. Sentencia C -1153 de 2005. </w:t>
            </w:r>
            <w:r w:rsidRPr="00274DBA">
              <w:rPr>
                <w:rFonts w:ascii="Verdana" w:eastAsia="Calibri" w:hAnsi="Verdana" w:cs="Arial"/>
                <w:lang w:val="es-ES"/>
              </w:rPr>
              <w:t xml:space="preserve">M.P. Marco Gerardo Monroy Cabra. </w:t>
            </w:r>
          </w:p>
          <w:p w14:paraId="5F2D46E5" w14:textId="77777777" w:rsidR="00514983" w:rsidRDefault="00514983" w:rsidP="00514983">
            <w:pPr>
              <w:widowControl w:val="0"/>
              <w:numPr>
                <w:ilvl w:val="0"/>
                <w:numId w:val="18"/>
              </w:numPr>
              <w:autoSpaceDE w:val="0"/>
              <w:autoSpaceDN w:val="0"/>
              <w:spacing w:line="276" w:lineRule="auto"/>
              <w:jc w:val="both"/>
              <w:rPr>
                <w:rFonts w:ascii="Verdana" w:eastAsia="Arial MT" w:hAnsi="Verdana" w:cs="Arial"/>
                <w:lang w:val="es-ES" w:eastAsia="es-ES" w:bidi="es-ES"/>
              </w:rPr>
            </w:pPr>
            <w:r w:rsidRPr="00B3605D">
              <w:rPr>
                <w:rFonts w:ascii="Verdana" w:eastAsia="Arial MT" w:hAnsi="Verdana" w:cs="Arial"/>
                <w:lang w:val="es-ES" w:eastAsia="es-ES" w:bidi="es-ES"/>
              </w:rPr>
              <w:t xml:space="preserve">Consejo de Estado, Sala de Consulta y Servicio Civil de fecha 24 de julio de 2013, Rad. 2166, C. P. Álvaro </w:t>
            </w:r>
            <w:proofErr w:type="spellStart"/>
            <w:r w:rsidRPr="00B3605D">
              <w:rPr>
                <w:rFonts w:ascii="Verdana" w:eastAsia="Arial MT" w:hAnsi="Verdana" w:cs="Arial"/>
                <w:lang w:val="es-ES" w:eastAsia="es-ES" w:bidi="es-ES"/>
              </w:rPr>
              <w:t>Namén</w:t>
            </w:r>
            <w:proofErr w:type="spellEnd"/>
            <w:r w:rsidRPr="00B3605D">
              <w:rPr>
                <w:rFonts w:ascii="Verdana" w:eastAsia="Arial MT" w:hAnsi="Verdana" w:cs="Arial"/>
                <w:lang w:val="es-ES" w:eastAsia="es-ES" w:bidi="es-ES"/>
              </w:rPr>
              <w:t xml:space="preserve"> Vargas.  </w:t>
            </w:r>
          </w:p>
          <w:p w14:paraId="670598F4" w14:textId="77777777" w:rsidR="00514983" w:rsidRPr="0060146E" w:rsidRDefault="00514983" w:rsidP="00514983">
            <w:pPr>
              <w:widowControl w:val="0"/>
              <w:numPr>
                <w:ilvl w:val="0"/>
                <w:numId w:val="18"/>
              </w:numPr>
              <w:autoSpaceDE w:val="0"/>
              <w:autoSpaceDN w:val="0"/>
              <w:spacing w:line="276" w:lineRule="auto"/>
              <w:jc w:val="both"/>
              <w:rPr>
                <w:rFonts w:ascii="Verdana" w:eastAsia="Arial MT" w:hAnsi="Verdana" w:cs="Arial"/>
                <w:lang w:val="es-ES" w:eastAsia="es-ES" w:bidi="es-ES"/>
              </w:rPr>
            </w:pPr>
            <w:r w:rsidRPr="0060146E">
              <w:rPr>
                <w:rFonts w:ascii="Verdana" w:hAnsi="Verdana"/>
                <w:lang w:val="es-ES"/>
              </w:rPr>
              <w:t xml:space="preserve">Consejo de Estado. Sala de Consulta y Servicio Civil. Concepto del 12 de junio de 2018. </w:t>
            </w:r>
            <w:proofErr w:type="spellStart"/>
            <w:r w:rsidRPr="0060146E">
              <w:rPr>
                <w:rFonts w:ascii="Verdana" w:hAnsi="Verdana"/>
                <w:lang w:val="es-ES"/>
              </w:rPr>
              <w:t>Exp</w:t>
            </w:r>
            <w:proofErr w:type="spellEnd"/>
            <w:r w:rsidRPr="0060146E">
              <w:rPr>
                <w:rFonts w:ascii="Verdana" w:hAnsi="Verdana"/>
                <w:lang w:val="es-ES"/>
              </w:rPr>
              <w:t>. 2371. C.P. Oscar Darío Amaya Navas</w:t>
            </w:r>
          </w:p>
          <w:p w14:paraId="5CC9B9B5" w14:textId="77777777" w:rsidR="00514983" w:rsidRPr="006A640E" w:rsidRDefault="00514983" w:rsidP="00514983">
            <w:pPr>
              <w:widowControl w:val="0"/>
              <w:numPr>
                <w:ilvl w:val="0"/>
                <w:numId w:val="18"/>
              </w:numPr>
              <w:autoSpaceDE w:val="0"/>
              <w:autoSpaceDN w:val="0"/>
              <w:spacing w:line="276" w:lineRule="auto"/>
              <w:jc w:val="both"/>
              <w:rPr>
                <w:rFonts w:ascii="Verdana" w:eastAsia="Arial MT" w:hAnsi="Verdana" w:cs="Arial"/>
                <w:lang w:val="es-ES" w:eastAsia="es-ES" w:bidi="es-ES"/>
              </w:rPr>
            </w:pPr>
            <w:r w:rsidRPr="00AB6AC3">
              <w:rPr>
                <w:rFonts w:ascii="Verdana" w:eastAsia="Calibri" w:hAnsi="Verdana" w:cs="Arial"/>
              </w:rPr>
              <w:t xml:space="preserve">Agencia Nacional de Contratación Pública – </w:t>
            </w:r>
            <w:r w:rsidRPr="00E12AA8">
              <w:rPr>
                <w:rFonts w:ascii="Verdana" w:hAnsi="Verdana"/>
              </w:rPr>
              <w:t>Colombia Compra Eficiente. Circular Externa Única. Numeral 16.5.</w:t>
            </w:r>
          </w:p>
        </w:tc>
      </w:tr>
    </w:tbl>
    <w:p w14:paraId="3723288E" w14:textId="77777777" w:rsidR="00514983" w:rsidRDefault="00514983" w:rsidP="00514983">
      <w:pPr>
        <w:widowControl w:val="0"/>
        <w:autoSpaceDE w:val="0"/>
        <w:autoSpaceDN w:val="0"/>
        <w:spacing w:after="0" w:line="276" w:lineRule="auto"/>
        <w:jc w:val="both"/>
        <w:rPr>
          <w:rFonts w:ascii="Verdana" w:hAnsi="Verdana" w:cs="Arial"/>
        </w:rPr>
      </w:pPr>
    </w:p>
    <w:p w14:paraId="5AD79EDC" w14:textId="77777777" w:rsidR="00514983" w:rsidRDefault="00514983" w:rsidP="00514983">
      <w:pPr>
        <w:pStyle w:val="Prrafodelista"/>
        <w:numPr>
          <w:ilvl w:val="0"/>
          <w:numId w:val="17"/>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0B8E4BE0" w14:textId="77777777" w:rsidR="00514983" w:rsidRDefault="00514983" w:rsidP="00514983">
      <w:pPr>
        <w:widowControl w:val="0"/>
        <w:autoSpaceDE w:val="0"/>
        <w:autoSpaceDN w:val="0"/>
        <w:spacing w:after="0" w:line="276" w:lineRule="auto"/>
        <w:jc w:val="both"/>
        <w:rPr>
          <w:rFonts w:ascii="Verdana" w:hAnsi="Verdana" w:cs="Arial"/>
        </w:rPr>
      </w:pPr>
    </w:p>
    <w:p w14:paraId="2DC8B9E0" w14:textId="4A4671F3" w:rsidR="00514983" w:rsidRPr="00FE3C84" w:rsidRDefault="00514983" w:rsidP="00514983">
      <w:pPr>
        <w:widowControl w:val="0"/>
        <w:autoSpaceDE w:val="0"/>
        <w:autoSpaceDN w:val="0"/>
        <w:spacing w:after="0" w:line="276" w:lineRule="auto"/>
        <w:jc w:val="both"/>
        <w:rPr>
          <w:rStyle w:val="normaltextrun"/>
          <w:rFonts w:ascii="Verdana" w:hAnsi="Verdana"/>
          <w:color w:val="FF0000"/>
          <w:shd w:val="clear" w:color="auto" w:fill="FFFFFF"/>
          <w:lang w:val="es-ES"/>
        </w:rPr>
      </w:pPr>
      <w:r>
        <w:rPr>
          <w:rStyle w:val="normaltextrun"/>
          <w:rFonts w:ascii="Verdana" w:hAnsi="Verdana" w:cs="Arial"/>
          <w:shd w:val="clear" w:color="auto" w:fill="FFFFFF"/>
          <w:lang w:val="es-ES"/>
        </w:rPr>
        <w:t>Sobre la aplicación de la Ley de Garantías Electorales</w:t>
      </w:r>
      <w:r w:rsidRPr="00AD7D4E">
        <w:rPr>
          <w:rStyle w:val="normaltextrun"/>
          <w:rFonts w:ascii="Verdana" w:hAnsi="Verdana" w:cs="Arial"/>
          <w:shd w:val="clear" w:color="auto" w:fill="FFFFFF"/>
          <w:lang w:val="es-ES"/>
        </w:rPr>
        <w:t>, esta Subdirección se ha pronunciado en los conceptos</w:t>
      </w:r>
      <w:r>
        <w:rPr>
          <w:rStyle w:val="normaltextrun"/>
          <w:rFonts w:ascii="Verdana" w:hAnsi="Verdana" w:cs="Arial"/>
          <w:shd w:val="clear" w:color="auto" w:fill="FFFFFF"/>
          <w:lang w:val="es-ES"/>
        </w:rPr>
        <w:t xml:space="preserve"> </w:t>
      </w:r>
      <w:r w:rsidRPr="00CF7C16">
        <w:rPr>
          <w:rFonts w:ascii="Verdana" w:hAnsi="Verdana" w:cs="Arial"/>
          <w:shd w:val="clear" w:color="auto" w:fill="FFFFFF"/>
          <w:lang w:val="es-ES"/>
        </w:rPr>
        <w:t xml:space="preserve">C-636 del 16 de noviembre de 2021, 681 del 7 de diciembre de 2021, C-686 del 21 de diciembre de 2021, </w:t>
      </w:r>
      <w:r>
        <w:rPr>
          <w:rFonts w:ascii="Verdana" w:hAnsi="Verdana" w:cs="Arial"/>
          <w:shd w:val="clear" w:color="auto" w:fill="FFFFFF"/>
          <w:lang w:val="es-ES"/>
        </w:rPr>
        <w:t xml:space="preserve">C-1179 del 8 de abril de 2022, </w:t>
      </w:r>
      <w:r w:rsidRPr="00CF7C16">
        <w:rPr>
          <w:rFonts w:ascii="Verdana" w:hAnsi="Verdana" w:cs="Arial"/>
          <w:shd w:val="clear" w:color="auto" w:fill="FFFFFF"/>
          <w:lang w:val="es-ES"/>
        </w:rPr>
        <w:t xml:space="preserve">C-697 del 3 de enero de 2022, </w:t>
      </w:r>
      <w:r>
        <w:rPr>
          <w:rStyle w:val="normaltextrun"/>
          <w:rFonts w:ascii="Verdana" w:hAnsi="Verdana" w:cs="Arial"/>
          <w:shd w:val="clear" w:color="auto" w:fill="FFFFFF"/>
          <w:lang w:val="es-ES"/>
        </w:rPr>
        <w:t xml:space="preserve">C-329 del 24 de mayo de 2022, </w:t>
      </w:r>
      <w:r w:rsidRPr="00CF7C16">
        <w:rPr>
          <w:rFonts w:ascii="Verdana" w:hAnsi="Verdana" w:cs="Arial"/>
          <w:shd w:val="clear" w:color="auto" w:fill="FFFFFF"/>
          <w:lang w:val="es-ES"/>
        </w:rPr>
        <w:t>C-180 del 21 de marzo de 2025, C-317 del 25 de abril de 2025, C-510 del 4 de junio de 2025,</w:t>
      </w:r>
      <w:r>
        <w:rPr>
          <w:rFonts w:ascii="Verdana" w:hAnsi="Verdana" w:cs="Arial"/>
          <w:shd w:val="clear" w:color="auto" w:fill="FFFFFF"/>
          <w:lang w:val="es-ES"/>
        </w:rPr>
        <w:t xml:space="preserve"> C-856 del 11 de agosto de 2025,</w:t>
      </w:r>
      <w:r w:rsidRPr="00CF7C16">
        <w:rPr>
          <w:rFonts w:ascii="Verdana" w:hAnsi="Verdana" w:cs="Arial"/>
          <w:shd w:val="clear" w:color="auto" w:fill="FFFFFF"/>
          <w:lang w:val="es-ES"/>
        </w:rPr>
        <w:t xml:space="preserve"> entre otros.</w:t>
      </w:r>
      <w:r>
        <w:rPr>
          <w:rStyle w:val="normaltextrun"/>
          <w:rFonts w:ascii="Verdana" w:hAnsi="Verdana" w:cs="Arial"/>
          <w:shd w:val="clear" w:color="auto" w:fill="FFFFFF"/>
          <w:lang w:val="es-ES"/>
        </w:rPr>
        <w:t xml:space="preserve"> Es</w:t>
      </w:r>
      <w:r>
        <w:rPr>
          <w:rFonts w:ascii="Verdana" w:hAnsi="Verdana"/>
        </w:rPr>
        <w:t>tos y otros conceptos se encuentran disponibles para consulta en el Sistema de relatoría de la Agencia, al cual se puede acceder a través del siguiente enlace:</w:t>
      </w:r>
      <w:r>
        <w:rPr>
          <w:rStyle w:val="normaltextrun"/>
          <w:rFonts w:ascii="Verdana" w:hAnsi="Verdana" w:cs="Arial"/>
          <w:shd w:val="clear" w:color="auto" w:fill="FFFFFF"/>
          <w:lang w:val="es-ES"/>
        </w:rPr>
        <w:t xml:space="preserve"> </w:t>
      </w:r>
      <w:hyperlink r:id="rId12" w:history="1">
        <w:r w:rsidRPr="00B778BC">
          <w:rPr>
            <w:rStyle w:val="Hipervnculo"/>
            <w:rFonts w:ascii="Verdana" w:hAnsi="Verdana" w:cs="Arial"/>
            <w:shd w:val="clear" w:color="auto" w:fill="FFFFFF"/>
            <w:lang w:val="es-ES"/>
          </w:rPr>
          <w:t>https://relatoria.colombiacompra.gov.co/busqueda/conceptos</w:t>
        </w:r>
      </w:hyperlink>
      <w:r w:rsidRPr="00B778BC">
        <w:rPr>
          <w:rStyle w:val="normaltextrun"/>
          <w:rFonts w:ascii="Verdana" w:hAnsi="Verdana" w:cs="Arial"/>
          <w:color w:val="FF0000"/>
          <w:shd w:val="clear" w:color="auto" w:fill="FFFFFF"/>
          <w:lang w:val="es-ES"/>
        </w:rPr>
        <w:t xml:space="preserve">. </w:t>
      </w:r>
    </w:p>
    <w:p w14:paraId="088F8625" w14:textId="77777777" w:rsidR="00514983" w:rsidRDefault="00514983" w:rsidP="00514983">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0519DCA9" w14:textId="77777777" w:rsidR="00514983" w:rsidRPr="005D0607" w:rsidRDefault="00514983" w:rsidP="00514983">
      <w:pPr>
        <w:shd w:val="clear" w:color="auto" w:fill="FFFFFF"/>
        <w:spacing w:after="0" w:line="276" w:lineRule="auto"/>
        <w:jc w:val="both"/>
        <w:textAlignment w:val="baseline"/>
        <w:rPr>
          <w:rFonts w:ascii="Verdana" w:hAnsi="Verdana"/>
          <w:color w:val="467886"/>
          <w:u w:val="single"/>
          <w:bdr w:val="none" w:sz="0" w:space="0" w:color="auto" w:frame="1"/>
        </w:rPr>
      </w:pPr>
      <w:r>
        <w:rPr>
          <w:rFonts w:ascii="Verdana" w:hAnsi="Verdana"/>
          <w:color w:val="000000"/>
          <w:bdr w:val="none" w:sz="0" w:space="0" w:color="auto" w:frame="1"/>
        </w:rPr>
        <w:t>Le contamos que ya se encuentra disponible la </w:t>
      </w:r>
      <w:r>
        <w:rPr>
          <w:rFonts w:ascii="Verdana" w:hAnsi="Verdana"/>
          <w:b/>
          <w:bCs/>
          <w:color w:val="000000"/>
          <w:bdr w:val="none" w:sz="0" w:space="0" w:color="auto" w:frame="1"/>
        </w:rPr>
        <w:t>Guía de lineamientos de transparencia y selección objetiva para el departamento de La Guajira – Objetivo sexto constitucional de la Sentencia T-302 del 2017. </w:t>
      </w:r>
      <w:r>
        <w:rPr>
          <w:rFonts w:ascii="Verdana" w:hAnsi="Verdana"/>
          <w:color w:val="000000"/>
          <w:bdr w:val="none" w:sz="0" w:space="0" w:color="auto" w:frame="1"/>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Pr>
          <w:rFonts w:ascii="Verdana" w:hAnsi="Verdana"/>
          <w:color w:val="000000"/>
          <w:bdr w:val="none" w:sz="0" w:space="0" w:color="auto" w:frame="1"/>
        </w:rPr>
        <w:t>Wayúu</w:t>
      </w:r>
      <w:proofErr w:type="spellEnd"/>
      <w:r>
        <w:rPr>
          <w:rFonts w:ascii="Verdana" w:hAnsi="Verdana"/>
          <w:color w:val="000000"/>
          <w:bdr w:val="none" w:sz="0" w:space="0" w:color="auto" w:frame="1"/>
        </w:rPr>
        <w:t xml:space="preserve">. </w:t>
      </w:r>
      <w:r w:rsidRPr="00B778BC">
        <w:rPr>
          <w:rFonts w:ascii="Verdana" w:hAnsi="Verdana"/>
          <w:color w:val="000000"/>
          <w:bdr w:val="none" w:sz="0" w:space="0" w:color="auto" w:frame="1"/>
        </w:rPr>
        <w:t>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B778BC">
          <w:rPr>
            <w:rStyle w:val="Hipervnculo"/>
            <w:rFonts w:ascii="Verdana" w:hAnsi="Verdana"/>
            <w:color w:val="467886"/>
            <w:bdr w:val="none" w:sz="0" w:space="0" w:color="auto" w:frame="1"/>
          </w:rPr>
          <w:t>Guía de lineamientos de transparencia y selección objetiva para el departamento de La Guajira – Objetivo sexto constitucional de la Sentencia T-302 del 2017</w:t>
        </w:r>
      </w:hyperlink>
      <w:r w:rsidRPr="00B778BC">
        <w:rPr>
          <w:rFonts w:ascii="Verdana" w:hAnsi="Verdana"/>
          <w:color w:val="467886"/>
          <w:u w:val="single"/>
          <w:bdr w:val="none" w:sz="0" w:space="0" w:color="auto" w:frame="1"/>
        </w:rPr>
        <w:t>"</w:t>
      </w:r>
    </w:p>
    <w:p w14:paraId="4C33011B" w14:textId="77777777" w:rsidR="00514983" w:rsidRDefault="00514983" w:rsidP="00514983">
      <w:pPr>
        <w:spacing w:after="0" w:line="276" w:lineRule="auto"/>
        <w:jc w:val="both"/>
        <w:rPr>
          <w:rFonts w:ascii="Verdana" w:hAnsi="Verdana"/>
        </w:rPr>
      </w:pPr>
    </w:p>
    <w:p w14:paraId="5BBE4E1C" w14:textId="77777777" w:rsidR="00514983" w:rsidRDefault="00514983" w:rsidP="00514983">
      <w:pPr>
        <w:spacing w:after="0" w:line="276" w:lineRule="auto"/>
        <w:jc w:val="both"/>
        <w:rPr>
          <w:rFonts w:ascii="Verdana" w:hAnsi="Verdana"/>
        </w:rPr>
      </w:pPr>
      <w:r>
        <w:rPr>
          <w:rFonts w:ascii="Verdana" w:hAnsi="Verdana"/>
        </w:rPr>
        <w:t xml:space="preserve">Por último, lo invitamos a seguirnos en las redes sociales en las cuales se difunde información institucional: </w:t>
      </w:r>
    </w:p>
    <w:p w14:paraId="2EC77831" w14:textId="77777777" w:rsidR="00514983" w:rsidRDefault="00514983" w:rsidP="00514983">
      <w:pPr>
        <w:spacing w:after="0" w:line="276" w:lineRule="auto"/>
        <w:jc w:val="both"/>
        <w:rPr>
          <w:rFonts w:ascii="Verdana" w:hAnsi="Verdana"/>
        </w:rPr>
      </w:pPr>
    </w:p>
    <w:p w14:paraId="355AB87B" w14:textId="77777777" w:rsidR="00514983" w:rsidRDefault="00514983" w:rsidP="00514983">
      <w:pPr>
        <w:spacing w:after="0" w:line="276" w:lineRule="auto"/>
        <w:jc w:val="both"/>
        <w:rPr>
          <w:rFonts w:ascii="Verdana" w:hAnsi="Verdana"/>
        </w:rPr>
      </w:pPr>
      <w:r>
        <w:rPr>
          <w:rFonts w:ascii="Verdana" w:hAnsi="Verdana"/>
        </w:rPr>
        <w:t xml:space="preserve">Twitter: </w:t>
      </w:r>
      <w:r>
        <w:rPr>
          <w:rStyle w:val="Hipervnculo"/>
          <w:rFonts w:ascii="Verdana" w:hAnsi="Verdana"/>
          <w:color w:val="4472C4" w:themeColor="accent1"/>
        </w:rPr>
        <w:t>@colombiacompra</w:t>
      </w:r>
      <w:r>
        <w:rPr>
          <w:rFonts w:ascii="Verdana" w:hAnsi="Verdana"/>
          <w:color w:val="4472C4" w:themeColor="accent1"/>
        </w:rPr>
        <w:t xml:space="preserve"> </w:t>
      </w:r>
    </w:p>
    <w:p w14:paraId="746427DD" w14:textId="77777777" w:rsidR="00514983" w:rsidRDefault="00514983" w:rsidP="00514983">
      <w:pPr>
        <w:spacing w:after="0" w:line="276" w:lineRule="auto"/>
        <w:jc w:val="both"/>
        <w:rPr>
          <w:rFonts w:ascii="Verdana" w:hAnsi="Verdana"/>
        </w:rPr>
      </w:pPr>
      <w:r>
        <w:rPr>
          <w:rFonts w:ascii="Verdana" w:hAnsi="Verdana"/>
        </w:rPr>
        <w:t xml:space="preserve">Facebook: </w:t>
      </w:r>
      <w:proofErr w:type="spellStart"/>
      <w:r>
        <w:rPr>
          <w:rStyle w:val="Hipervnculo"/>
          <w:rFonts w:ascii="Verdana" w:hAnsi="Verdana"/>
          <w:color w:val="4472C4" w:themeColor="accent1"/>
        </w:rPr>
        <w:t>ColombiaCompraEficiente</w:t>
      </w:r>
      <w:proofErr w:type="spellEnd"/>
    </w:p>
    <w:p w14:paraId="415A39AE" w14:textId="77777777" w:rsidR="00514983" w:rsidRDefault="00514983" w:rsidP="00514983">
      <w:pPr>
        <w:spacing w:after="0" w:line="276" w:lineRule="auto"/>
        <w:jc w:val="both"/>
        <w:rPr>
          <w:rFonts w:ascii="Verdana" w:hAnsi="Verdana"/>
        </w:rPr>
      </w:pPr>
      <w:r>
        <w:rPr>
          <w:rFonts w:ascii="Verdana" w:hAnsi="Verdana"/>
        </w:rPr>
        <w:t xml:space="preserve">LinkedIn: </w:t>
      </w:r>
      <w:r>
        <w:rPr>
          <w:rStyle w:val="Hipervnculo"/>
          <w:rFonts w:ascii="Verdana" w:hAnsi="Verdana"/>
          <w:color w:val="4472C4" w:themeColor="accent1"/>
        </w:rPr>
        <w:t>Agencia Nacional de Contratación Pública - Colombia Compra Eficiente</w:t>
      </w:r>
      <w:r>
        <w:rPr>
          <w:rFonts w:ascii="Verdana" w:hAnsi="Verdana"/>
          <w:color w:val="4472C4" w:themeColor="accent1"/>
        </w:rPr>
        <w:t xml:space="preserve"> </w:t>
      </w:r>
      <w:r>
        <w:rPr>
          <w:rFonts w:ascii="Verdana" w:hAnsi="Verdana"/>
        </w:rPr>
        <w:t xml:space="preserve">Instagram: </w:t>
      </w:r>
      <w:r>
        <w:rPr>
          <w:rStyle w:val="Hipervnculo"/>
          <w:rFonts w:ascii="Verdana" w:hAnsi="Verdana"/>
          <w:color w:val="4472C4" w:themeColor="accent1"/>
        </w:rPr>
        <w:t>@colombiacompraeficiente_cce</w:t>
      </w:r>
    </w:p>
    <w:p w14:paraId="3D638D5F" w14:textId="77777777" w:rsidR="00514983" w:rsidRDefault="00514983" w:rsidP="00514983">
      <w:pPr>
        <w:widowControl w:val="0"/>
        <w:autoSpaceDE w:val="0"/>
        <w:autoSpaceDN w:val="0"/>
        <w:spacing w:after="0" w:line="276" w:lineRule="auto"/>
        <w:jc w:val="both"/>
        <w:rPr>
          <w:rFonts w:ascii="Verdana" w:hAnsi="Verdana" w:cs="Arial"/>
        </w:rPr>
      </w:pPr>
    </w:p>
    <w:p w14:paraId="2F334217" w14:textId="77777777" w:rsidR="00514983" w:rsidRDefault="00514983" w:rsidP="00514983">
      <w:pPr>
        <w:widowControl w:val="0"/>
        <w:autoSpaceDE w:val="0"/>
        <w:autoSpaceDN w:val="0"/>
        <w:spacing w:after="0" w:line="276" w:lineRule="auto"/>
        <w:jc w:val="both"/>
        <w:rPr>
          <w:rFonts w:ascii="Verdana" w:hAnsi="Verdana" w:cs="Arial"/>
          <w:lang w:val="es-ES_tradnl"/>
        </w:rPr>
      </w:pPr>
      <w:r>
        <w:rPr>
          <w:rFonts w:ascii="Verdana" w:hAnsi="Verdana" w:cs="Arial"/>
        </w:rPr>
        <w:t xml:space="preserve">Este concepto tiene el alcance previsto en el artículo 28 del Código de Procedimiento Administrativo y de lo Contencioso Administrativo </w:t>
      </w:r>
      <w:r>
        <w:rPr>
          <w:rFonts w:ascii="Verdana" w:hAnsi="Verdana" w:cs="Arial"/>
          <w:lang w:val="es-ES_tradnl"/>
        </w:rPr>
        <w:t xml:space="preserve">y las expresiones aquí utilizadas con mayúscula inicial deben ser entendidas con el </w:t>
      </w:r>
      <w:r>
        <w:rPr>
          <w:rFonts w:ascii="Verdana" w:hAnsi="Verdana" w:cs="Arial"/>
          <w:lang w:val="es-ES_tradnl"/>
        </w:rPr>
        <w:lastRenderedPageBreak/>
        <w:t>significado que les otorga el artículo 2.2.1.1.1.3.1. del Decreto 1082 de 2015.</w:t>
      </w:r>
    </w:p>
    <w:p w14:paraId="5C7B3842" w14:textId="77777777" w:rsidR="00514983" w:rsidRDefault="00514983" w:rsidP="00514983">
      <w:pPr>
        <w:widowControl w:val="0"/>
        <w:autoSpaceDE w:val="0"/>
        <w:autoSpaceDN w:val="0"/>
        <w:spacing w:after="0" w:line="276" w:lineRule="auto"/>
        <w:jc w:val="both"/>
        <w:rPr>
          <w:rFonts w:ascii="Verdana" w:hAnsi="Verdana" w:cs="Arial"/>
        </w:rPr>
      </w:pPr>
    </w:p>
    <w:p w14:paraId="7E2A15E3" w14:textId="77777777" w:rsidR="00514983" w:rsidRDefault="00514983" w:rsidP="00514983">
      <w:pPr>
        <w:spacing w:after="0" w:line="276" w:lineRule="auto"/>
        <w:rPr>
          <w:rFonts w:ascii="Verdana" w:hAnsi="Verdana" w:cs="Arial"/>
          <w:lang w:eastAsia="es-CO"/>
        </w:rPr>
      </w:pPr>
      <w:r>
        <w:rPr>
          <w:rFonts w:ascii="Verdana" w:eastAsia="Times New Roman" w:hAnsi="Verdana" w:cs="Arial"/>
          <w:lang w:eastAsia="es-CO"/>
        </w:rPr>
        <w:t>Atentamente,</w:t>
      </w:r>
      <w:r>
        <w:rPr>
          <w:rFonts w:ascii="Verdana" w:hAnsi="Verdana" w:cs="Arial"/>
          <w:lang w:eastAsia="es-CO"/>
        </w:rPr>
        <w:t xml:space="preserve"> </w:t>
      </w:r>
    </w:p>
    <w:p w14:paraId="2F96A478" w14:textId="693A6142" w:rsidR="00514983" w:rsidRDefault="005519A7" w:rsidP="00514983">
      <w:pPr>
        <w:spacing w:after="0" w:line="276" w:lineRule="auto"/>
        <w:jc w:val="center"/>
        <w:rPr>
          <w:rFonts w:ascii="Verdana" w:hAnsi="Verdana"/>
          <w:lang w:val="es-ES_tradnl"/>
        </w:rPr>
      </w:pPr>
      <w:r>
        <w:rPr>
          <w:rFonts w:ascii="Verdana" w:hAnsi="Verdana"/>
          <w:noProof/>
          <w:lang w:val="es-ES_tradnl"/>
        </w:rPr>
        <w:drawing>
          <wp:inline distT="0" distB="0" distL="0" distR="0" wp14:anchorId="7FB209CC" wp14:editId="5CB08241">
            <wp:extent cx="3639058" cy="1343212"/>
            <wp:effectExtent l="0" t="0" r="0" b="0"/>
            <wp:docPr id="155823423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8234230" name="Imagen 1558234230"/>
                    <pic:cNvPicPr/>
                  </pic:nvPicPr>
                  <pic:blipFill>
                    <a:blip r:embed="rId14">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14983" w:rsidRPr="00D53651" w14:paraId="431836AD" w14:textId="77777777" w:rsidTr="00733290">
        <w:trPr>
          <w:trHeight w:val="315"/>
        </w:trPr>
        <w:tc>
          <w:tcPr>
            <w:tcW w:w="893" w:type="dxa"/>
            <w:vAlign w:val="center"/>
            <w:hideMark/>
          </w:tcPr>
          <w:p w14:paraId="413064F0" w14:textId="77777777" w:rsidR="00514983" w:rsidRPr="00D53651" w:rsidRDefault="00514983" w:rsidP="00733290">
            <w:pPr>
              <w:spacing w:line="276" w:lineRule="auto"/>
              <w:jc w:val="both"/>
              <w:rPr>
                <w:rFonts w:ascii="Verdana" w:hAnsi="Verdana"/>
                <w:sz w:val="16"/>
                <w:szCs w:val="16"/>
              </w:rPr>
            </w:pPr>
            <w:r w:rsidRPr="00D53651">
              <w:rPr>
                <w:rFonts w:ascii="Verdana" w:hAnsi="Verdana"/>
                <w:sz w:val="16"/>
                <w:szCs w:val="16"/>
              </w:rPr>
              <w:t>Elaboró:</w:t>
            </w:r>
          </w:p>
        </w:tc>
        <w:tc>
          <w:tcPr>
            <w:tcW w:w="5628" w:type="dxa"/>
            <w:tcBorders>
              <w:top w:val="nil"/>
              <w:left w:val="nil"/>
              <w:bottom w:val="dotted" w:sz="4" w:space="0" w:color="7F7F7F"/>
              <w:right w:val="nil"/>
            </w:tcBorders>
            <w:vAlign w:val="center"/>
            <w:hideMark/>
          </w:tcPr>
          <w:p w14:paraId="789D20C1" w14:textId="7D77CA80" w:rsidR="00514983" w:rsidRPr="00D53651" w:rsidRDefault="007C3F9B" w:rsidP="00733290">
            <w:pPr>
              <w:spacing w:line="276" w:lineRule="auto"/>
              <w:jc w:val="both"/>
              <w:rPr>
                <w:rFonts w:ascii="Verdana" w:hAnsi="Verdana"/>
                <w:sz w:val="16"/>
                <w:szCs w:val="16"/>
              </w:rPr>
            </w:pPr>
            <w:r>
              <w:rPr>
                <w:rFonts w:ascii="Verdana" w:hAnsi="Verdana"/>
                <w:sz w:val="16"/>
                <w:szCs w:val="16"/>
              </w:rPr>
              <w:t>Gloria Elizabeth Arango Builes</w:t>
            </w:r>
          </w:p>
          <w:p w14:paraId="3EFE7696" w14:textId="77777777" w:rsidR="00514983" w:rsidRPr="00D53651" w:rsidRDefault="00514983" w:rsidP="00733290">
            <w:pPr>
              <w:spacing w:line="276" w:lineRule="auto"/>
              <w:jc w:val="both"/>
              <w:rPr>
                <w:rFonts w:ascii="Verdana" w:hAnsi="Verdana"/>
                <w:sz w:val="16"/>
                <w:szCs w:val="16"/>
              </w:rPr>
            </w:pPr>
            <w:r w:rsidRPr="00D53651">
              <w:rPr>
                <w:rFonts w:ascii="Verdana" w:hAnsi="Verdana"/>
                <w:sz w:val="16"/>
                <w:szCs w:val="16"/>
              </w:rPr>
              <w:t>Contratista de la Subdirección de Gestión Contractual</w:t>
            </w:r>
          </w:p>
        </w:tc>
      </w:tr>
      <w:tr w:rsidR="00514983" w:rsidRPr="00D53651" w14:paraId="10E6647F" w14:textId="77777777" w:rsidTr="00733290">
        <w:trPr>
          <w:trHeight w:val="330"/>
        </w:trPr>
        <w:tc>
          <w:tcPr>
            <w:tcW w:w="893" w:type="dxa"/>
            <w:vAlign w:val="center"/>
            <w:hideMark/>
          </w:tcPr>
          <w:p w14:paraId="12F6710E" w14:textId="77777777" w:rsidR="00514983" w:rsidRPr="00D53651" w:rsidRDefault="00514983" w:rsidP="00733290">
            <w:pPr>
              <w:spacing w:line="276" w:lineRule="auto"/>
              <w:jc w:val="both"/>
              <w:rPr>
                <w:rFonts w:ascii="Verdana" w:hAnsi="Verdana"/>
                <w:sz w:val="16"/>
                <w:szCs w:val="16"/>
              </w:rPr>
            </w:pPr>
            <w:r w:rsidRPr="00D53651">
              <w:rPr>
                <w:rFonts w:ascii="Verdana" w:hAnsi="Verdana"/>
                <w:sz w:val="16"/>
                <w:szCs w:val="16"/>
              </w:rPr>
              <w:t>Revisó:</w:t>
            </w:r>
          </w:p>
        </w:tc>
        <w:tc>
          <w:tcPr>
            <w:tcW w:w="5628" w:type="dxa"/>
            <w:tcBorders>
              <w:top w:val="dotted" w:sz="4" w:space="0" w:color="7F7F7F"/>
              <w:left w:val="nil"/>
              <w:bottom w:val="dotted" w:sz="4" w:space="0" w:color="7F7F7F"/>
              <w:right w:val="nil"/>
            </w:tcBorders>
            <w:vAlign w:val="center"/>
            <w:hideMark/>
          </w:tcPr>
          <w:p w14:paraId="135BD046" w14:textId="77777777" w:rsidR="00514983" w:rsidRPr="00D53651" w:rsidRDefault="00514983" w:rsidP="00733290">
            <w:pPr>
              <w:spacing w:line="276" w:lineRule="auto"/>
              <w:jc w:val="both"/>
              <w:rPr>
                <w:rFonts w:ascii="Verdana" w:hAnsi="Verdana"/>
                <w:sz w:val="16"/>
                <w:szCs w:val="16"/>
              </w:rPr>
            </w:pPr>
            <w:r>
              <w:rPr>
                <w:rFonts w:ascii="Verdana" w:hAnsi="Verdana"/>
                <w:sz w:val="16"/>
                <w:szCs w:val="16"/>
              </w:rPr>
              <w:t>Diana Lucía Saavedra</w:t>
            </w:r>
            <w:r w:rsidRPr="00D53651">
              <w:rPr>
                <w:rFonts w:ascii="Verdana" w:hAnsi="Verdana"/>
                <w:sz w:val="16"/>
                <w:szCs w:val="16"/>
              </w:rPr>
              <w:t xml:space="preserve"> </w:t>
            </w:r>
          </w:p>
          <w:p w14:paraId="4451CB05" w14:textId="77777777" w:rsidR="00514983" w:rsidRPr="00D53651" w:rsidRDefault="00514983" w:rsidP="00733290">
            <w:pPr>
              <w:spacing w:line="276" w:lineRule="auto"/>
              <w:jc w:val="both"/>
              <w:rPr>
                <w:rFonts w:ascii="Verdana" w:hAnsi="Verdana"/>
                <w:sz w:val="16"/>
                <w:szCs w:val="16"/>
              </w:rPr>
            </w:pPr>
            <w:r w:rsidRPr="00D53651">
              <w:rPr>
                <w:rFonts w:ascii="Verdana" w:hAnsi="Verdana"/>
                <w:sz w:val="16"/>
                <w:szCs w:val="16"/>
              </w:rPr>
              <w:t>Contratista de la Subdirección de Gestión Contractual </w:t>
            </w:r>
          </w:p>
        </w:tc>
      </w:tr>
      <w:tr w:rsidR="00514983" w:rsidRPr="00D53651" w14:paraId="5A561406" w14:textId="77777777" w:rsidTr="00733290">
        <w:trPr>
          <w:trHeight w:val="300"/>
        </w:trPr>
        <w:tc>
          <w:tcPr>
            <w:tcW w:w="893" w:type="dxa"/>
            <w:vAlign w:val="center"/>
            <w:hideMark/>
          </w:tcPr>
          <w:p w14:paraId="71AA2244" w14:textId="77777777" w:rsidR="00514983" w:rsidRPr="00D53651" w:rsidRDefault="00514983" w:rsidP="00733290">
            <w:pPr>
              <w:spacing w:line="276" w:lineRule="auto"/>
              <w:jc w:val="both"/>
              <w:rPr>
                <w:rFonts w:ascii="Verdana" w:hAnsi="Verdana"/>
                <w:sz w:val="16"/>
                <w:szCs w:val="16"/>
              </w:rPr>
            </w:pPr>
            <w:r w:rsidRPr="00D53651">
              <w:rPr>
                <w:rFonts w:ascii="Verdana" w:hAnsi="Verdana"/>
                <w:sz w:val="16"/>
                <w:szCs w:val="16"/>
              </w:rPr>
              <w:t>Aprobó:</w:t>
            </w:r>
          </w:p>
        </w:tc>
        <w:tc>
          <w:tcPr>
            <w:tcW w:w="5628" w:type="dxa"/>
            <w:tcBorders>
              <w:top w:val="dotted" w:sz="4" w:space="0" w:color="7F7F7F"/>
              <w:left w:val="nil"/>
              <w:bottom w:val="dotted" w:sz="4" w:space="0" w:color="7F7F7F"/>
              <w:right w:val="nil"/>
            </w:tcBorders>
            <w:vAlign w:val="center"/>
            <w:hideMark/>
          </w:tcPr>
          <w:p w14:paraId="26F18B82" w14:textId="77777777" w:rsidR="00514983" w:rsidRPr="00D53651" w:rsidRDefault="00514983" w:rsidP="00733290">
            <w:pPr>
              <w:spacing w:line="276" w:lineRule="auto"/>
              <w:jc w:val="both"/>
              <w:rPr>
                <w:rFonts w:ascii="Verdana" w:hAnsi="Verdana"/>
                <w:sz w:val="16"/>
                <w:szCs w:val="16"/>
                <w:lang w:val="pt-BR"/>
              </w:rPr>
            </w:pPr>
            <w:r w:rsidRPr="00D53651">
              <w:rPr>
                <w:rFonts w:ascii="Verdana" w:hAnsi="Verdana"/>
                <w:sz w:val="16"/>
                <w:szCs w:val="16"/>
                <w:lang w:val="pt-BR"/>
              </w:rPr>
              <w:t xml:space="preserve">Carolina Quintero </w:t>
            </w:r>
            <w:proofErr w:type="spellStart"/>
            <w:r w:rsidRPr="00D53651">
              <w:rPr>
                <w:rFonts w:ascii="Verdana" w:hAnsi="Verdana"/>
                <w:sz w:val="16"/>
                <w:szCs w:val="16"/>
                <w:lang w:val="pt-BR"/>
              </w:rPr>
              <w:t>Gacharná</w:t>
            </w:r>
            <w:proofErr w:type="spellEnd"/>
          </w:p>
          <w:p w14:paraId="1B81B6FF" w14:textId="77777777" w:rsidR="00514983" w:rsidRPr="00D53651" w:rsidRDefault="00514983" w:rsidP="00733290">
            <w:pPr>
              <w:spacing w:line="276" w:lineRule="auto"/>
              <w:jc w:val="both"/>
              <w:rPr>
                <w:rFonts w:ascii="Verdana" w:hAnsi="Verdana"/>
                <w:sz w:val="16"/>
                <w:szCs w:val="16"/>
                <w:lang w:val="pt-BR"/>
              </w:rPr>
            </w:pPr>
            <w:r w:rsidRPr="00D53651">
              <w:rPr>
                <w:rFonts w:ascii="Verdana" w:hAnsi="Verdana"/>
                <w:sz w:val="16"/>
                <w:szCs w:val="16"/>
              </w:rPr>
              <w:t>Subdirectora</w:t>
            </w:r>
            <w:r w:rsidRPr="00D53651">
              <w:rPr>
                <w:rFonts w:ascii="Verdana" w:hAnsi="Verdana"/>
                <w:sz w:val="16"/>
                <w:szCs w:val="16"/>
                <w:lang w:val="pt-BR"/>
              </w:rPr>
              <w:t xml:space="preserve"> de Gestión Contratual ANCP – CCE</w:t>
            </w:r>
          </w:p>
        </w:tc>
      </w:tr>
    </w:tbl>
    <w:p w14:paraId="334B1DA5" w14:textId="77777777" w:rsidR="00514983" w:rsidRPr="000931E9" w:rsidRDefault="00514983" w:rsidP="00514983"/>
    <w:p w14:paraId="63BD1942" w14:textId="77777777" w:rsidR="00514983" w:rsidRPr="0044528D" w:rsidRDefault="00514983" w:rsidP="00514983">
      <w:pPr>
        <w:spacing w:after="0"/>
        <w:rPr>
          <w:rFonts w:ascii="Verdana" w:hAnsi="Verdana"/>
        </w:rPr>
      </w:pPr>
    </w:p>
    <w:p w14:paraId="687EDC67" w14:textId="77777777" w:rsidR="00514983" w:rsidRPr="00FA01E0" w:rsidRDefault="00514983" w:rsidP="00514983">
      <w:pPr>
        <w:spacing w:after="0" w:line="276" w:lineRule="auto"/>
        <w:jc w:val="both"/>
        <w:rPr>
          <w:rFonts w:ascii="Verdana" w:eastAsia="Calibri" w:hAnsi="Verdana" w:cs="Arial"/>
          <w:lang w:val="es-ES"/>
        </w:rPr>
      </w:pPr>
    </w:p>
    <w:p w14:paraId="0F293BF4" w14:textId="1D4BE4BB" w:rsidR="00127233" w:rsidRPr="00514983" w:rsidRDefault="00127233" w:rsidP="00514983"/>
    <w:sectPr w:rsidR="00127233" w:rsidRPr="00514983"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22F3F5" w14:textId="77777777" w:rsidR="00927766" w:rsidRDefault="00927766" w:rsidP="004A1847">
      <w:pPr>
        <w:spacing w:after="0" w:line="240" w:lineRule="auto"/>
      </w:pPr>
      <w:r>
        <w:separator/>
      </w:r>
    </w:p>
  </w:endnote>
  <w:endnote w:type="continuationSeparator" w:id="0">
    <w:p w14:paraId="49A1CEF3" w14:textId="77777777" w:rsidR="00927766" w:rsidRDefault="00927766" w:rsidP="004A1847">
      <w:pPr>
        <w:spacing w:after="0" w:line="240" w:lineRule="auto"/>
      </w:pPr>
      <w:r>
        <w:continuationSeparator/>
      </w:r>
    </w:p>
  </w:endnote>
  <w:endnote w:type="continuationNotice" w:id="1">
    <w:p w14:paraId="43D67B12" w14:textId="77777777" w:rsidR="00927766" w:rsidRDefault="0092776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Aptos">
    <w:charset w:val="00"/>
    <w:family w:val="swiss"/>
    <w:pitch w:val="variable"/>
    <w:sig w:usb0="20000287" w:usb1="00000003" w:usb2="00000000" w:usb3="00000000" w:csb0="0000019F" w:csb1="00000000"/>
  </w:font>
  <w:font w:name="BCDHEE+Verdana">
    <w:altName w:val="Verdana"/>
    <w:charset w:val="00"/>
    <w:family w:val="swiss"/>
    <w:pitch w:val="default"/>
    <w:sig w:usb0="00000003" w:usb1="00000000" w:usb2="00000000" w:usb3="00000000" w:csb0="00000001"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993D27" w14:textId="77777777" w:rsidR="00927766" w:rsidRDefault="00927766" w:rsidP="004A1847">
      <w:pPr>
        <w:spacing w:after="0" w:line="240" w:lineRule="auto"/>
      </w:pPr>
      <w:r>
        <w:separator/>
      </w:r>
    </w:p>
  </w:footnote>
  <w:footnote w:type="continuationSeparator" w:id="0">
    <w:p w14:paraId="24673B5E" w14:textId="77777777" w:rsidR="00927766" w:rsidRDefault="00927766" w:rsidP="004A1847">
      <w:pPr>
        <w:spacing w:after="0" w:line="240" w:lineRule="auto"/>
      </w:pPr>
      <w:r>
        <w:continuationSeparator/>
      </w:r>
    </w:p>
  </w:footnote>
  <w:footnote w:type="continuationNotice" w:id="1">
    <w:p w14:paraId="41B63CBE" w14:textId="77777777" w:rsidR="00927766" w:rsidRDefault="00927766">
      <w:pPr>
        <w:spacing w:after="0" w:line="240" w:lineRule="auto"/>
      </w:pPr>
    </w:p>
  </w:footnote>
  <w:footnote w:id="2">
    <w:p w14:paraId="29C5BBA3" w14:textId="77777777" w:rsidR="00514983" w:rsidRPr="00C05384" w:rsidRDefault="00514983" w:rsidP="00514983">
      <w:pPr>
        <w:pStyle w:val="Textonotapie"/>
        <w:ind w:firstLine="709"/>
        <w:jc w:val="both"/>
        <w:rPr>
          <w:rFonts w:ascii="Verdana" w:hAnsi="Verdana" w:cs="Arial"/>
          <w:sz w:val="16"/>
          <w:szCs w:val="16"/>
        </w:rPr>
      </w:pPr>
    </w:p>
    <w:p w14:paraId="21BC318F" w14:textId="77777777" w:rsidR="00514983" w:rsidRPr="00C05384" w:rsidRDefault="00514983" w:rsidP="00514983">
      <w:pPr>
        <w:pStyle w:val="Textonotapie"/>
        <w:ind w:firstLine="709"/>
        <w:jc w:val="both"/>
        <w:rPr>
          <w:rFonts w:ascii="Verdana" w:hAnsi="Verdana" w:cs="Arial"/>
          <w:sz w:val="16"/>
          <w:szCs w:val="16"/>
        </w:rPr>
      </w:pPr>
      <w:r w:rsidRPr="00C05384">
        <w:rPr>
          <w:rStyle w:val="Refdenotaalpie"/>
          <w:rFonts w:ascii="Verdana" w:hAnsi="Verdana" w:cs="Arial"/>
          <w:sz w:val="16"/>
          <w:szCs w:val="16"/>
        </w:rPr>
        <w:footnoteRef/>
      </w:r>
      <w:r w:rsidRPr="00C05384">
        <w:rPr>
          <w:rFonts w:ascii="Verdana" w:hAnsi="Verdana" w:cs="Arial"/>
          <w:sz w:val="16"/>
          <w:szCs w:val="16"/>
        </w:rPr>
        <w:t xml:space="preserve"> Gaceta del Congreso de la República No. 71 del 2005.</w:t>
      </w:r>
    </w:p>
    <w:p w14:paraId="4BC61084" w14:textId="77777777" w:rsidR="00514983" w:rsidRPr="00C05384" w:rsidRDefault="00514983" w:rsidP="00514983">
      <w:pPr>
        <w:pStyle w:val="Textonotapie"/>
        <w:ind w:firstLine="709"/>
        <w:jc w:val="both"/>
        <w:rPr>
          <w:rFonts w:ascii="Verdana" w:hAnsi="Verdana" w:cs="Arial"/>
          <w:sz w:val="16"/>
          <w:szCs w:val="16"/>
        </w:rPr>
      </w:pPr>
    </w:p>
  </w:footnote>
  <w:footnote w:id="3">
    <w:p w14:paraId="0874826E" w14:textId="77777777" w:rsidR="00514983" w:rsidRPr="00C05384" w:rsidRDefault="00514983" w:rsidP="00514983">
      <w:pPr>
        <w:pStyle w:val="Textonotapie"/>
        <w:ind w:firstLine="709"/>
        <w:jc w:val="both"/>
        <w:rPr>
          <w:rFonts w:ascii="Verdana" w:hAnsi="Verdana" w:cs="Arial"/>
          <w:sz w:val="16"/>
          <w:szCs w:val="16"/>
          <w:lang w:val="pt-BR"/>
        </w:rPr>
      </w:pPr>
      <w:r w:rsidRPr="00C05384">
        <w:rPr>
          <w:rStyle w:val="Refdenotaalpie"/>
          <w:rFonts w:ascii="Verdana" w:hAnsi="Verdana" w:cs="Arial"/>
          <w:sz w:val="16"/>
          <w:szCs w:val="16"/>
        </w:rPr>
        <w:footnoteRef/>
      </w:r>
      <w:r w:rsidRPr="00C05384">
        <w:rPr>
          <w:rFonts w:ascii="Verdana" w:hAnsi="Verdana" w:cs="Arial"/>
          <w:sz w:val="16"/>
          <w:szCs w:val="16"/>
          <w:lang w:val="pt-BR"/>
        </w:rPr>
        <w:t xml:space="preserve"> Corte Constitucional, Sentencia C- 1153 de 2005, M.P. Marco Gerardo Monroy Cabra.</w:t>
      </w:r>
    </w:p>
  </w:footnote>
  <w:footnote w:id="4">
    <w:p w14:paraId="78BC6DB4" w14:textId="77777777" w:rsidR="00514983" w:rsidRPr="00C05384" w:rsidRDefault="00514983" w:rsidP="00514983">
      <w:pPr>
        <w:pStyle w:val="Textonotapie"/>
        <w:ind w:firstLine="709"/>
        <w:jc w:val="both"/>
        <w:rPr>
          <w:rFonts w:ascii="Verdana" w:hAnsi="Verdana" w:cs="Arial"/>
          <w:sz w:val="16"/>
          <w:szCs w:val="16"/>
          <w:lang w:val="pt-BR"/>
        </w:rPr>
      </w:pPr>
      <w:r w:rsidRPr="00C05384">
        <w:rPr>
          <w:rStyle w:val="Refdenotaalpie"/>
          <w:rFonts w:ascii="Verdana" w:hAnsi="Verdana" w:cs="Arial"/>
          <w:sz w:val="16"/>
          <w:szCs w:val="16"/>
        </w:rPr>
        <w:footnoteRef/>
      </w:r>
      <w:r w:rsidRPr="00C05384">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6FC997FC" w14:textId="77777777" w:rsidR="00514983" w:rsidRPr="00C05384" w:rsidRDefault="00514983" w:rsidP="00514983">
      <w:pPr>
        <w:pStyle w:val="Textonotapie"/>
        <w:ind w:firstLine="709"/>
        <w:jc w:val="both"/>
        <w:rPr>
          <w:rFonts w:ascii="Verdana" w:hAnsi="Verdana" w:cs="Arial"/>
          <w:sz w:val="16"/>
          <w:szCs w:val="16"/>
          <w:lang w:val="es-CO"/>
        </w:rPr>
      </w:pPr>
      <w:r w:rsidRPr="00C05384">
        <w:rPr>
          <w:rStyle w:val="Refdenotaalpie"/>
          <w:rFonts w:ascii="Verdana" w:hAnsi="Verdana" w:cs="Arial"/>
          <w:sz w:val="16"/>
          <w:szCs w:val="16"/>
        </w:rPr>
        <w:footnoteRef/>
      </w:r>
      <w:r w:rsidRPr="00C05384">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23D899A8" w14:textId="77777777" w:rsidR="00514983" w:rsidRPr="00C05384" w:rsidRDefault="00514983" w:rsidP="00514983">
      <w:pPr>
        <w:pStyle w:val="Textonotapie"/>
        <w:ind w:firstLine="709"/>
        <w:jc w:val="both"/>
        <w:rPr>
          <w:rFonts w:ascii="Verdana" w:hAnsi="Verdana" w:cs="Arial"/>
          <w:sz w:val="16"/>
          <w:szCs w:val="16"/>
        </w:rPr>
      </w:pPr>
      <w:r w:rsidRPr="00C05384">
        <w:rPr>
          <w:rStyle w:val="Refdenotaalpie"/>
          <w:rFonts w:ascii="Verdana" w:hAnsi="Verdana" w:cs="Arial"/>
          <w:sz w:val="16"/>
          <w:szCs w:val="16"/>
        </w:rPr>
        <w:footnoteRef/>
      </w:r>
      <w:r w:rsidRPr="00C05384">
        <w:rPr>
          <w:rFonts w:ascii="Verdana" w:hAnsi="Verdana" w:cs="Arial"/>
          <w:sz w:val="16"/>
          <w:szCs w:val="16"/>
        </w:rPr>
        <w:t xml:space="preserve"> Consejo de Estado, Sala de Consulta y Servicio Civil de fecha 24 de julio de 2013, Rad. 2166, C. P. Álvaro Namén Vargas.  </w:t>
      </w:r>
    </w:p>
  </w:footnote>
  <w:footnote w:id="7">
    <w:p w14:paraId="478B864A" w14:textId="77777777" w:rsidR="00514983" w:rsidRPr="00C05384" w:rsidRDefault="00514983" w:rsidP="00514983">
      <w:pPr>
        <w:pStyle w:val="Textonotapie"/>
        <w:ind w:firstLine="709"/>
        <w:jc w:val="both"/>
        <w:rPr>
          <w:rFonts w:ascii="Verdana" w:hAnsi="Verdana"/>
          <w:sz w:val="16"/>
          <w:szCs w:val="16"/>
          <w:lang w:val="es-ES"/>
        </w:rPr>
      </w:pPr>
      <w:r w:rsidRPr="00C05384">
        <w:rPr>
          <w:rStyle w:val="Refdenotaalpie"/>
          <w:rFonts w:ascii="Verdana" w:hAnsi="Verdana"/>
          <w:sz w:val="16"/>
          <w:szCs w:val="16"/>
        </w:rPr>
        <w:footnoteRef/>
      </w:r>
      <w:r w:rsidRPr="00C05384">
        <w:rPr>
          <w:rFonts w:ascii="Verdana" w:hAnsi="Verdana"/>
          <w:sz w:val="16"/>
          <w:szCs w:val="16"/>
        </w:rPr>
        <w:t xml:space="preserve"> Consejo de Estado. Sala de Consulta y Servicio Civil. Concepto del 08 de mayo de 2018. Exp. 2.382. C.P. Álvaro Namén Vargas.</w:t>
      </w:r>
    </w:p>
  </w:footnote>
  <w:footnote w:id="8">
    <w:p w14:paraId="4EABB0EE" w14:textId="77777777" w:rsidR="00514983" w:rsidRPr="00A97BD0" w:rsidRDefault="00514983" w:rsidP="00514983">
      <w:pPr>
        <w:pStyle w:val="Textonotapie"/>
        <w:rPr>
          <w:lang w:val="es-ES"/>
        </w:rPr>
      </w:pPr>
      <w:r>
        <w:rPr>
          <w:rStyle w:val="Refdenotaalpie"/>
        </w:rPr>
        <w:footnoteRef/>
      </w:r>
      <w:r>
        <w:t xml:space="preserve"> </w:t>
      </w:r>
      <w:r w:rsidRPr="0060146E">
        <w:t>Consejo de Estado. Sala de Consulta y Servicio Civil. Concepto del 12 de junio de 2018. Exp. 2371. C.P. Oscar Darío Amaya Navas</w:t>
      </w:r>
    </w:p>
  </w:footnote>
  <w:footnote w:id="9">
    <w:p w14:paraId="2BAF7174" w14:textId="77777777" w:rsidR="00514983" w:rsidRPr="00C05384" w:rsidRDefault="00514983" w:rsidP="00514983">
      <w:pPr>
        <w:spacing w:after="0" w:line="240" w:lineRule="auto"/>
        <w:ind w:left="100" w:right="244" w:firstLine="709"/>
        <w:jc w:val="both"/>
        <w:rPr>
          <w:rFonts w:ascii="Verdana" w:hAnsi="Verdana" w:cs="Arial"/>
          <w:sz w:val="16"/>
          <w:szCs w:val="16"/>
          <w:lang w:val="es-ES"/>
        </w:rPr>
      </w:pPr>
      <w:r w:rsidRPr="00C05384">
        <w:rPr>
          <w:rStyle w:val="Refdenotaalpie"/>
          <w:rFonts w:ascii="Verdana" w:hAnsi="Verdana" w:cs="Arial"/>
          <w:sz w:val="16"/>
          <w:szCs w:val="16"/>
        </w:rPr>
        <w:footnoteRef/>
      </w:r>
      <w:r w:rsidRPr="00C05384">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0">
    <w:p w14:paraId="04A04490" w14:textId="77777777" w:rsidR="00514983" w:rsidRPr="00C05384" w:rsidRDefault="00514983" w:rsidP="00514983">
      <w:pPr>
        <w:pStyle w:val="Textonotapie"/>
        <w:ind w:firstLine="709"/>
        <w:jc w:val="both"/>
        <w:rPr>
          <w:rFonts w:ascii="Verdana" w:hAnsi="Verdana"/>
          <w:sz w:val="16"/>
          <w:szCs w:val="16"/>
          <w:lang w:val="es-ES"/>
        </w:rPr>
      </w:pPr>
      <w:r w:rsidRPr="00C05384">
        <w:rPr>
          <w:rStyle w:val="Refdenotaalpie"/>
          <w:rFonts w:ascii="Verdana" w:hAnsi="Verdana"/>
          <w:sz w:val="16"/>
          <w:szCs w:val="16"/>
        </w:rPr>
        <w:footnoteRef/>
      </w:r>
      <w:r w:rsidRPr="00C05384">
        <w:rPr>
          <w:rFonts w:ascii="Verdana" w:hAnsi="Verdana"/>
          <w:sz w:val="16"/>
          <w:szCs w:val="16"/>
        </w:rPr>
        <w:t xml:space="preserve"> </w:t>
      </w:r>
      <w:hyperlink r:id="rId1" w:history="1">
        <w:r w:rsidRPr="00C05384">
          <w:rPr>
            <w:rStyle w:val="Hipervnculo"/>
            <w:rFonts w:ascii="Verdana" w:hAnsi="Verdana"/>
            <w:sz w:val="16"/>
            <w:szCs w:val="16"/>
          </w:rPr>
          <w:t>https://www.colombiacompra.gov.co/wp-content/uploads/2024/08/circular_externa_unica_version_3_vf49-1.pdf</w:t>
        </w:r>
      </w:hyperlink>
      <w:r w:rsidRPr="00C05384">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6AE4259"/>
    <w:multiLevelType w:val="hybridMultilevel"/>
    <w:tmpl w:val="87BCDB0A"/>
    <w:lvl w:ilvl="0" w:tplc="DFE0476C">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341274352">
    <w:abstractNumId w:val="0"/>
  </w:num>
  <w:num w:numId="17" w16cid:durableId="1843279459">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376852532">
    <w:abstractNumId w:val="3"/>
  </w:num>
  <w:num w:numId="19" w16cid:durableId="140649026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0734"/>
    <w:rsid w:val="000275D7"/>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D0C91"/>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848"/>
    <w:rsid w:val="00414C74"/>
    <w:rsid w:val="0042722E"/>
    <w:rsid w:val="004327EB"/>
    <w:rsid w:val="0044528D"/>
    <w:rsid w:val="00466E39"/>
    <w:rsid w:val="004A1847"/>
    <w:rsid w:val="004A305D"/>
    <w:rsid w:val="004F21C4"/>
    <w:rsid w:val="004F685F"/>
    <w:rsid w:val="00514983"/>
    <w:rsid w:val="005519A7"/>
    <w:rsid w:val="005566E8"/>
    <w:rsid w:val="00574867"/>
    <w:rsid w:val="00584F44"/>
    <w:rsid w:val="00591460"/>
    <w:rsid w:val="005A65E0"/>
    <w:rsid w:val="005C3777"/>
    <w:rsid w:val="005C5CDC"/>
    <w:rsid w:val="005D476C"/>
    <w:rsid w:val="006200BF"/>
    <w:rsid w:val="006219F8"/>
    <w:rsid w:val="006302F7"/>
    <w:rsid w:val="00646B9F"/>
    <w:rsid w:val="00665D70"/>
    <w:rsid w:val="00665EEF"/>
    <w:rsid w:val="006900D9"/>
    <w:rsid w:val="006C3F0E"/>
    <w:rsid w:val="00706C16"/>
    <w:rsid w:val="007340C3"/>
    <w:rsid w:val="0075235A"/>
    <w:rsid w:val="00756841"/>
    <w:rsid w:val="007649AB"/>
    <w:rsid w:val="00771D0C"/>
    <w:rsid w:val="007833AC"/>
    <w:rsid w:val="007B268C"/>
    <w:rsid w:val="007B7171"/>
    <w:rsid w:val="007C0C0F"/>
    <w:rsid w:val="007C3DC2"/>
    <w:rsid w:val="007C3F9B"/>
    <w:rsid w:val="007E5497"/>
    <w:rsid w:val="007E6DE1"/>
    <w:rsid w:val="00806F5F"/>
    <w:rsid w:val="00820278"/>
    <w:rsid w:val="008258C9"/>
    <w:rsid w:val="00844AE9"/>
    <w:rsid w:val="00867F95"/>
    <w:rsid w:val="008843B6"/>
    <w:rsid w:val="00891928"/>
    <w:rsid w:val="008919F9"/>
    <w:rsid w:val="00894D4C"/>
    <w:rsid w:val="008A446D"/>
    <w:rsid w:val="008B25F1"/>
    <w:rsid w:val="008D180B"/>
    <w:rsid w:val="008E5A3B"/>
    <w:rsid w:val="008F0EA7"/>
    <w:rsid w:val="00923EEF"/>
    <w:rsid w:val="00927766"/>
    <w:rsid w:val="009419F9"/>
    <w:rsid w:val="0095685E"/>
    <w:rsid w:val="00961B09"/>
    <w:rsid w:val="00965334"/>
    <w:rsid w:val="0097093E"/>
    <w:rsid w:val="009A0DFA"/>
    <w:rsid w:val="009A1C6F"/>
    <w:rsid w:val="009B2D26"/>
    <w:rsid w:val="009C71FA"/>
    <w:rsid w:val="009C72E7"/>
    <w:rsid w:val="009C7F7E"/>
    <w:rsid w:val="009D3058"/>
    <w:rsid w:val="009E340E"/>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7425"/>
    <w:rsid w:val="00C04FB3"/>
    <w:rsid w:val="00C11D8B"/>
    <w:rsid w:val="00C13893"/>
    <w:rsid w:val="00C15139"/>
    <w:rsid w:val="00C2627A"/>
    <w:rsid w:val="00C330EB"/>
    <w:rsid w:val="00C50D69"/>
    <w:rsid w:val="00C5365C"/>
    <w:rsid w:val="00C754BE"/>
    <w:rsid w:val="00C76B1C"/>
    <w:rsid w:val="00C925AC"/>
    <w:rsid w:val="00CB6357"/>
    <w:rsid w:val="00CC1B26"/>
    <w:rsid w:val="00CD07FD"/>
    <w:rsid w:val="00D361FD"/>
    <w:rsid w:val="00D36F95"/>
    <w:rsid w:val="00D423A2"/>
    <w:rsid w:val="00D44E26"/>
    <w:rsid w:val="00D520D8"/>
    <w:rsid w:val="00D63AC2"/>
    <w:rsid w:val="00D7383B"/>
    <w:rsid w:val="00D7788A"/>
    <w:rsid w:val="00DA231B"/>
    <w:rsid w:val="00DC39FC"/>
    <w:rsid w:val="00DC6812"/>
    <w:rsid w:val="00DE41E0"/>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C7588"/>
    <w:rsid w:val="00EE1AA8"/>
    <w:rsid w:val="00F23FEA"/>
    <w:rsid w:val="00F242AB"/>
    <w:rsid w:val="00F31EDC"/>
    <w:rsid w:val="00F462B3"/>
    <w:rsid w:val="00F5664F"/>
    <w:rsid w:val="00F666C4"/>
    <w:rsid w:val="00F76AFC"/>
    <w:rsid w:val="00FA47C0"/>
    <w:rsid w:val="00FB5DD1"/>
    <w:rsid w:val="00FC2B5D"/>
    <w:rsid w:val="00FF1449"/>
    <w:rsid w:val="00FF7963"/>
    <w:rsid w:val="09908A09"/>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51498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14983"/>
    <w:rPr>
      <w:rFonts w:ascii="Geomanist Light" w:hAnsi="Geomanist Light"/>
      <w:lang w:val="es-ES"/>
    </w:rPr>
  </w:style>
  <w:style w:type="character" w:customStyle="1" w:styleId="NormalWebCar">
    <w:name w:val="Normal (Web) Car"/>
    <w:link w:val="NormalWeb"/>
    <w:uiPriority w:val="99"/>
    <w:locked/>
    <w:rsid w:val="00514983"/>
    <w:rPr>
      <w:rFonts w:ascii="Times New Roman" w:eastAsia="Times New Roman" w:hAnsi="Times New Roman" w:cs="Times New Roman"/>
      <w:sz w:val="24"/>
      <w:szCs w:val="24"/>
      <w:lang w:eastAsia="es-CO"/>
    </w:rPr>
  </w:style>
  <w:style w:type="character" w:customStyle="1" w:styleId="baj">
    <w:name w:val="b_aj"/>
    <w:basedOn w:val="Fuentedeprrafopredeter"/>
    <w:rsid w:val="005149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catalina.cubides%40colombiacompra.gov.co%7C7cfff6dece924643582c08dd97bfed90%7C7b09041e245149d08cb179d5e3d8c1be%7C0%7C0%7C638833572789617407%7CUnknown%7CTWFpbGZsb3d8eyJFbXB0eU1hcGkiOnRydWUsIlYiOiIwLjAuMDAwMCIsIlAiOiJXaW4zMiIsIkFOIjoiTWFpbCIsIldUIjoyfQ%3D%3D%7C0%7C%7C%7C&amp;sdata=9uKHGs1CT3BZvajf54ettWU83zMQL5yVTuUSLWeSBxw%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palmeramoreno@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wp-content/uploads/2024/08/circular_externa_unica_version_3_vf49-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841F0D44-223A-4903-9C3A-06DF3C20F7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15</Pages>
  <Words>4815</Words>
  <Characters>26629</Characters>
  <Application>Microsoft Office Word</Application>
  <DocSecurity>0</DocSecurity>
  <Lines>532</Lines>
  <Paragraphs>109</Paragraphs>
  <ScaleCrop>false</ScaleCrop>
  <Company/>
  <LinksUpToDate>false</LinksUpToDate>
  <CharactersWithSpaces>31335</CharactersWithSpaces>
  <SharedDoc>false</SharedDoc>
  <HLinks>
    <vt:vector size="24" baseType="variant">
      <vt:variant>
        <vt:i4>2097191</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catalina.cubides%40colombiacompra.gov.co%7C7cfff6dece924643582c08dd97bfed90%7C7b09041e245149d08cb179d5e3d8c1be%7C0%7C0%7C638833572789617407%7CUnknown%7CTWFpbGZsb3d8eyJFbXB0eU1hcGkiOnRydWUsIlYiOiIwLjAuMDAwMCIsIlAiOiJXaW4zMiIsIkFOIjoiTWFpbCIsIldUIjoyfQ%3D%3D%7C0%7C%7C%7C&amp;sdata=9uKHGs1CT3BZvajf54ettWU83zMQL5yVTuUSLWeSBxw%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327742</vt:i4>
      </vt:variant>
      <vt:variant>
        <vt:i4>0</vt:i4>
      </vt:variant>
      <vt:variant>
        <vt:i4>0</vt:i4>
      </vt:variant>
      <vt:variant>
        <vt:i4>5</vt:i4>
      </vt:variant>
      <vt:variant>
        <vt:lpwstr>mailto:Mpalmeramoreno@gmail.com</vt:lpwstr>
      </vt:variant>
      <vt:variant>
        <vt:lpwstr/>
      </vt:variant>
      <vt:variant>
        <vt:i4>3997702</vt:i4>
      </vt:variant>
      <vt:variant>
        <vt:i4>0</vt:i4>
      </vt:variant>
      <vt:variant>
        <vt:i4>0</vt:i4>
      </vt:variant>
      <vt:variant>
        <vt:i4>5</vt:i4>
      </vt:variant>
      <vt:variant>
        <vt:lpwstr>https://www.colombiacompra.gov.co/wp-content/uploads/2024/08/circular_externa_unica_version_3_vf49-1.pdf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2025-11-13T10:31:00Z</dcterms:created>
  <dcterms:modified xsi:type="dcterms:W3CDTF">2025-11-13T15:23:00Z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