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CB4C7" w14:textId="77777777" w:rsidR="00596023" w:rsidRPr="00596023" w:rsidRDefault="00596023" w:rsidP="00596023">
      <w:pPr>
        <w:spacing w:after="120" w:line="240" w:lineRule="auto"/>
        <w:rPr>
          <w:rFonts w:ascii="Verdana" w:hAnsi="Verdana" w:cs="Arial"/>
          <w:b/>
        </w:rPr>
      </w:pPr>
      <w:bookmarkStart w:id="0" w:name="_Hlk143780582"/>
      <w:r w:rsidRPr="00596023">
        <w:rPr>
          <w:rFonts w:ascii="Verdana" w:hAnsi="Verdana" w:cs="Arial"/>
          <w:b/>
        </w:rPr>
        <w:t>INTERVENTORÍA – Artículo 85 de la Ley 1474 de 2011 – Adición – Excepción al parágrafo del artículo 40 de la Ley 80 de 1993 – Norma especial</w:t>
      </w:r>
    </w:p>
    <w:p w14:paraId="4C00288F" w14:textId="77777777" w:rsidR="00596023" w:rsidRPr="00596023" w:rsidRDefault="00596023" w:rsidP="00596023">
      <w:pPr>
        <w:spacing w:after="120" w:line="240" w:lineRule="auto"/>
        <w:jc w:val="both"/>
        <w:rPr>
          <w:rFonts w:ascii="Verdana" w:hAnsi="Verdana" w:cs="Arial"/>
        </w:rPr>
      </w:pPr>
      <w:r w:rsidRPr="00596023">
        <w:rPr>
          <w:rFonts w:ascii="Verdana" w:hAnsi="Verdana" w:cs="Arial"/>
        </w:rPr>
        <w:t>Este supuesto normativo, que materializa la “continuidad de la interventoría”, establece una excepción a la regla general de adición de los contratos estatales, en la medida en que no se tendrá en cuenta el límite del 50% del valor inicial del contrato. En este sentido, la doctrina ha manifestado sobre esta disposición que “el artículo 85 no contiene impedimento para adicionar sin límite el contrato de interventoría, con una ventaja adicional: que puede ser para cualquier objeto de contrato que haya requerido contratar externamente la interventoría”</w:t>
      </w:r>
    </w:p>
    <w:p w14:paraId="428F86C4" w14:textId="77777777" w:rsidR="00596023" w:rsidRPr="00596023" w:rsidRDefault="00596023" w:rsidP="00596023">
      <w:pPr>
        <w:pStyle w:val="NormalWeb"/>
        <w:spacing w:before="0" w:beforeAutospacing="0" w:after="120" w:afterAutospacing="0"/>
        <w:jc w:val="both"/>
        <w:rPr>
          <w:rFonts w:ascii="Verdana" w:hAnsi="Verdana" w:cs="Arial"/>
          <w:b/>
          <w:bCs/>
          <w:color w:val="000000"/>
          <w:sz w:val="22"/>
          <w:szCs w:val="22"/>
        </w:rPr>
      </w:pPr>
      <w:r w:rsidRPr="00596023">
        <w:rPr>
          <w:rFonts w:ascii="Verdana" w:hAnsi="Verdana" w:cs="Arial"/>
          <w:b/>
          <w:bCs/>
          <w:color w:val="000000"/>
          <w:sz w:val="22"/>
          <w:szCs w:val="22"/>
        </w:rPr>
        <w:t>ADICIÓN – Prohibición – Monto – Cálculo – Parágrafo artículo 40 – Ley 80 de 1993</w:t>
      </w:r>
    </w:p>
    <w:p w14:paraId="1731E7F2" w14:textId="77777777" w:rsidR="00596023" w:rsidRPr="00596023" w:rsidRDefault="00596023" w:rsidP="00596023">
      <w:pPr>
        <w:pStyle w:val="NormalWeb"/>
        <w:spacing w:before="0" w:beforeAutospacing="0" w:after="120" w:afterAutospacing="0"/>
        <w:jc w:val="both"/>
        <w:rPr>
          <w:rFonts w:ascii="Verdana" w:hAnsi="Verdana" w:cs="Arial"/>
          <w:color w:val="000000"/>
          <w:sz w:val="22"/>
          <w:szCs w:val="22"/>
        </w:rPr>
      </w:pPr>
      <w:r w:rsidRPr="00596023">
        <w:rPr>
          <w:rFonts w:ascii="Verdana" w:hAnsi="Verdana" w:cs="Arial"/>
          <w:color w:val="000000"/>
          <w:sz w:val="22"/>
          <w:szCs w:val="22"/>
        </w:rPr>
        <w:t>Dicha norma además de consagrar una prohibición trae implícita una autorización, consistente en la posibilidad de adicionar los contratos Estatales, siempre que no se supere el tope establecido. La regla establecida en el parágrafo del artículo 40 de la Ley 80 de 1993 aplica a todos los contratos Estatales regidos por el EGCAP, independientemente de la modalidad de selección, de la tipología contractual del negocio jurídico que se considere necesario adicionar o del sistema de precios pactados. Ahora bien, para determinar cómo debe hacerse el cálculo de la adición, basta con remitirse a lo dispuesto en el parágrafo del artículo 40 de la Ley 80 de 1993 “Los contratos no podrán adicionarse en más del cincuenta por ciento (50%) de su valor inicial, expresado éste en salarios mínimos legales mensuales”. En consecuencia, al momento de adicionar debe tenerse en cuenta que el cálculo del límite debe realizarse en salarios mínimos para efectos de que el cálculo del tope sea preciso. De manera que para adicionar un contrato debe dividirse el valor inicial por el salario mínimo legal mensual vigente –SMLMV– al momento de la suscripción del contrato, y luego dividirlo por dos.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pues las modificaciones podrían hacerse en diferentes años, porque si el contrato se ejecuta sin existir variación en el valor del salario mínimo la operación sería la misma si se toma el monto en pesos.</w:t>
      </w:r>
    </w:p>
    <w:p w14:paraId="709BE11D" w14:textId="77777777" w:rsidR="00596023" w:rsidRPr="00596023" w:rsidRDefault="00596023" w:rsidP="00596023">
      <w:pPr>
        <w:pStyle w:val="NormalWeb"/>
        <w:spacing w:before="0" w:beforeAutospacing="0" w:after="120" w:afterAutospacing="0"/>
        <w:jc w:val="both"/>
        <w:rPr>
          <w:rFonts w:ascii="Verdana" w:hAnsi="Verdana" w:cs="Arial"/>
          <w:b/>
          <w:bCs/>
          <w:color w:val="000000"/>
          <w:sz w:val="22"/>
          <w:szCs w:val="22"/>
        </w:rPr>
      </w:pPr>
      <w:r w:rsidRPr="00596023">
        <w:rPr>
          <w:rFonts w:ascii="Verdana" w:hAnsi="Verdana" w:cs="Arial"/>
          <w:b/>
          <w:bCs/>
          <w:color w:val="000000"/>
          <w:sz w:val="22"/>
          <w:szCs w:val="22"/>
        </w:rPr>
        <w:t>ADICIÓN – Excepciones a la regla</w:t>
      </w:r>
    </w:p>
    <w:p w14:paraId="27180A33" w14:textId="77777777" w:rsidR="00596023" w:rsidRPr="00596023" w:rsidRDefault="00596023" w:rsidP="00596023">
      <w:pPr>
        <w:pStyle w:val="NormalWeb"/>
        <w:spacing w:before="0" w:beforeAutospacing="0" w:after="120" w:afterAutospacing="0"/>
        <w:jc w:val="both"/>
        <w:rPr>
          <w:rFonts w:ascii="Verdana" w:hAnsi="Verdana" w:cs="Arial"/>
          <w:color w:val="000000"/>
          <w:sz w:val="22"/>
          <w:szCs w:val="22"/>
        </w:rPr>
      </w:pPr>
      <w:r w:rsidRPr="00596023">
        <w:rPr>
          <w:rFonts w:ascii="Verdana" w:hAnsi="Verdana" w:cs="Arial"/>
          <w:color w:val="000000"/>
          <w:sz w:val="22"/>
          <w:szCs w:val="22"/>
        </w:rPr>
        <w:t xml:space="preserve">Actualmente existe una posibilidad para adicionar contratos estatales en más del 50%, que es la contenida en el artículo 85 de la Ley 1474 de 2011 para los contratos de interventoría que, por su naturaleza de seguimiento técnico a otro contrato Estatal, podrá prorrogarse por el plazo en que haya sido prorrogado el contrato objeto de vigilancia, sin que resulte aplicable el tope establecido en el parágrafo del artículo 40 de la Ley 80 de 1993, en relación con el monto de las </w:t>
      </w:r>
      <w:r w:rsidRPr="00596023">
        <w:rPr>
          <w:rFonts w:ascii="Verdana" w:hAnsi="Verdana" w:cs="Arial"/>
          <w:color w:val="000000"/>
          <w:sz w:val="22"/>
          <w:szCs w:val="22"/>
        </w:rPr>
        <w:lastRenderedPageBreak/>
        <w:t>eventuales adiciones. La disposición de la Ley 1474 de 2011 pretende fortalecer la figura de la interventoría, como una herramienta integral, para proteger los intereses públicos y evitar que se cause un eventual daño antijurídico al abandonar la vigilancia del contrato principal, por limitaciones en cuanto al monto de sus posibles adiciones.</w:t>
      </w:r>
    </w:p>
    <w:p w14:paraId="604C1952" w14:textId="77777777" w:rsidR="00596023" w:rsidRPr="00596023" w:rsidRDefault="00596023" w:rsidP="00596023">
      <w:pPr>
        <w:spacing w:after="120" w:line="240" w:lineRule="auto"/>
        <w:rPr>
          <w:rFonts w:ascii="Verdana" w:hAnsi="Verdana" w:cs="Arial"/>
          <w:b/>
        </w:rPr>
      </w:pPr>
      <w:r w:rsidRPr="00596023">
        <w:rPr>
          <w:rFonts w:ascii="Verdana" w:hAnsi="Verdana" w:cs="Arial"/>
          <w:b/>
        </w:rPr>
        <w:t>CONTRATO ESTATAL – Control y vigilancia</w:t>
      </w:r>
    </w:p>
    <w:p w14:paraId="627453FA" w14:textId="77777777" w:rsidR="00596023" w:rsidRPr="00596023" w:rsidRDefault="00596023" w:rsidP="00596023">
      <w:pPr>
        <w:spacing w:after="120" w:line="240" w:lineRule="auto"/>
        <w:jc w:val="both"/>
        <w:rPr>
          <w:rFonts w:ascii="Verdana" w:hAnsi="Verdana" w:cs="Arial"/>
          <w:b/>
        </w:rPr>
      </w:pPr>
      <w:r w:rsidRPr="00596023">
        <w:rPr>
          <w:rFonts w:ascii="Verdana" w:hAnsi="Verdana" w:cs="Arial"/>
          <w:bCs/>
        </w:rPr>
        <w:t>[…]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23C67AF5" w14:textId="77777777" w:rsidR="00596023" w:rsidRPr="00596023" w:rsidRDefault="00596023" w:rsidP="00596023">
      <w:pPr>
        <w:spacing w:after="120" w:line="240" w:lineRule="auto"/>
        <w:rPr>
          <w:rFonts w:ascii="Verdana" w:hAnsi="Verdana" w:cs="Arial"/>
          <w:b/>
        </w:rPr>
      </w:pPr>
      <w:r w:rsidRPr="00596023">
        <w:rPr>
          <w:rFonts w:ascii="Verdana" w:hAnsi="Verdana" w:cs="Arial"/>
          <w:b/>
        </w:rPr>
        <w:t xml:space="preserve">INTERVENTORÍA – Características </w:t>
      </w:r>
    </w:p>
    <w:p w14:paraId="1067DA61" w14:textId="77777777" w:rsidR="00596023" w:rsidRPr="00596023" w:rsidRDefault="00596023" w:rsidP="00596023">
      <w:pPr>
        <w:pStyle w:val="Sinespaciado"/>
        <w:spacing w:after="120"/>
        <w:jc w:val="both"/>
        <w:rPr>
          <w:rFonts w:ascii="Verdana" w:hAnsi="Verdana" w:cs="Arial"/>
          <w:sz w:val="22"/>
        </w:rPr>
      </w:pPr>
      <w:r w:rsidRPr="00596023">
        <w:rPr>
          <w:rFonts w:ascii="Verdana" w:hAnsi="Verdana" w:cs="Arial"/>
          <w:sz w:val="22"/>
        </w:rPr>
        <w:t xml:space="preserve">[…] la interventoría: i) será un mecanismo de vigilancia contingente en la medida que solo es obligatorio para el seguimiento de los contratos de obra adjudicados por licitación pública ‒art. 32, numeral 1, Ley 80 de 1993; en los demás casos se requerirá cuando “el seguimiento del contrato suponga conocimiento especializado en la materia, o cuando la complejidad o la extensión de este lo justifiquen” ‒art. 83, Ley 1474 de 2011‒. </w:t>
      </w:r>
      <w:proofErr w:type="spellStart"/>
      <w:r w:rsidRPr="00596023">
        <w:rPr>
          <w:rFonts w:ascii="Verdana" w:hAnsi="Verdana" w:cs="Arial"/>
          <w:sz w:val="22"/>
        </w:rPr>
        <w:t>ii</w:t>
      </w:r>
      <w:proofErr w:type="spellEnd"/>
      <w:r w:rsidRPr="00596023">
        <w:rPr>
          <w:rFonts w:ascii="Verdana" w:hAnsi="Verdana" w:cs="Arial"/>
          <w:sz w:val="22"/>
        </w:rPr>
        <w:t xml:space="preserve">) Este mecanismo de vigilancia exige, en su ejecución, la utilización de conocimientos especializados. </w:t>
      </w:r>
      <w:proofErr w:type="spellStart"/>
      <w:r w:rsidRPr="00596023">
        <w:rPr>
          <w:rFonts w:ascii="Verdana" w:hAnsi="Verdana" w:cs="Arial"/>
          <w:sz w:val="22"/>
        </w:rPr>
        <w:t>iii</w:t>
      </w:r>
      <w:proofErr w:type="spellEnd"/>
      <w:r w:rsidRPr="00596023">
        <w:rPr>
          <w:rFonts w:ascii="Verdana" w:hAnsi="Verdana" w:cs="Arial"/>
          <w:sz w:val="22"/>
        </w:rPr>
        <w:t xml:space="preserve">) Por lo anterior, la entidad contrata un experto a través de un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w:t>
      </w:r>
      <w:proofErr w:type="spellStart"/>
      <w:r w:rsidRPr="00596023">
        <w:rPr>
          <w:rFonts w:ascii="Verdana" w:hAnsi="Verdana" w:cs="Arial"/>
          <w:sz w:val="22"/>
        </w:rPr>
        <w:t>iv</w:t>
      </w:r>
      <w:proofErr w:type="spellEnd"/>
      <w:r w:rsidRPr="00596023">
        <w:rPr>
          <w:rFonts w:ascii="Verdana" w:hAnsi="Verdana" w:cs="Arial"/>
          <w:sz w:val="22"/>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6E4E07D6" w14:textId="760E7EED" w:rsidR="00596023" w:rsidRPr="00596023" w:rsidRDefault="00596023">
      <w:pPr>
        <w:rPr>
          <w:rFonts w:ascii="Verdana" w:hAnsi="Verdana" w:cs="Arial"/>
          <w:lang w:val="es-MX"/>
        </w:rPr>
      </w:pPr>
      <w:r w:rsidRPr="00596023">
        <w:rPr>
          <w:rFonts w:ascii="Verdana" w:hAnsi="Verdana" w:cs="Arial"/>
          <w:lang w:val="es-MX"/>
        </w:rPr>
        <w:br w:type="page"/>
      </w:r>
    </w:p>
    <w:p w14:paraId="3ABE3D0C" w14:textId="6E547D9F" w:rsidR="00F52658" w:rsidRPr="00596023" w:rsidRDefault="00E245AB" w:rsidP="00E245AB">
      <w:pPr>
        <w:spacing w:after="0"/>
        <w:rPr>
          <w:rFonts w:ascii="Verdana" w:hAnsi="Verdana"/>
        </w:rPr>
      </w:pPr>
      <w:r w:rsidRPr="00596023">
        <w:rPr>
          <w:rFonts w:ascii="Verdana" w:hAnsi="Verdana"/>
        </w:rPr>
        <w:lastRenderedPageBreak/>
        <w:t>Bogotá D.C.,</w:t>
      </w:r>
      <w:r w:rsidR="00F82AD0">
        <w:rPr>
          <w:rFonts w:ascii="Verdana" w:hAnsi="Verdana"/>
        </w:rPr>
        <w:t xml:space="preserve"> 1</w:t>
      </w:r>
      <w:r w:rsidR="00D47721">
        <w:rPr>
          <w:rFonts w:ascii="Verdana" w:hAnsi="Verdana"/>
        </w:rPr>
        <w:t>2</w:t>
      </w:r>
      <w:r w:rsidR="00F82AD0">
        <w:rPr>
          <w:rFonts w:ascii="Verdana" w:hAnsi="Verdana"/>
        </w:rPr>
        <w:t xml:space="preserve"> </w:t>
      </w:r>
      <w:proofErr w:type="gramStart"/>
      <w:r w:rsidR="00F82AD0">
        <w:rPr>
          <w:rFonts w:ascii="Verdana" w:hAnsi="Verdana"/>
        </w:rPr>
        <w:t>Noviembre</w:t>
      </w:r>
      <w:proofErr w:type="gramEnd"/>
      <w:r w:rsidR="00F82AD0">
        <w:rPr>
          <w:rFonts w:ascii="Verdana" w:hAnsi="Verdana"/>
        </w:rPr>
        <w:t xml:space="preserve"> 2025</w:t>
      </w:r>
    </w:p>
    <w:p w14:paraId="30655E8D" w14:textId="77777777" w:rsidR="00F82AD0" w:rsidRDefault="00F82AD0" w:rsidP="0006489F">
      <w:pPr>
        <w:spacing w:after="0"/>
        <w:jc w:val="right"/>
        <w:rPr>
          <w:rFonts w:ascii="Verdana" w:hAnsi="Verdana"/>
        </w:rPr>
      </w:pPr>
    </w:p>
    <w:p w14:paraId="3FE2184B" w14:textId="17BC5DC0" w:rsidR="00E245AB" w:rsidRPr="00596023" w:rsidRDefault="00891928" w:rsidP="0006489F">
      <w:pPr>
        <w:spacing w:after="0"/>
        <w:jc w:val="right"/>
        <w:rPr>
          <w:rFonts w:ascii="Verdana" w:hAnsi="Verdana"/>
        </w:rPr>
      </w:pPr>
      <w:r w:rsidRPr="00596023">
        <w:rPr>
          <w:rFonts w:ascii="Verdana" w:hAnsi="Verdana"/>
        </w:rPr>
        <w:tab/>
      </w:r>
    </w:p>
    <w:p w14:paraId="66D70D4F" w14:textId="77777777" w:rsidR="00CB012B" w:rsidRPr="00596023" w:rsidRDefault="00CB012B" w:rsidP="00CB012B">
      <w:pPr>
        <w:spacing w:after="0" w:line="240" w:lineRule="auto"/>
        <w:jc w:val="both"/>
        <w:rPr>
          <w:rFonts w:ascii="Verdana" w:eastAsia="Calibri" w:hAnsi="Verdana" w:cs="Arial"/>
          <w:lang w:eastAsia="es-ES"/>
        </w:rPr>
      </w:pPr>
      <w:bookmarkStart w:id="1" w:name="_Hlk213689790"/>
      <w:r w:rsidRPr="00596023">
        <w:rPr>
          <w:rFonts w:ascii="Verdana" w:eastAsia="Calibri" w:hAnsi="Verdana" w:cs="Arial"/>
          <w:lang w:eastAsia="es-ES"/>
        </w:rPr>
        <w:t>Señor</w:t>
      </w:r>
    </w:p>
    <w:p w14:paraId="0B3F03B0" w14:textId="33E65BD2" w:rsidR="00B0211B" w:rsidRPr="00B0211B" w:rsidRDefault="00B0211B" w:rsidP="00B0211B">
      <w:pPr>
        <w:spacing w:after="0" w:line="240" w:lineRule="auto"/>
        <w:jc w:val="both"/>
        <w:rPr>
          <w:rFonts w:ascii="Verdana" w:eastAsia="Calibri" w:hAnsi="Verdana" w:cs="Arial"/>
          <w:b/>
          <w:bCs/>
          <w:lang w:eastAsia="es-ES"/>
        </w:rPr>
      </w:pPr>
      <w:r w:rsidRPr="00596023">
        <w:rPr>
          <w:rFonts w:ascii="Verdana" w:eastAsia="Calibri" w:hAnsi="Verdana" w:cs="Arial"/>
          <w:b/>
          <w:bCs/>
          <w:lang w:eastAsia="es-ES"/>
        </w:rPr>
        <w:t>Iván Darío Gutiérrez Cardozo</w:t>
      </w:r>
    </w:p>
    <w:p w14:paraId="20EFBC4D" w14:textId="2D31960B" w:rsidR="00B0211B" w:rsidRPr="00596023" w:rsidRDefault="00B0211B" w:rsidP="00B0211B">
      <w:pPr>
        <w:spacing w:after="0" w:line="240" w:lineRule="auto"/>
        <w:jc w:val="both"/>
        <w:rPr>
          <w:rFonts w:ascii="Verdana" w:eastAsia="Calibri" w:hAnsi="Verdana" w:cs="Arial"/>
          <w:lang w:eastAsia="es-ES"/>
        </w:rPr>
      </w:pPr>
      <w:hyperlink r:id="rId10" w:history="1">
        <w:r w:rsidRPr="00596023">
          <w:rPr>
            <w:rStyle w:val="Hipervnculo"/>
            <w:rFonts w:ascii="Verdana" w:eastAsia="Calibri" w:hAnsi="Verdana" w:cs="Arial"/>
            <w:lang w:eastAsia="es-ES"/>
          </w:rPr>
          <w:t>ivandariog@hotmail.com</w:t>
        </w:r>
      </w:hyperlink>
    </w:p>
    <w:p w14:paraId="42A14C03" w14:textId="7BE2E38E" w:rsidR="00B0211B" w:rsidRPr="00596023" w:rsidRDefault="00B0211B" w:rsidP="00B0211B">
      <w:pPr>
        <w:spacing w:after="0" w:line="240" w:lineRule="auto"/>
        <w:jc w:val="both"/>
        <w:rPr>
          <w:rFonts w:ascii="Verdana" w:eastAsia="Calibri" w:hAnsi="Verdana" w:cs="Arial"/>
          <w:lang w:eastAsia="es-ES"/>
        </w:rPr>
      </w:pPr>
      <w:r w:rsidRPr="00596023">
        <w:rPr>
          <w:rFonts w:ascii="Verdana" w:eastAsia="Calibri" w:hAnsi="Verdana" w:cs="Arial"/>
          <w:lang w:eastAsia="es-ES"/>
        </w:rPr>
        <w:t xml:space="preserve">Neiva, Huila. </w:t>
      </w:r>
    </w:p>
    <w:p w14:paraId="28C00019" w14:textId="77777777" w:rsidR="00B0211B" w:rsidRPr="00596023" w:rsidRDefault="00B0211B" w:rsidP="00CB012B">
      <w:pPr>
        <w:spacing w:after="0" w:line="240" w:lineRule="auto"/>
        <w:jc w:val="both"/>
        <w:rPr>
          <w:rFonts w:ascii="Verdana" w:eastAsia="Calibri" w:hAnsi="Verdana" w:cs="Arial"/>
          <w:lang w:eastAsia="es-ES"/>
        </w:rPr>
      </w:pPr>
    </w:p>
    <w:p w14:paraId="7430B72D" w14:textId="381576D9" w:rsidR="00CB012B" w:rsidRPr="00596023" w:rsidRDefault="000C0046" w:rsidP="008D005F">
      <w:pPr>
        <w:spacing w:after="0" w:line="240" w:lineRule="auto"/>
        <w:jc w:val="right"/>
        <w:rPr>
          <w:rFonts w:ascii="Verdana" w:eastAsia="Calibri" w:hAnsi="Verdana" w:cs="Arial"/>
          <w:b/>
          <w:bCs/>
          <w:lang w:eastAsia="es-ES_tradnl"/>
        </w:rPr>
      </w:pPr>
      <w:r w:rsidRPr="000C0046">
        <w:rPr>
          <w:rFonts w:ascii="Verdana" w:eastAsia="Calibri" w:hAnsi="Verdana" w:cs="Arial"/>
          <w:b/>
          <w:bCs/>
          <w:lang w:eastAsia="es-ES_tradnl"/>
        </w:rPr>
        <w:drawing>
          <wp:inline distT="0" distB="0" distL="0" distR="0" wp14:anchorId="2A7D2572" wp14:editId="1E124C40">
            <wp:extent cx="1836579" cy="533446"/>
            <wp:effectExtent l="0" t="0" r="0" b="0"/>
            <wp:docPr id="4639232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923262" name=""/>
                    <pic:cNvPicPr/>
                  </pic:nvPicPr>
                  <pic:blipFill>
                    <a:blip r:embed="rId11"/>
                    <a:stretch>
                      <a:fillRect/>
                    </a:stretch>
                  </pic:blipFill>
                  <pic:spPr>
                    <a:xfrm>
                      <a:off x="0" y="0"/>
                      <a:ext cx="1836579" cy="533446"/>
                    </a:xfrm>
                    <a:prstGeom prst="rect">
                      <a:avLst/>
                    </a:prstGeom>
                  </pic:spPr>
                </pic:pic>
              </a:graphicData>
            </a:graphic>
          </wp:inline>
        </w:drawing>
      </w:r>
    </w:p>
    <w:p w14:paraId="0BF02ED7" w14:textId="77777777" w:rsidR="00CB012B" w:rsidRPr="00596023" w:rsidRDefault="00CB012B" w:rsidP="00CB012B">
      <w:pPr>
        <w:spacing w:after="0" w:line="240" w:lineRule="auto"/>
        <w:jc w:val="both"/>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B012B" w:rsidRPr="00596023" w14:paraId="02E2B80C" w14:textId="77777777" w:rsidTr="007A22C5">
        <w:trPr>
          <w:trHeight w:val="230"/>
        </w:trPr>
        <w:tc>
          <w:tcPr>
            <w:tcW w:w="2689" w:type="dxa"/>
          </w:tcPr>
          <w:p w14:paraId="18419A64" w14:textId="77777777" w:rsidR="00CB012B" w:rsidRPr="00596023" w:rsidRDefault="00CB012B" w:rsidP="007A22C5">
            <w:pPr>
              <w:jc w:val="both"/>
              <w:rPr>
                <w:rFonts w:ascii="Verdana" w:eastAsia="Calibri" w:hAnsi="Verdana" w:cs="Arial"/>
                <w:b/>
                <w:bCs/>
                <w:lang w:eastAsia="es-ES_tradnl"/>
              </w:rPr>
            </w:pPr>
          </w:p>
        </w:tc>
        <w:tc>
          <w:tcPr>
            <w:tcW w:w="6100" w:type="dxa"/>
          </w:tcPr>
          <w:p w14:paraId="27CCAF38" w14:textId="0F85A6A2" w:rsidR="00CB012B" w:rsidRPr="00596023" w:rsidRDefault="00CB012B" w:rsidP="007A22C5">
            <w:pPr>
              <w:jc w:val="both"/>
              <w:rPr>
                <w:rFonts w:ascii="Verdana" w:eastAsia="Calibri" w:hAnsi="Verdana" w:cs="Arial"/>
                <w:b/>
                <w:bCs/>
                <w:lang w:eastAsia="es-ES"/>
              </w:rPr>
            </w:pPr>
            <w:r w:rsidRPr="00596023">
              <w:rPr>
                <w:rFonts w:ascii="Verdana" w:eastAsia="Calibri" w:hAnsi="Verdana" w:cs="Arial"/>
                <w:b/>
                <w:bCs/>
                <w:lang w:eastAsia="es-ES"/>
              </w:rPr>
              <w:t xml:space="preserve">Concepto C- </w:t>
            </w:r>
            <w:r w:rsidR="00B0211B" w:rsidRPr="00596023">
              <w:rPr>
                <w:rFonts w:ascii="Verdana" w:eastAsia="Calibri" w:hAnsi="Verdana" w:cs="Arial"/>
                <w:b/>
                <w:bCs/>
                <w:lang w:eastAsia="es-ES"/>
              </w:rPr>
              <w:t>1426</w:t>
            </w:r>
            <w:r w:rsidRPr="00596023">
              <w:rPr>
                <w:rFonts w:ascii="Verdana" w:eastAsia="Calibri" w:hAnsi="Verdana" w:cs="Arial"/>
                <w:b/>
                <w:bCs/>
                <w:lang w:eastAsia="es-ES"/>
              </w:rPr>
              <w:t xml:space="preserve"> de 202</w:t>
            </w:r>
            <w:r w:rsidR="00B0211B" w:rsidRPr="00596023">
              <w:rPr>
                <w:rFonts w:ascii="Verdana" w:eastAsia="Calibri" w:hAnsi="Verdana" w:cs="Arial"/>
                <w:b/>
                <w:bCs/>
                <w:lang w:eastAsia="es-ES"/>
              </w:rPr>
              <w:t>5</w:t>
            </w:r>
          </w:p>
          <w:p w14:paraId="726AB65B" w14:textId="77777777" w:rsidR="00CB012B" w:rsidRPr="00596023" w:rsidRDefault="00CB012B" w:rsidP="007A22C5">
            <w:pPr>
              <w:jc w:val="both"/>
              <w:rPr>
                <w:rFonts w:ascii="Verdana" w:eastAsia="Calibri" w:hAnsi="Verdana" w:cs="Arial"/>
                <w:b/>
                <w:bCs/>
                <w:lang w:eastAsia="es-ES"/>
              </w:rPr>
            </w:pPr>
          </w:p>
        </w:tc>
      </w:tr>
      <w:tr w:rsidR="00CB012B" w:rsidRPr="00596023" w14:paraId="1D41094F" w14:textId="77777777" w:rsidTr="007A22C5">
        <w:trPr>
          <w:trHeight w:val="884"/>
        </w:trPr>
        <w:tc>
          <w:tcPr>
            <w:tcW w:w="2689" w:type="dxa"/>
          </w:tcPr>
          <w:p w14:paraId="4EBB68EB" w14:textId="77777777" w:rsidR="00CB012B" w:rsidRPr="00596023" w:rsidRDefault="00CB012B" w:rsidP="007A22C5">
            <w:pPr>
              <w:jc w:val="both"/>
              <w:rPr>
                <w:rFonts w:ascii="Verdana" w:eastAsia="Calibri" w:hAnsi="Verdana" w:cs="Arial"/>
                <w:lang w:eastAsia="es-ES_tradnl"/>
              </w:rPr>
            </w:pPr>
            <w:r w:rsidRPr="00596023">
              <w:rPr>
                <w:rFonts w:ascii="Verdana" w:eastAsia="Calibri" w:hAnsi="Verdana" w:cs="Arial"/>
                <w:b/>
                <w:lang w:eastAsia="es-ES_tradnl"/>
              </w:rPr>
              <w:t>Temas:</w:t>
            </w:r>
            <w:r w:rsidRPr="00596023">
              <w:rPr>
                <w:rFonts w:ascii="Verdana" w:eastAsia="Calibri" w:hAnsi="Verdana" w:cs="Arial"/>
                <w:lang w:eastAsia="es-ES_tradnl"/>
              </w:rPr>
              <w:t xml:space="preserve">                   </w:t>
            </w:r>
          </w:p>
        </w:tc>
        <w:tc>
          <w:tcPr>
            <w:tcW w:w="6100" w:type="dxa"/>
          </w:tcPr>
          <w:p w14:paraId="6425E7F8" w14:textId="2A896666" w:rsidR="00CB012B" w:rsidRPr="00596023" w:rsidRDefault="00596023" w:rsidP="00596023">
            <w:pPr>
              <w:pStyle w:val="Ttulo1"/>
              <w:ind w:left="0"/>
              <w:jc w:val="both"/>
              <w:rPr>
                <w:rFonts w:eastAsia="Calibri" w:cs="Arial"/>
                <w:bCs w:val="0"/>
                <w:lang w:eastAsia="es-ES"/>
              </w:rPr>
            </w:pPr>
            <w:r w:rsidRPr="00596023">
              <w:rPr>
                <w:rFonts w:eastAsia="Calibri" w:cs="Arial"/>
                <w:b w:val="0"/>
                <w:bCs w:val="0"/>
                <w:lang w:val="es-CO" w:eastAsia="es-ES_tradnl"/>
              </w:rPr>
              <w:t>CONTRATOS DE INTERVENTORÍA – CONTRATOS DE CONSULTORÍA - Plazo / Limite del parágrafo del artículo 40 de la Ley 80 de 1993 / Artículo 85 de la Ley 1474 de 2011 – Adición – Excepción al parágrafo del artículo 40 de la Ley 80 de 1993 – Norma especial</w:t>
            </w:r>
          </w:p>
        </w:tc>
      </w:tr>
      <w:tr w:rsidR="00CB012B" w:rsidRPr="00596023" w14:paraId="7D01AAB4" w14:textId="77777777" w:rsidTr="007A22C5">
        <w:tc>
          <w:tcPr>
            <w:tcW w:w="2689" w:type="dxa"/>
          </w:tcPr>
          <w:p w14:paraId="630EEAF9" w14:textId="77777777" w:rsidR="00CB012B" w:rsidRPr="00596023" w:rsidRDefault="00CB012B" w:rsidP="007A22C5">
            <w:pPr>
              <w:jc w:val="both"/>
              <w:rPr>
                <w:rFonts w:ascii="Verdana" w:eastAsia="Calibri" w:hAnsi="Verdana" w:cs="Arial"/>
                <w:b/>
                <w:lang w:eastAsia="es-ES_tradnl"/>
              </w:rPr>
            </w:pPr>
            <w:r w:rsidRPr="00596023">
              <w:rPr>
                <w:rFonts w:ascii="Verdana" w:eastAsia="Calibri" w:hAnsi="Verdana" w:cs="Arial"/>
                <w:b/>
                <w:lang w:eastAsia="es-ES_tradnl"/>
              </w:rPr>
              <w:t>Radicación:</w:t>
            </w:r>
            <w:r w:rsidRPr="00596023">
              <w:rPr>
                <w:rFonts w:ascii="Verdana" w:eastAsia="Calibri" w:hAnsi="Verdana" w:cs="Arial"/>
                <w:lang w:eastAsia="es-ES_tradnl"/>
              </w:rPr>
              <w:t xml:space="preserve">               </w:t>
            </w:r>
          </w:p>
        </w:tc>
        <w:tc>
          <w:tcPr>
            <w:tcW w:w="6100" w:type="dxa"/>
          </w:tcPr>
          <w:p w14:paraId="4E59330A" w14:textId="3A9350C0" w:rsidR="00CB012B" w:rsidRPr="00596023" w:rsidRDefault="00CB012B" w:rsidP="007A22C5">
            <w:pPr>
              <w:jc w:val="both"/>
              <w:rPr>
                <w:rFonts w:ascii="Verdana" w:hAnsi="Verdana" w:cs="Calibri"/>
                <w:color w:val="000000"/>
              </w:rPr>
            </w:pPr>
            <w:r w:rsidRPr="00596023">
              <w:rPr>
                <w:rFonts w:ascii="Verdana" w:eastAsia="Calibri" w:hAnsi="Verdana" w:cs="Arial"/>
                <w:lang w:eastAsia="es-ES_tradnl"/>
              </w:rPr>
              <w:t xml:space="preserve">Respuesta a consulta con radicado No. </w:t>
            </w:r>
            <w:r w:rsidR="00B0211B" w:rsidRPr="00596023">
              <w:rPr>
                <w:rFonts w:ascii="Verdana" w:hAnsi="Verdana" w:cs="Calibri"/>
                <w:color w:val="000000"/>
              </w:rPr>
              <w:t>1_2025_10_02_010977</w:t>
            </w:r>
          </w:p>
          <w:p w14:paraId="4F07E5A4" w14:textId="77777777" w:rsidR="00CB012B" w:rsidRPr="00596023" w:rsidRDefault="00CB012B" w:rsidP="007A22C5">
            <w:pPr>
              <w:jc w:val="both"/>
              <w:rPr>
                <w:rFonts w:ascii="Verdana" w:eastAsia="Calibri" w:hAnsi="Verdana" w:cs="Arial"/>
                <w:lang w:eastAsia="es-ES_tradnl"/>
              </w:rPr>
            </w:pPr>
          </w:p>
        </w:tc>
      </w:tr>
    </w:tbl>
    <w:p w14:paraId="1BFFC41B" w14:textId="77777777" w:rsidR="00CB012B" w:rsidRPr="00596023" w:rsidRDefault="00CB012B" w:rsidP="00CB012B">
      <w:pPr>
        <w:spacing w:after="0" w:line="276" w:lineRule="auto"/>
        <w:jc w:val="both"/>
        <w:rPr>
          <w:rFonts w:ascii="Verdana" w:eastAsia="Calibri" w:hAnsi="Verdana" w:cs="Arial"/>
          <w:lang w:eastAsia="es-ES_tradnl"/>
        </w:rPr>
      </w:pPr>
    </w:p>
    <w:p w14:paraId="3E130CAF" w14:textId="2039AC27" w:rsidR="00CB012B" w:rsidRPr="00596023" w:rsidRDefault="00CB012B" w:rsidP="00CB012B">
      <w:pPr>
        <w:spacing w:after="0" w:line="276" w:lineRule="auto"/>
        <w:jc w:val="both"/>
        <w:rPr>
          <w:rFonts w:ascii="Verdana" w:eastAsia="Calibri" w:hAnsi="Verdana" w:cs="Arial"/>
          <w:lang w:eastAsia="es-ES_tradnl"/>
        </w:rPr>
      </w:pPr>
      <w:r w:rsidRPr="00596023">
        <w:rPr>
          <w:rFonts w:ascii="Verdana" w:eastAsia="Calibri" w:hAnsi="Verdana" w:cs="Arial"/>
          <w:lang w:eastAsia="es-ES"/>
        </w:rPr>
        <w:t xml:space="preserve">Estimado </w:t>
      </w:r>
      <w:r w:rsidR="00B0211B" w:rsidRPr="00596023">
        <w:rPr>
          <w:rFonts w:ascii="Verdana" w:eastAsia="Calibri" w:hAnsi="Verdana" w:cs="Arial"/>
          <w:lang w:eastAsia="es-ES"/>
        </w:rPr>
        <w:t>señor Gutiérrez:</w:t>
      </w:r>
      <w:r w:rsidRPr="00596023">
        <w:rPr>
          <w:rFonts w:ascii="Verdana" w:eastAsia="Calibri" w:hAnsi="Verdana" w:cs="Arial"/>
          <w:lang w:eastAsia="es-ES"/>
        </w:rPr>
        <w:t xml:space="preserve"> </w:t>
      </w:r>
    </w:p>
    <w:p w14:paraId="7BDA7D59" w14:textId="77777777" w:rsidR="00CB012B" w:rsidRPr="00596023" w:rsidRDefault="00CB012B" w:rsidP="00CB012B">
      <w:pPr>
        <w:tabs>
          <w:tab w:val="left" w:pos="3768"/>
        </w:tabs>
        <w:spacing w:after="0" w:line="276" w:lineRule="auto"/>
        <w:jc w:val="both"/>
        <w:rPr>
          <w:rFonts w:ascii="Verdana" w:eastAsia="Calibri" w:hAnsi="Verdana" w:cs="Arial"/>
          <w:lang w:eastAsia="es-ES"/>
        </w:rPr>
      </w:pPr>
    </w:p>
    <w:p w14:paraId="0807AF21" w14:textId="4CE8AED3" w:rsidR="00CB012B" w:rsidRPr="00596023" w:rsidRDefault="00CB012B" w:rsidP="00CB012B">
      <w:pPr>
        <w:spacing w:after="0" w:line="276" w:lineRule="auto"/>
        <w:jc w:val="both"/>
        <w:rPr>
          <w:rFonts w:ascii="Verdana" w:eastAsia="Calibri" w:hAnsi="Verdana" w:cs="Arial"/>
          <w:lang w:eastAsia="es-ES"/>
        </w:rPr>
      </w:pPr>
      <w:r w:rsidRPr="00596023">
        <w:rPr>
          <w:rFonts w:ascii="Verdana" w:eastAsia="Calibri" w:hAnsi="Verdana" w:cs="Arial"/>
          <w:lang w:eastAsia="es-ES"/>
        </w:rPr>
        <w:t>En ejercicio de la competencia otorgada por los artículos 3, numeral 5º, y 11, numeral 8º, del Decreto Ley 4170 de 2011,</w:t>
      </w:r>
      <w:r w:rsidRPr="00596023">
        <w:rPr>
          <w:rFonts w:ascii="Verdana" w:eastAsia="Arial MT" w:hAnsi="Verdana" w:cs="Arial MT"/>
          <w:lang w:eastAsia="es-ES"/>
        </w:rPr>
        <w:t xml:space="preserve"> </w:t>
      </w:r>
      <w:r w:rsidRPr="00596023">
        <w:rPr>
          <w:rFonts w:ascii="Verdana" w:hAnsi="Verdana" w:cs="Arial"/>
        </w:rPr>
        <w:t xml:space="preserve">así como lo establecido en el artículo 4 de la Resolución 1707 de 2018 expedida por esta Entidad, </w:t>
      </w:r>
      <w:r w:rsidRPr="00596023">
        <w:rPr>
          <w:rFonts w:ascii="Verdana" w:eastAsia="Calibri" w:hAnsi="Verdana" w:cs="Arial"/>
          <w:lang w:eastAsia="es-ES"/>
        </w:rPr>
        <w:t xml:space="preserve">la Agencia Nacional de Contratación Pública – Colombia Compra Eficiente– responde su solicitud de consulta, del </w:t>
      </w:r>
      <w:r w:rsidR="00B0211B" w:rsidRPr="00596023">
        <w:rPr>
          <w:rFonts w:ascii="Verdana" w:eastAsia="Calibri" w:hAnsi="Verdana" w:cs="Arial"/>
          <w:lang w:eastAsia="es-ES"/>
        </w:rPr>
        <w:t>2</w:t>
      </w:r>
      <w:r w:rsidRPr="00596023">
        <w:rPr>
          <w:rFonts w:ascii="Verdana" w:eastAsia="Calibri" w:hAnsi="Verdana" w:cs="Arial"/>
          <w:lang w:eastAsia="es-ES"/>
        </w:rPr>
        <w:t xml:space="preserve"> de </w:t>
      </w:r>
      <w:r w:rsidR="00B0211B" w:rsidRPr="00596023">
        <w:rPr>
          <w:rFonts w:ascii="Verdana" w:eastAsia="Calibri" w:hAnsi="Verdana" w:cs="Arial"/>
          <w:lang w:eastAsia="es-ES"/>
        </w:rPr>
        <w:t>octubre</w:t>
      </w:r>
      <w:r w:rsidRPr="00596023">
        <w:rPr>
          <w:rFonts w:ascii="Verdana" w:eastAsia="Calibri" w:hAnsi="Verdana" w:cs="Arial"/>
          <w:lang w:eastAsia="es-ES"/>
        </w:rPr>
        <w:t xml:space="preserve"> de 202</w:t>
      </w:r>
      <w:r w:rsidR="00B0211B" w:rsidRPr="00596023">
        <w:rPr>
          <w:rFonts w:ascii="Verdana" w:eastAsia="Calibri" w:hAnsi="Verdana" w:cs="Arial"/>
          <w:lang w:eastAsia="es-ES"/>
        </w:rPr>
        <w:t>5</w:t>
      </w:r>
      <w:r w:rsidRPr="00596023">
        <w:rPr>
          <w:rFonts w:ascii="Verdana" w:eastAsia="Calibri" w:hAnsi="Verdana" w:cs="Arial"/>
          <w:lang w:eastAsia="es-ES"/>
        </w:rPr>
        <w:t xml:space="preserve">, en la cual manifiesta lo siguiente: </w:t>
      </w:r>
    </w:p>
    <w:p w14:paraId="29D638C4" w14:textId="77777777" w:rsidR="00CB012B" w:rsidRPr="00596023" w:rsidRDefault="00CB012B" w:rsidP="00CB012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A4C7E63" w14:textId="441A62C0" w:rsidR="00B0211B" w:rsidRPr="00596023" w:rsidRDefault="00CB012B" w:rsidP="00B0211B">
      <w:pPr>
        <w:spacing w:after="0" w:line="240" w:lineRule="auto"/>
        <w:ind w:left="709" w:right="709"/>
        <w:jc w:val="both"/>
        <w:rPr>
          <w:rFonts w:ascii="Verdana" w:eastAsia="Century Gothic" w:hAnsi="Verdana" w:cs="Century Gothic"/>
        </w:rPr>
      </w:pPr>
      <w:bookmarkStart w:id="2" w:name="_Hlk95313578"/>
      <w:r w:rsidRPr="00596023">
        <w:rPr>
          <w:rFonts w:ascii="Verdana" w:eastAsia="Century Gothic" w:hAnsi="Verdana" w:cs="Century Gothic"/>
        </w:rPr>
        <w:t>“</w:t>
      </w:r>
      <w:r w:rsidR="00B0211B" w:rsidRPr="00596023">
        <w:rPr>
          <w:rFonts w:ascii="Verdana" w:eastAsia="Century Gothic" w:hAnsi="Verdana" w:cs="Century Gothic"/>
        </w:rPr>
        <w:t xml:space="preserve">en el marco de los contratos de </w:t>
      </w:r>
      <w:proofErr w:type="spellStart"/>
      <w:r w:rsidR="00B0211B" w:rsidRPr="00596023">
        <w:rPr>
          <w:rFonts w:ascii="Verdana" w:eastAsia="Century Gothic" w:hAnsi="Verdana" w:cs="Century Gothic"/>
        </w:rPr>
        <w:t>interventoria</w:t>
      </w:r>
      <w:proofErr w:type="spellEnd"/>
      <w:r w:rsidR="00B0211B" w:rsidRPr="00596023">
        <w:rPr>
          <w:rFonts w:ascii="Verdana" w:eastAsia="Century Gothic" w:hAnsi="Verdana" w:cs="Century Gothic"/>
        </w:rPr>
        <w:t xml:space="preserve">, donde el presupuesto de </w:t>
      </w:r>
      <w:proofErr w:type="spellStart"/>
      <w:r w:rsidR="00B0211B" w:rsidRPr="00596023">
        <w:rPr>
          <w:rFonts w:ascii="Verdana" w:eastAsia="Century Gothic" w:hAnsi="Verdana" w:cs="Century Gothic"/>
        </w:rPr>
        <w:t>interventoria</w:t>
      </w:r>
      <w:proofErr w:type="spellEnd"/>
      <w:r w:rsidR="00B0211B" w:rsidRPr="00596023">
        <w:rPr>
          <w:rFonts w:ascii="Verdana" w:eastAsia="Century Gothic" w:hAnsi="Verdana" w:cs="Century Gothic"/>
        </w:rPr>
        <w:t xml:space="preserve"> </w:t>
      </w:r>
      <w:r w:rsidR="00B0211B" w:rsidRPr="00B0211B">
        <w:rPr>
          <w:rFonts w:ascii="Verdana" w:eastAsia="Century Gothic" w:hAnsi="Verdana" w:cs="Century Gothic"/>
        </w:rPr>
        <w:t>viene determinado por la mensualidad de los perfiles requeridos como puede ser el</w:t>
      </w:r>
      <w:r w:rsidR="00B0211B" w:rsidRPr="00596023">
        <w:rPr>
          <w:rFonts w:ascii="Verdana" w:eastAsia="Century Gothic" w:hAnsi="Verdana" w:cs="Century Gothic"/>
        </w:rPr>
        <w:t xml:space="preserve"> </w:t>
      </w:r>
      <w:r w:rsidR="00B0211B" w:rsidRPr="00B0211B">
        <w:rPr>
          <w:rFonts w:ascii="Verdana" w:eastAsia="Century Gothic" w:hAnsi="Verdana" w:cs="Century Gothic"/>
        </w:rPr>
        <w:t xml:space="preserve">residente o director </w:t>
      </w:r>
      <w:proofErr w:type="spellStart"/>
      <w:r w:rsidR="00B0211B" w:rsidRPr="00B0211B">
        <w:rPr>
          <w:rFonts w:ascii="Verdana" w:eastAsia="Century Gothic" w:hAnsi="Verdana" w:cs="Century Gothic"/>
        </w:rPr>
        <w:t>interventoria</w:t>
      </w:r>
      <w:proofErr w:type="spellEnd"/>
      <w:r w:rsidR="00B0211B" w:rsidRPr="00B0211B">
        <w:rPr>
          <w:rFonts w:ascii="Verdana" w:eastAsia="Century Gothic" w:hAnsi="Verdana" w:cs="Century Gothic"/>
        </w:rPr>
        <w:t xml:space="preserve">, y cuyo plazo de </w:t>
      </w:r>
      <w:proofErr w:type="spellStart"/>
      <w:r w:rsidR="00B0211B" w:rsidRPr="00B0211B">
        <w:rPr>
          <w:rFonts w:ascii="Verdana" w:eastAsia="Century Gothic" w:hAnsi="Verdana" w:cs="Century Gothic"/>
        </w:rPr>
        <w:t>ejecucion</w:t>
      </w:r>
      <w:proofErr w:type="spellEnd"/>
      <w:r w:rsidR="00B0211B" w:rsidRPr="00B0211B">
        <w:rPr>
          <w:rFonts w:ascii="Verdana" w:eastAsia="Century Gothic" w:hAnsi="Verdana" w:cs="Century Gothic"/>
        </w:rPr>
        <w:t xml:space="preserve"> se sujeta hasta la</w:t>
      </w:r>
      <w:r w:rsidR="00B0211B" w:rsidRPr="00596023">
        <w:rPr>
          <w:rFonts w:ascii="Verdana" w:eastAsia="Century Gothic" w:hAnsi="Verdana" w:cs="Century Gothic"/>
        </w:rPr>
        <w:t xml:space="preserve"> </w:t>
      </w:r>
      <w:proofErr w:type="spellStart"/>
      <w:r w:rsidR="00B0211B" w:rsidRPr="00B0211B">
        <w:rPr>
          <w:rFonts w:ascii="Verdana" w:eastAsia="Century Gothic" w:hAnsi="Verdana" w:cs="Century Gothic"/>
        </w:rPr>
        <w:t>terminacion</w:t>
      </w:r>
      <w:proofErr w:type="spellEnd"/>
      <w:r w:rsidR="00B0211B" w:rsidRPr="00B0211B">
        <w:rPr>
          <w:rFonts w:ascii="Verdana" w:eastAsia="Century Gothic" w:hAnsi="Verdana" w:cs="Century Gothic"/>
        </w:rPr>
        <w:t xml:space="preserve"> de la obra, </w:t>
      </w:r>
      <w:proofErr w:type="gramStart"/>
      <w:r w:rsidR="00B0211B" w:rsidRPr="00B0211B">
        <w:rPr>
          <w:rFonts w:ascii="Verdana" w:eastAsia="Century Gothic" w:hAnsi="Verdana" w:cs="Century Gothic"/>
        </w:rPr>
        <w:t xml:space="preserve">¿ </w:t>
      </w:r>
      <w:proofErr w:type="spellStart"/>
      <w:r w:rsidR="00B0211B" w:rsidRPr="00B0211B">
        <w:rPr>
          <w:rFonts w:ascii="Verdana" w:eastAsia="Century Gothic" w:hAnsi="Verdana" w:cs="Century Gothic"/>
        </w:rPr>
        <w:t>seria</w:t>
      </w:r>
      <w:proofErr w:type="spellEnd"/>
      <w:proofErr w:type="gramEnd"/>
      <w:r w:rsidR="00B0211B" w:rsidRPr="00B0211B">
        <w:rPr>
          <w:rFonts w:ascii="Verdana" w:eastAsia="Century Gothic" w:hAnsi="Verdana" w:cs="Century Gothic"/>
        </w:rPr>
        <w:t xml:space="preserve"> posible en </w:t>
      </w:r>
      <w:proofErr w:type="spellStart"/>
      <w:r w:rsidR="00B0211B" w:rsidRPr="00B0211B">
        <w:rPr>
          <w:rFonts w:ascii="Verdana" w:eastAsia="Century Gothic" w:hAnsi="Verdana" w:cs="Century Gothic"/>
        </w:rPr>
        <w:t>relacion</w:t>
      </w:r>
      <w:proofErr w:type="spellEnd"/>
      <w:r w:rsidR="00B0211B" w:rsidRPr="00B0211B">
        <w:rPr>
          <w:rFonts w:ascii="Verdana" w:eastAsia="Century Gothic" w:hAnsi="Verdana" w:cs="Century Gothic"/>
        </w:rPr>
        <w:t xml:space="preserve"> a esa </w:t>
      </w:r>
      <w:proofErr w:type="spellStart"/>
      <w:r w:rsidR="00B0211B" w:rsidRPr="00B0211B">
        <w:rPr>
          <w:rFonts w:ascii="Verdana" w:eastAsia="Century Gothic" w:hAnsi="Verdana" w:cs="Century Gothic"/>
        </w:rPr>
        <w:t>estipulacion</w:t>
      </w:r>
      <w:proofErr w:type="spellEnd"/>
      <w:r w:rsidR="00B0211B" w:rsidRPr="00B0211B">
        <w:rPr>
          <w:rFonts w:ascii="Verdana" w:eastAsia="Century Gothic" w:hAnsi="Verdana" w:cs="Century Gothic"/>
        </w:rPr>
        <w:t xml:space="preserve"> del plazo,</w:t>
      </w:r>
      <w:r w:rsidR="00B0211B" w:rsidRPr="00596023">
        <w:rPr>
          <w:rFonts w:ascii="Verdana" w:eastAsia="Century Gothic" w:hAnsi="Verdana" w:cs="Century Gothic"/>
        </w:rPr>
        <w:t xml:space="preserve"> </w:t>
      </w:r>
      <w:r w:rsidR="00B0211B" w:rsidRPr="00B0211B">
        <w:rPr>
          <w:rFonts w:ascii="Verdana" w:eastAsia="Century Gothic" w:hAnsi="Verdana" w:cs="Century Gothic"/>
        </w:rPr>
        <w:t xml:space="preserve">adicionarlo por meses hasta la </w:t>
      </w:r>
      <w:proofErr w:type="spellStart"/>
      <w:r w:rsidR="00B0211B" w:rsidRPr="00B0211B">
        <w:rPr>
          <w:rFonts w:ascii="Verdana" w:eastAsia="Century Gothic" w:hAnsi="Verdana" w:cs="Century Gothic"/>
        </w:rPr>
        <w:t>culminacion</w:t>
      </w:r>
      <w:proofErr w:type="spellEnd"/>
      <w:r w:rsidR="00B0211B" w:rsidRPr="00B0211B">
        <w:rPr>
          <w:rFonts w:ascii="Verdana" w:eastAsia="Century Gothic" w:hAnsi="Verdana" w:cs="Century Gothic"/>
        </w:rPr>
        <w:t xml:space="preserve"> de la obra, si esta se extiende</w:t>
      </w:r>
      <w:r w:rsidR="00B0211B" w:rsidRPr="00596023">
        <w:rPr>
          <w:rFonts w:ascii="Verdana" w:eastAsia="Century Gothic" w:hAnsi="Verdana" w:cs="Century Gothic"/>
        </w:rPr>
        <w:t xml:space="preserve"> </w:t>
      </w:r>
      <w:proofErr w:type="gramStart"/>
      <w:r w:rsidR="00B0211B" w:rsidRPr="00596023">
        <w:rPr>
          <w:rFonts w:ascii="Verdana" w:eastAsia="Century Gothic" w:hAnsi="Verdana" w:cs="Century Gothic"/>
        </w:rPr>
        <w:t>indefinidamente?.:</w:t>
      </w:r>
      <w:proofErr w:type="gramEnd"/>
      <w:r w:rsidR="00B0211B" w:rsidRPr="00596023">
        <w:rPr>
          <w:rFonts w:ascii="Verdana" w:eastAsia="Century Gothic" w:hAnsi="Verdana" w:cs="Century Gothic"/>
        </w:rPr>
        <w:t>” [</w:t>
      </w:r>
      <w:proofErr w:type="gramStart"/>
      <w:r w:rsidR="00B0211B" w:rsidRPr="00596023">
        <w:rPr>
          <w:rFonts w:ascii="Verdana" w:eastAsia="Century Gothic" w:hAnsi="Verdana" w:cs="Century Gothic"/>
        </w:rPr>
        <w:t>sic ]</w:t>
      </w:r>
      <w:proofErr w:type="gramEnd"/>
    </w:p>
    <w:bookmarkEnd w:id="2"/>
    <w:p w14:paraId="65C53C7C" w14:textId="77777777" w:rsidR="00CB012B" w:rsidRPr="00596023" w:rsidRDefault="00CB012B" w:rsidP="00CB012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AAE3BDC" w14:textId="77777777" w:rsidR="00CB012B" w:rsidRPr="00596023" w:rsidRDefault="00CB012B" w:rsidP="00CB012B">
      <w:pPr>
        <w:spacing w:after="120" w:line="276" w:lineRule="auto"/>
        <w:jc w:val="both"/>
        <w:rPr>
          <w:rFonts w:ascii="Verdana" w:eastAsia="Calibri" w:hAnsi="Verdana" w:cs="Arial"/>
          <w:color w:val="000000"/>
          <w:lang w:eastAsia="es-ES_tradnl"/>
        </w:rPr>
      </w:pPr>
      <w:r w:rsidRPr="00596023">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596023">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6023">
        <w:rPr>
          <w:rFonts w:ascii="Verdana" w:eastAsia="Calibri" w:hAnsi="Verdana" w:cs="Arial"/>
          <w:color w:val="000000"/>
          <w:lang w:eastAsia="es-ES_tradnl"/>
        </w:rPr>
        <w:tab/>
      </w:r>
    </w:p>
    <w:p w14:paraId="693B4674" w14:textId="77777777" w:rsidR="00CB012B" w:rsidRPr="00596023" w:rsidRDefault="00CB012B" w:rsidP="00CB012B">
      <w:pPr>
        <w:spacing w:after="0" w:line="276" w:lineRule="auto"/>
        <w:ind w:firstLine="709"/>
        <w:jc w:val="both"/>
        <w:rPr>
          <w:rFonts w:ascii="Verdana" w:eastAsia="Calibri" w:hAnsi="Verdana" w:cs="Arial"/>
          <w:color w:val="000000"/>
          <w:lang w:eastAsia="es-ES"/>
        </w:rPr>
      </w:pPr>
      <w:r w:rsidRPr="00596023">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596023">
        <w:rPr>
          <w:rFonts w:ascii="Verdana" w:eastAsia="Calibri" w:hAnsi="Verdana" w:cs="Arial"/>
          <w:color w:val="7030A0"/>
          <w:lang w:eastAsia="es-ES"/>
        </w:rPr>
        <w:t xml:space="preserve"> </w:t>
      </w:r>
      <w:r w:rsidRPr="00596023">
        <w:rPr>
          <w:rFonts w:ascii="Verdana" w:eastAsia="Calibri" w:hAnsi="Verdana" w:cs="Arial"/>
          <w:color w:val="000000"/>
          <w:lang w:eastAsia="es-ES"/>
        </w:rPr>
        <w:t>jurídico</w:t>
      </w:r>
      <w:r w:rsidRPr="00596023">
        <w:rPr>
          <w:rFonts w:ascii="Verdana" w:eastAsia="Calibri" w:hAnsi="Verdana" w:cs="Arial"/>
          <w:color w:val="7030A0"/>
          <w:lang w:eastAsia="es-ES"/>
        </w:rPr>
        <w:t xml:space="preserve"> </w:t>
      </w:r>
      <w:r w:rsidRPr="00596023">
        <w:rPr>
          <w:rFonts w:ascii="Verdana" w:eastAsia="Calibri" w:hAnsi="Verdana" w:cs="Arial"/>
          <w:color w:val="000000"/>
          <w:lang w:eastAsia="es-ES"/>
        </w:rPr>
        <w:t xml:space="preserve">de su consulta. </w:t>
      </w:r>
    </w:p>
    <w:p w14:paraId="220AC0AF" w14:textId="77777777" w:rsidR="00CB012B" w:rsidRPr="00596023" w:rsidRDefault="00CB012B" w:rsidP="00CB012B">
      <w:pPr>
        <w:spacing w:after="0" w:line="276" w:lineRule="auto"/>
        <w:ind w:firstLine="709"/>
        <w:jc w:val="both"/>
        <w:rPr>
          <w:rFonts w:ascii="Verdana" w:eastAsia="Calibri" w:hAnsi="Verdana" w:cs="Arial"/>
          <w:color w:val="000000"/>
          <w:lang w:eastAsia="es-ES"/>
        </w:rPr>
      </w:pPr>
    </w:p>
    <w:p w14:paraId="118ECCAC" w14:textId="77777777" w:rsidR="00CB012B" w:rsidRPr="00596023" w:rsidRDefault="00CB012B" w:rsidP="00CB01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6023">
        <w:rPr>
          <w:rFonts w:ascii="Verdana" w:eastAsia="Century Gothic" w:hAnsi="Verdana" w:cs="Century Gothic"/>
          <w:b/>
          <w:bCs/>
          <w:lang w:val="es-CO"/>
        </w:rPr>
        <w:t>Problema planteado:</w:t>
      </w:r>
    </w:p>
    <w:p w14:paraId="2E4EA6D2" w14:textId="77777777" w:rsidR="00CB012B" w:rsidRPr="00596023" w:rsidRDefault="00CB012B" w:rsidP="00CB012B">
      <w:pPr>
        <w:tabs>
          <w:tab w:val="left" w:pos="426"/>
        </w:tabs>
        <w:spacing w:after="0" w:line="276" w:lineRule="auto"/>
        <w:jc w:val="both"/>
        <w:rPr>
          <w:rFonts w:ascii="Verdana" w:eastAsia="Century Gothic" w:hAnsi="Verdana" w:cs="Century Gothic"/>
        </w:rPr>
      </w:pPr>
    </w:p>
    <w:p w14:paraId="1A6292F1" w14:textId="56F5EAF1" w:rsidR="00CB012B" w:rsidRPr="00596023" w:rsidRDefault="00CB012B" w:rsidP="00CB012B">
      <w:pPr>
        <w:spacing w:after="0" w:line="276" w:lineRule="auto"/>
        <w:jc w:val="both"/>
        <w:rPr>
          <w:rFonts w:ascii="Verdana" w:hAnsi="Verdana" w:cs="Arial"/>
          <w:shd w:val="clear" w:color="auto" w:fill="FFFFFF"/>
        </w:rPr>
      </w:pPr>
      <w:r w:rsidRPr="00596023">
        <w:rPr>
          <w:rFonts w:ascii="Verdana" w:eastAsia="Century Gothic" w:hAnsi="Verdana" w:cs="Century Gothic"/>
        </w:rPr>
        <w:t xml:space="preserve">De acuerdo con el contenido de su solicitud, esta Agencia resolverá el siguiente problema jurídico: </w:t>
      </w:r>
      <w:r w:rsidRPr="00596023">
        <w:rPr>
          <w:rFonts w:ascii="Verdana" w:hAnsi="Verdana" w:cs="Arial"/>
          <w:shd w:val="clear" w:color="auto" w:fill="FFFFFF"/>
        </w:rPr>
        <w:t>¿</w:t>
      </w:r>
      <w:r w:rsidR="00B0211B" w:rsidRPr="00596023">
        <w:rPr>
          <w:rFonts w:ascii="Verdana" w:hAnsi="Verdana" w:cs="Arial"/>
          <w:shd w:val="clear" w:color="auto" w:fill="FFFFFF"/>
        </w:rPr>
        <w:t>Cuál es el límite para la adición y prórroga de un contrato de interventoría</w:t>
      </w:r>
      <w:r w:rsidRPr="00596023">
        <w:rPr>
          <w:rFonts w:ascii="Verdana" w:hAnsi="Verdana" w:cs="Arial"/>
          <w:shd w:val="clear" w:color="auto" w:fill="FFFFFF"/>
        </w:rPr>
        <w:t>?</w:t>
      </w:r>
    </w:p>
    <w:p w14:paraId="52ABFA6C" w14:textId="77777777" w:rsidR="00CB012B" w:rsidRPr="00596023" w:rsidRDefault="00CB012B" w:rsidP="00CB012B">
      <w:pPr>
        <w:spacing w:after="0" w:line="276" w:lineRule="auto"/>
        <w:jc w:val="both"/>
        <w:rPr>
          <w:rFonts w:ascii="Verdana" w:eastAsia="Calibri" w:hAnsi="Verdana" w:cs="Arial"/>
          <w:color w:val="7030A0"/>
        </w:rPr>
      </w:pPr>
    </w:p>
    <w:p w14:paraId="2AB2D707" w14:textId="77777777" w:rsidR="00CB012B" w:rsidRPr="00596023" w:rsidRDefault="00CB012B" w:rsidP="00CB01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6023">
        <w:rPr>
          <w:rFonts w:ascii="Verdana" w:eastAsia="Century Gothic" w:hAnsi="Verdana" w:cs="Century Gothic"/>
          <w:b/>
          <w:bCs/>
          <w:lang w:val="es-CO"/>
        </w:rPr>
        <w:t>Respuesta:</w:t>
      </w:r>
    </w:p>
    <w:p w14:paraId="29F0008F" w14:textId="77777777" w:rsidR="00CB012B" w:rsidRPr="00596023" w:rsidRDefault="00CB012B" w:rsidP="00CB012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B012B" w:rsidRPr="00596023" w14:paraId="32305C64" w14:textId="77777777" w:rsidTr="007A22C5">
        <w:tc>
          <w:tcPr>
            <w:tcW w:w="8828" w:type="dxa"/>
          </w:tcPr>
          <w:p w14:paraId="59EE8590" w14:textId="775C05B3" w:rsidR="00596023" w:rsidRPr="00596023" w:rsidRDefault="00BB6FAE" w:rsidP="00596023">
            <w:pPr>
              <w:pStyle w:val="Sinespaciado"/>
              <w:spacing w:after="120" w:line="276" w:lineRule="auto"/>
              <w:jc w:val="both"/>
              <w:rPr>
                <w:rFonts w:ascii="Verdana" w:hAnsi="Verdana" w:cs="Arial"/>
                <w:sz w:val="22"/>
                <w:bdr w:val="none" w:sz="0" w:space="0" w:color="auto" w:frame="1"/>
                <w:lang w:val="es-ES"/>
              </w:rPr>
            </w:pPr>
            <w:r>
              <w:rPr>
                <w:rFonts w:ascii="Verdana" w:hAnsi="Verdana" w:cs="Arial"/>
                <w:sz w:val="22"/>
                <w:bdr w:val="none" w:sz="0" w:space="0" w:color="auto" w:frame="1"/>
              </w:rPr>
              <w:t>La</w:t>
            </w:r>
            <w:r w:rsidR="00596023" w:rsidRPr="00596023">
              <w:rPr>
                <w:rFonts w:ascii="Verdana" w:hAnsi="Verdana" w:cs="Arial"/>
                <w:sz w:val="22"/>
                <w:bdr w:val="none" w:sz="0" w:space="0" w:color="auto" w:frame="1"/>
                <w:lang w:val="es-ES"/>
              </w:rPr>
              <w:t xml:space="preserve"> normativa aplicable a la prórroga y adición de los contratos de interventoría prevé una clara y expresa excepción, contenida en el artículo 85 de la Ley 1474 de 2011, según la cual no es aplicable la regla que las limita a un tope máximo del 50% del valor inicial del contrato. En efecto, el supuesto normativo del artículo 85 materializa la “continuidad de la interventoría”, en virtud de la cual dichos contratos </w:t>
            </w:r>
            <w:r w:rsidR="00596023" w:rsidRPr="00596023">
              <w:rPr>
                <w:rFonts w:ascii="Verdana" w:hAnsi="Verdana" w:cs="Arial"/>
                <w:sz w:val="22"/>
              </w:rPr>
              <w:t>“</w:t>
            </w:r>
            <w:r w:rsidR="00596023" w:rsidRPr="00596023">
              <w:rPr>
                <w:rFonts w:ascii="Verdana" w:hAnsi="Verdana" w:cs="Arial"/>
                <w:sz w:val="22"/>
                <w:bdr w:val="none" w:sz="0" w:space="0" w:color="auto" w:frame="1"/>
                <w:lang w:val="es-ES"/>
              </w:rPr>
              <w:t>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r w:rsidR="00596023" w:rsidRPr="00596023">
              <w:rPr>
                <w:rFonts w:ascii="Verdana" w:hAnsi="Verdana" w:cs="Arial"/>
                <w:sz w:val="22"/>
              </w:rPr>
              <w:t>”</w:t>
            </w:r>
            <w:r w:rsidR="00596023" w:rsidRPr="00596023">
              <w:rPr>
                <w:rFonts w:ascii="Verdana" w:hAnsi="Verdana" w:cs="Arial"/>
                <w:sz w:val="22"/>
                <w:bdr w:val="none" w:sz="0" w:space="0" w:color="auto" w:frame="1"/>
                <w:lang w:val="es-ES"/>
              </w:rPr>
              <w:t xml:space="preserve">. En tal sentido, siempre que el contrato a adicionar sea de interventoría, esto es, que </w:t>
            </w:r>
            <w:r w:rsidR="00596023" w:rsidRPr="00596023">
              <w:rPr>
                <w:rFonts w:ascii="Verdana" w:hAnsi="Verdana" w:cs="Arial"/>
                <w:sz w:val="22"/>
              </w:rPr>
              <w:t>tenga como objeto vigilar la adecuada ejecución de uno u otros contratos estatales, en los términos establecidos en el artículo 83 de la Ley 1474 de 2011,</w:t>
            </w:r>
            <w:r w:rsidR="00596023" w:rsidRPr="00596023">
              <w:rPr>
                <w:rFonts w:ascii="Verdana" w:hAnsi="Verdana" w:cs="Arial"/>
                <w:sz w:val="22"/>
                <w:bdr w:val="none" w:sz="0" w:space="0" w:color="auto" w:frame="1"/>
                <w:lang w:val="es-ES"/>
              </w:rPr>
              <w:t xml:space="preserve"> resulta aplicable el artículo 85 de la Ley 1474 de 2011 y sería posible adicionar el contrato de interventoría en más del 50% de su valor inicial; con todo y lo anterior, es importante resaltar que la excepción expuesta </w:t>
            </w:r>
            <w:r w:rsidR="00596023" w:rsidRPr="00596023">
              <w:rPr>
                <w:rFonts w:ascii="Verdana" w:hAnsi="Verdana" w:cs="Arial"/>
                <w:sz w:val="22"/>
                <w:bdr w:val="none" w:sz="0" w:space="0" w:color="auto" w:frame="1"/>
                <w:lang w:val="es-ES"/>
              </w:rPr>
              <w:lastRenderedPageBreak/>
              <w:t>es aplicable para los contratos de interventoría y no aplica para los contratos de consultoría según la extracción que se hace de la ley  y criterios auxiliares vigentes en el ordenamiento jurídico.</w:t>
            </w:r>
          </w:p>
          <w:p w14:paraId="4070606F" w14:textId="3A6B6E5C" w:rsidR="00B0211B" w:rsidRPr="003A6F6F" w:rsidRDefault="00596023" w:rsidP="003A6F6F">
            <w:pPr>
              <w:widowControl w:val="0"/>
              <w:autoSpaceDE w:val="0"/>
              <w:autoSpaceDN w:val="0"/>
              <w:spacing w:line="276" w:lineRule="auto"/>
              <w:ind w:firstLine="708"/>
              <w:jc w:val="both"/>
              <w:rPr>
                <w:rFonts w:ascii="Verdana" w:eastAsia="Arial" w:hAnsi="Verdana" w:cs="Arial"/>
                <w:color w:val="000000" w:themeColor="text1"/>
                <w:lang w:eastAsia="es-ES" w:bidi="es-ES"/>
              </w:rPr>
            </w:pPr>
            <w:r w:rsidRPr="00596023">
              <w:rPr>
                <w:rFonts w:ascii="Verdana" w:eastAsia="Arial" w:hAnsi="Verdana" w:cs="Arial"/>
                <w:color w:val="000000" w:themeColor="text1"/>
                <w:lang w:eastAsia="es-ES" w:bidi="es-ES"/>
              </w:rPr>
              <w:t>De cualquier modo, corresponderá a cada Entidad Estatal realizar el análisis respecto a la precedencia de modificar determinado contrato estatal,</w:t>
            </w:r>
            <w:r w:rsidR="003A6F6F">
              <w:rPr>
                <w:rFonts w:ascii="Verdana" w:eastAsia="Arial" w:hAnsi="Verdana" w:cs="Arial"/>
                <w:color w:val="000000" w:themeColor="text1"/>
                <w:lang w:eastAsia="es-ES" w:bidi="es-ES"/>
              </w:rPr>
              <w:t xml:space="preserve"> dentro de los límites de ley, en </w:t>
            </w:r>
            <w:r w:rsidR="003A6F6F" w:rsidRPr="003A6F6F">
              <w:rPr>
                <w:rFonts w:ascii="Verdana" w:eastAsia="Arial" w:hAnsi="Verdana" w:cs="Arial"/>
                <w:color w:val="000000" w:themeColor="text1"/>
                <w:lang w:eastAsia="es-ES" w:bidi="es-ES"/>
              </w:rPr>
              <w:t xml:space="preserve">el entendido que se respeten las reglas establecidas en el ordenamiento jurídico, de acuerdo con lo expuesto anteriormente, además de definir previamente su procedencia desde la perspectiva jurídica, técnica y financiera. Con todo, el hecho de que, según la jurisprudencia reciente del Consejo de Estado, el valor inicial de los contratos no puede ser interpretado de manera desproporcionada e irrazonable los contratos estatales vigentes, </w:t>
            </w:r>
            <w:proofErr w:type="gramStart"/>
            <w:r w:rsidR="003A6F6F" w:rsidRPr="003A6F6F">
              <w:rPr>
                <w:rFonts w:ascii="Verdana" w:eastAsia="Arial" w:hAnsi="Verdana" w:cs="Arial"/>
                <w:color w:val="000000" w:themeColor="text1"/>
                <w:lang w:eastAsia="es-ES" w:bidi="es-ES"/>
              </w:rPr>
              <w:t>ya que</w:t>
            </w:r>
            <w:proofErr w:type="gramEnd"/>
            <w:r w:rsidR="003A6F6F" w:rsidRPr="003A6F6F">
              <w:rPr>
                <w:rFonts w:ascii="Verdana" w:eastAsia="Arial" w:hAnsi="Verdana" w:cs="Arial"/>
                <w:color w:val="000000" w:themeColor="text1"/>
                <w:lang w:eastAsia="es-ES" w:bidi="es-ES"/>
              </w:rPr>
              <w:t xml:space="preserve"> de acuerdo con lo aquí explicado, ello no solo puede ser evidenciar infracciones a al deber de planeación y al principio de selección objetiva, sino que también puede atentar contra los principios de la gestión administrativa conduciendo a detrimentos del recurso público.</w:t>
            </w:r>
          </w:p>
        </w:tc>
      </w:tr>
    </w:tbl>
    <w:p w14:paraId="0455288C" w14:textId="77777777" w:rsidR="00CB012B" w:rsidRPr="00596023" w:rsidRDefault="00CB012B" w:rsidP="00CB012B">
      <w:pPr>
        <w:tabs>
          <w:tab w:val="left" w:pos="142"/>
          <w:tab w:val="left" w:pos="284"/>
        </w:tabs>
        <w:spacing w:after="0" w:line="276" w:lineRule="auto"/>
        <w:jc w:val="both"/>
        <w:rPr>
          <w:rFonts w:ascii="Verdana" w:eastAsia="Century Gothic" w:hAnsi="Verdana" w:cs="Century Gothic"/>
          <w:b/>
          <w:bCs/>
        </w:rPr>
      </w:pPr>
    </w:p>
    <w:p w14:paraId="52012986" w14:textId="77777777" w:rsidR="00CB012B" w:rsidRPr="00596023" w:rsidRDefault="00CB012B" w:rsidP="00CB01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6023">
        <w:rPr>
          <w:rFonts w:ascii="Verdana" w:eastAsia="Century Gothic" w:hAnsi="Verdana" w:cs="Century Gothic"/>
          <w:b/>
          <w:bCs/>
          <w:lang w:val="es-CO"/>
        </w:rPr>
        <w:t>Razones de la respuesta:</w:t>
      </w:r>
    </w:p>
    <w:p w14:paraId="11A2C908" w14:textId="77777777" w:rsidR="00CB012B" w:rsidRPr="00596023" w:rsidRDefault="00CB012B" w:rsidP="00CB012B">
      <w:pPr>
        <w:spacing w:after="0" w:line="276" w:lineRule="auto"/>
        <w:jc w:val="both"/>
        <w:rPr>
          <w:rFonts w:ascii="Verdana" w:eastAsia="Calibri" w:hAnsi="Verdana" w:cs="Arial"/>
          <w:color w:val="7030A0"/>
        </w:rPr>
      </w:pPr>
    </w:p>
    <w:p w14:paraId="2D06F918" w14:textId="77777777" w:rsidR="00CB012B" w:rsidRPr="00596023" w:rsidRDefault="00CB012B" w:rsidP="00CB012B">
      <w:pPr>
        <w:spacing w:after="0" w:line="276" w:lineRule="auto"/>
        <w:jc w:val="both"/>
        <w:rPr>
          <w:rFonts w:ascii="Verdana" w:eastAsia="Calibri" w:hAnsi="Verdana" w:cs="Arial"/>
        </w:rPr>
      </w:pPr>
      <w:r w:rsidRPr="00596023">
        <w:rPr>
          <w:rFonts w:ascii="Verdana" w:eastAsia="Calibri" w:hAnsi="Verdana" w:cs="Arial"/>
        </w:rPr>
        <w:t xml:space="preserve">Lo anterior se sustenta en las siguientes consideraciones: </w:t>
      </w:r>
    </w:p>
    <w:p w14:paraId="7F8EE89A" w14:textId="77777777" w:rsidR="00CB012B" w:rsidRPr="00596023" w:rsidRDefault="00CB012B" w:rsidP="00CB012B">
      <w:pPr>
        <w:widowControl w:val="0"/>
        <w:autoSpaceDE w:val="0"/>
        <w:autoSpaceDN w:val="0"/>
        <w:spacing w:after="0" w:line="276" w:lineRule="auto"/>
        <w:jc w:val="both"/>
        <w:rPr>
          <w:rFonts w:ascii="Verdana" w:eastAsia="Calibri" w:hAnsi="Verdana" w:cs="Arial"/>
          <w:color w:val="7030A0"/>
        </w:rPr>
      </w:pPr>
    </w:p>
    <w:p w14:paraId="287E68D0" w14:textId="77777777" w:rsidR="00CB012B" w:rsidRPr="00596023" w:rsidRDefault="00CB012B" w:rsidP="00CB012B">
      <w:pPr>
        <w:spacing w:after="120" w:line="276" w:lineRule="auto"/>
        <w:jc w:val="both"/>
        <w:rPr>
          <w:rFonts w:ascii="Verdana" w:hAnsi="Verdana" w:cs="Arial"/>
          <w:bCs/>
          <w:lang w:eastAsia="es-ES_tradnl"/>
        </w:rPr>
      </w:pPr>
      <w:r w:rsidRPr="00596023">
        <w:rPr>
          <w:rFonts w:ascii="Verdana" w:hAnsi="Verdana" w:cs="Arial"/>
          <w:bCs/>
          <w:lang w:eastAsia="es-ES_tradnl"/>
        </w:rPr>
        <w:t xml:space="preserve">Como es sabido, uno de los elementos más relevantes en los contratos estatales es el </w:t>
      </w:r>
      <w:r w:rsidRPr="00596023">
        <w:rPr>
          <w:rFonts w:ascii="Verdana" w:hAnsi="Verdana" w:cs="Arial"/>
          <w:bCs/>
          <w:i/>
          <w:iCs/>
          <w:lang w:eastAsia="es-ES_tradnl"/>
        </w:rPr>
        <w:t>precio</w:t>
      </w:r>
      <w:r w:rsidRPr="00596023">
        <w:rPr>
          <w:rFonts w:ascii="Verdana" w:hAnsi="Verdana" w:cs="Arial"/>
          <w:bCs/>
          <w:lang w:eastAsia="es-ES_tradnl"/>
        </w:rPr>
        <w:t>, también conocido como valor. Adicionalmente, el precio suele ser el elemento más importante para el contratista, porque equivale a la remuneración que la entidad contratante le pagará por la ejecución del objeto contractual.</w:t>
      </w:r>
    </w:p>
    <w:p w14:paraId="1487B9A0" w14:textId="77777777" w:rsidR="00CB012B" w:rsidRPr="00596023" w:rsidRDefault="00CB012B" w:rsidP="00596023">
      <w:pPr>
        <w:spacing w:after="120" w:line="276" w:lineRule="auto"/>
        <w:jc w:val="both"/>
        <w:rPr>
          <w:rFonts w:ascii="Verdana" w:hAnsi="Verdana" w:cs="Arial"/>
          <w:bCs/>
          <w:lang w:eastAsia="es-ES_tradnl"/>
        </w:rPr>
      </w:pPr>
      <w:r w:rsidRPr="00596023">
        <w:rPr>
          <w:rFonts w:ascii="Verdana" w:hAnsi="Verdana" w:cs="Arial"/>
          <w:bCs/>
          <w:lang w:eastAsia="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del contrato. Tal metodología generalmente depende del tipo de contrato, pues hay algunas modalidades más comunes en los de obra pública; otras más utilizadas en los de prestación de servicios y; otras más indicadas para los de concesión, por mencionar algunos ejemplos</w:t>
      </w:r>
      <w:r w:rsidRPr="00596023">
        <w:rPr>
          <w:rFonts w:ascii="Verdana" w:hAnsi="Verdana" w:cs="Arial"/>
          <w:bCs/>
          <w:vertAlign w:val="superscript"/>
          <w:lang w:eastAsia="es-ES_tradnl"/>
        </w:rPr>
        <w:footnoteReference w:id="2"/>
      </w:r>
      <w:r w:rsidRPr="00596023">
        <w:rPr>
          <w:rFonts w:ascii="Verdana" w:hAnsi="Verdana" w:cs="Arial"/>
          <w:bCs/>
          <w:lang w:eastAsia="es-ES_tradnl"/>
        </w:rPr>
        <w:t>.</w:t>
      </w:r>
    </w:p>
    <w:p w14:paraId="0D1567A8" w14:textId="77777777" w:rsidR="00596023" w:rsidRPr="00596023" w:rsidRDefault="00596023" w:rsidP="00596023">
      <w:pPr>
        <w:pStyle w:val="Sinespaciado"/>
        <w:spacing w:after="240" w:line="276" w:lineRule="auto"/>
        <w:jc w:val="both"/>
        <w:rPr>
          <w:rFonts w:ascii="Verdana" w:hAnsi="Verdana" w:cs="Arial"/>
          <w:sz w:val="22"/>
        </w:rPr>
      </w:pPr>
      <w:r w:rsidRPr="00596023">
        <w:rPr>
          <w:rFonts w:ascii="Verdana" w:hAnsi="Verdana" w:cs="Arial"/>
          <w:sz w:val="22"/>
        </w:rPr>
        <w:lastRenderedPageBreak/>
        <w:t xml:space="preserve">La Ley 1474 de 2011 enmarcó el seguimiento, control y vigilancia de la ejecución del contrato estatal dentro del principio de moralidad administrativa. El artículo 83 </w:t>
      </w:r>
      <w:r w:rsidRPr="00596023">
        <w:rPr>
          <w:rFonts w:ascii="Verdana" w:hAnsi="Verdana" w:cs="Arial"/>
          <w:i/>
          <w:iCs/>
          <w:sz w:val="22"/>
        </w:rPr>
        <w:t xml:space="preserve">ibidem </w:t>
      </w:r>
      <w:r w:rsidRPr="00596023">
        <w:rPr>
          <w:rFonts w:ascii="Verdana" w:hAnsi="Verdana" w:cs="Arial"/>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Además, el legislador, en el mismo artículo, definió las nociones de supervisión e interventoría, como mecanismos que pueden usar las entidades estatales para vigilar el contrato, en estos términos: </w:t>
      </w:r>
    </w:p>
    <w:p w14:paraId="09365879" w14:textId="77777777" w:rsidR="00596023" w:rsidRPr="00596023" w:rsidRDefault="00596023" w:rsidP="00596023">
      <w:pPr>
        <w:pStyle w:val="Sinespaciado"/>
        <w:spacing w:after="120"/>
        <w:ind w:left="709" w:right="709"/>
        <w:jc w:val="both"/>
        <w:rPr>
          <w:rFonts w:ascii="Verdana" w:hAnsi="Verdana" w:cs="Arial"/>
          <w:sz w:val="22"/>
        </w:rPr>
      </w:pPr>
      <w:r w:rsidRPr="00596023">
        <w:rPr>
          <w:rFonts w:ascii="Verdana" w:hAnsi="Verdana" w:cs="Arial"/>
          <w:sz w:val="22"/>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04ECD587" w14:textId="77777777" w:rsidR="00596023" w:rsidRPr="00596023" w:rsidRDefault="00596023" w:rsidP="00596023">
      <w:pPr>
        <w:pStyle w:val="Sinespaciado"/>
        <w:spacing w:after="240"/>
        <w:ind w:left="709" w:right="709"/>
        <w:jc w:val="both"/>
        <w:rPr>
          <w:rFonts w:ascii="Verdana" w:hAnsi="Verdana" w:cs="Arial"/>
          <w:sz w:val="22"/>
        </w:rPr>
      </w:pPr>
      <w:r w:rsidRPr="00596023">
        <w:rPr>
          <w:rFonts w:ascii="Verdana" w:hAnsi="Verdana" w:cs="Arial"/>
          <w:sz w:val="22"/>
        </w:rPr>
        <w:t xml:space="preserve">La interventoría consistirá en el seguimiento técnico que sobre el cumplimiento del contrato que realice una persona natural o jurídica contratada para tal fin por la Entidad Estatal, cuando el seguimiento del contrato suponga conocimiento especializado en la materia, o cuando la complejidad o la extensión de este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0CC85F08" w14:textId="77777777" w:rsidR="00596023" w:rsidRPr="00596023" w:rsidRDefault="00596023" w:rsidP="00596023">
      <w:pPr>
        <w:pStyle w:val="Sinespaciado"/>
        <w:spacing w:after="120" w:line="276" w:lineRule="auto"/>
        <w:jc w:val="both"/>
        <w:rPr>
          <w:rFonts w:ascii="Verdana" w:hAnsi="Verdana" w:cs="Arial"/>
          <w:sz w:val="22"/>
        </w:rPr>
      </w:pPr>
      <w:r w:rsidRPr="00596023">
        <w:rPr>
          <w:rFonts w:ascii="Verdana" w:hAnsi="Verdana" w:cs="Arial"/>
          <w:sz w:val="22"/>
        </w:rPr>
        <w:lastRenderedPageBreak/>
        <w:t xml:space="preserve">De este modo, la interventoría: i) será un mecanismo de vigilancia contingente en la medida que solo es obligatorio para el seguimiento de los contratos de obra adjudicados por licitación pública ‒art. 32, numeral 1, Ley 80 de 1993‒; en los demás casos se requerirá cuando “el seguimiento del contrato suponga conocimiento especializado en la materia, o cuando la complejidad o la extensión de este lo justifiquen” ‒art. 83, Ley 1474 de 2011‒. </w:t>
      </w:r>
      <w:proofErr w:type="spellStart"/>
      <w:r w:rsidRPr="00596023">
        <w:rPr>
          <w:rFonts w:ascii="Verdana" w:hAnsi="Verdana" w:cs="Arial"/>
          <w:sz w:val="22"/>
        </w:rPr>
        <w:t>ii</w:t>
      </w:r>
      <w:proofErr w:type="spellEnd"/>
      <w:r w:rsidRPr="00596023">
        <w:rPr>
          <w:rFonts w:ascii="Verdana" w:hAnsi="Verdana" w:cs="Arial"/>
          <w:sz w:val="22"/>
        </w:rPr>
        <w:t xml:space="preserve">) Este mecanismo de vigilancia exige, en su ejecución, la utilización de conocimientos especializados. </w:t>
      </w:r>
      <w:proofErr w:type="spellStart"/>
      <w:r w:rsidRPr="00596023">
        <w:rPr>
          <w:rFonts w:ascii="Verdana" w:hAnsi="Verdana" w:cs="Arial"/>
          <w:sz w:val="22"/>
        </w:rPr>
        <w:t>iii</w:t>
      </w:r>
      <w:proofErr w:type="spellEnd"/>
      <w:r w:rsidRPr="00596023">
        <w:rPr>
          <w:rFonts w:ascii="Verdana" w:hAnsi="Verdana" w:cs="Arial"/>
          <w:sz w:val="22"/>
        </w:rPr>
        <w:t>) Por lo anterior, la entidad contrata un experto, en principio, a través de un concurso de méritos, al tratarse la interventoría de una especie del contrato de consultoría ‒art. 32, numeral 2, inciso 2, Ley 80 de 1993</w:t>
      </w:r>
      <w:r w:rsidRPr="00596023">
        <w:rPr>
          <w:rStyle w:val="Refdenotaalpie"/>
          <w:rFonts w:ascii="Verdana" w:hAnsi="Verdana" w:cs="Arial"/>
          <w:sz w:val="22"/>
        </w:rPr>
        <w:footnoteReference w:id="3"/>
      </w:r>
      <w:r w:rsidRPr="00596023">
        <w:rPr>
          <w:rFonts w:ascii="Verdana" w:hAnsi="Verdana" w:cs="Arial"/>
          <w:sz w:val="22"/>
        </w:rPr>
        <w:t xml:space="preserve">‒, de manera que la interventoría es realizada por una “persona natural o jurídica contratada para tal fin por la Entidad Estatal” ‒art. 83, Ley 1474‒. </w:t>
      </w:r>
      <w:proofErr w:type="spellStart"/>
      <w:r w:rsidRPr="00596023">
        <w:rPr>
          <w:rFonts w:ascii="Verdana" w:hAnsi="Verdana" w:cs="Arial"/>
          <w:sz w:val="22"/>
        </w:rPr>
        <w:t>iv</w:t>
      </w:r>
      <w:proofErr w:type="spellEnd"/>
      <w:r w:rsidRPr="00596023">
        <w:rPr>
          <w:rFonts w:ascii="Verdana" w:hAnsi="Verdana" w:cs="Arial"/>
          <w:sz w:val="22"/>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7DF27837" w14:textId="041BEC0F" w:rsidR="00596023" w:rsidRPr="00596023" w:rsidRDefault="00596023" w:rsidP="00596023">
      <w:pPr>
        <w:pStyle w:val="Sinespaciado"/>
        <w:spacing w:line="276" w:lineRule="auto"/>
        <w:jc w:val="both"/>
        <w:rPr>
          <w:rFonts w:ascii="Verdana" w:hAnsi="Verdana" w:cs="Arial"/>
          <w:sz w:val="22"/>
        </w:rPr>
      </w:pPr>
      <w:r w:rsidRPr="00596023">
        <w:rPr>
          <w:rFonts w:ascii="Verdana" w:hAnsi="Verdana" w:cs="Arial"/>
          <w:sz w:val="22"/>
        </w:rPr>
        <w:t>De acuerdo con lo anterior, el interventor es un contratista externo a la entidad estatal y al contratista vigilado, de manera que es seleccionado por la entidad estatal mediante los procedimientos de selección establecidos en el EGCAP; en principio, a través de un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w:t>
      </w:r>
      <w:r w:rsidR="00CF779B">
        <w:rPr>
          <w:rFonts w:ascii="Verdana" w:hAnsi="Verdana" w:cs="Arial"/>
          <w:sz w:val="22"/>
        </w:rPr>
        <w:t>a</w:t>
      </w:r>
      <w:r w:rsidRPr="00596023">
        <w:rPr>
          <w:rFonts w:ascii="Verdana" w:hAnsi="Verdana" w:cs="Arial"/>
          <w:sz w:val="22"/>
        </w:rPr>
        <w:t>. En todo caso, se reitera que un contrato, para que se considere de interventoría debe tener como objeto y finalidad vigilar la adecuada ejecución de uno u otros contratos estatales, en los términos establecidos en el artículo 83 de la Ley 1474 de 2011.</w:t>
      </w:r>
    </w:p>
    <w:p w14:paraId="0A1FCC4B" w14:textId="77777777" w:rsidR="00596023" w:rsidRPr="00596023" w:rsidRDefault="00596023" w:rsidP="00596023">
      <w:pPr>
        <w:pStyle w:val="Sinespaciado"/>
        <w:spacing w:line="276" w:lineRule="auto"/>
        <w:ind w:firstLine="709"/>
        <w:jc w:val="both"/>
        <w:rPr>
          <w:rFonts w:ascii="Verdana" w:hAnsi="Verdana" w:cs="Arial"/>
          <w:sz w:val="22"/>
        </w:rPr>
      </w:pPr>
    </w:p>
    <w:p w14:paraId="333824DE" w14:textId="77777777" w:rsidR="00596023" w:rsidRPr="00596023" w:rsidRDefault="00596023" w:rsidP="00596023">
      <w:pPr>
        <w:spacing w:after="120"/>
        <w:jc w:val="both"/>
        <w:rPr>
          <w:rFonts w:ascii="Verdana" w:hAnsi="Verdana" w:cs="Arial"/>
        </w:rPr>
      </w:pPr>
      <w:r w:rsidRPr="00596023">
        <w:rPr>
          <w:rFonts w:ascii="Verdana" w:hAnsi="Verdana" w:cs="Arial"/>
        </w:rPr>
        <w:t>La palabra adición</w:t>
      </w:r>
      <w:r w:rsidRPr="00596023">
        <w:rPr>
          <w:rFonts w:ascii="Verdana" w:hAnsi="Verdana" w:cs="Arial"/>
          <w:i/>
          <w:iCs/>
        </w:rPr>
        <w:t xml:space="preserve"> </w:t>
      </w:r>
      <w:r w:rsidRPr="00596023">
        <w:rPr>
          <w:rFonts w:ascii="Verdana" w:hAnsi="Verdana" w:cs="Arial"/>
        </w:rPr>
        <w:t xml:space="preserve">significa “acción y efecto de añadir || </w:t>
      </w:r>
      <w:proofErr w:type="gramStart"/>
      <w:r w:rsidRPr="00596023">
        <w:rPr>
          <w:rFonts w:ascii="Verdana" w:hAnsi="Verdana" w:cs="Arial"/>
        </w:rPr>
        <w:t>agregar ”</w:t>
      </w:r>
      <w:proofErr w:type="gramEnd"/>
      <w:r w:rsidRPr="00596023">
        <w:rPr>
          <w:rStyle w:val="Refdenotaalpie"/>
          <w:rFonts w:ascii="Verdana" w:hAnsi="Verdana" w:cs="Arial"/>
        </w:rPr>
        <w:footnoteReference w:id="4"/>
      </w:r>
      <w:r w:rsidRPr="00596023">
        <w:rPr>
          <w:rFonts w:ascii="Verdana" w:hAnsi="Verdana" w:cs="Arial"/>
        </w:rPr>
        <w:t xml:space="preserve">. En este sentido, es oportuno resaltar que los contratos estatales pueden ser objeto de situaciones que impliquen la necesidad de adicionar o modificar las condiciones </w:t>
      </w:r>
      <w:r w:rsidRPr="00596023">
        <w:rPr>
          <w:rFonts w:ascii="Verdana" w:hAnsi="Verdana" w:cs="Arial"/>
        </w:rPr>
        <w:lastRenderedPageBreak/>
        <w:t xml:space="preserve">inicialmente pactadas, conforme lo establece el artículo 40 de la Ley 80 de 1993, pudiendo incluirse las modalidades, condiciones y, en general, las cláusulas o estipulaciones que las partes consideren necesarias para el cabal cumplimiento del objeto contractual. </w:t>
      </w:r>
    </w:p>
    <w:p w14:paraId="0BEB1A10" w14:textId="77777777" w:rsidR="00596023" w:rsidRPr="00596023" w:rsidRDefault="00596023" w:rsidP="00596023">
      <w:pPr>
        <w:spacing w:after="120"/>
        <w:jc w:val="both"/>
        <w:rPr>
          <w:rFonts w:ascii="Verdana" w:hAnsi="Verdana" w:cs="Arial"/>
        </w:rPr>
      </w:pPr>
      <w:r w:rsidRPr="00596023">
        <w:rPr>
          <w:rFonts w:ascii="Verdana" w:hAnsi="Verdana" w:cs="Arial"/>
        </w:rPr>
        <w:t xml:space="preserve">La ejecución de los contratos estatales está sujeta a los cambios propios del paso del tiempo. Así, durante la etapa de planeación, las entidades públicas estiman y determinan las prestaciones que demanda el cumplimiento de la necesidad de interés general que pretende satisfacer. No obstante, durante la ejecución del contrato, las partes pueden identificar alguna de las siguientes situaciones: i) la necesidad de mayores cantidades de bienes o actividades inicialmente previstos, a lo que se le conoce como “mayores cantidades de obra”, “obras adicionales” o adición de “ítems contractuales”; y </w:t>
      </w:r>
      <w:proofErr w:type="spellStart"/>
      <w:r w:rsidRPr="00596023">
        <w:rPr>
          <w:rFonts w:ascii="Verdana" w:hAnsi="Verdana" w:cs="Arial"/>
        </w:rPr>
        <w:t>ii</w:t>
      </w:r>
      <w:proofErr w:type="spellEnd"/>
      <w:r w:rsidRPr="00596023">
        <w:rPr>
          <w:rFonts w:ascii="Verdana" w:hAnsi="Verdana" w:cs="Arial"/>
        </w:rPr>
        <w:t>)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w:t>
      </w:r>
    </w:p>
    <w:p w14:paraId="5553A13E" w14:textId="77777777" w:rsidR="00596023" w:rsidRPr="00596023" w:rsidRDefault="00596023" w:rsidP="00596023">
      <w:pPr>
        <w:spacing w:after="120"/>
        <w:jc w:val="both"/>
        <w:rPr>
          <w:rFonts w:ascii="Verdana" w:hAnsi="Verdana" w:cs="Arial"/>
        </w:rPr>
      </w:pPr>
      <w:r w:rsidRPr="00596023">
        <w:rPr>
          <w:rFonts w:ascii="Verdana" w:hAnsi="Verdana" w:cs="Arial"/>
        </w:rPr>
        <w:t>Lo importante es que, frente a cualquier incremento del valor inicial del contrato,</w:t>
      </w:r>
      <w:r w:rsidRPr="00596023">
        <w:rPr>
          <w:rFonts w:ascii="Verdana" w:hAnsi="Verdana" w:cs="Arial"/>
          <w:i/>
          <w:iCs/>
        </w:rPr>
        <w:t xml:space="preserve"> </w:t>
      </w:r>
      <w:r w:rsidRPr="00596023">
        <w:rPr>
          <w:rFonts w:ascii="Verdana" w:hAnsi="Verdana" w:cs="Arial"/>
        </w:rPr>
        <w:t>por cualquiera de los dos supuestos señalados previamente, e independiente del nombre que se le dé al acuerdo,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w:t>
      </w:r>
      <w:r w:rsidRPr="00596023">
        <w:rPr>
          <w:rStyle w:val="Refdenotaalpie"/>
          <w:rFonts w:ascii="Verdana" w:hAnsi="Verdana" w:cs="Arial"/>
        </w:rPr>
        <w:footnoteReference w:id="5"/>
      </w:r>
      <w:r w:rsidRPr="00596023">
        <w:rPr>
          <w:rFonts w:ascii="Verdana" w:hAnsi="Verdana" w:cs="Arial"/>
        </w:rPr>
        <w:t>.</w:t>
      </w:r>
    </w:p>
    <w:p w14:paraId="045DA1AB" w14:textId="77777777" w:rsidR="00596023" w:rsidRPr="00596023" w:rsidRDefault="00596023" w:rsidP="00596023">
      <w:pPr>
        <w:spacing w:after="120"/>
        <w:jc w:val="both"/>
        <w:rPr>
          <w:rFonts w:ascii="Verdana" w:hAnsi="Verdana" w:cs="Arial"/>
        </w:rPr>
      </w:pPr>
      <w:r w:rsidRPr="00596023">
        <w:rPr>
          <w:rFonts w:ascii="Verdana" w:hAnsi="Verdana" w:cs="Aria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w:t>
      </w:r>
      <w:r w:rsidRPr="00596023">
        <w:rPr>
          <w:rFonts w:ascii="Verdana" w:hAnsi="Verdana" w:cs="Arial"/>
        </w:rPr>
        <w:lastRenderedPageBreak/>
        <w:t>cuales podrá adicionarse el contrato. En este sentido, para evitar equivocaciones, lo ideal es que cada vez que se efectúe una adición, se estime su valor en salarios mínimos, los cuales se calcularán con base en el salario vigente al momento de la adición, de manera que se descuenten estos de los salarios mínimos que restan por adicionar. Esto teniendo en cuenta que las modificaciones podrían hacerse en diferentes años, porque si el contrato se ejecuta sin existir variación en el valor del salario mínimo la operación sería la misma si se toma el monto en pesos o en salarios mínimos.</w:t>
      </w:r>
    </w:p>
    <w:p w14:paraId="170FBDF1" w14:textId="77777777" w:rsidR="00596023" w:rsidRPr="00596023" w:rsidRDefault="00596023" w:rsidP="00596023">
      <w:pPr>
        <w:spacing w:after="120"/>
        <w:jc w:val="both"/>
        <w:rPr>
          <w:rFonts w:ascii="Verdana" w:hAnsi="Verdana" w:cs="Arial"/>
        </w:rPr>
      </w:pPr>
      <w:r w:rsidRPr="00596023">
        <w:rPr>
          <w:rFonts w:ascii="Verdana" w:hAnsi="Verdana" w:cs="Arial"/>
        </w:rPr>
        <w:t xml:space="preserve">El razonamiento anterior se fundamenta en la forma en que la Ley 80 de 1993 estableció el tope para las adiciones, acudiendo a una forma de actualización del valor, de acuerdo con los incrementos que tenga el salario mínimo, lo que resulta especialmente relevante en contratos de larga duración. </w:t>
      </w:r>
    </w:p>
    <w:p w14:paraId="51F68F75" w14:textId="77777777" w:rsidR="00596023" w:rsidRPr="00596023" w:rsidRDefault="00596023" w:rsidP="00596023">
      <w:pPr>
        <w:spacing w:after="120"/>
        <w:jc w:val="both"/>
        <w:rPr>
          <w:rFonts w:ascii="Verdana" w:hAnsi="Verdana" w:cs="Arial"/>
        </w:rPr>
      </w:pPr>
      <w:r w:rsidRPr="00596023">
        <w:rPr>
          <w:rFonts w:ascii="Verdana" w:hAnsi="Verdana" w:cs="Arial"/>
        </w:rPr>
        <w:t xml:space="preserve">No obstante, lo anterior, que constituye la regla general en los contratos estatales sometidos al EGCAP, en los casos en que se requiera adicionar un contrato que tenga por objeto la interventoría de otro contrato, por cuanto el contrato objeto de vigilancia no ha concluido, ya sea porque fue suspendido el plazo o porque se amplió el plazo de ejecución, la situación se regirá por una norma especial, contenida en el artículo 85 de la Ley 1474 de 2011. Dicha norma establece: </w:t>
      </w:r>
    </w:p>
    <w:p w14:paraId="7AEA4B39" w14:textId="77777777" w:rsidR="00596023" w:rsidRPr="00596023" w:rsidRDefault="00596023" w:rsidP="00596023">
      <w:pPr>
        <w:spacing w:after="120" w:line="240" w:lineRule="auto"/>
        <w:ind w:left="709" w:right="709"/>
        <w:jc w:val="both"/>
        <w:rPr>
          <w:rFonts w:ascii="Verdana" w:hAnsi="Verdana" w:cs="Arial"/>
        </w:rPr>
      </w:pPr>
      <w:r w:rsidRPr="00596023">
        <w:rPr>
          <w:rFonts w:ascii="Verdana" w:hAnsi="Verdana" w:cs="Arial"/>
        </w:rPr>
        <w:t>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0954D41A" w14:textId="77777777" w:rsidR="00596023" w:rsidRPr="00596023" w:rsidRDefault="00596023" w:rsidP="00596023">
      <w:pPr>
        <w:spacing w:after="120" w:line="240" w:lineRule="auto"/>
        <w:ind w:left="709" w:right="709" w:firstLine="1"/>
        <w:jc w:val="both"/>
        <w:rPr>
          <w:rFonts w:ascii="Verdana" w:hAnsi="Verdana" w:cs="Arial"/>
        </w:rPr>
      </w:pPr>
      <w:r w:rsidRPr="00596023">
        <w:rPr>
          <w:rFonts w:ascii="Verdana" w:hAnsi="Verdana" w:cs="Arial"/>
        </w:rPr>
        <w:t>Parágrafo. Para la ejecución de los contratos de interventoría es obligatoria la constitución y aprobación de la garantía de cumplimiento hasta por el mismo término de la garantía de estabilidad del contrato principal; el Gobierno Nacional regulará la materia. En este evento podrá darse aplicación al artículo 7° de la Ley 1150, en cuanto a la posibilidad de que la garantía pueda ser dividida teniendo en cuenta las etapas o riesgos relativos a la ejecución del respectivo contrato.</w:t>
      </w:r>
    </w:p>
    <w:p w14:paraId="1659AFCE" w14:textId="77777777" w:rsidR="00596023" w:rsidRPr="00596023" w:rsidRDefault="00596023" w:rsidP="00596023">
      <w:pPr>
        <w:spacing w:after="120"/>
        <w:jc w:val="both"/>
        <w:rPr>
          <w:rFonts w:ascii="Verdana" w:hAnsi="Verdana" w:cs="Arial"/>
        </w:rPr>
      </w:pPr>
      <w:r w:rsidRPr="00596023">
        <w:rPr>
          <w:rFonts w:ascii="Verdana" w:hAnsi="Verdana" w:cs="Arial"/>
        </w:rPr>
        <w:t xml:space="preserve">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 en los términos explicados en el numeral anterior de este concepto. En este sentido, la doctrina ha manifestado sobre esta disposición que “el artículo 85 no contiene impedimento para adicionar sin límite </w:t>
      </w:r>
      <w:r w:rsidRPr="00596023">
        <w:rPr>
          <w:rFonts w:ascii="Verdana" w:hAnsi="Verdana" w:cs="Arial"/>
        </w:rPr>
        <w:lastRenderedPageBreak/>
        <w:t>el contrato de interventoría, con una ventaja adicional: que puede ser para cualquier objeto de contrato que haya requerido contratar externamente la interventoría”</w:t>
      </w:r>
      <w:r w:rsidRPr="00596023">
        <w:rPr>
          <w:rStyle w:val="Refdenotaalpie"/>
          <w:rFonts w:ascii="Verdana" w:hAnsi="Verdana" w:cs="Arial"/>
        </w:rPr>
        <w:footnoteReference w:id="6"/>
      </w:r>
      <w:r w:rsidRPr="00596023">
        <w:rPr>
          <w:rFonts w:ascii="Verdana" w:hAnsi="Verdana" w:cs="Arial"/>
        </w:rPr>
        <w:t xml:space="preserve">. </w:t>
      </w:r>
    </w:p>
    <w:p w14:paraId="09BA3AD2" w14:textId="77777777" w:rsidR="00596023" w:rsidRPr="00596023" w:rsidRDefault="00596023" w:rsidP="00596023">
      <w:pPr>
        <w:spacing w:after="120"/>
        <w:jc w:val="both"/>
        <w:rPr>
          <w:rFonts w:ascii="Verdana" w:hAnsi="Verdana" w:cs="Arial"/>
        </w:rPr>
      </w:pPr>
      <w:r w:rsidRPr="00596023">
        <w:rPr>
          <w:rFonts w:ascii="Verdana" w:hAnsi="Verdana" w:cs="Arial"/>
        </w:rPr>
        <w:t>La disposición anterior tiene como finalidad que se mantenga la vigilancia frente a la ejecución de los contratos estatales, mediante el mecanismo especializado de la interventoría, sin que este seguimiento sea afectado por el tope establecido en el inciso segundo del parágrafo del artículo 40 de la Ley 80 de 1993. En tal sentido, la excepción se establece de forma especial frente a un objeto contractual específico, que hace parte de la tipología contractual de la consultoría, consistente en que se trate de un contrato de interventoría. De esta manera, independientemente de la modalidad de selección o del sujeto con quien se celebre el contrato de interventoría aplica la norma especial del artículo 85 de la Ley 1474 de 2011, por lo que incluso en un contrato interadministrativo, cuyo objeto sea la interventoría de un contrato estatal, se debe tener en cuenta esta última disposición, por lo que no aplicaría el tope establecido en el inciso segundo del parágrafo del artículo 40 de la Ley 80 de 1993. Lo anterior, se reitera, siempre que el contrato a adicionar tenga por objeto la interventoría de oro u otros contratos.</w:t>
      </w:r>
    </w:p>
    <w:p w14:paraId="486F3A9E" w14:textId="77777777" w:rsidR="00596023" w:rsidRPr="00596023" w:rsidRDefault="00596023" w:rsidP="00596023">
      <w:pPr>
        <w:tabs>
          <w:tab w:val="left" w:pos="709"/>
        </w:tabs>
        <w:spacing w:after="0"/>
        <w:jc w:val="both"/>
        <w:rPr>
          <w:rFonts w:ascii="Verdana" w:hAnsi="Verdana" w:cs="Arial"/>
          <w:bCs/>
        </w:rPr>
      </w:pPr>
      <w:r w:rsidRPr="00596023">
        <w:rPr>
          <w:rFonts w:ascii="Verdana" w:hAnsi="Verdana" w:cs="Arial"/>
          <w:bCs/>
        </w:rPr>
        <w:t xml:space="preserve">Pero, el hecho de que el artículo 85 de la Ley 1474 de 2011 disponga que no aplica el límite previsto en el parágrafo del artículo 40 de la Ley 80 de 1993 respecto de los contratos que tengan por objeto la interventoría no significa que la posibilidad de incrementar su valor sea absoluta. Como lo señaló la Corte Constitucional en la Sentencia C-300 de 2012, las adiciones de los contratos estatales siempre deben respetar el principio de planeación. Adicionalmente, la entidad estatal debe garantizar los principios de la función administrativa y de la gestión fiscal al momento de autorizar las adiciones de los contratos de interventoría. </w:t>
      </w:r>
    </w:p>
    <w:p w14:paraId="0482220A" w14:textId="77777777" w:rsidR="00596023" w:rsidRPr="00596023" w:rsidRDefault="00596023" w:rsidP="00CB012B">
      <w:pPr>
        <w:widowControl w:val="0"/>
        <w:autoSpaceDE w:val="0"/>
        <w:autoSpaceDN w:val="0"/>
        <w:spacing w:after="0" w:line="276" w:lineRule="auto"/>
        <w:ind w:firstLine="708"/>
        <w:jc w:val="both"/>
        <w:rPr>
          <w:rFonts w:ascii="Verdana" w:eastAsia="Arial" w:hAnsi="Verdana" w:cs="Arial"/>
          <w:color w:val="000000" w:themeColor="text1"/>
          <w:lang w:eastAsia="es-ES" w:bidi="es-ES"/>
        </w:rPr>
      </w:pPr>
    </w:p>
    <w:p w14:paraId="5D906247" w14:textId="518E42B3" w:rsidR="00CB012B" w:rsidRPr="00596023" w:rsidRDefault="00CB012B" w:rsidP="00596023">
      <w:pPr>
        <w:widowControl w:val="0"/>
        <w:autoSpaceDE w:val="0"/>
        <w:autoSpaceDN w:val="0"/>
        <w:spacing w:after="0" w:line="276" w:lineRule="auto"/>
        <w:jc w:val="both"/>
        <w:rPr>
          <w:rFonts w:ascii="Verdana" w:eastAsia="Arial" w:hAnsi="Verdana" w:cs="Arial"/>
          <w:color w:val="000000" w:themeColor="text1"/>
          <w:lang w:eastAsia="es-ES" w:bidi="es-ES"/>
        </w:rPr>
      </w:pPr>
      <w:r w:rsidRPr="00596023">
        <w:rPr>
          <w:rFonts w:ascii="Verdana" w:eastAsia="Arial" w:hAnsi="Verdana" w:cs="Arial"/>
          <w:color w:val="000000" w:themeColor="text1"/>
          <w:lang w:eastAsia="es-ES" w:bidi="es-ES"/>
        </w:rPr>
        <w:t xml:space="preserve">De cualquier modo, corresponderá a cada Entidad Estatal realizar el análisis respecto a la precedencia de modificar determinado contrato estatal, o ejecutarlo por encima del valor inicial estimado, en el entendido que se respeten las reglas establecidas en el ordenamiento jurídico, de acuerdo con lo expuesto anteriormente, además de definir previamente su procedencia desde la perspectiva jurídica, técnica y financiera. Con todo, el hecho de que, según la jurisprudencia reciente del Consejo de Estado, el valor inicial de los contratos no puede ser interpretado de manera desproporcionada e irrazonable los contratos </w:t>
      </w:r>
      <w:r w:rsidRPr="00596023">
        <w:rPr>
          <w:rFonts w:ascii="Verdana" w:eastAsia="Arial" w:hAnsi="Verdana" w:cs="Arial"/>
          <w:color w:val="000000" w:themeColor="text1"/>
          <w:lang w:eastAsia="es-ES" w:bidi="es-ES"/>
        </w:rPr>
        <w:lastRenderedPageBreak/>
        <w:t xml:space="preserve">estatales vigentes, ya que de acuerdo con lo aquí explicado, ello no solo puede ser evidenciar infracciones a al deber de planeación y al principio de selección objetiva, sino que también puede atentar contra los principios de la gestión administrativa conduciendo a detrimentos del recurso público.  </w:t>
      </w:r>
    </w:p>
    <w:p w14:paraId="07171BE8" w14:textId="77777777" w:rsidR="00CB012B" w:rsidRPr="00596023" w:rsidRDefault="00CB012B" w:rsidP="00CB012B">
      <w:pPr>
        <w:widowControl w:val="0"/>
        <w:autoSpaceDE w:val="0"/>
        <w:autoSpaceDN w:val="0"/>
        <w:spacing w:after="0" w:line="276" w:lineRule="auto"/>
        <w:ind w:firstLine="709"/>
        <w:jc w:val="both"/>
        <w:rPr>
          <w:rFonts w:ascii="Verdana" w:hAnsi="Verdana" w:cs="Arial"/>
        </w:rPr>
      </w:pPr>
    </w:p>
    <w:p w14:paraId="1C964C28" w14:textId="77777777" w:rsidR="00CB012B" w:rsidRPr="00596023" w:rsidRDefault="00CB012B" w:rsidP="00CB01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6023">
        <w:rPr>
          <w:rFonts w:ascii="Verdana" w:eastAsia="Century Gothic" w:hAnsi="Verdana" w:cs="Century Gothic"/>
          <w:b/>
          <w:bCs/>
          <w:lang w:val="es-CO"/>
        </w:rPr>
        <w:t>Referencias normativas, jurisprudenciales y otras fuentes:</w:t>
      </w:r>
    </w:p>
    <w:p w14:paraId="4CF448D6" w14:textId="77777777" w:rsidR="00CB012B" w:rsidRPr="00596023" w:rsidRDefault="00CB012B" w:rsidP="00CB012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B012B" w:rsidRPr="00596023" w14:paraId="451C2CD1" w14:textId="77777777" w:rsidTr="007A22C5">
        <w:trPr>
          <w:trHeight w:val="345"/>
        </w:trPr>
        <w:tc>
          <w:tcPr>
            <w:tcW w:w="8647" w:type="dxa"/>
          </w:tcPr>
          <w:p w14:paraId="529B1D52" w14:textId="77777777" w:rsidR="00CB012B" w:rsidRPr="00596023" w:rsidRDefault="00CB012B" w:rsidP="00CB012B">
            <w:pPr>
              <w:pStyle w:val="Prrafodelista"/>
              <w:widowControl w:val="0"/>
              <w:numPr>
                <w:ilvl w:val="0"/>
                <w:numId w:val="17"/>
              </w:numPr>
              <w:autoSpaceDE w:val="0"/>
              <w:autoSpaceDN w:val="0"/>
              <w:spacing w:line="276" w:lineRule="auto"/>
              <w:contextualSpacing w:val="0"/>
              <w:jc w:val="both"/>
              <w:rPr>
                <w:rFonts w:ascii="Verdana" w:hAnsi="Verdana" w:cs="Arial"/>
                <w:lang w:val="es-CO"/>
              </w:rPr>
            </w:pPr>
            <w:r w:rsidRPr="00596023">
              <w:rPr>
                <w:rFonts w:ascii="Verdana" w:hAnsi="Verdana" w:cs="Arial"/>
                <w:lang w:val="es-CO"/>
              </w:rPr>
              <w:t xml:space="preserve">Ley 80 de 1993: Artículo 40. </w:t>
            </w:r>
          </w:p>
          <w:p w14:paraId="23C0BBFE" w14:textId="77777777" w:rsidR="00CB012B" w:rsidRPr="00596023" w:rsidRDefault="00CB012B" w:rsidP="007A22C5">
            <w:pPr>
              <w:pStyle w:val="Prrafodelista"/>
              <w:widowControl w:val="0"/>
              <w:autoSpaceDE w:val="0"/>
              <w:autoSpaceDN w:val="0"/>
              <w:spacing w:line="276" w:lineRule="auto"/>
              <w:ind w:left="360"/>
              <w:contextualSpacing w:val="0"/>
              <w:jc w:val="both"/>
              <w:rPr>
                <w:rFonts w:ascii="Verdana" w:hAnsi="Verdana" w:cs="Arial"/>
                <w:lang w:val="es-CO"/>
              </w:rPr>
            </w:pPr>
          </w:p>
          <w:p w14:paraId="33F8B3A6" w14:textId="77777777" w:rsidR="00CB012B" w:rsidRPr="00596023" w:rsidRDefault="00CB012B" w:rsidP="00CB012B">
            <w:pPr>
              <w:pStyle w:val="Prrafodelista"/>
              <w:widowControl w:val="0"/>
              <w:numPr>
                <w:ilvl w:val="0"/>
                <w:numId w:val="17"/>
              </w:numPr>
              <w:autoSpaceDE w:val="0"/>
              <w:autoSpaceDN w:val="0"/>
              <w:spacing w:line="276" w:lineRule="auto"/>
              <w:contextualSpacing w:val="0"/>
              <w:jc w:val="both"/>
              <w:rPr>
                <w:rFonts w:ascii="Verdana" w:hAnsi="Verdana" w:cs="Arial"/>
                <w:lang w:val="es-CO"/>
              </w:rPr>
            </w:pPr>
            <w:r w:rsidRPr="00596023">
              <w:rPr>
                <w:rFonts w:ascii="Verdana" w:hAnsi="Verdana"/>
              </w:rPr>
              <w:t>CONSEJO DE ESTADO. Sala de lo Contencioso Administrativo Sección Tercera. Sentencia del 6 de agosto de 1987. Expediente 3886.</w:t>
            </w:r>
          </w:p>
          <w:p w14:paraId="6710BFDE" w14:textId="77777777" w:rsidR="00CB012B" w:rsidRPr="00596023" w:rsidRDefault="00CB012B" w:rsidP="007A22C5">
            <w:pPr>
              <w:pStyle w:val="Prrafodelista"/>
              <w:rPr>
                <w:rFonts w:ascii="Verdana" w:hAnsi="Verdana"/>
              </w:rPr>
            </w:pPr>
          </w:p>
          <w:p w14:paraId="089D9C51" w14:textId="77777777" w:rsidR="00CB012B" w:rsidRPr="00596023" w:rsidRDefault="00CB012B" w:rsidP="00CB012B">
            <w:pPr>
              <w:pStyle w:val="Prrafodelista"/>
              <w:widowControl w:val="0"/>
              <w:numPr>
                <w:ilvl w:val="0"/>
                <w:numId w:val="17"/>
              </w:numPr>
              <w:autoSpaceDE w:val="0"/>
              <w:autoSpaceDN w:val="0"/>
              <w:spacing w:line="276" w:lineRule="auto"/>
              <w:contextualSpacing w:val="0"/>
              <w:jc w:val="both"/>
              <w:rPr>
                <w:rFonts w:ascii="Verdana" w:hAnsi="Verdana" w:cs="Arial"/>
                <w:lang w:val="es-CO"/>
              </w:rPr>
            </w:pPr>
            <w:r w:rsidRPr="00596023">
              <w:rPr>
                <w:rFonts w:ascii="Verdana" w:hAnsi="Verdana"/>
              </w:rPr>
              <w:t>CONSEJO DE ESTADO. Sala de lo Contencioso Administrativo. Sección Tercera. Sentencia del 18 de julio de 2002. Expediente 22178.</w:t>
            </w:r>
          </w:p>
          <w:p w14:paraId="21827BC9" w14:textId="77777777" w:rsidR="00CB012B" w:rsidRPr="00596023" w:rsidRDefault="00CB012B" w:rsidP="007A22C5">
            <w:pPr>
              <w:pStyle w:val="Textonotapie"/>
              <w:spacing w:line="276" w:lineRule="auto"/>
              <w:jc w:val="both"/>
              <w:rPr>
                <w:rFonts w:ascii="Verdana" w:hAnsi="Verdana" w:cs="Arial"/>
                <w:color w:val="000000" w:themeColor="text1"/>
                <w:sz w:val="22"/>
                <w:szCs w:val="22"/>
              </w:rPr>
            </w:pPr>
          </w:p>
          <w:p w14:paraId="25D395E1"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Sección Tercera. C.</w:t>
            </w:r>
            <w:r w:rsidRPr="00596023">
              <w:rPr>
                <w:rFonts w:ascii="Verdana" w:hAnsi="Verdana"/>
                <w:sz w:val="22"/>
                <w:szCs w:val="22"/>
                <w:lang w:val="es-CO"/>
              </w:rPr>
              <w:t xml:space="preserve">P. </w:t>
            </w:r>
            <w:r w:rsidRPr="00596023">
              <w:rPr>
                <w:rFonts w:ascii="Verdana" w:hAnsi="Verdana" w:cs="Arial"/>
                <w:color w:val="000000" w:themeColor="text1"/>
                <w:sz w:val="22"/>
                <w:szCs w:val="22"/>
              </w:rPr>
              <w:t xml:space="preserve">Ramiro Saavedra Becerra. Sentencia 18 de septiembre de 2003. Expediente: 15.119. </w:t>
            </w:r>
          </w:p>
          <w:p w14:paraId="412993A2" w14:textId="77777777" w:rsidR="00CB012B" w:rsidRPr="00596023" w:rsidRDefault="00CB012B" w:rsidP="007A22C5">
            <w:pPr>
              <w:pStyle w:val="Textonotapie"/>
              <w:spacing w:line="276" w:lineRule="auto"/>
              <w:jc w:val="both"/>
              <w:rPr>
                <w:rFonts w:ascii="Verdana" w:hAnsi="Verdana" w:cs="Arial"/>
                <w:color w:val="000000" w:themeColor="text1"/>
                <w:sz w:val="22"/>
                <w:szCs w:val="22"/>
              </w:rPr>
            </w:pPr>
          </w:p>
          <w:p w14:paraId="73117ED9"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Sección Tercera. Sentencia del 22 de abril de 2004. Expediente: 22.178 y en la Sentencia de la misma Sección del 15 de julio de 2004. Expediente AP-1164-02.</w:t>
            </w:r>
          </w:p>
          <w:p w14:paraId="013C323D" w14:textId="77777777" w:rsidR="00CB012B" w:rsidRPr="00596023" w:rsidRDefault="00CB012B" w:rsidP="007A22C5">
            <w:pPr>
              <w:pStyle w:val="Textonotapie"/>
              <w:spacing w:line="276" w:lineRule="auto"/>
              <w:jc w:val="both"/>
              <w:rPr>
                <w:rFonts w:ascii="Verdana" w:hAnsi="Verdana" w:cs="Arial"/>
                <w:color w:val="000000" w:themeColor="text1"/>
                <w:sz w:val="22"/>
                <w:szCs w:val="22"/>
              </w:rPr>
            </w:pPr>
          </w:p>
          <w:p w14:paraId="7D5FF4BF"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 xml:space="preserve">Sección Tercera. </w:t>
            </w:r>
            <w:r w:rsidRPr="00596023">
              <w:rPr>
                <w:rFonts w:ascii="Verdana" w:hAnsi="Verdana"/>
                <w:sz w:val="22"/>
                <w:szCs w:val="22"/>
                <w:lang w:val="es-CO"/>
              </w:rPr>
              <w:t>C.P.</w:t>
            </w:r>
            <w:r w:rsidRPr="00596023">
              <w:rPr>
                <w:rFonts w:ascii="Verdana" w:hAnsi="Verdana" w:cs="Arial"/>
                <w:color w:val="000000" w:themeColor="text1"/>
                <w:sz w:val="22"/>
                <w:szCs w:val="22"/>
              </w:rPr>
              <w:t xml:space="preserve"> Ruth Stella Correa Palacio. Sentencia del 20 de noviembre de 2008. Expediente: 17.031. </w:t>
            </w:r>
          </w:p>
          <w:p w14:paraId="653D3221" w14:textId="77777777" w:rsidR="00CB012B" w:rsidRPr="00596023" w:rsidRDefault="00CB012B" w:rsidP="007A22C5">
            <w:pPr>
              <w:pStyle w:val="Textonotapie"/>
              <w:spacing w:line="276" w:lineRule="auto"/>
              <w:ind w:left="-360"/>
              <w:jc w:val="both"/>
              <w:rPr>
                <w:rFonts w:ascii="Verdana" w:hAnsi="Verdana" w:cs="Arial"/>
                <w:color w:val="000000" w:themeColor="text1"/>
                <w:sz w:val="22"/>
                <w:szCs w:val="22"/>
              </w:rPr>
            </w:pPr>
          </w:p>
          <w:p w14:paraId="77B91332"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 xml:space="preserve">Sección Tercera. </w:t>
            </w:r>
            <w:r w:rsidRPr="00596023">
              <w:rPr>
                <w:rFonts w:ascii="Verdana" w:hAnsi="Verdana"/>
                <w:sz w:val="22"/>
                <w:szCs w:val="22"/>
                <w:lang w:val="es-CO"/>
              </w:rPr>
              <w:t>C.P.</w:t>
            </w:r>
            <w:r w:rsidRPr="00596023">
              <w:rPr>
                <w:rFonts w:ascii="Verdana" w:hAnsi="Verdana" w:cs="Arial"/>
                <w:color w:val="000000" w:themeColor="text1"/>
                <w:sz w:val="22"/>
                <w:szCs w:val="22"/>
              </w:rPr>
              <w:t xml:space="preserve"> Enrique Gil Botero. Sentencia del 14 de abril de 2010. Expediente: 36.054. </w:t>
            </w:r>
          </w:p>
          <w:p w14:paraId="122264FF" w14:textId="77777777" w:rsidR="00CB012B" w:rsidRPr="00596023" w:rsidRDefault="00CB012B" w:rsidP="007A22C5">
            <w:pPr>
              <w:pStyle w:val="Textonotapie"/>
              <w:spacing w:line="276" w:lineRule="auto"/>
              <w:ind w:firstLine="709"/>
              <w:jc w:val="both"/>
              <w:rPr>
                <w:rFonts w:ascii="Verdana" w:hAnsi="Verdana" w:cs="Arial"/>
                <w:sz w:val="22"/>
                <w:szCs w:val="22"/>
                <w:lang w:val="es-ES"/>
              </w:rPr>
            </w:pPr>
          </w:p>
          <w:p w14:paraId="4C89399E"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 xml:space="preserve">Sección Tercera. Subsección B. </w:t>
            </w:r>
            <w:r w:rsidRPr="00596023">
              <w:rPr>
                <w:rFonts w:ascii="Verdana" w:hAnsi="Verdana"/>
                <w:sz w:val="22"/>
                <w:szCs w:val="22"/>
                <w:lang w:val="es-CO"/>
              </w:rPr>
              <w:t xml:space="preserve">C.P: </w:t>
            </w:r>
            <w:r w:rsidRPr="00596023">
              <w:rPr>
                <w:rFonts w:ascii="Verdana" w:hAnsi="Verdana" w:cs="Arial"/>
                <w:color w:val="000000" w:themeColor="text1"/>
                <w:sz w:val="22"/>
                <w:szCs w:val="22"/>
              </w:rPr>
              <w:t>Ruth Stella Correa Palacio. Sentencia del 14 de octubre de 2011. Expediente: 20811.</w:t>
            </w:r>
          </w:p>
          <w:p w14:paraId="477437F7" w14:textId="77777777" w:rsidR="00CB012B" w:rsidRPr="00596023" w:rsidRDefault="00CB012B" w:rsidP="007A22C5">
            <w:pPr>
              <w:pStyle w:val="Textonotapie"/>
              <w:spacing w:line="276" w:lineRule="auto"/>
              <w:ind w:left="-360"/>
              <w:jc w:val="both"/>
              <w:rPr>
                <w:rFonts w:ascii="Verdana" w:hAnsi="Verdana" w:cs="Arial"/>
                <w:color w:val="000000" w:themeColor="text1"/>
                <w:sz w:val="22"/>
                <w:szCs w:val="22"/>
              </w:rPr>
            </w:pPr>
          </w:p>
          <w:p w14:paraId="5093E934"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 xml:space="preserve">CONSEJO DE ESTADO. Sala de lo Contencioso Administrativo. Sección Tercera. Subsección A. C.P.: Hernán Andrade Rincón (E). Sentencia del </w:t>
            </w:r>
            <w:r w:rsidRPr="00596023">
              <w:rPr>
                <w:rFonts w:ascii="Verdana" w:hAnsi="Verdana"/>
                <w:sz w:val="22"/>
                <w:szCs w:val="22"/>
              </w:rPr>
              <w:lastRenderedPageBreak/>
              <w:t>29 de julio de 2015. Radicación número: 68001-23-31-000-2002-02796-01 (41.008).</w:t>
            </w:r>
          </w:p>
          <w:p w14:paraId="55664E00" w14:textId="77777777" w:rsidR="00CB012B" w:rsidRPr="00596023" w:rsidRDefault="00CB012B" w:rsidP="007A22C5">
            <w:pPr>
              <w:pStyle w:val="Textonotapie"/>
              <w:spacing w:line="276" w:lineRule="auto"/>
              <w:jc w:val="both"/>
              <w:rPr>
                <w:rFonts w:ascii="Verdana" w:hAnsi="Verdana"/>
                <w:sz w:val="22"/>
                <w:szCs w:val="22"/>
              </w:rPr>
            </w:pPr>
          </w:p>
          <w:p w14:paraId="50CB353C" w14:textId="77777777" w:rsidR="00CB012B" w:rsidRPr="00596023" w:rsidRDefault="00CB012B" w:rsidP="00CB012B">
            <w:pPr>
              <w:pStyle w:val="Prrafodelista"/>
              <w:numPr>
                <w:ilvl w:val="0"/>
                <w:numId w:val="18"/>
              </w:numPr>
              <w:spacing w:line="276" w:lineRule="auto"/>
              <w:ind w:left="360"/>
              <w:jc w:val="both"/>
              <w:rPr>
                <w:rFonts w:ascii="Verdana" w:hAnsi="Verdana"/>
              </w:rPr>
            </w:pPr>
            <w:r w:rsidRPr="00596023">
              <w:rPr>
                <w:rFonts w:ascii="Verdana" w:hAnsi="Verdana"/>
              </w:rPr>
              <w:t>CONSEJO DE ESTADO. Sala de Consulta y Servicio Civil.</w:t>
            </w:r>
            <w:r w:rsidRPr="00596023">
              <w:rPr>
                <w:rFonts w:ascii="Verdana" w:hAnsi="Verdana"/>
                <w:i/>
                <w:iCs/>
              </w:rPr>
              <w:t xml:space="preserve"> </w:t>
            </w:r>
            <w:r w:rsidRPr="00596023">
              <w:rPr>
                <w:rFonts w:ascii="Verdana" w:hAnsi="Verdana"/>
              </w:rPr>
              <w:t>C.P.: Óscar Daría Amaya Navas. Concepto del 06 de junio 2018. Radicación número: 2369.</w:t>
            </w:r>
          </w:p>
          <w:p w14:paraId="1EC61378" w14:textId="77777777" w:rsidR="00CB012B" w:rsidRPr="00596023" w:rsidRDefault="00CB012B" w:rsidP="007A22C5">
            <w:pPr>
              <w:pStyle w:val="Textonotapie"/>
              <w:spacing w:line="276" w:lineRule="auto"/>
              <w:ind w:left="-360"/>
              <w:jc w:val="both"/>
              <w:rPr>
                <w:rFonts w:ascii="Verdana" w:hAnsi="Verdana"/>
                <w:sz w:val="22"/>
                <w:szCs w:val="22"/>
              </w:rPr>
            </w:pPr>
          </w:p>
          <w:p w14:paraId="2FE59FD0"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lang w:val="es-CO"/>
              </w:rPr>
            </w:pPr>
            <w:r w:rsidRPr="00596023">
              <w:rPr>
                <w:rFonts w:ascii="Verdana" w:hAnsi="Verdana"/>
                <w:sz w:val="22"/>
                <w:szCs w:val="22"/>
                <w:lang w:val="es-CO"/>
              </w:rPr>
              <w:t xml:space="preserve">CONSEJO DE ESTADO. Sala de Consulta y Servicio Civil. C.P: Édgar González López. Sentencia del 5 de septiembre de 2018. Expediente: 2386. </w:t>
            </w:r>
          </w:p>
          <w:p w14:paraId="1730B167" w14:textId="77777777" w:rsidR="00CB012B" w:rsidRPr="00596023" w:rsidRDefault="00CB012B" w:rsidP="007A22C5">
            <w:pPr>
              <w:pStyle w:val="Textonotapie"/>
              <w:spacing w:line="276" w:lineRule="auto"/>
              <w:jc w:val="both"/>
              <w:rPr>
                <w:rFonts w:ascii="Verdana" w:hAnsi="Verdana"/>
                <w:sz w:val="22"/>
                <w:szCs w:val="22"/>
              </w:rPr>
            </w:pPr>
          </w:p>
          <w:p w14:paraId="421270CB"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CONSEJO DE ESTADO. Sala de lo Contencioso Administrativo. Sección Tercera. Subsección B. C.P.: Ramiro Pazos Guerrero. Sentencia del 4 de junio de 2019. Radicación número: 73001-23-31-000-2008-00741-01 (39.974).</w:t>
            </w:r>
          </w:p>
          <w:p w14:paraId="587DF44F" w14:textId="77777777" w:rsidR="00CB012B" w:rsidRPr="00596023" w:rsidRDefault="00CB012B" w:rsidP="007A22C5">
            <w:pPr>
              <w:pStyle w:val="Textonotapie"/>
              <w:spacing w:line="276" w:lineRule="auto"/>
              <w:jc w:val="both"/>
              <w:rPr>
                <w:rFonts w:ascii="Verdana" w:hAnsi="Verdana" w:cs="Arial"/>
                <w:color w:val="000000" w:themeColor="text1"/>
                <w:sz w:val="22"/>
                <w:szCs w:val="22"/>
              </w:rPr>
            </w:pPr>
          </w:p>
          <w:p w14:paraId="73126F5C"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CONSEJO DE ESTADO. </w:t>
            </w:r>
            <w:r w:rsidRPr="00596023">
              <w:rPr>
                <w:rFonts w:ascii="Verdana" w:hAnsi="Verdana"/>
                <w:sz w:val="22"/>
                <w:szCs w:val="22"/>
              </w:rPr>
              <w:t xml:space="preserve">Sala de lo Contencioso Administrativo. </w:t>
            </w:r>
            <w:r w:rsidRPr="00596023">
              <w:rPr>
                <w:rFonts w:ascii="Verdana" w:hAnsi="Verdana" w:cs="Arial"/>
                <w:color w:val="000000" w:themeColor="text1"/>
                <w:sz w:val="22"/>
                <w:szCs w:val="22"/>
              </w:rPr>
              <w:t xml:space="preserve">Sección tercera. </w:t>
            </w:r>
            <w:r w:rsidRPr="00596023">
              <w:rPr>
                <w:rFonts w:ascii="Verdana" w:hAnsi="Verdana"/>
                <w:sz w:val="22"/>
                <w:szCs w:val="22"/>
                <w:lang w:val="es-CO"/>
              </w:rPr>
              <w:t xml:space="preserve">C.P. </w:t>
            </w:r>
            <w:r w:rsidRPr="00596023">
              <w:rPr>
                <w:rFonts w:ascii="Verdana" w:hAnsi="Verdana" w:cs="Arial"/>
                <w:color w:val="000000" w:themeColor="text1"/>
                <w:sz w:val="22"/>
                <w:szCs w:val="22"/>
              </w:rPr>
              <w:t>Alberto Montaña Plata. Sentencia del 9 de julio de 2021. Radicación número: 52045.</w:t>
            </w:r>
            <w:r w:rsidRPr="00596023">
              <w:rPr>
                <w:rFonts w:ascii="Verdana" w:hAnsi="Verdana"/>
                <w:sz w:val="22"/>
                <w:szCs w:val="22"/>
                <w:lang w:val="es-CO"/>
              </w:rPr>
              <w:t xml:space="preserve"> </w:t>
            </w:r>
            <w:r w:rsidRPr="00596023">
              <w:rPr>
                <w:rFonts w:ascii="Verdana" w:hAnsi="Verdana" w:cs="Arial"/>
                <w:color w:val="000000" w:themeColor="text1"/>
                <w:sz w:val="22"/>
                <w:szCs w:val="22"/>
              </w:rPr>
              <w:t>Aclaración de voto: Alexander Jojoa Bolaños.</w:t>
            </w:r>
          </w:p>
          <w:p w14:paraId="25471582" w14:textId="77777777" w:rsidR="00CB012B" w:rsidRPr="00596023" w:rsidRDefault="00CB012B" w:rsidP="007A22C5">
            <w:pPr>
              <w:pStyle w:val="Textonotapie"/>
              <w:spacing w:line="276" w:lineRule="auto"/>
              <w:jc w:val="both"/>
              <w:rPr>
                <w:rFonts w:ascii="Verdana" w:hAnsi="Verdana"/>
                <w:sz w:val="22"/>
                <w:szCs w:val="22"/>
              </w:rPr>
            </w:pPr>
          </w:p>
          <w:p w14:paraId="3310E415"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CONSEJO DE ESTADO. Sala de lo Contencioso Administrativo. Sección Tercera. Subsección B. C.P.: Alberto Montaña Plata. Sentencia del 18 de noviembre de 2021. Radicación número.: 47001-23-33-001-2013-00363-01 (61.641).</w:t>
            </w:r>
          </w:p>
          <w:p w14:paraId="2A0ADAE3"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lang w:val="es-CO"/>
              </w:rPr>
            </w:pPr>
            <w:r w:rsidRPr="00596023">
              <w:rPr>
                <w:rFonts w:ascii="Verdana" w:hAnsi="Verdana"/>
                <w:sz w:val="22"/>
                <w:szCs w:val="22"/>
              </w:rPr>
              <w:t xml:space="preserve">CONSEJO DE ESTADO. Sala de Consulta y del Servicio Civil. </w:t>
            </w:r>
            <w:r w:rsidRPr="00596023">
              <w:rPr>
                <w:rFonts w:ascii="Verdana" w:hAnsi="Verdana"/>
                <w:sz w:val="22"/>
                <w:szCs w:val="22"/>
                <w:lang w:val="es-CO"/>
              </w:rPr>
              <w:t>C.P.: Dra. Susana Montes de Echeverri.</w:t>
            </w:r>
            <w:r w:rsidRPr="00596023">
              <w:rPr>
                <w:rFonts w:ascii="Verdana" w:hAnsi="Verdana"/>
                <w:sz w:val="22"/>
                <w:szCs w:val="22"/>
              </w:rPr>
              <w:t xml:space="preserve">Concepto del 18 de julio de 2022. Expediente 1439. </w:t>
            </w:r>
          </w:p>
          <w:p w14:paraId="7D7C0775" w14:textId="77777777" w:rsidR="00CB012B" w:rsidRPr="00596023" w:rsidRDefault="00CB012B" w:rsidP="007A22C5">
            <w:pPr>
              <w:pStyle w:val="Textonotapie"/>
              <w:spacing w:line="276" w:lineRule="auto"/>
              <w:jc w:val="both"/>
              <w:rPr>
                <w:rFonts w:ascii="Verdana" w:hAnsi="Verdana"/>
                <w:sz w:val="22"/>
                <w:szCs w:val="22"/>
              </w:rPr>
            </w:pPr>
          </w:p>
          <w:p w14:paraId="1A372145"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CONSEJO DE ESTADO. Sala de lo Contencioso Administrativo. Sección Tercera. C.P. Dr. Jaime Enrique Rodríguez. Sentencia del 19 de septiembre de 2022. Expediente No. 54.714.</w:t>
            </w:r>
          </w:p>
          <w:p w14:paraId="50042104" w14:textId="77777777" w:rsidR="00CB012B" w:rsidRPr="00596023" w:rsidRDefault="00CB012B" w:rsidP="007A22C5">
            <w:pPr>
              <w:pStyle w:val="Textonotapie"/>
              <w:spacing w:line="276" w:lineRule="auto"/>
              <w:ind w:left="-360"/>
              <w:jc w:val="both"/>
              <w:rPr>
                <w:rFonts w:ascii="Verdana" w:hAnsi="Verdana"/>
                <w:sz w:val="22"/>
                <w:szCs w:val="22"/>
                <w:lang w:val="es-CO"/>
              </w:rPr>
            </w:pPr>
          </w:p>
          <w:p w14:paraId="49738532" w14:textId="77777777" w:rsidR="00CB012B" w:rsidRPr="00596023" w:rsidRDefault="00CB012B" w:rsidP="00CB012B">
            <w:pPr>
              <w:pStyle w:val="Prrafodelista"/>
              <w:numPr>
                <w:ilvl w:val="0"/>
                <w:numId w:val="18"/>
              </w:numPr>
              <w:spacing w:line="276" w:lineRule="auto"/>
              <w:ind w:left="360"/>
              <w:jc w:val="both"/>
              <w:rPr>
                <w:rFonts w:ascii="Verdana" w:hAnsi="Verdana"/>
              </w:rPr>
            </w:pPr>
            <w:r w:rsidRPr="00596023">
              <w:rPr>
                <w:rFonts w:ascii="Verdana" w:hAnsi="Verdana"/>
              </w:rPr>
              <w:t xml:space="preserve">CONSEJO DE ESTADO. Sala de lo Contencioso Administrativo. Sección Tercera Subsección A. C.P.: María Adriana Marín. Sentencia del 22 de agosto de 2023. Radicación número: 85001-23-33-000-2015-00211-01 (58.634). </w:t>
            </w:r>
          </w:p>
          <w:p w14:paraId="6FC9BAD5" w14:textId="77777777" w:rsidR="00CB012B" w:rsidRPr="00596023" w:rsidRDefault="00CB012B" w:rsidP="007A22C5">
            <w:pPr>
              <w:pStyle w:val="Textonotapie"/>
              <w:spacing w:line="276" w:lineRule="auto"/>
              <w:ind w:firstLine="708"/>
              <w:jc w:val="both"/>
              <w:rPr>
                <w:rFonts w:ascii="Verdana" w:hAnsi="Verdana"/>
                <w:sz w:val="22"/>
                <w:szCs w:val="22"/>
                <w:lang w:val="es-CO"/>
              </w:rPr>
            </w:pPr>
          </w:p>
          <w:p w14:paraId="29117E42"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lang w:val="es-CO"/>
              </w:rPr>
            </w:pPr>
            <w:r w:rsidRPr="00596023">
              <w:rPr>
                <w:rFonts w:ascii="Verdana" w:hAnsi="Verdana"/>
                <w:sz w:val="22"/>
                <w:szCs w:val="22"/>
              </w:rPr>
              <w:lastRenderedPageBreak/>
              <w:t xml:space="preserve">CONSEJO DE ESTADO. Sala de lo Contencioso Administrativo. Sección Tercera. Subsección C. </w:t>
            </w:r>
            <w:r w:rsidRPr="00596023">
              <w:rPr>
                <w:rFonts w:ascii="Verdana" w:hAnsi="Verdana"/>
                <w:sz w:val="22"/>
                <w:szCs w:val="22"/>
                <w:lang w:val="es-CO"/>
              </w:rPr>
              <w:t>C.P.: Nicolás Yepes Corrales.</w:t>
            </w:r>
            <w:r w:rsidRPr="00596023">
              <w:rPr>
                <w:rFonts w:ascii="Verdana" w:hAnsi="Verdana"/>
                <w:sz w:val="22"/>
                <w:szCs w:val="22"/>
              </w:rPr>
              <w:t xml:space="preserve"> Sentencia del 24 de abril de 2024. Expediente No. 67095. </w:t>
            </w:r>
          </w:p>
          <w:p w14:paraId="1F256DA4" w14:textId="77777777" w:rsidR="00CB012B" w:rsidRPr="00596023" w:rsidRDefault="00CB012B" w:rsidP="007A22C5">
            <w:pPr>
              <w:spacing w:line="276" w:lineRule="auto"/>
              <w:rPr>
                <w:rFonts w:ascii="Verdana" w:hAnsi="Verdana"/>
              </w:rPr>
            </w:pPr>
          </w:p>
          <w:p w14:paraId="79EBE0E0" w14:textId="77777777" w:rsidR="00CB012B" w:rsidRPr="00596023" w:rsidRDefault="00CB012B" w:rsidP="00CB012B">
            <w:pPr>
              <w:pStyle w:val="Prrafodelista"/>
              <w:numPr>
                <w:ilvl w:val="0"/>
                <w:numId w:val="18"/>
              </w:numPr>
              <w:spacing w:line="276" w:lineRule="auto"/>
              <w:ind w:left="360"/>
              <w:rPr>
                <w:rFonts w:ascii="Verdana" w:hAnsi="Verdana"/>
              </w:rPr>
            </w:pPr>
            <w:r w:rsidRPr="00596023">
              <w:rPr>
                <w:rFonts w:ascii="Verdana" w:hAnsi="Verdana"/>
              </w:rPr>
              <w:t xml:space="preserve">FRANCO GUTIÉRREZ, Omar. La Contratación Administrativa. Quinta Ed. Bogotá. Leyer. 2010. </w:t>
            </w:r>
          </w:p>
          <w:p w14:paraId="691EE955" w14:textId="77777777" w:rsidR="00CB012B" w:rsidRPr="00596023" w:rsidRDefault="00CB012B" w:rsidP="007A22C5">
            <w:pPr>
              <w:pStyle w:val="Textonotapie"/>
              <w:spacing w:line="276" w:lineRule="auto"/>
              <w:jc w:val="both"/>
              <w:rPr>
                <w:rFonts w:ascii="Verdana" w:hAnsi="Verdana" w:cs="Arial"/>
                <w:color w:val="000000" w:themeColor="text1"/>
                <w:sz w:val="22"/>
                <w:szCs w:val="22"/>
              </w:rPr>
            </w:pPr>
          </w:p>
          <w:p w14:paraId="61EA5ABD"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MARÍN CORTÉS. Fabián G. El precio. Serie: Las Cláusulas del Contrato Estatal. Medellín: Centro de Estudios de Derecho Administrativo ― CEDA y Librería Jurídica Sánchez. 2012. </w:t>
            </w:r>
          </w:p>
          <w:p w14:paraId="76A7DDF9" w14:textId="77777777" w:rsidR="00CB012B" w:rsidRPr="00596023" w:rsidRDefault="00CB012B" w:rsidP="007A22C5">
            <w:pPr>
              <w:spacing w:line="276" w:lineRule="auto"/>
              <w:ind w:firstLine="708"/>
              <w:jc w:val="both"/>
              <w:rPr>
                <w:rFonts w:ascii="Verdana" w:hAnsi="Verdana"/>
                <w:i/>
                <w:iCs/>
              </w:rPr>
            </w:pPr>
          </w:p>
          <w:p w14:paraId="20FB8714"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BENAVIDES, José Luis. Contratos Públicos. Estudios. Temas de Derecho Administrativo No. 5. Universidad Externado de Colombia. 2014.</w:t>
            </w:r>
          </w:p>
          <w:p w14:paraId="6C79DA36" w14:textId="77777777" w:rsidR="00CB012B" w:rsidRPr="00596023" w:rsidRDefault="00CB012B" w:rsidP="007A22C5">
            <w:pPr>
              <w:pStyle w:val="Textonotapie"/>
              <w:spacing w:line="276" w:lineRule="auto"/>
              <w:ind w:left="-360"/>
              <w:jc w:val="both"/>
              <w:rPr>
                <w:rFonts w:ascii="Verdana" w:hAnsi="Verdana"/>
                <w:sz w:val="22"/>
                <w:szCs w:val="22"/>
              </w:rPr>
            </w:pPr>
          </w:p>
          <w:p w14:paraId="19B5428E" w14:textId="77777777" w:rsidR="00CB012B" w:rsidRPr="00596023" w:rsidRDefault="00CB012B" w:rsidP="00CB012B">
            <w:pPr>
              <w:pStyle w:val="Textonotapie"/>
              <w:numPr>
                <w:ilvl w:val="0"/>
                <w:numId w:val="18"/>
              </w:numPr>
              <w:spacing w:line="276" w:lineRule="auto"/>
              <w:ind w:left="360"/>
              <w:jc w:val="both"/>
              <w:rPr>
                <w:rFonts w:ascii="Verdana" w:hAnsi="Verdana" w:cs="Arial"/>
                <w:color w:val="000000" w:themeColor="text1"/>
                <w:sz w:val="22"/>
                <w:szCs w:val="22"/>
              </w:rPr>
            </w:pPr>
            <w:r w:rsidRPr="00596023">
              <w:rPr>
                <w:rFonts w:ascii="Verdana" w:hAnsi="Verdana" w:cs="Arial"/>
                <w:color w:val="000000" w:themeColor="text1"/>
                <w:sz w:val="22"/>
                <w:szCs w:val="22"/>
              </w:rPr>
              <w:t xml:space="preserve">DÁVILA VINUEZA, Luis Guillermo. Régimen jurídico de la contratación estatal. Tercera edición, Bogotá: Legis. 2016. </w:t>
            </w:r>
          </w:p>
          <w:p w14:paraId="59C6FBA7" w14:textId="77777777" w:rsidR="00CB012B" w:rsidRPr="00596023" w:rsidRDefault="00CB012B" w:rsidP="007A22C5">
            <w:pPr>
              <w:pStyle w:val="Textonotapie"/>
              <w:spacing w:line="276" w:lineRule="auto"/>
              <w:ind w:left="-360"/>
              <w:jc w:val="both"/>
              <w:rPr>
                <w:rFonts w:ascii="Verdana" w:hAnsi="Verdana"/>
                <w:sz w:val="22"/>
                <w:szCs w:val="22"/>
              </w:rPr>
            </w:pPr>
          </w:p>
          <w:p w14:paraId="41B12D1B" w14:textId="77777777" w:rsidR="00CB012B" w:rsidRPr="00596023" w:rsidRDefault="00CB012B" w:rsidP="00CB012B">
            <w:pPr>
              <w:pStyle w:val="Textonotapie"/>
              <w:numPr>
                <w:ilvl w:val="0"/>
                <w:numId w:val="18"/>
              </w:numPr>
              <w:spacing w:line="276" w:lineRule="auto"/>
              <w:ind w:left="360"/>
              <w:jc w:val="both"/>
              <w:rPr>
                <w:rFonts w:ascii="Verdana" w:hAnsi="Verdana"/>
                <w:sz w:val="22"/>
                <w:szCs w:val="22"/>
              </w:rPr>
            </w:pPr>
            <w:r w:rsidRPr="00596023">
              <w:rPr>
                <w:rFonts w:ascii="Verdana" w:hAnsi="Verdana"/>
                <w:sz w:val="22"/>
                <w:szCs w:val="22"/>
              </w:rPr>
              <w:t xml:space="preserve">EXPOSITO Velez, Juan Carlos. La planeación y validez del contrato estatal. En: Contratos Públicos: Problemas, perspectivas y prospectivas. XVIII Jornadas Internacionales de Derecho Administrativo, Universidad Externado de Colombia. Agosto. 2017. </w:t>
            </w:r>
          </w:p>
        </w:tc>
      </w:tr>
    </w:tbl>
    <w:p w14:paraId="64F016C1" w14:textId="77777777" w:rsidR="00CB012B" w:rsidRPr="00596023" w:rsidRDefault="00CB012B" w:rsidP="00CB012B">
      <w:pPr>
        <w:widowControl w:val="0"/>
        <w:autoSpaceDE w:val="0"/>
        <w:autoSpaceDN w:val="0"/>
        <w:spacing w:after="0" w:line="276" w:lineRule="auto"/>
        <w:jc w:val="both"/>
        <w:rPr>
          <w:rFonts w:ascii="Verdana" w:hAnsi="Verdana" w:cs="Arial"/>
        </w:rPr>
      </w:pPr>
    </w:p>
    <w:p w14:paraId="69A5D93B" w14:textId="77777777" w:rsidR="00CB012B" w:rsidRPr="00596023" w:rsidRDefault="00CB012B" w:rsidP="00CB01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6023">
        <w:rPr>
          <w:rFonts w:ascii="Verdana" w:eastAsia="Century Gothic" w:hAnsi="Verdana" w:cs="Century Gothic"/>
          <w:b/>
          <w:bCs/>
          <w:lang w:val="es-CO"/>
        </w:rPr>
        <w:t>Doctrina de la Agencia Nacional de Contratación Pública:</w:t>
      </w:r>
    </w:p>
    <w:p w14:paraId="1A8B9496" w14:textId="77777777" w:rsidR="00CB012B" w:rsidRPr="00596023" w:rsidRDefault="00CB012B" w:rsidP="00CB012B">
      <w:pPr>
        <w:widowControl w:val="0"/>
        <w:autoSpaceDE w:val="0"/>
        <w:autoSpaceDN w:val="0"/>
        <w:spacing w:after="0" w:line="276" w:lineRule="auto"/>
        <w:jc w:val="both"/>
        <w:rPr>
          <w:rFonts w:ascii="Verdana" w:hAnsi="Verdana" w:cs="Arial"/>
        </w:rPr>
      </w:pPr>
    </w:p>
    <w:p w14:paraId="77D00466" w14:textId="0030DC41" w:rsidR="00CB012B" w:rsidRPr="00596023" w:rsidRDefault="00596023" w:rsidP="00596023">
      <w:pPr>
        <w:pStyle w:val="Sinespaciado"/>
        <w:spacing w:line="276" w:lineRule="auto"/>
        <w:jc w:val="both"/>
        <w:rPr>
          <w:rFonts w:ascii="Verdana" w:hAnsi="Verdana"/>
          <w:sz w:val="22"/>
        </w:rPr>
      </w:pPr>
      <w:r w:rsidRPr="00596023">
        <w:rPr>
          <w:rStyle w:val="normaltextrun"/>
          <w:rFonts w:ascii="Verdana" w:hAnsi="Verdana"/>
          <w:sz w:val="22"/>
          <w:shd w:val="clear" w:color="auto" w:fill="FFFFFF"/>
        </w:rPr>
        <w:t>La Agencia Nacional de Contratación Pública ‒ Colombia Compra Eficiente se ha pronunciado sobre las excepciones al parágrafo del artículo  40 de la Ley 80 de 1993, en los conceptos C-308 del 05 de mayo de 2020, C- 318 del 28 de mayo de 2020, C- 452 del 28 de julio de 2020, C-063 del 10 de marzo de 2021, C- 411 del 17 de agosto de 2021,C-080 del 17 de marzo de 2022, C- 267 del 05 de mayo de 2022, C-432 del 13 de julio de 2022, C- 824 del 29 de noviembre de 2022</w:t>
      </w:r>
      <w:r w:rsidRPr="00596023">
        <w:rPr>
          <w:rStyle w:val="normaltextrun"/>
          <w:rFonts w:ascii="Verdana" w:hAnsi="Verdana"/>
          <w:sz w:val="22"/>
          <w:shd w:val="clear" w:color="auto" w:fill="FFFFFF"/>
        </w:rPr>
        <w:footnoteReference w:id="7"/>
      </w:r>
      <w:r w:rsidRPr="00596023">
        <w:rPr>
          <w:rStyle w:val="normaltextrun"/>
          <w:rFonts w:ascii="Verdana" w:hAnsi="Verdana"/>
          <w:sz w:val="22"/>
          <w:shd w:val="clear" w:color="auto" w:fill="FFFFFF"/>
        </w:rPr>
        <w:t xml:space="preserve"> .En tal sentido, en este concepto se reiterarán en lo pertinente las consideraciones realizadas en dichos conceptos.</w:t>
      </w:r>
      <w:r>
        <w:rPr>
          <w:rStyle w:val="normaltextrun"/>
          <w:rFonts w:ascii="Verdana" w:hAnsi="Verdana"/>
          <w:sz w:val="22"/>
          <w:shd w:val="clear" w:color="auto" w:fill="FFFFFF"/>
        </w:rPr>
        <w:t xml:space="preserve"> </w:t>
      </w:r>
      <w:r w:rsidR="00CB012B" w:rsidRPr="00596023">
        <w:rPr>
          <w:rStyle w:val="normaltextrun"/>
          <w:rFonts w:ascii="Verdana" w:hAnsi="Verdana" w:cs="Arial"/>
          <w:sz w:val="22"/>
          <w:shd w:val="clear" w:color="auto" w:fill="FFFFFF"/>
        </w:rPr>
        <w:t>En todo caso, estos y otros conceptos</w:t>
      </w:r>
      <w:r w:rsidR="00CB012B" w:rsidRPr="00596023">
        <w:rPr>
          <w:rFonts w:ascii="Verdana" w:hAnsi="Verdana"/>
          <w:sz w:val="22"/>
        </w:rPr>
        <w:t xml:space="preserve"> se encuentran disponibles para consulta en el Sistema de Relatoría de la Agencia, en el cual también podrás encontrar jurisprudencia del Consejo de Estado, laudos arbitrales y la normativa de la contratación concordada con la </w:t>
      </w:r>
      <w:r w:rsidR="00CB012B" w:rsidRPr="00596023">
        <w:rPr>
          <w:rFonts w:ascii="Verdana" w:hAnsi="Verdana"/>
          <w:sz w:val="22"/>
        </w:rPr>
        <w:lastRenderedPageBreak/>
        <w:t xml:space="preserve">doctrina de la Subdirección de Gestión Contractual. Accede a través del siguiente enlace: </w:t>
      </w:r>
      <w:hyperlink r:id="rId12" w:tgtFrame="_blank" w:history="1">
        <w:r w:rsidR="00CB012B" w:rsidRPr="00596023">
          <w:rPr>
            <w:rStyle w:val="Hipervnculo"/>
            <w:rFonts w:ascii="Verdana" w:hAnsi="Verdana"/>
            <w:sz w:val="22"/>
          </w:rPr>
          <w:t>https://relatoria.colombiacompra.gov.co/</w:t>
        </w:r>
      </w:hyperlink>
      <w:r w:rsidR="00CB012B" w:rsidRPr="00596023">
        <w:rPr>
          <w:rFonts w:ascii="Verdana" w:hAnsi="Verdana"/>
          <w:sz w:val="22"/>
        </w:rPr>
        <w:t>.  </w:t>
      </w:r>
    </w:p>
    <w:p w14:paraId="0245A8F5" w14:textId="77777777" w:rsidR="00CB012B" w:rsidRPr="00596023" w:rsidRDefault="00CB012B" w:rsidP="00CB012B">
      <w:pPr>
        <w:widowControl w:val="0"/>
        <w:autoSpaceDE w:val="0"/>
        <w:autoSpaceDN w:val="0"/>
        <w:spacing w:after="0" w:line="276" w:lineRule="auto"/>
        <w:jc w:val="both"/>
        <w:rPr>
          <w:rFonts w:ascii="Verdana" w:hAnsi="Verdana"/>
        </w:rPr>
      </w:pPr>
      <w:r w:rsidRPr="00596023">
        <w:rPr>
          <w:rFonts w:ascii="Verdana" w:hAnsi="Verdana"/>
        </w:rPr>
        <w:t> </w:t>
      </w:r>
    </w:p>
    <w:p w14:paraId="5D03C753" w14:textId="77777777" w:rsidR="00CB012B" w:rsidRPr="00596023" w:rsidRDefault="00CB012B" w:rsidP="00CB012B">
      <w:pPr>
        <w:widowControl w:val="0"/>
        <w:autoSpaceDE w:val="0"/>
        <w:autoSpaceDN w:val="0"/>
        <w:spacing w:after="0" w:line="276" w:lineRule="auto"/>
        <w:jc w:val="both"/>
        <w:rPr>
          <w:rFonts w:ascii="Verdana" w:hAnsi="Verdana" w:cs="Arial"/>
        </w:rPr>
      </w:pPr>
    </w:p>
    <w:p w14:paraId="7502ADF1" w14:textId="77777777" w:rsidR="00CB012B" w:rsidRPr="00596023" w:rsidRDefault="00CB012B" w:rsidP="00CB012B">
      <w:pPr>
        <w:widowControl w:val="0"/>
        <w:autoSpaceDE w:val="0"/>
        <w:autoSpaceDN w:val="0"/>
        <w:spacing w:after="0" w:line="276" w:lineRule="auto"/>
        <w:jc w:val="both"/>
        <w:rPr>
          <w:rFonts w:ascii="Verdana" w:hAnsi="Verdana" w:cs="Arial"/>
        </w:rPr>
      </w:pPr>
      <w:r w:rsidRPr="00596023">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2D7DAE2" w14:textId="77777777" w:rsidR="00CB012B" w:rsidRPr="00596023" w:rsidRDefault="00CB012B" w:rsidP="00CB012B">
      <w:pPr>
        <w:widowControl w:val="0"/>
        <w:autoSpaceDE w:val="0"/>
        <w:autoSpaceDN w:val="0"/>
        <w:spacing w:after="0" w:line="276" w:lineRule="auto"/>
        <w:jc w:val="both"/>
        <w:rPr>
          <w:rFonts w:ascii="Verdana" w:hAnsi="Verdana" w:cs="Arial"/>
        </w:rPr>
      </w:pPr>
    </w:p>
    <w:p w14:paraId="2DF4CBF8" w14:textId="77777777" w:rsidR="00CB012B" w:rsidRPr="00596023" w:rsidRDefault="00CB012B" w:rsidP="00CB012B">
      <w:pPr>
        <w:spacing w:after="0" w:line="240" w:lineRule="auto"/>
        <w:jc w:val="both"/>
        <w:rPr>
          <w:rFonts w:ascii="Verdana" w:hAnsi="Verdana" w:cs="Arial"/>
          <w:lang w:eastAsia="es-CO"/>
        </w:rPr>
      </w:pPr>
      <w:r w:rsidRPr="00596023">
        <w:rPr>
          <w:rFonts w:ascii="Verdana" w:eastAsia="Times New Roman" w:hAnsi="Verdana" w:cs="Arial"/>
          <w:lang w:eastAsia="es-CO"/>
        </w:rPr>
        <w:t>Atentamente,</w:t>
      </w:r>
      <w:r w:rsidRPr="00596023">
        <w:rPr>
          <w:rFonts w:ascii="Verdana" w:hAnsi="Verdana" w:cs="Arial"/>
          <w:lang w:eastAsia="es-CO"/>
        </w:rPr>
        <w:t xml:space="preserve"> </w:t>
      </w:r>
    </w:p>
    <w:bookmarkEnd w:id="0"/>
    <w:p w14:paraId="78F4F1A3" w14:textId="20DAF8E4" w:rsidR="00CB012B" w:rsidRPr="00596023" w:rsidRDefault="00CB012B" w:rsidP="00E245AB">
      <w:pPr>
        <w:spacing w:after="0"/>
        <w:rPr>
          <w:rFonts w:ascii="Verdana" w:hAnsi="Verdana"/>
        </w:rPr>
      </w:pPr>
    </w:p>
    <w:p w14:paraId="2297B52A" w14:textId="77777777" w:rsidR="00596023" w:rsidRPr="00596023" w:rsidRDefault="00596023" w:rsidP="00E245AB">
      <w:pPr>
        <w:spacing w:after="0"/>
        <w:rPr>
          <w:rFonts w:ascii="Verdana" w:hAnsi="Verdana"/>
        </w:rPr>
      </w:pPr>
    </w:p>
    <w:p w14:paraId="16D89443" w14:textId="7D3D7D0A" w:rsidR="00596023" w:rsidRPr="00596023" w:rsidRDefault="007D17FC" w:rsidP="00596023">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3AF2E730" wp14:editId="139BEE5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0DBC7B86" w14:textId="77777777" w:rsidR="00596023" w:rsidRPr="00596023" w:rsidRDefault="00596023" w:rsidP="00596023">
      <w:pPr>
        <w:spacing w:after="0" w:line="276" w:lineRule="auto"/>
        <w:jc w:val="center"/>
        <w:rPr>
          <w:rFonts w:ascii="Verdana" w:hAnsi="Verdana"/>
          <w:lang w:val="es-ES_tradnl"/>
        </w:rPr>
      </w:pPr>
    </w:p>
    <w:p w14:paraId="12DB8B77" w14:textId="77777777" w:rsidR="00596023" w:rsidRPr="00596023" w:rsidRDefault="00596023" w:rsidP="00596023">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6FAE" w:rsidRPr="003E2DA1" w14:paraId="704EEEE8" w14:textId="77777777" w:rsidTr="00E33E64">
        <w:trPr>
          <w:trHeight w:val="315"/>
        </w:trPr>
        <w:tc>
          <w:tcPr>
            <w:tcW w:w="893" w:type="dxa"/>
            <w:vAlign w:val="center"/>
            <w:hideMark/>
          </w:tcPr>
          <w:p w14:paraId="7CEABF73" w14:textId="77777777" w:rsidR="00BB6FAE" w:rsidRPr="003E2DA1" w:rsidRDefault="00BB6FAE" w:rsidP="00E33E64">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BFAB58" w14:textId="77777777" w:rsidR="00BB6FAE" w:rsidRPr="003E2DA1" w:rsidRDefault="00BB6FAE" w:rsidP="00E33E64">
            <w:pPr>
              <w:spacing w:line="276" w:lineRule="auto"/>
              <w:contextualSpacing/>
              <w:jc w:val="both"/>
              <w:rPr>
                <w:rFonts w:ascii="Verdana" w:hAnsi="Verdana"/>
                <w:sz w:val="16"/>
                <w:szCs w:val="16"/>
              </w:rPr>
            </w:pPr>
            <w:r>
              <w:rPr>
                <w:rFonts w:ascii="Verdana" w:hAnsi="Verdana"/>
                <w:sz w:val="16"/>
                <w:szCs w:val="16"/>
              </w:rPr>
              <w:t xml:space="preserve">Diana </w:t>
            </w:r>
            <w:r w:rsidRPr="003E2DA1">
              <w:rPr>
                <w:rFonts w:ascii="Verdana" w:hAnsi="Verdana"/>
                <w:sz w:val="16"/>
                <w:szCs w:val="16"/>
              </w:rPr>
              <w:t xml:space="preserve">Carolina Blanco Rodriguez </w:t>
            </w:r>
          </w:p>
          <w:p w14:paraId="581D1F84" w14:textId="77777777" w:rsidR="00BB6FAE" w:rsidRPr="003E2DA1" w:rsidRDefault="00BB6FAE" w:rsidP="00E33E64">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BB6FAE" w:rsidRPr="003E2DA1" w14:paraId="02C2C223" w14:textId="77777777" w:rsidTr="00E33E64">
        <w:trPr>
          <w:trHeight w:val="330"/>
        </w:trPr>
        <w:tc>
          <w:tcPr>
            <w:tcW w:w="893" w:type="dxa"/>
            <w:vAlign w:val="center"/>
            <w:hideMark/>
          </w:tcPr>
          <w:p w14:paraId="1F301FF6" w14:textId="77777777" w:rsidR="00BB6FAE" w:rsidRPr="003E2DA1" w:rsidRDefault="00BB6FAE" w:rsidP="00E33E64">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46E694" w14:textId="77777777" w:rsidR="00BB6FAE" w:rsidRPr="003E2DA1" w:rsidRDefault="00BB6FAE" w:rsidP="00E33E64">
            <w:pPr>
              <w:spacing w:line="276" w:lineRule="auto"/>
              <w:contextualSpacing/>
              <w:jc w:val="both"/>
              <w:rPr>
                <w:rFonts w:ascii="Verdana" w:hAnsi="Verdana"/>
                <w:sz w:val="16"/>
                <w:szCs w:val="16"/>
              </w:rPr>
            </w:pPr>
            <w:r w:rsidRPr="003E2DA1">
              <w:rPr>
                <w:rFonts w:ascii="Verdana" w:hAnsi="Verdana"/>
                <w:sz w:val="16"/>
                <w:szCs w:val="16"/>
              </w:rPr>
              <w:t>Juan Carlos González</w:t>
            </w:r>
            <w:r>
              <w:rPr>
                <w:rFonts w:ascii="Verdana" w:hAnsi="Verdana"/>
                <w:sz w:val="16"/>
                <w:szCs w:val="16"/>
              </w:rPr>
              <w:t xml:space="preserve"> Vásquez</w:t>
            </w:r>
            <w:r w:rsidRPr="003E2DA1">
              <w:rPr>
                <w:rFonts w:ascii="Verdana" w:hAnsi="Verdana"/>
                <w:sz w:val="16"/>
                <w:szCs w:val="16"/>
              </w:rPr>
              <w:t xml:space="preserve"> </w:t>
            </w:r>
          </w:p>
          <w:p w14:paraId="7F0876CE" w14:textId="77777777" w:rsidR="00BB6FAE" w:rsidRPr="003E2DA1" w:rsidRDefault="00BB6FAE" w:rsidP="00E33E64">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BB6FAE" w:rsidRPr="003E2DA1" w14:paraId="1B174B72" w14:textId="77777777" w:rsidTr="00E33E64">
        <w:trPr>
          <w:trHeight w:val="300"/>
        </w:trPr>
        <w:tc>
          <w:tcPr>
            <w:tcW w:w="893" w:type="dxa"/>
            <w:vAlign w:val="center"/>
          </w:tcPr>
          <w:p w14:paraId="049E7197" w14:textId="77777777" w:rsidR="00BB6FAE" w:rsidRPr="003E2DA1" w:rsidRDefault="00BB6FAE" w:rsidP="00E33E64">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D785C2A" w14:textId="77777777" w:rsidR="00BB6FAE" w:rsidRPr="003E2DA1" w:rsidRDefault="00BB6FAE" w:rsidP="00E33E64">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1D748B78" w14:textId="77777777" w:rsidR="00BB6FAE" w:rsidRPr="003E2DA1" w:rsidRDefault="00BB6FAE" w:rsidP="00E33E64">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00B9FB19" w14:textId="77777777" w:rsidR="00596023" w:rsidRPr="00596023" w:rsidRDefault="00596023" w:rsidP="00596023">
      <w:pPr>
        <w:rPr>
          <w:rFonts w:ascii="Verdana" w:hAnsi="Verdana"/>
        </w:rPr>
      </w:pPr>
    </w:p>
    <w:bookmarkEnd w:id="1"/>
    <w:p w14:paraId="2A03537B" w14:textId="77777777" w:rsidR="00596023" w:rsidRPr="00596023" w:rsidRDefault="00596023" w:rsidP="00E245AB">
      <w:pPr>
        <w:spacing w:after="0"/>
        <w:rPr>
          <w:rFonts w:ascii="Verdana" w:hAnsi="Verdana"/>
        </w:rPr>
      </w:pPr>
    </w:p>
    <w:sectPr w:rsidR="00596023" w:rsidRPr="0059602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DBBC4" w14:textId="77777777" w:rsidR="00B10A99" w:rsidRDefault="00B10A99" w:rsidP="004A1847">
      <w:pPr>
        <w:spacing w:after="0" w:line="240" w:lineRule="auto"/>
      </w:pPr>
      <w:r>
        <w:separator/>
      </w:r>
    </w:p>
  </w:endnote>
  <w:endnote w:type="continuationSeparator" w:id="0">
    <w:p w14:paraId="18218DB2" w14:textId="77777777" w:rsidR="00B10A99" w:rsidRDefault="00B10A99" w:rsidP="004A1847">
      <w:pPr>
        <w:spacing w:after="0" w:line="240" w:lineRule="auto"/>
      </w:pPr>
      <w:r>
        <w:continuationSeparator/>
      </w:r>
    </w:p>
  </w:endnote>
  <w:endnote w:type="continuationNotice" w:id="1">
    <w:p w14:paraId="3B642800" w14:textId="77777777" w:rsidR="00B10A99" w:rsidRDefault="00B10A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7B9CA" w14:textId="77777777" w:rsidR="00B10A99" w:rsidRDefault="00B10A99" w:rsidP="004A1847">
      <w:pPr>
        <w:spacing w:after="0" w:line="240" w:lineRule="auto"/>
      </w:pPr>
      <w:r>
        <w:separator/>
      </w:r>
    </w:p>
  </w:footnote>
  <w:footnote w:type="continuationSeparator" w:id="0">
    <w:p w14:paraId="39B75AA2" w14:textId="77777777" w:rsidR="00B10A99" w:rsidRDefault="00B10A99" w:rsidP="004A1847">
      <w:pPr>
        <w:spacing w:after="0" w:line="240" w:lineRule="auto"/>
      </w:pPr>
      <w:r>
        <w:continuationSeparator/>
      </w:r>
    </w:p>
  </w:footnote>
  <w:footnote w:type="continuationNotice" w:id="1">
    <w:p w14:paraId="4D9DCF8D" w14:textId="77777777" w:rsidR="00B10A99" w:rsidRDefault="00B10A99">
      <w:pPr>
        <w:spacing w:after="0" w:line="240" w:lineRule="auto"/>
      </w:pPr>
    </w:p>
  </w:footnote>
  <w:footnote w:id="2">
    <w:p w14:paraId="641AB12B" w14:textId="77777777" w:rsidR="00CB012B" w:rsidRPr="00803210" w:rsidRDefault="00CB012B" w:rsidP="00CB012B">
      <w:pPr>
        <w:pStyle w:val="Textonotapie"/>
        <w:ind w:firstLine="709"/>
        <w:contextualSpacing/>
        <w:jc w:val="both"/>
        <w:rPr>
          <w:rFonts w:ascii="Verdana" w:hAnsi="Verdana" w:cs="Arial"/>
          <w:color w:val="000000" w:themeColor="text1"/>
          <w:sz w:val="16"/>
          <w:szCs w:val="16"/>
        </w:rPr>
      </w:pPr>
      <w:r w:rsidRPr="00803210">
        <w:rPr>
          <w:rStyle w:val="Refdenotaalpie"/>
          <w:rFonts w:ascii="Verdana" w:hAnsi="Verdana" w:cs="Arial"/>
          <w:sz w:val="16"/>
          <w:szCs w:val="16"/>
        </w:rPr>
        <w:footnoteRef/>
      </w:r>
      <w:r w:rsidRPr="00803210">
        <w:rPr>
          <w:rFonts w:ascii="Verdana" w:hAnsi="Verdana" w:cs="Arial"/>
          <w:sz w:val="16"/>
          <w:szCs w:val="16"/>
        </w:rPr>
        <w:t xml:space="preserve"> </w:t>
      </w:r>
      <w:r w:rsidRPr="00803210">
        <w:rPr>
          <w:rFonts w:ascii="Verdana" w:hAnsi="Verdana" w:cs="Arial"/>
          <w:sz w:val="16"/>
          <w:szCs w:val="16"/>
          <w:lang w:val="es-ES"/>
        </w:rPr>
        <w:t>“</w:t>
      </w:r>
      <w:r w:rsidRPr="00803210">
        <w:rPr>
          <w:rFonts w:ascii="Verdana" w:hAnsi="Verdana" w:cs="Arial"/>
          <w:color w:val="000000" w:themeColor="text1"/>
          <w:sz w:val="16"/>
          <w:szCs w:val="16"/>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F0B9A7B" w14:textId="77777777" w:rsidR="00CB012B" w:rsidRPr="00803210" w:rsidRDefault="00CB012B" w:rsidP="00CB012B">
      <w:pPr>
        <w:pStyle w:val="Textonotapie"/>
        <w:ind w:firstLine="709"/>
        <w:contextualSpacing/>
        <w:jc w:val="both"/>
        <w:rPr>
          <w:rFonts w:ascii="Verdana" w:hAnsi="Verdana" w:cs="Arial"/>
          <w:color w:val="000000" w:themeColor="text1"/>
          <w:sz w:val="16"/>
          <w:szCs w:val="16"/>
        </w:rPr>
      </w:pPr>
      <w:r w:rsidRPr="00803210">
        <w:rPr>
          <w:rFonts w:ascii="Verdana" w:hAnsi="Verdana" w:cs="Arial"/>
          <w:color w:val="000000" w:themeColor="text1"/>
          <w:sz w:val="16"/>
          <w:szCs w:val="16"/>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2B32550D" w14:textId="77777777" w:rsidR="00CB012B" w:rsidRPr="00803210" w:rsidRDefault="00CB012B" w:rsidP="00CB012B">
      <w:pPr>
        <w:pStyle w:val="Textonotapie"/>
        <w:ind w:firstLine="709"/>
        <w:contextualSpacing/>
        <w:jc w:val="both"/>
        <w:rPr>
          <w:rFonts w:ascii="Verdana" w:hAnsi="Verdana" w:cs="Arial"/>
          <w:sz w:val="16"/>
          <w:szCs w:val="16"/>
          <w:lang w:val="es-ES"/>
        </w:rPr>
      </w:pPr>
    </w:p>
  </w:footnote>
  <w:footnote w:id="3">
    <w:p w14:paraId="59FACCAA" w14:textId="77777777" w:rsidR="00596023" w:rsidRPr="00AC7ED8" w:rsidRDefault="00596023" w:rsidP="00596023">
      <w:pPr>
        <w:pStyle w:val="Textonotapie"/>
        <w:ind w:firstLine="720"/>
        <w:rPr>
          <w:rFonts w:ascii="Arial" w:hAnsi="Arial" w:cs="Arial"/>
          <w:color w:val="1A1A1A" w:themeColor="background1" w:themeShade="1A"/>
          <w:sz w:val="18"/>
          <w:szCs w:val="18"/>
          <w:lang w:val="es-CO"/>
        </w:rPr>
      </w:pPr>
      <w:r w:rsidRPr="00AC7ED8">
        <w:rPr>
          <w:rStyle w:val="Refdenotaalpie"/>
          <w:rFonts w:ascii="Arial" w:hAnsi="Arial" w:cs="Arial"/>
          <w:color w:val="1A1A1A" w:themeColor="background1" w:themeShade="1A"/>
          <w:sz w:val="18"/>
          <w:szCs w:val="18"/>
        </w:rPr>
        <w:footnoteRef/>
      </w:r>
      <w:r w:rsidRPr="00AC7ED8">
        <w:rPr>
          <w:rFonts w:ascii="Arial" w:hAnsi="Arial" w:cs="Arial"/>
          <w:color w:val="1A1A1A" w:themeColor="background1" w:themeShade="1A"/>
          <w:sz w:val="18"/>
          <w:szCs w:val="18"/>
        </w:rPr>
        <w:t xml:space="preserve"> “Son también contratos de consultoría los que tienen por objeto la interventoría […]”</w:t>
      </w:r>
    </w:p>
  </w:footnote>
  <w:footnote w:id="4">
    <w:p w14:paraId="6E289F4E" w14:textId="77777777" w:rsidR="00596023" w:rsidRPr="00AC7ED8" w:rsidRDefault="00596023" w:rsidP="00596023">
      <w:pPr>
        <w:pStyle w:val="Textonotapie"/>
        <w:ind w:firstLine="720"/>
        <w:jc w:val="both"/>
        <w:rPr>
          <w:rFonts w:ascii="Arial" w:hAnsi="Arial" w:cs="Arial"/>
          <w:sz w:val="18"/>
          <w:szCs w:val="18"/>
          <w:lang w:val="es-CO"/>
        </w:rPr>
      </w:pPr>
      <w:r w:rsidRPr="00AC7ED8">
        <w:rPr>
          <w:rStyle w:val="Refdenotaalpie"/>
          <w:rFonts w:ascii="Arial" w:hAnsi="Arial" w:cs="Arial"/>
          <w:sz w:val="18"/>
          <w:szCs w:val="18"/>
        </w:rPr>
        <w:footnoteRef/>
      </w:r>
      <w:r w:rsidRPr="00AC7ED8">
        <w:rPr>
          <w:rFonts w:ascii="Arial" w:hAnsi="Arial" w:cs="Arial"/>
          <w:sz w:val="18"/>
          <w:szCs w:val="18"/>
        </w:rPr>
        <w:t xml:space="preserve"> </w:t>
      </w:r>
      <w:r w:rsidRPr="00AC7ED8">
        <w:rPr>
          <w:rFonts w:ascii="Arial" w:hAnsi="Arial" w:cs="Arial"/>
          <w:sz w:val="18"/>
          <w:szCs w:val="18"/>
          <w:lang w:val="es-CO"/>
        </w:rPr>
        <w:t xml:space="preserve">REAL ACADEMIA DE LA LENGUA ESPAÑOLA, </w:t>
      </w:r>
      <w:hyperlink r:id="rId1" w:history="1">
        <w:r w:rsidRPr="00AC7ED8">
          <w:rPr>
            <w:rStyle w:val="Hipervnculo"/>
            <w:rFonts w:ascii="Arial" w:hAnsi="Arial" w:cs="Arial"/>
            <w:color w:val="auto"/>
            <w:sz w:val="18"/>
            <w:szCs w:val="18"/>
          </w:rPr>
          <w:t>https://dle.rae.es/adici%C3%B3n</w:t>
        </w:r>
      </w:hyperlink>
      <w:r w:rsidRPr="00AC7ED8">
        <w:rPr>
          <w:rFonts w:ascii="Arial" w:hAnsi="Arial" w:cs="Arial"/>
          <w:sz w:val="18"/>
          <w:szCs w:val="18"/>
          <w:lang w:val="es-CO"/>
        </w:rPr>
        <w:t xml:space="preserve"> (en línea)</w:t>
      </w:r>
    </w:p>
  </w:footnote>
  <w:footnote w:id="5">
    <w:p w14:paraId="2774605C" w14:textId="77777777" w:rsidR="00596023" w:rsidRPr="00AC7ED8" w:rsidRDefault="00596023" w:rsidP="00596023">
      <w:pPr>
        <w:pStyle w:val="Textonotapie"/>
        <w:ind w:firstLine="708"/>
        <w:jc w:val="both"/>
        <w:rPr>
          <w:rFonts w:ascii="Arial" w:hAnsi="Arial" w:cs="Arial"/>
          <w:color w:val="000000" w:themeColor="text1"/>
          <w:sz w:val="18"/>
          <w:szCs w:val="18"/>
        </w:rPr>
      </w:pPr>
    </w:p>
    <w:p w14:paraId="36A167FD" w14:textId="77777777" w:rsidR="00596023" w:rsidRPr="00AC7ED8" w:rsidRDefault="00596023" w:rsidP="00596023">
      <w:pPr>
        <w:spacing w:after="0" w:line="240" w:lineRule="auto"/>
        <w:ind w:firstLine="708"/>
        <w:rPr>
          <w:rFonts w:ascii="Arial" w:hAnsi="Arial" w:cs="Arial"/>
          <w:sz w:val="18"/>
          <w:szCs w:val="18"/>
        </w:rPr>
      </w:pPr>
      <w:r w:rsidRPr="00AC7ED8">
        <w:rPr>
          <w:rStyle w:val="Refdenotaalpie"/>
          <w:rFonts w:ascii="Arial" w:hAnsi="Arial" w:cs="Arial"/>
          <w:color w:val="000000" w:themeColor="text1"/>
          <w:sz w:val="18"/>
          <w:szCs w:val="18"/>
        </w:rPr>
        <w:footnoteRef/>
      </w:r>
      <w:r w:rsidRPr="00AC7ED8">
        <w:rPr>
          <w:rFonts w:ascii="Arial" w:hAnsi="Arial" w:cs="Arial"/>
          <w:color w:val="000000" w:themeColor="text1"/>
          <w:sz w:val="18"/>
          <w:szCs w:val="18"/>
        </w:rPr>
        <w:t xml:space="preserve"> Lo anterior, sin perjuicio de lo prescrito por la Ley 1474 de 2011, que en su artículo 85, como se explicará, en relación con los contratos de interventoría, excepciona la aplicación de la restricción analizada, de manera que podrán adicionarse sin importar su monto.</w:t>
      </w:r>
    </w:p>
    <w:p w14:paraId="691F2216" w14:textId="77777777" w:rsidR="00596023" w:rsidRPr="00AC7ED8" w:rsidRDefault="00596023" w:rsidP="00596023">
      <w:pPr>
        <w:pStyle w:val="Textonotapie"/>
        <w:rPr>
          <w:rFonts w:ascii="Arial" w:hAnsi="Arial" w:cs="Arial"/>
          <w:sz w:val="18"/>
          <w:szCs w:val="18"/>
          <w:lang w:val="es-ES"/>
        </w:rPr>
      </w:pPr>
    </w:p>
  </w:footnote>
  <w:footnote w:id="6">
    <w:p w14:paraId="6A6B8347" w14:textId="77777777" w:rsidR="00596023" w:rsidRPr="00382622" w:rsidRDefault="00596023" w:rsidP="00596023">
      <w:pPr>
        <w:pStyle w:val="Textonotapie"/>
        <w:ind w:firstLine="708"/>
        <w:jc w:val="both"/>
        <w:rPr>
          <w:rFonts w:ascii="Arial" w:hAnsi="Arial" w:cs="Arial"/>
          <w:sz w:val="18"/>
          <w:szCs w:val="18"/>
          <w:lang w:val="es-ES"/>
        </w:rPr>
      </w:pPr>
      <w:r w:rsidRPr="00382622">
        <w:rPr>
          <w:rStyle w:val="Refdenotaalpie"/>
          <w:rFonts w:ascii="Arial" w:hAnsi="Arial" w:cs="Arial"/>
          <w:sz w:val="18"/>
          <w:szCs w:val="18"/>
        </w:rPr>
        <w:footnoteRef/>
      </w:r>
      <w:r w:rsidRPr="00382622">
        <w:rPr>
          <w:rFonts w:ascii="Arial" w:hAnsi="Arial" w:cs="Arial"/>
          <w:sz w:val="18"/>
          <w:szCs w:val="18"/>
        </w:rPr>
        <w:t xml:space="preserve"> </w:t>
      </w:r>
      <w:r w:rsidRPr="00382622">
        <w:rPr>
          <w:rFonts w:ascii="Arial" w:hAnsi="Arial" w:cs="Arial"/>
          <w:sz w:val="18"/>
          <w:szCs w:val="18"/>
          <w:lang w:val="es-ES"/>
        </w:rPr>
        <w:t xml:space="preserve">MATALLANA CAMACHO, Ernesto. Manual de contratación de la administración pública: reforma de la Ley 80 de 1993. 4ª edición. Bogotá: Universidad Externado de Colombia, 2015. p. 971 </w:t>
      </w:r>
    </w:p>
    <w:p w14:paraId="39981A1A" w14:textId="77777777" w:rsidR="00596023" w:rsidRPr="00382622" w:rsidRDefault="00596023" w:rsidP="00596023">
      <w:pPr>
        <w:pStyle w:val="Textonotapie"/>
        <w:ind w:firstLine="708"/>
        <w:rPr>
          <w:rFonts w:ascii="Arial" w:hAnsi="Arial" w:cs="Arial"/>
          <w:sz w:val="18"/>
          <w:szCs w:val="18"/>
          <w:lang w:val="es-ES"/>
        </w:rPr>
      </w:pPr>
    </w:p>
  </w:footnote>
  <w:footnote w:id="7">
    <w:p w14:paraId="5724CF49" w14:textId="77777777" w:rsidR="00596023" w:rsidRPr="008531C2" w:rsidRDefault="00596023" w:rsidP="00596023">
      <w:pPr>
        <w:pStyle w:val="Textonotapie"/>
        <w:ind w:firstLine="708"/>
        <w:rPr>
          <w:rFonts w:ascii="Arial" w:hAnsi="Arial" w:cs="Arial"/>
          <w:sz w:val="18"/>
          <w:szCs w:val="18"/>
          <w:lang w:val="es-ES"/>
        </w:rPr>
      </w:pPr>
      <w:r w:rsidRPr="00AC7ED8">
        <w:rPr>
          <w:rStyle w:val="Refdenotaalpie"/>
          <w:rFonts w:ascii="Arial" w:hAnsi="Arial" w:cs="Arial"/>
          <w:sz w:val="18"/>
          <w:szCs w:val="18"/>
        </w:rPr>
        <w:footnoteRef/>
      </w:r>
      <w:r w:rsidRPr="00AC7ED8">
        <w:rPr>
          <w:rFonts w:ascii="Arial" w:hAnsi="Arial" w:cs="Arial"/>
          <w:sz w:val="18"/>
          <w:szCs w:val="18"/>
        </w:rPr>
        <w:t xml:space="preserve"> </w:t>
      </w:r>
      <w:hyperlink r:id="rId2" w:history="1">
        <w:r w:rsidRPr="004B7D70">
          <w:rPr>
            <w:rFonts w:ascii="Arial" w:hAnsi="Arial" w:cs="Arial"/>
            <w:sz w:val="18"/>
            <w:szCs w:val="18"/>
          </w:rPr>
          <w:t>Relatoría | CCE (colombiacompra.gov.co)</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1.4pt;height:11.4pt" o:bullet="t">
        <v:imagedata r:id="rId1" o:title="mso1B13"/>
      </v:shape>
    </w:pict>
  </w:numPicBullet>
  <w:abstractNum w:abstractNumId="0" w15:restartNumberingAfterBreak="0">
    <w:nsid w:val="01C06310"/>
    <w:multiLevelType w:val="multilevel"/>
    <w:tmpl w:val="405C7EAA"/>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2539FE"/>
    <w:multiLevelType w:val="hybridMultilevel"/>
    <w:tmpl w:val="40849A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 w:numId="18" w16cid:durableId="15201978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52617"/>
    <w:rsid w:val="00061B2A"/>
    <w:rsid w:val="0006489F"/>
    <w:rsid w:val="00082362"/>
    <w:rsid w:val="000A683E"/>
    <w:rsid w:val="000B19B9"/>
    <w:rsid w:val="000C0046"/>
    <w:rsid w:val="000D0334"/>
    <w:rsid w:val="000F6486"/>
    <w:rsid w:val="00115816"/>
    <w:rsid w:val="00125105"/>
    <w:rsid w:val="00127233"/>
    <w:rsid w:val="0016413E"/>
    <w:rsid w:val="001E4177"/>
    <w:rsid w:val="001F7DC6"/>
    <w:rsid w:val="002421BB"/>
    <w:rsid w:val="0025796E"/>
    <w:rsid w:val="002707A2"/>
    <w:rsid w:val="00285C4B"/>
    <w:rsid w:val="002951A0"/>
    <w:rsid w:val="002962BC"/>
    <w:rsid w:val="002A093D"/>
    <w:rsid w:val="002A0DD0"/>
    <w:rsid w:val="002A49AC"/>
    <w:rsid w:val="002A64FD"/>
    <w:rsid w:val="002C7A84"/>
    <w:rsid w:val="002D6A92"/>
    <w:rsid w:val="002E4FD9"/>
    <w:rsid w:val="00301C13"/>
    <w:rsid w:val="00322A85"/>
    <w:rsid w:val="00324168"/>
    <w:rsid w:val="003448F4"/>
    <w:rsid w:val="00374F5E"/>
    <w:rsid w:val="00377E3E"/>
    <w:rsid w:val="003A26D1"/>
    <w:rsid w:val="003A6F6F"/>
    <w:rsid w:val="003A779E"/>
    <w:rsid w:val="003D0F4D"/>
    <w:rsid w:val="003D5B0D"/>
    <w:rsid w:val="003E0499"/>
    <w:rsid w:val="003F3941"/>
    <w:rsid w:val="00406575"/>
    <w:rsid w:val="0042722E"/>
    <w:rsid w:val="0044528D"/>
    <w:rsid w:val="004A1847"/>
    <w:rsid w:val="004A305D"/>
    <w:rsid w:val="004F21C4"/>
    <w:rsid w:val="004F685F"/>
    <w:rsid w:val="005566E8"/>
    <w:rsid w:val="00574867"/>
    <w:rsid w:val="00591460"/>
    <w:rsid w:val="00592628"/>
    <w:rsid w:val="00596023"/>
    <w:rsid w:val="005C3777"/>
    <w:rsid w:val="005C5CDC"/>
    <w:rsid w:val="005D476C"/>
    <w:rsid w:val="005F5BDF"/>
    <w:rsid w:val="00610812"/>
    <w:rsid w:val="006219F8"/>
    <w:rsid w:val="00650FF7"/>
    <w:rsid w:val="00665D70"/>
    <w:rsid w:val="00671DAC"/>
    <w:rsid w:val="00681698"/>
    <w:rsid w:val="00682D95"/>
    <w:rsid w:val="006900D9"/>
    <w:rsid w:val="006D12F8"/>
    <w:rsid w:val="00706C16"/>
    <w:rsid w:val="007216D6"/>
    <w:rsid w:val="00756841"/>
    <w:rsid w:val="007649AB"/>
    <w:rsid w:val="00771D0C"/>
    <w:rsid w:val="007833AC"/>
    <w:rsid w:val="007B268C"/>
    <w:rsid w:val="007B7171"/>
    <w:rsid w:val="007C0C0F"/>
    <w:rsid w:val="007C3DC2"/>
    <w:rsid w:val="007D17FC"/>
    <w:rsid w:val="007E5497"/>
    <w:rsid w:val="00806F5F"/>
    <w:rsid w:val="00820278"/>
    <w:rsid w:val="008843B6"/>
    <w:rsid w:val="00891928"/>
    <w:rsid w:val="008A446D"/>
    <w:rsid w:val="008C1132"/>
    <w:rsid w:val="008D005F"/>
    <w:rsid w:val="008D180B"/>
    <w:rsid w:val="008F0EA7"/>
    <w:rsid w:val="00923EEF"/>
    <w:rsid w:val="009419F9"/>
    <w:rsid w:val="009546E4"/>
    <w:rsid w:val="0095685E"/>
    <w:rsid w:val="00961B09"/>
    <w:rsid w:val="00965334"/>
    <w:rsid w:val="00966F28"/>
    <w:rsid w:val="00970556"/>
    <w:rsid w:val="0097093E"/>
    <w:rsid w:val="009A0DFA"/>
    <w:rsid w:val="009B2D26"/>
    <w:rsid w:val="009C71FA"/>
    <w:rsid w:val="009C72E7"/>
    <w:rsid w:val="009D3058"/>
    <w:rsid w:val="009F3A13"/>
    <w:rsid w:val="00A062A1"/>
    <w:rsid w:val="00A122D3"/>
    <w:rsid w:val="00A17F13"/>
    <w:rsid w:val="00A20739"/>
    <w:rsid w:val="00A33C78"/>
    <w:rsid w:val="00AB0ADB"/>
    <w:rsid w:val="00B01B1A"/>
    <w:rsid w:val="00B0211B"/>
    <w:rsid w:val="00B02C6E"/>
    <w:rsid w:val="00B10A99"/>
    <w:rsid w:val="00B3468B"/>
    <w:rsid w:val="00B401E0"/>
    <w:rsid w:val="00B43B4F"/>
    <w:rsid w:val="00B72CD3"/>
    <w:rsid w:val="00B72FFF"/>
    <w:rsid w:val="00BB6FAE"/>
    <w:rsid w:val="00BC3D36"/>
    <w:rsid w:val="00BD7F72"/>
    <w:rsid w:val="00C04FB3"/>
    <w:rsid w:val="00C330EB"/>
    <w:rsid w:val="00C5100F"/>
    <w:rsid w:val="00C65C98"/>
    <w:rsid w:val="00C754BE"/>
    <w:rsid w:val="00C76B1C"/>
    <w:rsid w:val="00CB012B"/>
    <w:rsid w:val="00CB6357"/>
    <w:rsid w:val="00CC1B26"/>
    <w:rsid w:val="00CD2603"/>
    <w:rsid w:val="00CF779B"/>
    <w:rsid w:val="00D423A2"/>
    <w:rsid w:val="00D47721"/>
    <w:rsid w:val="00D520D8"/>
    <w:rsid w:val="00D63AC2"/>
    <w:rsid w:val="00D7383B"/>
    <w:rsid w:val="00DA231B"/>
    <w:rsid w:val="00DA23A0"/>
    <w:rsid w:val="00DC39FC"/>
    <w:rsid w:val="00DF5254"/>
    <w:rsid w:val="00E16408"/>
    <w:rsid w:val="00E179AB"/>
    <w:rsid w:val="00E20894"/>
    <w:rsid w:val="00E245AB"/>
    <w:rsid w:val="00E2764C"/>
    <w:rsid w:val="00E27F2E"/>
    <w:rsid w:val="00E413EA"/>
    <w:rsid w:val="00E50AFE"/>
    <w:rsid w:val="00E75C92"/>
    <w:rsid w:val="00E771DC"/>
    <w:rsid w:val="00E83890"/>
    <w:rsid w:val="00E8772A"/>
    <w:rsid w:val="00E90F6B"/>
    <w:rsid w:val="00E92C27"/>
    <w:rsid w:val="00EA0E3D"/>
    <w:rsid w:val="00EC38A7"/>
    <w:rsid w:val="00EE1AA8"/>
    <w:rsid w:val="00F31EDC"/>
    <w:rsid w:val="00F462B3"/>
    <w:rsid w:val="00F52658"/>
    <w:rsid w:val="00F5664F"/>
    <w:rsid w:val="00F666C4"/>
    <w:rsid w:val="00F76AFC"/>
    <w:rsid w:val="00F82AD0"/>
    <w:rsid w:val="00FA47C0"/>
    <w:rsid w:val="00FB5DD1"/>
    <w:rsid w:val="00FC030F"/>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B0211B"/>
    <w:pPr>
      <w:widowControl w:val="0"/>
      <w:autoSpaceDE w:val="0"/>
      <w:autoSpaceDN w:val="0"/>
      <w:spacing w:after="0" w:line="240" w:lineRule="auto"/>
      <w:ind w:left="583"/>
      <w:outlineLvl w:val="0"/>
    </w:pPr>
    <w:rPr>
      <w:rFonts w:ascii="Verdana" w:eastAsia="Verdana" w:hAnsi="Verdana" w:cs="Verdana"/>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B012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B012B"/>
    <w:rPr>
      <w:rFonts w:ascii="Geomanist Light" w:hAnsi="Geomanist Light"/>
      <w:lang w:val="es-ES"/>
    </w:rPr>
  </w:style>
  <w:style w:type="character" w:customStyle="1" w:styleId="Ttulo1Car">
    <w:name w:val="Título 1 Car"/>
    <w:basedOn w:val="Fuentedeprrafopredeter"/>
    <w:link w:val="Ttulo1"/>
    <w:uiPriority w:val="9"/>
    <w:rsid w:val="00B0211B"/>
    <w:rPr>
      <w:rFonts w:ascii="Verdana" w:eastAsia="Verdana" w:hAnsi="Verdana" w:cs="Verdana"/>
      <w:b/>
      <w:bCs/>
      <w:lang w:val="es-ES"/>
    </w:rPr>
  </w:style>
  <w:style w:type="paragraph" w:styleId="Textoindependiente">
    <w:name w:val="Body Text"/>
    <w:basedOn w:val="Normal"/>
    <w:link w:val="TextoindependienteCar"/>
    <w:uiPriority w:val="1"/>
    <w:qFormat/>
    <w:rsid w:val="00B0211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0211B"/>
    <w:rPr>
      <w:rFonts w:ascii="Verdana" w:eastAsia="Verdana" w:hAnsi="Verdana" w:cs="Verdana"/>
      <w:lang w:val="es-ES"/>
    </w:rPr>
  </w:style>
  <w:style w:type="paragraph" w:styleId="Sinespaciado">
    <w:name w:val="No Spacing"/>
    <w:aliases w:val="No Indent"/>
    <w:link w:val="SinespaciadoCar"/>
    <w:uiPriority w:val="3"/>
    <w:qFormat/>
    <w:rsid w:val="00596023"/>
    <w:pPr>
      <w:spacing w:after="0" w:line="240" w:lineRule="auto"/>
    </w:pPr>
    <w:rPr>
      <w:sz w:val="24"/>
      <w:lang w:val="es-MX"/>
    </w:rPr>
  </w:style>
  <w:style w:type="character" w:customStyle="1" w:styleId="SinespaciadoCar">
    <w:name w:val="Sin espaciado Car"/>
    <w:aliases w:val="No Indent Car"/>
    <w:link w:val="Sinespaciado"/>
    <w:uiPriority w:val="3"/>
    <w:rsid w:val="00596023"/>
    <w:rPr>
      <w:sz w:val="24"/>
      <w:lang w:val="es-MX"/>
    </w:rPr>
  </w:style>
  <w:style w:type="character" w:customStyle="1" w:styleId="NormalWebCar">
    <w:name w:val="Normal (Web) Car"/>
    <w:link w:val="NormalWeb"/>
    <w:uiPriority w:val="99"/>
    <w:rsid w:val="0059602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ivandariog@hot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busqueda/normativa" TargetMode="External"/><Relationship Id="rId1" Type="http://schemas.openxmlformats.org/officeDocument/2006/relationships/hyperlink" Target="https://dle.rae.es/adici%C3%B3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28EB45-5A80-404E-BED4-3E0FD458DD72}"/>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14</Pages>
  <Words>4754</Words>
  <Characters>25579</Characters>
  <Application>Microsoft Office Word</Application>
  <DocSecurity>0</DocSecurity>
  <Lines>511</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30229</CharactersWithSpaces>
  <SharedDoc>false</SharedDoc>
  <HLinks>
    <vt:vector size="12" baseType="variant">
      <vt:variant>
        <vt:i4>1638461</vt:i4>
      </vt:variant>
      <vt:variant>
        <vt:i4>3</vt:i4>
      </vt:variant>
      <vt:variant>
        <vt:i4>0</vt:i4>
      </vt:variant>
      <vt:variant>
        <vt:i4>5</vt:i4>
      </vt:variant>
      <vt:variant>
        <vt:lpwstr>https://www.colombiacompra.gov.co/sites/cce_public/files/files_2020/boletin_de_realtoria_iii.pdf</vt:lpwstr>
      </vt:variant>
      <vt:variant>
        <vt:lpwstr/>
      </vt:variant>
      <vt:variant>
        <vt:i4>1900622</vt:i4>
      </vt:variant>
      <vt:variant>
        <vt:i4>0</vt:i4>
      </vt:variant>
      <vt:variant>
        <vt:i4>0</vt:i4>
      </vt:variant>
      <vt:variant>
        <vt:i4>5</vt:i4>
      </vt:variant>
      <vt:variant>
        <vt:lpwstr>https://relatoria.colombiacompra.gov.co/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9</cp:revision>
  <cp:lastPrinted>2023-01-10T21:18:00Z</cp:lastPrinted>
  <dcterms:created xsi:type="dcterms:W3CDTF">2025-11-10T23:00:00Z</dcterms:created>
  <dcterms:modified xsi:type="dcterms:W3CDTF">2025-11-17T04:08:00Z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