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6"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C9B419" w14:textId="77777777" w:rsidR="00B62BEC" w:rsidRPr="00A16EF9" w:rsidRDefault="00B62BEC" w:rsidP="00B62BEC">
      <w:pPr>
        <w:spacing w:line="276" w:lineRule="auto"/>
        <w:jc w:val="both"/>
        <w:rPr>
          <w:rFonts w:ascii="Verdana" w:eastAsia="Calibri" w:hAnsi="Verdana" w:cs="Arial"/>
          <w:b/>
          <w:lang w:val="es-ES"/>
        </w:rPr>
      </w:pPr>
      <w:bookmarkStart w:id="0" w:name="_Hlk181166130"/>
      <w:bookmarkStart w:id="1" w:name="_Hlk209714638"/>
      <w:r w:rsidRPr="00A16EF9">
        <w:rPr>
          <w:rFonts w:ascii="Verdana" w:eastAsia="Calibri" w:hAnsi="Verdana" w:cs="Arial"/>
          <w:b/>
          <w:lang w:val="es-ES"/>
        </w:rPr>
        <w:t xml:space="preserve">SUBSANABILIDAD – Concepto – Límites </w:t>
      </w:r>
    </w:p>
    <w:p w14:paraId="200EF4E8" w14:textId="77777777" w:rsidR="00B62BEC" w:rsidRPr="00A16EF9" w:rsidRDefault="00B62BEC" w:rsidP="00B62BEC">
      <w:pPr>
        <w:spacing w:after="200"/>
        <w:jc w:val="both"/>
        <w:rPr>
          <w:rFonts w:ascii="Verdana" w:eastAsia="Calibri" w:hAnsi="Verdana" w:cs="Arial"/>
          <w:bCs/>
          <w:lang w:val="es-ES"/>
        </w:rPr>
      </w:pPr>
      <w:r w:rsidRPr="00A16EF9">
        <w:rPr>
          <w:rFonts w:ascii="Verdana" w:eastAsia="Calibri" w:hAnsi="Verdana" w:cs="Arial"/>
          <w:bCs/>
          <w:lang w:val="es-ES"/>
        </w:rPr>
        <w:t xml:space="preserve">La </w:t>
      </w:r>
      <w:proofErr w:type="spellStart"/>
      <w:r w:rsidRPr="00A16EF9">
        <w:rPr>
          <w:rFonts w:ascii="Verdana" w:eastAsia="Calibri" w:hAnsi="Verdana" w:cs="Arial"/>
          <w:bCs/>
          <w:lang w:val="es-ES"/>
        </w:rPr>
        <w:t>subsanabilidad</w:t>
      </w:r>
      <w:proofErr w:type="spellEnd"/>
      <w:r w:rsidRPr="00A16EF9">
        <w:rPr>
          <w:rFonts w:ascii="Verdana" w:eastAsia="Calibri" w:hAnsi="Verdana" w:cs="Arial"/>
          <w:bCs/>
          <w:lang w:val="es-ES"/>
        </w:rPr>
        <w:t xml:space="preserve"> es un mecanismo previsto en los procedimientos regulados por el Estatuto de Contratación Estatal de Colombia. Esta regla, prevista en el artículo 5 de la Ley 1150 de 2007, permite que los proponentes puedan enmendar, corregir o modificar los errores en los documentos de la oferta respecto a los requisitos habilitantes.</w:t>
      </w:r>
    </w:p>
    <w:p w14:paraId="78D6293E" w14:textId="77777777" w:rsidR="00B62BEC" w:rsidRPr="00A16EF9" w:rsidRDefault="00B62BEC" w:rsidP="00B62BEC">
      <w:pPr>
        <w:jc w:val="both"/>
        <w:rPr>
          <w:rFonts w:ascii="Verdana" w:eastAsia="Calibri" w:hAnsi="Verdana" w:cs="Arial"/>
          <w:bCs/>
          <w:lang w:val="es-ES"/>
        </w:rPr>
      </w:pPr>
      <w:r w:rsidRPr="00A16EF9">
        <w:rPr>
          <w:rFonts w:ascii="Verdana" w:eastAsia="Calibri" w:hAnsi="Verdana" w:cs="Arial"/>
          <w:bCs/>
          <w:lang w:val="es-ES"/>
        </w:rPr>
        <w:t xml:space="preserve">[…] Esta norma [Ley 1882 de 2018]: i) mantiene el criterio de la Ley 80 de 1993, relativo a que todo lo que no sea necesario para la comparación de propuestas no es título suficiente para su rechazo; </w:t>
      </w:r>
      <w:proofErr w:type="spellStart"/>
      <w:r w:rsidRPr="00A16EF9">
        <w:rPr>
          <w:rFonts w:ascii="Verdana" w:eastAsia="Calibri" w:hAnsi="Verdana" w:cs="Arial"/>
          <w:bCs/>
          <w:lang w:val="es-ES"/>
        </w:rPr>
        <w:t>ii</w:t>
      </w:r>
      <w:proofErr w:type="spellEnd"/>
      <w:r w:rsidRPr="00A16EF9">
        <w:rPr>
          <w:rFonts w:ascii="Verdana" w:eastAsia="Calibri" w:hAnsi="Verdana" w:cs="Arial"/>
          <w:bCs/>
          <w:lang w:val="es-ES"/>
        </w:rPr>
        <w:t xml:space="preserve">) mantiene el criterio aclaratorio de la Ley 1150 de 2007, según el cual todo lo que no afecte la asignación de puntaje puede subsanarse y, </w:t>
      </w:r>
      <w:proofErr w:type="spellStart"/>
      <w:r w:rsidRPr="00A16EF9">
        <w:rPr>
          <w:rFonts w:ascii="Verdana" w:eastAsia="Calibri" w:hAnsi="Verdana" w:cs="Arial"/>
          <w:bCs/>
          <w:lang w:val="es-ES"/>
        </w:rPr>
        <w:t>iii</w:t>
      </w:r>
      <w:proofErr w:type="spellEnd"/>
      <w:r w:rsidRPr="00A16EF9">
        <w:rPr>
          <w:rFonts w:ascii="Verdana" w:eastAsia="Calibri" w:hAnsi="Verdana" w:cs="Arial"/>
          <w:bCs/>
          <w:lang w:val="es-ES"/>
        </w:rPr>
        <w:t>) introduce modificaciones en relación con tres (3) aspectos que se analizarán a continuación:</w:t>
      </w:r>
    </w:p>
    <w:p w14:paraId="4AF91BDF" w14:textId="77777777" w:rsidR="00B62BEC" w:rsidRPr="00A16EF9" w:rsidRDefault="00B62BEC" w:rsidP="00B62BEC">
      <w:pPr>
        <w:jc w:val="both"/>
        <w:rPr>
          <w:rFonts w:ascii="Verdana" w:eastAsia="Calibri" w:hAnsi="Verdana" w:cs="Arial"/>
          <w:bCs/>
          <w:lang w:val="es-ES"/>
        </w:rPr>
      </w:pPr>
      <w:r w:rsidRPr="00A16EF9">
        <w:rPr>
          <w:rFonts w:ascii="Verdana" w:eastAsia="Calibri" w:hAnsi="Verdana" w:cs="Arial"/>
          <w:bCs/>
          <w:lang w:val="es-ES"/>
        </w:rPr>
        <w:t>El primero es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anterior límite no aplica para los procesos de mínima cuantía y para el proceso de selección a través del sistema de subasta: en este último los documentos o requisitos subsanables deben solicitarse, como límite final, hasta el momento previo a su realización.</w:t>
      </w:r>
    </w:p>
    <w:p w14:paraId="51AF06AA" w14:textId="77777777" w:rsidR="00B62BEC" w:rsidRPr="00A16EF9" w:rsidRDefault="00B62BEC" w:rsidP="00B62BEC">
      <w:pPr>
        <w:jc w:val="both"/>
        <w:rPr>
          <w:rFonts w:ascii="Verdana" w:eastAsia="Calibri" w:hAnsi="Verdana" w:cs="Arial"/>
          <w:bCs/>
          <w:lang w:val="es-ES"/>
        </w:rPr>
      </w:pPr>
      <w:r w:rsidRPr="00A16EF9">
        <w:rPr>
          <w:rFonts w:ascii="Verdana" w:eastAsia="Calibri" w:hAnsi="Verdana" w:cs="Arial"/>
          <w:bCs/>
          <w:lang w:val="es-ES"/>
        </w:rPr>
        <w:t>De otro lado, el segundo cambio importante de la Ley 1882 de 2018 es el correspondiente a la garantía de seriedad. El parágrafo 3 del artículo 5 de la Ley 1150 de 2007, adicionado por el artículo 5 de la Ley 1882 de 2018 dispone que la falta de entrega de la garantía de seriedad es insubsanable. Al respecto, la norma prescribe lo siguiente: «PARÁGRAFO 3o. La no entrega de la garantía de seriedad junto con la propuesta no será subsanable y será causal de rechazo de la misma».</w:t>
      </w:r>
    </w:p>
    <w:p w14:paraId="429F7AA1" w14:textId="77777777" w:rsidR="00B62BEC" w:rsidRPr="00A16EF9" w:rsidRDefault="00B62BEC" w:rsidP="00B62BEC">
      <w:pPr>
        <w:jc w:val="both"/>
        <w:rPr>
          <w:rFonts w:ascii="Verdana" w:eastAsia="Calibri" w:hAnsi="Verdana" w:cs="Arial"/>
          <w:bCs/>
          <w:lang w:val="es-ES"/>
        </w:rPr>
      </w:pPr>
      <w:r w:rsidRPr="00A16EF9">
        <w:rPr>
          <w:rFonts w:ascii="Verdana" w:eastAsia="Calibri" w:hAnsi="Verdana" w:cs="Arial"/>
          <w:bCs/>
          <w:lang w:val="es-ES"/>
        </w:rPr>
        <w:t xml:space="preserve">Finalmente, el último cambio importante de la Ley 1882 de 2018 fue la introducción de un criterio material, directamente relacionado con los aspectos subsanables: «los proponentes no podrán acreditar circunstancias ocurridas con posterioridad al cierre del proceso». Esta regla tiene una finalidad particular, y es que, al momento de presentar la oferta, el proponente la deberá hacerlo de forma íntegra y así evitar que a lo largo del procedimiento contractual complete o adicione su propuesta, conforme mejora su situación particular. </w:t>
      </w:r>
    </w:p>
    <w:p w14:paraId="7B304847" w14:textId="77777777" w:rsidR="00B62BEC" w:rsidRPr="00A16EF9" w:rsidRDefault="00B62BEC" w:rsidP="00B62BEC">
      <w:pPr>
        <w:spacing w:after="0" w:line="240" w:lineRule="auto"/>
        <w:jc w:val="both"/>
        <w:rPr>
          <w:rFonts w:ascii="Verdana" w:eastAsia="Aptos" w:hAnsi="Verdana" w:cs="Times New Roman"/>
        </w:rPr>
      </w:pPr>
    </w:p>
    <w:p w14:paraId="0651CB2D" w14:textId="77777777" w:rsidR="00B62BEC" w:rsidRPr="00A16EF9" w:rsidRDefault="00B62BEC" w:rsidP="00B62BEC">
      <w:pPr>
        <w:contextualSpacing/>
        <w:jc w:val="both"/>
        <w:rPr>
          <w:rFonts w:ascii="Verdana" w:hAnsi="Verdana" w:cs="Arial"/>
          <w:b/>
          <w:bdr w:val="none" w:sz="0" w:space="0" w:color="auto" w:frame="1"/>
          <w:lang w:eastAsia="es-CO"/>
        </w:rPr>
      </w:pPr>
      <w:r w:rsidRPr="00A16EF9">
        <w:rPr>
          <w:rFonts w:ascii="Verdana" w:hAnsi="Verdana" w:cs="Arial"/>
          <w:b/>
          <w:bdr w:val="none" w:sz="0" w:space="0" w:color="auto" w:frame="1"/>
          <w:lang w:eastAsia="es-CO"/>
        </w:rPr>
        <w:t>SUBSANACIÓN – Requisitos Habilitantes – Reglas</w:t>
      </w:r>
    </w:p>
    <w:p w14:paraId="0AEC28BC" w14:textId="77777777" w:rsidR="00B62BEC" w:rsidRPr="00A16EF9" w:rsidRDefault="00B62BEC" w:rsidP="00B62BEC">
      <w:pPr>
        <w:spacing w:before="240"/>
        <w:contextualSpacing/>
        <w:jc w:val="both"/>
        <w:rPr>
          <w:rFonts w:ascii="Century Gothic" w:hAnsi="Century Gothic"/>
        </w:rPr>
      </w:pPr>
    </w:p>
    <w:p w14:paraId="20E36E4B" w14:textId="77777777" w:rsidR="00B62BEC" w:rsidRPr="00A16EF9" w:rsidRDefault="00B62BEC" w:rsidP="00B62BEC">
      <w:pPr>
        <w:contextualSpacing/>
        <w:jc w:val="both"/>
        <w:rPr>
          <w:rFonts w:ascii="Verdana" w:eastAsia="Calibri" w:hAnsi="Verdana" w:cs="Arial"/>
          <w:color w:val="000000" w:themeColor="text1"/>
          <w:lang w:val="es-ES"/>
        </w:rPr>
      </w:pPr>
      <w:r w:rsidRPr="00A16EF9">
        <w:rPr>
          <w:rFonts w:ascii="Verdana" w:eastAsia="Calibri" w:hAnsi="Verdana" w:cs="Arial"/>
          <w:color w:val="000000" w:themeColor="text1"/>
          <w:lang w:val="es-ES"/>
        </w:rPr>
        <w:t>En consecuencia, una vez verificada la ausencia de requisitos y/o documentos de la oferta, para efectos de saber si se pueden subsanar, la Entidad Estatal se debe preguntar, en primer lugar, si lo que hace falta o debe corregirse es un documento que afecte la asignación de puntaje o no y,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afecte la asignación de puntaje y la respuesta al segundo interrogante debe dar cuenta de que lo omitido sea la prueba de una circunstancia o hecho que ocurrió con anterioridad al cierre del proceso.</w:t>
      </w:r>
    </w:p>
    <w:p w14:paraId="500AFD59" w14:textId="77777777" w:rsidR="00B62BEC" w:rsidRPr="00A16EF9" w:rsidRDefault="00B62BEC" w:rsidP="00B62BEC">
      <w:pPr>
        <w:spacing w:after="0" w:line="240" w:lineRule="auto"/>
        <w:jc w:val="both"/>
        <w:rPr>
          <w:rFonts w:ascii="Verdana" w:eastAsia="Aptos" w:hAnsi="Verdana" w:cs="Times New Roman"/>
        </w:rPr>
      </w:pPr>
    </w:p>
    <w:p w14:paraId="50A631D2" w14:textId="77777777" w:rsidR="00B62BEC" w:rsidRPr="00A16EF9" w:rsidRDefault="00B62BEC" w:rsidP="00B62BEC">
      <w:pPr>
        <w:spacing w:after="0" w:line="240" w:lineRule="auto"/>
        <w:jc w:val="both"/>
        <w:rPr>
          <w:rFonts w:ascii="Verdana" w:eastAsia="Aptos" w:hAnsi="Verdana" w:cs="Times New Roman"/>
          <w:b/>
          <w:bCs/>
        </w:rPr>
      </w:pPr>
      <w:r w:rsidRPr="00A16EF9">
        <w:rPr>
          <w:rFonts w:ascii="Verdana" w:eastAsia="Calibri" w:hAnsi="Verdana" w:cs="Arial"/>
          <w:b/>
          <w:bCs/>
        </w:rPr>
        <w:t>Manual para determinar y verificar los requisitos habilitantes en los Procesos de Contratación – consulta-</w:t>
      </w:r>
    </w:p>
    <w:p w14:paraId="12D2341C" w14:textId="77777777" w:rsidR="00B62BEC" w:rsidRPr="00A16EF9" w:rsidRDefault="00B62BEC" w:rsidP="00B62BEC">
      <w:pPr>
        <w:spacing w:after="0" w:line="240" w:lineRule="auto"/>
        <w:jc w:val="both"/>
        <w:rPr>
          <w:rFonts w:ascii="Verdana" w:eastAsia="Aptos" w:hAnsi="Verdana" w:cs="Times New Roman"/>
        </w:rPr>
      </w:pPr>
    </w:p>
    <w:p w14:paraId="2525E273" w14:textId="77777777" w:rsidR="00B62BEC" w:rsidRPr="00A16EF9" w:rsidRDefault="00B62BEC" w:rsidP="6CA9C418">
      <w:pPr>
        <w:spacing w:line="276" w:lineRule="auto"/>
        <w:jc w:val="both"/>
        <w:rPr>
          <w:rFonts w:ascii="Verdana" w:eastAsia="Calibri" w:hAnsi="Verdana" w:cs="Arial"/>
          <w:color w:val="000000" w:themeColor="text1"/>
        </w:rPr>
      </w:pPr>
      <w:r w:rsidRPr="00A16EF9">
        <w:rPr>
          <w:rFonts w:ascii="Verdana" w:eastAsia="Calibri" w:hAnsi="Verdana" w:cs="Arial"/>
        </w:rPr>
        <w:t>El Manual para determinar y verificar los requisitos habilitantes en los Procesos de Contratación, elaborado por Colombia Compra Eficiente, constituye una herramienta técnica fundamental para las entidades estatales y los proponentes, ya que establece criterios claros y uniformes sobre cómo definir, exigir y verificar los requisitos habilitantes en los distintos procesos de selección. Este manual orienta a las entidades para que dichos requisitos respondan a la naturaleza del objeto contractual, se ajusten al principio de proporcionalidad y no constituyan barreras injustificadas al acceso. Además, delimita con precisión cuáles documentos pueden ser objeto de subsanación, brindando seguridad jurídica en la evaluación de ofertas.</w:t>
      </w:r>
    </w:p>
    <w:p w14:paraId="396D2C2C" w14:textId="77777777" w:rsidR="00B62BEC" w:rsidRDefault="00B62BEC" w:rsidP="00B62BEC">
      <w:pPr>
        <w:spacing w:after="0" w:line="240" w:lineRule="auto"/>
        <w:rPr>
          <w:rFonts w:ascii="Verdana" w:hAnsi="Verdana"/>
        </w:rPr>
      </w:pPr>
    </w:p>
    <w:p w14:paraId="2C445805" w14:textId="77777777" w:rsidR="00B62BEC" w:rsidRDefault="00B62BEC" w:rsidP="00B62BEC">
      <w:pPr>
        <w:spacing w:after="0" w:line="240" w:lineRule="auto"/>
        <w:rPr>
          <w:rFonts w:ascii="Verdana" w:hAnsi="Verdana"/>
        </w:rPr>
      </w:pPr>
    </w:p>
    <w:p w14:paraId="54F18EF5" w14:textId="77777777" w:rsidR="00B62BEC" w:rsidRDefault="00B62BEC" w:rsidP="00B62BEC">
      <w:pPr>
        <w:spacing w:after="0" w:line="240" w:lineRule="auto"/>
        <w:rPr>
          <w:rFonts w:ascii="Verdana" w:hAnsi="Verdana"/>
        </w:rPr>
      </w:pPr>
    </w:p>
    <w:p w14:paraId="5206305C" w14:textId="77777777" w:rsidR="00B62BEC" w:rsidRDefault="00B62BEC" w:rsidP="00B62BEC">
      <w:pPr>
        <w:spacing w:after="0" w:line="240" w:lineRule="auto"/>
        <w:rPr>
          <w:rFonts w:ascii="Verdana" w:hAnsi="Verdana"/>
        </w:rPr>
      </w:pPr>
    </w:p>
    <w:p w14:paraId="527A0DB7" w14:textId="77777777" w:rsidR="00B62BEC" w:rsidRDefault="00B62BEC" w:rsidP="00B62BEC">
      <w:pPr>
        <w:spacing w:after="0" w:line="240" w:lineRule="auto"/>
        <w:rPr>
          <w:rFonts w:ascii="Verdana" w:hAnsi="Verdana"/>
        </w:rPr>
      </w:pPr>
    </w:p>
    <w:p w14:paraId="2F6D0C95" w14:textId="77777777" w:rsidR="00B62BEC" w:rsidRDefault="00B62BEC" w:rsidP="00B62BEC">
      <w:pPr>
        <w:spacing w:after="0" w:line="240" w:lineRule="auto"/>
        <w:rPr>
          <w:rFonts w:ascii="Verdana" w:hAnsi="Verdana"/>
        </w:rPr>
      </w:pPr>
    </w:p>
    <w:p w14:paraId="05888793" w14:textId="77777777" w:rsidR="00B62BEC" w:rsidRDefault="00B62BEC" w:rsidP="00B62BEC">
      <w:pPr>
        <w:spacing w:after="0" w:line="240" w:lineRule="auto"/>
        <w:rPr>
          <w:rFonts w:ascii="Verdana" w:hAnsi="Verdana"/>
        </w:rPr>
      </w:pPr>
    </w:p>
    <w:p w14:paraId="61C5C4E7" w14:textId="77777777" w:rsidR="00B62BEC" w:rsidRDefault="00B62BEC" w:rsidP="00B62BEC">
      <w:pPr>
        <w:spacing w:after="0" w:line="240" w:lineRule="auto"/>
        <w:rPr>
          <w:rFonts w:ascii="Verdana" w:hAnsi="Verdana"/>
        </w:rPr>
      </w:pPr>
    </w:p>
    <w:p w14:paraId="1181FC86" w14:textId="4F1DF522" w:rsidR="00B62BEC" w:rsidRDefault="00B62BEC" w:rsidP="00B62BEC">
      <w:pPr>
        <w:spacing w:after="0" w:line="240" w:lineRule="auto"/>
        <w:rPr>
          <w:rFonts w:ascii="Verdana" w:hAnsi="Verdana"/>
        </w:rPr>
      </w:pPr>
      <w:r>
        <w:rPr>
          <w:rFonts w:ascii="Verdana" w:hAnsi="Verdana"/>
        </w:rPr>
        <w:t>B</w:t>
      </w:r>
      <w:r w:rsidRPr="0044528D">
        <w:rPr>
          <w:rFonts w:ascii="Verdana" w:hAnsi="Verdana"/>
        </w:rPr>
        <w:t xml:space="preserve">ogotá D.C., </w:t>
      </w:r>
      <w:r w:rsidR="009A7D30">
        <w:rPr>
          <w:rFonts w:ascii="Verdana" w:hAnsi="Verdana"/>
        </w:rPr>
        <w:t>12</w:t>
      </w:r>
      <w:r>
        <w:rPr>
          <w:rFonts w:ascii="Verdana" w:hAnsi="Verdana"/>
        </w:rPr>
        <w:t xml:space="preserve"> de </w:t>
      </w:r>
      <w:r w:rsidR="009A7D30">
        <w:rPr>
          <w:rFonts w:ascii="Verdana" w:hAnsi="Verdana"/>
        </w:rPr>
        <w:t>noviembre de 2025</w:t>
      </w:r>
      <w:r>
        <w:rPr>
          <w:rFonts w:ascii="Verdana" w:hAnsi="Verdana"/>
        </w:rPr>
        <w:t xml:space="preserve"> </w:t>
      </w:r>
    </w:p>
    <w:bookmarkEnd w:id="0"/>
    <w:p w14:paraId="42C16949" w14:textId="77777777" w:rsidR="00B62BEC" w:rsidRDefault="00B62BEC" w:rsidP="00B62BEC">
      <w:pPr>
        <w:spacing w:after="0" w:line="240" w:lineRule="auto"/>
        <w:rPr>
          <w:rFonts w:ascii="Verdana" w:hAnsi="Verdana"/>
        </w:rPr>
      </w:pPr>
    </w:p>
    <w:p w14:paraId="10F0EFBD" w14:textId="6B4D12F0" w:rsidR="00B62BEC" w:rsidRDefault="009A7D30" w:rsidP="009A7D30">
      <w:pPr>
        <w:spacing w:after="0" w:line="240" w:lineRule="auto"/>
        <w:jc w:val="right"/>
        <w:rPr>
          <w:rFonts w:ascii="Verdana" w:hAnsi="Verdana"/>
        </w:rPr>
      </w:pPr>
      <w:r>
        <w:rPr>
          <w:rFonts w:ascii="Verdana" w:hAnsi="Verdana"/>
          <w:noProof/>
        </w:rPr>
        <w:lastRenderedPageBreak/>
        <w:drawing>
          <wp:inline distT="0" distB="0" distL="0" distR="0" wp14:anchorId="219CCCBB" wp14:editId="2805363C">
            <wp:extent cx="2694384" cy="885825"/>
            <wp:effectExtent l="0" t="0" r="0" b="0"/>
            <wp:docPr id="175410212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96055" cy="886374"/>
                    </a:xfrm>
                    <a:prstGeom prst="rect">
                      <a:avLst/>
                    </a:prstGeom>
                    <a:noFill/>
                    <a:ln>
                      <a:noFill/>
                    </a:ln>
                  </pic:spPr>
                </pic:pic>
              </a:graphicData>
            </a:graphic>
          </wp:inline>
        </w:drawing>
      </w:r>
    </w:p>
    <w:p w14:paraId="332BF684" w14:textId="77777777" w:rsidR="009A7D30" w:rsidRDefault="009A7D30" w:rsidP="00B62BEC">
      <w:pPr>
        <w:spacing w:after="0" w:line="240" w:lineRule="auto"/>
        <w:rPr>
          <w:rFonts w:ascii="Verdana" w:hAnsi="Verdana"/>
        </w:rPr>
      </w:pPr>
    </w:p>
    <w:p w14:paraId="0629CD73" w14:textId="77777777" w:rsidR="00B62BEC" w:rsidRDefault="00B62BEC" w:rsidP="00B62BEC">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Pr>
          <w:rFonts w:ascii="Verdana" w:eastAsia="Calibri" w:hAnsi="Verdana" w:cs="Arial"/>
          <w:lang w:eastAsia="es-ES"/>
        </w:rPr>
        <w:t>a</w:t>
      </w:r>
      <w:r w:rsidRPr="00631045">
        <w:rPr>
          <w:rFonts w:ascii="Verdana" w:eastAsia="Calibri" w:hAnsi="Verdana" w:cs="Arial"/>
          <w:lang w:eastAsia="es-ES"/>
        </w:rPr>
        <w:tab/>
      </w:r>
    </w:p>
    <w:p w14:paraId="0CBB7991" w14:textId="77777777" w:rsidR="00B62BEC" w:rsidRPr="00C31B11" w:rsidRDefault="00B62BEC" w:rsidP="00B62BEC">
      <w:pPr>
        <w:spacing w:after="0" w:line="240" w:lineRule="auto"/>
        <w:jc w:val="both"/>
        <w:rPr>
          <w:rFonts w:ascii="Verdana" w:eastAsia="Calibri" w:hAnsi="Verdana" w:cs="Arial"/>
          <w:b/>
          <w:bCs/>
          <w:lang w:eastAsia="es-ES"/>
        </w:rPr>
      </w:pPr>
      <w:r w:rsidRPr="005764F6">
        <w:rPr>
          <w:rFonts w:ascii="Verdana" w:eastAsia="Calibri" w:hAnsi="Verdana" w:cs="Arial"/>
          <w:b/>
          <w:bCs/>
          <w:lang w:eastAsia="es-ES"/>
        </w:rPr>
        <w:t>MALORY LICETH ESCOBAR AREVALO</w:t>
      </w:r>
    </w:p>
    <w:p w14:paraId="0F33596A" w14:textId="77777777" w:rsidR="00B62BEC" w:rsidRPr="001A6583" w:rsidRDefault="00731BDC" w:rsidP="00B62BEC">
      <w:pPr>
        <w:spacing w:after="0" w:line="240" w:lineRule="auto"/>
        <w:rPr>
          <w:rFonts w:ascii="Verdana" w:eastAsia="Calibri" w:hAnsi="Verdana" w:cs="Arial"/>
          <w:lang w:eastAsia="es-ES"/>
        </w:rPr>
      </w:pPr>
      <w:hyperlink r:id="rId11" w:history="1">
        <w:r w:rsidR="00B62BEC" w:rsidRPr="00A57157">
          <w:rPr>
            <w:rStyle w:val="Hipervnculo"/>
            <w:rFonts w:ascii="Verdana" w:hAnsi="Verdana"/>
          </w:rPr>
          <w:t>maloryescobar1@gmail.com</w:t>
        </w:r>
      </w:hyperlink>
      <w:r w:rsidR="00B62BEC">
        <w:rPr>
          <w:rFonts w:ascii="Verdana" w:hAnsi="Verdana"/>
        </w:rPr>
        <w:t xml:space="preserve"> </w:t>
      </w:r>
      <w:r w:rsidR="00B62BEC" w:rsidRPr="001A6583">
        <w:rPr>
          <w:rFonts w:ascii="Verdana" w:eastAsia="Calibri" w:hAnsi="Verdana" w:cs="Arial"/>
          <w:lang w:eastAsia="es-ES"/>
        </w:rPr>
        <w:t xml:space="preserve"> </w:t>
      </w:r>
      <w:r w:rsidR="00B62BEC" w:rsidRPr="001A6583">
        <w:rPr>
          <w:rFonts w:ascii="Verdana" w:hAnsi="Verdana"/>
        </w:rPr>
        <w:t xml:space="preserve"> </w:t>
      </w:r>
      <w:r w:rsidR="00B62BEC" w:rsidRPr="001A6583">
        <w:rPr>
          <w:rFonts w:ascii="Verdana" w:eastAsia="Calibri" w:hAnsi="Verdana" w:cs="Arial"/>
          <w:lang w:eastAsia="es-ES"/>
        </w:rPr>
        <w:t xml:space="preserve">  </w:t>
      </w:r>
    </w:p>
    <w:p w14:paraId="3FF9F1A7" w14:textId="77777777" w:rsidR="00B62BEC" w:rsidRDefault="00B62BEC" w:rsidP="00B62BEC">
      <w:pPr>
        <w:spacing w:after="0" w:line="240" w:lineRule="auto"/>
        <w:rPr>
          <w:rFonts w:ascii="Verdana" w:hAnsi="Verdana"/>
        </w:rPr>
      </w:pPr>
      <w:r>
        <w:rPr>
          <w:rFonts w:ascii="Verdana" w:hAnsi="Verdana"/>
        </w:rPr>
        <w:t xml:space="preserve">Bogotá D.C. </w:t>
      </w:r>
    </w:p>
    <w:p w14:paraId="72B86BB5" w14:textId="77777777" w:rsidR="00B62BEC" w:rsidRPr="00FE3DEC" w:rsidRDefault="00B62BEC" w:rsidP="00B62BEC">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B62BEC" w:rsidRPr="00593A5F" w14:paraId="5BADA6E8" w14:textId="77777777" w:rsidTr="6CA9C418">
        <w:trPr>
          <w:trHeight w:val="273"/>
        </w:trPr>
        <w:tc>
          <w:tcPr>
            <w:tcW w:w="2295" w:type="dxa"/>
          </w:tcPr>
          <w:p w14:paraId="2808E901" w14:textId="77777777" w:rsidR="00B62BEC" w:rsidRPr="00E5644F" w:rsidRDefault="00B62BEC" w:rsidP="008B3546">
            <w:pPr>
              <w:jc w:val="both"/>
              <w:rPr>
                <w:rFonts w:ascii="Verdana" w:eastAsia="Calibri" w:hAnsi="Verdana" w:cs="Arial"/>
                <w:b/>
                <w:bCs/>
                <w:color w:val="7030A0"/>
                <w:lang w:val="es-ES_tradnl" w:eastAsia="es-ES_tradnl"/>
              </w:rPr>
            </w:pPr>
          </w:p>
        </w:tc>
        <w:tc>
          <w:tcPr>
            <w:tcW w:w="6481" w:type="dxa"/>
            <w:gridSpan w:val="2"/>
          </w:tcPr>
          <w:p w14:paraId="78DF94B7" w14:textId="77777777" w:rsidR="00B62BEC" w:rsidRDefault="00B62BEC" w:rsidP="008B3546">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 xml:space="preserve">1428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34592A04" w14:textId="77777777" w:rsidR="00B62BEC" w:rsidRPr="00E5644F" w:rsidRDefault="00B62BEC" w:rsidP="008B3546">
            <w:pPr>
              <w:jc w:val="both"/>
              <w:rPr>
                <w:rFonts w:ascii="Verdana" w:eastAsia="Calibri" w:hAnsi="Verdana" w:cs="Arial"/>
                <w:b/>
                <w:bCs/>
                <w:color w:val="7030A0"/>
                <w:lang w:val="es-ES" w:eastAsia="es-ES"/>
              </w:rPr>
            </w:pPr>
          </w:p>
        </w:tc>
      </w:tr>
      <w:tr w:rsidR="00B62BEC" w:rsidRPr="00280D79" w14:paraId="4DC93722" w14:textId="77777777" w:rsidTr="6CA9C418">
        <w:trPr>
          <w:trHeight w:val="1583"/>
        </w:trPr>
        <w:tc>
          <w:tcPr>
            <w:tcW w:w="2295" w:type="dxa"/>
          </w:tcPr>
          <w:p w14:paraId="2FE8E8C0" w14:textId="77777777" w:rsidR="00B62BEC" w:rsidRPr="00593A5F" w:rsidRDefault="00B62BEC" w:rsidP="008B3546">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1535D8C2" w14:textId="77777777" w:rsidR="00B62BEC" w:rsidRPr="00280D79" w:rsidRDefault="00B62BEC" w:rsidP="6CA9C418">
            <w:pPr>
              <w:jc w:val="both"/>
              <w:rPr>
                <w:rFonts w:ascii="Verdana" w:eastAsia="Calibri" w:hAnsi="Verdana" w:cs="Arial"/>
                <w:b/>
                <w:bCs/>
                <w:highlight w:val="yellow"/>
                <w:lang w:val="es-ES" w:eastAsia="es-ES"/>
              </w:rPr>
            </w:pPr>
            <w:r w:rsidRPr="6CA9C418">
              <w:rPr>
                <w:rFonts w:ascii="Verdana" w:eastAsia="Calibri" w:hAnsi="Verdana" w:cs="Arial"/>
                <w:lang w:val="es-ES"/>
              </w:rPr>
              <w:t xml:space="preserve">SUBSANABILIDAD – Concepto – Límites - </w:t>
            </w:r>
            <w:r w:rsidRPr="6CA9C418">
              <w:rPr>
                <w:rFonts w:ascii="Verdana" w:hAnsi="Verdana" w:cs="Arial"/>
                <w:bdr w:val="none" w:sz="0" w:space="0" w:color="auto" w:frame="1"/>
                <w:lang w:eastAsia="es-CO"/>
              </w:rPr>
              <w:t>SUBSANACIÓN – Requisitos Habilitantes – Reglas - Manual para determinar y verificar los requisitos habilitantes en los Procesos de Contratación – consulta</w:t>
            </w:r>
          </w:p>
        </w:tc>
      </w:tr>
      <w:tr w:rsidR="00B62BEC" w:rsidRPr="00593A5F" w14:paraId="677D8EE9" w14:textId="77777777" w:rsidTr="6CA9C418">
        <w:trPr>
          <w:trHeight w:val="545"/>
        </w:trPr>
        <w:tc>
          <w:tcPr>
            <w:tcW w:w="2295" w:type="dxa"/>
          </w:tcPr>
          <w:p w14:paraId="3B54F715" w14:textId="77777777" w:rsidR="00B62BEC" w:rsidRPr="006730E9" w:rsidRDefault="00B62BEC" w:rsidP="008B3546">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4597B167" w14:textId="77777777" w:rsidR="00B62BEC" w:rsidRPr="006730E9" w:rsidRDefault="00B62BEC" w:rsidP="008B3546">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5764F6">
              <w:rPr>
                <w:rFonts w:ascii="Verdana" w:eastAsia="Calibri" w:hAnsi="Verdana" w:cs="Arial"/>
                <w:lang w:val="es-ES_tradnl" w:eastAsia="es-ES_tradnl"/>
              </w:rPr>
              <w:t>1_2025_10_02_010982</w:t>
            </w:r>
            <w:r>
              <w:rPr>
                <w:rFonts w:ascii="Verdana" w:eastAsia="Calibri" w:hAnsi="Verdana" w:cs="Arial"/>
                <w:lang w:val="es-ES_tradnl" w:eastAsia="es-ES_tradnl"/>
              </w:rPr>
              <w:t>.</w:t>
            </w:r>
          </w:p>
        </w:tc>
      </w:tr>
      <w:tr w:rsidR="00B62BEC" w:rsidRPr="00DB23D2" w14:paraId="7DA7B768" w14:textId="77777777" w:rsidTr="6CA9C418">
        <w:trPr>
          <w:gridAfter w:val="1"/>
          <w:wAfter w:w="319" w:type="dxa"/>
          <w:trHeight w:val="242"/>
        </w:trPr>
        <w:tc>
          <w:tcPr>
            <w:tcW w:w="8457" w:type="dxa"/>
            <w:gridSpan w:val="2"/>
          </w:tcPr>
          <w:p w14:paraId="56E08052" w14:textId="77777777" w:rsidR="00B62BEC" w:rsidRPr="00DB23D2" w:rsidRDefault="00B62BEC" w:rsidP="008B3546">
            <w:pPr>
              <w:spacing w:line="276" w:lineRule="auto"/>
              <w:jc w:val="both"/>
              <w:rPr>
                <w:rFonts w:ascii="Verdana" w:eastAsia="Calibri" w:hAnsi="Verdana" w:cs="Arial"/>
                <w:lang w:val="es-ES_tradnl" w:eastAsia="es-ES"/>
              </w:rPr>
            </w:pPr>
          </w:p>
        </w:tc>
      </w:tr>
    </w:tbl>
    <w:p w14:paraId="26340705" w14:textId="77777777" w:rsidR="00B62BEC" w:rsidRPr="006730E9" w:rsidRDefault="00B62BEC" w:rsidP="00B62BEC">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a </w:t>
      </w:r>
      <w:r w:rsidRPr="006730E9">
        <w:rPr>
          <w:rFonts w:ascii="Verdana" w:eastAsia="Calibri" w:hAnsi="Verdana" w:cs="Arial"/>
          <w:lang w:val="es-ES" w:eastAsia="es-ES"/>
        </w:rPr>
        <w:t>señor</w:t>
      </w:r>
      <w:r>
        <w:rPr>
          <w:rFonts w:ascii="Verdana" w:eastAsia="Calibri" w:hAnsi="Verdana" w:cs="Arial"/>
          <w:lang w:val="es-ES" w:eastAsia="es-ES"/>
        </w:rPr>
        <w:t>a Escobar;</w:t>
      </w:r>
    </w:p>
    <w:p w14:paraId="34FE1692" w14:textId="77777777" w:rsidR="00B62BEC" w:rsidRDefault="00B62BEC" w:rsidP="00B62BEC">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ab/>
      </w:r>
    </w:p>
    <w:p w14:paraId="12B4AB05" w14:textId="77777777" w:rsidR="00B62BEC" w:rsidRPr="006730E9" w:rsidRDefault="00B62BEC" w:rsidP="00B62BEC">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 su solicitud</w:t>
      </w:r>
      <w:r>
        <w:rPr>
          <w:rFonts w:ascii="Verdana" w:eastAsia="Calibri" w:hAnsi="Verdana" w:cs="Arial"/>
          <w:lang w:val="es-ES" w:eastAsia="es-ES"/>
        </w:rPr>
        <w:t xml:space="preserve">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02</w:t>
      </w:r>
      <w:r w:rsidRPr="00656A22">
        <w:rPr>
          <w:rFonts w:ascii="Verdana" w:eastAsia="Calibri" w:hAnsi="Verdana" w:cs="Arial"/>
          <w:lang w:val="es-ES" w:eastAsia="es-ES"/>
        </w:rPr>
        <w:t xml:space="preserve"> de </w:t>
      </w:r>
      <w:r>
        <w:rPr>
          <w:rFonts w:ascii="Verdana" w:eastAsia="Calibri" w:hAnsi="Verdana" w:cs="Arial"/>
          <w:lang w:val="es-ES" w:eastAsia="es-ES"/>
        </w:rPr>
        <w:t>octubre</w:t>
      </w:r>
      <w:r w:rsidRPr="00656A22">
        <w:rPr>
          <w:rFonts w:ascii="Verdana" w:eastAsia="Calibri" w:hAnsi="Verdana" w:cs="Arial"/>
          <w:lang w:val="es-ES" w:eastAsia="es-ES"/>
        </w:rPr>
        <w:t xml:space="preserve">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38119956" w14:textId="77777777" w:rsidR="00B62BEC" w:rsidRPr="00326382" w:rsidRDefault="00B62BEC" w:rsidP="00B62BEC">
      <w:pPr>
        <w:spacing w:after="0" w:line="276" w:lineRule="auto"/>
        <w:ind w:left="709" w:right="474"/>
        <w:jc w:val="both"/>
        <w:rPr>
          <w:rFonts w:ascii="Verdana" w:hAnsi="Verdana" w:cs="Arial"/>
          <w:sz w:val="20"/>
          <w:szCs w:val="20"/>
          <w:shd w:val="clear" w:color="auto" w:fill="FFFFFF"/>
        </w:rPr>
      </w:pPr>
      <w:bookmarkStart w:id="2" w:name="_Hlk95313578"/>
    </w:p>
    <w:bookmarkEnd w:id="2"/>
    <w:p w14:paraId="16344CC4" w14:textId="77777777" w:rsidR="00B62BEC" w:rsidRDefault="00B62BEC" w:rsidP="00B62BEC">
      <w:pPr>
        <w:tabs>
          <w:tab w:val="left" w:pos="142"/>
          <w:tab w:val="left" w:pos="567"/>
        </w:tabs>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          </w:t>
      </w:r>
      <w:r w:rsidRPr="00EA70F7">
        <w:rPr>
          <w:rFonts w:ascii="Verdana" w:eastAsia="Century Gothic" w:hAnsi="Verdana" w:cs="Century Gothic"/>
          <w:i/>
          <w:iCs/>
          <w:sz w:val="20"/>
          <w:szCs w:val="20"/>
        </w:rPr>
        <w:t xml:space="preserve">“(…) </w:t>
      </w:r>
    </w:p>
    <w:p w14:paraId="6F71AA7B" w14:textId="77777777" w:rsidR="00B62BEC" w:rsidRDefault="00B62BEC" w:rsidP="00B62BEC">
      <w:pPr>
        <w:tabs>
          <w:tab w:val="left" w:pos="142"/>
          <w:tab w:val="left" w:pos="567"/>
        </w:tabs>
        <w:spacing w:after="0" w:line="240" w:lineRule="auto"/>
        <w:ind w:right="709"/>
        <w:jc w:val="both"/>
        <w:rPr>
          <w:rFonts w:ascii="Verdana" w:eastAsia="Century Gothic" w:hAnsi="Verdana" w:cs="Century Gothic"/>
          <w:i/>
          <w:iCs/>
          <w:sz w:val="20"/>
          <w:szCs w:val="20"/>
        </w:rPr>
      </w:pPr>
    </w:p>
    <w:p w14:paraId="76A6221F" w14:textId="77777777" w:rsidR="00B62BEC" w:rsidRPr="001A6583" w:rsidRDefault="00B62BEC" w:rsidP="00B62BEC">
      <w:pPr>
        <w:tabs>
          <w:tab w:val="left" w:pos="142"/>
          <w:tab w:val="left" w:pos="567"/>
        </w:tabs>
        <w:spacing w:after="0" w:line="240" w:lineRule="auto"/>
        <w:ind w:left="709" w:right="709"/>
        <w:jc w:val="both"/>
        <w:rPr>
          <w:rFonts w:ascii="Verdana" w:eastAsia="Century Gothic" w:hAnsi="Verdana" w:cs="Century Gothic"/>
          <w:i/>
          <w:iCs/>
          <w:sz w:val="20"/>
          <w:szCs w:val="20"/>
        </w:rPr>
      </w:pPr>
      <w:r w:rsidRPr="001A6583">
        <w:rPr>
          <w:rFonts w:ascii="Verdana" w:eastAsia="Century Gothic" w:hAnsi="Verdana" w:cs="Century Gothic"/>
          <w:i/>
          <w:iCs/>
          <w:sz w:val="20"/>
          <w:szCs w:val="20"/>
        </w:rPr>
        <w:t xml:space="preserve">Según el régimen de </w:t>
      </w:r>
      <w:proofErr w:type="spellStart"/>
      <w:r w:rsidRPr="001A6583">
        <w:rPr>
          <w:rFonts w:ascii="Verdana" w:eastAsia="Century Gothic" w:hAnsi="Verdana" w:cs="Century Gothic"/>
          <w:i/>
          <w:iCs/>
          <w:sz w:val="20"/>
          <w:szCs w:val="20"/>
        </w:rPr>
        <w:t>subsanabilidad</w:t>
      </w:r>
      <w:proofErr w:type="spellEnd"/>
      <w:r w:rsidRPr="001A6583">
        <w:rPr>
          <w:rFonts w:ascii="Verdana" w:eastAsia="Century Gothic" w:hAnsi="Verdana" w:cs="Century Gothic"/>
          <w:i/>
          <w:iCs/>
          <w:sz w:val="20"/>
          <w:szCs w:val="20"/>
        </w:rPr>
        <w:t xml:space="preserve"> dominante en Colombia, se solicita lo siguiente:</w:t>
      </w:r>
    </w:p>
    <w:p w14:paraId="5E77FFC3" w14:textId="77777777" w:rsidR="00B62BEC" w:rsidRPr="001A6583" w:rsidRDefault="00B62BEC" w:rsidP="00B62BEC">
      <w:pPr>
        <w:tabs>
          <w:tab w:val="left" w:pos="142"/>
          <w:tab w:val="left" w:pos="567"/>
        </w:tabs>
        <w:spacing w:after="0" w:line="240" w:lineRule="auto"/>
        <w:ind w:left="709" w:right="709"/>
        <w:jc w:val="both"/>
        <w:rPr>
          <w:rFonts w:ascii="Verdana" w:eastAsia="Century Gothic" w:hAnsi="Verdana" w:cs="Century Gothic"/>
          <w:i/>
          <w:iCs/>
          <w:sz w:val="20"/>
          <w:szCs w:val="20"/>
        </w:rPr>
      </w:pPr>
      <w:r w:rsidRPr="001A6583">
        <w:rPr>
          <w:rFonts w:ascii="Verdana" w:eastAsia="Century Gothic" w:hAnsi="Verdana" w:cs="Century Gothic"/>
          <w:i/>
          <w:iCs/>
          <w:sz w:val="20"/>
          <w:szCs w:val="20"/>
        </w:rPr>
        <w:t>En el marco de un proceso de selección bajo el Estatuto General de Contratación</w:t>
      </w:r>
      <w:r>
        <w:rPr>
          <w:rFonts w:ascii="Verdana" w:eastAsia="Century Gothic" w:hAnsi="Verdana" w:cs="Century Gothic"/>
          <w:i/>
          <w:iCs/>
          <w:sz w:val="20"/>
          <w:szCs w:val="20"/>
        </w:rPr>
        <w:t xml:space="preserve"> </w:t>
      </w:r>
      <w:r w:rsidRPr="001A6583">
        <w:rPr>
          <w:rFonts w:ascii="Verdana" w:eastAsia="Century Gothic" w:hAnsi="Verdana" w:cs="Century Gothic"/>
          <w:i/>
          <w:iCs/>
          <w:sz w:val="20"/>
          <w:szCs w:val="20"/>
        </w:rPr>
        <w:t>de la Administración Pública y también en regímenes especiales, cuando dentro de</w:t>
      </w:r>
      <w:r>
        <w:rPr>
          <w:rFonts w:ascii="Verdana" w:eastAsia="Century Gothic" w:hAnsi="Verdana" w:cs="Century Gothic"/>
          <w:i/>
          <w:iCs/>
          <w:sz w:val="20"/>
          <w:szCs w:val="20"/>
        </w:rPr>
        <w:t xml:space="preserve"> </w:t>
      </w:r>
      <w:r w:rsidRPr="001A6583">
        <w:rPr>
          <w:rFonts w:ascii="Verdana" w:eastAsia="Century Gothic" w:hAnsi="Verdana" w:cs="Century Gothic"/>
          <w:i/>
          <w:iCs/>
          <w:sz w:val="20"/>
          <w:szCs w:val="20"/>
        </w:rPr>
        <w:t>los requisitos habilitantes se exigen perfiles mínimos, ¿es jurídicamente viable que,</w:t>
      </w:r>
      <w:r>
        <w:rPr>
          <w:rFonts w:ascii="Verdana" w:eastAsia="Century Gothic" w:hAnsi="Verdana" w:cs="Century Gothic"/>
          <w:i/>
          <w:iCs/>
          <w:sz w:val="20"/>
          <w:szCs w:val="20"/>
        </w:rPr>
        <w:t xml:space="preserve"> </w:t>
      </w:r>
      <w:r w:rsidRPr="001A6583">
        <w:rPr>
          <w:rFonts w:ascii="Verdana" w:eastAsia="Century Gothic" w:hAnsi="Verdana" w:cs="Century Gothic"/>
          <w:i/>
          <w:iCs/>
          <w:sz w:val="20"/>
          <w:szCs w:val="20"/>
        </w:rPr>
        <w:t>en etapa de subsanación, el proponente modifique dicho perfil en caso de no cumplir</w:t>
      </w:r>
      <w:r>
        <w:rPr>
          <w:rFonts w:ascii="Verdana" w:eastAsia="Century Gothic" w:hAnsi="Verdana" w:cs="Century Gothic"/>
          <w:i/>
          <w:iCs/>
          <w:sz w:val="20"/>
          <w:szCs w:val="20"/>
        </w:rPr>
        <w:t xml:space="preserve"> </w:t>
      </w:r>
      <w:r w:rsidRPr="001A6583">
        <w:rPr>
          <w:rFonts w:ascii="Verdana" w:eastAsia="Century Gothic" w:hAnsi="Verdana" w:cs="Century Gothic"/>
          <w:i/>
          <w:iCs/>
          <w:sz w:val="20"/>
          <w:szCs w:val="20"/>
        </w:rPr>
        <w:t>inicialmente con las condiciones exigidas?</w:t>
      </w:r>
    </w:p>
    <w:p w14:paraId="3C9BC976" w14:textId="77777777" w:rsidR="00B62BEC" w:rsidRPr="001A6583" w:rsidRDefault="00B62BEC" w:rsidP="00B62BEC">
      <w:pPr>
        <w:tabs>
          <w:tab w:val="left" w:pos="142"/>
          <w:tab w:val="left" w:pos="567"/>
        </w:tabs>
        <w:spacing w:after="0" w:line="240" w:lineRule="auto"/>
        <w:ind w:left="709" w:right="709"/>
        <w:jc w:val="both"/>
        <w:rPr>
          <w:rFonts w:ascii="Verdana" w:eastAsia="Century Gothic" w:hAnsi="Verdana" w:cs="Century Gothic"/>
          <w:i/>
          <w:iCs/>
          <w:sz w:val="20"/>
          <w:szCs w:val="20"/>
        </w:rPr>
      </w:pPr>
      <w:r w:rsidRPr="001A6583">
        <w:rPr>
          <w:rFonts w:ascii="Verdana" w:eastAsia="Century Gothic" w:hAnsi="Verdana" w:cs="Century Gothic"/>
          <w:i/>
          <w:iCs/>
          <w:sz w:val="20"/>
          <w:szCs w:val="20"/>
        </w:rPr>
        <w:lastRenderedPageBreak/>
        <w:t>En tal evento, ¿se configuraría un mejoramiento sustancial de la oferta que</w:t>
      </w:r>
      <w:r>
        <w:rPr>
          <w:rFonts w:ascii="Verdana" w:eastAsia="Century Gothic" w:hAnsi="Verdana" w:cs="Century Gothic"/>
          <w:i/>
          <w:iCs/>
          <w:sz w:val="20"/>
          <w:szCs w:val="20"/>
        </w:rPr>
        <w:t xml:space="preserve"> </w:t>
      </w:r>
      <w:r w:rsidRPr="001A6583">
        <w:rPr>
          <w:rFonts w:ascii="Verdana" w:eastAsia="Century Gothic" w:hAnsi="Verdana" w:cs="Century Gothic"/>
          <w:i/>
          <w:iCs/>
          <w:sz w:val="20"/>
          <w:szCs w:val="20"/>
        </w:rPr>
        <w:t>transgrede los principios de transparencia e igualdad, o debe entenderse como una</w:t>
      </w:r>
      <w:r>
        <w:rPr>
          <w:rFonts w:ascii="Verdana" w:eastAsia="Century Gothic" w:hAnsi="Verdana" w:cs="Century Gothic"/>
          <w:i/>
          <w:iCs/>
          <w:sz w:val="20"/>
          <w:szCs w:val="20"/>
        </w:rPr>
        <w:t xml:space="preserve"> </w:t>
      </w:r>
      <w:r w:rsidRPr="001A6583">
        <w:rPr>
          <w:rFonts w:ascii="Verdana" w:eastAsia="Century Gothic" w:hAnsi="Verdana" w:cs="Century Gothic"/>
          <w:i/>
          <w:iCs/>
          <w:sz w:val="20"/>
          <w:szCs w:val="20"/>
        </w:rPr>
        <w:t>subsanación válida dentro de los márgenes permitidos por la normatividad?</w:t>
      </w:r>
    </w:p>
    <w:p w14:paraId="3F8C83BE" w14:textId="77777777" w:rsidR="00B62BEC" w:rsidRPr="00EA70F7" w:rsidRDefault="00B62BEC" w:rsidP="00B62BEC">
      <w:pPr>
        <w:tabs>
          <w:tab w:val="left" w:pos="142"/>
          <w:tab w:val="left" w:pos="567"/>
        </w:tabs>
        <w:spacing w:after="0" w:line="240" w:lineRule="auto"/>
        <w:ind w:left="709" w:right="709"/>
        <w:jc w:val="both"/>
        <w:rPr>
          <w:rFonts w:ascii="Verdana" w:eastAsia="Century Gothic" w:hAnsi="Verdana" w:cs="Century Gothic"/>
          <w:i/>
          <w:iCs/>
          <w:sz w:val="20"/>
          <w:szCs w:val="20"/>
        </w:rPr>
      </w:pPr>
      <w:r w:rsidRPr="001A6583">
        <w:rPr>
          <w:rFonts w:ascii="Verdana" w:eastAsia="Century Gothic" w:hAnsi="Verdana" w:cs="Century Gothic"/>
          <w:i/>
          <w:iCs/>
          <w:sz w:val="20"/>
          <w:szCs w:val="20"/>
        </w:rPr>
        <w:t>¿Cuál es entonces el alcance real de la subsanación de requisitos habilitantes frente</w:t>
      </w:r>
      <w:r>
        <w:rPr>
          <w:rFonts w:ascii="Verdana" w:eastAsia="Century Gothic" w:hAnsi="Verdana" w:cs="Century Gothic"/>
          <w:i/>
          <w:iCs/>
          <w:sz w:val="20"/>
          <w:szCs w:val="20"/>
        </w:rPr>
        <w:t xml:space="preserve"> </w:t>
      </w:r>
      <w:r w:rsidRPr="001A6583">
        <w:rPr>
          <w:rFonts w:ascii="Verdana" w:eastAsia="Century Gothic" w:hAnsi="Verdana" w:cs="Century Gothic"/>
          <w:i/>
          <w:iCs/>
          <w:sz w:val="20"/>
          <w:szCs w:val="20"/>
        </w:rPr>
        <w:t>a la prohibición de modificar o mejorar la oferta, y cuáles son los límites fijados por</w:t>
      </w:r>
      <w:r>
        <w:rPr>
          <w:rFonts w:ascii="Verdana" w:eastAsia="Century Gothic" w:hAnsi="Verdana" w:cs="Century Gothic"/>
          <w:i/>
          <w:iCs/>
          <w:sz w:val="20"/>
          <w:szCs w:val="20"/>
        </w:rPr>
        <w:t xml:space="preserve"> </w:t>
      </w:r>
      <w:r w:rsidRPr="001A6583">
        <w:rPr>
          <w:rFonts w:ascii="Verdana" w:eastAsia="Century Gothic" w:hAnsi="Verdana" w:cs="Century Gothic"/>
          <w:i/>
          <w:iCs/>
          <w:sz w:val="20"/>
          <w:szCs w:val="20"/>
        </w:rPr>
        <w:t>la jurisprudencia y la normativa en materia de contratación estatal?</w:t>
      </w:r>
      <w:r>
        <w:rPr>
          <w:rFonts w:ascii="Verdana" w:eastAsia="Century Gothic" w:hAnsi="Verdana" w:cs="Century Gothic"/>
          <w:i/>
          <w:iCs/>
          <w:sz w:val="20"/>
          <w:szCs w:val="20"/>
        </w:rPr>
        <w:t xml:space="preserve"> </w:t>
      </w:r>
      <w:r w:rsidRPr="00EA70F7">
        <w:rPr>
          <w:rFonts w:ascii="Verdana" w:eastAsia="Century Gothic" w:hAnsi="Verdana" w:cs="Century Gothic"/>
          <w:i/>
          <w:iCs/>
          <w:sz w:val="20"/>
          <w:szCs w:val="20"/>
        </w:rPr>
        <w:t xml:space="preserve">(…)”. </w:t>
      </w:r>
    </w:p>
    <w:p w14:paraId="0CA6DBA1" w14:textId="77777777" w:rsidR="00B62BEC" w:rsidRDefault="00B62BEC" w:rsidP="00B62BEC">
      <w:pPr>
        <w:spacing w:after="0" w:line="276" w:lineRule="auto"/>
        <w:ind w:firstLine="709"/>
        <w:jc w:val="both"/>
        <w:rPr>
          <w:rFonts w:ascii="Verdana" w:eastAsia="Calibri" w:hAnsi="Verdana" w:cs="Arial"/>
          <w:lang w:val="es-ES" w:eastAsia="es-ES"/>
        </w:rPr>
      </w:pPr>
    </w:p>
    <w:p w14:paraId="78446D87" w14:textId="77777777" w:rsidR="00B62BEC" w:rsidRPr="00AA3B9F" w:rsidRDefault="00B62BEC" w:rsidP="00B62BEC">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742ABD2A" w14:textId="77777777" w:rsidR="00B62BEC" w:rsidRDefault="00B62BEC" w:rsidP="00B62BEC">
      <w:pPr>
        <w:spacing w:after="0" w:line="276" w:lineRule="auto"/>
        <w:ind w:firstLine="709"/>
        <w:jc w:val="both"/>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26A7EE78" w14:textId="77777777" w:rsidR="00B62BEC" w:rsidRDefault="00B62BEC" w:rsidP="00B62BEC">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13742EF7" w14:textId="77777777" w:rsidR="00B62BEC" w:rsidRDefault="00B62BEC" w:rsidP="00B62BE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6B3A6423" w14:textId="77777777" w:rsidR="00B62BEC" w:rsidRDefault="00B62BEC" w:rsidP="00B62BEC">
      <w:pPr>
        <w:pStyle w:val="Prrafodelista"/>
        <w:tabs>
          <w:tab w:val="left" w:pos="142"/>
          <w:tab w:val="left" w:pos="284"/>
        </w:tabs>
        <w:spacing w:after="0" w:line="276" w:lineRule="auto"/>
        <w:ind w:left="0"/>
        <w:jc w:val="both"/>
        <w:rPr>
          <w:rFonts w:ascii="Verdana" w:eastAsia="Century Gothic" w:hAnsi="Verdana" w:cs="Century Gothic"/>
          <w:b/>
          <w:bCs/>
        </w:rPr>
      </w:pPr>
    </w:p>
    <w:p w14:paraId="3A208B93" w14:textId="77777777" w:rsidR="00B62BEC" w:rsidRDefault="00B62BEC" w:rsidP="00B62BEC">
      <w:pPr>
        <w:spacing w:after="0" w:line="276" w:lineRule="auto"/>
        <w:jc w:val="both"/>
        <w:rPr>
          <w:rFonts w:ascii="Verdana" w:eastAsia="Calibri" w:hAnsi="Verdana" w:cs="Arial"/>
          <w:lang w:eastAsia="es-ES"/>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los </w:t>
      </w:r>
      <w:r w:rsidRPr="00E21BD1">
        <w:rPr>
          <w:rFonts w:ascii="Verdana" w:eastAsia="Calibri" w:hAnsi="Verdana" w:cs="Arial"/>
          <w:lang w:eastAsia="es-ES"/>
        </w:rPr>
        <w:t>siguiente</w:t>
      </w:r>
      <w:r>
        <w:rPr>
          <w:rFonts w:ascii="Verdana" w:eastAsia="Calibri" w:hAnsi="Verdana" w:cs="Arial"/>
          <w:lang w:eastAsia="es-ES"/>
        </w:rPr>
        <w:t>s</w:t>
      </w:r>
      <w:r w:rsidRPr="00E21BD1">
        <w:rPr>
          <w:rFonts w:ascii="Verdana" w:eastAsia="Calibri" w:hAnsi="Verdana" w:cs="Arial"/>
          <w:lang w:eastAsia="es-ES"/>
        </w:rPr>
        <w:t xml:space="preserve"> problema</w:t>
      </w:r>
      <w:r>
        <w:rPr>
          <w:rFonts w:ascii="Verdana" w:eastAsia="Calibri" w:hAnsi="Verdana" w:cs="Arial"/>
          <w:lang w:eastAsia="es-ES"/>
        </w:rPr>
        <w:t>s</w:t>
      </w:r>
      <w:r w:rsidRPr="00E21BD1">
        <w:rPr>
          <w:rFonts w:ascii="Verdana" w:eastAsia="Calibri" w:hAnsi="Verdana" w:cs="Arial"/>
          <w:lang w:eastAsia="es-ES"/>
        </w:rPr>
        <w:t xml:space="preserve"> jurídico</w:t>
      </w:r>
      <w:r>
        <w:rPr>
          <w:rFonts w:ascii="Verdana" w:eastAsia="Calibri" w:hAnsi="Verdana" w:cs="Arial"/>
          <w:lang w:eastAsia="es-ES"/>
        </w:rPr>
        <w:t>s</w:t>
      </w:r>
      <w:r w:rsidRPr="00E21BD1">
        <w:rPr>
          <w:rFonts w:ascii="Verdana" w:eastAsia="Calibri" w:hAnsi="Verdana" w:cs="Arial"/>
          <w:lang w:eastAsia="es-ES"/>
        </w:rPr>
        <w:t>:</w:t>
      </w:r>
      <w:bookmarkStart w:id="3" w:name="_Hlk196737317"/>
      <w:r>
        <w:rPr>
          <w:rFonts w:ascii="Verdana" w:eastAsia="Calibri" w:hAnsi="Verdana" w:cs="Arial"/>
          <w:lang w:eastAsia="es-ES"/>
        </w:rPr>
        <w:t xml:space="preserve"> </w:t>
      </w:r>
      <w:r w:rsidRPr="00883377">
        <w:rPr>
          <w:rFonts w:ascii="Verdana" w:eastAsia="Calibri" w:hAnsi="Verdana" w:cs="Arial"/>
          <w:lang w:eastAsia="es-ES"/>
        </w:rPr>
        <w:t>¿</w:t>
      </w:r>
      <w:r w:rsidRPr="001A0639">
        <w:rPr>
          <w:rFonts w:ascii="Verdana" w:eastAsia="Calibri" w:hAnsi="Verdana" w:cs="Arial"/>
          <w:lang w:eastAsia="es-ES"/>
        </w:rPr>
        <w:t>Puede considerarse válida la sustitución de requisitos habilitantes (como los perfiles profesionales) durante la etapa de subsanación en un proceso de contratación pública, sin que ello implique una modificación sustancial o mejora indebida de la oferta?</w:t>
      </w:r>
    </w:p>
    <w:p w14:paraId="0D975FCC" w14:textId="77777777" w:rsidR="00B62BEC" w:rsidRDefault="00B62BEC" w:rsidP="00B62BEC">
      <w:pPr>
        <w:spacing w:after="0" w:line="276" w:lineRule="auto"/>
        <w:jc w:val="both"/>
        <w:rPr>
          <w:rFonts w:ascii="Verdana" w:eastAsia="Calibri" w:hAnsi="Verdana" w:cs="Arial"/>
          <w:lang w:eastAsia="es-ES"/>
        </w:rPr>
      </w:pPr>
    </w:p>
    <w:bookmarkEnd w:id="3"/>
    <w:p w14:paraId="0342BCFA" w14:textId="77777777" w:rsidR="00B62BEC" w:rsidRDefault="00B62BEC" w:rsidP="00B62BE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32586836" w14:textId="77777777" w:rsidR="00B62BEC" w:rsidRPr="00593A5F" w:rsidRDefault="00B62BEC" w:rsidP="00B62BE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62BEC" w:rsidRPr="00593A5F" w14:paraId="725FB986" w14:textId="77777777" w:rsidTr="008B3546">
        <w:tc>
          <w:tcPr>
            <w:tcW w:w="8828" w:type="dxa"/>
          </w:tcPr>
          <w:p w14:paraId="0422FD0B" w14:textId="77777777" w:rsidR="00EF7F40" w:rsidRPr="001A10D9" w:rsidRDefault="00EF7F40" w:rsidP="00EF7F40">
            <w:pPr>
              <w:spacing w:after="120" w:line="276" w:lineRule="auto"/>
              <w:jc w:val="both"/>
              <w:rPr>
                <w:rFonts w:ascii="Verdana" w:eastAsia="Calibri" w:hAnsi="Verdana" w:cs="Arial"/>
              </w:rPr>
            </w:pPr>
            <w:r w:rsidRPr="001A10D9">
              <w:rPr>
                <w:rFonts w:ascii="Verdana" w:eastAsia="Calibri" w:hAnsi="Verdana" w:cs="Arial"/>
              </w:rPr>
              <w:t xml:space="preserve">La regla de </w:t>
            </w:r>
            <w:proofErr w:type="spellStart"/>
            <w:r w:rsidRPr="001A10D9">
              <w:rPr>
                <w:rFonts w:ascii="Verdana" w:eastAsia="Calibri" w:hAnsi="Verdana" w:cs="Arial"/>
              </w:rPr>
              <w:t>subsanabilidad</w:t>
            </w:r>
            <w:proofErr w:type="spellEnd"/>
            <w:r w:rsidRPr="001A10D9">
              <w:rPr>
                <w:rFonts w:ascii="Verdana" w:eastAsia="Calibri" w:hAnsi="Verdana" w:cs="Arial"/>
              </w:rPr>
              <w:t>, prevista en el artículo 5 de la Ley 1150 de 2007, es un mecanismo previsto en los procesos de contratación estatal que se regulan por el EGCAP, según la cual los proponentes</w:t>
            </w:r>
            <w:r>
              <w:rPr>
                <w:rFonts w:ascii="Verdana" w:eastAsia="Calibri" w:hAnsi="Verdana" w:cs="Arial"/>
              </w:rPr>
              <w:t xml:space="preserve"> </w:t>
            </w:r>
            <w:r w:rsidRPr="001A10D9">
              <w:rPr>
                <w:rFonts w:ascii="Verdana" w:eastAsia="Calibri" w:hAnsi="Verdana" w:cs="Arial"/>
              </w:rPr>
              <w:t xml:space="preserve">pueden enmendar, corregir o modificar los errores en los que se incurre en los documentos contentivos de la oferta. </w:t>
            </w:r>
          </w:p>
          <w:p w14:paraId="4D52362F" w14:textId="77777777" w:rsidR="00EF7F40" w:rsidRPr="00EF7F40" w:rsidRDefault="00EF7F40" w:rsidP="003647AA">
            <w:pPr>
              <w:spacing w:after="120" w:line="276" w:lineRule="auto"/>
              <w:ind w:firstLine="709"/>
              <w:jc w:val="both"/>
              <w:rPr>
                <w:rFonts w:ascii="Verdana" w:eastAsia="Times New Roman" w:hAnsi="Verdana" w:cs="Arial"/>
                <w:i/>
                <w:lang w:val="es-ES" w:eastAsia="es-ES"/>
              </w:rPr>
            </w:pPr>
            <w:r w:rsidRPr="00EF7F40">
              <w:rPr>
                <w:rFonts w:ascii="Verdana" w:hAnsi="Verdana" w:cs="Arial"/>
                <w:noProof/>
                <w:lang w:val="es-ES_tradnl"/>
              </w:rPr>
              <w:t xml:space="preserve">Conforme a las reglas de subsanabilidad, los requisitos o documentos que no sean necesarios para la comparación de las ofertas pueden subsanarse y todo lo que no sea necesario para la comparación de propuestas no es título suficiente para su rechazo. </w:t>
            </w:r>
          </w:p>
          <w:p w14:paraId="65F582D6" w14:textId="77777777" w:rsidR="00EF7F40" w:rsidRPr="00EF7F40" w:rsidRDefault="00EF7F40" w:rsidP="00EF7F40">
            <w:pPr>
              <w:spacing w:after="120" w:line="276" w:lineRule="auto"/>
              <w:ind w:firstLine="709"/>
              <w:jc w:val="both"/>
              <w:rPr>
                <w:rFonts w:ascii="Verdana" w:eastAsia="Times New Roman" w:hAnsi="Verdana" w:cs="Arial"/>
                <w:lang w:val="es-ES_tradnl" w:eastAsia="es-ES_tradnl"/>
              </w:rPr>
            </w:pPr>
            <w:r w:rsidRPr="00EF7F40">
              <w:rPr>
                <w:rFonts w:ascii="Verdana" w:eastAsia="Times New Roman" w:hAnsi="Verdana" w:cs="Arial"/>
                <w:lang w:val="es-ES_tradnl" w:eastAsia="es-ES_tradnl"/>
              </w:rPr>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16A93CD0" w14:textId="77777777" w:rsidR="00EF7F40" w:rsidRPr="00EF7F40" w:rsidRDefault="00EF7F40" w:rsidP="00EF7F40">
            <w:pPr>
              <w:spacing w:after="120" w:line="276" w:lineRule="auto"/>
              <w:ind w:firstLine="709"/>
              <w:jc w:val="both"/>
              <w:rPr>
                <w:rFonts w:ascii="Verdana" w:eastAsia="Times New Roman" w:hAnsi="Verdana" w:cs="Arial"/>
                <w:lang w:val="es-ES" w:eastAsia="es-ES"/>
              </w:rPr>
            </w:pPr>
            <w:r w:rsidRPr="00EF7F40">
              <w:rPr>
                <w:rFonts w:ascii="Verdana" w:eastAsia="Times New Roman" w:hAnsi="Verdana" w:cs="Arial"/>
                <w:lang w:val="es-ES" w:eastAsia="es-ES"/>
              </w:rPr>
              <w:t>Visto lo anterior, con miras a dar respuesta al problema jurídico planteado, debe decirse que, una vez verificada la ausencia de requisitos y/o documentos de la oferta, para efectos de saber si se pueden subsanar, la Administración se debe preguntar: en primer lugar, si lo que hace falta es un documento que afecte la asignación de puntaje o no y;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afecte la asignación de puntaje y la respuesta al segundo interrogante debe dar cuenta de que lo omitido sea la prueba de una circunstancia o hecho que ocurrió con anterioridad al cierre del proceso.</w:t>
            </w:r>
          </w:p>
          <w:p w14:paraId="758EAEB5" w14:textId="77777777" w:rsidR="00EF7F40" w:rsidRPr="00EF7F40" w:rsidRDefault="00EF7F40" w:rsidP="00EF7F40">
            <w:pPr>
              <w:spacing w:after="120" w:line="276" w:lineRule="auto"/>
              <w:ind w:firstLine="709"/>
              <w:jc w:val="both"/>
              <w:rPr>
                <w:rFonts w:ascii="Verdana" w:hAnsi="Verdana" w:cs="Arial"/>
                <w:noProof/>
                <w:lang w:val="es-ES_tradnl"/>
              </w:rPr>
            </w:pPr>
            <w:r w:rsidRPr="00EF7F40">
              <w:rPr>
                <w:rFonts w:ascii="Verdana" w:hAnsi="Verdana" w:cs="Arial"/>
                <w:noProof/>
                <w:lang w:val="es-ES_tradnl"/>
              </w:rPr>
              <w:t xml:space="preserve">En conclusion, los requisitos o documentos que no sean necesarios para la comparación de las ofertas pueden subsanarse y todo lo que no sea necesario para la comparación de propuestas no es título suficiente para su rechazo. En sentido, si en un concurso de méritos se presentó a un profesional </w:t>
            </w:r>
            <w:r w:rsidRPr="00EF7F40">
              <w:rPr>
                <w:rFonts w:ascii="Verdana" w:hAnsi="Verdana" w:cs="Arial"/>
                <w:noProof/>
                <w:lang w:val="es-ES_tradnl"/>
              </w:rPr>
              <w:lastRenderedPageBreak/>
              <w:t xml:space="preserve">para cumplir con un perfil solicitado como requisito habilitante, pero la entidad encontró alguna inconsistencia, podría subsanarse el requisito habilitante. </w:t>
            </w:r>
          </w:p>
          <w:p w14:paraId="7DD149F7" w14:textId="77777777" w:rsidR="00EF7F40" w:rsidRPr="00EF7F40" w:rsidRDefault="00EF7F40" w:rsidP="00EF7F40">
            <w:pPr>
              <w:spacing w:after="120" w:line="276" w:lineRule="auto"/>
              <w:ind w:firstLine="709"/>
              <w:jc w:val="both"/>
              <w:rPr>
                <w:rFonts w:ascii="Verdana" w:hAnsi="Verdana" w:cs="Arial"/>
                <w:noProof/>
                <w:lang w:val="es-ES_tradnl"/>
              </w:rPr>
            </w:pPr>
            <w:r w:rsidRPr="00EF7F40">
              <w:rPr>
                <w:rFonts w:ascii="Verdana" w:hAnsi="Verdana" w:cs="Arial"/>
                <w:noProof/>
                <w:lang w:val="es-ES_tradnl"/>
              </w:rPr>
              <w:t>No obstante, a la luz del artículo 5 de la Ley 1882 de 2018, lo subsanable es la prueba de todas las circunstancias ocurridas antes del vencimiento del término para presentar las ofertas, pues una cosa es el requisito habilitante o el elemento de la propuesta y otra su prueba. De tal modo que lo que prohíbe la norma es que se subsanen requisitos que no estaban materialmente cumplidos al momento de presentación de la oferta, o en palabras de la ley, que se acrediten hechos que ocurrieron después del cierre del proceso, por lo que dicha limitación a la regla de subsanabilidad también deberá ser tenida en cuenta.</w:t>
            </w:r>
          </w:p>
          <w:p w14:paraId="06F8F5DB" w14:textId="77C6403D" w:rsidR="00EF7F40" w:rsidRPr="00EF7F40" w:rsidRDefault="00EF7F40" w:rsidP="003647AA">
            <w:pPr>
              <w:spacing w:after="120" w:line="276" w:lineRule="auto"/>
              <w:ind w:firstLine="709"/>
              <w:jc w:val="both"/>
              <w:rPr>
                <w:rFonts w:ascii="Verdana" w:eastAsia="Calibri" w:hAnsi="Verdana" w:cs="Arial"/>
                <w:bCs/>
                <w:color w:val="000000" w:themeColor="text1"/>
              </w:rPr>
            </w:pPr>
            <w:r w:rsidRPr="00EF7F40">
              <w:rPr>
                <w:rFonts w:ascii="Verdana" w:hAnsi="Verdana" w:cs="Arial"/>
                <w:noProof/>
                <w:lang w:val="es-ES_tradnl"/>
              </w:rPr>
              <w:t>Finalmente, debe señalarse que, e</w:t>
            </w:r>
            <w:r w:rsidRPr="00EF7F40">
              <w:rPr>
                <w:rFonts w:ascii="Verdana" w:hAnsi="Verdana" w:cs="Arial"/>
              </w:rPr>
              <w:t>n el concurso de méritos es posible que la Entidad en el pliego de condiciones haya establecido criterios de puntaje respecto de los mismos perfiles que se han exigido como habilitantes, en dicho caso será posible subsanar el requisito habilitante pero no podrá asignársele puntaje.</w:t>
            </w:r>
            <w:r w:rsidR="00B62BEC">
              <w:rPr>
                <w:rFonts w:ascii="Verdana" w:eastAsia="Calibri" w:hAnsi="Verdana" w:cs="Arial"/>
                <w:bCs/>
                <w:color w:val="000000" w:themeColor="text1"/>
              </w:rPr>
              <w:t xml:space="preserve">         </w:t>
            </w:r>
          </w:p>
          <w:p w14:paraId="66AFA508" w14:textId="5B3D3993" w:rsidR="00B62BEC" w:rsidRDefault="00EF7F40" w:rsidP="003647AA">
            <w:pPr>
              <w:spacing w:after="120" w:line="276" w:lineRule="auto"/>
              <w:ind w:firstLine="709"/>
              <w:jc w:val="both"/>
              <w:rPr>
                <w:rFonts w:ascii="Verdana" w:eastAsia="Calibri" w:hAnsi="Verdana" w:cs="Times New Roman"/>
                <w:lang w:val="es-ES"/>
              </w:rPr>
            </w:pPr>
            <w:r w:rsidRPr="00EF7F40">
              <w:rPr>
                <w:rFonts w:ascii="Verdana" w:eastAsia="Calibri" w:hAnsi="Verdana" w:cs="Arial"/>
                <w:bCs/>
                <w:color w:val="000000" w:themeColor="text1"/>
              </w:rPr>
              <w:t>En todo caso</w:t>
            </w:r>
            <w:r w:rsidR="00B62BEC">
              <w:rPr>
                <w:rFonts w:ascii="Verdana" w:eastAsia="Calibri" w:hAnsi="Verdana" w:cs="Times New Roman"/>
                <w:lang w:val="es-ES"/>
              </w:rPr>
              <w:t>,</w:t>
            </w:r>
            <w:r w:rsidR="00B62BEC" w:rsidRPr="00DB4737">
              <w:rPr>
                <w:rFonts w:ascii="Verdana" w:eastAsia="Calibri" w:hAnsi="Verdana" w:cs="Times New Roman"/>
                <w:lang w:val="es-ES"/>
              </w:rPr>
              <w:t xml:space="preserve"> debe advertirse que el análisis en torno </w:t>
            </w:r>
            <w:r w:rsidR="00B62BEC">
              <w:rPr>
                <w:rFonts w:ascii="Verdana" w:eastAsia="Calibri" w:hAnsi="Verdana" w:cs="Times New Roman"/>
                <w:lang w:val="es-ES"/>
              </w:rPr>
              <w:t>a un proceso de contratación especifico debe</w:t>
            </w:r>
            <w:r w:rsidR="00B62BEC" w:rsidRPr="0012388D">
              <w:rPr>
                <w:rFonts w:ascii="Verdana" w:eastAsia="Calibri" w:hAnsi="Verdana" w:cs="Times New Roman"/>
                <w:lang w:val="es-ES"/>
              </w:rPr>
              <w:t xml:space="preserve"> ser realizado por quienes tengan interés en ello.</w:t>
            </w:r>
            <w:r w:rsidR="00B62BEC"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00B62BEC" w:rsidRPr="003647AA">
              <w:rPr>
                <w:rFonts w:ascii="Verdana" w:hAnsi="Verdana"/>
              </w:rPr>
              <w:t xml:space="preserve"> </w:t>
            </w:r>
          </w:p>
          <w:p w14:paraId="7B5B2322" w14:textId="56D6981D" w:rsidR="00B62BEC" w:rsidRPr="00E529C2" w:rsidRDefault="00B62BEC" w:rsidP="003647AA">
            <w:pPr>
              <w:spacing w:after="120" w:line="276" w:lineRule="auto"/>
              <w:ind w:firstLine="709"/>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bl>
    <w:p w14:paraId="4AE26785" w14:textId="77777777" w:rsidR="00B62BEC" w:rsidRDefault="00B62BEC" w:rsidP="00B62BEC">
      <w:pPr>
        <w:tabs>
          <w:tab w:val="left" w:pos="142"/>
          <w:tab w:val="left" w:pos="284"/>
        </w:tabs>
        <w:spacing w:after="0" w:line="276" w:lineRule="auto"/>
        <w:jc w:val="both"/>
        <w:rPr>
          <w:rFonts w:ascii="Verdana" w:eastAsia="Century Gothic" w:hAnsi="Verdana" w:cs="Century Gothic"/>
          <w:b/>
          <w:bCs/>
          <w:lang w:val="es-ES"/>
        </w:rPr>
      </w:pPr>
    </w:p>
    <w:p w14:paraId="6AAA473C" w14:textId="77777777" w:rsidR="00B62BEC" w:rsidRDefault="00B62BEC" w:rsidP="00B62BE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17BB48C" w14:textId="77777777" w:rsidR="00B62BEC" w:rsidRDefault="00B62BEC" w:rsidP="00B62BE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1CA19FB" w14:textId="146BD5B9" w:rsidR="00B62BEC" w:rsidRPr="00C543FB" w:rsidRDefault="00B62BEC" w:rsidP="00B62BEC">
      <w:pPr>
        <w:spacing w:line="276" w:lineRule="auto"/>
        <w:jc w:val="both"/>
        <w:rPr>
          <w:rFonts w:ascii="Verdana" w:eastAsia="Calibri" w:hAnsi="Verdana" w:cs="Arial"/>
          <w:color w:val="000000"/>
          <w:lang w:val="es-ES" w:eastAsia="es-MX"/>
        </w:rPr>
      </w:pPr>
      <w:r w:rsidRPr="00C543FB">
        <w:rPr>
          <w:rFonts w:ascii="Verdana" w:eastAsia="Calibri" w:hAnsi="Verdana" w:cs="Arial"/>
          <w:color w:val="000000"/>
          <w:lang w:val="es-ES" w:eastAsia="es-MX"/>
        </w:rPr>
        <w:t xml:space="preserve">La </w:t>
      </w:r>
      <w:proofErr w:type="spellStart"/>
      <w:r w:rsidRPr="00C543FB">
        <w:rPr>
          <w:rFonts w:ascii="Verdana" w:eastAsia="Calibri" w:hAnsi="Verdana" w:cs="Arial"/>
          <w:color w:val="000000"/>
          <w:lang w:val="es-ES" w:eastAsia="es-MX"/>
        </w:rPr>
        <w:t>subsanabilidad</w:t>
      </w:r>
      <w:proofErr w:type="spellEnd"/>
      <w:r w:rsidRPr="00C543FB">
        <w:rPr>
          <w:rFonts w:ascii="Verdana" w:eastAsia="Calibri" w:hAnsi="Verdana" w:cs="Arial"/>
          <w:color w:val="000000"/>
          <w:lang w:val="es-ES" w:eastAsia="es-MX"/>
        </w:rPr>
        <w:t xml:space="preserve"> es un mecanismo previsto en los procedimientos regulados por el Estatuto de Contratación Estatal de Colombia. Esta regla, prevista en el artículo 5 de la Ley 1150 de 2007, permite que los proponentes puedan enmendar, corregir o modificar los errores en los documentos de la oferta respecto a los requisitos habilitantes. Además, la posibilidad de subsanar estos documentos tiene como propósito: </w:t>
      </w:r>
    </w:p>
    <w:p w14:paraId="615371B9" w14:textId="77777777" w:rsidR="00B62BEC" w:rsidRPr="007D1D8C" w:rsidRDefault="00B62BEC" w:rsidP="00B62BEC">
      <w:pPr>
        <w:ind w:left="709" w:right="709"/>
        <w:jc w:val="both"/>
        <w:rPr>
          <w:rFonts w:ascii="Verdana" w:eastAsia="Calibri" w:hAnsi="Verdana" w:cs="Arial"/>
          <w:color w:val="000000"/>
          <w:sz w:val="20"/>
          <w:szCs w:val="20"/>
          <w:lang w:val="es-ES" w:eastAsia="es-MX"/>
        </w:rPr>
      </w:pPr>
      <w:r w:rsidRPr="007D1D8C">
        <w:rPr>
          <w:rFonts w:ascii="Verdana" w:eastAsia="Calibri" w:hAnsi="Verdana" w:cs="Arial"/>
          <w:color w:val="000000"/>
          <w:sz w:val="20"/>
          <w:szCs w:val="20"/>
          <w:lang w:val="es-ES" w:eastAsia="es-MX"/>
        </w:rPr>
        <w:t>[…] materializar un principio general de primacía de lo sustancial sobre lo formal, adoptando medidas de saneamiento del proceso de selección tendientes a que los meros defectos formales, que no afecten sustancialmente la oferta, referidos a la documentación o instrumentalización de la misma, priven a la administración de considerar una oferta por causa de tales falencias</w:t>
      </w:r>
      <w:r w:rsidRPr="007D1D8C">
        <w:rPr>
          <w:rFonts w:ascii="Verdana" w:eastAsia="Calibri" w:hAnsi="Verdana" w:cs="Arial"/>
          <w:color w:val="000000"/>
          <w:sz w:val="20"/>
          <w:szCs w:val="20"/>
          <w:vertAlign w:val="superscript"/>
          <w:lang w:val="es-ES" w:eastAsia="es-MX"/>
        </w:rPr>
        <w:footnoteReference w:id="2"/>
      </w:r>
      <w:r w:rsidRPr="007D1D8C">
        <w:rPr>
          <w:rFonts w:ascii="Verdana" w:eastAsia="Calibri" w:hAnsi="Verdana" w:cs="Arial"/>
          <w:color w:val="000000"/>
          <w:sz w:val="20"/>
          <w:szCs w:val="20"/>
          <w:lang w:val="es-ES" w:eastAsia="es-MX"/>
        </w:rPr>
        <w:t>.</w:t>
      </w:r>
    </w:p>
    <w:p w14:paraId="593EA13E" w14:textId="77777777" w:rsidR="00B62BEC" w:rsidRPr="00C543FB" w:rsidRDefault="00B62BEC" w:rsidP="00B62BEC">
      <w:pPr>
        <w:spacing w:after="120" w:line="276" w:lineRule="auto"/>
        <w:ind w:firstLine="708"/>
        <w:jc w:val="both"/>
        <w:rPr>
          <w:rFonts w:ascii="Verdana" w:eastAsia="Times New Roman" w:hAnsi="Verdana" w:cs="Arial"/>
          <w:color w:val="000000"/>
          <w:lang w:val="es-ES" w:eastAsia="es-MX"/>
        </w:rPr>
      </w:pPr>
      <w:r w:rsidRPr="00C543FB">
        <w:rPr>
          <w:rFonts w:ascii="Verdana" w:eastAsia="Calibri" w:hAnsi="Verdana" w:cs="Arial"/>
          <w:color w:val="000000"/>
          <w:lang w:val="es-ES" w:eastAsia="es-MX"/>
        </w:rPr>
        <w:t xml:space="preserve">A raíz de lo anterior, no podrán rechazarse las propuestas por ausencia de requisitos o falta de documentos que verifiquen las condiciones habilitantes del proponente, y que, a su vez, estos no se constituyan como factores de comparación entre propuestas. </w:t>
      </w:r>
      <w:r w:rsidRPr="00C543FB">
        <w:rPr>
          <w:rFonts w:ascii="Verdana" w:eastAsia="Times New Roman" w:hAnsi="Verdana" w:cs="Arial"/>
          <w:color w:val="000000"/>
          <w:lang w:val="es-ES" w:eastAsia="es-MX"/>
        </w:rPr>
        <w:t xml:space="preserve">Ahora bien, la posibilidad de subsanar los documentos contentivos de la oferta es un tema que ha tenido diferentes momentos o etapas en el ordenamiento jurídico colombiano. </w:t>
      </w:r>
    </w:p>
    <w:p w14:paraId="52BCBBF6" w14:textId="77777777" w:rsidR="00B62BEC" w:rsidRPr="00C543FB" w:rsidRDefault="00B62BEC" w:rsidP="00B62BEC">
      <w:pPr>
        <w:spacing w:before="120" w:after="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En un </w:t>
      </w:r>
      <w:r w:rsidRPr="00C543FB">
        <w:rPr>
          <w:rFonts w:ascii="Verdana" w:eastAsia="Times New Roman" w:hAnsi="Verdana" w:cs="Arial"/>
          <w:i/>
          <w:color w:val="000000"/>
          <w:lang w:val="es-ES" w:eastAsia="es-MX"/>
        </w:rPr>
        <w:t>primer momento</w:t>
      </w:r>
      <w:r w:rsidRPr="00C543FB">
        <w:rPr>
          <w:rFonts w:ascii="Verdana" w:eastAsia="Times New Roman" w:hAnsi="Verdana" w:cs="Arial"/>
          <w:color w:val="000000"/>
          <w:lang w:val="es-ES" w:eastAsia="es-MX"/>
        </w:rPr>
        <w:t xml:space="preserve">, antes de la entrada en vigor de la Constitución Política de 1991, el régimen jurídico de la </w:t>
      </w:r>
      <w:proofErr w:type="spellStart"/>
      <w:r w:rsidRPr="00C543FB">
        <w:rPr>
          <w:rFonts w:ascii="Verdana" w:eastAsia="Times New Roman" w:hAnsi="Verdana" w:cs="Arial"/>
          <w:color w:val="000000"/>
          <w:lang w:val="es-ES" w:eastAsia="es-MX"/>
        </w:rPr>
        <w:t>subsanabilidad</w:t>
      </w:r>
      <w:proofErr w:type="spellEnd"/>
      <w:r w:rsidRPr="00C543FB">
        <w:rPr>
          <w:rFonts w:ascii="Verdana" w:eastAsia="Times New Roman" w:hAnsi="Verdana" w:cs="Arial"/>
          <w:color w:val="000000"/>
          <w:lang w:val="es-ES" w:eastAsia="es-MX"/>
        </w:rPr>
        <w:t xml:space="preserve"> de las ofertas estaba compuesto por el Decreto Ley 150 de 1976 y el Decreto Ley 222 de 1983. Bajo el imperio de estas normas, la posibilidad de subsanar errores era prácticamente inexistente, debido al excesivo formalismo procedimental que irradiaba la actuación administrativa. En este contexto, por ejemplo, no era extraordinario que una oferta fuera rechazada por no aportar una copia de esta. </w:t>
      </w:r>
    </w:p>
    <w:p w14:paraId="2D83B08C" w14:textId="77777777" w:rsidR="00B62BEC" w:rsidRPr="00C543FB" w:rsidRDefault="00B62BEC" w:rsidP="00B62BEC">
      <w:pPr>
        <w:spacing w:before="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En un </w:t>
      </w:r>
      <w:r w:rsidRPr="00C543FB">
        <w:rPr>
          <w:rFonts w:ascii="Verdana" w:eastAsia="Times New Roman" w:hAnsi="Verdana" w:cs="Arial"/>
          <w:i/>
          <w:color w:val="000000"/>
          <w:lang w:val="es-ES" w:eastAsia="es-MX"/>
        </w:rPr>
        <w:t>segundo momento</w:t>
      </w:r>
      <w:r w:rsidRPr="00C543FB">
        <w:rPr>
          <w:rFonts w:ascii="Verdana" w:eastAsia="Times New Roman" w:hAnsi="Verdana" w:cs="Arial"/>
          <w:color w:val="000000"/>
          <w:lang w:val="es-ES" w:eastAsia="es-MX"/>
        </w:rPr>
        <w:t xml:space="preserve"> se expidió la Ley 80 de 1993, bajo el nuevo paradigma que supuso la Constitución de 1991, particularmente en la forma como se relaciona lo formal y lo sustancial en las actuaciones judiciales y administrativas. Este cambio ideológico quedó consignado en el artículo 228, que introdujo un principio de supremacía o prevalencia del derecho sustancial </w:t>
      </w:r>
      <w:r w:rsidRPr="00C543FB">
        <w:rPr>
          <w:rFonts w:ascii="Verdana" w:eastAsia="Times New Roman" w:hAnsi="Verdana" w:cs="Arial"/>
          <w:color w:val="000000"/>
          <w:lang w:val="es-ES" w:eastAsia="es-MX"/>
        </w:rPr>
        <w:lastRenderedPageBreak/>
        <w:t xml:space="preserve">sobre lo procedimental. En este nuevo escenario constitucional, el artículo 25.15 de la Ley 80 de 1993 dispuso lo siguiente: </w:t>
      </w:r>
    </w:p>
    <w:p w14:paraId="3018BF14" w14:textId="77777777" w:rsidR="00B62BEC" w:rsidRPr="007D1D8C" w:rsidRDefault="00B62BEC" w:rsidP="00B62BEC">
      <w:pPr>
        <w:spacing w:after="120"/>
        <w:ind w:left="709" w:right="709"/>
        <w:jc w:val="both"/>
        <w:rPr>
          <w:rFonts w:ascii="Verdana" w:eastAsia="Times New Roman" w:hAnsi="Verdana" w:cs="Arial"/>
          <w:color w:val="000000"/>
          <w:sz w:val="20"/>
          <w:szCs w:val="20"/>
          <w:lang w:val="es-ES" w:eastAsia="es-MX"/>
        </w:rPr>
      </w:pPr>
      <w:r w:rsidRPr="007D1D8C">
        <w:rPr>
          <w:rFonts w:ascii="Verdana" w:eastAsia="Times New Roman" w:hAnsi="Verdana" w:cs="Arial"/>
          <w:color w:val="000000"/>
          <w:sz w:val="20"/>
          <w:szCs w:val="20"/>
          <w:lang w:val="es-ES" w:eastAsia="es-MX"/>
        </w:rPr>
        <w:t xml:space="preserve">Las autoridades no exigirán sellos, autenticaciones, documentos originales o autenticados, reconocimientos de firmas, traducciones oficiales, ni cualquier otra clase de formalidades o exigencias rituales, salvo cuando en forma perentoria y expresa lo exijan leyes especiales. </w:t>
      </w:r>
    </w:p>
    <w:p w14:paraId="40674266" w14:textId="77777777" w:rsidR="00B62BEC" w:rsidRPr="007D1D8C" w:rsidRDefault="00B62BEC" w:rsidP="00B62BEC">
      <w:pPr>
        <w:spacing w:before="120"/>
        <w:ind w:left="709" w:right="709"/>
        <w:jc w:val="both"/>
        <w:rPr>
          <w:rFonts w:ascii="Verdana" w:eastAsia="Times New Roman" w:hAnsi="Verdana" w:cs="Arial"/>
          <w:color w:val="000000"/>
          <w:sz w:val="20"/>
          <w:szCs w:val="20"/>
          <w:lang w:val="es-ES" w:eastAsia="es-MX"/>
        </w:rPr>
      </w:pPr>
      <w:r w:rsidRPr="007D1D8C">
        <w:rPr>
          <w:rFonts w:ascii="Verdana" w:eastAsia="Times New Roman" w:hAnsi="Verdana" w:cs="Arial"/>
          <w:color w:val="000000"/>
          <w:sz w:val="20"/>
          <w:szCs w:val="20"/>
          <w:lang w:val="es-ES" w:eastAsia="es-MX"/>
        </w:rPr>
        <w:t xml:space="preserve">La ausencia de requisitos o la falta de documentos referentes a la futura contratación o al proponente, no necesarios para la comparación de propuestas, no servirá de título suficiente para el rechazo de los ofrecimientos hechos. </w:t>
      </w:r>
    </w:p>
    <w:p w14:paraId="546B1E9E" w14:textId="77777777" w:rsidR="00B62BEC" w:rsidRPr="00C543FB" w:rsidRDefault="00B62BEC" w:rsidP="00B62BEC">
      <w:pPr>
        <w:spacing w:after="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Bajo el amparo de esta norma, el régimen jurídico de </w:t>
      </w:r>
      <w:proofErr w:type="spellStart"/>
      <w:r w:rsidRPr="00C543FB">
        <w:rPr>
          <w:rFonts w:ascii="Verdana" w:eastAsia="Times New Roman" w:hAnsi="Verdana" w:cs="Arial"/>
          <w:color w:val="000000"/>
          <w:lang w:val="es-ES" w:eastAsia="es-MX"/>
        </w:rPr>
        <w:t>subsanabilidad</w:t>
      </w:r>
      <w:proofErr w:type="spellEnd"/>
      <w:r w:rsidRPr="00C543FB">
        <w:rPr>
          <w:rFonts w:ascii="Verdana" w:eastAsia="Times New Roman" w:hAnsi="Verdana" w:cs="Arial"/>
          <w:color w:val="000000"/>
          <w:lang w:val="es-ES" w:eastAsia="es-MX"/>
        </w:rPr>
        <w:t xml:space="preserve"> de las ofertas sufre un cambio fundamental, pues ya no era posible rechazar las ofertas por falta de requisitos o documentos que no fueran </w:t>
      </w:r>
      <w:r>
        <w:rPr>
          <w:rFonts w:ascii="Verdana" w:eastAsia="Times New Roman" w:hAnsi="Verdana" w:cs="Arial"/>
          <w:color w:val="000000"/>
          <w:lang w:val="es-ES" w:eastAsia="es-MX"/>
        </w:rPr>
        <w:t>“</w:t>
      </w:r>
      <w:r w:rsidRPr="00C543FB">
        <w:rPr>
          <w:rFonts w:ascii="Verdana" w:eastAsia="Times New Roman" w:hAnsi="Verdana" w:cs="Arial"/>
          <w:color w:val="000000"/>
          <w:lang w:val="es-ES" w:eastAsia="es-MX"/>
        </w:rPr>
        <w:t>necesarios para la comparación de propuestas</w:t>
      </w:r>
      <w:r>
        <w:rPr>
          <w:rFonts w:ascii="Verdana" w:eastAsia="Times New Roman" w:hAnsi="Verdana" w:cs="Arial"/>
          <w:color w:val="000000"/>
          <w:lang w:val="es-ES" w:eastAsia="es-MX"/>
        </w:rPr>
        <w:t>”</w:t>
      </w:r>
      <w:r w:rsidRPr="00C543FB">
        <w:rPr>
          <w:rFonts w:ascii="Verdana" w:eastAsia="Times New Roman" w:hAnsi="Verdana" w:cs="Arial"/>
          <w:color w:val="000000"/>
          <w:lang w:val="es-ES" w:eastAsia="es-MX"/>
        </w:rPr>
        <w:t xml:space="preserve">. De esta manera, la ley introdujo un primer criterio jurídico, aunque indeterminado, que servía como punto de partida en la posibilidad de subsanar las ofertas, pues verificada la ausencia de un requisito o documento, previo al rechazo de la oferta, la Administración debía constatar si este era o no necesario para la comparación de las propuestas y de ese análisis surgiría la decisión sobre su rechazo o la oportunidad de subsanar. </w:t>
      </w:r>
    </w:p>
    <w:p w14:paraId="2C826BE4" w14:textId="77777777" w:rsidR="00B62BEC" w:rsidRPr="00C543FB" w:rsidRDefault="00B62BEC" w:rsidP="00B62BEC">
      <w:pPr>
        <w:spacing w:before="120" w:after="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Esta norma debía leerse en conjunto con otras de la Ley 80 de 1993, particularmente con el artículo 30.7, que ordena a la entidad señalar un plazo razonable para evaluar las propuestas y para pedir a los proponentes, de ser necesario, que aclaren o expliquen aspectos que ofrezcan dudas y resulten indispensables para llevar a cabo la evaluación</w:t>
      </w:r>
      <w:r w:rsidRPr="00C543FB">
        <w:rPr>
          <w:rFonts w:ascii="Verdana" w:eastAsia="Times New Roman" w:hAnsi="Verdana" w:cs="Arial"/>
          <w:color w:val="000000"/>
          <w:vertAlign w:val="superscript"/>
          <w:lang w:val="es-ES" w:eastAsia="es-MX"/>
        </w:rPr>
        <w:footnoteReference w:id="3"/>
      </w:r>
      <w:r w:rsidRPr="00C543FB">
        <w:rPr>
          <w:rFonts w:ascii="Verdana" w:eastAsia="Times New Roman" w:hAnsi="Verdana" w:cs="Arial"/>
          <w:color w:val="000000"/>
          <w:lang w:val="es-ES" w:eastAsia="es-MX"/>
        </w:rPr>
        <w:t>; y con el artículo 30.8, que consagró el término de 5 días hábiles para que los oferentes presenten observaciones al informe de evaluación de las propuestas, sin que sea posible completar, adicionar, modificar o mejorar su oferta</w:t>
      </w:r>
      <w:r w:rsidRPr="00C543FB">
        <w:rPr>
          <w:rFonts w:ascii="Verdana" w:eastAsia="Times New Roman" w:hAnsi="Verdana" w:cs="Arial"/>
          <w:color w:val="000000"/>
          <w:vertAlign w:val="superscript"/>
          <w:lang w:val="es-ES" w:eastAsia="es-MX"/>
        </w:rPr>
        <w:footnoteReference w:id="4"/>
      </w:r>
      <w:r w:rsidRPr="00C543FB">
        <w:rPr>
          <w:rFonts w:ascii="Verdana" w:eastAsia="Times New Roman" w:hAnsi="Verdana" w:cs="Arial"/>
          <w:color w:val="000000"/>
          <w:lang w:val="es-ES" w:eastAsia="es-MX"/>
        </w:rPr>
        <w:t xml:space="preserve">.  </w:t>
      </w:r>
    </w:p>
    <w:p w14:paraId="2271D129" w14:textId="77777777" w:rsidR="00B62BEC" w:rsidRPr="00C543FB" w:rsidRDefault="00B62BEC" w:rsidP="00B62BEC">
      <w:pPr>
        <w:spacing w:before="120" w:after="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A partir de la lectura integrada de estas tres normas debía concluirse que con la Ley 80 de 1993 era posible subsanar las propuestas, y la omisión o el </w:t>
      </w:r>
      <w:r w:rsidRPr="00C543FB">
        <w:rPr>
          <w:rFonts w:ascii="Verdana" w:eastAsia="Times New Roman" w:hAnsi="Verdana" w:cs="Arial"/>
          <w:color w:val="000000"/>
          <w:lang w:val="es-ES" w:eastAsia="es-MX"/>
        </w:rPr>
        <w:lastRenderedPageBreak/>
        <w:t xml:space="preserve">error en algún aspecto de esta no podía llevar a su rechazo, sin antes verificar que lo omitido fuera un aspecto necesario para la comparación. </w:t>
      </w:r>
    </w:p>
    <w:p w14:paraId="0371E8BE" w14:textId="77777777" w:rsidR="00B62BEC" w:rsidRPr="00C543FB" w:rsidRDefault="00B62BEC" w:rsidP="00B62BEC">
      <w:pPr>
        <w:spacing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En un </w:t>
      </w:r>
      <w:r w:rsidRPr="00C543FB">
        <w:rPr>
          <w:rFonts w:ascii="Verdana" w:eastAsia="Times New Roman" w:hAnsi="Verdana" w:cs="Arial"/>
          <w:i/>
          <w:color w:val="000000"/>
          <w:lang w:val="es-ES" w:eastAsia="es-MX"/>
        </w:rPr>
        <w:t>tercer momento</w:t>
      </w:r>
      <w:r w:rsidRPr="00C543FB">
        <w:rPr>
          <w:rFonts w:ascii="Verdana" w:eastAsia="Times New Roman" w:hAnsi="Verdana" w:cs="Arial"/>
          <w:color w:val="000000"/>
          <w:lang w:val="es-ES" w:eastAsia="es-MX"/>
        </w:rPr>
        <w:t xml:space="preserve">, siguiendo la línea trazada por la Ley 80 de 1993, el legislador expidió la Ley 1150 de 2007, que en el parágrafo 1º del artículo 5, determinó lo siguiente: </w:t>
      </w:r>
    </w:p>
    <w:p w14:paraId="43FA6224" w14:textId="77777777" w:rsidR="00B62BEC" w:rsidRPr="007D1D8C" w:rsidRDefault="00B62BEC" w:rsidP="00B62BEC">
      <w:pPr>
        <w:ind w:left="709" w:right="709"/>
        <w:jc w:val="both"/>
        <w:rPr>
          <w:rFonts w:ascii="Verdana" w:eastAsia="Times New Roman" w:hAnsi="Verdana" w:cs="Arial"/>
          <w:color w:val="000000"/>
          <w:sz w:val="20"/>
          <w:szCs w:val="20"/>
          <w:lang w:val="es-ES" w:eastAsia="es-MX"/>
        </w:rPr>
      </w:pPr>
      <w:r w:rsidRPr="007D1D8C">
        <w:rPr>
          <w:rFonts w:ascii="Verdana" w:eastAsia="Times New Roman" w:hAnsi="Verdana" w:cs="Arial"/>
          <w:color w:val="000000"/>
          <w:sz w:val="20"/>
          <w:szCs w:val="20"/>
          <w:lang w:val="es-ES" w:eastAsia="es-MX"/>
        </w:rPr>
        <w:t>Parágrafo 1°. La ausencia de requisitos o la falta de documentos referentes a la futura contratación o al proponente, no necesarios para la comparación de las propuestas no servirán de título suficiente para el rechazo de los ofrecimientos hechos. En consecuencia</w:t>
      </w:r>
      <w:r w:rsidRPr="007D1D8C">
        <w:rPr>
          <w:rFonts w:ascii="Verdana" w:eastAsia="Times New Roman" w:hAnsi="Verdana" w:cs="Arial"/>
          <w:b/>
          <w:color w:val="000000"/>
          <w:sz w:val="20"/>
          <w:szCs w:val="20"/>
          <w:lang w:val="es-ES" w:eastAsia="es-MX"/>
        </w:rPr>
        <w:t xml:space="preserve">, </w:t>
      </w:r>
      <w:r w:rsidRPr="007D1D8C">
        <w:rPr>
          <w:rFonts w:ascii="Verdana" w:eastAsia="Times New Roman" w:hAnsi="Verdana" w:cs="Arial"/>
          <w:color w:val="000000"/>
          <w:sz w:val="20"/>
          <w:szCs w:val="20"/>
          <w:lang w:val="es-ES" w:eastAsia="es-MX"/>
        </w:rPr>
        <w:t xml:space="preserve">todos aquellos requisitos de la propuesta que no afecten la asignación de puntaje, podrán ser solicitados por las entidades en cualquier momento, hasta la adjudicación. No </w:t>
      </w:r>
      <w:proofErr w:type="gramStart"/>
      <w:r w:rsidRPr="007D1D8C">
        <w:rPr>
          <w:rFonts w:ascii="Verdana" w:eastAsia="Times New Roman" w:hAnsi="Verdana" w:cs="Arial"/>
          <w:color w:val="000000"/>
          <w:sz w:val="20"/>
          <w:szCs w:val="20"/>
          <w:lang w:val="es-ES" w:eastAsia="es-MX"/>
        </w:rPr>
        <w:t>obstante</w:t>
      </w:r>
      <w:proofErr w:type="gramEnd"/>
      <w:r w:rsidRPr="007D1D8C">
        <w:rPr>
          <w:rFonts w:ascii="Verdana" w:eastAsia="Times New Roman" w:hAnsi="Verdana" w:cs="Arial"/>
          <w:color w:val="000000"/>
          <w:sz w:val="20"/>
          <w:szCs w:val="20"/>
          <w:lang w:val="es-ES" w:eastAsia="es-MX"/>
        </w:rPr>
        <w:t xml:space="preserve"> lo anterior, en aquellos procesos de selección en los que se utilice el mecanismo de subasta, deberán ser solicitados hasta el momento previo a su realización. </w:t>
      </w:r>
    </w:p>
    <w:p w14:paraId="7793E3DB" w14:textId="77777777" w:rsidR="00B62BEC" w:rsidRPr="00C543FB" w:rsidRDefault="00B62BEC" w:rsidP="00B62BEC">
      <w:pPr>
        <w:spacing w:after="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Nótese que esta norma reitera lo que dispuso la Ley 80 de 1993, en el sentido de que los requisitos o documentos que no sean necesarios para la comparación de las ofertas pueden subsanarse, pero además la Ley 1150 de 2007 introdujo otro criterio que le dio mayor claridad al tema: la asignación de puntaje. </w:t>
      </w:r>
    </w:p>
    <w:p w14:paraId="7F992E28" w14:textId="77777777" w:rsidR="00B62BEC" w:rsidRPr="00C543FB" w:rsidRDefault="00B62BEC" w:rsidP="00B62BEC">
      <w:pPr>
        <w:spacing w:before="120" w:after="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A partir de la Ley 1150 de 2007, la Administración contó con un criterio más claro y determinado para saber si la ausencia de documentos o requisitos de la oferta conlleva a su rechazo o al requerimiento del proponente para que lo subsane, pues bastará con un simple ejercicio de verificación que consiste en corroborar si lo omitido hace parte de los aspectos que otorgan puntaje o no. Si la Administración, encuentra que lo omitido por el proponente es un aspecto que otorga puntaje, no es posible subsanarlo; pero, si lo omitido no otorga puntaje, la Administración debe requerir al proponente para que lo subsane.  </w:t>
      </w:r>
    </w:p>
    <w:p w14:paraId="328CC06C" w14:textId="77777777" w:rsidR="00B62BEC" w:rsidRPr="00C543FB" w:rsidRDefault="00B62BEC" w:rsidP="00B62BEC">
      <w:pPr>
        <w:spacing w:before="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El artículo 5 de la Ley 1150 de 2007, además de consagrar un criterio más claro, y, de paso, reducir la discrecionalidad de la Administración, fijó un ámbito temporal para la subsanación de las ofertas: «en cualquier momento, hasta la adjudicación». El Consejo de Estado concluyó que a partir del parágrafo 1º del artículo 5 de la Ley 1150, la definición de lo que es subsanable y lo que no lo es surge a partir del planteamiento de la pregunta sobre si el defecto asigna puntaje o no, en estos términos: </w:t>
      </w:r>
    </w:p>
    <w:p w14:paraId="5CBECDDE" w14:textId="77777777" w:rsidR="00B62BEC" w:rsidRPr="007D1D8C" w:rsidRDefault="00B62BEC" w:rsidP="00B62BEC">
      <w:pPr>
        <w:ind w:left="709" w:right="709"/>
        <w:jc w:val="both"/>
        <w:rPr>
          <w:rFonts w:ascii="Verdana" w:eastAsia="Times New Roman" w:hAnsi="Verdana" w:cs="Arial"/>
          <w:color w:val="000000"/>
          <w:sz w:val="20"/>
          <w:szCs w:val="20"/>
          <w:lang w:val="es-ES" w:eastAsia="es-MX"/>
        </w:rPr>
      </w:pPr>
      <w:r w:rsidRPr="007D1D8C">
        <w:rPr>
          <w:rFonts w:ascii="Verdana" w:eastAsia="Times New Roman" w:hAnsi="Verdana" w:cs="Arial"/>
          <w:color w:val="000000"/>
          <w:sz w:val="20"/>
          <w:szCs w:val="20"/>
          <w:lang w:val="es-ES" w:eastAsia="es-MX"/>
        </w:rPr>
        <w:lastRenderedPageBreak/>
        <w:t>Esto significa que en adelante las entidades y los oferentes aplican directamente la regla que contempla el art. 5, parágrafo, de la Ley 1150, de manera que lo subsanable o insubsanable se define a partir de una pregunta, que se le formula a cada requisito omitido o cumplido imperfectamente: ¿el defecto asigna puntaje al oferente? Si lo hace no es subsanable, si no lo hace es subsanable; en el último evento la entidad le solicitará al oferente que satisfaga la deficiencia, para poner su oferta en condiciones de ser evaluada, y no importa si se refiere a no a problemas de capacidad o a requisitos cumplidos antes o después de presentadas las ofertas, con la condición de que cuando le pidan la acreditación la satisfaga suficientemente</w:t>
      </w:r>
      <w:r w:rsidRPr="007D1D8C">
        <w:rPr>
          <w:rFonts w:ascii="Verdana" w:eastAsia="Times New Roman" w:hAnsi="Verdana" w:cs="Arial"/>
          <w:color w:val="000000"/>
          <w:sz w:val="20"/>
          <w:szCs w:val="20"/>
          <w:vertAlign w:val="superscript"/>
          <w:lang w:val="es-ES" w:eastAsia="es-MX"/>
        </w:rPr>
        <w:footnoteReference w:id="5"/>
      </w:r>
      <w:r w:rsidRPr="007D1D8C">
        <w:rPr>
          <w:rFonts w:ascii="Verdana" w:eastAsia="Times New Roman" w:hAnsi="Verdana" w:cs="Arial"/>
          <w:color w:val="000000"/>
          <w:sz w:val="20"/>
          <w:szCs w:val="20"/>
          <w:lang w:val="es-ES" w:eastAsia="es-MX"/>
        </w:rPr>
        <w:t>.</w:t>
      </w:r>
    </w:p>
    <w:p w14:paraId="1EECA74D" w14:textId="77777777" w:rsidR="00B62BEC" w:rsidRPr="00C543FB" w:rsidRDefault="00B62BEC" w:rsidP="00B62BEC">
      <w:pPr>
        <w:tabs>
          <w:tab w:val="left" w:pos="284"/>
        </w:tabs>
        <w:spacing w:after="120" w:line="276" w:lineRule="auto"/>
        <w:ind w:firstLine="709"/>
        <w:jc w:val="both"/>
        <w:rPr>
          <w:rFonts w:ascii="Verdana" w:eastAsia="Calibri" w:hAnsi="Verdana" w:cs="Arial"/>
          <w:color w:val="000000"/>
          <w:lang w:val="es-ES"/>
        </w:rPr>
      </w:pPr>
      <w:r w:rsidRPr="00C543FB">
        <w:rPr>
          <w:rFonts w:ascii="Verdana" w:eastAsia="Calibri" w:hAnsi="Verdana" w:cs="Arial"/>
          <w:color w:val="000000"/>
          <w:lang w:val="es-ES"/>
        </w:rPr>
        <w:t xml:space="preserve">Esa interpretación fue compartida por la </w:t>
      </w:r>
      <w:r w:rsidRPr="00C543FB">
        <w:rPr>
          <w:rFonts w:ascii="Verdana" w:eastAsia="MS Mincho" w:hAnsi="Verdana" w:cs="Arial"/>
          <w:color w:val="000000"/>
          <w:lang w:val="es-ES" w:eastAsia="es-CO"/>
        </w:rPr>
        <w:t>Agencia Nacional de Contratación Pública – Colombia Compra Eficiente</w:t>
      </w:r>
      <w:r w:rsidRPr="00C543FB">
        <w:rPr>
          <w:rFonts w:ascii="Verdana" w:eastAsia="Calibri" w:hAnsi="Verdana" w:cs="Arial"/>
          <w:color w:val="000000"/>
          <w:lang w:val="es-ES"/>
        </w:rPr>
        <w:t xml:space="preserve">, pues en la Circular Externa Única se precisó </w:t>
      </w:r>
      <w:proofErr w:type="gramStart"/>
      <w:r w:rsidRPr="00C543FB">
        <w:rPr>
          <w:rFonts w:ascii="Verdana" w:eastAsia="Calibri" w:hAnsi="Verdana" w:cs="Arial"/>
          <w:color w:val="000000"/>
          <w:lang w:val="es-ES"/>
        </w:rPr>
        <w:t>que</w:t>
      </w:r>
      <w:proofErr w:type="gramEnd"/>
      <w:r w:rsidRPr="00C543FB">
        <w:rPr>
          <w:rFonts w:ascii="Verdana" w:eastAsia="Calibri" w:hAnsi="Verdana" w:cs="Arial"/>
          <w:color w:val="000000"/>
          <w:lang w:val="es-ES"/>
        </w:rPr>
        <w:t xml:space="preserve"> si durante un proceso de contratación hay proponentes que no acreditaron en sus ofertas requisitos que no afectan la asignación de puntaje o la comparación de las mismas, la entidad estatal deberá indicarlo en el informe de evaluación y advertir que la correspondiente oferta no será evaluada hasta que se subsane.</w:t>
      </w:r>
    </w:p>
    <w:p w14:paraId="77DAECCB" w14:textId="77777777" w:rsidR="00B62BEC" w:rsidRPr="00C543FB" w:rsidRDefault="00B62BEC" w:rsidP="00B62BEC">
      <w:pPr>
        <w:tabs>
          <w:tab w:val="left" w:pos="284"/>
        </w:tabs>
        <w:spacing w:before="120" w:line="276" w:lineRule="auto"/>
        <w:ind w:firstLine="709"/>
        <w:jc w:val="both"/>
        <w:rPr>
          <w:rFonts w:ascii="Verdana" w:eastAsia="MS Mincho" w:hAnsi="Verdana" w:cs="Arial"/>
          <w:color w:val="000000"/>
          <w:lang w:val="es-ES"/>
        </w:rPr>
      </w:pPr>
      <w:r w:rsidRPr="00C543FB">
        <w:rPr>
          <w:rFonts w:ascii="Verdana" w:eastAsia="MS Mincho" w:hAnsi="Verdana" w:cs="Arial"/>
          <w:color w:val="000000"/>
          <w:lang w:val="es-ES" w:eastAsia="es-CO"/>
        </w:rPr>
        <w:t xml:space="preserve">En un </w:t>
      </w:r>
      <w:r w:rsidRPr="00C543FB">
        <w:rPr>
          <w:rFonts w:ascii="Verdana" w:eastAsia="MS Mincho" w:hAnsi="Verdana" w:cs="Arial"/>
          <w:i/>
          <w:iCs/>
          <w:color w:val="000000"/>
          <w:lang w:val="es-ES" w:eastAsia="es-CO"/>
        </w:rPr>
        <w:t>cuarto momento</w:t>
      </w:r>
      <w:r w:rsidRPr="00C543FB">
        <w:rPr>
          <w:rFonts w:ascii="Verdana" w:eastAsia="MS Mincho" w:hAnsi="Verdana" w:cs="Arial"/>
          <w:color w:val="000000"/>
          <w:lang w:val="es-ES" w:eastAsia="es-CO"/>
        </w:rPr>
        <w:t xml:space="preserve">, el legislador expidió la Ley 1882 de 2018, con la finalidad de introducir cambios y ajustes para fortalecer la contratación pública. El artículo 5 modificó el parágrafo 1º y adicionó algunos otros, entre ellos el 4° del artículo 5 de la Ley 1150 de 2007: </w:t>
      </w:r>
    </w:p>
    <w:p w14:paraId="24BB0DF3" w14:textId="77777777" w:rsidR="00B62BEC" w:rsidRPr="00547A08" w:rsidRDefault="00B62BEC" w:rsidP="00B62BEC">
      <w:pPr>
        <w:ind w:left="709" w:right="709"/>
        <w:jc w:val="both"/>
        <w:rPr>
          <w:rFonts w:ascii="Verdana" w:eastAsia="Times New Roman" w:hAnsi="Verdana" w:cs="Arial"/>
          <w:color w:val="000000"/>
          <w:sz w:val="20"/>
          <w:szCs w:val="20"/>
          <w:lang w:val="es-ES" w:eastAsia="es-MX"/>
        </w:rPr>
      </w:pPr>
      <w:r w:rsidRPr="00547A08">
        <w:rPr>
          <w:rFonts w:ascii="Verdana" w:eastAsia="Times New Roman" w:hAnsi="Verdana" w:cs="Arial"/>
          <w:color w:val="000000"/>
          <w:sz w:val="20"/>
          <w:szCs w:val="20"/>
          <w:lang w:val="es-ES" w:eastAsia="es-MX"/>
        </w:rPr>
        <w:t xml:space="preserve">Artículo 5°. De la selección objetiva. </w:t>
      </w:r>
    </w:p>
    <w:p w14:paraId="3712F3D3" w14:textId="77777777" w:rsidR="00B62BEC" w:rsidRPr="00547A08" w:rsidRDefault="00B62BEC" w:rsidP="00B62BEC">
      <w:pPr>
        <w:spacing w:after="120"/>
        <w:ind w:left="709" w:right="709"/>
        <w:jc w:val="both"/>
        <w:rPr>
          <w:rFonts w:ascii="Verdana" w:eastAsia="Times New Roman" w:hAnsi="Verdana" w:cs="Arial"/>
          <w:color w:val="000000"/>
          <w:sz w:val="20"/>
          <w:szCs w:val="20"/>
          <w:lang w:val="es-ES" w:eastAsia="es-MX"/>
        </w:rPr>
      </w:pPr>
      <w:r w:rsidRPr="00547A08">
        <w:rPr>
          <w:rFonts w:ascii="Verdana" w:eastAsia="Times New Roman" w:hAnsi="Verdana" w:cs="Arial"/>
          <w:color w:val="000000"/>
          <w:sz w:val="20"/>
          <w:szCs w:val="20"/>
          <w:lang w:val="es-ES" w:eastAsia="es-MX"/>
        </w:rPr>
        <w:t>[...]</w:t>
      </w:r>
    </w:p>
    <w:p w14:paraId="6D20C99B" w14:textId="77777777" w:rsidR="00B62BEC" w:rsidRPr="00547A08" w:rsidRDefault="00B62BEC" w:rsidP="00B62BEC">
      <w:pPr>
        <w:ind w:left="709" w:right="709"/>
        <w:jc w:val="both"/>
        <w:rPr>
          <w:rFonts w:ascii="Verdana" w:eastAsia="Times New Roman" w:hAnsi="Verdana" w:cs="Arial"/>
          <w:color w:val="000000"/>
          <w:sz w:val="20"/>
          <w:szCs w:val="20"/>
          <w:lang w:val="es-ES" w:eastAsia="es-MX"/>
        </w:rPr>
      </w:pPr>
      <w:r w:rsidRPr="00547A08">
        <w:rPr>
          <w:rFonts w:ascii="Verdana" w:eastAsia="Times New Roman" w:hAnsi="Verdana" w:cs="Arial"/>
          <w:color w:val="000000"/>
          <w:sz w:val="20"/>
          <w:szCs w:val="20"/>
          <w:lang w:val="es-ES" w:eastAsia="es-MX"/>
        </w:rPr>
        <w:t xml:space="preserve">Parágrafo 1º. La ausencia de requisitos o la falta de documentos referentes a la futura contratación o al proponente, no necesarios para la </w:t>
      </w:r>
      <w:bookmarkStart w:id="4" w:name="_Hlk71479674"/>
      <w:r w:rsidRPr="00547A08">
        <w:rPr>
          <w:rFonts w:ascii="Verdana" w:eastAsia="Times New Roman" w:hAnsi="Verdana" w:cs="Arial"/>
          <w:color w:val="000000"/>
          <w:sz w:val="20"/>
          <w:szCs w:val="20"/>
          <w:lang w:val="es-ES" w:eastAsia="es-MX"/>
        </w:rPr>
        <w:t>comparación de las propuestas</w:t>
      </w:r>
      <w:bookmarkEnd w:id="4"/>
      <w:r w:rsidRPr="00547A08">
        <w:rPr>
          <w:rFonts w:ascii="Verdana" w:eastAsia="Times New Roman" w:hAnsi="Verdana" w:cs="Arial"/>
          <w:color w:val="000000"/>
          <w:sz w:val="20"/>
          <w:szCs w:val="20"/>
          <w:lang w:val="es-ES" w:eastAsia="es-MX"/>
        </w:rPr>
        <w:t xml:space="preserve">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w:t>
      </w:r>
      <w:r w:rsidRPr="00547A08">
        <w:rPr>
          <w:rFonts w:ascii="Verdana" w:eastAsia="Times New Roman" w:hAnsi="Verdana" w:cs="Arial"/>
          <w:color w:val="000000"/>
          <w:sz w:val="20"/>
          <w:szCs w:val="20"/>
          <w:lang w:val="es-ES" w:eastAsia="es-MX"/>
        </w:rPr>
        <w:lastRenderedPageBreak/>
        <w:t xml:space="preserve">solicitada por la entidad estatal hasta el plazo anteriormente señalado. Durante el término otorgado para subsanar las ofertas, los proponentes no podrán acreditar circunstancias ocurridas con posterioridad al cierre del proceso. </w:t>
      </w:r>
    </w:p>
    <w:p w14:paraId="1DE324FD" w14:textId="77777777" w:rsidR="00B62BEC" w:rsidRPr="00C543FB" w:rsidRDefault="00B62BEC" w:rsidP="00B62BEC">
      <w:pPr>
        <w:spacing w:after="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Esta norma: i) mantiene el criterio de la Ley 80 de 1993, relativo a que todo lo que no sea necesario para la comparación de propuestas no es título suficiente para su rechazo; </w:t>
      </w:r>
      <w:proofErr w:type="spellStart"/>
      <w:r w:rsidRPr="00C543FB">
        <w:rPr>
          <w:rFonts w:ascii="Verdana" w:eastAsia="Times New Roman" w:hAnsi="Verdana" w:cs="Arial"/>
          <w:color w:val="000000"/>
          <w:lang w:val="es-ES" w:eastAsia="es-MX"/>
        </w:rPr>
        <w:t>ii</w:t>
      </w:r>
      <w:proofErr w:type="spellEnd"/>
      <w:r w:rsidRPr="00C543FB">
        <w:rPr>
          <w:rFonts w:ascii="Verdana" w:eastAsia="Times New Roman" w:hAnsi="Verdana" w:cs="Arial"/>
          <w:color w:val="000000"/>
          <w:lang w:val="es-ES" w:eastAsia="es-MX"/>
        </w:rPr>
        <w:t xml:space="preserve">) mantiene el criterio aclaratorio de la Ley 1150 de 2007, según el cual todo lo que no afecte la asignación de puntaje puede subsanarse y, </w:t>
      </w:r>
      <w:proofErr w:type="spellStart"/>
      <w:r w:rsidRPr="00C543FB">
        <w:rPr>
          <w:rFonts w:ascii="Verdana" w:eastAsia="Times New Roman" w:hAnsi="Verdana" w:cs="Arial"/>
          <w:color w:val="000000"/>
          <w:lang w:val="es-ES" w:eastAsia="es-MX"/>
        </w:rPr>
        <w:t>iii</w:t>
      </w:r>
      <w:proofErr w:type="spellEnd"/>
      <w:r w:rsidRPr="00C543FB">
        <w:rPr>
          <w:rFonts w:ascii="Verdana" w:eastAsia="Times New Roman" w:hAnsi="Verdana" w:cs="Arial"/>
          <w:color w:val="000000"/>
          <w:lang w:val="es-ES" w:eastAsia="es-MX"/>
        </w:rPr>
        <w:t>) introduce modificaciones en relación con tres (3) aspectos que se analizarán a continuación:</w:t>
      </w:r>
    </w:p>
    <w:p w14:paraId="2E0EC41F" w14:textId="77777777" w:rsidR="00B62BEC" w:rsidRPr="00C543FB" w:rsidRDefault="00B62BEC" w:rsidP="00B62BEC">
      <w:pPr>
        <w:spacing w:after="120" w:line="276" w:lineRule="auto"/>
        <w:ind w:firstLine="709"/>
        <w:jc w:val="both"/>
        <w:rPr>
          <w:rFonts w:ascii="Verdana" w:eastAsia="Arial" w:hAnsi="Verdana" w:cs="Arial"/>
          <w:color w:val="000000"/>
          <w:lang w:val="es-ES" w:eastAsia="es-MX"/>
        </w:rPr>
      </w:pPr>
      <w:r w:rsidRPr="00C543FB">
        <w:rPr>
          <w:rFonts w:ascii="Verdana" w:eastAsia="Arial" w:hAnsi="Verdana" w:cs="Arial"/>
          <w:color w:val="000000"/>
          <w:lang w:val="es-ES" w:eastAsia="es-MX"/>
        </w:rPr>
        <w:t>El primero es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anterior límite no aplica para los procesos de mínima cuantía y para el proceso de selección a través del sistema de subasta: en este último los documentos o</w:t>
      </w:r>
      <w:r>
        <w:rPr>
          <w:rFonts w:ascii="Verdana" w:eastAsia="Arial" w:hAnsi="Verdana" w:cs="Arial"/>
          <w:color w:val="000000"/>
          <w:lang w:val="es-ES" w:eastAsia="es-MX"/>
        </w:rPr>
        <w:t xml:space="preserve"> </w:t>
      </w:r>
      <w:r w:rsidRPr="00C543FB">
        <w:rPr>
          <w:rFonts w:ascii="Verdana" w:eastAsia="Arial" w:hAnsi="Verdana" w:cs="Arial"/>
          <w:color w:val="000000"/>
          <w:lang w:val="es-ES" w:eastAsia="es-MX"/>
        </w:rPr>
        <w:t>requisitos subsanables deben solicitarse, como límite final, hasta el momento previo a su realización</w:t>
      </w:r>
      <w:r w:rsidRPr="00C543FB">
        <w:rPr>
          <w:rFonts w:ascii="Verdana" w:eastAsia="Arial" w:hAnsi="Verdana" w:cs="Arial"/>
          <w:color w:val="000000"/>
          <w:vertAlign w:val="superscript"/>
          <w:lang w:val="es-ES" w:eastAsia="es-MX"/>
        </w:rPr>
        <w:footnoteReference w:id="6"/>
      </w:r>
      <w:r w:rsidRPr="00C543FB">
        <w:rPr>
          <w:rFonts w:ascii="Verdana" w:eastAsia="Arial" w:hAnsi="Verdana" w:cs="Arial"/>
          <w:color w:val="000000"/>
          <w:lang w:val="es-ES" w:eastAsia="es-MX"/>
        </w:rPr>
        <w:t>.</w:t>
      </w:r>
    </w:p>
    <w:p w14:paraId="0786944F" w14:textId="77777777" w:rsidR="00B62BEC" w:rsidRPr="00C543FB" w:rsidRDefault="00B62BEC" w:rsidP="00B62BEC">
      <w:pPr>
        <w:spacing w:after="120" w:line="276" w:lineRule="auto"/>
        <w:ind w:firstLine="709"/>
        <w:jc w:val="both"/>
        <w:rPr>
          <w:rFonts w:ascii="Verdana" w:eastAsia="Arial" w:hAnsi="Verdana" w:cs="Arial"/>
          <w:color w:val="000000"/>
          <w:lang w:val="es-ES" w:eastAsia="es-MX"/>
        </w:rPr>
      </w:pPr>
      <w:r w:rsidRPr="00C543FB">
        <w:rPr>
          <w:rFonts w:ascii="Verdana" w:eastAsia="Times New Roman" w:hAnsi="Verdana" w:cs="Arial"/>
          <w:color w:val="000000"/>
          <w:shd w:val="clear" w:color="auto" w:fill="FFFFFF"/>
          <w:lang w:val="es-ES" w:eastAsia="es-MX"/>
        </w:rPr>
        <w:t>Frente a la regla general, como se explica en el Concepto CU-060 del 24 de febrero de 2020, la norma fijó un límite final para que la Administración y los oferentes subsanen los requisitos o documentos que puedan y deban ser subsanados; pero nada impide, y la norma no lo hace, que la Administración requiera al proponente antes de publicar el informe de evaluación.  </w:t>
      </w:r>
    </w:p>
    <w:p w14:paraId="50F45345" w14:textId="77777777" w:rsidR="00B62BEC" w:rsidRPr="00C543FB" w:rsidRDefault="00B62BEC" w:rsidP="00B62BEC">
      <w:pPr>
        <w:spacing w:after="120" w:line="276" w:lineRule="auto"/>
        <w:ind w:firstLine="720"/>
        <w:jc w:val="both"/>
        <w:rPr>
          <w:rFonts w:ascii="Verdana" w:eastAsia="Calibri" w:hAnsi="Verdana" w:cs="Arial"/>
          <w:color w:val="000000"/>
          <w:lang w:val="es-ES" w:eastAsia="es-MX"/>
        </w:rPr>
      </w:pPr>
      <w:r w:rsidRPr="00C543FB">
        <w:rPr>
          <w:rFonts w:ascii="Verdana" w:eastAsia="Arial" w:hAnsi="Verdana" w:cs="Arial"/>
          <w:color w:val="000000"/>
          <w:lang w:val="es-ES" w:eastAsia="es-MX"/>
        </w:rPr>
        <w:t xml:space="preserve">De otro lado, el segundo cambio importante de la Ley 1882 de 2018 </w:t>
      </w:r>
      <w:r w:rsidRPr="00C543FB">
        <w:rPr>
          <w:rFonts w:ascii="Verdana" w:eastAsia="Calibri" w:hAnsi="Verdana" w:cs="Arial"/>
          <w:color w:val="000000"/>
          <w:lang w:val="es-ES" w:eastAsia="es-MX"/>
        </w:rPr>
        <w:t xml:space="preserve">es el correspondiente a la garantía de seriedad. El parágrafo 3 del artículo 5 de la Ley 1150 de 2007, adicionado por el artículo 5 de la Ley 1882 de 2018 dispone que la falta de entrega de la garantía de seriedad es insubsanable. Al respecto, la norma prescribe lo siguiente: </w:t>
      </w:r>
      <w:r>
        <w:rPr>
          <w:rFonts w:ascii="Verdana" w:eastAsia="Calibri" w:hAnsi="Verdana" w:cs="Arial"/>
          <w:color w:val="000000"/>
          <w:lang w:val="es-ES" w:eastAsia="es-MX"/>
        </w:rPr>
        <w:t>“</w:t>
      </w:r>
      <w:r w:rsidRPr="00C543FB">
        <w:rPr>
          <w:rFonts w:ascii="Verdana" w:eastAsia="Calibri" w:hAnsi="Verdana" w:cs="Arial"/>
          <w:color w:val="000000"/>
          <w:lang w:val="es-ES" w:eastAsia="es-MX"/>
        </w:rPr>
        <w:t>PARÁGRAFO 3o. La no entrega de la garantía de seriedad junto con la propuesta no será subsanable y será causal de rechazo de la misma</w:t>
      </w:r>
      <w:r>
        <w:rPr>
          <w:rFonts w:ascii="Verdana" w:eastAsia="Calibri" w:hAnsi="Verdana" w:cs="Arial"/>
          <w:color w:val="000000"/>
          <w:lang w:val="es-ES" w:eastAsia="es-MX"/>
        </w:rPr>
        <w:t>”</w:t>
      </w:r>
      <w:r w:rsidRPr="00C543FB">
        <w:rPr>
          <w:rFonts w:ascii="Verdana" w:eastAsia="Calibri" w:hAnsi="Verdana" w:cs="Arial"/>
          <w:color w:val="000000"/>
          <w:lang w:val="es-ES" w:eastAsia="es-MX"/>
        </w:rPr>
        <w:t>.</w:t>
      </w:r>
    </w:p>
    <w:p w14:paraId="482B5D3A" w14:textId="77777777" w:rsidR="00B62BEC" w:rsidRPr="00C543FB" w:rsidRDefault="00B62BEC" w:rsidP="00B62BEC">
      <w:pPr>
        <w:spacing w:line="276" w:lineRule="auto"/>
        <w:ind w:firstLine="709"/>
        <w:jc w:val="both"/>
        <w:rPr>
          <w:rFonts w:ascii="Verdana" w:eastAsia="Times New Roman" w:hAnsi="Verdana" w:cs="Arial"/>
          <w:bdr w:val="none" w:sz="0" w:space="0" w:color="auto" w:frame="1"/>
          <w:lang w:val="es-ES" w:eastAsia="es-MX"/>
        </w:rPr>
      </w:pPr>
      <w:r>
        <w:rPr>
          <w:rFonts w:ascii="Verdana" w:eastAsia="Arial" w:hAnsi="Verdana" w:cs="Arial"/>
          <w:color w:val="000000"/>
          <w:lang w:val="es-ES" w:eastAsia="es-MX"/>
        </w:rPr>
        <w:lastRenderedPageBreak/>
        <w:t>E</w:t>
      </w:r>
      <w:r w:rsidRPr="00C543FB">
        <w:rPr>
          <w:rFonts w:ascii="Verdana" w:eastAsia="Arial" w:hAnsi="Verdana" w:cs="Arial"/>
          <w:color w:val="000000"/>
          <w:lang w:val="es-ES" w:eastAsia="es-MX"/>
        </w:rPr>
        <w:t xml:space="preserve">l último cambio importante de la Ley 1882 de 2018 fue la introducción de un criterio material, directamente relacionado con los aspectos subsanables: </w:t>
      </w:r>
      <w:r>
        <w:rPr>
          <w:rFonts w:ascii="Verdana" w:eastAsia="Arial" w:hAnsi="Verdana" w:cs="Arial"/>
          <w:i/>
          <w:iCs/>
          <w:color w:val="000000"/>
          <w:lang w:val="es-ES" w:eastAsia="es-MX"/>
        </w:rPr>
        <w:t>“</w:t>
      </w:r>
      <w:r w:rsidRPr="00C543FB">
        <w:rPr>
          <w:rFonts w:ascii="Verdana" w:eastAsia="Arial" w:hAnsi="Verdana" w:cs="Arial"/>
          <w:color w:val="000000"/>
          <w:lang w:val="es-ES" w:eastAsia="es-MX"/>
        </w:rPr>
        <w:t>los proponentes no podrán acreditar circunstancias ocurridas con posterioridad al cierre del proceso</w:t>
      </w:r>
      <w:r>
        <w:rPr>
          <w:rFonts w:ascii="Verdana" w:eastAsia="Arial" w:hAnsi="Verdana" w:cs="Arial"/>
          <w:color w:val="000000"/>
          <w:lang w:val="es-ES" w:eastAsia="es-MX"/>
        </w:rPr>
        <w:t>”</w:t>
      </w:r>
      <w:r w:rsidRPr="00C543FB">
        <w:rPr>
          <w:rFonts w:ascii="Verdana" w:eastAsia="Arial" w:hAnsi="Verdana" w:cs="Arial"/>
          <w:b/>
          <w:bCs/>
          <w:color w:val="000000"/>
          <w:lang w:val="es-ES" w:eastAsia="es-MX"/>
        </w:rPr>
        <w:t>.</w:t>
      </w:r>
      <w:r w:rsidRPr="00C543FB">
        <w:rPr>
          <w:rFonts w:ascii="Verdana" w:eastAsia="Times New Roman" w:hAnsi="Verdana" w:cs="Arial"/>
          <w:bdr w:val="none" w:sz="0" w:space="0" w:color="auto" w:frame="1"/>
          <w:lang w:val="es-ES" w:eastAsia="es-MX"/>
        </w:rPr>
        <w:t xml:space="preserve"> Esta regla tiene una finalidad particular, y es que, al momento de presentar la oferta, el proponente la deberá hacerlo de forma íntegra y así evitar que a lo largo del procedimiento contractual complete o adicione su propuesta, conforme mejora su situación particular. En términos del Consejo de Estado:</w:t>
      </w:r>
    </w:p>
    <w:p w14:paraId="42A447C5" w14:textId="77777777" w:rsidR="00B62BEC" w:rsidRPr="00547A08" w:rsidRDefault="00B62BEC" w:rsidP="00B62BEC">
      <w:pPr>
        <w:tabs>
          <w:tab w:val="left" w:pos="426"/>
        </w:tabs>
        <w:ind w:left="709" w:right="709"/>
        <w:jc w:val="both"/>
        <w:rPr>
          <w:rFonts w:ascii="Verdana" w:eastAsia="Arial" w:hAnsi="Verdana" w:cs="Arial"/>
          <w:color w:val="000000"/>
          <w:sz w:val="20"/>
          <w:szCs w:val="20"/>
          <w:lang w:val="es-ES" w:eastAsia="es-MX"/>
        </w:rPr>
      </w:pPr>
      <w:r w:rsidRPr="00547A08">
        <w:rPr>
          <w:rFonts w:ascii="Verdana" w:eastAsia="Arial" w:hAnsi="Verdana" w:cs="Arial"/>
          <w:color w:val="000000"/>
          <w:sz w:val="20"/>
          <w:szCs w:val="20"/>
          <w:lang w:val="es-ES" w:eastAsia="es-MX"/>
        </w:rPr>
        <w:t>[…] no es posible que el oferente vaya mejorando, completando, adicionando, modificando o estructurando su propuesta a lo largo del proceso contractual según vaya evolucionando su situación particular en el mismo, pues como se establece en el numeral 6º del artículo 30 de la Ley 80 de 1993, “las propuestas deben referirse y sujetarse a todos y cada uno de los puntos contenidos en el pliego de condiciones”, es decir, todos los elementos del negocio jurídico exigidos en los pliegos de condiciones. Dicho de otra forma, el oferente tiene la carga de presentar su oferta en forma íntegra, esto es, respondiendo todos los puntos del pliego de condiciones y adjuntando todos los documentos de soporte o prueba de las condiciones habilitantes y de los elementos de su oferta, de manera que la entidad licitante pueda, con economía de medios, evaluarla lo más eficientemente posible, y sólo si hace falta algún requisito o un documento, la administración puede requerirlo del oferente.</w:t>
      </w:r>
      <w:r w:rsidRPr="00547A08">
        <w:rPr>
          <w:rFonts w:ascii="Verdana" w:eastAsia="Arial" w:hAnsi="Verdana" w:cs="Arial"/>
          <w:color w:val="000000"/>
          <w:sz w:val="20"/>
          <w:szCs w:val="20"/>
          <w:vertAlign w:val="superscript"/>
          <w:lang w:val="es-ES" w:eastAsia="es-MX"/>
        </w:rPr>
        <w:footnoteReference w:id="7"/>
      </w:r>
    </w:p>
    <w:p w14:paraId="33623845" w14:textId="77777777" w:rsidR="00B62BEC" w:rsidRDefault="00B62BEC" w:rsidP="00B62BEC">
      <w:pPr>
        <w:spacing w:line="276" w:lineRule="auto"/>
        <w:ind w:firstLine="708"/>
        <w:jc w:val="both"/>
        <w:rPr>
          <w:rFonts w:ascii="Verdana" w:eastAsia="Calibri" w:hAnsi="Verdana" w:cs="Arial"/>
        </w:rPr>
      </w:pPr>
      <w:r>
        <w:rPr>
          <w:rFonts w:ascii="Verdana" w:eastAsia="Calibri" w:hAnsi="Verdana" w:cs="Arial"/>
        </w:rPr>
        <w:t xml:space="preserve">De esta manera, </w:t>
      </w:r>
      <w:r w:rsidRPr="00B75683">
        <w:rPr>
          <w:rFonts w:ascii="Verdana" w:eastAsia="Calibri" w:hAnsi="Verdana" w:cs="Arial"/>
        </w:rPr>
        <w:t>los requisitos habilitantes que no afectan la asignación de puntaje pueden ser subsanados, siempre que la información subsanada corresponda a hechos ocurridos antes del cierre del proceso de selección. En el caso de los perfiles profesionales, si estos no cumplen con los requisitos establecidos, el proponente puede presentar nuevos profesionales durante la etapa de subsanación, siempre que se demuestre que estos cumplían con los requisitos desde antes del cierre del proceso</w:t>
      </w:r>
      <w:r w:rsidRPr="004C6846">
        <w:rPr>
          <w:rFonts w:ascii="Verdana" w:eastAsia="Calibri" w:hAnsi="Verdana" w:cs="Arial"/>
        </w:rPr>
        <w:t xml:space="preserve">. </w:t>
      </w:r>
    </w:p>
    <w:p w14:paraId="5A157187" w14:textId="77777777" w:rsidR="00B62BEC" w:rsidRDefault="00B62BEC" w:rsidP="00B62BEC">
      <w:pPr>
        <w:spacing w:line="276" w:lineRule="auto"/>
        <w:ind w:firstLine="708"/>
        <w:jc w:val="both"/>
        <w:rPr>
          <w:rFonts w:ascii="Verdana" w:eastAsia="Calibri" w:hAnsi="Verdana" w:cs="Arial"/>
        </w:rPr>
      </w:pPr>
      <w:r w:rsidRPr="00980385">
        <w:rPr>
          <w:rFonts w:ascii="Verdana" w:eastAsia="Calibri" w:hAnsi="Verdana" w:cs="Arial"/>
        </w:rPr>
        <w:t xml:space="preserve">En consecuencia, la subsanación de los perfiles mínimos no puede implicar la incorporación de hechos nuevos ni el mejoramiento sustancial de la oferta, pues ello vulneraría los principios de igualdad, transparencia y selección objetiva. Lo que se admite es la acreditación o demostración tardía de condiciones que ya existían al momento del cierre, no su modificación o creación </w:t>
      </w:r>
      <w:r w:rsidRPr="00980385">
        <w:rPr>
          <w:rFonts w:ascii="Verdana" w:eastAsia="Calibri" w:hAnsi="Verdana" w:cs="Arial"/>
        </w:rPr>
        <w:lastRenderedPageBreak/>
        <w:t xml:space="preserve">posterior. Por tanto, </w:t>
      </w:r>
      <w:r>
        <w:rPr>
          <w:rFonts w:ascii="Verdana" w:eastAsia="Calibri" w:hAnsi="Verdana" w:cs="Arial"/>
        </w:rPr>
        <w:t>l</w:t>
      </w:r>
      <w:r w:rsidRPr="0028106D">
        <w:rPr>
          <w:rFonts w:ascii="Verdana" w:eastAsia="Calibri" w:hAnsi="Verdana" w:cs="Arial"/>
        </w:rPr>
        <w:t>a subsanación de perfiles o experiencia es válida siempre que solo corrija el defecto en la prueba documental, y no la carencia material del requisito; de lo contrario, si se incorporan condiciones o capacidades adquiridas posteriormente</w:t>
      </w:r>
      <w:r>
        <w:rPr>
          <w:rFonts w:ascii="Verdana" w:eastAsia="Calibri" w:hAnsi="Verdana" w:cs="Arial"/>
        </w:rPr>
        <w:t xml:space="preserve"> dicha situación podría dar lugar a que se </w:t>
      </w:r>
      <w:r w:rsidRPr="0028106D">
        <w:rPr>
          <w:rFonts w:ascii="Verdana" w:eastAsia="Calibri" w:hAnsi="Verdana" w:cs="Arial"/>
        </w:rPr>
        <w:t>vulner</w:t>
      </w:r>
      <w:r>
        <w:rPr>
          <w:rFonts w:ascii="Verdana" w:eastAsia="Calibri" w:hAnsi="Verdana" w:cs="Arial"/>
        </w:rPr>
        <w:t>e</w:t>
      </w:r>
      <w:r w:rsidRPr="0028106D">
        <w:rPr>
          <w:rFonts w:ascii="Verdana" w:eastAsia="Calibri" w:hAnsi="Verdana" w:cs="Arial"/>
        </w:rPr>
        <w:t xml:space="preserve"> la igualdad y se incurre en un mejoramiento sustancial de la ofert</w:t>
      </w:r>
      <w:r>
        <w:rPr>
          <w:rFonts w:ascii="Verdana" w:eastAsia="Calibri" w:hAnsi="Verdana" w:cs="Arial"/>
        </w:rPr>
        <w:t>a</w:t>
      </w:r>
    </w:p>
    <w:p w14:paraId="03B1264F" w14:textId="77777777" w:rsidR="00B62BEC" w:rsidRDefault="00B62BEC" w:rsidP="00B62BEC">
      <w:pPr>
        <w:spacing w:line="276" w:lineRule="auto"/>
        <w:ind w:firstLine="708"/>
        <w:jc w:val="both"/>
        <w:rPr>
          <w:rFonts w:ascii="Verdana" w:eastAsia="Calibri" w:hAnsi="Verdana" w:cs="Arial"/>
          <w:bCs/>
          <w:color w:val="000000" w:themeColor="text1"/>
        </w:rPr>
      </w:pPr>
      <w:r>
        <w:rPr>
          <w:rFonts w:ascii="Verdana" w:eastAsia="Calibri" w:hAnsi="Verdana" w:cs="Arial"/>
        </w:rPr>
        <w:t>Ahora bien, e</w:t>
      </w:r>
      <w:r w:rsidRPr="00E85A8F">
        <w:rPr>
          <w:rFonts w:ascii="Verdana" w:eastAsia="Calibri" w:hAnsi="Verdana" w:cs="Arial"/>
        </w:rPr>
        <w:t>l Manual para determinar y verificar los requisitos habilitantes en los Procesos de Contratación, elaborado por Colombia Compra Eficiente</w:t>
      </w:r>
      <w:r>
        <w:rPr>
          <w:rStyle w:val="Refdenotaalpie"/>
          <w:rFonts w:ascii="Verdana" w:eastAsia="Calibri" w:hAnsi="Verdana" w:cs="Arial"/>
        </w:rPr>
        <w:footnoteReference w:id="8"/>
      </w:r>
      <w:r w:rsidRPr="00E85A8F">
        <w:rPr>
          <w:rFonts w:ascii="Verdana" w:eastAsia="Calibri" w:hAnsi="Verdana" w:cs="Arial"/>
        </w:rPr>
        <w:t xml:space="preserve">, constituye una herramienta técnica fundamental para las entidades estatales y los proponentes, ya que establece criterios claros y uniformes sobre cómo definir, exigir y verificar los requisitos habilitantes en los distintos procesos de selección. Este manual orienta a las entidades para que dichos requisitos respondan a la naturaleza del objeto contractual, se ajusten al principio de proporcionalidad y no constituyan barreras injustificadas al acceso. Además, delimita con precisión cuáles documentos pueden ser objeto de subsanación, brindando seguridad jurídica en la evaluación de ofertas. Por lo tanto, se recomienda su consulta </w:t>
      </w:r>
      <w:r>
        <w:rPr>
          <w:rFonts w:ascii="Verdana" w:eastAsia="Calibri" w:hAnsi="Verdana" w:cs="Arial"/>
        </w:rPr>
        <w:t xml:space="preserve">en el sitio web: </w:t>
      </w:r>
      <w:hyperlink r:id="rId12" w:history="1">
        <w:r w:rsidRPr="00B47936">
          <w:rPr>
            <w:rStyle w:val="Hipervnculo"/>
            <w:rFonts w:ascii="Verdana" w:eastAsia="Calibri" w:hAnsi="Verdana" w:cs="Arial"/>
            <w:color w:val="227ACB"/>
          </w:rPr>
          <w:t>https://www.colombiacompra</w:t>
        </w:r>
      </w:hyperlink>
      <w:r w:rsidRPr="00B47936">
        <w:rPr>
          <w:rFonts w:ascii="Verdana" w:eastAsia="Calibri" w:hAnsi="Verdana" w:cs="Arial"/>
          <w:color w:val="227ACB"/>
          <w:u w:val="single"/>
        </w:rPr>
        <w:t>. gov.co/archivos/manual/manual-para-determinar-y-verificar-los-requisitos-habilitantes-en-los-procesos-de-contratacion.</w:t>
      </w:r>
    </w:p>
    <w:p w14:paraId="3E174525" w14:textId="77777777" w:rsidR="00B62BEC" w:rsidRPr="00AE7E03" w:rsidRDefault="00B62BEC" w:rsidP="00B62BEC">
      <w:pPr>
        <w:spacing w:after="0" w:line="276" w:lineRule="auto"/>
        <w:ind w:firstLine="708"/>
        <w:contextualSpacing/>
        <w:jc w:val="both"/>
        <w:rPr>
          <w:rFonts w:ascii="Verdana" w:eastAsia="Calibri" w:hAnsi="Verdana" w:cs="Times New Roman"/>
          <w:lang w:val="es-ES"/>
        </w:rPr>
      </w:pPr>
      <w:r>
        <w:rPr>
          <w:rFonts w:ascii="Verdana" w:eastAsia="Calibri" w:hAnsi="Verdana" w:cs="Arial"/>
          <w:bCs/>
          <w:color w:val="000000" w:themeColor="text1"/>
        </w:rPr>
        <w:t>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para resolver problemas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Pr="00CD211E">
        <w:rPr>
          <w:rFonts w:ascii="Verdana" w:eastAsia="Calibri" w:hAnsi="Verdana" w:cs="Times New Roman"/>
          <w:lang w:val="es-ES"/>
        </w:rPr>
        <w:t>.</w:t>
      </w:r>
    </w:p>
    <w:p w14:paraId="1DC468DF" w14:textId="77777777" w:rsidR="00B62BEC" w:rsidRPr="00601CDD" w:rsidRDefault="00B62BEC" w:rsidP="00B62BEC">
      <w:pPr>
        <w:spacing w:before="120" w:after="0" w:line="276" w:lineRule="auto"/>
        <w:ind w:firstLine="708"/>
        <w:jc w:val="both"/>
        <w:rPr>
          <w:rFonts w:ascii="Verdana" w:eastAsia="Calibri" w:hAnsi="Verdana" w:cs="Arial"/>
        </w:rPr>
      </w:pPr>
      <w:r w:rsidRPr="00AE7E03">
        <w:rPr>
          <w:rFonts w:ascii="Verdana" w:eastAsia="Calibri" w:hAnsi="Verdana" w:cs="Times New Roman"/>
          <w:lang w:val="es-ES"/>
        </w:rPr>
        <w:t xml:space="preserve"> 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w:t>
      </w:r>
      <w:r w:rsidRPr="00AE7E03">
        <w:rPr>
          <w:rFonts w:ascii="Verdana" w:eastAsia="Calibri" w:hAnsi="Verdana" w:cs="Times New Roman"/>
          <w:lang w:val="es-ES"/>
        </w:rPr>
        <w:lastRenderedPageBreak/>
        <w:t>contractual, sin que sea atribución de la Agencia Nacional de Contratación Pública – Colombia Compra Eficiente, validar sus actuaciones.</w:t>
      </w:r>
    </w:p>
    <w:p w14:paraId="12F7F0FB" w14:textId="77777777" w:rsidR="00B62BEC" w:rsidRDefault="00B62BEC" w:rsidP="00B62BEC">
      <w:pPr>
        <w:autoSpaceDE w:val="0"/>
        <w:autoSpaceDN w:val="0"/>
        <w:adjustRightInd w:val="0"/>
        <w:spacing w:after="0" w:line="276" w:lineRule="auto"/>
        <w:ind w:firstLine="709"/>
        <w:jc w:val="both"/>
        <w:rPr>
          <w:rFonts w:ascii="Verdana" w:hAnsi="Verdana" w:cs="Arial"/>
        </w:rPr>
      </w:pPr>
    </w:p>
    <w:p w14:paraId="4CE488FA" w14:textId="77777777" w:rsidR="00B62BEC" w:rsidRPr="0060676F" w:rsidRDefault="00B62BEC" w:rsidP="00B62BEC">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7667B6B5" w14:textId="77777777" w:rsidR="00B62BEC" w:rsidRPr="00593A5F" w:rsidRDefault="00B62BEC" w:rsidP="00B62BEC">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62BEC" w:rsidRPr="00593A5F" w14:paraId="1CB2782C" w14:textId="77777777" w:rsidTr="008B3546">
        <w:trPr>
          <w:trHeight w:val="870"/>
        </w:trPr>
        <w:tc>
          <w:tcPr>
            <w:tcW w:w="8647" w:type="dxa"/>
          </w:tcPr>
          <w:p w14:paraId="03D9406F" w14:textId="77777777" w:rsidR="00B62BEC" w:rsidRDefault="00B62BEC" w:rsidP="008B3546">
            <w:pPr>
              <w:pStyle w:val="Prrafodelista"/>
              <w:widowControl w:val="0"/>
              <w:numPr>
                <w:ilvl w:val="0"/>
                <w:numId w:val="17"/>
              </w:numPr>
              <w:tabs>
                <w:tab w:val="left" w:pos="8419"/>
              </w:tabs>
              <w:autoSpaceDE w:val="0"/>
              <w:autoSpaceDN w:val="0"/>
              <w:spacing w:after="160" w:line="276" w:lineRule="auto"/>
              <w:contextualSpacing w:val="0"/>
              <w:jc w:val="both"/>
              <w:rPr>
                <w:rFonts w:ascii="Verdana" w:hAnsi="Verdana" w:cs="Arial"/>
              </w:rPr>
            </w:pPr>
            <w:r>
              <w:rPr>
                <w:rFonts w:ascii="Verdana" w:hAnsi="Verdana" w:cs="Arial"/>
              </w:rPr>
              <w:t>Ley 80 de 1993.</w:t>
            </w:r>
            <w:r w:rsidRPr="00C543FB">
              <w:rPr>
                <w:rFonts w:ascii="Verdana" w:eastAsia="Times New Roman" w:hAnsi="Verdana" w:cs="Arial"/>
                <w:color w:val="000000"/>
                <w:lang w:eastAsia="es-MX"/>
              </w:rPr>
              <w:t xml:space="preserve"> </w:t>
            </w:r>
            <w:r>
              <w:rPr>
                <w:rFonts w:ascii="Verdana" w:eastAsia="Times New Roman" w:hAnsi="Verdana" w:cs="Arial"/>
                <w:color w:val="000000"/>
                <w:lang w:eastAsia="es-MX"/>
              </w:rPr>
              <w:t xml:space="preserve">Articulo. </w:t>
            </w:r>
            <w:r w:rsidRPr="00C543FB">
              <w:rPr>
                <w:rFonts w:ascii="Verdana" w:eastAsia="Times New Roman" w:hAnsi="Verdana" w:cs="Arial"/>
                <w:color w:val="000000"/>
                <w:lang w:eastAsia="es-MX"/>
              </w:rPr>
              <w:t>25.15</w:t>
            </w:r>
          </w:p>
          <w:p w14:paraId="40898D69" w14:textId="77777777" w:rsidR="00B62BEC" w:rsidRPr="004C6846" w:rsidRDefault="00B62BEC" w:rsidP="008B3546">
            <w:pPr>
              <w:pStyle w:val="Prrafodelista"/>
              <w:widowControl w:val="0"/>
              <w:numPr>
                <w:ilvl w:val="0"/>
                <w:numId w:val="17"/>
              </w:numPr>
              <w:tabs>
                <w:tab w:val="left" w:pos="8419"/>
              </w:tabs>
              <w:autoSpaceDE w:val="0"/>
              <w:autoSpaceDN w:val="0"/>
              <w:spacing w:after="160" w:line="276" w:lineRule="auto"/>
              <w:contextualSpacing w:val="0"/>
              <w:jc w:val="both"/>
              <w:rPr>
                <w:rFonts w:ascii="Verdana" w:hAnsi="Verdana" w:cs="Arial"/>
              </w:rPr>
            </w:pPr>
            <w:r w:rsidRPr="004C6846">
              <w:rPr>
                <w:rFonts w:ascii="Verdana" w:hAnsi="Verdana" w:cs="Arial"/>
              </w:rPr>
              <w:t xml:space="preserve">Ley </w:t>
            </w:r>
            <w:r w:rsidRPr="004C6846">
              <w:rPr>
                <w:rFonts w:ascii="Verdana" w:eastAsia="Calibri" w:hAnsi="Verdana" w:cs="Arial"/>
              </w:rPr>
              <w:t>1150 de 2007. Artículo 5, Párrafos 1º y 4º. Artículo 2.</w:t>
            </w:r>
          </w:p>
          <w:p w14:paraId="7802B9A0" w14:textId="77777777" w:rsidR="00B62BEC" w:rsidRPr="004C6846" w:rsidRDefault="00B62BEC" w:rsidP="008B3546">
            <w:pPr>
              <w:pStyle w:val="Prrafodelista"/>
              <w:widowControl w:val="0"/>
              <w:numPr>
                <w:ilvl w:val="0"/>
                <w:numId w:val="17"/>
              </w:numPr>
              <w:tabs>
                <w:tab w:val="left" w:pos="8419"/>
              </w:tabs>
              <w:autoSpaceDE w:val="0"/>
              <w:autoSpaceDN w:val="0"/>
              <w:spacing w:after="160" w:line="276" w:lineRule="auto"/>
              <w:contextualSpacing w:val="0"/>
              <w:jc w:val="both"/>
              <w:rPr>
                <w:rFonts w:ascii="Verdana" w:hAnsi="Verdana" w:cs="Arial"/>
              </w:rPr>
            </w:pPr>
            <w:r w:rsidRPr="004C6846">
              <w:rPr>
                <w:rFonts w:ascii="Verdana" w:hAnsi="Verdana" w:cs="Arial"/>
              </w:rPr>
              <w:t>Ley 1882 de 2018. Artículo 5.</w:t>
            </w:r>
          </w:p>
          <w:p w14:paraId="1B983014" w14:textId="77777777" w:rsidR="00B62BEC" w:rsidRDefault="00B62BEC" w:rsidP="008B3546">
            <w:pPr>
              <w:pStyle w:val="Prrafodelista"/>
              <w:widowControl w:val="0"/>
              <w:numPr>
                <w:ilvl w:val="0"/>
                <w:numId w:val="17"/>
              </w:numPr>
              <w:tabs>
                <w:tab w:val="left" w:pos="8419"/>
              </w:tabs>
              <w:autoSpaceDE w:val="0"/>
              <w:autoSpaceDN w:val="0"/>
              <w:spacing w:after="160" w:line="276" w:lineRule="auto"/>
              <w:contextualSpacing w:val="0"/>
              <w:jc w:val="both"/>
              <w:rPr>
                <w:rFonts w:ascii="Verdana" w:hAnsi="Verdana" w:cs="Arial"/>
              </w:rPr>
            </w:pPr>
            <w:r w:rsidRPr="004C6846">
              <w:rPr>
                <w:rFonts w:ascii="Verdana" w:hAnsi="Verdana" w:cs="Arial"/>
              </w:rPr>
              <w:t>Decreto 1082 de 2015. Artículo 2.2.1.2.1.2.2</w:t>
            </w:r>
            <w:r>
              <w:rPr>
                <w:rFonts w:ascii="Verdana" w:hAnsi="Verdana" w:cs="Arial"/>
              </w:rPr>
              <w:t>.</w:t>
            </w:r>
          </w:p>
          <w:p w14:paraId="387939F8" w14:textId="77777777" w:rsidR="00B62BEC" w:rsidRDefault="00B62BEC" w:rsidP="008B3546">
            <w:pPr>
              <w:pStyle w:val="Prrafodelista"/>
              <w:widowControl w:val="0"/>
              <w:numPr>
                <w:ilvl w:val="0"/>
                <w:numId w:val="17"/>
              </w:numPr>
              <w:tabs>
                <w:tab w:val="left" w:pos="8419"/>
              </w:tabs>
              <w:autoSpaceDE w:val="0"/>
              <w:autoSpaceDN w:val="0"/>
              <w:spacing w:after="160" w:line="276" w:lineRule="auto"/>
              <w:contextualSpacing w:val="0"/>
              <w:jc w:val="both"/>
              <w:rPr>
                <w:rFonts w:ascii="Verdana" w:hAnsi="Verdana" w:cs="Arial"/>
              </w:rPr>
            </w:pPr>
            <w:r w:rsidRPr="007B7547">
              <w:rPr>
                <w:rFonts w:ascii="Verdana" w:hAnsi="Verdana" w:cs="Arial"/>
              </w:rPr>
              <w:t>Consejo de Estado. Sala de Consulta y Servicio Civil. Concepto del 20 de mayo de 2010. No. de Radicado: 11001-03-06-000-2010-00034-00(1992). C.P. Enrique José Arboleda Perdomo.</w:t>
            </w:r>
          </w:p>
          <w:p w14:paraId="1DB1BC9B" w14:textId="77777777" w:rsidR="00B62BEC" w:rsidRPr="004C6846" w:rsidRDefault="00B62BEC" w:rsidP="008B3546">
            <w:pPr>
              <w:pStyle w:val="Prrafodelista"/>
              <w:widowControl w:val="0"/>
              <w:numPr>
                <w:ilvl w:val="0"/>
                <w:numId w:val="17"/>
              </w:numPr>
              <w:tabs>
                <w:tab w:val="left" w:pos="8419"/>
              </w:tabs>
              <w:autoSpaceDE w:val="0"/>
              <w:autoSpaceDN w:val="0"/>
              <w:spacing w:after="160" w:line="276" w:lineRule="auto"/>
              <w:contextualSpacing w:val="0"/>
              <w:jc w:val="both"/>
              <w:rPr>
                <w:rFonts w:ascii="Verdana" w:hAnsi="Verdana" w:cs="Arial"/>
              </w:rPr>
            </w:pPr>
            <w:r w:rsidRPr="00E85A8F">
              <w:rPr>
                <w:rFonts w:ascii="Verdana" w:eastAsia="Calibri" w:hAnsi="Verdana" w:cs="Arial"/>
              </w:rPr>
              <w:t>Manual para determinar y verificar los requisitos habilitantes en los Procesos de Contratación</w:t>
            </w:r>
            <w:r>
              <w:rPr>
                <w:rFonts w:ascii="Verdana" w:eastAsia="Calibri" w:hAnsi="Verdana" w:cs="Arial"/>
              </w:rPr>
              <w:t>.</w:t>
            </w:r>
          </w:p>
          <w:p w14:paraId="469D5429" w14:textId="77777777" w:rsidR="00B62BEC" w:rsidRPr="0003480F" w:rsidRDefault="00B62BEC" w:rsidP="008B3546">
            <w:pPr>
              <w:widowControl w:val="0"/>
              <w:autoSpaceDE w:val="0"/>
              <w:autoSpaceDN w:val="0"/>
              <w:spacing w:after="120" w:line="276" w:lineRule="auto"/>
              <w:ind w:left="720"/>
              <w:jc w:val="both"/>
              <w:rPr>
                <w:rFonts w:ascii="Verdana" w:hAnsi="Verdana" w:cs="Arial"/>
                <w:color w:val="000000" w:themeColor="text1"/>
              </w:rPr>
            </w:pPr>
          </w:p>
        </w:tc>
      </w:tr>
    </w:tbl>
    <w:p w14:paraId="05B8EA35" w14:textId="77777777" w:rsidR="00B62BEC" w:rsidRDefault="00B62BEC" w:rsidP="00B62BE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1FDABE7" w14:textId="77777777" w:rsidR="00B62BEC" w:rsidRDefault="00B62BEC" w:rsidP="00B62BEC">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BB87CAF" w14:textId="77777777" w:rsidR="00B62BEC" w:rsidRPr="00593A5F" w:rsidRDefault="00B62BEC" w:rsidP="00B62BE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F940F28" w14:textId="77777777" w:rsidR="00B62BEC" w:rsidRPr="00AE7E03" w:rsidRDefault="00B62BEC" w:rsidP="00B62BEC">
      <w:pPr>
        <w:widowControl w:val="0"/>
        <w:autoSpaceDE w:val="0"/>
        <w:autoSpaceDN w:val="0"/>
        <w:spacing w:after="0" w:line="276" w:lineRule="auto"/>
        <w:jc w:val="both"/>
        <w:rPr>
          <w:rFonts w:ascii="Verdana" w:eastAsia="Arial" w:hAnsi="Verdana" w:cs="Arial"/>
          <w:lang w:val="es-MX" w:eastAsia="es-ES"/>
        </w:rPr>
      </w:pPr>
      <w:r w:rsidRPr="007B7547">
        <w:rPr>
          <w:rFonts w:ascii="Verdana" w:eastAsia="Calibri" w:hAnsi="Verdana" w:cs="Arial"/>
          <w:lang w:val="es-ES_tradnl" w:eastAsia="es-ES_tradnl"/>
        </w:rPr>
        <w:t xml:space="preserve">En cuanto a los criterios que deben ser tenidos en cuenta para la </w:t>
      </w:r>
      <w:proofErr w:type="spellStart"/>
      <w:r w:rsidRPr="007B7547">
        <w:rPr>
          <w:rFonts w:ascii="Verdana" w:eastAsia="Calibri" w:hAnsi="Verdana" w:cs="Arial"/>
          <w:lang w:val="es-ES_tradnl" w:eastAsia="es-ES_tradnl"/>
        </w:rPr>
        <w:t>subsanabilidad</w:t>
      </w:r>
      <w:proofErr w:type="spellEnd"/>
      <w:r w:rsidRPr="007B7547">
        <w:rPr>
          <w:rFonts w:ascii="Verdana" w:eastAsia="Calibri" w:hAnsi="Verdana" w:cs="Arial"/>
          <w:lang w:val="es-ES_tradnl" w:eastAsia="es-ES_tradnl"/>
        </w:rPr>
        <w:t xml:space="preserve"> de las propuestas, esta Agencia unificó su criterio mediante el concepto C-060 del 16 de enero de 2020, reiterado por los conceptos C-218 del 2 de febrero de 2020, C-267 del 4 de mayo de 2020, C-283 del 4 de mayo de 2020, C-307 del 21 de mayo de 2020, C-365 del 30 de junio de 2020, C-391 del 10 de agosto de 2020, C-675 del 25 de noviembre de 2020, C-683 del 25 de noviembre de 2020, C-730 del 14 de diciembre de 2020, C-779 de 18 de enero de 2021, C-055 del 10 de marzo de 2021, C-207 del 10 de mayo de 2021, C-332 del 07 de mayo de 2021, C-311 del 10 de junio de 2021</w:t>
      </w:r>
      <w:r w:rsidRPr="0027034B">
        <w:rPr>
          <w:rFonts w:ascii="Verdana" w:eastAsia="Calibri" w:hAnsi="Verdana" w:cs="Arial"/>
          <w:lang w:val="es-ES_tradnl" w:eastAsia="es-ES_tradnl"/>
        </w:rPr>
        <w:t xml:space="preserve">, </w:t>
      </w:r>
      <w:r w:rsidRPr="004C6846">
        <w:rPr>
          <w:rFonts w:ascii="Verdana" w:hAnsi="Verdana" w:cs="Arial"/>
        </w:rPr>
        <w:t>C-233 del 12 de agosto de 2024</w:t>
      </w:r>
      <w:r>
        <w:rPr>
          <w:rFonts w:ascii="Verdana" w:hAnsi="Verdana" w:cs="Arial"/>
        </w:rPr>
        <w:t>,</w:t>
      </w:r>
      <w:r w:rsidRPr="004C6846">
        <w:rPr>
          <w:rFonts w:ascii="Verdana" w:hAnsi="Verdana" w:cs="Arial"/>
        </w:rPr>
        <w:t xml:space="preserve"> C-369 del 09 de septiembre del 2024</w:t>
      </w:r>
      <w:r>
        <w:rPr>
          <w:rFonts w:ascii="Verdana" w:hAnsi="Verdana" w:cs="Arial"/>
          <w:shd w:val="clear" w:color="auto" w:fill="FFFFFF"/>
        </w:rPr>
        <w:t xml:space="preserve">, C-834 del 21 de noviembre de 2024 y C-518 de  2025, </w:t>
      </w:r>
      <w:r w:rsidRPr="0027034B">
        <w:rPr>
          <w:rFonts w:ascii="Verdana" w:eastAsia="Calibri" w:hAnsi="Verdana" w:cs="Arial"/>
          <w:lang w:val="es-ES_tradnl" w:eastAsia="es-ES_tradnl"/>
        </w:rPr>
        <w:t>entre otros</w:t>
      </w:r>
      <w:r>
        <w:rPr>
          <w:rFonts w:ascii="Verdana" w:eastAsia="Calibri" w:hAnsi="Verdana" w:cs="Arial"/>
          <w:lang w:val="es-ES" w:eastAsia="es-ES_tradnl"/>
        </w:rPr>
        <w:t>;</w:t>
      </w:r>
      <w:r>
        <w:rPr>
          <w:rFonts w:ascii="Verdana" w:hAnsi="Verdana" w:cs="Arial"/>
          <w:shd w:val="clear" w:color="auto" w:fill="FFFFFF"/>
        </w:rPr>
        <w:t xml:space="preserve">. </w:t>
      </w:r>
      <w:r w:rsidRPr="009A5D6C">
        <w:rPr>
          <w:rFonts w:ascii="Verdana" w:eastAsia="Calibri" w:hAnsi="Verdana" w:cs="Times New Roman"/>
        </w:rPr>
        <w:t>Estos se encuentran</w:t>
      </w:r>
      <w:r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E16333E" w14:textId="77777777" w:rsidR="00B62BEC" w:rsidRPr="0065720B" w:rsidRDefault="00731BDC" w:rsidP="00B62BEC">
      <w:pPr>
        <w:widowControl w:val="0"/>
        <w:autoSpaceDE w:val="0"/>
        <w:autoSpaceDN w:val="0"/>
        <w:spacing w:after="0" w:line="276" w:lineRule="auto"/>
        <w:jc w:val="both"/>
        <w:rPr>
          <w:rStyle w:val="normaltextrun"/>
          <w:rFonts w:ascii="Verdana" w:eastAsia="Calibri" w:hAnsi="Verdana" w:cs="Arial"/>
          <w:lang w:val="es-ES_tradnl" w:eastAsia="en-GB"/>
        </w:rPr>
      </w:pPr>
      <w:hyperlink r:id="rId13" w:history="1">
        <w:r w:rsidR="00B62BEC" w:rsidRPr="00191357">
          <w:rPr>
            <w:rStyle w:val="Hipervnculo"/>
            <w:rFonts w:ascii="Verdana" w:eastAsia="Calibri" w:hAnsi="Verdana" w:cs="Times New Roman"/>
            <w:lang w:val="es-ES"/>
          </w:rPr>
          <w:t>https://relatoria.colombiacompra.gov.co/busqueda/conceptos</w:t>
        </w:r>
      </w:hyperlink>
      <w:r w:rsidR="00B62BEC" w:rsidRPr="00185EE9">
        <w:rPr>
          <w:rFonts w:ascii="Verdana" w:eastAsia="Calibri" w:hAnsi="Verdana" w:cs="Times New Roman"/>
        </w:rPr>
        <w:t>.</w:t>
      </w:r>
    </w:p>
    <w:p w14:paraId="74B8B6D3" w14:textId="77777777" w:rsidR="00B62BEC" w:rsidRPr="00505CD6" w:rsidRDefault="00B62BEC" w:rsidP="00B62BEC">
      <w:pPr>
        <w:widowControl w:val="0"/>
        <w:autoSpaceDE w:val="0"/>
        <w:autoSpaceDN w:val="0"/>
        <w:spacing w:after="0" w:line="276" w:lineRule="auto"/>
        <w:jc w:val="both"/>
        <w:rPr>
          <w:rFonts w:ascii="Verdana" w:hAnsi="Verdana" w:cs="Arial"/>
          <w:color w:val="000000" w:themeColor="text1"/>
          <w:shd w:val="clear" w:color="auto" w:fill="FFFFFF"/>
        </w:rPr>
      </w:pPr>
    </w:p>
    <w:p w14:paraId="6D4AACAB" w14:textId="77777777" w:rsidR="00B62BEC" w:rsidRPr="00103B90" w:rsidRDefault="00B62BEC" w:rsidP="00B62BEC">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64CF0B3D" w14:textId="77777777" w:rsidR="00B62BEC" w:rsidRPr="00103B90" w:rsidRDefault="00B62BEC" w:rsidP="00B62BEC">
      <w:pPr>
        <w:widowControl w:val="0"/>
        <w:autoSpaceDE w:val="0"/>
        <w:autoSpaceDN w:val="0"/>
        <w:spacing w:after="0" w:line="276" w:lineRule="auto"/>
        <w:jc w:val="both"/>
        <w:rPr>
          <w:rFonts w:ascii="Verdana" w:hAnsi="Verdana"/>
        </w:rPr>
      </w:pPr>
    </w:p>
    <w:p w14:paraId="75EF0B62" w14:textId="77777777" w:rsidR="00B62BEC" w:rsidRPr="00505CD6" w:rsidRDefault="00B62BEC" w:rsidP="00B62BEC">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6E94A1D7" w14:textId="77777777" w:rsidR="00B62BEC" w:rsidRPr="00505CD6" w:rsidRDefault="00B62BEC" w:rsidP="00B62BEC">
      <w:pPr>
        <w:widowControl w:val="0"/>
        <w:autoSpaceDE w:val="0"/>
        <w:autoSpaceDN w:val="0"/>
        <w:spacing w:after="0" w:line="276" w:lineRule="auto"/>
        <w:jc w:val="both"/>
        <w:rPr>
          <w:rFonts w:ascii="Verdana" w:hAnsi="Verdana" w:cs="Arial"/>
        </w:rPr>
      </w:pPr>
    </w:p>
    <w:p w14:paraId="57119D08" w14:textId="77777777" w:rsidR="00B62BEC" w:rsidRDefault="00B62BEC" w:rsidP="00B62BEC">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59C21359" w14:textId="4B520925" w:rsidR="00B62BEC" w:rsidRDefault="00B62BEC" w:rsidP="00B62BEC">
      <w:pPr>
        <w:spacing w:line="276" w:lineRule="auto"/>
        <w:jc w:val="center"/>
        <w:rPr>
          <w:noProof/>
        </w:rPr>
      </w:pPr>
    </w:p>
    <w:p w14:paraId="16DDDD50" w14:textId="5732F89E" w:rsidR="009A7D30" w:rsidRDefault="009A7D30" w:rsidP="00B62BEC">
      <w:pPr>
        <w:spacing w:line="276" w:lineRule="auto"/>
        <w:jc w:val="center"/>
        <w:rPr>
          <w:noProof/>
        </w:rPr>
      </w:pPr>
      <w:r>
        <w:rPr>
          <w:noProof/>
        </w:rPr>
        <w:drawing>
          <wp:inline distT="0" distB="0" distL="0" distR="0" wp14:anchorId="0762DB0A" wp14:editId="36967EEC">
            <wp:extent cx="3030855" cy="1301093"/>
            <wp:effectExtent l="0" t="0" r="0" b="0"/>
            <wp:docPr id="9470420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39275" cy="1304708"/>
                    </a:xfrm>
                    <a:prstGeom prst="rect">
                      <a:avLst/>
                    </a:prstGeom>
                    <a:noFill/>
                    <a:ln>
                      <a:noFill/>
                    </a:ln>
                  </pic:spPr>
                </pic:pic>
              </a:graphicData>
            </a:graphic>
          </wp:inline>
        </w:drawing>
      </w:r>
    </w:p>
    <w:p w14:paraId="54F46BBC" w14:textId="77777777" w:rsidR="009A7D30" w:rsidRDefault="009A7D30" w:rsidP="00B62BEC">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62BEC" w:rsidRPr="00593A5F" w14:paraId="29CCFCD3" w14:textId="77777777" w:rsidTr="008B3546">
        <w:trPr>
          <w:trHeight w:val="315"/>
        </w:trPr>
        <w:tc>
          <w:tcPr>
            <w:tcW w:w="893" w:type="dxa"/>
            <w:vAlign w:val="center"/>
            <w:hideMark/>
          </w:tcPr>
          <w:p w14:paraId="056D1633" w14:textId="77777777" w:rsidR="00B62BEC" w:rsidRPr="003751C7" w:rsidRDefault="00B62BEC" w:rsidP="008B3546">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4F96656" w14:textId="77777777" w:rsidR="00B62BEC" w:rsidRPr="007911EE" w:rsidRDefault="00B62BEC" w:rsidP="008B3546">
            <w:pPr>
              <w:contextualSpacing/>
              <w:rPr>
                <w:rFonts w:ascii="Verdana" w:hAnsi="Verdana"/>
                <w:sz w:val="16"/>
                <w:szCs w:val="16"/>
              </w:rPr>
            </w:pPr>
            <w:r>
              <w:rPr>
                <w:rFonts w:ascii="Verdana" w:hAnsi="Verdana"/>
                <w:sz w:val="16"/>
                <w:szCs w:val="16"/>
              </w:rPr>
              <w:t>Daniel Eduardo Rojas Poveda</w:t>
            </w:r>
          </w:p>
          <w:p w14:paraId="2ED7D9D8" w14:textId="77777777" w:rsidR="00B62BEC" w:rsidRPr="007911EE" w:rsidRDefault="00B62BEC" w:rsidP="008B3546">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B62BEC" w:rsidRPr="00593A5F" w14:paraId="483DE004" w14:textId="77777777" w:rsidTr="008B3546">
        <w:trPr>
          <w:trHeight w:val="330"/>
        </w:trPr>
        <w:tc>
          <w:tcPr>
            <w:tcW w:w="893" w:type="dxa"/>
            <w:vAlign w:val="center"/>
            <w:hideMark/>
          </w:tcPr>
          <w:p w14:paraId="380BFDD3" w14:textId="77777777" w:rsidR="00B62BEC" w:rsidRPr="003751C7" w:rsidRDefault="00B62BEC" w:rsidP="008B3546">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F1552F5" w14:textId="77777777" w:rsidR="00B62BEC" w:rsidRDefault="00B62BEC" w:rsidP="008B3546">
            <w:pPr>
              <w:spacing w:line="276" w:lineRule="auto"/>
              <w:contextualSpacing/>
              <w:jc w:val="both"/>
              <w:rPr>
                <w:rFonts w:ascii="Verdana" w:hAnsi="Verdana"/>
                <w:sz w:val="16"/>
                <w:szCs w:val="16"/>
              </w:rPr>
            </w:pPr>
            <w:r>
              <w:rPr>
                <w:rFonts w:ascii="Verdana" w:hAnsi="Verdana"/>
                <w:sz w:val="16"/>
                <w:szCs w:val="16"/>
              </w:rPr>
              <w:t>Diana Lucia Saavedra.</w:t>
            </w:r>
          </w:p>
          <w:p w14:paraId="301C4989" w14:textId="77777777" w:rsidR="00B62BEC" w:rsidRPr="007911EE" w:rsidRDefault="00B62BEC" w:rsidP="008B3546">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B62BEC" w:rsidRPr="00593A5F" w14:paraId="7CDC4F95" w14:textId="77777777" w:rsidTr="008B3546">
        <w:trPr>
          <w:trHeight w:val="330"/>
        </w:trPr>
        <w:tc>
          <w:tcPr>
            <w:tcW w:w="893" w:type="dxa"/>
            <w:vAlign w:val="center"/>
          </w:tcPr>
          <w:p w14:paraId="08C7CBBA" w14:textId="77777777" w:rsidR="00B62BEC" w:rsidRPr="003751C7" w:rsidRDefault="00B62BEC" w:rsidP="008B3546">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3DF62FA" w14:textId="77777777" w:rsidR="00B62BEC" w:rsidRDefault="00B62BEC" w:rsidP="008B3546">
            <w:pPr>
              <w:spacing w:line="276" w:lineRule="auto"/>
              <w:contextualSpacing/>
              <w:jc w:val="both"/>
              <w:rPr>
                <w:rFonts w:ascii="Verdana" w:hAnsi="Verdana"/>
                <w:sz w:val="16"/>
                <w:szCs w:val="16"/>
              </w:rPr>
            </w:pPr>
            <w:r>
              <w:rPr>
                <w:rFonts w:ascii="Verdana" w:hAnsi="Verdana"/>
                <w:sz w:val="16"/>
                <w:szCs w:val="16"/>
              </w:rPr>
              <w:t xml:space="preserve">Carolina Quintero </w:t>
            </w:r>
            <w:proofErr w:type="spellStart"/>
            <w:r>
              <w:rPr>
                <w:rFonts w:ascii="Verdana" w:hAnsi="Verdana"/>
                <w:sz w:val="16"/>
                <w:szCs w:val="16"/>
              </w:rPr>
              <w:t>Gacharná</w:t>
            </w:r>
            <w:proofErr w:type="spellEnd"/>
            <w:r>
              <w:rPr>
                <w:rFonts w:ascii="Verdana" w:hAnsi="Verdana"/>
                <w:sz w:val="16"/>
                <w:szCs w:val="16"/>
              </w:rPr>
              <w:t xml:space="preserve"> </w:t>
            </w:r>
          </w:p>
          <w:p w14:paraId="5BE50ACD" w14:textId="77777777" w:rsidR="00B62BEC" w:rsidRDefault="00B62BEC" w:rsidP="008B3546">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w:t>
            </w:r>
            <w:proofErr w:type="spellStart"/>
            <w:r w:rsidRPr="00EB1CF7">
              <w:rPr>
                <w:rFonts w:ascii="Verdana" w:eastAsia="Calibri" w:hAnsi="Verdana" w:cs="Arial"/>
                <w:sz w:val="16"/>
                <w:szCs w:val="16"/>
                <w:lang w:val="pt-BR" w:eastAsia="es-ES"/>
              </w:rPr>
              <w:t>Gestión</w:t>
            </w:r>
            <w:proofErr w:type="spellEnd"/>
            <w:r w:rsidRPr="00EB1CF7">
              <w:rPr>
                <w:rFonts w:ascii="Verdana" w:eastAsia="Calibri" w:hAnsi="Verdana" w:cs="Arial"/>
                <w:sz w:val="16"/>
                <w:szCs w:val="16"/>
                <w:lang w:val="pt-BR" w:eastAsia="es-ES"/>
              </w:rPr>
              <w:t xml:space="preserve">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2AE603A9" w14:textId="77777777" w:rsidR="00B62BEC" w:rsidRPr="00F30C63" w:rsidRDefault="00B62BEC" w:rsidP="00B62BEC"/>
    <w:p w14:paraId="0F293BF4" w14:textId="0B69F8DA" w:rsidR="00127233" w:rsidRPr="000433A9" w:rsidRDefault="00127233" w:rsidP="000433A9"/>
    <w:sectPr w:rsidR="00127233" w:rsidRPr="000433A9"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BD0D3C" w14:textId="77777777" w:rsidR="00F8014B" w:rsidRDefault="00F8014B" w:rsidP="004A1847">
      <w:pPr>
        <w:spacing w:after="0" w:line="240" w:lineRule="auto"/>
      </w:pPr>
      <w:r>
        <w:separator/>
      </w:r>
    </w:p>
  </w:endnote>
  <w:endnote w:type="continuationSeparator" w:id="0">
    <w:p w14:paraId="591239E1" w14:textId="77777777" w:rsidR="00F8014B" w:rsidRDefault="00F8014B" w:rsidP="004A1847">
      <w:pPr>
        <w:spacing w:after="0" w:line="240" w:lineRule="auto"/>
      </w:pPr>
      <w:r>
        <w:continuationSeparator/>
      </w:r>
    </w:p>
  </w:endnote>
  <w:endnote w:type="continuationNotice" w:id="1">
    <w:p w14:paraId="4FA9A56B" w14:textId="77777777" w:rsidR="00F8014B" w:rsidRDefault="00F8014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altName w:val="Calibri"/>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DC69DC" w14:textId="77777777" w:rsidR="00F8014B" w:rsidRDefault="00F8014B" w:rsidP="004A1847">
      <w:pPr>
        <w:spacing w:after="0" w:line="240" w:lineRule="auto"/>
      </w:pPr>
      <w:r>
        <w:separator/>
      </w:r>
    </w:p>
  </w:footnote>
  <w:footnote w:type="continuationSeparator" w:id="0">
    <w:p w14:paraId="0F237715" w14:textId="77777777" w:rsidR="00F8014B" w:rsidRDefault="00F8014B" w:rsidP="004A1847">
      <w:pPr>
        <w:spacing w:after="0" w:line="240" w:lineRule="auto"/>
      </w:pPr>
      <w:r>
        <w:continuationSeparator/>
      </w:r>
    </w:p>
  </w:footnote>
  <w:footnote w:type="continuationNotice" w:id="1">
    <w:p w14:paraId="26CA29D1" w14:textId="77777777" w:rsidR="00F8014B" w:rsidRDefault="00F8014B">
      <w:pPr>
        <w:spacing w:after="0" w:line="240" w:lineRule="auto"/>
      </w:pPr>
    </w:p>
  </w:footnote>
  <w:footnote w:id="2">
    <w:p w14:paraId="44280B05" w14:textId="77777777" w:rsidR="00B62BEC" w:rsidRPr="009C3C72" w:rsidRDefault="00B62BEC" w:rsidP="00B62BEC">
      <w:pPr>
        <w:pStyle w:val="Textonotapie"/>
        <w:ind w:firstLine="708"/>
        <w:rPr>
          <w:rFonts w:ascii="Verdana" w:hAnsi="Verdana" w:cstheme="minorHAnsi"/>
          <w:sz w:val="16"/>
          <w:szCs w:val="16"/>
          <w:lang w:val="es-ES"/>
        </w:rPr>
      </w:pPr>
      <w:r w:rsidRPr="009C3C72">
        <w:rPr>
          <w:rStyle w:val="Refdenotaalpie"/>
          <w:rFonts w:ascii="Verdana" w:hAnsi="Verdana" w:cstheme="minorHAnsi"/>
          <w:sz w:val="16"/>
          <w:szCs w:val="16"/>
        </w:rPr>
        <w:footnoteRef/>
      </w:r>
      <w:r w:rsidRPr="009C3C72">
        <w:rPr>
          <w:rFonts w:ascii="Verdana" w:hAnsi="Verdana" w:cstheme="minorHAnsi"/>
          <w:sz w:val="16"/>
          <w:szCs w:val="16"/>
        </w:rPr>
        <w:t xml:space="preserve"> </w:t>
      </w:r>
      <w:r w:rsidRPr="009C3C72">
        <w:rPr>
          <w:rFonts w:ascii="Verdana" w:hAnsi="Verdana" w:cstheme="minorHAnsi"/>
          <w:sz w:val="16"/>
          <w:szCs w:val="16"/>
          <w:lang w:val="es-ES"/>
        </w:rPr>
        <w:t>Consejo de Estado. Sala de Consulta y Servicio Civil. Concepto del 20 de mayo de 2010. No. de Radicado: 11001-03-06-000-2010-00034-00(1992). C.P. Enrique José Arboleda Perdomo.</w:t>
      </w:r>
    </w:p>
  </w:footnote>
  <w:footnote w:id="3">
    <w:p w14:paraId="4F3B8DCB" w14:textId="77777777" w:rsidR="00B62BEC" w:rsidRPr="009C3C72" w:rsidRDefault="00B62BEC" w:rsidP="00B62BEC">
      <w:pPr>
        <w:pStyle w:val="Textonotapie"/>
        <w:ind w:firstLine="709"/>
        <w:jc w:val="both"/>
        <w:rPr>
          <w:rFonts w:ascii="Verdana" w:hAnsi="Verdana" w:cstheme="minorHAnsi"/>
          <w:color w:val="000000"/>
          <w:sz w:val="16"/>
          <w:szCs w:val="16"/>
        </w:rPr>
      </w:pPr>
      <w:r w:rsidRPr="009C3C72">
        <w:rPr>
          <w:rStyle w:val="Refdenotaalpie"/>
          <w:rFonts w:ascii="Verdana" w:hAnsi="Verdana" w:cstheme="minorHAnsi"/>
          <w:color w:val="000000"/>
          <w:sz w:val="16"/>
          <w:szCs w:val="16"/>
        </w:rPr>
        <w:footnoteRef/>
      </w:r>
      <w:r w:rsidRPr="009C3C72">
        <w:rPr>
          <w:rFonts w:ascii="Verdana" w:hAnsi="Verdana" w:cstheme="minorHAnsi"/>
          <w:color w:val="000000"/>
          <w:sz w:val="16"/>
          <w:szCs w:val="16"/>
        </w:rPr>
        <w:t xml:space="preserve"> Ley 80 de 1993. Art. 30.7: «De acuerdo con la naturaleza, objeto y cuantía del contrato, en los pliegos de condiciones o términos de referencia, se señalará el plazo razonable dentro del cual la entidad deberá elaborar los estudios técnicos, económicos y jurídicos necesarios para la evaluación de las propuestas y para solicitar a los proponentes las aclaraciones y explicaciones que se estimen indispensables». </w:t>
      </w:r>
    </w:p>
  </w:footnote>
  <w:footnote w:id="4">
    <w:p w14:paraId="3ABB8075" w14:textId="77777777" w:rsidR="00B62BEC" w:rsidRPr="009C3C72" w:rsidRDefault="00B62BEC" w:rsidP="00B62BEC">
      <w:pPr>
        <w:pStyle w:val="Textonotapie"/>
        <w:ind w:firstLine="709"/>
        <w:jc w:val="both"/>
        <w:rPr>
          <w:rFonts w:ascii="Verdana" w:hAnsi="Verdana" w:cstheme="minorHAnsi"/>
          <w:color w:val="000000"/>
          <w:sz w:val="16"/>
          <w:szCs w:val="16"/>
        </w:rPr>
      </w:pPr>
      <w:r w:rsidRPr="009C3C72">
        <w:rPr>
          <w:rStyle w:val="Refdenotaalpie"/>
          <w:rFonts w:ascii="Verdana" w:hAnsi="Verdana" w:cstheme="minorHAnsi"/>
          <w:color w:val="000000"/>
          <w:sz w:val="16"/>
          <w:szCs w:val="16"/>
        </w:rPr>
        <w:footnoteRef/>
      </w:r>
      <w:r w:rsidRPr="009C3C72">
        <w:rPr>
          <w:rFonts w:ascii="Verdana" w:hAnsi="Verdana" w:cstheme="minorHAnsi"/>
          <w:color w:val="000000"/>
          <w:sz w:val="16"/>
          <w:szCs w:val="16"/>
        </w:rPr>
        <w:t xml:space="preserve"> Ley 80 de 1993. Art. 30.8: «Los informes de evaluación de las propuestas permanecerán en la secretaría de la entidad por un término de cinco (5) días hábiles para que los oferentes presenten las observaciones que estimen pertinentes. En ejercicio de esta facultad, los oferentes no podrán completar, adicionar, modificar o mejorar sus propuestas».</w:t>
      </w:r>
    </w:p>
  </w:footnote>
  <w:footnote w:id="5">
    <w:p w14:paraId="463BEEEE" w14:textId="77777777" w:rsidR="00B62BEC" w:rsidRPr="009C3C72" w:rsidRDefault="00B62BEC" w:rsidP="00B62BEC">
      <w:pPr>
        <w:pStyle w:val="Textonotapie"/>
        <w:ind w:firstLine="709"/>
        <w:jc w:val="both"/>
        <w:rPr>
          <w:rFonts w:ascii="Verdana" w:hAnsi="Verdana" w:cstheme="minorHAnsi"/>
          <w:color w:val="000000"/>
          <w:sz w:val="16"/>
          <w:szCs w:val="16"/>
        </w:rPr>
      </w:pPr>
      <w:r w:rsidRPr="009C3C72">
        <w:rPr>
          <w:rStyle w:val="Refdenotaalpie"/>
          <w:rFonts w:ascii="Verdana" w:hAnsi="Verdana" w:cstheme="minorHAnsi"/>
          <w:color w:val="000000"/>
          <w:sz w:val="16"/>
          <w:szCs w:val="16"/>
        </w:rPr>
        <w:footnoteRef/>
      </w:r>
      <w:r w:rsidRPr="009C3C72">
        <w:rPr>
          <w:rFonts w:ascii="Verdana" w:hAnsi="Verdana" w:cstheme="minorHAnsi"/>
          <w:color w:val="000000"/>
          <w:sz w:val="16"/>
          <w:szCs w:val="16"/>
        </w:rPr>
        <w:t xml:space="preserve"> Consejo de Estado. Sección Tercera. Subsección C. Sentencia del 26 de febrero de 2014. Expediente: 25.804. Consejero Ponente: Enrique Gil Botero.</w:t>
      </w:r>
    </w:p>
  </w:footnote>
  <w:footnote w:id="6">
    <w:p w14:paraId="044A05EB" w14:textId="77777777" w:rsidR="00B62BEC" w:rsidRPr="009C3C72" w:rsidRDefault="00B62BEC" w:rsidP="00B62BEC">
      <w:pPr>
        <w:pBdr>
          <w:top w:val="nil"/>
          <w:left w:val="nil"/>
          <w:bottom w:val="nil"/>
          <w:right w:val="nil"/>
          <w:between w:val="nil"/>
        </w:pBdr>
        <w:ind w:firstLine="709"/>
        <w:jc w:val="both"/>
        <w:rPr>
          <w:rFonts w:ascii="Verdana" w:eastAsia="Arial" w:hAnsi="Verdana" w:cstheme="minorHAnsi"/>
          <w:color w:val="000000"/>
          <w:sz w:val="16"/>
          <w:szCs w:val="16"/>
        </w:rPr>
      </w:pPr>
      <w:r w:rsidRPr="009C3C72">
        <w:rPr>
          <w:rFonts w:ascii="Verdana" w:hAnsi="Verdana" w:cstheme="minorHAnsi"/>
          <w:sz w:val="16"/>
          <w:szCs w:val="16"/>
          <w:vertAlign w:val="superscript"/>
        </w:rPr>
        <w:footnoteRef/>
      </w:r>
      <w:r w:rsidRPr="009C3C72">
        <w:rPr>
          <w:rFonts w:ascii="Verdana" w:eastAsia="Arial" w:hAnsi="Verdana" w:cstheme="minorHAnsi"/>
          <w:color w:val="000000"/>
          <w:sz w:val="16"/>
          <w:szCs w:val="16"/>
          <w:vertAlign w:val="superscript"/>
        </w:rPr>
        <w:t xml:space="preserve"> </w:t>
      </w:r>
      <w:r w:rsidRPr="009C3C72">
        <w:rPr>
          <w:rFonts w:ascii="Verdana" w:eastAsia="Arial" w:hAnsi="Verdana" w:cstheme="minorHAnsi"/>
          <w:color w:val="000000"/>
          <w:sz w:val="16"/>
          <w:szCs w:val="16"/>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footnote>
  <w:footnote w:id="7">
    <w:p w14:paraId="26D1B99A" w14:textId="77777777" w:rsidR="00B62BEC" w:rsidRPr="009C3C72" w:rsidRDefault="00B62BEC" w:rsidP="00B62BEC">
      <w:pPr>
        <w:pStyle w:val="Textonotapie"/>
        <w:ind w:firstLine="708"/>
        <w:rPr>
          <w:rFonts w:ascii="Verdana" w:hAnsi="Verdana" w:cstheme="minorHAnsi"/>
          <w:color w:val="000000"/>
          <w:sz w:val="16"/>
          <w:szCs w:val="16"/>
        </w:rPr>
      </w:pPr>
      <w:r w:rsidRPr="009C3C72">
        <w:rPr>
          <w:rFonts w:ascii="Verdana" w:eastAsia="Arial" w:hAnsi="Verdana" w:cstheme="minorHAnsi"/>
          <w:color w:val="000000"/>
          <w:sz w:val="16"/>
          <w:szCs w:val="16"/>
          <w:vertAlign w:val="superscript"/>
        </w:rPr>
        <w:footnoteRef/>
      </w:r>
      <w:r w:rsidRPr="009C3C72">
        <w:rPr>
          <w:rFonts w:ascii="Verdana" w:eastAsia="Arial" w:hAnsi="Verdana" w:cstheme="minorHAnsi"/>
          <w:color w:val="000000"/>
          <w:sz w:val="16"/>
          <w:szCs w:val="16"/>
          <w:vertAlign w:val="superscript"/>
          <w:lang w:val="es-ES"/>
        </w:rPr>
        <w:t xml:space="preserve"> </w:t>
      </w:r>
      <w:r w:rsidRPr="009C3C72">
        <w:rPr>
          <w:rFonts w:ascii="Verdana" w:eastAsia="Arial" w:hAnsi="Verdana" w:cstheme="minorHAnsi"/>
          <w:color w:val="000000"/>
          <w:sz w:val="16"/>
          <w:szCs w:val="16"/>
          <w:lang w:val="es-ES"/>
        </w:rPr>
        <w:t>Consejo de Estado. Sala de Consulta y Servicio Civil. Concepto del 20 de mayo de 2010. No. de Radicado: 11001-03-06-000-2010-00034-00(1992). C.P. Enrique José Arboleda Perdomo.</w:t>
      </w:r>
    </w:p>
  </w:footnote>
  <w:footnote w:id="8">
    <w:p w14:paraId="56CA0962" w14:textId="77777777" w:rsidR="00B62BEC" w:rsidRPr="009C3C72" w:rsidRDefault="00B62BEC" w:rsidP="00B62BEC">
      <w:pPr>
        <w:pStyle w:val="Textonotapie"/>
        <w:rPr>
          <w:rFonts w:ascii="Verdana" w:hAnsi="Verdana" w:cstheme="minorHAnsi"/>
          <w:sz w:val="16"/>
          <w:szCs w:val="16"/>
          <w:lang w:val="es-ES"/>
        </w:rPr>
      </w:pPr>
      <w:r w:rsidRPr="009C3C72">
        <w:rPr>
          <w:rStyle w:val="Refdenotaalpie"/>
          <w:rFonts w:ascii="Verdana" w:hAnsi="Verdana" w:cstheme="minorHAnsi"/>
          <w:sz w:val="16"/>
          <w:szCs w:val="16"/>
        </w:rPr>
        <w:footnoteRef/>
      </w:r>
      <w:r w:rsidRPr="009C3C72">
        <w:rPr>
          <w:rFonts w:ascii="Verdana" w:hAnsi="Verdana" w:cstheme="minorHAnsi"/>
          <w:sz w:val="16"/>
          <w:szCs w:val="16"/>
        </w:rPr>
        <w:t xml:space="preserve"> https://www.colombiacompra.gov.co/archivos/manual/manual-para-determinar-y-verificar-los-requisitos-habilitantes-en-los-procesos-de-contratacion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4" type="#_x0000_t75" style="width:12.2pt;height:12.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4DDC6F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5"/>
  </w:num>
  <w:num w:numId="8">
    <w:abstractNumId w:val="12"/>
  </w:num>
  <w:num w:numId="9">
    <w:abstractNumId w:val="7"/>
  </w:num>
  <w:num w:numId="10">
    <w:abstractNumId w:val="11"/>
  </w:num>
  <w:num w:numId="11">
    <w:abstractNumId w:val="8"/>
  </w:num>
  <w:num w:numId="12">
    <w:abstractNumId w:val="1"/>
  </w:num>
  <w:num w:numId="13">
    <w:abstractNumId w:val="3"/>
  </w:num>
  <w:num w:numId="14">
    <w:abstractNumId w:val="14"/>
  </w:num>
  <w:num w:numId="15">
    <w:abstractNumId w:val="10"/>
  </w:num>
  <w:num w:numId="16">
    <w:abstractNumId w:val="0"/>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33A9"/>
    <w:rsid w:val="00046945"/>
    <w:rsid w:val="00061B2A"/>
    <w:rsid w:val="00082362"/>
    <w:rsid w:val="000A683E"/>
    <w:rsid w:val="000B19B9"/>
    <w:rsid w:val="000D0334"/>
    <w:rsid w:val="000D5DA7"/>
    <w:rsid w:val="000F0ACA"/>
    <w:rsid w:val="000F6486"/>
    <w:rsid w:val="001161A7"/>
    <w:rsid w:val="00116940"/>
    <w:rsid w:val="00125105"/>
    <w:rsid w:val="00127233"/>
    <w:rsid w:val="0015699B"/>
    <w:rsid w:val="001A33BF"/>
    <w:rsid w:val="001E4177"/>
    <w:rsid w:val="001F0B24"/>
    <w:rsid w:val="001F7DC6"/>
    <w:rsid w:val="0022400B"/>
    <w:rsid w:val="002421BB"/>
    <w:rsid w:val="0025796E"/>
    <w:rsid w:val="002707A2"/>
    <w:rsid w:val="00294AC3"/>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6154D"/>
    <w:rsid w:val="003647AA"/>
    <w:rsid w:val="00374F5E"/>
    <w:rsid w:val="00377E3E"/>
    <w:rsid w:val="003A779E"/>
    <w:rsid w:val="003D0F4D"/>
    <w:rsid w:val="003D5B0D"/>
    <w:rsid w:val="003E0499"/>
    <w:rsid w:val="003E4F80"/>
    <w:rsid w:val="003E6439"/>
    <w:rsid w:val="003F3941"/>
    <w:rsid w:val="0040139C"/>
    <w:rsid w:val="00406575"/>
    <w:rsid w:val="00413BD9"/>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1BDC"/>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7493F"/>
    <w:rsid w:val="009A0DFA"/>
    <w:rsid w:val="009A1C6F"/>
    <w:rsid w:val="009A7D30"/>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62BEC"/>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93603"/>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F7F40"/>
    <w:rsid w:val="00F23FEA"/>
    <w:rsid w:val="00F31EDC"/>
    <w:rsid w:val="00F462B3"/>
    <w:rsid w:val="00F5664F"/>
    <w:rsid w:val="00F666C4"/>
    <w:rsid w:val="00F76AFC"/>
    <w:rsid w:val="00F8014B"/>
    <w:rsid w:val="00FA47C0"/>
    <w:rsid w:val="00FB5DD1"/>
    <w:rsid w:val="00FC2B5D"/>
    <w:rsid w:val="00FF1449"/>
    <w:rsid w:val="00FF7963"/>
    <w:rsid w:val="09908A09"/>
    <w:rsid w:val="0D8C1A1E"/>
    <w:rsid w:val="13CFC91B"/>
    <w:rsid w:val="19A2EC2C"/>
    <w:rsid w:val="2859CA1B"/>
    <w:rsid w:val="32A4F9CF"/>
    <w:rsid w:val="356CEDFD"/>
    <w:rsid w:val="69614A15"/>
    <w:rsid w:val="6CA9C418"/>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62BEC"/>
    <w:rPr>
      <w:rFonts w:ascii="Geomanist Light" w:hAnsi="Geomanist Light"/>
      <w:lang w:val="es-ES"/>
    </w:rPr>
  </w:style>
  <w:style w:type="paragraph" w:customStyle="1" w:styleId="Appelnotedebasde">
    <w:name w:val="Appel note de bas de..."/>
    <w:basedOn w:val="Normal"/>
    <w:link w:val="Refdenotaalpie"/>
    <w:uiPriority w:val="99"/>
    <w:rsid w:val="00B62BEC"/>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loryescobar1@gmail.com" TargetMode="External"/><Relationship Id="rId5" Type="http://schemas.openxmlformats.org/officeDocument/2006/relationships/styles" Target="styles.xml"/><Relationship Id="rId15" Type="http://schemas.openxmlformats.org/officeDocument/2006/relationships/image" Target="media/image3.jpe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openxmlformats.org/package/2006/metadata/core-properties"/>
    <ds:schemaRef ds:uri="a6cb9e4b-f1d1-4245-83ec-6cad768d538a"/>
    <ds:schemaRef ds:uri="http://purl.org/dc/dcmitype/"/>
    <ds:schemaRef ds:uri="http://schemas.microsoft.com/office/2006/documentManagement/types"/>
    <ds:schemaRef ds:uri="http://purl.org/dc/terms/"/>
    <ds:schemaRef ds:uri="http://www.w3.org/XML/1998/namespace"/>
    <ds:schemaRef ds:uri="http://purl.org/dc/elements/1.1/"/>
    <ds:schemaRef ds:uri="http://schemas.microsoft.com/office/infopath/2007/PartnerControls"/>
    <ds:schemaRef ds:uri="9d85dbaf-23eb-4e57-a637-93dcacc8b1a1"/>
    <ds:schemaRef ds:uri="http://schemas.microsoft.com/office/2006/metadata/propertie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E02F5EF1-045D-4A62-BD9E-EA71D41719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15</Pages>
  <Words>4950</Words>
  <Characters>27229</Characters>
  <Application>Microsoft Office Word</Application>
  <DocSecurity>0</DocSecurity>
  <Lines>226</Lines>
  <Paragraphs>64</Paragraphs>
  <ScaleCrop>false</ScaleCrop>
  <Company/>
  <LinksUpToDate>false</LinksUpToDate>
  <CharactersWithSpaces>32115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2025-11-14T23:07:00Z</dcterms:created>
  <dcterms:modified xsi:type="dcterms:W3CDTF">2025-11-14T23:07:00Z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